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2E76" w:rsidRPr="00F23CF0" w:rsidP="00F23CF0" w14:paraId="1394D3BB" w14:textId="59795E89">
      <w:pPr>
        <w:pStyle w:val="Title"/>
      </w:pPr>
      <w:r>
        <w:t>Supporting Statement – Part A</w:t>
      </w:r>
    </w:p>
    <w:p w:rsidR="00962E76" w:rsidRPr="00F23CF0" w:rsidP="00F23CF0" w14:paraId="4F8B56AB" w14:textId="77777777">
      <w:pPr>
        <w:pStyle w:val="Title"/>
      </w:pPr>
    </w:p>
    <w:p w:rsidR="006C541E" w:rsidP="00D45546" w14:paraId="06A3CA73" w14:textId="77777777">
      <w:pPr>
        <w:pStyle w:val="Title"/>
      </w:pPr>
      <w:r>
        <w:t xml:space="preserve">Drug Price Negotiation </w:t>
      </w:r>
      <w:r w:rsidRPr="00630D30" w:rsidR="00630D30">
        <w:t>for Initial Price Applicability Year 202</w:t>
      </w:r>
      <w:r w:rsidR="00811E8F">
        <w:t>8</w:t>
      </w:r>
      <w:r w:rsidR="00630D30">
        <w:t xml:space="preserve"> </w:t>
      </w:r>
    </w:p>
    <w:p w:rsidR="006C541E" w:rsidP="00D45546" w14:paraId="3C9A35B7" w14:textId="77777777">
      <w:pPr>
        <w:pStyle w:val="Title"/>
      </w:pPr>
      <w:r w:rsidRPr="005B284D">
        <w:t>under Sections 11001 and 11002 of the I</w:t>
      </w:r>
      <w:r w:rsidRPr="005B284D" w:rsidR="00B62226">
        <w:t>nflation Reduction Act</w:t>
      </w:r>
      <w:r>
        <w:t xml:space="preserve"> </w:t>
      </w:r>
      <w:r w:rsidR="002F44CD">
        <w:t xml:space="preserve">(IRA) </w:t>
      </w:r>
    </w:p>
    <w:p w:rsidR="00962E76" w:rsidP="006C541E" w14:paraId="2C05FE88" w14:textId="60B107A9">
      <w:pPr>
        <w:pStyle w:val="Title"/>
      </w:pPr>
      <w:r w:rsidRPr="005B284D">
        <w:t>Information Collection Request (ICR)</w:t>
      </w:r>
      <w:r w:rsidR="006C541E">
        <w:t xml:space="preserve"> </w:t>
      </w:r>
      <w:r w:rsidR="6B370752">
        <w:t>(CMS</w:t>
      </w:r>
      <w:r w:rsidR="00E17214">
        <w:t>-1084</w:t>
      </w:r>
      <w:r w:rsidR="00763040">
        <w:t>9</w:t>
      </w:r>
      <w:r w:rsidR="6B370752">
        <w:t xml:space="preserve">, OMB </w:t>
      </w:r>
      <w:r w:rsidR="00E17214">
        <w:t>0938-</w:t>
      </w:r>
      <w:r w:rsidR="00E746D8">
        <w:t>1452</w:t>
      </w:r>
      <w:r w:rsidR="6B370752">
        <w:t>)</w:t>
      </w:r>
    </w:p>
    <w:p w:rsidR="008A298C" w:rsidRPr="00811E8F" w:rsidP="7C2D0501" w14:paraId="21BACA79" w14:textId="7D13B191">
      <w:pPr>
        <w:rPr>
          <w:b/>
          <w:i/>
          <w:iCs/>
        </w:rPr>
      </w:pPr>
      <w:bookmarkStart w:id="0" w:name="_Hlk194053383"/>
      <w:r w:rsidRPr="4D085A28">
        <w:rPr>
          <w:i/>
          <w:iCs/>
        </w:rPr>
        <w:t>This information collection request (ICR) was formerly titled “</w:t>
      </w:r>
      <w:r w:rsidR="00811E8F">
        <w:rPr>
          <w:i/>
          <w:iCs/>
        </w:rPr>
        <w:t xml:space="preserve">Negotiation Data Elements and </w:t>
      </w:r>
      <w:r w:rsidRPr="4D085A28">
        <w:rPr>
          <w:i/>
          <w:iCs/>
        </w:rPr>
        <w:t xml:space="preserve">Drug Price Negotiation Process </w:t>
      </w:r>
      <w:r w:rsidR="00811E8F">
        <w:rPr>
          <w:i/>
          <w:iCs/>
        </w:rPr>
        <w:t xml:space="preserve">for Initial Price Applicability Year 2027 </w:t>
      </w:r>
      <w:r w:rsidRPr="4D085A28">
        <w:rPr>
          <w:i/>
          <w:iCs/>
        </w:rPr>
        <w:t>under Sections 11001 and 11002 of the Inflation Reduction Act (IRA)</w:t>
      </w:r>
      <w:r w:rsidR="00811E8F">
        <w:rPr>
          <w:i/>
          <w:iCs/>
        </w:rPr>
        <w:t xml:space="preserve"> </w:t>
      </w:r>
      <w:r w:rsidRPr="00811E8F" w:rsidR="00811E8F">
        <w:rPr>
          <w:bCs/>
          <w:i/>
          <w:iCs/>
        </w:rPr>
        <w:t>(CMS-10849, OMB 0938-1452)</w:t>
      </w:r>
      <w:r w:rsidRPr="00811E8F">
        <w:rPr>
          <w:bCs/>
          <w:i/>
          <w:iCs/>
        </w:rPr>
        <w:t>”</w:t>
      </w:r>
      <w:r w:rsidRPr="4D085A28">
        <w:rPr>
          <w:i/>
          <w:iCs/>
        </w:rPr>
        <w:t xml:space="preserve"> and has been changed to “</w:t>
      </w:r>
      <w:bookmarkStart w:id="1" w:name="_Hlk175921483"/>
      <w:r w:rsidR="00811E8F">
        <w:rPr>
          <w:i/>
          <w:iCs/>
        </w:rPr>
        <w:t xml:space="preserve">Drug Price </w:t>
      </w:r>
      <w:r w:rsidRPr="4D085A28">
        <w:rPr>
          <w:i/>
          <w:iCs/>
        </w:rPr>
        <w:t>Negotiation for Initial Price Applicability Year 202</w:t>
      </w:r>
      <w:r w:rsidR="00811E8F">
        <w:rPr>
          <w:i/>
          <w:iCs/>
        </w:rPr>
        <w:t>8</w:t>
      </w:r>
      <w:r w:rsidRPr="4D085A28">
        <w:rPr>
          <w:i/>
          <w:iCs/>
        </w:rPr>
        <w:t xml:space="preserve"> under Sections 11001 and 11002 of the Inflation Reduction Act (IRA) Information Collection Request</w:t>
      </w:r>
      <w:r w:rsidRPr="4D085A28" w:rsidR="002F44CD">
        <w:rPr>
          <w:i/>
          <w:iCs/>
        </w:rPr>
        <w:t xml:space="preserve"> (ICR)</w:t>
      </w:r>
      <w:r w:rsidRPr="4D085A28">
        <w:rPr>
          <w:i/>
          <w:iCs/>
        </w:rPr>
        <w:t xml:space="preserve"> </w:t>
      </w:r>
      <w:bookmarkEnd w:id="1"/>
      <w:r w:rsidRPr="4D085A28">
        <w:rPr>
          <w:i/>
          <w:iCs/>
        </w:rPr>
        <w:t>(CMS-10849</w:t>
      </w:r>
      <w:r w:rsidR="00811E8F">
        <w:rPr>
          <w:i/>
          <w:iCs/>
        </w:rPr>
        <w:t xml:space="preserve">, </w:t>
      </w:r>
      <w:r w:rsidRPr="00811E8F" w:rsidR="00811E8F">
        <w:rPr>
          <w:bCs/>
          <w:i/>
          <w:iCs/>
        </w:rPr>
        <w:t>OMB 0938-1452</w:t>
      </w:r>
      <w:r w:rsidRPr="4D085A28">
        <w:rPr>
          <w:i/>
          <w:iCs/>
        </w:rPr>
        <w:t>).</w:t>
      </w:r>
      <w:r w:rsidRPr="4D085A28" w:rsidR="00766DC0">
        <w:rPr>
          <w:i/>
          <w:iCs/>
        </w:rPr>
        <w:t>”</w:t>
      </w:r>
      <w:r w:rsidRPr="4D085A28">
        <w:rPr>
          <w:i/>
          <w:iCs/>
        </w:rPr>
        <w:t xml:space="preserve"> </w:t>
      </w:r>
      <w:bookmarkEnd w:id="0"/>
    </w:p>
    <w:p w:rsidR="00D82058" w:rsidP="00D82058" w14:paraId="71C20AFD" w14:textId="3D8B9FB4">
      <w:pPr>
        <w:pStyle w:val="Heading1"/>
        <w:numPr>
          <w:ilvl w:val="0"/>
          <w:numId w:val="0"/>
        </w:numPr>
        <w:ind w:left="720" w:hanging="720"/>
      </w:pPr>
      <w:r w:rsidRPr="000A5850">
        <w:t>Introduction</w:t>
      </w:r>
    </w:p>
    <w:p w:rsidR="002E06EE" w:rsidP="00BE5428" w14:paraId="4EE87CF3" w14:textId="5A8ACCC9">
      <w:r w:rsidRPr="00F22C76">
        <w:t>Under the authority in sections 11001 and 11002 of the Inflation Reduction Act of 2022 (P.L. 117-169), the Centers for Medicare &amp; Medicaid Services (CMS) is implementing the Medicare Drug Price Negotiation Program (</w:t>
      </w:r>
      <w:r w:rsidRPr="4D085A28">
        <w:t>“</w:t>
      </w:r>
      <w:r w:rsidRPr="00F22C76">
        <w:t xml:space="preserve">the Negotiation Program”), codified in sections 1191 through 1198 of the Social Security Act (“the Act”). The Act establishes the Negotiation Program to negotiate </w:t>
      </w:r>
      <w:r>
        <w:t xml:space="preserve">a </w:t>
      </w:r>
      <w:r w:rsidRPr="00F22C76">
        <w:t xml:space="preserve">maximum fair price (“MFP”), defined at </w:t>
      </w:r>
      <w:r>
        <w:t xml:space="preserve">section </w:t>
      </w:r>
      <w:r w:rsidRPr="00F22C76">
        <w:t>1191(c)(3) of the Act, for certain high expenditure, single source drugs covered under Medicare Part B and Part D</w:t>
      </w:r>
      <w:r w:rsidRPr="4D085A28">
        <w:t xml:space="preserve"> </w:t>
      </w:r>
      <w:r w:rsidRPr="00F22C76">
        <w:t>(“selected drug</w:t>
      </w:r>
      <w:r w:rsidR="252CE62F">
        <w:t>s</w:t>
      </w:r>
      <w:r w:rsidRPr="4D085A28">
        <w:t>”).</w:t>
      </w:r>
      <w:r>
        <w:rPr>
          <w:rStyle w:val="FootnoteReference"/>
          <w:color w:val="000000" w:themeColor="text1"/>
        </w:rPr>
        <w:footnoteReference w:id="3"/>
      </w:r>
      <w:r w:rsidRPr="00F22C76">
        <w:t xml:space="preserve"> For </w:t>
      </w:r>
      <w:r>
        <w:t>initial price applicability year 202</w:t>
      </w:r>
      <w:r w:rsidR="00FD2A33">
        <w:t>8</w:t>
      </w:r>
      <w:r w:rsidRPr="4D085A28">
        <w:t xml:space="preserve">, </w:t>
      </w:r>
      <w:r>
        <w:t>CMS</w:t>
      </w:r>
      <w:r w:rsidRPr="00F22C76">
        <w:t xml:space="preserve"> will select</w:t>
      </w:r>
      <w:r w:rsidRPr="4D085A28">
        <w:t xml:space="preserve"> </w:t>
      </w:r>
      <w:r w:rsidR="00284338">
        <w:t xml:space="preserve">for negotiation </w:t>
      </w:r>
      <w:r>
        <w:t>up to 15</w:t>
      </w:r>
      <w:r w:rsidRPr="4D085A28">
        <w:t xml:space="preserve"> </w:t>
      </w:r>
      <w:r w:rsidR="00284338">
        <w:t>high expenditure</w:t>
      </w:r>
      <w:r w:rsidRPr="00F22C76">
        <w:t xml:space="preserve">, single source drugs </w:t>
      </w:r>
      <w:r w:rsidR="00FD2A33">
        <w:t>pa</w:t>
      </w:r>
      <w:r w:rsidR="0015403D">
        <w:t>yable</w:t>
      </w:r>
      <w:r w:rsidR="00FD2A33">
        <w:t xml:space="preserve"> under Part </w:t>
      </w:r>
      <w:r w:rsidR="0015403D">
        <w:t>B</w:t>
      </w:r>
      <w:r w:rsidR="00FD2A33">
        <w:t xml:space="preserve"> and</w:t>
      </w:r>
      <w:r w:rsidR="00116402">
        <w:t>/or</w:t>
      </w:r>
      <w:r w:rsidR="00FD2A33">
        <w:t xml:space="preserve"> </w:t>
      </w:r>
      <w:r w:rsidR="008F7BA2">
        <w:t xml:space="preserve">covered under Part D. </w:t>
      </w:r>
      <w:r w:rsidR="007D1E59">
        <w:t xml:space="preserve">Any </w:t>
      </w:r>
      <w:r w:rsidRPr="00F22C76">
        <w:t>MFPs that are negotiated for these drugs will apply beginning in initial price applicability year 202</w:t>
      </w:r>
      <w:r w:rsidR="00FD2A33">
        <w:t>8</w:t>
      </w:r>
      <w:r w:rsidRPr="00F22C76">
        <w:t>. The negotiation period for initial price applicability year 202</w:t>
      </w:r>
      <w:r w:rsidR="00FD2A33">
        <w:t>8</w:t>
      </w:r>
      <w:r w:rsidRPr="00F22C76">
        <w:t xml:space="preserve"> begins </w:t>
      </w:r>
      <w:r>
        <w:t>February 28, 202</w:t>
      </w:r>
      <w:r w:rsidR="00FD2A33">
        <w:t>6</w:t>
      </w:r>
      <w:r w:rsidRPr="00F22C76">
        <w:t xml:space="preserve">, or when the manufacturer of a selected drug enters </w:t>
      </w:r>
      <w:r>
        <w:t xml:space="preserve">into </w:t>
      </w:r>
      <w:r w:rsidRPr="00F22C76">
        <w:t>a</w:t>
      </w:r>
      <w:r>
        <w:t xml:space="preserve"> Medicare Drug Price Negotiation Program</w:t>
      </w:r>
      <w:r w:rsidRPr="00F22C76">
        <w:t xml:space="preserve"> Agreement </w:t>
      </w:r>
      <w:r>
        <w:t xml:space="preserve">(an “Agreement”) </w:t>
      </w:r>
      <w:r w:rsidRPr="00F22C76">
        <w:t xml:space="preserve">with </w:t>
      </w:r>
      <w:r>
        <w:t>CMS</w:t>
      </w:r>
      <w:r w:rsidRPr="00F22C76">
        <w:t xml:space="preserve">, whichever is sooner. </w:t>
      </w:r>
      <w:r w:rsidR="003A7049">
        <w:t xml:space="preserve">For initial price applicability year 2028, </w:t>
      </w:r>
      <w:r w:rsidRPr="00774A28" w:rsidR="007634BC">
        <w:t xml:space="preserve">CMS </w:t>
      </w:r>
      <w:r w:rsidR="007634BC">
        <w:t>will</w:t>
      </w:r>
      <w:r w:rsidRPr="00774A28" w:rsidR="007634BC">
        <w:t xml:space="preserve"> </w:t>
      </w:r>
      <w:r w:rsidR="007634BC">
        <w:t xml:space="preserve">also </w:t>
      </w:r>
      <w:r w:rsidRPr="00774A28" w:rsidR="007634BC">
        <w:t>renegotiate MFPs for drugs selected for renegotiation</w:t>
      </w:r>
      <w:r w:rsidR="00BF5EFC">
        <w:t xml:space="preserve"> (if any)</w:t>
      </w:r>
      <w:r w:rsidRPr="00774A28" w:rsidR="007634BC">
        <w:t>, in accordance with section 1194(f)(4)</w:t>
      </w:r>
      <w:r w:rsidR="007634BC">
        <w:t xml:space="preserve"> of the Act. For renegotiated drugs, Primary Manufacturers</w:t>
      </w:r>
      <w:r w:rsidRPr="00D82711" w:rsidR="007634BC">
        <w:t xml:space="preserve"> are obligated to make the </w:t>
      </w:r>
      <w:r w:rsidR="007634BC">
        <w:t xml:space="preserve">renegotiated </w:t>
      </w:r>
      <w:r w:rsidRPr="00D82711" w:rsidR="007634BC">
        <w:t>MFP</w:t>
      </w:r>
      <w:r w:rsidR="007634BC">
        <w:t xml:space="preserve"> </w:t>
      </w:r>
      <w:r w:rsidRPr="00D82711" w:rsidR="007634BC">
        <w:t xml:space="preserve">available </w:t>
      </w:r>
      <w:r w:rsidR="003B7057">
        <w:t>when the drug is dispensed, furnished, or administered to MFP-eligible individuals</w:t>
      </w:r>
      <w:r w:rsidRPr="00D82711" w:rsidR="003B7057">
        <w:t xml:space="preserve"> </w:t>
      </w:r>
      <w:r w:rsidRPr="00D82711" w:rsidR="007634BC">
        <w:t>on or after January 1, 2028.</w:t>
      </w:r>
    </w:p>
    <w:p w:rsidR="002E06EE" w:rsidP="00E172C6" w14:paraId="20D94B4B" w14:textId="4CFD32A6">
      <w:pPr>
        <w:spacing w:line="257" w:lineRule="auto"/>
      </w:pPr>
      <w:r>
        <w:rPr>
          <w:color w:val="000000" w:themeColor="text1"/>
        </w:rPr>
        <w:t>For the purposes of this ICR, a s</w:t>
      </w:r>
      <w:r w:rsidRPr="00F22C76">
        <w:rPr>
          <w:color w:val="000000" w:themeColor="text1"/>
        </w:rPr>
        <w:t xml:space="preserve">elected drug </w:t>
      </w:r>
      <w:r>
        <w:rPr>
          <w:color w:val="000000" w:themeColor="text1"/>
        </w:rPr>
        <w:t>for initial price applicability year 202</w:t>
      </w:r>
      <w:r w:rsidR="003A7049">
        <w:rPr>
          <w:color w:val="000000" w:themeColor="text1"/>
        </w:rPr>
        <w:t>8</w:t>
      </w:r>
      <w:r>
        <w:rPr>
          <w:color w:val="000000" w:themeColor="text1"/>
        </w:rPr>
        <w:t xml:space="preserve"> </w:t>
      </w:r>
      <w:r w:rsidRPr="00F22C76">
        <w:rPr>
          <w:color w:val="000000" w:themeColor="text1"/>
        </w:rPr>
        <w:t xml:space="preserve">is defined as a drug </w:t>
      </w:r>
      <w:r>
        <w:rPr>
          <w:color w:val="000000" w:themeColor="text1"/>
        </w:rPr>
        <w:t>included on</w:t>
      </w:r>
      <w:r w:rsidRPr="00F22C76">
        <w:rPr>
          <w:color w:val="000000" w:themeColor="text1"/>
        </w:rPr>
        <w:t xml:space="preserve"> the selected drug list published </w:t>
      </w:r>
      <w:r>
        <w:rPr>
          <w:color w:val="000000" w:themeColor="text1"/>
        </w:rPr>
        <w:t>by CMS not later than</w:t>
      </w:r>
      <w:r w:rsidRPr="00F22C76">
        <w:rPr>
          <w:color w:val="000000" w:themeColor="text1"/>
        </w:rPr>
        <w:t xml:space="preserve"> </w:t>
      </w:r>
      <w:r>
        <w:rPr>
          <w:color w:val="000000" w:themeColor="text1"/>
        </w:rPr>
        <w:t>February 1, 202</w:t>
      </w:r>
      <w:r w:rsidR="003A7049">
        <w:rPr>
          <w:color w:val="000000" w:themeColor="text1"/>
        </w:rPr>
        <w:t>6</w:t>
      </w:r>
      <w:r w:rsidRPr="00F22C76">
        <w:rPr>
          <w:color w:val="000000" w:themeColor="text1"/>
        </w:rPr>
        <w:t>.</w:t>
      </w:r>
      <w:r w:rsidR="007634BC">
        <w:rPr>
          <w:color w:val="000000" w:themeColor="text1"/>
        </w:rPr>
        <w:t xml:space="preserve"> CMS will also publish the selected drugs selected for renegotiation for initial price applicability year 2028 following the same timeframe as the newly selected drugs. </w:t>
      </w:r>
      <w:r w:rsidR="007634BC">
        <w:t>A</w:t>
      </w:r>
      <w:r w:rsidRPr="0080594C" w:rsidR="007634BC">
        <w:t xml:space="preserve"> Primary Manufacturer that has an Agreement in effect</w:t>
      </w:r>
      <w:r w:rsidR="007634BC">
        <w:t xml:space="preserve">, as discussed in section 40 of the </w:t>
      </w:r>
      <w:r w:rsidR="00240FA8">
        <w:t>final</w:t>
      </w:r>
      <w:r w:rsidR="007634BC">
        <w:t xml:space="preserve"> guidance,</w:t>
      </w:r>
      <w:r w:rsidRPr="0080594C" w:rsidR="007634BC">
        <w:t xml:space="preserve"> will be required to adhere to the process and deadlines described in </w:t>
      </w:r>
      <w:r w:rsidR="00116402">
        <w:t xml:space="preserve">the </w:t>
      </w:r>
      <w:r w:rsidR="00240FA8">
        <w:t>final</w:t>
      </w:r>
      <w:r w:rsidR="00116402">
        <w:t xml:space="preserve"> guidance, including section 130</w:t>
      </w:r>
      <w:r w:rsidRPr="0080594C" w:rsidR="007634BC">
        <w:t>.</w:t>
      </w:r>
      <w:r w:rsidRPr="00F22C76">
        <w:rPr>
          <w:color w:val="000000" w:themeColor="text1"/>
        </w:rPr>
        <w:t xml:space="preserve"> </w:t>
      </w:r>
      <w:r w:rsidRPr="007602C8">
        <w:rPr>
          <w:color w:val="000000" w:themeColor="text1"/>
        </w:rPr>
        <w:t xml:space="preserve">In section 1191(c)(1) of the Act, the statute adopts the definition of </w:t>
      </w:r>
      <w:r w:rsidR="00E22E1C">
        <w:rPr>
          <w:color w:val="000000" w:themeColor="text1"/>
        </w:rPr>
        <w:t xml:space="preserve">a </w:t>
      </w:r>
      <w:r w:rsidRPr="007602C8">
        <w:rPr>
          <w:color w:val="000000" w:themeColor="text1"/>
        </w:rPr>
        <w:t xml:space="preserve">manufacturer established in </w:t>
      </w:r>
      <w:r w:rsidRPr="007602C8">
        <w:rPr>
          <w:color w:val="000000" w:themeColor="text1"/>
        </w:rPr>
        <w:t xml:space="preserve">section 1847A(c)(6)(A) of the Act. Section 1193(a)(1) of the Act establishes that CMS will negotiate an MFP with “the manufacturer” of the selected drug. </w:t>
      </w:r>
      <w:r>
        <w:rPr>
          <w:color w:val="000000" w:themeColor="text1"/>
        </w:rPr>
        <w:t xml:space="preserve">In accordance with section 40 of the </w:t>
      </w:r>
      <w:r w:rsidR="00240FA8">
        <w:rPr>
          <w:color w:val="000000" w:themeColor="text1"/>
        </w:rPr>
        <w:t>final</w:t>
      </w:r>
      <w:r w:rsidR="00BB7049">
        <w:rPr>
          <w:color w:val="000000" w:themeColor="text1"/>
        </w:rPr>
        <w:t xml:space="preserve"> </w:t>
      </w:r>
      <w:r>
        <w:rPr>
          <w:color w:val="000000" w:themeColor="text1"/>
        </w:rPr>
        <w:t>guidance, t</w:t>
      </w:r>
      <w:r w:rsidRPr="007602C8">
        <w:rPr>
          <w:color w:val="000000" w:themeColor="text1"/>
        </w:rPr>
        <w:t xml:space="preserve">o the extent that more than one entity meets the statutory definition of manufacturer for a selected drug for purposes of initial price applicability year </w:t>
      </w:r>
      <w:r w:rsidRPr="007602C8" w:rsidR="00243C20">
        <w:rPr>
          <w:color w:val="000000" w:themeColor="text1"/>
        </w:rPr>
        <w:t>202</w:t>
      </w:r>
      <w:r w:rsidR="00243C20">
        <w:rPr>
          <w:color w:val="000000" w:themeColor="text1"/>
        </w:rPr>
        <w:t>8</w:t>
      </w:r>
      <w:r w:rsidRPr="007602C8">
        <w:rPr>
          <w:color w:val="000000" w:themeColor="text1"/>
        </w:rPr>
        <w:t xml:space="preserve">, CMS </w:t>
      </w:r>
      <w:r>
        <w:rPr>
          <w:color w:val="000000" w:themeColor="text1"/>
        </w:rPr>
        <w:t>will</w:t>
      </w:r>
      <w:r w:rsidRPr="007602C8">
        <w:rPr>
          <w:color w:val="000000" w:themeColor="text1"/>
        </w:rPr>
        <w:t xml:space="preserve"> designate the entity that holds the </w:t>
      </w:r>
      <w:r>
        <w:t>New Drug Application(s) (</w:t>
      </w:r>
      <w:r w:rsidRPr="007602C8">
        <w:rPr>
          <w:color w:val="000000" w:themeColor="text1"/>
        </w:rPr>
        <w:t>NDA(s)</w:t>
      </w:r>
      <w:r>
        <w:rPr>
          <w:color w:val="000000" w:themeColor="text1"/>
        </w:rPr>
        <w:t xml:space="preserve">) / </w:t>
      </w:r>
      <w:r>
        <w:t>Biologics License Application(s) (</w:t>
      </w:r>
      <w:r w:rsidRPr="007602C8">
        <w:rPr>
          <w:color w:val="000000" w:themeColor="text1"/>
        </w:rPr>
        <w:t>BLA(s)</w:t>
      </w:r>
      <w:r>
        <w:rPr>
          <w:color w:val="000000" w:themeColor="text1"/>
        </w:rPr>
        <w:t>)</w:t>
      </w:r>
      <w:r w:rsidRPr="007602C8">
        <w:rPr>
          <w:color w:val="000000" w:themeColor="text1"/>
        </w:rPr>
        <w:t xml:space="preserve"> for the selected drug to be “the manufacturer” of the selected drug (hereinafter </w:t>
      </w:r>
      <w:r>
        <w:rPr>
          <w:color w:val="000000" w:themeColor="text1"/>
        </w:rPr>
        <w:t xml:space="preserve">the </w:t>
      </w:r>
      <w:r w:rsidRPr="007602C8">
        <w:rPr>
          <w:color w:val="000000" w:themeColor="text1"/>
        </w:rPr>
        <w:t>“Primary Manufacturer”)</w:t>
      </w:r>
      <w:r>
        <w:rPr>
          <w:color w:val="000000" w:themeColor="text1"/>
        </w:rPr>
        <w:t>.</w:t>
      </w:r>
      <w:r w:rsidRPr="007602C8">
        <w:rPr>
          <w:color w:val="000000" w:themeColor="text1"/>
        </w:rPr>
        <w:t xml:space="preserve"> </w:t>
      </w:r>
      <w:r w:rsidRPr="00F61CD5">
        <w:rPr>
          <w:color w:val="000000" w:themeColor="text1"/>
        </w:rPr>
        <w:t xml:space="preserve">Likewise, </w:t>
      </w:r>
      <w:r>
        <w:rPr>
          <w:color w:val="000000" w:themeColor="text1"/>
        </w:rPr>
        <w:t xml:space="preserve">in accordance with section 40 of the </w:t>
      </w:r>
      <w:r w:rsidR="00240FA8">
        <w:rPr>
          <w:color w:val="000000" w:themeColor="text1"/>
        </w:rPr>
        <w:t>final</w:t>
      </w:r>
      <w:r w:rsidR="00243C20">
        <w:rPr>
          <w:color w:val="000000" w:themeColor="text1"/>
        </w:rPr>
        <w:t xml:space="preserve"> </w:t>
      </w:r>
      <w:r>
        <w:rPr>
          <w:color w:val="000000" w:themeColor="text1"/>
        </w:rPr>
        <w:t xml:space="preserve">guidance, </w:t>
      </w:r>
      <w:r w:rsidRPr="00F61CD5">
        <w:rPr>
          <w:color w:val="000000" w:themeColor="text1"/>
        </w:rPr>
        <w:t xml:space="preserve">for initial price applicability year </w:t>
      </w:r>
      <w:r w:rsidRPr="00F61CD5" w:rsidR="00464FDA">
        <w:rPr>
          <w:color w:val="000000" w:themeColor="text1"/>
        </w:rPr>
        <w:t>202</w:t>
      </w:r>
      <w:r w:rsidR="00464FDA">
        <w:rPr>
          <w:color w:val="000000" w:themeColor="text1"/>
        </w:rPr>
        <w:t>8</w:t>
      </w:r>
      <w:r w:rsidRPr="00F61CD5">
        <w:rPr>
          <w:color w:val="000000" w:themeColor="text1"/>
        </w:rPr>
        <w:t xml:space="preserve">, CMS </w:t>
      </w:r>
      <w:r>
        <w:rPr>
          <w:color w:val="000000" w:themeColor="text1"/>
        </w:rPr>
        <w:t>will</w:t>
      </w:r>
      <w:r w:rsidRPr="00F61CD5">
        <w:rPr>
          <w:color w:val="000000" w:themeColor="text1"/>
        </w:rPr>
        <w:t xml:space="preserve"> refer to any other entity that meets the statutory definition of manufacturer for a drug product included </w:t>
      </w:r>
      <w:r>
        <w:rPr>
          <w:color w:val="000000" w:themeColor="text1"/>
        </w:rPr>
        <w:t>i</w:t>
      </w:r>
      <w:r w:rsidRPr="00F61CD5">
        <w:rPr>
          <w:color w:val="000000" w:themeColor="text1"/>
        </w:rPr>
        <w:t>n the selected drug</w:t>
      </w:r>
      <w:r>
        <w:rPr>
          <w:color w:val="000000" w:themeColor="text1"/>
        </w:rPr>
        <w:t xml:space="preserve"> </w:t>
      </w:r>
      <w:r w:rsidRPr="00F61CD5">
        <w:rPr>
          <w:color w:val="000000" w:themeColor="text1"/>
        </w:rPr>
        <w:t>and that either</w:t>
      </w:r>
      <w:r>
        <w:rPr>
          <w:color w:val="000000" w:themeColor="text1"/>
        </w:rPr>
        <w:t>:</w:t>
      </w:r>
      <w:r w:rsidRPr="00F61CD5">
        <w:rPr>
          <w:color w:val="000000" w:themeColor="text1"/>
        </w:rPr>
        <w:t xml:space="preserve"> (1) is listed as a manufacturer in an NDA or BLA for the selected drug or (2) markets the selected drug pursuant to an agreement with the Primary Manufacturer as a “Secondary Manufacturer.” </w:t>
      </w:r>
    </w:p>
    <w:p w:rsidR="00D82058" w:rsidP="006C541E" w14:paraId="68CAFA8B" w14:textId="7B885D1B">
      <w:r>
        <w:t xml:space="preserve">This </w:t>
      </w:r>
      <w:r>
        <w:t xml:space="preserve">ICR addresses two components of the </w:t>
      </w:r>
      <w:r w:rsidR="007D1E59">
        <w:t>N</w:t>
      </w:r>
      <w:r>
        <w:t xml:space="preserve">egotiation </w:t>
      </w:r>
      <w:r w:rsidR="007D1E59">
        <w:t>P</w:t>
      </w:r>
      <w:r>
        <w:t xml:space="preserve">rogram. First, </w:t>
      </w:r>
      <w:r w:rsidRPr="00F22C76">
        <w:t>CMS consider</w:t>
      </w:r>
      <w:r w:rsidR="00BC453B">
        <w:t>s</w:t>
      </w:r>
      <w:r w:rsidRPr="00F22C76">
        <w:t xml:space="preserve"> two sets of factors as the basis for determining </w:t>
      </w:r>
      <w:r>
        <w:t xml:space="preserve">offer(s) </w:t>
      </w:r>
      <w:r w:rsidR="002C5D9D">
        <w:t xml:space="preserve">and counteroffer(s) </w:t>
      </w:r>
      <w:r w:rsidRPr="00F22C76">
        <w:t>throughout the negotiation</w:t>
      </w:r>
      <w:r w:rsidR="00116402">
        <w:t xml:space="preserve"> and renegotiation </w:t>
      </w:r>
      <w:r w:rsidRPr="00F22C76">
        <w:t>process</w:t>
      </w:r>
      <w:r w:rsidR="00BC453B">
        <w:t xml:space="preserve"> </w:t>
      </w:r>
      <w:r w:rsidR="002557B2">
        <w:t>in accordance with</w:t>
      </w:r>
      <w:r w:rsidR="00BC453B">
        <w:t xml:space="preserve"> sections 1194(e) and 1194(f)</w:t>
      </w:r>
      <w:r w:rsidR="00E53410">
        <w:t>(4)</w:t>
      </w:r>
      <w:r w:rsidR="00BC453B">
        <w:t>(</w:t>
      </w:r>
      <w:r w:rsidR="00B91CBF">
        <w:t>B) of the Act</w:t>
      </w:r>
      <w:r w:rsidR="00127EE4">
        <w:t xml:space="preserve"> and sections </w:t>
      </w:r>
      <w:r w:rsidR="004E1365">
        <w:t>60</w:t>
      </w:r>
      <w:r w:rsidR="00127EE4">
        <w:t xml:space="preserve"> and 130.4 of the </w:t>
      </w:r>
      <w:r w:rsidR="00240FA8">
        <w:t>final</w:t>
      </w:r>
      <w:r w:rsidR="00127EE4">
        <w:t xml:space="preserve"> guidance</w:t>
      </w:r>
      <w:r w:rsidRPr="00F22C76">
        <w:t xml:space="preserve">: (1) certain data that must be submitted by the manufacturer of each drug selected </w:t>
      </w:r>
      <w:r w:rsidR="00975E02">
        <w:t xml:space="preserve">as described </w:t>
      </w:r>
      <w:r w:rsidRPr="00F22C76">
        <w:t>in section 1194(e)(1)</w:t>
      </w:r>
      <w:r w:rsidRPr="7C2D0501">
        <w:t xml:space="preserve">; </w:t>
      </w:r>
      <w:r w:rsidRPr="00F22C76">
        <w:t>and (2) evidence, as available, with respect to each selected drug and therapeutic alternative</w:t>
      </w:r>
      <w:r w:rsidRPr="7C2D0501">
        <w:t>(</w:t>
      </w:r>
      <w:r w:rsidRPr="00F22C76">
        <w:t>s</w:t>
      </w:r>
      <w:r w:rsidRPr="7C2D0501">
        <w:t>)</w:t>
      </w:r>
      <w:r w:rsidRPr="00F22C76">
        <w:t xml:space="preserve"> for each selected drug</w:t>
      </w:r>
      <w:r>
        <w:t xml:space="preserve"> </w:t>
      </w:r>
      <w:r w:rsidR="00A52CBE">
        <w:t xml:space="preserve">as described </w:t>
      </w:r>
      <w:r>
        <w:t xml:space="preserve">in section 1194(e)(2) collectively, (the “Negotiation Data Elements” (NDE)). </w:t>
      </w:r>
      <w:r w:rsidR="009612B1">
        <w:t>Second</w:t>
      </w:r>
      <w:r>
        <w:t xml:space="preserve">, in accordance with </w:t>
      </w:r>
      <w:r w:rsidRPr="00D82058">
        <w:t xml:space="preserve">section 1194(b)(2)(C) of the Act, </w:t>
      </w:r>
      <w:r w:rsidR="009612B1">
        <w:t>a</w:t>
      </w:r>
      <w:r w:rsidRPr="7C2D0501">
        <w:t xml:space="preserve"> </w:t>
      </w:r>
      <w:r w:rsidR="00857B5E">
        <w:t>m</w:t>
      </w:r>
      <w:r>
        <w:t xml:space="preserve">anufacturer </w:t>
      </w:r>
      <w:r w:rsidR="009612B1">
        <w:t>m</w:t>
      </w:r>
      <w:r>
        <w:t xml:space="preserve">ay submit </w:t>
      </w:r>
      <w:r w:rsidRPr="00D82058">
        <w:t>an optional written counteroffer</w:t>
      </w:r>
      <w:r w:rsidR="00A05184">
        <w:t xml:space="preserve"> (</w:t>
      </w:r>
      <w:r w:rsidRPr="00D65012" w:rsidR="00A05184">
        <w:t>referred to herein as the “statutory written counteroffer”</w:t>
      </w:r>
      <w:r w:rsidR="00A05184">
        <w:t>)</w:t>
      </w:r>
      <w:r w:rsidRPr="00D82058">
        <w:t xml:space="preserve">, including an Addendum populated with the counteroffer </w:t>
      </w:r>
      <w:r w:rsidRPr="00D82058" w:rsidR="00B4018C">
        <w:t>pr</w:t>
      </w:r>
      <w:r w:rsidR="00B4018C">
        <w:t>oposal for the MFP</w:t>
      </w:r>
      <w:r w:rsidRPr="7C2D0501" w:rsidR="00B4018C">
        <w:t xml:space="preserve"> </w:t>
      </w:r>
      <w:r w:rsidRPr="00D82058">
        <w:t>as described in section 60.4.</w:t>
      </w:r>
      <w:r w:rsidR="004A59E1">
        <w:t xml:space="preserve">3 </w:t>
      </w:r>
      <w:r w:rsidRPr="00D82058">
        <w:t xml:space="preserve">of the </w:t>
      </w:r>
      <w:r w:rsidR="00240FA8">
        <w:t>final</w:t>
      </w:r>
      <w:r w:rsidRPr="7C2D0501" w:rsidR="004B5542">
        <w:t xml:space="preserve"> </w:t>
      </w:r>
      <w:r w:rsidRPr="00D82058">
        <w:t>guidance, if CMS’ written initial offer is not accepted by the Primary Manufacturer</w:t>
      </w:r>
      <w:r w:rsidR="009612B1">
        <w:t>.</w:t>
      </w:r>
      <w:r w:rsidRPr="7C2D0501" w:rsidR="00702B3F">
        <w:t xml:space="preserve"> </w:t>
      </w:r>
      <w:r w:rsidR="004B5542">
        <w:t xml:space="preserve">In accordance with section </w:t>
      </w:r>
      <w:r w:rsidRPr="00CC577D" w:rsidR="004B5542">
        <w:t>1194(f)(4)(B)</w:t>
      </w:r>
      <w:r w:rsidR="004B5542">
        <w:t xml:space="preserve"> of the Act</w:t>
      </w:r>
      <w:r w:rsidR="00E409AD">
        <w:t xml:space="preserve"> and</w:t>
      </w:r>
      <w:r w:rsidR="00DE3B8E">
        <w:t xml:space="preserve"> </w:t>
      </w:r>
      <w:r w:rsidR="00E409AD">
        <w:t>to conf</w:t>
      </w:r>
      <w:r w:rsidR="00375896">
        <w:t>o</w:t>
      </w:r>
      <w:r w:rsidR="00E409AD">
        <w:t xml:space="preserve">rm </w:t>
      </w:r>
      <w:r w:rsidRPr="00CC577D" w:rsidR="00E409AD">
        <w:t>to the procedures, structure</w:t>
      </w:r>
      <w:r w:rsidR="00E409AD">
        <w:t>,</w:t>
      </w:r>
      <w:r w:rsidRPr="00CC577D" w:rsidR="00E409AD">
        <w:t xml:space="preserve"> and timing</w:t>
      </w:r>
      <w:r w:rsidR="00E409AD">
        <w:t xml:space="preserve"> of the</w:t>
      </w:r>
      <w:r w:rsidR="00DE3B8E">
        <w:t xml:space="preserve"> negotiation process</w:t>
      </w:r>
      <w:r w:rsidR="00E409AD">
        <w:t xml:space="preserve"> </w:t>
      </w:r>
      <w:r w:rsidR="00DE3B8E">
        <w:t>a</w:t>
      </w:r>
      <w:r w:rsidRPr="00D82058" w:rsidR="00DE3B8E">
        <w:t>s described in section</w:t>
      </w:r>
      <w:r w:rsidR="00DE3B8E">
        <w:t xml:space="preserve"> 130.4.</w:t>
      </w:r>
      <w:r w:rsidR="007E3820">
        <w:t>3</w:t>
      </w:r>
      <w:r w:rsidRPr="00D82058" w:rsidR="00DE3B8E">
        <w:t xml:space="preserve"> of the </w:t>
      </w:r>
      <w:r w:rsidR="00240FA8">
        <w:t>final</w:t>
      </w:r>
      <w:r w:rsidRPr="7C2D0501" w:rsidR="00DE3B8E">
        <w:t xml:space="preserve"> </w:t>
      </w:r>
      <w:r w:rsidRPr="00D82058" w:rsidR="00DE3B8E">
        <w:t>guidance</w:t>
      </w:r>
      <w:r w:rsidR="00DE3B8E">
        <w:t>,</w:t>
      </w:r>
      <w:r w:rsidR="007E7BAE">
        <w:t xml:space="preserve"> a</w:t>
      </w:r>
      <w:r w:rsidRPr="7C2D0501" w:rsidR="007E7BAE">
        <w:t xml:space="preserve"> </w:t>
      </w:r>
      <w:r w:rsidR="007E7BAE">
        <w:t>manufacturer may submit an optional written counteroffer</w:t>
      </w:r>
      <w:r w:rsidR="00E409AD">
        <w:t xml:space="preserve"> </w:t>
      </w:r>
      <w:r w:rsidR="00A05184">
        <w:t>(</w:t>
      </w:r>
      <w:r w:rsidRPr="00D65012" w:rsidR="00A05184">
        <w:t>referred to herein as the “</w:t>
      </w:r>
      <w:r w:rsidR="00A05184">
        <w:t>renegotiation</w:t>
      </w:r>
      <w:r w:rsidRPr="00D65012" w:rsidR="00A05184">
        <w:t xml:space="preserve"> written counteroffer”</w:t>
      </w:r>
      <w:r w:rsidR="00A05184">
        <w:t xml:space="preserve">) </w:t>
      </w:r>
      <w:r w:rsidRPr="00D82058" w:rsidR="00DE3B8E">
        <w:t>if CMS’ written initial offer is not accepted by the Primary Manufacturer</w:t>
      </w:r>
      <w:r w:rsidR="00314B4C">
        <w:t xml:space="preserve"> during the renegotiation process</w:t>
      </w:r>
      <w:r w:rsidR="00E409AD">
        <w:t>.</w:t>
      </w:r>
      <w:r>
        <w:rPr>
          <w:rStyle w:val="FootnoteReference"/>
        </w:rPr>
        <w:footnoteReference w:id="4"/>
      </w:r>
    </w:p>
    <w:p w:rsidR="00702B3F" w:rsidP="000A5850" w14:paraId="75071575" w14:textId="6BA32FE0">
      <w:pPr>
        <w:spacing w:after="0" w:line="259" w:lineRule="auto"/>
      </w:pPr>
      <w:r>
        <w:t xml:space="preserve">If information within a section of this Supporting Statement applies to only either the </w:t>
      </w:r>
      <w:r w:rsidR="000D44AD">
        <w:t>N</w:t>
      </w:r>
      <w:r w:rsidR="00CF7D0F">
        <w:t>egotiation Data Elements</w:t>
      </w:r>
      <w:r>
        <w:t xml:space="preserve"> or the </w:t>
      </w:r>
      <w:r w:rsidR="00735E52">
        <w:t>C</w:t>
      </w:r>
      <w:r w:rsidR="000D44AD">
        <w:t>ounteroffer</w:t>
      </w:r>
      <w:r>
        <w:t xml:space="preserve">, a subtitle heading corresponding to the name of the applicable collection form will be listed before the applicable information. </w:t>
      </w:r>
    </w:p>
    <w:p w:rsidR="00702B3F" w:rsidP="000A5850" w14:paraId="76B271B1" w14:textId="77777777">
      <w:pPr>
        <w:spacing w:after="0" w:line="259" w:lineRule="auto"/>
      </w:pPr>
    </w:p>
    <w:p w:rsidR="00971038" w:rsidRPr="00D82058" w:rsidP="00B755D5" w14:paraId="4E39DC56" w14:textId="43A712F2">
      <w:r w:rsidRPr="008E714F">
        <w:rPr>
          <w:color w:val="000000" w:themeColor="text1"/>
        </w:rPr>
        <w:t>CMS solicit</w:t>
      </w:r>
      <w:r w:rsidR="003B33E1">
        <w:rPr>
          <w:color w:val="000000" w:themeColor="text1"/>
        </w:rPr>
        <w:t>ed</w:t>
      </w:r>
      <w:r w:rsidRPr="008E714F">
        <w:rPr>
          <w:color w:val="000000" w:themeColor="text1"/>
        </w:rPr>
        <w:t xml:space="preserve"> public comments on the policies and defined terms related to this ICR </w:t>
      </w:r>
      <w:r w:rsidR="00687935">
        <w:rPr>
          <w:color w:val="000000" w:themeColor="text1"/>
        </w:rPr>
        <w:t xml:space="preserve">separately </w:t>
      </w:r>
      <w:r w:rsidRPr="008E714F">
        <w:rPr>
          <w:color w:val="000000" w:themeColor="text1"/>
        </w:rPr>
        <w:t xml:space="preserve">through a </w:t>
      </w:r>
      <w:r w:rsidRPr="008E714F" w:rsidR="005E007F">
        <w:rPr>
          <w:color w:val="000000" w:themeColor="text1"/>
        </w:rPr>
        <w:t>45</w:t>
      </w:r>
      <w:r w:rsidRPr="008E714F">
        <w:rPr>
          <w:color w:val="000000" w:themeColor="text1"/>
        </w:rPr>
        <w:t xml:space="preserve">-day comment period on </w:t>
      </w:r>
      <w:r w:rsidR="00240FA8">
        <w:rPr>
          <w:color w:val="000000" w:themeColor="text1"/>
        </w:rPr>
        <w:t>a</w:t>
      </w:r>
      <w:r w:rsidRPr="008E714F">
        <w:rPr>
          <w:color w:val="000000" w:themeColor="text1"/>
        </w:rPr>
        <w:t xml:space="preserve"> draft </w:t>
      </w:r>
      <w:r w:rsidR="00240FA8">
        <w:rPr>
          <w:color w:val="000000" w:themeColor="text1"/>
        </w:rPr>
        <w:t xml:space="preserve">version of the final </w:t>
      </w:r>
      <w:r w:rsidRPr="008E714F">
        <w:rPr>
          <w:color w:val="000000" w:themeColor="text1"/>
        </w:rPr>
        <w:t xml:space="preserve">guidance. </w:t>
      </w:r>
      <w:r>
        <w:t>CMS incorporate</w:t>
      </w:r>
      <w:r w:rsidR="00240FA8">
        <w:t>d</w:t>
      </w:r>
      <w:r>
        <w:t xml:space="preserve"> revisions </w:t>
      </w:r>
      <w:r w:rsidR="00240FA8">
        <w:t>included with the</w:t>
      </w:r>
      <w:r>
        <w:t xml:space="preserve"> final guidance that are </w:t>
      </w:r>
      <w:r w:rsidR="0094455A">
        <w:t xml:space="preserve">also </w:t>
      </w:r>
      <w:r>
        <w:t>applicable to this ICR via th</w:t>
      </w:r>
      <w:r w:rsidR="00B755D5">
        <w:t>e</w:t>
      </w:r>
      <w:r>
        <w:t xml:space="preserve"> 30-day public notice of this ICR.</w:t>
      </w:r>
      <w:r>
        <w:br/>
      </w:r>
    </w:p>
    <w:p w:rsidR="00235017" w:rsidP="00235017" w14:paraId="1C076D6F" w14:textId="4A6A7973">
      <w:pPr>
        <w:pStyle w:val="Heading1"/>
        <w:tabs>
          <w:tab w:val="num" w:pos="360"/>
          <w:tab w:val="clear" w:pos="720"/>
        </w:tabs>
      </w:pPr>
      <w:r>
        <w:t xml:space="preserve">Background </w:t>
      </w:r>
    </w:p>
    <w:p w:rsidR="00C270E5" w:rsidP="000A5850" w14:paraId="0689F8DF" w14:textId="3710A93C">
      <w:pPr>
        <w:pStyle w:val="Header3"/>
      </w:pPr>
      <w:r>
        <w:t>Negotiation Data Elements</w:t>
      </w:r>
      <w:r w:rsidR="00C30911">
        <w:t xml:space="preserve"> ICR Form</w:t>
      </w:r>
    </w:p>
    <w:p w:rsidR="005B284D" w:rsidP="005B284D" w14:paraId="3665D29F" w14:textId="7B8EB024">
      <w:pPr>
        <w:rPr>
          <w:color w:val="000000" w:themeColor="text1"/>
        </w:rPr>
      </w:pPr>
      <w:r w:rsidRPr="00F22C76">
        <w:rPr>
          <w:color w:val="000000" w:themeColor="text1"/>
        </w:rPr>
        <w:t>In accordance with section 1193(a)(4) and section 1194(b)(2)</w:t>
      </w:r>
      <w:r w:rsidR="00D61B75">
        <w:rPr>
          <w:color w:val="000000" w:themeColor="text1"/>
        </w:rPr>
        <w:t>(A)</w:t>
      </w:r>
      <w:r w:rsidRPr="00F22C76">
        <w:rPr>
          <w:color w:val="000000" w:themeColor="text1"/>
        </w:rPr>
        <w:t xml:space="preserve"> of the Act, the manufacturer must submit, in a form and manner specified by </w:t>
      </w:r>
      <w:r w:rsidR="00143F9A">
        <w:rPr>
          <w:color w:val="000000" w:themeColor="text1"/>
        </w:rPr>
        <w:t>CMS</w:t>
      </w:r>
      <w:r w:rsidRPr="00F22C76">
        <w:rPr>
          <w:color w:val="000000" w:themeColor="text1"/>
        </w:rPr>
        <w:t>, information on the non-Federal average manufacturer price (“non-FAMP</w:t>
      </w:r>
      <w:r w:rsidR="00807DA2">
        <w:rPr>
          <w:color w:val="000000" w:themeColor="text1"/>
        </w:rPr>
        <w:t>”</w:t>
      </w:r>
      <w:r w:rsidRPr="00F22C76">
        <w:rPr>
          <w:color w:val="000000" w:themeColor="text1"/>
        </w:rPr>
        <w:t>)</w:t>
      </w:r>
      <w:r w:rsidRPr="00BC1EE4" w:rsidR="0099166A">
        <w:t xml:space="preserve"> </w:t>
      </w:r>
      <w:r w:rsidRPr="00F22C76">
        <w:rPr>
          <w:color w:val="000000" w:themeColor="text1"/>
        </w:rPr>
        <w:t xml:space="preserve">as defined in </w:t>
      </w:r>
      <w:r w:rsidR="007A24AD">
        <w:rPr>
          <w:color w:val="000000" w:themeColor="text1"/>
        </w:rPr>
        <w:t>38 U.S.C. §</w:t>
      </w:r>
      <w:r w:rsidRPr="00F22C76" w:rsidR="007A24AD">
        <w:rPr>
          <w:color w:val="000000" w:themeColor="text1"/>
        </w:rPr>
        <w:t xml:space="preserve"> </w:t>
      </w:r>
      <w:r w:rsidRPr="00F22C76">
        <w:rPr>
          <w:color w:val="000000" w:themeColor="text1"/>
        </w:rPr>
        <w:t>8126(h)(5)</w:t>
      </w:r>
      <w:r w:rsidR="007A24AD">
        <w:rPr>
          <w:color w:val="000000" w:themeColor="text1"/>
        </w:rPr>
        <w:t xml:space="preserve"> </w:t>
      </w:r>
      <w:r w:rsidRPr="00F22C76" w:rsidR="002662A4">
        <w:rPr>
          <w:color w:val="000000" w:themeColor="text1"/>
        </w:rPr>
        <w:t xml:space="preserve">for the selected drug </w:t>
      </w:r>
      <w:r w:rsidRPr="00F22C76">
        <w:rPr>
          <w:color w:val="000000" w:themeColor="text1"/>
        </w:rPr>
        <w:t xml:space="preserve">and information that </w:t>
      </w:r>
      <w:r w:rsidR="00120C22">
        <w:rPr>
          <w:color w:val="000000" w:themeColor="text1"/>
        </w:rPr>
        <w:t>CMS</w:t>
      </w:r>
      <w:r w:rsidRPr="00F22C76">
        <w:rPr>
          <w:color w:val="000000" w:themeColor="text1"/>
        </w:rPr>
        <w:t xml:space="preserve"> requires to carry out the negotiation process, including the factors outlined in section 1194(e)</w:t>
      </w:r>
      <w:r>
        <w:rPr>
          <w:color w:val="000000" w:themeColor="text1"/>
        </w:rPr>
        <w:t>(1)</w:t>
      </w:r>
      <w:r w:rsidRPr="00F22C76">
        <w:rPr>
          <w:color w:val="000000" w:themeColor="text1"/>
        </w:rPr>
        <w:t xml:space="preserve"> of the Act, which</w:t>
      </w:r>
      <w:r>
        <w:rPr>
          <w:color w:val="000000" w:themeColor="text1"/>
        </w:rPr>
        <w:t>,</w:t>
      </w:r>
      <w:r w:rsidRPr="00F22C76">
        <w:rPr>
          <w:color w:val="000000" w:themeColor="text1"/>
        </w:rPr>
        <w:t xml:space="preserve"> </w:t>
      </w:r>
      <w:r>
        <w:rPr>
          <w:color w:val="000000" w:themeColor="text1"/>
        </w:rPr>
        <w:t xml:space="preserve">in conjunction with the available evidence on the factors outlined in section 1194(e)(2), </w:t>
      </w:r>
      <w:r w:rsidRPr="00F22C76">
        <w:rPr>
          <w:color w:val="000000" w:themeColor="text1"/>
        </w:rPr>
        <w:t xml:space="preserve">will serve as the basis for </w:t>
      </w:r>
      <w:r w:rsidR="00F91335">
        <w:t>determining the initial offer, any offer(s) associated with negotiation meeting(s), and the final offer, if applicable</w:t>
      </w:r>
      <w:r w:rsidRPr="00F22C76">
        <w:rPr>
          <w:color w:val="000000" w:themeColor="text1"/>
        </w:rPr>
        <w:t xml:space="preserve">. In addition, </w:t>
      </w:r>
      <w:r>
        <w:rPr>
          <w:color w:val="000000" w:themeColor="text1"/>
        </w:rPr>
        <w:t xml:space="preserve">manufacturers and </w:t>
      </w:r>
      <w:r w:rsidRPr="00F22C76">
        <w:rPr>
          <w:color w:val="000000" w:themeColor="text1"/>
        </w:rPr>
        <w:t>the public may submit information on the factors outlined in section 1194(e)(2) of the Act, which describe</w:t>
      </w:r>
      <w:r w:rsidR="00C70427">
        <w:rPr>
          <w:color w:val="000000" w:themeColor="text1"/>
        </w:rPr>
        <w:t>s</w:t>
      </w:r>
      <w:r w:rsidRPr="00F22C76">
        <w:rPr>
          <w:color w:val="000000" w:themeColor="text1"/>
        </w:rPr>
        <w:t xml:space="preserve"> evidence about the selected drug and its therapeutic alternative</w:t>
      </w:r>
      <w:r w:rsidR="00807DA2">
        <w:rPr>
          <w:color w:val="000000" w:themeColor="text1"/>
        </w:rPr>
        <w:t>(</w:t>
      </w:r>
      <w:r w:rsidRPr="00F22C76">
        <w:rPr>
          <w:color w:val="000000" w:themeColor="text1"/>
        </w:rPr>
        <w:t>s</w:t>
      </w:r>
      <w:r w:rsidR="00807DA2">
        <w:rPr>
          <w:color w:val="000000" w:themeColor="text1"/>
        </w:rPr>
        <w:t>)</w:t>
      </w:r>
      <w:r w:rsidRPr="00F22C76">
        <w:rPr>
          <w:color w:val="000000" w:themeColor="text1"/>
        </w:rPr>
        <w:t xml:space="preserve">. </w:t>
      </w:r>
      <w:r w:rsidR="00DE6DFC">
        <w:rPr>
          <w:color w:val="000000" w:themeColor="text1"/>
        </w:rPr>
        <w:t xml:space="preserve">In accordance with </w:t>
      </w:r>
      <w:r w:rsidR="002D1AD0">
        <w:rPr>
          <w:color w:val="000000" w:themeColor="text1"/>
        </w:rPr>
        <w:t xml:space="preserve">section 1194(f)(4)(B) of the Act and </w:t>
      </w:r>
      <w:r w:rsidR="00DE6DFC">
        <w:rPr>
          <w:color w:val="000000" w:themeColor="text1"/>
        </w:rPr>
        <w:t xml:space="preserve">section 130.3 of the </w:t>
      </w:r>
      <w:r w:rsidR="00240FA8">
        <w:rPr>
          <w:color w:val="000000" w:themeColor="text1"/>
        </w:rPr>
        <w:t>final</w:t>
      </w:r>
      <w:r w:rsidR="00DE6DFC">
        <w:rPr>
          <w:color w:val="000000" w:themeColor="text1"/>
        </w:rPr>
        <w:t xml:space="preserve"> guidance, CMS </w:t>
      </w:r>
      <w:r w:rsidR="00116402">
        <w:rPr>
          <w:color w:val="000000" w:themeColor="text1"/>
        </w:rPr>
        <w:t>will apply</w:t>
      </w:r>
      <w:r w:rsidR="00DE6DFC">
        <w:rPr>
          <w:color w:val="000000" w:themeColor="text1"/>
        </w:rPr>
        <w:t xml:space="preserve"> </w:t>
      </w:r>
      <w:r w:rsidR="009B35EC">
        <w:rPr>
          <w:color w:val="000000" w:themeColor="text1"/>
        </w:rPr>
        <w:t>a similar</w:t>
      </w:r>
      <w:r w:rsidR="00DE6DFC">
        <w:rPr>
          <w:color w:val="000000" w:themeColor="text1"/>
        </w:rPr>
        <w:t xml:space="preserve"> approach regarding data </w:t>
      </w:r>
      <w:r w:rsidR="00F15BBB">
        <w:rPr>
          <w:color w:val="000000" w:themeColor="text1"/>
        </w:rPr>
        <w:t xml:space="preserve">collection </w:t>
      </w:r>
      <w:r w:rsidR="00CE4FEF">
        <w:rPr>
          <w:color w:val="000000" w:themeColor="text1"/>
        </w:rPr>
        <w:t xml:space="preserve">once a drug is selected for </w:t>
      </w:r>
      <w:r w:rsidR="00DE6DFC">
        <w:rPr>
          <w:color w:val="000000" w:themeColor="text1"/>
        </w:rPr>
        <w:t>renegotiation of the MFP</w:t>
      </w:r>
      <w:r w:rsidR="003F2D49">
        <w:rPr>
          <w:color w:val="000000" w:themeColor="text1"/>
        </w:rPr>
        <w:t>, if any drugs are selected for renegotiation</w:t>
      </w:r>
      <w:r w:rsidR="00DE6DFC">
        <w:rPr>
          <w:color w:val="000000" w:themeColor="text1"/>
        </w:rPr>
        <w:t>.</w:t>
      </w:r>
    </w:p>
    <w:p w:rsidR="005B284D" w:rsidP="00FF6CAB" w14:paraId="763B18FC" w14:textId="2C085A4D">
      <w:pPr>
        <w:spacing w:line="257" w:lineRule="auto"/>
        <w:rPr>
          <w:color w:val="000000" w:themeColor="text1"/>
        </w:rPr>
      </w:pPr>
      <w:r>
        <w:rPr>
          <w:color w:val="000000" w:themeColor="text1"/>
        </w:rPr>
        <w:t>In accordance with section</w:t>
      </w:r>
      <w:r w:rsidR="00DE6DFC">
        <w:rPr>
          <w:color w:val="000000" w:themeColor="text1"/>
        </w:rPr>
        <w:t>s</w:t>
      </w:r>
      <w:r>
        <w:rPr>
          <w:color w:val="000000" w:themeColor="text1"/>
        </w:rPr>
        <w:t xml:space="preserve"> 50 </w:t>
      </w:r>
      <w:r w:rsidR="00DE6DFC">
        <w:rPr>
          <w:color w:val="000000" w:themeColor="text1"/>
        </w:rPr>
        <w:t xml:space="preserve">and 130.3.2 </w:t>
      </w:r>
      <w:r>
        <w:rPr>
          <w:color w:val="000000" w:themeColor="text1"/>
        </w:rPr>
        <w:t xml:space="preserve">of the </w:t>
      </w:r>
      <w:r w:rsidR="00240FA8">
        <w:rPr>
          <w:color w:val="000000" w:themeColor="text1"/>
        </w:rPr>
        <w:t>final</w:t>
      </w:r>
      <w:r w:rsidR="00F12789">
        <w:rPr>
          <w:color w:val="000000" w:themeColor="text1"/>
        </w:rPr>
        <w:t xml:space="preserve"> </w:t>
      </w:r>
      <w:r>
        <w:rPr>
          <w:color w:val="000000" w:themeColor="text1"/>
        </w:rPr>
        <w:t xml:space="preserve">guidance, </w:t>
      </w:r>
      <w:r w:rsidRPr="00F22C76" w:rsidR="003C5EFA">
        <w:rPr>
          <w:color w:val="000000" w:themeColor="text1"/>
        </w:rPr>
        <w:t>CMS will collect certain data from the Primary Manufacturer</w:t>
      </w:r>
      <w:r w:rsidR="003C5EFA">
        <w:rPr>
          <w:color w:val="000000" w:themeColor="text1"/>
        </w:rPr>
        <w:t>, including information on non-FAMP and the data identified in section 1194(e)(1) of the Act,</w:t>
      </w:r>
      <w:r w:rsidRPr="00F22C76" w:rsidR="003C5EFA">
        <w:rPr>
          <w:color w:val="000000" w:themeColor="text1"/>
        </w:rPr>
        <w:t xml:space="preserve"> and </w:t>
      </w:r>
      <w:r w:rsidR="003C5EFA">
        <w:rPr>
          <w:color w:val="000000" w:themeColor="text1"/>
        </w:rPr>
        <w:t xml:space="preserve">will collect </w:t>
      </w:r>
      <w:r w:rsidRPr="00F22C76" w:rsidR="003C5EFA">
        <w:rPr>
          <w:color w:val="000000" w:themeColor="text1"/>
        </w:rPr>
        <w:t xml:space="preserve">information on evidence about a selected drug and its therapeutic alternatives </w:t>
      </w:r>
      <w:r w:rsidR="003C5EFA">
        <w:rPr>
          <w:color w:val="000000" w:themeColor="text1"/>
        </w:rPr>
        <w:t xml:space="preserve">per section 1194(e)(2) of the Act </w:t>
      </w:r>
      <w:r w:rsidRPr="00F22C76" w:rsidR="003C5EFA">
        <w:rPr>
          <w:color w:val="000000" w:themeColor="text1"/>
        </w:rPr>
        <w:t xml:space="preserve">from any interested party. This ICR Form serves as one of multiple ways that CMS </w:t>
      </w:r>
      <w:r w:rsidR="00E7693F">
        <w:rPr>
          <w:color w:val="000000" w:themeColor="text1"/>
        </w:rPr>
        <w:t>will</w:t>
      </w:r>
      <w:r w:rsidRPr="00F22C76" w:rsidR="003C5EFA">
        <w:rPr>
          <w:color w:val="000000" w:themeColor="text1"/>
        </w:rPr>
        <w:t xml:space="preserve"> collect data</w:t>
      </w:r>
      <w:r w:rsidR="003C5EFA">
        <w:rPr>
          <w:color w:val="000000" w:themeColor="text1"/>
        </w:rPr>
        <w:t xml:space="preserve"> </w:t>
      </w:r>
      <w:r w:rsidR="00BA2A46">
        <w:rPr>
          <w:color w:val="000000" w:themeColor="text1"/>
        </w:rPr>
        <w:t>described in</w:t>
      </w:r>
      <w:r w:rsidR="003C5EFA">
        <w:rPr>
          <w:color w:val="000000" w:themeColor="text1"/>
        </w:rPr>
        <w:t xml:space="preserve"> section 1194(e)(2)</w:t>
      </w:r>
      <w:r w:rsidR="00197663">
        <w:rPr>
          <w:color w:val="000000" w:themeColor="text1"/>
        </w:rPr>
        <w:t xml:space="preserve"> of the Act</w:t>
      </w:r>
      <w:r w:rsidR="003C5EFA">
        <w:rPr>
          <w:color w:val="000000" w:themeColor="text1"/>
        </w:rPr>
        <w:t>.</w:t>
      </w:r>
      <w:bookmarkStart w:id="2" w:name="_Hlk127870211"/>
      <w:r w:rsidRPr="00F22C76" w:rsidR="003C5EFA">
        <w:rPr>
          <w:color w:val="000000" w:themeColor="text1"/>
        </w:rPr>
        <w:t xml:space="preserve"> </w:t>
      </w:r>
      <w:bookmarkEnd w:id="2"/>
    </w:p>
    <w:p w:rsidR="00C270E5" w:rsidP="000A5850" w14:paraId="1ADF4A62" w14:textId="084F9796">
      <w:pPr>
        <w:pStyle w:val="Header3"/>
      </w:pPr>
      <w:r>
        <w:t>Counteroffer ICR Form</w:t>
      </w:r>
    </w:p>
    <w:p w:rsidR="001F139E" w:rsidP="000A5850" w14:paraId="60371F02" w14:textId="7EABD9FF">
      <w:pPr>
        <w:spacing w:line="257" w:lineRule="auto"/>
        <w:ind w:right="2"/>
      </w:pPr>
      <w:r>
        <w:t xml:space="preserve">CMS intends to implement the offer and counteroffer process with the goal of negotiating to achieve agreement on “the lowest [MFP] for each selected drug” consistent with section 1194(b)(1) of the Act. </w:t>
      </w:r>
      <w:r w:rsidR="00A51F67">
        <w:t xml:space="preserve"> </w:t>
      </w:r>
      <w:r w:rsidR="004778CF">
        <w:t xml:space="preserve">In accordance with </w:t>
      </w:r>
      <w:r w:rsidR="00A51F67">
        <w:t>sections</w:t>
      </w:r>
      <w:r w:rsidR="005D5AB6">
        <w:t xml:space="preserve"> </w:t>
      </w:r>
      <w:r>
        <w:t xml:space="preserve">1194(b)(2)(B) </w:t>
      </w:r>
      <w:r w:rsidR="00A51F67">
        <w:t xml:space="preserve">and </w:t>
      </w:r>
      <w:r w:rsidR="000A5806">
        <w:t>1194(f)(4)(B)</w:t>
      </w:r>
      <w:r w:rsidR="00D81312">
        <w:t xml:space="preserve"> </w:t>
      </w:r>
      <w:r>
        <w:t>of the Act</w:t>
      </w:r>
      <w:r w:rsidR="00512DE1">
        <w:t xml:space="preserve"> and sections </w:t>
      </w:r>
      <w:r w:rsidR="00FF74AC">
        <w:t>60.4</w:t>
      </w:r>
      <w:r w:rsidR="001A3050">
        <w:t>.2</w:t>
      </w:r>
      <w:r w:rsidR="00FF74AC">
        <w:t xml:space="preserve"> and 130.4.3 of the </w:t>
      </w:r>
      <w:r w:rsidR="00240FA8">
        <w:t>final</w:t>
      </w:r>
      <w:r w:rsidR="00FF74AC">
        <w:t xml:space="preserve"> guidance</w:t>
      </w:r>
      <w:r>
        <w:t>, CMS will make a written initial offer to the Primary Manufacturer with the proposal for the MFP for a selected drug</w:t>
      </w:r>
      <w:r w:rsidR="00DE6DFC">
        <w:t xml:space="preserve"> or the proposal of a renegotiated MFP for a selected drug</w:t>
      </w:r>
      <w:r>
        <w:t xml:space="preserve"> for initial price applicability year 202</w:t>
      </w:r>
      <w:r w:rsidR="00DE6DFC">
        <w:t>8</w:t>
      </w:r>
      <w:r>
        <w:t xml:space="preserve"> no later than June 1, 202</w:t>
      </w:r>
      <w:r w:rsidR="00DE6DFC">
        <w:t>6</w:t>
      </w:r>
      <w:r>
        <w:t>.</w:t>
      </w:r>
      <w:r w:rsidR="00892CE5">
        <w:t xml:space="preserve"> </w:t>
      </w:r>
      <w:r w:rsidRPr="00892CE5" w:rsidR="00892CE5">
        <w:t>In accordance with section</w:t>
      </w:r>
      <w:r w:rsidR="00E6282A">
        <w:t>s</w:t>
      </w:r>
      <w:r w:rsidRPr="00892CE5" w:rsidR="00892CE5">
        <w:t xml:space="preserve"> 1194(b)(2)(C) </w:t>
      </w:r>
      <w:r w:rsidR="00E6282A">
        <w:t xml:space="preserve">and 1194(f)(4)(B) </w:t>
      </w:r>
      <w:r w:rsidRPr="00892CE5" w:rsidR="00892CE5">
        <w:t>of the Act</w:t>
      </w:r>
      <w:r w:rsidR="00543BBD">
        <w:t xml:space="preserve"> and sections 60.4.2 and 130.4.3 of the </w:t>
      </w:r>
      <w:r w:rsidR="00240FA8">
        <w:t>final</w:t>
      </w:r>
      <w:r w:rsidR="00543BBD">
        <w:t xml:space="preserve"> guidance</w:t>
      </w:r>
      <w:r w:rsidRPr="00892CE5" w:rsidR="00892CE5">
        <w:t xml:space="preserve">, the Primary Manufacturer will respond to CMS’ written initial offer no later than 30 days after the date of receipt of the written initial offer from CMS. If the Primary Manufacturer does not accept CMS’ written initial offer, the Primary Manufacturer will submit </w:t>
      </w:r>
      <w:r w:rsidR="00E754B8">
        <w:t>the Statutory Written Counteroffer ICR Form or the Renegotiation Written Counteroffer ICR Form, as applicable</w:t>
      </w:r>
      <w:r w:rsidRPr="00892CE5" w:rsidR="00892CE5">
        <w:t>, including an Addendum populated with the proposal for the MFP.</w:t>
      </w:r>
      <w:r>
        <w:rPr>
          <w:rStyle w:val="FootnoteReference"/>
        </w:rPr>
        <w:footnoteReference w:id="5"/>
      </w:r>
      <w:r w:rsidR="002878C8">
        <w:t xml:space="preserve"> </w:t>
      </w:r>
      <w:r w:rsidRPr="00892CE5" w:rsidR="00892CE5">
        <w:t>In accordance with section</w:t>
      </w:r>
      <w:r w:rsidR="008A3698">
        <w:t>s</w:t>
      </w:r>
      <w:r w:rsidRPr="00892CE5" w:rsidR="00892CE5">
        <w:t xml:space="preserve"> 1194(b)(2)(D) </w:t>
      </w:r>
      <w:r w:rsidR="008A3698">
        <w:t xml:space="preserve">and </w:t>
      </w:r>
      <w:r w:rsidRPr="00CC577D" w:rsidR="008A3698">
        <w:t>1194(f)(4)(B)</w:t>
      </w:r>
      <w:r w:rsidR="008A3698">
        <w:t xml:space="preserve"> </w:t>
      </w:r>
      <w:r w:rsidRPr="00892CE5" w:rsidR="00892CE5">
        <w:t>of the Act</w:t>
      </w:r>
      <w:r w:rsidR="00543BBD">
        <w:t xml:space="preserve"> and sections 60.4.2 and 130.4.3 of the </w:t>
      </w:r>
      <w:r w:rsidR="00240FA8">
        <w:t>final</w:t>
      </w:r>
      <w:r w:rsidR="00543BBD">
        <w:t xml:space="preserve"> guidance</w:t>
      </w:r>
      <w:r w:rsidRPr="00892CE5" w:rsidR="00892CE5">
        <w:t>, CMS will provide a written response to the statutory written counteroffer</w:t>
      </w:r>
      <w:r w:rsidR="002878C8">
        <w:t xml:space="preserve"> and the renegotiation written counteroffer, respectively</w:t>
      </w:r>
      <w:r w:rsidRPr="00892CE5" w:rsidR="00892CE5">
        <w:t xml:space="preserve">. CMS will provide this response within 30 days of receipt or within 60 days of sharing the written initial offer, whichever is later. </w:t>
      </w:r>
      <w:r w:rsidR="009E35B9">
        <w:t xml:space="preserve">If CMS rejects </w:t>
      </w:r>
      <w:r w:rsidRPr="009E35B9" w:rsidR="009E35B9">
        <w:t>the Primary Manufacturer’s</w:t>
      </w:r>
      <w:r w:rsidR="009E35B9">
        <w:t xml:space="preserve"> Counteroffer, CMS and </w:t>
      </w:r>
      <w:r w:rsidR="00E00164">
        <w:t xml:space="preserve">Primary </w:t>
      </w:r>
      <w:r w:rsidR="009E35B9">
        <w:t xml:space="preserve">Manufacturers </w:t>
      </w:r>
      <w:r w:rsidRPr="009E35B9" w:rsidR="009E35B9">
        <w:t xml:space="preserve">can </w:t>
      </w:r>
      <w:r w:rsidR="009E35B9">
        <w:t xml:space="preserve">choose to </w:t>
      </w:r>
      <w:r w:rsidRPr="009E35B9" w:rsidR="009E35B9">
        <w:t>initiate additional, written offers and counteroffers</w:t>
      </w:r>
      <w:r w:rsidR="009E35B9">
        <w:t xml:space="preserve"> </w:t>
      </w:r>
      <w:r w:rsidRPr="009E35B9" w:rsidR="009E35B9">
        <w:t>via the additional price exchange module in the CMS HPMS.</w:t>
      </w:r>
      <w:r w:rsidR="009E35B9">
        <w:t xml:space="preserve"> </w:t>
      </w:r>
      <w:r w:rsidRPr="00892CE5" w:rsidR="00892CE5">
        <w:t>Section</w:t>
      </w:r>
      <w:r w:rsidR="0068459C">
        <w:t>s</w:t>
      </w:r>
      <w:r w:rsidRPr="00892CE5" w:rsidR="00892CE5">
        <w:t xml:space="preserve"> 60.4 </w:t>
      </w:r>
      <w:r w:rsidR="0068459C">
        <w:t xml:space="preserve">and 130.4 </w:t>
      </w:r>
      <w:r w:rsidRPr="00892CE5" w:rsidR="00892CE5">
        <w:t xml:space="preserve">of the </w:t>
      </w:r>
      <w:r w:rsidR="00055B24">
        <w:t>final</w:t>
      </w:r>
      <w:r w:rsidRPr="00892CE5" w:rsidR="00055B24">
        <w:t xml:space="preserve"> </w:t>
      </w:r>
      <w:r w:rsidRPr="00892CE5" w:rsidR="00892CE5">
        <w:t xml:space="preserve">guidance describe the remainder of the negotiation </w:t>
      </w:r>
      <w:r w:rsidR="00577461">
        <w:t xml:space="preserve">and renegotiation </w:t>
      </w:r>
      <w:r w:rsidRPr="00892CE5" w:rsidR="00892CE5">
        <w:t>process</w:t>
      </w:r>
      <w:r w:rsidR="00F951CA">
        <w:t>es</w:t>
      </w:r>
      <w:r w:rsidRPr="00892CE5" w:rsidR="00892CE5">
        <w:t xml:space="preserve"> in </w:t>
      </w:r>
      <w:r w:rsidR="00375F46">
        <w:t xml:space="preserve">greater </w:t>
      </w:r>
      <w:r w:rsidRPr="00892CE5" w:rsidR="00892CE5">
        <w:t>detail</w:t>
      </w:r>
      <w:r w:rsidR="00A73174">
        <w:t>, respectively</w:t>
      </w:r>
      <w:r w:rsidRPr="00892CE5" w:rsidR="00892CE5">
        <w:t>.</w:t>
      </w:r>
    </w:p>
    <w:p w:rsidR="00080AB3" w:rsidP="7C2D0501" w14:paraId="39EF23FC" w14:textId="6061BBC5">
      <w:pPr>
        <w:spacing w:after="0"/>
        <w:contextualSpacing/>
        <w:rPr>
          <w:rFonts w:eastAsia="Calibri"/>
        </w:rPr>
      </w:pPr>
      <w:r>
        <w:t>Every</w:t>
      </w:r>
      <w:r w:rsidR="00D546F0">
        <w:t xml:space="preserve"> written</w:t>
      </w:r>
      <w:r>
        <w:t xml:space="preserve"> offer and counteroffer</w:t>
      </w:r>
      <w:r w:rsidR="00E97300">
        <w:t>, including a Counteroffer,</w:t>
      </w:r>
      <w:r>
        <w:t xml:space="preserve"> will include an Addendum populated with the </w:t>
      </w:r>
      <w:r w:rsidR="00D546F0">
        <w:t>proposal for the MFP</w:t>
      </w:r>
      <w:r>
        <w:t xml:space="preserve">. </w:t>
      </w:r>
      <w:r w:rsidRPr="24AE88FA">
        <w:t xml:space="preserve">If </w:t>
      </w:r>
      <w:r>
        <w:t xml:space="preserve">an agreement </w:t>
      </w:r>
      <w:r w:rsidR="00D546F0">
        <w:t xml:space="preserve">on the MFP </w:t>
      </w:r>
      <w:r>
        <w:t>is reached</w:t>
      </w:r>
      <w:r w:rsidRPr="24AE88FA">
        <w:t xml:space="preserve"> at any point during the negotiation </w:t>
      </w:r>
      <w:r w:rsidR="007E3820">
        <w:t xml:space="preserve">or renegotiation </w:t>
      </w:r>
      <w:r w:rsidRPr="24AE88FA">
        <w:t>process</w:t>
      </w:r>
      <w:r>
        <w:t xml:space="preserve"> </w:t>
      </w:r>
      <w:bookmarkStart w:id="3" w:name="_Hlk167360608"/>
      <w:r w:rsidR="00B75A66">
        <w:t xml:space="preserve">pursuant to </w:t>
      </w:r>
      <w:r>
        <w:t>section</w:t>
      </w:r>
      <w:r w:rsidR="0068459C">
        <w:t>s</w:t>
      </w:r>
      <w:r>
        <w:t xml:space="preserve"> 60.4 </w:t>
      </w:r>
      <w:r w:rsidR="0068459C">
        <w:t xml:space="preserve">and 130.4 </w:t>
      </w:r>
      <w:r>
        <w:t xml:space="preserve">of the </w:t>
      </w:r>
      <w:r w:rsidR="00240FA8">
        <w:t>final</w:t>
      </w:r>
      <w:r w:rsidR="0068459C">
        <w:t xml:space="preserve"> </w:t>
      </w:r>
      <w:r>
        <w:t>guidance</w:t>
      </w:r>
      <w:bookmarkEnd w:id="3"/>
      <w:r>
        <w:t xml:space="preserve">, </w:t>
      </w:r>
      <w:r w:rsidR="007E3820">
        <w:t xml:space="preserve">respectively, </w:t>
      </w:r>
      <w:r>
        <w:t xml:space="preserve">the Addendum to the Agreement, as described in section 40.3 of the </w:t>
      </w:r>
      <w:r w:rsidR="00055B24">
        <w:t xml:space="preserve">final </w:t>
      </w:r>
      <w:r>
        <w:t>guidance, will be executed by both parties and will constitute agreement on the MFP</w:t>
      </w:r>
      <w:r w:rsidRPr="24AE88FA">
        <w:t>.</w:t>
      </w:r>
      <w:r>
        <w:rPr>
          <w:rStyle w:val="FootnoteReference"/>
        </w:rPr>
        <w:footnoteReference w:id="6"/>
      </w:r>
      <w:r w:rsidRPr="24AE88FA">
        <w:t xml:space="preserve"> Th</w:t>
      </w:r>
      <w:r>
        <w:t>e</w:t>
      </w:r>
      <w:r w:rsidRPr="24AE88FA">
        <w:t xml:space="preserve"> MFP</w:t>
      </w:r>
      <w:r>
        <w:t xml:space="preserve"> included in the executed Addendum</w:t>
      </w:r>
      <w:r w:rsidRPr="24AE88FA">
        <w:t xml:space="preserve"> will apply for the selected drug for initial price applicability </w:t>
      </w:r>
      <w:r w:rsidRPr="00AF28FC">
        <w:t>year 202</w:t>
      </w:r>
      <w:r w:rsidR="0068459C">
        <w:t>8</w:t>
      </w:r>
      <w:r w:rsidRPr="00AF28FC">
        <w:t xml:space="preserve"> and will be updated according to section 1195(b)(1)(A) of the Act for subsequent years in the price applicability period, as applicable. </w:t>
      </w:r>
      <w:r w:rsidRPr="00AF28FC" w:rsidR="00AB39A6">
        <w:rPr>
          <w:rFonts w:eastAsia="Calibri"/>
        </w:rPr>
        <w:t xml:space="preserve">Refer to section 60.6 of the </w:t>
      </w:r>
      <w:r w:rsidR="00055B24">
        <w:rPr>
          <w:rFonts w:eastAsia="Calibri"/>
        </w:rPr>
        <w:t>final</w:t>
      </w:r>
      <w:r w:rsidRPr="00AF28FC" w:rsidR="00055B24">
        <w:rPr>
          <w:rFonts w:eastAsia="Calibri"/>
        </w:rPr>
        <w:t xml:space="preserve"> </w:t>
      </w:r>
      <w:r w:rsidRPr="00AF28FC" w:rsidR="00AB39A6">
        <w:rPr>
          <w:rFonts w:eastAsia="Calibri"/>
        </w:rPr>
        <w:t>guidance for information on how the MFP will be updated for subsequent years in the price applicability period.</w:t>
      </w:r>
    </w:p>
    <w:p w:rsidR="00BE374E" w:rsidP="7C2D0501" w14:paraId="6CA85C7A" w14:textId="77777777">
      <w:pPr>
        <w:spacing w:after="0"/>
        <w:contextualSpacing/>
        <w:rPr>
          <w:rFonts w:eastAsia="Calibri"/>
        </w:rPr>
      </w:pPr>
    </w:p>
    <w:p w:rsidR="00BE374E" w:rsidRPr="00071CD2" w:rsidP="00240FA8" w14:paraId="57816A80" w14:textId="22879063">
      <w:pPr>
        <w:spacing w:after="0"/>
        <w:ind w:left="9"/>
      </w:pPr>
      <w:r>
        <w:t xml:space="preserve">CMS is requesting approval </w:t>
      </w:r>
      <w:r w:rsidR="006165D2">
        <w:t xml:space="preserve">of revisions </w:t>
      </w:r>
      <w:r>
        <w:t xml:space="preserve">to this ICR package based on lessons learned from implementation of the Negotiation Program </w:t>
      </w:r>
      <w:r w:rsidR="00E628AE">
        <w:t>for</w:t>
      </w:r>
      <w:r>
        <w:t xml:space="preserve"> initial price applicability year 2027 to improve clarity of instructions to ensure high quality and consistent data across submissions and to improve CMS’ ability to conduct compliance reviews of such submissions. </w:t>
      </w:r>
      <w:r w:rsidR="00240FA8">
        <w:t>Additionally, CMS incorporates polic</w:t>
      </w:r>
      <w:r w:rsidR="001C69A2">
        <w:t>y</w:t>
      </w:r>
      <w:r w:rsidR="00240FA8">
        <w:t xml:space="preserve"> revisions, as applicable, </w:t>
      </w:r>
      <w:r w:rsidR="001C69A2">
        <w:t>to reflect parallel changes made to</w:t>
      </w:r>
      <w:r w:rsidR="00240FA8">
        <w:t xml:space="preserve"> the final guidance. </w:t>
      </w:r>
      <w:r>
        <w:t xml:space="preserve">CMS believes that the changes will </w:t>
      </w:r>
      <w:r w:rsidR="00240FA8">
        <w:t xml:space="preserve">contribute to </w:t>
      </w:r>
      <w:r>
        <w:t xml:space="preserve">a more efficient preparation process for </w:t>
      </w:r>
      <w:r w:rsidR="00240FA8">
        <w:t>respondents</w:t>
      </w:r>
      <w:r>
        <w:t xml:space="preserve"> in preparing to answer the </w:t>
      </w:r>
      <w:r w:rsidR="00240FA8">
        <w:t>Drug Price Negotiation</w:t>
      </w:r>
      <w:r>
        <w:t xml:space="preserve"> ICR. </w:t>
      </w:r>
    </w:p>
    <w:p w:rsidR="001F139E" w:rsidP="00AF28FC" w14:paraId="17270F16" w14:textId="58D52702">
      <w:pPr>
        <w:spacing w:after="0" w:line="257" w:lineRule="auto"/>
        <w:ind w:right="2"/>
        <w:rPr>
          <w:color w:val="FF0000"/>
        </w:rPr>
      </w:pPr>
    </w:p>
    <w:p w:rsidR="00A94DF3" w:rsidRPr="00F23CF0" w:rsidP="00F23CF0" w14:paraId="35AE1A77" w14:textId="7EA9BA34">
      <w:pPr>
        <w:pStyle w:val="Heading1"/>
        <w:tabs>
          <w:tab w:val="num" w:pos="360"/>
          <w:tab w:val="clear" w:pos="720"/>
        </w:tabs>
      </w:pPr>
      <w:r>
        <w:t>Justification</w:t>
      </w:r>
    </w:p>
    <w:p w:rsidR="002E4B7A" w:rsidP="00D45546" w14:paraId="376D61E1" w14:textId="0A375299">
      <w:pPr>
        <w:pStyle w:val="Heading2"/>
      </w:pPr>
      <w:r>
        <w:t>1. Need and Legal Basis</w:t>
      </w:r>
    </w:p>
    <w:p w:rsidR="00C270E5" w:rsidP="001571CF" w14:paraId="56A668EF" w14:textId="687117B7">
      <w:pPr>
        <w:pStyle w:val="Header3"/>
      </w:pPr>
      <w:r>
        <w:t>Negotiation Data Elements</w:t>
      </w:r>
      <w:r w:rsidR="00C30911">
        <w:t xml:space="preserve"> ICR Form</w:t>
      </w:r>
    </w:p>
    <w:p w:rsidR="32928479" w:rsidRPr="00C270E5" w:rsidP="000A5850" w14:paraId="7ACDA06A" w14:textId="54DDA8ED">
      <w:pPr>
        <w:pStyle w:val="Heading4"/>
      </w:pPr>
      <w:r w:rsidRPr="00C270E5">
        <w:t>Manufacturer-Specific Data</w:t>
      </w:r>
    </w:p>
    <w:p w:rsidR="00270358" w:rsidP="00AB1326" w14:paraId="65BDC18B" w14:textId="606A1B2B">
      <w:r>
        <w:t>In accordance with sections 1194(e) and 1194(f)</w:t>
      </w:r>
      <w:r w:rsidR="00C44B18">
        <w:t>(4)</w:t>
      </w:r>
      <w:r>
        <w:t xml:space="preserve">(B) </w:t>
      </w:r>
      <w:r w:rsidR="00406380">
        <w:t>of the Act</w:t>
      </w:r>
      <w:r w:rsidR="008656B3">
        <w:t xml:space="preserve"> and sections 60 and 130 of the </w:t>
      </w:r>
      <w:r w:rsidR="00240FA8">
        <w:t>final</w:t>
      </w:r>
      <w:r w:rsidR="008656B3">
        <w:t xml:space="preserve"> guidance</w:t>
      </w:r>
      <w:r w:rsidR="00406380">
        <w:t xml:space="preserve">, CMS will </w:t>
      </w:r>
      <w:r>
        <w:t>consider certain factors, as applicable to the selected drug, as the basis for determining its offers</w:t>
      </w:r>
      <w:r w:rsidR="008656B3">
        <w:t>.</w:t>
      </w:r>
      <w:r>
        <w:t xml:space="preserve"> As described in section</w:t>
      </w:r>
      <w:r w:rsidR="00D71EC6">
        <w:t>s</w:t>
      </w:r>
      <w:r>
        <w:t xml:space="preserve"> 50</w:t>
      </w:r>
      <w:r w:rsidR="00B507A6">
        <w:t>.1</w:t>
      </w:r>
      <w:r>
        <w:t xml:space="preserve"> </w:t>
      </w:r>
      <w:r w:rsidR="00D71EC6">
        <w:t xml:space="preserve">and 130.3.2 </w:t>
      </w:r>
      <w:r>
        <w:t xml:space="preserve">of the </w:t>
      </w:r>
      <w:r w:rsidR="00240FA8">
        <w:t>final</w:t>
      </w:r>
      <w:r w:rsidR="00D71EC6">
        <w:t xml:space="preserve"> </w:t>
      </w:r>
      <w:r>
        <w:t xml:space="preserve">guidance, these factors include data submitted by the Primary Manufacturer, as specified in section 1194(e)(1) of the Act. </w:t>
      </w:r>
      <w:r w:rsidR="00B37A72">
        <w:t>A</w:t>
      </w:r>
      <w:r w:rsidRPr="0080594C" w:rsidR="00B37A72">
        <w:t xml:space="preserve"> Primary Manufacturer that has an Agreement in effect</w:t>
      </w:r>
      <w:r w:rsidR="00B37A72">
        <w:t xml:space="preserve">, as discussed in section 40 of the </w:t>
      </w:r>
      <w:r w:rsidR="00240FA8">
        <w:t>final</w:t>
      </w:r>
      <w:r w:rsidR="00B37A72">
        <w:t xml:space="preserve"> guidance,</w:t>
      </w:r>
      <w:r w:rsidRPr="0080594C" w:rsidR="00B37A72">
        <w:t xml:space="preserve"> will be required to adhere to the process and deadlines </w:t>
      </w:r>
      <w:r w:rsidR="00B37A72">
        <w:t xml:space="preserve">for </w:t>
      </w:r>
      <w:r w:rsidR="007F7C59">
        <w:t xml:space="preserve">negotiation and </w:t>
      </w:r>
      <w:r w:rsidR="00B37A72">
        <w:t xml:space="preserve">renegotiation, including related to data submission, </w:t>
      </w:r>
      <w:r w:rsidRPr="0080594C" w:rsidR="00B37A72">
        <w:t xml:space="preserve">described in </w:t>
      </w:r>
      <w:r w:rsidR="00B37A72">
        <w:t xml:space="preserve">the </w:t>
      </w:r>
      <w:r w:rsidR="00240FA8">
        <w:t>final</w:t>
      </w:r>
      <w:r w:rsidR="00B37A72">
        <w:t xml:space="preserve"> guidance, including section</w:t>
      </w:r>
      <w:r w:rsidR="007F7C59">
        <w:t>s 50 and</w:t>
      </w:r>
      <w:r w:rsidR="00B37A72">
        <w:t xml:space="preserve"> 130</w:t>
      </w:r>
      <w:r w:rsidRPr="0080594C" w:rsidR="00B37A72">
        <w:t>.</w:t>
      </w:r>
    </w:p>
    <w:p w:rsidR="00270358" w:rsidP="00AB1326" w14:paraId="4CDF15BE" w14:textId="4CB5EBCE">
      <w:r>
        <w:t>These data include the following and are required to be reported by the Primary Manufacturer to CMS by March 1, 202</w:t>
      </w:r>
      <w:r w:rsidR="00D71EC6">
        <w:t>6</w:t>
      </w:r>
      <w:r>
        <w:t xml:space="preserve">: </w:t>
      </w:r>
    </w:p>
    <w:p w:rsidR="00270358" w:rsidRPr="00270358" w:rsidP="00270358" w14:paraId="6F4D386B" w14:textId="73B71393">
      <w:pPr>
        <w:pStyle w:val="ListParagraph"/>
        <w:numPr>
          <w:ilvl w:val="0"/>
          <w:numId w:val="31"/>
        </w:numPr>
        <w:rPr>
          <w:rFonts w:ascii="Times New Roman" w:hAnsi="Times New Roman" w:cs="Times New Roman"/>
        </w:rPr>
      </w:pPr>
      <w:r w:rsidRPr="00270358">
        <w:rPr>
          <w:rFonts w:ascii="Times New Roman" w:hAnsi="Times New Roman" w:cs="Times New Roman"/>
        </w:rPr>
        <w:t xml:space="preserve">Research and development (R&amp;D) costs of the Primary Manufacturer for the selected drug and the extent to which the Primary Manufacturer has recouped those </w:t>
      </w:r>
      <w:r w:rsidRPr="00270358">
        <w:rPr>
          <w:rFonts w:ascii="Times New Roman" w:hAnsi="Times New Roman" w:cs="Times New Roman"/>
        </w:rPr>
        <w:t>costs;</w:t>
      </w:r>
      <w:r w:rsidRPr="00270358">
        <w:rPr>
          <w:rFonts w:ascii="Times New Roman" w:hAnsi="Times New Roman" w:cs="Times New Roman"/>
        </w:rPr>
        <w:t xml:space="preserve"> </w:t>
      </w:r>
    </w:p>
    <w:p w:rsidR="00270358" w:rsidRPr="00270358" w:rsidP="00270358" w14:paraId="3A49319A" w14:textId="5B8A163A">
      <w:pPr>
        <w:pStyle w:val="ListParagraph"/>
        <w:numPr>
          <w:ilvl w:val="0"/>
          <w:numId w:val="31"/>
        </w:numPr>
        <w:rPr>
          <w:rFonts w:ascii="Times New Roman" w:hAnsi="Times New Roman" w:cs="Times New Roman"/>
        </w:rPr>
      </w:pPr>
      <w:r w:rsidRPr="00270358">
        <w:rPr>
          <w:rFonts w:ascii="Times New Roman" w:hAnsi="Times New Roman" w:cs="Times New Roman"/>
        </w:rPr>
        <w:t>Current unit costs of production and distribution of the selected drug, averaged across the Primary Manufacturer and any Secondary Manufacturer(s</w:t>
      </w:r>
      <w:r w:rsidRPr="00270358">
        <w:rPr>
          <w:rFonts w:ascii="Times New Roman" w:hAnsi="Times New Roman" w:cs="Times New Roman"/>
        </w:rPr>
        <w:t>);</w:t>
      </w:r>
      <w:r w:rsidRPr="00270358">
        <w:rPr>
          <w:rFonts w:ascii="Times New Roman" w:hAnsi="Times New Roman" w:cs="Times New Roman"/>
        </w:rPr>
        <w:t xml:space="preserve"> </w:t>
      </w:r>
    </w:p>
    <w:p w:rsidR="00270358" w:rsidRPr="00270358" w:rsidP="00270358" w14:paraId="7FB5E457" w14:textId="036AC537">
      <w:pPr>
        <w:pStyle w:val="ListParagraph"/>
        <w:numPr>
          <w:ilvl w:val="0"/>
          <w:numId w:val="31"/>
        </w:numPr>
        <w:rPr>
          <w:rFonts w:ascii="Times New Roman" w:hAnsi="Times New Roman" w:cs="Times New Roman"/>
        </w:rPr>
      </w:pPr>
      <w:r w:rsidRPr="00270358">
        <w:rPr>
          <w:rFonts w:ascii="Times New Roman" w:hAnsi="Times New Roman" w:cs="Times New Roman"/>
        </w:rPr>
        <w:t xml:space="preserve">Prior Federal financial support for novel therapeutic discovery and development with respect to the selected </w:t>
      </w:r>
      <w:r w:rsidRPr="00270358">
        <w:rPr>
          <w:rFonts w:ascii="Times New Roman" w:hAnsi="Times New Roman" w:cs="Times New Roman"/>
        </w:rPr>
        <w:t>drug;</w:t>
      </w:r>
      <w:r w:rsidRPr="00270358">
        <w:rPr>
          <w:rFonts w:ascii="Times New Roman" w:hAnsi="Times New Roman" w:cs="Times New Roman"/>
        </w:rPr>
        <w:t xml:space="preserve"> </w:t>
      </w:r>
    </w:p>
    <w:p w:rsidR="00270358" w:rsidRPr="00270358" w:rsidP="00270358" w14:paraId="58AFC966" w14:textId="1BEE9F14">
      <w:pPr>
        <w:pStyle w:val="ListParagraph"/>
        <w:numPr>
          <w:ilvl w:val="0"/>
          <w:numId w:val="31"/>
        </w:numPr>
        <w:rPr>
          <w:rFonts w:ascii="Times New Roman" w:hAnsi="Times New Roman" w:cs="Times New Roman"/>
        </w:rPr>
      </w:pPr>
      <w:r w:rsidRPr="00270358">
        <w:rPr>
          <w:rFonts w:ascii="Times New Roman" w:hAnsi="Times New Roman" w:cs="Times New Roman"/>
        </w:rPr>
        <w:t xml:space="preserve">Data on pending and approved patent applications, exclusivities recognized by the </w:t>
      </w:r>
      <w:r w:rsidRPr="009E2393" w:rsidR="009E2393">
        <w:rPr>
          <w:rFonts w:ascii="Times New Roman" w:hAnsi="Times New Roman" w:cs="Times New Roman"/>
        </w:rPr>
        <w:t xml:space="preserve">U.S. Food and Drug Administration </w:t>
      </w:r>
      <w:r w:rsidR="009E2393">
        <w:rPr>
          <w:rFonts w:ascii="Times New Roman" w:hAnsi="Times New Roman" w:cs="Times New Roman"/>
        </w:rPr>
        <w:t>(</w:t>
      </w:r>
      <w:r w:rsidRPr="00270358">
        <w:rPr>
          <w:rFonts w:ascii="Times New Roman" w:hAnsi="Times New Roman" w:cs="Times New Roman"/>
        </w:rPr>
        <w:t>FDA</w:t>
      </w:r>
      <w:r w:rsidR="009E2393">
        <w:rPr>
          <w:rFonts w:ascii="Times New Roman" w:hAnsi="Times New Roman" w:cs="Times New Roman"/>
        </w:rPr>
        <w:t>)</w:t>
      </w:r>
      <w:r w:rsidRPr="00270358">
        <w:rPr>
          <w:rFonts w:ascii="Times New Roman" w:hAnsi="Times New Roman" w:cs="Times New Roman"/>
        </w:rPr>
        <w:t xml:space="preserve">, and applications and approvals under section 505(c) of the </w:t>
      </w:r>
      <w:r w:rsidRPr="009E2393" w:rsidR="009E2393">
        <w:rPr>
          <w:rFonts w:ascii="Times New Roman" w:hAnsi="Times New Roman" w:cs="Times New Roman"/>
        </w:rPr>
        <w:t>Federal Food, Drug, and Cosmetic Act</w:t>
      </w:r>
      <w:r w:rsidR="009E2393">
        <w:rPr>
          <w:rFonts w:ascii="Times New Roman" w:hAnsi="Times New Roman" w:cs="Times New Roman"/>
        </w:rPr>
        <w:t xml:space="preserve"> (</w:t>
      </w:r>
      <w:r w:rsidRPr="00270358">
        <w:rPr>
          <w:rFonts w:ascii="Times New Roman" w:hAnsi="Times New Roman" w:cs="Times New Roman"/>
        </w:rPr>
        <w:t>FD&amp;C Act</w:t>
      </w:r>
      <w:r w:rsidR="009E2393">
        <w:rPr>
          <w:rFonts w:ascii="Times New Roman" w:hAnsi="Times New Roman" w:cs="Times New Roman"/>
        </w:rPr>
        <w:t>)</w:t>
      </w:r>
      <w:r w:rsidRPr="00270358">
        <w:rPr>
          <w:rFonts w:ascii="Times New Roman" w:hAnsi="Times New Roman" w:cs="Times New Roman"/>
        </w:rPr>
        <w:t xml:space="preserve"> or section 351(a) of the </w:t>
      </w:r>
      <w:r w:rsidRPr="009E2393" w:rsidR="009E2393">
        <w:rPr>
          <w:rFonts w:ascii="Times New Roman" w:hAnsi="Times New Roman" w:cs="Times New Roman"/>
        </w:rPr>
        <w:t xml:space="preserve">Public Health Service Act </w:t>
      </w:r>
      <w:r w:rsidR="009E2393">
        <w:rPr>
          <w:rFonts w:ascii="Times New Roman" w:hAnsi="Times New Roman" w:cs="Times New Roman"/>
        </w:rPr>
        <w:t>(</w:t>
      </w:r>
      <w:r w:rsidRPr="00270358">
        <w:rPr>
          <w:rFonts w:ascii="Times New Roman" w:hAnsi="Times New Roman" w:cs="Times New Roman"/>
        </w:rPr>
        <w:t>PHS Act</w:t>
      </w:r>
      <w:r w:rsidR="009E2393">
        <w:rPr>
          <w:rFonts w:ascii="Times New Roman" w:hAnsi="Times New Roman" w:cs="Times New Roman"/>
        </w:rPr>
        <w:t>)</w:t>
      </w:r>
      <w:r w:rsidRPr="00270358">
        <w:rPr>
          <w:rFonts w:ascii="Times New Roman" w:hAnsi="Times New Roman" w:cs="Times New Roman"/>
        </w:rPr>
        <w:t xml:space="preserve"> for the selected drug; and </w:t>
      </w:r>
    </w:p>
    <w:p w:rsidR="00270358" w:rsidRPr="00270358" w:rsidP="00270358" w14:paraId="6C168DC6" w14:textId="5D271BB2">
      <w:pPr>
        <w:pStyle w:val="ListParagraph"/>
        <w:numPr>
          <w:ilvl w:val="0"/>
          <w:numId w:val="31"/>
        </w:numPr>
        <w:rPr>
          <w:rFonts w:ascii="Times New Roman" w:hAnsi="Times New Roman" w:cs="Times New Roman"/>
        </w:rPr>
      </w:pPr>
      <w:r w:rsidRPr="00270358">
        <w:rPr>
          <w:rFonts w:ascii="Times New Roman" w:hAnsi="Times New Roman" w:cs="Times New Roman"/>
        </w:rPr>
        <w:t xml:space="preserve">Market data and revenue and sales volume data for the selected drug in the United States for the Primary Manufacturer and any Secondary Manufacturer(s). </w:t>
      </w:r>
    </w:p>
    <w:p w:rsidR="00270358" w:rsidP="00AB1326" w14:paraId="568F01A9" w14:textId="00B6E20C">
      <w:r>
        <w:t xml:space="preserve">Pursuant to </w:t>
      </w:r>
      <w:r>
        <w:t>section</w:t>
      </w:r>
      <w:r w:rsidR="00D71EC6">
        <w:t>s</w:t>
      </w:r>
      <w:r>
        <w:t xml:space="preserve"> 50</w:t>
      </w:r>
      <w:r w:rsidR="00100ED9">
        <w:t>.1</w:t>
      </w:r>
      <w:r>
        <w:t xml:space="preserve"> </w:t>
      </w:r>
      <w:r w:rsidR="00D71EC6">
        <w:t xml:space="preserve">and 130.3.2 </w:t>
      </w:r>
      <w:r>
        <w:t xml:space="preserve">of the </w:t>
      </w:r>
      <w:r w:rsidR="00240FA8">
        <w:t>final</w:t>
      </w:r>
      <w:r w:rsidR="00D71EC6">
        <w:t xml:space="preserve"> </w:t>
      </w:r>
      <w:r>
        <w:t xml:space="preserve">guidance, the Primary Manufacturer should submit information in the </w:t>
      </w:r>
      <w:r w:rsidR="0094455A">
        <w:t>CMS Health Plan Management System (the “</w:t>
      </w:r>
      <w:r>
        <w:t>CMS HPMS</w:t>
      </w:r>
      <w:r w:rsidR="0094455A">
        <w:t>”)</w:t>
      </w:r>
      <w:r>
        <w:t xml:space="preserve"> for </w:t>
      </w:r>
      <w:r w:rsidR="00CB176C">
        <w:t>each</w:t>
      </w:r>
      <w:r>
        <w:t xml:space="preserve"> </w:t>
      </w:r>
      <w:r w:rsidR="00CB176C">
        <w:t>11-digit National Drug Code (</w:t>
      </w:r>
      <w:r>
        <w:t>NDC-1</w:t>
      </w:r>
      <w:r w:rsidR="00CB176C">
        <w:t>1)</w:t>
      </w:r>
      <w:r>
        <w:t xml:space="preserve"> of the selected drug, inclusive of any NDC-11s that the Primary Manufacturer submits for the list of NDC-11s pursuant to section 40.2 of the </w:t>
      </w:r>
      <w:r w:rsidR="00240FA8">
        <w:t>final</w:t>
      </w:r>
      <w:r w:rsidR="00D71EC6">
        <w:t xml:space="preserve"> </w:t>
      </w:r>
      <w:r>
        <w:t xml:space="preserve">guidance. As noted above, CMS requires the Primary Manufacturer to aggregate data from both the Primary Manufacturer and any Secondary Manufacturer(s) for the following: non-FAMP, current unit costs of production and distribution, and certain data pertaining to market data and revenue and sales volume data for the selected drug. </w:t>
      </w:r>
    </w:p>
    <w:p w:rsidR="00100ED9" w:rsidRPr="00E172C6" w:rsidP="00850AF1" w14:paraId="31C4DB2C" w14:textId="030A8E86">
      <w:r w:rsidRPr="00E172C6">
        <w:t>Additionally, as specified in section 50</w:t>
      </w:r>
      <w:r>
        <w:t>.1</w:t>
      </w:r>
      <w:r w:rsidR="00A32C5A">
        <w:t xml:space="preserve"> of the </w:t>
      </w:r>
      <w:r w:rsidR="00240FA8">
        <w:t>final</w:t>
      </w:r>
      <w:r w:rsidR="00297445">
        <w:t xml:space="preserve"> </w:t>
      </w:r>
      <w:r w:rsidR="00A32C5A">
        <w:t>guidance</w:t>
      </w:r>
      <w:r w:rsidRPr="00E172C6">
        <w:t xml:space="preserve">, the Primary Manufacturer has an ongoing obligation to timely report certain updates to data submissions required of Primary Manufacturers under sections 1193(a)(4)(A) and 1194(e)(1) of the Act and previously submitted to CMS through the initial response to the Negotiation Data Elements ICR Form. </w:t>
      </w:r>
    </w:p>
    <w:p w:rsidR="32928479" w:rsidP="000A5850" w14:paraId="191C75B4" w14:textId="03215BA1">
      <w:pPr>
        <w:pStyle w:val="Heading4"/>
      </w:pPr>
      <w:r w:rsidRPr="13B0BCA9">
        <w:t>Evidence About Alternative Treatments</w:t>
      </w:r>
    </w:p>
    <w:p w:rsidR="32928479" w:rsidP="6B370752" w14:paraId="18190009" w14:textId="75DBE9E7">
      <w:r>
        <w:rPr>
          <w:color w:val="000000" w:themeColor="text1"/>
        </w:rPr>
        <w:t>In accordance with</w:t>
      </w:r>
      <w:r w:rsidR="007B350C">
        <w:rPr>
          <w:color w:val="000000" w:themeColor="text1"/>
        </w:rPr>
        <w:t xml:space="preserve"> </w:t>
      </w:r>
      <w:r w:rsidR="00927F9A">
        <w:rPr>
          <w:color w:val="000000" w:themeColor="text1"/>
        </w:rPr>
        <w:t xml:space="preserve">sections 1194(e)(2) and 1194(f)(4)(B) of the Act and </w:t>
      </w:r>
      <w:r w:rsidR="007B350C">
        <w:rPr>
          <w:color w:val="000000" w:themeColor="text1"/>
        </w:rPr>
        <w:t xml:space="preserve">sections </w:t>
      </w:r>
      <w:r w:rsidR="00746B52">
        <w:rPr>
          <w:color w:val="000000" w:themeColor="text1"/>
        </w:rPr>
        <w:t xml:space="preserve">60 </w:t>
      </w:r>
      <w:r w:rsidR="007B350C">
        <w:rPr>
          <w:color w:val="000000" w:themeColor="text1"/>
        </w:rPr>
        <w:t>and 103.</w:t>
      </w:r>
      <w:r w:rsidR="00CD55BC">
        <w:rPr>
          <w:color w:val="000000" w:themeColor="text1"/>
        </w:rPr>
        <w:t>4</w:t>
      </w:r>
      <w:r w:rsidR="007B350C">
        <w:rPr>
          <w:color w:val="000000" w:themeColor="text1"/>
        </w:rPr>
        <w:t xml:space="preserve"> of the </w:t>
      </w:r>
      <w:r w:rsidR="00240FA8">
        <w:rPr>
          <w:color w:val="000000" w:themeColor="text1"/>
        </w:rPr>
        <w:t>final</w:t>
      </w:r>
      <w:r w:rsidR="007B350C">
        <w:rPr>
          <w:color w:val="000000" w:themeColor="text1"/>
        </w:rPr>
        <w:t xml:space="preserve"> guidance, </w:t>
      </w:r>
      <w:r w:rsidRPr="13B0BCA9" w:rsidR="13B0BCA9">
        <w:rPr>
          <w:color w:val="000000" w:themeColor="text1"/>
        </w:rPr>
        <w:t xml:space="preserve">CMS </w:t>
      </w:r>
      <w:r w:rsidR="0071151D">
        <w:rPr>
          <w:color w:val="000000" w:themeColor="text1"/>
        </w:rPr>
        <w:t xml:space="preserve">will </w:t>
      </w:r>
      <w:r w:rsidRPr="13B0BCA9" w:rsidR="13B0BCA9">
        <w:rPr>
          <w:color w:val="000000" w:themeColor="text1"/>
        </w:rPr>
        <w:t xml:space="preserve">consider certain data on </w:t>
      </w:r>
      <w:r w:rsidR="00574E2A">
        <w:rPr>
          <w:color w:val="000000" w:themeColor="text1"/>
        </w:rPr>
        <w:t xml:space="preserve">selected drugs and their </w:t>
      </w:r>
      <w:r w:rsidRPr="13B0BCA9" w:rsidR="13B0BCA9">
        <w:rPr>
          <w:color w:val="000000" w:themeColor="text1"/>
        </w:rPr>
        <w:t xml:space="preserve">alternative treatments. Because the statute does not specify </w:t>
      </w:r>
      <w:r w:rsidR="00C25A1F">
        <w:rPr>
          <w:color w:val="000000" w:themeColor="text1"/>
        </w:rPr>
        <w:t>where these data come from</w:t>
      </w:r>
      <w:r w:rsidRPr="13B0BCA9" w:rsidR="13B0BCA9">
        <w:rPr>
          <w:color w:val="000000" w:themeColor="text1"/>
        </w:rPr>
        <w:t xml:space="preserve">, </w:t>
      </w:r>
      <w:r w:rsidR="00100ED9">
        <w:rPr>
          <w:color w:val="000000" w:themeColor="text1"/>
        </w:rPr>
        <w:t>as described in section</w:t>
      </w:r>
      <w:r w:rsidR="002D1868">
        <w:rPr>
          <w:color w:val="000000" w:themeColor="text1"/>
        </w:rPr>
        <w:t>s</w:t>
      </w:r>
      <w:r w:rsidR="00100ED9">
        <w:rPr>
          <w:color w:val="000000" w:themeColor="text1"/>
        </w:rPr>
        <w:t xml:space="preserve"> 50.2 </w:t>
      </w:r>
      <w:r w:rsidR="002D1868">
        <w:rPr>
          <w:color w:val="000000" w:themeColor="text1"/>
        </w:rPr>
        <w:t xml:space="preserve">and 130.3.2 </w:t>
      </w:r>
      <w:r w:rsidR="00100ED9">
        <w:rPr>
          <w:color w:val="000000" w:themeColor="text1"/>
        </w:rPr>
        <w:t xml:space="preserve">of the </w:t>
      </w:r>
      <w:r w:rsidR="00240FA8">
        <w:rPr>
          <w:color w:val="000000" w:themeColor="text1"/>
        </w:rPr>
        <w:t>final</w:t>
      </w:r>
      <w:r w:rsidR="002D1868">
        <w:rPr>
          <w:color w:val="000000" w:themeColor="text1"/>
        </w:rPr>
        <w:t xml:space="preserve"> </w:t>
      </w:r>
      <w:r w:rsidR="00100ED9">
        <w:rPr>
          <w:color w:val="000000" w:themeColor="text1"/>
        </w:rPr>
        <w:t xml:space="preserve">guidance, </w:t>
      </w:r>
      <w:r w:rsidRPr="13B0BCA9" w:rsidR="13B0BCA9">
        <w:rPr>
          <w:color w:val="000000" w:themeColor="text1"/>
        </w:rPr>
        <w:t xml:space="preserve">CMS will allow for </w:t>
      </w:r>
      <w:r w:rsidR="003C5EFA">
        <w:rPr>
          <w:color w:val="000000" w:themeColor="text1"/>
        </w:rPr>
        <w:t>optional</w:t>
      </w:r>
      <w:r w:rsidRPr="13B0BCA9" w:rsidR="13B0BCA9">
        <w:rPr>
          <w:color w:val="000000" w:themeColor="text1"/>
        </w:rPr>
        <w:t xml:space="preserve"> submission</w:t>
      </w:r>
      <w:r w:rsidR="00197663">
        <w:rPr>
          <w:color w:val="000000" w:themeColor="text1"/>
        </w:rPr>
        <w:t>s</w:t>
      </w:r>
      <w:r w:rsidRPr="13B0BCA9" w:rsidR="13B0BCA9">
        <w:rPr>
          <w:color w:val="000000" w:themeColor="text1"/>
        </w:rPr>
        <w:t xml:space="preserve"> </w:t>
      </w:r>
      <w:r w:rsidR="002458B3">
        <w:rPr>
          <w:color w:val="000000" w:themeColor="text1"/>
        </w:rPr>
        <w:t xml:space="preserve">once a drug is selected for negotiation or renegotiation </w:t>
      </w:r>
      <w:r w:rsidRPr="13B0BCA9" w:rsidR="13B0BCA9">
        <w:rPr>
          <w:color w:val="000000" w:themeColor="text1"/>
        </w:rPr>
        <w:t xml:space="preserve">from </w:t>
      </w:r>
      <w:r w:rsidR="002A2BF5">
        <w:rPr>
          <w:color w:val="000000" w:themeColor="text1"/>
        </w:rPr>
        <w:t>Primary</w:t>
      </w:r>
      <w:r w:rsidR="0075574B">
        <w:rPr>
          <w:color w:val="000000" w:themeColor="text1"/>
        </w:rPr>
        <w:t xml:space="preserve"> </w:t>
      </w:r>
      <w:r w:rsidR="003C5EFA">
        <w:rPr>
          <w:color w:val="000000" w:themeColor="text1"/>
        </w:rPr>
        <w:t>M</w:t>
      </w:r>
      <w:r w:rsidRPr="13B0BCA9" w:rsidR="13B0BCA9">
        <w:rPr>
          <w:color w:val="000000" w:themeColor="text1"/>
        </w:rPr>
        <w:t>anufacturer</w:t>
      </w:r>
      <w:r w:rsidR="004407FA">
        <w:rPr>
          <w:color w:val="000000" w:themeColor="text1"/>
        </w:rPr>
        <w:t>s</w:t>
      </w:r>
      <w:r w:rsidRPr="13B0BCA9" w:rsidR="13B0BCA9">
        <w:rPr>
          <w:color w:val="000000" w:themeColor="text1"/>
        </w:rPr>
        <w:t xml:space="preserve"> and the public</w:t>
      </w:r>
      <w:r w:rsidR="00EE3C10">
        <w:rPr>
          <w:color w:val="000000" w:themeColor="text1"/>
        </w:rPr>
        <w:t>,</w:t>
      </w:r>
      <w:r w:rsidRPr="00EE3C10" w:rsidR="00EE3C10">
        <w:rPr>
          <w:color w:val="000000" w:themeColor="text1"/>
        </w:rPr>
        <w:t xml:space="preserve"> </w:t>
      </w:r>
      <w:r w:rsidR="00EE3C10">
        <w:rPr>
          <w:color w:val="000000" w:themeColor="text1"/>
        </w:rPr>
        <w:t>including Secondary Manufacturers, Medicare beneficiaries, academic experts, clinicians, caregivers, patients or patient organizations, and other interested parties</w:t>
      </w:r>
      <w:r w:rsidRPr="13B0BCA9" w:rsidR="13B0BCA9">
        <w:rPr>
          <w:color w:val="000000" w:themeColor="text1"/>
        </w:rPr>
        <w:t>. CMS will additionally review existing literature</w:t>
      </w:r>
      <w:r w:rsidR="006A31E4">
        <w:rPr>
          <w:color w:val="000000" w:themeColor="text1"/>
        </w:rPr>
        <w:t xml:space="preserve">, conduct internal </w:t>
      </w:r>
      <w:r w:rsidR="0011029C">
        <w:rPr>
          <w:color w:val="000000" w:themeColor="text1"/>
        </w:rPr>
        <w:t>analyses</w:t>
      </w:r>
      <w:r w:rsidR="006A31E4">
        <w:rPr>
          <w:color w:val="000000" w:themeColor="text1"/>
        </w:rPr>
        <w:t xml:space="preserve">, and consult subject matter and </w:t>
      </w:r>
      <w:r w:rsidR="0011029C">
        <w:rPr>
          <w:color w:val="000000" w:themeColor="text1"/>
        </w:rPr>
        <w:t>clinical experts</w:t>
      </w:r>
      <w:r w:rsidRPr="13B0BCA9" w:rsidR="0011029C">
        <w:rPr>
          <w:color w:val="000000" w:themeColor="text1"/>
        </w:rPr>
        <w:t xml:space="preserve"> </w:t>
      </w:r>
      <w:r w:rsidRPr="13B0BCA9" w:rsidR="13B0BCA9">
        <w:rPr>
          <w:color w:val="000000" w:themeColor="text1"/>
        </w:rPr>
        <w:t xml:space="preserve">on the factors listed in </w:t>
      </w:r>
      <w:r w:rsidR="00574E2A">
        <w:rPr>
          <w:color w:val="000000" w:themeColor="text1"/>
        </w:rPr>
        <w:t xml:space="preserve">section </w:t>
      </w:r>
      <w:r w:rsidRPr="13B0BCA9" w:rsidR="13B0BCA9">
        <w:rPr>
          <w:color w:val="000000" w:themeColor="text1"/>
        </w:rPr>
        <w:t xml:space="preserve">1194(e)(2) to ensure consideration of such factors. </w:t>
      </w:r>
      <w:r w:rsidR="00641C2F">
        <w:rPr>
          <w:color w:val="000000" w:themeColor="text1"/>
        </w:rPr>
        <w:t xml:space="preserve">Primary </w:t>
      </w:r>
      <w:r w:rsidRPr="13B0BCA9" w:rsidR="13B0BCA9">
        <w:rPr>
          <w:color w:val="000000" w:themeColor="text1"/>
        </w:rPr>
        <w:t xml:space="preserve">Manufacturers </w:t>
      </w:r>
      <w:r w:rsidR="003C5EFA">
        <w:rPr>
          <w:color w:val="000000" w:themeColor="text1"/>
        </w:rPr>
        <w:t>may</w:t>
      </w:r>
      <w:r w:rsidRPr="13B0BCA9" w:rsidR="13B0BCA9">
        <w:rPr>
          <w:color w:val="000000" w:themeColor="text1"/>
        </w:rPr>
        <w:t xml:space="preserve"> submit this information as part of their </w:t>
      </w:r>
      <w:r w:rsidR="00BE4F79">
        <w:rPr>
          <w:color w:val="000000" w:themeColor="text1"/>
        </w:rPr>
        <w:t xml:space="preserve">Negotiation Data Elements </w:t>
      </w:r>
      <w:r w:rsidR="00A02074">
        <w:rPr>
          <w:color w:val="000000" w:themeColor="text1"/>
        </w:rPr>
        <w:t>ICR</w:t>
      </w:r>
      <w:r w:rsidRPr="13B0BCA9" w:rsidR="13B0BCA9">
        <w:rPr>
          <w:color w:val="000000" w:themeColor="text1"/>
        </w:rPr>
        <w:t xml:space="preserve"> Form. The public</w:t>
      </w:r>
      <w:r w:rsidR="00EE3C10">
        <w:rPr>
          <w:color w:val="000000" w:themeColor="text1"/>
        </w:rPr>
        <w:t xml:space="preserve"> </w:t>
      </w:r>
      <w:r w:rsidRPr="13B0BCA9" w:rsidR="13B0BCA9">
        <w:rPr>
          <w:color w:val="000000" w:themeColor="text1"/>
        </w:rPr>
        <w:t xml:space="preserve">may optionally submit evidence about </w:t>
      </w:r>
      <w:r w:rsidR="00574E2A">
        <w:rPr>
          <w:color w:val="000000" w:themeColor="text1"/>
        </w:rPr>
        <w:t xml:space="preserve">selected drugs and their </w:t>
      </w:r>
      <w:r w:rsidRPr="13B0BCA9" w:rsidR="13B0BCA9">
        <w:rPr>
          <w:color w:val="000000" w:themeColor="text1"/>
        </w:rPr>
        <w:t xml:space="preserve">alternative </w:t>
      </w:r>
      <w:r w:rsidRPr="6D003B17" w:rsidR="6D003B17">
        <w:rPr>
          <w:color w:val="000000" w:themeColor="text1"/>
        </w:rPr>
        <w:t>treatments</w:t>
      </w:r>
      <w:r w:rsidRPr="13B0BCA9" w:rsidR="13B0BCA9">
        <w:rPr>
          <w:color w:val="000000" w:themeColor="text1"/>
        </w:rPr>
        <w:t xml:space="preserve">.  </w:t>
      </w:r>
    </w:p>
    <w:p w:rsidR="00417BAB" w:rsidRPr="007A3FDD" w:rsidP="00F145AD" w14:paraId="0B9ED294" w14:textId="54D3ABB3">
      <w:pPr>
        <w:pStyle w:val="BodyText"/>
      </w:pPr>
      <w:r>
        <w:t>Section</w:t>
      </w:r>
      <w:r w:rsidRPr="00BC1EE4">
        <w:t xml:space="preserve"> </w:t>
      </w:r>
      <w:r>
        <w:t>1194(e)(2)</w:t>
      </w:r>
      <w:r w:rsidRPr="00BC1EE4">
        <w:t xml:space="preserve"> </w:t>
      </w:r>
      <w:r>
        <w:t>lists</w:t>
      </w:r>
      <w:r w:rsidRPr="00BC1EE4">
        <w:t xml:space="preserve"> </w:t>
      </w:r>
      <w:r>
        <w:t>additional</w:t>
      </w:r>
      <w:r w:rsidRPr="00BC1EE4">
        <w:t xml:space="preserve"> </w:t>
      </w:r>
      <w:r>
        <w:t>factors</w:t>
      </w:r>
      <w:r w:rsidRPr="00BC1EE4">
        <w:t xml:space="preserve"> </w:t>
      </w:r>
      <w:r>
        <w:t>that</w:t>
      </w:r>
      <w:r w:rsidRPr="00BC1EE4">
        <w:t xml:space="preserve"> </w:t>
      </w:r>
      <w:r>
        <w:t>CMS</w:t>
      </w:r>
      <w:r w:rsidRPr="00BC1EE4">
        <w:t xml:space="preserve"> </w:t>
      </w:r>
      <w:r>
        <w:t>will</w:t>
      </w:r>
      <w:r w:rsidRPr="00BC1EE4">
        <w:t xml:space="preserve"> </w:t>
      </w:r>
      <w:r>
        <w:t>consider,</w:t>
      </w:r>
      <w:r w:rsidRPr="00BC1EE4">
        <w:t xml:space="preserve"> </w:t>
      </w:r>
      <w:r>
        <w:t>as</w:t>
      </w:r>
      <w:r w:rsidRPr="00BC1EE4">
        <w:t xml:space="preserve"> </w:t>
      </w:r>
      <w:r>
        <w:rPr>
          <w:spacing w:val="-2"/>
        </w:rPr>
        <w:t>available:</w:t>
      </w:r>
    </w:p>
    <w:p w:rsidR="00417BAB" w:rsidRPr="007A3FDD" w:rsidP="00E40D58" w14:paraId="67012971" w14:textId="76DB4F3C">
      <w:pPr>
        <w:pStyle w:val="ListParagraph"/>
        <w:widowControl w:val="0"/>
        <w:numPr>
          <w:ilvl w:val="1"/>
          <w:numId w:val="14"/>
        </w:numPr>
        <w:tabs>
          <w:tab w:val="left" w:pos="839"/>
          <w:tab w:val="left" w:pos="840"/>
        </w:tabs>
        <w:autoSpaceDE w:val="0"/>
        <w:autoSpaceDN w:val="0"/>
        <w:spacing w:after="0"/>
        <w:ind w:left="540" w:right="507" w:hanging="360"/>
        <w:contextualSpacing w:val="0"/>
        <w:rPr>
          <w:rFonts w:ascii="Times New Roman" w:hAnsi="Times New Roman" w:cs="Times New Roman"/>
        </w:rPr>
      </w:pPr>
      <w:r w:rsidRPr="007A3FDD">
        <w:rPr>
          <w:rFonts w:ascii="Times New Roman" w:hAnsi="Times New Roman" w:cs="Times New Roman"/>
        </w:rPr>
        <w:t>The</w:t>
      </w:r>
      <w:r w:rsidRPr="007A3FDD">
        <w:rPr>
          <w:rFonts w:ascii="Times New Roman" w:hAnsi="Times New Roman" w:cs="Times New Roman"/>
          <w:spacing w:val="-3"/>
        </w:rPr>
        <w:t xml:space="preserve"> </w:t>
      </w:r>
      <w:r w:rsidRPr="007A3FDD">
        <w:rPr>
          <w:rFonts w:ascii="Times New Roman" w:hAnsi="Times New Roman" w:cs="Times New Roman"/>
        </w:rPr>
        <w:t>extent</w:t>
      </w:r>
      <w:r w:rsidRPr="007A3FDD">
        <w:rPr>
          <w:rFonts w:ascii="Times New Roman" w:hAnsi="Times New Roman" w:cs="Times New Roman"/>
          <w:spacing w:val="-4"/>
        </w:rPr>
        <w:t xml:space="preserve"> </w:t>
      </w:r>
      <w:r w:rsidRPr="007A3FDD">
        <w:rPr>
          <w:rFonts w:ascii="Times New Roman" w:hAnsi="Times New Roman" w:cs="Times New Roman"/>
        </w:rPr>
        <w:t>to</w:t>
      </w:r>
      <w:r w:rsidRPr="007A3FDD">
        <w:rPr>
          <w:rFonts w:ascii="Times New Roman" w:hAnsi="Times New Roman" w:cs="Times New Roman"/>
          <w:spacing w:val="-3"/>
        </w:rPr>
        <w:t xml:space="preserve"> </w:t>
      </w:r>
      <w:r w:rsidRPr="007A3FDD">
        <w:rPr>
          <w:rFonts w:ascii="Times New Roman" w:hAnsi="Times New Roman" w:cs="Times New Roman"/>
        </w:rPr>
        <w:t>which</w:t>
      </w:r>
      <w:r w:rsidRPr="007A3FDD">
        <w:rPr>
          <w:rFonts w:ascii="Times New Roman" w:hAnsi="Times New Roman" w:cs="Times New Roman"/>
          <w:spacing w:val="-3"/>
        </w:rPr>
        <w:t xml:space="preserve"> </w:t>
      </w:r>
      <w:r w:rsidR="00432B9D">
        <w:rPr>
          <w:rFonts w:ascii="Times New Roman" w:hAnsi="Times New Roman" w:cs="Times New Roman"/>
        </w:rPr>
        <w:t>the</w:t>
      </w:r>
      <w:r w:rsidRPr="007A3FDD" w:rsidR="00432B9D">
        <w:rPr>
          <w:rFonts w:ascii="Times New Roman" w:hAnsi="Times New Roman" w:cs="Times New Roman"/>
          <w:spacing w:val="-3"/>
        </w:rPr>
        <w:t xml:space="preserve"> </w:t>
      </w:r>
      <w:r w:rsidRPr="007A3FDD">
        <w:rPr>
          <w:rFonts w:ascii="Times New Roman" w:hAnsi="Times New Roman" w:cs="Times New Roman"/>
        </w:rPr>
        <w:t>selected</w:t>
      </w:r>
      <w:r w:rsidRPr="007A3FDD">
        <w:rPr>
          <w:rFonts w:ascii="Times New Roman" w:hAnsi="Times New Roman" w:cs="Times New Roman"/>
          <w:spacing w:val="-3"/>
        </w:rPr>
        <w:t xml:space="preserve"> </w:t>
      </w:r>
      <w:r w:rsidRPr="007A3FDD">
        <w:rPr>
          <w:rFonts w:ascii="Times New Roman" w:hAnsi="Times New Roman" w:cs="Times New Roman"/>
        </w:rPr>
        <w:t>drug</w:t>
      </w:r>
      <w:r w:rsidRPr="007A3FDD">
        <w:rPr>
          <w:rFonts w:ascii="Times New Roman" w:hAnsi="Times New Roman" w:cs="Times New Roman"/>
          <w:spacing w:val="-3"/>
        </w:rPr>
        <w:t xml:space="preserve"> </w:t>
      </w:r>
      <w:r w:rsidRPr="007A3FDD">
        <w:rPr>
          <w:rFonts w:ascii="Times New Roman" w:hAnsi="Times New Roman" w:cs="Times New Roman"/>
        </w:rPr>
        <w:t>represents</w:t>
      </w:r>
      <w:r w:rsidRPr="007A3FDD">
        <w:rPr>
          <w:rFonts w:ascii="Times New Roman" w:hAnsi="Times New Roman" w:cs="Times New Roman"/>
          <w:spacing w:val="-3"/>
        </w:rPr>
        <w:t xml:space="preserve"> </w:t>
      </w:r>
      <w:r w:rsidRPr="007A3FDD">
        <w:rPr>
          <w:rFonts w:ascii="Times New Roman" w:hAnsi="Times New Roman" w:cs="Times New Roman"/>
        </w:rPr>
        <w:t>a</w:t>
      </w:r>
      <w:r w:rsidRPr="007A3FDD">
        <w:rPr>
          <w:rFonts w:ascii="Times New Roman" w:hAnsi="Times New Roman" w:cs="Times New Roman"/>
          <w:spacing w:val="-3"/>
        </w:rPr>
        <w:t xml:space="preserve"> </w:t>
      </w:r>
      <w:r w:rsidRPr="007A3FDD">
        <w:rPr>
          <w:rFonts w:ascii="Times New Roman" w:hAnsi="Times New Roman" w:cs="Times New Roman"/>
        </w:rPr>
        <w:t>therapeutic</w:t>
      </w:r>
      <w:r w:rsidRPr="007A3FDD">
        <w:rPr>
          <w:rFonts w:ascii="Times New Roman" w:hAnsi="Times New Roman" w:cs="Times New Roman"/>
          <w:spacing w:val="-3"/>
        </w:rPr>
        <w:t xml:space="preserve"> </w:t>
      </w:r>
      <w:r w:rsidRPr="007A3FDD">
        <w:rPr>
          <w:rFonts w:ascii="Times New Roman" w:hAnsi="Times New Roman" w:cs="Times New Roman"/>
        </w:rPr>
        <w:t>advance</w:t>
      </w:r>
      <w:r w:rsidRPr="007A3FDD">
        <w:rPr>
          <w:rFonts w:ascii="Times New Roman" w:hAnsi="Times New Roman" w:cs="Times New Roman"/>
          <w:spacing w:val="-3"/>
        </w:rPr>
        <w:t xml:space="preserve"> </w:t>
      </w:r>
      <w:r w:rsidRPr="007A3FDD">
        <w:rPr>
          <w:rFonts w:ascii="Times New Roman" w:hAnsi="Times New Roman" w:cs="Times New Roman"/>
        </w:rPr>
        <w:t>compared</w:t>
      </w:r>
      <w:r w:rsidRPr="007A3FDD">
        <w:rPr>
          <w:rFonts w:ascii="Times New Roman" w:hAnsi="Times New Roman" w:cs="Times New Roman"/>
          <w:spacing w:val="-3"/>
        </w:rPr>
        <w:t xml:space="preserve"> </w:t>
      </w:r>
      <w:r w:rsidRPr="007A3FDD">
        <w:rPr>
          <w:rFonts w:ascii="Times New Roman" w:hAnsi="Times New Roman" w:cs="Times New Roman"/>
        </w:rPr>
        <w:t xml:space="preserve">to existing therapeutic alternatives </w:t>
      </w:r>
      <w:r w:rsidR="00432B9D">
        <w:rPr>
          <w:rFonts w:ascii="Times New Roman" w:hAnsi="Times New Roman" w:cs="Times New Roman"/>
        </w:rPr>
        <w:t xml:space="preserve">for the selected drug </w:t>
      </w:r>
      <w:r w:rsidRPr="007A3FDD">
        <w:rPr>
          <w:rFonts w:ascii="Times New Roman" w:hAnsi="Times New Roman" w:cs="Times New Roman"/>
        </w:rPr>
        <w:t xml:space="preserve">and the costs of such existing therapeutic </w:t>
      </w:r>
      <w:r w:rsidRPr="007A3FDD">
        <w:rPr>
          <w:rFonts w:ascii="Times New Roman" w:hAnsi="Times New Roman" w:cs="Times New Roman"/>
        </w:rPr>
        <w:t>alternatives;</w:t>
      </w:r>
    </w:p>
    <w:p w:rsidR="00417BAB" w:rsidRPr="007A3FDD" w:rsidP="00E40D58" w14:paraId="329FBE4D" w14:textId="4CD5C79D">
      <w:pPr>
        <w:pStyle w:val="ListParagraph"/>
        <w:widowControl w:val="0"/>
        <w:numPr>
          <w:ilvl w:val="1"/>
          <w:numId w:val="14"/>
        </w:numPr>
        <w:tabs>
          <w:tab w:val="left" w:pos="839"/>
          <w:tab w:val="left" w:pos="840"/>
        </w:tabs>
        <w:autoSpaceDE w:val="0"/>
        <w:autoSpaceDN w:val="0"/>
        <w:spacing w:after="0"/>
        <w:ind w:left="540" w:right="800" w:hanging="360"/>
        <w:contextualSpacing w:val="0"/>
        <w:rPr>
          <w:rFonts w:ascii="Times New Roman" w:hAnsi="Times New Roman" w:cs="Times New Roman"/>
        </w:rPr>
      </w:pPr>
      <w:r>
        <w:rPr>
          <w:rFonts w:ascii="Times New Roman" w:hAnsi="Times New Roman" w:cs="Times New Roman"/>
        </w:rPr>
        <w:t>P</w:t>
      </w:r>
      <w:r w:rsidRPr="007A3FDD" w:rsidR="003C5EFA">
        <w:rPr>
          <w:rFonts w:ascii="Times New Roman" w:hAnsi="Times New Roman" w:cs="Times New Roman"/>
        </w:rPr>
        <w:t>rescribing</w:t>
      </w:r>
      <w:r w:rsidRPr="007A3FDD" w:rsidR="003C5EFA">
        <w:rPr>
          <w:rFonts w:ascii="Times New Roman" w:hAnsi="Times New Roman" w:cs="Times New Roman"/>
          <w:spacing w:val="-5"/>
        </w:rPr>
        <w:t xml:space="preserve"> </w:t>
      </w:r>
      <w:r w:rsidRPr="007A3FDD" w:rsidR="003C5EFA">
        <w:rPr>
          <w:rFonts w:ascii="Times New Roman" w:hAnsi="Times New Roman" w:cs="Times New Roman"/>
        </w:rPr>
        <w:t>information</w:t>
      </w:r>
      <w:r w:rsidRPr="007A3FDD" w:rsidR="003C5EFA">
        <w:rPr>
          <w:rFonts w:ascii="Times New Roman" w:hAnsi="Times New Roman" w:cs="Times New Roman"/>
          <w:spacing w:val="-3"/>
        </w:rPr>
        <w:t xml:space="preserve"> </w:t>
      </w:r>
      <w:r>
        <w:rPr>
          <w:rFonts w:ascii="Times New Roman" w:hAnsi="Times New Roman" w:cs="Times New Roman"/>
          <w:spacing w:val="-3"/>
        </w:rPr>
        <w:t xml:space="preserve">in the </w:t>
      </w:r>
      <w:r>
        <w:rPr>
          <w:rFonts w:ascii="Times New Roman" w:hAnsi="Times New Roman" w:cs="Times New Roman"/>
        </w:rPr>
        <w:t xml:space="preserve">FDA-approved labeling </w:t>
      </w:r>
      <w:r w:rsidRPr="007A3FDD" w:rsidR="003C5EFA">
        <w:rPr>
          <w:rFonts w:ascii="Times New Roman" w:hAnsi="Times New Roman" w:cs="Times New Roman"/>
        </w:rPr>
        <w:t>for</w:t>
      </w:r>
      <w:r w:rsidRPr="007A3FDD" w:rsidR="003C5EFA">
        <w:rPr>
          <w:rFonts w:ascii="Times New Roman" w:hAnsi="Times New Roman" w:cs="Times New Roman"/>
          <w:spacing w:val="-3"/>
        </w:rPr>
        <w:t xml:space="preserve"> </w:t>
      </w:r>
      <w:r w:rsidR="00432B9D">
        <w:rPr>
          <w:rFonts w:ascii="Times New Roman" w:hAnsi="Times New Roman" w:cs="Times New Roman"/>
        </w:rPr>
        <w:t>the</w:t>
      </w:r>
      <w:r w:rsidRPr="007A3FDD" w:rsidR="00432B9D">
        <w:rPr>
          <w:rFonts w:ascii="Times New Roman" w:hAnsi="Times New Roman" w:cs="Times New Roman"/>
          <w:spacing w:val="-3"/>
        </w:rPr>
        <w:t xml:space="preserve"> </w:t>
      </w:r>
      <w:r w:rsidRPr="007A3FDD" w:rsidR="003C5EFA">
        <w:rPr>
          <w:rFonts w:ascii="Times New Roman" w:hAnsi="Times New Roman" w:cs="Times New Roman"/>
        </w:rPr>
        <w:t>selected</w:t>
      </w:r>
      <w:r w:rsidRPr="007A3FDD" w:rsidR="003C5EFA">
        <w:rPr>
          <w:rFonts w:ascii="Times New Roman" w:hAnsi="Times New Roman" w:cs="Times New Roman"/>
          <w:spacing w:val="-3"/>
        </w:rPr>
        <w:t xml:space="preserve"> </w:t>
      </w:r>
      <w:r w:rsidRPr="007A3FDD" w:rsidR="003C5EFA">
        <w:rPr>
          <w:rFonts w:ascii="Times New Roman" w:hAnsi="Times New Roman" w:cs="Times New Roman"/>
        </w:rPr>
        <w:t>drug</w:t>
      </w:r>
      <w:r w:rsidRPr="007A3FDD" w:rsidR="003C5EFA">
        <w:rPr>
          <w:rFonts w:ascii="Times New Roman" w:hAnsi="Times New Roman" w:cs="Times New Roman"/>
          <w:spacing w:val="-3"/>
        </w:rPr>
        <w:t xml:space="preserve"> </w:t>
      </w:r>
      <w:r w:rsidRPr="007A3FDD" w:rsidR="003C5EFA">
        <w:rPr>
          <w:rFonts w:ascii="Times New Roman" w:hAnsi="Times New Roman" w:cs="Times New Roman"/>
        </w:rPr>
        <w:t>and</w:t>
      </w:r>
      <w:r w:rsidR="00756595">
        <w:rPr>
          <w:rFonts w:ascii="Times New Roman" w:hAnsi="Times New Roman" w:cs="Times New Roman"/>
        </w:rPr>
        <w:t xml:space="preserve"> </w:t>
      </w:r>
      <w:r w:rsidR="00EA0DE6">
        <w:rPr>
          <w:rFonts w:ascii="Times New Roman" w:hAnsi="Times New Roman" w:cs="Times New Roman"/>
        </w:rPr>
        <w:t>for</w:t>
      </w:r>
      <w:r w:rsidR="00756595">
        <w:rPr>
          <w:rFonts w:ascii="Times New Roman" w:hAnsi="Times New Roman" w:cs="Times New Roman"/>
        </w:rPr>
        <w:t xml:space="preserve"> its</w:t>
      </w:r>
      <w:r w:rsidRPr="007A3FDD" w:rsidR="003C5EFA">
        <w:rPr>
          <w:rFonts w:ascii="Times New Roman" w:hAnsi="Times New Roman" w:cs="Times New Roman"/>
          <w:spacing w:val="-5"/>
        </w:rPr>
        <w:t xml:space="preserve"> </w:t>
      </w:r>
      <w:r w:rsidRPr="007A3FDD" w:rsidR="003C5EFA">
        <w:rPr>
          <w:rFonts w:ascii="Times New Roman" w:hAnsi="Times New Roman" w:cs="Times New Roman"/>
        </w:rPr>
        <w:t xml:space="preserve">therapeutic </w:t>
      </w:r>
      <w:r w:rsidRPr="007A3FDD" w:rsidR="003C5EFA">
        <w:rPr>
          <w:rFonts w:ascii="Times New Roman" w:hAnsi="Times New Roman" w:cs="Times New Roman"/>
        </w:rPr>
        <w:t>alternatives;</w:t>
      </w:r>
    </w:p>
    <w:p w:rsidR="00417BAB" w:rsidRPr="007A3FDD" w:rsidP="00E40D58" w14:paraId="3554592E" w14:textId="2F2D5DB3">
      <w:pPr>
        <w:pStyle w:val="ListParagraph"/>
        <w:widowControl w:val="0"/>
        <w:numPr>
          <w:ilvl w:val="1"/>
          <w:numId w:val="14"/>
        </w:numPr>
        <w:tabs>
          <w:tab w:val="left" w:pos="839"/>
          <w:tab w:val="left" w:pos="840"/>
        </w:tabs>
        <w:autoSpaceDE w:val="0"/>
        <w:autoSpaceDN w:val="0"/>
        <w:spacing w:after="0"/>
        <w:ind w:left="540" w:right="624" w:hanging="360"/>
        <w:contextualSpacing w:val="0"/>
        <w:rPr>
          <w:rFonts w:ascii="Times New Roman" w:hAnsi="Times New Roman" w:cs="Times New Roman"/>
        </w:rPr>
      </w:pPr>
      <w:r w:rsidRPr="007A3FDD">
        <w:rPr>
          <w:rFonts w:ascii="Times New Roman" w:hAnsi="Times New Roman" w:cs="Times New Roman"/>
        </w:rPr>
        <w:t xml:space="preserve">Comparative effectiveness of </w:t>
      </w:r>
      <w:r w:rsidR="00756595">
        <w:rPr>
          <w:rFonts w:ascii="Times New Roman" w:hAnsi="Times New Roman" w:cs="Times New Roman"/>
        </w:rPr>
        <w:t>the</w:t>
      </w:r>
      <w:r w:rsidRPr="007A3FDD" w:rsidR="00756595">
        <w:rPr>
          <w:rFonts w:ascii="Times New Roman" w:hAnsi="Times New Roman" w:cs="Times New Roman"/>
        </w:rPr>
        <w:t xml:space="preserve"> </w:t>
      </w:r>
      <w:r w:rsidRPr="007A3FDD">
        <w:rPr>
          <w:rFonts w:ascii="Times New Roman" w:hAnsi="Times New Roman" w:cs="Times New Roman"/>
        </w:rPr>
        <w:t>selected drug and</w:t>
      </w:r>
      <w:r w:rsidR="00756595">
        <w:rPr>
          <w:rFonts w:ascii="Times New Roman" w:hAnsi="Times New Roman" w:cs="Times New Roman"/>
        </w:rPr>
        <w:t xml:space="preserve"> its</w:t>
      </w:r>
      <w:r w:rsidRPr="007A3FDD">
        <w:rPr>
          <w:rFonts w:ascii="Times New Roman" w:hAnsi="Times New Roman" w:cs="Times New Roman"/>
        </w:rPr>
        <w:t xml:space="preserve"> therapeutic alternatives, </w:t>
      </w:r>
      <w:r w:rsidR="00756595">
        <w:rPr>
          <w:rFonts w:ascii="Times New Roman" w:hAnsi="Times New Roman" w:cs="Times New Roman"/>
        </w:rPr>
        <w:t>including</w:t>
      </w:r>
      <w:r w:rsidRPr="007A3FDD">
        <w:rPr>
          <w:rFonts w:ascii="Times New Roman" w:hAnsi="Times New Roman" w:cs="Times New Roman"/>
        </w:rPr>
        <w:t xml:space="preserve"> the effects of </w:t>
      </w:r>
      <w:r w:rsidR="00756595">
        <w:rPr>
          <w:rFonts w:ascii="Times New Roman" w:hAnsi="Times New Roman" w:cs="Times New Roman"/>
        </w:rPr>
        <w:t>the selected</w:t>
      </w:r>
      <w:r w:rsidRPr="007A3FDD" w:rsidR="00756595">
        <w:rPr>
          <w:rFonts w:ascii="Times New Roman" w:hAnsi="Times New Roman" w:cs="Times New Roman"/>
        </w:rPr>
        <w:t xml:space="preserve"> </w:t>
      </w:r>
      <w:r w:rsidRPr="007A3FDD">
        <w:rPr>
          <w:rFonts w:ascii="Times New Roman" w:hAnsi="Times New Roman" w:cs="Times New Roman"/>
        </w:rPr>
        <w:t xml:space="preserve">drug and </w:t>
      </w:r>
      <w:r w:rsidR="00756595">
        <w:rPr>
          <w:rFonts w:ascii="Times New Roman" w:hAnsi="Times New Roman" w:cs="Times New Roman"/>
        </w:rPr>
        <w:t xml:space="preserve">its </w:t>
      </w:r>
      <w:r w:rsidRPr="007A3FDD">
        <w:rPr>
          <w:rFonts w:ascii="Times New Roman" w:hAnsi="Times New Roman" w:cs="Times New Roman"/>
        </w:rPr>
        <w:t>therapeutic alternatives on</w:t>
      </w:r>
      <w:r w:rsidRPr="007A3FDD">
        <w:rPr>
          <w:rFonts w:ascii="Times New Roman" w:hAnsi="Times New Roman" w:cs="Times New Roman"/>
          <w:spacing w:val="-3"/>
        </w:rPr>
        <w:t xml:space="preserve"> </w:t>
      </w:r>
      <w:r w:rsidRPr="007A3FDD">
        <w:rPr>
          <w:rFonts w:ascii="Times New Roman" w:hAnsi="Times New Roman" w:cs="Times New Roman"/>
        </w:rPr>
        <w:t>specific</w:t>
      </w:r>
      <w:r w:rsidRPr="007A3FDD">
        <w:rPr>
          <w:rFonts w:ascii="Times New Roman" w:hAnsi="Times New Roman" w:cs="Times New Roman"/>
          <w:spacing w:val="-3"/>
        </w:rPr>
        <w:t xml:space="preserve"> </w:t>
      </w:r>
      <w:r w:rsidRPr="007A3FDD">
        <w:rPr>
          <w:rFonts w:ascii="Times New Roman" w:hAnsi="Times New Roman" w:cs="Times New Roman"/>
        </w:rPr>
        <w:t>populations</w:t>
      </w:r>
      <w:r w:rsidRPr="007A3FDD">
        <w:rPr>
          <w:rFonts w:ascii="Times New Roman" w:hAnsi="Times New Roman" w:cs="Times New Roman"/>
          <w:spacing w:val="-3"/>
        </w:rPr>
        <w:t xml:space="preserve"> </w:t>
      </w:r>
      <w:r w:rsidR="00756595">
        <w:rPr>
          <w:rFonts w:ascii="Times New Roman" w:hAnsi="Times New Roman" w:cs="Times New Roman"/>
          <w:spacing w:val="-3"/>
        </w:rPr>
        <w:t>(including</w:t>
      </w:r>
      <w:r w:rsidRPr="007A3FDD">
        <w:rPr>
          <w:rFonts w:ascii="Times New Roman" w:hAnsi="Times New Roman" w:cs="Times New Roman"/>
          <w:spacing w:val="-3"/>
        </w:rPr>
        <w:t xml:space="preserve"> </w:t>
      </w:r>
      <w:r w:rsidRPr="007A3FDD">
        <w:rPr>
          <w:rFonts w:ascii="Times New Roman" w:hAnsi="Times New Roman" w:cs="Times New Roman"/>
        </w:rPr>
        <w:t>individuals</w:t>
      </w:r>
      <w:r w:rsidRPr="007A3FDD">
        <w:rPr>
          <w:rFonts w:ascii="Times New Roman" w:hAnsi="Times New Roman" w:cs="Times New Roman"/>
          <w:spacing w:val="-3"/>
        </w:rPr>
        <w:t xml:space="preserve"> </w:t>
      </w:r>
      <w:r w:rsidRPr="007A3FDD">
        <w:rPr>
          <w:rFonts w:ascii="Times New Roman" w:hAnsi="Times New Roman" w:cs="Times New Roman"/>
        </w:rPr>
        <w:t>with</w:t>
      </w:r>
      <w:r w:rsidRPr="007A3FDD">
        <w:rPr>
          <w:rFonts w:ascii="Times New Roman" w:hAnsi="Times New Roman" w:cs="Times New Roman"/>
          <w:spacing w:val="-3"/>
        </w:rPr>
        <w:t xml:space="preserve"> </w:t>
      </w:r>
      <w:r w:rsidRPr="007A3FDD">
        <w:rPr>
          <w:rFonts w:ascii="Times New Roman" w:hAnsi="Times New Roman" w:cs="Times New Roman"/>
        </w:rPr>
        <w:t>disabilities,</w:t>
      </w:r>
      <w:r w:rsidRPr="007A3FDD">
        <w:rPr>
          <w:rFonts w:ascii="Times New Roman" w:hAnsi="Times New Roman" w:cs="Times New Roman"/>
          <w:spacing w:val="-3"/>
        </w:rPr>
        <w:t xml:space="preserve"> </w:t>
      </w:r>
      <w:r w:rsidRPr="007A3FDD">
        <w:rPr>
          <w:rFonts w:ascii="Times New Roman" w:hAnsi="Times New Roman" w:cs="Times New Roman"/>
        </w:rPr>
        <w:t>the</w:t>
      </w:r>
      <w:r w:rsidRPr="007A3FDD">
        <w:rPr>
          <w:rFonts w:ascii="Times New Roman" w:hAnsi="Times New Roman" w:cs="Times New Roman"/>
          <w:spacing w:val="-4"/>
        </w:rPr>
        <w:t xml:space="preserve"> </w:t>
      </w:r>
      <w:r w:rsidRPr="007A3FDD">
        <w:rPr>
          <w:rFonts w:ascii="Times New Roman" w:hAnsi="Times New Roman" w:cs="Times New Roman"/>
        </w:rPr>
        <w:t>elderly,</w:t>
      </w:r>
      <w:r w:rsidRPr="007A3FDD">
        <w:rPr>
          <w:rFonts w:ascii="Times New Roman" w:hAnsi="Times New Roman" w:cs="Times New Roman"/>
          <w:spacing w:val="-3"/>
        </w:rPr>
        <w:t xml:space="preserve"> </w:t>
      </w:r>
      <w:r w:rsidRPr="007A3FDD">
        <w:rPr>
          <w:rFonts w:ascii="Times New Roman" w:hAnsi="Times New Roman" w:cs="Times New Roman"/>
        </w:rPr>
        <w:t>the terminally ill, children, and other patient populations</w:t>
      </w:r>
      <w:r w:rsidR="00756595">
        <w:rPr>
          <w:rFonts w:ascii="Times New Roman" w:hAnsi="Times New Roman" w:cs="Times New Roman"/>
        </w:rPr>
        <w:t>)</w:t>
      </w:r>
      <w:r w:rsidRPr="007A3FDD">
        <w:rPr>
          <w:rFonts w:ascii="Times New Roman" w:hAnsi="Times New Roman" w:cs="Times New Roman"/>
        </w:rPr>
        <w:t>; and</w:t>
      </w:r>
    </w:p>
    <w:p w:rsidR="00417BAB" w:rsidRPr="00991678" w:rsidP="00F145AD" w14:paraId="01280252" w14:textId="3EA8E280">
      <w:pPr>
        <w:pStyle w:val="ListParagraph"/>
        <w:widowControl w:val="0"/>
        <w:numPr>
          <w:ilvl w:val="1"/>
          <w:numId w:val="14"/>
        </w:numPr>
        <w:tabs>
          <w:tab w:val="left" w:pos="839"/>
          <w:tab w:val="left" w:pos="840"/>
        </w:tabs>
        <w:autoSpaceDE w:val="0"/>
        <w:autoSpaceDN w:val="0"/>
        <w:ind w:left="547" w:right="461" w:hanging="360"/>
        <w:contextualSpacing w:val="0"/>
      </w:pPr>
      <w:r w:rsidRPr="007A3FDD">
        <w:rPr>
          <w:rFonts w:ascii="Times New Roman" w:hAnsi="Times New Roman" w:cs="Times New Roman"/>
        </w:rPr>
        <w:t>The</w:t>
      </w:r>
      <w:r w:rsidRPr="007A3FDD">
        <w:rPr>
          <w:rFonts w:ascii="Times New Roman" w:hAnsi="Times New Roman" w:cs="Times New Roman"/>
          <w:spacing w:val="-3"/>
        </w:rPr>
        <w:t xml:space="preserve"> </w:t>
      </w:r>
      <w:r w:rsidRPr="007A3FDD">
        <w:rPr>
          <w:rFonts w:ascii="Times New Roman" w:hAnsi="Times New Roman" w:cs="Times New Roman"/>
        </w:rPr>
        <w:t>extent</w:t>
      </w:r>
      <w:r w:rsidRPr="007A3FDD">
        <w:rPr>
          <w:rFonts w:ascii="Times New Roman" w:hAnsi="Times New Roman" w:cs="Times New Roman"/>
          <w:spacing w:val="-4"/>
        </w:rPr>
        <w:t xml:space="preserve"> </w:t>
      </w:r>
      <w:r w:rsidRPr="007A3FDD">
        <w:rPr>
          <w:rFonts w:ascii="Times New Roman" w:hAnsi="Times New Roman" w:cs="Times New Roman"/>
        </w:rPr>
        <w:t>to</w:t>
      </w:r>
      <w:r w:rsidRPr="007A3FDD">
        <w:rPr>
          <w:rFonts w:ascii="Times New Roman" w:hAnsi="Times New Roman" w:cs="Times New Roman"/>
          <w:spacing w:val="-3"/>
        </w:rPr>
        <w:t xml:space="preserve"> </w:t>
      </w:r>
      <w:r w:rsidRPr="007A3FDD">
        <w:rPr>
          <w:rFonts w:ascii="Times New Roman" w:hAnsi="Times New Roman" w:cs="Times New Roman"/>
        </w:rPr>
        <w:t>which</w:t>
      </w:r>
      <w:r w:rsidRPr="007A3FDD">
        <w:rPr>
          <w:rFonts w:ascii="Times New Roman" w:hAnsi="Times New Roman" w:cs="Times New Roman"/>
          <w:spacing w:val="-3"/>
        </w:rPr>
        <w:t xml:space="preserve"> </w:t>
      </w:r>
      <w:r w:rsidR="00756595">
        <w:rPr>
          <w:rFonts w:ascii="Times New Roman" w:hAnsi="Times New Roman" w:cs="Times New Roman"/>
        </w:rPr>
        <w:t>the</w:t>
      </w:r>
      <w:r w:rsidRPr="007A3FDD" w:rsidR="00756595">
        <w:rPr>
          <w:rFonts w:ascii="Times New Roman" w:hAnsi="Times New Roman" w:cs="Times New Roman"/>
          <w:spacing w:val="-3"/>
        </w:rPr>
        <w:t xml:space="preserve"> </w:t>
      </w:r>
      <w:r w:rsidRPr="007A3FDD">
        <w:rPr>
          <w:rFonts w:ascii="Times New Roman" w:hAnsi="Times New Roman" w:cs="Times New Roman"/>
        </w:rPr>
        <w:t>selected</w:t>
      </w:r>
      <w:r w:rsidRPr="007A3FDD">
        <w:rPr>
          <w:rFonts w:ascii="Times New Roman" w:hAnsi="Times New Roman" w:cs="Times New Roman"/>
          <w:spacing w:val="-3"/>
        </w:rPr>
        <w:t xml:space="preserve"> </w:t>
      </w:r>
      <w:r w:rsidRPr="007A3FDD">
        <w:rPr>
          <w:rFonts w:ascii="Times New Roman" w:hAnsi="Times New Roman" w:cs="Times New Roman"/>
        </w:rPr>
        <w:t>drug</w:t>
      </w:r>
      <w:r w:rsidRPr="007A3FDD">
        <w:rPr>
          <w:rFonts w:ascii="Times New Roman" w:hAnsi="Times New Roman" w:cs="Times New Roman"/>
          <w:spacing w:val="-3"/>
        </w:rPr>
        <w:t xml:space="preserve"> </w:t>
      </w:r>
      <w:r w:rsidRPr="007A3FDD">
        <w:rPr>
          <w:rFonts w:ascii="Times New Roman" w:hAnsi="Times New Roman" w:cs="Times New Roman"/>
        </w:rPr>
        <w:t>and</w:t>
      </w:r>
      <w:r w:rsidRPr="007A3FDD">
        <w:rPr>
          <w:rFonts w:ascii="Times New Roman" w:hAnsi="Times New Roman" w:cs="Times New Roman"/>
          <w:spacing w:val="-3"/>
        </w:rPr>
        <w:t xml:space="preserve"> </w:t>
      </w:r>
      <w:r w:rsidR="00756595">
        <w:rPr>
          <w:rFonts w:ascii="Times New Roman" w:hAnsi="Times New Roman" w:cs="Times New Roman"/>
          <w:spacing w:val="-3"/>
        </w:rPr>
        <w:t xml:space="preserve">the </w:t>
      </w:r>
      <w:r w:rsidRPr="007A3FDD">
        <w:rPr>
          <w:rFonts w:ascii="Times New Roman" w:hAnsi="Times New Roman" w:cs="Times New Roman"/>
        </w:rPr>
        <w:t>therapeutic</w:t>
      </w:r>
      <w:r w:rsidRPr="007A3FDD">
        <w:rPr>
          <w:rFonts w:ascii="Times New Roman" w:hAnsi="Times New Roman" w:cs="Times New Roman"/>
          <w:spacing w:val="-4"/>
        </w:rPr>
        <w:t xml:space="preserve"> </w:t>
      </w:r>
      <w:r w:rsidRPr="007A3FDD">
        <w:rPr>
          <w:rFonts w:ascii="Times New Roman" w:hAnsi="Times New Roman" w:cs="Times New Roman"/>
        </w:rPr>
        <w:t>alternatives</w:t>
      </w:r>
      <w:r w:rsidRPr="007A3FDD">
        <w:rPr>
          <w:rFonts w:ascii="Times New Roman" w:hAnsi="Times New Roman" w:cs="Times New Roman"/>
          <w:spacing w:val="-3"/>
        </w:rPr>
        <w:t xml:space="preserve"> </w:t>
      </w:r>
      <w:r w:rsidRPr="007A3FDD">
        <w:rPr>
          <w:rFonts w:ascii="Times New Roman" w:hAnsi="Times New Roman" w:cs="Times New Roman"/>
        </w:rPr>
        <w:t>to</w:t>
      </w:r>
      <w:r w:rsidRPr="007A3FDD">
        <w:rPr>
          <w:rFonts w:ascii="Times New Roman" w:hAnsi="Times New Roman" w:cs="Times New Roman"/>
          <w:spacing w:val="-3"/>
        </w:rPr>
        <w:t xml:space="preserve"> </w:t>
      </w:r>
      <w:r w:rsidR="00756595">
        <w:rPr>
          <w:rFonts w:ascii="Times New Roman" w:hAnsi="Times New Roman" w:cs="Times New Roman"/>
          <w:spacing w:val="-3"/>
        </w:rPr>
        <w:t>the</w:t>
      </w:r>
      <w:r w:rsidRPr="007A3FDD">
        <w:rPr>
          <w:rFonts w:ascii="Times New Roman" w:hAnsi="Times New Roman" w:cs="Times New Roman"/>
          <w:spacing w:val="-3"/>
        </w:rPr>
        <w:t xml:space="preserve"> </w:t>
      </w:r>
      <w:r w:rsidRPr="007A3FDD">
        <w:rPr>
          <w:rFonts w:ascii="Times New Roman" w:hAnsi="Times New Roman" w:cs="Times New Roman"/>
        </w:rPr>
        <w:t>drug</w:t>
      </w:r>
      <w:r w:rsidRPr="007A3FDD">
        <w:rPr>
          <w:rFonts w:ascii="Times New Roman" w:hAnsi="Times New Roman" w:cs="Times New Roman"/>
          <w:spacing w:val="-3"/>
        </w:rPr>
        <w:t xml:space="preserve"> </w:t>
      </w:r>
      <w:r w:rsidRPr="007A3FDD">
        <w:rPr>
          <w:rFonts w:ascii="Times New Roman" w:hAnsi="Times New Roman" w:cs="Times New Roman"/>
        </w:rPr>
        <w:t>address unmet medical needs for a condition for which treatment or diagnosis is not addressed adequately by available therapy.</w:t>
      </w:r>
    </w:p>
    <w:p w:rsidR="00D5089D" w:rsidP="000A5850" w14:paraId="0BD5A6D2" w14:textId="6A747924">
      <w:r w:rsidRPr="005858A5">
        <w:t xml:space="preserve">The Negotiation Data Elements </w:t>
      </w:r>
      <w:r>
        <w:t>ICR</w:t>
      </w:r>
      <w:r w:rsidRPr="005858A5">
        <w:t xml:space="preserve"> Form for manufacturer-submitted data elements</w:t>
      </w:r>
      <w:r>
        <w:t xml:space="preserve"> and </w:t>
      </w:r>
      <w:r w:rsidR="00FA76E2">
        <w:t xml:space="preserve">public submissions about </w:t>
      </w:r>
      <w:r>
        <w:t>evidence about alternative treatments</w:t>
      </w:r>
      <w:r w:rsidRPr="005858A5">
        <w:t xml:space="preserve"> must be submitted to CMS not later than </w:t>
      </w:r>
      <w:r>
        <w:t>March</w:t>
      </w:r>
      <w:r w:rsidRPr="005858A5">
        <w:t xml:space="preserve"> </w:t>
      </w:r>
      <w:r>
        <w:t>1</w:t>
      </w:r>
      <w:r w:rsidRPr="005858A5">
        <w:t>, 202</w:t>
      </w:r>
      <w:r w:rsidR="002D1868">
        <w:t>6</w:t>
      </w:r>
      <w:r>
        <w:t>,</w:t>
      </w:r>
      <w:r w:rsidRPr="005858A5">
        <w:t xml:space="preserve"> for initial price applicability year 202</w:t>
      </w:r>
      <w:r w:rsidR="002D1868">
        <w:t>8</w:t>
      </w:r>
      <w:r>
        <w:t>.</w:t>
      </w:r>
    </w:p>
    <w:p w:rsidR="00F32B08" w:rsidRPr="00C4396E" w:rsidP="000A5850" w14:paraId="3CDE583D" w14:textId="77D0E799">
      <w:pPr>
        <w:pStyle w:val="Header3"/>
      </w:pPr>
      <w:r>
        <w:t>Counteroffer ICR Form</w:t>
      </w:r>
    </w:p>
    <w:p w:rsidR="00F32B08" w:rsidP="000A5850" w14:paraId="6AD28EE0" w14:textId="4057B46B">
      <w:pPr>
        <w:widowControl w:val="0"/>
        <w:tabs>
          <w:tab w:val="left" w:pos="839"/>
          <w:tab w:val="left" w:pos="840"/>
        </w:tabs>
        <w:autoSpaceDE w:val="0"/>
        <w:autoSpaceDN w:val="0"/>
        <w:ind w:right="461"/>
      </w:pPr>
      <w:r>
        <w:t xml:space="preserve">Section 1194(b)(2)(C) of the Act provides that </w:t>
      </w:r>
      <w:r w:rsidR="006A0AB7">
        <w:t xml:space="preserve">if the Primary Manufacturer does not accept CMS’ written initial </w:t>
      </w:r>
      <w:r w:rsidR="003172B6">
        <w:t>offer,</w:t>
      </w:r>
      <w:r>
        <w:t xml:space="preserve"> the Primary Manufacturer may submit an optional </w:t>
      </w:r>
      <w:r w:rsidR="003622FF">
        <w:t xml:space="preserve">statutory </w:t>
      </w:r>
      <w:r>
        <w:t xml:space="preserve">written counteroffer </w:t>
      </w:r>
      <w:r w:rsidR="00F4709D">
        <w:t xml:space="preserve">no later than 30 days after the date of receipt of </w:t>
      </w:r>
      <w:r w:rsidR="00945590">
        <w:t>CMS’</w:t>
      </w:r>
      <w:r w:rsidRPr="7C2D0501" w:rsidR="009E10D5">
        <w:t xml:space="preserve"> </w:t>
      </w:r>
      <w:r w:rsidR="00F4709D">
        <w:t xml:space="preserve">written initial offer. If the Primary Manufacturer chooses to develop and submit </w:t>
      </w:r>
      <w:r w:rsidR="00130B64">
        <w:t>such</w:t>
      </w:r>
      <w:r w:rsidRPr="7C2D0501" w:rsidR="00F4709D">
        <w:t xml:space="preserve"> </w:t>
      </w:r>
      <w:r w:rsidR="003622FF">
        <w:t xml:space="preserve">statutory </w:t>
      </w:r>
      <w:r w:rsidR="00F4709D">
        <w:t>written counteroffer to CMS’ written initial offer during the negotiation process for initial price applicability year 202</w:t>
      </w:r>
      <w:r w:rsidR="005C7139">
        <w:t>8</w:t>
      </w:r>
      <w:r w:rsidR="00F4709D">
        <w:t>, the Primary Manufacturer must submit the</w:t>
      </w:r>
      <w:r w:rsidRPr="7C2D0501" w:rsidR="00B4018C">
        <w:t xml:space="preserve"> </w:t>
      </w:r>
      <w:r w:rsidR="00B4018C">
        <w:t>Statutory Written</w:t>
      </w:r>
      <w:r w:rsidR="00F4709D">
        <w:t xml:space="preserve"> Counteroffer </w:t>
      </w:r>
      <w:r w:rsidR="0004648B">
        <w:t xml:space="preserve">ICR </w:t>
      </w:r>
      <w:r w:rsidR="00F4709D">
        <w:t>Form.</w:t>
      </w:r>
    </w:p>
    <w:p w:rsidR="00E37F19" w:rsidP="000A5850" w14:paraId="1A5038C2" w14:textId="12EA8799">
      <w:pPr>
        <w:widowControl w:val="0"/>
        <w:tabs>
          <w:tab w:val="left" w:pos="839"/>
          <w:tab w:val="left" w:pos="840"/>
        </w:tabs>
        <w:autoSpaceDE w:val="0"/>
        <w:autoSpaceDN w:val="0"/>
        <w:ind w:right="461"/>
      </w:pPr>
      <w:r>
        <w:t xml:space="preserve">Section </w:t>
      </w:r>
      <w:r w:rsidRPr="00774A28">
        <w:rPr>
          <w:rFonts w:eastAsia="Calibri"/>
        </w:rPr>
        <w:t>1194(f)(4)(B)</w:t>
      </w:r>
      <w:r>
        <w:t xml:space="preserve"> of the Act provides that </w:t>
      </w:r>
      <w:r w:rsidRPr="00774A28">
        <w:rPr>
          <w:rFonts w:eastAsia="Calibri"/>
        </w:rPr>
        <w:t xml:space="preserve">CMS shall, to the extent practicable, establish a renegotiation process that is consistent with the </w:t>
      </w:r>
      <w:r w:rsidR="00C40A1B">
        <w:rPr>
          <w:rFonts w:eastAsia="Calibri"/>
        </w:rPr>
        <w:t xml:space="preserve">methodology and process established for </w:t>
      </w:r>
      <w:r w:rsidRPr="00774A28">
        <w:rPr>
          <w:rFonts w:eastAsia="Calibri"/>
        </w:rPr>
        <w:t xml:space="preserve">negotiation </w:t>
      </w:r>
      <w:r>
        <w:rPr>
          <w:rFonts w:eastAsia="Calibri"/>
        </w:rPr>
        <w:t>under section 1194(b) of the Act, and in accordance with sections 1194(c), (d), and (e) of the Act</w:t>
      </w:r>
      <w:r w:rsidRPr="00774A28">
        <w:rPr>
          <w:rFonts w:eastAsia="Calibri"/>
        </w:rPr>
        <w:t>.</w:t>
      </w:r>
      <w:r>
        <w:rPr>
          <w:rFonts w:eastAsia="Calibri"/>
        </w:rPr>
        <w:t xml:space="preserve"> Consistent with the negotiation process described in section 60.4 of </w:t>
      </w:r>
      <w:r w:rsidR="00240FA8">
        <w:rPr>
          <w:rFonts w:eastAsia="Calibri"/>
        </w:rPr>
        <w:t>final</w:t>
      </w:r>
      <w:r>
        <w:rPr>
          <w:rFonts w:eastAsia="Calibri"/>
        </w:rPr>
        <w:t xml:space="preserve"> guidance, </w:t>
      </w:r>
      <w:r>
        <w:t>if the Primary Manufacturer does not accept CMS’ written initial offer, the Primary Manufacturer may submit an optional renegotiation written counteroffer no later than 30 days after the date of receipt of CMS’</w:t>
      </w:r>
      <w:r w:rsidRPr="7C2D0501">
        <w:t xml:space="preserve"> </w:t>
      </w:r>
      <w:r>
        <w:t>written initial offer</w:t>
      </w:r>
      <w:r w:rsidR="00F7740E">
        <w:t xml:space="preserve"> in ac</w:t>
      </w:r>
      <w:r w:rsidR="00774C9A">
        <w:t xml:space="preserve">cordance with section 130.4.3 of the </w:t>
      </w:r>
      <w:r w:rsidR="00240FA8">
        <w:t>final</w:t>
      </w:r>
      <w:r w:rsidR="00774C9A">
        <w:t xml:space="preserve"> guidance</w:t>
      </w:r>
      <w:r>
        <w:t>. If the Primary Manufacturer chooses to develop and submit such</w:t>
      </w:r>
      <w:r w:rsidRPr="7C2D0501">
        <w:t xml:space="preserve"> </w:t>
      </w:r>
      <w:r>
        <w:t xml:space="preserve">renegotiation written counteroffer to CMS’ written initial offer during the </w:t>
      </w:r>
      <w:r w:rsidR="008664DF">
        <w:t>re</w:t>
      </w:r>
      <w:r>
        <w:t>negotiation process for initial price applicability year 2028, the Primary Manufacturer must submit the</w:t>
      </w:r>
      <w:r w:rsidRPr="7C2D0501">
        <w:t xml:space="preserve"> </w:t>
      </w:r>
      <w:r>
        <w:t xml:space="preserve">Renegotiation Written Counteroffer </w:t>
      </w:r>
      <w:r w:rsidR="005659D9">
        <w:t xml:space="preserve">ICR </w:t>
      </w:r>
      <w:r>
        <w:t>Form.</w:t>
      </w:r>
    </w:p>
    <w:p w:rsidR="00971F1A" w:rsidP="00D45546" w14:paraId="21F7CDA0" w14:textId="5D3D3372">
      <w:pPr>
        <w:pStyle w:val="Heading2"/>
      </w:pPr>
      <w:r>
        <w:t>2. Information Users</w:t>
      </w:r>
    </w:p>
    <w:p w:rsidR="00437FA1" w:rsidP="6B370752" w14:paraId="623E94C1" w14:textId="2ECEC89B">
      <w:r w:rsidRPr="6B370752">
        <w:t xml:space="preserve">Under the authority of </w:t>
      </w:r>
      <w:r w:rsidR="00197663">
        <w:t>s</w:t>
      </w:r>
      <w:r w:rsidRPr="6B370752">
        <w:t>ections 1193 and 1194 of the Act, CMS is authorized to collect data and information require</w:t>
      </w:r>
      <w:r w:rsidR="00A02074">
        <w:t>d</w:t>
      </w:r>
      <w:r w:rsidRPr="6B370752">
        <w:t xml:space="preserve"> for negotiation</w:t>
      </w:r>
      <w:r w:rsidR="007C31C4">
        <w:t xml:space="preserve"> and renegotiation</w:t>
      </w:r>
      <w:r w:rsidRPr="6B370752">
        <w:t xml:space="preserve">. CMS will use the submitted information to negotiate </w:t>
      </w:r>
      <w:r w:rsidR="005C7139">
        <w:t>or renegotiate, as applicable</w:t>
      </w:r>
      <w:r w:rsidR="00231C0F">
        <w:t>,</w:t>
      </w:r>
      <w:r w:rsidR="005C7139">
        <w:t xml:space="preserve"> </w:t>
      </w:r>
      <w:r w:rsidR="00A0058E">
        <w:t>and seek to reach agreement on an MFP</w:t>
      </w:r>
      <w:r w:rsidR="005C7139">
        <w:t>, as applicable,</w:t>
      </w:r>
      <w:r w:rsidR="00A0058E">
        <w:t xml:space="preserve"> for the selected drug </w:t>
      </w:r>
      <w:r w:rsidRPr="6B370752">
        <w:t xml:space="preserve">with the </w:t>
      </w:r>
      <w:r w:rsidR="0084157E">
        <w:t>Primary Manufacturer</w:t>
      </w:r>
      <w:r w:rsidRPr="6B370752">
        <w:t xml:space="preserve">. </w:t>
      </w:r>
    </w:p>
    <w:p w:rsidR="34A0DA8E" w:rsidRPr="00D45546" w:rsidP="00D45546" w14:paraId="34509820" w14:textId="0FEB8910">
      <w:pPr>
        <w:pStyle w:val="Heading2"/>
      </w:pPr>
      <w:r w:rsidRPr="00A06A23">
        <w:t>3. Use of Information Technology</w:t>
      </w:r>
    </w:p>
    <w:p w:rsidR="00C270E5" w:rsidP="001571CF" w14:paraId="58253022" w14:textId="70850193">
      <w:pPr>
        <w:pStyle w:val="Header3"/>
      </w:pPr>
      <w:r>
        <w:t>Negotiation Data Elements</w:t>
      </w:r>
      <w:r w:rsidR="00C30911">
        <w:t xml:space="preserve"> ICR Form</w:t>
      </w:r>
    </w:p>
    <w:p w:rsidR="34A0DA8E" w:rsidP="000A5850" w14:paraId="40D4CDD2" w14:textId="615A16AF">
      <w:pPr>
        <w:pStyle w:val="Heading4"/>
      </w:pPr>
      <w:r w:rsidRPr="34A0DA8E">
        <w:t>Manufacturer-Specific Data</w:t>
      </w:r>
    </w:p>
    <w:p w:rsidR="00B86AD5" w:rsidP="00B86AD5" w14:paraId="749EE889" w14:textId="44900F8D">
      <w:pPr>
        <w:spacing w:after="0" w:line="259" w:lineRule="auto"/>
      </w:pPr>
      <w:r>
        <w:t xml:space="preserve">CMS </w:t>
      </w:r>
      <w:r w:rsidR="00033DDC">
        <w:t>has</w:t>
      </w:r>
      <w:r>
        <w:t xml:space="preserve"> develop</w:t>
      </w:r>
      <w:r w:rsidR="00033DDC">
        <w:t>ed</w:t>
      </w:r>
      <w:r>
        <w:t xml:space="preserve"> an automated tool within an existing information technology system</w:t>
      </w:r>
      <w:r w:rsidR="00B83CB9">
        <w:t xml:space="preserve"> used by manufacturers of drugs covered under Medicare Part D</w:t>
      </w:r>
      <w:r>
        <w:t xml:space="preserve">, the </w:t>
      </w:r>
      <w:r w:rsidR="00BA4CA8">
        <w:t xml:space="preserve">CMS </w:t>
      </w:r>
      <w:r>
        <w:t xml:space="preserve">HPMS, for </w:t>
      </w:r>
      <w:r w:rsidR="002A2BF5">
        <w:t>Primary</w:t>
      </w:r>
      <w:r w:rsidR="0075574B">
        <w:t xml:space="preserve"> </w:t>
      </w:r>
      <w:r w:rsidR="00B718B1">
        <w:t>M</w:t>
      </w:r>
      <w:r>
        <w:t xml:space="preserve">anufacturers to </w:t>
      </w:r>
      <w:r w:rsidR="00B718B1">
        <w:t>provide</w:t>
      </w:r>
      <w:r>
        <w:t xml:space="preserve"> </w:t>
      </w:r>
      <w:r w:rsidR="008715D3">
        <w:t>the Negotiation Data Elements using the ICR form</w:t>
      </w:r>
      <w:r>
        <w:t xml:space="preserve">. </w:t>
      </w:r>
      <w:r>
        <w:t xml:space="preserve">Manufacturers of drugs </w:t>
      </w:r>
      <w:r w:rsidR="00116402">
        <w:t>payable</w:t>
      </w:r>
      <w:r>
        <w:t xml:space="preserve"> under Medicare Part B currently use the CMS HPMS for the Medicare Prescription Drug Inflation Rebate Program.</w:t>
      </w:r>
      <w:r>
        <w:rPr>
          <w:rStyle w:val="FootnoteReference"/>
        </w:rPr>
        <w:footnoteReference w:id="7"/>
      </w:r>
      <w:r>
        <w:t xml:space="preserve"> Instructions for manufacturers to gain access to the CMS HPMS can be found in the “Instructions for Requesting Drug Manufacturer Access in the </w:t>
      </w:r>
      <w:r w:rsidRPr="001F3D74">
        <w:t xml:space="preserve">CMS </w:t>
      </w:r>
      <w:r>
        <w:t>Health Plan Management System (</w:t>
      </w:r>
      <w:r w:rsidRPr="001F3D74">
        <w:t xml:space="preserve">CMS </w:t>
      </w:r>
      <w:r>
        <w:t>HPMS</w:t>
      </w:r>
      <w:r w:rsidRPr="001F3D74">
        <w:t>) for the Medicare Drug Price Negotiation Program</w:t>
      </w:r>
      <w:r>
        <w:t>” PDF. Instructions for gaining signatory access to the CMS HPMS are also included in this PDF.</w:t>
      </w:r>
      <w:r>
        <w:rPr>
          <w:vertAlign w:val="superscript"/>
        </w:rPr>
        <w:footnoteReference w:id="8"/>
      </w:r>
      <w:r>
        <w:t xml:space="preserve"> </w:t>
      </w:r>
    </w:p>
    <w:p w:rsidR="00173C25" w:rsidP="00B86AD5" w14:paraId="2ABDFCE9" w14:textId="77777777">
      <w:pPr>
        <w:spacing w:after="0" w:line="259" w:lineRule="auto"/>
      </w:pPr>
    </w:p>
    <w:p w:rsidR="00FF767D" w:rsidP="00B83CB9" w14:paraId="1392C951" w14:textId="6557751A">
      <w:pPr>
        <w:rPr>
          <w:color w:val="000000" w:themeColor="text1"/>
        </w:rPr>
      </w:pPr>
      <w:r w:rsidRPr="000C1BDF">
        <w:t xml:space="preserve">The individuals who certify the Primary Manufacturer’s </w:t>
      </w:r>
      <w:r>
        <w:t>data elements</w:t>
      </w:r>
      <w:r w:rsidRPr="000C1BDF">
        <w:t xml:space="preserve"> submission in the CMS HPMS must be</w:t>
      </w:r>
      <w:r w:rsidR="00AF28FC">
        <w:t>:</w:t>
      </w:r>
      <w:r w:rsidRPr="000C1BDF">
        <w:t xml:space="preserve"> (1) the chief executive officer (CEO)</w:t>
      </w:r>
      <w:r>
        <w:t xml:space="preserve"> of the Primary Manufacturer</w:t>
      </w:r>
      <w:r w:rsidRPr="000C1BDF">
        <w:t>, (2) the chief financial off</w:t>
      </w:r>
      <w:r>
        <w:t>ic</w:t>
      </w:r>
      <w:r w:rsidRPr="000C1BDF">
        <w:t>er (CFO)</w:t>
      </w:r>
      <w:r>
        <w:t xml:space="preserve"> of the Primary Manufacturer</w:t>
      </w:r>
      <w:r w:rsidRPr="000C1BDF">
        <w:t>, (3) an individual other than a CEO or CFO, who has authority equivalent to a CEO or a CFO</w:t>
      </w:r>
      <w:r>
        <w:t xml:space="preserve"> of the Primary Manufacturer</w:t>
      </w:r>
      <w:r w:rsidRPr="000C1BDF">
        <w:t xml:space="preserve">, or (4) an individual with the directly delegated authority to perform the certification on behalf of one of the individuals mentioned in (1) through (3).   </w:t>
      </w:r>
    </w:p>
    <w:p w:rsidR="003A7F6E" w:rsidRPr="00E172C6" w:rsidP="00B83CB9" w14:paraId="2CB6941F" w14:textId="4839E633">
      <w:pPr>
        <w:rPr>
          <w:u w:val="single"/>
        </w:rPr>
      </w:pPr>
      <w:r w:rsidRPr="00E172C6">
        <w:rPr>
          <w:u w:val="single"/>
        </w:rPr>
        <w:t>Evidence About Alternative Treatments</w:t>
      </w:r>
    </w:p>
    <w:p w:rsidR="004D6F14" w:rsidP="00552488" w14:paraId="562085FC" w14:textId="4A60BA85">
      <w:pPr>
        <w:rPr>
          <w:color w:val="000000" w:themeColor="text1"/>
        </w:rPr>
      </w:pPr>
      <w:r>
        <w:t xml:space="preserve">Pursuant to </w:t>
      </w:r>
      <w:r w:rsidR="00A05709">
        <w:t>section</w:t>
      </w:r>
      <w:r w:rsidR="00142D44">
        <w:t>s</w:t>
      </w:r>
      <w:r w:rsidR="00A05709">
        <w:t xml:space="preserve"> 50.2 </w:t>
      </w:r>
      <w:r w:rsidR="00142D44">
        <w:t xml:space="preserve">and 130.3.2 </w:t>
      </w:r>
      <w:r w:rsidR="00A05709">
        <w:t xml:space="preserve">of the </w:t>
      </w:r>
      <w:r w:rsidR="00240FA8">
        <w:t>final</w:t>
      </w:r>
      <w:r w:rsidR="00142D44">
        <w:t xml:space="preserve"> </w:t>
      </w:r>
      <w:r w:rsidR="00A05709">
        <w:t>guidance, t</w:t>
      </w:r>
      <w:r w:rsidR="003C5EFA">
        <w:t xml:space="preserve">he </w:t>
      </w:r>
      <w:r w:rsidR="00446373">
        <w:t xml:space="preserve">Primary Manufacturer </w:t>
      </w:r>
      <w:r w:rsidR="003C5EFA">
        <w:t xml:space="preserve">of </w:t>
      </w:r>
      <w:r w:rsidR="00446373">
        <w:t>a</w:t>
      </w:r>
      <w:r w:rsidR="003C5EFA">
        <w:t xml:space="preserve"> selected drug </w:t>
      </w:r>
      <w:r w:rsidR="00427D34">
        <w:t xml:space="preserve">may </w:t>
      </w:r>
      <w:r w:rsidR="003C5EFA">
        <w:t xml:space="preserve">optionally submit any evidence about </w:t>
      </w:r>
      <w:r w:rsidR="00DF6D47">
        <w:t xml:space="preserve">their </w:t>
      </w:r>
      <w:r w:rsidR="000866FF">
        <w:t xml:space="preserve">selected drugs and their </w:t>
      </w:r>
      <w:r w:rsidR="003C5EFA">
        <w:t xml:space="preserve">alternative treatments as part of their larger data submission in </w:t>
      </w:r>
      <w:r w:rsidR="001C492C">
        <w:t xml:space="preserve">the </w:t>
      </w:r>
      <w:r w:rsidR="00BA4CA8">
        <w:t xml:space="preserve">CMS </w:t>
      </w:r>
      <w:r w:rsidR="003C5EFA">
        <w:t xml:space="preserve">HPMS. </w:t>
      </w:r>
    </w:p>
    <w:p w:rsidR="00D559BD" w:rsidP="00552488" w14:paraId="023B877E" w14:textId="63EBB6FE">
      <w:r>
        <w:t>In accordance with</w:t>
      </w:r>
      <w:r w:rsidR="00A05709">
        <w:t xml:space="preserve"> section</w:t>
      </w:r>
      <w:r w:rsidR="00142D44">
        <w:t>s</w:t>
      </w:r>
      <w:r w:rsidR="00A05709">
        <w:t xml:space="preserve"> 50.2 </w:t>
      </w:r>
      <w:r w:rsidR="00142D44">
        <w:t xml:space="preserve">and 130.3.2 </w:t>
      </w:r>
      <w:r w:rsidR="00A05709">
        <w:t xml:space="preserve">of the </w:t>
      </w:r>
      <w:r w:rsidR="00240FA8">
        <w:t>final</w:t>
      </w:r>
      <w:r w:rsidR="00142D44">
        <w:t xml:space="preserve"> </w:t>
      </w:r>
      <w:r w:rsidR="00A05709">
        <w:t>guidance, m</w:t>
      </w:r>
      <w:r w:rsidRPr="00B70AC1" w:rsidR="003C5EFA">
        <w:t xml:space="preserve">embers of the public may optionally submit evidence about alternative treatments via </w:t>
      </w:r>
      <w:r w:rsidR="00583130">
        <w:t>a</w:t>
      </w:r>
      <w:r w:rsidRPr="00B70AC1" w:rsidR="003C5EFA">
        <w:t xml:space="preserve"> publicly</w:t>
      </w:r>
      <w:r w:rsidRPr="7C2D0501" w:rsidR="00FC3572">
        <w:t xml:space="preserve"> </w:t>
      </w:r>
      <w:r w:rsidRPr="00B70AC1" w:rsidR="003C5EFA">
        <w:t>available</w:t>
      </w:r>
      <w:r w:rsidR="00C1606C">
        <w:t xml:space="preserve"> web link</w:t>
      </w:r>
      <w:r w:rsidRPr="7C2D0501" w:rsidR="003C5EFA">
        <w:t xml:space="preserve"> </w:t>
      </w:r>
      <w:r w:rsidR="00C05707">
        <w:t xml:space="preserve">that will be </w:t>
      </w:r>
      <w:r w:rsidR="00583130">
        <w:t xml:space="preserve">posted on CMS.gov and the </w:t>
      </w:r>
      <w:r w:rsidR="00BA4CA8">
        <w:t xml:space="preserve">CMS </w:t>
      </w:r>
      <w:r w:rsidRPr="00B70AC1" w:rsidR="003C5EFA">
        <w:t>HPMS landing page (</w:t>
      </w:r>
      <w:hyperlink r:id="rId9" w:history="1">
        <w:r w:rsidRPr="00F23E84" w:rsidR="00A02074">
          <w:rPr>
            <w:rStyle w:val="Hyperlink"/>
          </w:rPr>
          <w:t>https://hpms.cms.gov</w:t>
        </w:r>
      </w:hyperlink>
      <w:r w:rsidRPr="7C2D0501" w:rsidR="003C5EFA">
        <w:t xml:space="preserve">). </w:t>
      </w:r>
      <w:r w:rsidR="00B875A9">
        <w:t>A registered email address is no longer required to access the landing page for Sections I and J for initial price applicability year</w:t>
      </w:r>
      <w:r w:rsidR="00CB08C6">
        <w:t>, as revised</w:t>
      </w:r>
      <w:r w:rsidR="00B875A9">
        <w:t xml:space="preserve"> in th</w:t>
      </w:r>
      <w:r w:rsidR="00CB08C6">
        <w:t>e</w:t>
      </w:r>
      <w:r w:rsidR="00B875A9">
        <w:t xml:space="preserve"> 30-day version, </w:t>
      </w:r>
      <w:r w:rsidR="00154183">
        <w:t xml:space="preserve">and </w:t>
      </w:r>
      <w:r w:rsidR="00B875A9">
        <w:t xml:space="preserve">as was required in past versions of this ICR. </w:t>
      </w:r>
      <w:r w:rsidRPr="00615181" w:rsidR="00BA4CA8">
        <w:t xml:space="preserve">Additional instructions to access this public web application will be forthcoming from CMS and made available on CMS.gov. </w:t>
      </w:r>
    </w:p>
    <w:p w:rsidR="00D05254" w:rsidRPr="00C270E5" w:rsidP="000A5850" w14:paraId="396E0E29" w14:textId="4FD445F0">
      <w:pPr>
        <w:pStyle w:val="Header3"/>
      </w:pPr>
      <w:r>
        <w:t>Counteroffer ICR Form</w:t>
      </w:r>
    </w:p>
    <w:p w:rsidR="00D05254" w:rsidRPr="00D05254" w:rsidP="00D05254" w14:paraId="518FF6E7" w14:textId="4D148867">
      <w:r>
        <w:t xml:space="preserve">CMS has developed an automated tool within the CMS </w:t>
      </w:r>
      <w:r w:rsidR="008B4082">
        <w:t xml:space="preserve">HPMS </w:t>
      </w:r>
      <w:r>
        <w:t xml:space="preserve">for </w:t>
      </w:r>
      <w:r w:rsidRPr="00D05254">
        <w:t xml:space="preserve">Primary Manufacturers </w:t>
      </w:r>
      <w:r>
        <w:t>to submit</w:t>
      </w:r>
      <w:r w:rsidRPr="00D05254">
        <w:t xml:space="preserve"> the </w:t>
      </w:r>
      <w:r w:rsidR="00EF32BE">
        <w:t xml:space="preserve">Counteroffer </w:t>
      </w:r>
      <w:r>
        <w:t xml:space="preserve">using the </w:t>
      </w:r>
      <w:r w:rsidR="00B4018C">
        <w:t xml:space="preserve">Statutory Written </w:t>
      </w:r>
      <w:r w:rsidRPr="00D05254">
        <w:t xml:space="preserve">Counteroffer </w:t>
      </w:r>
      <w:r w:rsidR="005E6419">
        <w:t xml:space="preserve">ICR </w:t>
      </w:r>
      <w:r w:rsidRPr="00D05254">
        <w:t>Form</w:t>
      </w:r>
      <w:r w:rsidR="008B4082">
        <w:t xml:space="preserve"> or the Renegotiation Written Counteroffer </w:t>
      </w:r>
      <w:r w:rsidR="005E6419">
        <w:t xml:space="preserve">ICR </w:t>
      </w:r>
      <w:r w:rsidR="008B4082">
        <w:t>Form, as applicable</w:t>
      </w:r>
      <w:r>
        <w:t>.</w:t>
      </w:r>
      <w:r w:rsidRPr="00D05254">
        <w:t xml:space="preserve"> </w:t>
      </w:r>
      <w:r w:rsidRPr="00C25E77" w:rsidR="002179DE">
        <w:t xml:space="preserve">Instructions for manufacturers to gain access to </w:t>
      </w:r>
      <w:r w:rsidR="00C43027">
        <w:t xml:space="preserve">the </w:t>
      </w:r>
      <w:r w:rsidR="00C33B74">
        <w:t xml:space="preserve">CMS </w:t>
      </w:r>
      <w:r w:rsidRPr="00C25E77" w:rsidR="002179DE">
        <w:t xml:space="preserve">HPMS can be found in the </w:t>
      </w:r>
      <w:r w:rsidR="00551A3B">
        <w:t>“</w:t>
      </w:r>
      <w:r w:rsidRPr="00C25E77" w:rsidR="002179DE">
        <w:t xml:space="preserve">Instructions for Requesting Drug Manufacturer Access in the </w:t>
      </w:r>
      <w:r w:rsidR="00B86AD5">
        <w:t xml:space="preserve">CMS </w:t>
      </w:r>
      <w:r w:rsidRPr="00C25E77" w:rsidR="002179DE">
        <w:t>HPMS</w:t>
      </w:r>
      <w:r w:rsidR="00B86AD5">
        <w:t xml:space="preserve"> for the Medicare Drug Price Negotiation Program</w:t>
      </w:r>
      <w:r w:rsidR="00551A3B">
        <w:t>”</w:t>
      </w:r>
      <w:r w:rsidRPr="00C25E77" w:rsidR="002179DE">
        <w:t xml:space="preserve"> PDF.</w:t>
      </w:r>
      <w:r w:rsidRPr="001A4A0B" w:rsidR="001A4A0B">
        <w:rPr>
          <w:rStyle w:val="FootnoteReference"/>
        </w:rPr>
        <w:t xml:space="preserve"> </w:t>
      </w:r>
      <w:r>
        <w:rPr>
          <w:rStyle w:val="FootnoteReference"/>
        </w:rPr>
        <w:footnoteReference w:id="9"/>
      </w:r>
      <w:r w:rsidRPr="00C25E77" w:rsidR="002179DE">
        <w:t xml:space="preserve"> Instructions for gaining signatory access to </w:t>
      </w:r>
      <w:r w:rsidR="00855481">
        <w:t xml:space="preserve">the CMS </w:t>
      </w:r>
      <w:r w:rsidRPr="00C25E77" w:rsidR="002179DE">
        <w:t xml:space="preserve">HPMS are also included in this PDF. </w:t>
      </w:r>
    </w:p>
    <w:p w:rsidR="00D05254" w:rsidRPr="00D45546" w:rsidP="005B722A" w14:paraId="677581E5" w14:textId="2CAAD75B">
      <w:r w:rsidRPr="000C1BDF">
        <w:t xml:space="preserve">The individuals who certify the Primary Manufacturer’s </w:t>
      </w:r>
      <w:r w:rsidR="00EF32BE">
        <w:t>C</w:t>
      </w:r>
      <w:r w:rsidRPr="000C1BDF" w:rsidR="00EF32BE">
        <w:t xml:space="preserve">ounteroffer </w:t>
      </w:r>
      <w:r w:rsidRPr="000C1BDF">
        <w:t>submission in the CMS HPMS must be</w:t>
      </w:r>
      <w:r w:rsidR="00AF28FC">
        <w:t>:</w:t>
      </w:r>
      <w:r w:rsidRPr="000C1BDF">
        <w:t xml:space="preserve"> (1) the CEO</w:t>
      </w:r>
      <w:r w:rsidR="001A4A0B">
        <w:t xml:space="preserve"> of the Primary Manufacturer</w:t>
      </w:r>
      <w:r w:rsidRPr="000C1BDF">
        <w:t>, (2) the CFO</w:t>
      </w:r>
      <w:r w:rsidR="001A4A0B">
        <w:t xml:space="preserve"> of the Primary Manufacturer</w:t>
      </w:r>
      <w:r w:rsidRPr="000C1BDF">
        <w:t>, (3) an individual other than a CEO or CFO, who has authority equivalent to a CEO or a CFO</w:t>
      </w:r>
      <w:r w:rsidR="001A4A0B">
        <w:t xml:space="preserve"> of the Primary Manufacturer</w:t>
      </w:r>
      <w:r w:rsidRPr="000C1BDF">
        <w:t xml:space="preserve">, or (4) an individual with the directly delegated authority to perform the certification on behalf of one of the individuals mentioned in (1) through (3).   </w:t>
      </w:r>
    </w:p>
    <w:p w:rsidR="005E5AAF" w:rsidP="00D45546" w14:paraId="29478092" w14:textId="681A63B0">
      <w:pPr>
        <w:pStyle w:val="Heading2"/>
      </w:pPr>
      <w:r>
        <w:t xml:space="preserve">4. Duplication of Efforts </w:t>
      </w:r>
    </w:p>
    <w:p w:rsidR="00C270E5" w:rsidP="001571CF" w14:paraId="5EEE94B4" w14:textId="0EFE047C">
      <w:pPr>
        <w:pStyle w:val="Header3"/>
      </w:pPr>
      <w:r>
        <w:t>Negotiation Data Elements</w:t>
      </w:r>
      <w:r w:rsidR="00C30911">
        <w:t xml:space="preserve"> ICR Form</w:t>
      </w:r>
    </w:p>
    <w:p w:rsidR="00C20F3E" w:rsidRPr="00C20F3E" w:rsidP="000A5850" w14:paraId="72915F85" w14:textId="3B1CE79F">
      <w:pPr>
        <w:pStyle w:val="Heading4"/>
      </w:pPr>
      <w:r w:rsidRPr="00C20F3E">
        <w:t>Manufacturer-Specific Data</w:t>
      </w:r>
    </w:p>
    <w:p w:rsidR="00DF50B9" w:rsidP="00D17B2C" w14:paraId="3BDE309D" w14:textId="2B3EE811">
      <w:pPr>
        <w:tabs>
          <w:tab w:val="left" w:pos="720"/>
        </w:tabs>
        <w:suppressAutoHyphens/>
      </w:pPr>
      <w:r>
        <w:t>Some manufacturer</w:t>
      </w:r>
      <w:r w:rsidR="00C20F3E">
        <w:t>-specific data described in section</w:t>
      </w:r>
      <w:r w:rsidR="002C1D71">
        <w:t>s 1193(a)(4) and</w:t>
      </w:r>
      <w:r w:rsidR="00C20F3E">
        <w:t xml:space="preserve"> 1194(e)(1) </w:t>
      </w:r>
      <w:r>
        <w:t xml:space="preserve">of the Act </w:t>
      </w:r>
      <w:r w:rsidR="00A05709">
        <w:t>and section</w:t>
      </w:r>
      <w:r w:rsidR="00300BC0">
        <w:t>s</w:t>
      </w:r>
      <w:r w:rsidR="00A05709">
        <w:t xml:space="preserve"> 50</w:t>
      </w:r>
      <w:r w:rsidR="00100ED9">
        <w:t>.1</w:t>
      </w:r>
      <w:r w:rsidR="00A05709">
        <w:t xml:space="preserve"> </w:t>
      </w:r>
      <w:r w:rsidR="001F3AEB">
        <w:t>and 130</w:t>
      </w:r>
      <w:r w:rsidR="00300BC0">
        <w:t xml:space="preserve"> </w:t>
      </w:r>
      <w:r w:rsidR="00A05709">
        <w:t xml:space="preserve">of the </w:t>
      </w:r>
      <w:r w:rsidR="00240FA8">
        <w:t>final</w:t>
      </w:r>
      <w:r w:rsidR="0015403D">
        <w:t xml:space="preserve"> </w:t>
      </w:r>
      <w:r w:rsidR="00A05709">
        <w:t xml:space="preserve">guidance </w:t>
      </w:r>
      <w:r>
        <w:t>may already be collected from manufacturers</w:t>
      </w:r>
      <w:r w:rsidR="00EA70D9">
        <w:t xml:space="preserve"> by CMS or other federal agencies</w:t>
      </w:r>
      <w:r w:rsidRPr="4D085A28">
        <w:t xml:space="preserve">. </w:t>
      </w:r>
      <w:r w:rsidR="00FE46BE">
        <w:t>For example, d</w:t>
      </w:r>
      <w:r w:rsidR="006271D1">
        <w:t>rug</w:t>
      </w:r>
      <w:r w:rsidRPr="00BC1EE4" w:rsidR="006271D1">
        <w:t xml:space="preserve"> </w:t>
      </w:r>
      <w:r w:rsidR="006271D1">
        <w:t>manufacturers</w:t>
      </w:r>
      <w:r w:rsidRPr="00BC1EE4" w:rsidR="006271D1">
        <w:t xml:space="preserve"> </w:t>
      </w:r>
      <w:r w:rsidR="006271D1">
        <w:t>currently</w:t>
      </w:r>
      <w:r w:rsidRPr="00BC1EE4" w:rsidR="006271D1">
        <w:t xml:space="preserve"> </w:t>
      </w:r>
      <w:r w:rsidR="006271D1">
        <w:t>submit</w:t>
      </w:r>
      <w:r w:rsidRPr="00BC1EE4" w:rsidR="006271D1">
        <w:t xml:space="preserve"> </w:t>
      </w:r>
      <w:r w:rsidR="006271D1">
        <w:t>data</w:t>
      </w:r>
      <w:r w:rsidRPr="00BC1EE4" w:rsidR="006271D1">
        <w:t xml:space="preserve"> </w:t>
      </w:r>
      <w:r w:rsidR="006271D1">
        <w:t>related</w:t>
      </w:r>
      <w:r w:rsidRPr="00BC1EE4" w:rsidR="006271D1">
        <w:t xml:space="preserve"> </w:t>
      </w:r>
      <w:r w:rsidR="006271D1">
        <w:t>to</w:t>
      </w:r>
      <w:r w:rsidRPr="00BC1EE4" w:rsidR="006271D1">
        <w:t xml:space="preserve"> </w:t>
      </w:r>
      <w:r w:rsidR="006271D1">
        <w:t>manufacturer</w:t>
      </w:r>
      <w:r w:rsidRPr="00BC1EE4" w:rsidR="006271D1">
        <w:t xml:space="preserve"> </w:t>
      </w:r>
      <w:r w:rsidR="006271D1">
        <w:t>financials,</w:t>
      </w:r>
      <w:r w:rsidRPr="00BC1EE4" w:rsidR="006271D1">
        <w:t xml:space="preserve"> </w:t>
      </w:r>
      <w:r w:rsidR="006271D1">
        <w:t>such</w:t>
      </w:r>
      <w:r w:rsidRPr="00BC1EE4" w:rsidR="006271D1">
        <w:t xml:space="preserve"> </w:t>
      </w:r>
      <w:r w:rsidR="006271D1">
        <w:t>as</w:t>
      </w:r>
      <w:r w:rsidRPr="00BC1EE4" w:rsidR="006271D1">
        <w:t xml:space="preserve"> </w:t>
      </w:r>
      <w:r w:rsidR="006271D1">
        <w:t>total</w:t>
      </w:r>
      <w:r w:rsidRPr="00BC1EE4" w:rsidR="006271D1">
        <w:t xml:space="preserve"> </w:t>
      </w:r>
      <w:r w:rsidR="007B12FB">
        <w:rPr>
          <w:spacing w:val="-3"/>
        </w:rPr>
        <w:t xml:space="preserve">net </w:t>
      </w:r>
      <w:r w:rsidR="006271D1">
        <w:t>revenue</w:t>
      </w:r>
      <w:r w:rsidRPr="00BC1EE4" w:rsidR="006271D1">
        <w:t xml:space="preserve"> </w:t>
      </w:r>
      <w:r w:rsidR="006271D1">
        <w:t>(e.g.,</w:t>
      </w:r>
      <w:r w:rsidRPr="00BC1EE4" w:rsidR="006271D1">
        <w:t xml:space="preserve"> </w:t>
      </w:r>
      <w:r w:rsidR="006271D1">
        <w:t>10-K</w:t>
      </w:r>
      <w:r w:rsidRPr="00BC1EE4" w:rsidR="006271D1">
        <w:t xml:space="preserve"> </w:t>
      </w:r>
      <w:r w:rsidR="006271D1">
        <w:t>filings</w:t>
      </w:r>
      <w:r w:rsidRPr="00BC1EE4" w:rsidR="006271D1">
        <w:t xml:space="preserve"> </w:t>
      </w:r>
      <w:r w:rsidR="006271D1">
        <w:t>with</w:t>
      </w:r>
      <w:r w:rsidRPr="00BC1EE4" w:rsidR="006271D1">
        <w:t xml:space="preserve"> </w:t>
      </w:r>
      <w:r w:rsidR="006271D1">
        <w:t>the</w:t>
      </w:r>
      <w:r w:rsidRPr="00BC1EE4" w:rsidR="006271D1">
        <w:t xml:space="preserve"> </w:t>
      </w:r>
      <w:r w:rsidR="006271D1">
        <w:t>Securities</w:t>
      </w:r>
      <w:r w:rsidRPr="00BC1EE4" w:rsidR="006271D1">
        <w:t xml:space="preserve"> </w:t>
      </w:r>
      <w:r w:rsidR="006271D1">
        <w:t xml:space="preserve">and Exchange Commission). </w:t>
      </w:r>
      <w:r w:rsidR="00FE46BE">
        <w:t>Additionally, i</w:t>
      </w:r>
      <w:r w:rsidR="006271D1">
        <w:t xml:space="preserve">n accordance with the terms of the National Drug Rebate Agreement and section 1927(b)(3)(A) of the Act, drug manufacturers participating in the Medicaid Drug Rebate Program (MDRP) are required to report Average Manufacturer Price (AMP) to CMS each quarter for </w:t>
      </w:r>
      <w:r w:rsidR="00BA0DB3">
        <w:t xml:space="preserve">their </w:t>
      </w:r>
      <w:r w:rsidR="006271D1">
        <w:t>covered outpatient</w:t>
      </w:r>
      <w:r w:rsidR="00B671CF">
        <w:t xml:space="preserve"> drugs</w:t>
      </w:r>
      <w:r w:rsidRPr="4D085A28" w:rsidR="006271D1">
        <w:t>.</w:t>
      </w:r>
      <w:r w:rsidRPr="4D085A28" w:rsidR="00762C37">
        <w:t xml:space="preserve"> </w:t>
      </w:r>
      <w:r w:rsidR="003C2BEB">
        <w:t xml:space="preserve">For </w:t>
      </w:r>
      <w:r w:rsidR="008B1C7D">
        <w:t>purposes of calculating the federal ceiling price</w:t>
      </w:r>
      <w:r w:rsidR="003C2BEB">
        <w:t>, d</w:t>
      </w:r>
      <w:r w:rsidR="00762C37">
        <w:t xml:space="preserve">rug manufacturers also </w:t>
      </w:r>
      <w:r w:rsidR="00F67DE2">
        <w:t xml:space="preserve">report the </w:t>
      </w:r>
      <w:r w:rsidR="003C2BEB">
        <w:t xml:space="preserve">quarterly and </w:t>
      </w:r>
      <w:r w:rsidR="00762C37">
        <w:t xml:space="preserve">annual </w:t>
      </w:r>
      <w:r w:rsidR="3EB78277">
        <w:t>non-FAMP</w:t>
      </w:r>
      <w:r w:rsidRPr="4D085A28" w:rsidR="00762C37">
        <w:t xml:space="preserve"> </w:t>
      </w:r>
      <w:r w:rsidR="00F67DE2">
        <w:t xml:space="preserve">on an annual basis </w:t>
      </w:r>
      <w:r w:rsidR="00762C37">
        <w:t>to the Department of Veterans Affairs</w:t>
      </w:r>
      <w:r w:rsidR="00F67DE2">
        <w:t xml:space="preserve"> (VA)</w:t>
      </w:r>
      <w:r w:rsidRPr="4D085A28" w:rsidR="003C2BEB">
        <w:t>.</w:t>
      </w:r>
      <w:r w:rsidRPr="4D085A28" w:rsidR="00762C37">
        <w:t xml:space="preserve"> </w:t>
      </w:r>
      <w:r w:rsidR="008B1C7D">
        <w:t xml:space="preserve">The </w:t>
      </w:r>
      <w:r w:rsidR="009955B7">
        <w:t>F</w:t>
      </w:r>
      <w:r w:rsidR="008B1C7D">
        <w:t xml:space="preserve">ederal </w:t>
      </w:r>
      <w:r w:rsidR="009955B7">
        <w:t>S</w:t>
      </w:r>
      <w:r w:rsidR="008B1C7D">
        <w:t xml:space="preserve">upply </w:t>
      </w:r>
      <w:r w:rsidR="009955B7">
        <w:t>S</w:t>
      </w:r>
      <w:r w:rsidR="008B1C7D">
        <w:t>chedule</w:t>
      </w:r>
      <w:r>
        <w:rPr>
          <w:rStyle w:val="FootnoteReference"/>
        </w:rPr>
        <w:footnoteReference w:id="10"/>
      </w:r>
      <w:r w:rsidR="008B1C7D">
        <w:t xml:space="preserve"> and the Big Four</w:t>
      </w:r>
      <w:r>
        <w:rPr>
          <w:rStyle w:val="FootnoteReference"/>
        </w:rPr>
        <w:footnoteReference w:id="11"/>
      </w:r>
      <w:r w:rsidR="008B1C7D">
        <w:t xml:space="preserve"> are prices negotiated </w:t>
      </w:r>
      <w:r w:rsidR="00F67DE2">
        <w:t xml:space="preserve">by the VA and </w:t>
      </w:r>
      <w:r w:rsidR="009042FA">
        <w:t xml:space="preserve">are </w:t>
      </w:r>
      <w:r w:rsidR="00F67DE2">
        <w:t xml:space="preserve">available </w:t>
      </w:r>
      <w:r w:rsidR="008B1C7D">
        <w:t>publicly.</w:t>
      </w:r>
      <w:r w:rsidRPr="4D085A28" w:rsidR="00EA70D9">
        <w:t xml:space="preserve"> </w:t>
      </w:r>
      <w:r w:rsidR="00BA0DB3">
        <w:t xml:space="preserve">In addition, </w:t>
      </w:r>
      <w:r>
        <w:t xml:space="preserve">some of the requested data may be publicly available, </w:t>
      </w:r>
      <w:r w:rsidR="00BA0DB3">
        <w:t xml:space="preserve">although </w:t>
      </w:r>
      <w:r>
        <w:t xml:space="preserve">CMS may not be able to ensure that such data </w:t>
      </w:r>
      <w:r>
        <w:t>are</w:t>
      </w:r>
      <w:r>
        <w:t xml:space="preserve"> complete or </w:t>
      </w:r>
      <w:r>
        <w:t>up-to-date</w:t>
      </w:r>
      <w:r>
        <w:t xml:space="preserve">. </w:t>
      </w:r>
      <w:r w:rsidR="007D2D24">
        <w:t>D</w:t>
      </w:r>
      <w:r w:rsidR="00EE3C10">
        <w:t xml:space="preserve">ata that is publicly available may not match the ICR specifications, including time periods required for the Negotiation Program. </w:t>
      </w:r>
      <w:r w:rsidR="00BA0DB3">
        <w:t xml:space="preserve">CMS believes that the Primary Manufacturer is best positioned to provide the requested data and the statute </w:t>
      </w:r>
      <w:r w:rsidR="00A05709">
        <w:t xml:space="preserve">and the </w:t>
      </w:r>
      <w:r w:rsidR="00240FA8">
        <w:t>final</w:t>
      </w:r>
      <w:r w:rsidR="0051693B">
        <w:t xml:space="preserve"> </w:t>
      </w:r>
      <w:r w:rsidR="00A05709">
        <w:t xml:space="preserve">guidance </w:t>
      </w:r>
      <w:r w:rsidR="00BA0DB3">
        <w:t>provide that manufacturers participating in the Negotiation Program will submit the requested data.</w:t>
      </w:r>
    </w:p>
    <w:p w:rsidR="00C20F3E" w:rsidRPr="00C20F3E" w:rsidP="000A5850" w14:paraId="3AE2887C" w14:textId="3B33BC81">
      <w:pPr>
        <w:pStyle w:val="Heading4"/>
      </w:pPr>
      <w:r>
        <w:t>Evidence About Alternative Treatments</w:t>
      </w:r>
    </w:p>
    <w:p w:rsidR="00C20F3E" w:rsidP="00D45546" w14:paraId="6B559A9A" w14:textId="31AA3859">
      <w:r>
        <w:rPr>
          <w:color w:val="000000" w:themeColor="text1"/>
        </w:rPr>
        <w:t xml:space="preserve">In accordance with sections 1194(e)(2) and 1194(f)(4)(B) of the Act and sections 60 and 103.4 of the </w:t>
      </w:r>
      <w:r w:rsidR="00240FA8">
        <w:rPr>
          <w:color w:val="000000" w:themeColor="text1"/>
        </w:rPr>
        <w:t>final</w:t>
      </w:r>
      <w:r>
        <w:rPr>
          <w:color w:val="000000" w:themeColor="text1"/>
        </w:rPr>
        <w:t xml:space="preserve"> guidance, </w:t>
      </w:r>
      <w:r w:rsidRPr="13B0BCA9">
        <w:rPr>
          <w:color w:val="000000" w:themeColor="text1"/>
        </w:rPr>
        <w:t xml:space="preserve">CMS </w:t>
      </w:r>
      <w:r>
        <w:rPr>
          <w:color w:val="000000" w:themeColor="text1"/>
        </w:rPr>
        <w:t xml:space="preserve">will </w:t>
      </w:r>
      <w:r w:rsidRPr="13B0BCA9">
        <w:rPr>
          <w:color w:val="000000" w:themeColor="text1"/>
        </w:rPr>
        <w:t xml:space="preserve">consider certain data on </w:t>
      </w:r>
      <w:r>
        <w:rPr>
          <w:color w:val="000000" w:themeColor="text1"/>
        </w:rPr>
        <w:t xml:space="preserve">selected drugs and their </w:t>
      </w:r>
      <w:r w:rsidRPr="13B0BCA9">
        <w:rPr>
          <w:color w:val="000000" w:themeColor="text1"/>
        </w:rPr>
        <w:t>alternative treatments</w:t>
      </w:r>
      <w:r w:rsidR="00A50E53">
        <w:t xml:space="preserve">. Pursuant to </w:t>
      </w:r>
      <w:r w:rsidR="00A05709">
        <w:t>section</w:t>
      </w:r>
      <w:r w:rsidR="0015403D">
        <w:t>s</w:t>
      </w:r>
      <w:r w:rsidR="00A05709">
        <w:t xml:space="preserve"> 50.2 </w:t>
      </w:r>
      <w:r w:rsidR="0015403D">
        <w:t xml:space="preserve">and 130.3.2 </w:t>
      </w:r>
      <w:r w:rsidR="00A05709">
        <w:t xml:space="preserve">of the </w:t>
      </w:r>
      <w:r w:rsidR="00240FA8">
        <w:t>final</w:t>
      </w:r>
      <w:r w:rsidR="0015403D">
        <w:t xml:space="preserve"> </w:t>
      </w:r>
      <w:r w:rsidR="00A05709">
        <w:t>guidance</w:t>
      </w:r>
      <w:r w:rsidR="00CE1616">
        <w:t xml:space="preserve">, </w:t>
      </w:r>
      <w:r w:rsidR="00B178AF">
        <w:t xml:space="preserve">this </w:t>
      </w:r>
      <w:r w:rsidR="004D5781">
        <w:t xml:space="preserve">information </w:t>
      </w:r>
      <w:r w:rsidR="003C5EFA">
        <w:t>may be obtained through multiple sources</w:t>
      </w:r>
      <w:r w:rsidR="00D02C4E">
        <w:t xml:space="preserve">, such </w:t>
      </w:r>
      <w:r w:rsidR="00641502">
        <w:t xml:space="preserve">as </w:t>
      </w:r>
      <w:r w:rsidR="145DE77C">
        <w:t xml:space="preserve">academic studies and papers, extant systematic reviews of evidence, government and other reports, and </w:t>
      </w:r>
      <w:r w:rsidR="00D02C4E">
        <w:t>clinical guidelines</w:t>
      </w:r>
      <w:r w:rsidR="00641502">
        <w:t>,</w:t>
      </w:r>
      <w:r w:rsidR="003C5EFA">
        <w:t xml:space="preserve"> and is </w:t>
      </w:r>
      <w:r w:rsidR="62663E04">
        <w:t xml:space="preserve">optional </w:t>
      </w:r>
      <w:r w:rsidR="003C5EFA">
        <w:t xml:space="preserve">for </w:t>
      </w:r>
      <w:r w:rsidR="0097403F">
        <w:t>the Primary Manufacturer</w:t>
      </w:r>
      <w:r w:rsidRPr="7C2D0501" w:rsidR="003C5EFA">
        <w:t xml:space="preserve"> </w:t>
      </w:r>
      <w:r w:rsidRPr="00093294" w:rsidR="003C5EFA">
        <w:t>and public</w:t>
      </w:r>
      <w:r w:rsidR="0097403F">
        <w:t xml:space="preserve"> to submit</w:t>
      </w:r>
      <w:r w:rsidRPr="7C2D0501" w:rsidR="003C5EFA">
        <w:t>.</w:t>
      </w:r>
      <w:r w:rsidRPr="00093294" w:rsidR="00D746C2">
        <w:t xml:space="preserve"> CMS intends to consider clinical evidence available through </w:t>
      </w:r>
      <w:r w:rsidR="145DE77C">
        <w:t>academic studies and papers, extant systematic reviews of evidence, government and other reports,</w:t>
      </w:r>
      <w:r w:rsidR="00DD4C89">
        <w:t xml:space="preserve"> subject matter experts</w:t>
      </w:r>
      <w:r w:rsidRPr="7C2D0501" w:rsidR="00B671CF">
        <w:t>,</w:t>
      </w:r>
      <w:r w:rsidR="00DD4C89">
        <w:t xml:space="preserve"> clinical experts</w:t>
      </w:r>
      <w:r w:rsidR="00D903FC">
        <w:t xml:space="preserve"> (e.g., </w:t>
      </w:r>
      <w:r w:rsidR="00D903FC">
        <w:rPr>
          <w:color w:val="000000" w:themeColor="text1"/>
        </w:rPr>
        <w:t>Medicare beneficiaries, academic experts, clinicians, caregivers, patients or patient organizations, and other interested parties)</w:t>
      </w:r>
      <w:r w:rsidR="00DD4C89">
        <w:t>, and data analyses</w:t>
      </w:r>
      <w:r w:rsidRPr="7C2D0501" w:rsidR="00D746C2">
        <w:t xml:space="preserve">. </w:t>
      </w:r>
    </w:p>
    <w:p w:rsidR="000C1BDF" w:rsidP="000A5850" w14:paraId="00A7A3A0" w14:textId="37998665">
      <w:pPr>
        <w:pStyle w:val="Header3"/>
      </w:pPr>
      <w:r>
        <w:t>Counteroffer ICR Form</w:t>
      </w:r>
    </w:p>
    <w:p w:rsidR="000C1BDF" w:rsidRPr="000C1BDF" w:rsidP="00D45546" w14:paraId="2C750198" w14:textId="560BC3B4">
      <w:r>
        <w:t>The information collection does not duplicate any other effort, and the information cannot be obtained from any other source.</w:t>
      </w:r>
    </w:p>
    <w:p w:rsidR="00422759" w:rsidRPr="00F23CF0" w:rsidP="00D45546" w14:paraId="2AF41726" w14:textId="3D616431">
      <w:pPr>
        <w:pStyle w:val="Heading2"/>
      </w:pPr>
      <w:r>
        <w:t>5. Small Businesses</w:t>
      </w:r>
    </w:p>
    <w:p w:rsidR="00437FA1" w:rsidRPr="00F23CF0" w:rsidP="001571CF" w14:paraId="592D4555" w14:textId="00DA115C">
      <w:r>
        <w:t xml:space="preserve">This collection of information has been designed with a view toward minimizing the reporting burden for </w:t>
      </w:r>
      <w:r w:rsidR="002A2BF5">
        <w:t>Primary</w:t>
      </w:r>
      <w:r w:rsidRPr="4D085A28" w:rsidR="0075574B">
        <w:t xml:space="preserve"> </w:t>
      </w:r>
      <w:r>
        <w:t>Manufacturers</w:t>
      </w:r>
      <w:r w:rsidR="00D55A78">
        <w:t>, which are the only entities required to submit</w:t>
      </w:r>
      <w:r w:rsidR="00B85EE0">
        <w:t xml:space="preserve"> manufacturer-specific</w:t>
      </w:r>
      <w:r w:rsidR="00D55A78">
        <w:t xml:space="preserve"> data</w:t>
      </w:r>
      <w:r w:rsidR="00B85EE0">
        <w:t xml:space="preserve"> and evidence about </w:t>
      </w:r>
      <w:r w:rsidR="000866FF">
        <w:t>selected drugs</w:t>
      </w:r>
      <w:r w:rsidR="34A0DA8E">
        <w:t>. Only</w:t>
      </w:r>
      <w:r>
        <w:t xml:space="preserve"> drugs with the highest total expenditures </w:t>
      </w:r>
      <w:r w:rsidR="00B773A7">
        <w:t xml:space="preserve">payable under Medicare Part B and/or covered </w:t>
      </w:r>
      <w:r w:rsidR="34A0DA8E">
        <w:t>under</w:t>
      </w:r>
      <w:r>
        <w:t xml:space="preserve"> Medicare Part D will be selected for negotiation</w:t>
      </w:r>
      <w:r w:rsidR="0097403F">
        <w:t xml:space="preserve"> for initial price applicability year </w:t>
      </w:r>
      <w:r w:rsidR="00044BD4">
        <w:t>2028</w:t>
      </w:r>
      <w:r w:rsidRPr="4D085A28">
        <w:t xml:space="preserve">. </w:t>
      </w:r>
      <w:r w:rsidR="0015403D">
        <w:t>Drugs selected for renegotiation</w:t>
      </w:r>
      <w:r w:rsidR="00C32990">
        <w:t>, if any,</w:t>
      </w:r>
      <w:r w:rsidR="0015403D">
        <w:t xml:space="preserve"> were initially selected for negotiation because they were drugs with the highest expenditures covered under Medicare Part D. </w:t>
      </w:r>
      <w:r w:rsidR="34A0DA8E">
        <w:t>Because of this</w:t>
      </w:r>
      <w:r w:rsidR="005F2423">
        <w:t xml:space="preserve"> basis for selection</w:t>
      </w:r>
      <w:r w:rsidRPr="4D085A28" w:rsidR="000866FF">
        <w:t>,</w:t>
      </w:r>
      <w:r w:rsidRPr="4D085A28" w:rsidR="34A0DA8E">
        <w:t xml:space="preserve"> </w:t>
      </w:r>
      <w:r w:rsidR="0097403F">
        <w:t>Primary M</w:t>
      </w:r>
      <w:r>
        <w:t xml:space="preserve">anufacturers </w:t>
      </w:r>
      <w:r w:rsidR="34A0DA8E">
        <w:t xml:space="preserve">with </w:t>
      </w:r>
      <w:r w:rsidR="005F2423">
        <w:t xml:space="preserve">selected drugs to which this ICR applies are manufacturers </w:t>
      </w:r>
      <w:r w:rsidR="000866FF">
        <w:t xml:space="preserve">of drugs </w:t>
      </w:r>
      <w:r w:rsidR="34A0DA8E">
        <w:t xml:space="preserve">with high expenditures, </w:t>
      </w:r>
      <w:r w:rsidR="005F2423">
        <w:t>reducing</w:t>
      </w:r>
      <w:r w:rsidR="34A0DA8E">
        <w:t xml:space="preserve"> the </w:t>
      </w:r>
      <w:r w:rsidR="005F2423">
        <w:t>likelihood that the information collection imposes a</w:t>
      </w:r>
      <w:r w:rsidR="34A0DA8E">
        <w:t xml:space="preserve"> burden </w:t>
      </w:r>
      <w:r w:rsidR="005F2423">
        <w:t>on</w:t>
      </w:r>
      <w:r>
        <w:t xml:space="preserve"> small </w:t>
      </w:r>
      <w:r w:rsidR="34A0DA8E">
        <w:t xml:space="preserve">businesses. </w:t>
      </w:r>
      <w:r w:rsidR="00827213">
        <w:t>Moreover, the</w:t>
      </w:r>
      <w:r w:rsidRPr="4D085A28" w:rsidR="00B4018C">
        <w:t xml:space="preserve"> </w:t>
      </w:r>
      <w:r w:rsidR="00827213">
        <w:t xml:space="preserve">Counteroffer </w:t>
      </w:r>
      <w:r w:rsidR="00D60EA8">
        <w:t xml:space="preserve">ICR </w:t>
      </w:r>
      <w:r w:rsidR="00827213">
        <w:t xml:space="preserve">Form is </w:t>
      </w:r>
      <w:r w:rsidR="00641502">
        <w:t xml:space="preserve">required only </w:t>
      </w:r>
      <w:r w:rsidR="00827213">
        <w:t xml:space="preserve">if Primary Manufacturers of selected drugs choose to make a </w:t>
      </w:r>
      <w:r w:rsidR="00D60EA8">
        <w:t xml:space="preserve">Counteroffer </w:t>
      </w:r>
      <w:r w:rsidR="00827213">
        <w:t>submission to the agency’s proposed MFP for the selected drug in the written initial offer, and Primary Manufacturers are the only entities authorized by statute to submit this information.</w:t>
      </w:r>
      <w:r w:rsidR="00626AC1">
        <w:t xml:space="preserve"> The potential that a small business could be a Primary Manufacturer to which this information collection is relevant is further reduced by the exception for small biotech drugs, in </w:t>
      </w:r>
      <w:r w:rsidRPr="24AE88FA" w:rsidR="00626AC1">
        <w:t>accordance with section 1192(d)(2)</w:t>
      </w:r>
      <w:r w:rsidR="00863502">
        <w:t xml:space="preserve"> of the Act</w:t>
      </w:r>
      <w:r w:rsidR="00E97D6D">
        <w:t xml:space="preserve"> </w:t>
      </w:r>
      <w:r w:rsidRPr="4D085A28" w:rsidR="005F6CCC">
        <w:t xml:space="preserve"> </w:t>
      </w:r>
      <w:r w:rsidR="34A0DA8E">
        <w:t xml:space="preserve">that excludes </w:t>
      </w:r>
      <w:r w:rsidR="005F2423">
        <w:t xml:space="preserve">from selection </w:t>
      </w:r>
      <w:r w:rsidR="00191EED">
        <w:t xml:space="preserve">certain </w:t>
      </w:r>
      <w:r w:rsidR="34A0DA8E">
        <w:t xml:space="preserve">qualifying </w:t>
      </w:r>
      <w:r w:rsidR="0015403D">
        <w:t xml:space="preserve">drugs payable under Part B </w:t>
      </w:r>
      <w:r w:rsidR="00116402">
        <w:t>and/or</w:t>
      </w:r>
      <w:r w:rsidR="0015403D">
        <w:t xml:space="preserve"> </w:t>
      </w:r>
      <w:r w:rsidR="34A0DA8E">
        <w:t>covered</w:t>
      </w:r>
      <w:r w:rsidR="0015403D">
        <w:t xml:space="preserve"> under</w:t>
      </w:r>
      <w:r w:rsidR="34A0DA8E">
        <w:t xml:space="preserve"> Part D </w:t>
      </w:r>
      <w:r w:rsidR="006E4D5D">
        <w:t xml:space="preserve">based on </w:t>
      </w:r>
      <w:r w:rsidR="00414C3E">
        <w:t xml:space="preserve">Part B or </w:t>
      </w:r>
      <w:r w:rsidR="006E4D5D">
        <w:t xml:space="preserve">Part D total expenditures </w:t>
      </w:r>
      <w:r w:rsidR="34A0DA8E">
        <w:t>from selection</w:t>
      </w:r>
      <w:r w:rsidRPr="4D085A28" w:rsidR="00C601AF">
        <w:t xml:space="preserve"> </w:t>
      </w:r>
      <w:r w:rsidR="006C16A0">
        <w:t xml:space="preserve">in </w:t>
      </w:r>
      <w:r w:rsidR="00C601AF">
        <w:t xml:space="preserve">initial price applicability year </w:t>
      </w:r>
      <w:r w:rsidR="00414C3E">
        <w:t>2028</w:t>
      </w:r>
      <w:r w:rsidRPr="4D085A28" w:rsidR="00C601AF">
        <w:t>.</w:t>
      </w:r>
      <w:r w:rsidR="00583679">
        <w:rPr>
          <w:rStyle w:val="FootnoteReference"/>
        </w:rPr>
        <w:t xml:space="preserve"> </w:t>
      </w:r>
      <w:r w:rsidRPr="4D085A28" w:rsidR="34A0DA8E">
        <w:t xml:space="preserve"> </w:t>
      </w:r>
      <w:r w:rsidR="00C601AF">
        <w:t>T</w:t>
      </w:r>
      <w:r w:rsidR="34A0DA8E">
        <w:t xml:space="preserve">his exception </w:t>
      </w:r>
      <w:r w:rsidR="005F2423">
        <w:t>further reduces the potential that the information collection would impose any</w:t>
      </w:r>
      <w:r w:rsidR="34A0DA8E">
        <w:t xml:space="preserve"> reporting burden </w:t>
      </w:r>
      <w:r w:rsidR="005F2423">
        <w:t>on</w:t>
      </w:r>
      <w:r w:rsidR="34A0DA8E">
        <w:t xml:space="preserve"> small businesses.</w:t>
      </w:r>
      <w:r w:rsidRPr="4D085A28">
        <w:t xml:space="preserve"> </w:t>
      </w:r>
      <w:r w:rsidR="005F2423">
        <w:t xml:space="preserve">Where a manufacturer is subject to </w:t>
      </w:r>
      <w:r w:rsidR="005F2423">
        <w:t>the information</w:t>
      </w:r>
      <w:r w:rsidR="005F2423">
        <w:t xml:space="preserve"> collection</w:t>
      </w:r>
      <w:r w:rsidRPr="4D085A28" w:rsidR="000866FF">
        <w:t>,</w:t>
      </w:r>
      <w:r w:rsidR="005F2423">
        <w:t xml:space="preserve"> t</w:t>
      </w:r>
      <w:r>
        <w:t xml:space="preserve">he impact of this collection on a </w:t>
      </w:r>
      <w:r w:rsidR="002A2BF5">
        <w:t>Primary</w:t>
      </w:r>
      <w:r w:rsidRPr="4D085A28" w:rsidR="0075574B">
        <w:t xml:space="preserve"> </w:t>
      </w:r>
      <w:r>
        <w:t xml:space="preserve">Manufacturer </w:t>
      </w:r>
      <w:r w:rsidR="0097403F">
        <w:t>is</w:t>
      </w:r>
      <w:r>
        <w:t xml:space="preserve"> estimated to be the same regardless of the size of the </w:t>
      </w:r>
      <w:r w:rsidR="002A2BF5">
        <w:t>Primary</w:t>
      </w:r>
      <w:r w:rsidRPr="4D085A28" w:rsidR="0075574B">
        <w:t xml:space="preserve"> </w:t>
      </w:r>
      <w:r>
        <w:t>Manufacturer.</w:t>
      </w:r>
      <w:r w:rsidRPr="4D085A28" w:rsidR="00D55A78">
        <w:t xml:space="preserve"> </w:t>
      </w:r>
    </w:p>
    <w:p w:rsidR="00ED71FB" w:rsidP="00D45546" w14:paraId="24C4E5C5" w14:textId="07015B30">
      <w:pPr>
        <w:pStyle w:val="Heading2"/>
      </w:pPr>
      <w:r>
        <w:t>6. Less Frequent Collection</w:t>
      </w:r>
    </w:p>
    <w:p w:rsidR="00C270E5" w:rsidP="001571CF" w14:paraId="346F72AB" w14:textId="18DDB594">
      <w:pPr>
        <w:pStyle w:val="Header3"/>
      </w:pPr>
      <w:r>
        <w:t>Negotiation Data Elements</w:t>
      </w:r>
      <w:r w:rsidR="00C30911">
        <w:t xml:space="preserve"> ICR Form</w:t>
      </w:r>
    </w:p>
    <w:p w:rsidR="00505592" w:rsidRPr="00505592" w:rsidP="000A5850" w14:paraId="4B6B4648" w14:textId="6812CDD6">
      <w:pPr>
        <w:pStyle w:val="Heading4"/>
      </w:pPr>
      <w:r>
        <w:t>Manufacturer-Specific Data</w:t>
      </w:r>
    </w:p>
    <w:p w:rsidR="00505592" w:rsidP="003439AA" w14:paraId="1DCFE49B" w14:textId="2AF19DF7">
      <w:r>
        <w:t xml:space="preserve">Forgoing collection of this </w:t>
      </w:r>
      <w:r>
        <w:t>information, or</w:t>
      </w:r>
      <w:r>
        <w:t xml:space="preserve"> collecting the information less </w:t>
      </w:r>
      <w:r w:rsidR="6B370752">
        <w:t>frequent</w:t>
      </w:r>
      <w:r>
        <w:t>ly are</w:t>
      </w:r>
      <w:r w:rsidR="6B370752">
        <w:t xml:space="preserve"> not option</w:t>
      </w:r>
      <w:r>
        <w:t>s</w:t>
      </w:r>
      <w:r w:rsidR="6B370752">
        <w:t xml:space="preserve"> because </w:t>
      </w:r>
      <w:r w:rsidR="0097403F">
        <w:t xml:space="preserve">Primary Manufacturers </w:t>
      </w:r>
      <w:r>
        <w:t>are required to submit non-FAMP data and</w:t>
      </w:r>
      <w:r w:rsidR="003439AA">
        <w:t xml:space="preserve"> information</w:t>
      </w:r>
      <w:r>
        <w:t xml:space="preserve"> required to carry out negotiation </w:t>
      </w:r>
      <w:r w:rsidR="0001598B">
        <w:t xml:space="preserve">and renegotiation </w:t>
      </w:r>
      <w:r>
        <w:t>per section</w:t>
      </w:r>
      <w:r w:rsidR="00D200A5">
        <w:t>s</w:t>
      </w:r>
      <w:r>
        <w:t xml:space="preserve"> </w:t>
      </w:r>
      <w:r w:rsidRPr="4143736D">
        <w:rPr>
          <w:color w:val="000000" w:themeColor="text1"/>
        </w:rPr>
        <w:t>1193(a)(4)</w:t>
      </w:r>
      <w:r w:rsidR="00937417">
        <w:rPr>
          <w:color w:val="000000" w:themeColor="text1"/>
        </w:rPr>
        <w:t xml:space="preserve"> </w:t>
      </w:r>
      <w:r w:rsidR="00D200A5">
        <w:rPr>
          <w:color w:val="000000" w:themeColor="text1"/>
        </w:rPr>
        <w:t>and 1194(f)(4)</w:t>
      </w:r>
      <w:r w:rsidR="007C2590">
        <w:rPr>
          <w:color w:val="000000" w:themeColor="text1"/>
        </w:rPr>
        <w:t>(B)</w:t>
      </w:r>
      <w:r w:rsidR="00D200A5">
        <w:rPr>
          <w:color w:val="000000" w:themeColor="text1"/>
        </w:rPr>
        <w:t xml:space="preserve"> </w:t>
      </w:r>
      <w:r w:rsidR="00937417">
        <w:rPr>
          <w:color w:val="000000" w:themeColor="text1"/>
        </w:rPr>
        <w:t>of the Act</w:t>
      </w:r>
      <w:r>
        <w:t xml:space="preserve">. </w:t>
      </w:r>
      <w:r w:rsidR="005E6DA7">
        <w:t xml:space="preserve">Without </w:t>
      </w:r>
      <w:r w:rsidR="005E6DA7">
        <w:t>these</w:t>
      </w:r>
      <w:r w:rsidR="005E6DA7">
        <w:t xml:space="preserve"> data, </w:t>
      </w:r>
      <w:r>
        <w:t xml:space="preserve">CMS would not be able to conduct negotiations </w:t>
      </w:r>
      <w:r w:rsidR="0015403D">
        <w:t xml:space="preserve">and renegotiations </w:t>
      </w:r>
      <w:r>
        <w:t xml:space="preserve">as directed by the IRA. </w:t>
      </w:r>
    </w:p>
    <w:p w:rsidR="00505592" w:rsidRPr="00505592" w:rsidP="000A5850" w14:paraId="40093E4F" w14:textId="67DEF469">
      <w:pPr>
        <w:pStyle w:val="Heading4"/>
      </w:pPr>
      <w:r>
        <w:t xml:space="preserve">Evidence About Alternative Treatments </w:t>
      </w:r>
    </w:p>
    <w:p w:rsidR="00C20F3E" w:rsidP="00C66904" w14:paraId="28422C25" w14:textId="33D40DE9">
      <w:pPr>
        <w:spacing w:after="9" w:line="259" w:lineRule="auto"/>
        <w:ind w:left="16"/>
        <w:rPr>
          <w:i/>
          <w:iCs/>
        </w:rPr>
      </w:pPr>
      <w:r>
        <w:t xml:space="preserve">Submission of information about </w:t>
      </w:r>
      <w:r w:rsidR="000866FF">
        <w:t xml:space="preserve">selected drugs and their </w:t>
      </w:r>
      <w:r>
        <w:t xml:space="preserve">alternative treatments will be voluntary for both manufacturers and the public. Should CMS forgo this information request, manufacturers and the public would not be able to provide input on negotiation factors that the agency is required to consider when </w:t>
      </w:r>
      <w:r w:rsidR="00313D18">
        <w:t xml:space="preserve">carrying out </w:t>
      </w:r>
      <w:r w:rsidR="00821DB1">
        <w:t>negotiation and renegotiation</w:t>
      </w:r>
      <w:r>
        <w:t xml:space="preserve">. CMS believes that additional information from </w:t>
      </w:r>
      <w:r w:rsidR="00F52A7E">
        <w:t xml:space="preserve">patients and consumers, Part D plan sponsors and Medicare Advantage organizations, </w:t>
      </w:r>
      <w:r w:rsidR="002A2BF5">
        <w:t>Primary</w:t>
      </w:r>
      <w:r w:rsidR="000F3AA5">
        <w:t xml:space="preserve"> </w:t>
      </w:r>
      <w:r w:rsidR="145DE77C">
        <w:t xml:space="preserve">and Secondary </w:t>
      </w:r>
      <w:r w:rsidR="00D55A78">
        <w:t>M</w:t>
      </w:r>
      <w:r>
        <w:t>anufacturers</w:t>
      </w:r>
      <w:r w:rsidR="145DE77C">
        <w:t xml:space="preserve"> of selected drugs</w:t>
      </w:r>
      <w:r>
        <w:t xml:space="preserve">, </w:t>
      </w:r>
      <w:r w:rsidR="002D39D7">
        <w:t>manufacturers of therapeutic alternatives for a selected drug, hospitals and health care providers, wholesalers, pharmacies</w:t>
      </w:r>
      <w:r>
        <w:t xml:space="preserve">, </w:t>
      </w:r>
      <w:r w:rsidR="002D39D7">
        <w:t>researchers</w:t>
      </w:r>
      <w:r>
        <w:t xml:space="preserve">, and other </w:t>
      </w:r>
      <w:r w:rsidR="002D39D7">
        <w:t>members of the public</w:t>
      </w:r>
      <w:r>
        <w:t xml:space="preserve"> may provide additional insight </w:t>
      </w:r>
      <w:r w:rsidR="00DD4C89">
        <w:t xml:space="preserve">into </w:t>
      </w:r>
      <w:r>
        <w:t>selected drugs</w:t>
      </w:r>
      <w:r w:rsidR="005E6DA7">
        <w:t xml:space="preserve"> and </w:t>
      </w:r>
      <w:r w:rsidR="00CD21D1">
        <w:t xml:space="preserve">their </w:t>
      </w:r>
      <w:r w:rsidR="005E6DA7">
        <w:t>alternative treatments</w:t>
      </w:r>
      <w:r>
        <w:t xml:space="preserve">. By making this portion of the information request voluntary, CMS seeks to alleviate unnecessary burden while still providing interested parties with the opportunity to comment. </w:t>
      </w:r>
      <w:r w:rsidRPr="007A58C9" w:rsidR="0079203F">
        <w:rPr>
          <w:color w:val="000000" w:themeColor="text1"/>
        </w:rPr>
        <w:t xml:space="preserve">CMS </w:t>
      </w:r>
      <w:r w:rsidR="002749C2">
        <w:rPr>
          <w:color w:val="000000" w:themeColor="text1"/>
        </w:rPr>
        <w:t>has</w:t>
      </w:r>
      <w:r w:rsidR="0079203F">
        <w:rPr>
          <w:color w:val="000000" w:themeColor="text1"/>
        </w:rPr>
        <w:t xml:space="preserve"> continu</w:t>
      </w:r>
      <w:r w:rsidR="002749C2">
        <w:rPr>
          <w:color w:val="000000" w:themeColor="text1"/>
        </w:rPr>
        <w:t>ed</w:t>
      </w:r>
      <w:r w:rsidR="0079203F">
        <w:rPr>
          <w:color w:val="000000" w:themeColor="text1"/>
        </w:rPr>
        <w:t xml:space="preserve"> to </w:t>
      </w:r>
      <w:r w:rsidRPr="007A58C9" w:rsidR="0079203F">
        <w:rPr>
          <w:color w:val="000000" w:themeColor="text1"/>
        </w:rPr>
        <w:t xml:space="preserve">consider </w:t>
      </w:r>
      <w:r w:rsidRPr="007A58C9" w:rsidR="0079203F">
        <w:rPr>
          <w:color w:val="000000" w:themeColor="text1"/>
        </w:rPr>
        <w:t>design</w:t>
      </w:r>
      <w:r w:rsidRPr="007A58C9" w:rsidR="0079203F">
        <w:rPr>
          <w:color w:val="000000" w:themeColor="text1"/>
        </w:rPr>
        <w:t xml:space="preserve"> alternatives for Section</w:t>
      </w:r>
      <w:r w:rsidR="0079203F">
        <w:rPr>
          <w:color w:val="000000" w:themeColor="text1"/>
        </w:rPr>
        <w:t xml:space="preserve"> I</w:t>
      </w:r>
      <w:r w:rsidRPr="007A58C9" w:rsidR="0079203F">
        <w:rPr>
          <w:color w:val="000000" w:themeColor="text1"/>
        </w:rPr>
        <w:t xml:space="preserve"> </w:t>
      </w:r>
      <w:r w:rsidR="002749C2">
        <w:rPr>
          <w:color w:val="000000" w:themeColor="text1"/>
        </w:rPr>
        <w:t xml:space="preserve">with each annual cycle </w:t>
      </w:r>
      <w:r w:rsidRPr="007A58C9" w:rsidR="00B80909">
        <w:rPr>
          <w:color w:val="000000" w:themeColor="text1"/>
        </w:rPr>
        <w:t xml:space="preserve">to </w:t>
      </w:r>
      <w:r w:rsidR="00B80909">
        <w:rPr>
          <w:color w:val="000000" w:themeColor="text1"/>
        </w:rPr>
        <w:t xml:space="preserve">both simplify the steps for respondents to access the submission webpage and options for submission of responses to the form that </w:t>
      </w:r>
      <w:r w:rsidRPr="007A58C9" w:rsidR="00B80909">
        <w:rPr>
          <w:color w:val="000000" w:themeColor="text1"/>
        </w:rPr>
        <w:t xml:space="preserve">reduce </w:t>
      </w:r>
      <w:r w:rsidR="00B80909">
        <w:rPr>
          <w:color w:val="000000" w:themeColor="text1"/>
        </w:rPr>
        <w:t>respondent</w:t>
      </w:r>
      <w:r w:rsidRPr="007A58C9" w:rsidR="00B80909">
        <w:rPr>
          <w:color w:val="000000" w:themeColor="text1"/>
        </w:rPr>
        <w:t xml:space="preserve"> burden</w:t>
      </w:r>
      <w:r w:rsidRPr="007A58C9" w:rsidR="0079203F">
        <w:rPr>
          <w:color w:val="000000" w:themeColor="text1"/>
        </w:rPr>
        <w:t>.</w:t>
      </w:r>
      <w:r w:rsidR="00B80909">
        <w:rPr>
          <w:color w:val="000000" w:themeColor="text1"/>
        </w:rPr>
        <w:t xml:space="preserve"> CMS </w:t>
      </w:r>
      <w:r w:rsidR="002749C2">
        <w:rPr>
          <w:color w:val="000000" w:themeColor="text1"/>
        </w:rPr>
        <w:t xml:space="preserve">also </w:t>
      </w:r>
      <w:r w:rsidR="00B80909">
        <w:rPr>
          <w:color w:val="000000" w:themeColor="text1"/>
        </w:rPr>
        <w:t>request</w:t>
      </w:r>
      <w:r w:rsidR="002749C2">
        <w:rPr>
          <w:color w:val="000000" w:themeColor="text1"/>
        </w:rPr>
        <w:t>ed</w:t>
      </w:r>
      <w:r w:rsidR="00B80909">
        <w:rPr>
          <w:color w:val="000000" w:themeColor="text1"/>
        </w:rPr>
        <w:t xml:space="preserve"> </w:t>
      </w:r>
      <w:r w:rsidR="00B80909">
        <w:rPr>
          <w:color w:val="000000" w:themeColor="text1"/>
        </w:rPr>
        <w:t>comment</w:t>
      </w:r>
      <w:r w:rsidR="00B80909">
        <w:rPr>
          <w:color w:val="000000" w:themeColor="text1"/>
        </w:rPr>
        <w:t xml:space="preserve"> on the process to access the form</w:t>
      </w:r>
      <w:r w:rsidR="00D01507">
        <w:rPr>
          <w:color w:val="000000" w:themeColor="text1"/>
        </w:rPr>
        <w:t xml:space="preserve"> and</w:t>
      </w:r>
      <w:r w:rsidR="00B80909">
        <w:rPr>
          <w:color w:val="000000" w:themeColor="text1"/>
        </w:rPr>
        <w:t xml:space="preserve"> </w:t>
      </w:r>
      <w:r w:rsidR="009F4B27">
        <w:rPr>
          <w:color w:val="000000" w:themeColor="text1"/>
        </w:rPr>
        <w:t xml:space="preserve">in </w:t>
      </w:r>
      <w:r w:rsidR="00B80909">
        <w:rPr>
          <w:color w:val="000000" w:themeColor="text1"/>
        </w:rPr>
        <w:t>alternative formats for submitting question responses in lieu of a question-by-question submission method</w:t>
      </w:r>
      <w:r w:rsidR="002749C2">
        <w:rPr>
          <w:color w:val="000000" w:themeColor="text1"/>
        </w:rPr>
        <w:t xml:space="preserve"> in the 60-day package</w:t>
      </w:r>
      <w:r w:rsidR="00B80909">
        <w:rPr>
          <w:color w:val="000000" w:themeColor="text1"/>
        </w:rPr>
        <w:t xml:space="preserve">. </w:t>
      </w:r>
      <w:r w:rsidR="002749C2">
        <w:rPr>
          <w:color w:val="000000" w:themeColor="text1"/>
        </w:rPr>
        <w:t xml:space="preserve">As discussed in the Response to Public Comments Received document that accompanies this Supporting Statement – Part A, CMS received some public comments regarding the submission process for Section I. </w:t>
      </w:r>
      <w:r w:rsidR="002E4836">
        <w:rPr>
          <w:color w:val="000000" w:themeColor="text1"/>
        </w:rPr>
        <w:t xml:space="preserve">CMS </w:t>
      </w:r>
      <w:r w:rsidR="002D6EE9">
        <w:rPr>
          <w:color w:val="000000" w:themeColor="text1"/>
        </w:rPr>
        <w:t>removed the requirement to register an email address to access the Section I questions in th</w:t>
      </w:r>
      <w:r w:rsidR="00154183">
        <w:rPr>
          <w:color w:val="000000" w:themeColor="text1"/>
        </w:rPr>
        <w:t>e</w:t>
      </w:r>
      <w:r w:rsidR="002D6EE9">
        <w:rPr>
          <w:color w:val="000000" w:themeColor="text1"/>
        </w:rPr>
        <w:t xml:space="preserve"> 30-day version</w:t>
      </w:r>
      <w:r w:rsidR="002E4836">
        <w:rPr>
          <w:color w:val="000000" w:themeColor="text1"/>
        </w:rPr>
        <w:t xml:space="preserve">. </w:t>
      </w:r>
    </w:p>
    <w:p w:rsidR="00C66904" w:rsidRPr="00C66904" w:rsidP="00240FA8" w14:paraId="467FD73A" w14:textId="77777777">
      <w:pPr>
        <w:spacing w:after="0" w:line="259" w:lineRule="auto"/>
        <w:ind w:left="16"/>
        <w:rPr>
          <w:i/>
          <w:iCs/>
        </w:rPr>
      </w:pPr>
    </w:p>
    <w:p w:rsidR="008E6CFC" w:rsidP="00240FA8" w14:paraId="30572352" w14:textId="062B2417">
      <w:pPr>
        <w:pStyle w:val="Header3"/>
        <w:spacing w:before="0" w:after="0"/>
      </w:pPr>
      <w:r>
        <w:t>Counteroffer ICR Form</w:t>
      </w:r>
    </w:p>
    <w:p w:rsidR="00D64A9F" w:rsidP="00D64A9F" w14:paraId="73213B5C" w14:textId="77777777">
      <w:pPr>
        <w:contextualSpacing/>
      </w:pPr>
    </w:p>
    <w:p w:rsidR="008E6CFC" w:rsidRPr="008E6CFC" w:rsidP="00F23CF0" w14:paraId="7C40E9B6" w14:textId="664F58DC">
      <w:pPr>
        <w:contextualSpacing/>
      </w:pPr>
      <w:r w:rsidRPr="008E6CFC">
        <w:t xml:space="preserve">Less frequent collection would not be an option because </w:t>
      </w:r>
      <w:r w:rsidR="00C4669E">
        <w:t xml:space="preserve">the statute contemplates </w:t>
      </w:r>
      <w:r w:rsidRPr="008E6CFC">
        <w:t xml:space="preserve">a Primary Manufacturer </w:t>
      </w:r>
      <w:r w:rsidR="002B7609">
        <w:t>would</w:t>
      </w:r>
      <w:r w:rsidRPr="008E6CFC">
        <w:t xml:space="preserve"> submit the information only once, if applicable, </w:t>
      </w:r>
      <w:r w:rsidR="00C26E1C">
        <w:t xml:space="preserve">in response to the initial offer from CMS </w:t>
      </w:r>
      <w:r w:rsidRPr="008E6CFC">
        <w:t xml:space="preserve">for each selected drug for which the Primary Manufacturer </w:t>
      </w:r>
      <w:r w:rsidR="00641502">
        <w:t xml:space="preserve">chooses to </w:t>
      </w:r>
      <w:r w:rsidRPr="008E6CFC">
        <w:t xml:space="preserve">engage in negotiation with CMS for initial price applicability year </w:t>
      </w:r>
      <w:r w:rsidRPr="008E6CFC" w:rsidR="003859D5">
        <w:t>202</w:t>
      </w:r>
      <w:r w:rsidR="003859D5">
        <w:t>8</w:t>
      </w:r>
      <w:r w:rsidRPr="008E6CFC">
        <w:t xml:space="preserve">. </w:t>
      </w:r>
      <w:r w:rsidR="00182412">
        <w:t>I</w:t>
      </w:r>
      <w:r w:rsidRPr="00182412" w:rsidR="00182412">
        <w:t xml:space="preserve">n accordance with section 1194(f)(4)(B) of the Act and section 130.4.3 of the </w:t>
      </w:r>
      <w:r w:rsidR="00240FA8">
        <w:t>final</w:t>
      </w:r>
      <w:r w:rsidRPr="00182412" w:rsidR="00182412">
        <w:t xml:space="preserve"> guidance, the same considerations apply for renegotiation.</w:t>
      </w:r>
    </w:p>
    <w:p w:rsidR="00BD775F" w:rsidRPr="00C72EC7" w:rsidP="00BE5428" w14:paraId="013CC9B0" w14:textId="719286C8">
      <w:pPr>
        <w:pStyle w:val="Heading2"/>
      </w:pPr>
      <w:r>
        <w:t xml:space="preserve">7. </w:t>
      </w:r>
      <w:r w:rsidRPr="00D46939" w:rsidR="003C5EFA">
        <w:t>Special Circumstances</w:t>
      </w:r>
    </w:p>
    <w:p w:rsidR="00C270E5" w:rsidP="001571CF" w14:paraId="5B1A30DE" w14:textId="57E3A795">
      <w:pPr>
        <w:pStyle w:val="Header3"/>
      </w:pPr>
      <w:r>
        <w:t>Negotiation Data Elements</w:t>
      </w:r>
      <w:r w:rsidR="00C30911">
        <w:t xml:space="preserve"> ICR Form</w:t>
      </w:r>
    </w:p>
    <w:p w:rsidR="001B35CA" w:rsidP="008E04F6" w14:paraId="4F05A9A2" w14:textId="1FC71B7D">
      <w:r w:rsidRPr="00C72EC7">
        <w:t xml:space="preserve">Non-FAMP data </w:t>
      </w:r>
      <w:r w:rsidR="005F2423">
        <w:t>are</w:t>
      </w:r>
      <w:r w:rsidRPr="00C72EC7">
        <w:t xml:space="preserve"> proprietary, as are certain other </w:t>
      </w:r>
      <w:r w:rsidR="005F2423">
        <w:t>data</w:t>
      </w:r>
      <w:r w:rsidRPr="4D085A28" w:rsidR="005F2423">
        <w:t xml:space="preserve"> </w:t>
      </w:r>
      <w:r w:rsidRPr="00C72EC7">
        <w:t>required under section 119</w:t>
      </w:r>
      <w:r w:rsidR="00AD5BEF">
        <w:t>3</w:t>
      </w:r>
      <w:r w:rsidR="008317A8">
        <w:t>(c)</w:t>
      </w:r>
      <w:r w:rsidRPr="00C72EC7">
        <w:t xml:space="preserve">(1) of the Act. In accordance with section </w:t>
      </w:r>
      <w:r w:rsidRPr="00C72EC7">
        <w:t>1193</w:t>
      </w:r>
      <w:r w:rsidRPr="00C72EC7">
        <w:t>(c)</w:t>
      </w:r>
      <w:r w:rsidR="006A5D7B">
        <w:t xml:space="preserve"> of the Act</w:t>
      </w:r>
      <w:r w:rsidRPr="00C72EC7">
        <w:t xml:space="preserve">, information submitted that is proprietary information, as determined by the Secretary, shall only be used by CMS or disclosed to and used by the Comptroller General of the United States for purposes of </w:t>
      </w:r>
      <w:r w:rsidR="00695609">
        <w:t xml:space="preserve">carrying out Part E of Title XI of the Act (i.e., the </w:t>
      </w:r>
      <w:r w:rsidR="00C555AB">
        <w:t>N</w:t>
      </w:r>
      <w:r w:rsidR="00695609">
        <w:t xml:space="preserve">egotiation </w:t>
      </w:r>
      <w:r w:rsidR="00C555AB">
        <w:t>P</w:t>
      </w:r>
      <w:r w:rsidR="00695609">
        <w:t>rogram)</w:t>
      </w:r>
      <w:r w:rsidRPr="4D085A28">
        <w:t xml:space="preserve">. </w:t>
      </w:r>
      <w:r w:rsidR="007B3F3C">
        <w:t xml:space="preserve">Proprietary information, including trade secret and confidential commercial or financial information, would also be protected from disclosure if the proprietary information meets the requirements set forth </w:t>
      </w:r>
      <w:r w:rsidRPr="24AE88FA" w:rsidR="007B3F3C">
        <w:t>under Exemption</w:t>
      </w:r>
      <w:r w:rsidR="007B3F3C">
        <w:t xml:space="preserve">s 3 and/or </w:t>
      </w:r>
      <w:r w:rsidRPr="24AE88FA" w:rsidR="007B3F3C">
        <w:t>4 of</w:t>
      </w:r>
      <w:r w:rsidR="007B3F3C">
        <w:t xml:space="preserve"> the </w:t>
      </w:r>
      <w:r w:rsidRPr="24AE88FA" w:rsidR="007B3F3C">
        <w:t xml:space="preserve">Freedom of Information Act </w:t>
      </w:r>
      <w:r w:rsidRPr="4D085A28" w:rsidR="007B3F3C">
        <w:t>((</w:t>
      </w:r>
      <w:r w:rsidRPr="24AE88FA" w:rsidR="007B3F3C">
        <w:t>FOIA</w:t>
      </w:r>
      <w:r w:rsidRPr="4D085A28" w:rsidR="007B3F3C">
        <w:t>)</w:t>
      </w:r>
      <w:r w:rsidRPr="24AE88FA" w:rsidR="007B3F3C">
        <w:t xml:space="preserve"> (5 U.S.C. § 552(b)(</w:t>
      </w:r>
      <w:r w:rsidR="007B3F3C">
        <w:t xml:space="preserve">3), </w:t>
      </w:r>
      <w:r w:rsidRPr="24AE88FA" w:rsidR="007B3F3C">
        <w:t>(4)).</w:t>
      </w:r>
      <w:r>
        <w:rPr>
          <w:rStyle w:val="FootnoteReference"/>
        </w:rPr>
        <w:footnoteReference w:id="12"/>
      </w:r>
      <w:r w:rsidRPr="4D085A28" w:rsidR="00100ED9">
        <w:t xml:space="preserve"> </w:t>
      </w:r>
      <w:r w:rsidRPr="00C72EC7">
        <w:t xml:space="preserve">While CMS neither requests nor requires </w:t>
      </w:r>
      <w:r w:rsidR="007F0F3B">
        <w:t>protected</w:t>
      </w:r>
      <w:r w:rsidRPr="4D085A28" w:rsidR="007F0F3B">
        <w:t xml:space="preserve"> </w:t>
      </w:r>
      <w:r w:rsidRPr="00C72EC7" w:rsidR="00E53235">
        <w:t>health information</w:t>
      </w:r>
      <w:r w:rsidR="00B14FC3">
        <w:t xml:space="preserve"> (PHI</w:t>
      </w:r>
      <w:r w:rsidRPr="4D085A28" w:rsidR="00E53235">
        <w:t xml:space="preserve">) </w:t>
      </w:r>
      <w:r w:rsidRPr="00C72EC7">
        <w:t xml:space="preserve">or </w:t>
      </w:r>
      <w:r w:rsidR="007734F9">
        <w:t>personally identifiable</w:t>
      </w:r>
      <w:r w:rsidRPr="00C72EC7" w:rsidR="00E53235">
        <w:t xml:space="preserve"> information </w:t>
      </w:r>
      <w:r w:rsidR="00B14FC3">
        <w:t>(PII)</w:t>
      </w:r>
      <w:r w:rsidRPr="4D085A28" w:rsidR="00E53235">
        <w:t xml:space="preserve"> </w:t>
      </w:r>
      <w:r w:rsidRPr="00C72EC7">
        <w:t xml:space="preserve">in this information request, interested parties may potentially submit information considered </w:t>
      </w:r>
      <w:r w:rsidR="145DE77C">
        <w:t xml:space="preserve">by CMS </w:t>
      </w:r>
      <w:r w:rsidRPr="00C72EC7">
        <w:t xml:space="preserve">to be PHI or PII. </w:t>
      </w:r>
    </w:p>
    <w:p w:rsidR="008E6CFC" w:rsidP="000A5850" w14:paraId="67935A24" w14:textId="64D2B374">
      <w:pPr>
        <w:pStyle w:val="Header3"/>
      </w:pPr>
      <w:r>
        <w:t>Counteroffer ICR Form</w:t>
      </w:r>
    </w:p>
    <w:p w:rsidR="003E26D0" w:rsidP="005F31F3" w14:paraId="6E0B2FF1" w14:textId="386B2C66">
      <w:pPr>
        <w:spacing w:after="0"/>
      </w:pPr>
      <w:r>
        <w:t>Information collected through the</w:t>
      </w:r>
      <w:r w:rsidRPr="4D085A28" w:rsidR="00B4018C">
        <w:t xml:space="preserve"> </w:t>
      </w:r>
      <w:r w:rsidR="00B4018C">
        <w:t>Statutory Written</w:t>
      </w:r>
      <w:r>
        <w:t xml:space="preserve"> Counteroffer </w:t>
      </w:r>
      <w:r w:rsidR="00B71FF3">
        <w:t xml:space="preserve">ICR </w:t>
      </w:r>
      <w:r>
        <w:t xml:space="preserve">Form </w:t>
      </w:r>
      <w:r w:rsidR="002D12F5">
        <w:t xml:space="preserve">and the Renegotiation Written Counteroffer </w:t>
      </w:r>
      <w:r w:rsidR="00B71FF3">
        <w:t xml:space="preserve">ICR </w:t>
      </w:r>
      <w:r w:rsidR="002D12F5">
        <w:t xml:space="preserve">Form </w:t>
      </w:r>
      <w:r>
        <w:t xml:space="preserve">may contain proprietary, trade secret, or other confidential information. In accordance with Section 1193(c) of the Act, information submitted to CMS by a manufacturer of a selected drug that is determined by CMS to be proprietary information of that manufacturer shall be used only by CMS or disclosed to and used by the Comptroller General of the United States for purposes of carrying out the Negotiation Program. Proprietary information, including trade secret and confidential commercial or financial information, would also be protected from disclosure if the proprietary information meets the requirements set forth </w:t>
      </w:r>
      <w:r w:rsidRPr="24AE88FA">
        <w:t>under Exemption</w:t>
      </w:r>
      <w:r>
        <w:t xml:space="preserve">s 3 and/or </w:t>
      </w:r>
      <w:r w:rsidRPr="24AE88FA">
        <w:t>4 of</w:t>
      </w:r>
      <w:r>
        <w:t xml:space="preserve"> </w:t>
      </w:r>
      <w:r w:rsidR="00D200A5">
        <w:t xml:space="preserve">the </w:t>
      </w:r>
      <w:r w:rsidRPr="24AE88FA">
        <w:t>FOIA (5 U.S.C. § 552(b)(</w:t>
      </w:r>
      <w:r>
        <w:t xml:space="preserve">3), </w:t>
      </w:r>
      <w:r w:rsidRPr="24AE88FA">
        <w:t>(4)).</w:t>
      </w:r>
      <w:r>
        <w:rPr>
          <w:rStyle w:val="FootnoteReference"/>
        </w:rPr>
        <w:footnoteReference w:id="13"/>
      </w:r>
    </w:p>
    <w:p w:rsidR="145DE77C" w:rsidP="145DE77C" w14:paraId="54D8AED4" w14:textId="55246F33">
      <w:pPr>
        <w:spacing w:after="0"/>
      </w:pPr>
      <w:r w:rsidRPr="24AE88FA">
        <w:t xml:space="preserve"> </w:t>
      </w:r>
    </w:p>
    <w:p w:rsidR="008E04F6" w:rsidRPr="00C72EC7" w:rsidP="008E04F6" w14:paraId="357A0EC8" w14:textId="0C1348F2">
      <w:r>
        <w:t>T</w:t>
      </w:r>
      <w:r w:rsidRPr="00C72EC7">
        <w:t xml:space="preserve">here are no special circumstances that would require information collection </w:t>
      </w:r>
      <w:r>
        <w:t xml:space="preserve">for the Negotiation Data Elements ICR Form or the </w:t>
      </w:r>
      <w:r w:rsidR="005E2F42">
        <w:t>Counteroffer ICR Form</w:t>
      </w:r>
      <w:r w:rsidRPr="7C2D0501">
        <w:t xml:space="preserve"> </w:t>
      </w:r>
      <w:r w:rsidRPr="00C72EC7">
        <w:t>to be conducted in a manner that requires respondents to</w:t>
      </w:r>
      <w:r w:rsidRPr="7C2D0501" w:rsidR="6B370752">
        <w:t>:</w:t>
      </w:r>
    </w:p>
    <w:p w:rsidR="008E04F6" w:rsidRPr="00C72EC7" w:rsidP="00F04151" w14:paraId="57893BDD" w14:textId="58685354">
      <w:pPr>
        <w:pStyle w:val="ListParagraph"/>
        <w:numPr>
          <w:ilvl w:val="0"/>
          <w:numId w:val="3"/>
        </w:numPr>
        <w:ind w:left="720" w:hanging="360"/>
      </w:pPr>
      <w:r w:rsidRPr="00C72EC7">
        <w:rPr>
          <w:rFonts w:ascii="Times New Roman" w:eastAsia="Times New Roman" w:hAnsi="Times New Roman" w:cs="Times New Roman"/>
        </w:rPr>
        <w:t xml:space="preserve">Report information to the agency more often than </w:t>
      </w:r>
      <w:r w:rsidRPr="00C72EC7">
        <w:rPr>
          <w:rFonts w:ascii="Times New Roman" w:eastAsia="Times New Roman" w:hAnsi="Times New Roman" w:cs="Times New Roman"/>
        </w:rPr>
        <w:t>quarterly;</w:t>
      </w:r>
    </w:p>
    <w:p w:rsidR="008E04F6" w:rsidRPr="00C72EC7" w:rsidP="00F04151" w14:paraId="46CA6F97" w14:textId="3551A272">
      <w:pPr>
        <w:pStyle w:val="ListParagraph"/>
        <w:numPr>
          <w:ilvl w:val="0"/>
          <w:numId w:val="3"/>
        </w:numPr>
        <w:ind w:left="720" w:hanging="360"/>
      </w:pPr>
      <w:r w:rsidRPr="00C72EC7">
        <w:rPr>
          <w:rFonts w:ascii="Times New Roman" w:eastAsia="Times New Roman" w:hAnsi="Times New Roman" w:cs="Times New Roman"/>
        </w:rPr>
        <w:t xml:space="preserve">Prepare a written response to a collection of information in fewer than 30 days after receipt of </w:t>
      </w:r>
      <w:r w:rsidRPr="00C72EC7">
        <w:rPr>
          <w:rFonts w:ascii="Times New Roman" w:eastAsia="Times New Roman" w:hAnsi="Times New Roman" w:cs="Times New Roman"/>
        </w:rPr>
        <w:t>it;</w:t>
      </w:r>
      <w:r w:rsidRPr="00C72EC7">
        <w:rPr>
          <w:rFonts w:ascii="Times New Roman" w:eastAsia="Times New Roman" w:hAnsi="Times New Roman" w:cs="Times New Roman"/>
        </w:rPr>
        <w:t xml:space="preserve"> </w:t>
      </w:r>
    </w:p>
    <w:p w:rsidR="008E04F6" w:rsidRPr="00C72EC7" w:rsidP="00F04151" w14:paraId="5F27D9AE" w14:textId="17D1BC98">
      <w:pPr>
        <w:pStyle w:val="ListParagraph"/>
        <w:numPr>
          <w:ilvl w:val="0"/>
          <w:numId w:val="3"/>
        </w:numPr>
        <w:ind w:left="720" w:hanging="360"/>
      </w:pPr>
      <w:r w:rsidRPr="00C72EC7">
        <w:rPr>
          <w:rFonts w:ascii="Times New Roman" w:eastAsia="Times New Roman" w:hAnsi="Times New Roman" w:cs="Times New Roman"/>
        </w:rPr>
        <w:t xml:space="preserve">Submit more than an original and two copies of any </w:t>
      </w:r>
      <w:r w:rsidRPr="00C72EC7">
        <w:rPr>
          <w:rFonts w:ascii="Times New Roman" w:eastAsia="Times New Roman" w:hAnsi="Times New Roman" w:cs="Times New Roman"/>
        </w:rPr>
        <w:t>document;</w:t>
      </w:r>
    </w:p>
    <w:p w:rsidR="008E04F6" w:rsidRPr="00C72EC7" w:rsidP="00F04151" w14:paraId="16D6E2A6" w14:textId="643CCA24">
      <w:pPr>
        <w:pStyle w:val="ListParagraph"/>
        <w:numPr>
          <w:ilvl w:val="0"/>
          <w:numId w:val="3"/>
        </w:numPr>
        <w:ind w:left="720" w:hanging="360"/>
      </w:pPr>
      <w:r w:rsidRPr="00C72EC7">
        <w:rPr>
          <w:rFonts w:ascii="Times New Roman" w:eastAsia="Times New Roman" w:hAnsi="Times New Roman" w:cs="Times New Roman"/>
        </w:rPr>
        <w:t xml:space="preserve">Retain records, other than health, medical, government contract, grant-in-aid, or tax records for more than three </w:t>
      </w:r>
      <w:r w:rsidRPr="00C72EC7">
        <w:rPr>
          <w:rFonts w:ascii="Times New Roman" w:eastAsia="Times New Roman" w:hAnsi="Times New Roman" w:cs="Times New Roman"/>
        </w:rPr>
        <w:t>years;</w:t>
      </w:r>
    </w:p>
    <w:p w:rsidR="008E04F6" w:rsidRPr="00C72EC7" w:rsidP="00F04151" w14:paraId="4CC1A623" w14:textId="28E1ABEB">
      <w:pPr>
        <w:pStyle w:val="ListParagraph"/>
        <w:numPr>
          <w:ilvl w:val="0"/>
          <w:numId w:val="3"/>
        </w:numPr>
        <w:ind w:left="720" w:hanging="360"/>
      </w:pPr>
      <w:r w:rsidRPr="00C72EC7">
        <w:rPr>
          <w:rFonts w:ascii="Times New Roman" w:eastAsia="Times New Roman" w:hAnsi="Times New Roman" w:cs="Times New Roman"/>
        </w:rPr>
        <w:t xml:space="preserve">Collect data in connection with a statistical survey that is not designed to produce valid and reliable results that can be generalized to the universe of </w:t>
      </w:r>
      <w:r w:rsidRPr="00C72EC7">
        <w:rPr>
          <w:rFonts w:ascii="Times New Roman" w:eastAsia="Times New Roman" w:hAnsi="Times New Roman" w:cs="Times New Roman"/>
        </w:rPr>
        <w:t>study</w:t>
      </w:r>
      <w:r w:rsidR="00B14FC3">
        <w:rPr>
          <w:rFonts w:ascii="Times New Roman" w:eastAsia="Times New Roman" w:hAnsi="Times New Roman" w:cs="Times New Roman"/>
        </w:rPr>
        <w:t>;</w:t>
      </w:r>
    </w:p>
    <w:p w:rsidR="008E04F6" w:rsidRPr="00C72EC7" w:rsidP="00F04151" w14:paraId="3C0F7085" w14:textId="71B2FF99">
      <w:pPr>
        <w:pStyle w:val="ListParagraph"/>
        <w:numPr>
          <w:ilvl w:val="0"/>
          <w:numId w:val="3"/>
        </w:numPr>
        <w:ind w:left="720" w:hanging="360"/>
      </w:pPr>
      <w:r w:rsidRPr="00C72EC7">
        <w:rPr>
          <w:rFonts w:ascii="Times New Roman" w:eastAsia="Times New Roman" w:hAnsi="Times New Roman" w:cs="Times New Roman"/>
        </w:rPr>
        <w:t xml:space="preserve">Use a statistical data classification that has not been reviewed and approved by </w:t>
      </w:r>
      <w:r w:rsidRPr="00C72EC7">
        <w:rPr>
          <w:rFonts w:ascii="Times New Roman" w:eastAsia="Times New Roman" w:hAnsi="Times New Roman" w:cs="Times New Roman"/>
        </w:rPr>
        <w:t>OMB;</w:t>
      </w:r>
    </w:p>
    <w:p w:rsidR="008E04F6" w:rsidRPr="00D46939" w:rsidP="00F04151" w14:paraId="375C760F" w14:textId="0B4B102B">
      <w:pPr>
        <w:pStyle w:val="ListParagraph"/>
        <w:numPr>
          <w:ilvl w:val="0"/>
          <w:numId w:val="3"/>
        </w:numPr>
        <w:ind w:left="720" w:hanging="360"/>
      </w:pPr>
      <w:r w:rsidRPr="00D46939">
        <w:rPr>
          <w:rFonts w:ascii="Times New Roman" w:hAnsi="Times New Roman"/>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05655" w:rsidRPr="005E59CF" w:rsidP="00D45546" w14:paraId="36FA3E87" w14:textId="78154C86">
      <w:pPr>
        <w:pStyle w:val="ListParagraph"/>
        <w:numPr>
          <w:ilvl w:val="0"/>
          <w:numId w:val="3"/>
        </w:numPr>
        <w:ind w:left="720" w:hanging="360"/>
      </w:pPr>
      <w:r w:rsidRPr="00D46939">
        <w:rPr>
          <w:rFonts w:ascii="Times New Roman" w:hAnsi="Times New Roman"/>
        </w:rPr>
        <w:t>Submit proprietary</w:t>
      </w:r>
      <w:r w:rsidR="00B14FC3">
        <w:rPr>
          <w:rFonts w:ascii="Times New Roman" w:hAnsi="Times New Roman"/>
        </w:rPr>
        <w:t>,</w:t>
      </w:r>
      <w:r w:rsidRPr="00D46939">
        <w:rPr>
          <w:rFonts w:ascii="Times New Roman" w:hAnsi="Times New Roman"/>
        </w:rPr>
        <w:t xml:space="preserve"> trade secret, or other confidential information unless the agency can demonstrate that it has instituted procedures to protect the information</w:t>
      </w:r>
      <w:r w:rsidR="001053C6">
        <w:rPr>
          <w:rFonts w:ascii="Times New Roman" w:hAnsi="Times New Roman"/>
        </w:rPr>
        <w:t>’</w:t>
      </w:r>
      <w:r w:rsidRPr="00D46939">
        <w:rPr>
          <w:rFonts w:ascii="Times New Roman" w:hAnsi="Times New Roman"/>
        </w:rPr>
        <w:t>s confidentiality to the extent permitted by law</w:t>
      </w:r>
      <w:r w:rsidRPr="00C72EC7">
        <w:rPr>
          <w:rFonts w:ascii="Times New Roman" w:eastAsia="Times New Roman" w:hAnsi="Times New Roman" w:cs="Times New Roman"/>
        </w:rPr>
        <w:t>.</w:t>
      </w:r>
    </w:p>
    <w:p w:rsidR="00437FA1" w:rsidRPr="00F23CF0" w:rsidP="009B2BA2" w14:paraId="61D6C478" w14:textId="6425A02C">
      <w:pPr>
        <w:pStyle w:val="Heading2"/>
      </w:pPr>
      <w:r>
        <w:t xml:space="preserve">8. </w:t>
      </w:r>
      <w:r w:rsidRPr="003775DB">
        <w:t>Federal Register/Outside Consultation</w:t>
      </w:r>
    </w:p>
    <w:p w:rsidR="00554BBE" w:rsidP="00FF3427" w14:paraId="5BFC423E" w14:textId="0AB9C0E6">
      <w:r>
        <w:t>CMS publish</w:t>
      </w:r>
      <w:r w:rsidR="00BE374E">
        <w:t>ed</w:t>
      </w:r>
      <w:r>
        <w:t xml:space="preserve"> a 60-day notice </w:t>
      </w:r>
      <w:r w:rsidR="00BE374E">
        <w:t>on 6/30/2025 within the Federal Register (</w:t>
      </w:r>
      <w:r w:rsidRPr="007860D9" w:rsidR="00BE374E">
        <w:t>90 FR 27869</w:t>
      </w:r>
      <w:r w:rsidR="00BE374E">
        <w:t xml:space="preserve">) </w:t>
      </w:r>
      <w:r w:rsidR="00131CE3">
        <w:t>and a 30-day notice on 11/24/2025 within the Federal Register (</w:t>
      </w:r>
      <w:r w:rsidR="00A23F13">
        <w:t>90 FR 52955</w:t>
      </w:r>
      <w:r w:rsidR="00131CE3">
        <w:t xml:space="preserve">) </w:t>
      </w:r>
      <w:r w:rsidRPr="002404E1" w:rsidR="003C5EFA">
        <w:t>for the public</w:t>
      </w:r>
      <w:r w:rsidRPr="00502780" w:rsidR="003C5EFA">
        <w:t xml:space="preserve"> to submit written comment</w:t>
      </w:r>
      <w:r w:rsidR="00BE374E">
        <w:t>s</w:t>
      </w:r>
      <w:r w:rsidRPr="00502780" w:rsidR="003C5EFA">
        <w:t xml:space="preserve"> on the information collection requirements.</w:t>
      </w:r>
      <w:r w:rsidRPr="000A5850" w:rsidR="003013D0">
        <w:t xml:space="preserve"> </w:t>
      </w:r>
      <w:r w:rsidR="00EB49D8">
        <w:t xml:space="preserve">CMS </w:t>
      </w:r>
      <w:r w:rsidRPr="003013D0" w:rsidR="00EB49D8">
        <w:t>consider</w:t>
      </w:r>
      <w:r w:rsidR="00EB49D8">
        <w:t>ed</w:t>
      </w:r>
      <w:r w:rsidRPr="003013D0" w:rsidR="00EB49D8">
        <w:t xml:space="preserve"> </w:t>
      </w:r>
      <w:r w:rsidR="00CE3D08">
        <w:t xml:space="preserve">whether revisions were appropriate for this package, including based on </w:t>
      </w:r>
      <w:r w:rsidRPr="003013D0" w:rsidR="00EB49D8">
        <w:t xml:space="preserve">timely submissions of public comments to the </w:t>
      </w:r>
      <w:r w:rsidR="00EB49D8">
        <w:t>60-day and 3</w:t>
      </w:r>
      <w:r w:rsidRPr="003013D0" w:rsidR="00EB49D8">
        <w:t>0-day notice package</w:t>
      </w:r>
      <w:r w:rsidR="00EB49D8">
        <w:t>s</w:t>
      </w:r>
      <w:r w:rsidRPr="003013D0" w:rsidR="00EB49D8">
        <w:t>.</w:t>
      </w:r>
      <w:r w:rsidR="00EB49D8">
        <w:t xml:space="preserve"> </w:t>
      </w:r>
      <w:r>
        <w:t xml:space="preserve">A crosswalk document describing the proposed changes from the </w:t>
      </w:r>
      <w:r w:rsidR="00EB49D8">
        <w:t>3</w:t>
      </w:r>
      <w:r w:rsidR="0082461D">
        <w:t xml:space="preserve">0-day </w:t>
      </w:r>
      <w:r>
        <w:t xml:space="preserve">version of this ICR to the </w:t>
      </w:r>
      <w:r w:rsidR="00EB49D8">
        <w:t>final</w:t>
      </w:r>
      <w:r>
        <w:t xml:space="preserve"> version is also attached. </w:t>
      </w:r>
      <w:r w:rsidR="0082461D">
        <w:t xml:space="preserve">CMS </w:t>
      </w:r>
      <w:r w:rsidR="008310AF">
        <w:t>is</w:t>
      </w:r>
      <w:r w:rsidR="0082461D">
        <w:t xml:space="preserve"> provid</w:t>
      </w:r>
      <w:r w:rsidR="008310AF">
        <w:t>ing</w:t>
      </w:r>
      <w:r w:rsidR="0082461D">
        <w:t xml:space="preserve"> </w:t>
      </w:r>
      <w:r w:rsidR="008310AF">
        <w:t xml:space="preserve">a </w:t>
      </w:r>
      <w:r w:rsidR="0082461D">
        <w:t xml:space="preserve">final version </w:t>
      </w:r>
      <w:r w:rsidR="008310AF">
        <w:t xml:space="preserve">of the package </w:t>
      </w:r>
      <w:r w:rsidR="0082461D">
        <w:t xml:space="preserve">for Office of Management and Budget </w:t>
      </w:r>
      <w:r w:rsidR="00D01507">
        <w:t>a</w:t>
      </w:r>
      <w:r w:rsidR="0082461D">
        <w:t>pproval</w:t>
      </w:r>
      <w:r w:rsidR="000512D1">
        <w:t xml:space="preserve">. </w:t>
      </w:r>
    </w:p>
    <w:p w:rsidR="00F86898" w:rsidP="00BC1EE4" w14:paraId="1DB1246D" w14:textId="77777777">
      <w:pPr>
        <w:pStyle w:val="paragraph"/>
        <w:spacing w:before="0" w:beforeAutospacing="0" w:after="0" w:afterAutospacing="0"/>
        <w:textAlignment w:val="baseline"/>
        <w:rPr>
          <w:rFonts w:ascii="Segoe UI" w:hAnsi="Segoe UI" w:cs="Segoe UI"/>
          <w:color w:val="000000"/>
          <w:sz w:val="18"/>
          <w:szCs w:val="18"/>
        </w:rPr>
      </w:pPr>
      <w:r w:rsidRPr="7C2D0501">
        <w:rPr>
          <w:rStyle w:val="normaltextrun"/>
          <w:i/>
          <w:iCs/>
          <w:color w:val="000000"/>
        </w:rPr>
        <w:t>Outside Consultation  </w:t>
      </w:r>
      <w:r>
        <w:rPr>
          <w:rStyle w:val="eop"/>
          <w:color w:val="000000"/>
        </w:rPr>
        <w:t> </w:t>
      </w:r>
    </w:p>
    <w:p w:rsidR="00F86898" w:rsidP="00BC1EE4" w14:paraId="5E31DAF5" w14:textId="2A4C6B30">
      <w:pPr>
        <w:pStyle w:val="paragraph"/>
        <w:spacing w:before="0" w:beforeAutospacing="0" w:after="0" w:afterAutospacing="0"/>
        <w:ind w:left="-15"/>
        <w:textAlignment w:val="baseline"/>
        <w:rPr>
          <w:rStyle w:val="eop"/>
          <w:color w:val="000000"/>
        </w:rPr>
      </w:pPr>
      <w:r>
        <w:rPr>
          <w:rStyle w:val="normaltextrun"/>
          <w:color w:val="000000"/>
        </w:rPr>
        <w:t>In the development of the Negotiation Data Elements, CMS sought input from other federal</w:t>
      </w:r>
      <w:r w:rsidR="00B61C5E">
        <w:rPr>
          <w:rStyle w:val="normaltextrun"/>
          <w:color w:val="000000"/>
        </w:rPr>
        <w:t xml:space="preserve"> </w:t>
      </w:r>
      <w:r>
        <w:rPr>
          <w:rStyle w:val="normaltextrun"/>
          <w:color w:val="000000"/>
        </w:rPr>
        <w:t xml:space="preserve">agencies. CMS consulted with the VA regarding the </w:t>
      </w:r>
      <w:r>
        <w:t xml:space="preserve">Federal Supply Schedule and the Big Four pharmaceutical drug prices </w:t>
      </w:r>
      <w:r>
        <w:rPr>
          <w:rStyle w:val="normaltextrun"/>
          <w:color w:val="000000"/>
        </w:rPr>
        <w:t>and the FDA regarding pharmaceutical drug identifying information, such as NDCs.</w:t>
      </w:r>
      <w:r>
        <w:rPr>
          <w:rStyle w:val="eop"/>
          <w:color w:val="000000"/>
        </w:rPr>
        <w:t> </w:t>
      </w:r>
    </w:p>
    <w:p w:rsidR="00F86898" w:rsidRPr="00690C48" w:rsidP="00690C48" w14:paraId="458A16A0" w14:textId="77777777">
      <w:pPr>
        <w:pStyle w:val="paragraph"/>
        <w:spacing w:before="0" w:beforeAutospacing="0" w:after="0" w:afterAutospacing="0"/>
        <w:ind w:left="-15"/>
        <w:textAlignment w:val="baseline"/>
        <w:rPr>
          <w:rFonts w:ascii="Segoe UI" w:hAnsi="Segoe UI" w:cs="Segoe UI"/>
          <w:color w:val="000000"/>
          <w:sz w:val="18"/>
          <w:szCs w:val="18"/>
        </w:rPr>
      </w:pPr>
    </w:p>
    <w:p w:rsidR="00BD775F" w:rsidRPr="00F23CF0" w:rsidP="00D45546" w14:paraId="695D82BF" w14:textId="046909EC">
      <w:pPr>
        <w:pStyle w:val="Heading2"/>
      </w:pPr>
      <w:r>
        <w:t>9. Payments/Gifts to Respondents</w:t>
      </w:r>
    </w:p>
    <w:p w:rsidR="00A94DF3" w:rsidP="00F23CF0" w14:paraId="66C018DB" w14:textId="415B1234">
      <w:r>
        <w:t xml:space="preserve">No payments or gifts will be given to respondents for participation. </w:t>
      </w:r>
    </w:p>
    <w:p w:rsidR="00B9452B" w:rsidRPr="00F23CF0" w:rsidP="00F23CF0" w14:paraId="21F83300" w14:textId="30B93526">
      <w:r>
        <w:t>The information submitted on the</w:t>
      </w:r>
      <w:r w:rsidRPr="7C2D0501" w:rsidR="00B4018C">
        <w:t xml:space="preserve"> </w:t>
      </w:r>
      <w:r w:rsidR="00B4018C">
        <w:t>Statutory Written</w:t>
      </w:r>
      <w:r>
        <w:t xml:space="preserve"> Counteroffer </w:t>
      </w:r>
      <w:r w:rsidR="00093BD7">
        <w:t xml:space="preserve">ICR </w:t>
      </w:r>
      <w:r>
        <w:t xml:space="preserve">Form </w:t>
      </w:r>
      <w:r w:rsidR="00C967FC">
        <w:t xml:space="preserve">and the Renegotiation Written Counteroffer </w:t>
      </w:r>
      <w:r w:rsidR="00093BD7">
        <w:t xml:space="preserve">ICR </w:t>
      </w:r>
      <w:r w:rsidR="00C967FC">
        <w:t xml:space="preserve">Form </w:t>
      </w:r>
      <w:r>
        <w:t xml:space="preserve">may be used to reach an agreement on the MFP for the selected drug of the Primary Manufacturer. For example, CMS may accept the Primary Manufacturer’s </w:t>
      </w:r>
      <w:r w:rsidR="00574BEC">
        <w:t xml:space="preserve">Counteroffer </w:t>
      </w:r>
      <w:r>
        <w:t xml:space="preserve">or </w:t>
      </w:r>
      <w:r w:rsidR="00D544E6">
        <w:t>CMS may issue a revised</w:t>
      </w:r>
      <w:r>
        <w:t xml:space="preserve"> offer for the MFP based on the Primary Manufacturer’s </w:t>
      </w:r>
      <w:r w:rsidR="00574BEC">
        <w:t xml:space="preserve">Counteroffer </w:t>
      </w:r>
      <w:r>
        <w:t>submission.</w:t>
      </w:r>
    </w:p>
    <w:p w:rsidR="00BD775F" w:rsidRPr="00F23CF0" w:rsidP="00D45546" w14:paraId="2AD37861" w14:textId="1757FEAB">
      <w:pPr>
        <w:pStyle w:val="Heading2"/>
      </w:pPr>
      <w:r>
        <w:t>10. Confidentiality</w:t>
      </w:r>
    </w:p>
    <w:p w:rsidR="00641502" w:rsidP="00641502" w14:paraId="1B6947DC" w14:textId="34467094">
      <w:pPr>
        <w:spacing w:after="0"/>
      </w:pPr>
      <w:r w:rsidRPr="24AE88FA">
        <w:t>Information that is deemed proprietary shall only be used by CMS or disclosed to and used by the Comptroller General of the United States for purposes of carrying out the Negotiation Program. Proprietary information, including trade secret</w:t>
      </w:r>
      <w:r>
        <w:t>s</w:t>
      </w:r>
      <w:r w:rsidRPr="24AE88FA">
        <w:t xml:space="preserve"> and confidential commercial or financial information, </w:t>
      </w:r>
      <w:r>
        <w:t xml:space="preserve">will </w:t>
      </w:r>
      <w:r w:rsidRPr="24AE88FA">
        <w:t xml:space="preserve">also be protected from disclosure </w:t>
      </w:r>
      <w:r>
        <w:t xml:space="preserve">if the proprietary information meets the requirements set forth </w:t>
      </w:r>
      <w:r w:rsidRPr="24AE88FA">
        <w:t>under Exemption</w:t>
      </w:r>
      <w:r>
        <w:t xml:space="preserve"> 3 and/or </w:t>
      </w:r>
      <w:r w:rsidRPr="24AE88FA">
        <w:t xml:space="preserve">Exemption 4 of </w:t>
      </w:r>
      <w:r w:rsidR="00D200A5">
        <w:t xml:space="preserve">the </w:t>
      </w:r>
      <w:r w:rsidRPr="24AE88FA">
        <w:t xml:space="preserve">FOIA (5 U.S.C. </w:t>
      </w:r>
    </w:p>
    <w:p w:rsidR="00DA1FD4" w:rsidP="00DA1FD4" w14:paraId="30056B04" w14:textId="08B824D2">
      <w:r w:rsidRPr="24AE88FA">
        <w:t>§ 552(b)(</w:t>
      </w:r>
      <w:r>
        <w:t xml:space="preserve">3), </w:t>
      </w:r>
      <w:r w:rsidRPr="24AE88FA">
        <w:t>(4)).</w:t>
      </w:r>
      <w:r>
        <w:rPr>
          <w:rStyle w:val="FootnoteReference"/>
        </w:rPr>
        <w:footnoteReference w:id="14"/>
      </w:r>
      <w:r w:rsidRPr="4D085A28">
        <w:t xml:space="preserve">  </w:t>
      </w:r>
    </w:p>
    <w:p w:rsidR="00DA1FD4" w:rsidP="00641502" w14:paraId="7316E96A" w14:textId="031AE1F5">
      <w:pPr>
        <w:spacing w:after="0"/>
      </w:pPr>
      <w:r>
        <w:t xml:space="preserve">As discussed in </w:t>
      </w:r>
      <w:r w:rsidR="00240FA8">
        <w:t>final</w:t>
      </w:r>
      <w:r w:rsidR="00907B14">
        <w:t xml:space="preserve"> </w:t>
      </w:r>
      <w:r>
        <w:t xml:space="preserve">guidance, </w:t>
      </w:r>
      <w:r w:rsidRPr="24AE88FA">
        <w:t xml:space="preserve">CMS </w:t>
      </w:r>
      <w:r w:rsidR="002E25A4">
        <w:t>is</w:t>
      </w:r>
      <w:r w:rsidRPr="24AE88FA">
        <w:t xml:space="preserve"> implement</w:t>
      </w:r>
      <w:r w:rsidR="002E25A4">
        <w:t>ing</w:t>
      </w:r>
      <w:r w:rsidRPr="24AE88FA">
        <w:t xml:space="preserve"> a confidentiality policy that is consistent with existing </w:t>
      </w:r>
      <w:r>
        <w:t xml:space="preserve">federal </w:t>
      </w:r>
      <w:r w:rsidRPr="24AE88FA">
        <w:t xml:space="preserve">requirements for protecting proprietary information </w:t>
      </w:r>
      <w:r>
        <w:t>including</w:t>
      </w:r>
      <w:r w:rsidRPr="24AE88FA">
        <w:t xml:space="preserve"> Exemption</w:t>
      </w:r>
      <w:r>
        <w:t xml:space="preserve"> 3 and/or </w:t>
      </w:r>
      <w:r w:rsidRPr="24AE88FA">
        <w:t xml:space="preserve">Exemption 4 of </w:t>
      </w:r>
      <w:r w:rsidR="00D200A5">
        <w:t xml:space="preserve">the </w:t>
      </w:r>
      <w:r w:rsidRPr="24AE88FA">
        <w:t>FOIA, and that strikes an appropriate balance between (1) protecting the highly sensitive information of manufacturers and ensuring that manufacturers submit the information CMS needs for the Negotiation Program, and (2) avoiding treating information that does not qualify for such protection as proprietary. Thus, for initial price applicability year 202</w:t>
      </w:r>
      <w:r w:rsidR="00907B14">
        <w:t>8</w:t>
      </w:r>
      <w:r w:rsidRPr="24AE88FA">
        <w:t xml:space="preserve">, CMS </w:t>
      </w:r>
      <w:r>
        <w:t>will</w:t>
      </w:r>
      <w:r w:rsidRPr="24AE88FA">
        <w:t xml:space="preserve"> treat information on </w:t>
      </w:r>
      <w:r>
        <w:t xml:space="preserve">non-FAMP </w:t>
      </w:r>
      <w:r w:rsidRPr="24AE88FA">
        <w:rPr>
          <w:color w:val="000000" w:themeColor="text1"/>
        </w:rPr>
        <w:t xml:space="preserve">(as defined in </w:t>
      </w:r>
      <w:r w:rsidR="00421A30">
        <w:rPr>
          <w:color w:val="000000" w:themeColor="text1"/>
        </w:rPr>
        <w:t>38</w:t>
      </w:r>
      <w:r w:rsidR="002B4307">
        <w:rPr>
          <w:color w:val="000000" w:themeColor="text1"/>
        </w:rPr>
        <w:t> </w:t>
      </w:r>
      <w:r w:rsidR="00421A30">
        <w:rPr>
          <w:color w:val="000000" w:themeColor="text1"/>
        </w:rPr>
        <w:t>U.S.C.</w:t>
      </w:r>
      <w:r w:rsidR="002B4307">
        <w:rPr>
          <w:color w:val="000000" w:themeColor="text1"/>
        </w:rPr>
        <w:t> </w:t>
      </w:r>
      <w:r w:rsidRPr="24AE88FA" w:rsidR="00421A30">
        <w:t>§</w:t>
      </w:r>
      <w:r w:rsidRPr="7C2D0501" w:rsidR="00421A30">
        <w:t xml:space="preserve"> </w:t>
      </w:r>
      <w:r w:rsidRPr="24AE88FA">
        <w:rPr>
          <w:color w:val="000000" w:themeColor="text1"/>
        </w:rPr>
        <w:t xml:space="preserve">8126(h)(5)) </w:t>
      </w:r>
      <w:r w:rsidRPr="24AE88FA">
        <w:t xml:space="preserve">as proprietary. </w:t>
      </w:r>
    </w:p>
    <w:p w:rsidR="00641502" w:rsidP="00641502" w14:paraId="7300413D" w14:textId="77777777">
      <w:pPr>
        <w:spacing w:after="0"/>
      </w:pPr>
    </w:p>
    <w:p w:rsidR="00BA4CA8" w:rsidP="00DA1FD4" w14:paraId="4401848D" w14:textId="1FDF7C40">
      <w:pPr>
        <w:spacing w:after="0"/>
      </w:pPr>
      <w:r w:rsidRPr="24AE88FA">
        <w:t xml:space="preserve">For initial price </w:t>
      </w:r>
      <w:r w:rsidRPr="24AE88FA">
        <w:t>applicability</w:t>
      </w:r>
      <w:r w:rsidRPr="24AE88FA">
        <w:t xml:space="preserve"> year </w:t>
      </w:r>
      <w:r w:rsidRPr="24AE88FA" w:rsidR="004D045B">
        <w:t>202</w:t>
      </w:r>
      <w:r w:rsidR="00907B14">
        <w:t>8</w:t>
      </w:r>
      <w:r w:rsidRPr="24AE88FA">
        <w:t>, CMS</w:t>
      </w:r>
      <w:r>
        <w:t xml:space="preserve"> will</w:t>
      </w:r>
      <w:r w:rsidRPr="24AE88FA">
        <w:t xml:space="preserve"> also treat certain data elements submitted by a Primary Manufacturer of a selected drug in accordance with section 1194(e)(1) </w:t>
      </w:r>
      <w:r>
        <w:t xml:space="preserve">and section </w:t>
      </w:r>
    </w:p>
    <w:p w:rsidR="00DA1FD4" w:rsidP="00F145AD" w14:paraId="5803F32D" w14:textId="2538A17E">
      <w:r>
        <w:t xml:space="preserve">1194(e)(2) </w:t>
      </w:r>
      <w:r w:rsidRPr="24AE88FA">
        <w:t xml:space="preserve">of the Act as proprietary if the information constitutes </w:t>
      </w:r>
      <w:r w:rsidR="007128D3">
        <w:t xml:space="preserve">confidential </w:t>
      </w:r>
      <w:r w:rsidRPr="24AE88FA">
        <w:t>commercial or financial information of the Primary Manufacturer or a Secondary Manufacturer.</w:t>
      </w:r>
      <w:r>
        <w:t xml:space="preserve"> </w:t>
      </w:r>
      <w:r w:rsidRPr="24AE88FA">
        <w:t xml:space="preserve">CMS </w:t>
      </w:r>
      <w:r>
        <w:t>will</w:t>
      </w:r>
      <w:r w:rsidRPr="24AE88FA">
        <w:t xml:space="preserve"> treat </w:t>
      </w:r>
      <w:r w:rsidR="009C7A3B">
        <w:t>R&amp;D</w:t>
      </w:r>
      <w:r w:rsidRPr="24AE88FA">
        <w:t xml:space="preserve"> costs and recoupment, unit costs of production and distribution, pending patent applications, market data</w:t>
      </w:r>
      <w:r>
        <w:t>,</w:t>
      </w:r>
      <w:r w:rsidR="00422A83">
        <w:t xml:space="preserve"> and</w:t>
      </w:r>
      <w:r>
        <w:t xml:space="preserve"> </w:t>
      </w:r>
      <w:r w:rsidRPr="24AE88FA">
        <w:t xml:space="preserve">revenue and sales volume data </w:t>
      </w:r>
      <w:r>
        <w:t>as</w:t>
      </w:r>
      <w:r w:rsidRPr="24AE88FA">
        <w:t xml:space="preserve"> proprietary, unless the information that is provided to CMS is already publicly available, in which case it would be considered non-proprietary. CMS </w:t>
      </w:r>
      <w:r>
        <w:t>will</w:t>
      </w:r>
      <w:r w:rsidRPr="24AE88FA">
        <w:t xml:space="preserve"> treat prior Federal </w:t>
      </w:r>
      <w:r>
        <w:t>financial support</w:t>
      </w:r>
      <w:r w:rsidR="00B023EC">
        <w:t>,</w:t>
      </w:r>
      <w:r w:rsidRPr="24AE88FA">
        <w:t xml:space="preserve"> approved patent applications, exclusivities, and </w:t>
      </w:r>
      <w:r>
        <w:t>approv</w:t>
      </w:r>
      <w:r w:rsidR="5DBE2FF0">
        <w:t>ed</w:t>
      </w:r>
      <w:r w:rsidR="40C81A34">
        <w:t xml:space="preserve"> applications</w:t>
      </w:r>
      <w:r w:rsidR="00CA0329">
        <w:t xml:space="preserve"> </w:t>
      </w:r>
      <w:r w:rsidRPr="24AE88FA">
        <w:t xml:space="preserve">under section 505(c) of the FD&amp;C Act or section 351(a) of the PHS Act </w:t>
      </w:r>
      <w:r w:rsidR="009C4CD3">
        <w:t xml:space="preserve">that are publicly available </w:t>
      </w:r>
      <w:r w:rsidRPr="24AE88FA">
        <w:t>as non-proprietary.</w:t>
      </w:r>
    </w:p>
    <w:p w:rsidR="00B023EC" w:rsidP="00F145AD" w14:paraId="17E5CB7B" w14:textId="34D8EDEB">
      <w:r>
        <w:t>W</w:t>
      </w:r>
      <w:r w:rsidRPr="007D2C55">
        <w:t xml:space="preserve">ithin a Primary Manufacturer’s response to a particular data element required in the </w:t>
      </w:r>
      <w:r>
        <w:t xml:space="preserve">Drug Price </w:t>
      </w:r>
      <w:r w:rsidR="00BA2D74">
        <w:t xml:space="preserve">Negotiation </w:t>
      </w:r>
      <w:r>
        <w:t>ICR,</w:t>
      </w:r>
      <w:r w:rsidRPr="007D2C55">
        <w:t xml:space="preserve"> the response may include information that is non-proprietary</w:t>
      </w:r>
      <w:r>
        <w:t xml:space="preserve"> because it is publicly available or otherwise does not </w:t>
      </w:r>
      <w:r w:rsidRPr="00161138">
        <w:t>represent trade secrets and confidential commercial or financial information</w:t>
      </w:r>
      <w:r>
        <w:t>, such as the introductory language within an explanation field of a data element. Additionally, i</w:t>
      </w:r>
      <w:r w:rsidRPr="000721D6">
        <w:t xml:space="preserve">f a </w:t>
      </w:r>
      <w:r>
        <w:t>Primary M</w:t>
      </w:r>
      <w:r w:rsidRPr="000721D6">
        <w:t xml:space="preserve">anufacturer provides a </w:t>
      </w:r>
      <w:r>
        <w:t>Common Technical File or Drug Master File</w:t>
      </w:r>
      <w:r w:rsidRPr="000721D6">
        <w:t xml:space="preserve">, </w:t>
      </w:r>
      <w:r>
        <w:t>that is</w:t>
      </w:r>
      <w:r w:rsidRPr="000721D6">
        <w:t xml:space="preserve"> what is commonly titled “a drug dossier</w:t>
      </w:r>
      <w:r>
        <w:t>,</w:t>
      </w:r>
      <w:r w:rsidRPr="000721D6">
        <w:t xml:space="preserve">” within the manufacturer’s submission of data submitted to CMS in accordance with section 1194(e)(2) of the Act, CMS </w:t>
      </w:r>
      <w:r>
        <w:t>will</w:t>
      </w:r>
      <w:r w:rsidRPr="000721D6">
        <w:t xml:space="preserve"> treat the submission </w:t>
      </w:r>
      <w:r>
        <w:t xml:space="preserve">of a drug dossier </w:t>
      </w:r>
      <w:r w:rsidRPr="000721D6">
        <w:t xml:space="preserve">as </w:t>
      </w:r>
      <w:r>
        <w:t>proprietary</w:t>
      </w:r>
      <w:r w:rsidRPr="000721D6">
        <w:t xml:space="preserve"> because CMS understands that this type of document is </w:t>
      </w:r>
      <w:r>
        <w:t>typically</w:t>
      </w:r>
      <w:r w:rsidRPr="000721D6">
        <w:t xml:space="preserve"> </w:t>
      </w:r>
      <w:r>
        <w:t xml:space="preserve">not </w:t>
      </w:r>
      <w:r w:rsidRPr="000721D6">
        <w:t>publicly available.</w:t>
      </w:r>
      <w:r>
        <w:t xml:space="preserve"> In the Primary Manufacturer’s</w:t>
      </w:r>
      <w:r w:rsidRPr="000721D6">
        <w:t xml:space="preserve"> </w:t>
      </w:r>
      <w:r>
        <w:t>submission of</w:t>
      </w:r>
      <w:r w:rsidRPr="000721D6">
        <w:t xml:space="preserve"> </w:t>
      </w:r>
      <w:r>
        <w:t>information in response to the Drug Price Negotiation ICR, the Primary Manufacturer</w:t>
      </w:r>
      <w:r w:rsidRPr="000721D6">
        <w:t xml:space="preserve"> </w:t>
      </w:r>
      <w:r>
        <w:t xml:space="preserve">may identify for CMS which information the Primary Manufacturer </w:t>
      </w:r>
      <w:r w:rsidRPr="000721D6">
        <w:t>believes should be withheld from disclosure by CMS consistent with existing federal requirements for protecting proprietary information, including Exemptions 3 and/or 4 of the FOIA</w:t>
      </w:r>
      <w:r>
        <w:t>, and that are not included in this section as proprietary by CMS.</w:t>
      </w:r>
    </w:p>
    <w:p w:rsidR="00DA1FD4" w:rsidP="00F23CF0" w14:paraId="7A3BE965" w14:textId="395B1C64">
      <w:r w:rsidRPr="24AE88FA">
        <w:t>Pursuant to section</w:t>
      </w:r>
      <w:r w:rsidR="00D200A5">
        <w:t>s</w:t>
      </w:r>
      <w:r w:rsidRPr="24AE88FA">
        <w:t xml:space="preserve"> 1195(a)(2) </w:t>
      </w:r>
      <w:r w:rsidR="00D200A5">
        <w:t>and 1194(f)</w:t>
      </w:r>
      <w:r w:rsidR="004D7FC3">
        <w:t>(4)(B)</w:t>
      </w:r>
      <w:r w:rsidR="00D200A5">
        <w:t xml:space="preserve"> </w:t>
      </w:r>
      <w:r w:rsidRPr="24AE88FA">
        <w:t>of the Act</w:t>
      </w:r>
      <w:r w:rsidR="00B023EC">
        <w:t xml:space="preserve"> and as discussed in section</w:t>
      </w:r>
      <w:r w:rsidR="00D200A5">
        <w:t>s</w:t>
      </w:r>
      <w:r w:rsidR="00B023EC">
        <w:t xml:space="preserve"> 60.6.1 </w:t>
      </w:r>
      <w:r w:rsidR="00D200A5">
        <w:t xml:space="preserve">and 130.4.5 </w:t>
      </w:r>
      <w:r w:rsidR="00B023EC">
        <w:t xml:space="preserve">of the </w:t>
      </w:r>
      <w:r w:rsidR="00240FA8">
        <w:t>final</w:t>
      </w:r>
      <w:r w:rsidR="00B023EC">
        <w:t xml:space="preserve"> guidance</w:t>
      </w:r>
      <w:r w:rsidRPr="24AE88FA">
        <w:t xml:space="preserve">, CMS is required to publish the explanation </w:t>
      </w:r>
      <w:r>
        <w:t>of</w:t>
      </w:r>
      <w:r w:rsidRPr="24AE88FA">
        <w:t xml:space="preserve"> the MFP by </w:t>
      </w:r>
      <w:bookmarkStart w:id="4" w:name="_Hlk136109615"/>
      <w:r w:rsidRPr="24AE88FA">
        <w:t>March 1, 202</w:t>
      </w:r>
      <w:r w:rsidR="00B023EC">
        <w:t>7</w:t>
      </w:r>
      <w:r w:rsidRPr="24AE88FA">
        <w:t xml:space="preserve">, for initial price </w:t>
      </w:r>
      <w:r w:rsidRPr="24AE88FA">
        <w:t>applicability</w:t>
      </w:r>
      <w:r w:rsidRPr="24AE88FA">
        <w:t xml:space="preserve"> year 202</w:t>
      </w:r>
      <w:r w:rsidR="00B023EC">
        <w:t>8</w:t>
      </w:r>
      <w:r w:rsidRPr="7C2D0501">
        <w:t xml:space="preserve">. </w:t>
      </w:r>
      <w:r w:rsidRPr="00EF0A9A" w:rsidR="00AB63AE">
        <w:t>In this public explanation and any other public documents discussing the MFP</w:t>
      </w:r>
      <w:r w:rsidRPr="24AE88FA">
        <w:t xml:space="preserve">, CMS </w:t>
      </w:r>
      <w:r>
        <w:t>will</w:t>
      </w:r>
      <w:r w:rsidRPr="7C2D0501">
        <w:t xml:space="preserve"> </w:t>
      </w:r>
      <w:r w:rsidR="00AB63AE">
        <w:t>make public</w:t>
      </w:r>
      <w:r w:rsidRPr="007A3985">
        <w:t xml:space="preserve"> the section 1194(e)(1) </w:t>
      </w:r>
      <w:r>
        <w:t xml:space="preserve">and section 1194(e)(2) </w:t>
      </w:r>
      <w:r w:rsidRPr="007A3985">
        <w:t xml:space="preserve">data submitted by the </w:t>
      </w:r>
      <w:r>
        <w:t>Primary M</w:t>
      </w:r>
      <w:r w:rsidRPr="007A3985">
        <w:t xml:space="preserve">anufacturer </w:t>
      </w:r>
      <w:r>
        <w:t>and the public</w:t>
      </w:r>
      <w:r w:rsidR="00EC1BEC">
        <w:t>, the exchange of offers and counteroffers, and the negotiation meetings, if applicable</w:t>
      </w:r>
      <w:r w:rsidR="00A6402D">
        <w:t xml:space="preserve">, </w:t>
      </w:r>
      <w:r w:rsidRPr="00867CDE" w:rsidR="00A6402D">
        <w:t xml:space="preserve">without sharing any </w:t>
      </w:r>
      <w:r w:rsidR="00A6402D">
        <w:t xml:space="preserve">PHI / PII, </w:t>
      </w:r>
      <w:r w:rsidRPr="00867CDE" w:rsidR="00A6402D">
        <w:t>proprietary information</w:t>
      </w:r>
      <w:r w:rsidR="003F7A12">
        <w:t>, or other information protected by federal law</w:t>
      </w:r>
      <w:r w:rsidRPr="00867CDE" w:rsidR="00A6402D">
        <w:t xml:space="preserve"> reported to CMS</w:t>
      </w:r>
      <w:r w:rsidRPr="7C2D0501">
        <w:t xml:space="preserve">. </w:t>
      </w:r>
      <w:r w:rsidRPr="00867CDE">
        <w:t xml:space="preserve">CMS </w:t>
      </w:r>
      <w:r w:rsidR="002C1BFD">
        <w:t>may</w:t>
      </w:r>
      <w:r w:rsidRPr="00867CDE" w:rsidR="002C1BFD">
        <w:t xml:space="preserve"> </w:t>
      </w:r>
      <w:r w:rsidRPr="00867CDE">
        <w:t>also make high-level comments about the section 1194(e)(1) and section 1194(e)(2) data submitted to CMS that are determined to be propriet</w:t>
      </w:r>
      <w:r>
        <w:t>ar</w:t>
      </w:r>
      <w:r w:rsidRPr="00867CDE">
        <w:t xml:space="preserve">y, without sharing any </w:t>
      </w:r>
      <w:r w:rsidR="00A22C9A">
        <w:t>PHI</w:t>
      </w:r>
      <w:r w:rsidR="001A6DF7">
        <w:t xml:space="preserve"> / PII or any </w:t>
      </w:r>
      <w:r w:rsidRPr="00867CDE">
        <w:t>proprietary information reported to CMS.</w:t>
      </w:r>
      <w:bookmarkEnd w:id="4"/>
      <w:r w:rsidRPr="7C2D0501">
        <w:t xml:space="preserve"> </w:t>
      </w:r>
    </w:p>
    <w:p w:rsidR="002E25A4" w:rsidRPr="002E25A4" w:rsidP="002E25A4" w14:paraId="54A1E7B0" w14:textId="08020D46">
      <w:r w:rsidRPr="002E25A4">
        <w:t xml:space="preserve">CMS requests that respondents submitting information for this ICR identify if there is information submitted in response to questions pertaining to section 1194(e)(1) and section 1194(e)(2) data that the respondent believes qualifies for Exemption 3 and/or Exemption 4 of </w:t>
      </w:r>
      <w:r w:rsidR="00D200A5">
        <w:t xml:space="preserve">the </w:t>
      </w:r>
      <w:r w:rsidRPr="002E25A4">
        <w:t>FOIA, if CMS has not already identified such information as proprietary and/or confidential.</w:t>
      </w:r>
    </w:p>
    <w:p w:rsidR="00BD775F" w:rsidRPr="00F23CF0" w:rsidP="00D45546" w14:paraId="7EFCBC80" w14:textId="2A55E697">
      <w:pPr>
        <w:pStyle w:val="Heading2"/>
      </w:pPr>
      <w:r>
        <w:t>11. Sensitive Questions</w:t>
      </w:r>
    </w:p>
    <w:p w:rsidR="00C32E22" w:rsidRPr="00F23CF0" w:rsidP="00F23CF0" w14:paraId="4C97D526" w14:textId="7F1D69E7">
      <w:r w:rsidRPr="4EFB2336">
        <w:rPr>
          <w:color w:val="000000" w:themeColor="text1"/>
        </w:rPr>
        <w:t>There are no sensitive questions associated with this collection.</w:t>
      </w:r>
    </w:p>
    <w:p w:rsidR="005604B7" w:rsidP="00D45546" w14:paraId="0278C237" w14:textId="2674BA5B">
      <w:pPr>
        <w:pStyle w:val="Heading2"/>
      </w:pPr>
      <w:r>
        <w:t>12. Burden Estimates (Hours &amp; Wages)</w:t>
      </w:r>
    </w:p>
    <w:p w:rsidR="003A7817" w:rsidP="000A5850" w14:paraId="14B43326" w14:textId="240AA7BA">
      <w:pPr>
        <w:pStyle w:val="Header3"/>
      </w:pPr>
      <w:r>
        <w:t>Negotiation Data Elements</w:t>
      </w:r>
      <w:r w:rsidR="00C30911">
        <w:t xml:space="preserve"> ICR Form</w:t>
      </w:r>
    </w:p>
    <w:p w:rsidR="2A22118D" w:rsidRPr="00494F23" w:rsidP="00F04151" w14:paraId="04C7576C" w14:textId="459C3AA2">
      <w:r>
        <w:t xml:space="preserve">A </w:t>
      </w:r>
      <w:r w:rsidR="002A2BF5">
        <w:t>Primary</w:t>
      </w:r>
      <w:r w:rsidRPr="7C2D0501" w:rsidR="000F3AA5">
        <w:t xml:space="preserve"> </w:t>
      </w:r>
      <w:r>
        <w:t xml:space="preserve">Manufacturer must complete and submit the information requested on </w:t>
      </w:r>
      <w:r w:rsidR="002A5B42">
        <w:t xml:space="preserve">the Negotiation Data Elements </w:t>
      </w:r>
      <w:r w:rsidR="00FE58BB">
        <w:t>ICR</w:t>
      </w:r>
      <w:r w:rsidR="002A5B42">
        <w:t xml:space="preserve"> Form</w:t>
      </w:r>
      <w:r>
        <w:t xml:space="preserve"> for the purpose of negotiation </w:t>
      </w:r>
      <w:r w:rsidR="00AB63AE">
        <w:t xml:space="preserve">or renegotiation, as applicable, </w:t>
      </w:r>
      <w:r>
        <w:t xml:space="preserve">for a selected drug. </w:t>
      </w:r>
      <w:r w:rsidR="00F02DCA">
        <w:t xml:space="preserve">The </w:t>
      </w:r>
      <w:r w:rsidR="00371317">
        <w:t xml:space="preserve">data required from the </w:t>
      </w:r>
      <w:r w:rsidR="00B14FC3">
        <w:t>Primary Manufacturer</w:t>
      </w:r>
      <w:r w:rsidRPr="7C2D0501" w:rsidR="000E075A">
        <w:t xml:space="preserve"> </w:t>
      </w:r>
      <w:r w:rsidR="00371317">
        <w:t>are</w:t>
      </w:r>
      <w:r w:rsidR="00F02DCA">
        <w:t xml:space="preserve"> outlined in section</w:t>
      </w:r>
      <w:r w:rsidR="00E57DA1">
        <w:t>s 1193(a)(4)</w:t>
      </w:r>
      <w:r w:rsidR="00BD25DA">
        <w:t xml:space="preserve"> and</w:t>
      </w:r>
      <w:r w:rsidR="00F02DCA">
        <w:t xml:space="preserve"> 1194(e)(1)</w:t>
      </w:r>
      <w:r w:rsidR="00BD25DA">
        <w:t xml:space="preserve"> </w:t>
      </w:r>
      <w:r w:rsidR="00FE58BB">
        <w:t>of the Act</w:t>
      </w:r>
      <w:r w:rsidR="003C2181">
        <w:t xml:space="preserve"> and </w:t>
      </w:r>
      <w:r w:rsidR="00BD25DA">
        <w:t xml:space="preserve">sections 50 and 130.3 of </w:t>
      </w:r>
      <w:r w:rsidR="00162193">
        <w:t xml:space="preserve">the </w:t>
      </w:r>
      <w:r w:rsidR="00240FA8">
        <w:t>final</w:t>
      </w:r>
      <w:r w:rsidR="00AB63AE">
        <w:t xml:space="preserve"> </w:t>
      </w:r>
      <w:r w:rsidR="003C2181">
        <w:t>guidance</w:t>
      </w:r>
      <w:r w:rsidRPr="7C2D0501" w:rsidR="00F02DCA">
        <w:t xml:space="preserve">. </w:t>
      </w:r>
      <w:r w:rsidR="002A16F9">
        <w:t xml:space="preserve">The Primary Manufacturer must submit information in the CMS HPMS for the NDC-11s of the selected drug, inclusive of any NDC-11s that the Primary Manufacturer submits for the list of NDC-11s pursuant </w:t>
      </w:r>
      <w:r w:rsidR="00AF393E">
        <w:t xml:space="preserve">to </w:t>
      </w:r>
      <w:r w:rsidR="00E97657">
        <w:t>final</w:t>
      </w:r>
      <w:r w:rsidR="00AB63AE">
        <w:t xml:space="preserve"> </w:t>
      </w:r>
      <w:r w:rsidR="002A16F9">
        <w:t xml:space="preserve">guidance. </w:t>
      </w:r>
      <w:r>
        <w:t xml:space="preserve">Information submission for factors outlined in section 1194(e)(2) </w:t>
      </w:r>
      <w:r w:rsidR="00FE58BB">
        <w:t xml:space="preserve">of the Act </w:t>
      </w:r>
      <w:r>
        <w:t>are</w:t>
      </w:r>
      <w:r>
        <w:t xml:space="preserve"> voluntary and open to all interested parties. </w:t>
      </w:r>
      <w:r w:rsidR="00743B50">
        <w:t xml:space="preserve">By soliciting input from the public on factors outlined </w:t>
      </w:r>
      <w:r w:rsidR="00AF393E">
        <w:t>in</w:t>
      </w:r>
      <w:r w:rsidR="00743B50">
        <w:t xml:space="preserve"> section 1194(e)(2)</w:t>
      </w:r>
      <w:r w:rsidR="00FE58BB">
        <w:t xml:space="preserve"> of the Act</w:t>
      </w:r>
      <w:r w:rsidR="00743B50">
        <w:t xml:space="preserve">, the intent of this information request is to obtain data from </w:t>
      </w:r>
      <w:r w:rsidR="002D39D7">
        <w:t xml:space="preserve">any interested party, including patients and consumers, Part D plan sponsors and Medicare Advantage organizations, Primary </w:t>
      </w:r>
      <w:r w:rsidR="00BB6939">
        <w:t xml:space="preserve">and Secondary </w:t>
      </w:r>
      <w:r w:rsidR="002D39D7">
        <w:t xml:space="preserve">Manufacturers, manufacturers of therapeutic alternatives for a selected drug, hospitals and health care providers, wholesalers, pharmacies, </w:t>
      </w:r>
      <w:r w:rsidR="00323D7F">
        <w:t xml:space="preserve">and </w:t>
      </w:r>
      <w:r w:rsidR="002D39D7">
        <w:t>researchers</w:t>
      </w:r>
      <w:r w:rsidRPr="7C2D0501" w:rsidR="00743B50">
        <w:t>.</w:t>
      </w:r>
    </w:p>
    <w:p w:rsidR="009D6F02" w:rsidP="009D6F02" w14:paraId="706123FF" w14:textId="1ABD20A8">
      <w:pPr>
        <w:ind w:left="-5" w:right="2"/>
      </w:pPr>
      <w:r>
        <w:t xml:space="preserve">To derive wage estimates, CMS used data from the Bureau of Labor Statistics’ </w:t>
      </w:r>
      <w:r w:rsidRPr="000C0292">
        <w:t>May 202</w:t>
      </w:r>
      <w:r w:rsidR="003F7A12">
        <w:t>4</w:t>
      </w:r>
      <w:r w:rsidRPr="000C0292">
        <w:t xml:space="preserve"> National Industry-Specific Occupational Employment and Wage Estimates</w:t>
      </w:r>
      <w:r>
        <w:t xml:space="preserve"> for the Pharmaceutical and Medicine Manufacturing industry, when available, to derive average labor costs (including a 100 percent increase for fringe benefits and overhead) for estimating the burden associated with the </w:t>
      </w:r>
      <w:r w:rsidR="0078206D">
        <w:t>Negotiation Data Elements ICR</w:t>
      </w:r>
      <w:r>
        <w:t xml:space="preserve"> Form.</w:t>
      </w:r>
      <w:r>
        <w:rPr>
          <w:vertAlign w:val="superscript"/>
        </w:rPr>
        <w:footnoteReference w:id="15"/>
      </w:r>
      <w:r>
        <w:t xml:space="preserve"> When industry-specific wage estimates were not available, the Bureau of Labor Statistics’ May 202</w:t>
      </w:r>
      <w:r w:rsidR="00266523">
        <w:t>4</w:t>
      </w:r>
      <w:r>
        <w:t xml:space="preserve"> </w:t>
      </w:r>
      <w:r w:rsidRPr="00FE2E8A">
        <w:t>Occupational Employment and Wage Statistics</w:t>
      </w:r>
      <w:r>
        <w:t xml:space="preserve"> data was used. Table</w:t>
      </w:r>
      <w:r w:rsidR="0078206D">
        <w:t>s</w:t>
      </w:r>
      <w:r>
        <w:t xml:space="preserve"> 1</w:t>
      </w:r>
      <w:r w:rsidR="0078206D">
        <w:t>-</w:t>
      </w:r>
      <w:r w:rsidR="00F07AA6">
        <w:t>8</w:t>
      </w:r>
      <w:r>
        <w:t xml:space="preserve"> below present</w:t>
      </w:r>
      <w:r w:rsidR="00DE5E51">
        <w:t xml:space="preserve"> </w:t>
      </w:r>
      <w:r>
        <w:t>the estimated me</w:t>
      </w:r>
      <w:r w:rsidR="0078206D">
        <w:t>dian</w:t>
      </w:r>
      <w:r>
        <w:t xml:space="preserve"> hourly wage, the cost of fringe benefits and overhead, total burden hours, and total cost to submit this form. </w:t>
      </w:r>
    </w:p>
    <w:p w:rsidR="006B37BA" w:rsidRPr="009D6F02" w:rsidP="000A5850" w14:paraId="635EA524" w14:textId="6077CBE8">
      <w:pPr>
        <w:pStyle w:val="Heading4"/>
      </w:pPr>
      <w:r w:rsidRPr="009D6F02">
        <w:t>Manufacturer-Specific Data</w:t>
      </w:r>
    </w:p>
    <w:p w:rsidR="00234DFC" w:rsidP="006B37BA" w14:paraId="04919468" w14:textId="045BBEB9">
      <w:pPr>
        <w:tabs>
          <w:tab w:val="left" w:pos="720"/>
        </w:tabs>
        <w:suppressAutoHyphens/>
        <w:spacing w:line="240" w:lineRule="atLeast"/>
      </w:pPr>
      <w:r>
        <w:t>T</w:t>
      </w:r>
      <w:r w:rsidR="003C5EFA">
        <w:t xml:space="preserve">he Primary Manufacturer is best positioned to provide the requested </w:t>
      </w:r>
      <w:r w:rsidR="003C5EFA">
        <w:t>data</w:t>
      </w:r>
      <w:r w:rsidR="003C5EFA">
        <w:t xml:space="preserve"> and the statute provides that manufacturers participating in the Negotiation Program will submit the requested data.</w:t>
      </w:r>
    </w:p>
    <w:p w:rsidR="6B370752" w:rsidP="006B37BA" w14:paraId="28BC55C9" w14:textId="3EF680F0">
      <w:pPr>
        <w:rPr>
          <w:color w:val="000000" w:themeColor="text1"/>
        </w:rPr>
      </w:pPr>
      <w:r>
        <w:t>Thus</w:t>
      </w:r>
      <w:r w:rsidRPr="4EE40887" w:rsidR="005448DA">
        <w:t>,</w:t>
      </w:r>
      <w:r w:rsidRPr="4EE40887" w:rsidR="00FE0E32">
        <w:t xml:space="preserve"> </w:t>
      </w:r>
      <w:r w:rsidR="002A2BF5">
        <w:t>Primary</w:t>
      </w:r>
      <w:r w:rsidRPr="4EE40887" w:rsidR="000F3AA5">
        <w:t xml:space="preserve"> </w:t>
      </w:r>
      <w:r w:rsidR="00845EC0">
        <w:t>Ma</w:t>
      </w:r>
      <w:r w:rsidR="00FE0E32">
        <w:t xml:space="preserve">nufacturers </w:t>
      </w:r>
      <w:r w:rsidR="001B77C2">
        <w:t>t</w:t>
      </w:r>
      <w:r w:rsidR="00CC426C">
        <w:t xml:space="preserve">hat have agreed to participate in the Negotiation Program </w:t>
      </w:r>
      <w:r w:rsidR="006B37BA">
        <w:t>are required to report the</w:t>
      </w:r>
      <w:r w:rsidRPr="4EE40887" w:rsidR="00FE0E32">
        <w:t xml:space="preserve"> </w:t>
      </w:r>
      <w:r w:rsidR="002A16F9">
        <w:t>information</w:t>
      </w:r>
      <w:r w:rsidRPr="4EE40887" w:rsidR="00FE0E32">
        <w:t xml:space="preserve"> </w:t>
      </w:r>
      <w:r w:rsidR="002A16F9">
        <w:t>provided for</w:t>
      </w:r>
      <w:r w:rsidR="00FE0E32">
        <w:t xml:space="preserve"> </w:t>
      </w:r>
      <w:r w:rsidR="00641502">
        <w:t xml:space="preserve">in </w:t>
      </w:r>
      <w:r w:rsidR="00FE0E32">
        <w:t>section</w:t>
      </w:r>
      <w:r w:rsidR="00EA1192">
        <w:t>s 1193(a)(4)</w:t>
      </w:r>
      <w:r w:rsidR="00BD25DA">
        <w:t xml:space="preserve"> and </w:t>
      </w:r>
      <w:r w:rsidR="00FE0E32">
        <w:t>1194</w:t>
      </w:r>
      <w:r>
        <w:t>(e)</w:t>
      </w:r>
      <w:r w:rsidR="00277ABA">
        <w:t>(1)</w:t>
      </w:r>
      <w:r w:rsidR="00FE58BB">
        <w:t xml:space="preserve"> of the Act</w:t>
      </w:r>
      <w:r w:rsidR="0023038F">
        <w:t xml:space="preserve"> and described in section</w:t>
      </w:r>
      <w:r w:rsidR="00BD25DA">
        <w:t>s</w:t>
      </w:r>
      <w:r w:rsidR="0023038F">
        <w:t xml:space="preserve"> 50.1 of the </w:t>
      </w:r>
      <w:r w:rsidR="00E97657">
        <w:t>final</w:t>
      </w:r>
      <w:r w:rsidR="0023038F">
        <w:t xml:space="preserve"> guidance</w:t>
      </w:r>
      <w:r w:rsidRPr="6B370752">
        <w:rPr>
          <w:color w:val="000000" w:themeColor="text1"/>
        </w:rPr>
        <w:t>.</w:t>
      </w:r>
      <w:r w:rsidR="00FE0E32">
        <w:rPr>
          <w:color w:val="000000" w:themeColor="text1"/>
        </w:rPr>
        <w:t xml:space="preserve"> </w:t>
      </w:r>
      <w:r w:rsidR="000551B4">
        <w:t>Pursuant to section 1194(f)</w:t>
      </w:r>
      <w:r w:rsidR="00932D9E">
        <w:t>(4)</w:t>
      </w:r>
      <w:r w:rsidR="000551B4">
        <w:t xml:space="preserve">(B) of the Act and section 130.3.2 of the </w:t>
      </w:r>
      <w:r w:rsidR="00E97657">
        <w:t>final</w:t>
      </w:r>
      <w:r w:rsidR="000551B4">
        <w:t xml:space="preserve"> guidance, Primary Manufacturers are required to submit new information on section 1194(e)(1) data elements and data on </w:t>
      </w:r>
      <w:r w:rsidRPr="00A41FEF" w:rsidR="000551B4">
        <w:t>NDC-11s of the selected drug that may be payable under Part B (if any) but are not covered under Part D</w:t>
      </w:r>
      <w:r w:rsidR="002922F6">
        <w:t>, which</w:t>
      </w:r>
      <w:r w:rsidR="000551B4">
        <w:t xml:space="preserve"> are necessary to carry out renegotiation. </w:t>
      </w:r>
      <w:r w:rsidRPr="6B370752">
        <w:rPr>
          <w:color w:val="000000" w:themeColor="text1"/>
        </w:rPr>
        <w:t xml:space="preserve">Table 1 presents the </w:t>
      </w:r>
      <w:r w:rsidR="00B8575B">
        <w:rPr>
          <w:color w:val="000000" w:themeColor="text1"/>
        </w:rPr>
        <w:t xml:space="preserve">estimated </w:t>
      </w:r>
      <w:r w:rsidRPr="6B370752">
        <w:rPr>
          <w:color w:val="000000" w:themeColor="text1"/>
        </w:rPr>
        <w:t>me</w:t>
      </w:r>
      <w:r w:rsidR="009D6F02">
        <w:rPr>
          <w:color w:val="000000" w:themeColor="text1"/>
        </w:rPr>
        <w:t>dian</w:t>
      </w:r>
      <w:r w:rsidRPr="6B370752">
        <w:rPr>
          <w:color w:val="000000" w:themeColor="text1"/>
        </w:rPr>
        <w:t xml:space="preserve"> hourly wage, the adjusted hourly wage</w:t>
      </w:r>
      <w:r>
        <w:rPr>
          <w:color w:val="000000" w:themeColor="text1"/>
        </w:rPr>
        <w:t xml:space="preserve"> (inclusive of fringe benefits and overhead)</w:t>
      </w:r>
      <w:r w:rsidRPr="6B370752">
        <w:rPr>
          <w:color w:val="000000" w:themeColor="text1"/>
        </w:rPr>
        <w:t>, total burden</w:t>
      </w:r>
      <w:r>
        <w:rPr>
          <w:color w:val="000000" w:themeColor="text1"/>
        </w:rPr>
        <w:t>,</w:t>
      </w:r>
      <w:r w:rsidRPr="6B370752">
        <w:rPr>
          <w:color w:val="000000" w:themeColor="text1"/>
        </w:rPr>
        <w:t xml:space="preserve"> and total cost</w:t>
      </w:r>
      <w:r w:rsidR="00B8575B">
        <w:rPr>
          <w:color w:val="000000" w:themeColor="text1"/>
        </w:rPr>
        <w:t xml:space="preserve"> to submit </w:t>
      </w:r>
      <w:r w:rsidR="006B37BA">
        <w:rPr>
          <w:color w:val="000000" w:themeColor="text1"/>
        </w:rPr>
        <w:t>the data outlined in the justification section of this supporting statement and the information collection</w:t>
      </w:r>
      <w:r w:rsidRPr="6B370752">
        <w:rPr>
          <w:color w:val="000000" w:themeColor="text1"/>
        </w:rPr>
        <w:t>.</w:t>
      </w:r>
      <w:r>
        <w:rPr>
          <w:color w:val="000000" w:themeColor="text1"/>
        </w:rPr>
        <w:t xml:space="preserve"> </w:t>
      </w:r>
      <w:r w:rsidR="00B8575B">
        <w:rPr>
          <w:color w:val="000000" w:themeColor="text1"/>
        </w:rPr>
        <w:t xml:space="preserve">Although </w:t>
      </w:r>
      <w:r w:rsidR="0090086F">
        <w:rPr>
          <w:color w:val="000000" w:themeColor="text1"/>
        </w:rPr>
        <w:t xml:space="preserve">CMS </w:t>
      </w:r>
      <w:r w:rsidR="00B8575B">
        <w:rPr>
          <w:color w:val="000000" w:themeColor="text1"/>
        </w:rPr>
        <w:t>expect</w:t>
      </w:r>
      <w:r w:rsidR="0090086F">
        <w:rPr>
          <w:color w:val="000000" w:themeColor="text1"/>
        </w:rPr>
        <w:t>s</w:t>
      </w:r>
      <w:r w:rsidR="00B8575B">
        <w:rPr>
          <w:color w:val="000000" w:themeColor="text1"/>
        </w:rPr>
        <w:t xml:space="preserve"> </w:t>
      </w:r>
      <w:r w:rsidR="002A2BF5">
        <w:rPr>
          <w:color w:val="000000" w:themeColor="text1"/>
        </w:rPr>
        <w:t>Primary</w:t>
      </w:r>
      <w:r w:rsidR="000F3AA5">
        <w:rPr>
          <w:color w:val="000000" w:themeColor="text1"/>
        </w:rPr>
        <w:t xml:space="preserve"> </w:t>
      </w:r>
      <w:r w:rsidR="00B8575B">
        <w:rPr>
          <w:color w:val="000000" w:themeColor="text1"/>
        </w:rPr>
        <w:t>Manufacturers to have some of the data readily available for submission</w:t>
      </w:r>
      <w:r w:rsidRPr="4EE40887">
        <w:t xml:space="preserve">, </w:t>
      </w:r>
      <w:r w:rsidR="00B8575B">
        <w:t>there is some uncertainty to the estimate in Table 1 as some o</w:t>
      </w:r>
      <w:r>
        <w:t>f the data required may not be</w:t>
      </w:r>
      <w:r w:rsidRPr="6B370752">
        <w:rPr>
          <w:color w:val="000000" w:themeColor="text1"/>
        </w:rPr>
        <w:t xml:space="preserve"> readily </w:t>
      </w:r>
      <w:r>
        <w:rPr>
          <w:color w:val="000000" w:themeColor="text1"/>
        </w:rPr>
        <w:t>available</w:t>
      </w:r>
      <w:r w:rsidRPr="6B370752">
        <w:rPr>
          <w:color w:val="000000" w:themeColor="text1"/>
        </w:rPr>
        <w:t xml:space="preserve"> and may take time to compile, such as </w:t>
      </w:r>
      <w:r w:rsidR="009C7A3B">
        <w:rPr>
          <w:color w:val="000000" w:themeColor="text1"/>
        </w:rPr>
        <w:t>R&amp;D</w:t>
      </w:r>
      <w:r w:rsidRPr="6B370752">
        <w:rPr>
          <w:color w:val="000000" w:themeColor="text1"/>
        </w:rPr>
        <w:t xml:space="preserve"> costs that manufacturers have recouped, as required under </w:t>
      </w:r>
      <w:r>
        <w:rPr>
          <w:color w:val="000000" w:themeColor="text1"/>
        </w:rPr>
        <w:t xml:space="preserve">section </w:t>
      </w:r>
      <w:r w:rsidRPr="6B370752">
        <w:rPr>
          <w:color w:val="000000" w:themeColor="text1"/>
        </w:rPr>
        <w:t>1194(e)(1)</w:t>
      </w:r>
      <w:r w:rsidR="00FE58BB">
        <w:rPr>
          <w:color w:val="000000" w:themeColor="text1"/>
        </w:rPr>
        <w:t xml:space="preserve"> of the Act</w:t>
      </w:r>
      <w:r>
        <w:rPr>
          <w:color w:val="000000" w:themeColor="text1"/>
        </w:rPr>
        <w:t xml:space="preserve">. </w:t>
      </w:r>
      <w:r w:rsidR="0047721A">
        <w:rPr>
          <w:color w:val="000000" w:themeColor="text1"/>
        </w:rPr>
        <w:t>G</w:t>
      </w:r>
      <w:r w:rsidR="00B8575B">
        <w:rPr>
          <w:color w:val="000000" w:themeColor="text1"/>
        </w:rPr>
        <w:t xml:space="preserve">iven this uncertainty, </w:t>
      </w:r>
      <w:r w:rsidR="00FE0E32">
        <w:rPr>
          <w:color w:val="000000" w:themeColor="text1"/>
        </w:rPr>
        <w:t>the burden estimate is provided along with a high estimate and low estimate</w:t>
      </w:r>
      <w:r w:rsidR="00035B11">
        <w:rPr>
          <w:color w:val="000000" w:themeColor="text1"/>
        </w:rPr>
        <w:t xml:space="preserve"> in Table</w:t>
      </w:r>
      <w:r w:rsidR="008436C7">
        <w:rPr>
          <w:color w:val="000000" w:themeColor="text1"/>
        </w:rPr>
        <w:t> </w:t>
      </w:r>
      <w:r w:rsidR="00035B11">
        <w:rPr>
          <w:color w:val="000000" w:themeColor="text1"/>
        </w:rPr>
        <w:t>2</w:t>
      </w:r>
      <w:r w:rsidRPr="6B370752">
        <w:rPr>
          <w:color w:val="000000" w:themeColor="text1"/>
        </w:rPr>
        <w:t xml:space="preserve">. </w:t>
      </w:r>
      <w:r w:rsidR="002802A5">
        <w:rPr>
          <w:color w:val="000000" w:themeColor="text1"/>
        </w:rPr>
        <w:t xml:space="preserve">With respect to data collection for renegotiation, </w:t>
      </w:r>
      <w:r w:rsidRPr="003F7A12" w:rsidR="003F7A12">
        <w:rPr>
          <w:color w:val="000000" w:themeColor="text1"/>
        </w:rPr>
        <w:t xml:space="preserve">CMS expects Primary Manufacturers to have some of the data readily available for submission, particularly because the data is responsive to similar questions and reporting metrics used for collection of data required to be submitted in the course of negotiating the MFP and the Primary Manufacturer will be familiar with the process of compiling, calculating, and submitting this data to CMS; however, there is some uncertainty to the estimate in Table </w:t>
      </w:r>
      <w:r w:rsidR="00DC0285">
        <w:rPr>
          <w:color w:val="000000" w:themeColor="text1"/>
        </w:rPr>
        <w:t>3</w:t>
      </w:r>
      <w:r w:rsidRPr="003F7A12" w:rsidR="003F7A12">
        <w:rPr>
          <w:color w:val="000000" w:themeColor="text1"/>
        </w:rPr>
        <w:t xml:space="preserve"> as some of the data required may not be readily available and may take time to compile, such as R&amp;D costs that manufacturers have incurred since the periods reflected in their prior submissions required under section 1194(e)(1) of the Act. Given this uncertainty, the burden estimate is provided along with a high estimate and low estimate in Table </w:t>
      </w:r>
      <w:r w:rsidR="00DC0285">
        <w:rPr>
          <w:color w:val="000000" w:themeColor="text1"/>
        </w:rPr>
        <w:t>4</w:t>
      </w:r>
      <w:r w:rsidRPr="003F7A12" w:rsidR="003F7A12">
        <w:rPr>
          <w:color w:val="000000" w:themeColor="text1"/>
        </w:rPr>
        <w:t>. CMS does not intend for the Primary Manufacturer to provide information in response to this ICR Form that the Primary Manufacturer provided in its original full submission of section 1194(e)(1) data to CMS</w:t>
      </w:r>
      <w:r w:rsidR="00BD25DA">
        <w:rPr>
          <w:color w:val="000000" w:themeColor="text1"/>
        </w:rPr>
        <w:t xml:space="preserve"> </w:t>
      </w:r>
      <w:r w:rsidRPr="00E25723" w:rsidR="00BD25DA">
        <w:t>for the negotiation period in which the selected drug’s MFP was negotiated</w:t>
      </w:r>
      <w:r w:rsidRPr="003F7A12" w:rsidR="003F7A12">
        <w:rPr>
          <w:color w:val="000000" w:themeColor="text1"/>
        </w:rPr>
        <w:t>.</w:t>
      </w:r>
    </w:p>
    <w:p w:rsidR="006B37BA" w:rsidRPr="00FE0E32" w:rsidP="000A5850" w14:paraId="6D8EFAD9" w14:textId="027027DC">
      <w:pPr>
        <w:pStyle w:val="Heading4"/>
      </w:pPr>
      <w:r w:rsidRPr="13B0BCA9">
        <w:t>Evidence About Alternative Treatments</w:t>
      </w:r>
    </w:p>
    <w:p w:rsidR="6B370752" w:rsidP="6B370752" w14:paraId="16624D11" w14:textId="5B8B7CEA">
      <w:r>
        <w:t xml:space="preserve">As previously noted, information on </w:t>
      </w:r>
      <w:r w:rsidR="00C34B53">
        <w:t xml:space="preserve">selected drugs and their </w:t>
      </w:r>
      <w:r>
        <w:t xml:space="preserve">alternative treatments </w:t>
      </w:r>
      <w:r w:rsidR="00917DCA">
        <w:t xml:space="preserve">as specified </w:t>
      </w:r>
      <w:r>
        <w:t xml:space="preserve">by section 1194(e)(2) </w:t>
      </w:r>
      <w:r w:rsidR="00FE58BB">
        <w:t xml:space="preserve">of the Act </w:t>
      </w:r>
      <w:r>
        <w:t xml:space="preserve">may be gathered from several sources and submission of such information is voluntary and open to the </w:t>
      </w:r>
      <w:r w:rsidR="0031751A">
        <w:t>Primary M</w:t>
      </w:r>
      <w:r>
        <w:t xml:space="preserve">anufacturer of a selected drug as </w:t>
      </w:r>
      <w:r w:rsidRPr="001571CF">
        <w:t>well</w:t>
      </w:r>
      <w:r>
        <w:t xml:space="preserve"> as the public. Where possible, data </w:t>
      </w:r>
      <w:r w:rsidR="00B8575B">
        <w:t xml:space="preserve">are </w:t>
      </w:r>
      <w:r>
        <w:t xml:space="preserve">used to inform this burden estimate. However, </w:t>
      </w:r>
      <w:r w:rsidR="00B8575B">
        <w:t xml:space="preserve">there is considerable uncertainty as </w:t>
      </w:r>
      <w:r>
        <w:t xml:space="preserve">interested parties will differ in time spent gathering and submitting data, resources available to each party to submit such data, and other considerations that could impact the burden estimate. </w:t>
      </w:r>
      <w:r w:rsidR="002D6EE9">
        <w:rPr>
          <w:color w:val="000000" w:themeColor="text1"/>
        </w:rPr>
        <w:t>R</w:t>
      </w:r>
      <w:r w:rsidR="00A757E8">
        <w:rPr>
          <w:color w:val="000000" w:themeColor="text1"/>
        </w:rPr>
        <w:t xml:space="preserve">evisions </w:t>
      </w:r>
      <w:r w:rsidR="002D6EE9">
        <w:rPr>
          <w:color w:val="000000" w:themeColor="text1"/>
        </w:rPr>
        <w:t xml:space="preserve">included </w:t>
      </w:r>
      <w:r w:rsidR="00A757E8">
        <w:rPr>
          <w:color w:val="000000" w:themeColor="text1"/>
        </w:rPr>
        <w:t>in th</w:t>
      </w:r>
      <w:r w:rsidR="002D6EE9">
        <w:rPr>
          <w:color w:val="000000" w:themeColor="text1"/>
        </w:rPr>
        <w:t>e</w:t>
      </w:r>
      <w:r w:rsidR="00A757E8">
        <w:rPr>
          <w:color w:val="000000" w:themeColor="text1"/>
        </w:rPr>
        <w:t xml:space="preserve"> 60-day </w:t>
      </w:r>
      <w:r w:rsidR="00B530F5">
        <w:rPr>
          <w:color w:val="000000" w:themeColor="text1"/>
        </w:rPr>
        <w:t>ICR package</w:t>
      </w:r>
      <w:r w:rsidR="00E31E4A">
        <w:rPr>
          <w:color w:val="000000" w:themeColor="text1"/>
        </w:rPr>
        <w:t xml:space="preserve"> </w:t>
      </w:r>
      <w:r w:rsidR="00AB1DD2">
        <w:rPr>
          <w:color w:val="000000" w:themeColor="text1"/>
        </w:rPr>
        <w:t>include revisions to</w:t>
      </w:r>
      <w:r w:rsidR="00E31E4A">
        <w:rPr>
          <w:color w:val="000000" w:themeColor="text1"/>
        </w:rPr>
        <w:t xml:space="preserve"> streamline the collection of visual information and citations for evidence submitted with Section I</w:t>
      </w:r>
      <w:r w:rsidR="00E033D5">
        <w:rPr>
          <w:color w:val="000000" w:themeColor="text1"/>
        </w:rPr>
        <w:t>.</w:t>
      </w:r>
      <w:r w:rsidR="00E31E4A">
        <w:rPr>
          <w:color w:val="000000" w:themeColor="text1"/>
        </w:rPr>
        <w:t xml:space="preserve"> </w:t>
      </w:r>
      <w:r w:rsidR="00E033D5">
        <w:rPr>
          <w:color w:val="000000" w:themeColor="text1"/>
        </w:rPr>
        <w:t>B</w:t>
      </w:r>
      <w:r w:rsidR="00AB1DD2">
        <w:rPr>
          <w:color w:val="000000" w:themeColor="text1"/>
        </w:rPr>
        <w:t>ecause</w:t>
      </w:r>
      <w:r w:rsidR="00E31E4A">
        <w:rPr>
          <w:color w:val="000000" w:themeColor="text1"/>
        </w:rPr>
        <w:t xml:space="preserve"> the same overall volume of th</w:t>
      </w:r>
      <w:r w:rsidR="00AB1DD2">
        <w:rPr>
          <w:color w:val="000000" w:themeColor="text1"/>
        </w:rPr>
        <w:t xml:space="preserve">ese types of </w:t>
      </w:r>
      <w:r w:rsidR="00E31E4A">
        <w:rPr>
          <w:color w:val="000000" w:themeColor="text1"/>
        </w:rPr>
        <w:t>information may be submitted compared to the currently approved ICR Form, CMS has not adjusted the burden to account for these revisions.</w:t>
      </w:r>
      <w:r w:rsidR="00AB1DD2">
        <w:rPr>
          <w:color w:val="000000" w:themeColor="text1"/>
        </w:rPr>
        <w:t xml:space="preserve"> </w:t>
      </w:r>
      <w:r w:rsidRPr="007A58C9" w:rsidR="00AB1DD2">
        <w:rPr>
          <w:color w:val="000000" w:themeColor="text1"/>
        </w:rPr>
        <w:t xml:space="preserve">CMS </w:t>
      </w:r>
      <w:r w:rsidR="002D6EE9">
        <w:rPr>
          <w:color w:val="000000" w:themeColor="text1"/>
        </w:rPr>
        <w:t>removed the requirement to register an email address to access the Section I questions; however, this step does change the burden to respond to Section I</w:t>
      </w:r>
      <w:r w:rsidR="00B80909">
        <w:rPr>
          <w:color w:val="000000" w:themeColor="text1"/>
        </w:rPr>
        <w:t>.</w:t>
      </w:r>
    </w:p>
    <w:p w:rsidR="6B370752" w:rsidP="6B370752" w14:paraId="7CA65076" w14:textId="1ABC5706">
      <w:r w:rsidRPr="6B370752">
        <w:t xml:space="preserve">CMS estimates the burden associated with data collection in two separate estimates below, one estimate </w:t>
      </w:r>
      <w:r w:rsidR="00C42ABB">
        <w:t xml:space="preserve">for the </w:t>
      </w:r>
      <w:r w:rsidR="0031751A">
        <w:t xml:space="preserve">Primary </w:t>
      </w:r>
      <w:r w:rsidR="000F3AA5">
        <w:t>M</w:t>
      </w:r>
      <w:r w:rsidR="00C42ABB">
        <w:t>anufacturer which includes</w:t>
      </w:r>
      <w:r w:rsidRPr="6B370752">
        <w:t xml:space="preserve"> the mandatory data collection </w:t>
      </w:r>
      <w:r w:rsidR="00845A2F">
        <w:t>in accordance with</w:t>
      </w:r>
      <w:r w:rsidRPr="6B370752" w:rsidR="00845A2F">
        <w:t xml:space="preserve"> </w:t>
      </w:r>
      <w:r w:rsidR="002123CC">
        <w:t>sections 1193(a)(4)</w:t>
      </w:r>
      <w:r w:rsidR="00845A2F">
        <w:t>,</w:t>
      </w:r>
      <w:r w:rsidR="00BD25DA">
        <w:t xml:space="preserve"> </w:t>
      </w:r>
      <w:r w:rsidRPr="6B370752">
        <w:t>1194(e)(1)</w:t>
      </w:r>
      <w:r w:rsidR="00845A2F">
        <w:t xml:space="preserve">, and 1194(f)(4)(B) </w:t>
      </w:r>
      <w:r w:rsidR="00BD25DA">
        <w:t xml:space="preserve">of the Act </w:t>
      </w:r>
      <w:r w:rsidR="00845A2F">
        <w:t>and section</w:t>
      </w:r>
      <w:r w:rsidR="00B6696A">
        <w:t>s 50.1 and</w:t>
      </w:r>
      <w:r w:rsidR="00845A2F">
        <w:t xml:space="preserve"> 130.3.2 of the </w:t>
      </w:r>
      <w:r w:rsidR="00E97657">
        <w:t>final</w:t>
      </w:r>
      <w:r w:rsidR="00845A2F">
        <w:t xml:space="preserve"> guidance</w:t>
      </w:r>
      <w:r w:rsidR="00BD25DA">
        <w:t xml:space="preserve">, as </w:t>
      </w:r>
      <w:r w:rsidR="00C42ABB">
        <w:t xml:space="preserve">well as </w:t>
      </w:r>
      <w:r w:rsidRPr="6B370752">
        <w:t xml:space="preserve">the </w:t>
      </w:r>
      <w:r w:rsidR="00845EC0">
        <w:t>optional submission of</w:t>
      </w:r>
      <w:r w:rsidRPr="6B370752">
        <w:t xml:space="preserve"> data </w:t>
      </w:r>
      <w:r w:rsidR="00C42ABB">
        <w:t xml:space="preserve">for </w:t>
      </w:r>
      <w:r w:rsidR="00093401">
        <w:t xml:space="preserve">factors outlined at </w:t>
      </w:r>
      <w:r w:rsidR="00C42ABB">
        <w:t>1194(e)(2)</w:t>
      </w:r>
      <w:r w:rsidR="00FE58BB">
        <w:t xml:space="preserve"> of the Act</w:t>
      </w:r>
      <w:r w:rsidR="00C42ABB">
        <w:t>;</w:t>
      </w:r>
      <w:r w:rsidRPr="6B370752">
        <w:t xml:space="preserve"> </w:t>
      </w:r>
      <w:r w:rsidR="00314911">
        <w:t xml:space="preserve">the second estimate is for </w:t>
      </w:r>
      <w:r w:rsidRPr="6B370752">
        <w:t xml:space="preserve">interested parties </w:t>
      </w:r>
      <w:r w:rsidR="00C42ABB">
        <w:t xml:space="preserve">submitting data for factors </w:t>
      </w:r>
      <w:r w:rsidRPr="6B370752">
        <w:t>under 1194(e)(2)</w:t>
      </w:r>
      <w:r w:rsidR="00FE58BB">
        <w:t xml:space="preserve"> of the Act</w:t>
      </w:r>
      <w:r w:rsidRPr="6B370752">
        <w:t xml:space="preserve">. CMS </w:t>
      </w:r>
      <w:r w:rsidR="00BA03E3">
        <w:t>is soliciting</w:t>
      </w:r>
      <w:r w:rsidRPr="6B370752" w:rsidR="00BA03E3">
        <w:t xml:space="preserve"> </w:t>
      </w:r>
      <w:r w:rsidRPr="6B370752">
        <w:t>comment</w:t>
      </w:r>
      <w:r w:rsidR="00BA03E3">
        <w:t>s</w:t>
      </w:r>
      <w:r w:rsidRPr="6B370752">
        <w:t xml:space="preserve"> on these estimates and assumptions.</w:t>
      </w:r>
      <w:r w:rsidR="00743B50">
        <w:t xml:space="preserve"> While data under section 1194(e)(2)</w:t>
      </w:r>
      <w:r w:rsidR="00FE58BB">
        <w:t xml:space="preserve"> of the Act</w:t>
      </w:r>
      <w:r w:rsidR="00743B50">
        <w:t xml:space="preserve"> is optional for the </w:t>
      </w:r>
      <w:r w:rsidR="002A2BF5">
        <w:t>Primary</w:t>
      </w:r>
      <w:r w:rsidR="000F3AA5">
        <w:t xml:space="preserve"> </w:t>
      </w:r>
      <w:r w:rsidR="00743B50">
        <w:t xml:space="preserve">Manufacturer, CMS expects the </w:t>
      </w:r>
      <w:r w:rsidR="002A2BF5">
        <w:t>Primary</w:t>
      </w:r>
      <w:r w:rsidR="000F3AA5">
        <w:t xml:space="preserve"> </w:t>
      </w:r>
      <w:r w:rsidR="00743B50">
        <w:t xml:space="preserve">Manufacturer will </w:t>
      </w:r>
      <w:r w:rsidR="00116402">
        <w:t xml:space="preserve">choose to </w:t>
      </w:r>
      <w:r w:rsidR="00743B50">
        <w:t xml:space="preserve">participate in this submission. </w:t>
      </w:r>
    </w:p>
    <w:p w:rsidR="6B370752" w:rsidRPr="000A5850" w:rsidP="00D45546" w14:paraId="4F3FB1CE" w14:textId="383A3841">
      <w:pPr>
        <w:pStyle w:val="Header3"/>
        <w:rPr>
          <w:b/>
          <w:bCs/>
          <w:u w:val="single"/>
        </w:rPr>
      </w:pPr>
      <w:r w:rsidRPr="7C2D0501">
        <w:rPr>
          <w:b/>
          <w:bCs/>
          <w:i w:val="0"/>
          <w:u w:val="single"/>
        </w:rPr>
        <w:t xml:space="preserve">A. Estimated Burden for </w:t>
      </w:r>
      <w:r w:rsidRPr="7C2D0501" w:rsidR="002A2BF5">
        <w:rPr>
          <w:b/>
          <w:bCs/>
          <w:i w:val="0"/>
          <w:u w:val="single"/>
        </w:rPr>
        <w:t>Primary</w:t>
      </w:r>
      <w:r w:rsidRPr="7C2D0501" w:rsidR="000F3AA5">
        <w:rPr>
          <w:b/>
          <w:bCs/>
          <w:i w:val="0"/>
          <w:u w:val="single"/>
        </w:rPr>
        <w:t xml:space="preserve"> </w:t>
      </w:r>
      <w:r w:rsidRPr="7C2D0501">
        <w:rPr>
          <w:b/>
          <w:bCs/>
          <w:i w:val="0"/>
          <w:u w:val="single"/>
        </w:rPr>
        <w:t xml:space="preserve">Manufacturers </w:t>
      </w:r>
    </w:p>
    <w:p w:rsidR="6B370752" w:rsidRPr="00D45546" w:rsidP="6B370752" w14:paraId="738FA7CF" w14:textId="37153900">
      <w:r>
        <w:rPr>
          <w:i/>
          <w:iCs/>
        </w:rPr>
        <w:t xml:space="preserve">Selected Drugs for Negotiation: </w:t>
      </w:r>
      <w:r w:rsidRPr="6B370752" w:rsidR="003C5EFA">
        <w:t xml:space="preserve">CMS </w:t>
      </w:r>
      <w:r w:rsidR="009232D1">
        <w:t>anticipates</w:t>
      </w:r>
      <w:r w:rsidRPr="6B370752" w:rsidR="003C5EFA">
        <w:t xml:space="preserve"> collecting data</w:t>
      </w:r>
      <w:r w:rsidR="008715D3">
        <w:t xml:space="preserve"> from a Primary Manufacturer in response to Sections A through J of this ICR</w:t>
      </w:r>
      <w:r w:rsidRPr="6B370752" w:rsidR="003C5EFA">
        <w:t xml:space="preserve"> for </w:t>
      </w:r>
      <w:r w:rsidR="001678ED">
        <w:t xml:space="preserve">up to </w:t>
      </w:r>
      <w:r w:rsidR="008436C7">
        <w:t>1</w:t>
      </w:r>
      <w:r w:rsidR="000D69CD">
        <w:t>5</w:t>
      </w:r>
      <w:r w:rsidRPr="4D085A28" w:rsidR="008436C7">
        <w:t xml:space="preserve"> </w:t>
      </w:r>
      <w:r w:rsidR="00A025D5">
        <w:t>selected drugs</w:t>
      </w:r>
      <w:r w:rsidR="00FF40FD">
        <w:t xml:space="preserve"> for initial price applicability year 202</w:t>
      </w:r>
      <w:r>
        <w:t>8 for negotiation</w:t>
      </w:r>
      <w:r w:rsidR="00FF40FD">
        <w:t>, which will be collected in 202</w:t>
      </w:r>
      <w:r>
        <w:t>6</w:t>
      </w:r>
      <w:r w:rsidRPr="4D085A28" w:rsidR="00FF40FD">
        <w:t>.</w:t>
      </w:r>
      <w:r w:rsidR="00552A30">
        <w:t xml:space="preserve"> For purposes of this</w:t>
      </w:r>
      <w:r w:rsidR="006E4D5D">
        <w:t xml:space="preserve"> information collection</w:t>
      </w:r>
      <w:r w:rsidR="00552A30">
        <w:t>, CMS assumes there will be</w:t>
      </w:r>
      <w:r w:rsidR="00521212">
        <w:t xml:space="preserve"> up to</w:t>
      </w:r>
      <w:r w:rsidRPr="4D085A28" w:rsidR="00552A30">
        <w:t xml:space="preserve"> </w:t>
      </w:r>
      <w:r w:rsidR="000D69CD">
        <w:t xml:space="preserve">15 </w:t>
      </w:r>
      <w:r w:rsidR="00552A30">
        <w:t>Primary Manufacturers, one for each selected drug</w:t>
      </w:r>
      <w:r w:rsidR="001024C1">
        <w:t>, and up to 15 drugs selected for negotiation, which represents the statutory maximum</w:t>
      </w:r>
      <w:r w:rsidRPr="4D085A28" w:rsidR="00552A30">
        <w:t>.</w:t>
      </w:r>
      <w:r w:rsidRPr="4D085A28" w:rsidR="003C5EFA">
        <w:t xml:space="preserve"> </w:t>
      </w:r>
      <w:r w:rsidR="0005438B">
        <w:t>The</w:t>
      </w:r>
      <w:r w:rsidRPr="6B370752" w:rsidR="003C5EFA">
        <w:t xml:space="preserve"> collection of th</w:t>
      </w:r>
      <w:r w:rsidR="00314911">
        <w:t>ese</w:t>
      </w:r>
      <w:r w:rsidRPr="6B370752" w:rsidR="003C5EFA">
        <w:t xml:space="preserve"> data will be a one-time cost for each </w:t>
      </w:r>
      <w:r w:rsidR="00314911">
        <w:t xml:space="preserve">selected </w:t>
      </w:r>
      <w:r w:rsidRPr="6B370752" w:rsidR="003C5EFA">
        <w:t>drug</w:t>
      </w:r>
      <w:r w:rsidR="00FF40FD">
        <w:t xml:space="preserve"> and</w:t>
      </w:r>
      <w:r w:rsidRPr="4D085A28" w:rsidR="0005438B">
        <w:t xml:space="preserve"> </w:t>
      </w:r>
      <w:r w:rsidRPr="6B370752" w:rsidR="003C5EFA">
        <w:t>CMS assumes each</w:t>
      </w:r>
      <w:r w:rsidRPr="4D085A28" w:rsidR="00B178B3">
        <w:t xml:space="preserve"> </w:t>
      </w:r>
      <w:r w:rsidR="002A2BF5">
        <w:t>Primary</w:t>
      </w:r>
      <w:r w:rsidRPr="4D085A28" w:rsidR="000F3AA5">
        <w:t xml:space="preserve"> </w:t>
      </w:r>
      <w:r w:rsidR="00B178B3">
        <w:t>M</w:t>
      </w:r>
      <w:r w:rsidRPr="6B370752" w:rsidR="003C5EFA">
        <w:t xml:space="preserve">anufacturer will spend, on average, the same amount of time </w:t>
      </w:r>
      <w:r w:rsidRPr="6B370752" w:rsidR="003C5EFA">
        <w:t>to collect</w:t>
      </w:r>
      <w:r w:rsidRPr="6B370752" w:rsidR="003C5EFA">
        <w:t xml:space="preserve">, aggregate, </w:t>
      </w:r>
      <w:r w:rsidRPr="6B370752" w:rsidR="003C5EFA">
        <w:t>analyze</w:t>
      </w:r>
      <w:r w:rsidRPr="6B370752" w:rsidR="003C5EFA">
        <w:t xml:space="preserve">, and </w:t>
      </w:r>
      <w:r w:rsidRPr="6B370752" w:rsidR="003C5EFA">
        <w:t>report</w:t>
      </w:r>
      <w:r w:rsidRPr="6B370752" w:rsidR="003C5EFA">
        <w:t xml:space="preserve"> the data</w:t>
      </w:r>
      <w:r w:rsidR="0005438B">
        <w:t xml:space="preserve"> for a selected drug</w:t>
      </w:r>
      <w:r w:rsidRPr="4D085A28" w:rsidR="003C5EFA">
        <w:t xml:space="preserve">. </w:t>
      </w:r>
      <w:r w:rsidR="00B178B3">
        <w:t>While</w:t>
      </w:r>
      <w:r w:rsidRPr="4D085A28" w:rsidR="003C5EFA">
        <w:t xml:space="preserve"> </w:t>
      </w:r>
      <w:r w:rsidR="00B178B3">
        <w:t xml:space="preserve">a </w:t>
      </w:r>
      <w:r w:rsidR="002A2BF5">
        <w:t>Primary</w:t>
      </w:r>
      <w:r w:rsidRPr="4D085A28" w:rsidR="000F3AA5">
        <w:t xml:space="preserve"> </w:t>
      </w:r>
      <w:r w:rsidR="00B178B3">
        <w:t>M</w:t>
      </w:r>
      <w:r w:rsidRPr="6B370752" w:rsidR="003C5EFA">
        <w:t xml:space="preserve">anufacturer may have multiple </w:t>
      </w:r>
      <w:r w:rsidR="0005438B">
        <w:t xml:space="preserve">selected </w:t>
      </w:r>
      <w:r w:rsidRPr="6B370752" w:rsidR="003C5EFA">
        <w:t>drugs, CMS assumes th</w:t>
      </w:r>
      <w:r w:rsidR="00B178B3">
        <w:t xml:space="preserve">at </w:t>
      </w:r>
      <w:r w:rsidR="001F05B8">
        <w:t xml:space="preserve">a </w:t>
      </w:r>
      <w:r w:rsidR="002A2BF5">
        <w:t>Primary</w:t>
      </w:r>
      <w:r w:rsidRPr="4D085A28" w:rsidR="000631AF">
        <w:t xml:space="preserve"> </w:t>
      </w:r>
      <w:r w:rsidR="00B178B3">
        <w:t>M</w:t>
      </w:r>
      <w:r w:rsidRPr="6B370752" w:rsidR="003C5EFA">
        <w:t xml:space="preserve">anufacturer would require the same time and effort to submit data for each selected drug. </w:t>
      </w:r>
      <w:r w:rsidR="007A274E">
        <w:t xml:space="preserve">The Primary Manufacturer must also gather and submit the data required under the Act on behalf of </w:t>
      </w:r>
      <w:r w:rsidR="00C556DA">
        <w:t>any</w:t>
      </w:r>
      <w:r w:rsidR="007A274E">
        <w:t xml:space="preserve"> Secondary Manufacturer</w:t>
      </w:r>
      <w:r w:rsidR="00DD01FF">
        <w:t>(s)</w:t>
      </w:r>
      <w:r>
        <w:rPr>
          <w:rStyle w:val="FootnoteReference"/>
        </w:rPr>
        <w:footnoteReference w:id="16"/>
      </w:r>
      <w:r w:rsidR="007A274E">
        <w:t xml:space="preserve"> of a selected drug</w:t>
      </w:r>
      <w:r w:rsidR="00BE54E5">
        <w:t>, if applicable</w:t>
      </w:r>
      <w:r w:rsidRPr="4D085A28" w:rsidR="007A274E">
        <w:t>.</w:t>
      </w:r>
    </w:p>
    <w:p w:rsidR="6B370752" w:rsidP="001571CF" w14:paraId="198F6ACC" w14:textId="4F2FB39C">
      <w:r w:rsidRPr="6B370752">
        <w:t xml:space="preserve">CMS estimates it will take a business operations specialist or team of business operations specialists, on average, </w:t>
      </w:r>
      <w:r w:rsidR="00D26969">
        <w:t>200</w:t>
      </w:r>
      <w:r w:rsidRPr="7C2D0501" w:rsidR="00D26969">
        <w:t xml:space="preserve"> </w:t>
      </w:r>
      <w:r w:rsidRPr="6B370752">
        <w:t xml:space="preserve">hours, at a cost of </w:t>
      </w:r>
      <w:r w:rsidRPr="005F4DEA">
        <w:t>$</w:t>
      </w:r>
      <w:r w:rsidR="00D50585">
        <w:t>93.10</w:t>
      </w:r>
      <w:r w:rsidRPr="6B370752">
        <w:t xml:space="preserve"> per hour, to gather cost data and compile required information, as specified in the data elements instructions, such as data on prior Federal financial support, pending and approved patent applications, exclusivities recognized by the FDA and applications and approvals, and market data,</w:t>
      </w:r>
      <w:r w:rsidR="008436C7">
        <w:t xml:space="preserve"> and</w:t>
      </w:r>
      <w:r w:rsidRPr="6B370752">
        <w:t xml:space="preserve"> revenue and sales volume data. After the relevant data ha</w:t>
      </w:r>
      <w:r w:rsidR="008436C7">
        <w:t>ve</w:t>
      </w:r>
      <w:r w:rsidRPr="6B370752">
        <w:t xml:space="preserve"> been gathered and compiled, it is estimated that it will take an economist or team of economists, on average, </w:t>
      </w:r>
      <w:r w:rsidR="00D26969">
        <w:t>600</w:t>
      </w:r>
      <w:r w:rsidRPr="7C2D0501" w:rsidR="00D26969">
        <w:t xml:space="preserve"> </w:t>
      </w:r>
      <w:r w:rsidRPr="6B370752">
        <w:t>hours, at a cost of $</w:t>
      </w:r>
      <w:r w:rsidR="004D2E61">
        <w:t>111.</w:t>
      </w:r>
      <w:r w:rsidR="00D50585">
        <w:t>00</w:t>
      </w:r>
      <w:r w:rsidRPr="6B370752">
        <w:t xml:space="preserve"> per hour, to perform necessary economic analyses, including the </w:t>
      </w:r>
      <w:r w:rsidR="009C7A3B">
        <w:t>R&amp;D</w:t>
      </w:r>
      <w:r w:rsidRPr="6B370752">
        <w:t xml:space="preserve"> costs of the manufacturer for the drug and the extent to which the manufacturer has recouped </w:t>
      </w:r>
      <w:r w:rsidR="009C7A3B">
        <w:t>R&amp;D</w:t>
      </w:r>
      <w:r w:rsidRPr="7C2D0501" w:rsidR="00396539">
        <w:t xml:space="preserve"> </w:t>
      </w:r>
      <w:r w:rsidRPr="6B370752">
        <w:t>costs, the selected drug’s cost of production and distribution, and other data elements specified in the data element instructions</w:t>
      </w:r>
      <w:r w:rsidRPr="7C2D0501" w:rsidR="00C572E5">
        <w:t xml:space="preserve">. </w:t>
      </w:r>
      <w:r w:rsidR="00C572E5">
        <w:t xml:space="preserve">Although submitting evidence about therapeutic alternatives is optional, this burden estimate assumes that </w:t>
      </w:r>
      <w:r w:rsidR="002F6D3F">
        <w:t xml:space="preserve">all </w:t>
      </w:r>
      <w:r w:rsidR="002A2BF5">
        <w:t>Primary</w:t>
      </w:r>
      <w:r w:rsidRPr="7C2D0501" w:rsidR="000631AF">
        <w:t xml:space="preserve"> </w:t>
      </w:r>
      <w:r w:rsidR="00C572E5">
        <w:t>Manufacturers will choose to</w:t>
      </w:r>
      <w:r w:rsidR="004703C9">
        <w:t xml:space="preserve"> perform analyses related to</w:t>
      </w:r>
      <w:r w:rsidRPr="6B370752">
        <w:t xml:space="preserve"> therapeutic advances </w:t>
      </w:r>
      <w:r w:rsidR="004703C9">
        <w:t>conferred</w:t>
      </w:r>
      <w:r w:rsidRPr="7C2D0501" w:rsidR="004703C9">
        <w:t xml:space="preserve"> </w:t>
      </w:r>
      <w:r w:rsidRPr="6B370752">
        <w:t xml:space="preserve">by the </w:t>
      </w:r>
      <w:r w:rsidR="004703C9">
        <w:t xml:space="preserve">selected </w:t>
      </w:r>
      <w:r w:rsidRPr="6B370752">
        <w:t>drug</w:t>
      </w:r>
      <w:r w:rsidRPr="7C2D0501" w:rsidR="004703C9">
        <w:t>,</w:t>
      </w:r>
      <w:r w:rsidRPr="7C2D0501">
        <w:t xml:space="preserve"> </w:t>
      </w:r>
      <w:r w:rsidR="004703C9">
        <w:t>the</w:t>
      </w:r>
      <w:r w:rsidRPr="7C2D0501" w:rsidR="004703C9">
        <w:t xml:space="preserve"> </w:t>
      </w:r>
      <w:r w:rsidRPr="6B370752">
        <w:t>costs of existing alternative</w:t>
      </w:r>
      <w:r w:rsidR="004703C9">
        <w:t>s, unmet medical need, and comparative effectiveness.</w:t>
      </w:r>
      <w:r w:rsidRPr="7C2D0501">
        <w:t xml:space="preserve"> </w:t>
      </w:r>
    </w:p>
    <w:p w:rsidR="00CA4C07" w:rsidP="00CA4C07" w14:paraId="6DD3E0A3" w14:textId="4A4EDB71">
      <w:pPr>
        <w:rPr>
          <w:rStyle w:val="normaltextrun"/>
          <w:color w:val="000000"/>
          <w:shd w:val="clear" w:color="auto" w:fill="FFFFFF"/>
        </w:rPr>
      </w:pPr>
      <w:r w:rsidRPr="6B370752">
        <w:t xml:space="preserve">Once these analyses are performed, CMS estimates that it will take a financial manager, on average, </w:t>
      </w:r>
      <w:r w:rsidR="004F0F06">
        <w:t>50</w:t>
      </w:r>
      <w:r w:rsidRPr="6B370752">
        <w:t xml:space="preserve"> hours, at a cost </w:t>
      </w:r>
      <w:r w:rsidRPr="005F4DEA">
        <w:t>of $</w:t>
      </w:r>
      <w:r w:rsidR="004D2E61">
        <w:t>17</w:t>
      </w:r>
      <w:r w:rsidR="00D50585">
        <w:t>2</w:t>
      </w:r>
      <w:r w:rsidR="004D2E61">
        <w:t>.</w:t>
      </w:r>
      <w:r w:rsidR="00D50585">
        <w:t>66</w:t>
      </w:r>
      <w:r w:rsidRPr="4D085A28">
        <w:t xml:space="preserve"> </w:t>
      </w:r>
      <w:r w:rsidRPr="005F4DEA" w:rsidR="0075059F">
        <w:t>per</w:t>
      </w:r>
      <w:r w:rsidRPr="4D085A28" w:rsidR="0075059F">
        <w:t xml:space="preserve"> </w:t>
      </w:r>
      <w:r w:rsidRPr="6B370752">
        <w:t>hour</w:t>
      </w:r>
      <w:r w:rsidRPr="4D085A28">
        <w:t>,</w:t>
      </w:r>
      <w:r w:rsidRPr="6B370752">
        <w:t xml:space="preserve"> to review the results of all the analys</w:t>
      </w:r>
      <w:r w:rsidR="0075059F">
        <w:t>e</w:t>
      </w:r>
      <w:r w:rsidRPr="6B370752">
        <w:t xml:space="preserve">s and cost estimates prior to submission to CMS. </w:t>
      </w:r>
      <w:r>
        <w:rPr>
          <w:rStyle w:val="normaltextrun"/>
          <w:color w:val="000000"/>
          <w:shd w:val="clear" w:color="auto" w:fill="FFFFFF"/>
        </w:rPr>
        <w:t xml:space="preserve">CMS estimates it will take a lawyer </w:t>
      </w:r>
      <w:r w:rsidR="004F0F06">
        <w:rPr>
          <w:rStyle w:val="normaltextrun"/>
          <w:color w:val="000000"/>
          <w:shd w:val="clear" w:color="auto" w:fill="FFFFFF"/>
        </w:rPr>
        <w:t>4</w:t>
      </w:r>
      <w:r>
        <w:rPr>
          <w:rStyle w:val="normaltextrun"/>
          <w:color w:val="000000"/>
          <w:shd w:val="clear" w:color="auto" w:fill="FFFFFF"/>
        </w:rPr>
        <w:t> hours, on average, at $</w:t>
      </w:r>
      <w:r w:rsidR="004D2E61">
        <w:rPr>
          <w:rStyle w:val="normaltextrun"/>
          <w:color w:val="000000"/>
          <w:shd w:val="clear" w:color="auto" w:fill="FFFFFF"/>
        </w:rPr>
        <w:t>230.00</w:t>
      </w:r>
      <w:r>
        <w:rPr>
          <w:rStyle w:val="normaltextrun"/>
          <w:color w:val="000000"/>
          <w:shd w:val="clear" w:color="auto" w:fill="FFFFFF"/>
        </w:rPr>
        <w:t> per hour, to review the compiled data submission.</w:t>
      </w:r>
    </w:p>
    <w:p w:rsidR="00AF3318" w:rsidP="00D45546" w14:paraId="54CBC068" w14:textId="4E454C33">
      <w:r w:rsidRPr="6B370752">
        <w:t xml:space="preserve">CMS estimates that it will take a cost estimator, on average, </w:t>
      </w:r>
      <w:r w:rsidR="004F0F06">
        <w:t>142</w:t>
      </w:r>
      <w:r w:rsidRPr="6B370752">
        <w:t xml:space="preserve"> hours, at a cost of $</w:t>
      </w:r>
      <w:r w:rsidR="00D50585">
        <w:t>66.42</w:t>
      </w:r>
      <w:r w:rsidRPr="6B370752">
        <w:t xml:space="preserve"> per hour, to compile and report the required data to CMS, </w:t>
      </w:r>
      <w:r w:rsidRPr="6B370752">
        <w:t>per</w:t>
      </w:r>
      <w:r w:rsidRPr="6B370752">
        <w:t xml:space="preserve"> the data element</w:t>
      </w:r>
      <w:r w:rsidR="00314911">
        <w:t xml:space="preserve"> form</w:t>
      </w:r>
      <w:r w:rsidRPr="6B370752">
        <w:t xml:space="preserve"> instructions. </w:t>
      </w:r>
    </w:p>
    <w:p w:rsidR="00AF3318" w:rsidP="00D45546" w14:paraId="27D62793" w14:textId="7F82EC46">
      <w:r>
        <w:rPr>
          <w:rStyle w:val="normaltextrun"/>
          <w:color w:val="000000"/>
          <w:shd w:val="clear" w:color="auto" w:fill="FFFFFF"/>
        </w:rPr>
        <w:t xml:space="preserve">Finally, CMS estimates that it will take a </w:t>
      </w:r>
      <w:r w:rsidR="00FA06B1">
        <w:rPr>
          <w:rStyle w:val="normaltextrun"/>
          <w:color w:val="000000"/>
          <w:shd w:val="clear" w:color="auto" w:fill="FFFFFF"/>
        </w:rPr>
        <w:t>CEO</w:t>
      </w:r>
      <w:r>
        <w:rPr>
          <w:rStyle w:val="normaltextrun"/>
          <w:color w:val="000000"/>
          <w:shd w:val="clear" w:color="auto" w:fill="FFFFFF"/>
        </w:rPr>
        <w:t>, on average, </w:t>
      </w:r>
      <w:r w:rsidR="004F0F06">
        <w:rPr>
          <w:rStyle w:val="normaltextrun"/>
          <w:color w:val="000000"/>
          <w:shd w:val="clear" w:color="auto" w:fill="FFFFFF"/>
        </w:rPr>
        <w:t>4</w:t>
      </w:r>
      <w:r>
        <w:rPr>
          <w:rStyle w:val="normaltextrun"/>
          <w:color w:val="000000"/>
          <w:shd w:val="clear" w:color="auto" w:fill="FFFFFF"/>
        </w:rPr>
        <w:t> hours, at $</w:t>
      </w:r>
      <w:r w:rsidR="004D2E61">
        <w:rPr>
          <w:rStyle w:val="normaltextrun"/>
          <w:color w:val="000000"/>
          <w:shd w:val="clear" w:color="auto" w:fill="FFFFFF"/>
        </w:rPr>
        <w:t>230.00</w:t>
      </w:r>
      <w:r>
        <w:rPr>
          <w:rStyle w:val="normaltextrun"/>
          <w:color w:val="000000"/>
          <w:shd w:val="clear" w:color="auto" w:fill="FFFFFF"/>
        </w:rPr>
        <w:t> per hour, to review the</w:t>
      </w:r>
      <w:r w:rsidR="00CA4C07">
        <w:rPr>
          <w:rStyle w:val="normaltextrun"/>
          <w:color w:val="000000"/>
          <w:shd w:val="clear" w:color="auto" w:fill="FFFFFF"/>
        </w:rPr>
        <w:t xml:space="preserve"> </w:t>
      </w:r>
      <w:r>
        <w:rPr>
          <w:rStyle w:val="normaltextrun"/>
          <w:color w:val="000000"/>
          <w:shd w:val="clear" w:color="auto" w:fill="FFFFFF"/>
        </w:rPr>
        <w:t>data submission and log in to the CMS HPMS to certify the submission. Certification must be done by (1) </w:t>
      </w:r>
      <w:r w:rsidR="002551DB">
        <w:rPr>
          <w:rStyle w:val="normaltextrun"/>
          <w:color w:val="000000"/>
          <w:shd w:val="clear" w:color="auto" w:fill="FFFFFF"/>
        </w:rPr>
        <w:t xml:space="preserve">the </w:t>
      </w:r>
      <w:r>
        <w:rPr>
          <w:rStyle w:val="normaltextrun"/>
          <w:color w:val="000000"/>
          <w:shd w:val="clear" w:color="auto" w:fill="FFFFFF"/>
        </w:rPr>
        <w:t>CEO</w:t>
      </w:r>
      <w:r w:rsidR="00DA1923">
        <w:rPr>
          <w:rStyle w:val="normaltextrun"/>
          <w:color w:val="000000"/>
          <w:shd w:val="clear" w:color="auto" w:fill="FFFFFF"/>
        </w:rPr>
        <w:t>,</w:t>
      </w:r>
      <w:r>
        <w:rPr>
          <w:rStyle w:val="normaltextrun"/>
          <w:color w:val="000000"/>
          <w:shd w:val="clear" w:color="auto" w:fill="FFFFFF"/>
        </w:rPr>
        <w:t> (2) </w:t>
      </w:r>
      <w:r w:rsidR="002551DB">
        <w:rPr>
          <w:rStyle w:val="normaltextrun"/>
          <w:color w:val="000000"/>
          <w:shd w:val="clear" w:color="auto" w:fill="FFFFFF"/>
        </w:rPr>
        <w:t xml:space="preserve">the </w:t>
      </w:r>
      <w:r w:rsidR="00FA06B1">
        <w:rPr>
          <w:rStyle w:val="normaltextrun"/>
          <w:color w:val="000000"/>
          <w:shd w:val="clear" w:color="auto" w:fill="FFFFFF"/>
        </w:rPr>
        <w:t>CFO</w:t>
      </w:r>
      <w:r>
        <w:rPr>
          <w:rStyle w:val="normaltextrun"/>
          <w:color w:val="000000"/>
          <w:shd w:val="clear" w:color="auto" w:fill="FFFFFF"/>
        </w:rPr>
        <w:t>, (3) an individual other than a CEO or CFO, who has authority equivalent to a CEO or a CFO, or (4) an individual with the directly delegated authority to perform the certification on behalf of one of the individuals mentioned in (1) through (3).</w:t>
      </w:r>
      <w:r>
        <w:rPr>
          <w:rStyle w:val="eop"/>
          <w:color w:val="000000"/>
          <w:shd w:val="clear" w:color="auto" w:fill="FFFFFF"/>
        </w:rPr>
        <w:t> </w:t>
      </w:r>
    </w:p>
    <w:p w:rsidR="00AD56BF" w:rsidRPr="00D45546" w:rsidP="00D45546" w14:paraId="0E6E30C2" w14:textId="6D1BABEE">
      <w:r w:rsidRPr="6B370752">
        <w:t xml:space="preserve">The cost estimates for one-time costs are presented in Table 1. The estimate yields a total burden of </w:t>
      </w:r>
      <w:r w:rsidR="004F0F06">
        <w:t>15,000</w:t>
      </w:r>
      <w:r w:rsidRPr="6B370752">
        <w:t xml:space="preserve"> hours (</w:t>
      </w:r>
      <w:r w:rsidR="004F0F06">
        <w:t>1,000</w:t>
      </w:r>
      <w:r w:rsidR="00CA0329">
        <w:t xml:space="preserve"> </w:t>
      </w:r>
      <w:r w:rsidRPr="6B370752">
        <w:t>hrs.</w:t>
      </w:r>
      <w:r w:rsidR="0005438B">
        <w:t xml:space="preserve"> per </w:t>
      </w:r>
      <w:r w:rsidR="002A2BF5">
        <w:t>Primary</w:t>
      </w:r>
      <w:r w:rsidRPr="7C2D0501" w:rsidR="000631AF">
        <w:t xml:space="preserve"> </w:t>
      </w:r>
      <w:r w:rsidR="00B178B3">
        <w:t>M</w:t>
      </w:r>
      <w:r w:rsidR="0005438B">
        <w:t>anufacturer per selected drug</w:t>
      </w:r>
      <w:r w:rsidRPr="7C2D0501">
        <w:t xml:space="preserve"> * </w:t>
      </w:r>
      <w:r w:rsidR="004D2E61">
        <w:t>15</w:t>
      </w:r>
      <w:r w:rsidRPr="7C2D0501" w:rsidR="004D2E61">
        <w:t xml:space="preserve"> </w:t>
      </w:r>
      <w:r w:rsidR="00B178B3">
        <w:t>selected drugs</w:t>
      </w:r>
      <w:r w:rsidRPr="6B370752">
        <w:t xml:space="preserve">) and total cost </w:t>
      </w:r>
      <w:r w:rsidR="0005438B">
        <w:t xml:space="preserve">of </w:t>
      </w:r>
      <w:r w:rsidR="00557962">
        <w:t>$</w:t>
      </w:r>
      <w:r w:rsidR="000D4D84">
        <w:rPr>
          <w:color w:val="000000"/>
        </w:rPr>
        <w:t>1,576,869.60</w:t>
      </w:r>
      <w:r w:rsidR="00557962">
        <w:t xml:space="preserve"> for all </w:t>
      </w:r>
      <w:r w:rsidR="004D2E61">
        <w:t xml:space="preserve">15 </w:t>
      </w:r>
      <w:r w:rsidR="00384EE2">
        <w:t xml:space="preserve">selected drugs </w:t>
      </w:r>
      <w:r w:rsidRPr="6B370752">
        <w:t>($</w:t>
      </w:r>
      <w:r w:rsidR="000D4D84">
        <w:rPr>
          <w:color w:val="000000"/>
        </w:rPr>
        <w:t>105,124.64</w:t>
      </w:r>
      <w:r w:rsidRPr="6B370752">
        <w:t xml:space="preserve"> per respondent</w:t>
      </w:r>
      <w:r w:rsidR="0005438B">
        <w:t xml:space="preserve"> per selected drug</w:t>
      </w:r>
      <w:r w:rsidRPr="7C2D0501">
        <w:t xml:space="preserve"> * </w:t>
      </w:r>
      <w:r w:rsidR="004D2E61">
        <w:t>15</w:t>
      </w:r>
      <w:r w:rsidRPr="7C2D0501" w:rsidR="004D2E61">
        <w:t xml:space="preserve"> </w:t>
      </w:r>
      <w:r w:rsidR="00B178B3">
        <w:t>selected drugs</w:t>
      </w:r>
      <w:r w:rsidRPr="7C2D0501">
        <w:t xml:space="preserve">). </w:t>
      </w:r>
    </w:p>
    <w:p w:rsidR="6B370752" w:rsidRPr="0078206D" w:rsidP="000A5850" w14:paraId="20F22835" w14:textId="12D2339A">
      <w:pPr>
        <w:pStyle w:val="Heading4"/>
      </w:pPr>
      <w:r w:rsidRPr="0078206D">
        <w:t xml:space="preserve">TABLE 1: SUMMARY OF INFORMATION COLLECTION </w:t>
      </w:r>
      <w:r w:rsidRPr="0078206D" w:rsidR="00FE58BB">
        <w:t xml:space="preserve">REQUEST </w:t>
      </w:r>
      <w:r w:rsidRPr="0078206D">
        <w:t xml:space="preserve">BURDEN </w:t>
      </w:r>
      <w:r w:rsidRPr="0078206D" w:rsidR="00A025D5">
        <w:t xml:space="preserve">FOR </w:t>
      </w:r>
      <w:r w:rsidRPr="0078206D" w:rsidR="00595EDF">
        <w:t xml:space="preserve">15 </w:t>
      </w:r>
      <w:r w:rsidRPr="0078206D" w:rsidR="0005438B">
        <w:t>SELECTED DRUG</w:t>
      </w:r>
      <w:r w:rsidRPr="0078206D" w:rsidR="00A025D5">
        <w:t>S</w:t>
      </w:r>
      <w:r w:rsidRPr="0078206D" w:rsidR="0005438B">
        <w:t xml:space="preserve"> FOR </w:t>
      </w:r>
      <w:r w:rsidRPr="0078206D" w:rsidR="00D87C05">
        <w:t xml:space="preserve">INITIAL </w:t>
      </w:r>
      <w:r w:rsidRPr="0078206D" w:rsidR="0005438B">
        <w:t>PRICE APPLICABILITY YEAR 202</w:t>
      </w:r>
      <w:r w:rsidR="00AB63AE">
        <w:t>8</w:t>
      </w:r>
    </w:p>
    <w:tbl>
      <w:tblPr>
        <w:tblStyle w:val="TableGrid"/>
        <w:tblW w:w="9535" w:type="dxa"/>
        <w:tblLayout w:type="fixed"/>
        <w:tblLook w:val="04A0"/>
      </w:tblPr>
      <w:tblGrid>
        <w:gridCol w:w="1975"/>
        <w:gridCol w:w="1080"/>
        <w:gridCol w:w="1080"/>
        <w:gridCol w:w="990"/>
        <w:gridCol w:w="1530"/>
        <w:gridCol w:w="1216"/>
        <w:gridCol w:w="1664"/>
      </w:tblGrid>
      <w:tr w14:paraId="6C80B580" w14:textId="77777777" w:rsidTr="00220086">
        <w:tblPrEx>
          <w:tblW w:w="9535" w:type="dxa"/>
          <w:tblLayout w:type="fixed"/>
          <w:tblLook w:val="04A0"/>
        </w:tblPrEx>
        <w:trPr>
          <w:tblHeader/>
        </w:trPr>
        <w:tc>
          <w:tcPr>
            <w:tcW w:w="1975" w:type="dxa"/>
            <w:vAlign w:val="center"/>
          </w:tcPr>
          <w:p w:rsidR="6B370752" w:rsidP="00F145AD" w14:paraId="258EAB8E" w14:textId="1DD6DCA0">
            <w:pPr>
              <w:keepNext/>
              <w:jc w:val="center"/>
            </w:pPr>
            <w:r w:rsidRPr="6B370752">
              <w:rPr>
                <w:b/>
                <w:bCs/>
              </w:rPr>
              <w:t>Occupation Title</w:t>
            </w:r>
          </w:p>
        </w:tc>
        <w:tc>
          <w:tcPr>
            <w:tcW w:w="1080" w:type="dxa"/>
            <w:vAlign w:val="center"/>
          </w:tcPr>
          <w:p w:rsidR="6B370752" w:rsidP="00F145AD" w14:paraId="5711314E" w14:textId="070597DE">
            <w:pPr>
              <w:keepNext/>
              <w:jc w:val="center"/>
            </w:pPr>
            <w:r w:rsidRPr="6B370752">
              <w:rPr>
                <w:b/>
                <w:bCs/>
              </w:rPr>
              <w:t>Me</w:t>
            </w:r>
            <w:r w:rsidR="004D2E61">
              <w:rPr>
                <w:b/>
                <w:bCs/>
              </w:rPr>
              <w:t>dian</w:t>
            </w:r>
            <w:r w:rsidRPr="6B370752">
              <w:rPr>
                <w:b/>
                <w:bCs/>
              </w:rPr>
              <w:t xml:space="preserve"> Hourly Wage</w:t>
            </w:r>
          </w:p>
        </w:tc>
        <w:tc>
          <w:tcPr>
            <w:tcW w:w="1080" w:type="dxa"/>
            <w:vAlign w:val="center"/>
          </w:tcPr>
          <w:p w:rsidR="6B370752" w:rsidP="00F145AD" w14:paraId="32F0C9DC" w14:textId="124A05C3">
            <w:pPr>
              <w:keepNext/>
              <w:jc w:val="center"/>
            </w:pPr>
            <w:r w:rsidRPr="6B370752">
              <w:rPr>
                <w:b/>
                <w:bCs/>
              </w:rPr>
              <w:t>Cost per hour</w:t>
            </w:r>
            <w:r w:rsidR="00075362">
              <w:rPr>
                <w:b/>
                <w:bCs/>
              </w:rPr>
              <w:t>*</w:t>
            </w:r>
          </w:p>
        </w:tc>
        <w:tc>
          <w:tcPr>
            <w:tcW w:w="990" w:type="dxa"/>
            <w:vAlign w:val="center"/>
          </w:tcPr>
          <w:p w:rsidR="6B370752" w:rsidP="00F145AD" w14:paraId="19AECC65" w14:textId="2164111B">
            <w:pPr>
              <w:keepNext/>
              <w:jc w:val="center"/>
            </w:pPr>
            <w:r w:rsidRPr="6B370752">
              <w:rPr>
                <w:b/>
                <w:bCs/>
              </w:rPr>
              <w:t># Hours</w:t>
            </w:r>
          </w:p>
        </w:tc>
        <w:tc>
          <w:tcPr>
            <w:tcW w:w="1530" w:type="dxa"/>
            <w:vAlign w:val="center"/>
          </w:tcPr>
          <w:p w:rsidR="6B370752" w:rsidP="00F145AD" w14:paraId="683297D1" w14:textId="799BC1C8">
            <w:pPr>
              <w:keepNext/>
              <w:jc w:val="center"/>
            </w:pPr>
            <w:r w:rsidRPr="6B370752">
              <w:rPr>
                <w:b/>
                <w:bCs/>
              </w:rPr>
              <w:t># Respondents</w:t>
            </w:r>
          </w:p>
        </w:tc>
        <w:tc>
          <w:tcPr>
            <w:tcW w:w="1216" w:type="dxa"/>
            <w:vAlign w:val="center"/>
          </w:tcPr>
          <w:p w:rsidR="6B370752" w:rsidP="00F145AD" w14:paraId="1BC1E372" w14:textId="26D288C2">
            <w:pPr>
              <w:keepNext/>
              <w:jc w:val="center"/>
            </w:pPr>
            <w:r w:rsidRPr="6B370752">
              <w:rPr>
                <w:b/>
                <w:bCs/>
              </w:rPr>
              <w:t>Total Burden Hours</w:t>
            </w:r>
          </w:p>
        </w:tc>
        <w:tc>
          <w:tcPr>
            <w:tcW w:w="1664" w:type="dxa"/>
            <w:vAlign w:val="center"/>
          </w:tcPr>
          <w:p w:rsidR="6B370752" w:rsidP="00F145AD" w14:paraId="1A30C9A7" w14:textId="3C5D049A">
            <w:pPr>
              <w:keepNext/>
              <w:jc w:val="center"/>
            </w:pPr>
            <w:r w:rsidRPr="6B370752">
              <w:rPr>
                <w:b/>
                <w:bCs/>
              </w:rPr>
              <w:t>Total Cost</w:t>
            </w:r>
          </w:p>
        </w:tc>
      </w:tr>
      <w:tr w14:paraId="0C98B2CF" w14:textId="77777777" w:rsidTr="00220086">
        <w:tblPrEx>
          <w:tblW w:w="9535" w:type="dxa"/>
          <w:tblLayout w:type="fixed"/>
          <w:tblLook w:val="04A0"/>
        </w:tblPrEx>
        <w:trPr>
          <w:tblHeader/>
        </w:trPr>
        <w:tc>
          <w:tcPr>
            <w:tcW w:w="1975" w:type="dxa"/>
            <w:vAlign w:val="center"/>
          </w:tcPr>
          <w:p w:rsidR="004F0F06" w:rsidP="004F0F06" w14:paraId="149D1EB9" w14:textId="1906402D">
            <w:r w:rsidRPr="6B370752">
              <w:t>Financial Manager (11-3031)</w:t>
            </w:r>
          </w:p>
        </w:tc>
        <w:tc>
          <w:tcPr>
            <w:tcW w:w="1080" w:type="dxa"/>
            <w:vAlign w:val="center"/>
          </w:tcPr>
          <w:p w:rsidR="004F0F06" w:rsidP="004F0F06" w14:paraId="2E60464C" w14:textId="289D336C">
            <w:r>
              <w:rPr>
                <w:color w:val="000000"/>
              </w:rPr>
              <w:t>$86.</w:t>
            </w:r>
            <w:r w:rsidR="00080200">
              <w:rPr>
                <w:color w:val="000000"/>
              </w:rPr>
              <w:t>33</w:t>
            </w:r>
            <w:r>
              <w:rPr>
                <w:color w:val="000000"/>
              </w:rPr>
              <w:t xml:space="preserve"> </w:t>
            </w:r>
          </w:p>
        </w:tc>
        <w:tc>
          <w:tcPr>
            <w:tcW w:w="1080" w:type="dxa"/>
            <w:vAlign w:val="center"/>
          </w:tcPr>
          <w:p w:rsidR="004F0F06" w:rsidP="004F0F06" w14:paraId="6A87A5DA" w14:textId="42C0FDAE">
            <w:r>
              <w:rPr>
                <w:color w:val="000000"/>
              </w:rPr>
              <w:t>$17</w:t>
            </w:r>
            <w:r w:rsidR="00D50585">
              <w:rPr>
                <w:color w:val="000000"/>
              </w:rPr>
              <w:t>2</w:t>
            </w:r>
            <w:r>
              <w:rPr>
                <w:color w:val="000000"/>
              </w:rPr>
              <w:t>.</w:t>
            </w:r>
            <w:r w:rsidR="00D50585">
              <w:rPr>
                <w:color w:val="000000"/>
              </w:rPr>
              <w:t>66</w:t>
            </w:r>
            <w:r>
              <w:rPr>
                <w:color w:val="000000"/>
              </w:rPr>
              <w:t xml:space="preserve"> </w:t>
            </w:r>
          </w:p>
        </w:tc>
        <w:tc>
          <w:tcPr>
            <w:tcW w:w="990" w:type="dxa"/>
            <w:vAlign w:val="center"/>
          </w:tcPr>
          <w:p w:rsidR="004F0F06" w:rsidP="004F0F06" w14:paraId="6F7DD75A" w14:textId="188ABBD6">
            <w:pPr>
              <w:jc w:val="center"/>
            </w:pPr>
            <w:r>
              <w:rPr>
                <w:color w:val="000000"/>
              </w:rPr>
              <w:t>50</w:t>
            </w:r>
          </w:p>
        </w:tc>
        <w:tc>
          <w:tcPr>
            <w:tcW w:w="1530" w:type="dxa"/>
            <w:vAlign w:val="center"/>
          </w:tcPr>
          <w:p w:rsidR="004F0F06" w:rsidP="004F0F06" w14:paraId="65F2323C" w14:textId="25DD89CE">
            <w:pPr>
              <w:jc w:val="center"/>
            </w:pPr>
            <w:r>
              <w:rPr>
                <w:color w:val="000000"/>
              </w:rPr>
              <w:t>15</w:t>
            </w:r>
          </w:p>
        </w:tc>
        <w:tc>
          <w:tcPr>
            <w:tcW w:w="1216" w:type="dxa"/>
            <w:vAlign w:val="center"/>
          </w:tcPr>
          <w:p w:rsidR="004F0F06" w:rsidP="004F0F06" w14:paraId="252C4F7C" w14:textId="1D54BB6A">
            <w:pPr>
              <w:jc w:val="center"/>
            </w:pPr>
            <w:r>
              <w:rPr>
                <w:color w:val="000000"/>
              </w:rPr>
              <w:t>750</w:t>
            </w:r>
          </w:p>
        </w:tc>
        <w:tc>
          <w:tcPr>
            <w:tcW w:w="1664" w:type="dxa"/>
            <w:vAlign w:val="center"/>
          </w:tcPr>
          <w:p w:rsidR="004F0F06" w:rsidP="004F0F06" w14:paraId="5FB87C7B" w14:textId="00D0C56C">
            <w:r>
              <w:rPr>
                <w:color w:val="000000"/>
              </w:rPr>
              <w:t>$129,</w:t>
            </w:r>
            <w:r w:rsidR="006F6A69">
              <w:rPr>
                <w:color w:val="000000"/>
              </w:rPr>
              <w:t>495</w:t>
            </w:r>
            <w:r>
              <w:rPr>
                <w:color w:val="000000"/>
              </w:rPr>
              <w:t xml:space="preserve">.00 </w:t>
            </w:r>
          </w:p>
        </w:tc>
      </w:tr>
      <w:tr w14:paraId="020A81CC" w14:textId="77777777" w:rsidTr="00220086">
        <w:tblPrEx>
          <w:tblW w:w="9535" w:type="dxa"/>
          <w:tblLayout w:type="fixed"/>
          <w:tblLook w:val="04A0"/>
        </w:tblPrEx>
        <w:trPr>
          <w:tblHeader/>
        </w:trPr>
        <w:tc>
          <w:tcPr>
            <w:tcW w:w="1975" w:type="dxa"/>
            <w:vAlign w:val="center"/>
          </w:tcPr>
          <w:p w:rsidR="004F0F06" w:rsidP="004F0F06" w14:paraId="007D68B9" w14:textId="2E05104E">
            <w:r w:rsidRPr="6B370752">
              <w:t>Cost Estimator (13-1051)</w:t>
            </w:r>
          </w:p>
        </w:tc>
        <w:tc>
          <w:tcPr>
            <w:tcW w:w="1080" w:type="dxa"/>
            <w:vAlign w:val="center"/>
          </w:tcPr>
          <w:p w:rsidR="004F0F06" w:rsidP="004F0F06" w14:paraId="200499B7" w14:textId="6523CEF3">
            <w:r>
              <w:rPr>
                <w:color w:val="000000"/>
              </w:rPr>
              <w:t>$3</w:t>
            </w:r>
            <w:r w:rsidR="00080200">
              <w:rPr>
                <w:color w:val="000000"/>
              </w:rPr>
              <w:t>3</w:t>
            </w:r>
            <w:r>
              <w:rPr>
                <w:color w:val="000000"/>
              </w:rPr>
              <w:t>.</w:t>
            </w:r>
            <w:r w:rsidR="00080200">
              <w:rPr>
                <w:color w:val="000000"/>
              </w:rPr>
              <w:t>21</w:t>
            </w:r>
            <w:r>
              <w:rPr>
                <w:color w:val="000000"/>
              </w:rPr>
              <w:t xml:space="preserve"> </w:t>
            </w:r>
          </w:p>
        </w:tc>
        <w:tc>
          <w:tcPr>
            <w:tcW w:w="1080" w:type="dxa"/>
            <w:vAlign w:val="center"/>
          </w:tcPr>
          <w:p w:rsidR="004F0F06" w:rsidP="004F0F06" w14:paraId="58875275" w14:textId="29C73624">
            <w:r>
              <w:rPr>
                <w:color w:val="000000"/>
              </w:rPr>
              <w:t>$</w:t>
            </w:r>
            <w:r w:rsidR="00D50585">
              <w:rPr>
                <w:color w:val="000000"/>
              </w:rPr>
              <w:t>66.42</w:t>
            </w:r>
            <w:r>
              <w:rPr>
                <w:color w:val="000000"/>
              </w:rPr>
              <w:t xml:space="preserve"> </w:t>
            </w:r>
          </w:p>
        </w:tc>
        <w:tc>
          <w:tcPr>
            <w:tcW w:w="990" w:type="dxa"/>
            <w:vAlign w:val="center"/>
          </w:tcPr>
          <w:p w:rsidR="004F0F06" w:rsidP="004F0F06" w14:paraId="7451DF0A" w14:textId="4E931A58">
            <w:pPr>
              <w:jc w:val="center"/>
            </w:pPr>
            <w:r>
              <w:rPr>
                <w:color w:val="000000"/>
              </w:rPr>
              <w:t>142</w:t>
            </w:r>
          </w:p>
        </w:tc>
        <w:tc>
          <w:tcPr>
            <w:tcW w:w="1530" w:type="dxa"/>
            <w:vAlign w:val="center"/>
          </w:tcPr>
          <w:p w:rsidR="004F0F06" w:rsidP="004F0F06" w14:paraId="38F01981" w14:textId="3EC7E1EA">
            <w:pPr>
              <w:jc w:val="center"/>
            </w:pPr>
            <w:r>
              <w:rPr>
                <w:color w:val="000000"/>
              </w:rPr>
              <w:t>15</w:t>
            </w:r>
          </w:p>
        </w:tc>
        <w:tc>
          <w:tcPr>
            <w:tcW w:w="1216" w:type="dxa"/>
            <w:vAlign w:val="center"/>
          </w:tcPr>
          <w:p w:rsidR="004F0F06" w:rsidP="004F0F06" w14:paraId="63389E52" w14:textId="7C669428">
            <w:pPr>
              <w:jc w:val="center"/>
            </w:pPr>
            <w:r>
              <w:rPr>
                <w:color w:val="000000"/>
              </w:rPr>
              <w:t>2130</w:t>
            </w:r>
          </w:p>
        </w:tc>
        <w:tc>
          <w:tcPr>
            <w:tcW w:w="1664" w:type="dxa"/>
            <w:vAlign w:val="center"/>
          </w:tcPr>
          <w:p w:rsidR="004F0F06" w:rsidP="004F0F06" w14:paraId="2E0643C3" w14:textId="5A74D233">
            <w:r>
              <w:rPr>
                <w:color w:val="000000"/>
              </w:rPr>
              <w:t>$</w:t>
            </w:r>
            <w:r w:rsidR="006F6A69">
              <w:rPr>
                <w:color w:val="000000"/>
              </w:rPr>
              <w:t>141,474.60</w:t>
            </w:r>
            <w:r>
              <w:rPr>
                <w:color w:val="000000"/>
              </w:rPr>
              <w:t xml:space="preserve"> </w:t>
            </w:r>
          </w:p>
        </w:tc>
      </w:tr>
      <w:tr w14:paraId="06B351C7" w14:textId="77777777" w:rsidTr="00220086">
        <w:tblPrEx>
          <w:tblW w:w="9535" w:type="dxa"/>
          <w:tblLayout w:type="fixed"/>
          <w:tblLook w:val="04A0"/>
        </w:tblPrEx>
        <w:trPr>
          <w:tblHeader/>
        </w:trPr>
        <w:tc>
          <w:tcPr>
            <w:tcW w:w="1975" w:type="dxa"/>
            <w:vAlign w:val="center"/>
          </w:tcPr>
          <w:p w:rsidR="004F0F06" w:rsidP="004F0F06" w14:paraId="18AD5FF5" w14:textId="4F20C72D">
            <w:r w:rsidRPr="6B370752">
              <w:t>Business Operations Specialists (13-1000)</w:t>
            </w:r>
          </w:p>
        </w:tc>
        <w:tc>
          <w:tcPr>
            <w:tcW w:w="1080" w:type="dxa"/>
            <w:vAlign w:val="center"/>
          </w:tcPr>
          <w:p w:rsidR="004F0F06" w:rsidP="004F0F06" w14:paraId="382C0E67" w14:textId="73AF5A05">
            <w:r>
              <w:rPr>
                <w:color w:val="000000"/>
              </w:rPr>
              <w:t>$4</w:t>
            </w:r>
            <w:r w:rsidR="00080200">
              <w:rPr>
                <w:color w:val="000000"/>
              </w:rPr>
              <w:t>6</w:t>
            </w:r>
            <w:r>
              <w:rPr>
                <w:color w:val="000000"/>
              </w:rPr>
              <w:t>.</w:t>
            </w:r>
            <w:r w:rsidR="00080200">
              <w:rPr>
                <w:color w:val="000000"/>
              </w:rPr>
              <w:t>55</w:t>
            </w:r>
            <w:r>
              <w:rPr>
                <w:color w:val="000000"/>
              </w:rPr>
              <w:t xml:space="preserve"> </w:t>
            </w:r>
          </w:p>
        </w:tc>
        <w:tc>
          <w:tcPr>
            <w:tcW w:w="1080" w:type="dxa"/>
            <w:vAlign w:val="center"/>
          </w:tcPr>
          <w:p w:rsidR="004F0F06" w:rsidP="004F0F06" w14:paraId="2A90BE75" w14:textId="291D5732">
            <w:r>
              <w:rPr>
                <w:color w:val="000000"/>
              </w:rPr>
              <w:t>$</w:t>
            </w:r>
            <w:r w:rsidR="00D50585">
              <w:rPr>
                <w:color w:val="000000"/>
              </w:rPr>
              <w:t>93.10</w:t>
            </w:r>
            <w:r>
              <w:rPr>
                <w:color w:val="000000"/>
              </w:rPr>
              <w:t xml:space="preserve"> </w:t>
            </w:r>
          </w:p>
        </w:tc>
        <w:tc>
          <w:tcPr>
            <w:tcW w:w="990" w:type="dxa"/>
            <w:vAlign w:val="center"/>
          </w:tcPr>
          <w:p w:rsidR="004F0F06" w:rsidP="004F0F06" w14:paraId="2735D10B" w14:textId="158903F2">
            <w:pPr>
              <w:jc w:val="center"/>
            </w:pPr>
            <w:r>
              <w:rPr>
                <w:color w:val="000000"/>
              </w:rPr>
              <w:t>200</w:t>
            </w:r>
          </w:p>
        </w:tc>
        <w:tc>
          <w:tcPr>
            <w:tcW w:w="1530" w:type="dxa"/>
            <w:vAlign w:val="center"/>
          </w:tcPr>
          <w:p w:rsidR="004F0F06" w:rsidP="004F0F06" w14:paraId="055FA3B4" w14:textId="63498E20">
            <w:pPr>
              <w:jc w:val="center"/>
            </w:pPr>
            <w:r>
              <w:rPr>
                <w:color w:val="000000"/>
              </w:rPr>
              <w:t>15</w:t>
            </w:r>
          </w:p>
        </w:tc>
        <w:tc>
          <w:tcPr>
            <w:tcW w:w="1216" w:type="dxa"/>
            <w:vAlign w:val="center"/>
          </w:tcPr>
          <w:p w:rsidR="004F0F06" w:rsidP="004F0F06" w14:paraId="620E4C2F" w14:textId="4469106A">
            <w:pPr>
              <w:jc w:val="center"/>
            </w:pPr>
            <w:r>
              <w:rPr>
                <w:color w:val="000000"/>
              </w:rPr>
              <w:t>3000</w:t>
            </w:r>
          </w:p>
        </w:tc>
        <w:tc>
          <w:tcPr>
            <w:tcW w:w="1664" w:type="dxa"/>
            <w:vAlign w:val="center"/>
          </w:tcPr>
          <w:p w:rsidR="004F0F06" w:rsidP="004F0F06" w14:paraId="4EA22A7E" w14:textId="4F668ED0">
            <w:r>
              <w:rPr>
                <w:color w:val="000000"/>
              </w:rPr>
              <w:t>$2</w:t>
            </w:r>
            <w:r w:rsidR="006F6A69">
              <w:rPr>
                <w:color w:val="000000"/>
              </w:rPr>
              <w:t>7</w:t>
            </w:r>
            <w:r>
              <w:rPr>
                <w:color w:val="000000"/>
              </w:rPr>
              <w:t>9,</w:t>
            </w:r>
            <w:r w:rsidR="006F6A69">
              <w:rPr>
                <w:color w:val="000000"/>
              </w:rPr>
              <w:t>300</w:t>
            </w:r>
            <w:r>
              <w:rPr>
                <w:color w:val="000000"/>
              </w:rPr>
              <w:t xml:space="preserve">.00 </w:t>
            </w:r>
          </w:p>
        </w:tc>
      </w:tr>
      <w:tr w14:paraId="45BBE682" w14:textId="77777777" w:rsidTr="00220086">
        <w:tblPrEx>
          <w:tblW w:w="9535" w:type="dxa"/>
          <w:tblLayout w:type="fixed"/>
          <w:tblLook w:val="04A0"/>
        </w:tblPrEx>
        <w:trPr>
          <w:tblHeader/>
        </w:trPr>
        <w:tc>
          <w:tcPr>
            <w:tcW w:w="1975" w:type="dxa"/>
            <w:vAlign w:val="center"/>
          </w:tcPr>
          <w:p w:rsidR="004F0F06" w:rsidP="004F0F06" w14:paraId="328E0B63" w14:textId="40C9EC5D">
            <w:r w:rsidRPr="6B370752">
              <w:t>Economist (19-3011)</w:t>
            </w:r>
            <w:r>
              <w:rPr>
                <w:rStyle w:val="FootnoteReference"/>
              </w:rPr>
              <w:footnoteReference w:id="17"/>
            </w:r>
          </w:p>
        </w:tc>
        <w:tc>
          <w:tcPr>
            <w:tcW w:w="1080" w:type="dxa"/>
            <w:vAlign w:val="center"/>
          </w:tcPr>
          <w:p w:rsidR="004F0F06" w:rsidP="004F0F06" w14:paraId="62617AE0" w14:textId="2C819F00">
            <w:r>
              <w:t>$55.</w:t>
            </w:r>
            <w:r w:rsidR="00080200">
              <w:t>50</w:t>
            </w:r>
            <w:r>
              <w:t xml:space="preserve"> </w:t>
            </w:r>
          </w:p>
        </w:tc>
        <w:tc>
          <w:tcPr>
            <w:tcW w:w="1080" w:type="dxa"/>
            <w:vAlign w:val="center"/>
          </w:tcPr>
          <w:p w:rsidR="004F0F06" w:rsidP="004F0F06" w14:paraId="77DDEF7A" w14:textId="03BD89E3">
            <w:r>
              <w:rPr>
                <w:color w:val="000000"/>
              </w:rPr>
              <w:t>$111.</w:t>
            </w:r>
            <w:r w:rsidR="00D50585">
              <w:rPr>
                <w:color w:val="000000"/>
              </w:rPr>
              <w:t>00</w:t>
            </w:r>
            <w:r>
              <w:rPr>
                <w:color w:val="000000"/>
              </w:rPr>
              <w:t xml:space="preserve"> </w:t>
            </w:r>
          </w:p>
        </w:tc>
        <w:tc>
          <w:tcPr>
            <w:tcW w:w="990" w:type="dxa"/>
            <w:vAlign w:val="center"/>
          </w:tcPr>
          <w:p w:rsidR="004F0F06" w:rsidP="004F0F06" w14:paraId="3E8BAD8F" w14:textId="6DF9D86F">
            <w:pPr>
              <w:jc w:val="center"/>
            </w:pPr>
            <w:r>
              <w:rPr>
                <w:color w:val="000000"/>
              </w:rPr>
              <w:t>600</w:t>
            </w:r>
          </w:p>
        </w:tc>
        <w:tc>
          <w:tcPr>
            <w:tcW w:w="1530" w:type="dxa"/>
            <w:vAlign w:val="center"/>
          </w:tcPr>
          <w:p w:rsidR="004F0F06" w:rsidP="004F0F06" w14:paraId="522186CD" w14:textId="56FFFADD">
            <w:pPr>
              <w:jc w:val="center"/>
            </w:pPr>
            <w:r>
              <w:rPr>
                <w:color w:val="000000"/>
              </w:rPr>
              <w:t>15</w:t>
            </w:r>
          </w:p>
        </w:tc>
        <w:tc>
          <w:tcPr>
            <w:tcW w:w="1216" w:type="dxa"/>
            <w:vAlign w:val="center"/>
          </w:tcPr>
          <w:p w:rsidR="004F0F06" w:rsidP="004F0F06" w14:paraId="7A46BA74" w14:textId="24F11908">
            <w:pPr>
              <w:jc w:val="center"/>
            </w:pPr>
            <w:r>
              <w:rPr>
                <w:color w:val="000000"/>
              </w:rPr>
              <w:t>9000</w:t>
            </w:r>
          </w:p>
        </w:tc>
        <w:tc>
          <w:tcPr>
            <w:tcW w:w="1664" w:type="dxa"/>
            <w:vAlign w:val="center"/>
          </w:tcPr>
          <w:p w:rsidR="004F0F06" w:rsidP="004F0F06" w14:paraId="36E91410" w14:textId="195F7680">
            <w:r>
              <w:rPr>
                <w:color w:val="000000"/>
              </w:rPr>
              <w:t>$</w:t>
            </w:r>
            <w:r w:rsidR="006F6A69">
              <w:rPr>
                <w:color w:val="000000"/>
              </w:rPr>
              <w:t>999,000</w:t>
            </w:r>
            <w:r>
              <w:rPr>
                <w:color w:val="000000"/>
              </w:rPr>
              <w:t xml:space="preserve">.00 </w:t>
            </w:r>
          </w:p>
        </w:tc>
      </w:tr>
      <w:tr w14:paraId="7232723E" w14:textId="77777777" w:rsidTr="00220086">
        <w:tblPrEx>
          <w:tblW w:w="9535" w:type="dxa"/>
          <w:tblLayout w:type="fixed"/>
          <w:tblLook w:val="04A0"/>
        </w:tblPrEx>
        <w:trPr>
          <w:tblHeader/>
        </w:trPr>
        <w:tc>
          <w:tcPr>
            <w:tcW w:w="1975" w:type="dxa"/>
            <w:vAlign w:val="center"/>
          </w:tcPr>
          <w:p w:rsidR="004F0F06" w:rsidRPr="6B370752" w:rsidP="004F0F06" w14:paraId="177C9217" w14:textId="38E710DC">
            <w:r>
              <w:t>Lawyer (23-1011)</w:t>
            </w:r>
          </w:p>
        </w:tc>
        <w:tc>
          <w:tcPr>
            <w:tcW w:w="1080" w:type="dxa"/>
            <w:vAlign w:val="center"/>
          </w:tcPr>
          <w:p w:rsidR="004F0F06" w:rsidRPr="6B370752" w:rsidP="004F0F06" w14:paraId="20FD33BB" w14:textId="6F6958F2">
            <w:r>
              <w:rPr>
                <w:color w:val="000000"/>
              </w:rPr>
              <w:t xml:space="preserve">$115.00 </w:t>
            </w:r>
          </w:p>
        </w:tc>
        <w:tc>
          <w:tcPr>
            <w:tcW w:w="1080" w:type="dxa"/>
            <w:vAlign w:val="center"/>
          </w:tcPr>
          <w:p w:rsidR="004F0F06" w:rsidRPr="6B370752" w:rsidP="004F0F06" w14:paraId="2CB66055" w14:textId="378627D0">
            <w:r>
              <w:rPr>
                <w:color w:val="000000"/>
              </w:rPr>
              <w:t xml:space="preserve">$230.00 </w:t>
            </w:r>
          </w:p>
        </w:tc>
        <w:tc>
          <w:tcPr>
            <w:tcW w:w="990" w:type="dxa"/>
            <w:vAlign w:val="center"/>
          </w:tcPr>
          <w:p w:rsidR="004F0F06" w:rsidRPr="6B370752" w:rsidP="004F0F06" w14:paraId="6B9A56B9" w14:textId="27F3A5EE">
            <w:pPr>
              <w:jc w:val="center"/>
            </w:pPr>
            <w:r>
              <w:rPr>
                <w:color w:val="000000"/>
              </w:rPr>
              <w:t>4</w:t>
            </w:r>
          </w:p>
        </w:tc>
        <w:tc>
          <w:tcPr>
            <w:tcW w:w="1530" w:type="dxa"/>
            <w:vAlign w:val="center"/>
          </w:tcPr>
          <w:p w:rsidR="004F0F06" w:rsidP="004F0F06" w14:paraId="1AFDD9BE" w14:textId="3C73CE0F">
            <w:pPr>
              <w:jc w:val="center"/>
            </w:pPr>
            <w:r>
              <w:rPr>
                <w:color w:val="000000"/>
              </w:rPr>
              <w:t>15</w:t>
            </w:r>
          </w:p>
        </w:tc>
        <w:tc>
          <w:tcPr>
            <w:tcW w:w="1216" w:type="dxa"/>
            <w:vAlign w:val="center"/>
          </w:tcPr>
          <w:p w:rsidR="004F0F06" w:rsidP="004F0F06" w14:paraId="1796FC1B" w14:textId="49315E12">
            <w:pPr>
              <w:jc w:val="center"/>
            </w:pPr>
            <w:r>
              <w:rPr>
                <w:color w:val="000000"/>
              </w:rPr>
              <w:t>60</w:t>
            </w:r>
          </w:p>
        </w:tc>
        <w:tc>
          <w:tcPr>
            <w:tcW w:w="1664" w:type="dxa"/>
            <w:vAlign w:val="center"/>
          </w:tcPr>
          <w:p w:rsidR="004F0F06" w:rsidP="004F0F06" w14:paraId="1652667C" w14:textId="05F2C4BD">
            <w:r>
              <w:rPr>
                <w:color w:val="000000"/>
              </w:rPr>
              <w:t xml:space="preserve">$13,800.00 </w:t>
            </w:r>
          </w:p>
        </w:tc>
      </w:tr>
      <w:tr w14:paraId="548CC4A4" w14:textId="77777777" w:rsidTr="00220086">
        <w:tblPrEx>
          <w:tblW w:w="9535" w:type="dxa"/>
          <w:tblLayout w:type="fixed"/>
          <w:tblLook w:val="04A0"/>
        </w:tblPrEx>
        <w:trPr>
          <w:tblHeader/>
        </w:trPr>
        <w:tc>
          <w:tcPr>
            <w:tcW w:w="1975" w:type="dxa"/>
            <w:vAlign w:val="center"/>
          </w:tcPr>
          <w:p w:rsidR="004F0F06" w:rsidRPr="6B370752" w:rsidP="004F0F06" w14:paraId="09D25043" w14:textId="4B39A243">
            <w:r>
              <w:t>Chief Executive (11-1011)</w:t>
            </w:r>
          </w:p>
        </w:tc>
        <w:tc>
          <w:tcPr>
            <w:tcW w:w="1080" w:type="dxa"/>
            <w:vAlign w:val="center"/>
          </w:tcPr>
          <w:p w:rsidR="004F0F06" w:rsidRPr="6B370752" w:rsidP="004F0F06" w14:paraId="645DCF2A" w14:textId="50F98507">
            <w:r>
              <w:rPr>
                <w:color w:val="000000"/>
              </w:rPr>
              <w:t xml:space="preserve">$115.00 </w:t>
            </w:r>
          </w:p>
        </w:tc>
        <w:tc>
          <w:tcPr>
            <w:tcW w:w="1080" w:type="dxa"/>
            <w:vAlign w:val="center"/>
          </w:tcPr>
          <w:p w:rsidR="004F0F06" w:rsidRPr="6B370752" w:rsidP="004F0F06" w14:paraId="7DE15A44" w14:textId="0165DD52">
            <w:r>
              <w:rPr>
                <w:color w:val="000000"/>
              </w:rPr>
              <w:t xml:space="preserve">$230.00 </w:t>
            </w:r>
          </w:p>
        </w:tc>
        <w:tc>
          <w:tcPr>
            <w:tcW w:w="990" w:type="dxa"/>
            <w:vAlign w:val="center"/>
          </w:tcPr>
          <w:p w:rsidR="004F0F06" w:rsidRPr="6B370752" w:rsidP="004F0F06" w14:paraId="4950E501" w14:textId="4D72453A">
            <w:pPr>
              <w:jc w:val="center"/>
            </w:pPr>
            <w:r>
              <w:rPr>
                <w:color w:val="000000"/>
              </w:rPr>
              <w:t>4</w:t>
            </w:r>
          </w:p>
        </w:tc>
        <w:tc>
          <w:tcPr>
            <w:tcW w:w="1530" w:type="dxa"/>
            <w:vAlign w:val="center"/>
          </w:tcPr>
          <w:p w:rsidR="004F0F06" w:rsidP="004F0F06" w14:paraId="3F6E2C68" w14:textId="5A46A014">
            <w:pPr>
              <w:jc w:val="center"/>
            </w:pPr>
            <w:r>
              <w:rPr>
                <w:color w:val="000000"/>
              </w:rPr>
              <w:t>15</w:t>
            </w:r>
          </w:p>
        </w:tc>
        <w:tc>
          <w:tcPr>
            <w:tcW w:w="1216" w:type="dxa"/>
            <w:vAlign w:val="center"/>
          </w:tcPr>
          <w:p w:rsidR="004F0F06" w:rsidP="004F0F06" w14:paraId="00AA71D8" w14:textId="33D68F3F">
            <w:pPr>
              <w:jc w:val="center"/>
            </w:pPr>
            <w:r>
              <w:rPr>
                <w:color w:val="000000"/>
              </w:rPr>
              <w:t>60</w:t>
            </w:r>
          </w:p>
        </w:tc>
        <w:tc>
          <w:tcPr>
            <w:tcW w:w="1664" w:type="dxa"/>
            <w:vAlign w:val="center"/>
          </w:tcPr>
          <w:p w:rsidR="004F0F06" w:rsidP="004F0F06" w14:paraId="25DE19B4" w14:textId="4942412C">
            <w:r>
              <w:rPr>
                <w:color w:val="000000"/>
              </w:rPr>
              <w:t xml:space="preserve">$13,800.00 </w:t>
            </w:r>
          </w:p>
        </w:tc>
      </w:tr>
      <w:tr w14:paraId="03D9FB82" w14:textId="77777777" w:rsidTr="00220086">
        <w:tblPrEx>
          <w:tblW w:w="9535" w:type="dxa"/>
          <w:tblLayout w:type="fixed"/>
          <w:tblLook w:val="04A0"/>
        </w:tblPrEx>
        <w:trPr>
          <w:tblHeader/>
        </w:trPr>
        <w:tc>
          <w:tcPr>
            <w:tcW w:w="1975" w:type="dxa"/>
            <w:vAlign w:val="center"/>
          </w:tcPr>
          <w:p w:rsidR="004F0F06" w:rsidP="004F0F06" w14:paraId="438F83C6" w14:textId="72FA51FA">
            <w:r w:rsidRPr="6B370752">
              <w:rPr>
                <w:b/>
                <w:bCs/>
              </w:rPr>
              <w:t xml:space="preserve">Total </w:t>
            </w:r>
            <w:r>
              <w:rPr>
                <w:b/>
                <w:bCs/>
              </w:rPr>
              <w:t>(15 Manufacturers)</w:t>
            </w:r>
          </w:p>
        </w:tc>
        <w:tc>
          <w:tcPr>
            <w:tcW w:w="1080" w:type="dxa"/>
            <w:vAlign w:val="center"/>
          </w:tcPr>
          <w:p w:rsidR="004F0F06" w:rsidRPr="00BC1EE4" w14:paraId="24963C82" w14:textId="498B8267">
            <w:pPr>
              <w:jc w:val="center"/>
              <w:rPr>
                <w:b/>
                <w:bCs/>
              </w:rPr>
            </w:pPr>
            <w:r w:rsidRPr="000A5850">
              <w:rPr>
                <w:rFonts w:ascii="Times" w:hAnsi="Times" w:cs="Times"/>
                <w:color w:val="000000"/>
              </w:rPr>
              <w:t>-</w:t>
            </w:r>
            <w:r>
              <w:rPr>
                <w:color w:val="000000"/>
              </w:rPr>
              <w:t xml:space="preserve"> </w:t>
            </w:r>
          </w:p>
        </w:tc>
        <w:tc>
          <w:tcPr>
            <w:tcW w:w="1080" w:type="dxa"/>
            <w:vAlign w:val="center"/>
          </w:tcPr>
          <w:p w:rsidR="004F0F06" w:rsidRPr="00BC1EE4" w14:paraId="3897FAC0" w14:textId="623EDF63">
            <w:pPr>
              <w:jc w:val="center"/>
              <w:rPr>
                <w:b/>
                <w:bCs/>
              </w:rPr>
            </w:pPr>
            <w:r>
              <w:rPr>
                <w:color w:val="000000"/>
              </w:rPr>
              <w:t xml:space="preserve"> </w:t>
            </w:r>
            <w:r w:rsidRPr="000A5850">
              <w:rPr>
                <w:rFonts w:ascii="Times" w:hAnsi="Times" w:cs="Times"/>
                <w:color w:val="000000"/>
              </w:rPr>
              <w:t>-</w:t>
            </w:r>
            <w:r>
              <w:rPr>
                <w:color w:val="000000"/>
              </w:rPr>
              <w:t xml:space="preserve">    </w:t>
            </w:r>
          </w:p>
        </w:tc>
        <w:tc>
          <w:tcPr>
            <w:tcW w:w="990" w:type="dxa"/>
            <w:vAlign w:val="center"/>
          </w:tcPr>
          <w:p w:rsidR="004F0F06" w:rsidRPr="00DC0285" w14:paraId="012E5F4A" w14:textId="0DCB144C">
            <w:pPr>
              <w:jc w:val="center"/>
              <w:rPr>
                <w:b/>
                <w:bCs/>
              </w:rPr>
            </w:pPr>
            <w:r w:rsidRPr="006C541E">
              <w:rPr>
                <w:b/>
                <w:bCs/>
                <w:color w:val="000000"/>
              </w:rPr>
              <w:t>15,000</w:t>
            </w:r>
          </w:p>
        </w:tc>
        <w:tc>
          <w:tcPr>
            <w:tcW w:w="1530" w:type="dxa"/>
            <w:vAlign w:val="center"/>
          </w:tcPr>
          <w:p w:rsidR="004F0F06" w:rsidRPr="00DC0285" w14:paraId="1C8EA66F" w14:textId="45A2B36E">
            <w:pPr>
              <w:jc w:val="center"/>
              <w:rPr>
                <w:b/>
                <w:bCs/>
              </w:rPr>
            </w:pPr>
            <w:r w:rsidRPr="006C541E">
              <w:rPr>
                <w:b/>
                <w:bCs/>
                <w:color w:val="000000"/>
              </w:rPr>
              <w:t>15</w:t>
            </w:r>
          </w:p>
        </w:tc>
        <w:tc>
          <w:tcPr>
            <w:tcW w:w="1216" w:type="dxa"/>
            <w:vAlign w:val="center"/>
          </w:tcPr>
          <w:p w:rsidR="004F0F06" w:rsidRPr="00DC0285" w14:paraId="4169EA64" w14:textId="42D65CE2">
            <w:pPr>
              <w:jc w:val="center"/>
              <w:rPr>
                <w:b/>
                <w:bCs/>
              </w:rPr>
            </w:pPr>
            <w:r w:rsidRPr="006C541E">
              <w:rPr>
                <w:b/>
                <w:bCs/>
                <w:color w:val="000000"/>
              </w:rPr>
              <w:t>15,000</w:t>
            </w:r>
          </w:p>
        </w:tc>
        <w:tc>
          <w:tcPr>
            <w:tcW w:w="1664" w:type="dxa"/>
            <w:vAlign w:val="center"/>
          </w:tcPr>
          <w:p w:rsidR="004F0F06" w:rsidRPr="00DC0285" w14:paraId="1432D6C7" w14:textId="7E51C657">
            <w:pPr>
              <w:rPr>
                <w:b/>
                <w:bCs/>
              </w:rPr>
            </w:pPr>
            <w:r w:rsidRPr="006C541E">
              <w:rPr>
                <w:b/>
                <w:bCs/>
                <w:color w:val="000000"/>
              </w:rPr>
              <w:t>$1,</w:t>
            </w:r>
            <w:r w:rsidRPr="006C541E" w:rsidR="006F6A69">
              <w:rPr>
                <w:b/>
                <w:bCs/>
                <w:color w:val="000000"/>
              </w:rPr>
              <w:t>576,869.60</w:t>
            </w:r>
            <w:r w:rsidRPr="006C541E">
              <w:rPr>
                <w:b/>
                <w:bCs/>
                <w:color w:val="000000"/>
              </w:rPr>
              <w:t xml:space="preserve"> </w:t>
            </w:r>
          </w:p>
        </w:tc>
      </w:tr>
      <w:tr w14:paraId="5680DB4B" w14:textId="77777777" w:rsidTr="00220086">
        <w:tblPrEx>
          <w:tblW w:w="9535" w:type="dxa"/>
          <w:tblLayout w:type="fixed"/>
          <w:tblLook w:val="04A0"/>
        </w:tblPrEx>
        <w:trPr>
          <w:tblHeader/>
        </w:trPr>
        <w:tc>
          <w:tcPr>
            <w:tcW w:w="1975" w:type="dxa"/>
            <w:vAlign w:val="center"/>
          </w:tcPr>
          <w:p w:rsidR="004F0F06" w:rsidRPr="6B370752" w:rsidP="004F0F06" w14:paraId="05D85625" w14:textId="6CEFBEB4">
            <w:pPr>
              <w:rPr>
                <w:b/>
                <w:bCs/>
              </w:rPr>
            </w:pPr>
            <w:r>
              <w:rPr>
                <w:b/>
                <w:bCs/>
              </w:rPr>
              <w:t>Total per Manufacturer</w:t>
            </w:r>
          </w:p>
        </w:tc>
        <w:tc>
          <w:tcPr>
            <w:tcW w:w="1080" w:type="dxa"/>
            <w:vAlign w:val="center"/>
          </w:tcPr>
          <w:p w:rsidR="004F0F06" w:rsidRPr="00BC1EE4" w14:paraId="576D7712" w14:textId="070B440D">
            <w:pPr>
              <w:jc w:val="center"/>
              <w:rPr>
                <w:b/>
                <w:bCs/>
              </w:rPr>
            </w:pPr>
            <w:r w:rsidRPr="000A5850">
              <w:rPr>
                <w:rFonts w:ascii="Times" w:hAnsi="Times" w:cs="Times"/>
                <w:color w:val="000000"/>
              </w:rPr>
              <w:t>-</w:t>
            </w:r>
            <w:r>
              <w:rPr>
                <w:color w:val="000000"/>
              </w:rPr>
              <w:t xml:space="preserve"> </w:t>
            </w:r>
          </w:p>
        </w:tc>
        <w:tc>
          <w:tcPr>
            <w:tcW w:w="1080" w:type="dxa"/>
            <w:vAlign w:val="center"/>
          </w:tcPr>
          <w:p w:rsidR="004F0F06" w:rsidRPr="00BC1EE4" w14:paraId="1D7DDF22" w14:textId="5C257E65">
            <w:pPr>
              <w:jc w:val="center"/>
              <w:rPr>
                <w:b/>
                <w:bCs/>
              </w:rPr>
            </w:pPr>
            <w:r w:rsidRPr="000A5850">
              <w:rPr>
                <w:rFonts w:ascii="Times" w:hAnsi="Times" w:cs="Times"/>
                <w:color w:val="000000"/>
              </w:rPr>
              <w:t>-</w:t>
            </w:r>
            <w:r>
              <w:rPr>
                <w:color w:val="000000"/>
              </w:rPr>
              <w:t xml:space="preserve"> </w:t>
            </w:r>
          </w:p>
        </w:tc>
        <w:tc>
          <w:tcPr>
            <w:tcW w:w="990" w:type="dxa"/>
            <w:vAlign w:val="center"/>
          </w:tcPr>
          <w:p w:rsidR="004F0F06" w:rsidRPr="00DC0285" w14:paraId="00E5DCEB" w14:textId="4B653C86">
            <w:pPr>
              <w:jc w:val="center"/>
              <w:rPr>
                <w:b/>
                <w:bCs/>
              </w:rPr>
            </w:pPr>
            <w:r w:rsidRPr="006C541E">
              <w:rPr>
                <w:b/>
                <w:bCs/>
                <w:color w:val="000000"/>
              </w:rPr>
              <w:t>1,000</w:t>
            </w:r>
          </w:p>
        </w:tc>
        <w:tc>
          <w:tcPr>
            <w:tcW w:w="1530" w:type="dxa"/>
            <w:vAlign w:val="center"/>
          </w:tcPr>
          <w:p w:rsidR="004F0F06" w:rsidRPr="00DC0285" w14:paraId="0D58D461" w14:textId="58FC3F22">
            <w:pPr>
              <w:jc w:val="center"/>
              <w:rPr>
                <w:b/>
                <w:bCs/>
              </w:rPr>
            </w:pPr>
            <w:r w:rsidRPr="006C541E">
              <w:rPr>
                <w:b/>
                <w:bCs/>
                <w:color w:val="000000"/>
              </w:rPr>
              <w:t>1</w:t>
            </w:r>
          </w:p>
        </w:tc>
        <w:tc>
          <w:tcPr>
            <w:tcW w:w="1216" w:type="dxa"/>
            <w:vAlign w:val="center"/>
          </w:tcPr>
          <w:p w:rsidR="004F0F06" w:rsidRPr="00DC0285" w14:paraId="23D838C6" w14:textId="05CFB7E6">
            <w:pPr>
              <w:jc w:val="center"/>
              <w:rPr>
                <w:b/>
                <w:bCs/>
              </w:rPr>
            </w:pPr>
            <w:r w:rsidRPr="006C541E">
              <w:rPr>
                <w:b/>
                <w:bCs/>
                <w:color w:val="000000"/>
              </w:rPr>
              <w:t>1,000</w:t>
            </w:r>
          </w:p>
        </w:tc>
        <w:tc>
          <w:tcPr>
            <w:tcW w:w="1664" w:type="dxa"/>
            <w:vAlign w:val="center"/>
          </w:tcPr>
          <w:p w:rsidR="004F0F06" w:rsidRPr="00DC0285" w14:paraId="3906D75D" w14:textId="22330080">
            <w:pPr>
              <w:rPr>
                <w:b/>
                <w:bCs/>
              </w:rPr>
            </w:pPr>
            <w:r w:rsidRPr="006C541E">
              <w:rPr>
                <w:b/>
                <w:bCs/>
                <w:color w:val="000000"/>
              </w:rPr>
              <w:t>$105,</w:t>
            </w:r>
            <w:r w:rsidRPr="006C541E" w:rsidR="006F6A69">
              <w:rPr>
                <w:b/>
                <w:bCs/>
                <w:color w:val="000000"/>
              </w:rPr>
              <w:t>124.64</w:t>
            </w:r>
            <w:r w:rsidRPr="006C541E">
              <w:rPr>
                <w:b/>
                <w:bCs/>
                <w:color w:val="000000"/>
              </w:rPr>
              <w:t xml:space="preserve"> </w:t>
            </w:r>
          </w:p>
        </w:tc>
      </w:tr>
    </w:tbl>
    <w:p w:rsidR="6B370752" w:rsidRPr="00D45546" w:rsidP="6B370752" w14:paraId="0132CE72" w14:textId="5865AAC8">
      <w:pPr>
        <w:rPr>
          <w:color w:val="000000" w:themeColor="text1"/>
          <w:sz w:val="20"/>
          <w:szCs w:val="20"/>
        </w:rPr>
      </w:pPr>
      <w:r w:rsidRPr="7C2D0501">
        <w:rPr>
          <w:i/>
          <w:iCs/>
          <w:color w:val="000000" w:themeColor="text1"/>
          <w:sz w:val="20"/>
          <w:szCs w:val="20"/>
        </w:rPr>
        <w:t>* As previously noted, this estimate assumes 100 percent increase to account for fringe benefits and overhead. This adjustment is a broad approximation as fringe benefits and overhead costs vary significantly across employers and methods of estimating these costs vary widely across studies.</w:t>
      </w:r>
    </w:p>
    <w:p w:rsidR="00D45546" w:rsidRPr="00D45546" w:rsidP="00D45546" w14:paraId="12166FC6" w14:textId="54ACAF5F">
      <w:r>
        <w:t>A</w:t>
      </w:r>
      <w:r w:rsidRPr="6B370752" w:rsidR="6B370752">
        <w:t xml:space="preserve">n additional low </w:t>
      </w:r>
      <w:r>
        <w:t xml:space="preserve">estimate </w:t>
      </w:r>
      <w:r w:rsidRPr="6B370752" w:rsidR="6B370752">
        <w:t>and high estimate is provided in Table 2 below</w:t>
      </w:r>
      <w:r w:rsidR="00F947C4">
        <w:t xml:space="preserve"> to illustrate the possible variability for this burden estimate</w:t>
      </w:r>
      <w:r w:rsidRPr="6B370752" w:rsidR="6B370752">
        <w:t>. To calculate the low estimate, the base estimate (Table 1</w:t>
      </w:r>
      <w:r>
        <w:t xml:space="preserve"> Total</w:t>
      </w:r>
      <w:r w:rsidRPr="6B370752" w:rsidR="6B370752">
        <w:t xml:space="preserve">) has been reduced by half for each labor category. For the high estimate, the required time and </w:t>
      </w:r>
      <w:r w:rsidR="008D3655">
        <w:t>cost</w:t>
      </w:r>
      <w:r w:rsidRPr="6B370752" w:rsidR="008D3655">
        <w:t xml:space="preserve"> </w:t>
      </w:r>
      <w:r w:rsidRPr="6B370752" w:rsidR="6B370752">
        <w:t>associated with each labor category</w:t>
      </w:r>
      <w:r>
        <w:t xml:space="preserve"> from the base estimate</w:t>
      </w:r>
      <w:r w:rsidRPr="6B370752" w:rsidR="6B370752">
        <w:t xml:space="preserve"> has </w:t>
      </w:r>
      <w:r w:rsidRPr="6B370752" w:rsidR="6B370752">
        <w:t>been doubled</w:t>
      </w:r>
      <w:r w:rsidRPr="6B370752" w:rsidR="6B370752">
        <w:t>.</w:t>
      </w:r>
    </w:p>
    <w:p w:rsidR="6B370752" w:rsidRPr="0078206D" w:rsidP="000A5850" w14:paraId="5A11FE54" w14:textId="5CA2A18F">
      <w:pPr>
        <w:pStyle w:val="Heading4"/>
      </w:pPr>
      <w:r w:rsidRPr="0078206D">
        <w:t>TABLE 2: COST RANGE ESTIMATES</w:t>
      </w:r>
      <w:r w:rsidRPr="0078206D" w:rsidR="006145D2">
        <w:t xml:space="preserve"> FOR </w:t>
      </w:r>
      <w:r w:rsidRPr="0078206D" w:rsidR="002A2BF5">
        <w:t>PRIMARY</w:t>
      </w:r>
      <w:r w:rsidRPr="0078206D" w:rsidR="000631AF">
        <w:t xml:space="preserve"> </w:t>
      </w:r>
      <w:r w:rsidRPr="0078206D" w:rsidR="006145D2">
        <w:t>MANUFACTURER</w:t>
      </w:r>
    </w:p>
    <w:tbl>
      <w:tblPr>
        <w:tblW w:w="0" w:type="auto"/>
        <w:tblLayout w:type="fixed"/>
        <w:tblLook w:val="04A0"/>
      </w:tblPr>
      <w:tblGrid>
        <w:gridCol w:w="2055"/>
        <w:gridCol w:w="2490"/>
        <w:gridCol w:w="2490"/>
        <w:gridCol w:w="2280"/>
      </w:tblGrid>
      <w:tr w14:paraId="74B07BEA" w14:textId="77777777" w:rsidTr="00BC1EE4">
        <w:tblPrEx>
          <w:tblW w:w="0" w:type="auto"/>
          <w:tblLayout w:type="fixed"/>
          <w:tblLook w:val="04A0"/>
        </w:tblPrEx>
        <w:trPr>
          <w:trHeight w:val="390"/>
          <w:tblHeader/>
        </w:trPr>
        <w:tc>
          <w:tcPr>
            <w:tcW w:w="2055" w:type="dxa"/>
            <w:tcBorders>
              <w:top w:val="single" w:sz="6" w:space="0" w:color="auto"/>
              <w:left w:val="single" w:sz="6" w:space="0" w:color="auto"/>
              <w:bottom w:val="single" w:sz="6" w:space="0" w:color="auto"/>
              <w:right w:val="single" w:sz="6" w:space="0" w:color="auto"/>
            </w:tcBorders>
          </w:tcPr>
          <w:p w:rsidR="6B370752" w:rsidP="00F145AD" w14:paraId="46F174F4" w14:textId="3A3F888D">
            <w:pPr>
              <w:keepNext/>
              <w:jc w:val="center"/>
            </w:pPr>
          </w:p>
        </w:tc>
        <w:tc>
          <w:tcPr>
            <w:tcW w:w="2490" w:type="dxa"/>
            <w:tcBorders>
              <w:top w:val="single" w:sz="6" w:space="0" w:color="auto"/>
              <w:left w:val="single" w:sz="6" w:space="0" w:color="auto"/>
              <w:bottom w:val="single" w:sz="6" w:space="0" w:color="auto"/>
              <w:right w:val="single" w:sz="6" w:space="0" w:color="auto"/>
            </w:tcBorders>
          </w:tcPr>
          <w:p w:rsidR="6B370752" w:rsidP="00F145AD" w14:paraId="21FA9D81" w14:textId="17A9904F">
            <w:pPr>
              <w:keepNext/>
              <w:jc w:val="center"/>
            </w:pPr>
            <w:r w:rsidRPr="6B370752">
              <w:rPr>
                <w:b/>
                <w:bCs/>
              </w:rPr>
              <w:t xml:space="preserve">Hours per Respondent </w:t>
            </w:r>
          </w:p>
        </w:tc>
        <w:tc>
          <w:tcPr>
            <w:tcW w:w="2490" w:type="dxa"/>
            <w:tcBorders>
              <w:top w:val="single" w:sz="6" w:space="0" w:color="auto"/>
              <w:left w:val="single" w:sz="6" w:space="0" w:color="auto"/>
              <w:bottom w:val="single" w:sz="6" w:space="0" w:color="auto"/>
              <w:right w:val="single" w:sz="6" w:space="0" w:color="auto"/>
            </w:tcBorders>
          </w:tcPr>
          <w:p w:rsidR="6B370752" w:rsidP="00F145AD" w14:paraId="0A4B4363" w14:textId="31520F83">
            <w:pPr>
              <w:keepNext/>
              <w:jc w:val="center"/>
            </w:pPr>
            <w:r w:rsidRPr="6B370752">
              <w:rPr>
                <w:b/>
                <w:bCs/>
              </w:rPr>
              <w:t>Cost per Respondent</w:t>
            </w:r>
          </w:p>
        </w:tc>
        <w:tc>
          <w:tcPr>
            <w:tcW w:w="2280" w:type="dxa"/>
            <w:tcBorders>
              <w:top w:val="single" w:sz="6" w:space="0" w:color="auto"/>
              <w:left w:val="single" w:sz="6" w:space="0" w:color="auto"/>
              <w:bottom w:val="single" w:sz="6" w:space="0" w:color="auto"/>
              <w:right w:val="single" w:sz="6" w:space="0" w:color="auto"/>
            </w:tcBorders>
          </w:tcPr>
          <w:p w:rsidR="6B370752" w:rsidP="00F145AD" w14:paraId="522A7009" w14:textId="79FDACD3">
            <w:pPr>
              <w:keepNext/>
              <w:jc w:val="center"/>
            </w:pPr>
            <w:r w:rsidRPr="6B370752">
              <w:rPr>
                <w:b/>
                <w:bCs/>
              </w:rPr>
              <w:t>Total Cost</w:t>
            </w:r>
          </w:p>
        </w:tc>
      </w:tr>
      <w:tr w14:paraId="5B9FDF63" w14:textId="77777777" w:rsidTr="00BC1EE4">
        <w:tblPrEx>
          <w:tblW w:w="0" w:type="auto"/>
          <w:tblLayout w:type="fixed"/>
          <w:tblLook w:val="04A0"/>
        </w:tblPrEx>
        <w:trPr>
          <w:trHeight w:val="390"/>
          <w:tblHeader/>
        </w:trPr>
        <w:tc>
          <w:tcPr>
            <w:tcW w:w="2055" w:type="dxa"/>
            <w:tcBorders>
              <w:top w:val="single" w:sz="6" w:space="0" w:color="auto"/>
              <w:left w:val="single" w:sz="6" w:space="0" w:color="auto"/>
              <w:bottom w:val="single" w:sz="6" w:space="0" w:color="auto"/>
              <w:right w:val="single" w:sz="6" w:space="0" w:color="auto"/>
            </w:tcBorders>
          </w:tcPr>
          <w:p w:rsidR="004F0F06" w:rsidP="004F0F06" w14:paraId="4B85F7D2" w14:textId="33697913">
            <w:pPr>
              <w:jc w:val="center"/>
            </w:pPr>
            <w:r w:rsidRPr="6B370752">
              <w:t>Low</w:t>
            </w:r>
            <w:r>
              <w:t xml:space="preserve"> Estimate</w:t>
            </w:r>
          </w:p>
        </w:tc>
        <w:tc>
          <w:tcPr>
            <w:tcW w:w="2490" w:type="dxa"/>
            <w:tcBorders>
              <w:top w:val="single" w:sz="6" w:space="0" w:color="auto"/>
              <w:left w:val="single" w:sz="6" w:space="0" w:color="auto"/>
              <w:bottom w:val="single" w:sz="6" w:space="0" w:color="auto"/>
              <w:right w:val="single" w:sz="6" w:space="0" w:color="auto"/>
            </w:tcBorders>
            <w:vAlign w:val="center"/>
          </w:tcPr>
          <w:p w:rsidR="004F0F06" w:rsidP="004F0F06" w14:paraId="10B60419" w14:textId="713CB620">
            <w:pPr>
              <w:jc w:val="center"/>
            </w:pPr>
            <w:r>
              <w:rPr>
                <w:color w:val="000000"/>
              </w:rPr>
              <w:t>500</w:t>
            </w:r>
          </w:p>
        </w:tc>
        <w:tc>
          <w:tcPr>
            <w:tcW w:w="2490" w:type="dxa"/>
            <w:tcBorders>
              <w:top w:val="single" w:sz="6" w:space="0" w:color="auto"/>
              <w:left w:val="single" w:sz="6" w:space="0" w:color="auto"/>
              <w:bottom w:val="single" w:sz="6" w:space="0" w:color="auto"/>
              <w:right w:val="single" w:sz="6" w:space="0" w:color="auto"/>
            </w:tcBorders>
            <w:vAlign w:val="center"/>
          </w:tcPr>
          <w:p w:rsidR="004F0F06" w:rsidP="004F0F06" w14:paraId="0976B33B" w14:textId="19A702F2">
            <w:pPr>
              <w:jc w:val="center"/>
            </w:pPr>
            <w:r>
              <w:rPr>
                <w:color w:val="000000"/>
              </w:rPr>
              <w:t>$52,</w:t>
            </w:r>
            <w:r w:rsidR="000D4D84">
              <w:rPr>
                <w:color w:val="000000"/>
              </w:rPr>
              <w:t>562.32</w:t>
            </w:r>
            <w:r>
              <w:rPr>
                <w:color w:val="000000"/>
              </w:rPr>
              <w:t xml:space="preserve"> </w:t>
            </w:r>
          </w:p>
        </w:tc>
        <w:tc>
          <w:tcPr>
            <w:tcW w:w="2280" w:type="dxa"/>
            <w:tcBorders>
              <w:top w:val="single" w:sz="6" w:space="0" w:color="auto"/>
              <w:left w:val="single" w:sz="6" w:space="0" w:color="auto"/>
              <w:bottom w:val="single" w:sz="6" w:space="0" w:color="auto"/>
              <w:right w:val="single" w:sz="6" w:space="0" w:color="auto"/>
            </w:tcBorders>
            <w:vAlign w:val="center"/>
          </w:tcPr>
          <w:p w:rsidR="004F0F06" w:rsidP="004F0F06" w14:paraId="27435B91" w14:textId="3728CC97">
            <w:pPr>
              <w:jc w:val="center"/>
            </w:pPr>
            <w:r>
              <w:rPr>
                <w:color w:val="000000"/>
              </w:rPr>
              <w:t>$</w:t>
            </w:r>
            <w:r w:rsidR="000D4D84">
              <w:rPr>
                <w:color w:val="000000"/>
              </w:rPr>
              <w:t>788,434.80</w:t>
            </w:r>
            <w:r>
              <w:rPr>
                <w:color w:val="000000"/>
              </w:rPr>
              <w:t xml:space="preserve"> </w:t>
            </w:r>
          </w:p>
        </w:tc>
      </w:tr>
      <w:tr w14:paraId="5B6C6F67" w14:textId="77777777" w:rsidTr="00DA1923">
        <w:tblPrEx>
          <w:tblW w:w="0" w:type="auto"/>
          <w:tblLayout w:type="fixed"/>
          <w:tblLook w:val="04A0"/>
        </w:tblPrEx>
        <w:trPr>
          <w:trHeight w:val="426"/>
          <w:tblHeader/>
        </w:trPr>
        <w:tc>
          <w:tcPr>
            <w:tcW w:w="2055" w:type="dxa"/>
            <w:tcBorders>
              <w:top w:val="single" w:sz="6" w:space="0" w:color="auto"/>
              <w:left w:val="single" w:sz="6" w:space="0" w:color="auto"/>
              <w:bottom w:val="single" w:sz="6" w:space="0" w:color="auto"/>
              <w:right w:val="single" w:sz="6" w:space="0" w:color="auto"/>
            </w:tcBorders>
          </w:tcPr>
          <w:p w:rsidR="004F0F06" w:rsidRPr="6B370752" w:rsidP="004F0F06" w14:paraId="0A32C0E8" w14:textId="31B9CCB3">
            <w:pPr>
              <w:jc w:val="center"/>
            </w:pPr>
            <w:r>
              <w:t>Base Estimate (from Table 1)</w:t>
            </w:r>
          </w:p>
        </w:tc>
        <w:tc>
          <w:tcPr>
            <w:tcW w:w="2490" w:type="dxa"/>
            <w:tcBorders>
              <w:top w:val="single" w:sz="6" w:space="0" w:color="auto"/>
              <w:left w:val="single" w:sz="6" w:space="0" w:color="auto"/>
              <w:bottom w:val="single" w:sz="6" w:space="0" w:color="auto"/>
              <w:right w:val="single" w:sz="6" w:space="0" w:color="auto"/>
            </w:tcBorders>
            <w:vAlign w:val="center"/>
          </w:tcPr>
          <w:p w:rsidR="004F0F06" w:rsidRPr="6B370752" w:rsidP="004F0F06" w14:paraId="581F4864" w14:textId="71130847">
            <w:pPr>
              <w:jc w:val="center"/>
            </w:pPr>
            <w:r>
              <w:rPr>
                <w:color w:val="000000"/>
              </w:rPr>
              <w:t>1000</w:t>
            </w:r>
          </w:p>
        </w:tc>
        <w:tc>
          <w:tcPr>
            <w:tcW w:w="2490" w:type="dxa"/>
            <w:tcBorders>
              <w:top w:val="single" w:sz="6" w:space="0" w:color="auto"/>
              <w:left w:val="single" w:sz="6" w:space="0" w:color="auto"/>
              <w:bottom w:val="single" w:sz="6" w:space="0" w:color="auto"/>
              <w:right w:val="single" w:sz="6" w:space="0" w:color="auto"/>
            </w:tcBorders>
            <w:vAlign w:val="center"/>
          </w:tcPr>
          <w:p w:rsidR="004F0F06" w:rsidRPr="6B370752" w:rsidP="004F0F06" w14:paraId="43290270" w14:textId="333D8C0E">
            <w:pPr>
              <w:jc w:val="center"/>
            </w:pPr>
            <w:r>
              <w:rPr>
                <w:color w:val="000000"/>
              </w:rPr>
              <w:t>$</w:t>
            </w:r>
            <w:r w:rsidR="000D4D84">
              <w:rPr>
                <w:color w:val="000000"/>
              </w:rPr>
              <w:t>105,124.64</w:t>
            </w:r>
          </w:p>
        </w:tc>
        <w:tc>
          <w:tcPr>
            <w:tcW w:w="2280" w:type="dxa"/>
            <w:tcBorders>
              <w:top w:val="single" w:sz="6" w:space="0" w:color="auto"/>
              <w:left w:val="single" w:sz="6" w:space="0" w:color="auto"/>
              <w:bottom w:val="single" w:sz="6" w:space="0" w:color="auto"/>
              <w:right w:val="single" w:sz="6" w:space="0" w:color="auto"/>
            </w:tcBorders>
            <w:vAlign w:val="center"/>
          </w:tcPr>
          <w:p w:rsidR="004F0F06" w:rsidRPr="6B370752" w:rsidP="004F0F06" w14:paraId="174F61ED" w14:textId="5B32CEB3">
            <w:pPr>
              <w:jc w:val="center"/>
            </w:pPr>
            <w:r>
              <w:rPr>
                <w:color w:val="000000"/>
              </w:rPr>
              <w:t>$</w:t>
            </w:r>
            <w:r w:rsidR="000D4D84">
              <w:rPr>
                <w:color w:val="000000"/>
              </w:rPr>
              <w:t>1,576,869.60</w:t>
            </w:r>
          </w:p>
        </w:tc>
      </w:tr>
      <w:tr w14:paraId="4B84AFC9" w14:textId="77777777" w:rsidTr="00BC1EE4">
        <w:tblPrEx>
          <w:tblW w:w="0" w:type="auto"/>
          <w:tblLayout w:type="fixed"/>
          <w:tblLook w:val="04A0"/>
        </w:tblPrEx>
        <w:trPr>
          <w:trHeight w:val="360"/>
          <w:tblHeader/>
        </w:trPr>
        <w:tc>
          <w:tcPr>
            <w:tcW w:w="2055" w:type="dxa"/>
            <w:tcBorders>
              <w:top w:val="single" w:sz="6" w:space="0" w:color="auto"/>
              <w:left w:val="single" w:sz="6" w:space="0" w:color="auto"/>
              <w:bottom w:val="single" w:sz="6" w:space="0" w:color="auto"/>
              <w:right w:val="single" w:sz="6" w:space="0" w:color="auto"/>
            </w:tcBorders>
          </w:tcPr>
          <w:p w:rsidR="004F0F06" w:rsidP="004F0F06" w14:paraId="1D66F14A" w14:textId="3044A756">
            <w:pPr>
              <w:jc w:val="center"/>
            </w:pPr>
            <w:r w:rsidRPr="6B370752">
              <w:t>High</w:t>
            </w:r>
            <w:r>
              <w:t xml:space="preserve"> Estimate</w:t>
            </w:r>
          </w:p>
        </w:tc>
        <w:tc>
          <w:tcPr>
            <w:tcW w:w="2490" w:type="dxa"/>
            <w:tcBorders>
              <w:top w:val="single" w:sz="6" w:space="0" w:color="auto"/>
              <w:left w:val="single" w:sz="6" w:space="0" w:color="auto"/>
              <w:bottom w:val="single" w:sz="6" w:space="0" w:color="auto"/>
              <w:right w:val="single" w:sz="6" w:space="0" w:color="auto"/>
            </w:tcBorders>
            <w:vAlign w:val="center"/>
          </w:tcPr>
          <w:p w:rsidR="004F0F06" w:rsidP="004F0F06" w14:paraId="51B6CE01" w14:textId="003C9664">
            <w:pPr>
              <w:jc w:val="center"/>
            </w:pPr>
            <w:r>
              <w:rPr>
                <w:color w:val="000000"/>
              </w:rPr>
              <w:t>2,000</w:t>
            </w:r>
          </w:p>
        </w:tc>
        <w:tc>
          <w:tcPr>
            <w:tcW w:w="2490" w:type="dxa"/>
            <w:tcBorders>
              <w:top w:val="single" w:sz="6" w:space="0" w:color="auto"/>
              <w:left w:val="single" w:sz="6" w:space="0" w:color="auto"/>
              <w:bottom w:val="single" w:sz="6" w:space="0" w:color="auto"/>
              <w:right w:val="single" w:sz="6" w:space="0" w:color="auto"/>
            </w:tcBorders>
            <w:vAlign w:val="center"/>
          </w:tcPr>
          <w:p w:rsidR="004F0F06" w:rsidP="004F0F06" w14:paraId="1562A108" w14:textId="47308C28">
            <w:pPr>
              <w:jc w:val="center"/>
            </w:pPr>
            <w:r>
              <w:rPr>
                <w:color w:val="000000"/>
              </w:rPr>
              <w:t>$210,</w:t>
            </w:r>
            <w:r w:rsidR="000D4D84">
              <w:rPr>
                <w:color w:val="000000"/>
              </w:rPr>
              <w:t>249.28</w:t>
            </w:r>
            <w:r>
              <w:rPr>
                <w:color w:val="000000"/>
              </w:rPr>
              <w:t xml:space="preserve"> </w:t>
            </w:r>
          </w:p>
        </w:tc>
        <w:tc>
          <w:tcPr>
            <w:tcW w:w="2280" w:type="dxa"/>
            <w:tcBorders>
              <w:top w:val="single" w:sz="6" w:space="0" w:color="auto"/>
              <w:left w:val="single" w:sz="6" w:space="0" w:color="auto"/>
              <w:bottom w:val="single" w:sz="6" w:space="0" w:color="auto"/>
              <w:right w:val="single" w:sz="6" w:space="0" w:color="auto"/>
            </w:tcBorders>
            <w:vAlign w:val="center"/>
          </w:tcPr>
          <w:p w:rsidR="004F0F06" w:rsidP="004F0F06" w14:paraId="6E7148F6" w14:textId="2C7DC049">
            <w:pPr>
              <w:jc w:val="center"/>
            </w:pPr>
            <w:r>
              <w:rPr>
                <w:color w:val="000000"/>
              </w:rPr>
              <w:t>$3,</w:t>
            </w:r>
            <w:r w:rsidR="000D4D84">
              <w:rPr>
                <w:color w:val="000000"/>
              </w:rPr>
              <w:t>153,739.20</w:t>
            </w:r>
            <w:r>
              <w:rPr>
                <w:color w:val="000000"/>
              </w:rPr>
              <w:t xml:space="preserve"> </w:t>
            </w:r>
          </w:p>
        </w:tc>
      </w:tr>
    </w:tbl>
    <w:p w:rsidR="6B370752" w:rsidP="6B370752" w14:paraId="1BDE3576" w14:textId="3BBD4E8A">
      <w:pPr>
        <w:rPr>
          <w:color w:val="000000" w:themeColor="text1"/>
        </w:rPr>
      </w:pPr>
    </w:p>
    <w:p w:rsidR="00AB63AE" w:rsidRPr="00D45546" w:rsidP="00AB63AE" w14:paraId="3F0EB870" w14:textId="6FFE6F77">
      <w:r>
        <w:rPr>
          <w:i/>
          <w:iCs/>
        </w:rPr>
        <w:t xml:space="preserve">Selected Drugs for Renegotiation: </w:t>
      </w:r>
      <w:r w:rsidRPr="6B370752">
        <w:t xml:space="preserve">CMS </w:t>
      </w:r>
      <w:r>
        <w:t>anticipates</w:t>
      </w:r>
      <w:r w:rsidRPr="6B370752">
        <w:t xml:space="preserve"> collecting </w:t>
      </w:r>
      <w:r w:rsidR="00EB4A8B">
        <w:t xml:space="preserve">a subset of the </w:t>
      </w:r>
      <w:r w:rsidRPr="6B370752">
        <w:t>data</w:t>
      </w:r>
      <w:r>
        <w:t xml:space="preserve"> in response to Sections A through J </w:t>
      </w:r>
      <w:r w:rsidR="00EB4A8B">
        <w:t xml:space="preserve">of this ICR </w:t>
      </w:r>
      <w:r>
        <w:t>from a Primary Manufacturer</w:t>
      </w:r>
      <w:r w:rsidRPr="6B370752">
        <w:t xml:space="preserve"> for </w:t>
      </w:r>
      <w:r w:rsidR="00595BB3">
        <w:t xml:space="preserve">a maximum of </w:t>
      </w:r>
      <w:r>
        <w:t>25</w:t>
      </w:r>
      <w:r w:rsidRPr="4D085A28">
        <w:t xml:space="preserve"> </w:t>
      </w:r>
      <w:r>
        <w:t>selected drugs for initial price applicability year 2028 for renegotiation, which will be collected in 2026</w:t>
      </w:r>
      <w:r w:rsidRPr="4D085A28">
        <w:t>.</w:t>
      </w:r>
      <w:r>
        <w:t xml:space="preserve"> </w:t>
      </w:r>
      <w:r w:rsidRPr="00A6488D" w:rsidR="00DC0285">
        <w:t>For drugs without a change in monopoly status, CMS does not expect that it would be likely that renegotiation would result in a significant change to the agreed-upon MFP for drugs selected for initial price applicability years 2026 and 2027, except in unanticipated or unusual circumstances. As such, CMS anticipates that fewer than 25 drugs will be selected for renegotiation, but CMS cannot provide definitive assumptions about how many drugs may be selected for renegotiation.</w:t>
      </w:r>
      <w:r w:rsidRPr="00DC0285" w:rsidR="00DC0285">
        <w:t xml:space="preserve"> </w:t>
      </w:r>
      <w:r>
        <w:t>The</w:t>
      </w:r>
      <w:r w:rsidRPr="6B370752">
        <w:t xml:space="preserve"> collection of th</w:t>
      </w:r>
      <w:r>
        <w:t>ese</w:t>
      </w:r>
      <w:r w:rsidRPr="6B370752">
        <w:t xml:space="preserve"> data will be a one-time cost for each </w:t>
      </w:r>
      <w:r>
        <w:t xml:space="preserve">selected </w:t>
      </w:r>
      <w:r w:rsidRPr="6B370752">
        <w:t>drug</w:t>
      </w:r>
      <w:r>
        <w:t xml:space="preserve"> and</w:t>
      </w:r>
      <w:r w:rsidRPr="4D085A28">
        <w:t xml:space="preserve"> </w:t>
      </w:r>
      <w:r w:rsidRPr="6B370752">
        <w:t>CMS assumes each</w:t>
      </w:r>
      <w:r w:rsidRPr="4D085A28">
        <w:t xml:space="preserve"> </w:t>
      </w:r>
      <w:r>
        <w:t>Primary</w:t>
      </w:r>
      <w:r w:rsidRPr="4D085A28">
        <w:t xml:space="preserve"> </w:t>
      </w:r>
      <w:r>
        <w:t>M</w:t>
      </w:r>
      <w:r w:rsidRPr="6B370752">
        <w:t xml:space="preserve">anufacturer </w:t>
      </w:r>
      <w:r w:rsidRPr="6B370752" w:rsidR="001E0404">
        <w:t>will spend</w:t>
      </w:r>
      <w:r w:rsidRPr="6B370752">
        <w:t xml:space="preserve"> on </w:t>
      </w:r>
      <w:r w:rsidRPr="6B370752">
        <w:t>average,</w:t>
      </w:r>
      <w:r w:rsidRPr="6B370752">
        <w:t xml:space="preserve"> the same amount of time </w:t>
      </w:r>
      <w:r w:rsidRPr="6B370752">
        <w:t>to collect</w:t>
      </w:r>
      <w:r w:rsidRPr="6B370752">
        <w:t xml:space="preserve">, aggregate, </w:t>
      </w:r>
      <w:r w:rsidRPr="6B370752">
        <w:t>analyze</w:t>
      </w:r>
      <w:r w:rsidRPr="6B370752">
        <w:t xml:space="preserve">, and </w:t>
      </w:r>
      <w:r w:rsidRPr="6B370752">
        <w:t>report</w:t>
      </w:r>
      <w:r w:rsidRPr="6B370752">
        <w:t xml:space="preserve"> the data</w:t>
      </w:r>
      <w:r>
        <w:t xml:space="preserve"> for a selected drug</w:t>
      </w:r>
      <w:r w:rsidRPr="4D085A28">
        <w:t xml:space="preserve">. </w:t>
      </w:r>
      <w:r>
        <w:t>While</w:t>
      </w:r>
      <w:r w:rsidRPr="4D085A28">
        <w:t xml:space="preserve"> </w:t>
      </w:r>
      <w:r>
        <w:t>a Primary</w:t>
      </w:r>
      <w:r w:rsidRPr="4D085A28">
        <w:t xml:space="preserve"> </w:t>
      </w:r>
      <w:r>
        <w:t>M</w:t>
      </w:r>
      <w:r w:rsidRPr="6B370752">
        <w:t xml:space="preserve">anufacturer may have multiple </w:t>
      </w:r>
      <w:r>
        <w:t xml:space="preserve">selected </w:t>
      </w:r>
      <w:r w:rsidRPr="6B370752">
        <w:t>drugs, CMS assumes th</w:t>
      </w:r>
      <w:r>
        <w:t>at a Primary</w:t>
      </w:r>
      <w:r w:rsidRPr="4D085A28">
        <w:t xml:space="preserve"> </w:t>
      </w:r>
      <w:r>
        <w:t>M</w:t>
      </w:r>
      <w:r w:rsidRPr="6B370752">
        <w:t xml:space="preserve">anufacturer would require the same time and effort to submit data for each selected drug. </w:t>
      </w:r>
      <w:r>
        <w:t xml:space="preserve">The Primary Manufacturer must also gather and submit the data required under the Act on behalf of </w:t>
      </w:r>
      <w:r w:rsidR="00495C4F">
        <w:t>any</w:t>
      </w:r>
      <w:r>
        <w:t xml:space="preserve"> Secondary Manufacturer</w:t>
      </w:r>
      <w:r w:rsidR="00495C4F">
        <w:t>(s)</w:t>
      </w:r>
      <w:r>
        <w:rPr>
          <w:rStyle w:val="FootnoteReference"/>
        </w:rPr>
        <w:footnoteReference w:id="18"/>
      </w:r>
      <w:r>
        <w:t xml:space="preserve"> of a selected drug, if applicable</w:t>
      </w:r>
      <w:r w:rsidRPr="4D085A28">
        <w:t>.</w:t>
      </w:r>
    </w:p>
    <w:p w:rsidR="00AB63AE" w:rsidP="00AB63AE" w14:paraId="32C68039" w14:textId="1D91B572">
      <w:r>
        <w:t>CMS assumes a lower burden for</w:t>
      </w:r>
      <w:r w:rsidR="004739E4">
        <w:t xml:space="preserve"> data submissions for</w:t>
      </w:r>
      <w:r>
        <w:t xml:space="preserve"> drugs selected for renegotiation relative to the original submission of data for negotiation because Primary Manufacturers will need to report only new data for a short period of time in response to this ICR. For example, the Primary Manufacturer will </w:t>
      </w:r>
      <w:r w:rsidR="00DC0285">
        <w:t xml:space="preserve">only </w:t>
      </w:r>
      <w:r>
        <w:t xml:space="preserve">need to complete Section B for drugs payable under Part B, if applicable, and the Primary Manufacturer will </w:t>
      </w:r>
      <w:r w:rsidR="00DC0285">
        <w:t xml:space="preserve">only </w:t>
      </w:r>
      <w:r>
        <w:t xml:space="preserve">need to provide new data in Sections C, E and F for a limited </w:t>
      </w:r>
      <w:r>
        <w:t>time period</w:t>
      </w:r>
      <w:r>
        <w:t xml:space="preserve">, if applicable. All Primary Manufacturers of drugs selected for </w:t>
      </w:r>
      <w:r w:rsidR="003044E2">
        <w:t>renegotiation</w:t>
      </w:r>
      <w:r>
        <w:t xml:space="preserve"> will need to provide data in response to Section G, but for a shorter </w:t>
      </w:r>
      <w:r>
        <w:t>period of time</w:t>
      </w:r>
      <w:r>
        <w:t xml:space="preserve"> compared to the original submission. </w:t>
      </w:r>
      <w:r w:rsidRPr="6B370752">
        <w:t xml:space="preserve">CMS estimates it will take a business operations specialist or team of business operations specialists, on average, </w:t>
      </w:r>
      <w:r w:rsidR="00303653">
        <w:t>15</w:t>
      </w:r>
      <w:r>
        <w:t>0</w:t>
      </w:r>
      <w:r w:rsidRPr="7C2D0501">
        <w:t xml:space="preserve"> </w:t>
      </w:r>
      <w:r w:rsidRPr="6B370752">
        <w:t xml:space="preserve">hours, at a cost of </w:t>
      </w:r>
      <w:r w:rsidRPr="005F4DEA">
        <w:t>$</w:t>
      </w:r>
      <w:r w:rsidR="006B5FE9">
        <w:t>93.10</w:t>
      </w:r>
      <w:r w:rsidRPr="6B370752">
        <w:t xml:space="preserve"> per hour, to gather cost data and compile required information, as specified in the data elements instructions, such as </w:t>
      </w:r>
      <w:r w:rsidR="00FD0E77">
        <w:t xml:space="preserve">new </w:t>
      </w:r>
      <w:r w:rsidRPr="6B370752">
        <w:t>data on prior Federal financial support, pending and approved patent applications, exclusivities recognized by the FDA and applications and approvals, and market data,</w:t>
      </w:r>
      <w:r>
        <w:t xml:space="preserve"> and</w:t>
      </w:r>
      <w:r w:rsidRPr="6B370752">
        <w:t xml:space="preserve"> revenue and sales volume data. After the relevant data ha</w:t>
      </w:r>
      <w:r>
        <w:t>ve</w:t>
      </w:r>
      <w:r w:rsidRPr="6B370752">
        <w:t xml:space="preserve"> been gathered and compiled, it is estimated that it will take an economist or team of economists, on average, </w:t>
      </w:r>
      <w:r w:rsidR="0016675B">
        <w:t>45</w:t>
      </w:r>
      <w:r>
        <w:t>0</w:t>
      </w:r>
      <w:r w:rsidRPr="7C2D0501">
        <w:t xml:space="preserve"> </w:t>
      </w:r>
      <w:r w:rsidRPr="6B370752">
        <w:t>hours, at a cost of $</w:t>
      </w:r>
      <w:r>
        <w:t>111.</w:t>
      </w:r>
      <w:r w:rsidR="006B5FE9">
        <w:t>00</w:t>
      </w:r>
      <w:r w:rsidRPr="6B370752">
        <w:t xml:space="preserve"> per hour, to perform necessary economic analyses, including</w:t>
      </w:r>
      <w:r w:rsidR="009F539B">
        <w:t xml:space="preserve"> of</w:t>
      </w:r>
      <w:r w:rsidRPr="6B370752">
        <w:t xml:space="preserve"> </w:t>
      </w:r>
      <w:r w:rsidR="008312A7">
        <w:t>new</w:t>
      </w:r>
      <w:r w:rsidRPr="6B370752" w:rsidR="008312A7">
        <w:t xml:space="preserve"> </w:t>
      </w:r>
      <w:r>
        <w:t>R&amp;D</w:t>
      </w:r>
      <w:r w:rsidRPr="6B370752">
        <w:t xml:space="preserve"> costs of the manufacturer for the drug and the extent to which the manufacturer has recouped </w:t>
      </w:r>
      <w:r w:rsidR="008312A7">
        <w:t>those</w:t>
      </w:r>
      <w:r w:rsidRPr="7C2D0501">
        <w:t xml:space="preserve"> </w:t>
      </w:r>
      <w:r w:rsidRPr="6B370752">
        <w:t>costs, the selected drug’s cost of production and distribution, and other data elements specified in the data element instructions</w:t>
      </w:r>
      <w:r w:rsidRPr="7C2D0501">
        <w:t xml:space="preserve">. </w:t>
      </w:r>
      <w:r>
        <w:t>Although submitting evidence about therapeutic alternatives is optional, this burden estimate assumes that all Primary</w:t>
      </w:r>
      <w:r w:rsidRPr="7C2D0501">
        <w:t xml:space="preserve"> </w:t>
      </w:r>
      <w:r>
        <w:t>Manufacturers will choose to perform analyses related to</w:t>
      </w:r>
      <w:r w:rsidR="0083139D">
        <w:t xml:space="preserve"> new information on</w:t>
      </w:r>
      <w:r w:rsidRPr="6B370752">
        <w:t xml:space="preserve"> therapeutic advances </w:t>
      </w:r>
      <w:r>
        <w:t>conferred</w:t>
      </w:r>
      <w:r w:rsidRPr="7C2D0501">
        <w:t xml:space="preserve"> </w:t>
      </w:r>
      <w:r w:rsidRPr="6B370752">
        <w:t xml:space="preserve">by the </w:t>
      </w:r>
      <w:r>
        <w:t xml:space="preserve">selected </w:t>
      </w:r>
      <w:r w:rsidRPr="6B370752">
        <w:t>drug</w:t>
      </w:r>
      <w:r w:rsidRPr="7C2D0501">
        <w:t xml:space="preserve">, </w:t>
      </w:r>
      <w:r>
        <w:t>the</w:t>
      </w:r>
      <w:r w:rsidRPr="7C2D0501">
        <w:t xml:space="preserve"> </w:t>
      </w:r>
      <w:r w:rsidRPr="6B370752">
        <w:t>costs of existing alternative</w:t>
      </w:r>
      <w:r>
        <w:t>s, unmet medical need, and comparative effectiveness.</w:t>
      </w:r>
      <w:r w:rsidRPr="7C2D0501">
        <w:t xml:space="preserve"> </w:t>
      </w:r>
    </w:p>
    <w:p w:rsidR="00AB63AE" w:rsidP="00AB63AE" w14:paraId="0431D4E4" w14:textId="47CC8D00">
      <w:pPr>
        <w:rPr>
          <w:rStyle w:val="normaltextrun"/>
          <w:color w:val="000000"/>
          <w:shd w:val="clear" w:color="auto" w:fill="FFFFFF"/>
        </w:rPr>
      </w:pPr>
      <w:r w:rsidRPr="6B370752">
        <w:t xml:space="preserve">Once these analyses are performed, CMS estimates that it will take a financial manager, on average, </w:t>
      </w:r>
      <w:r w:rsidR="0016675B">
        <w:t>37.5</w:t>
      </w:r>
      <w:r w:rsidRPr="6B370752">
        <w:t xml:space="preserve"> hours, at a cost </w:t>
      </w:r>
      <w:r w:rsidRPr="005F4DEA">
        <w:t>of $</w:t>
      </w:r>
      <w:r>
        <w:t>17</w:t>
      </w:r>
      <w:r w:rsidR="006B5FE9">
        <w:t>2</w:t>
      </w:r>
      <w:r>
        <w:t>.</w:t>
      </w:r>
      <w:r w:rsidR="006B5FE9">
        <w:t>66</w:t>
      </w:r>
      <w:r w:rsidRPr="4D085A28">
        <w:t xml:space="preserve"> </w:t>
      </w:r>
      <w:r w:rsidRPr="005F4DEA">
        <w:t>per</w:t>
      </w:r>
      <w:r w:rsidRPr="4D085A28">
        <w:t xml:space="preserve"> </w:t>
      </w:r>
      <w:r w:rsidRPr="6B370752">
        <w:t>hour</w:t>
      </w:r>
      <w:r w:rsidRPr="4D085A28">
        <w:t>,</w:t>
      </w:r>
      <w:r w:rsidRPr="6B370752">
        <w:t xml:space="preserve"> to review the results of all the analys</w:t>
      </w:r>
      <w:r>
        <w:t>e</w:t>
      </w:r>
      <w:r w:rsidRPr="6B370752">
        <w:t xml:space="preserve">s and cost estimates prior to submission to CMS. </w:t>
      </w:r>
      <w:r>
        <w:rPr>
          <w:rStyle w:val="normaltextrun"/>
          <w:color w:val="000000"/>
          <w:shd w:val="clear" w:color="auto" w:fill="FFFFFF"/>
        </w:rPr>
        <w:t xml:space="preserve">CMS estimates it will take a lawyer </w:t>
      </w:r>
      <w:r w:rsidR="00F03F3E">
        <w:rPr>
          <w:rStyle w:val="normaltextrun"/>
          <w:color w:val="000000"/>
          <w:shd w:val="clear" w:color="auto" w:fill="FFFFFF"/>
        </w:rPr>
        <w:t>3</w:t>
      </w:r>
      <w:r>
        <w:rPr>
          <w:rStyle w:val="normaltextrun"/>
          <w:color w:val="000000"/>
          <w:shd w:val="clear" w:color="auto" w:fill="FFFFFF"/>
        </w:rPr>
        <w:t> hour</w:t>
      </w:r>
      <w:r w:rsidR="00F03F3E">
        <w:rPr>
          <w:rStyle w:val="normaltextrun"/>
          <w:color w:val="000000"/>
          <w:shd w:val="clear" w:color="auto" w:fill="FFFFFF"/>
        </w:rPr>
        <w:t>s</w:t>
      </w:r>
      <w:r>
        <w:rPr>
          <w:rStyle w:val="normaltextrun"/>
          <w:color w:val="000000"/>
          <w:shd w:val="clear" w:color="auto" w:fill="FFFFFF"/>
        </w:rPr>
        <w:t>, on average, at $230.00 per hour, to review the compiled data submission.</w:t>
      </w:r>
    </w:p>
    <w:p w:rsidR="00AB63AE" w:rsidP="00AB63AE" w14:paraId="06C0DB90" w14:textId="702B97F8">
      <w:r w:rsidRPr="6B370752">
        <w:t xml:space="preserve">CMS estimates that it will take a cost estimator, on average, </w:t>
      </w:r>
      <w:r>
        <w:t>1</w:t>
      </w:r>
      <w:r w:rsidR="0016675B">
        <w:t>06.5</w:t>
      </w:r>
      <w:r w:rsidRPr="6B370752">
        <w:t xml:space="preserve"> hours, at a cost of $</w:t>
      </w:r>
      <w:r w:rsidR="006F6A69">
        <w:t>66</w:t>
      </w:r>
      <w:r>
        <w:t>.</w:t>
      </w:r>
      <w:r w:rsidR="006F6A69">
        <w:t>42</w:t>
      </w:r>
      <w:r w:rsidRPr="6B370752">
        <w:t xml:space="preserve"> per hour, to compile and report the required data to CMS, per the data element</w:t>
      </w:r>
      <w:r>
        <w:t xml:space="preserve"> form</w:t>
      </w:r>
      <w:r w:rsidRPr="6B370752">
        <w:t xml:space="preserve"> instructions. </w:t>
      </w:r>
    </w:p>
    <w:p w:rsidR="00AB63AE" w:rsidP="00AB63AE" w14:paraId="2FB3E7A6" w14:textId="61AF5888">
      <w:r>
        <w:rPr>
          <w:rStyle w:val="normaltextrun"/>
          <w:color w:val="000000"/>
          <w:shd w:val="clear" w:color="auto" w:fill="FFFFFF"/>
        </w:rPr>
        <w:t>Finally, CMS estimates that it will take a CEO, on average, </w:t>
      </w:r>
      <w:r w:rsidR="00F03F3E">
        <w:rPr>
          <w:rStyle w:val="normaltextrun"/>
          <w:color w:val="000000"/>
          <w:shd w:val="clear" w:color="auto" w:fill="FFFFFF"/>
        </w:rPr>
        <w:t>3</w:t>
      </w:r>
      <w:r>
        <w:rPr>
          <w:rStyle w:val="normaltextrun"/>
          <w:color w:val="000000"/>
          <w:shd w:val="clear" w:color="auto" w:fill="FFFFFF"/>
        </w:rPr>
        <w:t> hour</w:t>
      </w:r>
      <w:r w:rsidR="00F03F3E">
        <w:rPr>
          <w:rStyle w:val="normaltextrun"/>
          <w:color w:val="000000"/>
          <w:shd w:val="clear" w:color="auto" w:fill="FFFFFF"/>
        </w:rPr>
        <w:t>s</w:t>
      </w:r>
      <w:r>
        <w:rPr>
          <w:rStyle w:val="normaltextrun"/>
          <w:color w:val="000000"/>
          <w:shd w:val="clear" w:color="auto" w:fill="FFFFFF"/>
        </w:rPr>
        <w:t>, at $230.00 per hour, to review the data submission and log in to the CMS HPMS to certify the submission. Certification must be done by (1) the CEO, (2) the CFO, (3) an individual other than a CEO or CFO, who has authority equivalent to a CEO or a CFO, or (4) an individual with the directly delegated authority to perform the certification on behalf of one of the individuals mentioned in (1) through (3).</w:t>
      </w:r>
      <w:r>
        <w:rPr>
          <w:rStyle w:val="eop"/>
          <w:color w:val="000000"/>
          <w:shd w:val="clear" w:color="auto" w:fill="FFFFFF"/>
        </w:rPr>
        <w:t> </w:t>
      </w:r>
    </w:p>
    <w:p w:rsidR="00AB63AE" w:rsidRPr="00D45546" w:rsidP="00AB63AE" w14:paraId="23CA97F5" w14:textId="355F078D">
      <w:r w:rsidRPr="6B370752">
        <w:t xml:space="preserve">The cost estimates for one-time costs are presented in Table </w:t>
      </w:r>
      <w:r w:rsidR="00A6488D">
        <w:t>3</w:t>
      </w:r>
      <w:r w:rsidRPr="6B370752">
        <w:t xml:space="preserve">. The estimate yields a total burden of </w:t>
      </w:r>
      <w:r>
        <w:t>1</w:t>
      </w:r>
      <w:r w:rsidR="0016675B">
        <w:t>8</w:t>
      </w:r>
      <w:r>
        <w:t>,</w:t>
      </w:r>
      <w:r w:rsidR="0016675B">
        <w:t>75</w:t>
      </w:r>
      <w:r>
        <w:t>0</w:t>
      </w:r>
      <w:r w:rsidRPr="6B370752">
        <w:t xml:space="preserve"> hours (</w:t>
      </w:r>
      <w:r w:rsidR="0016675B">
        <w:t>75</w:t>
      </w:r>
      <w:r>
        <w:t xml:space="preserve">0 </w:t>
      </w:r>
      <w:r w:rsidRPr="6B370752">
        <w:t>hrs.</w:t>
      </w:r>
      <w:r>
        <w:t xml:space="preserve"> per Primary</w:t>
      </w:r>
      <w:r w:rsidRPr="7C2D0501">
        <w:t xml:space="preserve"> </w:t>
      </w:r>
      <w:r>
        <w:t>Manufacturer per selected drug</w:t>
      </w:r>
      <w:r w:rsidRPr="7C2D0501">
        <w:t xml:space="preserve"> * </w:t>
      </w:r>
      <w:r w:rsidR="0016675B">
        <w:t>2</w:t>
      </w:r>
      <w:r>
        <w:t>5</w:t>
      </w:r>
      <w:r w:rsidRPr="7C2D0501">
        <w:t xml:space="preserve"> </w:t>
      </w:r>
      <w:r>
        <w:t>selected drugs</w:t>
      </w:r>
      <w:r w:rsidRPr="6B370752">
        <w:t xml:space="preserve">) and total cost </w:t>
      </w:r>
      <w:r>
        <w:t xml:space="preserve">of </w:t>
      </w:r>
      <w:r w:rsidR="00167E0A">
        <w:t>$1,</w:t>
      </w:r>
      <w:r w:rsidR="004718A9">
        <w:t>971,087.00</w:t>
      </w:r>
      <w:r>
        <w:t xml:space="preserve"> </w:t>
      </w:r>
      <w:r w:rsidR="004863CD">
        <w:t xml:space="preserve">if a maximum of </w:t>
      </w:r>
      <w:r w:rsidR="0016675B">
        <w:t>2</w:t>
      </w:r>
      <w:r>
        <w:t>5 selected drugs</w:t>
      </w:r>
      <w:r w:rsidR="006C3777">
        <w:t xml:space="preserve"> </w:t>
      </w:r>
      <w:r w:rsidR="006C3777">
        <w:t>are</w:t>
      </w:r>
      <w:r w:rsidR="006C3777">
        <w:t xml:space="preserve"> selected for renegotiation</w:t>
      </w:r>
      <w:r>
        <w:t xml:space="preserve"> </w:t>
      </w:r>
      <w:r w:rsidRPr="6B370752">
        <w:t>(</w:t>
      </w:r>
      <w:r w:rsidR="00167E0A">
        <w:t>$</w:t>
      </w:r>
      <w:r w:rsidR="004718A9">
        <w:t>78,843.48</w:t>
      </w:r>
      <w:r w:rsidR="00167E0A">
        <w:t xml:space="preserve"> </w:t>
      </w:r>
      <w:r w:rsidRPr="6B370752">
        <w:t>per respondent</w:t>
      </w:r>
      <w:r>
        <w:t xml:space="preserve"> per selected drug</w:t>
      </w:r>
      <w:r w:rsidRPr="7C2D0501">
        <w:t xml:space="preserve"> * </w:t>
      </w:r>
      <w:r w:rsidR="0016675B">
        <w:t>2</w:t>
      </w:r>
      <w:r>
        <w:t>5</w:t>
      </w:r>
      <w:r w:rsidRPr="7C2D0501">
        <w:t xml:space="preserve"> </w:t>
      </w:r>
      <w:r>
        <w:t>selected drugs</w:t>
      </w:r>
      <w:r w:rsidRPr="7C2D0501">
        <w:t xml:space="preserve">). </w:t>
      </w:r>
    </w:p>
    <w:p w:rsidR="00AB63AE" w:rsidRPr="0078206D" w:rsidP="00AB63AE" w14:paraId="2E3464E0" w14:textId="5D1A7A2E">
      <w:pPr>
        <w:pStyle w:val="Heading4"/>
      </w:pPr>
      <w:r w:rsidRPr="0078206D">
        <w:t xml:space="preserve">TABLE </w:t>
      </w:r>
      <w:r w:rsidR="007F48A5">
        <w:t>3</w:t>
      </w:r>
      <w:r w:rsidRPr="0078206D">
        <w:t xml:space="preserve">: SUMMARY OF INFORMATION COLLECTION REQUEST BURDEN FOR </w:t>
      </w:r>
      <w:r w:rsidR="00534252">
        <w:t>UP TO 2</w:t>
      </w:r>
      <w:r w:rsidRPr="0078206D">
        <w:t>5 SELECTED DRUGS FOR INITIAL PRICE APPLICABILITY YEAR 202</w:t>
      </w:r>
      <w:r>
        <w:t>8</w:t>
      </w:r>
    </w:p>
    <w:tbl>
      <w:tblPr>
        <w:tblStyle w:val="TableGrid"/>
        <w:tblW w:w="9535" w:type="dxa"/>
        <w:tblLayout w:type="fixed"/>
        <w:tblLook w:val="04A0"/>
      </w:tblPr>
      <w:tblGrid>
        <w:gridCol w:w="1975"/>
        <w:gridCol w:w="1080"/>
        <w:gridCol w:w="1080"/>
        <w:gridCol w:w="990"/>
        <w:gridCol w:w="1530"/>
        <w:gridCol w:w="1216"/>
        <w:gridCol w:w="1664"/>
      </w:tblGrid>
      <w:tr w14:paraId="496B2FDF" w14:textId="77777777" w:rsidTr="000817E8">
        <w:tblPrEx>
          <w:tblW w:w="9535" w:type="dxa"/>
          <w:tblLayout w:type="fixed"/>
          <w:tblLook w:val="04A0"/>
        </w:tblPrEx>
        <w:trPr>
          <w:tblHeader/>
        </w:trPr>
        <w:tc>
          <w:tcPr>
            <w:tcW w:w="1975" w:type="dxa"/>
            <w:vAlign w:val="center"/>
          </w:tcPr>
          <w:p w:rsidR="00AB63AE" w:rsidP="000817E8" w14:paraId="2B0EBB2B" w14:textId="77777777">
            <w:pPr>
              <w:keepNext/>
              <w:jc w:val="center"/>
            </w:pPr>
            <w:r w:rsidRPr="6B370752">
              <w:rPr>
                <w:b/>
                <w:bCs/>
              </w:rPr>
              <w:t>Occupation Title</w:t>
            </w:r>
          </w:p>
        </w:tc>
        <w:tc>
          <w:tcPr>
            <w:tcW w:w="1080" w:type="dxa"/>
            <w:vAlign w:val="center"/>
          </w:tcPr>
          <w:p w:rsidR="00AB63AE" w:rsidP="000817E8" w14:paraId="6F2F39A2" w14:textId="77777777">
            <w:pPr>
              <w:keepNext/>
              <w:jc w:val="center"/>
            </w:pPr>
            <w:r w:rsidRPr="6B370752">
              <w:rPr>
                <w:b/>
                <w:bCs/>
              </w:rPr>
              <w:t>Me</w:t>
            </w:r>
            <w:r>
              <w:rPr>
                <w:b/>
                <w:bCs/>
              </w:rPr>
              <w:t>dian</w:t>
            </w:r>
            <w:r w:rsidRPr="6B370752">
              <w:rPr>
                <w:b/>
                <w:bCs/>
              </w:rPr>
              <w:t xml:space="preserve"> Hourly Wage</w:t>
            </w:r>
          </w:p>
        </w:tc>
        <w:tc>
          <w:tcPr>
            <w:tcW w:w="1080" w:type="dxa"/>
            <w:vAlign w:val="center"/>
          </w:tcPr>
          <w:p w:rsidR="00AB63AE" w:rsidP="000817E8" w14:paraId="01C2F3F7" w14:textId="77777777">
            <w:pPr>
              <w:keepNext/>
              <w:jc w:val="center"/>
            </w:pPr>
            <w:r w:rsidRPr="6B370752">
              <w:rPr>
                <w:b/>
                <w:bCs/>
              </w:rPr>
              <w:t>Cost per hour</w:t>
            </w:r>
            <w:r>
              <w:rPr>
                <w:b/>
                <w:bCs/>
              </w:rPr>
              <w:t>*</w:t>
            </w:r>
          </w:p>
        </w:tc>
        <w:tc>
          <w:tcPr>
            <w:tcW w:w="990" w:type="dxa"/>
            <w:vAlign w:val="center"/>
          </w:tcPr>
          <w:p w:rsidR="00AB63AE" w:rsidP="000817E8" w14:paraId="2F1604CD" w14:textId="77777777">
            <w:pPr>
              <w:keepNext/>
              <w:jc w:val="center"/>
            </w:pPr>
            <w:r w:rsidRPr="6B370752">
              <w:rPr>
                <w:b/>
                <w:bCs/>
              </w:rPr>
              <w:t># Hours</w:t>
            </w:r>
          </w:p>
        </w:tc>
        <w:tc>
          <w:tcPr>
            <w:tcW w:w="1530" w:type="dxa"/>
            <w:vAlign w:val="center"/>
          </w:tcPr>
          <w:p w:rsidR="00AB63AE" w:rsidP="000817E8" w14:paraId="7AC2FD8B" w14:textId="77777777">
            <w:pPr>
              <w:keepNext/>
              <w:jc w:val="center"/>
            </w:pPr>
            <w:r w:rsidRPr="6B370752">
              <w:rPr>
                <w:b/>
                <w:bCs/>
              </w:rPr>
              <w:t># Respondents</w:t>
            </w:r>
          </w:p>
        </w:tc>
        <w:tc>
          <w:tcPr>
            <w:tcW w:w="1216" w:type="dxa"/>
            <w:vAlign w:val="center"/>
          </w:tcPr>
          <w:p w:rsidR="00AB63AE" w:rsidP="000817E8" w14:paraId="2585C2DF" w14:textId="77777777">
            <w:pPr>
              <w:keepNext/>
              <w:jc w:val="center"/>
            </w:pPr>
            <w:r w:rsidRPr="6B370752">
              <w:rPr>
                <w:b/>
                <w:bCs/>
              </w:rPr>
              <w:t>Total Burden Hours</w:t>
            </w:r>
          </w:p>
        </w:tc>
        <w:tc>
          <w:tcPr>
            <w:tcW w:w="1664" w:type="dxa"/>
            <w:vAlign w:val="center"/>
          </w:tcPr>
          <w:p w:rsidR="00AB63AE" w:rsidP="000817E8" w14:paraId="1791A4C7" w14:textId="77777777">
            <w:pPr>
              <w:keepNext/>
              <w:jc w:val="center"/>
            </w:pPr>
            <w:r w:rsidRPr="6B370752">
              <w:rPr>
                <w:b/>
                <w:bCs/>
              </w:rPr>
              <w:t>Total Cost</w:t>
            </w:r>
          </w:p>
        </w:tc>
      </w:tr>
      <w:tr w14:paraId="5BADFFAD" w14:textId="77777777" w:rsidTr="00DA1923">
        <w:tblPrEx>
          <w:tblW w:w="9535" w:type="dxa"/>
          <w:tblLayout w:type="fixed"/>
          <w:tblLook w:val="04A0"/>
        </w:tblPrEx>
        <w:trPr>
          <w:trHeight w:val="863"/>
          <w:tblHeader/>
        </w:trPr>
        <w:tc>
          <w:tcPr>
            <w:tcW w:w="1975" w:type="dxa"/>
            <w:vAlign w:val="center"/>
          </w:tcPr>
          <w:p w:rsidR="00AB63AE" w:rsidP="000817E8" w14:paraId="30186617" w14:textId="77777777">
            <w:r w:rsidRPr="6B370752">
              <w:t>Financial Manager (11-3031)</w:t>
            </w:r>
          </w:p>
        </w:tc>
        <w:tc>
          <w:tcPr>
            <w:tcW w:w="1080" w:type="dxa"/>
            <w:vAlign w:val="center"/>
          </w:tcPr>
          <w:p w:rsidR="00AB63AE" w:rsidP="000817E8" w14:paraId="33113F4C" w14:textId="46D7118F">
            <w:r>
              <w:rPr>
                <w:color w:val="000000"/>
              </w:rPr>
              <w:t>$86.</w:t>
            </w:r>
            <w:r w:rsidR="008E65BE">
              <w:rPr>
                <w:color w:val="000000"/>
              </w:rPr>
              <w:t>33</w:t>
            </w:r>
            <w:r>
              <w:rPr>
                <w:color w:val="000000"/>
              </w:rPr>
              <w:t xml:space="preserve"> </w:t>
            </w:r>
          </w:p>
        </w:tc>
        <w:tc>
          <w:tcPr>
            <w:tcW w:w="1080" w:type="dxa"/>
            <w:vAlign w:val="center"/>
          </w:tcPr>
          <w:p w:rsidR="00AB63AE" w:rsidP="000817E8" w14:paraId="37B61044" w14:textId="43C97AEF">
            <w:r>
              <w:rPr>
                <w:color w:val="000000"/>
              </w:rPr>
              <w:t>$17</w:t>
            </w:r>
            <w:r w:rsidR="008E65BE">
              <w:rPr>
                <w:color w:val="000000"/>
              </w:rPr>
              <w:t>2.66</w:t>
            </w:r>
          </w:p>
        </w:tc>
        <w:tc>
          <w:tcPr>
            <w:tcW w:w="990" w:type="dxa"/>
            <w:vAlign w:val="center"/>
          </w:tcPr>
          <w:p w:rsidR="00AB63AE" w:rsidP="000817E8" w14:paraId="5E9AC962" w14:textId="0FB53831">
            <w:pPr>
              <w:jc w:val="center"/>
            </w:pPr>
            <w:r>
              <w:rPr>
                <w:color w:val="000000"/>
              </w:rPr>
              <w:t>37.5</w:t>
            </w:r>
          </w:p>
        </w:tc>
        <w:tc>
          <w:tcPr>
            <w:tcW w:w="1530" w:type="dxa"/>
            <w:vAlign w:val="center"/>
          </w:tcPr>
          <w:p w:rsidR="00AB63AE" w:rsidP="000817E8" w14:paraId="732C95C8" w14:textId="2B680D59">
            <w:pPr>
              <w:jc w:val="center"/>
            </w:pPr>
            <w:r>
              <w:rPr>
                <w:color w:val="000000"/>
              </w:rPr>
              <w:t>2</w:t>
            </w:r>
            <w:r>
              <w:rPr>
                <w:color w:val="000000"/>
              </w:rPr>
              <w:t>5</w:t>
            </w:r>
          </w:p>
        </w:tc>
        <w:tc>
          <w:tcPr>
            <w:tcW w:w="1216" w:type="dxa"/>
            <w:vAlign w:val="center"/>
          </w:tcPr>
          <w:p w:rsidR="00AB63AE" w:rsidP="000817E8" w14:paraId="107B0A0D" w14:textId="5D185816">
            <w:pPr>
              <w:jc w:val="center"/>
            </w:pPr>
            <w:r>
              <w:rPr>
                <w:color w:val="000000"/>
              </w:rPr>
              <w:t>937.5</w:t>
            </w:r>
          </w:p>
        </w:tc>
        <w:tc>
          <w:tcPr>
            <w:tcW w:w="1664" w:type="dxa"/>
            <w:vAlign w:val="center"/>
          </w:tcPr>
          <w:p w:rsidR="00AB63AE" w:rsidP="000817E8" w14:paraId="5B3D59E1" w14:textId="138EE9DF">
            <w:r>
              <w:rPr>
                <w:color w:val="000000"/>
              </w:rPr>
              <w:t>$1</w:t>
            </w:r>
            <w:r w:rsidR="00167E0A">
              <w:rPr>
                <w:color w:val="000000"/>
              </w:rPr>
              <w:t>6</w:t>
            </w:r>
            <w:r w:rsidR="008E65BE">
              <w:rPr>
                <w:color w:val="000000"/>
              </w:rPr>
              <w:t>1,868.75</w:t>
            </w:r>
            <w:r>
              <w:rPr>
                <w:color w:val="000000"/>
              </w:rPr>
              <w:t xml:space="preserve"> </w:t>
            </w:r>
          </w:p>
        </w:tc>
      </w:tr>
      <w:tr w14:paraId="4E9E1504" w14:textId="77777777" w:rsidTr="00DA1923">
        <w:tblPrEx>
          <w:tblW w:w="9535" w:type="dxa"/>
          <w:tblLayout w:type="fixed"/>
          <w:tblLook w:val="04A0"/>
        </w:tblPrEx>
        <w:trPr>
          <w:trHeight w:val="512"/>
          <w:tblHeader/>
        </w:trPr>
        <w:tc>
          <w:tcPr>
            <w:tcW w:w="1975" w:type="dxa"/>
            <w:vAlign w:val="center"/>
          </w:tcPr>
          <w:p w:rsidR="00AB63AE" w:rsidP="000817E8" w14:paraId="3D36821D" w14:textId="5E867BBE">
            <w:r w:rsidRPr="6B370752">
              <w:t>Cost Estimator (13-1051)</w:t>
            </w:r>
          </w:p>
        </w:tc>
        <w:tc>
          <w:tcPr>
            <w:tcW w:w="1080" w:type="dxa"/>
            <w:vAlign w:val="center"/>
          </w:tcPr>
          <w:p w:rsidR="00AB63AE" w:rsidP="000817E8" w14:paraId="6F2A6C72" w14:textId="684622C1">
            <w:r>
              <w:rPr>
                <w:color w:val="000000"/>
              </w:rPr>
              <w:t>$3</w:t>
            </w:r>
            <w:r w:rsidR="008E65BE">
              <w:rPr>
                <w:color w:val="000000"/>
              </w:rPr>
              <w:t>3.21</w:t>
            </w:r>
            <w:r>
              <w:rPr>
                <w:color w:val="000000"/>
              </w:rPr>
              <w:t xml:space="preserve"> </w:t>
            </w:r>
          </w:p>
        </w:tc>
        <w:tc>
          <w:tcPr>
            <w:tcW w:w="1080" w:type="dxa"/>
            <w:vAlign w:val="center"/>
          </w:tcPr>
          <w:p w:rsidR="00AB63AE" w:rsidP="000817E8" w14:paraId="498F506B" w14:textId="65B0342E">
            <w:r>
              <w:rPr>
                <w:color w:val="000000"/>
              </w:rPr>
              <w:t>$</w:t>
            </w:r>
            <w:r w:rsidR="008E65BE">
              <w:rPr>
                <w:color w:val="000000"/>
              </w:rPr>
              <w:t>66.42</w:t>
            </w:r>
            <w:r>
              <w:rPr>
                <w:color w:val="000000"/>
              </w:rPr>
              <w:t xml:space="preserve"> </w:t>
            </w:r>
          </w:p>
        </w:tc>
        <w:tc>
          <w:tcPr>
            <w:tcW w:w="990" w:type="dxa"/>
            <w:vAlign w:val="center"/>
          </w:tcPr>
          <w:p w:rsidR="00AB63AE" w:rsidP="000817E8" w14:paraId="1A0CEE38" w14:textId="2106B656">
            <w:pPr>
              <w:jc w:val="center"/>
            </w:pPr>
            <w:r>
              <w:rPr>
                <w:color w:val="000000"/>
              </w:rPr>
              <w:t>1</w:t>
            </w:r>
            <w:r w:rsidR="00167E0A">
              <w:rPr>
                <w:color w:val="000000"/>
              </w:rPr>
              <w:t>06.5</w:t>
            </w:r>
          </w:p>
        </w:tc>
        <w:tc>
          <w:tcPr>
            <w:tcW w:w="1530" w:type="dxa"/>
            <w:vAlign w:val="center"/>
          </w:tcPr>
          <w:p w:rsidR="00AB63AE" w:rsidP="000817E8" w14:paraId="7D1B898C" w14:textId="627C8148">
            <w:pPr>
              <w:jc w:val="center"/>
            </w:pPr>
            <w:r>
              <w:rPr>
                <w:color w:val="000000"/>
              </w:rPr>
              <w:t>2</w:t>
            </w:r>
            <w:r>
              <w:rPr>
                <w:color w:val="000000"/>
              </w:rPr>
              <w:t>5</w:t>
            </w:r>
          </w:p>
        </w:tc>
        <w:tc>
          <w:tcPr>
            <w:tcW w:w="1216" w:type="dxa"/>
            <w:vAlign w:val="center"/>
          </w:tcPr>
          <w:p w:rsidR="00AB63AE" w:rsidP="000817E8" w14:paraId="2478AA56" w14:textId="5BC2FC6B">
            <w:pPr>
              <w:jc w:val="center"/>
            </w:pPr>
            <w:r>
              <w:rPr>
                <w:color w:val="000000"/>
              </w:rPr>
              <w:t>2,662.5</w:t>
            </w:r>
          </w:p>
        </w:tc>
        <w:tc>
          <w:tcPr>
            <w:tcW w:w="1664" w:type="dxa"/>
            <w:vAlign w:val="center"/>
          </w:tcPr>
          <w:p w:rsidR="00AB63AE" w:rsidP="000817E8" w14:paraId="442B5D10" w14:textId="33CEC265">
            <w:r>
              <w:rPr>
                <w:color w:val="000000"/>
              </w:rPr>
              <w:t>$</w:t>
            </w:r>
            <w:r w:rsidR="008E65BE">
              <w:rPr>
                <w:color w:val="000000"/>
              </w:rPr>
              <w:t>176,843.25</w:t>
            </w:r>
            <w:r>
              <w:rPr>
                <w:color w:val="000000"/>
              </w:rPr>
              <w:t xml:space="preserve"> </w:t>
            </w:r>
          </w:p>
        </w:tc>
      </w:tr>
      <w:tr w14:paraId="25AA3A18" w14:textId="77777777" w:rsidTr="000817E8">
        <w:tblPrEx>
          <w:tblW w:w="9535" w:type="dxa"/>
          <w:tblLayout w:type="fixed"/>
          <w:tblLook w:val="04A0"/>
        </w:tblPrEx>
        <w:trPr>
          <w:tblHeader/>
        </w:trPr>
        <w:tc>
          <w:tcPr>
            <w:tcW w:w="1975" w:type="dxa"/>
            <w:vAlign w:val="center"/>
          </w:tcPr>
          <w:p w:rsidR="00AB63AE" w:rsidP="000817E8" w14:paraId="21990B01" w14:textId="77777777">
            <w:r w:rsidRPr="6B370752">
              <w:t>Business Operations Specialists (13-1000)</w:t>
            </w:r>
          </w:p>
        </w:tc>
        <w:tc>
          <w:tcPr>
            <w:tcW w:w="1080" w:type="dxa"/>
            <w:vAlign w:val="center"/>
          </w:tcPr>
          <w:p w:rsidR="00AB63AE" w:rsidP="000817E8" w14:paraId="0747E2F5" w14:textId="1E0475EF">
            <w:r>
              <w:rPr>
                <w:color w:val="000000"/>
              </w:rPr>
              <w:t>$</w:t>
            </w:r>
            <w:r w:rsidR="008E65BE">
              <w:rPr>
                <w:color w:val="000000"/>
              </w:rPr>
              <w:t>46.55</w:t>
            </w:r>
            <w:r>
              <w:rPr>
                <w:color w:val="000000"/>
              </w:rPr>
              <w:t xml:space="preserve"> </w:t>
            </w:r>
          </w:p>
        </w:tc>
        <w:tc>
          <w:tcPr>
            <w:tcW w:w="1080" w:type="dxa"/>
            <w:vAlign w:val="center"/>
          </w:tcPr>
          <w:p w:rsidR="00AB63AE" w:rsidP="000817E8" w14:paraId="6BDA9051" w14:textId="2C2D121D">
            <w:r>
              <w:rPr>
                <w:color w:val="000000"/>
              </w:rPr>
              <w:t>$</w:t>
            </w:r>
            <w:r w:rsidR="008E65BE">
              <w:rPr>
                <w:color w:val="000000"/>
              </w:rPr>
              <w:t>93.10</w:t>
            </w:r>
            <w:r>
              <w:rPr>
                <w:color w:val="000000"/>
              </w:rPr>
              <w:t xml:space="preserve"> </w:t>
            </w:r>
          </w:p>
        </w:tc>
        <w:tc>
          <w:tcPr>
            <w:tcW w:w="990" w:type="dxa"/>
            <w:vAlign w:val="center"/>
          </w:tcPr>
          <w:p w:rsidR="00AB63AE" w:rsidP="000817E8" w14:paraId="3ADF5FEC" w14:textId="70AB5C9F">
            <w:pPr>
              <w:jc w:val="center"/>
            </w:pPr>
            <w:r>
              <w:rPr>
                <w:color w:val="000000"/>
              </w:rPr>
              <w:t>15</w:t>
            </w:r>
            <w:r>
              <w:rPr>
                <w:color w:val="000000"/>
              </w:rPr>
              <w:t>0</w:t>
            </w:r>
          </w:p>
        </w:tc>
        <w:tc>
          <w:tcPr>
            <w:tcW w:w="1530" w:type="dxa"/>
            <w:vAlign w:val="center"/>
          </w:tcPr>
          <w:p w:rsidR="00AB63AE" w:rsidP="000817E8" w14:paraId="266FBB2D" w14:textId="0FD56BA1">
            <w:pPr>
              <w:jc w:val="center"/>
            </w:pPr>
            <w:r>
              <w:rPr>
                <w:color w:val="000000"/>
              </w:rPr>
              <w:t>2</w:t>
            </w:r>
            <w:r>
              <w:rPr>
                <w:color w:val="000000"/>
              </w:rPr>
              <w:t>5</w:t>
            </w:r>
          </w:p>
        </w:tc>
        <w:tc>
          <w:tcPr>
            <w:tcW w:w="1216" w:type="dxa"/>
            <w:vAlign w:val="center"/>
          </w:tcPr>
          <w:p w:rsidR="00AB63AE" w:rsidP="000817E8" w14:paraId="276C6A0B" w14:textId="4D77A00F">
            <w:pPr>
              <w:jc w:val="center"/>
            </w:pPr>
            <w:r>
              <w:rPr>
                <w:color w:val="000000"/>
              </w:rPr>
              <w:t>3</w:t>
            </w:r>
            <w:r w:rsidR="00167E0A">
              <w:rPr>
                <w:color w:val="000000"/>
              </w:rPr>
              <w:t>,75</w:t>
            </w:r>
            <w:r>
              <w:rPr>
                <w:color w:val="000000"/>
              </w:rPr>
              <w:t>0</w:t>
            </w:r>
          </w:p>
        </w:tc>
        <w:tc>
          <w:tcPr>
            <w:tcW w:w="1664" w:type="dxa"/>
            <w:vAlign w:val="center"/>
          </w:tcPr>
          <w:p w:rsidR="00AB63AE" w:rsidP="000817E8" w14:paraId="052CE06C" w14:textId="60934AA2">
            <w:r>
              <w:rPr>
                <w:color w:val="000000"/>
              </w:rPr>
              <w:t>$</w:t>
            </w:r>
            <w:r w:rsidR="00167E0A">
              <w:rPr>
                <w:color w:val="000000"/>
              </w:rPr>
              <w:t>3</w:t>
            </w:r>
            <w:r w:rsidR="008E65BE">
              <w:rPr>
                <w:color w:val="000000"/>
              </w:rPr>
              <w:t>49,125.00</w:t>
            </w:r>
            <w:r>
              <w:rPr>
                <w:color w:val="000000"/>
              </w:rPr>
              <w:t xml:space="preserve"> </w:t>
            </w:r>
          </w:p>
        </w:tc>
      </w:tr>
      <w:tr w14:paraId="0FF30E23" w14:textId="77777777" w:rsidTr="000817E8">
        <w:tblPrEx>
          <w:tblW w:w="9535" w:type="dxa"/>
          <w:tblLayout w:type="fixed"/>
          <w:tblLook w:val="04A0"/>
        </w:tblPrEx>
        <w:trPr>
          <w:tblHeader/>
        </w:trPr>
        <w:tc>
          <w:tcPr>
            <w:tcW w:w="1975" w:type="dxa"/>
            <w:vAlign w:val="center"/>
          </w:tcPr>
          <w:p w:rsidR="00AB63AE" w:rsidP="000817E8" w14:paraId="0E8380AA" w14:textId="77777777">
            <w:r w:rsidRPr="6B370752">
              <w:t>Economist (19-3011)</w:t>
            </w:r>
            <w:r>
              <w:rPr>
                <w:rStyle w:val="FootnoteReference"/>
              </w:rPr>
              <w:footnoteReference w:id="19"/>
            </w:r>
          </w:p>
        </w:tc>
        <w:tc>
          <w:tcPr>
            <w:tcW w:w="1080" w:type="dxa"/>
            <w:vAlign w:val="center"/>
          </w:tcPr>
          <w:p w:rsidR="00AB63AE" w:rsidP="000817E8" w14:paraId="65EBBA58" w14:textId="0DA310C8">
            <w:r>
              <w:t>$55.</w:t>
            </w:r>
            <w:r w:rsidR="008E65BE">
              <w:t>50</w:t>
            </w:r>
            <w:r>
              <w:t xml:space="preserve"> </w:t>
            </w:r>
          </w:p>
        </w:tc>
        <w:tc>
          <w:tcPr>
            <w:tcW w:w="1080" w:type="dxa"/>
            <w:vAlign w:val="center"/>
          </w:tcPr>
          <w:p w:rsidR="00AB63AE" w:rsidP="000817E8" w14:paraId="1F58B1D7" w14:textId="43C779A9">
            <w:r>
              <w:rPr>
                <w:color w:val="000000"/>
              </w:rPr>
              <w:t>$111.</w:t>
            </w:r>
            <w:r w:rsidR="008E65BE">
              <w:rPr>
                <w:color w:val="000000"/>
              </w:rPr>
              <w:t>00</w:t>
            </w:r>
            <w:r>
              <w:rPr>
                <w:color w:val="000000"/>
              </w:rPr>
              <w:t xml:space="preserve"> </w:t>
            </w:r>
          </w:p>
        </w:tc>
        <w:tc>
          <w:tcPr>
            <w:tcW w:w="990" w:type="dxa"/>
            <w:vAlign w:val="center"/>
          </w:tcPr>
          <w:p w:rsidR="00AB63AE" w:rsidP="000817E8" w14:paraId="28AB3FDA" w14:textId="5326611C">
            <w:pPr>
              <w:jc w:val="center"/>
            </w:pPr>
            <w:r>
              <w:rPr>
                <w:color w:val="000000"/>
              </w:rPr>
              <w:t>45</w:t>
            </w:r>
            <w:r>
              <w:rPr>
                <w:color w:val="000000"/>
              </w:rPr>
              <w:t>0</w:t>
            </w:r>
          </w:p>
        </w:tc>
        <w:tc>
          <w:tcPr>
            <w:tcW w:w="1530" w:type="dxa"/>
            <w:vAlign w:val="center"/>
          </w:tcPr>
          <w:p w:rsidR="00AB63AE" w:rsidP="000817E8" w14:paraId="4CBD5141" w14:textId="60E87337">
            <w:pPr>
              <w:jc w:val="center"/>
            </w:pPr>
            <w:r>
              <w:rPr>
                <w:color w:val="000000"/>
              </w:rPr>
              <w:t>2</w:t>
            </w:r>
            <w:r>
              <w:rPr>
                <w:color w:val="000000"/>
              </w:rPr>
              <w:t>5</w:t>
            </w:r>
          </w:p>
        </w:tc>
        <w:tc>
          <w:tcPr>
            <w:tcW w:w="1216" w:type="dxa"/>
            <w:vAlign w:val="center"/>
          </w:tcPr>
          <w:p w:rsidR="00AB63AE" w:rsidP="000817E8" w14:paraId="15E31A42" w14:textId="6AC6636D">
            <w:pPr>
              <w:jc w:val="center"/>
            </w:pPr>
            <w:r>
              <w:rPr>
                <w:color w:val="000000"/>
              </w:rPr>
              <w:t>11,250</w:t>
            </w:r>
          </w:p>
        </w:tc>
        <w:tc>
          <w:tcPr>
            <w:tcW w:w="1664" w:type="dxa"/>
            <w:vAlign w:val="center"/>
          </w:tcPr>
          <w:p w:rsidR="00AB63AE" w:rsidP="000817E8" w14:paraId="4473222E" w14:textId="6464772D">
            <w:r>
              <w:rPr>
                <w:color w:val="000000"/>
              </w:rPr>
              <w:t>$1,</w:t>
            </w:r>
            <w:r w:rsidR="00167E0A">
              <w:rPr>
                <w:color w:val="000000"/>
              </w:rPr>
              <w:t>2</w:t>
            </w:r>
            <w:r w:rsidR="008E65BE">
              <w:rPr>
                <w:color w:val="000000"/>
              </w:rPr>
              <w:t>48,750.00</w:t>
            </w:r>
            <w:r>
              <w:rPr>
                <w:color w:val="000000"/>
              </w:rPr>
              <w:t xml:space="preserve"> </w:t>
            </w:r>
          </w:p>
        </w:tc>
      </w:tr>
      <w:tr w14:paraId="734B56E7" w14:textId="77777777" w:rsidTr="000817E8">
        <w:tblPrEx>
          <w:tblW w:w="9535" w:type="dxa"/>
          <w:tblLayout w:type="fixed"/>
          <w:tblLook w:val="04A0"/>
        </w:tblPrEx>
        <w:trPr>
          <w:tblHeader/>
        </w:trPr>
        <w:tc>
          <w:tcPr>
            <w:tcW w:w="1975" w:type="dxa"/>
            <w:vAlign w:val="center"/>
          </w:tcPr>
          <w:p w:rsidR="00AB63AE" w:rsidRPr="6B370752" w:rsidP="000817E8" w14:paraId="7A721CDE" w14:textId="77777777">
            <w:r>
              <w:t>Lawyer (23-1011)</w:t>
            </w:r>
          </w:p>
        </w:tc>
        <w:tc>
          <w:tcPr>
            <w:tcW w:w="1080" w:type="dxa"/>
            <w:vAlign w:val="center"/>
          </w:tcPr>
          <w:p w:rsidR="00AB63AE" w:rsidRPr="6B370752" w:rsidP="000817E8" w14:paraId="06CA6DC8" w14:textId="77777777">
            <w:r>
              <w:rPr>
                <w:color w:val="000000"/>
              </w:rPr>
              <w:t xml:space="preserve">$115.00 </w:t>
            </w:r>
          </w:p>
        </w:tc>
        <w:tc>
          <w:tcPr>
            <w:tcW w:w="1080" w:type="dxa"/>
            <w:vAlign w:val="center"/>
          </w:tcPr>
          <w:p w:rsidR="00AB63AE" w:rsidRPr="6B370752" w:rsidP="000817E8" w14:paraId="1EE25252" w14:textId="77777777">
            <w:r>
              <w:rPr>
                <w:color w:val="000000"/>
              </w:rPr>
              <w:t xml:space="preserve">$230.00 </w:t>
            </w:r>
          </w:p>
        </w:tc>
        <w:tc>
          <w:tcPr>
            <w:tcW w:w="990" w:type="dxa"/>
            <w:vAlign w:val="center"/>
          </w:tcPr>
          <w:p w:rsidR="00AB63AE" w:rsidRPr="6B370752" w:rsidP="000817E8" w14:paraId="6B7CE442" w14:textId="55F15482">
            <w:pPr>
              <w:jc w:val="center"/>
            </w:pPr>
            <w:r>
              <w:rPr>
                <w:color w:val="000000"/>
              </w:rPr>
              <w:t>3</w:t>
            </w:r>
          </w:p>
        </w:tc>
        <w:tc>
          <w:tcPr>
            <w:tcW w:w="1530" w:type="dxa"/>
            <w:vAlign w:val="center"/>
          </w:tcPr>
          <w:p w:rsidR="00AB63AE" w:rsidP="000817E8" w14:paraId="314DBB54" w14:textId="1A5A995E">
            <w:pPr>
              <w:jc w:val="center"/>
            </w:pPr>
            <w:r>
              <w:rPr>
                <w:color w:val="000000"/>
              </w:rPr>
              <w:t>2</w:t>
            </w:r>
            <w:r>
              <w:rPr>
                <w:color w:val="000000"/>
              </w:rPr>
              <w:t>5</w:t>
            </w:r>
          </w:p>
        </w:tc>
        <w:tc>
          <w:tcPr>
            <w:tcW w:w="1216" w:type="dxa"/>
            <w:vAlign w:val="center"/>
          </w:tcPr>
          <w:p w:rsidR="00AB63AE" w:rsidP="000817E8" w14:paraId="0E184908" w14:textId="0F5E967E">
            <w:pPr>
              <w:jc w:val="center"/>
            </w:pPr>
            <w:r>
              <w:rPr>
                <w:color w:val="000000"/>
              </w:rPr>
              <w:t>7</w:t>
            </w:r>
            <w:r w:rsidR="00167E0A">
              <w:rPr>
                <w:color w:val="000000"/>
              </w:rPr>
              <w:t>5</w:t>
            </w:r>
          </w:p>
        </w:tc>
        <w:tc>
          <w:tcPr>
            <w:tcW w:w="1664" w:type="dxa"/>
            <w:vAlign w:val="center"/>
          </w:tcPr>
          <w:p w:rsidR="00AB63AE" w:rsidP="000817E8" w14:paraId="54B65E45" w14:textId="6D8BE0FC">
            <w:r>
              <w:rPr>
                <w:color w:val="000000"/>
              </w:rPr>
              <w:t>$</w:t>
            </w:r>
            <w:r w:rsidR="00F03F3E">
              <w:rPr>
                <w:color w:val="000000"/>
              </w:rPr>
              <w:t>17,250.00</w:t>
            </w:r>
            <w:r>
              <w:rPr>
                <w:color w:val="000000"/>
              </w:rPr>
              <w:t xml:space="preserve"> </w:t>
            </w:r>
          </w:p>
        </w:tc>
      </w:tr>
      <w:tr w14:paraId="3827469B" w14:textId="77777777" w:rsidTr="000817E8">
        <w:tblPrEx>
          <w:tblW w:w="9535" w:type="dxa"/>
          <w:tblLayout w:type="fixed"/>
          <w:tblLook w:val="04A0"/>
        </w:tblPrEx>
        <w:trPr>
          <w:tblHeader/>
        </w:trPr>
        <w:tc>
          <w:tcPr>
            <w:tcW w:w="1975" w:type="dxa"/>
            <w:vAlign w:val="center"/>
          </w:tcPr>
          <w:p w:rsidR="00AB63AE" w:rsidRPr="6B370752" w:rsidP="000817E8" w14:paraId="2C51D3F4" w14:textId="77777777">
            <w:r>
              <w:t>Chief Executive (11-1011)</w:t>
            </w:r>
          </w:p>
        </w:tc>
        <w:tc>
          <w:tcPr>
            <w:tcW w:w="1080" w:type="dxa"/>
            <w:vAlign w:val="center"/>
          </w:tcPr>
          <w:p w:rsidR="00AB63AE" w:rsidRPr="6B370752" w:rsidP="000817E8" w14:paraId="5A3D112E" w14:textId="77777777">
            <w:r>
              <w:rPr>
                <w:color w:val="000000"/>
              </w:rPr>
              <w:t xml:space="preserve">$115.00 </w:t>
            </w:r>
          </w:p>
        </w:tc>
        <w:tc>
          <w:tcPr>
            <w:tcW w:w="1080" w:type="dxa"/>
            <w:vAlign w:val="center"/>
          </w:tcPr>
          <w:p w:rsidR="00AB63AE" w:rsidRPr="6B370752" w:rsidP="000817E8" w14:paraId="73C8EDDF" w14:textId="77777777">
            <w:r>
              <w:rPr>
                <w:color w:val="000000"/>
              </w:rPr>
              <w:t xml:space="preserve">$230.00 </w:t>
            </w:r>
          </w:p>
        </w:tc>
        <w:tc>
          <w:tcPr>
            <w:tcW w:w="990" w:type="dxa"/>
            <w:vAlign w:val="center"/>
          </w:tcPr>
          <w:p w:rsidR="00AB63AE" w:rsidRPr="6B370752" w:rsidP="000817E8" w14:paraId="7E5A6DE2" w14:textId="36B6C08C">
            <w:pPr>
              <w:jc w:val="center"/>
            </w:pPr>
            <w:r>
              <w:rPr>
                <w:color w:val="000000"/>
              </w:rPr>
              <w:t>3</w:t>
            </w:r>
          </w:p>
        </w:tc>
        <w:tc>
          <w:tcPr>
            <w:tcW w:w="1530" w:type="dxa"/>
            <w:vAlign w:val="center"/>
          </w:tcPr>
          <w:p w:rsidR="00AB63AE" w:rsidP="000817E8" w14:paraId="6E366A44" w14:textId="753D2F74">
            <w:pPr>
              <w:jc w:val="center"/>
            </w:pPr>
            <w:r>
              <w:rPr>
                <w:color w:val="000000"/>
              </w:rPr>
              <w:t>2</w:t>
            </w:r>
            <w:r>
              <w:rPr>
                <w:color w:val="000000"/>
              </w:rPr>
              <w:t>5</w:t>
            </w:r>
          </w:p>
        </w:tc>
        <w:tc>
          <w:tcPr>
            <w:tcW w:w="1216" w:type="dxa"/>
            <w:vAlign w:val="center"/>
          </w:tcPr>
          <w:p w:rsidR="00AB63AE" w:rsidP="000817E8" w14:paraId="38979396" w14:textId="51D11690">
            <w:pPr>
              <w:jc w:val="center"/>
            </w:pPr>
            <w:r>
              <w:rPr>
                <w:color w:val="000000"/>
              </w:rPr>
              <w:t>7</w:t>
            </w:r>
            <w:r w:rsidR="00167E0A">
              <w:rPr>
                <w:color w:val="000000"/>
              </w:rPr>
              <w:t>5</w:t>
            </w:r>
          </w:p>
        </w:tc>
        <w:tc>
          <w:tcPr>
            <w:tcW w:w="1664" w:type="dxa"/>
            <w:vAlign w:val="center"/>
          </w:tcPr>
          <w:p w:rsidR="00AB63AE" w:rsidP="000817E8" w14:paraId="2A05B617" w14:textId="2DA1FB99">
            <w:r>
              <w:rPr>
                <w:color w:val="000000"/>
              </w:rPr>
              <w:t>$</w:t>
            </w:r>
            <w:r w:rsidR="00F03F3E">
              <w:rPr>
                <w:color w:val="000000"/>
              </w:rPr>
              <w:t>17,250.00</w:t>
            </w:r>
          </w:p>
        </w:tc>
      </w:tr>
      <w:tr w14:paraId="45725BE7" w14:textId="77777777" w:rsidTr="000817E8">
        <w:tblPrEx>
          <w:tblW w:w="9535" w:type="dxa"/>
          <w:tblLayout w:type="fixed"/>
          <w:tblLook w:val="04A0"/>
        </w:tblPrEx>
        <w:trPr>
          <w:tblHeader/>
        </w:trPr>
        <w:tc>
          <w:tcPr>
            <w:tcW w:w="1975" w:type="dxa"/>
            <w:vAlign w:val="center"/>
          </w:tcPr>
          <w:p w:rsidR="00AB63AE" w:rsidP="000817E8" w14:paraId="55CC6F44" w14:textId="696E6386">
            <w:r w:rsidRPr="6B370752">
              <w:rPr>
                <w:b/>
                <w:bCs/>
              </w:rPr>
              <w:t xml:space="preserve">Total </w:t>
            </w:r>
            <w:r>
              <w:rPr>
                <w:b/>
                <w:bCs/>
              </w:rPr>
              <w:t>(</w:t>
            </w:r>
            <w:r w:rsidR="00F03F3E">
              <w:rPr>
                <w:b/>
                <w:bCs/>
              </w:rPr>
              <w:t>2</w:t>
            </w:r>
            <w:r>
              <w:rPr>
                <w:b/>
                <w:bCs/>
              </w:rPr>
              <w:t>5 Manufacturers)</w:t>
            </w:r>
          </w:p>
        </w:tc>
        <w:tc>
          <w:tcPr>
            <w:tcW w:w="1080" w:type="dxa"/>
            <w:vAlign w:val="center"/>
          </w:tcPr>
          <w:p w:rsidR="00AB63AE" w:rsidRPr="00BC1EE4" w:rsidP="000817E8" w14:paraId="1ED55E12" w14:textId="77777777">
            <w:pPr>
              <w:jc w:val="center"/>
              <w:rPr>
                <w:b/>
                <w:bCs/>
              </w:rPr>
            </w:pPr>
            <w:r w:rsidRPr="000A5850">
              <w:rPr>
                <w:rFonts w:ascii="Times" w:hAnsi="Times" w:cs="Times"/>
                <w:color w:val="000000"/>
              </w:rPr>
              <w:t>-</w:t>
            </w:r>
            <w:r>
              <w:rPr>
                <w:color w:val="000000"/>
              </w:rPr>
              <w:t xml:space="preserve"> </w:t>
            </w:r>
          </w:p>
        </w:tc>
        <w:tc>
          <w:tcPr>
            <w:tcW w:w="1080" w:type="dxa"/>
            <w:vAlign w:val="center"/>
          </w:tcPr>
          <w:p w:rsidR="00AB63AE" w:rsidRPr="00BC1EE4" w:rsidP="000817E8" w14:paraId="7A868E42" w14:textId="77777777">
            <w:pPr>
              <w:jc w:val="center"/>
              <w:rPr>
                <w:b/>
                <w:bCs/>
              </w:rPr>
            </w:pPr>
            <w:r>
              <w:rPr>
                <w:color w:val="000000"/>
              </w:rPr>
              <w:t xml:space="preserve"> </w:t>
            </w:r>
            <w:r w:rsidRPr="000A5850">
              <w:rPr>
                <w:rFonts w:ascii="Times" w:hAnsi="Times" w:cs="Times"/>
                <w:color w:val="000000"/>
              </w:rPr>
              <w:t>-</w:t>
            </w:r>
            <w:r>
              <w:rPr>
                <w:color w:val="000000"/>
              </w:rPr>
              <w:t xml:space="preserve">    </w:t>
            </w:r>
          </w:p>
        </w:tc>
        <w:tc>
          <w:tcPr>
            <w:tcW w:w="990" w:type="dxa"/>
            <w:vAlign w:val="center"/>
          </w:tcPr>
          <w:p w:rsidR="00AB63AE" w:rsidRPr="00DC0285" w:rsidP="000817E8" w14:paraId="170C833F" w14:textId="7963D68D">
            <w:pPr>
              <w:jc w:val="center"/>
              <w:rPr>
                <w:b/>
                <w:bCs/>
              </w:rPr>
            </w:pPr>
            <w:r w:rsidRPr="006C541E">
              <w:rPr>
                <w:b/>
                <w:bCs/>
                <w:color w:val="000000"/>
              </w:rPr>
              <w:t>18,750</w:t>
            </w:r>
          </w:p>
        </w:tc>
        <w:tc>
          <w:tcPr>
            <w:tcW w:w="1530" w:type="dxa"/>
            <w:vAlign w:val="center"/>
          </w:tcPr>
          <w:p w:rsidR="00AB63AE" w:rsidRPr="00DC0285" w:rsidP="000817E8" w14:paraId="5613D8BC" w14:textId="6F1C5237">
            <w:pPr>
              <w:jc w:val="center"/>
              <w:rPr>
                <w:b/>
                <w:bCs/>
              </w:rPr>
            </w:pPr>
            <w:r w:rsidRPr="006C541E">
              <w:rPr>
                <w:b/>
                <w:bCs/>
                <w:color w:val="000000"/>
              </w:rPr>
              <w:t>2</w:t>
            </w:r>
            <w:r w:rsidRPr="006C541E">
              <w:rPr>
                <w:b/>
                <w:bCs/>
                <w:color w:val="000000"/>
              </w:rPr>
              <w:t>5</w:t>
            </w:r>
          </w:p>
        </w:tc>
        <w:tc>
          <w:tcPr>
            <w:tcW w:w="1216" w:type="dxa"/>
            <w:vAlign w:val="center"/>
          </w:tcPr>
          <w:p w:rsidR="00AB63AE" w:rsidRPr="00DC0285" w:rsidP="000817E8" w14:paraId="526E7DC3" w14:textId="10C682CA">
            <w:pPr>
              <w:jc w:val="center"/>
              <w:rPr>
                <w:b/>
                <w:bCs/>
              </w:rPr>
            </w:pPr>
            <w:r w:rsidRPr="006C541E">
              <w:rPr>
                <w:b/>
                <w:bCs/>
                <w:color w:val="000000"/>
              </w:rPr>
              <w:t>18,750</w:t>
            </w:r>
          </w:p>
        </w:tc>
        <w:tc>
          <w:tcPr>
            <w:tcW w:w="1664" w:type="dxa"/>
            <w:vAlign w:val="center"/>
          </w:tcPr>
          <w:p w:rsidR="00AB63AE" w:rsidRPr="00DC0285" w:rsidP="000817E8" w14:paraId="73DB7708" w14:textId="7D3CE192">
            <w:pPr>
              <w:rPr>
                <w:b/>
                <w:bCs/>
              </w:rPr>
            </w:pPr>
            <w:r w:rsidRPr="006C541E">
              <w:rPr>
                <w:b/>
                <w:bCs/>
                <w:color w:val="000000"/>
              </w:rPr>
              <w:t>$</w:t>
            </w:r>
            <w:r w:rsidRPr="006C541E" w:rsidR="00167E0A">
              <w:rPr>
                <w:b/>
                <w:bCs/>
                <w:color w:val="000000"/>
              </w:rPr>
              <w:t>1,9</w:t>
            </w:r>
            <w:r w:rsidRPr="006C541E" w:rsidR="00F03F3E">
              <w:rPr>
                <w:b/>
                <w:bCs/>
                <w:color w:val="000000"/>
              </w:rPr>
              <w:t>7</w:t>
            </w:r>
            <w:r w:rsidRPr="006C541E" w:rsidR="004718A9">
              <w:rPr>
                <w:b/>
                <w:bCs/>
                <w:color w:val="000000"/>
              </w:rPr>
              <w:t>1,087.00</w:t>
            </w:r>
          </w:p>
        </w:tc>
      </w:tr>
      <w:tr w14:paraId="337D42E7" w14:textId="77777777" w:rsidTr="000817E8">
        <w:tblPrEx>
          <w:tblW w:w="9535" w:type="dxa"/>
          <w:tblLayout w:type="fixed"/>
          <w:tblLook w:val="04A0"/>
        </w:tblPrEx>
        <w:trPr>
          <w:tblHeader/>
        </w:trPr>
        <w:tc>
          <w:tcPr>
            <w:tcW w:w="1975" w:type="dxa"/>
            <w:vAlign w:val="center"/>
          </w:tcPr>
          <w:p w:rsidR="00AB63AE" w:rsidRPr="6B370752" w:rsidP="000817E8" w14:paraId="4F3C7945" w14:textId="77777777">
            <w:pPr>
              <w:rPr>
                <w:b/>
                <w:bCs/>
              </w:rPr>
            </w:pPr>
            <w:r>
              <w:rPr>
                <w:b/>
                <w:bCs/>
              </w:rPr>
              <w:t>Total per Manufacturer</w:t>
            </w:r>
          </w:p>
        </w:tc>
        <w:tc>
          <w:tcPr>
            <w:tcW w:w="1080" w:type="dxa"/>
            <w:vAlign w:val="center"/>
          </w:tcPr>
          <w:p w:rsidR="00AB63AE" w:rsidRPr="00BC1EE4" w:rsidP="000817E8" w14:paraId="5E05296D" w14:textId="77777777">
            <w:pPr>
              <w:jc w:val="center"/>
              <w:rPr>
                <w:b/>
                <w:bCs/>
              </w:rPr>
            </w:pPr>
            <w:r w:rsidRPr="000A5850">
              <w:rPr>
                <w:rFonts w:ascii="Times" w:hAnsi="Times" w:cs="Times"/>
                <w:color w:val="000000"/>
              </w:rPr>
              <w:t>-</w:t>
            </w:r>
            <w:r>
              <w:rPr>
                <w:color w:val="000000"/>
              </w:rPr>
              <w:t xml:space="preserve"> </w:t>
            </w:r>
          </w:p>
        </w:tc>
        <w:tc>
          <w:tcPr>
            <w:tcW w:w="1080" w:type="dxa"/>
            <w:vAlign w:val="center"/>
          </w:tcPr>
          <w:p w:rsidR="00AB63AE" w:rsidRPr="00BC1EE4" w:rsidP="000817E8" w14:paraId="071320E1" w14:textId="77777777">
            <w:pPr>
              <w:jc w:val="center"/>
              <w:rPr>
                <w:b/>
                <w:bCs/>
              </w:rPr>
            </w:pPr>
            <w:r w:rsidRPr="000A5850">
              <w:rPr>
                <w:rFonts w:ascii="Times" w:hAnsi="Times" w:cs="Times"/>
                <w:color w:val="000000"/>
              </w:rPr>
              <w:t>-</w:t>
            </w:r>
            <w:r>
              <w:rPr>
                <w:color w:val="000000"/>
              </w:rPr>
              <w:t xml:space="preserve"> </w:t>
            </w:r>
          </w:p>
        </w:tc>
        <w:tc>
          <w:tcPr>
            <w:tcW w:w="990" w:type="dxa"/>
            <w:vAlign w:val="center"/>
          </w:tcPr>
          <w:p w:rsidR="00AB63AE" w:rsidRPr="00DC0285" w:rsidP="000817E8" w14:paraId="03E108E5" w14:textId="16225857">
            <w:pPr>
              <w:jc w:val="center"/>
              <w:rPr>
                <w:b/>
                <w:bCs/>
              </w:rPr>
            </w:pPr>
            <w:r w:rsidRPr="006C541E">
              <w:rPr>
                <w:b/>
                <w:bCs/>
                <w:color w:val="000000"/>
              </w:rPr>
              <w:t>75</w:t>
            </w:r>
            <w:r w:rsidRPr="006C541E">
              <w:rPr>
                <w:b/>
                <w:bCs/>
                <w:color w:val="000000"/>
              </w:rPr>
              <w:t>0</w:t>
            </w:r>
          </w:p>
        </w:tc>
        <w:tc>
          <w:tcPr>
            <w:tcW w:w="1530" w:type="dxa"/>
            <w:vAlign w:val="center"/>
          </w:tcPr>
          <w:p w:rsidR="00AB63AE" w:rsidRPr="00DC0285" w:rsidP="000817E8" w14:paraId="6B1EF2A9" w14:textId="77777777">
            <w:pPr>
              <w:jc w:val="center"/>
              <w:rPr>
                <w:b/>
                <w:bCs/>
              </w:rPr>
            </w:pPr>
            <w:r w:rsidRPr="006C541E">
              <w:rPr>
                <w:b/>
                <w:bCs/>
                <w:color w:val="000000"/>
              </w:rPr>
              <w:t>1</w:t>
            </w:r>
          </w:p>
        </w:tc>
        <w:tc>
          <w:tcPr>
            <w:tcW w:w="1216" w:type="dxa"/>
            <w:vAlign w:val="center"/>
          </w:tcPr>
          <w:p w:rsidR="00AB63AE" w:rsidRPr="00DC0285" w:rsidP="000817E8" w14:paraId="1D502373" w14:textId="5F486FD7">
            <w:pPr>
              <w:jc w:val="center"/>
              <w:rPr>
                <w:b/>
                <w:bCs/>
              </w:rPr>
            </w:pPr>
            <w:r w:rsidRPr="006C541E">
              <w:rPr>
                <w:b/>
                <w:bCs/>
                <w:color w:val="000000"/>
              </w:rPr>
              <w:t>75</w:t>
            </w:r>
            <w:r w:rsidRPr="006C541E">
              <w:rPr>
                <w:b/>
                <w:bCs/>
                <w:color w:val="000000"/>
              </w:rPr>
              <w:t>0</w:t>
            </w:r>
          </w:p>
        </w:tc>
        <w:tc>
          <w:tcPr>
            <w:tcW w:w="1664" w:type="dxa"/>
            <w:vAlign w:val="center"/>
          </w:tcPr>
          <w:p w:rsidR="00AB63AE" w:rsidRPr="00DC0285" w:rsidP="000817E8" w14:paraId="266CB58A" w14:textId="482038B8">
            <w:pPr>
              <w:rPr>
                <w:b/>
                <w:bCs/>
              </w:rPr>
            </w:pPr>
            <w:r w:rsidRPr="006C541E">
              <w:rPr>
                <w:b/>
                <w:bCs/>
                <w:color w:val="000000"/>
              </w:rPr>
              <w:t>$</w:t>
            </w:r>
            <w:r w:rsidRPr="006C541E" w:rsidR="004718A9">
              <w:rPr>
                <w:b/>
                <w:bCs/>
                <w:color w:val="000000"/>
              </w:rPr>
              <w:t>78,843.48</w:t>
            </w:r>
          </w:p>
        </w:tc>
      </w:tr>
    </w:tbl>
    <w:p w:rsidR="00AB63AE" w:rsidRPr="00D45546" w:rsidP="00AB63AE" w14:paraId="677C749A" w14:textId="77777777">
      <w:pPr>
        <w:rPr>
          <w:color w:val="000000" w:themeColor="text1"/>
          <w:sz w:val="20"/>
          <w:szCs w:val="20"/>
        </w:rPr>
      </w:pPr>
      <w:r w:rsidRPr="7C2D0501">
        <w:rPr>
          <w:i/>
          <w:iCs/>
          <w:color w:val="000000" w:themeColor="text1"/>
          <w:sz w:val="20"/>
          <w:szCs w:val="20"/>
        </w:rPr>
        <w:t>* As previously noted, this estimate assumes 100 percent increase to account for fringe benefits and overhead. This adjustment is a broad approximation as fringe benefits and overhead costs vary significantly across employers and methods of estimating these costs vary widely across studies.</w:t>
      </w:r>
    </w:p>
    <w:p w:rsidR="00AB63AE" w:rsidRPr="00D45546" w:rsidP="00AB63AE" w14:paraId="2C922C3C" w14:textId="348EB2AA">
      <w:r>
        <w:t>A</w:t>
      </w:r>
      <w:r w:rsidRPr="6B370752">
        <w:t xml:space="preserve">n additional low </w:t>
      </w:r>
      <w:r>
        <w:t xml:space="preserve">estimate </w:t>
      </w:r>
      <w:r w:rsidRPr="6B370752">
        <w:t xml:space="preserve">and high estimate </w:t>
      </w:r>
      <w:r w:rsidR="00563E22">
        <w:t>are</w:t>
      </w:r>
      <w:r w:rsidRPr="6B370752">
        <w:t xml:space="preserve"> provided in Table </w:t>
      </w:r>
      <w:r w:rsidR="007F48A5">
        <w:t>4</w:t>
      </w:r>
      <w:r w:rsidRPr="6B370752">
        <w:t xml:space="preserve"> below</w:t>
      </w:r>
      <w:r>
        <w:t xml:space="preserve"> to illustrate the possible variability for this burden estimate</w:t>
      </w:r>
      <w:r w:rsidRPr="6B370752">
        <w:t xml:space="preserve">. To calculate the low estimate, the base estimate (Table </w:t>
      </w:r>
      <w:r w:rsidR="007F48A5">
        <w:t>3</w:t>
      </w:r>
      <w:r>
        <w:t xml:space="preserve"> Total</w:t>
      </w:r>
      <w:r w:rsidRPr="6B370752">
        <w:t xml:space="preserve">) has been reduced by half for each labor category. For the high estimate, the required time and </w:t>
      </w:r>
      <w:r>
        <w:t>cost</w:t>
      </w:r>
      <w:r w:rsidRPr="6B370752">
        <w:t xml:space="preserve"> associated with each labor category</w:t>
      </w:r>
      <w:r>
        <w:t xml:space="preserve"> from the base estimate</w:t>
      </w:r>
      <w:r w:rsidRPr="6B370752">
        <w:t xml:space="preserve"> has </w:t>
      </w:r>
      <w:r w:rsidRPr="6B370752">
        <w:t>been doubled</w:t>
      </w:r>
      <w:r w:rsidRPr="6B370752">
        <w:t>.</w:t>
      </w:r>
    </w:p>
    <w:p w:rsidR="00AB63AE" w:rsidRPr="0078206D" w:rsidP="00AB63AE" w14:paraId="7EB7D009" w14:textId="7C6CCCF8">
      <w:pPr>
        <w:pStyle w:val="Heading4"/>
      </w:pPr>
      <w:r w:rsidRPr="0078206D">
        <w:t xml:space="preserve">TABLE </w:t>
      </w:r>
      <w:r w:rsidR="007F48A5">
        <w:t>4</w:t>
      </w:r>
      <w:r w:rsidRPr="0078206D">
        <w:t>: COST RANGE ESTIMATES FOR PRIMARY MANUFACTURER</w:t>
      </w:r>
    </w:p>
    <w:tbl>
      <w:tblPr>
        <w:tblW w:w="0" w:type="auto"/>
        <w:tblLayout w:type="fixed"/>
        <w:tblLook w:val="04A0"/>
      </w:tblPr>
      <w:tblGrid>
        <w:gridCol w:w="2055"/>
        <w:gridCol w:w="2490"/>
        <w:gridCol w:w="2490"/>
        <w:gridCol w:w="2280"/>
      </w:tblGrid>
      <w:tr w14:paraId="4A75F590" w14:textId="77777777" w:rsidTr="000817E8">
        <w:tblPrEx>
          <w:tblW w:w="0" w:type="auto"/>
          <w:tblLayout w:type="fixed"/>
          <w:tblLook w:val="04A0"/>
        </w:tblPrEx>
        <w:trPr>
          <w:trHeight w:val="390"/>
          <w:tblHeader/>
        </w:trPr>
        <w:tc>
          <w:tcPr>
            <w:tcW w:w="2055" w:type="dxa"/>
            <w:tcBorders>
              <w:top w:val="single" w:sz="6" w:space="0" w:color="auto"/>
              <w:left w:val="single" w:sz="6" w:space="0" w:color="auto"/>
              <w:bottom w:val="single" w:sz="6" w:space="0" w:color="auto"/>
              <w:right w:val="single" w:sz="6" w:space="0" w:color="auto"/>
            </w:tcBorders>
          </w:tcPr>
          <w:p w:rsidR="00AB63AE" w:rsidP="000817E8" w14:paraId="6CB4EC18" w14:textId="77777777">
            <w:pPr>
              <w:keepNext/>
              <w:jc w:val="center"/>
            </w:pPr>
          </w:p>
        </w:tc>
        <w:tc>
          <w:tcPr>
            <w:tcW w:w="2490" w:type="dxa"/>
            <w:tcBorders>
              <w:top w:val="single" w:sz="6" w:space="0" w:color="auto"/>
              <w:left w:val="single" w:sz="6" w:space="0" w:color="auto"/>
              <w:bottom w:val="single" w:sz="6" w:space="0" w:color="auto"/>
              <w:right w:val="single" w:sz="6" w:space="0" w:color="auto"/>
            </w:tcBorders>
          </w:tcPr>
          <w:p w:rsidR="00AB63AE" w:rsidP="000817E8" w14:paraId="73D23440" w14:textId="77777777">
            <w:pPr>
              <w:keepNext/>
              <w:jc w:val="center"/>
            </w:pPr>
            <w:r w:rsidRPr="6B370752">
              <w:rPr>
                <w:b/>
                <w:bCs/>
              </w:rPr>
              <w:t xml:space="preserve">Hours per Respondent </w:t>
            </w:r>
          </w:p>
        </w:tc>
        <w:tc>
          <w:tcPr>
            <w:tcW w:w="2490" w:type="dxa"/>
            <w:tcBorders>
              <w:top w:val="single" w:sz="6" w:space="0" w:color="auto"/>
              <w:left w:val="single" w:sz="6" w:space="0" w:color="auto"/>
              <w:bottom w:val="single" w:sz="6" w:space="0" w:color="auto"/>
              <w:right w:val="single" w:sz="6" w:space="0" w:color="auto"/>
            </w:tcBorders>
          </w:tcPr>
          <w:p w:rsidR="00AB63AE" w:rsidP="000817E8" w14:paraId="622B6BDE" w14:textId="77777777">
            <w:pPr>
              <w:keepNext/>
              <w:jc w:val="center"/>
            </w:pPr>
            <w:r w:rsidRPr="6B370752">
              <w:rPr>
                <w:b/>
                <w:bCs/>
              </w:rPr>
              <w:t>Cost per Respondent</w:t>
            </w:r>
          </w:p>
        </w:tc>
        <w:tc>
          <w:tcPr>
            <w:tcW w:w="2280" w:type="dxa"/>
            <w:tcBorders>
              <w:top w:val="single" w:sz="6" w:space="0" w:color="auto"/>
              <w:left w:val="single" w:sz="6" w:space="0" w:color="auto"/>
              <w:bottom w:val="single" w:sz="6" w:space="0" w:color="auto"/>
              <w:right w:val="single" w:sz="6" w:space="0" w:color="auto"/>
            </w:tcBorders>
          </w:tcPr>
          <w:p w:rsidR="00AB63AE" w:rsidP="000817E8" w14:paraId="36D5FDCA" w14:textId="77777777">
            <w:pPr>
              <w:keepNext/>
              <w:jc w:val="center"/>
            </w:pPr>
            <w:r w:rsidRPr="6B370752">
              <w:rPr>
                <w:b/>
                <w:bCs/>
              </w:rPr>
              <w:t>Total Cost</w:t>
            </w:r>
          </w:p>
        </w:tc>
      </w:tr>
      <w:tr w14:paraId="1EF539F2" w14:textId="77777777" w:rsidTr="000817E8">
        <w:tblPrEx>
          <w:tblW w:w="0" w:type="auto"/>
          <w:tblLayout w:type="fixed"/>
          <w:tblLook w:val="04A0"/>
        </w:tblPrEx>
        <w:trPr>
          <w:trHeight w:val="390"/>
          <w:tblHeader/>
        </w:trPr>
        <w:tc>
          <w:tcPr>
            <w:tcW w:w="2055" w:type="dxa"/>
            <w:tcBorders>
              <w:top w:val="single" w:sz="6" w:space="0" w:color="auto"/>
              <w:left w:val="single" w:sz="6" w:space="0" w:color="auto"/>
              <w:bottom w:val="single" w:sz="6" w:space="0" w:color="auto"/>
              <w:right w:val="single" w:sz="6" w:space="0" w:color="auto"/>
            </w:tcBorders>
          </w:tcPr>
          <w:p w:rsidR="00AB63AE" w:rsidP="000817E8" w14:paraId="2A5A8495" w14:textId="77777777">
            <w:pPr>
              <w:jc w:val="center"/>
            </w:pPr>
            <w:r w:rsidRPr="6B370752">
              <w:t>Low</w:t>
            </w:r>
            <w:r>
              <w:t xml:space="preserve"> Estimate</w:t>
            </w:r>
          </w:p>
        </w:tc>
        <w:tc>
          <w:tcPr>
            <w:tcW w:w="2490" w:type="dxa"/>
            <w:tcBorders>
              <w:top w:val="single" w:sz="6" w:space="0" w:color="auto"/>
              <w:left w:val="single" w:sz="6" w:space="0" w:color="auto"/>
              <w:bottom w:val="single" w:sz="6" w:space="0" w:color="auto"/>
              <w:right w:val="single" w:sz="6" w:space="0" w:color="auto"/>
            </w:tcBorders>
            <w:vAlign w:val="center"/>
          </w:tcPr>
          <w:p w:rsidR="00AB63AE" w:rsidP="000817E8" w14:paraId="6D9D17DA" w14:textId="0F315F45">
            <w:pPr>
              <w:jc w:val="center"/>
            </w:pPr>
            <w:r>
              <w:rPr>
                <w:color w:val="000000"/>
              </w:rPr>
              <w:t>375</w:t>
            </w:r>
          </w:p>
        </w:tc>
        <w:tc>
          <w:tcPr>
            <w:tcW w:w="2490" w:type="dxa"/>
            <w:tcBorders>
              <w:top w:val="single" w:sz="6" w:space="0" w:color="auto"/>
              <w:left w:val="single" w:sz="6" w:space="0" w:color="auto"/>
              <w:bottom w:val="single" w:sz="6" w:space="0" w:color="auto"/>
              <w:right w:val="single" w:sz="6" w:space="0" w:color="auto"/>
            </w:tcBorders>
            <w:vAlign w:val="center"/>
          </w:tcPr>
          <w:p w:rsidR="00AB63AE" w:rsidP="000817E8" w14:paraId="3EA8EA3A" w14:textId="2B236384">
            <w:pPr>
              <w:jc w:val="center"/>
            </w:pPr>
            <w:r>
              <w:rPr>
                <w:color w:val="000000"/>
              </w:rPr>
              <w:t>$</w:t>
            </w:r>
            <w:r w:rsidR="00F03F3E">
              <w:rPr>
                <w:color w:val="000000"/>
              </w:rPr>
              <w:t>39,</w:t>
            </w:r>
            <w:r w:rsidR="004718A9">
              <w:rPr>
                <w:color w:val="000000"/>
              </w:rPr>
              <w:t>421.74</w:t>
            </w:r>
          </w:p>
        </w:tc>
        <w:tc>
          <w:tcPr>
            <w:tcW w:w="2280" w:type="dxa"/>
            <w:tcBorders>
              <w:top w:val="single" w:sz="6" w:space="0" w:color="auto"/>
              <w:left w:val="single" w:sz="6" w:space="0" w:color="auto"/>
              <w:bottom w:val="single" w:sz="6" w:space="0" w:color="auto"/>
              <w:right w:val="single" w:sz="6" w:space="0" w:color="auto"/>
            </w:tcBorders>
            <w:vAlign w:val="center"/>
          </w:tcPr>
          <w:p w:rsidR="00AB63AE" w:rsidP="000817E8" w14:paraId="712E796D" w14:textId="07AD86E3">
            <w:pPr>
              <w:jc w:val="center"/>
            </w:pPr>
            <w:r>
              <w:rPr>
                <w:color w:val="000000"/>
              </w:rPr>
              <w:t>$</w:t>
            </w:r>
            <w:r w:rsidR="004718A9">
              <w:rPr>
                <w:color w:val="000000"/>
              </w:rPr>
              <w:t>985,543.50</w:t>
            </w:r>
            <w:r>
              <w:rPr>
                <w:color w:val="000000"/>
              </w:rPr>
              <w:t xml:space="preserve"> </w:t>
            </w:r>
          </w:p>
        </w:tc>
      </w:tr>
      <w:tr w14:paraId="7917A193" w14:textId="77777777" w:rsidTr="000817E8">
        <w:tblPrEx>
          <w:tblW w:w="0" w:type="auto"/>
          <w:tblLayout w:type="fixed"/>
          <w:tblLook w:val="04A0"/>
        </w:tblPrEx>
        <w:trPr>
          <w:trHeight w:val="360"/>
          <w:tblHeader/>
        </w:trPr>
        <w:tc>
          <w:tcPr>
            <w:tcW w:w="2055" w:type="dxa"/>
            <w:tcBorders>
              <w:top w:val="single" w:sz="6" w:space="0" w:color="auto"/>
              <w:left w:val="single" w:sz="6" w:space="0" w:color="auto"/>
              <w:bottom w:val="single" w:sz="6" w:space="0" w:color="auto"/>
              <w:right w:val="single" w:sz="6" w:space="0" w:color="auto"/>
            </w:tcBorders>
          </w:tcPr>
          <w:p w:rsidR="00AB63AE" w:rsidRPr="6B370752" w:rsidP="000817E8" w14:paraId="40BCA965" w14:textId="271C7454">
            <w:pPr>
              <w:jc w:val="center"/>
            </w:pPr>
            <w:r>
              <w:t xml:space="preserve">Base Estimate (from Table </w:t>
            </w:r>
            <w:r w:rsidR="001E4236">
              <w:t>3</w:t>
            </w:r>
            <w:r>
              <w:t>)</w:t>
            </w:r>
          </w:p>
        </w:tc>
        <w:tc>
          <w:tcPr>
            <w:tcW w:w="2490" w:type="dxa"/>
            <w:tcBorders>
              <w:top w:val="single" w:sz="6" w:space="0" w:color="auto"/>
              <w:left w:val="single" w:sz="6" w:space="0" w:color="auto"/>
              <w:bottom w:val="single" w:sz="6" w:space="0" w:color="auto"/>
              <w:right w:val="single" w:sz="6" w:space="0" w:color="auto"/>
            </w:tcBorders>
            <w:vAlign w:val="center"/>
          </w:tcPr>
          <w:p w:rsidR="00AB63AE" w:rsidRPr="6B370752" w:rsidP="000817E8" w14:paraId="20BB4F2D" w14:textId="1C42368B">
            <w:pPr>
              <w:jc w:val="center"/>
            </w:pPr>
            <w:r>
              <w:rPr>
                <w:color w:val="000000"/>
              </w:rPr>
              <w:t>750</w:t>
            </w:r>
          </w:p>
        </w:tc>
        <w:tc>
          <w:tcPr>
            <w:tcW w:w="2490" w:type="dxa"/>
            <w:tcBorders>
              <w:top w:val="single" w:sz="6" w:space="0" w:color="auto"/>
              <w:left w:val="single" w:sz="6" w:space="0" w:color="auto"/>
              <w:bottom w:val="single" w:sz="6" w:space="0" w:color="auto"/>
              <w:right w:val="single" w:sz="6" w:space="0" w:color="auto"/>
            </w:tcBorders>
            <w:vAlign w:val="center"/>
          </w:tcPr>
          <w:p w:rsidR="00AB63AE" w:rsidRPr="6B370752" w:rsidP="000817E8" w14:paraId="4CD92FC3" w14:textId="7B01EF1A">
            <w:pPr>
              <w:jc w:val="center"/>
            </w:pPr>
            <w:r>
              <w:rPr>
                <w:color w:val="000000"/>
              </w:rPr>
              <w:t>$</w:t>
            </w:r>
            <w:r w:rsidR="004718A9">
              <w:rPr>
                <w:color w:val="000000"/>
              </w:rPr>
              <w:t>78,843.48</w:t>
            </w:r>
          </w:p>
        </w:tc>
        <w:tc>
          <w:tcPr>
            <w:tcW w:w="2280" w:type="dxa"/>
            <w:tcBorders>
              <w:top w:val="single" w:sz="6" w:space="0" w:color="auto"/>
              <w:left w:val="single" w:sz="6" w:space="0" w:color="auto"/>
              <w:bottom w:val="single" w:sz="6" w:space="0" w:color="auto"/>
              <w:right w:val="single" w:sz="6" w:space="0" w:color="auto"/>
            </w:tcBorders>
            <w:vAlign w:val="center"/>
          </w:tcPr>
          <w:p w:rsidR="00AB63AE" w:rsidRPr="6B370752" w:rsidP="000817E8" w14:paraId="430A3171" w14:textId="143EA83E">
            <w:pPr>
              <w:jc w:val="center"/>
            </w:pPr>
            <w:r>
              <w:rPr>
                <w:color w:val="000000"/>
              </w:rPr>
              <w:t>$</w:t>
            </w:r>
            <w:r w:rsidR="004718A9">
              <w:rPr>
                <w:color w:val="000000"/>
              </w:rPr>
              <w:t>1,971,087.00</w:t>
            </w:r>
            <w:r>
              <w:rPr>
                <w:color w:val="000000"/>
              </w:rPr>
              <w:t xml:space="preserve"> </w:t>
            </w:r>
          </w:p>
        </w:tc>
      </w:tr>
      <w:tr w14:paraId="34268EE5" w14:textId="77777777" w:rsidTr="000817E8">
        <w:tblPrEx>
          <w:tblW w:w="0" w:type="auto"/>
          <w:tblLayout w:type="fixed"/>
          <w:tblLook w:val="04A0"/>
        </w:tblPrEx>
        <w:trPr>
          <w:trHeight w:val="360"/>
          <w:tblHeader/>
        </w:trPr>
        <w:tc>
          <w:tcPr>
            <w:tcW w:w="2055" w:type="dxa"/>
            <w:tcBorders>
              <w:top w:val="single" w:sz="6" w:space="0" w:color="auto"/>
              <w:left w:val="single" w:sz="6" w:space="0" w:color="auto"/>
              <w:bottom w:val="single" w:sz="6" w:space="0" w:color="auto"/>
              <w:right w:val="single" w:sz="6" w:space="0" w:color="auto"/>
            </w:tcBorders>
          </w:tcPr>
          <w:p w:rsidR="00AB63AE" w:rsidP="000817E8" w14:paraId="1A9E8954" w14:textId="77777777">
            <w:pPr>
              <w:jc w:val="center"/>
            </w:pPr>
            <w:r w:rsidRPr="6B370752">
              <w:t>High</w:t>
            </w:r>
            <w:r>
              <w:t xml:space="preserve"> Estimate</w:t>
            </w:r>
          </w:p>
        </w:tc>
        <w:tc>
          <w:tcPr>
            <w:tcW w:w="2490" w:type="dxa"/>
            <w:tcBorders>
              <w:top w:val="single" w:sz="6" w:space="0" w:color="auto"/>
              <w:left w:val="single" w:sz="6" w:space="0" w:color="auto"/>
              <w:bottom w:val="single" w:sz="6" w:space="0" w:color="auto"/>
              <w:right w:val="single" w:sz="6" w:space="0" w:color="auto"/>
            </w:tcBorders>
            <w:vAlign w:val="center"/>
          </w:tcPr>
          <w:p w:rsidR="00AB63AE" w:rsidP="000817E8" w14:paraId="4F0717FB" w14:textId="425094EB">
            <w:pPr>
              <w:jc w:val="center"/>
            </w:pPr>
            <w:r>
              <w:rPr>
                <w:color w:val="000000"/>
              </w:rPr>
              <w:t>1,500</w:t>
            </w:r>
          </w:p>
        </w:tc>
        <w:tc>
          <w:tcPr>
            <w:tcW w:w="2490" w:type="dxa"/>
            <w:tcBorders>
              <w:top w:val="single" w:sz="6" w:space="0" w:color="auto"/>
              <w:left w:val="single" w:sz="6" w:space="0" w:color="auto"/>
              <w:bottom w:val="single" w:sz="6" w:space="0" w:color="auto"/>
              <w:right w:val="single" w:sz="6" w:space="0" w:color="auto"/>
            </w:tcBorders>
            <w:vAlign w:val="center"/>
          </w:tcPr>
          <w:p w:rsidR="00AB63AE" w:rsidP="000817E8" w14:paraId="5E2FE86D" w14:textId="42C9064D">
            <w:pPr>
              <w:jc w:val="center"/>
            </w:pPr>
            <w:r>
              <w:rPr>
                <w:color w:val="000000"/>
              </w:rPr>
              <w:t>$</w:t>
            </w:r>
            <w:r w:rsidR="004718A9">
              <w:rPr>
                <w:color w:val="000000"/>
              </w:rPr>
              <w:t>157,686.96</w:t>
            </w:r>
            <w:r>
              <w:rPr>
                <w:color w:val="000000"/>
              </w:rPr>
              <w:t xml:space="preserve"> </w:t>
            </w:r>
          </w:p>
        </w:tc>
        <w:tc>
          <w:tcPr>
            <w:tcW w:w="2280" w:type="dxa"/>
            <w:tcBorders>
              <w:top w:val="single" w:sz="6" w:space="0" w:color="auto"/>
              <w:left w:val="single" w:sz="6" w:space="0" w:color="auto"/>
              <w:bottom w:val="single" w:sz="6" w:space="0" w:color="auto"/>
              <w:right w:val="single" w:sz="6" w:space="0" w:color="auto"/>
            </w:tcBorders>
            <w:vAlign w:val="center"/>
          </w:tcPr>
          <w:p w:rsidR="00AB63AE" w:rsidP="000817E8" w14:paraId="6EF47B2E" w14:textId="6231EA6F">
            <w:pPr>
              <w:jc w:val="center"/>
            </w:pPr>
            <w:r>
              <w:rPr>
                <w:color w:val="000000"/>
              </w:rPr>
              <w:t>$3,</w:t>
            </w:r>
            <w:r w:rsidR="00F03F3E">
              <w:rPr>
                <w:color w:val="000000"/>
              </w:rPr>
              <w:t>95</w:t>
            </w:r>
            <w:r w:rsidR="004718A9">
              <w:rPr>
                <w:color w:val="000000"/>
              </w:rPr>
              <w:t>42,174.00</w:t>
            </w:r>
          </w:p>
        </w:tc>
      </w:tr>
    </w:tbl>
    <w:p w:rsidR="00AB63AE" w:rsidP="6B370752" w14:paraId="7C57388D" w14:textId="77777777">
      <w:pPr>
        <w:rPr>
          <w:color w:val="000000" w:themeColor="text1"/>
        </w:rPr>
      </w:pPr>
    </w:p>
    <w:p w:rsidR="6B370752" w:rsidRPr="000A5850" w:rsidP="00D45546" w14:paraId="0A99C527" w14:textId="01CAB794">
      <w:pPr>
        <w:pStyle w:val="Header3"/>
        <w:rPr>
          <w:b/>
          <w:bCs/>
          <w:u w:val="single"/>
        </w:rPr>
      </w:pPr>
      <w:r w:rsidRPr="7C2D0501">
        <w:rPr>
          <w:b/>
          <w:bCs/>
          <w:i w:val="0"/>
          <w:u w:val="single"/>
        </w:rPr>
        <w:t xml:space="preserve">B. Estimated Burden for General Public </w:t>
      </w:r>
    </w:p>
    <w:p w:rsidR="6B370752" w:rsidP="6B370752" w14:paraId="55857D00" w14:textId="5C013906">
      <w:r w:rsidRPr="6B370752">
        <w:t>To generate burden estimates</w:t>
      </w:r>
      <w:r w:rsidR="00772921">
        <w:t xml:space="preserve"> for initial price applicability year 202</w:t>
      </w:r>
      <w:r w:rsidR="00027B70">
        <w:t>8</w:t>
      </w:r>
      <w:r w:rsidR="00772921">
        <w:t>,</w:t>
      </w:r>
      <w:r w:rsidRPr="6B370752">
        <w:t xml:space="preserve"> CMS reviewed the public feedback that was received for </w:t>
      </w:r>
      <w:r w:rsidR="008D3241">
        <w:t>the</w:t>
      </w:r>
      <w:r w:rsidRPr="6B370752">
        <w:t xml:space="preserve"> </w:t>
      </w:r>
      <w:r w:rsidR="00CC43AA">
        <w:t xml:space="preserve">initial price applicability </w:t>
      </w:r>
      <w:r w:rsidR="00772921">
        <w:t xml:space="preserve">year </w:t>
      </w:r>
      <w:r w:rsidR="00CC43AA">
        <w:t>202</w:t>
      </w:r>
      <w:r w:rsidR="00974AFE">
        <w:t>7</w:t>
      </w:r>
      <w:r w:rsidR="00CC43AA">
        <w:t xml:space="preserve"> negotiation</w:t>
      </w:r>
      <w:r w:rsidR="00772921">
        <w:t xml:space="preserve"> period. CMS received </w:t>
      </w:r>
      <w:r w:rsidR="00027B70">
        <w:t>218</w:t>
      </w:r>
      <w:r w:rsidR="00772921">
        <w:t xml:space="preserve"> submissions from individuals and organizations for </w:t>
      </w:r>
      <w:r w:rsidR="00772921">
        <w:t>the section</w:t>
      </w:r>
      <w:r w:rsidR="00772921">
        <w:t xml:space="preserve"> 1194(e)(2) data collection. Approximately 5</w:t>
      </w:r>
      <w:r w:rsidR="00BE73B6">
        <w:t>4</w:t>
      </w:r>
      <w:r w:rsidR="00772921">
        <w:t xml:space="preserve">% of these submissions were from </w:t>
      </w:r>
      <w:r w:rsidR="00BE73B6">
        <w:t xml:space="preserve">a respondent self-selecting an </w:t>
      </w:r>
      <w:r w:rsidR="00772921">
        <w:t>organization</w:t>
      </w:r>
      <w:r w:rsidR="00BE73B6">
        <w:t>-related category</w:t>
      </w:r>
      <w:r w:rsidR="00772921">
        <w:t>.</w:t>
      </w:r>
      <w:r w:rsidR="00CC43AA">
        <w:t xml:space="preserve"> </w:t>
      </w:r>
      <w:r w:rsidR="00BE3508">
        <w:t xml:space="preserve">Due to the </w:t>
      </w:r>
      <w:r w:rsidR="00027B70">
        <w:t>inclusion of selected drugs for renegotiation</w:t>
      </w:r>
      <w:r w:rsidR="00BE3508">
        <w:t xml:space="preserve"> and </w:t>
      </w:r>
      <w:r w:rsidR="00BE73B6">
        <w:t xml:space="preserve">the </w:t>
      </w:r>
      <w:r w:rsidR="00027B70">
        <w:t>year</w:t>
      </w:r>
      <w:r w:rsidR="00BE73B6">
        <w:t>-</w:t>
      </w:r>
      <w:r w:rsidR="00027B70">
        <w:t>over</w:t>
      </w:r>
      <w:r w:rsidR="00BE73B6">
        <w:t>-</w:t>
      </w:r>
      <w:r w:rsidR="00027B70">
        <w:t xml:space="preserve">year </w:t>
      </w:r>
      <w:r w:rsidR="00BE3508">
        <w:t xml:space="preserve">greater awareness around the public input process for the Drug Price Negotiation Program, CMS </w:t>
      </w:r>
      <w:r w:rsidR="00BE73B6">
        <w:t xml:space="preserve">will maintain the total estimate of responses that may be received as the initial price applicability year 2027 burden estimate (325), which </w:t>
      </w:r>
      <w:r w:rsidR="00BE3508">
        <w:t xml:space="preserve">assumes it will receive approximately </w:t>
      </w:r>
      <w:r w:rsidR="00A6488D">
        <w:t xml:space="preserve">a </w:t>
      </w:r>
      <w:r w:rsidR="00BE73B6">
        <w:t>49 percent increase</w:t>
      </w:r>
      <w:r w:rsidR="00BE3508">
        <w:t xml:space="preserve"> </w:t>
      </w:r>
      <w:r w:rsidR="00BE73B6">
        <w:t>in the total volume of</w:t>
      </w:r>
      <w:r w:rsidR="00BE3508">
        <w:t xml:space="preserve"> public submissions for initial price applicability year 202</w:t>
      </w:r>
      <w:r w:rsidR="00027B70">
        <w:t>8</w:t>
      </w:r>
      <w:r w:rsidR="00BE3508">
        <w:t xml:space="preserve"> compared to initial price applicability year 202</w:t>
      </w:r>
      <w:r w:rsidR="00027B70">
        <w:t>7</w:t>
      </w:r>
      <w:r w:rsidR="00BE3508">
        <w:t xml:space="preserve">. This results in approximately 325 total submissions, with </w:t>
      </w:r>
      <w:r w:rsidR="00BE73B6">
        <w:t xml:space="preserve">approximately </w:t>
      </w:r>
      <w:r w:rsidR="00BE3508">
        <w:t>150 individual respondents and 175 organizations</w:t>
      </w:r>
      <w:r w:rsidR="00BE73B6">
        <w:t xml:space="preserve"> because the proportion of individuals and organizations remained </w:t>
      </w:r>
      <w:r w:rsidR="0069323E">
        <w:t>generally consistent across the first two initial price applicability years for which data has been collected thus far</w:t>
      </w:r>
      <w:r w:rsidR="00BE3508">
        <w:t>.</w:t>
      </w:r>
    </w:p>
    <w:p w:rsidR="00D45546" w:rsidRPr="0058366F" w:rsidP="00D45546" w14:paraId="16BAC9EA" w14:textId="24B6BC88">
      <w:r w:rsidRPr="6B370752">
        <w:t xml:space="preserve">This estimate assumes as many as </w:t>
      </w:r>
      <w:r w:rsidR="00772921">
        <w:t>150</w:t>
      </w:r>
      <w:r w:rsidRPr="6B370752">
        <w:t xml:space="preserve"> individual respondents may spend, on average, </w:t>
      </w:r>
      <w:r w:rsidR="00772921">
        <w:t>3 </w:t>
      </w:r>
      <w:r w:rsidRPr="6B370752">
        <w:t xml:space="preserve">hours </w:t>
      </w:r>
      <w:r w:rsidRPr="6B370752">
        <w:t>to review</w:t>
      </w:r>
      <w:r w:rsidRPr="6B370752">
        <w:t xml:space="preserve"> literature and </w:t>
      </w:r>
      <w:r w:rsidRPr="6B370752">
        <w:t>submit</w:t>
      </w:r>
      <w:r w:rsidRPr="6B370752">
        <w:t xml:space="preserve"> information to CMS for </w:t>
      </w:r>
      <w:r w:rsidR="00A030E1">
        <w:t xml:space="preserve">a </w:t>
      </w:r>
      <w:r w:rsidRPr="6B370752">
        <w:t xml:space="preserve">selected drug. Additionally, CMS assumes that there will be other organizations that develop responses that will take additional resources. CMS estimates that </w:t>
      </w:r>
      <w:r w:rsidR="00BE3508">
        <w:t xml:space="preserve">as many as </w:t>
      </w:r>
      <w:r w:rsidR="00772921">
        <w:t>175</w:t>
      </w:r>
      <w:r w:rsidRPr="6B370752" w:rsidR="00772921">
        <w:t xml:space="preserve"> </w:t>
      </w:r>
      <w:r w:rsidRPr="6B370752">
        <w:t xml:space="preserve">organizations may take, on average, </w:t>
      </w:r>
      <w:r w:rsidR="00772921">
        <w:t>30</w:t>
      </w:r>
      <w:r w:rsidRPr="6B370752" w:rsidR="00772921">
        <w:t xml:space="preserve"> </w:t>
      </w:r>
      <w:r w:rsidRPr="6B370752">
        <w:t xml:space="preserve">hours to review literature and submit information to CMS. The </w:t>
      </w:r>
      <w:r w:rsidR="00AB6E93">
        <w:t xml:space="preserve">U.S. </w:t>
      </w:r>
      <w:r w:rsidR="008D3241">
        <w:t>B</w:t>
      </w:r>
      <w:r w:rsidR="00AB6E93">
        <w:t xml:space="preserve">ureau of </w:t>
      </w:r>
      <w:r w:rsidR="008D3241">
        <w:t>L</w:t>
      </w:r>
      <w:r w:rsidR="00AB6E93">
        <w:t>abor Statistics’</w:t>
      </w:r>
      <w:r w:rsidR="008D3241">
        <w:t xml:space="preserve"> </w:t>
      </w:r>
      <w:r w:rsidRPr="6B370752">
        <w:t xml:space="preserve">labor category of </w:t>
      </w:r>
      <w:r w:rsidR="008D3241">
        <w:t>“</w:t>
      </w:r>
      <w:r w:rsidRPr="6B370752">
        <w:t>all occupations</w:t>
      </w:r>
      <w:r w:rsidR="008D3241">
        <w:t>”</w:t>
      </w:r>
      <w:r w:rsidRPr="6B370752">
        <w:t xml:space="preserve"> was used for this estimate given individual and organizational labor estimates will vary; the estimate </w:t>
      </w:r>
      <w:r w:rsidR="002551DB">
        <w:t xml:space="preserve">includes </w:t>
      </w:r>
      <w:r w:rsidRPr="6B370752">
        <w:t xml:space="preserve">overhead </w:t>
      </w:r>
      <w:r w:rsidR="00F947C4">
        <w:t>and</w:t>
      </w:r>
      <w:r w:rsidRPr="6B370752" w:rsidR="00F947C4">
        <w:t xml:space="preserve"> </w:t>
      </w:r>
      <w:r w:rsidRPr="6B370752">
        <w:t>fringe</w:t>
      </w:r>
      <w:r w:rsidR="001E2C84">
        <w:t xml:space="preserve"> benefits</w:t>
      </w:r>
      <w:r w:rsidR="00F947C4">
        <w:t xml:space="preserve"> at 100 percent of the hourly wage</w:t>
      </w:r>
      <w:r w:rsidRPr="6B370752">
        <w:t xml:space="preserve">. This </w:t>
      </w:r>
      <w:r w:rsidRPr="001309BA">
        <w:t xml:space="preserve">estimate yields a total burden of </w:t>
      </w:r>
      <w:r w:rsidR="00772921">
        <w:t>5,700</w:t>
      </w:r>
      <w:r w:rsidRPr="001309BA">
        <w:t xml:space="preserve"> hours (</w:t>
      </w:r>
      <w:r w:rsidR="00772921">
        <w:t>17.54</w:t>
      </w:r>
      <w:r w:rsidRPr="001309BA">
        <w:t xml:space="preserve"> hrs. * </w:t>
      </w:r>
      <w:r w:rsidR="00772921">
        <w:t>325</w:t>
      </w:r>
      <w:r w:rsidRPr="001309BA">
        <w:t xml:space="preserve"> respondents) and total cost</w:t>
      </w:r>
      <w:r w:rsidRPr="001309BA" w:rsidR="009F7F96">
        <w:t xml:space="preserve"> of</w:t>
      </w:r>
      <w:r w:rsidRPr="001309BA">
        <w:t xml:space="preserve"> $</w:t>
      </w:r>
      <w:r w:rsidR="00772921">
        <w:t>2</w:t>
      </w:r>
      <w:r w:rsidR="00492FF6">
        <w:t>71,320</w:t>
      </w:r>
      <w:r w:rsidR="00772921">
        <w:t>.00</w:t>
      </w:r>
      <w:r w:rsidRPr="001309BA">
        <w:t xml:space="preserve"> dollars</w:t>
      </w:r>
      <w:r w:rsidRPr="6B370752">
        <w:t xml:space="preserve"> (</w:t>
      </w:r>
      <w:r w:rsidR="00772921">
        <w:t>5,700</w:t>
      </w:r>
      <w:r w:rsidRPr="6B370752">
        <w:t xml:space="preserve"> hrs</w:t>
      </w:r>
      <w:r w:rsidRPr="00145E26">
        <w:t>. * $</w:t>
      </w:r>
      <w:r w:rsidR="00772921">
        <w:t>4</w:t>
      </w:r>
      <w:r w:rsidR="00492FF6">
        <w:t>7.60</w:t>
      </w:r>
      <w:r w:rsidRPr="6B370752">
        <w:t xml:space="preserve">), as displayed in Table </w:t>
      </w:r>
      <w:r w:rsidR="00A6488D">
        <w:t>5</w:t>
      </w:r>
      <w:r w:rsidRPr="6B370752">
        <w:t>.</w:t>
      </w:r>
    </w:p>
    <w:p w:rsidR="6B370752" w:rsidP="000A5850" w14:paraId="6FCC2B1A" w14:textId="367AC41F">
      <w:pPr>
        <w:pStyle w:val="Heading4"/>
      </w:pPr>
      <w:r w:rsidRPr="6B370752">
        <w:t xml:space="preserve">TABLE </w:t>
      </w:r>
      <w:r w:rsidR="007F48A5">
        <w:t>5</w:t>
      </w:r>
      <w:r w:rsidRPr="6B370752">
        <w:t xml:space="preserve">: SUMMARY OF INFORMATION COLLECTION </w:t>
      </w:r>
      <w:r w:rsidR="00FE58BB">
        <w:t xml:space="preserve">REQUEST </w:t>
      </w:r>
      <w:r w:rsidRPr="6B370752">
        <w:t>FOR PUBLIC FEEDBACK</w:t>
      </w:r>
      <w:r w:rsidR="00A025D5">
        <w:t xml:space="preserve"> FOR </w:t>
      </w:r>
      <w:r w:rsidR="00D87C05">
        <w:t xml:space="preserve">INITIAL </w:t>
      </w:r>
      <w:r w:rsidR="00A025D5">
        <w:t>PRICE APPLICABILITY YEAR 202</w:t>
      </w:r>
      <w:r w:rsidR="00D204DE">
        <w:t>8</w:t>
      </w:r>
    </w:p>
    <w:tbl>
      <w:tblPr>
        <w:tblW w:w="9360" w:type="dxa"/>
        <w:tblLayout w:type="fixed"/>
        <w:tblLook w:val="04A0"/>
      </w:tblPr>
      <w:tblGrid>
        <w:gridCol w:w="1522"/>
        <w:gridCol w:w="1440"/>
        <w:gridCol w:w="1080"/>
        <w:gridCol w:w="1530"/>
        <w:gridCol w:w="1170"/>
        <w:gridCol w:w="1170"/>
        <w:gridCol w:w="1448"/>
      </w:tblGrid>
      <w:tr w14:paraId="2EB066C1" w14:textId="77777777" w:rsidTr="00BC1EE4">
        <w:tblPrEx>
          <w:tblW w:w="9360" w:type="dxa"/>
          <w:tblLayout w:type="fixed"/>
          <w:tblLook w:val="04A0"/>
        </w:tblPrEx>
        <w:trPr>
          <w:trHeight w:val="540"/>
          <w:tblHeader/>
        </w:trPr>
        <w:tc>
          <w:tcPr>
            <w:tcW w:w="1522" w:type="dxa"/>
            <w:tcBorders>
              <w:top w:val="single" w:sz="6" w:space="0" w:color="auto"/>
              <w:left w:val="single" w:sz="6" w:space="0" w:color="auto"/>
              <w:bottom w:val="single" w:sz="6" w:space="0" w:color="auto"/>
              <w:right w:val="single" w:sz="6" w:space="0" w:color="auto"/>
            </w:tcBorders>
            <w:vAlign w:val="center"/>
          </w:tcPr>
          <w:p w:rsidR="6B370752" w:rsidP="00F145AD" w14:paraId="3F4E9D42" w14:textId="6FAF5085">
            <w:pPr>
              <w:keepNext/>
              <w:jc w:val="center"/>
              <w:rPr>
                <w:color w:val="000000" w:themeColor="text1"/>
              </w:rPr>
            </w:pPr>
            <w:r w:rsidRPr="6B370752">
              <w:rPr>
                <w:b/>
                <w:bCs/>
                <w:color w:val="000000" w:themeColor="text1"/>
              </w:rPr>
              <w:t>Type of Respondent</w:t>
            </w:r>
          </w:p>
        </w:tc>
        <w:tc>
          <w:tcPr>
            <w:tcW w:w="1440" w:type="dxa"/>
            <w:tcBorders>
              <w:top w:val="single" w:sz="6" w:space="0" w:color="auto"/>
              <w:left w:val="single" w:sz="6" w:space="0" w:color="auto"/>
              <w:bottom w:val="single" w:sz="6" w:space="0" w:color="auto"/>
              <w:right w:val="single" w:sz="6" w:space="0" w:color="auto"/>
            </w:tcBorders>
            <w:vAlign w:val="center"/>
          </w:tcPr>
          <w:p w:rsidR="6B370752" w:rsidP="00F145AD" w14:paraId="36E6764D" w14:textId="3E86C408">
            <w:pPr>
              <w:keepNext/>
              <w:jc w:val="center"/>
              <w:rPr>
                <w:color w:val="000000" w:themeColor="text1"/>
              </w:rPr>
            </w:pPr>
            <w:r w:rsidRPr="6B370752">
              <w:rPr>
                <w:b/>
                <w:bCs/>
                <w:color w:val="000000" w:themeColor="text1"/>
              </w:rPr>
              <w:t>Occupation Title</w:t>
            </w:r>
          </w:p>
        </w:tc>
        <w:tc>
          <w:tcPr>
            <w:tcW w:w="1080" w:type="dxa"/>
            <w:tcBorders>
              <w:top w:val="single" w:sz="6" w:space="0" w:color="auto"/>
              <w:left w:val="single" w:sz="6" w:space="0" w:color="auto"/>
              <w:bottom w:val="single" w:sz="6" w:space="0" w:color="auto"/>
              <w:right w:val="single" w:sz="6" w:space="0" w:color="auto"/>
            </w:tcBorders>
            <w:vAlign w:val="center"/>
          </w:tcPr>
          <w:p w:rsidR="6B370752" w:rsidP="00F145AD" w14:paraId="70BFC1D4" w14:textId="109DA533">
            <w:pPr>
              <w:keepNext/>
              <w:jc w:val="center"/>
            </w:pPr>
            <w:r>
              <w:rPr>
                <w:b/>
                <w:bCs/>
              </w:rPr>
              <w:t>Median</w:t>
            </w:r>
            <w:r w:rsidRPr="6B370752">
              <w:rPr>
                <w:b/>
                <w:bCs/>
              </w:rPr>
              <w:t xml:space="preserve"> </w:t>
            </w:r>
            <w:r w:rsidRPr="6B370752" w:rsidR="003C5EFA">
              <w:rPr>
                <w:b/>
                <w:bCs/>
              </w:rPr>
              <w:t>Hourly Wage</w:t>
            </w:r>
            <w:r w:rsidR="00F947C4">
              <w:rPr>
                <w:b/>
                <w:bCs/>
              </w:rPr>
              <w:t>*</w:t>
            </w:r>
          </w:p>
        </w:tc>
        <w:tc>
          <w:tcPr>
            <w:tcW w:w="1530" w:type="dxa"/>
            <w:tcBorders>
              <w:top w:val="single" w:sz="6" w:space="0" w:color="auto"/>
              <w:left w:val="single" w:sz="6" w:space="0" w:color="auto"/>
              <w:bottom w:val="single" w:sz="6" w:space="0" w:color="auto"/>
              <w:right w:val="single" w:sz="6" w:space="0" w:color="auto"/>
            </w:tcBorders>
            <w:vAlign w:val="center"/>
          </w:tcPr>
          <w:p w:rsidR="6B370752" w:rsidP="00F145AD" w14:paraId="345DB84D" w14:textId="0C794DC6">
            <w:pPr>
              <w:keepNext/>
              <w:jc w:val="center"/>
              <w:rPr>
                <w:color w:val="000000" w:themeColor="text1"/>
              </w:rPr>
            </w:pPr>
            <w:r>
              <w:rPr>
                <w:b/>
                <w:bCs/>
                <w:color w:val="000000" w:themeColor="text1"/>
              </w:rPr>
              <w:t>#</w:t>
            </w:r>
            <w:r w:rsidRPr="6B370752">
              <w:rPr>
                <w:b/>
                <w:bCs/>
                <w:color w:val="000000" w:themeColor="text1"/>
              </w:rPr>
              <w:t xml:space="preserve"> Respondents</w:t>
            </w:r>
          </w:p>
        </w:tc>
        <w:tc>
          <w:tcPr>
            <w:tcW w:w="1170" w:type="dxa"/>
            <w:tcBorders>
              <w:top w:val="single" w:sz="6" w:space="0" w:color="auto"/>
              <w:left w:val="single" w:sz="6" w:space="0" w:color="auto"/>
              <w:bottom w:val="single" w:sz="6" w:space="0" w:color="auto"/>
              <w:right w:val="single" w:sz="6" w:space="0" w:color="auto"/>
            </w:tcBorders>
            <w:vAlign w:val="center"/>
          </w:tcPr>
          <w:p w:rsidR="6B370752" w:rsidP="00F145AD" w14:paraId="4C186A36" w14:textId="3A0D29E6">
            <w:pPr>
              <w:keepNext/>
              <w:jc w:val="center"/>
              <w:rPr>
                <w:color w:val="000000" w:themeColor="text1"/>
              </w:rPr>
            </w:pPr>
            <w:r w:rsidRPr="6B370752">
              <w:rPr>
                <w:b/>
                <w:bCs/>
                <w:color w:val="000000" w:themeColor="text1"/>
              </w:rPr>
              <w:t>Hours per response</w:t>
            </w:r>
          </w:p>
        </w:tc>
        <w:tc>
          <w:tcPr>
            <w:tcW w:w="1170" w:type="dxa"/>
            <w:tcBorders>
              <w:top w:val="single" w:sz="6" w:space="0" w:color="auto"/>
              <w:left w:val="single" w:sz="6" w:space="0" w:color="auto"/>
              <w:bottom w:val="single" w:sz="6" w:space="0" w:color="auto"/>
              <w:right w:val="single" w:sz="6" w:space="0" w:color="auto"/>
            </w:tcBorders>
            <w:vAlign w:val="center"/>
          </w:tcPr>
          <w:p w:rsidR="6B370752" w:rsidP="00F145AD" w14:paraId="05C0F7CD" w14:textId="367ADD9A">
            <w:pPr>
              <w:keepNext/>
              <w:jc w:val="center"/>
              <w:rPr>
                <w:color w:val="000000" w:themeColor="text1"/>
              </w:rPr>
            </w:pPr>
            <w:r w:rsidRPr="6B370752">
              <w:rPr>
                <w:b/>
                <w:bCs/>
                <w:color w:val="000000" w:themeColor="text1"/>
              </w:rPr>
              <w:t>Total hours</w:t>
            </w:r>
          </w:p>
        </w:tc>
        <w:tc>
          <w:tcPr>
            <w:tcW w:w="1448" w:type="dxa"/>
            <w:tcBorders>
              <w:top w:val="single" w:sz="6" w:space="0" w:color="auto"/>
              <w:left w:val="single" w:sz="6" w:space="0" w:color="auto"/>
              <w:bottom w:val="single" w:sz="6" w:space="0" w:color="auto"/>
              <w:right w:val="single" w:sz="6" w:space="0" w:color="auto"/>
            </w:tcBorders>
            <w:vAlign w:val="center"/>
          </w:tcPr>
          <w:p w:rsidR="6B370752" w:rsidP="00F145AD" w14:paraId="6B42B551" w14:textId="2E7B9E5C">
            <w:pPr>
              <w:keepNext/>
              <w:jc w:val="center"/>
              <w:rPr>
                <w:color w:val="000000" w:themeColor="text1"/>
              </w:rPr>
            </w:pPr>
            <w:r w:rsidRPr="6B370752">
              <w:rPr>
                <w:b/>
                <w:bCs/>
                <w:color w:val="000000" w:themeColor="text1"/>
              </w:rPr>
              <w:t>Total Cost</w:t>
            </w:r>
          </w:p>
        </w:tc>
      </w:tr>
      <w:tr w14:paraId="2607FABD" w14:textId="77777777" w:rsidTr="00BC1EE4">
        <w:tblPrEx>
          <w:tblW w:w="9360" w:type="dxa"/>
          <w:tblLayout w:type="fixed"/>
          <w:tblLook w:val="04A0"/>
        </w:tblPrEx>
        <w:trPr>
          <w:trHeight w:val="585"/>
          <w:tblHeader/>
        </w:trPr>
        <w:tc>
          <w:tcPr>
            <w:tcW w:w="1522" w:type="dxa"/>
            <w:tcBorders>
              <w:top w:val="single" w:sz="6" w:space="0" w:color="auto"/>
              <w:left w:val="single" w:sz="6" w:space="0" w:color="auto"/>
              <w:bottom w:val="single" w:sz="6" w:space="0" w:color="auto"/>
              <w:right w:val="single" w:sz="6" w:space="0" w:color="auto"/>
            </w:tcBorders>
            <w:vAlign w:val="center"/>
          </w:tcPr>
          <w:p w:rsidR="00FF73CC" w:rsidP="00FF73CC" w14:paraId="29B33C73" w14:textId="6A936B76">
            <w:pPr>
              <w:jc w:val="center"/>
              <w:rPr>
                <w:color w:val="000000" w:themeColor="text1"/>
              </w:rPr>
            </w:pPr>
          </w:p>
          <w:p w:rsidR="00FF73CC" w:rsidP="00FF73CC" w14:paraId="707F6BAA" w14:textId="50D09734">
            <w:pPr>
              <w:jc w:val="center"/>
              <w:rPr>
                <w:color w:val="000000" w:themeColor="text1"/>
              </w:rPr>
            </w:pPr>
            <w:r w:rsidRPr="6B370752">
              <w:rPr>
                <w:color w:val="000000" w:themeColor="text1"/>
              </w:rPr>
              <w:t>Individual</w:t>
            </w:r>
          </w:p>
        </w:tc>
        <w:tc>
          <w:tcPr>
            <w:tcW w:w="1440" w:type="dxa"/>
            <w:tcBorders>
              <w:top w:val="single" w:sz="6" w:space="0" w:color="auto"/>
              <w:left w:val="single" w:sz="6" w:space="0" w:color="auto"/>
              <w:bottom w:val="single" w:sz="6" w:space="0" w:color="auto"/>
              <w:right w:val="single" w:sz="6" w:space="0" w:color="auto"/>
            </w:tcBorders>
            <w:vAlign w:val="center"/>
          </w:tcPr>
          <w:p w:rsidR="00FF73CC" w:rsidP="00FF73CC" w14:paraId="72FCD118" w14:textId="3CBCBF66">
            <w:pPr>
              <w:jc w:val="center"/>
              <w:rPr>
                <w:color w:val="000000" w:themeColor="text1"/>
              </w:rPr>
            </w:pPr>
            <w:r w:rsidRPr="6B370752">
              <w:rPr>
                <w:color w:val="000000" w:themeColor="text1"/>
              </w:rPr>
              <w:t>All Occupations 00-0000</w:t>
            </w:r>
          </w:p>
        </w:tc>
        <w:tc>
          <w:tcPr>
            <w:tcW w:w="1080" w:type="dxa"/>
            <w:tcBorders>
              <w:top w:val="single" w:sz="6" w:space="0" w:color="auto"/>
              <w:left w:val="single" w:sz="6" w:space="0" w:color="auto"/>
              <w:bottom w:val="single" w:sz="6" w:space="0" w:color="auto"/>
              <w:right w:val="single" w:sz="6" w:space="0" w:color="auto"/>
            </w:tcBorders>
            <w:vAlign w:val="center"/>
          </w:tcPr>
          <w:p w:rsidR="00FF73CC" w:rsidRPr="001309BA" w:rsidP="00FF73CC" w14:paraId="5F4DD237" w14:textId="07778EA2">
            <w:pPr>
              <w:jc w:val="center"/>
              <w:rPr>
                <w:color w:val="000000" w:themeColor="text1"/>
              </w:rPr>
            </w:pPr>
            <w:r>
              <w:rPr>
                <w:color w:val="000000"/>
              </w:rPr>
              <w:t>$4</w:t>
            </w:r>
            <w:r w:rsidR="00492FF6">
              <w:rPr>
                <w:color w:val="000000"/>
              </w:rPr>
              <w:t>7.60</w:t>
            </w:r>
            <w:r>
              <w:rPr>
                <w:color w:val="000000"/>
              </w:rPr>
              <w:t xml:space="preserve"> </w:t>
            </w:r>
          </w:p>
        </w:tc>
        <w:tc>
          <w:tcPr>
            <w:tcW w:w="1530" w:type="dxa"/>
            <w:tcBorders>
              <w:top w:val="single" w:sz="6" w:space="0" w:color="auto"/>
              <w:left w:val="single" w:sz="6" w:space="0" w:color="auto"/>
              <w:bottom w:val="single" w:sz="6" w:space="0" w:color="auto"/>
              <w:right w:val="single" w:sz="6" w:space="0" w:color="auto"/>
            </w:tcBorders>
            <w:vAlign w:val="center"/>
          </w:tcPr>
          <w:p w:rsidR="00FF73CC" w:rsidRPr="001309BA" w:rsidP="00FF73CC" w14:paraId="57BA695B" w14:textId="3C4478B3">
            <w:pPr>
              <w:jc w:val="center"/>
              <w:rPr>
                <w:color w:val="000000" w:themeColor="text1"/>
              </w:rPr>
            </w:pPr>
            <w:r>
              <w:rPr>
                <w:color w:val="000000"/>
              </w:rPr>
              <w:t>150</w:t>
            </w:r>
          </w:p>
        </w:tc>
        <w:tc>
          <w:tcPr>
            <w:tcW w:w="1170" w:type="dxa"/>
            <w:tcBorders>
              <w:top w:val="single" w:sz="6" w:space="0" w:color="auto"/>
              <w:left w:val="single" w:sz="6" w:space="0" w:color="auto"/>
              <w:bottom w:val="single" w:sz="6" w:space="0" w:color="auto"/>
              <w:right w:val="single" w:sz="6" w:space="0" w:color="auto"/>
            </w:tcBorders>
            <w:vAlign w:val="center"/>
          </w:tcPr>
          <w:p w:rsidR="00FF73CC" w:rsidRPr="001309BA" w:rsidP="00FF73CC" w14:paraId="0420F361" w14:textId="29D73B34">
            <w:pPr>
              <w:jc w:val="center"/>
              <w:rPr>
                <w:color w:val="000000" w:themeColor="text1"/>
              </w:rPr>
            </w:pPr>
            <w:r>
              <w:rPr>
                <w:color w:val="000000"/>
              </w:rPr>
              <w:t>3</w:t>
            </w:r>
          </w:p>
        </w:tc>
        <w:tc>
          <w:tcPr>
            <w:tcW w:w="1170" w:type="dxa"/>
            <w:tcBorders>
              <w:top w:val="single" w:sz="6" w:space="0" w:color="auto"/>
              <w:left w:val="single" w:sz="6" w:space="0" w:color="auto"/>
              <w:bottom w:val="single" w:sz="6" w:space="0" w:color="auto"/>
              <w:right w:val="single" w:sz="6" w:space="0" w:color="auto"/>
            </w:tcBorders>
            <w:vAlign w:val="center"/>
          </w:tcPr>
          <w:p w:rsidR="00FF73CC" w:rsidRPr="001309BA" w:rsidP="00FF73CC" w14:paraId="04C7FFFF" w14:textId="41071202">
            <w:pPr>
              <w:jc w:val="center"/>
              <w:rPr>
                <w:color w:val="000000" w:themeColor="text1"/>
              </w:rPr>
            </w:pPr>
            <w:r>
              <w:rPr>
                <w:color w:val="000000"/>
              </w:rPr>
              <w:t>450</w:t>
            </w:r>
          </w:p>
        </w:tc>
        <w:tc>
          <w:tcPr>
            <w:tcW w:w="1448" w:type="dxa"/>
            <w:tcBorders>
              <w:top w:val="single" w:sz="6" w:space="0" w:color="auto"/>
              <w:left w:val="single" w:sz="6" w:space="0" w:color="auto"/>
              <w:bottom w:val="single" w:sz="6" w:space="0" w:color="auto"/>
              <w:right w:val="single" w:sz="6" w:space="0" w:color="auto"/>
            </w:tcBorders>
            <w:vAlign w:val="center"/>
          </w:tcPr>
          <w:p w:rsidR="00FF73CC" w:rsidRPr="001309BA" w:rsidP="00FF73CC" w14:paraId="28E97C23" w14:textId="10A79EDE">
            <w:pPr>
              <w:jc w:val="center"/>
              <w:rPr>
                <w:color w:val="000000" w:themeColor="text1"/>
              </w:rPr>
            </w:pPr>
            <w:r>
              <w:rPr>
                <w:color w:val="000000"/>
              </w:rPr>
              <w:t>$</w:t>
            </w:r>
            <w:r w:rsidR="00492FF6">
              <w:rPr>
                <w:color w:val="000000"/>
              </w:rPr>
              <w:t>21,420</w:t>
            </w:r>
            <w:r>
              <w:rPr>
                <w:color w:val="000000"/>
              </w:rPr>
              <w:t xml:space="preserve">.00 </w:t>
            </w:r>
          </w:p>
        </w:tc>
      </w:tr>
      <w:tr w14:paraId="7F785AEF" w14:textId="77777777" w:rsidTr="00BC1EE4">
        <w:tblPrEx>
          <w:tblW w:w="9360" w:type="dxa"/>
          <w:tblLayout w:type="fixed"/>
          <w:tblLook w:val="04A0"/>
        </w:tblPrEx>
        <w:trPr>
          <w:trHeight w:val="585"/>
          <w:tblHeader/>
        </w:trPr>
        <w:tc>
          <w:tcPr>
            <w:tcW w:w="1522" w:type="dxa"/>
            <w:tcBorders>
              <w:top w:val="single" w:sz="6" w:space="0" w:color="auto"/>
              <w:left w:val="single" w:sz="6" w:space="0" w:color="auto"/>
              <w:bottom w:val="single" w:sz="6" w:space="0" w:color="auto"/>
              <w:right w:val="single" w:sz="6" w:space="0" w:color="auto"/>
            </w:tcBorders>
            <w:vAlign w:val="center"/>
          </w:tcPr>
          <w:p w:rsidR="00FF73CC" w:rsidP="00FF73CC" w14:paraId="08F0C415" w14:textId="47F03FE5">
            <w:pPr>
              <w:jc w:val="center"/>
              <w:rPr>
                <w:color w:val="000000" w:themeColor="text1"/>
              </w:rPr>
            </w:pPr>
          </w:p>
          <w:p w:rsidR="00FF73CC" w:rsidP="00FF73CC" w14:paraId="4256B060" w14:textId="788C8D2D">
            <w:pPr>
              <w:jc w:val="center"/>
              <w:rPr>
                <w:color w:val="000000" w:themeColor="text1"/>
              </w:rPr>
            </w:pPr>
            <w:r w:rsidRPr="6B370752">
              <w:rPr>
                <w:color w:val="000000" w:themeColor="text1"/>
              </w:rPr>
              <w:t>Organization</w:t>
            </w:r>
          </w:p>
        </w:tc>
        <w:tc>
          <w:tcPr>
            <w:tcW w:w="1440" w:type="dxa"/>
            <w:tcBorders>
              <w:top w:val="single" w:sz="6" w:space="0" w:color="auto"/>
              <w:left w:val="single" w:sz="6" w:space="0" w:color="auto"/>
              <w:bottom w:val="single" w:sz="6" w:space="0" w:color="auto"/>
              <w:right w:val="single" w:sz="6" w:space="0" w:color="auto"/>
            </w:tcBorders>
            <w:vAlign w:val="center"/>
          </w:tcPr>
          <w:p w:rsidR="00FF73CC" w:rsidP="00FF73CC" w14:paraId="09D1E86A" w14:textId="2613D083">
            <w:pPr>
              <w:jc w:val="center"/>
              <w:rPr>
                <w:color w:val="000000" w:themeColor="text1"/>
              </w:rPr>
            </w:pPr>
            <w:r w:rsidRPr="6B370752">
              <w:rPr>
                <w:color w:val="000000" w:themeColor="text1"/>
              </w:rPr>
              <w:t>All Occupations 00-0000</w:t>
            </w:r>
          </w:p>
        </w:tc>
        <w:tc>
          <w:tcPr>
            <w:tcW w:w="1080" w:type="dxa"/>
            <w:tcBorders>
              <w:top w:val="single" w:sz="6" w:space="0" w:color="auto"/>
              <w:left w:val="single" w:sz="6" w:space="0" w:color="auto"/>
              <w:bottom w:val="single" w:sz="6" w:space="0" w:color="auto"/>
              <w:right w:val="single" w:sz="6" w:space="0" w:color="auto"/>
            </w:tcBorders>
            <w:vAlign w:val="center"/>
          </w:tcPr>
          <w:p w:rsidR="00FF73CC" w:rsidRPr="001309BA" w:rsidP="00FF73CC" w14:paraId="5C0B2170" w14:textId="09865F1A">
            <w:pPr>
              <w:jc w:val="center"/>
              <w:rPr>
                <w:color w:val="000000" w:themeColor="text1"/>
              </w:rPr>
            </w:pPr>
            <w:r>
              <w:rPr>
                <w:color w:val="000000"/>
              </w:rPr>
              <w:t>$4</w:t>
            </w:r>
            <w:r w:rsidR="00492FF6">
              <w:rPr>
                <w:color w:val="000000"/>
              </w:rPr>
              <w:t>7.60</w:t>
            </w:r>
            <w:r>
              <w:rPr>
                <w:color w:val="000000"/>
              </w:rPr>
              <w:t xml:space="preserve"> </w:t>
            </w:r>
          </w:p>
        </w:tc>
        <w:tc>
          <w:tcPr>
            <w:tcW w:w="1530" w:type="dxa"/>
            <w:tcBorders>
              <w:top w:val="single" w:sz="6" w:space="0" w:color="auto"/>
              <w:left w:val="single" w:sz="6" w:space="0" w:color="auto"/>
              <w:bottom w:val="single" w:sz="6" w:space="0" w:color="auto"/>
              <w:right w:val="single" w:sz="6" w:space="0" w:color="auto"/>
            </w:tcBorders>
            <w:vAlign w:val="center"/>
          </w:tcPr>
          <w:p w:rsidR="00FF73CC" w:rsidRPr="001309BA" w:rsidP="00FF73CC" w14:paraId="254EA65A" w14:textId="7AD5A1F4">
            <w:pPr>
              <w:jc w:val="center"/>
              <w:rPr>
                <w:color w:val="000000" w:themeColor="text1"/>
              </w:rPr>
            </w:pPr>
            <w:r>
              <w:rPr>
                <w:color w:val="000000"/>
              </w:rPr>
              <w:t>175</w:t>
            </w:r>
          </w:p>
        </w:tc>
        <w:tc>
          <w:tcPr>
            <w:tcW w:w="1170" w:type="dxa"/>
            <w:tcBorders>
              <w:top w:val="single" w:sz="6" w:space="0" w:color="auto"/>
              <w:left w:val="single" w:sz="6" w:space="0" w:color="auto"/>
              <w:bottom w:val="single" w:sz="6" w:space="0" w:color="auto"/>
              <w:right w:val="single" w:sz="6" w:space="0" w:color="auto"/>
            </w:tcBorders>
            <w:vAlign w:val="center"/>
          </w:tcPr>
          <w:p w:rsidR="00FF73CC" w:rsidRPr="001309BA" w:rsidP="00FF73CC" w14:paraId="3BFE3558" w14:textId="70B2F783">
            <w:pPr>
              <w:jc w:val="center"/>
              <w:rPr>
                <w:color w:val="000000" w:themeColor="text1"/>
              </w:rPr>
            </w:pPr>
            <w:r>
              <w:rPr>
                <w:color w:val="000000"/>
              </w:rPr>
              <w:t>30</w:t>
            </w:r>
          </w:p>
        </w:tc>
        <w:tc>
          <w:tcPr>
            <w:tcW w:w="1170" w:type="dxa"/>
            <w:tcBorders>
              <w:top w:val="single" w:sz="6" w:space="0" w:color="auto"/>
              <w:left w:val="single" w:sz="6" w:space="0" w:color="auto"/>
              <w:bottom w:val="single" w:sz="6" w:space="0" w:color="auto"/>
              <w:right w:val="single" w:sz="6" w:space="0" w:color="auto"/>
            </w:tcBorders>
            <w:vAlign w:val="center"/>
          </w:tcPr>
          <w:p w:rsidR="00FF73CC" w:rsidRPr="001309BA" w:rsidP="00FF73CC" w14:paraId="33F528E6" w14:textId="1CCE4FC2">
            <w:pPr>
              <w:jc w:val="center"/>
              <w:rPr>
                <w:color w:val="000000" w:themeColor="text1"/>
              </w:rPr>
            </w:pPr>
            <w:r>
              <w:rPr>
                <w:color w:val="000000"/>
              </w:rPr>
              <w:t>5,250</w:t>
            </w:r>
          </w:p>
        </w:tc>
        <w:tc>
          <w:tcPr>
            <w:tcW w:w="1448" w:type="dxa"/>
            <w:tcBorders>
              <w:top w:val="single" w:sz="6" w:space="0" w:color="auto"/>
              <w:left w:val="single" w:sz="6" w:space="0" w:color="auto"/>
              <w:bottom w:val="single" w:sz="6" w:space="0" w:color="auto"/>
              <w:right w:val="single" w:sz="6" w:space="0" w:color="auto"/>
            </w:tcBorders>
            <w:vAlign w:val="center"/>
          </w:tcPr>
          <w:p w:rsidR="00FF73CC" w:rsidRPr="001309BA" w:rsidP="00FF73CC" w14:paraId="2F42B7B1" w14:textId="02FB219F">
            <w:pPr>
              <w:jc w:val="center"/>
              <w:rPr>
                <w:color w:val="000000" w:themeColor="text1"/>
              </w:rPr>
            </w:pPr>
            <w:r>
              <w:rPr>
                <w:color w:val="000000"/>
              </w:rPr>
              <w:t>$24</w:t>
            </w:r>
            <w:r w:rsidR="00492FF6">
              <w:rPr>
                <w:color w:val="000000"/>
              </w:rPr>
              <w:t>9,900</w:t>
            </w:r>
            <w:r>
              <w:rPr>
                <w:color w:val="000000"/>
              </w:rPr>
              <w:t xml:space="preserve">.00 </w:t>
            </w:r>
          </w:p>
        </w:tc>
      </w:tr>
      <w:tr w14:paraId="39A535C2" w14:textId="77777777" w:rsidTr="00BC1EE4">
        <w:tblPrEx>
          <w:tblW w:w="9360" w:type="dxa"/>
          <w:tblLayout w:type="fixed"/>
          <w:tblLook w:val="04A0"/>
        </w:tblPrEx>
        <w:trPr>
          <w:trHeight w:val="585"/>
          <w:tblHeader/>
        </w:trPr>
        <w:tc>
          <w:tcPr>
            <w:tcW w:w="1522" w:type="dxa"/>
            <w:tcBorders>
              <w:top w:val="single" w:sz="6" w:space="0" w:color="auto"/>
              <w:left w:val="single" w:sz="6" w:space="0" w:color="auto"/>
              <w:bottom w:val="single" w:sz="6" w:space="0" w:color="auto"/>
              <w:right w:val="single" w:sz="6" w:space="0" w:color="auto"/>
            </w:tcBorders>
            <w:vAlign w:val="center"/>
          </w:tcPr>
          <w:p w:rsidR="00FF73CC" w:rsidRPr="00BC1EE4" w14:paraId="0F30BE02" w14:textId="671F1284">
            <w:pPr>
              <w:jc w:val="center"/>
              <w:rPr>
                <w:b/>
                <w:bCs/>
                <w:color w:val="000000" w:themeColor="text1"/>
              </w:rPr>
            </w:pPr>
            <w:r w:rsidRPr="00615181">
              <w:rPr>
                <w:b/>
                <w:bCs/>
                <w:color w:val="000000" w:themeColor="text1"/>
              </w:rPr>
              <w:t>Total</w:t>
            </w:r>
          </w:p>
        </w:tc>
        <w:tc>
          <w:tcPr>
            <w:tcW w:w="1440" w:type="dxa"/>
            <w:tcBorders>
              <w:top w:val="single" w:sz="6" w:space="0" w:color="auto"/>
              <w:left w:val="single" w:sz="6" w:space="0" w:color="auto"/>
              <w:bottom w:val="single" w:sz="6" w:space="0" w:color="auto"/>
              <w:right w:val="single" w:sz="6" w:space="0" w:color="auto"/>
            </w:tcBorders>
            <w:vAlign w:val="center"/>
          </w:tcPr>
          <w:p w:rsidR="00FF73CC" w:rsidRPr="00BC1EE4" w14:paraId="641A5304" w14:textId="17C17EAF">
            <w:pPr>
              <w:jc w:val="center"/>
              <w:rPr>
                <w:b/>
                <w:bCs/>
                <w:color w:val="000000" w:themeColor="text1"/>
              </w:rPr>
            </w:pPr>
            <w:r w:rsidRPr="00615181">
              <w:rPr>
                <w:b/>
                <w:bCs/>
                <w:color w:val="000000" w:themeColor="text1"/>
              </w:rPr>
              <w:t>-</w:t>
            </w:r>
          </w:p>
        </w:tc>
        <w:tc>
          <w:tcPr>
            <w:tcW w:w="1080" w:type="dxa"/>
            <w:tcBorders>
              <w:top w:val="single" w:sz="6" w:space="0" w:color="auto"/>
              <w:left w:val="single" w:sz="6" w:space="0" w:color="auto"/>
              <w:bottom w:val="single" w:sz="6" w:space="0" w:color="auto"/>
              <w:right w:val="single" w:sz="6" w:space="0" w:color="auto"/>
            </w:tcBorders>
            <w:vAlign w:val="center"/>
          </w:tcPr>
          <w:p w:rsidR="00FF73CC" w:rsidRPr="00BC1EE4" w14:paraId="4E23F971" w14:textId="34FDAB6D">
            <w:pPr>
              <w:jc w:val="center"/>
              <w:rPr>
                <w:b/>
                <w:bCs/>
                <w:color w:val="000000" w:themeColor="text1"/>
              </w:rPr>
            </w:pPr>
            <w:r>
              <w:rPr>
                <w:b/>
                <w:bCs/>
                <w:color w:val="000000"/>
              </w:rPr>
              <w:t>-</w:t>
            </w:r>
          </w:p>
        </w:tc>
        <w:tc>
          <w:tcPr>
            <w:tcW w:w="1530" w:type="dxa"/>
            <w:tcBorders>
              <w:top w:val="single" w:sz="6" w:space="0" w:color="auto"/>
              <w:left w:val="single" w:sz="6" w:space="0" w:color="auto"/>
              <w:bottom w:val="single" w:sz="6" w:space="0" w:color="auto"/>
              <w:right w:val="single" w:sz="6" w:space="0" w:color="auto"/>
            </w:tcBorders>
            <w:vAlign w:val="center"/>
          </w:tcPr>
          <w:p w:rsidR="00FF73CC" w:rsidRPr="00BC1EE4" w14:paraId="33FD5869" w14:textId="02A64E97">
            <w:pPr>
              <w:jc w:val="center"/>
              <w:rPr>
                <w:b/>
                <w:bCs/>
                <w:color w:val="000000" w:themeColor="text1"/>
              </w:rPr>
            </w:pPr>
            <w:r>
              <w:rPr>
                <w:b/>
                <w:bCs/>
                <w:color w:val="000000"/>
              </w:rPr>
              <w:t>325</w:t>
            </w:r>
          </w:p>
        </w:tc>
        <w:tc>
          <w:tcPr>
            <w:tcW w:w="1170" w:type="dxa"/>
            <w:tcBorders>
              <w:top w:val="single" w:sz="6" w:space="0" w:color="auto"/>
              <w:left w:val="single" w:sz="6" w:space="0" w:color="auto"/>
              <w:bottom w:val="single" w:sz="6" w:space="0" w:color="auto"/>
              <w:right w:val="single" w:sz="6" w:space="0" w:color="auto"/>
            </w:tcBorders>
            <w:vAlign w:val="center"/>
          </w:tcPr>
          <w:p w:rsidR="00FF73CC" w:rsidRPr="00BC1EE4" w14:paraId="2291CA8F" w14:textId="4121B01A">
            <w:pPr>
              <w:jc w:val="center"/>
              <w:rPr>
                <w:b/>
                <w:bCs/>
                <w:color w:val="000000" w:themeColor="text1"/>
              </w:rPr>
            </w:pPr>
            <w:r>
              <w:rPr>
                <w:b/>
                <w:bCs/>
                <w:color w:val="000000"/>
              </w:rPr>
              <w:t>17.54</w:t>
            </w:r>
          </w:p>
        </w:tc>
        <w:tc>
          <w:tcPr>
            <w:tcW w:w="1170" w:type="dxa"/>
            <w:tcBorders>
              <w:top w:val="single" w:sz="6" w:space="0" w:color="auto"/>
              <w:left w:val="single" w:sz="6" w:space="0" w:color="auto"/>
              <w:bottom w:val="single" w:sz="6" w:space="0" w:color="auto"/>
              <w:right w:val="single" w:sz="6" w:space="0" w:color="auto"/>
            </w:tcBorders>
            <w:vAlign w:val="center"/>
          </w:tcPr>
          <w:p w:rsidR="00FF73CC" w:rsidRPr="00BC1EE4" w14:paraId="611AC30A" w14:textId="446DA698">
            <w:pPr>
              <w:jc w:val="center"/>
              <w:rPr>
                <w:b/>
                <w:bCs/>
                <w:color w:val="000000" w:themeColor="text1"/>
              </w:rPr>
            </w:pPr>
            <w:r>
              <w:rPr>
                <w:b/>
                <w:bCs/>
                <w:color w:val="000000"/>
              </w:rPr>
              <w:t>5,700</w:t>
            </w:r>
          </w:p>
        </w:tc>
        <w:tc>
          <w:tcPr>
            <w:tcW w:w="1448" w:type="dxa"/>
            <w:tcBorders>
              <w:top w:val="single" w:sz="6" w:space="0" w:color="auto"/>
              <w:left w:val="single" w:sz="6" w:space="0" w:color="auto"/>
              <w:bottom w:val="single" w:sz="6" w:space="0" w:color="auto"/>
              <w:right w:val="single" w:sz="6" w:space="0" w:color="auto"/>
            </w:tcBorders>
            <w:vAlign w:val="center"/>
          </w:tcPr>
          <w:p w:rsidR="00FF73CC" w:rsidRPr="00BC1EE4" w14:paraId="161D1949" w14:textId="77457493">
            <w:pPr>
              <w:jc w:val="center"/>
              <w:rPr>
                <w:b/>
                <w:bCs/>
                <w:color w:val="000000" w:themeColor="text1"/>
              </w:rPr>
            </w:pPr>
            <w:r>
              <w:rPr>
                <w:b/>
                <w:bCs/>
                <w:color w:val="000000"/>
              </w:rPr>
              <w:t>$2</w:t>
            </w:r>
            <w:r w:rsidR="00492FF6">
              <w:rPr>
                <w:b/>
                <w:bCs/>
                <w:color w:val="000000"/>
              </w:rPr>
              <w:t>71,320</w:t>
            </w:r>
            <w:r>
              <w:rPr>
                <w:b/>
                <w:bCs/>
                <w:color w:val="000000"/>
              </w:rPr>
              <w:t xml:space="preserve">.00 </w:t>
            </w:r>
          </w:p>
        </w:tc>
      </w:tr>
    </w:tbl>
    <w:p w:rsidR="6B370752" w:rsidRPr="00BC1EE4" w14:paraId="471D072A" w14:textId="78A95FBD">
      <w:pPr>
        <w:rPr>
          <w:rFonts w:eastAsia="Calibri"/>
          <w:i/>
          <w:iCs/>
          <w:color w:val="000000" w:themeColor="text1"/>
          <w:sz w:val="20"/>
          <w:szCs w:val="20"/>
        </w:rPr>
      </w:pPr>
      <w:r w:rsidRPr="00615181">
        <w:rPr>
          <w:rFonts w:eastAsia="Calibri"/>
          <w:i/>
          <w:iCs/>
          <w:color w:val="000000" w:themeColor="text1"/>
          <w:sz w:val="20"/>
          <w:szCs w:val="20"/>
        </w:rPr>
        <w:t>*</w:t>
      </w:r>
      <w:r w:rsidRPr="00615181">
        <w:rPr>
          <w:rFonts w:eastAsia="Calibri"/>
          <w:i/>
          <w:iCs/>
          <w:color w:val="000000" w:themeColor="text1"/>
          <w:sz w:val="20"/>
          <w:szCs w:val="20"/>
        </w:rPr>
        <w:t>Includes</w:t>
      </w:r>
      <w:r w:rsidRPr="00615181">
        <w:rPr>
          <w:rFonts w:eastAsia="Calibri"/>
          <w:i/>
          <w:iCs/>
          <w:color w:val="000000" w:themeColor="text1"/>
          <w:sz w:val="20"/>
          <w:szCs w:val="20"/>
        </w:rPr>
        <w:t xml:space="preserve"> fringe benefits and overhead of 100 percent of </w:t>
      </w:r>
      <w:r w:rsidRPr="00615181" w:rsidR="00FF73CC">
        <w:rPr>
          <w:rFonts w:eastAsia="Calibri"/>
          <w:i/>
          <w:iCs/>
          <w:color w:val="000000" w:themeColor="text1"/>
          <w:sz w:val="20"/>
          <w:szCs w:val="20"/>
        </w:rPr>
        <w:t xml:space="preserve">median </w:t>
      </w:r>
      <w:r w:rsidRPr="00615181">
        <w:rPr>
          <w:rFonts w:eastAsia="Calibri"/>
          <w:i/>
          <w:iCs/>
          <w:color w:val="000000" w:themeColor="text1"/>
          <w:sz w:val="20"/>
          <w:szCs w:val="20"/>
        </w:rPr>
        <w:t>hourly wage.</w:t>
      </w:r>
    </w:p>
    <w:p w:rsidR="00D45546" w:rsidRPr="00D45546" w:rsidP="00D45546" w14:paraId="191FB2AA" w14:textId="1B0B2545">
      <w:pPr>
        <w:rPr>
          <w:rFonts w:eastAsia="Calibri"/>
        </w:rPr>
      </w:pPr>
      <w:r>
        <w:rPr>
          <w:rFonts w:eastAsia="Calibri"/>
        </w:rPr>
        <w:t xml:space="preserve">An additional low estimate and high estimate is provided in Table </w:t>
      </w:r>
      <w:r w:rsidR="007F48A5">
        <w:rPr>
          <w:rFonts w:eastAsia="Calibri"/>
        </w:rPr>
        <w:t>6</w:t>
      </w:r>
      <w:r w:rsidR="00AD39F4">
        <w:rPr>
          <w:rFonts w:eastAsia="Calibri"/>
        </w:rPr>
        <w:t xml:space="preserve"> and Table </w:t>
      </w:r>
      <w:r w:rsidR="007F48A5">
        <w:rPr>
          <w:rFonts w:eastAsia="Calibri"/>
        </w:rPr>
        <w:t>7</w:t>
      </w:r>
      <w:r>
        <w:rPr>
          <w:rFonts w:eastAsia="Calibri"/>
        </w:rPr>
        <w:t xml:space="preserve"> below to illustrate possible variability for this burden estimate. To calculate the low estimate, the base estimate (Table </w:t>
      </w:r>
      <w:r w:rsidR="007F48A5">
        <w:rPr>
          <w:rFonts w:eastAsia="Calibri"/>
        </w:rPr>
        <w:t>5</w:t>
      </w:r>
      <w:r>
        <w:rPr>
          <w:rFonts w:eastAsia="Calibri"/>
        </w:rPr>
        <w:t xml:space="preserve"> Total) has been reduced by half for the “individual” and “organization” categories. For the high estimate, the required time and cost associated with individuals and organizations has </w:t>
      </w:r>
      <w:r>
        <w:rPr>
          <w:rFonts w:eastAsia="Calibri"/>
        </w:rPr>
        <w:t>been doubled</w:t>
      </w:r>
      <w:r>
        <w:rPr>
          <w:rFonts w:eastAsia="Calibri"/>
        </w:rPr>
        <w:t>.</w:t>
      </w:r>
    </w:p>
    <w:p w:rsidR="006145D2" w:rsidP="000A5850" w14:paraId="3410F544" w14:textId="72716E1C">
      <w:pPr>
        <w:pStyle w:val="Heading4"/>
      </w:pPr>
      <w:r>
        <w:t xml:space="preserve">TABLE </w:t>
      </w:r>
      <w:r w:rsidR="007F48A5">
        <w:t>6</w:t>
      </w:r>
      <w:r>
        <w:t xml:space="preserve">: COST RANGE ESTIMATES </w:t>
      </w:r>
      <w:r w:rsidR="00AD39F4">
        <w:t xml:space="preserve">FOR AN INDIVIDUAL </w:t>
      </w:r>
      <w:r>
        <w:t>FOR PUBLIC FEEDBACK</w:t>
      </w:r>
      <w:r w:rsidR="00342709">
        <w:t xml:space="preserve"> FOR </w:t>
      </w:r>
      <w:r w:rsidR="00D87C05">
        <w:t xml:space="preserve">INITIAL </w:t>
      </w:r>
      <w:r w:rsidR="00BF28A2">
        <w:t>PRICE APPLICABILITY YEAR</w:t>
      </w:r>
      <w:r w:rsidR="00342709">
        <w:t xml:space="preserve"> 202</w:t>
      </w:r>
      <w:r w:rsidR="00D204DE">
        <w:t>8</w:t>
      </w:r>
    </w:p>
    <w:tbl>
      <w:tblPr>
        <w:tblStyle w:val="TableGrid"/>
        <w:tblW w:w="0" w:type="auto"/>
        <w:tblLook w:val="04A0"/>
      </w:tblPr>
      <w:tblGrid>
        <w:gridCol w:w="2336"/>
        <w:gridCol w:w="2338"/>
        <w:gridCol w:w="2338"/>
        <w:gridCol w:w="2338"/>
      </w:tblGrid>
      <w:tr w14:paraId="7229795C" w14:textId="77777777" w:rsidTr="00BC1EE4">
        <w:tblPrEx>
          <w:tblW w:w="0" w:type="auto"/>
          <w:tblLook w:val="04A0"/>
        </w:tblPrEx>
        <w:trPr>
          <w:tblHeader/>
        </w:trPr>
        <w:tc>
          <w:tcPr>
            <w:tcW w:w="2336" w:type="dxa"/>
          </w:tcPr>
          <w:p w:rsidR="006145D2" w:rsidP="00F145AD" w14:paraId="005CFA5E" w14:textId="77777777">
            <w:pPr>
              <w:keepNext/>
              <w:jc w:val="center"/>
              <w:rPr>
                <w:b/>
                <w:color w:val="000000" w:themeColor="text1"/>
              </w:rPr>
            </w:pPr>
          </w:p>
        </w:tc>
        <w:tc>
          <w:tcPr>
            <w:tcW w:w="2338" w:type="dxa"/>
          </w:tcPr>
          <w:p w:rsidR="006145D2" w:rsidRPr="00BC1EE4" w14:paraId="09FD92F0" w14:textId="3A4F8148">
            <w:pPr>
              <w:keepNext/>
              <w:jc w:val="center"/>
              <w:rPr>
                <w:b/>
                <w:bCs/>
                <w:color w:val="000000" w:themeColor="text1"/>
              </w:rPr>
            </w:pPr>
            <w:r w:rsidRPr="00615181">
              <w:rPr>
                <w:b/>
                <w:bCs/>
                <w:color w:val="000000" w:themeColor="text1"/>
              </w:rPr>
              <w:t>Hours per Respondent</w:t>
            </w:r>
          </w:p>
        </w:tc>
        <w:tc>
          <w:tcPr>
            <w:tcW w:w="2338" w:type="dxa"/>
          </w:tcPr>
          <w:p w:rsidR="006145D2" w:rsidRPr="00BC1EE4" w14:paraId="5FFAA9CC" w14:textId="00E67916">
            <w:pPr>
              <w:keepNext/>
              <w:jc w:val="center"/>
              <w:rPr>
                <w:b/>
                <w:bCs/>
                <w:color w:val="000000" w:themeColor="text1"/>
              </w:rPr>
            </w:pPr>
            <w:r w:rsidRPr="00615181">
              <w:rPr>
                <w:b/>
                <w:bCs/>
                <w:color w:val="000000" w:themeColor="text1"/>
              </w:rPr>
              <w:t>Cost per Respondent</w:t>
            </w:r>
          </w:p>
        </w:tc>
        <w:tc>
          <w:tcPr>
            <w:tcW w:w="2338" w:type="dxa"/>
            <w:vAlign w:val="center"/>
          </w:tcPr>
          <w:p w:rsidR="006145D2" w:rsidRPr="00BC1EE4" w14:paraId="2E50F08F" w14:textId="40475CA1">
            <w:pPr>
              <w:keepNext/>
              <w:jc w:val="center"/>
              <w:rPr>
                <w:b/>
                <w:bCs/>
                <w:color w:val="000000" w:themeColor="text1"/>
              </w:rPr>
            </w:pPr>
            <w:r w:rsidRPr="00615181">
              <w:rPr>
                <w:b/>
                <w:bCs/>
                <w:color w:val="000000" w:themeColor="text1"/>
              </w:rPr>
              <w:t>Total Cost</w:t>
            </w:r>
          </w:p>
        </w:tc>
      </w:tr>
      <w:tr w14:paraId="2AB9C012" w14:textId="77777777" w:rsidTr="00BC1EE4">
        <w:tblPrEx>
          <w:tblW w:w="0" w:type="auto"/>
          <w:tblLook w:val="04A0"/>
        </w:tblPrEx>
        <w:trPr>
          <w:tblHeader/>
        </w:trPr>
        <w:tc>
          <w:tcPr>
            <w:tcW w:w="2336" w:type="dxa"/>
          </w:tcPr>
          <w:p w:rsidR="00FF73CC" w:rsidRPr="00CF491E" w:rsidP="00FF73CC" w14:paraId="3C21AF57" w14:textId="227B783C">
            <w:pPr>
              <w:rPr>
                <w:color w:val="000000" w:themeColor="text1"/>
              </w:rPr>
            </w:pPr>
            <w:r>
              <w:rPr>
                <w:color w:val="000000" w:themeColor="text1"/>
              </w:rPr>
              <w:t>Low Estimate</w:t>
            </w:r>
          </w:p>
        </w:tc>
        <w:tc>
          <w:tcPr>
            <w:tcW w:w="2338" w:type="dxa"/>
            <w:vAlign w:val="center"/>
          </w:tcPr>
          <w:p w:rsidR="00FF73CC" w:rsidRPr="006C541E" w14:paraId="73506C40" w14:textId="431CB7BD">
            <w:pPr>
              <w:jc w:val="center"/>
              <w:rPr>
                <w:color w:val="000000" w:themeColor="text1"/>
              </w:rPr>
            </w:pPr>
            <w:r w:rsidRPr="006C541E">
              <w:rPr>
                <w:color w:val="000000"/>
              </w:rPr>
              <w:t>1.5</w:t>
            </w:r>
          </w:p>
        </w:tc>
        <w:tc>
          <w:tcPr>
            <w:tcW w:w="2338" w:type="dxa"/>
            <w:vAlign w:val="center"/>
          </w:tcPr>
          <w:p w:rsidR="00FF73CC" w:rsidRPr="006C541E" w14:paraId="6F55D6AC" w14:textId="3E9624DD">
            <w:pPr>
              <w:jc w:val="center"/>
              <w:rPr>
                <w:color w:val="000000" w:themeColor="text1"/>
              </w:rPr>
            </w:pPr>
            <w:r w:rsidRPr="006C541E">
              <w:rPr>
                <w:color w:val="000000"/>
              </w:rPr>
              <w:t>$</w:t>
            </w:r>
            <w:r w:rsidRPr="006C541E" w:rsidR="00492FF6">
              <w:rPr>
                <w:color w:val="000000"/>
              </w:rPr>
              <w:t>71.40</w:t>
            </w:r>
            <w:r w:rsidRPr="006C541E">
              <w:rPr>
                <w:color w:val="000000"/>
              </w:rPr>
              <w:t xml:space="preserve"> </w:t>
            </w:r>
          </w:p>
        </w:tc>
        <w:tc>
          <w:tcPr>
            <w:tcW w:w="2338" w:type="dxa"/>
            <w:vAlign w:val="center"/>
          </w:tcPr>
          <w:p w:rsidR="00FF73CC" w:rsidRPr="006C541E" w14:paraId="4B197567" w14:textId="21110DA0">
            <w:pPr>
              <w:jc w:val="center"/>
              <w:rPr>
                <w:color w:val="000000" w:themeColor="text1"/>
              </w:rPr>
            </w:pPr>
            <w:r w:rsidRPr="006C541E">
              <w:rPr>
                <w:color w:val="000000"/>
              </w:rPr>
              <w:t>$10,</w:t>
            </w:r>
            <w:r w:rsidRPr="006C541E" w:rsidR="00492FF6">
              <w:rPr>
                <w:color w:val="000000"/>
              </w:rPr>
              <w:t>710.00</w:t>
            </w:r>
            <w:r w:rsidRPr="006C541E">
              <w:rPr>
                <w:color w:val="000000"/>
              </w:rPr>
              <w:t xml:space="preserve"> </w:t>
            </w:r>
          </w:p>
        </w:tc>
      </w:tr>
      <w:tr w14:paraId="206D20D5" w14:textId="77777777" w:rsidTr="00BC1EE4">
        <w:tblPrEx>
          <w:tblW w:w="0" w:type="auto"/>
          <w:tblLook w:val="04A0"/>
        </w:tblPrEx>
        <w:trPr>
          <w:tblHeader/>
        </w:trPr>
        <w:tc>
          <w:tcPr>
            <w:tcW w:w="2336" w:type="dxa"/>
          </w:tcPr>
          <w:p w:rsidR="00FF73CC" w:rsidRPr="00CF491E" w:rsidP="00FF73CC" w14:paraId="330A293D" w14:textId="4AB7F50A">
            <w:pPr>
              <w:rPr>
                <w:color w:val="000000" w:themeColor="text1"/>
              </w:rPr>
            </w:pPr>
            <w:r>
              <w:rPr>
                <w:color w:val="000000" w:themeColor="text1"/>
              </w:rPr>
              <w:t>Base Estimate (from Table 3)</w:t>
            </w:r>
          </w:p>
        </w:tc>
        <w:tc>
          <w:tcPr>
            <w:tcW w:w="2338" w:type="dxa"/>
            <w:vAlign w:val="center"/>
          </w:tcPr>
          <w:p w:rsidR="00FF73CC" w:rsidRPr="006C541E" w14:paraId="27DCD391" w14:textId="51EF6AB5">
            <w:pPr>
              <w:jc w:val="center"/>
              <w:rPr>
                <w:color w:val="000000" w:themeColor="text1"/>
              </w:rPr>
            </w:pPr>
            <w:r w:rsidRPr="006C541E">
              <w:rPr>
                <w:color w:val="000000"/>
              </w:rPr>
              <w:t>3</w:t>
            </w:r>
          </w:p>
        </w:tc>
        <w:tc>
          <w:tcPr>
            <w:tcW w:w="2338" w:type="dxa"/>
            <w:vAlign w:val="center"/>
          </w:tcPr>
          <w:p w:rsidR="00FF73CC" w:rsidRPr="006C541E" w14:paraId="5DAD2350" w14:textId="264476B6">
            <w:pPr>
              <w:jc w:val="center"/>
              <w:rPr>
                <w:color w:val="000000" w:themeColor="text1"/>
              </w:rPr>
            </w:pPr>
            <w:r w:rsidRPr="006C541E">
              <w:rPr>
                <w:color w:val="000000"/>
              </w:rPr>
              <w:t>$1</w:t>
            </w:r>
            <w:r w:rsidRPr="006C541E" w:rsidR="00492FF6">
              <w:rPr>
                <w:color w:val="000000"/>
              </w:rPr>
              <w:t>42.80</w:t>
            </w:r>
            <w:r w:rsidRPr="006C541E">
              <w:rPr>
                <w:color w:val="000000"/>
              </w:rPr>
              <w:t xml:space="preserve"> </w:t>
            </w:r>
          </w:p>
        </w:tc>
        <w:tc>
          <w:tcPr>
            <w:tcW w:w="2338" w:type="dxa"/>
            <w:vAlign w:val="center"/>
          </w:tcPr>
          <w:p w:rsidR="00FF73CC" w:rsidRPr="006C541E" w14:paraId="56309265" w14:textId="2B8AF7D0">
            <w:pPr>
              <w:jc w:val="center"/>
              <w:rPr>
                <w:color w:val="000000" w:themeColor="text1"/>
              </w:rPr>
            </w:pPr>
            <w:r w:rsidRPr="006C541E">
              <w:rPr>
                <w:color w:val="000000"/>
              </w:rPr>
              <w:t>$2</w:t>
            </w:r>
            <w:r w:rsidRPr="006C541E" w:rsidR="00492FF6">
              <w:rPr>
                <w:color w:val="000000"/>
              </w:rPr>
              <w:t>1,420</w:t>
            </w:r>
            <w:r w:rsidRPr="006C541E">
              <w:rPr>
                <w:color w:val="000000"/>
              </w:rPr>
              <w:t xml:space="preserve">.00 </w:t>
            </w:r>
          </w:p>
        </w:tc>
      </w:tr>
      <w:tr w14:paraId="2FBCB427" w14:textId="77777777" w:rsidTr="00BC1EE4">
        <w:tblPrEx>
          <w:tblW w:w="0" w:type="auto"/>
          <w:tblLook w:val="04A0"/>
        </w:tblPrEx>
        <w:trPr>
          <w:tblHeader/>
        </w:trPr>
        <w:tc>
          <w:tcPr>
            <w:tcW w:w="2336" w:type="dxa"/>
          </w:tcPr>
          <w:p w:rsidR="00FF73CC" w:rsidRPr="00CF491E" w:rsidP="00FF73CC" w14:paraId="159153B0" w14:textId="2237B062">
            <w:pPr>
              <w:rPr>
                <w:color w:val="000000" w:themeColor="text1"/>
              </w:rPr>
            </w:pPr>
            <w:r>
              <w:rPr>
                <w:color w:val="000000" w:themeColor="text1"/>
              </w:rPr>
              <w:t>High Estimate</w:t>
            </w:r>
          </w:p>
        </w:tc>
        <w:tc>
          <w:tcPr>
            <w:tcW w:w="2338" w:type="dxa"/>
            <w:vAlign w:val="center"/>
          </w:tcPr>
          <w:p w:rsidR="00FF73CC" w:rsidRPr="006C541E" w14:paraId="03444548" w14:textId="7621383C">
            <w:pPr>
              <w:jc w:val="center"/>
              <w:rPr>
                <w:color w:val="000000" w:themeColor="text1"/>
              </w:rPr>
            </w:pPr>
            <w:r w:rsidRPr="006C541E">
              <w:rPr>
                <w:color w:val="000000"/>
              </w:rPr>
              <w:t>6</w:t>
            </w:r>
          </w:p>
        </w:tc>
        <w:tc>
          <w:tcPr>
            <w:tcW w:w="2338" w:type="dxa"/>
            <w:vAlign w:val="center"/>
          </w:tcPr>
          <w:p w:rsidR="00FF73CC" w:rsidRPr="006C541E" w14:paraId="6D22936D" w14:textId="0D51BC49">
            <w:pPr>
              <w:jc w:val="center"/>
              <w:rPr>
                <w:color w:val="000000" w:themeColor="text1"/>
              </w:rPr>
            </w:pPr>
            <w:r w:rsidRPr="006C541E">
              <w:rPr>
                <w:color w:val="000000"/>
              </w:rPr>
              <w:t>$2</w:t>
            </w:r>
            <w:r w:rsidRPr="006C541E" w:rsidR="00492FF6">
              <w:rPr>
                <w:color w:val="000000"/>
              </w:rPr>
              <w:t>85.60</w:t>
            </w:r>
          </w:p>
        </w:tc>
        <w:tc>
          <w:tcPr>
            <w:tcW w:w="2338" w:type="dxa"/>
            <w:vAlign w:val="center"/>
          </w:tcPr>
          <w:p w:rsidR="00FF73CC" w:rsidRPr="006C541E" w14:paraId="627EA63F" w14:textId="13B0E835">
            <w:pPr>
              <w:jc w:val="center"/>
              <w:rPr>
                <w:color w:val="000000" w:themeColor="text1"/>
              </w:rPr>
            </w:pPr>
            <w:r w:rsidRPr="006C541E">
              <w:rPr>
                <w:color w:val="000000"/>
              </w:rPr>
              <w:t>$4</w:t>
            </w:r>
            <w:r w:rsidRPr="006C541E" w:rsidR="00492FF6">
              <w:rPr>
                <w:color w:val="000000"/>
              </w:rPr>
              <w:t>2,840</w:t>
            </w:r>
            <w:r w:rsidRPr="006C541E">
              <w:rPr>
                <w:color w:val="000000"/>
              </w:rPr>
              <w:t xml:space="preserve">.00 </w:t>
            </w:r>
          </w:p>
        </w:tc>
      </w:tr>
    </w:tbl>
    <w:p w:rsidR="00AD39F4" w:rsidP="001571CF" w14:paraId="63CDDDBC" w14:textId="77777777">
      <w:pPr>
        <w:jc w:val="center"/>
        <w:rPr>
          <w:b/>
          <w:color w:val="000000" w:themeColor="text1"/>
        </w:rPr>
      </w:pPr>
    </w:p>
    <w:p w:rsidR="00D45546" w:rsidP="00AD39F4" w14:paraId="447299F0" w14:textId="77777777">
      <w:pPr>
        <w:jc w:val="center"/>
        <w:rPr>
          <w:b/>
          <w:color w:val="000000" w:themeColor="text1"/>
        </w:rPr>
      </w:pPr>
    </w:p>
    <w:p w:rsidR="00AD39F4" w:rsidP="000A5850" w14:paraId="6BC06191" w14:textId="2670DAA1">
      <w:pPr>
        <w:pStyle w:val="Heading4"/>
      </w:pPr>
      <w:r>
        <w:t xml:space="preserve">TABLE </w:t>
      </w:r>
      <w:r w:rsidR="007F48A5">
        <w:t>7</w:t>
      </w:r>
      <w:r>
        <w:t>: COST RANGE ESTIMATES FOR AN ORGANIZATION FOR PUBLIC FEEDBACK FOR INITIAL PRICE APPLICABILITY YEAR 202</w:t>
      </w:r>
      <w:r w:rsidR="00D204DE">
        <w:t>8</w:t>
      </w:r>
    </w:p>
    <w:tbl>
      <w:tblPr>
        <w:tblStyle w:val="TableGrid"/>
        <w:tblW w:w="0" w:type="auto"/>
        <w:tblLook w:val="04A0"/>
      </w:tblPr>
      <w:tblGrid>
        <w:gridCol w:w="2336"/>
        <w:gridCol w:w="2338"/>
        <w:gridCol w:w="2338"/>
        <w:gridCol w:w="2338"/>
      </w:tblGrid>
      <w:tr w14:paraId="6F39E465" w14:textId="77777777" w:rsidTr="00BC1EE4">
        <w:tblPrEx>
          <w:tblW w:w="0" w:type="auto"/>
          <w:tblLook w:val="04A0"/>
        </w:tblPrEx>
        <w:trPr>
          <w:tblHeader/>
        </w:trPr>
        <w:tc>
          <w:tcPr>
            <w:tcW w:w="2336" w:type="dxa"/>
          </w:tcPr>
          <w:p w:rsidR="00AD39F4" w:rsidP="00F145AD" w14:paraId="634E17A2" w14:textId="77777777">
            <w:pPr>
              <w:keepNext/>
              <w:jc w:val="center"/>
              <w:rPr>
                <w:b/>
                <w:color w:val="000000" w:themeColor="text1"/>
              </w:rPr>
            </w:pPr>
          </w:p>
        </w:tc>
        <w:tc>
          <w:tcPr>
            <w:tcW w:w="2338" w:type="dxa"/>
          </w:tcPr>
          <w:p w:rsidR="00AD39F4" w:rsidRPr="00BC1EE4" w14:paraId="45ED8FC5" w14:textId="77777777">
            <w:pPr>
              <w:keepNext/>
              <w:jc w:val="center"/>
              <w:rPr>
                <w:b/>
                <w:bCs/>
                <w:color w:val="000000" w:themeColor="text1"/>
              </w:rPr>
            </w:pPr>
            <w:r w:rsidRPr="00615181">
              <w:rPr>
                <w:b/>
                <w:bCs/>
                <w:color w:val="000000" w:themeColor="text1"/>
              </w:rPr>
              <w:t>Hours per Respondent</w:t>
            </w:r>
          </w:p>
        </w:tc>
        <w:tc>
          <w:tcPr>
            <w:tcW w:w="2338" w:type="dxa"/>
          </w:tcPr>
          <w:p w:rsidR="00AD39F4" w:rsidRPr="00BC1EE4" w14:paraId="45B16450" w14:textId="77777777">
            <w:pPr>
              <w:keepNext/>
              <w:jc w:val="center"/>
              <w:rPr>
                <w:b/>
                <w:bCs/>
                <w:color w:val="000000" w:themeColor="text1"/>
              </w:rPr>
            </w:pPr>
            <w:r w:rsidRPr="00615181">
              <w:rPr>
                <w:b/>
                <w:bCs/>
                <w:color w:val="000000" w:themeColor="text1"/>
              </w:rPr>
              <w:t>Cost per Respondent</w:t>
            </w:r>
          </w:p>
        </w:tc>
        <w:tc>
          <w:tcPr>
            <w:tcW w:w="2338" w:type="dxa"/>
            <w:vAlign w:val="center"/>
          </w:tcPr>
          <w:p w:rsidR="00AD39F4" w:rsidRPr="00BC1EE4" w14:paraId="4162328B" w14:textId="77777777">
            <w:pPr>
              <w:keepNext/>
              <w:jc w:val="center"/>
              <w:rPr>
                <w:b/>
                <w:bCs/>
                <w:color w:val="000000" w:themeColor="text1"/>
              </w:rPr>
            </w:pPr>
            <w:r w:rsidRPr="00615181">
              <w:rPr>
                <w:b/>
                <w:bCs/>
                <w:color w:val="000000" w:themeColor="text1"/>
              </w:rPr>
              <w:t>Total Cost</w:t>
            </w:r>
          </w:p>
        </w:tc>
      </w:tr>
      <w:tr w14:paraId="6D5987AC" w14:textId="77777777" w:rsidTr="00BC1EE4">
        <w:tblPrEx>
          <w:tblW w:w="0" w:type="auto"/>
          <w:tblLook w:val="04A0"/>
        </w:tblPrEx>
        <w:trPr>
          <w:tblHeader/>
        </w:trPr>
        <w:tc>
          <w:tcPr>
            <w:tcW w:w="2336" w:type="dxa"/>
          </w:tcPr>
          <w:p w:rsidR="00FF73CC" w:rsidRPr="00CF491E" w:rsidP="00FF73CC" w14:paraId="6D429857" w14:textId="77777777">
            <w:pPr>
              <w:rPr>
                <w:color w:val="000000" w:themeColor="text1"/>
              </w:rPr>
            </w:pPr>
            <w:r>
              <w:rPr>
                <w:color w:val="000000" w:themeColor="text1"/>
              </w:rPr>
              <w:t>Low Estimate</w:t>
            </w:r>
          </w:p>
        </w:tc>
        <w:tc>
          <w:tcPr>
            <w:tcW w:w="2338" w:type="dxa"/>
            <w:vAlign w:val="center"/>
          </w:tcPr>
          <w:p w:rsidR="00FF73CC" w:rsidRPr="006C541E" w14:paraId="2EDB2A95" w14:textId="6EB15400">
            <w:pPr>
              <w:jc w:val="center"/>
              <w:rPr>
                <w:color w:val="000000" w:themeColor="text1"/>
              </w:rPr>
            </w:pPr>
            <w:r w:rsidRPr="006C541E">
              <w:rPr>
                <w:color w:val="000000"/>
              </w:rPr>
              <w:t>15</w:t>
            </w:r>
          </w:p>
        </w:tc>
        <w:tc>
          <w:tcPr>
            <w:tcW w:w="2338" w:type="dxa"/>
            <w:vAlign w:val="center"/>
          </w:tcPr>
          <w:p w:rsidR="00FF73CC" w:rsidRPr="006C541E" w14:paraId="28FD5C0A" w14:textId="2A963A76">
            <w:pPr>
              <w:jc w:val="center"/>
              <w:rPr>
                <w:color w:val="000000" w:themeColor="text1"/>
              </w:rPr>
            </w:pPr>
            <w:r w:rsidRPr="006C541E">
              <w:rPr>
                <w:color w:val="000000"/>
              </w:rPr>
              <w:t>$</w:t>
            </w:r>
            <w:r w:rsidRPr="006C541E" w:rsidR="005851BC">
              <w:rPr>
                <w:color w:val="000000"/>
              </w:rPr>
              <w:t>714</w:t>
            </w:r>
            <w:r w:rsidRPr="006C541E">
              <w:rPr>
                <w:color w:val="000000"/>
              </w:rPr>
              <w:t>.</w:t>
            </w:r>
            <w:r w:rsidRPr="006C541E" w:rsidR="005851BC">
              <w:rPr>
                <w:color w:val="000000"/>
              </w:rPr>
              <w:t>0</w:t>
            </w:r>
            <w:r w:rsidRPr="006C541E">
              <w:rPr>
                <w:color w:val="000000"/>
              </w:rPr>
              <w:t xml:space="preserve">0 </w:t>
            </w:r>
          </w:p>
        </w:tc>
        <w:tc>
          <w:tcPr>
            <w:tcW w:w="2338" w:type="dxa"/>
            <w:vAlign w:val="center"/>
          </w:tcPr>
          <w:p w:rsidR="00FF73CC" w:rsidRPr="006C541E" w14:paraId="1AC0B12B" w14:textId="604D8E7E">
            <w:pPr>
              <w:jc w:val="center"/>
              <w:rPr>
                <w:color w:val="000000" w:themeColor="text1"/>
              </w:rPr>
            </w:pPr>
            <w:r w:rsidRPr="006C541E">
              <w:rPr>
                <w:color w:val="000000"/>
              </w:rPr>
              <w:t>$</w:t>
            </w:r>
            <w:r w:rsidRPr="006C541E" w:rsidR="005851BC">
              <w:rPr>
                <w:color w:val="000000"/>
              </w:rPr>
              <w:t>124,950.00</w:t>
            </w:r>
            <w:r w:rsidRPr="006C541E">
              <w:rPr>
                <w:color w:val="000000"/>
              </w:rPr>
              <w:t xml:space="preserve"> </w:t>
            </w:r>
          </w:p>
        </w:tc>
      </w:tr>
      <w:tr w14:paraId="2896D79D" w14:textId="77777777" w:rsidTr="00BC1EE4">
        <w:tblPrEx>
          <w:tblW w:w="0" w:type="auto"/>
          <w:tblLook w:val="04A0"/>
        </w:tblPrEx>
        <w:trPr>
          <w:tblHeader/>
        </w:trPr>
        <w:tc>
          <w:tcPr>
            <w:tcW w:w="2336" w:type="dxa"/>
          </w:tcPr>
          <w:p w:rsidR="00FF73CC" w:rsidP="00FF73CC" w14:paraId="1EB6D583" w14:textId="77777777">
            <w:pPr>
              <w:rPr>
                <w:color w:val="000000" w:themeColor="text1"/>
              </w:rPr>
            </w:pPr>
            <w:r>
              <w:rPr>
                <w:color w:val="000000" w:themeColor="text1"/>
              </w:rPr>
              <w:t>Base Estimate (from Table 3)</w:t>
            </w:r>
          </w:p>
        </w:tc>
        <w:tc>
          <w:tcPr>
            <w:tcW w:w="2338" w:type="dxa"/>
            <w:vAlign w:val="center"/>
          </w:tcPr>
          <w:p w:rsidR="00FF73CC" w:rsidRPr="006C541E" w14:paraId="6729B829" w14:textId="092E2DE3">
            <w:pPr>
              <w:jc w:val="center"/>
              <w:rPr>
                <w:color w:val="000000" w:themeColor="text1"/>
              </w:rPr>
            </w:pPr>
            <w:r w:rsidRPr="006C541E">
              <w:rPr>
                <w:color w:val="000000"/>
              </w:rPr>
              <w:t>30</w:t>
            </w:r>
          </w:p>
        </w:tc>
        <w:tc>
          <w:tcPr>
            <w:tcW w:w="2338" w:type="dxa"/>
            <w:vAlign w:val="center"/>
          </w:tcPr>
          <w:p w:rsidR="00FF73CC" w:rsidRPr="006C541E" w14:paraId="468AF83A" w14:textId="7D3039CE">
            <w:pPr>
              <w:jc w:val="center"/>
              <w:rPr>
                <w:color w:val="000000" w:themeColor="text1"/>
              </w:rPr>
            </w:pPr>
            <w:r w:rsidRPr="006C541E">
              <w:rPr>
                <w:color w:val="000000"/>
              </w:rPr>
              <w:t>$1,</w:t>
            </w:r>
            <w:r w:rsidRPr="006C541E" w:rsidR="005851BC">
              <w:rPr>
                <w:color w:val="000000"/>
              </w:rPr>
              <w:t>428</w:t>
            </w:r>
            <w:r w:rsidRPr="006C541E">
              <w:rPr>
                <w:color w:val="000000"/>
              </w:rPr>
              <w:t>.</w:t>
            </w:r>
            <w:r w:rsidRPr="006C541E" w:rsidR="005851BC">
              <w:rPr>
                <w:color w:val="000000"/>
              </w:rPr>
              <w:t>0</w:t>
            </w:r>
            <w:r w:rsidRPr="006C541E">
              <w:rPr>
                <w:color w:val="000000"/>
              </w:rPr>
              <w:t xml:space="preserve">0 </w:t>
            </w:r>
          </w:p>
        </w:tc>
        <w:tc>
          <w:tcPr>
            <w:tcW w:w="2338" w:type="dxa"/>
            <w:vAlign w:val="center"/>
          </w:tcPr>
          <w:p w:rsidR="00FF73CC" w:rsidRPr="006C541E" w14:paraId="5C61A229" w14:textId="3E269816">
            <w:pPr>
              <w:jc w:val="center"/>
              <w:rPr>
                <w:color w:val="000000" w:themeColor="text1"/>
              </w:rPr>
            </w:pPr>
            <w:r w:rsidRPr="006C541E">
              <w:rPr>
                <w:color w:val="000000"/>
              </w:rPr>
              <w:t>$24</w:t>
            </w:r>
            <w:r w:rsidRPr="006C541E" w:rsidR="005851BC">
              <w:rPr>
                <w:color w:val="000000"/>
              </w:rPr>
              <w:t>9,900</w:t>
            </w:r>
            <w:r w:rsidRPr="006C541E">
              <w:rPr>
                <w:color w:val="000000"/>
              </w:rPr>
              <w:t xml:space="preserve">.00 </w:t>
            </w:r>
          </w:p>
        </w:tc>
      </w:tr>
      <w:tr w14:paraId="05F99F54" w14:textId="77777777" w:rsidTr="00BC1EE4">
        <w:tblPrEx>
          <w:tblW w:w="0" w:type="auto"/>
          <w:tblLook w:val="04A0"/>
        </w:tblPrEx>
        <w:trPr>
          <w:tblHeader/>
        </w:trPr>
        <w:tc>
          <w:tcPr>
            <w:tcW w:w="2336" w:type="dxa"/>
          </w:tcPr>
          <w:p w:rsidR="00FF73CC" w:rsidP="00FF73CC" w14:paraId="3DDA57E9" w14:textId="77777777">
            <w:pPr>
              <w:rPr>
                <w:color w:val="000000" w:themeColor="text1"/>
              </w:rPr>
            </w:pPr>
            <w:r>
              <w:rPr>
                <w:color w:val="000000" w:themeColor="text1"/>
              </w:rPr>
              <w:t>High Estimate</w:t>
            </w:r>
          </w:p>
        </w:tc>
        <w:tc>
          <w:tcPr>
            <w:tcW w:w="2338" w:type="dxa"/>
            <w:vAlign w:val="center"/>
          </w:tcPr>
          <w:p w:rsidR="00FF73CC" w:rsidRPr="006C541E" w14:paraId="7C6B501F" w14:textId="5BB983A0">
            <w:pPr>
              <w:jc w:val="center"/>
              <w:rPr>
                <w:color w:val="000000" w:themeColor="text1"/>
              </w:rPr>
            </w:pPr>
            <w:r w:rsidRPr="006C541E">
              <w:rPr>
                <w:color w:val="000000"/>
              </w:rPr>
              <w:t>60</w:t>
            </w:r>
          </w:p>
        </w:tc>
        <w:tc>
          <w:tcPr>
            <w:tcW w:w="2338" w:type="dxa"/>
            <w:vAlign w:val="center"/>
          </w:tcPr>
          <w:p w:rsidR="00FF73CC" w:rsidRPr="006C541E" w14:paraId="3BEDA43B" w14:textId="05BD60B2">
            <w:pPr>
              <w:jc w:val="center"/>
              <w:rPr>
                <w:color w:val="000000" w:themeColor="text1"/>
              </w:rPr>
            </w:pPr>
            <w:r w:rsidRPr="006C541E">
              <w:rPr>
                <w:color w:val="000000"/>
              </w:rPr>
              <w:t>$2,</w:t>
            </w:r>
            <w:r w:rsidRPr="006C541E" w:rsidR="005851BC">
              <w:rPr>
                <w:color w:val="000000"/>
              </w:rPr>
              <w:t>856</w:t>
            </w:r>
            <w:r w:rsidRPr="006C541E">
              <w:rPr>
                <w:color w:val="000000"/>
              </w:rPr>
              <w:t>.</w:t>
            </w:r>
            <w:r w:rsidRPr="006C541E" w:rsidR="005851BC">
              <w:rPr>
                <w:color w:val="000000"/>
              </w:rPr>
              <w:t>0</w:t>
            </w:r>
            <w:r w:rsidRPr="006C541E">
              <w:rPr>
                <w:color w:val="000000"/>
              </w:rPr>
              <w:t xml:space="preserve">0 </w:t>
            </w:r>
          </w:p>
        </w:tc>
        <w:tc>
          <w:tcPr>
            <w:tcW w:w="2338" w:type="dxa"/>
            <w:vAlign w:val="center"/>
          </w:tcPr>
          <w:p w:rsidR="00FF73CC" w:rsidRPr="006C541E" w14:paraId="26C245B9" w14:textId="4D3344A3">
            <w:pPr>
              <w:jc w:val="center"/>
              <w:rPr>
                <w:color w:val="000000" w:themeColor="text1"/>
              </w:rPr>
            </w:pPr>
            <w:r w:rsidRPr="006C541E">
              <w:rPr>
                <w:color w:val="000000"/>
              </w:rPr>
              <w:t>$4</w:t>
            </w:r>
            <w:r w:rsidRPr="006C541E" w:rsidR="005851BC">
              <w:rPr>
                <w:color w:val="000000"/>
              </w:rPr>
              <w:t>99,800</w:t>
            </w:r>
            <w:r w:rsidRPr="006C541E">
              <w:rPr>
                <w:color w:val="000000"/>
              </w:rPr>
              <w:t xml:space="preserve">.00 </w:t>
            </w:r>
          </w:p>
        </w:tc>
      </w:tr>
    </w:tbl>
    <w:p w:rsidR="6B370752" w:rsidRPr="008F3C2D" w:rsidP="6B370752" w14:paraId="37C89BEE" w14:textId="0FBA8C70">
      <w:pPr>
        <w:rPr>
          <w:color w:val="000000" w:themeColor="text1"/>
        </w:rPr>
      </w:pPr>
    </w:p>
    <w:p w:rsidR="00594906" w14:paraId="191F223C" w14:textId="19AAA3F0">
      <w:pPr>
        <w:pStyle w:val="Header3"/>
      </w:pPr>
      <w:r>
        <w:t>Counteroffer ICR Form</w:t>
      </w:r>
    </w:p>
    <w:p w:rsidR="006328EA" w:rsidP="008B6B31" w14:paraId="1BB7F857" w14:textId="4CC49EF5">
      <w:pPr>
        <w:tabs>
          <w:tab w:val="left" w:pos="720"/>
        </w:tabs>
        <w:suppressAutoHyphens/>
        <w:spacing w:line="240" w:lineRule="atLeast"/>
      </w:pPr>
      <w:r w:rsidRPr="1B645BAE">
        <w:rPr>
          <w:rFonts w:eastAsiaTheme="majorEastAsia"/>
        </w:rPr>
        <w:t xml:space="preserve">A Primary Manufacturer must complete and submit the information requested on the </w:t>
      </w:r>
      <w:r w:rsidR="00B4018C">
        <w:t xml:space="preserve">Statutory Written </w:t>
      </w:r>
      <w:r w:rsidRPr="1B645BAE">
        <w:rPr>
          <w:rFonts w:eastAsiaTheme="majorEastAsia"/>
        </w:rPr>
        <w:t>Counteroffer</w:t>
      </w:r>
      <w:r w:rsidR="00C95A5A">
        <w:rPr>
          <w:rFonts w:eastAsiaTheme="majorEastAsia"/>
        </w:rPr>
        <w:t xml:space="preserve"> ICR</w:t>
      </w:r>
      <w:r w:rsidRPr="1B645BAE">
        <w:rPr>
          <w:rFonts w:eastAsiaTheme="majorEastAsia"/>
        </w:rPr>
        <w:t xml:space="preserve"> Form </w:t>
      </w:r>
      <w:r w:rsidR="00805811">
        <w:rPr>
          <w:rFonts w:eastAsiaTheme="majorEastAsia"/>
        </w:rPr>
        <w:t xml:space="preserve">or the Renegotiation Written Counteroffer </w:t>
      </w:r>
      <w:r w:rsidR="00C95A5A">
        <w:rPr>
          <w:rFonts w:eastAsiaTheme="majorEastAsia"/>
        </w:rPr>
        <w:t xml:space="preserve">ICR </w:t>
      </w:r>
      <w:r w:rsidR="00805811">
        <w:rPr>
          <w:rFonts w:eastAsiaTheme="majorEastAsia"/>
        </w:rPr>
        <w:t xml:space="preserve">Form, as applicable, </w:t>
      </w:r>
      <w:r w:rsidRPr="1B645BAE">
        <w:rPr>
          <w:rFonts w:eastAsiaTheme="majorEastAsia"/>
        </w:rPr>
        <w:t xml:space="preserve">if it both chooses not to accept CMS’ initial offer and chooses to submit a </w:t>
      </w:r>
      <w:r w:rsidR="0098624D">
        <w:rPr>
          <w:rFonts w:eastAsiaTheme="majorEastAsia"/>
        </w:rPr>
        <w:t>C</w:t>
      </w:r>
      <w:r w:rsidRPr="1B645BAE" w:rsidR="0098624D">
        <w:rPr>
          <w:rFonts w:eastAsiaTheme="majorEastAsia"/>
        </w:rPr>
        <w:t xml:space="preserve">ounteroffer </w:t>
      </w:r>
      <w:r w:rsidRPr="1B645BAE">
        <w:rPr>
          <w:rFonts w:eastAsiaTheme="majorEastAsia"/>
        </w:rPr>
        <w:t xml:space="preserve">for a selected drug. The burden estimate for this information collection is detailed in this section. </w:t>
      </w:r>
      <w:r w:rsidR="0023403C">
        <w:t>T</w:t>
      </w:r>
      <w:r w:rsidRPr="1B645BAE" w:rsidR="001B31CD">
        <w:rPr>
          <w:rFonts w:eastAsiaTheme="majorEastAsia"/>
        </w:rPr>
        <w:t xml:space="preserve">he </w:t>
      </w:r>
      <w:r w:rsidR="001B31CD">
        <w:t xml:space="preserve">Statutory Written </w:t>
      </w:r>
      <w:r w:rsidRPr="1B645BAE" w:rsidR="001B31CD">
        <w:rPr>
          <w:rFonts w:eastAsiaTheme="majorEastAsia"/>
        </w:rPr>
        <w:t xml:space="preserve">Counteroffer </w:t>
      </w:r>
      <w:r w:rsidR="000202BA">
        <w:rPr>
          <w:rFonts w:eastAsiaTheme="majorEastAsia"/>
        </w:rPr>
        <w:t xml:space="preserve">ICR </w:t>
      </w:r>
      <w:r w:rsidRPr="1B645BAE" w:rsidR="001B31CD">
        <w:rPr>
          <w:rFonts w:eastAsiaTheme="majorEastAsia"/>
        </w:rPr>
        <w:t xml:space="preserve">Form </w:t>
      </w:r>
      <w:r w:rsidR="001B31CD">
        <w:rPr>
          <w:rFonts w:eastAsiaTheme="majorEastAsia"/>
        </w:rPr>
        <w:t>and the Renegotiation Written Counteroffer</w:t>
      </w:r>
      <w:r w:rsidR="000202BA">
        <w:rPr>
          <w:rFonts w:eastAsiaTheme="majorEastAsia"/>
        </w:rPr>
        <w:t xml:space="preserve"> ICR</w:t>
      </w:r>
      <w:r w:rsidR="001B31CD">
        <w:rPr>
          <w:rFonts w:eastAsiaTheme="majorEastAsia"/>
        </w:rPr>
        <w:t xml:space="preserve"> Form</w:t>
      </w:r>
      <w:r w:rsidR="001B31CD">
        <w:t xml:space="preserve"> are collectively referred to as the “Counteroffer </w:t>
      </w:r>
      <w:r w:rsidR="00530AB0">
        <w:t xml:space="preserve">ICR </w:t>
      </w:r>
      <w:r w:rsidR="001B31CD">
        <w:t xml:space="preserve">Form” due to CMS approximating the estimates for each form to be similar due to the questions on the forms requiring about the same amount of time for a manufacturer to collect and submit the information on the applicable form. </w:t>
      </w:r>
    </w:p>
    <w:p w:rsidR="006328EA" w:rsidP="000A5850" w14:paraId="676265DD" w14:textId="3A393934">
      <w:pPr>
        <w:tabs>
          <w:tab w:val="left" w:pos="7470"/>
        </w:tabs>
        <w:ind w:left="-5" w:right="2"/>
      </w:pPr>
      <w:bookmarkStart w:id="5" w:name="_Hlk163046612"/>
      <w:r>
        <w:t xml:space="preserve">To derive wage estimates, CMS used data from the Bureau of Labor Statistics’ </w:t>
      </w:r>
      <w:r w:rsidRPr="000C0292">
        <w:t xml:space="preserve">May </w:t>
      </w:r>
      <w:r>
        <w:t>202</w:t>
      </w:r>
      <w:r w:rsidR="00A9502B">
        <w:t>4</w:t>
      </w:r>
      <w:r w:rsidR="00A6488D">
        <w:t xml:space="preserve"> </w:t>
      </w:r>
      <w:r w:rsidRPr="000C0292">
        <w:t>National Industry-Specific Occupational Employment and Wage Estimates</w:t>
      </w:r>
      <w:r>
        <w:t xml:space="preserve"> for the Pharmaceutical and Medicine Manufacturing industry, when available, to derive average labor costs (including a 100 percent increase for fringe benefits and overhead) for estimating the burden associated with the Counteroffer </w:t>
      </w:r>
      <w:r w:rsidR="001D199A">
        <w:t xml:space="preserve">ICR </w:t>
      </w:r>
      <w:r>
        <w:t>Form.</w:t>
      </w:r>
      <w:r>
        <w:rPr>
          <w:vertAlign w:val="superscript"/>
        </w:rPr>
        <w:footnoteReference w:id="20"/>
      </w:r>
      <w:r>
        <w:t xml:space="preserve"> When industry-specific wage estimates were not available, the Bureau of Labor Statistics’ May 202</w:t>
      </w:r>
      <w:r w:rsidR="00A7625E">
        <w:t>4</w:t>
      </w:r>
      <w:r>
        <w:t xml:space="preserve"> </w:t>
      </w:r>
      <w:r w:rsidRPr="00FE2E8A">
        <w:t>Occupational Employment and Wage Statistics</w:t>
      </w:r>
      <w:r>
        <w:t xml:space="preserve"> data was used. Table </w:t>
      </w:r>
      <w:r w:rsidR="008B6B31">
        <w:t>8</w:t>
      </w:r>
      <w:r>
        <w:t xml:space="preserve"> below presents the estimated median hourly wage, the cost of fringe benefits and overhead, total burden hours, and total cost to submit </w:t>
      </w:r>
      <w:r w:rsidR="00150923">
        <w:t xml:space="preserve">the </w:t>
      </w:r>
      <w:r>
        <w:t xml:space="preserve">form. </w:t>
      </w:r>
      <w:bookmarkEnd w:id="5"/>
    </w:p>
    <w:p w:rsidR="006328EA" w:rsidP="006328EA" w14:paraId="44EAACB9" w14:textId="6EC66C23">
      <w:pPr>
        <w:ind w:left="-5" w:right="2"/>
      </w:pPr>
      <w:r w:rsidRPr="00E815B8">
        <w:t xml:space="preserve">CMS </w:t>
      </w:r>
      <w:r w:rsidR="009936F9">
        <w:t xml:space="preserve">will </w:t>
      </w:r>
      <w:r>
        <w:t>select</w:t>
      </w:r>
      <w:r w:rsidRPr="7C2D0501">
        <w:t xml:space="preserve"> </w:t>
      </w:r>
      <w:r w:rsidR="003D6F08">
        <w:t>up t</w:t>
      </w:r>
      <w:r w:rsidRPr="006E1867" w:rsidR="003D6F08">
        <w:t xml:space="preserve">o </w:t>
      </w:r>
      <w:r w:rsidRPr="006E1867">
        <w:t xml:space="preserve">15 high expenditure, single source drugs </w:t>
      </w:r>
      <w:r w:rsidR="00AB069B">
        <w:t xml:space="preserve">payable under </w:t>
      </w:r>
      <w:r w:rsidR="00434961">
        <w:t xml:space="preserve">Medicare </w:t>
      </w:r>
      <w:r w:rsidR="00AB069B">
        <w:t>Part B</w:t>
      </w:r>
      <w:r w:rsidRPr="006E1867" w:rsidR="00AB069B">
        <w:t xml:space="preserve"> </w:t>
      </w:r>
      <w:r w:rsidR="00AB069B">
        <w:t xml:space="preserve">and/or </w:t>
      </w:r>
      <w:r w:rsidRPr="006E1867">
        <w:t xml:space="preserve">covered </w:t>
      </w:r>
      <w:r w:rsidR="00BC7B00">
        <w:t>under</w:t>
      </w:r>
      <w:r w:rsidRPr="006E1867" w:rsidR="00BC7B00">
        <w:t xml:space="preserve"> </w:t>
      </w:r>
      <w:r w:rsidRPr="006E1867">
        <w:t xml:space="preserve">Medicare Part D for negotiation for initial price applicability year </w:t>
      </w:r>
      <w:r w:rsidRPr="006E1867" w:rsidR="006E1867">
        <w:t>2028</w:t>
      </w:r>
      <w:r w:rsidRPr="006E1867">
        <w:t>.</w:t>
      </w:r>
      <w:r w:rsidRPr="7C2D0501">
        <w:t xml:space="preserve"> </w:t>
      </w:r>
      <w:r w:rsidR="003622FF">
        <w:t>Statutory written c</w:t>
      </w:r>
      <w:r>
        <w:t>ounteroffers will be submitted by Primary Manufacturers for up t</w:t>
      </w:r>
      <w:r w:rsidRPr="006E1867">
        <w:t xml:space="preserve">o 15 selected drugs, and completing the </w:t>
      </w:r>
      <w:r w:rsidRPr="006E1867" w:rsidR="00B4018C">
        <w:t xml:space="preserve">Statutory Written </w:t>
      </w:r>
      <w:r w:rsidRPr="006E1867">
        <w:t xml:space="preserve">Counteroffer </w:t>
      </w:r>
      <w:r w:rsidR="001D199A">
        <w:t xml:space="preserve">ICR </w:t>
      </w:r>
      <w:r w:rsidRPr="006E1867">
        <w:t>Form will be a one-time co</w:t>
      </w:r>
      <w:r>
        <w:t xml:space="preserve">st for each selected drug for which a Primary Manufacturer submits a </w:t>
      </w:r>
      <w:r w:rsidR="003622FF">
        <w:t xml:space="preserve">statutory written </w:t>
      </w:r>
      <w:r>
        <w:t xml:space="preserve">counteroffer. The statute envisions that </w:t>
      </w:r>
      <w:r w:rsidR="003622FF">
        <w:t xml:space="preserve">statutory written </w:t>
      </w:r>
      <w:r>
        <w:t xml:space="preserve">counteroffer submissions for initial price applicability year </w:t>
      </w:r>
      <w:r w:rsidR="007224E4">
        <w:t xml:space="preserve">2028 </w:t>
      </w:r>
      <w:r>
        <w:t xml:space="preserve">will occur in </w:t>
      </w:r>
      <w:r w:rsidR="007224E4">
        <w:t>2026</w:t>
      </w:r>
      <w:r>
        <w:t xml:space="preserve">, as the statute instructs CMS to make a written initial offer to the Primary Manufacturer with the proposal for the MFP for a selected drug no later than June 1, </w:t>
      </w:r>
      <w:r w:rsidR="007224E4">
        <w:t>2026</w:t>
      </w:r>
      <w:r>
        <w:t xml:space="preserve">, and if the Primary Manufacturer chooses to submit a </w:t>
      </w:r>
      <w:r w:rsidR="003622FF">
        <w:t xml:space="preserve">statutory </w:t>
      </w:r>
      <w:r>
        <w:t xml:space="preserve">written counteroffer, the statute provides that it must do so no later than 30 days after the date of receipt of the written initial offer. </w:t>
      </w:r>
      <w:r w:rsidR="006E1867">
        <w:t xml:space="preserve">Renegotiation written counteroffers will be submitted by Primary Manufacturers for </w:t>
      </w:r>
      <w:r w:rsidR="003B0AFC">
        <w:t>a maximum of 25</w:t>
      </w:r>
      <w:r w:rsidRPr="006E1867" w:rsidR="006E1867">
        <w:t xml:space="preserve"> selected drugs, and completing the </w:t>
      </w:r>
      <w:r w:rsidR="006E1867">
        <w:t>Renegotiation</w:t>
      </w:r>
      <w:r w:rsidRPr="006E1867" w:rsidR="006E1867">
        <w:t xml:space="preserve"> Written Counteroffer </w:t>
      </w:r>
      <w:r w:rsidR="00702BD4">
        <w:t xml:space="preserve">ICR </w:t>
      </w:r>
      <w:r w:rsidRPr="006E1867" w:rsidR="006E1867">
        <w:t>Form will be a one-time co</w:t>
      </w:r>
      <w:r w:rsidR="006E1867">
        <w:t xml:space="preserve">st for each selected drug for which a Primary Manufacturer submits a renegotiation written counteroffer. </w:t>
      </w:r>
      <w:r w:rsidR="00F24CC2">
        <w:t xml:space="preserve">Pursuant to section 1194(f)(4)(B) of the Act and section </w:t>
      </w:r>
      <w:r w:rsidR="0004261A">
        <w:t>130.</w:t>
      </w:r>
      <w:r w:rsidR="00B06E8C">
        <w:t xml:space="preserve">4.3 of the </w:t>
      </w:r>
      <w:r w:rsidR="00E97657">
        <w:t>final</w:t>
      </w:r>
      <w:r w:rsidR="00B06E8C">
        <w:t xml:space="preserve"> guidance</w:t>
      </w:r>
      <w:r w:rsidR="00C97E1D">
        <w:t>, t</w:t>
      </w:r>
      <w:r w:rsidR="003048CD">
        <w:t xml:space="preserve">he deadlines for CMS to make a written initial offer to the Primary Manufacturer and for the Primary Manufacturer to submit a </w:t>
      </w:r>
      <w:r w:rsidR="0098624D">
        <w:t>Counteroffer</w:t>
      </w:r>
      <w:r w:rsidR="003048CD">
        <w:t>, if applicable, are the same for the renegotiation process as for the negotiation process</w:t>
      </w:r>
      <w:r w:rsidR="001135CF">
        <w:t xml:space="preserve"> for initial price applicability year 2028</w:t>
      </w:r>
      <w:r w:rsidR="003048CD">
        <w:t xml:space="preserve">. </w:t>
      </w:r>
      <w:r>
        <w:t xml:space="preserve">CMS assumes each Primary Manufacturer will spend, on average, the same amount of time </w:t>
      </w:r>
      <w:r>
        <w:t>to develop</w:t>
      </w:r>
      <w:r>
        <w:t xml:space="preserve"> and submit</w:t>
      </w:r>
      <w:r w:rsidR="003622FF">
        <w:t xml:space="preserve"> </w:t>
      </w:r>
      <w:r w:rsidR="0098624D">
        <w:t xml:space="preserve">Counteroffer </w:t>
      </w:r>
      <w:r>
        <w:t>information for each selected drug. While a Primary Manufacturer may have multiple selected drugs, CMS assumes that the Primary Manufacturer would require the same time and effort to submit</w:t>
      </w:r>
      <w:r w:rsidR="003622FF">
        <w:t xml:space="preserve"> </w:t>
      </w:r>
      <w:r w:rsidR="009732B8">
        <w:t xml:space="preserve">Counteroffer </w:t>
      </w:r>
      <w:r>
        <w:t xml:space="preserve">information for each selected drug.  </w:t>
      </w:r>
    </w:p>
    <w:p w:rsidR="006328EA" w:rsidP="000A5850" w14:paraId="2D03D1C1" w14:textId="5AEBE129">
      <w:pPr>
        <w:spacing w:after="0" w:line="259" w:lineRule="auto"/>
      </w:pPr>
      <w:r>
        <w:t>CMS estimates up t</w:t>
      </w:r>
      <w:r w:rsidRPr="00C03CBC">
        <w:t xml:space="preserve">o </w:t>
      </w:r>
      <w:r w:rsidRPr="00C03CBC" w:rsidR="001959C5">
        <w:t>40</w:t>
      </w:r>
      <w:r w:rsidRPr="00C03CBC" w:rsidR="00FA34BE">
        <w:t xml:space="preserve"> </w:t>
      </w:r>
      <w:r w:rsidRPr="00C03CBC">
        <w:t xml:space="preserve">total respondents for initial price </w:t>
      </w:r>
      <w:r w:rsidRPr="00C03CBC">
        <w:t>applicability</w:t>
      </w:r>
      <w:r w:rsidRPr="00C03CBC">
        <w:t xml:space="preserve"> year </w:t>
      </w:r>
      <w:r w:rsidRPr="00C03CBC" w:rsidR="00FA34BE">
        <w:t>2028</w:t>
      </w:r>
      <w:r w:rsidRPr="00C03CBC">
        <w:t xml:space="preserve">. CMS chose this number because by statute only up to 15 drugs </w:t>
      </w:r>
      <w:r w:rsidRPr="00C03CBC" w:rsidR="00FA34BE">
        <w:t>pa</w:t>
      </w:r>
      <w:r w:rsidRPr="00C03CBC" w:rsidR="00383E8E">
        <w:t>yable</w:t>
      </w:r>
      <w:r w:rsidRPr="00C03CBC" w:rsidR="00FA34BE">
        <w:t xml:space="preserve"> under Medicare Part </w:t>
      </w:r>
      <w:r w:rsidRPr="00C03CBC" w:rsidR="00383E8E">
        <w:t>B</w:t>
      </w:r>
      <w:r w:rsidRPr="00C03CBC" w:rsidR="00FA34BE">
        <w:t xml:space="preserve"> and</w:t>
      </w:r>
      <w:r w:rsidR="00AE70F3">
        <w:t>/or</w:t>
      </w:r>
      <w:r w:rsidRPr="00C03CBC" w:rsidR="00FA34BE">
        <w:t xml:space="preserve"> </w:t>
      </w:r>
      <w:r w:rsidRPr="00C03CBC">
        <w:t xml:space="preserve">covered </w:t>
      </w:r>
      <w:r w:rsidRPr="00C03CBC" w:rsidR="003C5B82">
        <w:t xml:space="preserve">under </w:t>
      </w:r>
      <w:r w:rsidRPr="00C03CBC">
        <w:t xml:space="preserve">Medicare Part D can be selected for negotiation for </w:t>
      </w:r>
      <w:r w:rsidRPr="00C03CBC" w:rsidR="00FA34BE">
        <w:t>2028</w:t>
      </w:r>
      <w:r w:rsidRPr="00C03CBC" w:rsidR="00E7253B">
        <w:t xml:space="preserve"> and </w:t>
      </w:r>
      <w:r w:rsidR="003B0AFC">
        <w:t>a maximum of</w:t>
      </w:r>
      <w:r w:rsidRPr="00C03CBC" w:rsidR="00E7253B">
        <w:t xml:space="preserve"> </w:t>
      </w:r>
      <w:r w:rsidRPr="00C03CBC" w:rsidR="001959C5">
        <w:t>25</w:t>
      </w:r>
      <w:r w:rsidRPr="00C03CBC" w:rsidR="00E7253B">
        <w:t xml:space="preserve"> drugs can be selected for renegotiation for 2028</w:t>
      </w:r>
      <w:r w:rsidRPr="00C03CBC">
        <w:t xml:space="preserve">, and for each selected drug CMS will undergo negotiation </w:t>
      </w:r>
      <w:r w:rsidRPr="00C03CBC" w:rsidR="00E7253B">
        <w:t xml:space="preserve">or renegotiation </w:t>
      </w:r>
      <w:r w:rsidRPr="00C03CBC">
        <w:t xml:space="preserve">with only one Primary Manufacturer, so it is not possible that there would be more than </w:t>
      </w:r>
      <w:r w:rsidRPr="00C03CBC" w:rsidR="001959C5">
        <w:t>40</w:t>
      </w:r>
      <w:r w:rsidRPr="00C03CBC" w:rsidR="00E7253B">
        <w:t xml:space="preserve"> </w:t>
      </w:r>
      <w:r w:rsidRPr="00C03CBC">
        <w:t xml:space="preserve">respondents for initial price applicability year </w:t>
      </w:r>
      <w:r w:rsidRPr="00C03CBC" w:rsidR="00FA34BE">
        <w:t>2</w:t>
      </w:r>
      <w:r w:rsidR="00FA34BE">
        <w:t>028</w:t>
      </w:r>
      <w:r>
        <w:t xml:space="preserve">. </w:t>
      </w:r>
    </w:p>
    <w:p w:rsidR="006328EA" w:rsidP="006328EA" w14:paraId="06929309" w14:textId="77777777">
      <w:pPr>
        <w:spacing w:after="0" w:line="259" w:lineRule="auto"/>
      </w:pPr>
      <w:r>
        <w:t xml:space="preserve"> </w:t>
      </w:r>
    </w:p>
    <w:p w:rsidR="006328EA" w:rsidP="000A5850" w14:paraId="401F8368" w14:textId="773F21B2">
      <w:pPr>
        <w:ind w:right="2"/>
      </w:pPr>
      <w:r>
        <w:t>CMS expects the Primary Manufacturer will have a team preparing the</w:t>
      </w:r>
      <w:r w:rsidRPr="7C2D0501" w:rsidR="00B4018C">
        <w:t xml:space="preserve"> </w:t>
      </w:r>
      <w:r>
        <w:t xml:space="preserve">Counteroffer </w:t>
      </w:r>
      <w:r w:rsidR="001D199A">
        <w:t xml:space="preserve">ICR </w:t>
      </w:r>
      <w:r>
        <w:t>Form. CMS expects this team to consist of chief executives, lawyers, health care professionals, economists, general and operations managers, and business operation specialists. The estimate below accounts for the burden of preparing and submitting the</w:t>
      </w:r>
      <w:r w:rsidRPr="7C2D0501" w:rsidR="00B4018C">
        <w:t xml:space="preserve"> </w:t>
      </w:r>
      <w:r>
        <w:t xml:space="preserve">Counteroffer </w:t>
      </w:r>
      <w:r w:rsidR="001D199A">
        <w:t xml:space="preserve">ICR </w:t>
      </w:r>
      <w:r>
        <w:t xml:space="preserve">Form.  </w:t>
      </w:r>
    </w:p>
    <w:p w:rsidR="006328EA" w:rsidP="006328EA" w14:paraId="1400FD08" w14:textId="2BD5C4A9">
      <w:pPr>
        <w:numPr>
          <w:ilvl w:val="0"/>
          <w:numId w:val="25"/>
        </w:numPr>
        <w:spacing w:after="3" w:line="248" w:lineRule="auto"/>
        <w:ind w:right="2" w:hanging="360"/>
      </w:pPr>
      <w:r>
        <w:t>CMS estimates it will take a business operation specialist, or a team of business operations specialists, 27 hours, on average, at $</w:t>
      </w:r>
      <w:r w:rsidR="00433853">
        <w:t>93.10</w:t>
      </w:r>
      <w:r>
        <w:t xml:space="preserve"> per hour, to review CMS’ initial offer and justification and compare it to current prices, revenue, and other market and clinical data for the selected drug. CMS also expects this business operation specialist, or team, to compare CMS’ justification with the data the Primary Manufacturer submitted as part of the section 1194(e)(1) and (2) factors and the section 1194(e)(2) data from other interested parties shared by CMS with the Primary Manufacturer, if feasible, and put together recommendations on how the initial offer compares to what was submitted and develop </w:t>
      </w:r>
      <w:r w:rsidR="006546EC">
        <w:t xml:space="preserve">Counteroffer </w:t>
      </w:r>
      <w:r>
        <w:t xml:space="preserve">options and justifications. </w:t>
      </w:r>
    </w:p>
    <w:p w:rsidR="006328EA" w:rsidP="006328EA" w14:paraId="04F7E3FE" w14:textId="42E64164">
      <w:pPr>
        <w:numPr>
          <w:ilvl w:val="0"/>
          <w:numId w:val="25"/>
        </w:numPr>
        <w:spacing w:after="3" w:line="248" w:lineRule="auto"/>
        <w:ind w:right="2" w:hanging="360"/>
      </w:pPr>
      <w:r>
        <w:t xml:space="preserve">CMS also estimates it will take a team of healthcare professionals, such as doctors, advanced practice nurses/nurses, and/or pharmacists, 25 hours, on average, to compare CMS’ initial offer and justification to the section 1194(e)(2) factors around the selected drug and therapeutic alternatives and develop </w:t>
      </w:r>
      <w:r w:rsidR="00953194">
        <w:t xml:space="preserve">Counteroffer </w:t>
      </w:r>
      <w:r>
        <w:t>options and justifications. CMS estimates these 25 hours will be divided into 15 hours (on average, at $12</w:t>
      </w:r>
      <w:r w:rsidR="00433853">
        <w:t>8.24</w:t>
      </w:r>
      <w:r>
        <w:t xml:space="preserve"> per hour) for pharmacists, 5 hours (on average, at $10</w:t>
      </w:r>
      <w:r w:rsidR="00433853">
        <w:t>0.90</w:t>
      </w:r>
      <w:r>
        <w:t xml:space="preserve"> per hour) for nurses, and 5 hours (on average, at $2</w:t>
      </w:r>
      <w:r w:rsidR="00433853">
        <w:t>27.26</w:t>
      </w:r>
      <w:r>
        <w:t xml:space="preserve"> per hour) for doctors. </w:t>
      </w:r>
    </w:p>
    <w:p w:rsidR="006328EA" w:rsidP="006328EA" w14:paraId="34F230B6" w14:textId="1667636F">
      <w:pPr>
        <w:numPr>
          <w:ilvl w:val="0"/>
          <w:numId w:val="25"/>
        </w:numPr>
        <w:spacing w:after="3" w:line="248" w:lineRule="auto"/>
        <w:ind w:right="2" w:hanging="360"/>
      </w:pPr>
      <w:r>
        <w:t>CMS estimates it will take an economist, or team of economists, 64 hours, on average, at $111.</w:t>
      </w:r>
      <w:r w:rsidR="00433853">
        <w:t>00</w:t>
      </w:r>
      <w:r>
        <w:t xml:space="preserve"> per hour, to consider team recommendations of the business operations specialist(s) and healthcare professionals, model counteroffer options, and recommend </w:t>
      </w:r>
      <w:r w:rsidR="000F4BD4">
        <w:t xml:space="preserve">Counteroffer </w:t>
      </w:r>
      <w:r>
        <w:t xml:space="preserve">options. </w:t>
      </w:r>
    </w:p>
    <w:p w:rsidR="006328EA" w:rsidP="006328EA" w14:paraId="4A437AC0" w14:textId="1B66DB99">
      <w:pPr>
        <w:numPr>
          <w:ilvl w:val="0"/>
          <w:numId w:val="25"/>
        </w:numPr>
        <w:spacing w:after="3" w:line="248" w:lineRule="auto"/>
        <w:ind w:right="2" w:hanging="360"/>
      </w:pPr>
      <w:r>
        <w:t>CMS estimates it will take a general or operations manager, or a team of general or operations managers, 14 hours, on average, at $16</w:t>
      </w:r>
      <w:r w:rsidR="00433853">
        <w:t>9.50</w:t>
      </w:r>
      <w:r>
        <w:t xml:space="preserve"> per hour, to review </w:t>
      </w:r>
      <w:r w:rsidR="000F4BD4">
        <w:t xml:space="preserve">Counteroffer </w:t>
      </w:r>
      <w:r>
        <w:t xml:space="preserve">options and justifications and develop a </w:t>
      </w:r>
      <w:r w:rsidR="000F4BD4">
        <w:t xml:space="preserve">Counteroffer </w:t>
      </w:r>
      <w:r>
        <w:t>proposal</w:t>
      </w:r>
      <w:r w:rsidR="000F4BD4">
        <w:t xml:space="preserve"> for the MFP</w:t>
      </w:r>
      <w:r>
        <w:t xml:space="preserve">. </w:t>
      </w:r>
    </w:p>
    <w:p w:rsidR="006328EA" w:rsidP="7C2D0501" w14:paraId="19C90047" w14:textId="540348DC">
      <w:pPr>
        <w:numPr>
          <w:ilvl w:val="0"/>
          <w:numId w:val="25"/>
        </w:numPr>
        <w:spacing w:after="3" w:line="248" w:lineRule="auto"/>
        <w:ind w:right="2" w:hanging="360"/>
      </w:pPr>
      <w:r>
        <w:t xml:space="preserve">CMS estimates it will take a lawyer, or team of lawyers, 64 hours, on average, at $230.00 per hour, to review counteroffer options and draft a justification for the selected </w:t>
      </w:r>
      <w:r w:rsidR="000F4BD4">
        <w:t xml:space="preserve">Counteroffer </w:t>
      </w:r>
      <w:r w:rsidR="00B4018C">
        <w:t>proposal for the MFP</w:t>
      </w:r>
      <w:r w:rsidRPr="7C2D0501">
        <w:t xml:space="preserve">. </w:t>
      </w:r>
    </w:p>
    <w:p w:rsidR="006328EA" w:rsidP="7C2D0501" w14:paraId="4F1C662E" w14:textId="7417EBCB">
      <w:pPr>
        <w:numPr>
          <w:ilvl w:val="0"/>
          <w:numId w:val="25"/>
        </w:numPr>
        <w:spacing w:after="3" w:line="248" w:lineRule="auto"/>
        <w:ind w:right="2" w:hanging="360"/>
      </w:pPr>
      <w:r>
        <w:t xml:space="preserve">CMS estimates that it will take a general or operations manager, on average, 15 minutes, or 0.25 hours, to examine the gathered information, populate the Counteroffer </w:t>
      </w:r>
      <w:r w:rsidR="00A76F5A">
        <w:t xml:space="preserve">ICR </w:t>
      </w:r>
      <w:r>
        <w:t xml:space="preserve">Form, and submit the Counteroffer </w:t>
      </w:r>
      <w:r w:rsidR="001D199A">
        <w:t xml:space="preserve">ICR </w:t>
      </w:r>
      <w:r>
        <w:t xml:space="preserve">Form to CMS. </w:t>
      </w:r>
    </w:p>
    <w:p w:rsidR="006328EA" w:rsidP="7C2D0501" w14:paraId="0F88CA01" w14:textId="0BD19703">
      <w:pPr>
        <w:numPr>
          <w:ilvl w:val="0"/>
          <w:numId w:val="25"/>
        </w:numPr>
        <w:spacing w:after="3" w:line="248" w:lineRule="auto"/>
        <w:ind w:right="2" w:hanging="360"/>
      </w:pPr>
      <w:r>
        <w:t xml:space="preserve">CMS estimates that it will take a Chief Executive, on average, 10 hours, at $230.00 per hour, to review the </w:t>
      </w:r>
      <w:r w:rsidR="00F04F5D">
        <w:t xml:space="preserve">Counteroffer </w:t>
      </w:r>
      <w:r>
        <w:t>proposal</w:t>
      </w:r>
      <w:r w:rsidR="00F04F5D">
        <w:t xml:space="preserve"> for the MFP</w:t>
      </w:r>
      <w:r>
        <w:t xml:space="preserve">, </w:t>
      </w:r>
      <w:r>
        <w:t>make a decision</w:t>
      </w:r>
      <w:r>
        <w:t xml:space="preserve"> on the </w:t>
      </w:r>
      <w:r w:rsidR="00F04F5D">
        <w:t xml:space="preserve">Counteroffer </w:t>
      </w:r>
      <w:r>
        <w:t>pr</w:t>
      </w:r>
      <w:r w:rsidR="00B4018C">
        <w:t>oposal for the MFP</w:t>
      </w:r>
      <w:r>
        <w:t xml:space="preserve">, review the </w:t>
      </w:r>
      <w:r w:rsidR="00F04F5D">
        <w:t xml:space="preserve">Counteroffer </w:t>
      </w:r>
      <w:r>
        <w:t xml:space="preserve">information prior to submission, and log in to the CMS HPMS to certify the submission. Certification must be done by (1) </w:t>
      </w:r>
      <w:r w:rsidR="002551DB">
        <w:t xml:space="preserve">the </w:t>
      </w:r>
      <w:r>
        <w:t xml:space="preserve">CEO, (2) </w:t>
      </w:r>
      <w:r w:rsidR="002551DB">
        <w:t xml:space="preserve">the </w:t>
      </w:r>
      <w:r>
        <w:t>CFO, (3) an individual other than a CEO or CFO, who has authority equivalent to a CEO or a CFO, or (4) an individual with the directly delegated authority to perform the certification on behalf of one of the individuals mentioned in (1) through (3).</w:t>
      </w:r>
    </w:p>
    <w:p w:rsidR="006328EA" w:rsidP="006328EA" w14:paraId="0DBA534C" w14:textId="77777777">
      <w:pPr>
        <w:spacing w:after="0" w:line="259" w:lineRule="auto"/>
      </w:pPr>
      <w:r>
        <w:t xml:space="preserve"> </w:t>
      </w:r>
    </w:p>
    <w:p w:rsidR="006328EA" w:rsidP="006328EA" w14:paraId="138126CF" w14:textId="5E52605A">
      <w:pPr>
        <w:ind w:left="-5" w:right="2"/>
      </w:pPr>
      <w:r>
        <w:t xml:space="preserve">The cost estimates for this subsection are in Table </w:t>
      </w:r>
      <w:r w:rsidR="009F59CD">
        <w:t>8</w:t>
      </w:r>
      <w:r>
        <w:t xml:space="preserve"> below. CMS estimates a total burden of </w:t>
      </w:r>
      <w:r w:rsidR="00DC0285">
        <w:t>8,170</w:t>
      </w:r>
      <w:r>
        <w:t xml:space="preserve"> hours (204.25 hrs.* </w:t>
      </w:r>
      <w:r w:rsidR="00DC0285">
        <w:t>40</w:t>
      </w:r>
      <w:r>
        <w:t xml:space="preserve"> respondents) and total cost of </w:t>
      </w:r>
      <w:r w:rsidRPr="000C0292">
        <w:t>$</w:t>
      </w:r>
      <w:r w:rsidR="00DC0285">
        <w:t>1,307,699.00</w:t>
      </w:r>
      <w:r w:rsidRPr="000C0292">
        <w:t xml:space="preserve"> </w:t>
      </w:r>
      <w:r>
        <w:t>(</w:t>
      </w:r>
      <w:r w:rsidRPr="000C0292">
        <w:t>$</w:t>
      </w:r>
      <w:r w:rsidR="006737CB">
        <w:t>32,692.46</w:t>
      </w:r>
      <w:r>
        <w:t xml:space="preserve"> per respondent * </w:t>
      </w:r>
      <w:r w:rsidR="00E25D91">
        <w:t xml:space="preserve">40 </w:t>
      </w:r>
      <w:r>
        <w:t xml:space="preserve">respondents). </w:t>
      </w:r>
    </w:p>
    <w:p w:rsidR="006328EA" w:rsidRPr="0078206D" w:rsidP="000A5850" w14:paraId="4DA5491A" w14:textId="19473856">
      <w:pPr>
        <w:pStyle w:val="Heading4"/>
      </w:pPr>
      <w:r w:rsidRPr="0078206D">
        <w:t xml:space="preserve">TABLE </w:t>
      </w:r>
      <w:r w:rsidR="009F59CD">
        <w:t>8</w:t>
      </w:r>
      <w:r w:rsidRPr="0078206D">
        <w:t xml:space="preserve">: SUMMARY OF INFORMATION COLLECTION FOR DEVELOPING A COUNTEROFFER </w:t>
      </w:r>
      <w:r w:rsidR="001D199A">
        <w:t xml:space="preserve">ICR </w:t>
      </w:r>
      <w:r w:rsidR="001B31CD">
        <w:t xml:space="preserve">FORM </w:t>
      </w:r>
      <w:r w:rsidRPr="0078206D">
        <w:t>SUBMISSION PER SELECTED DRUG, FOR THE ONE-TIME</w:t>
      </w:r>
      <w:r>
        <w:t xml:space="preserve"> COST OVER THE ONE-YEAR PERIOD  </w:t>
      </w:r>
    </w:p>
    <w:tbl>
      <w:tblPr>
        <w:tblStyle w:val="TableGrid0"/>
        <w:tblW w:w="10519" w:type="dxa"/>
        <w:tblInd w:w="-580" w:type="dxa"/>
        <w:tblCellMar>
          <w:top w:w="62" w:type="dxa"/>
          <w:left w:w="115" w:type="dxa"/>
          <w:right w:w="38" w:type="dxa"/>
        </w:tblCellMar>
        <w:tblLook w:val="04A0"/>
      </w:tblPr>
      <w:tblGrid>
        <w:gridCol w:w="1610"/>
        <w:gridCol w:w="1018"/>
        <w:gridCol w:w="952"/>
        <w:gridCol w:w="1439"/>
        <w:gridCol w:w="1559"/>
        <w:gridCol w:w="1726"/>
        <w:gridCol w:w="2215"/>
      </w:tblGrid>
      <w:tr w14:paraId="1AE82C79" w14:textId="77777777" w:rsidTr="00BC1EE4">
        <w:tblPrEx>
          <w:tblW w:w="10519" w:type="dxa"/>
          <w:tblInd w:w="-580" w:type="dxa"/>
          <w:tblCellMar>
            <w:top w:w="62" w:type="dxa"/>
            <w:left w:w="115" w:type="dxa"/>
            <w:right w:w="38" w:type="dxa"/>
          </w:tblCellMar>
          <w:tblLook w:val="04A0"/>
        </w:tblPrEx>
        <w:trPr>
          <w:trHeight w:val="838"/>
          <w:tblHeader/>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28EA" w:rsidRPr="000A5850" w:rsidP="006328EA" w14:paraId="58F259F0" w14:textId="2163C3A2">
            <w:pPr>
              <w:spacing w:after="0" w:line="259" w:lineRule="auto"/>
              <w:ind w:right="80"/>
              <w:jc w:val="center"/>
              <w:rPr>
                <w:rFonts w:ascii="Times" w:hAnsi="Times" w:cs="Times"/>
              </w:rPr>
            </w:pPr>
            <w:r w:rsidRPr="00615181">
              <w:rPr>
                <w:rFonts w:ascii="Times" w:hAnsi="Times" w:cs="Times"/>
                <w:b/>
                <w:bCs/>
              </w:rPr>
              <w:t>Occupation</w:t>
            </w:r>
          </w:p>
          <w:p w:rsidR="006328EA" w:rsidRPr="000A5850" w:rsidP="006328EA" w14:paraId="647130D0" w14:textId="0B54D00F">
            <w:pPr>
              <w:spacing w:after="0" w:line="259" w:lineRule="auto"/>
              <w:ind w:right="76"/>
              <w:jc w:val="center"/>
              <w:rPr>
                <w:rFonts w:ascii="Times" w:hAnsi="Times" w:cs="Times"/>
              </w:rPr>
            </w:pPr>
            <w:r w:rsidRPr="00615181">
              <w:rPr>
                <w:rFonts w:ascii="Times" w:hAnsi="Times" w:cs="Times"/>
                <w:b/>
                <w:bCs/>
              </w:rPr>
              <w:t>Title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28EA" w:rsidRPr="000A5850" w:rsidP="000A5850" w14:paraId="38CA8EF0" w14:textId="4479BF9C">
            <w:pPr>
              <w:spacing w:after="0" w:line="259" w:lineRule="auto"/>
              <w:ind w:right="78"/>
              <w:jc w:val="center"/>
              <w:rPr>
                <w:rFonts w:ascii="Times" w:hAnsi="Times" w:cs="Times"/>
              </w:rPr>
            </w:pPr>
            <w:r w:rsidRPr="00615181">
              <w:rPr>
                <w:rFonts w:ascii="Times" w:hAnsi="Times" w:cs="Times"/>
                <w:b/>
                <w:bCs/>
              </w:rPr>
              <w:t>Median</w:t>
            </w:r>
            <w:r w:rsidRPr="00615181">
              <w:rPr>
                <w:rFonts w:ascii="Times" w:hAnsi="Times" w:cs="Times"/>
                <w:b/>
                <w:bCs/>
              </w:rPr>
              <w:t xml:space="preserve"> Hourly Wage</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28EA" w:rsidRPr="000A5850" w:rsidP="006328EA" w14:paraId="4DDA508C" w14:textId="449DB301">
            <w:pPr>
              <w:spacing w:after="0" w:line="259" w:lineRule="auto"/>
              <w:jc w:val="center"/>
              <w:rPr>
                <w:rFonts w:ascii="Times" w:hAnsi="Times" w:cs="Times"/>
              </w:rPr>
            </w:pPr>
            <w:r w:rsidRPr="00615181">
              <w:rPr>
                <w:rFonts w:ascii="Times" w:hAnsi="Times" w:cs="Times"/>
                <w:b/>
                <w:bCs/>
              </w:rPr>
              <w:t>Cost per hour</w:t>
            </w:r>
            <w:r w:rsidRPr="00615181">
              <w:rPr>
                <w:rFonts w:ascii="Times" w:hAnsi="Times" w:cs="Times"/>
                <w:b/>
                <w:bCs/>
                <w:vertAlign w:val="superscript"/>
              </w:rPr>
              <w:t>⁂</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28EA" w:rsidRPr="000A5850" w:rsidP="006328EA" w14:paraId="4B50F003" w14:textId="70E8FE5C">
            <w:pPr>
              <w:spacing w:after="0" w:line="238" w:lineRule="auto"/>
              <w:jc w:val="center"/>
              <w:rPr>
                <w:rFonts w:ascii="Times" w:hAnsi="Times" w:cs="Times"/>
              </w:rPr>
            </w:pPr>
            <w:r w:rsidRPr="00615181">
              <w:rPr>
                <w:rFonts w:ascii="Times" w:hAnsi="Times" w:cs="Times"/>
                <w:b/>
                <w:bCs/>
              </w:rPr>
              <w:t># Of Hours per</w:t>
            </w:r>
          </w:p>
          <w:p w:rsidR="006328EA" w:rsidRPr="000A5850" w:rsidP="000A5850" w14:paraId="7B14852B" w14:textId="3572F6D3">
            <w:pPr>
              <w:spacing w:after="0" w:line="259" w:lineRule="auto"/>
              <w:ind w:left="43"/>
              <w:jc w:val="center"/>
              <w:rPr>
                <w:rFonts w:ascii="Times" w:hAnsi="Times" w:cs="Times"/>
              </w:rPr>
            </w:pPr>
            <w:r w:rsidRPr="00615181">
              <w:rPr>
                <w:rFonts w:ascii="Times" w:hAnsi="Times" w:cs="Times"/>
                <w:b/>
                <w:bCs/>
              </w:rPr>
              <w:t>Respondent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28EA" w:rsidRPr="000A5850" w:rsidP="006328EA" w14:paraId="5D45B9E8" w14:textId="1673C99B">
            <w:pPr>
              <w:spacing w:after="0" w:line="259" w:lineRule="auto"/>
              <w:ind w:right="76"/>
              <w:jc w:val="center"/>
              <w:rPr>
                <w:rFonts w:ascii="Times" w:hAnsi="Times" w:cs="Times"/>
              </w:rPr>
            </w:pPr>
            <w:r w:rsidRPr="00615181">
              <w:rPr>
                <w:rFonts w:ascii="Times" w:hAnsi="Times" w:cs="Times"/>
                <w:b/>
                <w:bCs/>
              </w:rPr>
              <w:t># Of</w:t>
            </w:r>
          </w:p>
          <w:p w:rsidR="006328EA" w:rsidRPr="000A5850" w:rsidP="000A5850" w14:paraId="56F9D9B6" w14:textId="730A07B0">
            <w:pPr>
              <w:spacing w:after="0" w:line="259" w:lineRule="auto"/>
              <w:ind w:left="86"/>
              <w:jc w:val="center"/>
              <w:rPr>
                <w:rFonts w:ascii="Times" w:hAnsi="Times" w:cs="Times"/>
              </w:rPr>
            </w:pPr>
            <w:r w:rsidRPr="00615181">
              <w:rPr>
                <w:rFonts w:ascii="Times" w:hAnsi="Times" w:cs="Times"/>
                <w:b/>
                <w:bCs/>
              </w:rPr>
              <w:t>Respondents</w:t>
            </w:r>
          </w:p>
        </w:tc>
        <w:tc>
          <w:tcPr>
            <w:tcW w:w="1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28EA" w:rsidRPr="000A5850" w:rsidP="000A5850" w14:paraId="182E9998" w14:textId="5FFFA283">
            <w:pPr>
              <w:spacing w:after="0" w:line="259" w:lineRule="auto"/>
              <w:ind w:right="77"/>
              <w:jc w:val="center"/>
              <w:rPr>
                <w:rFonts w:ascii="Times" w:hAnsi="Times" w:cs="Times"/>
              </w:rPr>
            </w:pPr>
            <w:r w:rsidRPr="00615181">
              <w:rPr>
                <w:rFonts w:ascii="Times" w:hAnsi="Times" w:cs="Times"/>
                <w:b/>
                <w:bCs/>
              </w:rPr>
              <w:t>Total Burden</w:t>
            </w:r>
          </w:p>
          <w:p w:rsidR="006328EA" w:rsidRPr="000A5850" w:rsidP="006328EA" w14:paraId="4EC7250C" w14:textId="7AE549F7">
            <w:pPr>
              <w:spacing w:after="0" w:line="259" w:lineRule="auto"/>
              <w:ind w:right="79"/>
              <w:jc w:val="center"/>
              <w:rPr>
                <w:rFonts w:ascii="Times" w:hAnsi="Times" w:cs="Times"/>
              </w:rPr>
            </w:pPr>
            <w:r w:rsidRPr="00615181">
              <w:rPr>
                <w:rFonts w:ascii="Times" w:hAnsi="Times" w:cs="Times"/>
                <w:b/>
                <w:bCs/>
              </w:rPr>
              <w:t>Hours</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28EA" w:rsidRPr="000A5850" w:rsidP="006328EA" w14:paraId="48E52C7A" w14:textId="495385A3">
            <w:pPr>
              <w:spacing w:after="0" w:line="259" w:lineRule="auto"/>
              <w:ind w:right="74"/>
              <w:jc w:val="center"/>
              <w:rPr>
                <w:rFonts w:ascii="Times" w:hAnsi="Times" w:cs="Times"/>
              </w:rPr>
            </w:pPr>
            <w:r w:rsidRPr="00615181">
              <w:rPr>
                <w:rFonts w:ascii="Times" w:hAnsi="Times" w:cs="Times"/>
                <w:b/>
                <w:bCs/>
              </w:rPr>
              <w:t>Total Cost</w:t>
            </w:r>
          </w:p>
        </w:tc>
      </w:tr>
      <w:tr w14:paraId="448430F9" w14:textId="77777777" w:rsidTr="00BC1EE4">
        <w:tblPrEx>
          <w:tblW w:w="10519" w:type="dxa"/>
          <w:tblInd w:w="-580" w:type="dxa"/>
          <w:tblCellMar>
            <w:top w:w="62" w:type="dxa"/>
            <w:left w:w="115" w:type="dxa"/>
            <w:right w:w="38" w:type="dxa"/>
          </w:tblCellMar>
          <w:tblLook w:val="04A0"/>
        </w:tblPrEx>
        <w:trPr>
          <w:trHeight w:val="1114"/>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57FEE3DD" w14:textId="4468BB78">
            <w:pPr>
              <w:spacing w:after="0" w:line="259" w:lineRule="auto"/>
              <w:rPr>
                <w:rFonts w:ascii="Times" w:hAnsi="Times" w:cs="Times"/>
              </w:rPr>
            </w:pPr>
            <w:r w:rsidRPr="000A5850">
              <w:rPr>
                <w:rFonts w:ascii="Times" w:hAnsi="Times" w:cs="Times"/>
              </w:rPr>
              <w:t>Business Operations Specialists (13-1</w:t>
            </w:r>
            <w:r w:rsidR="004E0912">
              <w:rPr>
                <w:rFonts w:ascii="Times" w:hAnsi="Times" w:cs="Times"/>
              </w:rPr>
              <w:t>000</w:t>
            </w:r>
            <w:r w:rsidRPr="000A5850">
              <w:rPr>
                <w:rFonts w:ascii="Times" w:hAnsi="Times" w:cs="Times"/>
              </w:rPr>
              <w:t>)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6878812E" w14:textId="1777B9A5">
            <w:pPr>
              <w:spacing w:after="0" w:line="259" w:lineRule="auto"/>
              <w:rPr>
                <w:rFonts w:ascii="Times" w:hAnsi="Times" w:cs="Times"/>
              </w:rPr>
            </w:pPr>
            <w:r w:rsidRPr="000A5850">
              <w:rPr>
                <w:rFonts w:ascii="Times" w:hAnsi="Times" w:cs="Times"/>
                <w:color w:val="000000"/>
              </w:rPr>
              <w:t>$4</w:t>
            </w:r>
            <w:r w:rsidR="004E0912">
              <w:rPr>
                <w:rFonts w:ascii="Times" w:hAnsi="Times" w:cs="Times"/>
                <w:color w:val="000000"/>
              </w:rPr>
              <w:t>6</w:t>
            </w:r>
            <w:r w:rsidRPr="000A5850">
              <w:rPr>
                <w:rFonts w:ascii="Times" w:hAnsi="Times" w:cs="Times"/>
                <w:color w:val="000000"/>
              </w:rPr>
              <w:t>.</w:t>
            </w:r>
            <w:r w:rsidR="004E0912">
              <w:rPr>
                <w:rFonts w:ascii="Times" w:hAnsi="Times" w:cs="Times"/>
                <w:color w:val="000000"/>
              </w:rPr>
              <w:t>55</w:t>
            </w:r>
            <w:r w:rsidRPr="000A5850">
              <w:rPr>
                <w:rFonts w:ascii="Times" w:hAnsi="Times" w:cs="Times"/>
                <w:color w:val="000000"/>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7200B120" w14:textId="6719A4E4">
            <w:pPr>
              <w:spacing w:after="0" w:line="259" w:lineRule="auto"/>
              <w:rPr>
                <w:rFonts w:ascii="Times" w:hAnsi="Times" w:cs="Times"/>
              </w:rPr>
            </w:pPr>
            <w:r w:rsidRPr="000A5850">
              <w:rPr>
                <w:rFonts w:ascii="Times" w:hAnsi="Times" w:cs="Times"/>
                <w:color w:val="000000"/>
              </w:rPr>
              <w:t>$</w:t>
            </w:r>
            <w:r w:rsidR="004E0912">
              <w:rPr>
                <w:rFonts w:ascii="Times" w:hAnsi="Times" w:cs="Times"/>
                <w:color w:val="000000"/>
              </w:rPr>
              <w:t>93.10</w:t>
            </w:r>
            <w:r w:rsidRPr="000A5850">
              <w:rPr>
                <w:rFonts w:ascii="Times" w:hAnsi="Times" w:cs="Times"/>
                <w:color w:val="000000"/>
              </w:rPr>
              <w:t xml:space="preserve"> </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1F981CA7" w14:textId="1170A3B2">
            <w:pPr>
              <w:spacing w:after="0" w:line="259" w:lineRule="auto"/>
              <w:ind w:right="77"/>
              <w:jc w:val="center"/>
              <w:rPr>
                <w:rFonts w:ascii="Times" w:hAnsi="Times" w:cs="Times"/>
              </w:rPr>
            </w:pPr>
            <w:r w:rsidRPr="000A5850">
              <w:rPr>
                <w:rFonts w:ascii="Times" w:hAnsi="Times" w:cs="Times"/>
                <w:color w:val="000000"/>
              </w:rPr>
              <w:t>27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298FE83E" w14:textId="294496EB">
            <w:pPr>
              <w:spacing w:after="0" w:line="259" w:lineRule="auto"/>
              <w:ind w:right="77"/>
              <w:jc w:val="center"/>
              <w:rPr>
                <w:rFonts w:ascii="Times" w:hAnsi="Times" w:cs="Times"/>
              </w:rPr>
            </w:pPr>
            <w:r>
              <w:rPr>
                <w:rFonts w:ascii="Times" w:hAnsi="Times" w:cs="Times"/>
                <w:color w:val="000000"/>
              </w:rPr>
              <w:t>40</w:t>
            </w:r>
          </w:p>
        </w:tc>
        <w:tc>
          <w:tcPr>
            <w:tcW w:w="1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10CD677F" w14:textId="475E7223">
            <w:pPr>
              <w:spacing w:after="0" w:line="259" w:lineRule="auto"/>
              <w:ind w:right="77"/>
              <w:jc w:val="center"/>
              <w:rPr>
                <w:rFonts w:ascii="Times" w:hAnsi="Times" w:cs="Times"/>
              </w:rPr>
            </w:pPr>
            <w:r>
              <w:rPr>
                <w:rFonts w:ascii="Times" w:hAnsi="Times" w:cs="Times"/>
                <w:color w:val="000000"/>
              </w:rPr>
              <w:t>1,080</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5AA16800" w14:textId="5DD79BC6">
            <w:pPr>
              <w:spacing w:after="0" w:line="259" w:lineRule="auto"/>
              <w:rPr>
                <w:rFonts w:ascii="Times" w:hAnsi="Times" w:cs="Times"/>
              </w:rPr>
            </w:pPr>
            <w:r w:rsidRPr="000A5850">
              <w:rPr>
                <w:rFonts w:ascii="Times" w:hAnsi="Times" w:cs="Times"/>
                <w:color w:val="000000"/>
              </w:rPr>
              <w:t>$</w:t>
            </w:r>
            <w:r w:rsidR="001A1741">
              <w:rPr>
                <w:rFonts w:ascii="Times" w:hAnsi="Times" w:cs="Times"/>
                <w:color w:val="000000"/>
              </w:rPr>
              <w:t>100,548.00</w:t>
            </w:r>
            <w:r w:rsidRPr="000A5850">
              <w:rPr>
                <w:rFonts w:ascii="Times" w:hAnsi="Times" w:cs="Times"/>
                <w:color w:val="000000"/>
              </w:rPr>
              <w:t xml:space="preserve"> </w:t>
            </w:r>
          </w:p>
        </w:tc>
      </w:tr>
      <w:tr w14:paraId="23D0245A" w14:textId="77777777" w:rsidTr="00BC1EE4">
        <w:tblPrEx>
          <w:tblW w:w="10519" w:type="dxa"/>
          <w:tblInd w:w="-580" w:type="dxa"/>
          <w:tblCellMar>
            <w:top w:w="62" w:type="dxa"/>
            <w:left w:w="115" w:type="dxa"/>
            <w:right w:w="38" w:type="dxa"/>
          </w:tblCellMar>
          <w:tblLook w:val="04A0"/>
        </w:tblPrEx>
        <w:trPr>
          <w:trHeight w:val="562"/>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58" w:rsidRPr="000A5850" w:rsidP="00927258" w14:paraId="41EC82A4" w14:textId="77777777">
            <w:pPr>
              <w:spacing w:after="0" w:line="259" w:lineRule="auto"/>
              <w:rPr>
                <w:rFonts w:ascii="Times" w:hAnsi="Times" w:cs="Times"/>
              </w:rPr>
            </w:pPr>
            <w:r w:rsidRPr="000A5850">
              <w:rPr>
                <w:rFonts w:ascii="Times" w:hAnsi="Times" w:cs="Times"/>
              </w:rPr>
              <w:t xml:space="preserve">Pharmacists (29-1051)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295C9656" w14:textId="337FF477">
            <w:pPr>
              <w:spacing w:after="0" w:line="259" w:lineRule="auto"/>
              <w:rPr>
                <w:rFonts w:ascii="Times" w:hAnsi="Times" w:cs="Times"/>
              </w:rPr>
            </w:pPr>
            <w:r w:rsidRPr="000A5850">
              <w:rPr>
                <w:rFonts w:ascii="Times" w:hAnsi="Times" w:cs="Times"/>
                <w:color w:val="000000"/>
              </w:rPr>
              <w:t>$6</w:t>
            </w:r>
            <w:r w:rsidR="00433853">
              <w:rPr>
                <w:rFonts w:ascii="Times" w:hAnsi="Times" w:cs="Times"/>
                <w:color w:val="000000"/>
              </w:rPr>
              <w:t>4.12</w:t>
            </w:r>
            <w:r w:rsidRPr="000A5850">
              <w:rPr>
                <w:rFonts w:ascii="Times" w:hAnsi="Times" w:cs="Times"/>
                <w:color w:val="000000"/>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60002307" w14:textId="4ED24488">
            <w:pPr>
              <w:spacing w:after="0" w:line="259" w:lineRule="auto"/>
              <w:rPr>
                <w:rFonts w:ascii="Times" w:hAnsi="Times" w:cs="Times"/>
              </w:rPr>
            </w:pPr>
            <w:r w:rsidRPr="000A5850">
              <w:rPr>
                <w:rFonts w:ascii="Times" w:hAnsi="Times" w:cs="Times"/>
                <w:color w:val="000000"/>
              </w:rPr>
              <w:t>$</w:t>
            </w:r>
            <w:r w:rsidR="00433853">
              <w:rPr>
                <w:rFonts w:ascii="Times" w:hAnsi="Times" w:cs="Times"/>
                <w:color w:val="000000"/>
              </w:rPr>
              <w:t>128.24</w:t>
            </w:r>
            <w:r w:rsidRPr="000A5850">
              <w:rPr>
                <w:rFonts w:ascii="Times" w:hAnsi="Times" w:cs="Times"/>
                <w:color w:val="000000"/>
              </w:rPr>
              <w:t xml:space="preserve"> </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004CAFD2" w14:textId="735F5EB1">
            <w:pPr>
              <w:spacing w:after="0" w:line="259" w:lineRule="auto"/>
              <w:ind w:right="77"/>
              <w:jc w:val="center"/>
              <w:rPr>
                <w:rFonts w:ascii="Times" w:hAnsi="Times" w:cs="Times"/>
              </w:rPr>
            </w:pPr>
            <w:r w:rsidRPr="000A5850">
              <w:rPr>
                <w:rFonts w:ascii="Times" w:hAnsi="Times" w:cs="Times"/>
                <w:color w:val="000000"/>
              </w:rPr>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1901AA76" w14:textId="2CC0A8FC">
            <w:pPr>
              <w:spacing w:after="0" w:line="259" w:lineRule="auto"/>
              <w:ind w:right="77"/>
              <w:jc w:val="center"/>
              <w:rPr>
                <w:rFonts w:ascii="Times" w:hAnsi="Times" w:cs="Times"/>
              </w:rPr>
            </w:pPr>
            <w:r>
              <w:rPr>
                <w:rFonts w:ascii="Times" w:hAnsi="Times" w:cs="Times"/>
                <w:color w:val="000000"/>
              </w:rPr>
              <w:t>4</w:t>
            </w:r>
            <w:r>
              <w:rPr>
                <w:rFonts w:ascii="Times" w:hAnsi="Times" w:cs="Times"/>
              </w:rPr>
              <w:t>0</w:t>
            </w:r>
          </w:p>
        </w:tc>
        <w:tc>
          <w:tcPr>
            <w:tcW w:w="1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6FF539EC" w14:textId="761F889C">
            <w:pPr>
              <w:spacing w:after="0" w:line="259" w:lineRule="auto"/>
              <w:ind w:right="77"/>
              <w:jc w:val="center"/>
              <w:rPr>
                <w:rFonts w:ascii="Times" w:hAnsi="Times" w:cs="Times"/>
              </w:rPr>
            </w:pPr>
            <w:r>
              <w:rPr>
                <w:rFonts w:ascii="Times" w:hAnsi="Times" w:cs="Times"/>
                <w:color w:val="000000"/>
              </w:rPr>
              <w:t>600</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20295DC7" w14:textId="739C044C">
            <w:pPr>
              <w:spacing w:after="0" w:line="259" w:lineRule="auto"/>
              <w:rPr>
                <w:rFonts w:ascii="Times" w:hAnsi="Times" w:cs="Times"/>
              </w:rPr>
            </w:pPr>
            <w:r w:rsidRPr="000A5850">
              <w:rPr>
                <w:rFonts w:ascii="Times" w:hAnsi="Times" w:cs="Times"/>
                <w:color w:val="000000"/>
              </w:rPr>
              <w:t>$</w:t>
            </w:r>
            <w:r w:rsidR="008749E2">
              <w:rPr>
                <w:rFonts w:ascii="Times" w:hAnsi="Times" w:cs="Times"/>
                <w:color w:val="000000"/>
              </w:rPr>
              <w:t>7</w:t>
            </w:r>
            <w:r w:rsidR="001A1741">
              <w:rPr>
                <w:rFonts w:ascii="Times" w:hAnsi="Times" w:cs="Times"/>
                <w:color w:val="000000"/>
              </w:rPr>
              <w:t>9,944</w:t>
            </w:r>
            <w:r w:rsidR="008749E2">
              <w:rPr>
                <w:rFonts w:ascii="Times" w:hAnsi="Times" w:cs="Times"/>
                <w:color w:val="000000"/>
              </w:rPr>
              <w:t>.00</w:t>
            </w:r>
            <w:r w:rsidRPr="000A5850">
              <w:rPr>
                <w:rFonts w:ascii="Times" w:hAnsi="Times" w:cs="Times"/>
                <w:color w:val="000000"/>
              </w:rPr>
              <w:t xml:space="preserve"> </w:t>
            </w:r>
          </w:p>
        </w:tc>
      </w:tr>
      <w:tr w14:paraId="3342237B" w14:textId="77777777" w:rsidTr="00BC1EE4">
        <w:tblPrEx>
          <w:tblW w:w="10519" w:type="dxa"/>
          <w:tblInd w:w="-580" w:type="dxa"/>
          <w:tblCellMar>
            <w:top w:w="62" w:type="dxa"/>
            <w:left w:w="115" w:type="dxa"/>
            <w:right w:w="38" w:type="dxa"/>
          </w:tblCellMar>
          <w:tblLook w:val="04A0"/>
        </w:tblPrEx>
        <w:trPr>
          <w:trHeight w:val="838"/>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58" w:rsidRPr="000A5850" w:rsidP="00927258" w14:paraId="7749C40E" w14:textId="77777777">
            <w:pPr>
              <w:spacing w:after="0" w:line="259" w:lineRule="auto"/>
              <w:rPr>
                <w:rFonts w:ascii="Times" w:hAnsi="Times" w:cs="Times"/>
              </w:rPr>
            </w:pPr>
            <w:r w:rsidRPr="000A5850">
              <w:rPr>
                <w:rFonts w:ascii="Times" w:hAnsi="Times" w:cs="Times"/>
              </w:rPr>
              <w:t xml:space="preserve">Registered </w:t>
            </w:r>
          </w:p>
          <w:p w:rsidR="00927258" w:rsidRPr="000A5850" w:rsidP="00927258" w14:paraId="63F334DC" w14:textId="77777777">
            <w:pPr>
              <w:spacing w:after="0" w:line="259" w:lineRule="auto"/>
              <w:rPr>
                <w:rFonts w:ascii="Times" w:hAnsi="Times" w:cs="Times"/>
              </w:rPr>
            </w:pPr>
            <w:r w:rsidRPr="000A5850">
              <w:rPr>
                <w:rFonts w:ascii="Times" w:hAnsi="Times" w:cs="Times"/>
              </w:rPr>
              <w:t>Nurses (29-</w:t>
            </w:r>
          </w:p>
          <w:p w:rsidR="00927258" w:rsidRPr="000A5850" w:rsidP="00927258" w14:paraId="043FCBCB" w14:textId="77777777">
            <w:pPr>
              <w:spacing w:after="0" w:line="259" w:lineRule="auto"/>
              <w:rPr>
                <w:rFonts w:ascii="Times" w:hAnsi="Times" w:cs="Times"/>
              </w:rPr>
            </w:pPr>
            <w:r w:rsidRPr="000A5850">
              <w:rPr>
                <w:rFonts w:ascii="Times" w:hAnsi="Times" w:cs="Times"/>
              </w:rPr>
              <w:t xml:space="preserve">1141)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1E79E57E" w14:textId="435DD138">
            <w:pPr>
              <w:spacing w:after="0" w:line="259" w:lineRule="auto"/>
              <w:rPr>
                <w:rFonts w:ascii="Times" w:hAnsi="Times" w:cs="Times"/>
              </w:rPr>
            </w:pPr>
            <w:r w:rsidRPr="000A5850">
              <w:rPr>
                <w:rFonts w:ascii="Times" w:hAnsi="Times" w:cs="Times"/>
                <w:color w:val="000000"/>
              </w:rPr>
              <w:t>$5</w:t>
            </w:r>
            <w:r w:rsidR="00433853">
              <w:rPr>
                <w:rFonts w:ascii="Times" w:hAnsi="Times" w:cs="Times"/>
                <w:color w:val="000000"/>
              </w:rPr>
              <w:t>0.45</w:t>
            </w:r>
            <w:r w:rsidRPr="000A5850">
              <w:rPr>
                <w:rFonts w:ascii="Times" w:hAnsi="Times" w:cs="Times"/>
                <w:color w:val="000000"/>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4565D5D6" w14:textId="013023B2">
            <w:pPr>
              <w:spacing w:after="0" w:line="259" w:lineRule="auto"/>
              <w:rPr>
                <w:rFonts w:ascii="Times" w:hAnsi="Times" w:cs="Times"/>
              </w:rPr>
            </w:pPr>
            <w:r w:rsidRPr="000A5850">
              <w:rPr>
                <w:rFonts w:ascii="Times" w:hAnsi="Times" w:cs="Times"/>
                <w:color w:val="000000"/>
              </w:rPr>
              <w:t>$10</w:t>
            </w:r>
            <w:r w:rsidR="00433853">
              <w:rPr>
                <w:rFonts w:ascii="Times" w:hAnsi="Times" w:cs="Times"/>
                <w:color w:val="000000"/>
              </w:rPr>
              <w:t>0.90</w:t>
            </w:r>
            <w:r w:rsidRPr="000A5850">
              <w:rPr>
                <w:rFonts w:ascii="Times" w:hAnsi="Times" w:cs="Times"/>
                <w:color w:val="000000"/>
              </w:rPr>
              <w:t xml:space="preserve"> </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6EC93C05" w14:textId="5C05A8BD">
            <w:pPr>
              <w:spacing w:after="0" w:line="259" w:lineRule="auto"/>
              <w:ind w:right="77"/>
              <w:jc w:val="center"/>
              <w:rPr>
                <w:rFonts w:ascii="Times" w:hAnsi="Times" w:cs="Times"/>
              </w:rPr>
            </w:pPr>
            <w:r w:rsidRPr="000A5850">
              <w:rPr>
                <w:rFonts w:ascii="Times" w:hAnsi="Times" w:cs="Times"/>
                <w:color w:val="000000"/>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39107E62" w14:textId="60274069">
            <w:pPr>
              <w:spacing w:after="0" w:line="259" w:lineRule="auto"/>
              <w:ind w:right="77"/>
              <w:jc w:val="center"/>
              <w:rPr>
                <w:rFonts w:ascii="Times" w:hAnsi="Times" w:cs="Times"/>
              </w:rPr>
            </w:pPr>
            <w:r>
              <w:rPr>
                <w:rFonts w:ascii="Times" w:hAnsi="Times" w:cs="Times"/>
                <w:color w:val="000000"/>
              </w:rPr>
              <w:t>4</w:t>
            </w:r>
            <w:r>
              <w:rPr>
                <w:rFonts w:ascii="Times" w:hAnsi="Times" w:cs="Times"/>
              </w:rPr>
              <w:t>0</w:t>
            </w:r>
          </w:p>
        </w:tc>
        <w:tc>
          <w:tcPr>
            <w:tcW w:w="1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48CD451A" w14:textId="5CDEEF9C">
            <w:pPr>
              <w:spacing w:after="0" w:line="259" w:lineRule="auto"/>
              <w:ind w:right="77"/>
              <w:jc w:val="center"/>
              <w:rPr>
                <w:rFonts w:ascii="Times" w:hAnsi="Times" w:cs="Times"/>
              </w:rPr>
            </w:pPr>
            <w:r>
              <w:rPr>
                <w:rFonts w:ascii="Times" w:hAnsi="Times" w:cs="Times"/>
                <w:color w:val="000000"/>
              </w:rPr>
              <w:t>200</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1B0844B0" w14:textId="2ED608AE">
            <w:pPr>
              <w:spacing w:after="0" w:line="259" w:lineRule="auto"/>
              <w:rPr>
                <w:rFonts w:ascii="Times" w:hAnsi="Times" w:cs="Times"/>
              </w:rPr>
            </w:pPr>
            <w:r w:rsidRPr="000A5850">
              <w:rPr>
                <w:rFonts w:ascii="Times" w:hAnsi="Times" w:cs="Times"/>
                <w:color w:val="000000"/>
              </w:rPr>
              <w:t>$</w:t>
            </w:r>
            <w:r w:rsidR="008749E2">
              <w:rPr>
                <w:rFonts w:ascii="Times" w:hAnsi="Times" w:cs="Times"/>
                <w:color w:val="000000"/>
              </w:rPr>
              <w:t>20,</w:t>
            </w:r>
            <w:r w:rsidR="001A1741">
              <w:rPr>
                <w:rFonts w:ascii="Times" w:hAnsi="Times" w:cs="Times"/>
                <w:color w:val="000000"/>
              </w:rPr>
              <w:t>180</w:t>
            </w:r>
            <w:r w:rsidR="008749E2">
              <w:rPr>
                <w:rFonts w:ascii="Times" w:hAnsi="Times" w:cs="Times"/>
                <w:color w:val="000000"/>
              </w:rPr>
              <w:t>.00</w:t>
            </w:r>
            <w:r w:rsidRPr="000A5850">
              <w:rPr>
                <w:rFonts w:ascii="Times" w:hAnsi="Times" w:cs="Times"/>
                <w:color w:val="000000"/>
              </w:rPr>
              <w:t xml:space="preserve"> </w:t>
            </w:r>
          </w:p>
        </w:tc>
      </w:tr>
      <w:tr w14:paraId="6397D8B8" w14:textId="77777777" w:rsidTr="00BC1EE4">
        <w:tblPrEx>
          <w:tblW w:w="10519" w:type="dxa"/>
          <w:tblInd w:w="-580" w:type="dxa"/>
          <w:tblCellMar>
            <w:top w:w="62" w:type="dxa"/>
            <w:left w:w="115" w:type="dxa"/>
            <w:right w:w="38" w:type="dxa"/>
          </w:tblCellMar>
          <w:tblLook w:val="04A0"/>
        </w:tblPrEx>
        <w:trPr>
          <w:trHeight w:val="1390"/>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58" w:rsidRPr="000A5850" w:rsidP="00927258" w14:paraId="56D48807" w14:textId="77777777">
            <w:pPr>
              <w:spacing w:after="0" w:line="259" w:lineRule="auto"/>
              <w:rPr>
                <w:rFonts w:ascii="Times" w:hAnsi="Times" w:cs="Times"/>
              </w:rPr>
            </w:pPr>
            <w:r w:rsidRPr="000A5850">
              <w:rPr>
                <w:rFonts w:ascii="Times" w:hAnsi="Times" w:cs="Times"/>
              </w:rPr>
              <w:t xml:space="preserve">General </w:t>
            </w:r>
          </w:p>
          <w:p w:rsidR="00927258" w:rsidRPr="000A5850" w:rsidP="00927258" w14:paraId="32736B88" w14:textId="77777777">
            <w:pPr>
              <w:spacing w:after="0" w:line="259" w:lineRule="auto"/>
              <w:rPr>
                <w:rFonts w:ascii="Times" w:hAnsi="Times" w:cs="Times"/>
              </w:rPr>
            </w:pPr>
            <w:r w:rsidRPr="000A5850">
              <w:rPr>
                <w:rFonts w:ascii="Times" w:hAnsi="Times" w:cs="Times"/>
              </w:rPr>
              <w:t xml:space="preserve">Internal </w:t>
            </w:r>
          </w:p>
          <w:p w:rsidR="00927258" w:rsidRPr="000A5850" w:rsidP="00927258" w14:paraId="10F104F8" w14:textId="77777777">
            <w:pPr>
              <w:spacing w:after="0" w:line="259" w:lineRule="auto"/>
              <w:rPr>
                <w:rFonts w:ascii="Times" w:hAnsi="Times" w:cs="Times"/>
              </w:rPr>
            </w:pPr>
            <w:r w:rsidRPr="000A5850">
              <w:rPr>
                <w:rFonts w:ascii="Times" w:hAnsi="Times" w:cs="Times"/>
              </w:rPr>
              <w:t xml:space="preserve">Medicine </w:t>
            </w:r>
          </w:p>
          <w:p w:rsidR="00927258" w:rsidRPr="000A5850" w:rsidP="00927258" w14:paraId="0958594A" w14:textId="3F70C7A1">
            <w:pPr>
              <w:spacing w:after="0" w:line="259" w:lineRule="auto"/>
              <w:rPr>
                <w:rFonts w:ascii="Times" w:hAnsi="Times" w:cs="Times"/>
              </w:rPr>
            </w:pPr>
            <w:r w:rsidRPr="000A5850">
              <w:rPr>
                <w:rFonts w:ascii="Times" w:hAnsi="Times" w:cs="Times"/>
              </w:rPr>
              <w:t>Physicians (29</w:t>
            </w:r>
            <w:r w:rsidR="00433853">
              <w:rPr>
                <w:rFonts w:ascii="Times" w:hAnsi="Times" w:cs="Times"/>
              </w:rPr>
              <w:t>-</w:t>
            </w:r>
            <w:r w:rsidRPr="000A5850">
              <w:rPr>
                <w:rFonts w:ascii="Times" w:hAnsi="Times" w:cs="Times"/>
              </w:rPr>
              <w:t>1216)</w:t>
            </w:r>
            <w:r>
              <w:rPr>
                <w:rStyle w:val="FootnoteReference"/>
                <w:rFonts w:ascii="Times" w:hAnsi="Times" w:cs="Times"/>
              </w:rPr>
              <w:footnoteReference w:id="21"/>
            </w:r>
            <w:r w:rsidRPr="000A5850">
              <w:rPr>
                <w:rFonts w:ascii="Times" w:hAnsi="Times" w:cs="Times"/>
              </w:rPr>
              <w:t xml:space="preserve">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1D663265" w14:textId="6417CAB6">
            <w:pPr>
              <w:spacing w:after="0" w:line="259" w:lineRule="auto"/>
              <w:rPr>
                <w:rFonts w:ascii="Times" w:hAnsi="Times" w:cs="Times"/>
              </w:rPr>
            </w:pPr>
            <w:r w:rsidRPr="000A5850">
              <w:rPr>
                <w:rFonts w:ascii="Times" w:hAnsi="Times" w:cs="Times"/>
              </w:rPr>
              <w:t>$1</w:t>
            </w:r>
            <w:r w:rsidR="00433853">
              <w:rPr>
                <w:rFonts w:ascii="Times" w:hAnsi="Times" w:cs="Times"/>
              </w:rPr>
              <w:t>13.63</w:t>
            </w:r>
            <w:r w:rsidRPr="000A5850">
              <w:rPr>
                <w:rFonts w:ascii="Times" w:hAnsi="Times" w:cs="Times"/>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74A7FD3E" w14:textId="7FC882BD">
            <w:pPr>
              <w:spacing w:after="0" w:line="259" w:lineRule="auto"/>
              <w:rPr>
                <w:rFonts w:ascii="Times" w:hAnsi="Times" w:cs="Times"/>
              </w:rPr>
            </w:pPr>
            <w:r w:rsidRPr="000A5850">
              <w:rPr>
                <w:rFonts w:ascii="Times" w:hAnsi="Times" w:cs="Times"/>
              </w:rPr>
              <w:t>$2</w:t>
            </w:r>
            <w:r w:rsidR="00433853">
              <w:rPr>
                <w:rFonts w:ascii="Times" w:hAnsi="Times" w:cs="Times"/>
              </w:rPr>
              <w:t>27.26</w:t>
            </w:r>
            <w:r w:rsidRPr="000A5850">
              <w:rPr>
                <w:rFonts w:ascii="Times" w:hAnsi="Times" w:cs="Times"/>
              </w:rPr>
              <w:t xml:space="preserve"> </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6BAB2856" w14:textId="29DB1257">
            <w:pPr>
              <w:spacing w:after="0" w:line="259" w:lineRule="auto"/>
              <w:ind w:right="77"/>
              <w:jc w:val="center"/>
              <w:rPr>
                <w:rFonts w:ascii="Times" w:hAnsi="Times" w:cs="Times"/>
              </w:rPr>
            </w:pPr>
            <w:r w:rsidRPr="000A5850">
              <w:rPr>
                <w:rFonts w:ascii="Times" w:hAnsi="Times" w:cs="Times"/>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20374BFA" w14:textId="545B6EF1">
            <w:pPr>
              <w:spacing w:after="0" w:line="259" w:lineRule="auto"/>
              <w:ind w:right="77"/>
              <w:jc w:val="center"/>
              <w:rPr>
                <w:rFonts w:ascii="Times" w:hAnsi="Times" w:cs="Times"/>
              </w:rPr>
            </w:pPr>
            <w:r>
              <w:rPr>
                <w:rFonts w:ascii="Times" w:hAnsi="Times" w:cs="Times"/>
                <w:color w:val="000000"/>
              </w:rPr>
              <w:t>4</w:t>
            </w:r>
            <w:r>
              <w:rPr>
                <w:rFonts w:ascii="Times" w:hAnsi="Times" w:cs="Times"/>
              </w:rPr>
              <w:t>0</w:t>
            </w:r>
          </w:p>
        </w:tc>
        <w:tc>
          <w:tcPr>
            <w:tcW w:w="1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046A7C7B" w14:textId="52BBFD80">
            <w:pPr>
              <w:spacing w:after="0" w:line="259" w:lineRule="auto"/>
              <w:ind w:right="77"/>
              <w:jc w:val="center"/>
              <w:rPr>
                <w:rFonts w:ascii="Times" w:hAnsi="Times" w:cs="Times"/>
              </w:rPr>
            </w:pPr>
            <w:r>
              <w:rPr>
                <w:rFonts w:ascii="Times" w:hAnsi="Times" w:cs="Times"/>
              </w:rPr>
              <w:t>200</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0436392E" w14:textId="4A4C9448">
            <w:pPr>
              <w:spacing w:after="0" w:line="259" w:lineRule="auto"/>
              <w:rPr>
                <w:rFonts w:ascii="Times" w:hAnsi="Times" w:cs="Times"/>
              </w:rPr>
            </w:pPr>
            <w:r w:rsidRPr="000A5850">
              <w:rPr>
                <w:rFonts w:ascii="Times" w:hAnsi="Times" w:cs="Times"/>
              </w:rPr>
              <w:t>$</w:t>
            </w:r>
            <w:r w:rsidR="008749E2">
              <w:rPr>
                <w:rFonts w:ascii="Times" w:hAnsi="Times" w:cs="Times"/>
              </w:rPr>
              <w:t>4</w:t>
            </w:r>
            <w:r w:rsidR="001A1741">
              <w:rPr>
                <w:rFonts w:ascii="Times" w:hAnsi="Times" w:cs="Times"/>
              </w:rPr>
              <w:t>5,452</w:t>
            </w:r>
            <w:r w:rsidR="008749E2">
              <w:rPr>
                <w:rFonts w:ascii="Times" w:hAnsi="Times" w:cs="Times"/>
              </w:rPr>
              <w:t>.00</w:t>
            </w:r>
            <w:r w:rsidRPr="000A5850">
              <w:rPr>
                <w:rFonts w:ascii="Times" w:hAnsi="Times" w:cs="Times"/>
              </w:rPr>
              <w:t xml:space="preserve"> </w:t>
            </w:r>
          </w:p>
        </w:tc>
      </w:tr>
      <w:tr w14:paraId="7F50E9F6" w14:textId="77777777" w:rsidTr="00BC1EE4">
        <w:tblPrEx>
          <w:tblW w:w="10519" w:type="dxa"/>
          <w:tblInd w:w="-580" w:type="dxa"/>
          <w:tblCellMar>
            <w:top w:w="62" w:type="dxa"/>
            <w:left w:w="115" w:type="dxa"/>
            <w:right w:w="38" w:type="dxa"/>
          </w:tblCellMar>
          <w:tblLook w:val="04A0"/>
        </w:tblPrEx>
        <w:trPr>
          <w:trHeight w:val="564"/>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58" w:rsidRPr="000A5850" w:rsidP="00927258" w14:paraId="3478DDFE" w14:textId="7D03C4DC">
            <w:pPr>
              <w:spacing w:after="0" w:line="259" w:lineRule="auto"/>
              <w:rPr>
                <w:rFonts w:ascii="Times" w:hAnsi="Times" w:cs="Times"/>
              </w:rPr>
            </w:pPr>
            <w:r w:rsidRPr="000A5850">
              <w:rPr>
                <w:rFonts w:ascii="Times" w:hAnsi="Times" w:cs="Times"/>
              </w:rPr>
              <w:t>Economist (19</w:t>
            </w:r>
            <w:r w:rsidR="004E0912">
              <w:rPr>
                <w:rFonts w:ascii="Times" w:hAnsi="Times" w:cs="Times"/>
              </w:rPr>
              <w:t>-</w:t>
            </w:r>
            <w:r w:rsidRPr="000A5850">
              <w:rPr>
                <w:rFonts w:ascii="Times" w:hAnsi="Times" w:cs="Times"/>
              </w:rPr>
              <w:t>3011)</w:t>
            </w:r>
            <w:r>
              <w:rPr>
                <w:rStyle w:val="FootnoteReference"/>
                <w:rFonts w:ascii="Times" w:hAnsi="Times" w:cs="Times"/>
              </w:rPr>
              <w:footnoteReference w:id="22"/>
            </w:r>
            <w:r w:rsidRPr="000A5850">
              <w:rPr>
                <w:rFonts w:ascii="Times" w:hAnsi="Times" w:cs="Times"/>
              </w:rPr>
              <w:t xml:space="preserve">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1BE93836" w14:textId="76E15F4D">
            <w:pPr>
              <w:spacing w:after="0" w:line="259" w:lineRule="auto"/>
              <w:rPr>
                <w:rFonts w:ascii="Times" w:hAnsi="Times" w:cs="Times"/>
              </w:rPr>
            </w:pPr>
            <w:r w:rsidRPr="000A5850">
              <w:rPr>
                <w:rFonts w:ascii="Times" w:hAnsi="Times" w:cs="Times"/>
              </w:rPr>
              <w:t>$55.</w:t>
            </w:r>
            <w:r w:rsidR="004E0912">
              <w:rPr>
                <w:rFonts w:ascii="Times" w:hAnsi="Times" w:cs="Times"/>
              </w:rPr>
              <w:t>50</w:t>
            </w:r>
            <w:r w:rsidRPr="000A5850">
              <w:rPr>
                <w:rFonts w:ascii="Times" w:hAnsi="Times" w:cs="Times"/>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5D1E2869" w14:textId="3F120250">
            <w:pPr>
              <w:spacing w:after="0" w:line="259" w:lineRule="auto"/>
              <w:rPr>
                <w:rFonts w:ascii="Times" w:hAnsi="Times" w:cs="Times"/>
              </w:rPr>
            </w:pPr>
            <w:r w:rsidRPr="000A5850">
              <w:rPr>
                <w:rFonts w:ascii="Times" w:hAnsi="Times" w:cs="Times"/>
              </w:rPr>
              <w:t>$111.</w:t>
            </w:r>
            <w:r w:rsidR="004E0912">
              <w:rPr>
                <w:rFonts w:ascii="Times" w:hAnsi="Times" w:cs="Times"/>
              </w:rPr>
              <w:t>00</w:t>
            </w:r>
            <w:r w:rsidRPr="000A5850">
              <w:rPr>
                <w:rFonts w:ascii="Times" w:hAnsi="Times" w:cs="Times"/>
              </w:rPr>
              <w:t xml:space="preserve"> </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69013835" w14:textId="3863B2E2">
            <w:pPr>
              <w:spacing w:after="0" w:line="259" w:lineRule="auto"/>
              <w:ind w:right="77"/>
              <w:jc w:val="center"/>
              <w:rPr>
                <w:rFonts w:ascii="Times" w:hAnsi="Times" w:cs="Times"/>
              </w:rPr>
            </w:pPr>
            <w:r w:rsidRPr="000A5850">
              <w:rPr>
                <w:rFonts w:ascii="Times" w:hAnsi="Times" w:cs="Times"/>
              </w:rPr>
              <w:t>64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6ED630F4" w14:textId="63D25A25">
            <w:pPr>
              <w:spacing w:after="0" w:line="259" w:lineRule="auto"/>
              <w:ind w:right="77"/>
              <w:jc w:val="center"/>
              <w:rPr>
                <w:rFonts w:ascii="Times" w:hAnsi="Times" w:cs="Times"/>
              </w:rPr>
            </w:pPr>
            <w:r>
              <w:rPr>
                <w:rFonts w:ascii="Times" w:hAnsi="Times" w:cs="Times"/>
                <w:color w:val="000000"/>
              </w:rPr>
              <w:t>4</w:t>
            </w:r>
            <w:r>
              <w:rPr>
                <w:rFonts w:ascii="Times" w:hAnsi="Times" w:cs="Times"/>
              </w:rPr>
              <w:t>0</w:t>
            </w:r>
          </w:p>
        </w:tc>
        <w:tc>
          <w:tcPr>
            <w:tcW w:w="1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2A20E978" w14:textId="17D939AD">
            <w:pPr>
              <w:spacing w:after="0" w:line="259" w:lineRule="auto"/>
              <w:ind w:right="77"/>
              <w:jc w:val="center"/>
              <w:rPr>
                <w:rFonts w:ascii="Times" w:hAnsi="Times" w:cs="Times"/>
              </w:rPr>
            </w:pPr>
            <w:r>
              <w:rPr>
                <w:rFonts w:ascii="Times" w:hAnsi="Times" w:cs="Times"/>
              </w:rPr>
              <w:t>2,560</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4BA95891" w14:textId="30EF7BEC">
            <w:pPr>
              <w:spacing w:after="0" w:line="259" w:lineRule="auto"/>
              <w:rPr>
                <w:rFonts w:ascii="Times" w:hAnsi="Times" w:cs="Times"/>
              </w:rPr>
            </w:pPr>
            <w:r w:rsidRPr="000A5850">
              <w:rPr>
                <w:rFonts w:ascii="Times" w:hAnsi="Times" w:cs="Times"/>
              </w:rPr>
              <w:t>$</w:t>
            </w:r>
            <w:r w:rsidR="001A1741">
              <w:rPr>
                <w:rFonts w:ascii="Times" w:hAnsi="Times" w:cs="Times"/>
              </w:rPr>
              <w:t>284,160</w:t>
            </w:r>
            <w:r w:rsidR="008749E2">
              <w:rPr>
                <w:rFonts w:ascii="Times" w:hAnsi="Times" w:cs="Times"/>
              </w:rPr>
              <w:t>.00</w:t>
            </w:r>
            <w:r w:rsidRPr="000A5850">
              <w:rPr>
                <w:rFonts w:ascii="Times" w:hAnsi="Times" w:cs="Times"/>
              </w:rPr>
              <w:t xml:space="preserve"> </w:t>
            </w:r>
          </w:p>
        </w:tc>
      </w:tr>
      <w:tr w14:paraId="76B8F36D" w14:textId="77777777" w:rsidTr="00BC1EE4">
        <w:tblPrEx>
          <w:tblW w:w="10519" w:type="dxa"/>
          <w:tblInd w:w="-580" w:type="dxa"/>
          <w:tblCellMar>
            <w:top w:w="62" w:type="dxa"/>
            <w:left w:w="115" w:type="dxa"/>
            <w:right w:w="38" w:type="dxa"/>
          </w:tblCellMar>
          <w:tblLook w:val="04A0"/>
        </w:tblPrEx>
        <w:trPr>
          <w:trHeight w:val="1114"/>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58" w:rsidRPr="000A5850" w:rsidP="00927258" w14:paraId="2CC7AA73" w14:textId="77777777">
            <w:pPr>
              <w:spacing w:after="0" w:line="259" w:lineRule="auto"/>
              <w:rPr>
                <w:rFonts w:ascii="Times" w:hAnsi="Times" w:cs="Times"/>
              </w:rPr>
            </w:pPr>
            <w:r w:rsidRPr="000A5850">
              <w:rPr>
                <w:rFonts w:ascii="Times" w:hAnsi="Times" w:cs="Times"/>
              </w:rPr>
              <w:t xml:space="preserve">General and </w:t>
            </w:r>
          </w:p>
          <w:p w:rsidR="00927258" w:rsidRPr="000A5850" w:rsidP="00927258" w14:paraId="02E2BC1F" w14:textId="77777777">
            <w:pPr>
              <w:spacing w:after="0" w:line="259" w:lineRule="auto"/>
              <w:rPr>
                <w:rFonts w:ascii="Times" w:hAnsi="Times" w:cs="Times"/>
              </w:rPr>
            </w:pPr>
            <w:r w:rsidRPr="000A5850">
              <w:rPr>
                <w:rFonts w:ascii="Times" w:hAnsi="Times" w:cs="Times"/>
              </w:rPr>
              <w:t xml:space="preserve">Operations </w:t>
            </w:r>
          </w:p>
          <w:p w:rsidR="00927258" w:rsidRPr="000A5850" w:rsidP="00927258" w14:paraId="4F57A988" w14:textId="329CAA23">
            <w:pPr>
              <w:spacing w:after="0" w:line="259" w:lineRule="auto"/>
              <w:rPr>
                <w:rFonts w:ascii="Times" w:hAnsi="Times" w:cs="Times"/>
              </w:rPr>
            </w:pPr>
            <w:r w:rsidRPr="000A5850">
              <w:rPr>
                <w:rFonts w:ascii="Times" w:hAnsi="Times" w:cs="Times"/>
              </w:rPr>
              <w:t>Managers (11</w:t>
            </w:r>
            <w:r w:rsidR="004E0912">
              <w:rPr>
                <w:rFonts w:ascii="Times" w:hAnsi="Times" w:cs="Times"/>
              </w:rPr>
              <w:t>-</w:t>
            </w:r>
            <w:r w:rsidRPr="000A5850">
              <w:rPr>
                <w:rFonts w:ascii="Times" w:hAnsi="Times" w:cs="Times"/>
              </w:rPr>
              <w:t xml:space="preserve">1021)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710FB00E" w14:textId="6E71E3CC">
            <w:pPr>
              <w:spacing w:after="0" w:line="259" w:lineRule="auto"/>
              <w:rPr>
                <w:rFonts w:ascii="Times" w:hAnsi="Times" w:cs="Times"/>
              </w:rPr>
            </w:pPr>
            <w:r w:rsidRPr="000A5850">
              <w:rPr>
                <w:rFonts w:ascii="Times" w:hAnsi="Times" w:cs="Times"/>
                <w:color w:val="000000"/>
              </w:rPr>
              <w:t>$</w:t>
            </w:r>
            <w:r w:rsidR="00433853">
              <w:rPr>
                <w:rFonts w:ascii="Times" w:hAnsi="Times" w:cs="Times"/>
                <w:color w:val="000000"/>
              </w:rPr>
              <w:t>84.75</w:t>
            </w:r>
            <w:r w:rsidRPr="000A5850">
              <w:rPr>
                <w:rFonts w:ascii="Times" w:hAnsi="Times" w:cs="Times"/>
                <w:color w:val="000000"/>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01E1FE47" w14:textId="223D0BDD">
            <w:pPr>
              <w:spacing w:after="0" w:line="259" w:lineRule="auto"/>
              <w:rPr>
                <w:rFonts w:ascii="Times" w:hAnsi="Times" w:cs="Times"/>
              </w:rPr>
            </w:pPr>
            <w:r w:rsidRPr="000A5850">
              <w:rPr>
                <w:rFonts w:ascii="Times" w:hAnsi="Times" w:cs="Times"/>
                <w:color w:val="000000"/>
              </w:rPr>
              <w:t>$</w:t>
            </w:r>
            <w:r w:rsidR="00433853">
              <w:rPr>
                <w:rFonts w:ascii="Times" w:hAnsi="Times" w:cs="Times"/>
                <w:color w:val="000000"/>
              </w:rPr>
              <w:t>169.50</w:t>
            </w:r>
            <w:r w:rsidRPr="000A5850">
              <w:rPr>
                <w:rFonts w:ascii="Times" w:hAnsi="Times" w:cs="Times"/>
                <w:color w:val="000000"/>
              </w:rPr>
              <w:t xml:space="preserve"> </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55E4A091" w14:textId="69F54B56">
            <w:pPr>
              <w:spacing w:after="0" w:line="259" w:lineRule="auto"/>
              <w:ind w:right="79"/>
              <w:jc w:val="center"/>
              <w:rPr>
                <w:rFonts w:ascii="Times" w:hAnsi="Times" w:cs="Times"/>
              </w:rPr>
            </w:pPr>
            <w:r w:rsidRPr="000A5850">
              <w:rPr>
                <w:rFonts w:ascii="Times" w:hAnsi="Times" w:cs="Times"/>
                <w:color w:val="000000"/>
              </w:rPr>
              <w:t>14.25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3EF0AC0D" w14:textId="546FD838">
            <w:pPr>
              <w:spacing w:after="0" w:line="259" w:lineRule="auto"/>
              <w:ind w:right="77"/>
              <w:jc w:val="center"/>
              <w:rPr>
                <w:rFonts w:ascii="Times" w:hAnsi="Times" w:cs="Times"/>
              </w:rPr>
            </w:pPr>
            <w:r>
              <w:rPr>
                <w:rFonts w:ascii="Times" w:hAnsi="Times" w:cs="Times"/>
                <w:color w:val="000000"/>
              </w:rPr>
              <w:t>4</w:t>
            </w:r>
            <w:r>
              <w:rPr>
                <w:rFonts w:ascii="Times" w:hAnsi="Times" w:cs="Times"/>
              </w:rPr>
              <w:t>0</w:t>
            </w:r>
          </w:p>
        </w:tc>
        <w:tc>
          <w:tcPr>
            <w:tcW w:w="1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3205433E" w14:textId="61C6BD13">
            <w:pPr>
              <w:spacing w:after="0" w:line="259" w:lineRule="auto"/>
              <w:ind w:right="79"/>
              <w:jc w:val="center"/>
              <w:rPr>
                <w:rFonts w:ascii="Times" w:hAnsi="Times" w:cs="Times"/>
              </w:rPr>
            </w:pPr>
            <w:r>
              <w:rPr>
                <w:rFonts w:ascii="Times" w:hAnsi="Times" w:cs="Times"/>
                <w:color w:val="000000"/>
              </w:rPr>
              <w:t>570</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607577B3" w14:textId="1AFCCF6A">
            <w:pPr>
              <w:spacing w:after="0" w:line="259" w:lineRule="auto"/>
              <w:rPr>
                <w:rFonts w:ascii="Times" w:hAnsi="Times" w:cs="Times"/>
              </w:rPr>
            </w:pPr>
            <w:r w:rsidRPr="000A5850">
              <w:rPr>
                <w:rFonts w:ascii="Times" w:hAnsi="Times" w:cs="Times"/>
                <w:color w:val="000000"/>
              </w:rPr>
              <w:t>$</w:t>
            </w:r>
            <w:r w:rsidR="008749E2">
              <w:rPr>
                <w:rFonts w:ascii="Times" w:hAnsi="Times" w:cs="Times"/>
                <w:color w:val="000000"/>
              </w:rPr>
              <w:t>9</w:t>
            </w:r>
            <w:r w:rsidR="001A1741">
              <w:rPr>
                <w:rFonts w:ascii="Times" w:hAnsi="Times" w:cs="Times"/>
                <w:color w:val="000000"/>
              </w:rPr>
              <w:t>6,615.00</w:t>
            </w:r>
            <w:r w:rsidRPr="000A5850">
              <w:rPr>
                <w:rFonts w:ascii="Times" w:hAnsi="Times" w:cs="Times"/>
                <w:color w:val="000000"/>
              </w:rPr>
              <w:t xml:space="preserve"> </w:t>
            </w:r>
          </w:p>
        </w:tc>
      </w:tr>
      <w:tr w14:paraId="4F31FDD0" w14:textId="77777777" w:rsidTr="00BC1EE4">
        <w:tblPrEx>
          <w:tblW w:w="10519" w:type="dxa"/>
          <w:tblInd w:w="-580" w:type="dxa"/>
          <w:tblCellMar>
            <w:top w:w="62" w:type="dxa"/>
            <w:left w:w="115" w:type="dxa"/>
            <w:right w:w="38" w:type="dxa"/>
          </w:tblCellMar>
          <w:tblLook w:val="04A0"/>
        </w:tblPrEx>
        <w:trPr>
          <w:trHeight w:val="562"/>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58" w:rsidRPr="000A5850" w:rsidP="00927258" w14:paraId="1A3AC110" w14:textId="018F160D">
            <w:pPr>
              <w:spacing w:after="0" w:line="259" w:lineRule="auto"/>
              <w:rPr>
                <w:rFonts w:ascii="Times" w:hAnsi="Times" w:cs="Times"/>
              </w:rPr>
            </w:pPr>
            <w:r w:rsidRPr="000A5850">
              <w:rPr>
                <w:rFonts w:ascii="Times" w:hAnsi="Times" w:cs="Times"/>
              </w:rPr>
              <w:t>Lawyer (23</w:t>
            </w:r>
            <w:r w:rsidR="004E0912">
              <w:rPr>
                <w:rFonts w:ascii="Times" w:hAnsi="Times" w:cs="Times"/>
              </w:rPr>
              <w:t>-</w:t>
            </w:r>
            <w:r w:rsidRPr="000A5850">
              <w:rPr>
                <w:rFonts w:ascii="Times" w:hAnsi="Times" w:cs="Times"/>
              </w:rPr>
              <w:t xml:space="preserve">1011)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5B0D53F5" w14:textId="1F716788">
            <w:pPr>
              <w:spacing w:after="0" w:line="259" w:lineRule="auto"/>
              <w:rPr>
                <w:rFonts w:ascii="Times" w:hAnsi="Times" w:cs="Times"/>
              </w:rPr>
            </w:pPr>
            <w:r w:rsidRPr="000A5850">
              <w:rPr>
                <w:rFonts w:ascii="Times" w:hAnsi="Times" w:cs="Times"/>
                <w:color w:val="000000"/>
              </w:rPr>
              <w:t xml:space="preserve">$115.00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295AD358" w14:textId="5C9D8952">
            <w:pPr>
              <w:spacing w:after="0" w:line="259" w:lineRule="auto"/>
              <w:rPr>
                <w:rFonts w:ascii="Times" w:hAnsi="Times" w:cs="Times"/>
              </w:rPr>
            </w:pPr>
            <w:r w:rsidRPr="000A5850">
              <w:rPr>
                <w:rFonts w:ascii="Times" w:hAnsi="Times" w:cs="Times"/>
                <w:color w:val="000000"/>
              </w:rPr>
              <w:t xml:space="preserve">$230.00 </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1C6A9BAE" w14:textId="48B958B8">
            <w:pPr>
              <w:spacing w:after="0" w:line="259" w:lineRule="auto"/>
              <w:ind w:right="77"/>
              <w:jc w:val="center"/>
              <w:rPr>
                <w:rFonts w:ascii="Times" w:hAnsi="Times" w:cs="Times"/>
              </w:rPr>
            </w:pPr>
            <w:r w:rsidRPr="000A5850">
              <w:rPr>
                <w:rFonts w:ascii="Times" w:hAnsi="Times" w:cs="Times"/>
                <w:color w:val="000000"/>
              </w:rPr>
              <w:t>64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40E32B57" w14:textId="098D552D">
            <w:pPr>
              <w:spacing w:after="0" w:line="259" w:lineRule="auto"/>
              <w:ind w:right="77"/>
              <w:jc w:val="center"/>
              <w:rPr>
                <w:rFonts w:ascii="Times" w:hAnsi="Times" w:cs="Times"/>
              </w:rPr>
            </w:pPr>
            <w:r>
              <w:rPr>
                <w:rFonts w:ascii="Times" w:hAnsi="Times" w:cs="Times"/>
                <w:color w:val="000000"/>
              </w:rPr>
              <w:t>4</w:t>
            </w:r>
            <w:r>
              <w:rPr>
                <w:rFonts w:ascii="Times" w:hAnsi="Times" w:cs="Times"/>
              </w:rPr>
              <w:t>0</w:t>
            </w:r>
          </w:p>
        </w:tc>
        <w:tc>
          <w:tcPr>
            <w:tcW w:w="1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66028D3B" w14:textId="0E095A05">
            <w:pPr>
              <w:spacing w:after="0" w:line="259" w:lineRule="auto"/>
              <w:ind w:right="77"/>
              <w:jc w:val="center"/>
              <w:rPr>
                <w:rFonts w:ascii="Times" w:hAnsi="Times" w:cs="Times"/>
              </w:rPr>
            </w:pPr>
            <w:r>
              <w:rPr>
                <w:rFonts w:ascii="Times" w:hAnsi="Times" w:cs="Times"/>
                <w:color w:val="000000"/>
              </w:rPr>
              <w:t>2,560</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5CC4B2A3" w14:textId="17CF2DE9">
            <w:pPr>
              <w:spacing w:after="0" w:line="259" w:lineRule="auto"/>
              <w:rPr>
                <w:rFonts w:ascii="Times" w:hAnsi="Times" w:cs="Times"/>
              </w:rPr>
            </w:pPr>
            <w:r w:rsidRPr="000A5850">
              <w:rPr>
                <w:rFonts w:ascii="Times" w:hAnsi="Times" w:cs="Times"/>
                <w:color w:val="000000"/>
              </w:rPr>
              <w:t>$</w:t>
            </w:r>
            <w:r w:rsidR="008749E2">
              <w:rPr>
                <w:rFonts w:ascii="Times" w:hAnsi="Times" w:cs="Times"/>
                <w:color w:val="000000"/>
              </w:rPr>
              <w:t>588,800.00</w:t>
            </w:r>
            <w:r w:rsidRPr="000A5850">
              <w:rPr>
                <w:rFonts w:ascii="Times" w:hAnsi="Times" w:cs="Times"/>
                <w:color w:val="000000"/>
              </w:rPr>
              <w:t xml:space="preserve"> </w:t>
            </w:r>
          </w:p>
        </w:tc>
      </w:tr>
      <w:tr w14:paraId="3B3D9F4F" w14:textId="77777777" w:rsidTr="00BC1EE4">
        <w:tblPrEx>
          <w:tblW w:w="10519" w:type="dxa"/>
          <w:tblInd w:w="-580" w:type="dxa"/>
          <w:tblCellMar>
            <w:top w:w="62" w:type="dxa"/>
            <w:left w:w="115" w:type="dxa"/>
            <w:right w:w="38" w:type="dxa"/>
          </w:tblCellMar>
          <w:tblLook w:val="04A0"/>
        </w:tblPrEx>
        <w:trPr>
          <w:trHeight w:val="562"/>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58" w:rsidRPr="000A5850" w:rsidP="00927258" w14:paraId="5C95D0E7" w14:textId="77777777">
            <w:pPr>
              <w:spacing w:after="0" w:line="259" w:lineRule="auto"/>
              <w:rPr>
                <w:rFonts w:ascii="Times" w:hAnsi="Times" w:cs="Times"/>
              </w:rPr>
            </w:pPr>
            <w:r w:rsidRPr="000A5850">
              <w:rPr>
                <w:rFonts w:ascii="Times" w:hAnsi="Times" w:cs="Times"/>
              </w:rPr>
              <w:t xml:space="preserve">Chief Executive (11-1011)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7A7C1312" w14:textId="4C187E9A">
            <w:pPr>
              <w:spacing w:after="0" w:line="259" w:lineRule="auto"/>
              <w:rPr>
                <w:rFonts w:ascii="Times" w:hAnsi="Times" w:cs="Times"/>
              </w:rPr>
            </w:pPr>
            <w:r w:rsidRPr="000A5850">
              <w:rPr>
                <w:rFonts w:ascii="Times" w:hAnsi="Times" w:cs="Times"/>
                <w:color w:val="000000"/>
              </w:rPr>
              <w:t xml:space="preserve">$115.00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04F48717" w14:textId="62BDC025">
            <w:pPr>
              <w:spacing w:after="0" w:line="259" w:lineRule="auto"/>
              <w:rPr>
                <w:rFonts w:ascii="Times" w:hAnsi="Times" w:cs="Times"/>
              </w:rPr>
            </w:pPr>
            <w:r w:rsidRPr="000A5850">
              <w:rPr>
                <w:rFonts w:ascii="Times" w:hAnsi="Times" w:cs="Times"/>
                <w:color w:val="000000"/>
              </w:rPr>
              <w:t xml:space="preserve">$230.00 </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33EF200C" w14:textId="0221110D">
            <w:pPr>
              <w:spacing w:after="0" w:line="259" w:lineRule="auto"/>
              <w:ind w:right="77"/>
              <w:jc w:val="center"/>
              <w:rPr>
                <w:rFonts w:ascii="Times" w:hAnsi="Times" w:cs="Times"/>
              </w:rPr>
            </w:pPr>
            <w:r w:rsidRPr="000A5850">
              <w:rPr>
                <w:rFonts w:ascii="Times" w:hAnsi="Times" w:cs="Times"/>
                <w:color w:val="000000"/>
              </w:rPr>
              <w:t>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77AD4A04" w14:textId="4997C530">
            <w:pPr>
              <w:spacing w:after="0" w:line="259" w:lineRule="auto"/>
              <w:ind w:right="77"/>
              <w:jc w:val="center"/>
              <w:rPr>
                <w:rFonts w:ascii="Times" w:hAnsi="Times" w:cs="Times"/>
              </w:rPr>
            </w:pPr>
            <w:r>
              <w:rPr>
                <w:rFonts w:ascii="Times" w:hAnsi="Times" w:cs="Times"/>
                <w:color w:val="000000"/>
              </w:rPr>
              <w:t>4</w:t>
            </w:r>
            <w:r>
              <w:rPr>
                <w:rFonts w:ascii="Times" w:hAnsi="Times" w:cs="Times"/>
              </w:rPr>
              <w:t>0</w:t>
            </w:r>
          </w:p>
        </w:tc>
        <w:tc>
          <w:tcPr>
            <w:tcW w:w="1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4DFD7D9A" w14:textId="5E749562">
            <w:pPr>
              <w:spacing w:after="0" w:line="259" w:lineRule="auto"/>
              <w:ind w:right="77"/>
              <w:jc w:val="center"/>
              <w:rPr>
                <w:rFonts w:ascii="Times" w:hAnsi="Times" w:cs="Times"/>
              </w:rPr>
            </w:pPr>
            <w:r>
              <w:rPr>
                <w:rFonts w:ascii="Times" w:hAnsi="Times" w:cs="Times"/>
                <w:color w:val="000000"/>
              </w:rPr>
              <w:t>400</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73A74CCE" w14:textId="3993C45E">
            <w:pPr>
              <w:spacing w:after="0" w:line="259" w:lineRule="auto"/>
              <w:rPr>
                <w:rFonts w:ascii="Times" w:hAnsi="Times" w:cs="Times"/>
              </w:rPr>
            </w:pPr>
            <w:r w:rsidRPr="000A5850">
              <w:rPr>
                <w:rFonts w:ascii="Times" w:hAnsi="Times" w:cs="Times"/>
                <w:color w:val="000000"/>
              </w:rPr>
              <w:t>$</w:t>
            </w:r>
            <w:r w:rsidR="008749E2">
              <w:rPr>
                <w:rFonts w:ascii="Times" w:hAnsi="Times" w:cs="Times"/>
                <w:color w:val="000000"/>
              </w:rPr>
              <w:t>92,000.00</w:t>
            </w:r>
            <w:r w:rsidRPr="000A5850">
              <w:rPr>
                <w:rFonts w:ascii="Times" w:hAnsi="Times" w:cs="Times"/>
                <w:color w:val="000000"/>
              </w:rPr>
              <w:t xml:space="preserve"> </w:t>
            </w:r>
          </w:p>
        </w:tc>
      </w:tr>
      <w:tr w14:paraId="7A59F8CE" w14:textId="77777777" w:rsidTr="00BC1EE4">
        <w:tblPrEx>
          <w:tblW w:w="10519" w:type="dxa"/>
          <w:tblInd w:w="-580" w:type="dxa"/>
          <w:tblCellMar>
            <w:top w:w="62" w:type="dxa"/>
            <w:left w:w="115" w:type="dxa"/>
            <w:right w:w="38" w:type="dxa"/>
          </w:tblCellMar>
          <w:tblLook w:val="04A0"/>
        </w:tblPrEx>
        <w:trPr>
          <w:trHeight w:val="307"/>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58" w:rsidRPr="000A5850" w:rsidP="00927258" w14:paraId="01A90ABB" w14:textId="77777777">
            <w:pPr>
              <w:spacing w:after="0" w:line="259" w:lineRule="auto"/>
              <w:rPr>
                <w:rFonts w:ascii="Times" w:hAnsi="Times" w:cs="Times"/>
              </w:rPr>
            </w:pPr>
            <w:r w:rsidRPr="00615181">
              <w:rPr>
                <w:rFonts w:ascii="Times" w:hAnsi="Times" w:cs="Times"/>
                <w:b/>
                <w:bCs/>
              </w:rPr>
              <w:t xml:space="preserve">Total </w:t>
            </w:r>
            <w:r w:rsidRPr="000A5850">
              <w:rPr>
                <w:rFonts w:ascii="Times" w:hAnsi="Times" w:cs="Times"/>
              </w:rPr>
              <w:t xml:space="preserve">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D17B2C" w14:paraId="4D0D526B" w14:textId="054DA09B">
            <w:pPr>
              <w:spacing w:after="0" w:line="259" w:lineRule="auto"/>
              <w:jc w:val="center"/>
              <w:rPr>
                <w:rFonts w:ascii="Times" w:hAnsi="Times" w:cs="Times"/>
              </w:rPr>
            </w:pPr>
            <w:r w:rsidRPr="000A5850">
              <w:rPr>
                <w:rFonts w:ascii="Times" w:hAnsi="Times" w:cs="Times"/>
                <w:color w:val="000000"/>
              </w:rPr>
              <w:t>-</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131FAC57" w14:textId="52191432">
            <w:pPr>
              <w:spacing w:after="0" w:line="259" w:lineRule="auto"/>
              <w:rPr>
                <w:rFonts w:ascii="Times" w:hAnsi="Times" w:cs="Times"/>
              </w:rPr>
            </w:pPr>
            <w:r w:rsidRPr="000A5850">
              <w:rPr>
                <w:rFonts w:ascii="Times" w:hAnsi="Times" w:cs="Times"/>
                <w:color w:val="000000"/>
              </w:rPr>
              <w:t xml:space="preserve">     -</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6C541E" w:rsidP="00927258" w14:paraId="41233FE6" w14:textId="27289171">
            <w:pPr>
              <w:spacing w:after="0" w:line="259" w:lineRule="auto"/>
              <w:ind w:right="77"/>
              <w:jc w:val="center"/>
              <w:rPr>
                <w:rFonts w:ascii="Times" w:hAnsi="Times" w:cs="Times"/>
                <w:b/>
                <w:bCs/>
              </w:rPr>
            </w:pPr>
            <w:r w:rsidRPr="006C541E">
              <w:rPr>
                <w:rFonts w:ascii="Times" w:hAnsi="Times" w:cs="Times"/>
                <w:b/>
                <w:bCs/>
                <w:color w:val="000000"/>
              </w:rPr>
              <w:t>204.25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6C541E" w:rsidP="00927258" w14:paraId="00574089" w14:textId="74E115F9">
            <w:pPr>
              <w:spacing w:after="0" w:line="259" w:lineRule="auto"/>
              <w:ind w:right="77"/>
              <w:jc w:val="center"/>
              <w:rPr>
                <w:rFonts w:ascii="Times" w:hAnsi="Times" w:cs="Times"/>
                <w:b/>
                <w:bCs/>
              </w:rPr>
            </w:pPr>
            <w:r w:rsidRPr="006C541E">
              <w:rPr>
                <w:rFonts w:ascii="Times" w:hAnsi="Times" w:cs="Times"/>
                <w:b/>
                <w:bCs/>
                <w:color w:val="000000"/>
              </w:rPr>
              <w:t>4</w:t>
            </w:r>
            <w:r w:rsidRPr="006C541E">
              <w:rPr>
                <w:rFonts w:ascii="Times" w:hAnsi="Times" w:cs="Times"/>
                <w:b/>
                <w:bCs/>
              </w:rPr>
              <w:t>0</w:t>
            </w:r>
          </w:p>
        </w:tc>
        <w:tc>
          <w:tcPr>
            <w:tcW w:w="1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6C541E" w:rsidP="00927258" w14:paraId="2E53836A" w14:textId="7A14EAC3">
            <w:pPr>
              <w:spacing w:after="0" w:line="259" w:lineRule="auto"/>
              <w:ind w:right="77"/>
              <w:jc w:val="center"/>
              <w:rPr>
                <w:rFonts w:ascii="Times" w:hAnsi="Times" w:cs="Times"/>
                <w:b/>
                <w:bCs/>
              </w:rPr>
            </w:pPr>
            <w:r w:rsidRPr="006C541E">
              <w:rPr>
                <w:rFonts w:ascii="Times" w:hAnsi="Times" w:cs="Times"/>
                <w:b/>
                <w:bCs/>
                <w:color w:val="000000"/>
              </w:rPr>
              <w:t>8,170</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6C541E" w:rsidP="00927258" w14:paraId="54E54376" w14:textId="6FADDCD6">
            <w:pPr>
              <w:spacing w:after="0" w:line="259" w:lineRule="auto"/>
              <w:rPr>
                <w:rFonts w:ascii="Times" w:hAnsi="Times" w:cs="Times"/>
                <w:b/>
                <w:bCs/>
              </w:rPr>
            </w:pPr>
            <w:r w:rsidRPr="006C541E">
              <w:rPr>
                <w:rFonts w:ascii="Times" w:hAnsi="Times" w:cs="Times"/>
                <w:b/>
                <w:bCs/>
                <w:color w:val="000000"/>
              </w:rPr>
              <w:t>$</w:t>
            </w:r>
            <w:r w:rsidRPr="006C541E" w:rsidR="008749E2">
              <w:rPr>
                <w:rFonts w:ascii="Times" w:hAnsi="Times" w:cs="Times"/>
                <w:b/>
                <w:bCs/>
                <w:color w:val="000000"/>
              </w:rPr>
              <w:t>1,</w:t>
            </w:r>
            <w:r w:rsidRPr="006C541E" w:rsidR="00CA4C12">
              <w:rPr>
                <w:rFonts w:ascii="Times" w:hAnsi="Times" w:cs="Times"/>
                <w:b/>
                <w:bCs/>
                <w:color w:val="000000"/>
              </w:rPr>
              <w:t>307,699</w:t>
            </w:r>
            <w:r w:rsidRPr="006C541E" w:rsidR="008749E2">
              <w:rPr>
                <w:rFonts w:ascii="Times" w:hAnsi="Times" w:cs="Times"/>
                <w:b/>
                <w:bCs/>
                <w:color w:val="000000"/>
              </w:rPr>
              <w:t>.00</w:t>
            </w:r>
            <w:r w:rsidRPr="006C541E">
              <w:rPr>
                <w:rFonts w:ascii="Times" w:hAnsi="Times" w:cs="Times"/>
                <w:b/>
                <w:bCs/>
                <w:color w:val="000000"/>
              </w:rPr>
              <w:t xml:space="preserve"> </w:t>
            </w:r>
          </w:p>
        </w:tc>
      </w:tr>
      <w:tr w14:paraId="2FB095EE" w14:textId="77777777" w:rsidTr="00BC1EE4">
        <w:tblPrEx>
          <w:tblW w:w="10519" w:type="dxa"/>
          <w:tblInd w:w="-580" w:type="dxa"/>
          <w:tblCellMar>
            <w:top w:w="62" w:type="dxa"/>
            <w:left w:w="115" w:type="dxa"/>
            <w:right w:w="38" w:type="dxa"/>
          </w:tblCellMar>
          <w:tblLook w:val="04A0"/>
        </w:tblPrEx>
        <w:trPr>
          <w:trHeight w:val="564"/>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58" w:rsidRPr="000A5850" w:rsidP="00927258" w14:paraId="68AAE919" w14:textId="77777777">
            <w:pPr>
              <w:spacing w:after="0" w:line="259" w:lineRule="auto"/>
              <w:rPr>
                <w:rFonts w:ascii="Times" w:hAnsi="Times" w:cs="Times"/>
              </w:rPr>
            </w:pPr>
            <w:r w:rsidRPr="00615181">
              <w:rPr>
                <w:rFonts w:ascii="Times" w:hAnsi="Times" w:cs="Times"/>
                <w:b/>
                <w:bCs/>
              </w:rPr>
              <w:t xml:space="preserve">Cost per </w:t>
            </w:r>
          </w:p>
          <w:p w:rsidR="00927258" w:rsidRPr="000A5850" w:rsidP="00927258" w14:paraId="7FBD646E" w14:textId="77777777">
            <w:pPr>
              <w:spacing w:after="0" w:line="259" w:lineRule="auto"/>
              <w:rPr>
                <w:rFonts w:ascii="Times" w:hAnsi="Times" w:cs="Times"/>
              </w:rPr>
            </w:pPr>
            <w:r w:rsidRPr="00615181">
              <w:rPr>
                <w:rFonts w:ascii="Times" w:hAnsi="Times" w:cs="Times"/>
                <w:b/>
                <w:bCs/>
              </w:rPr>
              <w:t xml:space="preserve">Respondent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D17B2C" w14:paraId="1FC2D5EF" w14:textId="5567ABE3">
            <w:pPr>
              <w:spacing w:after="0" w:line="259" w:lineRule="auto"/>
              <w:jc w:val="center"/>
              <w:rPr>
                <w:rFonts w:ascii="Times" w:hAnsi="Times" w:cs="Times"/>
              </w:rPr>
            </w:pPr>
            <w:r w:rsidRPr="000A5850">
              <w:rPr>
                <w:rFonts w:ascii="Times" w:hAnsi="Times" w:cs="Times"/>
                <w:color w:val="000000"/>
              </w:rPr>
              <w:t>-</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D17B2C" w14:paraId="109602FA" w14:textId="0539FE82">
            <w:pPr>
              <w:spacing w:after="0" w:line="259" w:lineRule="auto"/>
              <w:jc w:val="center"/>
              <w:rPr>
                <w:rFonts w:ascii="Times" w:hAnsi="Times" w:cs="Times"/>
              </w:rPr>
            </w:pPr>
            <w:r w:rsidRPr="000A5850">
              <w:rPr>
                <w:rFonts w:ascii="Times" w:hAnsi="Times" w:cs="Times"/>
                <w:color w:val="000000"/>
              </w:rPr>
              <w:t>-</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65FCD96E" w14:textId="004CBC56">
            <w:pPr>
              <w:spacing w:after="0" w:line="259" w:lineRule="auto"/>
              <w:ind w:right="17"/>
              <w:jc w:val="center"/>
              <w:rPr>
                <w:rFonts w:ascii="Times" w:hAnsi="Times" w:cs="Times"/>
              </w:rPr>
            </w:pPr>
            <w:r w:rsidRPr="000A5850">
              <w:rPr>
                <w:rFonts w:ascii="Times" w:hAnsi="Times" w:cs="Times"/>
                <w:color w:val="000000"/>
              </w:rPr>
              <w:t> </w:t>
            </w:r>
            <w:r w:rsidRPr="000A5850" w:rsidR="00CD5020">
              <w:rPr>
                <w:rFonts w:ascii="Times" w:hAnsi="Times" w:cs="Times"/>
                <w:color w:val="000000"/>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0A5850" w:rsidP="00927258" w14:paraId="302E3C09" w14:textId="367D7990">
            <w:pPr>
              <w:spacing w:after="0" w:line="259" w:lineRule="auto"/>
              <w:ind w:right="14"/>
              <w:jc w:val="center"/>
              <w:rPr>
                <w:rFonts w:ascii="Times" w:hAnsi="Times" w:cs="Times"/>
              </w:rPr>
            </w:pPr>
            <w:r w:rsidRPr="000A5850">
              <w:rPr>
                <w:rFonts w:ascii="Times" w:hAnsi="Times" w:cs="Times"/>
                <w:color w:val="000000"/>
              </w:rPr>
              <w:t> </w:t>
            </w:r>
            <w:r w:rsidRPr="000A5850" w:rsidR="00CD5020">
              <w:rPr>
                <w:rFonts w:ascii="Times" w:hAnsi="Times" w:cs="Times"/>
                <w:color w:val="000000"/>
              </w:rPr>
              <w:t>-</w:t>
            </w:r>
          </w:p>
        </w:tc>
        <w:tc>
          <w:tcPr>
            <w:tcW w:w="1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6C541E" w:rsidP="00927258" w14:paraId="78C1EE65" w14:textId="74B48D91">
            <w:pPr>
              <w:spacing w:after="0" w:line="259" w:lineRule="auto"/>
              <w:ind w:right="19"/>
              <w:jc w:val="center"/>
              <w:rPr>
                <w:rFonts w:ascii="Times" w:hAnsi="Times" w:cs="Times"/>
                <w:b/>
                <w:bCs/>
              </w:rPr>
            </w:pPr>
            <w:r w:rsidRPr="006C541E">
              <w:rPr>
                <w:rFonts w:ascii="Times" w:hAnsi="Times" w:cs="Times"/>
                <w:b/>
                <w:bCs/>
                <w:color w:val="000000"/>
              </w:rPr>
              <w:t> </w:t>
            </w:r>
            <w:r w:rsidRPr="006C541E" w:rsidR="00CD5020">
              <w:rPr>
                <w:rFonts w:ascii="Times" w:hAnsi="Times" w:cs="Times"/>
                <w:b/>
                <w:bCs/>
                <w:color w:val="000000"/>
              </w:rPr>
              <w:t>-</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7258" w:rsidRPr="006C541E" w:rsidP="00927258" w14:paraId="42E3A3AF" w14:textId="7BFDFAF2">
            <w:pPr>
              <w:spacing w:after="0" w:line="259" w:lineRule="auto"/>
              <w:rPr>
                <w:rFonts w:ascii="Times" w:hAnsi="Times" w:cs="Times"/>
                <w:b/>
                <w:bCs/>
              </w:rPr>
            </w:pPr>
            <w:r w:rsidRPr="006C541E">
              <w:rPr>
                <w:rFonts w:ascii="Times" w:hAnsi="Times" w:cs="Times"/>
                <w:b/>
                <w:bCs/>
                <w:color w:val="000000"/>
              </w:rPr>
              <w:t>$</w:t>
            </w:r>
            <w:r w:rsidRPr="006C541E" w:rsidR="00CA4C12">
              <w:rPr>
                <w:rFonts w:ascii="Times" w:hAnsi="Times" w:cs="Times"/>
                <w:b/>
                <w:bCs/>
                <w:color w:val="000000"/>
              </w:rPr>
              <w:t>32,692.46</w:t>
            </w:r>
            <w:r w:rsidRPr="006C541E">
              <w:rPr>
                <w:rFonts w:ascii="Times" w:hAnsi="Times" w:cs="Times"/>
                <w:b/>
                <w:bCs/>
                <w:color w:val="000000"/>
              </w:rPr>
              <w:t xml:space="preserve"> </w:t>
            </w:r>
          </w:p>
        </w:tc>
      </w:tr>
    </w:tbl>
    <w:p w:rsidR="006328EA" w:rsidP="006328EA" w14:paraId="75E219CC" w14:textId="77777777">
      <w:pPr>
        <w:spacing w:after="0" w:line="250" w:lineRule="auto"/>
      </w:pPr>
      <w:r w:rsidRPr="00615181">
        <w:rPr>
          <w:i/>
          <w:iCs/>
          <w:sz w:val="20"/>
          <w:szCs w:val="20"/>
          <w:vertAlign w:val="superscript"/>
        </w:rPr>
        <w:t>⁂</w:t>
      </w:r>
      <w:r w:rsidRPr="00615181">
        <w:rPr>
          <w:i/>
          <w:iCs/>
          <w:sz w:val="20"/>
          <w:szCs w:val="20"/>
        </w:rPr>
        <w:t>As indicated, employee hourly wage estimates have been adjusted by a factor of 100 percent. This is necessarily a rough adjustment, both because fringe benefits and overhead costs vary significantly across employers, and because methods of estimating these costs vary widely across studies.</w:t>
      </w:r>
      <w:r>
        <w:t xml:space="preserve"> </w:t>
      </w:r>
    </w:p>
    <w:p w:rsidR="006328EA" w:rsidRPr="000A5850" w:rsidP="000A5850" w14:paraId="11CEDD5D" w14:textId="47EEB166">
      <w:pPr>
        <w:spacing w:after="16" w:line="259" w:lineRule="auto"/>
        <w:ind w:left="58"/>
        <w:jc w:val="center"/>
      </w:pPr>
      <w:r>
        <w:rPr>
          <w:b/>
        </w:rPr>
        <w:t xml:space="preserve"> </w:t>
      </w:r>
    </w:p>
    <w:p w:rsidR="006C2363" w:rsidRPr="00D45546" w:rsidP="00D45546" w14:paraId="0624F986" w14:textId="7B885397">
      <w:pPr>
        <w:pStyle w:val="Heading2"/>
        <w:rPr>
          <w:rFonts w:cs="Times New Roman"/>
        </w:rPr>
      </w:pPr>
      <w:r>
        <w:t xml:space="preserve">13. </w:t>
      </w:r>
      <w:r w:rsidRPr="3D8B3856">
        <w:rPr>
          <w:rFonts w:cs="Times New Roman"/>
        </w:rPr>
        <w:t>Capital Costs</w:t>
      </w:r>
    </w:p>
    <w:p w:rsidR="009D0AE7" w:rsidRPr="00D45546" w:rsidP="3D8B3856" w14:paraId="1C7DEC8A" w14:textId="37FBCC08">
      <w:r>
        <w:t xml:space="preserve">There </w:t>
      </w:r>
      <w:r>
        <w:t>are</w:t>
      </w:r>
      <w:r>
        <w:t xml:space="preserve"> no anticipated capital costs associated with this information collection.</w:t>
      </w:r>
    </w:p>
    <w:p w:rsidR="00D47C03" w:rsidP="00D45546" w14:paraId="4C7345CF" w14:textId="51CF1244">
      <w:pPr>
        <w:pStyle w:val="Heading2"/>
      </w:pPr>
      <w:r>
        <w:t>14. Cost to Federal Government</w:t>
      </w:r>
    </w:p>
    <w:p w:rsidR="00594906" w:rsidP="000A5850" w14:paraId="573A1587" w14:textId="63D2CA1B">
      <w:pPr>
        <w:pStyle w:val="Header3"/>
      </w:pPr>
      <w:r>
        <w:t>Negotiation Data Elements</w:t>
      </w:r>
      <w:r w:rsidR="00C30911">
        <w:t xml:space="preserve"> ICR Form</w:t>
      </w:r>
    </w:p>
    <w:p w:rsidR="00E204EF" w:rsidRPr="00F23CF0" w:rsidP="00E204EF" w14:paraId="3886694A" w14:textId="3E608145">
      <w:r>
        <w:t xml:space="preserve">The federal </w:t>
      </w:r>
      <w:r w:rsidR="004C12B7">
        <w:t xml:space="preserve">government </w:t>
      </w:r>
      <w:r>
        <w:t xml:space="preserve">cost is based on the efforts expended by CMS staff with the following assumptions to receive, review, and process data from drug manufacturers and the public for the negotiation </w:t>
      </w:r>
      <w:r w:rsidR="00672A4C">
        <w:t xml:space="preserve">and renegotiation </w:t>
      </w:r>
      <w:r>
        <w:t xml:space="preserve">processes </w:t>
      </w:r>
    </w:p>
    <w:p w:rsidR="00052479" w:rsidRPr="00052479" w:rsidP="00052479" w14:paraId="38E362FE" w14:textId="75D270D0">
      <w:r w:rsidRPr="00F23CF0">
        <w:t xml:space="preserve">To generate </w:t>
      </w:r>
      <w:r>
        <w:t xml:space="preserve">salary </w:t>
      </w:r>
      <w:r w:rsidRPr="00F23CF0">
        <w:t>estimates</w:t>
      </w:r>
      <w:r>
        <w:t xml:space="preserve"> reflected in Table </w:t>
      </w:r>
      <w:r w:rsidR="009F59CD">
        <w:t>9</w:t>
      </w:r>
      <w:r w:rsidRPr="4D085A28" w:rsidR="00BF28A2">
        <w:t xml:space="preserve"> </w:t>
      </w:r>
      <w:r w:rsidRPr="00F23CF0">
        <w:t>below</w:t>
      </w:r>
      <w:r w:rsidRPr="4D085A28">
        <w:t xml:space="preserve">, </w:t>
      </w:r>
      <w:r>
        <w:t xml:space="preserve">CMS used </w:t>
      </w:r>
      <w:r w:rsidRPr="00F23CF0">
        <w:t xml:space="preserve">the </w:t>
      </w:r>
      <w:r w:rsidR="00927258">
        <w:t>202</w:t>
      </w:r>
      <w:r w:rsidR="004C3BE2">
        <w:t>5</w:t>
      </w:r>
      <w:r w:rsidRPr="4D085A28" w:rsidR="00927258">
        <w:t xml:space="preserve"> </w:t>
      </w:r>
      <w:r>
        <w:t xml:space="preserve">General Schedule (GS) Locality Pay Tables published by the Office of Personnel Management (OPM) </w:t>
      </w:r>
      <w:r w:rsidRPr="00F23CF0">
        <w:t xml:space="preserve">for the </w:t>
      </w:r>
      <w:r>
        <w:t>Washington</w:t>
      </w:r>
      <w:r w:rsidRPr="00F23CF0">
        <w:t>-Baltimore</w:t>
      </w:r>
      <w:r>
        <w:t>-Arlington</w:t>
      </w:r>
      <w:r w:rsidRPr="00F23CF0">
        <w:t xml:space="preserve"> region</w:t>
      </w:r>
      <w:r w:rsidRPr="4D085A28">
        <w:t>.</w:t>
      </w:r>
      <w:r>
        <w:rPr>
          <w:vertAlign w:val="superscript"/>
        </w:rPr>
        <w:footnoteReference w:id="23"/>
      </w:r>
      <w:r w:rsidRPr="1DAA6A84">
        <w:rPr>
          <w:vertAlign w:val="superscript"/>
        </w:rPr>
        <w:t xml:space="preserve"> </w:t>
      </w:r>
      <w:r>
        <w:t xml:space="preserve">In this regard, </w:t>
      </w:r>
      <w:bookmarkStart w:id="7" w:name="_Hlk162969951"/>
      <w:r>
        <w:t xml:space="preserve">Table </w:t>
      </w:r>
      <w:r w:rsidR="009F59CD">
        <w:t>9</w:t>
      </w:r>
      <w:r>
        <w:t xml:space="preserve"> presents the </w:t>
      </w:r>
      <w:r w:rsidR="00E83217">
        <w:t xml:space="preserve">Full-Time Equivalent (FTE) equivalent </w:t>
      </w:r>
      <w:r w:rsidR="00504766">
        <w:t xml:space="preserve">of staff required for the task, the </w:t>
      </w:r>
      <w:r w:rsidR="00927258">
        <w:t xml:space="preserve">median </w:t>
      </w:r>
      <w:r>
        <w:t>hourly wage</w:t>
      </w:r>
      <w:r w:rsidR="00504766">
        <w:t xml:space="preserve"> (adjusted for the</w:t>
      </w:r>
      <w:r>
        <w:t xml:space="preserve"> cost of fringe benefits</w:t>
      </w:r>
      <w:r w:rsidRPr="4D085A28" w:rsidR="00504766">
        <w:t xml:space="preserve">, </w:t>
      </w:r>
      <w:r>
        <w:t xml:space="preserve">calculated at 100 percent of salary), </w:t>
      </w:r>
      <w:bookmarkEnd w:id="7"/>
      <w:r w:rsidR="00504766">
        <w:t>total burden hours, and the total cost of the information collection</w:t>
      </w:r>
      <w:r w:rsidRPr="4D085A28">
        <w:t>.</w:t>
      </w:r>
      <w:r w:rsidRPr="4D085A28" w:rsidR="00D56EDF">
        <w:t xml:space="preserve"> </w:t>
      </w:r>
      <w:r w:rsidRPr="00052479">
        <w:t>Staffing estimates are based on CMS duties as follows:</w:t>
      </w:r>
    </w:p>
    <w:p w:rsidR="00134D11" w:rsidP="00134D11" w14:paraId="4B24E350" w14:textId="62E79A92">
      <w:pPr>
        <w:numPr>
          <w:ilvl w:val="0"/>
          <w:numId w:val="4"/>
        </w:numPr>
        <w:spacing w:after="3" w:line="248" w:lineRule="auto"/>
        <w:ind w:right="2"/>
      </w:pPr>
      <w:r>
        <w:t xml:space="preserve">CMS will review and analyze information submitted by Primary Manufacturers and the public in the Negotiation Data Elements </w:t>
      </w:r>
      <w:r w:rsidR="004C3BE2">
        <w:t xml:space="preserve">ICR </w:t>
      </w:r>
      <w:r>
        <w:t xml:space="preserve">Form to inform initial offers; and </w:t>
      </w:r>
    </w:p>
    <w:p w:rsidR="00134D11" w:rsidP="00134D11" w14:paraId="61314908" w14:textId="2D371914">
      <w:pPr>
        <w:numPr>
          <w:ilvl w:val="0"/>
          <w:numId w:val="4"/>
        </w:numPr>
        <w:spacing w:after="3" w:line="248" w:lineRule="auto"/>
        <w:ind w:right="2"/>
      </w:pPr>
      <w:r>
        <w:t xml:space="preserve">CMS will provide technical direction to a contractor to modify the Drug Price Negotiation module in the CMS HPMS for Primary Manufacturers and the public to submit the Negotiation Data Elements </w:t>
      </w:r>
      <w:r w:rsidR="004C3BE2">
        <w:t xml:space="preserve">ICR </w:t>
      </w:r>
      <w:r>
        <w:t xml:space="preserve">Form. </w:t>
      </w:r>
    </w:p>
    <w:p w:rsidR="00134D11" w:rsidP="00134D11" w14:paraId="3ACB90FF" w14:textId="77777777">
      <w:pPr>
        <w:spacing w:after="3" w:line="248" w:lineRule="auto"/>
        <w:ind w:left="360" w:right="2"/>
      </w:pPr>
    </w:p>
    <w:p w:rsidR="00134D11" w:rsidRPr="00D45546" w:rsidP="00134D11" w14:paraId="2E865F5A" w14:textId="1A3BF85A">
      <w:r>
        <w:t xml:space="preserve">In addition, CMS staff and one contractor will complete work in the CMS HPMS to accommodate this ICR. </w:t>
      </w:r>
    </w:p>
    <w:p w:rsidR="00E204EF" w:rsidP="000A5850" w14:paraId="6274A9B4" w14:textId="53BBB654">
      <w:pPr>
        <w:pStyle w:val="Heading4"/>
      </w:pPr>
      <w:r w:rsidRPr="005D5C57">
        <w:t xml:space="preserve">TABLE </w:t>
      </w:r>
      <w:r w:rsidR="009F59CD">
        <w:t>9</w:t>
      </w:r>
      <w:r w:rsidRPr="009F4BC1">
        <w:t>. BURDEN ESTIMATE</w:t>
      </w:r>
      <w:r w:rsidR="004642B5">
        <w:t xml:space="preserve"> </w:t>
      </w:r>
      <w:r w:rsidRPr="0AC60F62" w:rsidR="0AC60F62">
        <w:t>COST</w:t>
      </w:r>
      <w:r w:rsidRPr="009F4BC1">
        <w:t xml:space="preserve"> FOR CMS STAFF FOR </w:t>
      </w:r>
      <w:r w:rsidR="00D87C05">
        <w:t xml:space="preserve">INITIAL </w:t>
      </w:r>
      <w:r w:rsidRPr="009F4BC1">
        <w:t>PRICE APPLICABILITY YEAR 202</w:t>
      </w:r>
      <w:r w:rsidR="004C3BE2">
        <w:t>8</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8"/>
        <w:gridCol w:w="1350"/>
        <w:gridCol w:w="1776"/>
        <w:gridCol w:w="2121"/>
        <w:gridCol w:w="2141"/>
      </w:tblGrid>
      <w:tr w14:paraId="139CEEF6" w14:textId="77777777" w:rsidTr="00DA1923">
        <w:tblPrEx>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3"/>
          <w:tblHeader/>
        </w:trPr>
        <w:tc>
          <w:tcPr>
            <w:tcW w:w="1918" w:type="dxa"/>
            <w:noWrap/>
            <w:vAlign w:val="center"/>
            <w:hideMark/>
          </w:tcPr>
          <w:p w:rsidR="009142DA" w:rsidRPr="00BC1EE4" w14:paraId="119A57FD" w14:textId="77777777">
            <w:pPr>
              <w:keepNext/>
              <w:rPr>
                <w:b/>
                <w:bCs/>
              </w:rPr>
            </w:pPr>
            <w:bookmarkStart w:id="8" w:name="_Hlk162969530"/>
            <w:r w:rsidRPr="00615181">
              <w:rPr>
                <w:b/>
                <w:bCs/>
              </w:rPr>
              <w:t>Staff</w:t>
            </w:r>
          </w:p>
        </w:tc>
        <w:tc>
          <w:tcPr>
            <w:tcW w:w="1350" w:type="dxa"/>
            <w:noWrap/>
            <w:vAlign w:val="center"/>
            <w:hideMark/>
          </w:tcPr>
          <w:p w:rsidR="009142DA" w:rsidRPr="00BC1EE4" w14:paraId="692E2CB2" w14:textId="32BC4757">
            <w:pPr>
              <w:keepNext/>
              <w:rPr>
                <w:b/>
                <w:bCs/>
              </w:rPr>
            </w:pPr>
            <w:r w:rsidRPr="00615181">
              <w:rPr>
                <w:b/>
                <w:bCs/>
              </w:rPr>
              <w:t>FTE Equivalent</w:t>
            </w:r>
          </w:p>
        </w:tc>
        <w:tc>
          <w:tcPr>
            <w:tcW w:w="1776" w:type="dxa"/>
            <w:noWrap/>
            <w:vAlign w:val="center"/>
          </w:tcPr>
          <w:p w:rsidR="009142DA" w:rsidRPr="00BC1EE4" w14:paraId="2B7593D0" w14:textId="7C099052">
            <w:pPr>
              <w:keepNext/>
              <w:rPr>
                <w:b/>
                <w:bCs/>
              </w:rPr>
            </w:pPr>
            <w:r w:rsidRPr="00615181">
              <w:rPr>
                <w:b/>
                <w:bCs/>
              </w:rPr>
              <w:t>Hourly Wage</w:t>
            </w:r>
          </w:p>
        </w:tc>
        <w:tc>
          <w:tcPr>
            <w:tcW w:w="2121" w:type="dxa"/>
            <w:noWrap/>
            <w:vAlign w:val="center"/>
            <w:hideMark/>
          </w:tcPr>
          <w:p w:rsidR="009142DA" w:rsidRPr="00BC1EE4" w14:paraId="58B462A9" w14:textId="15F29114">
            <w:pPr>
              <w:keepNext/>
              <w:rPr>
                <w:b/>
                <w:bCs/>
              </w:rPr>
            </w:pPr>
            <w:r w:rsidRPr="00615181">
              <w:rPr>
                <w:b/>
                <w:bCs/>
              </w:rPr>
              <w:t>Total Burden Hours</w:t>
            </w:r>
          </w:p>
        </w:tc>
        <w:tc>
          <w:tcPr>
            <w:tcW w:w="2141" w:type="dxa"/>
            <w:noWrap/>
            <w:vAlign w:val="center"/>
            <w:hideMark/>
          </w:tcPr>
          <w:p w:rsidR="009142DA" w:rsidRPr="00BC1EE4" w14:paraId="1B39CDE8" w14:textId="15B46657">
            <w:pPr>
              <w:keepNext/>
              <w:rPr>
                <w:b/>
                <w:bCs/>
              </w:rPr>
            </w:pPr>
            <w:r w:rsidRPr="00615181">
              <w:rPr>
                <w:b/>
                <w:bCs/>
              </w:rPr>
              <w:t>Total Cost</w:t>
            </w:r>
          </w:p>
        </w:tc>
      </w:tr>
      <w:tr w14:paraId="774D6E07" w14:textId="77777777" w:rsidTr="00BC1EE4">
        <w:tblPrEx>
          <w:tblW w:w="9306" w:type="dxa"/>
          <w:tblLook w:val="04A0"/>
        </w:tblPrEx>
        <w:trPr>
          <w:trHeight w:val="134"/>
          <w:tblHeader/>
        </w:trPr>
        <w:tc>
          <w:tcPr>
            <w:tcW w:w="9306" w:type="dxa"/>
            <w:gridSpan w:val="5"/>
            <w:shd w:val="clear" w:color="auto" w:fill="E7E6E6" w:themeFill="background2"/>
            <w:noWrap/>
            <w:vAlign w:val="bottom"/>
          </w:tcPr>
          <w:p w:rsidR="00504766" w:rsidP="009064D4" w14:paraId="168E9742" w14:textId="3B2EE85C">
            <w:r>
              <w:t>Section 1194(e) Review</w:t>
            </w:r>
          </w:p>
        </w:tc>
      </w:tr>
      <w:tr w14:paraId="3C9C277C" w14:textId="77777777" w:rsidTr="00BC1EE4">
        <w:tblPrEx>
          <w:tblW w:w="9306" w:type="dxa"/>
          <w:tblLook w:val="04A0"/>
        </w:tblPrEx>
        <w:trPr>
          <w:trHeight w:val="300"/>
          <w:tblHeader/>
        </w:trPr>
        <w:tc>
          <w:tcPr>
            <w:tcW w:w="1918" w:type="dxa"/>
            <w:noWrap/>
            <w:vAlign w:val="bottom"/>
            <w:hideMark/>
          </w:tcPr>
          <w:p w:rsidR="00504766" w:rsidRPr="00F23CF0" w:rsidP="00504766" w14:paraId="06881742" w14:textId="44C6C251">
            <w:r w:rsidRPr="00F23CF0">
              <w:t>GS-1</w:t>
            </w:r>
            <w:r>
              <w:t>3</w:t>
            </w:r>
            <w:r w:rsidRPr="00F23CF0">
              <w:t xml:space="preserve">, step </w:t>
            </w:r>
            <w:r>
              <w:t>1</w:t>
            </w:r>
          </w:p>
        </w:tc>
        <w:tc>
          <w:tcPr>
            <w:tcW w:w="1350" w:type="dxa"/>
            <w:noWrap/>
            <w:vAlign w:val="center"/>
            <w:hideMark/>
          </w:tcPr>
          <w:p w:rsidR="00504766" w:rsidRPr="000A5850" w:rsidP="000A5850" w14:paraId="2DF0E1D2" w14:textId="2B881BAF">
            <w:pPr>
              <w:jc w:val="center"/>
              <w:rPr>
                <w:rFonts w:ascii="Times" w:hAnsi="Times" w:cs="Times"/>
              </w:rPr>
            </w:pPr>
            <w:r>
              <w:rPr>
                <w:rFonts w:ascii="Times" w:hAnsi="Times" w:cs="Times"/>
                <w:color w:val="000000"/>
              </w:rPr>
              <w:t>8</w:t>
            </w:r>
          </w:p>
        </w:tc>
        <w:tc>
          <w:tcPr>
            <w:tcW w:w="1776" w:type="dxa"/>
            <w:noWrap/>
            <w:vAlign w:val="center"/>
          </w:tcPr>
          <w:p w:rsidR="00504766" w:rsidRPr="000A5850" w:rsidP="000A5850" w14:paraId="0D13FA87" w14:textId="1F9AD1DB">
            <w:pPr>
              <w:jc w:val="center"/>
              <w:rPr>
                <w:rFonts w:ascii="Times" w:hAnsi="Times" w:cs="Times"/>
              </w:rPr>
            </w:pPr>
            <w:r>
              <w:rPr>
                <w:rFonts w:ascii="Times" w:hAnsi="Times" w:cs="Times"/>
                <w:color w:val="000000"/>
              </w:rPr>
              <w:t>115.56</w:t>
            </w:r>
          </w:p>
        </w:tc>
        <w:tc>
          <w:tcPr>
            <w:tcW w:w="2121" w:type="dxa"/>
            <w:noWrap/>
            <w:vAlign w:val="center"/>
            <w:hideMark/>
          </w:tcPr>
          <w:p w:rsidR="00504766" w:rsidRPr="000A5850" w:rsidP="00504766" w14:paraId="527EBA39" w14:textId="4BE52A43">
            <w:pPr>
              <w:jc w:val="center"/>
              <w:rPr>
                <w:rFonts w:ascii="Times" w:hAnsi="Times" w:cs="Times"/>
                <w:b/>
                <w:bCs/>
              </w:rPr>
            </w:pPr>
            <w:r>
              <w:rPr>
                <w:rFonts w:ascii="Times" w:hAnsi="Times"/>
                <w:color w:val="000000" w:themeColor="text1"/>
              </w:rPr>
              <w:t>1,566</w:t>
            </w:r>
          </w:p>
        </w:tc>
        <w:tc>
          <w:tcPr>
            <w:tcW w:w="2141" w:type="dxa"/>
            <w:noWrap/>
            <w:vAlign w:val="center"/>
            <w:hideMark/>
          </w:tcPr>
          <w:p w:rsidR="00504766" w:rsidRPr="000A5850" w:rsidP="000A5850" w14:paraId="62BB0ADA" w14:textId="31933ADC">
            <w:pPr>
              <w:jc w:val="center"/>
              <w:rPr>
                <w:rFonts w:ascii="Times" w:hAnsi="Times" w:cs="Times"/>
              </w:rPr>
            </w:pPr>
            <w:r w:rsidRPr="00D17B2C">
              <w:rPr>
                <w:rFonts w:ascii="Times" w:hAnsi="Times"/>
                <w:color w:val="000000" w:themeColor="text1"/>
              </w:rPr>
              <w:t>$</w:t>
            </w:r>
            <w:r w:rsidR="00FF1B43">
              <w:rPr>
                <w:rFonts w:ascii="Times" w:hAnsi="Times"/>
                <w:color w:val="000000" w:themeColor="text1"/>
              </w:rPr>
              <w:t>1,447,735.68</w:t>
            </w:r>
            <w:r w:rsidRPr="00D17B2C">
              <w:rPr>
                <w:rFonts w:ascii="Times" w:hAnsi="Times"/>
                <w:color w:val="000000" w:themeColor="text1"/>
              </w:rPr>
              <w:t xml:space="preserve"> </w:t>
            </w:r>
          </w:p>
        </w:tc>
      </w:tr>
      <w:tr w14:paraId="4CF3A90D" w14:textId="77777777" w:rsidTr="00BC1EE4">
        <w:tblPrEx>
          <w:tblW w:w="9306" w:type="dxa"/>
          <w:tblLook w:val="04A0"/>
        </w:tblPrEx>
        <w:trPr>
          <w:trHeight w:val="300"/>
          <w:tblHeader/>
        </w:trPr>
        <w:tc>
          <w:tcPr>
            <w:tcW w:w="1918" w:type="dxa"/>
            <w:noWrap/>
            <w:vAlign w:val="bottom"/>
            <w:hideMark/>
          </w:tcPr>
          <w:p w:rsidR="00504766" w:rsidRPr="00F23CF0" w:rsidP="00504766" w14:paraId="4DA3952A" w14:textId="4D12CF64">
            <w:r w:rsidRPr="00F23CF0">
              <w:t>GS-1</w:t>
            </w:r>
            <w:r>
              <w:t>4</w:t>
            </w:r>
            <w:r w:rsidRPr="00F23CF0">
              <w:t xml:space="preserve">, step </w:t>
            </w:r>
            <w:r>
              <w:t>1</w:t>
            </w:r>
          </w:p>
        </w:tc>
        <w:tc>
          <w:tcPr>
            <w:tcW w:w="1350" w:type="dxa"/>
            <w:noWrap/>
            <w:vAlign w:val="center"/>
            <w:hideMark/>
          </w:tcPr>
          <w:p w:rsidR="00504766" w:rsidRPr="000A5850" w:rsidP="000A5850" w14:paraId="179E5349" w14:textId="65AB1B39">
            <w:pPr>
              <w:jc w:val="center"/>
              <w:rPr>
                <w:rFonts w:ascii="Times" w:hAnsi="Times" w:cs="Times"/>
              </w:rPr>
            </w:pPr>
            <w:r w:rsidRPr="000A5850">
              <w:rPr>
                <w:rFonts w:ascii="Times" w:hAnsi="Times" w:cs="Times"/>
                <w:color w:val="000000"/>
              </w:rPr>
              <w:t>3</w:t>
            </w:r>
          </w:p>
        </w:tc>
        <w:tc>
          <w:tcPr>
            <w:tcW w:w="1776" w:type="dxa"/>
            <w:noWrap/>
            <w:vAlign w:val="center"/>
          </w:tcPr>
          <w:p w:rsidR="00504766" w:rsidRPr="000A5850" w:rsidP="000A5850" w14:paraId="2FEDE7FE" w14:textId="7845E0B0">
            <w:pPr>
              <w:jc w:val="center"/>
              <w:rPr>
                <w:rFonts w:ascii="Times" w:hAnsi="Times" w:cs="Times"/>
              </w:rPr>
            </w:pPr>
            <w:r>
              <w:rPr>
                <w:rFonts w:ascii="Times" w:hAnsi="Times" w:cs="Times"/>
                <w:color w:val="000000"/>
              </w:rPr>
              <w:t>136.54</w:t>
            </w:r>
          </w:p>
        </w:tc>
        <w:tc>
          <w:tcPr>
            <w:tcW w:w="2121" w:type="dxa"/>
            <w:noWrap/>
            <w:vAlign w:val="center"/>
            <w:hideMark/>
          </w:tcPr>
          <w:p w:rsidR="00504766" w:rsidRPr="00297F70" w:rsidP="00504766" w14:paraId="54E9D842" w14:textId="72116289">
            <w:pPr>
              <w:jc w:val="center"/>
              <w:rPr>
                <w:rFonts w:ascii="Times" w:hAnsi="Times" w:cs="Times"/>
                <w:color w:val="000000"/>
              </w:rPr>
            </w:pPr>
            <w:r>
              <w:rPr>
                <w:rFonts w:ascii="Times" w:hAnsi="Times" w:cs="Times"/>
                <w:color w:val="000000"/>
              </w:rPr>
              <w:t>1,566</w:t>
            </w:r>
          </w:p>
        </w:tc>
        <w:tc>
          <w:tcPr>
            <w:tcW w:w="2141" w:type="dxa"/>
            <w:noWrap/>
            <w:vAlign w:val="center"/>
            <w:hideMark/>
          </w:tcPr>
          <w:p w:rsidR="00504766" w:rsidRPr="000A5850" w:rsidP="000A5850" w14:paraId="2A1A45C7" w14:textId="1FFE0DF8">
            <w:pPr>
              <w:jc w:val="center"/>
              <w:rPr>
                <w:rFonts w:ascii="Times" w:hAnsi="Times" w:cs="Times"/>
              </w:rPr>
            </w:pPr>
            <w:r w:rsidRPr="000A5850">
              <w:rPr>
                <w:rFonts w:ascii="Times" w:hAnsi="Times" w:cs="Times"/>
                <w:color w:val="000000"/>
              </w:rPr>
              <w:t>$</w:t>
            </w:r>
            <w:r w:rsidR="00FF1B43">
              <w:rPr>
                <w:rFonts w:ascii="Times" w:hAnsi="Times" w:cs="Times"/>
                <w:color w:val="000000"/>
              </w:rPr>
              <w:t>641,464.92</w:t>
            </w:r>
            <w:r w:rsidRPr="000A5850">
              <w:rPr>
                <w:rFonts w:ascii="Times" w:hAnsi="Times" w:cs="Times"/>
                <w:color w:val="000000"/>
              </w:rPr>
              <w:t xml:space="preserve"> </w:t>
            </w:r>
          </w:p>
        </w:tc>
      </w:tr>
      <w:tr w14:paraId="3A3CF752" w14:textId="77777777" w:rsidTr="00BC1EE4">
        <w:tblPrEx>
          <w:tblW w:w="9306" w:type="dxa"/>
          <w:tblLook w:val="04A0"/>
        </w:tblPrEx>
        <w:trPr>
          <w:trHeight w:val="300"/>
          <w:tblHeader/>
        </w:trPr>
        <w:tc>
          <w:tcPr>
            <w:tcW w:w="1918" w:type="dxa"/>
            <w:noWrap/>
            <w:vAlign w:val="bottom"/>
            <w:hideMark/>
          </w:tcPr>
          <w:p w:rsidR="00504766" w:rsidRPr="00F23CF0" w:rsidP="00504766" w14:paraId="3AA935AF" w14:textId="71F7978B">
            <w:r w:rsidRPr="00F23CF0">
              <w:t xml:space="preserve">GS-15, step </w:t>
            </w:r>
            <w:r>
              <w:t>1</w:t>
            </w:r>
          </w:p>
        </w:tc>
        <w:tc>
          <w:tcPr>
            <w:tcW w:w="1350" w:type="dxa"/>
            <w:noWrap/>
            <w:vAlign w:val="center"/>
            <w:hideMark/>
          </w:tcPr>
          <w:p w:rsidR="00504766" w:rsidRPr="000A5850" w:rsidP="000A5850" w14:paraId="087D4BE0" w14:textId="427DB5EB">
            <w:pPr>
              <w:jc w:val="center"/>
              <w:rPr>
                <w:rFonts w:ascii="Times" w:hAnsi="Times" w:cs="Times"/>
              </w:rPr>
            </w:pPr>
            <w:r w:rsidRPr="000A5850">
              <w:rPr>
                <w:rFonts w:ascii="Times" w:hAnsi="Times" w:cs="Times"/>
                <w:color w:val="000000"/>
              </w:rPr>
              <w:t>2</w:t>
            </w:r>
          </w:p>
        </w:tc>
        <w:tc>
          <w:tcPr>
            <w:tcW w:w="1776" w:type="dxa"/>
            <w:noWrap/>
            <w:vAlign w:val="center"/>
          </w:tcPr>
          <w:p w:rsidR="00504766" w:rsidRPr="000A5850" w:rsidP="000A5850" w14:paraId="49D486EC" w14:textId="706AA1A8">
            <w:pPr>
              <w:jc w:val="center"/>
              <w:rPr>
                <w:rFonts w:ascii="Times" w:hAnsi="Times" w:cs="Times"/>
              </w:rPr>
            </w:pPr>
            <w:r>
              <w:rPr>
                <w:rFonts w:ascii="Times" w:hAnsi="Times" w:cs="Times"/>
                <w:color w:val="000000"/>
              </w:rPr>
              <w:t>160.62</w:t>
            </w:r>
          </w:p>
        </w:tc>
        <w:tc>
          <w:tcPr>
            <w:tcW w:w="2121" w:type="dxa"/>
            <w:noWrap/>
            <w:vAlign w:val="center"/>
            <w:hideMark/>
          </w:tcPr>
          <w:p w:rsidR="00504766" w:rsidRPr="000A5850" w:rsidP="00504766" w14:paraId="7948EE90" w14:textId="45C89D92">
            <w:pPr>
              <w:jc w:val="center"/>
              <w:rPr>
                <w:rFonts w:ascii="Times" w:hAnsi="Times" w:cs="Times"/>
                <w:b/>
                <w:bCs/>
              </w:rPr>
            </w:pPr>
            <w:r>
              <w:rPr>
                <w:rFonts w:ascii="Times" w:hAnsi="Times" w:cs="Times"/>
                <w:color w:val="000000"/>
              </w:rPr>
              <w:t>398</w:t>
            </w:r>
          </w:p>
        </w:tc>
        <w:tc>
          <w:tcPr>
            <w:tcW w:w="2141" w:type="dxa"/>
            <w:noWrap/>
            <w:vAlign w:val="center"/>
            <w:hideMark/>
          </w:tcPr>
          <w:p w:rsidR="00504766" w:rsidRPr="000A5850" w:rsidP="000A5850" w14:paraId="7DF4FA8D" w14:textId="3C51C77A">
            <w:pPr>
              <w:jc w:val="center"/>
              <w:rPr>
                <w:rFonts w:ascii="Times" w:hAnsi="Times" w:cs="Times"/>
              </w:rPr>
            </w:pPr>
            <w:r w:rsidRPr="000A5850">
              <w:rPr>
                <w:rFonts w:ascii="Times" w:hAnsi="Times" w:cs="Times"/>
                <w:color w:val="000000"/>
              </w:rPr>
              <w:t>$</w:t>
            </w:r>
            <w:r w:rsidR="00FF1B43">
              <w:rPr>
                <w:rFonts w:ascii="Times" w:hAnsi="Times" w:cs="Times"/>
                <w:color w:val="000000"/>
              </w:rPr>
              <w:t>127,853.52</w:t>
            </w:r>
            <w:r w:rsidRPr="000A5850">
              <w:rPr>
                <w:rFonts w:ascii="Times" w:hAnsi="Times" w:cs="Times"/>
                <w:color w:val="000000"/>
              </w:rPr>
              <w:t xml:space="preserve"> </w:t>
            </w:r>
          </w:p>
        </w:tc>
      </w:tr>
      <w:tr w14:paraId="182F758B" w14:textId="77777777" w:rsidTr="00DA1923">
        <w:tblPrEx>
          <w:tblW w:w="9306" w:type="dxa"/>
          <w:tblLook w:val="04A0"/>
        </w:tblPrEx>
        <w:trPr>
          <w:trHeight w:val="395"/>
          <w:tblHeader/>
        </w:trPr>
        <w:tc>
          <w:tcPr>
            <w:tcW w:w="9306" w:type="dxa"/>
            <w:gridSpan w:val="5"/>
            <w:shd w:val="clear" w:color="auto" w:fill="E7E6E6" w:themeFill="background2"/>
            <w:noWrap/>
            <w:vAlign w:val="bottom"/>
          </w:tcPr>
          <w:p w:rsidR="00504766" w:rsidRPr="00504766" w:rsidP="000A5850" w14:paraId="1D2B10C7" w14:textId="0933D0D8">
            <w:pPr>
              <w:rPr>
                <w:rFonts w:ascii="Times" w:hAnsi="Times" w:cs="Times"/>
                <w:color w:val="000000"/>
              </w:rPr>
            </w:pPr>
            <w:r>
              <w:rPr>
                <w:color w:val="000000"/>
              </w:rPr>
              <w:t xml:space="preserve">Modification of the Existing CMS HPMS  </w:t>
            </w:r>
          </w:p>
        </w:tc>
      </w:tr>
      <w:tr w14:paraId="0720D672" w14:textId="77777777" w:rsidTr="00BC1EE4">
        <w:tblPrEx>
          <w:tblW w:w="9306" w:type="dxa"/>
          <w:tblLook w:val="04A0"/>
        </w:tblPrEx>
        <w:trPr>
          <w:trHeight w:val="300"/>
          <w:tblHeader/>
        </w:trPr>
        <w:tc>
          <w:tcPr>
            <w:tcW w:w="1918" w:type="dxa"/>
            <w:noWrap/>
            <w:vAlign w:val="center"/>
          </w:tcPr>
          <w:p w:rsidR="00504766" w:rsidRPr="000A5850" w:rsidP="00504766" w14:paraId="3612E42A" w14:textId="08DDFE99">
            <w:pPr>
              <w:rPr>
                <w:rFonts w:ascii="Times" w:hAnsi="Times" w:cs="Times"/>
              </w:rPr>
            </w:pPr>
            <w:r w:rsidRPr="00D17B2C">
              <w:rPr>
                <w:rFonts w:ascii="Times" w:hAnsi="Times"/>
                <w:color w:val="000000" w:themeColor="text1"/>
              </w:rPr>
              <w:t>GS-13</w:t>
            </w:r>
            <w:r w:rsidR="002F2261">
              <w:rPr>
                <w:rFonts w:ascii="Times" w:hAnsi="Times"/>
                <w:color w:val="000000" w:themeColor="text1"/>
              </w:rPr>
              <w:t xml:space="preserve">, </w:t>
            </w:r>
            <w:r w:rsidRPr="00D17B2C">
              <w:rPr>
                <w:rFonts w:ascii="Times" w:hAnsi="Times"/>
                <w:color w:val="000000" w:themeColor="text1"/>
              </w:rPr>
              <w:t>step 1</w:t>
            </w:r>
          </w:p>
        </w:tc>
        <w:tc>
          <w:tcPr>
            <w:tcW w:w="1350" w:type="dxa"/>
            <w:noWrap/>
            <w:vAlign w:val="center"/>
          </w:tcPr>
          <w:p w:rsidR="00504766" w:rsidRPr="00504766" w:rsidP="00504766" w14:paraId="0DC7E0F9" w14:textId="6D9F4475">
            <w:pPr>
              <w:jc w:val="center"/>
              <w:rPr>
                <w:rFonts w:ascii="Times" w:hAnsi="Times" w:cs="Times"/>
                <w:color w:val="000000"/>
              </w:rPr>
            </w:pPr>
            <w:r w:rsidRPr="000A5850">
              <w:rPr>
                <w:rFonts w:ascii="Times" w:hAnsi="Times" w:cs="Times"/>
                <w:color w:val="000000"/>
              </w:rPr>
              <w:t>2</w:t>
            </w:r>
          </w:p>
        </w:tc>
        <w:tc>
          <w:tcPr>
            <w:tcW w:w="1776" w:type="dxa"/>
            <w:noWrap/>
            <w:vAlign w:val="center"/>
          </w:tcPr>
          <w:p w:rsidR="00504766" w:rsidRPr="00504766" w:rsidP="00504766" w14:paraId="480E6F66" w14:textId="285E5A34">
            <w:pPr>
              <w:jc w:val="center"/>
              <w:rPr>
                <w:rFonts w:ascii="Times" w:hAnsi="Times" w:cs="Times"/>
                <w:color w:val="000000"/>
              </w:rPr>
            </w:pPr>
            <w:r>
              <w:rPr>
                <w:rFonts w:ascii="Times" w:hAnsi="Times" w:cs="Times"/>
                <w:color w:val="000000"/>
              </w:rPr>
              <w:t>115.56</w:t>
            </w:r>
          </w:p>
        </w:tc>
        <w:tc>
          <w:tcPr>
            <w:tcW w:w="2121" w:type="dxa"/>
            <w:noWrap/>
            <w:vAlign w:val="center"/>
          </w:tcPr>
          <w:p w:rsidR="00504766" w:rsidRPr="00504766" w:rsidP="00504766" w14:paraId="6CD465B5" w14:textId="599103D5">
            <w:pPr>
              <w:jc w:val="center"/>
              <w:rPr>
                <w:rFonts w:ascii="Times" w:hAnsi="Times" w:cs="Times"/>
                <w:color w:val="000000"/>
              </w:rPr>
            </w:pPr>
            <w:r>
              <w:rPr>
                <w:rFonts w:ascii="Times" w:hAnsi="Times" w:cs="Times"/>
                <w:color w:val="000000"/>
              </w:rPr>
              <w:t>100</w:t>
            </w:r>
          </w:p>
        </w:tc>
        <w:tc>
          <w:tcPr>
            <w:tcW w:w="2141" w:type="dxa"/>
            <w:noWrap/>
            <w:vAlign w:val="center"/>
          </w:tcPr>
          <w:p w:rsidR="00504766" w:rsidRPr="00504766" w:rsidP="00504766" w14:paraId="2B4EBFCD" w14:textId="415B02FA">
            <w:pPr>
              <w:jc w:val="center"/>
              <w:rPr>
                <w:rFonts w:ascii="Times" w:hAnsi="Times" w:cs="Times"/>
                <w:color w:val="000000"/>
              </w:rPr>
            </w:pPr>
            <w:r w:rsidRPr="000A5850">
              <w:rPr>
                <w:rFonts w:ascii="Times" w:hAnsi="Times" w:cs="Times"/>
                <w:color w:val="000000"/>
              </w:rPr>
              <w:t>$</w:t>
            </w:r>
            <w:r w:rsidR="00687935">
              <w:rPr>
                <w:rFonts w:cstheme="minorBidi"/>
              </w:rPr>
              <w:t>23,112.00</w:t>
            </w:r>
          </w:p>
        </w:tc>
      </w:tr>
      <w:tr w14:paraId="49DAEEFE" w14:textId="77777777" w:rsidTr="00BC1EE4">
        <w:tblPrEx>
          <w:tblW w:w="9306" w:type="dxa"/>
          <w:tblLook w:val="04A0"/>
        </w:tblPrEx>
        <w:trPr>
          <w:trHeight w:val="300"/>
          <w:tblHeader/>
        </w:trPr>
        <w:tc>
          <w:tcPr>
            <w:tcW w:w="1918" w:type="dxa"/>
            <w:tcBorders>
              <w:bottom w:val="single" w:sz="4" w:space="0" w:color="auto"/>
            </w:tcBorders>
            <w:noWrap/>
            <w:vAlign w:val="center"/>
          </w:tcPr>
          <w:p w:rsidR="00504766" w:rsidRPr="000A5850" w:rsidP="00504766" w14:paraId="16BDE87F" w14:textId="08F05A29">
            <w:pPr>
              <w:rPr>
                <w:rFonts w:ascii="Times" w:hAnsi="Times" w:cs="Times"/>
              </w:rPr>
            </w:pPr>
            <w:r w:rsidRPr="000A5850">
              <w:rPr>
                <w:rFonts w:ascii="Times" w:hAnsi="Times" w:cs="Times"/>
                <w:color w:val="000000"/>
              </w:rPr>
              <w:t>Contractor</w:t>
            </w:r>
          </w:p>
        </w:tc>
        <w:tc>
          <w:tcPr>
            <w:tcW w:w="1350" w:type="dxa"/>
            <w:tcBorders>
              <w:bottom w:val="single" w:sz="4" w:space="0" w:color="auto"/>
            </w:tcBorders>
            <w:noWrap/>
            <w:vAlign w:val="center"/>
          </w:tcPr>
          <w:p w:rsidR="00504766" w:rsidRPr="00504766" w:rsidP="00504766" w14:paraId="0E8D0544" w14:textId="60E37B2C">
            <w:pPr>
              <w:jc w:val="center"/>
              <w:rPr>
                <w:rFonts w:ascii="Times" w:hAnsi="Times" w:cs="Times"/>
                <w:color w:val="000000"/>
              </w:rPr>
            </w:pPr>
            <w:r>
              <w:rPr>
                <w:rFonts w:ascii="Times" w:hAnsi="Times" w:cs="Times"/>
                <w:color w:val="000000"/>
              </w:rPr>
              <w:t>4.5</w:t>
            </w:r>
          </w:p>
        </w:tc>
        <w:tc>
          <w:tcPr>
            <w:tcW w:w="1776" w:type="dxa"/>
            <w:tcBorders>
              <w:bottom w:val="single" w:sz="4" w:space="0" w:color="auto"/>
            </w:tcBorders>
            <w:noWrap/>
            <w:vAlign w:val="center"/>
          </w:tcPr>
          <w:p w:rsidR="00504766" w:rsidRPr="00504766" w:rsidP="00504766" w14:paraId="530FACDC" w14:textId="018FE0BB">
            <w:pPr>
              <w:jc w:val="center"/>
              <w:rPr>
                <w:rFonts w:ascii="Times" w:hAnsi="Times" w:cs="Times"/>
                <w:color w:val="000000"/>
              </w:rPr>
            </w:pPr>
            <w:r>
              <w:t>249.59</w:t>
            </w:r>
          </w:p>
        </w:tc>
        <w:tc>
          <w:tcPr>
            <w:tcW w:w="2121" w:type="dxa"/>
            <w:tcBorders>
              <w:bottom w:val="single" w:sz="4" w:space="0" w:color="auto"/>
            </w:tcBorders>
            <w:noWrap/>
            <w:vAlign w:val="center"/>
          </w:tcPr>
          <w:p w:rsidR="00504766" w:rsidRPr="00504766" w:rsidP="00504766" w14:paraId="1B6765BE" w14:textId="5B8E129A">
            <w:pPr>
              <w:jc w:val="center"/>
              <w:rPr>
                <w:rFonts w:ascii="Times" w:hAnsi="Times" w:cs="Times"/>
                <w:color w:val="000000"/>
              </w:rPr>
            </w:pPr>
            <w:r>
              <w:rPr>
                <w:rFonts w:ascii="Times" w:hAnsi="Times" w:cs="Times"/>
                <w:color w:val="000000"/>
              </w:rPr>
              <w:t>350</w:t>
            </w:r>
          </w:p>
        </w:tc>
        <w:tc>
          <w:tcPr>
            <w:tcW w:w="2141" w:type="dxa"/>
            <w:tcBorders>
              <w:bottom w:val="single" w:sz="4" w:space="0" w:color="auto"/>
            </w:tcBorders>
            <w:noWrap/>
            <w:vAlign w:val="center"/>
          </w:tcPr>
          <w:p w:rsidR="00504766" w:rsidRPr="00504766" w:rsidP="00504766" w14:paraId="68B6DA20" w14:textId="746C795B">
            <w:pPr>
              <w:jc w:val="center"/>
              <w:rPr>
                <w:rFonts w:ascii="Times" w:hAnsi="Times" w:cs="Times"/>
                <w:color w:val="000000"/>
              </w:rPr>
            </w:pPr>
            <w:r w:rsidRPr="000A5850">
              <w:rPr>
                <w:rFonts w:ascii="Times" w:hAnsi="Times" w:cs="Times"/>
                <w:color w:val="000000"/>
              </w:rPr>
              <w:t>$</w:t>
            </w:r>
            <w:r w:rsidR="00687935">
              <w:rPr>
                <w:rFonts w:cstheme="minorBidi"/>
              </w:rPr>
              <w:t>393,104.25</w:t>
            </w:r>
          </w:p>
        </w:tc>
      </w:tr>
      <w:tr w14:paraId="7DCDA8D3" w14:textId="77777777" w:rsidTr="00DA1923">
        <w:tblPrEx>
          <w:tblW w:w="9306" w:type="dxa"/>
          <w:tblLook w:val="04A0"/>
        </w:tblPrEx>
        <w:trPr>
          <w:trHeight w:val="521"/>
          <w:tblHeader/>
        </w:trPr>
        <w:tc>
          <w:tcPr>
            <w:tcW w:w="7165" w:type="dxa"/>
            <w:gridSpan w:val="4"/>
            <w:tcBorders>
              <w:top w:val="single" w:sz="4" w:space="0" w:color="auto"/>
              <w:left w:val="single" w:sz="4" w:space="0" w:color="auto"/>
              <w:bottom w:val="single" w:sz="4" w:space="0" w:color="auto"/>
              <w:right w:val="single" w:sz="4" w:space="0" w:color="auto"/>
            </w:tcBorders>
            <w:noWrap/>
            <w:vAlign w:val="center"/>
          </w:tcPr>
          <w:p w:rsidR="003179C2" w:rsidRPr="00E172C6" w:rsidP="000A5850" w14:paraId="6A1FF513" w14:textId="5365B2BE">
            <w:pPr>
              <w:rPr>
                <w:rFonts w:ascii="Times" w:hAnsi="Times" w:cs="Times"/>
                <w:b/>
                <w:bCs/>
                <w:color w:val="000000"/>
              </w:rPr>
            </w:pPr>
            <w:r w:rsidRPr="000A5850">
              <w:rPr>
                <w:rFonts w:ascii="Times" w:hAnsi="Times" w:cs="Times"/>
                <w:b/>
                <w:bCs/>
                <w:color w:val="000000"/>
              </w:rPr>
              <w:t>Total Cost to Government Over One Year</w:t>
            </w:r>
          </w:p>
        </w:tc>
        <w:tc>
          <w:tcPr>
            <w:tcW w:w="2141" w:type="dxa"/>
            <w:tcBorders>
              <w:top w:val="single" w:sz="4" w:space="0" w:color="auto"/>
              <w:left w:val="single" w:sz="4" w:space="0" w:color="auto"/>
              <w:bottom w:val="single" w:sz="4" w:space="0" w:color="auto"/>
              <w:right w:val="single" w:sz="4" w:space="0" w:color="auto"/>
            </w:tcBorders>
            <w:noWrap/>
            <w:vAlign w:val="center"/>
          </w:tcPr>
          <w:p w:rsidR="00504766" w:rsidRPr="000A5850" w:rsidP="000A5850" w14:paraId="6709CB6B" w14:textId="007888FB">
            <w:pPr>
              <w:jc w:val="center"/>
              <w:rPr>
                <w:rFonts w:ascii="Times" w:hAnsi="Times" w:cs="Times"/>
              </w:rPr>
            </w:pPr>
            <w:r w:rsidRPr="000A5850">
              <w:rPr>
                <w:rFonts w:ascii="Times" w:hAnsi="Times" w:cs="Times"/>
                <w:b/>
                <w:bCs/>
                <w:color w:val="000000"/>
              </w:rPr>
              <w:t>$</w:t>
            </w:r>
            <w:r w:rsidR="00687935">
              <w:rPr>
                <w:rFonts w:ascii="Times" w:hAnsi="Times" w:cs="Times"/>
                <w:b/>
                <w:bCs/>
                <w:color w:val="000000"/>
              </w:rPr>
              <w:t>2,633,270.37</w:t>
            </w:r>
            <w:r w:rsidRPr="000A5850">
              <w:rPr>
                <w:rFonts w:ascii="Times" w:hAnsi="Times" w:cs="Times"/>
                <w:b/>
                <w:bCs/>
                <w:color w:val="000000"/>
              </w:rPr>
              <w:t xml:space="preserve"> </w:t>
            </w:r>
          </w:p>
        </w:tc>
      </w:tr>
    </w:tbl>
    <w:bookmarkEnd w:id="8"/>
    <w:p w:rsidR="00594906" w:rsidRPr="006C541E" w:rsidP="00E172C6" w14:paraId="2BFE8B6E" w14:textId="49D039F1">
      <w:pPr>
        <w:rPr>
          <w:i/>
          <w:iCs/>
        </w:rPr>
      </w:pPr>
      <w:r>
        <w:br/>
      </w:r>
      <w:r w:rsidRPr="006C541E" w:rsidR="005E2F42">
        <w:rPr>
          <w:i/>
          <w:iCs/>
        </w:rPr>
        <w:t>Counteroffer ICR Form</w:t>
      </w:r>
    </w:p>
    <w:p w:rsidR="00845D20" w:rsidP="000A5850" w14:paraId="70E226DD" w14:textId="174C1CD2">
      <w:pPr>
        <w:ind w:left="-5" w:right="2"/>
      </w:pPr>
      <w:r>
        <w:t xml:space="preserve">The federal government cost estimate is based on the efforts expended by CMS staff with the following assumptions to receive and review </w:t>
      </w:r>
      <w:r w:rsidR="004417D3">
        <w:t xml:space="preserve">Counteroffer </w:t>
      </w:r>
      <w:r>
        <w:t xml:space="preserve">submissions from Primary Manufacturers. </w:t>
      </w:r>
    </w:p>
    <w:p w:rsidR="00845D20" w:rsidP="00E83217" w14:paraId="082AAB50" w14:textId="2D52553E">
      <w:pPr>
        <w:ind w:left="-5" w:right="2"/>
      </w:pPr>
      <w:r>
        <w:t>To generate salary estimates for the table below, CMS used the 202</w:t>
      </w:r>
      <w:r w:rsidR="006737CB">
        <w:t>5</w:t>
      </w:r>
      <w:r>
        <w:t xml:space="preserve"> GS Locality Pay Tables</w:t>
      </w:r>
      <w:r>
        <w:rPr>
          <w:vertAlign w:val="superscript"/>
        </w:rPr>
        <w:footnoteReference w:id="24"/>
      </w:r>
      <w:r>
        <w:rPr>
          <w:vertAlign w:val="superscript"/>
        </w:rPr>
        <w:t xml:space="preserve"> </w:t>
      </w:r>
      <w:r>
        <w:t xml:space="preserve">published by the OPM for the Washington-Baltimore-Arlington region. In this regard, Table </w:t>
      </w:r>
      <w:r w:rsidR="004C3BE2">
        <w:t>1</w:t>
      </w:r>
      <w:r w:rsidR="00DA1923">
        <w:t>0</w:t>
      </w:r>
      <w:r>
        <w:t xml:space="preserve"> presents the FTE equivalent of staff required for the task, the median hourly wage (adjusted for the cost of fringe benefits, calculated at 100 percent of salary), total burden hours, and the total cost of the information collection</w:t>
      </w:r>
      <w:r w:rsidRPr="4D085A28">
        <w:t>.</w:t>
      </w:r>
      <w:r>
        <w:t xml:space="preserve"> The estimates below account for reviewing </w:t>
      </w:r>
      <w:r w:rsidR="00384D28">
        <w:t>Counteroffer</w:t>
      </w:r>
      <w:r w:rsidR="004417D3">
        <w:t xml:space="preserve"> </w:t>
      </w:r>
      <w:r>
        <w:t xml:space="preserve">submissions and technical operations and IT builds. Staffing estimates are based on CMS duties as follows: </w:t>
      </w:r>
    </w:p>
    <w:p w:rsidR="00845D20" w:rsidP="7C2D0501" w14:paraId="67FAD1C9" w14:textId="03F1994F">
      <w:pPr>
        <w:numPr>
          <w:ilvl w:val="0"/>
          <w:numId w:val="27"/>
        </w:numPr>
        <w:spacing w:after="3" w:line="248" w:lineRule="auto"/>
        <w:ind w:right="2" w:hanging="360"/>
      </w:pPr>
      <w:r>
        <w:t xml:space="preserve">CMS will review and analyze information submitted by Primary Manufacturers in the Counteroffer </w:t>
      </w:r>
      <w:r w:rsidR="00A76F5A">
        <w:t xml:space="preserve">ICR </w:t>
      </w:r>
      <w:r>
        <w:t>Form to inform negotiations</w:t>
      </w:r>
      <w:r w:rsidR="005C2E68">
        <w:t xml:space="preserve"> or renegotiations</w:t>
      </w:r>
      <w:r>
        <w:t xml:space="preserve">; and </w:t>
      </w:r>
    </w:p>
    <w:p w:rsidR="00845D20" w:rsidP="7C2D0501" w14:paraId="1C4EEEED" w14:textId="2C2E117B">
      <w:pPr>
        <w:numPr>
          <w:ilvl w:val="0"/>
          <w:numId w:val="27"/>
        </w:numPr>
        <w:spacing w:after="3" w:line="248" w:lineRule="auto"/>
        <w:ind w:right="2" w:hanging="360"/>
      </w:pPr>
      <w:r>
        <w:t xml:space="preserve">CMS will provide technical </w:t>
      </w:r>
      <w:r>
        <w:t>direction</w:t>
      </w:r>
      <w:r>
        <w:t xml:space="preserve"> to a contractor to </w:t>
      </w:r>
      <w:r w:rsidR="00DC2A26">
        <w:t xml:space="preserve">modify </w:t>
      </w:r>
      <w:r>
        <w:t xml:space="preserve">the Drug Price Negotiation module in the CMS HPMS for Primary Manufacturers to submit the Counteroffer </w:t>
      </w:r>
      <w:r w:rsidR="00A76F5A">
        <w:t xml:space="preserve">ICR </w:t>
      </w:r>
      <w:r>
        <w:t xml:space="preserve">Form. </w:t>
      </w:r>
    </w:p>
    <w:p w:rsidR="00845D20" w:rsidP="00017F14" w14:paraId="39E67F61" w14:textId="03F0CCB0">
      <w:pPr>
        <w:spacing w:after="0" w:line="259" w:lineRule="auto"/>
      </w:pPr>
      <w:r>
        <w:t xml:space="preserve"> </w:t>
      </w:r>
    </w:p>
    <w:p w:rsidR="00845D20" w:rsidP="00DA1923" w14:paraId="5311F15B" w14:textId="26B700AB">
      <w:pPr>
        <w:pStyle w:val="Heading4"/>
      </w:pPr>
      <w:r w:rsidRPr="0078206D">
        <w:t xml:space="preserve">TABLE </w:t>
      </w:r>
      <w:r w:rsidR="007F48A5">
        <w:t>1</w:t>
      </w:r>
      <w:r w:rsidR="009F59CD">
        <w:t>0</w:t>
      </w:r>
      <w:r w:rsidRPr="0078206D">
        <w:t>. TOTAL COST FOR THE FEDERAL GOVERNMENT ASSOCIATED WITH THE DATA COLLECTION TO SUPPORT THE COUNTEROFFER PROCESS FOR SELECTED DRUGS</w:t>
      </w:r>
    </w:p>
    <w:tbl>
      <w:tblPr>
        <w:tblW w:w="9350" w:type="dxa"/>
        <w:tblLook w:val="04A0"/>
      </w:tblPr>
      <w:tblGrid>
        <w:gridCol w:w="2351"/>
        <w:gridCol w:w="1424"/>
        <w:gridCol w:w="1566"/>
        <w:gridCol w:w="1711"/>
        <w:gridCol w:w="2298"/>
      </w:tblGrid>
      <w:tr w14:paraId="4110E9BD" w14:textId="77777777" w:rsidTr="00BC1EE4">
        <w:tblPrEx>
          <w:tblW w:w="9350" w:type="dxa"/>
          <w:tblLook w:val="04A0"/>
        </w:tblPrEx>
        <w:trPr>
          <w:trHeight w:val="300"/>
          <w:tblHeader/>
        </w:trPr>
        <w:tc>
          <w:tcPr>
            <w:tcW w:w="2351" w:type="dxa"/>
            <w:tcBorders>
              <w:top w:val="single" w:sz="4" w:space="0" w:color="auto"/>
              <w:left w:val="single" w:sz="4" w:space="0" w:color="auto"/>
              <w:bottom w:val="single" w:sz="4" w:space="0" w:color="auto"/>
              <w:right w:val="single" w:sz="4" w:space="0" w:color="auto"/>
            </w:tcBorders>
            <w:noWrap/>
            <w:vAlign w:val="center"/>
            <w:hideMark/>
          </w:tcPr>
          <w:p w:rsidR="00845D20" w:rsidRPr="00BC1EE4" w14:paraId="540B2B80" w14:textId="77777777">
            <w:pPr>
              <w:keepNext/>
              <w:jc w:val="center"/>
              <w:rPr>
                <w:b/>
                <w:bCs/>
              </w:rPr>
            </w:pPr>
            <w:r w:rsidRPr="00615181">
              <w:rPr>
                <w:b/>
                <w:bCs/>
              </w:rPr>
              <w:t>Staff</w:t>
            </w:r>
          </w:p>
        </w:tc>
        <w:tc>
          <w:tcPr>
            <w:tcW w:w="1424" w:type="dxa"/>
            <w:tcBorders>
              <w:top w:val="single" w:sz="4" w:space="0" w:color="auto"/>
              <w:left w:val="nil"/>
              <w:bottom w:val="single" w:sz="4" w:space="0" w:color="auto"/>
              <w:right w:val="single" w:sz="4" w:space="0" w:color="auto"/>
            </w:tcBorders>
            <w:noWrap/>
            <w:vAlign w:val="center"/>
            <w:hideMark/>
          </w:tcPr>
          <w:p w:rsidR="00845D20" w:rsidRPr="00BC1EE4" w14:paraId="4B90A8C3" w14:textId="77777777">
            <w:pPr>
              <w:keepNext/>
              <w:jc w:val="center"/>
              <w:rPr>
                <w:b/>
                <w:bCs/>
              </w:rPr>
            </w:pPr>
            <w:r w:rsidRPr="00615181">
              <w:rPr>
                <w:b/>
                <w:bCs/>
              </w:rPr>
              <w:t>FTE Equivalent</w:t>
            </w:r>
          </w:p>
        </w:tc>
        <w:tc>
          <w:tcPr>
            <w:tcW w:w="1566" w:type="dxa"/>
            <w:tcBorders>
              <w:top w:val="single" w:sz="4" w:space="0" w:color="auto"/>
              <w:left w:val="nil"/>
              <w:bottom w:val="single" w:sz="4" w:space="0" w:color="auto"/>
              <w:right w:val="single" w:sz="4" w:space="0" w:color="auto"/>
            </w:tcBorders>
            <w:noWrap/>
            <w:vAlign w:val="center"/>
          </w:tcPr>
          <w:p w:rsidR="00845D20" w:rsidRPr="00BC1EE4" w14:paraId="07A723D3" w14:textId="77777777">
            <w:pPr>
              <w:keepNext/>
              <w:jc w:val="center"/>
              <w:rPr>
                <w:b/>
                <w:bCs/>
              </w:rPr>
            </w:pPr>
            <w:r w:rsidRPr="00615181">
              <w:rPr>
                <w:b/>
                <w:bCs/>
              </w:rPr>
              <w:t>Hourly Wage</w:t>
            </w:r>
          </w:p>
        </w:tc>
        <w:tc>
          <w:tcPr>
            <w:tcW w:w="1711" w:type="dxa"/>
            <w:tcBorders>
              <w:top w:val="single" w:sz="4" w:space="0" w:color="auto"/>
              <w:left w:val="nil"/>
              <w:bottom w:val="single" w:sz="4" w:space="0" w:color="auto"/>
              <w:right w:val="single" w:sz="4" w:space="0" w:color="auto"/>
            </w:tcBorders>
            <w:noWrap/>
            <w:vAlign w:val="center"/>
            <w:hideMark/>
          </w:tcPr>
          <w:p w:rsidR="00845D20" w:rsidRPr="00BC1EE4" w14:paraId="3216071B" w14:textId="77777777">
            <w:pPr>
              <w:keepNext/>
              <w:jc w:val="center"/>
              <w:rPr>
                <w:b/>
                <w:bCs/>
              </w:rPr>
            </w:pPr>
            <w:r w:rsidRPr="00615181">
              <w:rPr>
                <w:b/>
                <w:bCs/>
              </w:rPr>
              <w:t>Total Burden Hours</w:t>
            </w:r>
          </w:p>
        </w:tc>
        <w:tc>
          <w:tcPr>
            <w:tcW w:w="2298" w:type="dxa"/>
            <w:tcBorders>
              <w:top w:val="single" w:sz="4" w:space="0" w:color="auto"/>
              <w:left w:val="nil"/>
              <w:bottom w:val="single" w:sz="4" w:space="0" w:color="auto"/>
              <w:right w:val="single" w:sz="4" w:space="0" w:color="auto"/>
            </w:tcBorders>
            <w:noWrap/>
            <w:vAlign w:val="center"/>
            <w:hideMark/>
          </w:tcPr>
          <w:p w:rsidR="00845D20" w:rsidRPr="00BC1EE4" w14:paraId="121B6C28" w14:textId="77777777">
            <w:pPr>
              <w:keepNext/>
              <w:jc w:val="center"/>
              <w:rPr>
                <w:b/>
                <w:bCs/>
              </w:rPr>
            </w:pPr>
            <w:r w:rsidRPr="00615181">
              <w:rPr>
                <w:b/>
                <w:bCs/>
              </w:rPr>
              <w:t>Total Cost</w:t>
            </w:r>
          </w:p>
        </w:tc>
      </w:tr>
      <w:tr w14:paraId="7BA752AC" w14:textId="77777777" w:rsidTr="00BC1EE4">
        <w:tblPrEx>
          <w:tblW w:w="9350" w:type="dxa"/>
          <w:tblLook w:val="04A0"/>
        </w:tblPrEx>
        <w:trPr>
          <w:trHeight w:val="134"/>
          <w:tblHeader/>
        </w:trPr>
        <w:tc>
          <w:tcPr>
            <w:tcW w:w="9350" w:type="dxa"/>
            <w:gridSpan w:val="5"/>
            <w:tcBorders>
              <w:top w:val="nil"/>
              <w:left w:val="single" w:sz="4" w:space="0" w:color="auto"/>
              <w:bottom w:val="single" w:sz="4" w:space="0" w:color="auto"/>
              <w:right w:val="single" w:sz="4" w:space="0" w:color="auto"/>
            </w:tcBorders>
            <w:shd w:val="clear" w:color="auto" w:fill="E7E6E6" w:themeFill="background2"/>
            <w:noWrap/>
            <w:vAlign w:val="bottom"/>
          </w:tcPr>
          <w:p w:rsidR="00845D20" w14:paraId="40E3BBC5" w14:textId="1AC4EA5C">
            <w:r>
              <w:t>Counteroffer Review</w:t>
            </w:r>
          </w:p>
        </w:tc>
      </w:tr>
      <w:tr w14:paraId="5E2A5F97" w14:textId="77777777" w:rsidTr="00BC1EE4">
        <w:tblPrEx>
          <w:tblW w:w="9350" w:type="dxa"/>
          <w:tblLook w:val="04A0"/>
        </w:tblPrEx>
        <w:trPr>
          <w:trHeight w:val="300"/>
          <w:tblHeader/>
        </w:trPr>
        <w:tc>
          <w:tcPr>
            <w:tcW w:w="2351" w:type="dxa"/>
            <w:tcBorders>
              <w:top w:val="nil"/>
              <w:left w:val="single" w:sz="4" w:space="0" w:color="auto"/>
              <w:bottom w:val="single" w:sz="4" w:space="0" w:color="auto"/>
              <w:right w:val="single" w:sz="4" w:space="0" w:color="auto"/>
            </w:tcBorders>
            <w:noWrap/>
            <w:vAlign w:val="bottom"/>
            <w:hideMark/>
          </w:tcPr>
          <w:p w:rsidR="00845D20" w:rsidRPr="002F2261" w:rsidP="00845D20" w14:paraId="5D1B9614" w14:textId="1BA4C6BA">
            <w:pPr>
              <w:rPr>
                <w:rFonts w:ascii="Times" w:hAnsi="Times" w:cs="Times"/>
              </w:rPr>
            </w:pPr>
            <w:r w:rsidRPr="00D17B2C">
              <w:rPr>
                <w:rFonts w:ascii="Times" w:hAnsi="Times" w:cs="Times"/>
                <w:color w:val="000000"/>
              </w:rPr>
              <w:t>GS-13</w:t>
            </w:r>
            <w:r w:rsidR="002F2261">
              <w:rPr>
                <w:rFonts w:ascii="Times" w:hAnsi="Times" w:cs="Times"/>
                <w:color w:val="000000"/>
              </w:rPr>
              <w:t xml:space="preserve">, </w:t>
            </w:r>
            <w:r w:rsidRPr="00D17B2C">
              <w:rPr>
                <w:rFonts w:ascii="Times" w:hAnsi="Times" w:cs="Times"/>
                <w:color w:val="000000"/>
              </w:rPr>
              <w:t>step 1</w:t>
            </w:r>
          </w:p>
        </w:tc>
        <w:tc>
          <w:tcPr>
            <w:tcW w:w="1424" w:type="dxa"/>
            <w:tcBorders>
              <w:top w:val="nil"/>
              <w:left w:val="nil"/>
              <w:bottom w:val="single" w:sz="4" w:space="0" w:color="auto"/>
              <w:right w:val="single" w:sz="4" w:space="0" w:color="auto"/>
            </w:tcBorders>
            <w:noWrap/>
            <w:vAlign w:val="center"/>
            <w:hideMark/>
          </w:tcPr>
          <w:p w:rsidR="00845D20" w:rsidRPr="00845D20" w:rsidP="00845D20" w14:paraId="06597860" w14:textId="4BA181F7">
            <w:pPr>
              <w:jc w:val="center"/>
              <w:rPr>
                <w:rFonts w:ascii="Times" w:hAnsi="Times" w:cs="Times"/>
              </w:rPr>
            </w:pPr>
            <w:r w:rsidRPr="000A5850">
              <w:rPr>
                <w:rFonts w:ascii="Times" w:hAnsi="Times" w:cs="Times"/>
                <w:color w:val="000000"/>
              </w:rPr>
              <w:t>5</w:t>
            </w:r>
          </w:p>
        </w:tc>
        <w:tc>
          <w:tcPr>
            <w:tcW w:w="1566" w:type="dxa"/>
            <w:tcBorders>
              <w:top w:val="nil"/>
              <w:left w:val="nil"/>
              <w:bottom w:val="single" w:sz="4" w:space="0" w:color="auto"/>
              <w:right w:val="single" w:sz="4" w:space="0" w:color="auto"/>
            </w:tcBorders>
            <w:noWrap/>
            <w:vAlign w:val="center"/>
          </w:tcPr>
          <w:p w:rsidR="00845D20" w:rsidRPr="00845D20" w:rsidP="00845D20" w14:paraId="316BBF10" w14:textId="08F85F78">
            <w:pPr>
              <w:jc w:val="center"/>
              <w:rPr>
                <w:rFonts w:ascii="Times" w:hAnsi="Times" w:cs="Times"/>
              </w:rPr>
            </w:pPr>
            <w:r>
              <w:rPr>
                <w:rFonts w:ascii="Times" w:hAnsi="Times"/>
                <w:color w:val="000000" w:themeColor="text1"/>
              </w:rPr>
              <w:t>115.56</w:t>
            </w:r>
          </w:p>
        </w:tc>
        <w:tc>
          <w:tcPr>
            <w:tcW w:w="1711" w:type="dxa"/>
            <w:tcBorders>
              <w:top w:val="nil"/>
              <w:left w:val="nil"/>
              <w:bottom w:val="single" w:sz="4" w:space="0" w:color="auto"/>
              <w:right w:val="single" w:sz="4" w:space="0" w:color="auto"/>
            </w:tcBorders>
            <w:noWrap/>
            <w:vAlign w:val="center"/>
            <w:hideMark/>
          </w:tcPr>
          <w:p w:rsidR="00845D20" w:rsidRPr="00845D20" w:rsidP="00845D20" w14:paraId="0D8D8788" w14:textId="3B7337EA">
            <w:pPr>
              <w:jc w:val="center"/>
              <w:rPr>
                <w:rFonts w:ascii="Times" w:hAnsi="Times" w:cs="Times"/>
                <w:b/>
                <w:bCs/>
              </w:rPr>
            </w:pPr>
            <w:r>
              <w:rPr>
                <w:rFonts w:ascii="Times" w:hAnsi="Times" w:cs="Times"/>
                <w:color w:val="000000"/>
              </w:rPr>
              <w:t>638</w:t>
            </w:r>
          </w:p>
        </w:tc>
        <w:tc>
          <w:tcPr>
            <w:tcW w:w="2298" w:type="dxa"/>
            <w:tcBorders>
              <w:top w:val="nil"/>
              <w:left w:val="nil"/>
              <w:bottom w:val="single" w:sz="4" w:space="0" w:color="auto"/>
              <w:right w:val="single" w:sz="4" w:space="0" w:color="auto"/>
            </w:tcBorders>
            <w:noWrap/>
            <w:vAlign w:val="center"/>
            <w:hideMark/>
          </w:tcPr>
          <w:p w:rsidR="00845D20" w:rsidRPr="00845D20" w:rsidP="00845D20" w14:paraId="09952129" w14:textId="4E34E41F">
            <w:pPr>
              <w:jc w:val="center"/>
              <w:rPr>
                <w:rFonts w:ascii="Times" w:hAnsi="Times" w:cs="Times"/>
              </w:rPr>
            </w:pPr>
            <w:r w:rsidRPr="00D17B2C">
              <w:rPr>
                <w:rFonts w:ascii="Times" w:hAnsi="Times"/>
                <w:color w:val="000000" w:themeColor="text1"/>
              </w:rPr>
              <w:t xml:space="preserve"> $</w:t>
            </w:r>
            <w:r w:rsidR="00507856">
              <w:rPr>
                <w:rFonts w:ascii="Times" w:hAnsi="Times"/>
                <w:color w:val="000000" w:themeColor="text1"/>
              </w:rPr>
              <w:t>368,636</w:t>
            </w:r>
            <w:r w:rsidR="00565A62">
              <w:rPr>
                <w:rFonts w:ascii="Times" w:hAnsi="Times"/>
                <w:color w:val="000000" w:themeColor="text1"/>
              </w:rPr>
              <w:t>.40</w:t>
            </w:r>
            <w:r w:rsidRPr="00D17B2C">
              <w:rPr>
                <w:rFonts w:ascii="Times" w:hAnsi="Times"/>
                <w:color w:val="000000" w:themeColor="text1"/>
              </w:rPr>
              <w:t xml:space="preserve"> </w:t>
            </w:r>
          </w:p>
        </w:tc>
      </w:tr>
      <w:tr w14:paraId="7E6C09A4" w14:textId="77777777" w:rsidTr="00BC1EE4">
        <w:tblPrEx>
          <w:tblW w:w="9350" w:type="dxa"/>
          <w:tblLook w:val="04A0"/>
        </w:tblPrEx>
        <w:trPr>
          <w:trHeight w:val="300"/>
          <w:tblHeader/>
        </w:trPr>
        <w:tc>
          <w:tcPr>
            <w:tcW w:w="2351" w:type="dxa"/>
            <w:tcBorders>
              <w:top w:val="nil"/>
              <w:left w:val="single" w:sz="4" w:space="0" w:color="auto"/>
              <w:bottom w:val="single" w:sz="4" w:space="0" w:color="auto"/>
              <w:right w:val="single" w:sz="4" w:space="0" w:color="auto"/>
            </w:tcBorders>
            <w:noWrap/>
            <w:vAlign w:val="bottom"/>
            <w:hideMark/>
          </w:tcPr>
          <w:p w:rsidR="00845D20" w:rsidRPr="002F2261" w:rsidP="00845D20" w14:paraId="7ABF7775" w14:textId="760ACF09">
            <w:pPr>
              <w:rPr>
                <w:rFonts w:ascii="Times" w:hAnsi="Times" w:cs="Times"/>
              </w:rPr>
            </w:pPr>
            <w:r w:rsidRPr="00D17B2C">
              <w:rPr>
                <w:rFonts w:ascii="Times" w:hAnsi="Times" w:cs="Times"/>
                <w:color w:val="000000"/>
              </w:rPr>
              <w:t>GS-14</w:t>
            </w:r>
            <w:r w:rsidR="002F2261">
              <w:rPr>
                <w:rFonts w:ascii="Times" w:hAnsi="Times" w:cs="Times"/>
                <w:color w:val="000000"/>
              </w:rPr>
              <w:t xml:space="preserve">, </w:t>
            </w:r>
            <w:r w:rsidRPr="00D17B2C">
              <w:rPr>
                <w:rFonts w:ascii="Times" w:hAnsi="Times" w:cs="Times"/>
                <w:color w:val="000000"/>
              </w:rPr>
              <w:t>step 1</w:t>
            </w:r>
          </w:p>
        </w:tc>
        <w:tc>
          <w:tcPr>
            <w:tcW w:w="1424" w:type="dxa"/>
            <w:tcBorders>
              <w:top w:val="nil"/>
              <w:left w:val="nil"/>
              <w:bottom w:val="single" w:sz="4" w:space="0" w:color="auto"/>
              <w:right w:val="single" w:sz="4" w:space="0" w:color="auto"/>
            </w:tcBorders>
            <w:noWrap/>
            <w:vAlign w:val="center"/>
            <w:hideMark/>
          </w:tcPr>
          <w:p w:rsidR="00845D20" w:rsidRPr="00845D20" w:rsidP="00845D20" w14:paraId="1E56BE77" w14:textId="11464D72">
            <w:pPr>
              <w:jc w:val="center"/>
              <w:rPr>
                <w:rFonts w:ascii="Times" w:hAnsi="Times" w:cs="Times"/>
              </w:rPr>
            </w:pPr>
            <w:r w:rsidRPr="000A5850">
              <w:rPr>
                <w:rFonts w:ascii="Times" w:hAnsi="Times" w:cs="Times"/>
                <w:color w:val="000000"/>
              </w:rPr>
              <w:t>5</w:t>
            </w:r>
          </w:p>
        </w:tc>
        <w:tc>
          <w:tcPr>
            <w:tcW w:w="1566" w:type="dxa"/>
            <w:tcBorders>
              <w:top w:val="nil"/>
              <w:left w:val="nil"/>
              <w:bottom w:val="single" w:sz="4" w:space="0" w:color="auto"/>
              <w:right w:val="single" w:sz="4" w:space="0" w:color="auto"/>
            </w:tcBorders>
            <w:noWrap/>
            <w:vAlign w:val="center"/>
          </w:tcPr>
          <w:p w:rsidR="00845D20" w:rsidRPr="00845D20" w:rsidP="00845D20" w14:paraId="00D5918F" w14:textId="5E206A7A">
            <w:pPr>
              <w:jc w:val="center"/>
              <w:rPr>
                <w:rFonts w:ascii="Times" w:hAnsi="Times" w:cs="Times"/>
              </w:rPr>
            </w:pPr>
            <w:r>
              <w:rPr>
                <w:rFonts w:ascii="Times" w:hAnsi="Times" w:cs="Times"/>
                <w:color w:val="000000"/>
              </w:rPr>
              <w:t>136.54</w:t>
            </w:r>
          </w:p>
        </w:tc>
        <w:tc>
          <w:tcPr>
            <w:tcW w:w="1711" w:type="dxa"/>
            <w:tcBorders>
              <w:top w:val="nil"/>
              <w:left w:val="nil"/>
              <w:bottom w:val="single" w:sz="4" w:space="0" w:color="auto"/>
              <w:right w:val="single" w:sz="4" w:space="0" w:color="auto"/>
            </w:tcBorders>
            <w:noWrap/>
            <w:vAlign w:val="center"/>
            <w:hideMark/>
          </w:tcPr>
          <w:p w:rsidR="00845D20" w:rsidRPr="00845D20" w:rsidP="00845D20" w14:paraId="1C3DC284" w14:textId="1CA1B5C5">
            <w:pPr>
              <w:jc w:val="center"/>
              <w:rPr>
                <w:rFonts w:ascii="Times" w:hAnsi="Times" w:cs="Times"/>
                <w:b/>
                <w:bCs/>
              </w:rPr>
            </w:pPr>
            <w:r>
              <w:rPr>
                <w:rFonts w:ascii="Times" w:hAnsi="Times" w:cs="Times"/>
                <w:color w:val="000000"/>
              </w:rPr>
              <w:t>638</w:t>
            </w:r>
          </w:p>
        </w:tc>
        <w:tc>
          <w:tcPr>
            <w:tcW w:w="2298" w:type="dxa"/>
            <w:tcBorders>
              <w:top w:val="nil"/>
              <w:left w:val="nil"/>
              <w:bottom w:val="single" w:sz="4" w:space="0" w:color="auto"/>
              <w:right w:val="single" w:sz="4" w:space="0" w:color="auto"/>
            </w:tcBorders>
            <w:noWrap/>
            <w:vAlign w:val="center"/>
            <w:hideMark/>
          </w:tcPr>
          <w:p w:rsidR="00845D20" w:rsidRPr="00845D20" w:rsidP="00845D20" w14:paraId="085BF1D6" w14:textId="02C70C2E">
            <w:pPr>
              <w:jc w:val="center"/>
              <w:rPr>
                <w:rFonts w:ascii="Times" w:hAnsi="Times" w:cs="Times"/>
              </w:rPr>
            </w:pPr>
            <w:r w:rsidRPr="000A5850">
              <w:rPr>
                <w:rFonts w:ascii="Times" w:hAnsi="Times" w:cs="Times"/>
                <w:color w:val="000000"/>
              </w:rPr>
              <w:t xml:space="preserve"> $</w:t>
            </w:r>
            <w:r w:rsidR="00507856">
              <w:rPr>
                <w:rFonts w:ascii="Times" w:hAnsi="Times" w:cs="Times"/>
                <w:color w:val="000000"/>
              </w:rPr>
              <w:t>435,562</w:t>
            </w:r>
            <w:r w:rsidR="00565A62">
              <w:rPr>
                <w:rFonts w:ascii="Times" w:hAnsi="Times" w:cs="Times"/>
                <w:color w:val="000000"/>
              </w:rPr>
              <w:t>.60</w:t>
            </w:r>
            <w:r w:rsidRPr="000A5850">
              <w:rPr>
                <w:rFonts w:ascii="Times" w:hAnsi="Times" w:cs="Times"/>
                <w:color w:val="000000"/>
              </w:rPr>
              <w:t xml:space="preserve"> </w:t>
            </w:r>
          </w:p>
        </w:tc>
      </w:tr>
      <w:tr w14:paraId="0B89A385" w14:textId="77777777" w:rsidTr="00BC1EE4">
        <w:tblPrEx>
          <w:tblW w:w="9350" w:type="dxa"/>
          <w:tblLook w:val="04A0"/>
        </w:tblPrEx>
        <w:trPr>
          <w:trHeight w:val="300"/>
          <w:tblHeader/>
        </w:trPr>
        <w:tc>
          <w:tcPr>
            <w:tcW w:w="2351" w:type="dxa"/>
            <w:tcBorders>
              <w:top w:val="nil"/>
              <w:left w:val="single" w:sz="4" w:space="0" w:color="auto"/>
              <w:bottom w:val="single" w:sz="4" w:space="0" w:color="auto"/>
              <w:right w:val="single" w:sz="4" w:space="0" w:color="auto"/>
            </w:tcBorders>
            <w:noWrap/>
            <w:vAlign w:val="bottom"/>
            <w:hideMark/>
          </w:tcPr>
          <w:p w:rsidR="00845D20" w:rsidRPr="002F2261" w:rsidP="00845D20" w14:paraId="61D1D7A3" w14:textId="78C0C25B">
            <w:pPr>
              <w:rPr>
                <w:rFonts w:ascii="Times" w:hAnsi="Times" w:cs="Times"/>
              </w:rPr>
            </w:pPr>
            <w:r w:rsidRPr="00D17B2C">
              <w:rPr>
                <w:rFonts w:ascii="Times" w:hAnsi="Times" w:cs="Times"/>
                <w:color w:val="000000"/>
              </w:rPr>
              <w:t>GS-15</w:t>
            </w:r>
            <w:r w:rsidR="002F2261">
              <w:rPr>
                <w:rFonts w:ascii="Times" w:hAnsi="Times" w:cs="Times"/>
                <w:color w:val="000000"/>
              </w:rPr>
              <w:t xml:space="preserve">, </w:t>
            </w:r>
            <w:r w:rsidRPr="00D17B2C">
              <w:rPr>
                <w:rFonts w:ascii="Times" w:hAnsi="Times" w:cs="Times"/>
                <w:color w:val="000000"/>
              </w:rPr>
              <w:t>step 1</w:t>
            </w:r>
          </w:p>
        </w:tc>
        <w:tc>
          <w:tcPr>
            <w:tcW w:w="1424" w:type="dxa"/>
            <w:tcBorders>
              <w:top w:val="nil"/>
              <w:left w:val="nil"/>
              <w:bottom w:val="single" w:sz="4" w:space="0" w:color="auto"/>
              <w:right w:val="single" w:sz="4" w:space="0" w:color="auto"/>
            </w:tcBorders>
            <w:noWrap/>
            <w:vAlign w:val="center"/>
            <w:hideMark/>
          </w:tcPr>
          <w:p w:rsidR="00845D20" w:rsidRPr="00845D20" w:rsidP="00845D20" w14:paraId="4A4A6B45" w14:textId="36300590">
            <w:pPr>
              <w:jc w:val="center"/>
              <w:rPr>
                <w:rFonts w:ascii="Times" w:hAnsi="Times" w:cs="Times"/>
              </w:rPr>
            </w:pPr>
            <w:r w:rsidRPr="000A5850">
              <w:rPr>
                <w:rFonts w:ascii="Times" w:hAnsi="Times" w:cs="Times"/>
                <w:color w:val="000000"/>
              </w:rPr>
              <w:t>2</w:t>
            </w:r>
          </w:p>
        </w:tc>
        <w:tc>
          <w:tcPr>
            <w:tcW w:w="1566" w:type="dxa"/>
            <w:tcBorders>
              <w:top w:val="nil"/>
              <w:left w:val="nil"/>
              <w:bottom w:val="single" w:sz="4" w:space="0" w:color="auto"/>
              <w:right w:val="single" w:sz="4" w:space="0" w:color="auto"/>
            </w:tcBorders>
            <w:noWrap/>
            <w:vAlign w:val="center"/>
          </w:tcPr>
          <w:p w:rsidR="00845D20" w:rsidRPr="00845D20" w:rsidP="00845D20" w14:paraId="240214DA" w14:textId="292AEA5F">
            <w:pPr>
              <w:jc w:val="center"/>
              <w:rPr>
                <w:rFonts w:ascii="Times" w:hAnsi="Times" w:cs="Times"/>
              </w:rPr>
            </w:pPr>
            <w:r>
              <w:rPr>
                <w:rFonts w:ascii="Times" w:hAnsi="Times" w:cs="Times"/>
                <w:color w:val="000000"/>
              </w:rPr>
              <w:t>160.62</w:t>
            </w:r>
          </w:p>
        </w:tc>
        <w:tc>
          <w:tcPr>
            <w:tcW w:w="1711" w:type="dxa"/>
            <w:tcBorders>
              <w:top w:val="nil"/>
              <w:left w:val="nil"/>
              <w:bottom w:val="single" w:sz="4" w:space="0" w:color="auto"/>
              <w:right w:val="single" w:sz="4" w:space="0" w:color="auto"/>
            </w:tcBorders>
            <w:noWrap/>
            <w:vAlign w:val="center"/>
            <w:hideMark/>
          </w:tcPr>
          <w:p w:rsidR="00845D20" w:rsidRPr="00845D20" w:rsidP="00845D20" w14:paraId="7EE6C06A" w14:textId="6E6E180D">
            <w:pPr>
              <w:jc w:val="center"/>
              <w:rPr>
                <w:rFonts w:ascii="Times" w:hAnsi="Times" w:cs="Times"/>
                <w:b/>
                <w:bCs/>
              </w:rPr>
            </w:pPr>
            <w:r>
              <w:rPr>
                <w:rFonts w:ascii="Times" w:hAnsi="Times" w:cs="Times"/>
                <w:color w:val="000000"/>
              </w:rPr>
              <w:t>172</w:t>
            </w:r>
          </w:p>
        </w:tc>
        <w:tc>
          <w:tcPr>
            <w:tcW w:w="2298" w:type="dxa"/>
            <w:tcBorders>
              <w:top w:val="nil"/>
              <w:left w:val="nil"/>
              <w:bottom w:val="single" w:sz="4" w:space="0" w:color="auto"/>
              <w:right w:val="single" w:sz="4" w:space="0" w:color="auto"/>
            </w:tcBorders>
            <w:noWrap/>
            <w:vAlign w:val="center"/>
            <w:hideMark/>
          </w:tcPr>
          <w:p w:rsidR="00845D20" w:rsidRPr="00845D20" w:rsidP="00845D20" w14:paraId="75709ED0" w14:textId="109D9DE4">
            <w:pPr>
              <w:jc w:val="center"/>
              <w:rPr>
                <w:rFonts w:ascii="Times" w:hAnsi="Times" w:cs="Times"/>
              </w:rPr>
            </w:pPr>
            <w:r w:rsidRPr="000A5850">
              <w:rPr>
                <w:rFonts w:ascii="Times" w:hAnsi="Times" w:cs="Times"/>
                <w:color w:val="000000"/>
              </w:rPr>
              <w:t xml:space="preserve"> $</w:t>
            </w:r>
            <w:r w:rsidR="00507856">
              <w:rPr>
                <w:rFonts w:ascii="Times" w:hAnsi="Times" w:cs="Times"/>
                <w:color w:val="000000"/>
              </w:rPr>
              <w:t>55,253</w:t>
            </w:r>
            <w:r w:rsidR="00565A62">
              <w:rPr>
                <w:rFonts w:ascii="Times" w:hAnsi="Times" w:cs="Times"/>
                <w:color w:val="000000"/>
              </w:rPr>
              <w:t>.28</w:t>
            </w:r>
            <w:r w:rsidRPr="000A5850">
              <w:rPr>
                <w:rFonts w:ascii="Times" w:hAnsi="Times" w:cs="Times"/>
                <w:color w:val="000000"/>
              </w:rPr>
              <w:t xml:space="preserve"> </w:t>
            </w:r>
          </w:p>
        </w:tc>
      </w:tr>
      <w:tr w14:paraId="406A9A95" w14:textId="77777777" w:rsidTr="00BC1EE4">
        <w:tblPrEx>
          <w:tblW w:w="9350" w:type="dxa"/>
          <w:tblLook w:val="04A0"/>
        </w:tblPrEx>
        <w:trPr>
          <w:trHeight w:val="300"/>
          <w:tblHeader/>
        </w:trPr>
        <w:tc>
          <w:tcPr>
            <w:tcW w:w="2351" w:type="dxa"/>
            <w:tcBorders>
              <w:top w:val="nil"/>
              <w:left w:val="single" w:sz="4" w:space="0" w:color="auto"/>
              <w:bottom w:val="single" w:sz="4" w:space="0" w:color="auto"/>
              <w:right w:val="single" w:sz="4" w:space="0" w:color="auto"/>
            </w:tcBorders>
            <w:noWrap/>
            <w:vAlign w:val="bottom"/>
          </w:tcPr>
          <w:p w:rsidR="00845D20" w:rsidRPr="002F2261" w:rsidP="00845D20" w14:paraId="202997E5" w14:textId="0294DAFC">
            <w:pPr>
              <w:rPr>
                <w:rFonts w:ascii="Times" w:hAnsi="Times" w:cs="Times"/>
              </w:rPr>
            </w:pPr>
            <w:r w:rsidRPr="00D17B2C">
              <w:rPr>
                <w:rFonts w:ascii="Times" w:hAnsi="Times" w:cs="Times"/>
                <w:color w:val="000000"/>
              </w:rPr>
              <w:t>Senior Executive Service</w:t>
            </w:r>
          </w:p>
        </w:tc>
        <w:tc>
          <w:tcPr>
            <w:tcW w:w="1424" w:type="dxa"/>
            <w:tcBorders>
              <w:top w:val="nil"/>
              <w:left w:val="nil"/>
              <w:bottom w:val="single" w:sz="4" w:space="0" w:color="auto"/>
              <w:right w:val="single" w:sz="4" w:space="0" w:color="auto"/>
            </w:tcBorders>
            <w:noWrap/>
            <w:vAlign w:val="center"/>
          </w:tcPr>
          <w:p w:rsidR="00845D20" w:rsidRPr="00845D20" w:rsidP="00845D20" w14:paraId="76B4E8E1" w14:textId="23A1ACEC">
            <w:pPr>
              <w:jc w:val="center"/>
              <w:rPr>
                <w:rFonts w:ascii="Times" w:hAnsi="Times" w:cs="Times"/>
                <w:color w:val="000000"/>
              </w:rPr>
            </w:pPr>
            <w:r w:rsidRPr="000A5850">
              <w:rPr>
                <w:rFonts w:ascii="Times" w:hAnsi="Times" w:cs="Times"/>
                <w:color w:val="000000"/>
              </w:rPr>
              <w:t>1</w:t>
            </w:r>
          </w:p>
        </w:tc>
        <w:tc>
          <w:tcPr>
            <w:tcW w:w="1566" w:type="dxa"/>
            <w:tcBorders>
              <w:top w:val="nil"/>
              <w:left w:val="nil"/>
              <w:bottom w:val="single" w:sz="4" w:space="0" w:color="auto"/>
              <w:right w:val="single" w:sz="4" w:space="0" w:color="auto"/>
            </w:tcBorders>
            <w:noWrap/>
            <w:vAlign w:val="center"/>
          </w:tcPr>
          <w:p w:rsidR="00845D20" w:rsidRPr="00845D20" w:rsidP="00845D20" w14:paraId="155704E4" w14:textId="0C739622">
            <w:pPr>
              <w:jc w:val="center"/>
              <w:rPr>
                <w:rFonts w:ascii="Times" w:hAnsi="Times" w:cs="Times"/>
                <w:color w:val="000000"/>
              </w:rPr>
            </w:pPr>
            <w:r w:rsidRPr="000A5850">
              <w:rPr>
                <w:rFonts w:ascii="Times" w:hAnsi="Times" w:cs="Times"/>
                <w:color w:val="000000"/>
              </w:rPr>
              <w:t>188.54</w:t>
            </w:r>
          </w:p>
        </w:tc>
        <w:tc>
          <w:tcPr>
            <w:tcW w:w="1711" w:type="dxa"/>
            <w:tcBorders>
              <w:top w:val="nil"/>
              <w:left w:val="nil"/>
              <w:bottom w:val="single" w:sz="4" w:space="0" w:color="auto"/>
              <w:right w:val="single" w:sz="4" w:space="0" w:color="auto"/>
            </w:tcBorders>
            <w:noWrap/>
            <w:vAlign w:val="center"/>
          </w:tcPr>
          <w:p w:rsidR="00845D20" w:rsidRPr="00845D20" w:rsidP="00845D20" w14:paraId="466349C3" w14:textId="09BEEE5A">
            <w:pPr>
              <w:jc w:val="center"/>
              <w:rPr>
                <w:rFonts w:ascii="Times" w:hAnsi="Times" w:cs="Times"/>
                <w:color w:val="000000"/>
              </w:rPr>
            </w:pPr>
            <w:r>
              <w:rPr>
                <w:rFonts w:ascii="Times" w:hAnsi="Times" w:cs="Times"/>
                <w:color w:val="000000"/>
              </w:rPr>
              <w:t>86</w:t>
            </w:r>
          </w:p>
        </w:tc>
        <w:tc>
          <w:tcPr>
            <w:tcW w:w="2298" w:type="dxa"/>
            <w:tcBorders>
              <w:top w:val="nil"/>
              <w:left w:val="nil"/>
              <w:bottom w:val="single" w:sz="4" w:space="0" w:color="auto"/>
              <w:right w:val="single" w:sz="4" w:space="0" w:color="auto"/>
            </w:tcBorders>
            <w:noWrap/>
            <w:vAlign w:val="center"/>
          </w:tcPr>
          <w:p w:rsidR="00845D20" w:rsidRPr="00845D20" w:rsidP="00845D20" w14:paraId="6A119AC0" w14:textId="7CCAA0D9">
            <w:pPr>
              <w:jc w:val="center"/>
              <w:rPr>
                <w:rFonts w:ascii="Times" w:hAnsi="Times" w:cs="Times"/>
                <w:color w:val="000000"/>
              </w:rPr>
            </w:pPr>
            <w:r w:rsidRPr="000A5850">
              <w:rPr>
                <w:rFonts w:ascii="Times" w:hAnsi="Times" w:cs="Times"/>
                <w:color w:val="000000"/>
              </w:rPr>
              <w:t xml:space="preserve"> $</w:t>
            </w:r>
            <w:r w:rsidR="00507856">
              <w:rPr>
                <w:rFonts w:ascii="Times" w:hAnsi="Times" w:cs="Times"/>
                <w:color w:val="000000"/>
              </w:rPr>
              <w:t>16,214.44</w:t>
            </w:r>
            <w:r w:rsidRPr="000A5850">
              <w:rPr>
                <w:rFonts w:ascii="Times" w:hAnsi="Times" w:cs="Times"/>
                <w:color w:val="000000"/>
              </w:rPr>
              <w:t xml:space="preserve"> </w:t>
            </w:r>
          </w:p>
        </w:tc>
      </w:tr>
      <w:tr w14:paraId="07499873" w14:textId="77777777" w:rsidTr="00BC1EE4">
        <w:tblPrEx>
          <w:tblW w:w="9350" w:type="dxa"/>
          <w:tblLook w:val="04A0"/>
        </w:tblPrEx>
        <w:trPr>
          <w:trHeight w:val="300"/>
          <w:tblHeader/>
        </w:trPr>
        <w:tc>
          <w:tcPr>
            <w:tcW w:w="9350" w:type="dxa"/>
            <w:gridSpan w:val="5"/>
            <w:tcBorders>
              <w:top w:val="nil"/>
              <w:left w:val="single" w:sz="4" w:space="0" w:color="auto"/>
              <w:bottom w:val="single" w:sz="4" w:space="0" w:color="auto"/>
              <w:right w:val="single" w:sz="4" w:space="0" w:color="auto"/>
            </w:tcBorders>
            <w:shd w:val="clear" w:color="auto" w:fill="E7E6E6" w:themeFill="background2"/>
            <w:noWrap/>
            <w:vAlign w:val="bottom"/>
          </w:tcPr>
          <w:p w:rsidR="00845D20" w:rsidRPr="00845D20" w14:paraId="40E40967" w14:textId="77777777">
            <w:pPr>
              <w:rPr>
                <w:rFonts w:ascii="Times" w:hAnsi="Times" w:cs="Times"/>
                <w:color w:val="000000"/>
              </w:rPr>
            </w:pPr>
            <w:r w:rsidRPr="000A5850">
              <w:rPr>
                <w:rFonts w:ascii="Times" w:hAnsi="Times" w:cs="Times"/>
                <w:color w:val="000000"/>
              </w:rPr>
              <w:t xml:space="preserve">Modification of the Existing CMS HPMS  </w:t>
            </w:r>
          </w:p>
        </w:tc>
      </w:tr>
      <w:tr w14:paraId="08E7A1B3" w14:textId="77777777" w:rsidTr="00BC1EE4">
        <w:tblPrEx>
          <w:tblW w:w="9350" w:type="dxa"/>
          <w:tblLook w:val="04A0"/>
        </w:tblPrEx>
        <w:trPr>
          <w:trHeight w:val="300"/>
          <w:tblHeader/>
        </w:trPr>
        <w:tc>
          <w:tcPr>
            <w:tcW w:w="2351" w:type="dxa"/>
            <w:tcBorders>
              <w:top w:val="nil"/>
              <w:left w:val="single" w:sz="4" w:space="0" w:color="auto"/>
              <w:bottom w:val="single" w:sz="4" w:space="0" w:color="auto"/>
              <w:right w:val="single" w:sz="4" w:space="0" w:color="auto"/>
            </w:tcBorders>
            <w:noWrap/>
            <w:vAlign w:val="bottom"/>
          </w:tcPr>
          <w:p w:rsidR="00845D20" w:rsidRPr="002F2261" w:rsidP="00845D20" w14:paraId="2D6A3A10" w14:textId="385787BA">
            <w:pPr>
              <w:rPr>
                <w:rFonts w:ascii="Times" w:hAnsi="Times" w:cs="Times"/>
              </w:rPr>
            </w:pPr>
            <w:r w:rsidRPr="00D17B2C">
              <w:rPr>
                <w:rFonts w:ascii="Times" w:hAnsi="Times" w:cs="Times"/>
                <w:color w:val="000000"/>
              </w:rPr>
              <w:t>GS-13</w:t>
            </w:r>
            <w:r w:rsidR="002F2261">
              <w:rPr>
                <w:rFonts w:ascii="Times" w:hAnsi="Times" w:cs="Times"/>
                <w:color w:val="000000"/>
              </w:rPr>
              <w:t xml:space="preserve">, </w:t>
            </w:r>
            <w:r w:rsidRPr="00D17B2C">
              <w:rPr>
                <w:rFonts w:ascii="Times" w:hAnsi="Times" w:cs="Times"/>
                <w:color w:val="000000"/>
              </w:rPr>
              <w:t>step 1</w:t>
            </w:r>
          </w:p>
        </w:tc>
        <w:tc>
          <w:tcPr>
            <w:tcW w:w="1424" w:type="dxa"/>
            <w:tcBorders>
              <w:top w:val="nil"/>
              <w:left w:val="nil"/>
              <w:bottom w:val="single" w:sz="4" w:space="0" w:color="auto"/>
              <w:right w:val="single" w:sz="4" w:space="0" w:color="auto"/>
            </w:tcBorders>
            <w:noWrap/>
            <w:vAlign w:val="center"/>
          </w:tcPr>
          <w:p w:rsidR="00845D20" w:rsidRPr="00845D20" w:rsidP="00845D20" w14:paraId="5F4239D3" w14:textId="3704ABA6">
            <w:pPr>
              <w:jc w:val="center"/>
              <w:rPr>
                <w:rFonts w:ascii="Times" w:hAnsi="Times" w:cs="Times"/>
                <w:color w:val="000000"/>
              </w:rPr>
            </w:pPr>
            <w:r w:rsidRPr="000A5850">
              <w:rPr>
                <w:rFonts w:ascii="Times" w:hAnsi="Times" w:cs="Times"/>
                <w:color w:val="000000"/>
              </w:rPr>
              <w:t>1</w:t>
            </w:r>
          </w:p>
        </w:tc>
        <w:tc>
          <w:tcPr>
            <w:tcW w:w="1566" w:type="dxa"/>
            <w:tcBorders>
              <w:top w:val="nil"/>
              <w:left w:val="nil"/>
              <w:bottom w:val="single" w:sz="4" w:space="0" w:color="auto"/>
              <w:right w:val="single" w:sz="4" w:space="0" w:color="auto"/>
            </w:tcBorders>
            <w:noWrap/>
            <w:vAlign w:val="center"/>
          </w:tcPr>
          <w:p w:rsidR="00845D20" w:rsidRPr="00845D20" w:rsidP="00845D20" w14:paraId="0AB12E78" w14:textId="0489A0D8">
            <w:pPr>
              <w:jc w:val="center"/>
              <w:rPr>
                <w:rFonts w:ascii="Times" w:hAnsi="Times" w:cs="Times"/>
                <w:color w:val="000000"/>
              </w:rPr>
            </w:pPr>
            <w:r>
              <w:rPr>
                <w:rFonts w:ascii="Times" w:hAnsi="Times" w:cs="Times"/>
                <w:color w:val="000000"/>
              </w:rPr>
              <w:t>115.56</w:t>
            </w:r>
          </w:p>
        </w:tc>
        <w:tc>
          <w:tcPr>
            <w:tcW w:w="1711" w:type="dxa"/>
            <w:tcBorders>
              <w:top w:val="nil"/>
              <w:left w:val="nil"/>
              <w:bottom w:val="single" w:sz="4" w:space="0" w:color="auto"/>
              <w:right w:val="single" w:sz="4" w:space="0" w:color="auto"/>
            </w:tcBorders>
            <w:noWrap/>
            <w:vAlign w:val="center"/>
          </w:tcPr>
          <w:p w:rsidR="00845D20" w:rsidRPr="00845D20" w:rsidP="00845D20" w14:paraId="4A506AC4" w14:textId="39EE9CB7">
            <w:pPr>
              <w:jc w:val="center"/>
              <w:rPr>
                <w:rFonts w:ascii="Times" w:hAnsi="Times" w:cs="Times"/>
                <w:color w:val="000000"/>
              </w:rPr>
            </w:pPr>
            <w:r>
              <w:rPr>
                <w:rFonts w:ascii="Times" w:hAnsi="Times" w:cs="Times"/>
                <w:color w:val="000000"/>
              </w:rPr>
              <w:t>6</w:t>
            </w:r>
            <w:r w:rsidR="0043315C">
              <w:rPr>
                <w:rFonts w:ascii="Times" w:hAnsi="Times" w:cs="Times"/>
                <w:color w:val="000000"/>
              </w:rPr>
              <w:t>0</w:t>
            </w:r>
          </w:p>
        </w:tc>
        <w:tc>
          <w:tcPr>
            <w:tcW w:w="2298" w:type="dxa"/>
            <w:tcBorders>
              <w:top w:val="nil"/>
              <w:left w:val="nil"/>
              <w:bottom w:val="single" w:sz="4" w:space="0" w:color="auto"/>
              <w:right w:val="single" w:sz="4" w:space="0" w:color="auto"/>
            </w:tcBorders>
            <w:noWrap/>
            <w:vAlign w:val="center"/>
          </w:tcPr>
          <w:p w:rsidR="00845D20" w:rsidRPr="00845D20" w:rsidP="00845D20" w14:paraId="0A1CAB63" w14:textId="11FEEF2D">
            <w:pPr>
              <w:jc w:val="center"/>
              <w:rPr>
                <w:rFonts w:ascii="Times" w:hAnsi="Times" w:cs="Times"/>
                <w:color w:val="000000"/>
              </w:rPr>
            </w:pPr>
            <w:r w:rsidRPr="000A5850">
              <w:rPr>
                <w:rFonts w:ascii="Times" w:hAnsi="Times" w:cs="Times"/>
                <w:color w:val="000000"/>
              </w:rPr>
              <w:t xml:space="preserve"> $</w:t>
            </w:r>
            <w:r w:rsidR="00687935">
              <w:rPr>
                <w:rFonts w:cstheme="minorBidi"/>
              </w:rPr>
              <w:t>6,933.60</w:t>
            </w:r>
          </w:p>
        </w:tc>
      </w:tr>
      <w:tr w14:paraId="69477108" w14:textId="77777777" w:rsidTr="00BC1EE4">
        <w:tblPrEx>
          <w:tblW w:w="9350" w:type="dxa"/>
          <w:tblLook w:val="04A0"/>
        </w:tblPrEx>
        <w:trPr>
          <w:trHeight w:val="300"/>
          <w:tblHeader/>
        </w:trPr>
        <w:tc>
          <w:tcPr>
            <w:tcW w:w="2351" w:type="dxa"/>
            <w:tcBorders>
              <w:top w:val="nil"/>
              <w:left w:val="single" w:sz="4" w:space="0" w:color="auto"/>
              <w:bottom w:val="single" w:sz="4" w:space="0" w:color="auto"/>
              <w:right w:val="single" w:sz="4" w:space="0" w:color="auto"/>
            </w:tcBorders>
            <w:noWrap/>
            <w:vAlign w:val="bottom"/>
          </w:tcPr>
          <w:p w:rsidR="00845D20" w:rsidRPr="002F2261" w:rsidP="00845D20" w14:paraId="3933145D" w14:textId="5D8B4C45">
            <w:pPr>
              <w:rPr>
                <w:rFonts w:ascii="Times" w:hAnsi="Times" w:cs="Times"/>
              </w:rPr>
            </w:pPr>
            <w:r w:rsidRPr="00D17B2C">
              <w:rPr>
                <w:rFonts w:ascii="Times" w:hAnsi="Times" w:cs="Times"/>
                <w:color w:val="000000"/>
              </w:rPr>
              <w:t>Contractor</w:t>
            </w:r>
          </w:p>
        </w:tc>
        <w:tc>
          <w:tcPr>
            <w:tcW w:w="1424" w:type="dxa"/>
            <w:tcBorders>
              <w:top w:val="nil"/>
              <w:left w:val="nil"/>
              <w:bottom w:val="single" w:sz="4" w:space="0" w:color="auto"/>
              <w:right w:val="single" w:sz="4" w:space="0" w:color="auto"/>
            </w:tcBorders>
            <w:noWrap/>
            <w:vAlign w:val="center"/>
          </w:tcPr>
          <w:p w:rsidR="00845D20" w:rsidRPr="00845D20" w:rsidP="00845D20" w14:paraId="77A1006F" w14:textId="56557569">
            <w:pPr>
              <w:jc w:val="center"/>
              <w:rPr>
                <w:rFonts w:ascii="Times" w:hAnsi="Times" w:cs="Times"/>
                <w:color w:val="000000"/>
              </w:rPr>
            </w:pPr>
            <w:r>
              <w:rPr>
                <w:rFonts w:ascii="Times" w:hAnsi="Times" w:cs="Times"/>
                <w:color w:val="000000"/>
              </w:rPr>
              <w:t>2</w:t>
            </w:r>
          </w:p>
        </w:tc>
        <w:tc>
          <w:tcPr>
            <w:tcW w:w="1566" w:type="dxa"/>
            <w:tcBorders>
              <w:top w:val="nil"/>
              <w:left w:val="nil"/>
              <w:bottom w:val="single" w:sz="4" w:space="0" w:color="auto"/>
              <w:right w:val="single" w:sz="4" w:space="0" w:color="auto"/>
            </w:tcBorders>
            <w:noWrap/>
            <w:vAlign w:val="center"/>
          </w:tcPr>
          <w:p w:rsidR="00845D20" w:rsidRPr="00845D20" w:rsidP="00845D20" w14:paraId="769A9B8E" w14:textId="34117BEF">
            <w:pPr>
              <w:jc w:val="center"/>
              <w:rPr>
                <w:rFonts w:ascii="Times" w:hAnsi="Times" w:cs="Times"/>
                <w:color w:val="000000"/>
              </w:rPr>
            </w:pPr>
            <w:r>
              <w:t>249.59</w:t>
            </w:r>
          </w:p>
        </w:tc>
        <w:tc>
          <w:tcPr>
            <w:tcW w:w="1711" w:type="dxa"/>
            <w:tcBorders>
              <w:top w:val="nil"/>
              <w:left w:val="nil"/>
              <w:bottom w:val="single" w:sz="4" w:space="0" w:color="auto"/>
              <w:right w:val="single" w:sz="4" w:space="0" w:color="auto"/>
            </w:tcBorders>
            <w:noWrap/>
            <w:vAlign w:val="center"/>
          </w:tcPr>
          <w:p w:rsidR="00845D20" w:rsidRPr="00845D20" w:rsidP="00845D20" w14:paraId="244E92E5" w14:textId="7C2A4AE4">
            <w:pPr>
              <w:jc w:val="center"/>
              <w:rPr>
                <w:rFonts w:ascii="Times" w:hAnsi="Times" w:cs="Times"/>
                <w:color w:val="000000"/>
              </w:rPr>
            </w:pPr>
            <w:r>
              <w:rPr>
                <w:rFonts w:ascii="Times" w:hAnsi="Times" w:cs="Times"/>
                <w:color w:val="000000"/>
              </w:rPr>
              <w:t>10</w:t>
            </w:r>
            <w:r w:rsidR="0043315C">
              <w:rPr>
                <w:rFonts w:ascii="Times" w:hAnsi="Times" w:cs="Times"/>
                <w:color w:val="000000"/>
              </w:rPr>
              <w:t>0</w:t>
            </w:r>
          </w:p>
        </w:tc>
        <w:tc>
          <w:tcPr>
            <w:tcW w:w="2298" w:type="dxa"/>
            <w:tcBorders>
              <w:top w:val="nil"/>
              <w:left w:val="nil"/>
              <w:bottom w:val="single" w:sz="4" w:space="0" w:color="auto"/>
              <w:right w:val="single" w:sz="4" w:space="0" w:color="auto"/>
            </w:tcBorders>
            <w:noWrap/>
            <w:vAlign w:val="center"/>
          </w:tcPr>
          <w:p w:rsidR="00845D20" w:rsidRPr="00845D20" w:rsidP="00845D20" w14:paraId="75661BDA" w14:textId="7D87F9D8">
            <w:pPr>
              <w:jc w:val="center"/>
              <w:rPr>
                <w:rFonts w:ascii="Times" w:hAnsi="Times" w:cs="Times"/>
                <w:color w:val="000000"/>
              </w:rPr>
            </w:pPr>
            <w:r w:rsidRPr="000A5850">
              <w:rPr>
                <w:rFonts w:ascii="Times" w:hAnsi="Times" w:cs="Times"/>
                <w:color w:val="000000"/>
              </w:rPr>
              <w:t>$</w:t>
            </w:r>
            <w:r w:rsidR="00687935">
              <w:rPr>
                <w:rFonts w:cstheme="minorBidi"/>
              </w:rPr>
              <w:t>49,918.00</w:t>
            </w:r>
            <w:r w:rsidRPr="000A5850">
              <w:rPr>
                <w:rFonts w:ascii="Times" w:hAnsi="Times" w:cs="Times"/>
                <w:color w:val="000000"/>
              </w:rPr>
              <w:t xml:space="preserve"> </w:t>
            </w:r>
          </w:p>
        </w:tc>
      </w:tr>
      <w:tr w14:paraId="268DFA2E" w14:textId="77777777" w:rsidTr="00BC1EE4">
        <w:tblPrEx>
          <w:tblW w:w="9350" w:type="dxa"/>
          <w:tblLook w:val="04A0"/>
        </w:tblPrEx>
        <w:trPr>
          <w:trHeight w:val="440"/>
          <w:tblHeader/>
        </w:trPr>
        <w:tc>
          <w:tcPr>
            <w:tcW w:w="7052" w:type="dxa"/>
            <w:gridSpan w:val="4"/>
            <w:tcBorders>
              <w:top w:val="nil"/>
              <w:left w:val="single" w:sz="4" w:space="0" w:color="auto"/>
              <w:bottom w:val="single" w:sz="4" w:space="0" w:color="auto"/>
              <w:right w:val="single" w:sz="4" w:space="0" w:color="auto"/>
            </w:tcBorders>
            <w:noWrap/>
            <w:vAlign w:val="center"/>
          </w:tcPr>
          <w:p w:rsidR="00845D20" w:rsidRPr="00845D20" w14:paraId="74C81D0A" w14:textId="77777777">
            <w:pPr>
              <w:rPr>
                <w:rFonts w:ascii="Times" w:hAnsi="Times" w:cs="Times"/>
              </w:rPr>
            </w:pPr>
            <w:r w:rsidRPr="00845D20">
              <w:rPr>
                <w:rFonts w:ascii="Times" w:hAnsi="Times" w:cs="Times"/>
                <w:b/>
                <w:bCs/>
                <w:color w:val="000000"/>
              </w:rPr>
              <w:t>Total Cost to Government Over One Year</w:t>
            </w:r>
          </w:p>
        </w:tc>
        <w:tc>
          <w:tcPr>
            <w:tcW w:w="2298" w:type="dxa"/>
            <w:tcBorders>
              <w:top w:val="nil"/>
              <w:left w:val="nil"/>
              <w:bottom w:val="single" w:sz="4" w:space="0" w:color="auto"/>
              <w:right w:val="single" w:sz="4" w:space="0" w:color="auto"/>
            </w:tcBorders>
            <w:noWrap/>
            <w:vAlign w:val="center"/>
          </w:tcPr>
          <w:p w:rsidR="00845D20" w:rsidRPr="000A5850" w:rsidP="000A5850" w14:paraId="3C0F005E" w14:textId="6488DEC2">
            <w:pPr>
              <w:spacing w:after="0"/>
              <w:jc w:val="center"/>
              <w:rPr>
                <w:rFonts w:ascii="Times" w:hAnsi="Times" w:cs="Times"/>
                <w:b/>
                <w:bCs/>
                <w:color w:val="000000"/>
              </w:rPr>
            </w:pPr>
            <w:r w:rsidRPr="000A5850">
              <w:rPr>
                <w:rFonts w:ascii="Times" w:hAnsi="Times" w:cs="Times"/>
                <w:b/>
                <w:bCs/>
                <w:color w:val="000000"/>
              </w:rPr>
              <w:t>$</w:t>
            </w:r>
            <w:r w:rsidR="00687935">
              <w:rPr>
                <w:rFonts w:ascii="Times" w:hAnsi="Times" w:cs="Times"/>
                <w:b/>
                <w:bCs/>
                <w:color w:val="000000"/>
              </w:rPr>
              <w:t>932,518.32</w:t>
            </w:r>
          </w:p>
        </w:tc>
      </w:tr>
    </w:tbl>
    <w:p w:rsidR="00845D20" w:rsidP="0092137A" w14:paraId="5DA547C7" w14:textId="77777777">
      <w:pPr>
        <w:rPr>
          <w:b/>
        </w:rPr>
      </w:pPr>
    </w:p>
    <w:p w:rsidR="005E0DE2" w:rsidRPr="00D45546" w:rsidP="7C2D0501" w14:paraId="14028604" w14:textId="7A27851B">
      <w:pPr>
        <w:pStyle w:val="Heading2"/>
        <w:rPr>
          <w:bCs/>
        </w:rPr>
      </w:pPr>
      <w:r w:rsidRPr="3D8B3856">
        <w:t>15. Changes to Burden</w:t>
      </w:r>
    </w:p>
    <w:p w:rsidR="00EE1267" w:rsidP="00EE1267" w14:paraId="0B7B1FE5" w14:textId="77777777">
      <w:r>
        <w:t xml:space="preserve">This </w:t>
      </w:r>
      <w:r w:rsidR="005A6A0B">
        <w:t xml:space="preserve">is </w:t>
      </w:r>
      <w:r>
        <w:t>a</w:t>
      </w:r>
      <w:r w:rsidR="00C93AD2">
        <w:t xml:space="preserve"> revis</w:t>
      </w:r>
      <w:r w:rsidR="00490000">
        <w:t xml:space="preserve">ion of a currently approved </w:t>
      </w:r>
      <w:r w:rsidR="00694801">
        <w:t>ICR</w:t>
      </w:r>
      <w:r w:rsidR="0004173A">
        <w:t xml:space="preserve">. </w:t>
      </w:r>
    </w:p>
    <w:p w:rsidR="00E65628" w:rsidP="00EE1267" w14:paraId="4BD177C7" w14:textId="561BC809">
      <w:r>
        <w:t xml:space="preserve">CMS includes technical revisions to the Negotiation Data Elements ICR Form that are listed in the accompanying crosswalk of changes between the 30-day package and the final revisions that did not result in changes to the burden estimate, including adding an example of </w:t>
      </w:r>
      <w:r w:rsidR="00657E1B">
        <w:t>formatting of citations in response to Section I, Question 56.</w:t>
      </w:r>
    </w:p>
    <w:p w:rsidR="00EE1267" w:rsidRPr="00EE1267" w:rsidP="00EE1267" w14:paraId="2F32E575" w14:textId="4955AD26">
      <w:r w:rsidRPr="00EE1267">
        <w:t xml:space="preserve">In the 30-day proposed revisions, CMS included technical revisions to each of the ICR forms that </w:t>
      </w:r>
      <w:r w:rsidR="00BF4FF2">
        <w:t>we</w:t>
      </w:r>
      <w:r w:rsidRPr="00EE1267">
        <w:t xml:space="preserve">re listed in </w:t>
      </w:r>
      <w:r w:rsidR="00BB3923">
        <w:t>the</w:t>
      </w:r>
      <w:r w:rsidRPr="00EE1267">
        <w:t xml:space="preserve"> accompanying </w:t>
      </w:r>
      <w:r w:rsidR="00BB3923">
        <w:t>crosswalk</w:t>
      </w:r>
      <w:r w:rsidRPr="00EE1267">
        <w:t xml:space="preserve"> of changes between the 60-day package and th</w:t>
      </w:r>
      <w:r w:rsidR="00BF4FF2">
        <w:t>e</w:t>
      </w:r>
      <w:r w:rsidRPr="00EE1267">
        <w:t xml:space="preserve"> 30-day package that did not result in changes to the burden estimate.</w:t>
      </w:r>
      <w:r w:rsidR="007D5914">
        <w:t xml:space="preserve"> CMS revised the character limit downwards for some Section I questions, which may reduce the time a respondent spends answering these questions. However, based on public comments received in response to the 60-day package and comments received on previous versions of this ICR for initial price applicability years 2026 and 2027, some commenters noted that a higher character limit reduces burden in preparing a response and completing the ICR because the respondent does not need to spend time prioritizing the information to be shared and editing the response to fit within the maximum character limit. Therefore, CMS does not believe the revisions to the character limits for certain questions in Section I result in a change to the burden estimate because</w:t>
      </w:r>
      <w:r w:rsidR="004F414A">
        <w:t>,</w:t>
      </w:r>
      <w:r w:rsidR="007D5914">
        <w:t xml:space="preserve"> while some respondents may find the reduction reduces response time, other respondents may find no change or a slight increase in response time. </w:t>
      </w:r>
      <w:r w:rsidR="00D14832">
        <w:t xml:space="preserve">Additionally, </w:t>
      </w:r>
      <w:r w:rsidR="00D14832">
        <w:rPr>
          <w:rFonts w:cstheme="minorHAnsi"/>
        </w:rPr>
        <w:t xml:space="preserve">CMS revised Question 56 to align with the CMS HPMS to require an upload of a PDF of a list of citations included with a respondents Section I response </w:t>
      </w:r>
      <w:r w:rsidR="00D14832">
        <w:rPr>
          <w:rFonts w:cstheme="minorHAnsi"/>
        </w:rPr>
        <w:t>only, and</w:t>
      </w:r>
      <w:r w:rsidR="00D14832">
        <w:rPr>
          <w:rFonts w:cstheme="minorHAnsi"/>
        </w:rPr>
        <w:t xml:space="preserve"> no longer will permit a respondent to manually enter each citation. Based on a review of previous submissions and public comments, CMS believes the PDF upload is the preferred and least burdensome submission method for respondents; however, the process still requires respondents to manually compile a list of citations. Therefore, CMS does not believe the PDF upload functionality impacts the burden estimated for this step. Further, for both the character limit revisions and the citation functionality, </w:t>
      </w:r>
      <w:r w:rsidR="007D5914">
        <w:t>CMS believes the current range of estimate</w:t>
      </w:r>
      <w:r w:rsidR="004F414A">
        <w:t>d</w:t>
      </w:r>
      <w:r w:rsidR="007D5914">
        <w:t xml:space="preserve"> burden still captures these considerations</w:t>
      </w:r>
      <w:r w:rsidR="004F414A">
        <w:t xml:space="preserve"> appropriately</w:t>
      </w:r>
      <w:r w:rsidR="007D5914">
        <w:t>.</w:t>
      </w:r>
    </w:p>
    <w:p w:rsidR="00EE1267" w:rsidRPr="00EE1267" w:rsidP="00EE1267" w14:paraId="4E99888D" w14:textId="2FEBBE34">
      <w:r w:rsidRPr="00EE1267">
        <w:t xml:space="preserve">In the 60-day proposed revisions, CMS included: </w:t>
      </w:r>
    </w:p>
    <w:p w:rsidR="00B3187F" w:rsidP="7C2D0501" w14:paraId="2CD0C953" w14:textId="4D2F69AF">
      <w:r>
        <w:t xml:space="preserve">CMS revised the burden estimates and cost to the federal government upwards to </w:t>
      </w:r>
      <w:r>
        <w:t xml:space="preserve">account for </w:t>
      </w:r>
      <w:r>
        <w:t xml:space="preserve">use </w:t>
      </w:r>
      <w:r>
        <w:t xml:space="preserve">of </w:t>
      </w:r>
      <w:r>
        <w:t>th</w:t>
      </w:r>
      <w:r>
        <w:t>is</w:t>
      </w:r>
      <w:r>
        <w:t xml:space="preserve"> ICR package to meet the statutory requirement for initial price applicability year 2028 to renegotiate the MFP for selected drugs</w:t>
      </w:r>
      <w:r>
        <w:t xml:space="preserve"> because additional manufacturers</w:t>
      </w:r>
      <w:r w:rsidR="005D52AF">
        <w:t xml:space="preserve"> and the public will use the Forms to submit information to CMS and the federal government will need to prepare and review additional </w:t>
      </w:r>
      <w:r w:rsidR="00FA7F82">
        <w:t xml:space="preserve">information </w:t>
      </w:r>
      <w:r w:rsidR="005D52AF">
        <w:t>related to the Forms</w:t>
      </w:r>
      <w:r>
        <w:t xml:space="preserve">. </w:t>
      </w:r>
    </w:p>
    <w:p w:rsidR="00EE1267" w:rsidP="00B3187F" w14:paraId="36FD5325" w14:textId="0820194D">
      <w:r>
        <w:t xml:space="preserve">CMS </w:t>
      </w:r>
      <w:r w:rsidR="00297F52">
        <w:t>also</w:t>
      </w:r>
      <w:r>
        <w:t xml:space="preserve"> </w:t>
      </w:r>
      <w:r>
        <w:t>included</w:t>
      </w:r>
      <w:r>
        <w:t xml:space="preserve"> revisions </w:t>
      </w:r>
      <w:r>
        <w:t>in the</w:t>
      </w:r>
      <w:r>
        <w:t xml:space="preserve"> 60-day ICR package based on lessons learned from implementation of the Negotiation Program in initial price applicability year 2027</w:t>
      </w:r>
      <w:r w:rsidR="0060495B">
        <w:t xml:space="preserve"> </w:t>
      </w:r>
      <w:r w:rsidR="00687935">
        <w:t xml:space="preserve">to </w:t>
      </w:r>
      <w:r w:rsidR="00836F68">
        <w:t>improve clarity of instructions to ensure high quality and consistent data across Primary Manufacturer submissions and to improve CMS</w:t>
      </w:r>
      <w:r w:rsidR="00A961D1">
        <w:t>’ ability to conduct</w:t>
      </w:r>
      <w:r w:rsidR="00836F68">
        <w:t xml:space="preserve"> compliance reviews of such submissions. CMS also reviewed the information collection and program requirements to identify any opportunities to reduce collection burden. F</w:t>
      </w:r>
      <w:r w:rsidR="0060495B">
        <w:t xml:space="preserve">or example, </w:t>
      </w:r>
      <w:r w:rsidR="0029066A">
        <w:t xml:space="preserve">with respect to the Negotiation Data Elements ICR form, </w:t>
      </w:r>
      <w:r w:rsidR="0060495B">
        <w:t xml:space="preserve">CMS streamlined Section C </w:t>
      </w:r>
      <w:r w:rsidR="00836F68">
        <w:t xml:space="preserve">to simplify the categories of R&amp;D costs, </w:t>
      </w:r>
      <w:r w:rsidR="0060495B">
        <w:t xml:space="preserve">and has reduced the overall number of questions in Sections C and I. </w:t>
      </w:r>
      <w:r w:rsidR="00836F68">
        <w:t xml:space="preserve">Additionally, CMS included clarifying instructions throughout Sections A through G. </w:t>
      </w:r>
      <w:r w:rsidR="0060495B">
        <w:t xml:space="preserve">CMS incorporated other process improvements in streamlining the steps for providing evidence citations and visual information in Section </w:t>
      </w:r>
      <w:r w:rsidR="00FA7F82">
        <w:t>I</w:t>
      </w:r>
      <w:r w:rsidR="00836F68">
        <w:t xml:space="preserve"> to simplify the submission process for respondents and remove any potential duplication across question responses by including one location for submission of visual information and evidence citations, in lieu of question by question, as applicable</w:t>
      </w:r>
      <w:r w:rsidR="00FB564C">
        <w:t>.</w:t>
      </w:r>
      <w:r w:rsidR="0060495B">
        <w:t xml:space="preserve"> CMS believes that </w:t>
      </w:r>
      <w:r w:rsidR="0060495B">
        <w:t>all of</w:t>
      </w:r>
      <w:r w:rsidR="0060495B">
        <w:t xml:space="preserve"> these </w:t>
      </w:r>
      <w:r w:rsidR="00AB4DF8">
        <w:t xml:space="preserve">changes </w:t>
      </w:r>
      <w:r w:rsidR="0060495B">
        <w:t xml:space="preserve">will result in a more efficient preparation process for Primary Manufacturers and the public in preparing to answer the Negotiation Data Elements ICR. </w:t>
      </w:r>
      <w:r w:rsidR="00687935">
        <w:t>The revisions may reduce burden for an individual response; h</w:t>
      </w:r>
      <w:r w:rsidR="0060495B">
        <w:t xml:space="preserve">owever, as CMS has already factored a varying range of burden possibilities into the estimates, </w:t>
      </w:r>
      <w:r>
        <w:t>CMS d</w:t>
      </w:r>
      <w:r>
        <w:t>id</w:t>
      </w:r>
      <w:r w:rsidR="002E7BAE">
        <w:t xml:space="preserve"> not</w:t>
      </w:r>
      <w:r>
        <w:t xml:space="preserve"> believe these changes </w:t>
      </w:r>
      <w:r w:rsidR="0060495B">
        <w:t>result</w:t>
      </w:r>
      <w:r w:rsidR="009114E6">
        <w:t>ed</w:t>
      </w:r>
      <w:r w:rsidR="0060495B">
        <w:t xml:space="preserve"> in further impact </w:t>
      </w:r>
      <w:r w:rsidR="0060495B">
        <w:t>to</w:t>
      </w:r>
      <w:r w:rsidR="0060495B">
        <w:t xml:space="preserve"> the ranges provided already</w:t>
      </w:r>
      <w:r>
        <w:t>.</w:t>
      </w:r>
      <w:r w:rsidR="007251E2">
        <w:t xml:space="preserve"> </w:t>
      </w:r>
    </w:p>
    <w:p w:rsidR="00447B91" w:rsidP="00B3187F" w14:paraId="2AC3C25D" w14:textId="7BF89128">
      <w:r w:rsidRPr="00807948">
        <w:t xml:space="preserve">A crosswalk describing the </w:t>
      </w:r>
      <w:r>
        <w:t>revisions to th</w:t>
      </w:r>
      <w:r w:rsidR="0019742B">
        <w:t>is</w:t>
      </w:r>
      <w:r>
        <w:t xml:space="preserve"> </w:t>
      </w:r>
      <w:r w:rsidR="00BF4FF2">
        <w:t>final</w:t>
      </w:r>
      <w:r w:rsidR="0019742B">
        <w:t xml:space="preserve"> </w:t>
      </w:r>
      <w:r w:rsidRPr="00807948">
        <w:t xml:space="preserve">ICR package </w:t>
      </w:r>
      <w:r>
        <w:t xml:space="preserve">compared to </w:t>
      </w:r>
      <w:r w:rsidR="00E83470">
        <w:t xml:space="preserve">the </w:t>
      </w:r>
      <w:r w:rsidR="00BF4FF2">
        <w:t>3</w:t>
      </w:r>
      <w:r w:rsidR="00EE1267">
        <w:t>0-day</w:t>
      </w:r>
      <w:r>
        <w:t xml:space="preserve"> ICR package </w:t>
      </w:r>
      <w:r w:rsidRPr="00807948">
        <w:t>is attached.</w:t>
      </w:r>
      <w:r>
        <w:t xml:space="preserve"> </w:t>
      </w:r>
      <w:r w:rsidR="00844943">
        <w:t xml:space="preserve"> </w:t>
      </w:r>
    </w:p>
    <w:p w:rsidR="005C38D0" w:rsidRPr="00145E26" w:rsidP="00D45546" w14:paraId="743A42F2" w14:textId="45D814F3">
      <w:pPr>
        <w:pStyle w:val="Heading2"/>
      </w:pPr>
      <w:r w:rsidRPr="00145E26">
        <w:t>16. Publication/Tabulation Dates</w:t>
      </w:r>
    </w:p>
    <w:p w:rsidR="005C38D0" w:rsidRPr="00B1511E" w:rsidP="00B1511E" w14:paraId="4CA10C93" w14:textId="7B115B06">
      <w:r>
        <w:t>Pursuant to</w:t>
      </w:r>
      <w:r w:rsidR="003C5EFA">
        <w:t xml:space="preserve"> section 1195(</w:t>
      </w:r>
      <w:r w:rsidR="00C92D68">
        <w:t>a)(2) of the Act</w:t>
      </w:r>
      <w:r>
        <w:t xml:space="preserve"> and sections 60.6 and 130.4.4 of the </w:t>
      </w:r>
      <w:r w:rsidR="00E97657">
        <w:t>final</w:t>
      </w:r>
      <w:r>
        <w:t xml:space="preserve"> guidance</w:t>
      </w:r>
      <w:r w:rsidR="00C92D68">
        <w:t xml:space="preserve">, CMS will publish an explanation for the </w:t>
      </w:r>
      <w:r w:rsidR="00FE58BB">
        <w:t>MFP</w:t>
      </w:r>
      <w:r w:rsidR="00C92D68">
        <w:t xml:space="preserve"> with respect to the factors in section 1194(e)</w:t>
      </w:r>
      <w:r w:rsidR="00FE58BB">
        <w:t xml:space="preserve"> of the Act</w:t>
      </w:r>
      <w:r w:rsidR="00746854">
        <w:t>.</w:t>
      </w:r>
      <w:r w:rsidR="00C92D68">
        <w:t xml:space="preserve"> </w:t>
      </w:r>
      <w:r w:rsidR="00746854">
        <w:t>T</w:t>
      </w:r>
      <w:r w:rsidR="00C92D68">
        <w:t>herefore</w:t>
      </w:r>
      <w:r w:rsidR="00746854">
        <w:t>,</w:t>
      </w:r>
      <w:r w:rsidR="00C92D68">
        <w:t xml:space="preserve"> </w:t>
      </w:r>
      <w:r w:rsidR="001961A3">
        <w:t xml:space="preserve">summarized </w:t>
      </w:r>
      <w:r w:rsidR="00220086">
        <w:t xml:space="preserve">or </w:t>
      </w:r>
      <w:r w:rsidR="00A55E78">
        <w:t>redacted</w:t>
      </w:r>
      <w:r w:rsidR="00C92D68">
        <w:t xml:space="preserve"> information may be shared with the public. </w:t>
      </w:r>
      <w:r w:rsidRPr="24AE88FA" w:rsidR="00671F89">
        <w:t xml:space="preserve">In this public explanation and any other public documents discussing the MFP, CMS </w:t>
      </w:r>
      <w:r w:rsidR="00671F89">
        <w:t>will</w:t>
      </w:r>
      <w:r w:rsidRPr="4D085A28" w:rsidR="00671F89">
        <w:t xml:space="preserve"> </w:t>
      </w:r>
      <w:r w:rsidRPr="007A3985" w:rsidR="00671F89">
        <w:t xml:space="preserve">make public </w:t>
      </w:r>
      <w:r w:rsidRPr="007A3985" w:rsidR="00671F89">
        <w:t>the section</w:t>
      </w:r>
      <w:r w:rsidRPr="007A3985" w:rsidR="00671F89">
        <w:t xml:space="preserve"> 1194(e)(1) </w:t>
      </w:r>
      <w:r w:rsidR="00671F89">
        <w:t xml:space="preserve">and section 1194(e)(2) </w:t>
      </w:r>
      <w:r w:rsidRPr="007A3985" w:rsidR="00671F89">
        <w:t xml:space="preserve">data submitted by the </w:t>
      </w:r>
      <w:r w:rsidR="00671F89">
        <w:t>Primary M</w:t>
      </w:r>
      <w:r w:rsidRPr="007A3985" w:rsidR="00671F89">
        <w:t xml:space="preserve">anufacturer </w:t>
      </w:r>
      <w:r w:rsidR="00671F89">
        <w:t xml:space="preserve">and the public </w:t>
      </w:r>
      <w:r w:rsidRPr="007A3985" w:rsidR="00671F89">
        <w:t>that are</w:t>
      </w:r>
      <w:r w:rsidR="00671F89">
        <w:t xml:space="preserve"> determined to be</w:t>
      </w:r>
      <w:r w:rsidRPr="007A3985" w:rsidR="00671F89">
        <w:t xml:space="preserve"> </w:t>
      </w:r>
      <w:r w:rsidRPr="007A3985" w:rsidR="00671F89">
        <w:t>non-proprietary</w:t>
      </w:r>
      <w:r w:rsidR="00671F89">
        <w:t>, but</w:t>
      </w:r>
      <w:r w:rsidR="00671F89">
        <w:t xml:space="preserve"> will not include any PHI or PII (see section 40.2.1 of the </w:t>
      </w:r>
      <w:r w:rsidR="00E97657">
        <w:t>final</w:t>
      </w:r>
      <w:r w:rsidR="00BB7049">
        <w:t xml:space="preserve"> </w:t>
      </w:r>
      <w:r w:rsidR="00671F89">
        <w:t xml:space="preserve">guidance). </w:t>
      </w:r>
    </w:p>
    <w:p w:rsidR="005C38D0" w:rsidRPr="00B1511E" w:rsidP="00D45546" w14:paraId="2B61A392" w14:textId="12D17739">
      <w:pPr>
        <w:pStyle w:val="Heading2"/>
      </w:pPr>
      <w:r>
        <w:t>17. Expiration Date</w:t>
      </w:r>
    </w:p>
    <w:p w:rsidR="005C38D0" w:rsidRPr="00B1511E" w:rsidP="00B1511E" w14:paraId="60BE5287" w14:textId="08D78A58">
      <w:r>
        <w:t xml:space="preserve">The expiration date and OMB control number will be displayed within the data collection information technology system. </w:t>
      </w:r>
    </w:p>
    <w:p w:rsidR="005E0DE2" w:rsidRPr="00F23CF0" w:rsidP="00D45546" w14:paraId="34908E14" w14:textId="4FE31421">
      <w:pPr>
        <w:pStyle w:val="Heading2"/>
      </w:pPr>
      <w:r>
        <w:t>18. Certification Statement</w:t>
      </w:r>
    </w:p>
    <w:p w:rsidR="005C38D0" w:rsidRPr="00F23CF0" w:rsidP="00F23CF0" w14:paraId="4C95CF1C" w14:textId="2C8B47B9">
      <w:r>
        <w:t>There are no exceptions to the certification statement.</w:t>
      </w:r>
    </w:p>
    <w:sectPr w:rsidSect="0061518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305D" w:rsidRPr="00397DC8" w:rsidP="00397DC8" w14:paraId="292A1180" w14:textId="55C30616">
    <w:pPr>
      <w:pStyle w:val="Footer"/>
      <w:jc w:val="center"/>
    </w:pP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5A2C" w:rsidP="004105DD" w14:paraId="0FAE255F" w14:textId="77777777">
      <w:r>
        <w:separator/>
      </w:r>
    </w:p>
  </w:footnote>
  <w:footnote w:type="continuationSeparator" w:id="1">
    <w:p w:rsidR="00545A2C" w:rsidP="004105DD" w14:paraId="7116E958" w14:textId="77777777">
      <w:r>
        <w:continuationSeparator/>
      </w:r>
    </w:p>
  </w:footnote>
  <w:footnote w:type="continuationNotice" w:id="2">
    <w:p w:rsidR="00545A2C" w14:paraId="61CFF548" w14:textId="77777777"/>
  </w:footnote>
  <w:footnote w:id="3">
    <w:p w:rsidR="00D82058" w:rsidRPr="00F22C76" w:rsidP="00D82058" w14:paraId="70370EBD" w14:textId="5538410E">
      <w:pPr>
        <w:pStyle w:val="FootnoteText"/>
        <w:contextualSpacing/>
      </w:pPr>
      <w:r w:rsidRPr="00F22C76">
        <w:rPr>
          <w:rStyle w:val="FootnoteReference"/>
        </w:rPr>
        <w:footnoteRef/>
      </w:r>
      <w:r w:rsidRPr="4D085A28">
        <w:t xml:space="preserve"> </w:t>
      </w:r>
      <w:r w:rsidR="00971038">
        <w:t xml:space="preserve">For the purposes of this ICR, qualifying single source drug has the same definition as it is given </w:t>
      </w:r>
      <w:r w:rsidRPr="00AA3DEE" w:rsidR="00971038">
        <w:t xml:space="preserve">in section 30.1 of the Medicare Drug Price Negotiation Program: </w:t>
      </w:r>
      <w:r w:rsidR="00240FA8">
        <w:t>Final</w:t>
      </w:r>
      <w:r w:rsidRPr="4D085A28" w:rsidR="00FD2A33">
        <w:t xml:space="preserve"> </w:t>
      </w:r>
      <w:r w:rsidRPr="00AA3DEE" w:rsidR="00971038">
        <w:t>Guidance, Implementation of Sections 1191 – 1198 of the Social Security Act for Initial Price Applicability Year 202</w:t>
      </w:r>
      <w:r w:rsidR="00FD2A33">
        <w:t>8</w:t>
      </w:r>
      <w:r w:rsidRPr="00AA3DEE" w:rsidR="00971038">
        <w:t xml:space="preserve"> and Manufacturer </w:t>
      </w:r>
      <w:r w:rsidRPr="002240B5" w:rsidR="00971038">
        <w:t>Effectuation of the Maximum Fair Price (MFP) in 2026</w:t>
      </w:r>
      <w:r w:rsidR="00FD2A33">
        <w:t>, 2027,</w:t>
      </w:r>
      <w:r w:rsidRPr="002240B5" w:rsidR="00971038">
        <w:t xml:space="preserve"> and 202</w:t>
      </w:r>
      <w:r w:rsidR="00FD2A33">
        <w:t>8</w:t>
      </w:r>
      <w:r w:rsidRPr="4D085A28" w:rsidR="00971038">
        <w:t xml:space="preserve"> </w:t>
      </w:r>
      <w:r w:rsidRPr="00B65240" w:rsidR="00971038">
        <w:t>(referenced hereinafter as “</w:t>
      </w:r>
      <w:r w:rsidR="00240FA8">
        <w:t>final</w:t>
      </w:r>
      <w:r w:rsidR="00FD2A33">
        <w:t xml:space="preserve"> </w:t>
      </w:r>
      <w:r w:rsidR="00B12C2C">
        <w:t>guidance</w:t>
      </w:r>
      <w:r w:rsidRPr="4D085A28" w:rsidR="00971038">
        <w:t>”).</w:t>
      </w:r>
    </w:p>
  </w:footnote>
  <w:footnote w:id="4">
    <w:p w:rsidR="00893640" w:rsidP="00893640" w14:paraId="229100A2" w14:textId="588EE0E5">
      <w:pPr>
        <w:pStyle w:val="FootnoteText"/>
      </w:pPr>
      <w:r>
        <w:rPr>
          <w:rStyle w:val="FootnoteReference"/>
        </w:rPr>
        <w:footnoteRef/>
      </w:r>
      <w:r>
        <w:t xml:space="preserve"> The statutory written counteroffer and renegotiation written counteroffer are hereinafter collectively referred to as the “Counteroffer.”</w:t>
      </w:r>
      <w:r w:rsidR="0087281B">
        <w:t xml:space="preserve"> </w:t>
      </w:r>
    </w:p>
  </w:footnote>
  <w:footnote w:id="5">
    <w:p w:rsidR="00E754B8" w:rsidRPr="00E754B8" w14:paraId="2052664B" w14:textId="4CF0B179">
      <w:pPr>
        <w:pStyle w:val="FootnoteText"/>
      </w:pPr>
      <w:r w:rsidRPr="00E754B8">
        <w:rPr>
          <w:rStyle w:val="FootnoteReference"/>
        </w:rPr>
        <w:footnoteRef/>
      </w:r>
      <w:r w:rsidRPr="00E754B8">
        <w:t xml:space="preserve"> The Statutory Written </w:t>
      </w:r>
      <w:r w:rsidRPr="00E754B8">
        <w:rPr>
          <w:rFonts w:eastAsiaTheme="majorEastAsia"/>
        </w:rPr>
        <w:t>Counteroffer ICR Form and the Renegotiation Written Counteroffer ICR Form</w:t>
      </w:r>
      <w:r w:rsidRPr="00E754B8">
        <w:t xml:space="preserve"> are collectively referred to as the “Counteroffer ICR Form.”</w:t>
      </w:r>
    </w:p>
  </w:footnote>
  <w:footnote w:id="6">
    <w:p w:rsidR="00A9502B" w14:paraId="7158E3A0" w14:textId="63D506A3">
      <w:pPr>
        <w:pStyle w:val="FootnoteText"/>
      </w:pPr>
      <w:r>
        <w:rPr>
          <w:rStyle w:val="FootnoteReference"/>
        </w:rPr>
        <w:footnoteRef/>
      </w:r>
      <w:r>
        <w:t xml:space="preserve"> </w:t>
      </w:r>
      <w:r w:rsidRPr="00A9502B">
        <w:t>To the extent applicable, any references in this draft guidance to the “MFP” includes a renegotiated MFP.</w:t>
      </w:r>
    </w:p>
  </w:footnote>
  <w:footnote w:id="7">
    <w:p w:rsidR="00B86AD5" w:rsidP="001E0404" w14:paraId="6B39CC68" w14:textId="54B5A589">
      <w:pPr>
        <w:pStyle w:val="FootnoteText"/>
        <w:spacing w:after="0"/>
      </w:pPr>
      <w:r>
        <w:rPr>
          <w:rStyle w:val="FootnoteReference"/>
        </w:rPr>
        <w:footnoteRef/>
      </w:r>
      <w:r>
        <w:t xml:space="preserve"> For more information, refer to the </w:t>
      </w:r>
      <w:r w:rsidR="006A6809">
        <w:t>“</w:t>
      </w:r>
      <w:r w:rsidRPr="00511859">
        <w:t>Action Needed: Medicare Prescription Drug Inflation Rebate Program Onboarding</w:t>
      </w:r>
      <w:r>
        <w:t xml:space="preserve">” memo, available at </w:t>
      </w:r>
      <w:hyperlink r:id="rId1" w:history="1">
        <w:r w:rsidRPr="00C013AB" w:rsidR="00CB176C">
          <w:rPr>
            <w:rStyle w:val="Hyperlink"/>
          </w:rPr>
          <w:t>https://www.cms.gov/files/document/medicare-prescription-drug-inflation-rebate-program-onboarding-memo.pdf</w:t>
        </w:r>
      </w:hyperlink>
      <w:r w:rsidR="00954403">
        <w:t>.</w:t>
      </w:r>
    </w:p>
  </w:footnote>
  <w:footnote w:id="8">
    <w:p w:rsidR="00B86AD5" w:rsidP="001E0404" w14:paraId="2363ACD1" w14:textId="6DD6E97B">
      <w:pPr>
        <w:pStyle w:val="footnotedescription"/>
        <w:spacing w:line="240" w:lineRule="auto"/>
      </w:pPr>
      <w:r>
        <w:rPr>
          <w:rStyle w:val="footnotemark"/>
        </w:rPr>
        <w:footnoteRef/>
      </w:r>
      <w:r>
        <w:t xml:space="preserve"> </w:t>
      </w:r>
      <w:hyperlink r:id="rId2" w:history="1">
        <w:r w:rsidRPr="00C013AB" w:rsidR="00CB176C">
          <w:rPr>
            <w:rStyle w:val="Hyperlink"/>
          </w:rPr>
          <w:t>https://www.cms.gov/files/document/instructions-requesting-drug-manufacturer-access-cms-health-plan-management-system-cms-hpms-medicare.pdf</w:t>
        </w:r>
      </w:hyperlink>
      <w:r w:rsidR="00CB176C">
        <w:t xml:space="preserve">. </w:t>
      </w:r>
    </w:p>
  </w:footnote>
  <w:footnote w:id="9">
    <w:p w:rsidR="001A4A0B" w:rsidRPr="00D166B5" w:rsidP="001A4A0B" w14:paraId="0128226A" w14:textId="46D839F2">
      <w:pPr>
        <w:pStyle w:val="FootnoteText"/>
        <w:spacing w:after="0"/>
      </w:pPr>
      <w:r w:rsidRPr="00D166B5">
        <w:rPr>
          <w:rStyle w:val="FootnoteReference"/>
        </w:rPr>
        <w:footnoteRef/>
      </w:r>
      <w:r w:rsidRPr="00D166B5">
        <w:t xml:space="preserve"> </w:t>
      </w:r>
      <w:hyperlink r:id="rId2" w:history="1">
        <w:r w:rsidRPr="00C013AB" w:rsidR="0098791F">
          <w:rPr>
            <w:rStyle w:val="Hyperlink"/>
          </w:rPr>
          <w:t>https://www.cms.gov/files/document/instructions-requesting-drug-manufacturer-access-cms-health-plan-management-system-cms-hpms-medicare.pdf</w:t>
        </w:r>
      </w:hyperlink>
      <w:r w:rsidR="0098791F">
        <w:t xml:space="preserve">. </w:t>
      </w:r>
    </w:p>
  </w:footnote>
  <w:footnote w:id="10">
    <w:p w:rsidR="00610DDE" w:rsidP="00610DDE" w14:paraId="70DB1D3A" w14:textId="4556D190">
      <w:pPr>
        <w:pStyle w:val="FootnoteText"/>
        <w:spacing w:after="0"/>
      </w:pPr>
      <w:r>
        <w:rPr>
          <w:rStyle w:val="FootnoteReference"/>
        </w:rPr>
        <w:footnoteRef/>
      </w:r>
      <w:r>
        <w:t xml:space="preserve"> The Federal Supply Schedule (FSS) represents long-term government-wide contracts with commercial companies that provide access to millions of commercial products and services to the government. See: </w:t>
      </w:r>
      <w:hyperlink r:id="rId3" w:anchor=":~:text=The%20GSA%20Schedule%2C%20also%20known,reasonable%20prices%20to%20the%20government" w:history="1">
        <w:r w:rsidRPr="00C3611C">
          <w:rPr>
            <w:rStyle w:val="Hyperlink"/>
          </w:rPr>
          <w:t>https://www.gsa.gov/buy-through-us/purchasing-programs/gsa-multiple-award-schedule/about-gsaschedule#:~:text=The%20GSA%20Schedule%2C%20also%20known,reasonable%20prices%20to%20the%20government</w:t>
        </w:r>
      </w:hyperlink>
      <w:r>
        <w:t>.</w:t>
      </w:r>
    </w:p>
  </w:footnote>
  <w:footnote w:id="11">
    <w:p w:rsidR="00A83338" w14:paraId="1751E4B8" w14:textId="49EB4D34">
      <w:pPr>
        <w:pStyle w:val="FootnoteText"/>
      </w:pPr>
      <w:r>
        <w:rPr>
          <w:rStyle w:val="FootnoteReference"/>
        </w:rPr>
        <w:footnoteRef/>
      </w:r>
      <w:r>
        <w:t xml:space="preserve"> The Big Four price is the maximum price a drug manufacturer is allowed to charge the “Big Four” federal agencies, which are the VA, Department of Defense (DoD), the Public Health Service, and the Coast Guard. See generally 38 U.S.C. § 8126; </w:t>
      </w:r>
      <w:hyperlink r:id="rId4" w:history="1">
        <w:r w:rsidRPr="00C013AB" w:rsidR="00655796">
          <w:rPr>
            <w:rStyle w:val="Hyperlink"/>
          </w:rPr>
          <w:t>https://www.cbo.gov/publication/57007</w:t>
        </w:r>
      </w:hyperlink>
      <w:r>
        <w:t>.</w:t>
      </w:r>
      <w:r w:rsidR="00655796">
        <w:t xml:space="preserve"> </w:t>
      </w:r>
      <w:r>
        <w:t xml:space="preserve"> </w:t>
      </w:r>
    </w:p>
  </w:footnote>
  <w:footnote w:id="12">
    <w:p w:rsidR="007B3F3C" w:rsidRPr="001422B3" w:rsidP="00830758" w14:paraId="4B486A74" w14:textId="77777777">
      <w:pPr>
        <w:pStyle w:val="FootnoteText"/>
        <w:spacing w:after="0"/>
      </w:pPr>
      <w:r w:rsidRPr="001422B3">
        <w:rPr>
          <w:rStyle w:val="FootnoteReference"/>
        </w:rPr>
        <w:footnoteRef/>
      </w:r>
      <w:r w:rsidRPr="00651780">
        <w:t xml:space="preserve"> See: </w:t>
      </w:r>
      <w:hyperlink r:id="rId5" w:history="1">
        <w:r w:rsidRPr="00651780">
          <w:rPr>
            <w:rStyle w:val="Hyperlink"/>
          </w:rPr>
          <w:t>https://www.justice.gov/oip/doj-guide-freedom-information-act-0</w:t>
        </w:r>
      </w:hyperlink>
      <w:r>
        <w:t>.</w:t>
      </w:r>
    </w:p>
  </w:footnote>
  <w:footnote w:id="13">
    <w:p w:rsidR="008E6CFC" w:rsidRPr="001422B3" w:rsidP="00830758" w14:paraId="241D57FD" w14:textId="77777777">
      <w:pPr>
        <w:pStyle w:val="FootnoteText"/>
        <w:spacing w:after="0"/>
      </w:pPr>
      <w:r w:rsidRPr="001422B3">
        <w:rPr>
          <w:rStyle w:val="FootnoteReference"/>
        </w:rPr>
        <w:footnoteRef/>
      </w:r>
      <w:r w:rsidRPr="00651780">
        <w:t xml:space="preserve"> See: </w:t>
      </w:r>
      <w:hyperlink r:id="rId5" w:history="1">
        <w:r w:rsidRPr="00651780">
          <w:rPr>
            <w:rStyle w:val="Hyperlink"/>
          </w:rPr>
          <w:t>https://www.justice.gov/oip/doj-guide-freedom-information-act-0</w:t>
        </w:r>
      </w:hyperlink>
      <w:r>
        <w:t>.</w:t>
      </w:r>
    </w:p>
  </w:footnote>
  <w:footnote w:id="14">
    <w:p w:rsidR="001B305D" w:rsidRPr="001422B3" w:rsidP="00DA1FD4" w14:paraId="2EAD0A4E" w14:textId="00725FCE">
      <w:pPr>
        <w:pStyle w:val="FootnoteText"/>
      </w:pPr>
      <w:r w:rsidRPr="001422B3">
        <w:rPr>
          <w:rStyle w:val="FootnoteReference"/>
        </w:rPr>
        <w:footnoteRef/>
      </w:r>
      <w:r w:rsidRPr="001422B3">
        <w:t xml:space="preserve"> See:</w:t>
      </w:r>
      <w:r>
        <w:t xml:space="preserve"> </w:t>
      </w:r>
      <w:hyperlink r:id="rId5" w:history="1">
        <w:r w:rsidRPr="00651780">
          <w:rPr>
            <w:rStyle w:val="Hyperlink"/>
          </w:rPr>
          <w:t>https://www.justice.gov/oip/doj-guide-freedom-information-act-0</w:t>
        </w:r>
      </w:hyperlink>
      <w:r w:rsidRPr="00B67B0F">
        <w:rPr>
          <w:rStyle w:val="Hyperlink"/>
          <w:u w:val="none"/>
        </w:rPr>
        <w:t>.</w:t>
      </w:r>
      <w:r w:rsidRPr="00651780">
        <w:t xml:space="preserve"> </w:t>
      </w:r>
    </w:p>
  </w:footnote>
  <w:footnote w:id="15">
    <w:p w:rsidR="009D6F02" w:rsidP="001E0404" w14:paraId="59AECEBE" w14:textId="241C4B08">
      <w:pPr>
        <w:pStyle w:val="footnotedescription"/>
        <w:spacing w:line="240" w:lineRule="auto"/>
      </w:pPr>
      <w:r>
        <w:rPr>
          <w:rStyle w:val="footnotemark"/>
        </w:rPr>
        <w:footnoteRef/>
      </w:r>
      <w:r>
        <w:t xml:space="preserve"> See </w:t>
      </w:r>
      <w:r w:rsidRPr="00E033C7">
        <w:t>May 202</w:t>
      </w:r>
      <w:r w:rsidR="00266523">
        <w:t>4</w:t>
      </w:r>
      <w:r w:rsidRPr="00E033C7">
        <w:t xml:space="preserve"> National Industry-Specific Occupational Employment and Wage Estimates</w:t>
      </w:r>
      <w:r>
        <w:t xml:space="preserve">, </w:t>
      </w:r>
      <w:r w:rsidRPr="0023748F">
        <w:t>NAICS 325400 - Pharmaceutical and Medicine Manufacturing</w:t>
      </w:r>
      <w:r>
        <w:t xml:space="preserve">. Available at </w:t>
      </w:r>
      <w:hyperlink r:id="rId6" w:anchor="/industry/325400" w:history="1">
        <w:r w:rsidRPr="00C013AB" w:rsidR="00BD25DA">
          <w:rPr>
            <w:rStyle w:val="Hyperlink"/>
          </w:rPr>
          <w:t>https://data.bls.gov/oes/#/industry/325400</w:t>
        </w:r>
      </w:hyperlink>
      <w:r w:rsidR="002847D6">
        <w:t xml:space="preserve">. </w:t>
      </w:r>
    </w:p>
  </w:footnote>
  <w:footnote w:id="16">
    <w:p w:rsidR="006D2661" w:rsidRPr="00837101" w14:paraId="18549066" w14:textId="50895E36">
      <w:pPr>
        <w:pStyle w:val="FootnoteText"/>
      </w:pPr>
      <w:r w:rsidRPr="00837101">
        <w:rPr>
          <w:rStyle w:val="FootnoteReference"/>
        </w:rPr>
        <w:footnoteRef/>
      </w:r>
      <w:r w:rsidRPr="00837101">
        <w:t xml:space="preserve"> </w:t>
      </w:r>
      <w:r w:rsidRPr="000A5850">
        <w:rPr>
          <w:rStyle w:val="cf01"/>
          <w:rFonts w:ascii="Times New Roman" w:hAnsi="Times New Roman" w:cs="Times New Roman"/>
          <w:sz w:val="20"/>
          <w:szCs w:val="20"/>
        </w:rPr>
        <w:t xml:space="preserve">The burden estimate assumes some coordination between the Primary Manufacturer and the Secondary Manufacturer, as necessary, to collect and submit the data. </w:t>
      </w:r>
    </w:p>
  </w:footnote>
  <w:footnote w:id="17">
    <w:p w:rsidR="004F0F06" w14:paraId="1D7D6FBF" w14:textId="411DD793">
      <w:pPr>
        <w:pStyle w:val="FootnoteText"/>
      </w:pPr>
      <w:r>
        <w:rPr>
          <w:rStyle w:val="FootnoteReference"/>
        </w:rPr>
        <w:footnoteRef/>
      </w:r>
      <w:r>
        <w:t xml:space="preserve"> Industry-specific wage </w:t>
      </w:r>
      <w:r>
        <w:t>estimate</w:t>
      </w:r>
      <w:r>
        <w:t xml:space="preserve"> not available, Bureau of Labor Statistics’ May 202</w:t>
      </w:r>
      <w:r w:rsidR="00080200">
        <w:t>4</w:t>
      </w:r>
      <w:r>
        <w:t xml:space="preserve"> </w:t>
      </w:r>
      <w:r w:rsidRPr="007B1700">
        <w:t>Occupational Employment and Wage Statistics</w:t>
      </w:r>
      <w:r>
        <w:t xml:space="preserve"> data used. Available here: </w:t>
      </w:r>
      <w:hyperlink r:id="rId6" w:anchor="/industry/000000" w:history="1">
        <w:r w:rsidRPr="00C013AB" w:rsidR="00A6488D">
          <w:rPr>
            <w:rStyle w:val="Hyperlink"/>
          </w:rPr>
          <w:t>https://data.bls.gov/oes/#/industry/000000</w:t>
        </w:r>
      </w:hyperlink>
      <w:r>
        <w:rPr>
          <w:rStyle w:val="Hyperlink"/>
        </w:rPr>
        <w:t>.</w:t>
      </w:r>
    </w:p>
  </w:footnote>
  <w:footnote w:id="18">
    <w:p w:rsidR="00AB63AE" w:rsidRPr="00837101" w:rsidP="00AB63AE" w14:paraId="4644B258" w14:textId="77777777">
      <w:pPr>
        <w:pStyle w:val="FootnoteText"/>
      </w:pPr>
      <w:r w:rsidRPr="00837101">
        <w:rPr>
          <w:rStyle w:val="FootnoteReference"/>
        </w:rPr>
        <w:footnoteRef/>
      </w:r>
      <w:r w:rsidRPr="00837101">
        <w:t xml:space="preserve"> </w:t>
      </w:r>
      <w:r w:rsidRPr="000A5850">
        <w:rPr>
          <w:rStyle w:val="cf01"/>
          <w:rFonts w:ascii="Times New Roman" w:hAnsi="Times New Roman" w:cs="Times New Roman"/>
          <w:sz w:val="20"/>
          <w:szCs w:val="20"/>
        </w:rPr>
        <w:t xml:space="preserve">The burden estimate assumes some coordination between the Primary Manufacturer and the Secondary Manufacturer, as necessary, to collect and submit the data. </w:t>
      </w:r>
    </w:p>
  </w:footnote>
  <w:footnote w:id="19">
    <w:p w:rsidR="00AB63AE" w:rsidP="00AB63AE" w14:paraId="0361F197" w14:textId="703A20A0">
      <w:pPr>
        <w:pStyle w:val="FootnoteText"/>
      </w:pPr>
      <w:r>
        <w:rPr>
          <w:rStyle w:val="FootnoteReference"/>
        </w:rPr>
        <w:footnoteRef/>
      </w:r>
      <w:r>
        <w:t xml:space="preserve"> Industry-specific wage </w:t>
      </w:r>
      <w:r>
        <w:t>estimate</w:t>
      </w:r>
      <w:r>
        <w:t xml:space="preserve"> not available, Bureau of Labor Statistics’ May 202</w:t>
      </w:r>
      <w:r w:rsidR="008E65BE">
        <w:t>4</w:t>
      </w:r>
      <w:r>
        <w:t xml:space="preserve"> </w:t>
      </w:r>
      <w:r w:rsidRPr="007B1700">
        <w:t>Occupational Employment and Wage Statistics</w:t>
      </w:r>
      <w:r>
        <w:t xml:space="preserve"> data used. Available here: </w:t>
      </w:r>
      <w:hyperlink r:id="rId6" w:anchor="/industry/000000" w:history="1">
        <w:r w:rsidRPr="00C013AB" w:rsidR="00A6488D">
          <w:rPr>
            <w:rStyle w:val="Hyperlink"/>
          </w:rPr>
          <w:t>https://data.bls.gov/oes/#/industry/000000</w:t>
        </w:r>
      </w:hyperlink>
      <w:r>
        <w:rPr>
          <w:rStyle w:val="Hyperlink"/>
        </w:rPr>
        <w:t>.</w:t>
      </w:r>
    </w:p>
  </w:footnote>
  <w:footnote w:id="20">
    <w:p w:rsidR="006328EA" w:rsidP="001E0404" w14:paraId="47BBBB76" w14:textId="6F39EF9E">
      <w:pPr>
        <w:pStyle w:val="footnotedescription"/>
        <w:spacing w:line="240" w:lineRule="auto"/>
      </w:pPr>
      <w:r>
        <w:rPr>
          <w:rStyle w:val="footnotemark"/>
        </w:rPr>
        <w:footnoteRef/>
      </w:r>
      <w:r>
        <w:t xml:space="preserve"> See </w:t>
      </w:r>
      <w:r w:rsidRPr="00E033C7">
        <w:t>May 202</w:t>
      </w:r>
      <w:r w:rsidR="00A7625E">
        <w:t>4</w:t>
      </w:r>
      <w:r w:rsidRPr="00E033C7">
        <w:t xml:space="preserve"> National Industry-Specific Occupational Employment and Wage Estimates</w:t>
      </w:r>
      <w:r>
        <w:t xml:space="preserve">, </w:t>
      </w:r>
      <w:r w:rsidRPr="0023748F">
        <w:t>NAICS 325400 - Pharmaceutical and Medicine Manufacturing</w:t>
      </w:r>
      <w:r>
        <w:t xml:space="preserve">. Available at </w:t>
      </w:r>
      <w:hyperlink r:id="rId6" w:anchor="/industry/325400" w:history="1">
        <w:r w:rsidRPr="00C013AB" w:rsidR="003B0AFC">
          <w:rPr>
            <w:rStyle w:val="Hyperlink"/>
          </w:rPr>
          <w:t>https://data.bls.gov/oes/#/industry/325400</w:t>
        </w:r>
      </w:hyperlink>
      <w:r w:rsidR="0078206D">
        <w:t xml:space="preserve">. </w:t>
      </w:r>
    </w:p>
  </w:footnote>
  <w:footnote w:id="21">
    <w:p w:rsidR="00927258" w:rsidP="00E172C6" w14:paraId="138DBA12" w14:textId="49D7D350">
      <w:pPr>
        <w:pStyle w:val="FootnoteText"/>
        <w:spacing w:after="0"/>
      </w:pPr>
      <w:r>
        <w:rPr>
          <w:rStyle w:val="FootnoteReference"/>
        </w:rPr>
        <w:footnoteRef/>
      </w:r>
      <w:r>
        <w:t xml:space="preserve"> </w:t>
      </w:r>
      <w:bookmarkStart w:id="6" w:name="_Hlk163048501"/>
      <w:r>
        <w:t xml:space="preserve">Industry-specific wage </w:t>
      </w:r>
      <w:r>
        <w:t>estimate</w:t>
      </w:r>
      <w:r>
        <w:t xml:space="preserve"> not available, Bureau of Labor Statistics’ May </w:t>
      </w:r>
      <w:r w:rsidR="00BE3508">
        <w:t>202</w:t>
      </w:r>
      <w:r w:rsidR="00A62CB4">
        <w:t>4</w:t>
      </w:r>
      <w:r w:rsidR="00BE3508">
        <w:t xml:space="preserve"> </w:t>
      </w:r>
      <w:r w:rsidRPr="007B1700">
        <w:t>Occupational Employment and Wage Statistics</w:t>
      </w:r>
      <w:r>
        <w:t xml:space="preserve"> data used</w:t>
      </w:r>
      <w:bookmarkEnd w:id="6"/>
      <w:r w:rsidR="003D6F08">
        <w:t>.</w:t>
      </w:r>
    </w:p>
  </w:footnote>
  <w:footnote w:id="22">
    <w:p w:rsidR="00927258" w:rsidP="006328EA" w14:paraId="3F2806DA" w14:textId="77D29294">
      <w:pPr>
        <w:pStyle w:val="FootnoteText"/>
      </w:pPr>
      <w:r>
        <w:rPr>
          <w:rStyle w:val="FootnoteReference"/>
        </w:rPr>
        <w:footnoteRef/>
      </w:r>
      <w:r>
        <w:t xml:space="preserve"> Industry-specific wage </w:t>
      </w:r>
      <w:r>
        <w:t>estimate</w:t>
      </w:r>
      <w:r>
        <w:t xml:space="preserve"> not available, Bureau of Labor Statistics’ May </w:t>
      </w:r>
      <w:r w:rsidR="00BE3508">
        <w:t>202</w:t>
      </w:r>
      <w:r w:rsidR="00A62CB4">
        <w:t>4</w:t>
      </w:r>
      <w:r w:rsidR="00BE3508">
        <w:t xml:space="preserve"> </w:t>
      </w:r>
      <w:r w:rsidRPr="007B1700">
        <w:t>Occupational Employment and Wage Statistics</w:t>
      </w:r>
      <w:r>
        <w:t xml:space="preserve"> data used</w:t>
      </w:r>
      <w:r w:rsidR="003D6F08">
        <w:t>.</w:t>
      </w:r>
    </w:p>
  </w:footnote>
  <w:footnote w:id="23">
    <w:p w:rsidR="001B305D" w:rsidP="008749E2" w14:paraId="1C153F13" w14:textId="1528FF7C">
      <w:pPr>
        <w:pStyle w:val="FootnoteText"/>
        <w:spacing w:after="0"/>
      </w:pPr>
      <w:r w:rsidRPr="1DAA6A84">
        <w:rPr>
          <w:rStyle w:val="FootnoteReference"/>
        </w:rPr>
        <w:footnoteRef/>
      </w:r>
      <w:r>
        <w:t xml:space="preserve"> See: </w:t>
      </w:r>
      <w:hyperlink r:id="rId7" w:history="1">
        <w:r w:rsidRPr="004B59E2" w:rsidR="004C3BE2">
          <w:rPr>
            <w:rStyle w:val="Hyperlink"/>
          </w:rPr>
          <w:t>https://www.opm.gov/policy-data-oversight/pay-leave/salaries-wages/salary-tables/pdf/2025/DCB_h.pdf</w:t>
        </w:r>
      </w:hyperlink>
    </w:p>
  </w:footnote>
  <w:footnote w:id="24">
    <w:p w:rsidR="00845D20" w:rsidP="008749E2" w14:paraId="464AEB11" w14:textId="3BAE6048">
      <w:pPr>
        <w:pStyle w:val="footnotedescription"/>
        <w:spacing w:line="240" w:lineRule="auto"/>
      </w:pPr>
      <w:r>
        <w:rPr>
          <w:rStyle w:val="footnotemark"/>
        </w:rPr>
        <w:footnoteRef/>
      </w:r>
      <w:r>
        <w:t xml:space="preserve">  See: </w:t>
      </w:r>
      <w:hyperlink r:id="rId7" w:history="1">
        <w:r w:rsidRPr="004B59E2" w:rsidR="004C3BE2">
          <w:rPr>
            <w:rStyle w:val="Hyperlink"/>
          </w:rPr>
          <w:t>https://www.opm.gov/policy-data-oversight/pay-leave/salaries-wages/salary-tables/pdf/2025/DCB_h.pdf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044A2F8" w14:textId="77777777" w:rsidTr="00A717CD">
      <w:tblPrEx>
        <w:tblW w:w="0" w:type="auto"/>
        <w:tblLayout w:type="fixed"/>
        <w:tblLook w:val="06A0"/>
      </w:tblPrEx>
      <w:tc>
        <w:tcPr>
          <w:tcW w:w="3120" w:type="dxa"/>
        </w:tcPr>
        <w:p w:rsidR="001B305D" w:rsidP="00A717CD" w14:paraId="5CE57B69" w14:textId="6C832060">
          <w:pPr>
            <w:pStyle w:val="Header"/>
            <w:ind w:left="-115"/>
          </w:pPr>
        </w:p>
      </w:tc>
      <w:tc>
        <w:tcPr>
          <w:tcW w:w="3120" w:type="dxa"/>
        </w:tcPr>
        <w:p w:rsidR="001B305D" w:rsidP="00A717CD" w14:paraId="324BCB6E" w14:textId="6B6DC861">
          <w:pPr>
            <w:pStyle w:val="Header"/>
            <w:jc w:val="center"/>
          </w:pPr>
        </w:p>
      </w:tc>
      <w:tc>
        <w:tcPr>
          <w:tcW w:w="3120" w:type="dxa"/>
        </w:tcPr>
        <w:p w:rsidR="001B305D" w:rsidP="00A717CD" w14:paraId="55D72BB2" w14:textId="074C576B">
          <w:pPr>
            <w:pStyle w:val="Header"/>
            <w:ind w:right="-115"/>
            <w:jc w:val="right"/>
          </w:pPr>
        </w:p>
      </w:tc>
    </w:tr>
  </w:tbl>
  <w:p w:rsidR="001B305D" w:rsidP="00A717CD" w14:paraId="7F6B8178" w14:textId="55C88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82386"/>
    <w:multiLevelType w:val="hybridMultilevel"/>
    <w:tmpl w:val="97841906"/>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C5791E"/>
    <w:multiLevelType w:val="hybridMultilevel"/>
    <w:tmpl w:val="05BA03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D60D43"/>
    <w:multiLevelType w:val="hybridMultilevel"/>
    <w:tmpl w:val="0512F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780FE0"/>
    <w:multiLevelType w:val="hybridMultilevel"/>
    <w:tmpl w:val="51F22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A07CD8"/>
    <w:multiLevelType w:val="multilevel"/>
    <w:tmpl w:val="7972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F42177"/>
    <w:multiLevelType w:val="multilevel"/>
    <w:tmpl w:val="FAF2C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573EB5"/>
    <w:multiLevelType w:val="hybridMultilevel"/>
    <w:tmpl w:val="C6065D72"/>
    <w:lvl w:ilvl="0">
      <w:start w:val="1"/>
      <w:numFmt w:val="bullet"/>
      <w:lvlText w:val=""/>
      <w:lvlJc w:val="left"/>
      <w:pPr>
        <w:ind w:left="479" w:hanging="360"/>
      </w:pPr>
      <w:rPr>
        <w:rFonts w:ascii="Symbol" w:hAnsi="Symbol" w:hint="default"/>
      </w:rPr>
    </w:lvl>
    <w:lvl w:ilvl="1">
      <w:start w:val="1"/>
      <w:numFmt w:val="lowerLetter"/>
      <w:lvlText w:val="%2."/>
      <w:lvlJc w:val="left"/>
      <w:pPr>
        <w:ind w:left="1199" w:hanging="360"/>
      </w:pPr>
    </w:lvl>
    <w:lvl w:ilvl="2">
      <w:start w:val="1"/>
      <w:numFmt w:val="lowerRoman"/>
      <w:lvlText w:val="%3."/>
      <w:lvlJc w:val="right"/>
      <w:pPr>
        <w:ind w:left="1919" w:hanging="180"/>
      </w:pPr>
    </w:lvl>
    <w:lvl w:ilvl="3" w:tentative="1">
      <w:start w:val="1"/>
      <w:numFmt w:val="decimal"/>
      <w:lvlText w:val="%4."/>
      <w:lvlJc w:val="left"/>
      <w:pPr>
        <w:ind w:left="2639" w:hanging="360"/>
      </w:pPr>
    </w:lvl>
    <w:lvl w:ilvl="4" w:tentative="1">
      <w:start w:val="1"/>
      <w:numFmt w:val="lowerLetter"/>
      <w:lvlText w:val="%5."/>
      <w:lvlJc w:val="left"/>
      <w:pPr>
        <w:ind w:left="3359" w:hanging="360"/>
      </w:pPr>
    </w:lvl>
    <w:lvl w:ilvl="5" w:tentative="1">
      <w:start w:val="1"/>
      <w:numFmt w:val="lowerRoman"/>
      <w:lvlText w:val="%6."/>
      <w:lvlJc w:val="right"/>
      <w:pPr>
        <w:ind w:left="4079" w:hanging="180"/>
      </w:pPr>
    </w:lvl>
    <w:lvl w:ilvl="6" w:tentative="1">
      <w:start w:val="1"/>
      <w:numFmt w:val="decimal"/>
      <w:lvlText w:val="%7."/>
      <w:lvlJc w:val="left"/>
      <w:pPr>
        <w:ind w:left="4799" w:hanging="360"/>
      </w:pPr>
    </w:lvl>
    <w:lvl w:ilvl="7" w:tentative="1">
      <w:start w:val="1"/>
      <w:numFmt w:val="lowerLetter"/>
      <w:lvlText w:val="%8."/>
      <w:lvlJc w:val="left"/>
      <w:pPr>
        <w:ind w:left="5519" w:hanging="360"/>
      </w:pPr>
    </w:lvl>
    <w:lvl w:ilvl="8" w:tentative="1">
      <w:start w:val="1"/>
      <w:numFmt w:val="lowerRoman"/>
      <w:lvlText w:val="%9."/>
      <w:lvlJc w:val="right"/>
      <w:pPr>
        <w:ind w:left="6239" w:hanging="180"/>
      </w:pPr>
    </w:lvl>
  </w:abstractNum>
  <w:abstractNum w:abstractNumId="7">
    <w:nsid w:val="181D5785"/>
    <w:multiLevelType w:val="multilevel"/>
    <w:tmpl w:val="BB100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804D75"/>
    <w:multiLevelType w:val="hybridMultilevel"/>
    <w:tmpl w:val="86C0F8C4"/>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1AB3780B"/>
    <w:multiLevelType w:val="hybridMultilevel"/>
    <w:tmpl w:val="0696F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8F6AC4"/>
    <w:multiLevelType w:val="hybridMultilevel"/>
    <w:tmpl w:val="5EF0B356"/>
    <w:lvl w:ilvl="0">
      <w:start w:val="1"/>
      <w:numFmt w:val="upperLetter"/>
      <w:lvlText w:val="%1."/>
      <w:lvlJc w:val="left"/>
      <w:pPr>
        <w:ind w:left="480" w:hanging="36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bullet"/>
      <w:lvlText w:val=""/>
      <w:lvlJc w:val="left"/>
      <w:pPr>
        <w:ind w:left="360" w:hanging="240"/>
      </w:pPr>
      <w:rPr>
        <w:rFonts w:ascii="Symbol" w:hAnsi="Symbol" w:hint="default"/>
        <w:b/>
        <w:bCs/>
        <w:i w:val="0"/>
        <w:iCs w:val="0"/>
        <w:w w:val="100"/>
        <w:sz w:val="24"/>
        <w:szCs w:val="24"/>
        <w:lang w:val="en-US" w:eastAsia="en-US" w:bidi="ar-SA"/>
      </w:rPr>
    </w:lvl>
    <w:lvl w:ilvl="2">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1957" w:hanging="360"/>
      </w:pPr>
      <w:rPr>
        <w:rFonts w:hint="default"/>
        <w:lang w:val="en-US" w:eastAsia="en-US" w:bidi="ar-SA"/>
      </w:rPr>
    </w:lvl>
    <w:lvl w:ilvl="4">
      <w:start w:val="0"/>
      <w:numFmt w:val="bullet"/>
      <w:lvlText w:val="•"/>
      <w:lvlJc w:val="left"/>
      <w:pPr>
        <w:ind w:left="3075" w:hanging="360"/>
      </w:pPr>
      <w:rPr>
        <w:rFonts w:hint="default"/>
        <w:lang w:val="en-US" w:eastAsia="en-US" w:bidi="ar-SA"/>
      </w:rPr>
    </w:lvl>
    <w:lvl w:ilvl="5">
      <w:start w:val="0"/>
      <w:numFmt w:val="bullet"/>
      <w:lvlText w:val="•"/>
      <w:lvlJc w:val="left"/>
      <w:pPr>
        <w:ind w:left="4192" w:hanging="360"/>
      </w:pPr>
      <w:rPr>
        <w:rFonts w:hint="default"/>
        <w:lang w:val="en-US" w:eastAsia="en-US" w:bidi="ar-SA"/>
      </w:rPr>
    </w:lvl>
    <w:lvl w:ilvl="6">
      <w:start w:val="0"/>
      <w:numFmt w:val="bullet"/>
      <w:lvlText w:val="•"/>
      <w:lvlJc w:val="left"/>
      <w:pPr>
        <w:ind w:left="5310" w:hanging="360"/>
      </w:pPr>
      <w:rPr>
        <w:rFonts w:hint="default"/>
        <w:lang w:val="en-US" w:eastAsia="en-US" w:bidi="ar-SA"/>
      </w:rPr>
    </w:lvl>
    <w:lvl w:ilvl="7">
      <w:start w:val="0"/>
      <w:numFmt w:val="bullet"/>
      <w:lvlText w:val="•"/>
      <w:lvlJc w:val="left"/>
      <w:pPr>
        <w:ind w:left="6427" w:hanging="360"/>
      </w:pPr>
      <w:rPr>
        <w:rFonts w:hint="default"/>
        <w:lang w:val="en-US" w:eastAsia="en-US" w:bidi="ar-SA"/>
      </w:rPr>
    </w:lvl>
    <w:lvl w:ilvl="8">
      <w:start w:val="0"/>
      <w:numFmt w:val="bullet"/>
      <w:lvlText w:val="•"/>
      <w:lvlJc w:val="left"/>
      <w:pPr>
        <w:ind w:left="7545" w:hanging="360"/>
      </w:pPr>
      <w:rPr>
        <w:rFonts w:hint="default"/>
        <w:lang w:val="en-US" w:eastAsia="en-US" w:bidi="ar-SA"/>
      </w:rPr>
    </w:lvl>
  </w:abstractNum>
  <w:abstractNum w:abstractNumId="11">
    <w:nsid w:val="1D5F6B9B"/>
    <w:multiLevelType w:val="hybridMultilevel"/>
    <w:tmpl w:val="E90C04D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F1474B"/>
    <w:multiLevelType w:val="hybridMultilevel"/>
    <w:tmpl w:val="A9CEE0B4"/>
    <w:lvl w:ilvl="0">
      <w:start w:val="1"/>
      <w:numFmt w:val="decimal"/>
      <w:lvlText w:val="%1."/>
      <w:lvlJc w:val="left"/>
      <w:pPr>
        <w:ind w:left="479" w:hanging="360"/>
      </w:pPr>
      <w:rPr>
        <w:rFonts w:hint="default"/>
      </w:rPr>
    </w:lvl>
    <w:lvl w:ilvl="1">
      <w:start w:val="1"/>
      <w:numFmt w:val="lowerLetter"/>
      <w:lvlText w:val="%2."/>
      <w:lvlJc w:val="left"/>
      <w:pPr>
        <w:ind w:left="1199" w:hanging="360"/>
      </w:pPr>
    </w:lvl>
    <w:lvl w:ilvl="2">
      <w:start w:val="1"/>
      <w:numFmt w:val="lowerRoman"/>
      <w:lvlText w:val="%3."/>
      <w:lvlJc w:val="right"/>
      <w:pPr>
        <w:ind w:left="1919" w:hanging="180"/>
      </w:pPr>
    </w:lvl>
    <w:lvl w:ilvl="3" w:tentative="1">
      <w:start w:val="1"/>
      <w:numFmt w:val="decimal"/>
      <w:lvlText w:val="%4."/>
      <w:lvlJc w:val="left"/>
      <w:pPr>
        <w:ind w:left="2639" w:hanging="360"/>
      </w:pPr>
    </w:lvl>
    <w:lvl w:ilvl="4" w:tentative="1">
      <w:start w:val="1"/>
      <w:numFmt w:val="lowerLetter"/>
      <w:lvlText w:val="%5."/>
      <w:lvlJc w:val="left"/>
      <w:pPr>
        <w:ind w:left="3359" w:hanging="360"/>
      </w:pPr>
    </w:lvl>
    <w:lvl w:ilvl="5" w:tentative="1">
      <w:start w:val="1"/>
      <w:numFmt w:val="lowerRoman"/>
      <w:lvlText w:val="%6."/>
      <w:lvlJc w:val="right"/>
      <w:pPr>
        <w:ind w:left="4079" w:hanging="180"/>
      </w:pPr>
    </w:lvl>
    <w:lvl w:ilvl="6" w:tentative="1">
      <w:start w:val="1"/>
      <w:numFmt w:val="decimal"/>
      <w:lvlText w:val="%7."/>
      <w:lvlJc w:val="left"/>
      <w:pPr>
        <w:ind w:left="4799" w:hanging="360"/>
      </w:pPr>
    </w:lvl>
    <w:lvl w:ilvl="7" w:tentative="1">
      <w:start w:val="1"/>
      <w:numFmt w:val="lowerLetter"/>
      <w:lvlText w:val="%8."/>
      <w:lvlJc w:val="left"/>
      <w:pPr>
        <w:ind w:left="5519" w:hanging="360"/>
      </w:pPr>
    </w:lvl>
    <w:lvl w:ilvl="8" w:tentative="1">
      <w:start w:val="1"/>
      <w:numFmt w:val="lowerRoman"/>
      <w:lvlText w:val="%9."/>
      <w:lvlJc w:val="right"/>
      <w:pPr>
        <w:ind w:left="6239" w:hanging="180"/>
      </w:pPr>
    </w:lvl>
  </w:abstractNum>
  <w:abstractNum w:abstractNumId="13">
    <w:nsid w:val="2B661F95"/>
    <w:multiLevelType w:val="hybridMultilevel"/>
    <w:tmpl w:val="9D64B4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BA484E"/>
    <w:multiLevelType w:val="hybridMultilevel"/>
    <w:tmpl w:val="4C8AA5BE"/>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33157528"/>
    <w:multiLevelType w:val="hybridMultilevel"/>
    <w:tmpl w:val="ED149B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434BD6"/>
    <w:multiLevelType w:val="hybridMultilevel"/>
    <w:tmpl w:val="B64AC1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DE4B3D"/>
    <w:multiLevelType w:val="hybridMultilevel"/>
    <w:tmpl w:val="231686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60E42D2"/>
    <w:multiLevelType w:val="hybridMultilevel"/>
    <w:tmpl w:val="5768C464"/>
    <w:lvl w:ilvl="0">
      <w:start w:val="1"/>
      <w:numFmt w:val="upperLetter"/>
      <w:lvlText w:val="%1."/>
      <w:lvlJc w:val="left"/>
      <w:pPr>
        <w:ind w:left="480" w:hanging="36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360" w:hanging="240"/>
      </w:pPr>
      <w:rPr>
        <w:rFonts w:ascii="Times New Roman" w:eastAsia="Times New Roman" w:hAnsi="Times New Roman" w:cs="Times New Roman" w:hint="default"/>
        <w:b/>
        <w:bCs/>
        <w:i w:val="0"/>
        <w:iCs w:val="0"/>
        <w:w w:val="100"/>
        <w:sz w:val="24"/>
        <w:szCs w:val="24"/>
        <w:lang w:val="en-US" w:eastAsia="en-US" w:bidi="ar-SA"/>
      </w:rPr>
    </w:lvl>
    <w:lvl w:ilvl="2">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1957" w:hanging="360"/>
      </w:pPr>
      <w:rPr>
        <w:rFonts w:hint="default"/>
        <w:lang w:val="en-US" w:eastAsia="en-US" w:bidi="ar-SA"/>
      </w:rPr>
    </w:lvl>
    <w:lvl w:ilvl="4">
      <w:start w:val="0"/>
      <w:numFmt w:val="bullet"/>
      <w:lvlText w:val="•"/>
      <w:lvlJc w:val="left"/>
      <w:pPr>
        <w:ind w:left="3075" w:hanging="360"/>
      </w:pPr>
      <w:rPr>
        <w:rFonts w:hint="default"/>
        <w:lang w:val="en-US" w:eastAsia="en-US" w:bidi="ar-SA"/>
      </w:rPr>
    </w:lvl>
    <w:lvl w:ilvl="5">
      <w:start w:val="0"/>
      <w:numFmt w:val="bullet"/>
      <w:lvlText w:val="•"/>
      <w:lvlJc w:val="left"/>
      <w:pPr>
        <w:ind w:left="4192" w:hanging="360"/>
      </w:pPr>
      <w:rPr>
        <w:rFonts w:hint="default"/>
        <w:lang w:val="en-US" w:eastAsia="en-US" w:bidi="ar-SA"/>
      </w:rPr>
    </w:lvl>
    <w:lvl w:ilvl="6">
      <w:start w:val="0"/>
      <w:numFmt w:val="bullet"/>
      <w:lvlText w:val="•"/>
      <w:lvlJc w:val="left"/>
      <w:pPr>
        <w:ind w:left="5310" w:hanging="360"/>
      </w:pPr>
      <w:rPr>
        <w:rFonts w:hint="default"/>
        <w:lang w:val="en-US" w:eastAsia="en-US" w:bidi="ar-SA"/>
      </w:rPr>
    </w:lvl>
    <w:lvl w:ilvl="7">
      <w:start w:val="0"/>
      <w:numFmt w:val="bullet"/>
      <w:lvlText w:val="•"/>
      <w:lvlJc w:val="left"/>
      <w:pPr>
        <w:ind w:left="6427" w:hanging="360"/>
      </w:pPr>
      <w:rPr>
        <w:rFonts w:hint="default"/>
        <w:lang w:val="en-US" w:eastAsia="en-US" w:bidi="ar-SA"/>
      </w:rPr>
    </w:lvl>
    <w:lvl w:ilvl="8">
      <w:start w:val="0"/>
      <w:numFmt w:val="bullet"/>
      <w:lvlText w:val="•"/>
      <w:lvlJc w:val="left"/>
      <w:pPr>
        <w:ind w:left="7545" w:hanging="360"/>
      </w:pPr>
      <w:rPr>
        <w:rFonts w:hint="default"/>
        <w:lang w:val="en-US" w:eastAsia="en-US" w:bidi="ar-SA"/>
      </w:rPr>
    </w:lvl>
  </w:abstractNum>
  <w:abstractNum w:abstractNumId="19">
    <w:nsid w:val="49D666E3"/>
    <w:multiLevelType w:val="hybridMultilevel"/>
    <w:tmpl w:val="3656FD44"/>
    <w:lvl w:ilvl="0">
      <w:start w:val="1"/>
      <w:numFmt w:val="bullet"/>
      <w:lvlText w:val=""/>
      <w:lvlJc w:val="left"/>
      <w:pPr>
        <w:ind w:left="1440" w:hanging="72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71A42DE"/>
    <w:multiLevelType w:val="hybridMultilevel"/>
    <w:tmpl w:val="A8BCDDB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DC8044A"/>
    <w:multiLevelType w:val="hybridMultilevel"/>
    <w:tmpl w:val="8794CF72"/>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nsid w:val="604F7549"/>
    <w:multiLevelType w:val="multilevel"/>
    <w:tmpl w:val="7972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B01A26"/>
    <w:multiLevelType w:val="multilevel"/>
    <w:tmpl w:val="B9BE4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2A4E1D"/>
    <w:multiLevelType w:val="multilevel"/>
    <w:tmpl w:val="C89A3A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854860"/>
    <w:multiLevelType w:val="hybridMultilevel"/>
    <w:tmpl w:val="E0D60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ED23931"/>
    <w:multiLevelType w:val="hybridMultilevel"/>
    <w:tmpl w:val="2512AC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7B37F1"/>
    <w:multiLevelType w:val="multilevel"/>
    <w:tmpl w:val="9ADEA6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7356FBC"/>
    <w:multiLevelType w:val="hybridMultilevel"/>
    <w:tmpl w:val="8E4096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A1D7002"/>
    <w:multiLevelType w:val="hybridMultilevel"/>
    <w:tmpl w:val="7DCEC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BA710FB"/>
    <w:multiLevelType w:val="hybridMultilevel"/>
    <w:tmpl w:val="BAA8566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E1E151F"/>
    <w:multiLevelType w:val="hybridMultilevel"/>
    <w:tmpl w:val="1ECA7F88"/>
    <w:lvl w:ilvl="0">
      <w:start w:val="1"/>
      <w:numFmt w:val="upperLetter"/>
      <w:pStyle w:val="Heading1"/>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483551417">
    <w:abstractNumId w:val="25"/>
  </w:num>
  <w:num w:numId="2" w16cid:durableId="1563322706">
    <w:abstractNumId w:val="31"/>
  </w:num>
  <w:num w:numId="3" w16cid:durableId="1179655626">
    <w:abstractNumId w:val="19"/>
  </w:num>
  <w:num w:numId="4" w16cid:durableId="615597361">
    <w:abstractNumId w:val="17"/>
  </w:num>
  <w:num w:numId="5" w16cid:durableId="1592664438">
    <w:abstractNumId w:val="20"/>
  </w:num>
  <w:num w:numId="6" w16cid:durableId="2111929691">
    <w:abstractNumId w:val="11"/>
  </w:num>
  <w:num w:numId="7" w16cid:durableId="1063023059">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4115256">
    <w:abstractNumId w:val="26"/>
  </w:num>
  <w:num w:numId="9" w16cid:durableId="1452625497">
    <w:abstractNumId w:val="28"/>
  </w:num>
  <w:num w:numId="10" w16cid:durableId="1825928214">
    <w:abstractNumId w:val="12"/>
  </w:num>
  <w:num w:numId="11" w16cid:durableId="13505277">
    <w:abstractNumId w:val="18"/>
  </w:num>
  <w:num w:numId="12" w16cid:durableId="499008609">
    <w:abstractNumId w:val="16"/>
  </w:num>
  <w:num w:numId="13" w16cid:durableId="28797935">
    <w:abstractNumId w:val="6"/>
  </w:num>
  <w:num w:numId="14" w16cid:durableId="1024555050">
    <w:abstractNumId w:val="10"/>
  </w:num>
  <w:num w:numId="15" w16cid:durableId="13073596">
    <w:abstractNumId w:val="29"/>
  </w:num>
  <w:num w:numId="16" w16cid:durableId="1367753050">
    <w:abstractNumId w:val="3"/>
  </w:num>
  <w:num w:numId="17" w16cid:durableId="2144078815">
    <w:abstractNumId w:val="9"/>
  </w:num>
  <w:num w:numId="18" w16cid:durableId="526523662">
    <w:abstractNumId w:val="5"/>
  </w:num>
  <w:num w:numId="19" w16cid:durableId="249118251">
    <w:abstractNumId w:val="22"/>
  </w:num>
  <w:num w:numId="20" w16cid:durableId="195582235">
    <w:abstractNumId w:val="24"/>
  </w:num>
  <w:num w:numId="21" w16cid:durableId="1627345737">
    <w:abstractNumId w:val="23"/>
  </w:num>
  <w:num w:numId="22" w16cid:durableId="528372431">
    <w:abstractNumId w:val="27"/>
  </w:num>
  <w:num w:numId="23" w16cid:durableId="143015695">
    <w:abstractNumId w:val="4"/>
  </w:num>
  <w:num w:numId="24" w16cid:durableId="1986275362">
    <w:abstractNumId w:val="1"/>
  </w:num>
  <w:num w:numId="25" w16cid:durableId="1080298898">
    <w:abstractNumId w:val="21"/>
  </w:num>
  <w:num w:numId="26" w16cid:durableId="1558937587">
    <w:abstractNumId w:val="8"/>
  </w:num>
  <w:num w:numId="27" w16cid:durableId="774137044">
    <w:abstractNumId w:val="14"/>
  </w:num>
  <w:num w:numId="28" w16cid:durableId="1440758607">
    <w:abstractNumId w:val="2"/>
  </w:num>
  <w:num w:numId="29" w16cid:durableId="1310355179">
    <w:abstractNumId w:val="0"/>
  </w:num>
  <w:num w:numId="30" w16cid:durableId="1011300383">
    <w:abstractNumId w:val="13"/>
  </w:num>
  <w:num w:numId="31" w16cid:durableId="1297834773">
    <w:abstractNumId w:val="15"/>
  </w:num>
  <w:num w:numId="32" w16cid:durableId="137179970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C8"/>
    <w:rsid w:val="00000165"/>
    <w:rsid w:val="00001C3A"/>
    <w:rsid w:val="00001EFB"/>
    <w:rsid w:val="0000252A"/>
    <w:rsid w:val="00002568"/>
    <w:rsid w:val="00002C3C"/>
    <w:rsid w:val="00002DEC"/>
    <w:rsid w:val="00003131"/>
    <w:rsid w:val="0000405B"/>
    <w:rsid w:val="00004102"/>
    <w:rsid w:val="00004415"/>
    <w:rsid w:val="00004640"/>
    <w:rsid w:val="0000508C"/>
    <w:rsid w:val="000053C8"/>
    <w:rsid w:val="00005583"/>
    <w:rsid w:val="000059B9"/>
    <w:rsid w:val="00005A76"/>
    <w:rsid w:val="00005AB2"/>
    <w:rsid w:val="00005BE7"/>
    <w:rsid w:val="000068B5"/>
    <w:rsid w:val="00006A26"/>
    <w:rsid w:val="00006D80"/>
    <w:rsid w:val="00006DF8"/>
    <w:rsid w:val="00007566"/>
    <w:rsid w:val="00007882"/>
    <w:rsid w:val="00007AC4"/>
    <w:rsid w:val="00007E4A"/>
    <w:rsid w:val="00010215"/>
    <w:rsid w:val="0001023F"/>
    <w:rsid w:val="000106B0"/>
    <w:rsid w:val="000106DF"/>
    <w:rsid w:val="000107E0"/>
    <w:rsid w:val="00010B8E"/>
    <w:rsid w:val="00010D4D"/>
    <w:rsid w:val="00010E63"/>
    <w:rsid w:val="00011D19"/>
    <w:rsid w:val="00012954"/>
    <w:rsid w:val="00012CA7"/>
    <w:rsid w:val="00013563"/>
    <w:rsid w:val="0001429A"/>
    <w:rsid w:val="000151EC"/>
    <w:rsid w:val="0001598B"/>
    <w:rsid w:val="00015A06"/>
    <w:rsid w:val="00016B46"/>
    <w:rsid w:val="00017150"/>
    <w:rsid w:val="00017521"/>
    <w:rsid w:val="000177AD"/>
    <w:rsid w:val="00017E36"/>
    <w:rsid w:val="00017E64"/>
    <w:rsid w:val="00017F14"/>
    <w:rsid w:val="000202BA"/>
    <w:rsid w:val="000204E5"/>
    <w:rsid w:val="00020F44"/>
    <w:rsid w:val="00021173"/>
    <w:rsid w:val="00021863"/>
    <w:rsid w:val="00021C09"/>
    <w:rsid w:val="0002242C"/>
    <w:rsid w:val="000231E7"/>
    <w:rsid w:val="00023706"/>
    <w:rsid w:val="00023813"/>
    <w:rsid w:val="00023C32"/>
    <w:rsid w:val="00023E62"/>
    <w:rsid w:val="00023F79"/>
    <w:rsid w:val="00023FCE"/>
    <w:rsid w:val="00024D03"/>
    <w:rsid w:val="00024DA2"/>
    <w:rsid w:val="00024E42"/>
    <w:rsid w:val="00024F49"/>
    <w:rsid w:val="0002534D"/>
    <w:rsid w:val="00025AE4"/>
    <w:rsid w:val="000261D6"/>
    <w:rsid w:val="0002628C"/>
    <w:rsid w:val="00026B8A"/>
    <w:rsid w:val="00026D4C"/>
    <w:rsid w:val="00026EC1"/>
    <w:rsid w:val="00026F5B"/>
    <w:rsid w:val="00026FC6"/>
    <w:rsid w:val="00027229"/>
    <w:rsid w:val="00027491"/>
    <w:rsid w:val="00027B70"/>
    <w:rsid w:val="00027D5E"/>
    <w:rsid w:val="00027E8D"/>
    <w:rsid w:val="000302C9"/>
    <w:rsid w:val="00030A61"/>
    <w:rsid w:val="00030F31"/>
    <w:rsid w:val="00031309"/>
    <w:rsid w:val="00031982"/>
    <w:rsid w:val="000319D3"/>
    <w:rsid w:val="0003225E"/>
    <w:rsid w:val="000328C0"/>
    <w:rsid w:val="00032DA6"/>
    <w:rsid w:val="00032E08"/>
    <w:rsid w:val="000332A8"/>
    <w:rsid w:val="00033487"/>
    <w:rsid w:val="0003357E"/>
    <w:rsid w:val="00033DDC"/>
    <w:rsid w:val="00033E6F"/>
    <w:rsid w:val="000341B3"/>
    <w:rsid w:val="000342A0"/>
    <w:rsid w:val="00034B9B"/>
    <w:rsid w:val="0003509C"/>
    <w:rsid w:val="000355C8"/>
    <w:rsid w:val="0003560C"/>
    <w:rsid w:val="00035B11"/>
    <w:rsid w:val="00035E8D"/>
    <w:rsid w:val="00035FB8"/>
    <w:rsid w:val="00036240"/>
    <w:rsid w:val="0003641D"/>
    <w:rsid w:val="0003667A"/>
    <w:rsid w:val="00037114"/>
    <w:rsid w:val="00037879"/>
    <w:rsid w:val="00037967"/>
    <w:rsid w:val="00037D33"/>
    <w:rsid w:val="0004019E"/>
    <w:rsid w:val="000408E9"/>
    <w:rsid w:val="00040A6B"/>
    <w:rsid w:val="00040D7C"/>
    <w:rsid w:val="00040F75"/>
    <w:rsid w:val="00040F89"/>
    <w:rsid w:val="000410F2"/>
    <w:rsid w:val="00041258"/>
    <w:rsid w:val="00041735"/>
    <w:rsid w:val="0004173A"/>
    <w:rsid w:val="00041754"/>
    <w:rsid w:val="000419A4"/>
    <w:rsid w:val="00041B34"/>
    <w:rsid w:val="00041FED"/>
    <w:rsid w:val="00042119"/>
    <w:rsid w:val="000423B5"/>
    <w:rsid w:val="0004261A"/>
    <w:rsid w:val="0004265D"/>
    <w:rsid w:val="00042FDB"/>
    <w:rsid w:val="00043125"/>
    <w:rsid w:val="0004339A"/>
    <w:rsid w:val="0004390C"/>
    <w:rsid w:val="00043A32"/>
    <w:rsid w:val="00043C7A"/>
    <w:rsid w:val="00043DAA"/>
    <w:rsid w:val="000444BB"/>
    <w:rsid w:val="0004482F"/>
    <w:rsid w:val="00044BD4"/>
    <w:rsid w:val="00045590"/>
    <w:rsid w:val="000458A6"/>
    <w:rsid w:val="00045AAD"/>
    <w:rsid w:val="00045E3A"/>
    <w:rsid w:val="00045E4D"/>
    <w:rsid w:val="0004648B"/>
    <w:rsid w:val="00047B49"/>
    <w:rsid w:val="00047BBA"/>
    <w:rsid w:val="00047C79"/>
    <w:rsid w:val="000504F1"/>
    <w:rsid w:val="0005052E"/>
    <w:rsid w:val="00050A36"/>
    <w:rsid w:val="00050CD8"/>
    <w:rsid w:val="00050DFE"/>
    <w:rsid w:val="000512D1"/>
    <w:rsid w:val="000521C7"/>
    <w:rsid w:val="00052479"/>
    <w:rsid w:val="00052C3B"/>
    <w:rsid w:val="0005352F"/>
    <w:rsid w:val="00053F7B"/>
    <w:rsid w:val="000540AD"/>
    <w:rsid w:val="00054131"/>
    <w:rsid w:val="00054229"/>
    <w:rsid w:val="0005438B"/>
    <w:rsid w:val="000551B4"/>
    <w:rsid w:val="000559E6"/>
    <w:rsid w:val="00055B24"/>
    <w:rsid w:val="00055D69"/>
    <w:rsid w:val="00055DF5"/>
    <w:rsid w:val="000560A8"/>
    <w:rsid w:val="000561F5"/>
    <w:rsid w:val="00056E32"/>
    <w:rsid w:val="00056F04"/>
    <w:rsid w:val="0005724B"/>
    <w:rsid w:val="00061463"/>
    <w:rsid w:val="00061A44"/>
    <w:rsid w:val="00061C55"/>
    <w:rsid w:val="000624B5"/>
    <w:rsid w:val="00062835"/>
    <w:rsid w:val="0006284E"/>
    <w:rsid w:val="00062872"/>
    <w:rsid w:val="00062912"/>
    <w:rsid w:val="00062D8B"/>
    <w:rsid w:val="00063007"/>
    <w:rsid w:val="000631AF"/>
    <w:rsid w:val="0006422D"/>
    <w:rsid w:val="00064A56"/>
    <w:rsid w:val="0006555A"/>
    <w:rsid w:val="0006694E"/>
    <w:rsid w:val="00066995"/>
    <w:rsid w:val="00066A7D"/>
    <w:rsid w:val="00067015"/>
    <w:rsid w:val="00067D90"/>
    <w:rsid w:val="00070487"/>
    <w:rsid w:val="00070525"/>
    <w:rsid w:val="00070A95"/>
    <w:rsid w:val="00070C95"/>
    <w:rsid w:val="00070C9E"/>
    <w:rsid w:val="00070CCC"/>
    <w:rsid w:val="00071073"/>
    <w:rsid w:val="00071CD2"/>
    <w:rsid w:val="000721D6"/>
    <w:rsid w:val="0007258D"/>
    <w:rsid w:val="0007292F"/>
    <w:rsid w:val="00072FDD"/>
    <w:rsid w:val="00073717"/>
    <w:rsid w:val="00073773"/>
    <w:rsid w:val="00073878"/>
    <w:rsid w:val="00074CE9"/>
    <w:rsid w:val="00074E2B"/>
    <w:rsid w:val="0007522A"/>
    <w:rsid w:val="00075362"/>
    <w:rsid w:val="00075A01"/>
    <w:rsid w:val="00075D01"/>
    <w:rsid w:val="00075F3F"/>
    <w:rsid w:val="00076140"/>
    <w:rsid w:val="000764C9"/>
    <w:rsid w:val="000768F3"/>
    <w:rsid w:val="000769F5"/>
    <w:rsid w:val="00076A2B"/>
    <w:rsid w:val="000772D1"/>
    <w:rsid w:val="000776CC"/>
    <w:rsid w:val="0008004F"/>
    <w:rsid w:val="0008005D"/>
    <w:rsid w:val="00080086"/>
    <w:rsid w:val="000800F7"/>
    <w:rsid w:val="00080200"/>
    <w:rsid w:val="000804A2"/>
    <w:rsid w:val="00080736"/>
    <w:rsid w:val="00080AB3"/>
    <w:rsid w:val="000814FD"/>
    <w:rsid w:val="000815F8"/>
    <w:rsid w:val="000817E8"/>
    <w:rsid w:val="000817F4"/>
    <w:rsid w:val="00081A26"/>
    <w:rsid w:val="0008237B"/>
    <w:rsid w:val="000826F6"/>
    <w:rsid w:val="00082DD4"/>
    <w:rsid w:val="000830B4"/>
    <w:rsid w:val="000831E7"/>
    <w:rsid w:val="0008353F"/>
    <w:rsid w:val="0008367A"/>
    <w:rsid w:val="00083A54"/>
    <w:rsid w:val="00083B7F"/>
    <w:rsid w:val="00083BC0"/>
    <w:rsid w:val="00083F3B"/>
    <w:rsid w:val="00084332"/>
    <w:rsid w:val="000844E9"/>
    <w:rsid w:val="00084682"/>
    <w:rsid w:val="00084B58"/>
    <w:rsid w:val="00085BF5"/>
    <w:rsid w:val="00085E5A"/>
    <w:rsid w:val="0008620F"/>
    <w:rsid w:val="0008625A"/>
    <w:rsid w:val="00086312"/>
    <w:rsid w:val="0008641D"/>
    <w:rsid w:val="000866FF"/>
    <w:rsid w:val="00086BDB"/>
    <w:rsid w:val="00087261"/>
    <w:rsid w:val="0008762C"/>
    <w:rsid w:val="00087B2D"/>
    <w:rsid w:val="00087FE5"/>
    <w:rsid w:val="00090440"/>
    <w:rsid w:val="00090479"/>
    <w:rsid w:val="00090946"/>
    <w:rsid w:val="00090F87"/>
    <w:rsid w:val="00091223"/>
    <w:rsid w:val="00091772"/>
    <w:rsid w:val="000925DB"/>
    <w:rsid w:val="00092715"/>
    <w:rsid w:val="00092BE1"/>
    <w:rsid w:val="00092D32"/>
    <w:rsid w:val="00093294"/>
    <w:rsid w:val="00093401"/>
    <w:rsid w:val="000935EE"/>
    <w:rsid w:val="00093609"/>
    <w:rsid w:val="00093BD7"/>
    <w:rsid w:val="0009402A"/>
    <w:rsid w:val="0009431E"/>
    <w:rsid w:val="00094523"/>
    <w:rsid w:val="000946AA"/>
    <w:rsid w:val="000946AB"/>
    <w:rsid w:val="00094830"/>
    <w:rsid w:val="0009551B"/>
    <w:rsid w:val="00095B72"/>
    <w:rsid w:val="00096244"/>
    <w:rsid w:val="00096ED5"/>
    <w:rsid w:val="00096F5C"/>
    <w:rsid w:val="00097CC7"/>
    <w:rsid w:val="000A03B1"/>
    <w:rsid w:val="000A04AD"/>
    <w:rsid w:val="000A0578"/>
    <w:rsid w:val="000A05A9"/>
    <w:rsid w:val="000A0792"/>
    <w:rsid w:val="000A086E"/>
    <w:rsid w:val="000A1543"/>
    <w:rsid w:val="000A236A"/>
    <w:rsid w:val="000A23AC"/>
    <w:rsid w:val="000A23F7"/>
    <w:rsid w:val="000A2A4F"/>
    <w:rsid w:val="000A2F08"/>
    <w:rsid w:val="000A37E6"/>
    <w:rsid w:val="000A3BFB"/>
    <w:rsid w:val="000A423C"/>
    <w:rsid w:val="000A476A"/>
    <w:rsid w:val="000A489B"/>
    <w:rsid w:val="000A49C4"/>
    <w:rsid w:val="000A4B17"/>
    <w:rsid w:val="000A4E5A"/>
    <w:rsid w:val="000A56AA"/>
    <w:rsid w:val="000A56D2"/>
    <w:rsid w:val="000A5806"/>
    <w:rsid w:val="000A5850"/>
    <w:rsid w:val="000A5E6E"/>
    <w:rsid w:val="000A5FCB"/>
    <w:rsid w:val="000A64BE"/>
    <w:rsid w:val="000A6799"/>
    <w:rsid w:val="000A67EE"/>
    <w:rsid w:val="000A70B1"/>
    <w:rsid w:val="000A712F"/>
    <w:rsid w:val="000A759C"/>
    <w:rsid w:val="000A7605"/>
    <w:rsid w:val="000A7BF2"/>
    <w:rsid w:val="000B0192"/>
    <w:rsid w:val="000B028B"/>
    <w:rsid w:val="000B0357"/>
    <w:rsid w:val="000B084A"/>
    <w:rsid w:val="000B1BEE"/>
    <w:rsid w:val="000B2044"/>
    <w:rsid w:val="000B22C0"/>
    <w:rsid w:val="000B267A"/>
    <w:rsid w:val="000B35D3"/>
    <w:rsid w:val="000B3D8E"/>
    <w:rsid w:val="000B4B86"/>
    <w:rsid w:val="000B5020"/>
    <w:rsid w:val="000B5716"/>
    <w:rsid w:val="000B6645"/>
    <w:rsid w:val="000B6A0B"/>
    <w:rsid w:val="000B78F3"/>
    <w:rsid w:val="000B7EEE"/>
    <w:rsid w:val="000B7FD2"/>
    <w:rsid w:val="000C0292"/>
    <w:rsid w:val="000C05E9"/>
    <w:rsid w:val="000C0C09"/>
    <w:rsid w:val="000C14CB"/>
    <w:rsid w:val="000C1627"/>
    <w:rsid w:val="000C1859"/>
    <w:rsid w:val="000C1BDF"/>
    <w:rsid w:val="000C1D72"/>
    <w:rsid w:val="000C231F"/>
    <w:rsid w:val="000C2782"/>
    <w:rsid w:val="000C288B"/>
    <w:rsid w:val="000C304E"/>
    <w:rsid w:val="000C3311"/>
    <w:rsid w:val="000C3D3E"/>
    <w:rsid w:val="000C3F81"/>
    <w:rsid w:val="000C4094"/>
    <w:rsid w:val="000C426A"/>
    <w:rsid w:val="000C51CE"/>
    <w:rsid w:val="000C6294"/>
    <w:rsid w:val="000C63D7"/>
    <w:rsid w:val="000C6523"/>
    <w:rsid w:val="000C6843"/>
    <w:rsid w:val="000C6B59"/>
    <w:rsid w:val="000C731B"/>
    <w:rsid w:val="000C734E"/>
    <w:rsid w:val="000C791A"/>
    <w:rsid w:val="000C7FCA"/>
    <w:rsid w:val="000D009B"/>
    <w:rsid w:val="000D0504"/>
    <w:rsid w:val="000D0928"/>
    <w:rsid w:val="000D095A"/>
    <w:rsid w:val="000D0D13"/>
    <w:rsid w:val="000D0E75"/>
    <w:rsid w:val="000D12AA"/>
    <w:rsid w:val="000D1446"/>
    <w:rsid w:val="000D1ECF"/>
    <w:rsid w:val="000D218C"/>
    <w:rsid w:val="000D2D92"/>
    <w:rsid w:val="000D41E1"/>
    <w:rsid w:val="000D44AD"/>
    <w:rsid w:val="000D48D9"/>
    <w:rsid w:val="000D4AA3"/>
    <w:rsid w:val="000D4D84"/>
    <w:rsid w:val="000D564C"/>
    <w:rsid w:val="000D5775"/>
    <w:rsid w:val="000D57E2"/>
    <w:rsid w:val="000D5E31"/>
    <w:rsid w:val="000D60A5"/>
    <w:rsid w:val="000D6558"/>
    <w:rsid w:val="000D68D0"/>
    <w:rsid w:val="000D69CD"/>
    <w:rsid w:val="000D6B9D"/>
    <w:rsid w:val="000D78C9"/>
    <w:rsid w:val="000D7F9D"/>
    <w:rsid w:val="000E00A5"/>
    <w:rsid w:val="000E00BF"/>
    <w:rsid w:val="000E075A"/>
    <w:rsid w:val="000E08D8"/>
    <w:rsid w:val="000E0E47"/>
    <w:rsid w:val="000E1F52"/>
    <w:rsid w:val="000E24F7"/>
    <w:rsid w:val="000E292F"/>
    <w:rsid w:val="000E33E8"/>
    <w:rsid w:val="000E3CD2"/>
    <w:rsid w:val="000E3F1E"/>
    <w:rsid w:val="000E3F30"/>
    <w:rsid w:val="000E4896"/>
    <w:rsid w:val="000E5499"/>
    <w:rsid w:val="000E6378"/>
    <w:rsid w:val="000E66DA"/>
    <w:rsid w:val="000E6AE7"/>
    <w:rsid w:val="000E6B17"/>
    <w:rsid w:val="000E6BEB"/>
    <w:rsid w:val="000E6CDF"/>
    <w:rsid w:val="000E7235"/>
    <w:rsid w:val="000E73B3"/>
    <w:rsid w:val="000F039C"/>
    <w:rsid w:val="000F0435"/>
    <w:rsid w:val="000F0A0B"/>
    <w:rsid w:val="000F0CDC"/>
    <w:rsid w:val="000F1671"/>
    <w:rsid w:val="000F291E"/>
    <w:rsid w:val="000F2B98"/>
    <w:rsid w:val="000F33BE"/>
    <w:rsid w:val="000F3471"/>
    <w:rsid w:val="000F3AA5"/>
    <w:rsid w:val="000F40A3"/>
    <w:rsid w:val="000F4BD4"/>
    <w:rsid w:val="000F5AA0"/>
    <w:rsid w:val="000F5DD3"/>
    <w:rsid w:val="000F6071"/>
    <w:rsid w:val="000F628E"/>
    <w:rsid w:val="000F6724"/>
    <w:rsid w:val="000F74CF"/>
    <w:rsid w:val="000F7622"/>
    <w:rsid w:val="000F7918"/>
    <w:rsid w:val="000F7A55"/>
    <w:rsid w:val="001001C7"/>
    <w:rsid w:val="001004AE"/>
    <w:rsid w:val="0010055F"/>
    <w:rsid w:val="0010092C"/>
    <w:rsid w:val="00100ED9"/>
    <w:rsid w:val="001010B8"/>
    <w:rsid w:val="001010C6"/>
    <w:rsid w:val="0010175F"/>
    <w:rsid w:val="00101996"/>
    <w:rsid w:val="00101CE9"/>
    <w:rsid w:val="001024C1"/>
    <w:rsid w:val="0010250A"/>
    <w:rsid w:val="00102599"/>
    <w:rsid w:val="001025C5"/>
    <w:rsid w:val="00102806"/>
    <w:rsid w:val="00102981"/>
    <w:rsid w:val="001031B5"/>
    <w:rsid w:val="00103B00"/>
    <w:rsid w:val="0010430A"/>
    <w:rsid w:val="00104317"/>
    <w:rsid w:val="001049EB"/>
    <w:rsid w:val="00104F56"/>
    <w:rsid w:val="001053C6"/>
    <w:rsid w:val="00105F93"/>
    <w:rsid w:val="00105FC8"/>
    <w:rsid w:val="00106C8D"/>
    <w:rsid w:val="0010763D"/>
    <w:rsid w:val="00107B6C"/>
    <w:rsid w:val="00107D8D"/>
    <w:rsid w:val="0011029C"/>
    <w:rsid w:val="00110755"/>
    <w:rsid w:val="00110CAE"/>
    <w:rsid w:val="00110E3E"/>
    <w:rsid w:val="0011192E"/>
    <w:rsid w:val="00111949"/>
    <w:rsid w:val="00111A69"/>
    <w:rsid w:val="00112123"/>
    <w:rsid w:val="00112B0E"/>
    <w:rsid w:val="001135CF"/>
    <w:rsid w:val="0011366E"/>
    <w:rsid w:val="001136A9"/>
    <w:rsid w:val="00113AC6"/>
    <w:rsid w:val="00114135"/>
    <w:rsid w:val="001142F0"/>
    <w:rsid w:val="00114513"/>
    <w:rsid w:val="001153E4"/>
    <w:rsid w:val="001159C6"/>
    <w:rsid w:val="00115B7C"/>
    <w:rsid w:val="00116062"/>
    <w:rsid w:val="001163D3"/>
    <w:rsid w:val="00116402"/>
    <w:rsid w:val="00116410"/>
    <w:rsid w:val="00116491"/>
    <w:rsid w:val="001165E6"/>
    <w:rsid w:val="00116890"/>
    <w:rsid w:val="00116C38"/>
    <w:rsid w:val="00117185"/>
    <w:rsid w:val="00117F0F"/>
    <w:rsid w:val="0012037F"/>
    <w:rsid w:val="00120493"/>
    <w:rsid w:val="00120722"/>
    <w:rsid w:val="00120C22"/>
    <w:rsid w:val="00120F4D"/>
    <w:rsid w:val="001210DA"/>
    <w:rsid w:val="00121961"/>
    <w:rsid w:val="00121E50"/>
    <w:rsid w:val="00122460"/>
    <w:rsid w:val="00123D33"/>
    <w:rsid w:val="00123F2C"/>
    <w:rsid w:val="00124048"/>
    <w:rsid w:val="0012445C"/>
    <w:rsid w:val="001254FC"/>
    <w:rsid w:val="00125743"/>
    <w:rsid w:val="001258BC"/>
    <w:rsid w:val="00125B31"/>
    <w:rsid w:val="00125FD8"/>
    <w:rsid w:val="001265BF"/>
    <w:rsid w:val="0012665E"/>
    <w:rsid w:val="001267F7"/>
    <w:rsid w:val="001269D2"/>
    <w:rsid w:val="00126C10"/>
    <w:rsid w:val="00127071"/>
    <w:rsid w:val="001270E4"/>
    <w:rsid w:val="00127BB8"/>
    <w:rsid w:val="00127C14"/>
    <w:rsid w:val="00127EE4"/>
    <w:rsid w:val="00127FD6"/>
    <w:rsid w:val="001307BB"/>
    <w:rsid w:val="001309BA"/>
    <w:rsid w:val="00130A7A"/>
    <w:rsid w:val="00130B64"/>
    <w:rsid w:val="001311E1"/>
    <w:rsid w:val="00131A85"/>
    <w:rsid w:val="00131CE3"/>
    <w:rsid w:val="001323C4"/>
    <w:rsid w:val="00132531"/>
    <w:rsid w:val="001329D0"/>
    <w:rsid w:val="001329E5"/>
    <w:rsid w:val="00132DE5"/>
    <w:rsid w:val="001338D7"/>
    <w:rsid w:val="00133E2D"/>
    <w:rsid w:val="00134A70"/>
    <w:rsid w:val="00134AD5"/>
    <w:rsid w:val="00134CA8"/>
    <w:rsid w:val="00134D11"/>
    <w:rsid w:val="00134DA5"/>
    <w:rsid w:val="00134EEC"/>
    <w:rsid w:val="00135BF5"/>
    <w:rsid w:val="00135C4A"/>
    <w:rsid w:val="00135D33"/>
    <w:rsid w:val="00136363"/>
    <w:rsid w:val="00136432"/>
    <w:rsid w:val="00137231"/>
    <w:rsid w:val="001372A5"/>
    <w:rsid w:val="00137FD5"/>
    <w:rsid w:val="001406E7"/>
    <w:rsid w:val="00140A24"/>
    <w:rsid w:val="0014106F"/>
    <w:rsid w:val="0014144A"/>
    <w:rsid w:val="00141592"/>
    <w:rsid w:val="00141904"/>
    <w:rsid w:val="00141976"/>
    <w:rsid w:val="00141D20"/>
    <w:rsid w:val="00141E31"/>
    <w:rsid w:val="001422B3"/>
    <w:rsid w:val="001422CD"/>
    <w:rsid w:val="00142D44"/>
    <w:rsid w:val="00142D90"/>
    <w:rsid w:val="0014313D"/>
    <w:rsid w:val="0014346E"/>
    <w:rsid w:val="00143F9A"/>
    <w:rsid w:val="0014560C"/>
    <w:rsid w:val="0014590D"/>
    <w:rsid w:val="00145E26"/>
    <w:rsid w:val="001462BF"/>
    <w:rsid w:val="00146B6C"/>
    <w:rsid w:val="00146BC0"/>
    <w:rsid w:val="001475E3"/>
    <w:rsid w:val="00150923"/>
    <w:rsid w:val="00151CB9"/>
    <w:rsid w:val="00151DAD"/>
    <w:rsid w:val="00151DD3"/>
    <w:rsid w:val="001522D6"/>
    <w:rsid w:val="001523EF"/>
    <w:rsid w:val="00152BE2"/>
    <w:rsid w:val="00152D5E"/>
    <w:rsid w:val="00153183"/>
    <w:rsid w:val="00153491"/>
    <w:rsid w:val="00153522"/>
    <w:rsid w:val="00153839"/>
    <w:rsid w:val="001539E1"/>
    <w:rsid w:val="00153A9C"/>
    <w:rsid w:val="00153B98"/>
    <w:rsid w:val="00153FA6"/>
    <w:rsid w:val="0015403D"/>
    <w:rsid w:val="00154183"/>
    <w:rsid w:val="001542C1"/>
    <w:rsid w:val="001547CB"/>
    <w:rsid w:val="00156DA0"/>
    <w:rsid w:val="00156E86"/>
    <w:rsid w:val="00156EBF"/>
    <w:rsid w:val="00157014"/>
    <w:rsid w:val="001571CF"/>
    <w:rsid w:val="0015736D"/>
    <w:rsid w:val="001575FF"/>
    <w:rsid w:val="00160229"/>
    <w:rsid w:val="00161138"/>
    <w:rsid w:val="00161666"/>
    <w:rsid w:val="00161B95"/>
    <w:rsid w:val="0016211B"/>
    <w:rsid w:val="00162158"/>
    <w:rsid w:val="00162193"/>
    <w:rsid w:val="001621C5"/>
    <w:rsid w:val="00162ACE"/>
    <w:rsid w:val="00162DD4"/>
    <w:rsid w:val="001630A5"/>
    <w:rsid w:val="0016364A"/>
    <w:rsid w:val="00163D30"/>
    <w:rsid w:val="0016451C"/>
    <w:rsid w:val="0016453C"/>
    <w:rsid w:val="0016503D"/>
    <w:rsid w:val="00165F1B"/>
    <w:rsid w:val="00166039"/>
    <w:rsid w:val="0016612D"/>
    <w:rsid w:val="0016675B"/>
    <w:rsid w:val="00166A69"/>
    <w:rsid w:val="001678ED"/>
    <w:rsid w:val="00167D8F"/>
    <w:rsid w:val="00167E0A"/>
    <w:rsid w:val="00171061"/>
    <w:rsid w:val="00171384"/>
    <w:rsid w:val="001713E8"/>
    <w:rsid w:val="0017196B"/>
    <w:rsid w:val="00171F27"/>
    <w:rsid w:val="0017271F"/>
    <w:rsid w:val="00172F03"/>
    <w:rsid w:val="0017365F"/>
    <w:rsid w:val="00173C25"/>
    <w:rsid w:val="001744A6"/>
    <w:rsid w:val="0017474D"/>
    <w:rsid w:val="00174A85"/>
    <w:rsid w:val="00174B52"/>
    <w:rsid w:val="00174B92"/>
    <w:rsid w:val="00175083"/>
    <w:rsid w:val="00175405"/>
    <w:rsid w:val="00175430"/>
    <w:rsid w:val="00175659"/>
    <w:rsid w:val="00175724"/>
    <w:rsid w:val="00175DF8"/>
    <w:rsid w:val="00176220"/>
    <w:rsid w:val="001769A5"/>
    <w:rsid w:val="00176BBE"/>
    <w:rsid w:val="00176C10"/>
    <w:rsid w:val="001774E9"/>
    <w:rsid w:val="001805B5"/>
    <w:rsid w:val="001805DA"/>
    <w:rsid w:val="00180825"/>
    <w:rsid w:val="00180B5E"/>
    <w:rsid w:val="00181032"/>
    <w:rsid w:val="0018157C"/>
    <w:rsid w:val="0018203F"/>
    <w:rsid w:val="00182412"/>
    <w:rsid w:val="001827C8"/>
    <w:rsid w:val="00182D3A"/>
    <w:rsid w:val="00183FBC"/>
    <w:rsid w:val="0018428E"/>
    <w:rsid w:val="0018523B"/>
    <w:rsid w:val="00185518"/>
    <w:rsid w:val="00186091"/>
    <w:rsid w:val="00186F74"/>
    <w:rsid w:val="00187FB8"/>
    <w:rsid w:val="001908BF"/>
    <w:rsid w:val="00190C87"/>
    <w:rsid w:val="001917DE"/>
    <w:rsid w:val="00191EED"/>
    <w:rsid w:val="001921B0"/>
    <w:rsid w:val="00192399"/>
    <w:rsid w:val="00192858"/>
    <w:rsid w:val="001928FF"/>
    <w:rsid w:val="00192C05"/>
    <w:rsid w:val="00193D45"/>
    <w:rsid w:val="00193D4A"/>
    <w:rsid w:val="00194564"/>
    <w:rsid w:val="00194E42"/>
    <w:rsid w:val="0019554F"/>
    <w:rsid w:val="001959C5"/>
    <w:rsid w:val="00195DF7"/>
    <w:rsid w:val="00195F3E"/>
    <w:rsid w:val="001961A3"/>
    <w:rsid w:val="0019636E"/>
    <w:rsid w:val="00196EF1"/>
    <w:rsid w:val="00197066"/>
    <w:rsid w:val="0019742B"/>
    <w:rsid w:val="00197449"/>
    <w:rsid w:val="00197663"/>
    <w:rsid w:val="00197766"/>
    <w:rsid w:val="001A02E6"/>
    <w:rsid w:val="001A0C24"/>
    <w:rsid w:val="001A1741"/>
    <w:rsid w:val="001A1873"/>
    <w:rsid w:val="001A1981"/>
    <w:rsid w:val="001A1A71"/>
    <w:rsid w:val="001A1E20"/>
    <w:rsid w:val="001A20D0"/>
    <w:rsid w:val="001A22FE"/>
    <w:rsid w:val="001A2848"/>
    <w:rsid w:val="001A2856"/>
    <w:rsid w:val="001A2A46"/>
    <w:rsid w:val="001A3050"/>
    <w:rsid w:val="001A32E3"/>
    <w:rsid w:val="001A3725"/>
    <w:rsid w:val="001A3747"/>
    <w:rsid w:val="001A3ECE"/>
    <w:rsid w:val="001A3FEA"/>
    <w:rsid w:val="001A43B2"/>
    <w:rsid w:val="001A4957"/>
    <w:rsid w:val="001A4A0B"/>
    <w:rsid w:val="001A4A9E"/>
    <w:rsid w:val="001A546E"/>
    <w:rsid w:val="001A5540"/>
    <w:rsid w:val="001A5800"/>
    <w:rsid w:val="001A60E9"/>
    <w:rsid w:val="001A6620"/>
    <w:rsid w:val="001A6CB6"/>
    <w:rsid w:val="001A6DF7"/>
    <w:rsid w:val="001A7877"/>
    <w:rsid w:val="001A7EB3"/>
    <w:rsid w:val="001A7F8A"/>
    <w:rsid w:val="001B0300"/>
    <w:rsid w:val="001B0430"/>
    <w:rsid w:val="001B0650"/>
    <w:rsid w:val="001B12C0"/>
    <w:rsid w:val="001B1640"/>
    <w:rsid w:val="001B1655"/>
    <w:rsid w:val="001B1856"/>
    <w:rsid w:val="001B19EF"/>
    <w:rsid w:val="001B1DBB"/>
    <w:rsid w:val="001B226D"/>
    <w:rsid w:val="001B2908"/>
    <w:rsid w:val="001B305D"/>
    <w:rsid w:val="001B3117"/>
    <w:rsid w:val="001B31CD"/>
    <w:rsid w:val="001B35CA"/>
    <w:rsid w:val="001B35F3"/>
    <w:rsid w:val="001B3E57"/>
    <w:rsid w:val="001B4215"/>
    <w:rsid w:val="001B4255"/>
    <w:rsid w:val="001B4860"/>
    <w:rsid w:val="001B4D9E"/>
    <w:rsid w:val="001B6548"/>
    <w:rsid w:val="001B6924"/>
    <w:rsid w:val="001B6FF2"/>
    <w:rsid w:val="001B7067"/>
    <w:rsid w:val="001B71BE"/>
    <w:rsid w:val="001B769E"/>
    <w:rsid w:val="001B77C2"/>
    <w:rsid w:val="001B7922"/>
    <w:rsid w:val="001B7A35"/>
    <w:rsid w:val="001C0255"/>
    <w:rsid w:val="001C03D3"/>
    <w:rsid w:val="001C05EC"/>
    <w:rsid w:val="001C07FD"/>
    <w:rsid w:val="001C0B7E"/>
    <w:rsid w:val="001C112D"/>
    <w:rsid w:val="001C1133"/>
    <w:rsid w:val="001C11E8"/>
    <w:rsid w:val="001C160D"/>
    <w:rsid w:val="001C19D9"/>
    <w:rsid w:val="001C203E"/>
    <w:rsid w:val="001C22B2"/>
    <w:rsid w:val="001C22FC"/>
    <w:rsid w:val="001C2573"/>
    <w:rsid w:val="001C2575"/>
    <w:rsid w:val="001C25CB"/>
    <w:rsid w:val="001C2A34"/>
    <w:rsid w:val="001C2A44"/>
    <w:rsid w:val="001C2FF0"/>
    <w:rsid w:val="001C301C"/>
    <w:rsid w:val="001C3656"/>
    <w:rsid w:val="001C3AB7"/>
    <w:rsid w:val="001C3B5C"/>
    <w:rsid w:val="001C42F8"/>
    <w:rsid w:val="001C43FA"/>
    <w:rsid w:val="001C492C"/>
    <w:rsid w:val="001C4E94"/>
    <w:rsid w:val="001C517C"/>
    <w:rsid w:val="001C69A2"/>
    <w:rsid w:val="001C7A55"/>
    <w:rsid w:val="001D0BFE"/>
    <w:rsid w:val="001D1099"/>
    <w:rsid w:val="001D1870"/>
    <w:rsid w:val="001D199A"/>
    <w:rsid w:val="001D228D"/>
    <w:rsid w:val="001D2378"/>
    <w:rsid w:val="001D2971"/>
    <w:rsid w:val="001D3DE3"/>
    <w:rsid w:val="001D4212"/>
    <w:rsid w:val="001D469D"/>
    <w:rsid w:val="001D5171"/>
    <w:rsid w:val="001D5179"/>
    <w:rsid w:val="001D56FB"/>
    <w:rsid w:val="001D6944"/>
    <w:rsid w:val="001D6A91"/>
    <w:rsid w:val="001D6DCE"/>
    <w:rsid w:val="001D70FF"/>
    <w:rsid w:val="001D710D"/>
    <w:rsid w:val="001D7AE0"/>
    <w:rsid w:val="001E0316"/>
    <w:rsid w:val="001E0404"/>
    <w:rsid w:val="001E0472"/>
    <w:rsid w:val="001E053F"/>
    <w:rsid w:val="001E0803"/>
    <w:rsid w:val="001E083E"/>
    <w:rsid w:val="001E1CA4"/>
    <w:rsid w:val="001E2C11"/>
    <w:rsid w:val="001E2C84"/>
    <w:rsid w:val="001E3366"/>
    <w:rsid w:val="001E3489"/>
    <w:rsid w:val="001E3938"/>
    <w:rsid w:val="001E3DA6"/>
    <w:rsid w:val="001E3E78"/>
    <w:rsid w:val="001E4236"/>
    <w:rsid w:val="001E44EB"/>
    <w:rsid w:val="001E460B"/>
    <w:rsid w:val="001E57DA"/>
    <w:rsid w:val="001E5D32"/>
    <w:rsid w:val="001E671A"/>
    <w:rsid w:val="001E68D6"/>
    <w:rsid w:val="001F01BA"/>
    <w:rsid w:val="001F05B8"/>
    <w:rsid w:val="001F0F4E"/>
    <w:rsid w:val="001F139E"/>
    <w:rsid w:val="001F1BE7"/>
    <w:rsid w:val="001F1C0F"/>
    <w:rsid w:val="001F1F6B"/>
    <w:rsid w:val="001F2030"/>
    <w:rsid w:val="001F245B"/>
    <w:rsid w:val="001F24D6"/>
    <w:rsid w:val="001F2C00"/>
    <w:rsid w:val="001F2E0D"/>
    <w:rsid w:val="001F30C9"/>
    <w:rsid w:val="001F3679"/>
    <w:rsid w:val="001F37B9"/>
    <w:rsid w:val="001F3AEB"/>
    <w:rsid w:val="001F3C5F"/>
    <w:rsid w:val="001F3D74"/>
    <w:rsid w:val="001F3D75"/>
    <w:rsid w:val="001F4302"/>
    <w:rsid w:val="001F4BF6"/>
    <w:rsid w:val="001F50DF"/>
    <w:rsid w:val="001F5A14"/>
    <w:rsid w:val="001F5E73"/>
    <w:rsid w:val="001F66A3"/>
    <w:rsid w:val="001F68BB"/>
    <w:rsid w:val="001F7119"/>
    <w:rsid w:val="001F7449"/>
    <w:rsid w:val="001F7599"/>
    <w:rsid w:val="001F7D0F"/>
    <w:rsid w:val="00200CC5"/>
    <w:rsid w:val="00200D0C"/>
    <w:rsid w:val="00200D34"/>
    <w:rsid w:val="0020187B"/>
    <w:rsid w:val="00201A29"/>
    <w:rsid w:val="00201C5E"/>
    <w:rsid w:val="002027E9"/>
    <w:rsid w:val="00202A0E"/>
    <w:rsid w:val="00202E7D"/>
    <w:rsid w:val="00202E9D"/>
    <w:rsid w:val="00202FB3"/>
    <w:rsid w:val="00204825"/>
    <w:rsid w:val="00204C31"/>
    <w:rsid w:val="00204EC6"/>
    <w:rsid w:val="002052EB"/>
    <w:rsid w:val="00205490"/>
    <w:rsid w:val="002056A3"/>
    <w:rsid w:val="00205AAE"/>
    <w:rsid w:val="00205BD7"/>
    <w:rsid w:val="00205C53"/>
    <w:rsid w:val="0020666C"/>
    <w:rsid w:val="0020749B"/>
    <w:rsid w:val="002075D9"/>
    <w:rsid w:val="00207636"/>
    <w:rsid w:val="0020770C"/>
    <w:rsid w:val="0020775C"/>
    <w:rsid w:val="0020779D"/>
    <w:rsid w:val="0020783F"/>
    <w:rsid w:val="00207C61"/>
    <w:rsid w:val="00210309"/>
    <w:rsid w:val="00210385"/>
    <w:rsid w:val="00210844"/>
    <w:rsid w:val="00210C94"/>
    <w:rsid w:val="00211138"/>
    <w:rsid w:val="00211AF6"/>
    <w:rsid w:val="00212136"/>
    <w:rsid w:val="00212171"/>
    <w:rsid w:val="002123CC"/>
    <w:rsid w:val="00213380"/>
    <w:rsid w:val="002135AD"/>
    <w:rsid w:val="0021364C"/>
    <w:rsid w:val="0021364D"/>
    <w:rsid w:val="00213C7B"/>
    <w:rsid w:val="00213EA7"/>
    <w:rsid w:val="00213ED4"/>
    <w:rsid w:val="00214834"/>
    <w:rsid w:val="00215B34"/>
    <w:rsid w:val="0021614F"/>
    <w:rsid w:val="00216FC4"/>
    <w:rsid w:val="0021767D"/>
    <w:rsid w:val="002179DE"/>
    <w:rsid w:val="00217CD5"/>
    <w:rsid w:val="00217D44"/>
    <w:rsid w:val="00217D7D"/>
    <w:rsid w:val="00217E5C"/>
    <w:rsid w:val="00220086"/>
    <w:rsid w:val="00220A66"/>
    <w:rsid w:val="00220C09"/>
    <w:rsid w:val="00220C1C"/>
    <w:rsid w:val="00220C57"/>
    <w:rsid w:val="00222582"/>
    <w:rsid w:val="00222CDB"/>
    <w:rsid w:val="0022343D"/>
    <w:rsid w:val="002235B5"/>
    <w:rsid w:val="0022368F"/>
    <w:rsid w:val="00223954"/>
    <w:rsid w:val="00223A07"/>
    <w:rsid w:val="00223B32"/>
    <w:rsid w:val="002240B5"/>
    <w:rsid w:val="002244C9"/>
    <w:rsid w:val="00224B4E"/>
    <w:rsid w:val="00224D63"/>
    <w:rsid w:val="00225144"/>
    <w:rsid w:val="00225BD2"/>
    <w:rsid w:val="00225BFB"/>
    <w:rsid w:val="00226EA4"/>
    <w:rsid w:val="002276B0"/>
    <w:rsid w:val="0022791B"/>
    <w:rsid w:val="00227A0E"/>
    <w:rsid w:val="00227CD6"/>
    <w:rsid w:val="00230106"/>
    <w:rsid w:val="0023038F"/>
    <w:rsid w:val="00230975"/>
    <w:rsid w:val="002313F8"/>
    <w:rsid w:val="002314A8"/>
    <w:rsid w:val="00231C0F"/>
    <w:rsid w:val="00231EB7"/>
    <w:rsid w:val="0023258B"/>
    <w:rsid w:val="002330DE"/>
    <w:rsid w:val="0023360C"/>
    <w:rsid w:val="00233CAB"/>
    <w:rsid w:val="00233D5C"/>
    <w:rsid w:val="00233F17"/>
    <w:rsid w:val="0023403C"/>
    <w:rsid w:val="0023409E"/>
    <w:rsid w:val="00234305"/>
    <w:rsid w:val="002346ED"/>
    <w:rsid w:val="0023471E"/>
    <w:rsid w:val="002348B1"/>
    <w:rsid w:val="00234B8E"/>
    <w:rsid w:val="00234DFC"/>
    <w:rsid w:val="00235017"/>
    <w:rsid w:val="00235241"/>
    <w:rsid w:val="0023535C"/>
    <w:rsid w:val="002359F4"/>
    <w:rsid w:val="00236BB1"/>
    <w:rsid w:val="00236EFD"/>
    <w:rsid w:val="00237049"/>
    <w:rsid w:val="0023737D"/>
    <w:rsid w:val="0023748F"/>
    <w:rsid w:val="002374DC"/>
    <w:rsid w:val="002375A4"/>
    <w:rsid w:val="002379D3"/>
    <w:rsid w:val="00237E3D"/>
    <w:rsid w:val="002400A4"/>
    <w:rsid w:val="002404E1"/>
    <w:rsid w:val="0024052F"/>
    <w:rsid w:val="002405A4"/>
    <w:rsid w:val="00240623"/>
    <w:rsid w:val="00240B8A"/>
    <w:rsid w:val="00240FA8"/>
    <w:rsid w:val="00241E4F"/>
    <w:rsid w:val="00242275"/>
    <w:rsid w:val="00242568"/>
    <w:rsid w:val="0024263B"/>
    <w:rsid w:val="0024278D"/>
    <w:rsid w:val="00242B9D"/>
    <w:rsid w:val="00242ED4"/>
    <w:rsid w:val="00243167"/>
    <w:rsid w:val="002437D8"/>
    <w:rsid w:val="00243BCF"/>
    <w:rsid w:val="00243BF7"/>
    <w:rsid w:val="00243C20"/>
    <w:rsid w:val="00243D3B"/>
    <w:rsid w:val="002448BE"/>
    <w:rsid w:val="00244E6A"/>
    <w:rsid w:val="00244F94"/>
    <w:rsid w:val="0024536E"/>
    <w:rsid w:val="002456D6"/>
    <w:rsid w:val="002458B3"/>
    <w:rsid w:val="00245BDD"/>
    <w:rsid w:val="00245BFE"/>
    <w:rsid w:val="00245C32"/>
    <w:rsid w:val="00245FAC"/>
    <w:rsid w:val="0024641E"/>
    <w:rsid w:val="00246923"/>
    <w:rsid w:val="00246B3F"/>
    <w:rsid w:val="00247409"/>
    <w:rsid w:val="00247412"/>
    <w:rsid w:val="002478ED"/>
    <w:rsid w:val="00247E8D"/>
    <w:rsid w:val="00250435"/>
    <w:rsid w:val="0025048A"/>
    <w:rsid w:val="002516C8"/>
    <w:rsid w:val="00251B58"/>
    <w:rsid w:val="002523BE"/>
    <w:rsid w:val="00252A63"/>
    <w:rsid w:val="00252AF7"/>
    <w:rsid w:val="00252B62"/>
    <w:rsid w:val="00252BC7"/>
    <w:rsid w:val="00253851"/>
    <w:rsid w:val="0025412D"/>
    <w:rsid w:val="00254492"/>
    <w:rsid w:val="002546E8"/>
    <w:rsid w:val="00254868"/>
    <w:rsid w:val="002551DB"/>
    <w:rsid w:val="002557B2"/>
    <w:rsid w:val="002558F3"/>
    <w:rsid w:val="00255CC9"/>
    <w:rsid w:val="00255D59"/>
    <w:rsid w:val="00256176"/>
    <w:rsid w:val="0025629C"/>
    <w:rsid w:val="002567CE"/>
    <w:rsid w:val="002572E5"/>
    <w:rsid w:val="00257C22"/>
    <w:rsid w:val="002608B7"/>
    <w:rsid w:val="002618B1"/>
    <w:rsid w:val="00261B1F"/>
    <w:rsid w:val="00261BE2"/>
    <w:rsid w:val="00262097"/>
    <w:rsid w:val="00262BB0"/>
    <w:rsid w:val="00262BE4"/>
    <w:rsid w:val="002638FA"/>
    <w:rsid w:val="00264627"/>
    <w:rsid w:val="00264A1A"/>
    <w:rsid w:val="00264A98"/>
    <w:rsid w:val="00264DBA"/>
    <w:rsid w:val="00265335"/>
    <w:rsid w:val="002654CD"/>
    <w:rsid w:val="00265619"/>
    <w:rsid w:val="00265654"/>
    <w:rsid w:val="002657B9"/>
    <w:rsid w:val="002662A4"/>
    <w:rsid w:val="00266523"/>
    <w:rsid w:val="00266AF4"/>
    <w:rsid w:val="00267278"/>
    <w:rsid w:val="00267D27"/>
    <w:rsid w:val="0027001D"/>
    <w:rsid w:val="00270358"/>
    <w:rsid w:val="00270E28"/>
    <w:rsid w:val="00270FA1"/>
    <w:rsid w:val="0027121F"/>
    <w:rsid w:val="00271379"/>
    <w:rsid w:val="00271759"/>
    <w:rsid w:val="00271ABD"/>
    <w:rsid w:val="00271C33"/>
    <w:rsid w:val="00271FE2"/>
    <w:rsid w:val="002723FB"/>
    <w:rsid w:val="00272575"/>
    <w:rsid w:val="00272BFD"/>
    <w:rsid w:val="00273122"/>
    <w:rsid w:val="0027373F"/>
    <w:rsid w:val="00273A35"/>
    <w:rsid w:val="00273D84"/>
    <w:rsid w:val="002741F0"/>
    <w:rsid w:val="00274317"/>
    <w:rsid w:val="002749C2"/>
    <w:rsid w:val="00274FA5"/>
    <w:rsid w:val="00275691"/>
    <w:rsid w:val="002756CF"/>
    <w:rsid w:val="002758D1"/>
    <w:rsid w:val="00275BA3"/>
    <w:rsid w:val="00275C07"/>
    <w:rsid w:val="002774D2"/>
    <w:rsid w:val="00277665"/>
    <w:rsid w:val="002776B8"/>
    <w:rsid w:val="00277923"/>
    <w:rsid w:val="00277ABA"/>
    <w:rsid w:val="00277B00"/>
    <w:rsid w:val="002801E3"/>
    <w:rsid w:val="002802A5"/>
    <w:rsid w:val="0028040F"/>
    <w:rsid w:val="00281828"/>
    <w:rsid w:val="002819C6"/>
    <w:rsid w:val="00281BE7"/>
    <w:rsid w:val="00281BFF"/>
    <w:rsid w:val="00281CAF"/>
    <w:rsid w:val="00281DAB"/>
    <w:rsid w:val="002821C2"/>
    <w:rsid w:val="002822DD"/>
    <w:rsid w:val="00282670"/>
    <w:rsid w:val="0028271B"/>
    <w:rsid w:val="002828E6"/>
    <w:rsid w:val="0028297B"/>
    <w:rsid w:val="00282CDD"/>
    <w:rsid w:val="00282FEC"/>
    <w:rsid w:val="002831A0"/>
    <w:rsid w:val="002831A9"/>
    <w:rsid w:val="00283416"/>
    <w:rsid w:val="00283C70"/>
    <w:rsid w:val="00283F94"/>
    <w:rsid w:val="00284175"/>
    <w:rsid w:val="00284338"/>
    <w:rsid w:val="00284666"/>
    <w:rsid w:val="00284737"/>
    <w:rsid w:val="002847D6"/>
    <w:rsid w:val="002848AA"/>
    <w:rsid w:val="00284AFB"/>
    <w:rsid w:val="00284FC0"/>
    <w:rsid w:val="002854DE"/>
    <w:rsid w:val="00285605"/>
    <w:rsid w:val="002858F9"/>
    <w:rsid w:val="00285BBF"/>
    <w:rsid w:val="002860D4"/>
    <w:rsid w:val="002864A6"/>
    <w:rsid w:val="002864C0"/>
    <w:rsid w:val="00286693"/>
    <w:rsid w:val="00286C0A"/>
    <w:rsid w:val="002878C8"/>
    <w:rsid w:val="00287AC0"/>
    <w:rsid w:val="00287D02"/>
    <w:rsid w:val="0029066A"/>
    <w:rsid w:val="00290850"/>
    <w:rsid w:val="0029089C"/>
    <w:rsid w:val="002908B1"/>
    <w:rsid w:val="002908D5"/>
    <w:rsid w:val="002922F6"/>
    <w:rsid w:val="002924D5"/>
    <w:rsid w:val="0029293D"/>
    <w:rsid w:val="00292B40"/>
    <w:rsid w:val="00293173"/>
    <w:rsid w:val="00293482"/>
    <w:rsid w:val="0029355F"/>
    <w:rsid w:val="002937B8"/>
    <w:rsid w:val="00293EDF"/>
    <w:rsid w:val="0029438B"/>
    <w:rsid w:val="00294485"/>
    <w:rsid w:val="00294743"/>
    <w:rsid w:val="00295279"/>
    <w:rsid w:val="0029559A"/>
    <w:rsid w:val="00295CC6"/>
    <w:rsid w:val="00295DFD"/>
    <w:rsid w:val="002960BE"/>
    <w:rsid w:val="00296605"/>
    <w:rsid w:val="00296CEB"/>
    <w:rsid w:val="002972FA"/>
    <w:rsid w:val="00297445"/>
    <w:rsid w:val="002976A7"/>
    <w:rsid w:val="002979B7"/>
    <w:rsid w:val="00297DEE"/>
    <w:rsid w:val="00297E74"/>
    <w:rsid w:val="00297F52"/>
    <w:rsid w:val="00297F70"/>
    <w:rsid w:val="002A02F7"/>
    <w:rsid w:val="002A033D"/>
    <w:rsid w:val="002A0A89"/>
    <w:rsid w:val="002A0EC7"/>
    <w:rsid w:val="002A0ED1"/>
    <w:rsid w:val="002A1273"/>
    <w:rsid w:val="002A1421"/>
    <w:rsid w:val="002A16F9"/>
    <w:rsid w:val="002A1984"/>
    <w:rsid w:val="002A1DBC"/>
    <w:rsid w:val="002A22C5"/>
    <w:rsid w:val="002A26AB"/>
    <w:rsid w:val="002A28FF"/>
    <w:rsid w:val="002A2BF5"/>
    <w:rsid w:val="002A2E31"/>
    <w:rsid w:val="002A317B"/>
    <w:rsid w:val="002A37C1"/>
    <w:rsid w:val="002A3864"/>
    <w:rsid w:val="002A3F89"/>
    <w:rsid w:val="002A4514"/>
    <w:rsid w:val="002A47C8"/>
    <w:rsid w:val="002A4864"/>
    <w:rsid w:val="002A4988"/>
    <w:rsid w:val="002A5B42"/>
    <w:rsid w:val="002A5EBC"/>
    <w:rsid w:val="002A5F5A"/>
    <w:rsid w:val="002A5FA9"/>
    <w:rsid w:val="002A651D"/>
    <w:rsid w:val="002A6CDE"/>
    <w:rsid w:val="002B0C89"/>
    <w:rsid w:val="002B0E8E"/>
    <w:rsid w:val="002B1160"/>
    <w:rsid w:val="002B1782"/>
    <w:rsid w:val="002B24AA"/>
    <w:rsid w:val="002B26E6"/>
    <w:rsid w:val="002B3A39"/>
    <w:rsid w:val="002B4307"/>
    <w:rsid w:val="002B44F1"/>
    <w:rsid w:val="002B4591"/>
    <w:rsid w:val="002B55F6"/>
    <w:rsid w:val="002B5B6D"/>
    <w:rsid w:val="002B6088"/>
    <w:rsid w:val="002B6154"/>
    <w:rsid w:val="002B6654"/>
    <w:rsid w:val="002B68BB"/>
    <w:rsid w:val="002B69A0"/>
    <w:rsid w:val="002B71DC"/>
    <w:rsid w:val="002B7609"/>
    <w:rsid w:val="002B7855"/>
    <w:rsid w:val="002B7DA9"/>
    <w:rsid w:val="002C04DA"/>
    <w:rsid w:val="002C0BA0"/>
    <w:rsid w:val="002C0E5A"/>
    <w:rsid w:val="002C1685"/>
    <w:rsid w:val="002C1B75"/>
    <w:rsid w:val="002C1BFD"/>
    <w:rsid w:val="002C1D38"/>
    <w:rsid w:val="002C1D71"/>
    <w:rsid w:val="002C2353"/>
    <w:rsid w:val="002C247F"/>
    <w:rsid w:val="002C2DA8"/>
    <w:rsid w:val="002C4230"/>
    <w:rsid w:val="002C4536"/>
    <w:rsid w:val="002C4666"/>
    <w:rsid w:val="002C4F36"/>
    <w:rsid w:val="002C556C"/>
    <w:rsid w:val="002C56FA"/>
    <w:rsid w:val="002C57A6"/>
    <w:rsid w:val="002C5AAF"/>
    <w:rsid w:val="002C5AE0"/>
    <w:rsid w:val="002C5D9D"/>
    <w:rsid w:val="002C6360"/>
    <w:rsid w:val="002C68CA"/>
    <w:rsid w:val="002C6B87"/>
    <w:rsid w:val="002C6CE9"/>
    <w:rsid w:val="002C6CEC"/>
    <w:rsid w:val="002C738A"/>
    <w:rsid w:val="002C73E5"/>
    <w:rsid w:val="002C77E9"/>
    <w:rsid w:val="002C7FE5"/>
    <w:rsid w:val="002D05A3"/>
    <w:rsid w:val="002D0662"/>
    <w:rsid w:val="002D0AD2"/>
    <w:rsid w:val="002D12A2"/>
    <w:rsid w:val="002D12C5"/>
    <w:rsid w:val="002D12F5"/>
    <w:rsid w:val="002D1868"/>
    <w:rsid w:val="002D18CA"/>
    <w:rsid w:val="002D1AD0"/>
    <w:rsid w:val="002D2EA4"/>
    <w:rsid w:val="002D3093"/>
    <w:rsid w:val="002D3310"/>
    <w:rsid w:val="002D39D7"/>
    <w:rsid w:val="002D3A8F"/>
    <w:rsid w:val="002D3CD6"/>
    <w:rsid w:val="002D4560"/>
    <w:rsid w:val="002D4B1C"/>
    <w:rsid w:val="002D5421"/>
    <w:rsid w:val="002D5B91"/>
    <w:rsid w:val="002D5ED4"/>
    <w:rsid w:val="002D687F"/>
    <w:rsid w:val="002D6B96"/>
    <w:rsid w:val="002D6EE9"/>
    <w:rsid w:val="002D6FF8"/>
    <w:rsid w:val="002D7701"/>
    <w:rsid w:val="002E06EE"/>
    <w:rsid w:val="002E0731"/>
    <w:rsid w:val="002E07FD"/>
    <w:rsid w:val="002E173C"/>
    <w:rsid w:val="002E195E"/>
    <w:rsid w:val="002E25A4"/>
    <w:rsid w:val="002E2760"/>
    <w:rsid w:val="002E3A8D"/>
    <w:rsid w:val="002E4836"/>
    <w:rsid w:val="002E4B7A"/>
    <w:rsid w:val="002E51F7"/>
    <w:rsid w:val="002E6E10"/>
    <w:rsid w:val="002E6FDE"/>
    <w:rsid w:val="002E7ADA"/>
    <w:rsid w:val="002E7BAE"/>
    <w:rsid w:val="002E7EB5"/>
    <w:rsid w:val="002F0092"/>
    <w:rsid w:val="002F0C03"/>
    <w:rsid w:val="002F1D74"/>
    <w:rsid w:val="002F1E84"/>
    <w:rsid w:val="002F2261"/>
    <w:rsid w:val="002F2366"/>
    <w:rsid w:val="002F2903"/>
    <w:rsid w:val="002F2AFF"/>
    <w:rsid w:val="002F331F"/>
    <w:rsid w:val="002F4181"/>
    <w:rsid w:val="002F44CD"/>
    <w:rsid w:val="002F4937"/>
    <w:rsid w:val="002F4FF8"/>
    <w:rsid w:val="002F512B"/>
    <w:rsid w:val="002F5586"/>
    <w:rsid w:val="002F5691"/>
    <w:rsid w:val="002F6B2C"/>
    <w:rsid w:val="002F6D3F"/>
    <w:rsid w:val="002F707D"/>
    <w:rsid w:val="002F7B5C"/>
    <w:rsid w:val="002F7CCC"/>
    <w:rsid w:val="00300195"/>
    <w:rsid w:val="00300463"/>
    <w:rsid w:val="00300563"/>
    <w:rsid w:val="003006E0"/>
    <w:rsid w:val="00300BC0"/>
    <w:rsid w:val="003013D0"/>
    <w:rsid w:val="003013E2"/>
    <w:rsid w:val="003013ED"/>
    <w:rsid w:val="0030176F"/>
    <w:rsid w:val="00301A42"/>
    <w:rsid w:val="003021FC"/>
    <w:rsid w:val="00302710"/>
    <w:rsid w:val="00302A4F"/>
    <w:rsid w:val="00302B79"/>
    <w:rsid w:val="0030313D"/>
    <w:rsid w:val="00303653"/>
    <w:rsid w:val="00304231"/>
    <w:rsid w:val="003043F6"/>
    <w:rsid w:val="003044E2"/>
    <w:rsid w:val="0030482F"/>
    <w:rsid w:val="003048CD"/>
    <w:rsid w:val="0030496E"/>
    <w:rsid w:val="00304CDC"/>
    <w:rsid w:val="00304D67"/>
    <w:rsid w:val="0030539C"/>
    <w:rsid w:val="003060B9"/>
    <w:rsid w:val="003062C0"/>
    <w:rsid w:val="00306770"/>
    <w:rsid w:val="0030682D"/>
    <w:rsid w:val="00306DFE"/>
    <w:rsid w:val="00307113"/>
    <w:rsid w:val="003104F7"/>
    <w:rsid w:val="00310767"/>
    <w:rsid w:val="00310805"/>
    <w:rsid w:val="00310FCA"/>
    <w:rsid w:val="003111E3"/>
    <w:rsid w:val="003113BE"/>
    <w:rsid w:val="003117EC"/>
    <w:rsid w:val="00311864"/>
    <w:rsid w:val="00311886"/>
    <w:rsid w:val="00311905"/>
    <w:rsid w:val="00311C34"/>
    <w:rsid w:val="00312201"/>
    <w:rsid w:val="00312C14"/>
    <w:rsid w:val="00312D09"/>
    <w:rsid w:val="00312E72"/>
    <w:rsid w:val="003137F6"/>
    <w:rsid w:val="00313A60"/>
    <w:rsid w:val="00313CC7"/>
    <w:rsid w:val="00313D18"/>
    <w:rsid w:val="0031412A"/>
    <w:rsid w:val="00314285"/>
    <w:rsid w:val="00314311"/>
    <w:rsid w:val="00314453"/>
    <w:rsid w:val="0031490A"/>
    <w:rsid w:val="00314911"/>
    <w:rsid w:val="0031495A"/>
    <w:rsid w:val="00314980"/>
    <w:rsid w:val="00314B4C"/>
    <w:rsid w:val="00314C9F"/>
    <w:rsid w:val="003157CD"/>
    <w:rsid w:val="00316B0F"/>
    <w:rsid w:val="00316B60"/>
    <w:rsid w:val="00316D55"/>
    <w:rsid w:val="003170DB"/>
    <w:rsid w:val="003171B1"/>
    <w:rsid w:val="00317227"/>
    <w:rsid w:val="003172B6"/>
    <w:rsid w:val="0031751A"/>
    <w:rsid w:val="0031766F"/>
    <w:rsid w:val="0031772A"/>
    <w:rsid w:val="00317926"/>
    <w:rsid w:val="003179C2"/>
    <w:rsid w:val="00317A94"/>
    <w:rsid w:val="00317B39"/>
    <w:rsid w:val="0032066F"/>
    <w:rsid w:val="00320674"/>
    <w:rsid w:val="0032120C"/>
    <w:rsid w:val="0032162E"/>
    <w:rsid w:val="003223BA"/>
    <w:rsid w:val="0032256F"/>
    <w:rsid w:val="003229A1"/>
    <w:rsid w:val="00322D3A"/>
    <w:rsid w:val="00323D7F"/>
    <w:rsid w:val="003244DD"/>
    <w:rsid w:val="00324588"/>
    <w:rsid w:val="00324C58"/>
    <w:rsid w:val="00324E9E"/>
    <w:rsid w:val="00324FFF"/>
    <w:rsid w:val="00325222"/>
    <w:rsid w:val="00326159"/>
    <w:rsid w:val="00326581"/>
    <w:rsid w:val="0032672A"/>
    <w:rsid w:val="00326B14"/>
    <w:rsid w:val="00326BEA"/>
    <w:rsid w:val="00326D21"/>
    <w:rsid w:val="0032771F"/>
    <w:rsid w:val="00327797"/>
    <w:rsid w:val="00327957"/>
    <w:rsid w:val="00327B66"/>
    <w:rsid w:val="003303D1"/>
    <w:rsid w:val="00330707"/>
    <w:rsid w:val="00330A7F"/>
    <w:rsid w:val="00331945"/>
    <w:rsid w:val="0033216D"/>
    <w:rsid w:val="00332528"/>
    <w:rsid w:val="003329A2"/>
    <w:rsid w:val="0033300E"/>
    <w:rsid w:val="003335BC"/>
    <w:rsid w:val="00333958"/>
    <w:rsid w:val="00333DC0"/>
    <w:rsid w:val="00334C12"/>
    <w:rsid w:val="003363D2"/>
    <w:rsid w:val="00336733"/>
    <w:rsid w:val="003367BF"/>
    <w:rsid w:val="00336E11"/>
    <w:rsid w:val="003409A3"/>
    <w:rsid w:val="00341547"/>
    <w:rsid w:val="00341678"/>
    <w:rsid w:val="00342596"/>
    <w:rsid w:val="003426D3"/>
    <w:rsid w:val="003426F2"/>
    <w:rsid w:val="00342709"/>
    <w:rsid w:val="00342E88"/>
    <w:rsid w:val="00342F65"/>
    <w:rsid w:val="003435EF"/>
    <w:rsid w:val="003439AA"/>
    <w:rsid w:val="00343EA9"/>
    <w:rsid w:val="0034415F"/>
    <w:rsid w:val="0034485B"/>
    <w:rsid w:val="00344929"/>
    <w:rsid w:val="00344B76"/>
    <w:rsid w:val="00345656"/>
    <w:rsid w:val="0034592E"/>
    <w:rsid w:val="00347871"/>
    <w:rsid w:val="00347D2D"/>
    <w:rsid w:val="00350E61"/>
    <w:rsid w:val="00351116"/>
    <w:rsid w:val="00351F26"/>
    <w:rsid w:val="00352026"/>
    <w:rsid w:val="0035225A"/>
    <w:rsid w:val="00352652"/>
    <w:rsid w:val="00352733"/>
    <w:rsid w:val="00352E85"/>
    <w:rsid w:val="0035326E"/>
    <w:rsid w:val="0035368E"/>
    <w:rsid w:val="00353AE7"/>
    <w:rsid w:val="00353ED3"/>
    <w:rsid w:val="00354107"/>
    <w:rsid w:val="0035432C"/>
    <w:rsid w:val="003544C9"/>
    <w:rsid w:val="0035470A"/>
    <w:rsid w:val="00354B31"/>
    <w:rsid w:val="00354CB2"/>
    <w:rsid w:val="00355584"/>
    <w:rsid w:val="003559D8"/>
    <w:rsid w:val="003560EE"/>
    <w:rsid w:val="0035617C"/>
    <w:rsid w:val="0035667B"/>
    <w:rsid w:val="003566AD"/>
    <w:rsid w:val="00356927"/>
    <w:rsid w:val="00357952"/>
    <w:rsid w:val="00357B3E"/>
    <w:rsid w:val="00357CF9"/>
    <w:rsid w:val="00360591"/>
    <w:rsid w:val="00360B94"/>
    <w:rsid w:val="00360FBE"/>
    <w:rsid w:val="00361F2A"/>
    <w:rsid w:val="00361FAA"/>
    <w:rsid w:val="003622FF"/>
    <w:rsid w:val="00362F6E"/>
    <w:rsid w:val="00363939"/>
    <w:rsid w:val="00363E8C"/>
    <w:rsid w:val="003643C1"/>
    <w:rsid w:val="00364916"/>
    <w:rsid w:val="00364E1B"/>
    <w:rsid w:val="0036616A"/>
    <w:rsid w:val="00366333"/>
    <w:rsid w:val="0036665F"/>
    <w:rsid w:val="003668AA"/>
    <w:rsid w:val="00366FAB"/>
    <w:rsid w:val="00367CA8"/>
    <w:rsid w:val="003700CF"/>
    <w:rsid w:val="00370ECE"/>
    <w:rsid w:val="00371317"/>
    <w:rsid w:val="003719D6"/>
    <w:rsid w:val="00371DE7"/>
    <w:rsid w:val="00372908"/>
    <w:rsid w:val="00372E64"/>
    <w:rsid w:val="003738FF"/>
    <w:rsid w:val="00374441"/>
    <w:rsid w:val="00374A95"/>
    <w:rsid w:val="00375208"/>
    <w:rsid w:val="00375896"/>
    <w:rsid w:val="00375C36"/>
    <w:rsid w:val="00375F46"/>
    <w:rsid w:val="00375FCD"/>
    <w:rsid w:val="00376135"/>
    <w:rsid w:val="00376781"/>
    <w:rsid w:val="00376F50"/>
    <w:rsid w:val="00376F55"/>
    <w:rsid w:val="0037747F"/>
    <w:rsid w:val="003775DB"/>
    <w:rsid w:val="003800BE"/>
    <w:rsid w:val="003808EE"/>
    <w:rsid w:val="00380951"/>
    <w:rsid w:val="00380D99"/>
    <w:rsid w:val="00381BF8"/>
    <w:rsid w:val="00381E69"/>
    <w:rsid w:val="00381EB2"/>
    <w:rsid w:val="0038200A"/>
    <w:rsid w:val="0038258D"/>
    <w:rsid w:val="00382E01"/>
    <w:rsid w:val="00383162"/>
    <w:rsid w:val="003834C3"/>
    <w:rsid w:val="00383BF9"/>
    <w:rsid w:val="00383E8E"/>
    <w:rsid w:val="0038405E"/>
    <w:rsid w:val="00384789"/>
    <w:rsid w:val="003847FD"/>
    <w:rsid w:val="00384B39"/>
    <w:rsid w:val="00384D28"/>
    <w:rsid w:val="00384EE2"/>
    <w:rsid w:val="00385353"/>
    <w:rsid w:val="00385458"/>
    <w:rsid w:val="0038552F"/>
    <w:rsid w:val="003859D5"/>
    <w:rsid w:val="003866B1"/>
    <w:rsid w:val="00386893"/>
    <w:rsid w:val="003877BB"/>
    <w:rsid w:val="003878DF"/>
    <w:rsid w:val="00387BCF"/>
    <w:rsid w:val="00387D92"/>
    <w:rsid w:val="00390632"/>
    <w:rsid w:val="003907CA"/>
    <w:rsid w:val="0039108D"/>
    <w:rsid w:val="00391917"/>
    <w:rsid w:val="00392275"/>
    <w:rsid w:val="003923B5"/>
    <w:rsid w:val="0039251D"/>
    <w:rsid w:val="003925B9"/>
    <w:rsid w:val="00392749"/>
    <w:rsid w:val="00392C70"/>
    <w:rsid w:val="00392E99"/>
    <w:rsid w:val="00393062"/>
    <w:rsid w:val="00393B88"/>
    <w:rsid w:val="003941E5"/>
    <w:rsid w:val="00394300"/>
    <w:rsid w:val="00394E9E"/>
    <w:rsid w:val="00395195"/>
    <w:rsid w:val="00395779"/>
    <w:rsid w:val="00395AC3"/>
    <w:rsid w:val="0039604F"/>
    <w:rsid w:val="00396539"/>
    <w:rsid w:val="00396784"/>
    <w:rsid w:val="00396B1B"/>
    <w:rsid w:val="00396EDF"/>
    <w:rsid w:val="00396F9E"/>
    <w:rsid w:val="00397A24"/>
    <w:rsid w:val="00397DC8"/>
    <w:rsid w:val="003A052C"/>
    <w:rsid w:val="003A0586"/>
    <w:rsid w:val="003A07FD"/>
    <w:rsid w:val="003A1000"/>
    <w:rsid w:val="003A13E4"/>
    <w:rsid w:val="003A16E4"/>
    <w:rsid w:val="003A1AD0"/>
    <w:rsid w:val="003A2022"/>
    <w:rsid w:val="003A2B1A"/>
    <w:rsid w:val="003A3640"/>
    <w:rsid w:val="003A398B"/>
    <w:rsid w:val="003A3C03"/>
    <w:rsid w:val="003A50B8"/>
    <w:rsid w:val="003A556B"/>
    <w:rsid w:val="003A5B7A"/>
    <w:rsid w:val="003A5BB0"/>
    <w:rsid w:val="003A613A"/>
    <w:rsid w:val="003A62B0"/>
    <w:rsid w:val="003A6421"/>
    <w:rsid w:val="003A7049"/>
    <w:rsid w:val="003A724E"/>
    <w:rsid w:val="003A769F"/>
    <w:rsid w:val="003A7817"/>
    <w:rsid w:val="003A7AA6"/>
    <w:rsid w:val="003A7F6E"/>
    <w:rsid w:val="003B01A4"/>
    <w:rsid w:val="003B0663"/>
    <w:rsid w:val="003B0AFC"/>
    <w:rsid w:val="003B0C15"/>
    <w:rsid w:val="003B13C3"/>
    <w:rsid w:val="003B17DD"/>
    <w:rsid w:val="003B1A58"/>
    <w:rsid w:val="003B1C70"/>
    <w:rsid w:val="003B2C2F"/>
    <w:rsid w:val="003B326C"/>
    <w:rsid w:val="003B33E1"/>
    <w:rsid w:val="003B3A2D"/>
    <w:rsid w:val="003B3D07"/>
    <w:rsid w:val="003B402F"/>
    <w:rsid w:val="003B4252"/>
    <w:rsid w:val="003B49D0"/>
    <w:rsid w:val="003B56A2"/>
    <w:rsid w:val="003B593D"/>
    <w:rsid w:val="003B5D4C"/>
    <w:rsid w:val="003B5EBA"/>
    <w:rsid w:val="003B6BC1"/>
    <w:rsid w:val="003B7057"/>
    <w:rsid w:val="003B78FC"/>
    <w:rsid w:val="003B790E"/>
    <w:rsid w:val="003B7A4D"/>
    <w:rsid w:val="003B7A72"/>
    <w:rsid w:val="003B7E71"/>
    <w:rsid w:val="003C0310"/>
    <w:rsid w:val="003C042B"/>
    <w:rsid w:val="003C0922"/>
    <w:rsid w:val="003C0F21"/>
    <w:rsid w:val="003C10D3"/>
    <w:rsid w:val="003C1C89"/>
    <w:rsid w:val="003C1DEE"/>
    <w:rsid w:val="003C2181"/>
    <w:rsid w:val="003C229A"/>
    <w:rsid w:val="003C22AA"/>
    <w:rsid w:val="003C23E5"/>
    <w:rsid w:val="003C28B1"/>
    <w:rsid w:val="003C2BEB"/>
    <w:rsid w:val="003C2CA6"/>
    <w:rsid w:val="003C2D71"/>
    <w:rsid w:val="003C320D"/>
    <w:rsid w:val="003C322C"/>
    <w:rsid w:val="003C3425"/>
    <w:rsid w:val="003C35DF"/>
    <w:rsid w:val="003C4AB4"/>
    <w:rsid w:val="003C4EA2"/>
    <w:rsid w:val="003C5087"/>
    <w:rsid w:val="003C51FD"/>
    <w:rsid w:val="003C5298"/>
    <w:rsid w:val="003C5A95"/>
    <w:rsid w:val="003C5AFF"/>
    <w:rsid w:val="003C5B82"/>
    <w:rsid w:val="003C5EFA"/>
    <w:rsid w:val="003C6196"/>
    <w:rsid w:val="003C63A0"/>
    <w:rsid w:val="003C6758"/>
    <w:rsid w:val="003C6FB9"/>
    <w:rsid w:val="003C7DF7"/>
    <w:rsid w:val="003D0144"/>
    <w:rsid w:val="003D0177"/>
    <w:rsid w:val="003D0ED7"/>
    <w:rsid w:val="003D1016"/>
    <w:rsid w:val="003D1726"/>
    <w:rsid w:val="003D1A44"/>
    <w:rsid w:val="003D1AE6"/>
    <w:rsid w:val="003D1E0D"/>
    <w:rsid w:val="003D1E9F"/>
    <w:rsid w:val="003D2721"/>
    <w:rsid w:val="003D2772"/>
    <w:rsid w:val="003D278A"/>
    <w:rsid w:val="003D2D53"/>
    <w:rsid w:val="003D2D67"/>
    <w:rsid w:val="003D398D"/>
    <w:rsid w:val="003D430F"/>
    <w:rsid w:val="003D4498"/>
    <w:rsid w:val="003D456C"/>
    <w:rsid w:val="003D4625"/>
    <w:rsid w:val="003D49AF"/>
    <w:rsid w:val="003D4A89"/>
    <w:rsid w:val="003D4B2D"/>
    <w:rsid w:val="003D4B83"/>
    <w:rsid w:val="003D4C98"/>
    <w:rsid w:val="003D5BF8"/>
    <w:rsid w:val="003D6277"/>
    <w:rsid w:val="003D63B3"/>
    <w:rsid w:val="003D669D"/>
    <w:rsid w:val="003D6F08"/>
    <w:rsid w:val="003D6F7E"/>
    <w:rsid w:val="003D723E"/>
    <w:rsid w:val="003D73D6"/>
    <w:rsid w:val="003D7524"/>
    <w:rsid w:val="003D7DF9"/>
    <w:rsid w:val="003E00E0"/>
    <w:rsid w:val="003E020C"/>
    <w:rsid w:val="003E03C0"/>
    <w:rsid w:val="003E03D6"/>
    <w:rsid w:val="003E09F7"/>
    <w:rsid w:val="003E0D14"/>
    <w:rsid w:val="003E1562"/>
    <w:rsid w:val="003E1A35"/>
    <w:rsid w:val="003E1BBB"/>
    <w:rsid w:val="003E2359"/>
    <w:rsid w:val="003E244D"/>
    <w:rsid w:val="003E252F"/>
    <w:rsid w:val="003E254B"/>
    <w:rsid w:val="003E26D0"/>
    <w:rsid w:val="003E2C31"/>
    <w:rsid w:val="003E2E35"/>
    <w:rsid w:val="003E33C7"/>
    <w:rsid w:val="003E36A5"/>
    <w:rsid w:val="003E3815"/>
    <w:rsid w:val="003E3FEF"/>
    <w:rsid w:val="003E41EB"/>
    <w:rsid w:val="003E4361"/>
    <w:rsid w:val="003E5313"/>
    <w:rsid w:val="003E5B42"/>
    <w:rsid w:val="003E5DF5"/>
    <w:rsid w:val="003E64F2"/>
    <w:rsid w:val="003E7442"/>
    <w:rsid w:val="003F02A3"/>
    <w:rsid w:val="003F0428"/>
    <w:rsid w:val="003F0941"/>
    <w:rsid w:val="003F16AD"/>
    <w:rsid w:val="003F186B"/>
    <w:rsid w:val="003F1D95"/>
    <w:rsid w:val="003F2BB2"/>
    <w:rsid w:val="003F2D49"/>
    <w:rsid w:val="003F3424"/>
    <w:rsid w:val="003F34C4"/>
    <w:rsid w:val="003F3C11"/>
    <w:rsid w:val="003F4327"/>
    <w:rsid w:val="003F43E7"/>
    <w:rsid w:val="003F44C0"/>
    <w:rsid w:val="003F4AB1"/>
    <w:rsid w:val="003F4CEB"/>
    <w:rsid w:val="003F4E15"/>
    <w:rsid w:val="003F4F32"/>
    <w:rsid w:val="003F69CD"/>
    <w:rsid w:val="003F69D4"/>
    <w:rsid w:val="003F6C25"/>
    <w:rsid w:val="003F7371"/>
    <w:rsid w:val="003F73B8"/>
    <w:rsid w:val="003F7A12"/>
    <w:rsid w:val="003F7D6F"/>
    <w:rsid w:val="00400345"/>
    <w:rsid w:val="00400BB2"/>
    <w:rsid w:val="00400E2E"/>
    <w:rsid w:val="00400EDE"/>
    <w:rsid w:val="00401C55"/>
    <w:rsid w:val="00401D64"/>
    <w:rsid w:val="0040207F"/>
    <w:rsid w:val="004020D5"/>
    <w:rsid w:val="00402397"/>
    <w:rsid w:val="00402B7B"/>
    <w:rsid w:val="004030A1"/>
    <w:rsid w:val="0040325E"/>
    <w:rsid w:val="004034B7"/>
    <w:rsid w:val="00403C6F"/>
    <w:rsid w:val="00404014"/>
    <w:rsid w:val="00404BC6"/>
    <w:rsid w:val="00404FD3"/>
    <w:rsid w:val="00405B4B"/>
    <w:rsid w:val="00405BA0"/>
    <w:rsid w:val="00405F4E"/>
    <w:rsid w:val="004060CE"/>
    <w:rsid w:val="00406380"/>
    <w:rsid w:val="004064AF"/>
    <w:rsid w:val="00406583"/>
    <w:rsid w:val="00406CD2"/>
    <w:rsid w:val="00406F95"/>
    <w:rsid w:val="004079B2"/>
    <w:rsid w:val="00407D6F"/>
    <w:rsid w:val="004104AB"/>
    <w:rsid w:val="004105DD"/>
    <w:rsid w:val="00410DEF"/>
    <w:rsid w:val="00410E61"/>
    <w:rsid w:val="00410E94"/>
    <w:rsid w:val="00411B22"/>
    <w:rsid w:val="00411E27"/>
    <w:rsid w:val="004120DC"/>
    <w:rsid w:val="0041275B"/>
    <w:rsid w:val="004127D0"/>
    <w:rsid w:val="00412B7E"/>
    <w:rsid w:val="004135BE"/>
    <w:rsid w:val="004138E9"/>
    <w:rsid w:val="00414C3E"/>
    <w:rsid w:val="00415667"/>
    <w:rsid w:val="004157C3"/>
    <w:rsid w:val="00415CC6"/>
    <w:rsid w:val="004162A3"/>
    <w:rsid w:val="00416479"/>
    <w:rsid w:val="00416814"/>
    <w:rsid w:val="00416AA6"/>
    <w:rsid w:val="00416AC6"/>
    <w:rsid w:val="004175D3"/>
    <w:rsid w:val="004176B1"/>
    <w:rsid w:val="0041781C"/>
    <w:rsid w:val="004179E0"/>
    <w:rsid w:val="00417B62"/>
    <w:rsid w:val="00417BAB"/>
    <w:rsid w:val="00417DDB"/>
    <w:rsid w:val="004202F1"/>
    <w:rsid w:val="0042082D"/>
    <w:rsid w:val="00421A30"/>
    <w:rsid w:val="00422693"/>
    <w:rsid w:val="00422759"/>
    <w:rsid w:val="00422923"/>
    <w:rsid w:val="00422A83"/>
    <w:rsid w:val="00422E80"/>
    <w:rsid w:val="004232DF"/>
    <w:rsid w:val="00423340"/>
    <w:rsid w:val="004236AF"/>
    <w:rsid w:val="0042414D"/>
    <w:rsid w:val="004244B9"/>
    <w:rsid w:val="00424551"/>
    <w:rsid w:val="00424ECD"/>
    <w:rsid w:val="004250CD"/>
    <w:rsid w:val="004251E1"/>
    <w:rsid w:val="00425A32"/>
    <w:rsid w:val="00425EAE"/>
    <w:rsid w:val="004261F7"/>
    <w:rsid w:val="004265B7"/>
    <w:rsid w:val="004266AE"/>
    <w:rsid w:val="00426F3A"/>
    <w:rsid w:val="004270B8"/>
    <w:rsid w:val="0042726C"/>
    <w:rsid w:val="00427503"/>
    <w:rsid w:val="00427AE5"/>
    <w:rsid w:val="00427B76"/>
    <w:rsid w:val="00427D34"/>
    <w:rsid w:val="004301BA"/>
    <w:rsid w:val="004305C4"/>
    <w:rsid w:val="00430ADE"/>
    <w:rsid w:val="00430E87"/>
    <w:rsid w:val="0043137A"/>
    <w:rsid w:val="004313F5"/>
    <w:rsid w:val="00431C73"/>
    <w:rsid w:val="00431F3C"/>
    <w:rsid w:val="004321F0"/>
    <w:rsid w:val="00432209"/>
    <w:rsid w:val="00432614"/>
    <w:rsid w:val="00432B9D"/>
    <w:rsid w:val="0043315C"/>
    <w:rsid w:val="00433480"/>
    <w:rsid w:val="004337D1"/>
    <w:rsid w:val="00433853"/>
    <w:rsid w:val="00433E9A"/>
    <w:rsid w:val="004342F2"/>
    <w:rsid w:val="00434961"/>
    <w:rsid w:val="0043552B"/>
    <w:rsid w:val="00435E28"/>
    <w:rsid w:val="00435F8A"/>
    <w:rsid w:val="00435FE8"/>
    <w:rsid w:val="00437266"/>
    <w:rsid w:val="00437FA1"/>
    <w:rsid w:val="00440113"/>
    <w:rsid w:val="00440180"/>
    <w:rsid w:val="004401FE"/>
    <w:rsid w:val="0044076E"/>
    <w:rsid w:val="004407FA"/>
    <w:rsid w:val="00441636"/>
    <w:rsid w:val="004417D3"/>
    <w:rsid w:val="00441898"/>
    <w:rsid w:val="00441C45"/>
    <w:rsid w:val="004429DF"/>
    <w:rsid w:val="004429E9"/>
    <w:rsid w:val="00442BD2"/>
    <w:rsid w:val="00442CC1"/>
    <w:rsid w:val="004430C2"/>
    <w:rsid w:val="004438E0"/>
    <w:rsid w:val="00443BB8"/>
    <w:rsid w:val="00443EE3"/>
    <w:rsid w:val="0044458D"/>
    <w:rsid w:val="00444610"/>
    <w:rsid w:val="00445428"/>
    <w:rsid w:val="00446182"/>
    <w:rsid w:val="004462D9"/>
    <w:rsid w:val="00446373"/>
    <w:rsid w:val="00446465"/>
    <w:rsid w:val="00446D52"/>
    <w:rsid w:val="00447803"/>
    <w:rsid w:val="00447B91"/>
    <w:rsid w:val="00450640"/>
    <w:rsid w:val="00450A32"/>
    <w:rsid w:val="00450EC6"/>
    <w:rsid w:val="00451131"/>
    <w:rsid w:val="004511BF"/>
    <w:rsid w:val="00451555"/>
    <w:rsid w:val="004521B1"/>
    <w:rsid w:val="004529E3"/>
    <w:rsid w:val="00452C2D"/>
    <w:rsid w:val="004530A3"/>
    <w:rsid w:val="00453730"/>
    <w:rsid w:val="00453C05"/>
    <w:rsid w:val="00453F6A"/>
    <w:rsid w:val="004549B0"/>
    <w:rsid w:val="00454C08"/>
    <w:rsid w:val="00454F3C"/>
    <w:rsid w:val="00455709"/>
    <w:rsid w:val="00456E2C"/>
    <w:rsid w:val="00456E65"/>
    <w:rsid w:val="004601F2"/>
    <w:rsid w:val="00460BC5"/>
    <w:rsid w:val="00460D00"/>
    <w:rsid w:val="004616CF"/>
    <w:rsid w:val="004618A0"/>
    <w:rsid w:val="00461AD7"/>
    <w:rsid w:val="00461B75"/>
    <w:rsid w:val="00461FE9"/>
    <w:rsid w:val="004622FF"/>
    <w:rsid w:val="00462577"/>
    <w:rsid w:val="0046268C"/>
    <w:rsid w:val="00462E13"/>
    <w:rsid w:val="00462F32"/>
    <w:rsid w:val="00462F9A"/>
    <w:rsid w:val="0046329D"/>
    <w:rsid w:val="00463601"/>
    <w:rsid w:val="00463B51"/>
    <w:rsid w:val="00463BF8"/>
    <w:rsid w:val="004642B5"/>
    <w:rsid w:val="004646A2"/>
    <w:rsid w:val="0046486D"/>
    <w:rsid w:val="00464A7D"/>
    <w:rsid w:val="00464CBB"/>
    <w:rsid w:val="00464FDA"/>
    <w:rsid w:val="00465A99"/>
    <w:rsid w:val="00465B12"/>
    <w:rsid w:val="00465D73"/>
    <w:rsid w:val="0046603E"/>
    <w:rsid w:val="00466CA0"/>
    <w:rsid w:val="0046714C"/>
    <w:rsid w:val="00467276"/>
    <w:rsid w:val="00467453"/>
    <w:rsid w:val="00467523"/>
    <w:rsid w:val="00467593"/>
    <w:rsid w:val="0046794F"/>
    <w:rsid w:val="00467D83"/>
    <w:rsid w:val="004703C9"/>
    <w:rsid w:val="004705B5"/>
    <w:rsid w:val="004707CA"/>
    <w:rsid w:val="00471006"/>
    <w:rsid w:val="004718A9"/>
    <w:rsid w:val="00471988"/>
    <w:rsid w:val="004725A1"/>
    <w:rsid w:val="004729A3"/>
    <w:rsid w:val="00472AC3"/>
    <w:rsid w:val="00472CE8"/>
    <w:rsid w:val="00473256"/>
    <w:rsid w:val="0047326B"/>
    <w:rsid w:val="004739E4"/>
    <w:rsid w:val="00473D7A"/>
    <w:rsid w:val="0047411B"/>
    <w:rsid w:val="004745F0"/>
    <w:rsid w:val="00474712"/>
    <w:rsid w:val="00474A56"/>
    <w:rsid w:val="004750DE"/>
    <w:rsid w:val="00475B02"/>
    <w:rsid w:val="00475C9A"/>
    <w:rsid w:val="0047721A"/>
    <w:rsid w:val="004778CF"/>
    <w:rsid w:val="00480155"/>
    <w:rsid w:val="0048022B"/>
    <w:rsid w:val="0048093C"/>
    <w:rsid w:val="00481144"/>
    <w:rsid w:val="00481268"/>
    <w:rsid w:val="004827DA"/>
    <w:rsid w:val="00482DBF"/>
    <w:rsid w:val="00483C67"/>
    <w:rsid w:val="0048438F"/>
    <w:rsid w:val="004847C1"/>
    <w:rsid w:val="004851DA"/>
    <w:rsid w:val="004852BC"/>
    <w:rsid w:val="004853C4"/>
    <w:rsid w:val="0048557C"/>
    <w:rsid w:val="004856F4"/>
    <w:rsid w:val="00485A4D"/>
    <w:rsid w:val="004863CD"/>
    <w:rsid w:val="0048645B"/>
    <w:rsid w:val="004865AC"/>
    <w:rsid w:val="00486BE3"/>
    <w:rsid w:val="00486D1A"/>
    <w:rsid w:val="004873C5"/>
    <w:rsid w:val="0048758A"/>
    <w:rsid w:val="00487F32"/>
    <w:rsid w:val="00490000"/>
    <w:rsid w:val="0049048A"/>
    <w:rsid w:val="00490851"/>
    <w:rsid w:val="00490E46"/>
    <w:rsid w:val="00491400"/>
    <w:rsid w:val="00491A81"/>
    <w:rsid w:val="00492003"/>
    <w:rsid w:val="00492786"/>
    <w:rsid w:val="004928E8"/>
    <w:rsid w:val="00492B68"/>
    <w:rsid w:val="00492FF6"/>
    <w:rsid w:val="004934A5"/>
    <w:rsid w:val="004938F6"/>
    <w:rsid w:val="004945B5"/>
    <w:rsid w:val="004945FC"/>
    <w:rsid w:val="00494851"/>
    <w:rsid w:val="00494F23"/>
    <w:rsid w:val="004957DB"/>
    <w:rsid w:val="00495B18"/>
    <w:rsid w:val="00495C4F"/>
    <w:rsid w:val="00495D0D"/>
    <w:rsid w:val="0049610F"/>
    <w:rsid w:val="00496ACE"/>
    <w:rsid w:val="00496EEB"/>
    <w:rsid w:val="004974E7"/>
    <w:rsid w:val="004975F2"/>
    <w:rsid w:val="004A016C"/>
    <w:rsid w:val="004A027E"/>
    <w:rsid w:val="004A061C"/>
    <w:rsid w:val="004A0EF8"/>
    <w:rsid w:val="004A1104"/>
    <w:rsid w:val="004A110E"/>
    <w:rsid w:val="004A19BD"/>
    <w:rsid w:val="004A1C91"/>
    <w:rsid w:val="004A1E16"/>
    <w:rsid w:val="004A1F18"/>
    <w:rsid w:val="004A21DD"/>
    <w:rsid w:val="004A2984"/>
    <w:rsid w:val="004A2BC5"/>
    <w:rsid w:val="004A30B5"/>
    <w:rsid w:val="004A3170"/>
    <w:rsid w:val="004A38A3"/>
    <w:rsid w:val="004A3B11"/>
    <w:rsid w:val="004A3B35"/>
    <w:rsid w:val="004A3CCE"/>
    <w:rsid w:val="004A436A"/>
    <w:rsid w:val="004A4945"/>
    <w:rsid w:val="004A4DFD"/>
    <w:rsid w:val="004A5014"/>
    <w:rsid w:val="004A555E"/>
    <w:rsid w:val="004A5879"/>
    <w:rsid w:val="004A59E1"/>
    <w:rsid w:val="004A5EEB"/>
    <w:rsid w:val="004A6071"/>
    <w:rsid w:val="004A6281"/>
    <w:rsid w:val="004A6608"/>
    <w:rsid w:val="004A6EB3"/>
    <w:rsid w:val="004A7659"/>
    <w:rsid w:val="004A7A32"/>
    <w:rsid w:val="004A7CA5"/>
    <w:rsid w:val="004A7D81"/>
    <w:rsid w:val="004A7F26"/>
    <w:rsid w:val="004B06A6"/>
    <w:rsid w:val="004B08A4"/>
    <w:rsid w:val="004B1286"/>
    <w:rsid w:val="004B1D33"/>
    <w:rsid w:val="004B22BF"/>
    <w:rsid w:val="004B2312"/>
    <w:rsid w:val="004B2B8F"/>
    <w:rsid w:val="004B2F03"/>
    <w:rsid w:val="004B2F07"/>
    <w:rsid w:val="004B3858"/>
    <w:rsid w:val="004B3ACA"/>
    <w:rsid w:val="004B3D12"/>
    <w:rsid w:val="004B432A"/>
    <w:rsid w:val="004B44B8"/>
    <w:rsid w:val="004B4626"/>
    <w:rsid w:val="004B4994"/>
    <w:rsid w:val="004B4CB0"/>
    <w:rsid w:val="004B51BF"/>
    <w:rsid w:val="004B5542"/>
    <w:rsid w:val="004B570D"/>
    <w:rsid w:val="004B5761"/>
    <w:rsid w:val="004B5923"/>
    <w:rsid w:val="004B59E2"/>
    <w:rsid w:val="004B6005"/>
    <w:rsid w:val="004B622F"/>
    <w:rsid w:val="004B6668"/>
    <w:rsid w:val="004B69C5"/>
    <w:rsid w:val="004B6CB7"/>
    <w:rsid w:val="004B6E9D"/>
    <w:rsid w:val="004B794F"/>
    <w:rsid w:val="004B7EFD"/>
    <w:rsid w:val="004B7F14"/>
    <w:rsid w:val="004C0880"/>
    <w:rsid w:val="004C12B7"/>
    <w:rsid w:val="004C1BA0"/>
    <w:rsid w:val="004C1C4D"/>
    <w:rsid w:val="004C21A2"/>
    <w:rsid w:val="004C2337"/>
    <w:rsid w:val="004C2402"/>
    <w:rsid w:val="004C25FB"/>
    <w:rsid w:val="004C27DF"/>
    <w:rsid w:val="004C2906"/>
    <w:rsid w:val="004C2FFA"/>
    <w:rsid w:val="004C3699"/>
    <w:rsid w:val="004C37DD"/>
    <w:rsid w:val="004C37EE"/>
    <w:rsid w:val="004C3BE2"/>
    <w:rsid w:val="004C3FEF"/>
    <w:rsid w:val="004C407E"/>
    <w:rsid w:val="004C4438"/>
    <w:rsid w:val="004C474D"/>
    <w:rsid w:val="004C4E3B"/>
    <w:rsid w:val="004C4F06"/>
    <w:rsid w:val="004C537A"/>
    <w:rsid w:val="004C54AA"/>
    <w:rsid w:val="004C5520"/>
    <w:rsid w:val="004C5649"/>
    <w:rsid w:val="004C64E2"/>
    <w:rsid w:val="004C69C3"/>
    <w:rsid w:val="004C6A58"/>
    <w:rsid w:val="004C7C29"/>
    <w:rsid w:val="004D00F1"/>
    <w:rsid w:val="004D02DA"/>
    <w:rsid w:val="004D045B"/>
    <w:rsid w:val="004D1657"/>
    <w:rsid w:val="004D1C96"/>
    <w:rsid w:val="004D1CB6"/>
    <w:rsid w:val="004D1D5C"/>
    <w:rsid w:val="004D2249"/>
    <w:rsid w:val="004D26AC"/>
    <w:rsid w:val="004D2B40"/>
    <w:rsid w:val="004D2C02"/>
    <w:rsid w:val="004D2C23"/>
    <w:rsid w:val="004D2E61"/>
    <w:rsid w:val="004D40FD"/>
    <w:rsid w:val="004D439B"/>
    <w:rsid w:val="004D4443"/>
    <w:rsid w:val="004D45C2"/>
    <w:rsid w:val="004D4E4D"/>
    <w:rsid w:val="004D567C"/>
    <w:rsid w:val="004D5781"/>
    <w:rsid w:val="004D66B1"/>
    <w:rsid w:val="004D6F14"/>
    <w:rsid w:val="004D793E"/>
    <w:rsid w:val="004D7FC3"/>
    <w:rsid w:val="004E0912"/>
    <w:rsid w:val="004E0918"/>
    <w:rsid w:val="004E0C04"/>
    <w:rsid w:val="004E1365"/>
    <w:rsid w:val="004E146B"/>
    <w:rsid w:val="004E15B4"/>
    <w:rsid w:val="004E2578"/>
    <w:rsid w:val="004E264E"/>
    <w:rsid w:val="004E272B"/>
    <w:rsid w:val="004E2A28"/>
    <w:rsid w:val="004E2DD4"/>
    <w:rsid w:val="004E3DAC"/>
    <w:rsid w:val="004E4061"/>
    <w:rsid w:val="004E44E9"/>
    <w:rsid w:val="004E461A"/>
    <w:rsid w:val="004E475A"/>
    <w:rsid w:val="004E4913"/>
    <w:rsid w:val="004E4DC1"/>
    <w:rsid w:val="004E569C"/>
    <w:rsid w:val="004E6E45"/>
    <w:rsid w:val="004E6F53"/>
    <w:rsid w:val="004E7581"/>
    <w:rsid w:val="004E7B10"/>
    <w:rsid w:val="004E7C75"/>
    <w:rsid w:val="004E7CED"/>
    <w:rsid w:val="004F0E05"/>
    <w:rsid w:val="004F0E68"/>
    <w:rsid w:val="004F0F06"/>
    <w:rsid w:val="004F10B5"/>
    <w:rsid w:val="004F111E"/>
    <w:rsid w:val="004F1632"/>
    <w:rsid w:val="004F195E"/>
    <w:rsid w:val="004F25C6"/>
    <w:rsid w:val="004F2EF9"/>
    <w:rsid w:val="004F3260"/>
    <w:rsid w:val="004F39AC"/>
    <w:rsid w:val="004F3A44"/>
    <w:rsid w:val="004F3B82"/>
    <w:rsid w:val="004F414A"/>
    <w:rsid w:val="004F419B"/>
    <w:rsid w:val="004F4803"/>
    <w:rsid w:val="004F498E"/>
    <w:rsid w:val="004F4F2F"/>
    <w:rsid w:val="004F5655"/>
    <w:rsid w:val="004F6326"/>
    <w:rsid w:val="004F6631"/>
    <w:rsid w:val="004F6952"/>
    <w:rsid w:val="004F6AC3"/>
    <w:rsid w:val="004F7071"/>
    <w:rsid w:val="004F7557"/>
    <w:rsid w:val="004F7646"/>
    <w:rsid w:val="004F78F3"/>
    <w:rsid w:val="00500300"/>
    <w:rsid w:val="005005CD"/>
    <w:rsid w:val="00500A6D"/>
    <w:rsid w:val="00500D02"/>
    <w:rsid w:val="00500EC4"/>
    <w:rsid w:val="0050175F"/>
    <w:rsid w:val="0050274F"/>
    <w:rsid w:val="00502780"/>
    <w:rsid w:val="00502876"/>
    <w:rsid w:val="005032AE"/>
    <w:rsid w:val="0050332A"/>
    <w:rsid w:val="00503720"/>
    <w:rsid w:val="005037E3"/>
    <w:rsid w:val="0050429D"/>
    <w:rsid w:val="005043F7"/>
    <w:rsid w:val="00504766"/>
    <w:rsid w:val="00504887"/>
    <w:rsid w:val="00504C5A"/>
    <w:rsid w:val="00504D4C"/>
    <w:rsid w:val="00505592"/>
    <w:rsid w:val="005055F0"/>
    <w:rsid w:val="00505941"/>
    <w:rsid w:val="00505BA1"/>
    <w:rsid w:val="00505F4D"/>
    <w:rsid w:val="0050687B"/>
    <w:rsid w:val="00506E72"/>
    <w:rsid w:val="0050707D"/>
    <w:rsid w:val="00507824"/>
    <w:rsid w:val="00507856"/>
    <w:rsid w:val="00507C25"/>
    <w:rsid w:val="00507DE4"/>
    <w:rsid w:val="00510B0D"/>
    <w:rsid w:val="00510F3A"/>
    <w:rsid w:val="00511859"/>
    <w:rsid w:val="00511BF2"/>
    <w:rsid w:val="00512D7E"/>
    <w:rsid w:val="00512DB9"/>
    <w:rsid w:val="00512DE1"/>
    <w:rsid w:val="005139F8"/>
    <w:rsid w:val="00513A67"/>
    <w:rsid w:val="005141DC"/>
    <w:rsid w:val="00514CA3"/>
    <w:rsid w:val="0051584D"/>
    <w:rsid w:val="00515D48"/>
    <w:rsid w:val="00516133"/>
    <w:rsid w:val="0051693B"/>
    <w:rsid w:val="0051735F"/>
    <w:rsid w:val="00517A4E"/>
    <w:rsid w:val="00517AB0"/>
    <w:rsid w:val="00517AC7"/>
    <w:rsid w:val="00517BBE"/>
    <w:rsid w:val="0052000B"/>
    <w:rsid w:val="005204CA"/>
    <w:rsid w:val="00520D03"/>
    <w:rsid w:val="00520E24"/>
    <w:rsid w:val="00520EAB"/>
    <w:rsid w:val="00521212"/>
    <w:rsid w:val="00521343"/>
    <w:rsid w:val="00521A5C"/>
    <w:rsid w:val="00521C68"/>
    <w:rsid w:val="00522524"/>
    <w:rsid w:val="005235AA"/>
    <w:rsid w:val="005237A5"/>
    <w:rsid w:val="00523DAD"/>
    <w:rsid w:val="00523FB4"/>
    <w:rsid w:val="00524247"/>
    <w:rsid w:val="00524467"/>
    <w:rsid w:val="0052570E"/>
    <w:rsid w:val="00525A4A"/>
    <w:rsid w:val="00525C1E"/>
    <w:rsid w:val="00526693"/>
    <w:rsid w:val="005268D2"/>
    <w:rsid w:val="00527C25"/>
    <w:rsid w:val="00530302"/>
    <w:rsid w:val="0053070F"/>
    <w:rsid w:val="00530AB0"/>
    <w:rsid w:val="00530C22"/>
    <w:rsid w:val="00530EC4"/>
    <w:rsid w:val="00530F97"/>
    <w:rsid w:val="0053136B"/>
    <w:rsid w:val="0053138A"/>
    <w:rsid w:val="00531517"/>
    <w:rsid w:val="005319EA"/>
    <w:rsid w:val="00532B0A"/>
    <w:rsid w:val="00532CE3"/>
    <w:rsid w:val="00533296"/>
    <w:rsid w:val="00533701"/>
    <w:rsid w:val="00533C2E"/>
    <w:rsid w:val="00534252"/>
    <w:rsid w:val="005345A7"/>
    <w:rsid w:val="00534AF6"/>
    <w:rsid w:val="00534E21"/>
    <w:rsid w:val="0053574C"/>
    <w:rsid w:val="00535CAE"/>
    <w:rsid w:val="00535F8B"/>
    <w:rsid w:val="005368C3"/>
    <w:rsid w:val="00536A62"/>
    <w:rsid w:val="0053795E"/>
    <w:rsid w:val="00540503"/>
    <w:rsid w:val="005406BB"/>
    <w:rsid w:val="00541153"/>
    <w:rsid w:val="00541FD5"/>
    <w:rsid w:val="00542DFD"/>
    <w:rsid w:val="005433E7"/>
    <w:rsid w:val="00543567"/>
    <w:rsid w:val="00543BBD"/>
    <w:rsid w:val="00544614"/>
    <w:rsid w:val="005446D7"/>
    <w:rsid w:val="005448DA"/>
    <w:rsid w:val="00544E0D"/>
    <w:rsid w:val="0054514A"/>
    <w:rsid w:val="005451DC"/>
    <w:rsid w:val="005458B5"/>
    <w:rsid w:val="005459ED"/>
    <w:rsid w:val="00545A2C"/>
    <w:rsid w:val="005461AF"/>
    <w:rsid w:val="005462AF"/>
    <w:rsid w:val="0054635A"/>
    <w:rsid w:val="00546A8A"/>
    <w:rsid w:val="00546C29"/>
    <w:rsid w:val="00546DA4"/>
    <w:rsid w:val="00546DEF"/>
    <w:rsid w:val="0054716E"/>
    <w:rsid w:val="00550F56"/>
    <w:rsid w:val="00551019"/>
    <w:rsid w:val="00551254"/>
    <w:rsid w:val="00551A28"/>
    <w:rsid w:val="00551A3B"/>
    <w:rsid w:val="00551C34"/>
    <w:rsid w:val="00551FD6"/>
    <w:rsid w:val="00552488"/>
    <w:rsid w:val="00552A30"/>
    <w:rsid w:val="00552C21"/>
    <w:rsid w:val="005532B8"/>
    <w:rsid w:val="0055375A"/>
    <w:rsid w:val="00553801"/>
    <w:rsid w:val="00553DE7"/>
    <w:rsid w:val="00553EDC"/>
    <w:rsid w:val="00554017"/>
    <w:rsid w:val="005548DD"/>
    <w:rsid w:val="00554BBE"/>
    <w:rsid w:val="00554BDB"/>
    <w:rsid w:val="00555322"/>
    <w:rsid w:val="00555459"/>
    <w:rsid w:val="0055580B"/>
    <w:rsid w:val="00555871"/>
    <w:rsid w:val="00555C39"/>
    <w:rsid w:val="00555C58"/>
    <w:rsid w:val="00555C98"/>
    <w:rsid w:val="00556EEB"/>
    <w:rsid w:val="00557361"/>
    <w:rsid w:val="00557962"/>
    <w:rsid w:val="005604B7"/>
    <w:rsid w:val="0056076A"/>
    <w:rsid w:val="00560B7C"/>
    <w:rsid w:val="00560D85"/>
    <w:rsid w:val="00560DE0"/>
    <w:rsid w:val="00560F81"/>
    <w:rsid w:val="005617D4"/>
    <w:rsid w:val="00562905"/>
    <w:rsid w:val="00562D8E"/>
    <w:rsid w:val="00562F35"/>
    <w:rsid w:val="00563423"/>
    <w:rsid w:val="00563497"/>
    <w:rsid w:val="005636CF"/>
    <w:rsid w:val="005639D7"/>
    <w:rsid w:val="00563B7C"/>
    <w:rsid w:val="00563E22"/>
    <w:rsid w:val="00564902"/>
    <w:rsid w:val="0056494B"/>
    <w:rsid w:val="0056496B"/>
    <w:rsid w:val="00564F44"/>
    <w:rsid w:val="00565418"/>
    <w:rsid w:val="005659D9"/>
    <w:rsid w:val="00565A62"/>
    <w:rsid w:val="00565AD1"/>
    <w:rsid w:val="00565E96"/>
    <w:rsid w:val="00565EA0"/>
    <w:rsid w:val="0056610D"/>
    <w:rsid w:val="0056632C"/>
    <w:rsid w:val="00571795"/>
    <w:rsid w:val="00571B3E"/>
    <w:rsid w:val="00572D40"/>
    <w:rsid w:val="005731E3"/>
    <w:rsid w:val="0057357C"/>
    <w:rsid w:val="00574674"/>
    <w:rsid w:val="00574864"/>
    <w:rsid w:val="00574BEC"/>
    <w:rsid w:val="00574E2A"/>
    <w:rsid w:val="005752C1"/>
    <w:rsid w:val="00575919"/>
    <w:rsid w:val="00575A3C"/>
    <w:rsid w:val="00575D07"/>
    <w:rsid w:val="00576804"/>
    <w:rsid w:val="0057688D"/>
    <w:rsid w:val="00577375"/>
    <w:rsid w:val="00577461"/>
    <w:rsid w:val="00577991"/>
    <w:rsid w:val="0058038A"/>
    <w:rsid w:val="005804AA"/>
    <w:rsid w:val="005804AE"/>
    <w:rsid w:val="0058060C"/>
    <w:rsid w:val="005807B4"/>
    <w:rsid w:val="00580928"/>
    <w:rsid w:val="00580DB8"/>
    <w:rsid w:val="00581505"/>
    <w:rsid w:val="00581690"/>
    <w:rsid w:val="00581F40"/>
    <w:rsid w:val="00582939"/>
    <w:rsid w:val="00583130"/>
    <w:rsid w:val="0058366F"/>
    <w:rsid w:val="00583679"/>
    <w:rsid w:val="00583BA5"/>
    <w:rsid w:val="005851BC"/>
    <w:rsid w:val="00585761"/>
    <w:rsid w:val="005858A5"/>
    <w:rsid w:val="005858DF"/>
    <w:rsid w:val="00586267"/>
    <w:rsid w:val="00586704"/>
    <w:rsid w:val="00586D07"/>
    <w:rsid w:val="00586D55"/>
    <w:rsid w:val="0058734F"/>
    <w:rsid w:val="00587570"/>
    <w:rsid w:val="005878AD"/>
    <w:rsid w:val="00590C6F"/>
    <w:rsid w:val="00592092"/>
    <w:rsid w:val="005929AF"/>
    <w:rsid w:val="0059305A"/>
    <w:rsid w:val="0059457C"/>
    <w:rsid w:val="00594906"/>
    <w:rsid w:val="00594AF7"/>
    <w:rsid w:val="00594FCA"/>
    <w:rsid w:val="005955F3"/>
    <w:rsid w:val="00595628"/>
    <w:rsid w:val="005957F5"/>
    <w:rsid w:val="00595BB3"/>
    <w:rsid w:val="00595EDF"/>
    <w:rsid w:val="005963E3"/>
    <w:rsid w:val="0059694A"/>
    <w:rsid w:val="00597122"/>
    <w:rsid w:val="005975C7"/>
    <w:rsid w:val="005979B3"/>
    <w:rsid w:val="00597B34"/>
    <w:rsid w:val="00597D42"/>
    <w:rsid w:val="005A04BD"/>
    <w:rsid w:val="005A13D5"/>
    <w:rsid w:val="005A154B"/>
    <w:rsid w:val="005A1B60"/>
    <w:rsid w:val="005A1BFB"/>
    <w:rsid w:val="005A246E"/>
    <w:rsid w:val="005A291B"/>
    <w:rsid w:val="005A3E49"/>
    <w:rsid w:val="005A3F55"/>
    <w:rsid w:val="005A411B"/>
    <w:rsid w:val="005A47D8"/>
    <w:rsid w:val="005A5710"/>
    <w:rsid w:val="005A5952"/>
    <w:rsid w:val="005A66EE"/>
    <w:rsid w:val="005A6A0B"/>
    <w:rsid w:val="005A6A1F"/>
    <w:rsid w:val="005A71AD"/>
    <w:rsid w:val="005A7302"/>
    <w:rsid w:val="005A731B"/>
    <w:rsid w:val="005A79F9"/>
    <w:rsid w:val="005A7B8E"/>
    <w:rsid w:val="005B00A8"/>
    <w:rsid w:val="005B0E93"/>
    <w:rsid w:val="005B103B"/>
    <w:rsid w:val="005B1047"/>
    <w:rsid w:val="005B11DE"/>
    <w:rsid w:val="005B13CE"/>
    <w:rsid w:val="005B1590"/>
    <w:rsid w:val="005B16FE"/>
    <w:rsid w:val="005B19FB"/>
    <w:rsid w:val="005B1CF7"/>
    <w:rsid w:val="005B1D61"/>
    <w:rsid w:val="005B1FD8"/>
    <w:rsid w:val="005B2292"/>
    <w:rsid w:val="005B2442"/>
    <w:rsid w:val="005B2642"/>
    <w:rsid w:val="005B284D"/>
    <w:rsid w:val="005B2BCD"/>
    <w:rsid w:val="005B343B"/>
    <w:rsid w:val="005B3C73"/>
    <w:rsid w:val="005B3D60"/>
    <w:rsid w:val="005B3F40"/>
    <w:rsid w:val="005B46A8"/>
    <w:rsid w:val="005B4B40"/>
    <w:rsid w:val="005B50E4"/>
    <w:rsid w:val="005B5180"/>
    <w:rsid w:val="005B528E"/>
    <w:rsid w:val="005B530F"/>
    <w:rsid w:val="005B62ED"/>
    <w:rsid w:val="005B6840"/>
    <w:rsid w:val="005B6D43"/>
    <w:rsid w:val="005B6E33"/>
    <w:rsid w:val="005B722A"/>
    <w:rsid w:val="005B7387"/>
    <w:rsid w:val="005B7EB3"/>
    <w:rsid w:val="005B7FAC"/>
    <w:rsid w:val="005C0006"/>
    <w:rsid w:val="005C05E2"/>
    <w:rsid w:val="005C09B5"/>
    <w:rsid w:val="005C0C54"/>
    <w:rsid w:val="005C2C7C"/>
    <w:rsid w:val="005C2D2F"/>
    <w:rsid w:val="005C2E68"/>
    <w:rsid w:val="005C2FE6"/>
    <w:rsid w:val="005C33A7"/>
    <w:rsid w:val="005C38D0"/>
    <w:rsid w:val="005C3906"/>
    <w:rsid w:val="005C3E63"/>
    <w:rsid w:val="005C494E"/>
    <w:rsid w:val="005C5102"/>
    <w:rsid w:val="005C51D2"/>
    <w:rsid w:val="005C5251"/>
    <w:rsid w:val="005C5839"/>
    <w:rsid w:val="005C58BE"/>
    <w:rsid w:val="005C6369"/>
    <w:rsid w:val="005C6D5A"/>
    <w:rsid w:val="005C7105"/>
    <w:rsid w:val="005C7139"/>
    <w:rsid w:val="005C728B"/>
    <w:rsid w:val="005C758C"/>
    <w:rsid w:val="005C7777"/>
    <w:rsid w:val="005C7D02"/>
    <w:rsid w:val="005D0710"/>
    <w:rsid w:val="005D09E4"/>
    <w:rsid w:val="005D1199"/>
    <w:rsid w:val="005D16C1"/>
    <w:rsid w:val="005D17FB"/>
    <w:rsid w:val="005D1FA0"/>
    <w:rsid w:val="005D2126"/>
    <w:rsid w:val="005D2BE4"/>
    <w:rsid w:val="005D3E9E"/>
    <w:rsid w:val="005D3FCE"/>
    <w:rsid w:val="005D4036"/>
    <w:rsid w:val="005D44CC"/>
    <w:rsid w:val="005D45EC"/>
    <w:rsid w:val="005D4B38"/>
    <w:rsid w:val="005D4F11"/>
    <w:rsid w:val="005D52AF"/>
    <w:rsid w:val="005D53BE"/>
    <w:rsid w:val="005D5450"/>
    <w:rsid w:val="005D5500"/>
    <w:rsid w:val="005D5AB6"/>
    <w:rsid w:val="005D5C57"/>
    <w:rsid w:val="005D5FA3"/>
    <w:rsid w:val="005D6222"/>
    <w:rsid w:val="005D699C"/>
    <w:rsid w:val="005D6E1A"/>
    <w:rsid w:val="005D70DF"/>
    <w:rsid w:val="005D72D8"/>
    <w:rsid w:val="005D7EBB"/>
    <w:rsid w:val="005D7F29"/>
    <w:rsid w:val="005E0079"/>
    <w:rsid w:val="005E007F"/>
    <w:rsid w:val="005E01B7"/>
    <w:rsid w:val="005E040C"/>
    <w:rsid w:val="005E090E"/>
    <w:rsid w:val="005E0CBC"/>
    <w:rsid w:val="005E0DE2"/>
    <w:rsid w:val="005E194F"/>
    <w:rsid w:val="005E2F42"/>
    <w:rsid w:val="005E3269"/>
    <w:rsid w:val="005E329F"/>
    <w:rsid w:val="005E3437"/>
    <w:rsid w:val="005E3D2A"/>
    <w:rsid w:val="005E3F25"/>
    <w:rsid w:val="005E4011"/>
    <w:rsid w:val="005E4702"/>
    <w:rsid w:val="005E490E"/>
    <w:rsid w:val="005E59CF"/>
    <w:rsid w:val="005E5A5A"/>
    <w:rsid w:val="005E5AAF"/>
    <w:rsid w:val="005E5DA9"/>
    <w:rsid w:val="005E6419"/>
    <w:rsid w:val="005E647B"/>
    <w:rsid w:val="005E68BB"/>
    <w:rsid w:val="005E6C1B"/>
    <w:rsid w:val="005E6DA7"/>
    <w:rsid w:val="005E7420"/>
    <w:rsid w:val="005E791A"/>
    <w:rsid w:val="005E7FEF"/>
    <w:rsid w:val="005F10DA"/>
    <w:rsid w:val="005F152D"/>
    <w:rsid w:val="005F2423"/>
    <w:rsid w:val="005F251B"/>
    <w:rsid w:val="005F2789"/>
    <w:rsid w:val="005F2AED"/>
    <w:rsid w:val="005F31F3"/>
    <w:rsid w:val="005F34C3"/>
    <w:rsid w:val="005F398E"/>
    <w:rsid w:val="005F3D0F"/>
    <w:rsid w:val="005F3DEF"/>
    <w:rsid w:val="005F3ECD"/>
    <w:rsid w:val="005F3EF2"/>
    <w:rsid w:val="005F44FA"/>
    <w:rsid w:val="005F4605"/>
    <w:rsid w:val="005F4662"/>
    <w:rsid w:val="005F4DEA"/>
    <w:rsid w:val="005F4EB4"/>
    <w:rsid w:val="005F511A"/>
    <w:rsid w:val="005F56A6"/>
    <w:rsid w:val="005F593E"/>
    <w:rsid w:val="005F5C1C"/>
    <w:rsid w:val="005F636A"/>
    <w:rsid w:val="005F6CCC"/>
    <w:rsid w:val="005F70E4"/>
    <w:rsid w:val="005F749C"/>
    <w:rsid w:val="00600551"/>
    <w:rsid w:val="00600AD4"/>
    <w:rsid w:val="006011CE"/>
    <w:rsid w:val="0060173A"/>
    <w:rsid w:val="00602193"/>
    <w:rsid w:val="006021AC"/>
    <w:rsid w:val="006025AF"/>
    <w:rsid w:val="006025B6"/>
    <w:rsid w:val="006026EC"/>
    <w:rsid w:val="0060276B"/>
    <w:rsid w:val="00602AA4"/>
    <w:rsid w:val="006031BA"/>
    <w:rsid w:val="00603F43"/>
    <w:rsid w:val="00604752"/>
    <w:rsid w:val="0060495B"/>
    <w:rsid w:val="00604C52"/>
    <w:rsid w:val="0060560D"/>
    <w:rsid w:val="00605657"/>
    <w:rsid w:val="0060674A"/>
    <w:rsid w:val="00606760"/>
    <w:rsid w:val="00606B35"/>
    <w:rsid w:val="0060755B"/>
    <w:rsid w:val="00607886"/>
    <w:rsid w:val="00607C30"/>
    <w:rsid w:val="00607D83"/>
    <w:rsid w:val="0061025A"/>
    <w:rsid w:val="00610A64"/>
    <w:rsid w:val="00610DDE"/>
    <w:rsid w:val="00611700"/>
    <w:rsid w:val="00611A31"/>
    <w:rsid w:val="00612771"/>
    <w:rsid w:val="0061294C"/>
    <w:rsid w:val="00612A51"/>
    <w:rsid w:val="0061316F"/>
    <w:rsid w:val="006133D4"/>
    <w:rsid w:val="006138A4"/>
    <w:rsid w:val="00614054"/>
    <w:rsid w:val="006144B3"/>
    <w:rsid w:val="006145D2"/>
    <w:rsid w:val="00615181"/>
    <w:rsid w:val="0061562F"/>
    <w:rsid w:val="006165D2"/>
    <w:rsid w:val="00616649"/>
    <w:rsid w:val="00617148"/>
    <w:rsid w:val="00617576"/>
    <w:rsid w:val="006179D1"/>
    <w:rsid w:val="00617BC6"/>
    <w:rsid w:val="00617D84"/>
    <w:rsid w:val="006201E3"/>
    <w:rsid w:val="00620388"/>
    <w:rsid w:val="0062093B"/>
    <w:rsid w:val="00621189"/>
    <w:rsid w:val="006217EA"/>
    <w:rsid w:val="006225CE"/>
    <w:rsid w:val="00622B55"/>
    <w:rsid w:val="00623A30"/>
    <w:rsid w:val="00623A81"/>
    <w:rsid w:val="00623D54"/>
    <w:rsid w:val="0062453F"/>
    <w:rsid w:val="0062487A"/>
    <w:rsid w:val="00624A6E"/>
    <w:rsid w:val="00624AE0"/>
    <w:rsid w:val="00624EC2"/>
    <w:rsid w:val="0062571E"/>
    <w:rsid w:val="00625C39"/>
    <w:rsid w:val="00626558"/>
    <w:rsid w:val="00626812"/>
    <w:rsid w:val="00626A04"/>
    <w:rsid w:val="00626AC1"/>
    <w:rsid w:val="00626CCF"/>
    <w:rsid w:val="006271D1"/>
    <w:rsid w:val="0062742F"/>
    <w:rsid w:val="006277B9"/>
    <w:rsid w:val="00627ED9"/>
    <w:rsid w:val="006302A2"/>
    <w:rsid w:val="00630756"/>
    <w:rsid w:val="00630885"/>
    <w:rsid w:val="00630919"/>
    <w:rsid w:val="006309B4"/>
    <w:rsid w:val="00630CEF"/>
    <w:rsid w:val="00630D30"/>
    <w:rsid w:val="00631003"/>
    <w:rsid w:val="006316FE"/>
    <w:rsid w:val="00631CEA"/>
    <w:rsid w:val="00631E4F"/>
    <w:rsid w:val="00631FEA"/>
    <w:rsid w:val="006328EA"/>
    <w:rsid w:val="00632968"/>
    <w:rsid w:val="006329BD"/>
    <w:rsid w:val="00632A32"/>
    <w:rsid w:val="00632F3F"/>
    <w:rsid w:val="0063323A"/>
    <w:rsid w:val="00633A00"/>
    <w:rsid w:val="00633EDA"/>
    <w:rsid w:val="00633F12"/>
    <w:rsid w:val="00634936"/>
    <w:rsid w:val="006355FA"/>
    <w:rsid w:val="00635896"/>
    <w:rsid w:val="0063664D"/>
    <w:rsid w:val="00636C6F"/>
    <w:rsid w:val="0063711D"/>
    <w:rsid w:val="006374A5"/>
    <w:rsid w:val="00640A49"/>
    <w:rsid w:val="00640EB7"/>
    <w:rsid w:val="00641502"/>
    <w:rsid w:val="006419ED"/>
    <w:rsid w:val="00641A91"/>
    <w:rsid w:val="00641C2F"/>
    <w:rsid w:val="00642700"/>
    <w:rsid w:val="00642743"/>
    <w:rsid w:val="00642D3E"/>
    <w:rsid w:val="00642D9E"/>
    <w:rsid w:val="00642E49"/>
    <w:rsid w:val="0064378D"/>
    <w:rsid w:val="00644918"/>
    <w:rsid w:val="00645156"/>
    <w:rsid w:val="006456B5"/>
    <w:rsid w:val="0064600A"/>
    <w:rsid w:val="006466AD"/>
    <w:rsid w:val="006467A4"/>
    <w:rsid w:val="00646A40"/>
    <w:rsid w:val="00646A71"/>
    <w:rsid w:val="00646A7A"/>
    <w:rsid w:val="00646F11"/>
    <w:rsid w:val="00647755"/>
    <w:rsid w:val="006478DE"/>
    <w:rsid w:val="00650316"/>
    <w:rsid w:val="006509B9"/>
    <w:rsid w:val="00651525"/>
    <w:rsid w:val="00651780"/>
    <w:rsid w:val="0065180F"/>
    <w:rsid w:val="00651C4A"/>
    <w:rsid w:val="006524AF"/>
    <w:rsid w:val="006524D4"/>
    <w:rsid w:val="00652968"/>
    <w:rsid w:val="00652F47"/>
    <w:rsid w:val="006530BC"/>
    <w:rsid w:val="00653555"/>
    <w:rsid w:val="006541DE"/>
    <w:rsid w:val="00654472"/>
    <w:rsid w:val="00654510"/>
    <w:rsid w:val="006545BE"/>
    <w:rsid w:val="006546EC"/>
    <w:rsid w:val="00654745"/>
    <w:rsid w:val="0065504A"/>
    <w:rsid w:val="0065524D"/>
    <w:rsid w:val="00655796"/>
    <w:rsid w:val="00656058"/>
    <w:rsid w:val="006568BB"/>
    <w:rsid w:val="00656B35"/>
    <w:rsid w:val="00656D4F"/>
    <w:rsid w:val="00656E80"/>
    <w:rsid w:val="00657E1B"/>
    <w:rsid w:val="006606BB"/>
    <w:rsid w:val="00661029"/>
    <w:rsid w:val="00661B37"/>
    <w:rsid w:val="00663165"/>
    <w:rsid w:val="0066328A"/>
    <w:rsid w:val="0066350B"/>
    <w:rsid w:val="006636BD"/>
    <w:rsid w:val="00663AD1"/>
    <w:rsid w:val="006644BB"/>
    <w:rsid w:val="0066485F"/>
    <w:rsid w:val="00664D40"/>
    <w:rsid w:val="00665C00"/>
    <w:rsid w:val="0066658F"/>
    <w:rsid w:val="006673CF"/>
    <w:rsid w:val="00667920"/>
    <w:rsid w:val="00670863"/>
    <w:rsid w:val="00670C90"/>
    <w:rsid w:val="00671157"/>
    <w:rsid w:val="006718AA"/>
    <w:rsid w:val="0067190E"/>
    <w:rsid w:val="00671A27"/>
    <w:rsid w:val="00671AEF"/>
    <w:rsid w:val="00671F89"/>
    <w:rsid w:val="00672147"/>
    <w:rsid w:val="00672218"/>
    <w:rsid w:val="0067253A"/>
    <w:rsid w:val="0067280B"/>
    <w:rsid w:val="00672A4C"/>
    <w:rsid w:val="00672F62"/>
    <w:rsid w:val="00673274"/>
    <w:rsid w:val="006737CB"/>
    <w:rsid w:val="006738AD"/>
    <w:rsid w:val="00673EDC"/>
    <w:rsid w:val="006741E0"/>
    <w:rsid w:val="00674293"/>
    <w:rsid w:val="0067479A"/>
    <w:rsid w:val="00674863"/>
    <w:rsid w:val="00674E3F"/>
    <w:rsid w:val="006756E5"/>
    <w:rsid w:val="00675934"/>
    <w:rsid w:val="0067666F"/>
    <w:rsid w:val="0067703E"/>
    <w:rsid w:val="0067711A"/>
    <w:rsid w:val="00677625"/>
    <w:rsid w:val="00677B13"/>
    <w:rsid w:val="00677B98"/>
    <w:rsid w:val="00680080"/>
    <w:rsid w:val="006802FA"/>
    <w:rsid w:val="006809E2"/>
    <w:rsid w:val="006815DA"/>
    <w:rsid w:val="00681839"/>
    <w:rsid w:val="006819DC"/>
    <w:rsid w:val="00681B33"/>
    <w:rsid w:val="00681B7B"/>
    <w:rsid w:val="00682054"/>
    <w:rsid w:val="006825C5"/>
    <w:rsid w:val="00682A8A"/>
    <w:rsid w:val="00682AFB"/>
    <w:rsid w:val="00682F4D"/>
    <w:rsid w:val="00683325"/>
    <w:rsid w:val="00683B40"/>
    <w:rsid w:val="00683D31"/>
    <w:rsid w:val="00683DFC"/>
    <w:rsid w:val="00683F5D"/>
    <w:rsid w:val="0068433E"/>
    <w:rsid w:val="0068459C"/>
    <w:rsid w:val="006849AF"/>
    <w:rsid w:val="00684B38"/>
    <w:rsid w:val="00685136"/>
    <w:rsid w:val="00686419"/>
    <w:rsid w:val="00686937"/>
    <w:rsid w:val="00686B06"/>
    <w:rsid w:val="0068710E"/>
    <w:rsid w:val="00687935"/>
    <w:rsid w:val="0069037A"/>
    <w:rsid w:val="006908D5"/>
    <w:rsid w:val="00690C48"/>
    <w:rsid w:val="00690E7D"/>
    <w:rsid w:val="0069148C"/>
    <w:rsid w:val="00691B93"/>
    <w:rsid w:val="00692466"/>
    <w:rsid w:val="00692779"/>
    <w:rsid w:val="00692F84"/>
    <w:rsid w:val="0069323E"/>
    <w:rsid w:val="0069384C"/>
    <w:rsid w:val="00693907"/>
    <w:rsid w:val="00693A2C"/>
    <w:rsid w:val="00694801"/>
    <w:rsid w:val="00694917"/>
    <w:rsid w:val="00695010"/>
    <w:rsid w:val="006953CB"/>
    <w:rsid w:val="00695609"/>
    <w:rsid w:val="00695A4B"/>
    <w:rsid w:val="006962EF"/>
    <w:rsid w:val="0069660E"/>
    <w:rsid w:val="00696C55"/>
    <w:rsid w:val="00696D14"/>
    <w:rsid w:val="006975E3"/>
    <w:rsid w:val="006978C2"/>
    <w:rsid w:val="00697A4D"/>
    <w:rsid w:val="006A0AB7"/>
    <w:rsid w:val="006A0D97"/>
    <w:rsid w:val="006A1CCC"/>
    <w:rsid w:val="006A215F"/>
    <w:rsid w:val="006A2850"/>
    <w:rsid w:val="006A295F"/>
    <w:rsid w:val="006A2E5A"/>
    <w:rsid w:val="006A2FD3"/>
    <w:rsid w:val="006A31E4"/>
    <w:rsid w:val="006A32E6"/>
    <w:rsid w:val="006A378C"/>
    <w:rsid w:val="006A3BFC"/>
    <w:rsid w:val="006A3EDB"/>
    <w:rsid w:val="006A3EF1"/>
    <w:rsid w:val="006A40C7"/>
    <w:rsid w:val="006A416B"/>
    <w:rsid w:val="006A4605"/>
    <w:rsid w:val="006A50B3"/>
    <w:rsid w:val="006A5100"/>
    <w:rsid w:val="006A54D9"/>
    <w:rsid w:val="006A5D7B"/>
    <w:rsid w:val="006A5F17"/>
    <w:rsid w:val="006A645E"/>
    <w:rsid w:val="006A64FE"/>
    <w:rsid w:val="006A6809"/>
    <w:rsid w:val="006A6ACA"/>
    <w:rsid w:val="006A6B43"/>
    <w:rsid w:val="006A6EA2"/>
    <w:rsid w:val="006A77D1"/>
    <w:rsid w:val="006A7F38"/>
    <w:rsid w:val="006B0920"/>
    <w:rsid w:val="006B0DB0"/>
    <w:rsid w:val="006B1DE5"/>
    <w:rsid w:val="006B21B6"/>
    <w:rsid w:val="006B2AD8"/>
    <w:rsid w:val="006B33C7"/>
    <w:rsid w:val="006B35E7"/>
    <w:rsid w:val="006B36A2"/>
    <w:rsid w:val="006B37BA"/>
    <w:rsid w:val="006B4506"/>
    <w:rsid w:val="006B51C6"/>
    <w:rsid w:val="006B5C0F"/>
    <w:rsid w:val="006B5FE9"/>
    <w:rsid w:val="006B65DE"/>
    <w:rsid w:val="006B7864"/>
    <w:rsid w:val="006BBF4C"/>
    <w:rsid w:val="006C0A82"/>
    <w:rsid w:val="006C0C31"/>
    <w:rsid w:val="006C0C85"/>
    <w:rsid w:val="006C0FFC"/>
    <w:rsid w:val="006C11B7"/>
    <w:rsid w:val="006C16A0"/>
    <w:rsid w:val="006C2363"/>
    <w:rsid w:val="006C2F6A"/>
    <w:rsid w:val="006C3012"/>
    <w:rsid w:val="006C3045"/>
    <w:rsid w:val="006C32BD"/>
    <w:rsid w:val="006C3376"/>
    <w:rsid w:val="006C349C"/>
    <w:rsid w:val="006C3777"/>
    <w:rsid w:val="006C3D47"/>
    <w:rsid w:val="006C3E00"/>
    <w:rsid w:val="006C428C"/>
    <w:rsid w:val="006C5021"/>
    <w:rsid w:val="006C541E"/>
    <w:rsid w:val="006C5E47"/>
    <w:rsid w:val="006C5F47"/>
    <w:rsid w:val="006C6232"/>
    <w:rsid w:val="006C66C2"/>
    <w:rsid w:val="006C6729"/>
    <w:rsid w:val="006C6747"/>
    <w:rsid w:val="006C70D0"/>
    <w:rsid w:val="006C795E"/>
    <w:rsid w:val="006C7A6F"/>
    <w:rsid w:val="006D0237"/>
    <w:rsid w:val="006D0AB6"/>
    <w:rsid w:val="006D0BEC"/>
    <w:rsid w:val="006D0F8D"/>
    <w:rsid w:val="006D10A3"/>
    <w:rsid w:val="006D15DD"/>
    <w:rsid w:val="006D1F5F"/>
    <w:rsid w:val="006D22F7"/>
    <w:rsid w:val="006D23D7"/>
    <w:rsid w:val="006D2586"/>
    <w:rsid w:val="006D25EC"/>
    <w:rsid w:val="006D2661"/>
    <w:rsid w:val="006D2AB7"/>
    <w:rsid w:val="006D3276"/>
    <w:rsid w:val="006D327F"/>
    <w:rsid w:val="006D32DD"/>
    <w:rsid w:val="006D33E4"/>
    <w:rsid w:val="006D37DC"/>
    <w:rsid w:val="006D3949"/>
    <w:rsid w:val="006D3BA0"/>
    <w:rsid w:val="006D48E5"/>
    <w:rsid w:val="006D4FC1"/>
    <w:rsid w:val="006D5606"/>
    <w:rsid w:val="006D586F"/>
    <w:rsid w:val="006D5B62"/>
    <w:rsid w:val="006D71D3"/>
    <w:rsid w:val="006D7456"/>
    <w:rsid w:val="006D758F"/>
    <w:rsid w:val="006D75A1"/>
    <w:rsid w:val="006D7846"/>
    <w:rsid w:val="006D7FFA"/>
    <w:rsid w:val="006E01E6"/>
    <w:rsid w:val="006E0E4F"/>
    <w:rsid w:val="006E1791"/>
    <w:rsid w:val="006E1867"/>
    <w:rsid w:val="006E1AC4"/>
    <w:rsid w:val="006E1D3C"/>
    <w:rsid w:val="006E2183"/>
    <w:rsid w:val="006E21A0"/>
    <w:rsid w:val="006E285E"/>
    <w:rsid w:val="006E295F"/>
    <w:rsid w:val="006E29B0"/>
    <w:rsid w:val="006E2BA3"/>
    <w:rsid w:val="006E350E"/>
    <w:rsid w:val="006E3568"/>
    <w:rsid w:val="006E37D9"/>
    <w:rsid w:val="006E3D2D"/>
    <w:rsid w:val="006E4611"/>
    <w:rsid w:val="006E4730"/>
    <w:rsid w:val="006E4D5D"/>
    <w:rsid w:val="006E5C3F"/>
    <w:rsid w:val="006E6316"/>
    <w:rsid w:val="006E68EF"/>
    <w:rsid w:val="006E6BBE"/>
    <w:rsid w:val="006E7485"/>
    <w:rsid w:val="006E772C"/>
    <w:rsid w:val="006E7859"/>
    <w:rsid w:val="006E7EEA"/>
    <w:rsid w:val="006E7EF8"/>
    <w:rsid w:val="006F2227"/>
    <w:rsid w:val="006F26CF"/>
    <w:rsid w:val="006F2A00"/>
    <w:rsid w:val="006F2A94"/>
    <w:rsid w:val="006F2EFD"/>
    <w:rsid w:val="006F3436"/>
    <w:rsid w:val="006F3933"/>
    <w:rsid w:val="006F443E"/>
    <w:rsid w:val="006F483E"/>
    <w:rsid w:val="006F4BC2"/>
    <w:rsid w:val="006F571F"/>
    <w:rsid w:val="006F58F7"/>
    <w:rsid w:val="006F5D50"/>
    <w:rsid w:val="006F6090"/>
    <w:rsid w:val="006F660D"/>
    <w:rsid w:val="006F6683"/>
    <w:rsid w:val="006F692C"/>
    <w:rsid w:val="006F6A69"/>
    <w:rsid w:val="006F6F07"/>
    <w:rsid w:val="006F6FB0"/>
    <w:rsid w:val="006F7CF4"/>
    <w:rsid w:val="0070091C"/>
    <w:rsid w:val="00700E3A"/>
    <w:rsid w:val="00701117"/>
    <w:rsid w:val="00701180"/>
    <w:rsid w:val="00701208"/>
    <w:rsid w:val="0070194F"/>
    <w:rsid w:val="0070253A"/>
    <w:rsid w:val="0070286D"/>
    <w:rsid w:val="00702ADD"/>
    <w:rsid w:val="00702B3F"/>
    <w:rsid w:val="00702BD4"/>
    <w:rsid w:val="00702E91"/>
    <w:rsid w:val="007030C0"/>
    <w:rsid w:val="00703183"/>
    <w:rsid w:val="007035F2"/>
    <w:rsid w:val="00703EED"/>
    <w:rsid w:val="00704454"/>
    <w:rsid w:val="007049C4"/>
    <w:rsid w:val="00704C0A"/>
    <w:rsid w:val="00704EC1"/>
    <w:rsid w:val="007050D6"/>
    <w:rsid w:val="0070525D"/>
    <w:rsid w:val="007053B6"/>
    <w:rsid w:val="00705427"/>
    <w:rsid w:val="0070564D"/>
    <w:rsid w:val="00707562"/>
    <w:rsid w:val="007075DA"/>
    <w:rsid w:val="007077AE"/>
    <w:rsid w:val="00707AF3"/>
    <w:rsid w:val="007104B0"/>
    <w:rsid w:val="00710A37"/>
    <w:rsid w:val="00710A67"/>
    <w:rsid w:val="00710ABC"/>
    <w:rsid w:val="0071151D"/>
    <w:rsid w:val="007118DC"/>
    <w:rsid w:val="0071194E"/>
    <w:rsid w:val="00711E3F"/>
    <w:rsid w:val="00711F19"/>
    <w:rsid w:val="00712048"/>
    <w:rsid w:val="00712894"/>
    <w:rsid w:val="007128D3"/>
    <w:rsid w:val="0071328F"/>
    <w:rsid w:val="00713A0C"/>
    <w:rsid w:val="00713E28"/>
    <w:rsid w:val="00713E5E"/>
    <w:rsid w:val="00713FD8"/>
    <w:rsid w:val="007142AB"/>
    <w:rsid w:val="007145F8"/>
    <w:rsid w:val="007148C6"/>
    <w:rsid w:val="007149C3"/>
    <w:rsid w:val="00715DDF"/>
    <w:rsid w:val="00715E4F"/>
    <w:rsid w:val="00715E5B"/>
    <w:rsid w:val="00715F7F"/>
    <w:rsid w:val="00716103"/>
    <w:rsid w:val="007161D8"/>
    <w:rsid w:val="00716446"/>
    <w:rsid w:val="007166B4"/>
    <w:rsid w:val="00716712"/>
    <w:rsid w:val="00716C01"/>
    <w:rsid w:val="0071713A"/>
    <w:rsid w:val="007172B8"/>
    <w:rsid w:val="00717A0C"/>
    <w:rsid w:val="00720465"/>
    <w:rsid w:val="0072086E"/>
    <w:rsid w:val="00721169"/>
    <w:rsid w:val="0072188E"/>
    <w:rsid w:val="007224E4"/>
    <w:rsid w:val="007235CB"/>
    <w:rsid w:val="007246DF"/>
    <w:rsid w:val="007248BE"/>
    <w:rsid w:val="00724A9E"/>
    <w:rsid w:val="00724D41"/>
    <w:rsid w:val="007251E2"/>
    <w:rsid w:val="00725B23"/>
    <w:rsid w:val="00725F74"/>
    <w:rsid w:val="007263C1"/>
    <w:rsid w:val="0072644C"/>
    <w:rsid w:val="00726700"/>
    <w:rsid w:val="00726C4D"/>
    <w:rsid w:val="00726CEC"/>
    <w:rsid w:val="00726D38"/>
    <w:rsid w:val="00727227"/>
    <w:rsid w:val="0072756F"/>
    <w:rsid w:val="0072757D"/>
    <w:rsid w:val="0072769C"/>
    <w:rsid w:val="00727A2A"/>
    <w:rsid w:val="00730412"/>
    <w:rsid w:val="00730504"/>
    <w:rsid w:val="00730989"/>
    <w:rsid w:val="00730B61"/>
    <w:rsid w:val="007310DA"/>
    <w:rsid w:val="007310E2"/>
    <w:rsid w:val="007315D1"/>
    <w:rsid w:val="0073197C"/>
    <w:rsid w:val="007319E3"/>
    <w:rsid w:val="007327F0"/>
    <w:rsid w:val="00732C9C"/>
    <w:rsid w:val="00732DC5"/>
    <w:rsid w:val="00733A48"/>
    <w:rsid w:val="00734236"/>
    <w:rsid w:val="00734524"/>
    <w:rsid w:val="0073456D"/>
    <w:rsid w:val="007349C6"/>
    <w:rsid w:val="00734ED3"/>
    <w:rsid w:val="00735071"/>
    <w:rsid w:val="0073511E"/>
    <w:rsid w:val="00735346"/>
    <w:rsid w:val="007357D1"/>
    <w:rsid w:val="00735C6B"/>
    <w:rsid w:val="00735E52"/>
    <w:rsid w:val="00736277"/>
    <w:rsid w:val="0073631F"/>
    <w:rsid w:val="007364EF"/>
    <w:rsid w:val="00736603"/>
    <w:rsid w:val="00737090"/>
    <w:rsid w:val="00737317"/>
    <w:rsid w:val="00737699"/>
    <w:rsid w:val="00737A15"/>
    <w:rsid w:val="007400BA"/>
    <w:rsid w:val="007404DB"/>
    <w:rsid w:val="00740542"/>
    <w:rsid w:val="00740C66"/>
    <w:rsid w:val="007413E2"/>
    <w:rsid w:val="00741422"/>
    <w:rsid w:val="00741E57"/>
    <w:rsid w:val="00741FF5"/>
    <w:rsid w:val="00742076"/>
    <w:rsid w:val="0074256D"/>
    <w:rsid w:val="007426DC"/>
    <w:rsid w:val="0074307C"/>
    <w:rsid w:val="007430E6"/>
    <w:rsid w:val="00743B50"/>
    <w:rsid w:val="0074475A"/>
    <w:rsid w:val="00744D45"/>
    <w:rsid w:val="00744F78"/>
    <w:rsid w:val="007459A2"/>
    <w:rsid w:val="00745B3D"/>
    <w:rsid w:val="00745C57"/>
    <w:rsid w:val="007462BF"/>
    <w:rsid w:val="0074633D"/>
    <w:rsid w:val="00746854"/>
    <w:rsid w:val="007469D6"/>
    <w:rsid w:val="00746B52"/>
    <w:rsid w:val="00746E98"/>
    <w:rsid w:val="00746F34"/>
    <w:rsid w:val="00747067"/>
    <w:rsid w:val="0074722F"/>
    <w:rsid w:val="00747302"/>
    <w:rsid w:val="00747314"/>
    <w:rsid w:val="007478E4"/>
    <w:rsid w:val="00747AD5"/>
    <w:rsid w:val="00747D90"/>
    <w:rsid w:val="00747F68"/>
    <w:rsid w:val="007500C3"/>
    <w:rsid w:val="00750417"/>
    <w:rsid w:val="0075059F"/>
    <w:rsid w:val="00750942"/>
    <w:rsid w:val="00750E54"/>
    <w:rsid w:val="00751B75"/>
    <w:rsid w:val="00752A98"/>
    <w:rsid w:val="00752DBF"/>
    <w:rsid w:val="00753462"/>
    <w:rsid w:val="0075381A"/>
    <w:rsid w:val="00753853"/>
    <w:rsid w:val="007539D6"/>
    <w:rsid w:val="007548CC"/>
    <w:rsid w:val="007550B3"/>
    <w:rsid w:val="00755186"/>
    <w:rsid w:val="007552EB"/>
    <w:rsid w:val="00755347"/>
    <w:rsid w:val="0075574B"/>
    <w:rsid w:val="00755E9C"/>
    <w:rsid w:val="00756456"/>
    <w:rsid w:val="00756595"/>
    <w:rsid w:val="00757058"/>
    <w:rsid w:val="00757071"/>
    <w:rsid w:val="007602C8"/>
    <w:rsid w:val="0076077A"/>
    <w:rsid w:val="00760E31"/>
    <w:rsid w:val="00761A12"/>
    <w:rsid w:val="0076254F"/>
    <w:rsid w:val="00762C05"/>
    <w:rsid w:val="00762C37"/>
    <w:rsid w:val="00762C9D"/>
    <w:rsid w:val="00762F1B"/>
    <w:rsid w:val="00763040"/>
    <w:rsid w:val="007634BC"/>
    <w:rsid w:val="007639A5"/>
    <w:rsid w:val="00763FD7"/>
    <w:rsid w:val="00764284"/>
    <w:rsid w:val="0076451E"/>
    <w:rsid w:val="00764C4D"/>
    <w:rsid w:val="007661A6"/>
    <w:rsid w:val="00766CC5"/>
    <w:rsid w:val="00766DAC"/>
    <w:rsid w:val="00766DC0"/>
    <w:rsid w:val="007677AB"/>
    <w:rsid w:val="007677C0"/>
    <w:rsid w:val="00767E35"/>
    <w:rsid w:val="00770047"/>
    <w:rsid w:val="00770345"/>
    <w:rsid w:val="00770800"/>
    <w:rsid w:val="00770D70"/>
    <w:rsid w:val="0077130E"/>
    <w:rsid w:val="007718E2"/>
    <w:rsid w:val="007720BB"/>
    <w:rsid w:val="00772921"/>
    <w:rsid w:val="00772C87"/>
    <w:rsid w:val="007734F9"/>
    <w:rsid w:val="00773BE2"/>
    <w:rsid w:val="00774302"/>
    <w:rsid w:val="00774759"/>
    <w:rsid w:val="007748C9"/>
    <w:rsid w:val="00774A28"/>
    <w:rsid w:val="00774C9A"/>
    <w:rsid w:val="00775847"/>
    <w:rsid w:val="007759C9"/>
    <w:rsid w:val="00775B8F"/>
    <w:rsid w:val="00775D54"/>
    <w:rsid w:val="0077614E"/>
    <w:rsid w:val="0077650E"/>
    <w:rsid w:val="0077746C"/>
    <w:rsid w:val="00780A69"/>
    <w:rsid w:val="0078109C"/>
    <w:rsid w:val="0078157B"/>
    <w:rsid w:val="00781B44"/>
    <w:rsid w:val="00781E49"/>
    <w:rsid w:val="0078206D"/>
    <w:rsid w:val="0078217D"/>
    <w:rsid w:val="007821AD"/>
    <w:rsid w:val="007823C0"/>
    <w:rsid w:val="007825B3"/>
    <w:rsid w:val="00782965"/>
    <w:rsid w:val="00782A33"/>
    <w:rsid w:val="00782D08"/>
    <w:rsid w:val="00782D5D"/>
    <w:rsid w:val="007832D9"/>
    <w:rsid w:val="00783B0E"/>
    <w:rsid w:val="00783F4F"/>
    <w:rsid w:val="00784BB0"/>
    <w:rsid w:val="007851F1"/>
    <w:rsid w:val="007855EC"/>
    <w:rsid w:val="007858BD"/>
    <w:rsid w:val="007858FB"/>
    <w:rsid w:val="00785EC4"/>
    <w:rsid w:val="00785F18"/>
    <w:rsid w:val="007860D9"/>
    <w:rsid w:val="0078610D"/>
    <w:rsid w:val="00787744"/>
    <w:rsid w:val="00787FAE"/>
    <w:rsid w:val="00790A61"/>
    <w:rsid w:val="00790B1D"/>
    <w:rsid w:val="00791B6A"/>
    <w:rsid w:val="00791E82"/>
    <w:rsid w:val="0079203F"/>
    <w:rsid w:val="007922CC"/>
    <w:rsid w:val="0079284E"/>
    <w:rsid w:val="0079304B"/>
    <w:rsid w:val="00793694"/>
    <w:rsid w:val="00793914"/>
    <w:rsid w:val="00793DFF"/>
    <w:rsid w:val="00794834"/>
    <w:rsid w:val="00794B51"/>
    <w:rsid w:val="00795546"/>
    <w:rsid w:val="00795595"/>
    <w:rsid w:val="00795D99"/>
    <w:rsid w:val="00795FA5"/>
    <w:rsid w:val="007964C2"/>
    <w:rsid w:val="007964F3"/>
    <w:rsid w:val="007966BC"/>
    <w:rsid w:val="007967ED"/>
    <w:rsid w:val="007976BD"/>
    <w:rsid w:val="00797FA0"/>
    <w:rsid w:val="007A0482"/>
    <w:rsid w:val="007A0774"/>
    <w:rsid w:val="007A0DC0"/>
    <w:rsid w:val="007A106B"/>
    <w:rsid w:val="007A12F4"/>
    <w:rsid w:val="007A2355"/>
    <w:rsid w:val="007A24AD"/>
    <w:rsid w:val="007A274E"/>
    <w:rsid w:val="007A363A"/>
    <w:rsid w:val="007A3951"/>
    <w:rsid w:val="007A395E"/>
    <w:rsid w:val="007A3985"/>
    <w:rsid w:val="007A3FDD"/>
    <w:rsid w:val="007A4875"/>
    <w:rsid w:val="007A505B"/>
    <w:rsid w:val="007A53BF"/>
    <w:rsid w:val="007A5553"/>
    <w:rsid w:val="007A5612"/>
    <w:rsid w:val="007A5678"/>
    <w:rsid w:val="007A58C9"/>
    <w:rsid w:val="007A596F"/>
    <w:rsid w:val="007A5B3B"/>
    <w:rsid w:val="007A5F2E"/>
    <w:rsid w:val="007A6460"/>
    <w:rsid w:val="007A64D7"/>
    <w:rsid w:val="007A6510"/>
    <w:rsid w:val="007A6DE6"/>
    <w:rsid w:val="007A7164"/>
    <w:rsid w:val="007A7E79"/>
    <w:rsid w:val="007B0443"/>
    <w:rsid w:val="007B04B4"/>
    <w:rsid w:val="007B0557"/>
    <w:rsid w:val="007B0691"/>
    <w:rsid w:val="007B06F4"/>
    <w:rsid w:val="007B0735"/>
    <w:rsid w:val="007B09B8"/>
    <w:rsid w:val="007B12FB"/>
    <w:rsid w:val="007B14A1"/>
    <w:rsid w:val="007B15E5"/>
    <w:rsid w:val="007B1700"/>
    <w:rsid w:val="007B19F1"/>
    <w:rsid w:val="007B20CF"/>
    <w:rsid w:val="007B255C"/>
    <w:rsid w:val="007B29D8"/>
    <w:rsid w:val="007B2B1D"/>
    <w:rsid w:val="007B2E1B"/>
    <w:rsid w:val="007B305D"/>
    <w:rsid w:val="007B3169"/>
    <w:rsid w:val="007B350C"/>
    <w:rsid w:val="007B3746"/>
    <w:rsid w:val="007B3AF0"/>
    <w:rsid w:val="007B3F3C"/>
    <w:rsid w:val="007B4061"/>
    <w:rsid w:val="007B465F"/>
    <w:rsid w:val="007B49E0"/>
    <w:rsid w:val="007B5003"/>
    <w:rsid w:val="007B591E"/>
    <w:rsid w:val="007B629B"/>
    <w:rsid w:val="007B67F1"/>
    <w:rsid w:val="007B768E"/>
    <w:rsid w:val="007B7715"/>
    <w:rsid w:val="007B7A46"/>
    <w:rsid w:val="007C00E9"/>
    <w:rsid w:val="007C040D"/>
    <w:rsid w:val="007C058B"/>
    <w:rsid w:val="007C0A78"/>
    <w:rsid w:val="007C0C2D"/>
    <w:rsid w:val="007C0FC8"/>
    <w:rsid w:val="007C1102"/>
    <w:rsid w:val="007C16F5"/>
    <w:rsid w:val="007C1BC5"/>
    <w:rsid w:val="007C1CA0"/>
    <w:rsid w:val="007C23FE"/>
    <w:rsid w:val="007C2590"/>
    <w:rsid w:val="007C2C71"/>
    <w:rsid w:val="007C2F72"/>
    <w:rsid w:val="007C31C4"/>
    <w:rsid w:val="007C3928"/>
    <w:rsid w:val="007C40B2"/>
    <w:rsid w:val="007C45E9"/>
    <w:rsid w:val="007C460D"/>
    <w:rsid w:val="007C46F2"/>
    <w:rsid w:val="007C47C6"/>
    <w:rsid w:val="007C4E42"/>
    <w:rsid w:val="007C5C0D"/>
    <w:rsid w:val="007C65EC"/>
    <w:rsid w:val="007C6D66"/>
    <w:rsid w:val="007C79DE"/>
    <w:rsid w:val="007C7BF6"/>
    <w:rsid w:val="007C7C78"/>
    <w:rsid w:val="007C7EB6"/>
    <w:rsid w:val="007D060B"/>
    <w:rsid w:val="007D071A"/>
    <w:rsid w:val="007D10CF"/>
    <w:rsid w:val="007D1959"/>
    <w:rsid w:val="007D19FB"/>
    <w:rsid w:val="007D1DC4"/>
    <w:rsid w:val="007D1E59"/>
    <w:rsid w:val="007D2C55"/>
    <w:rsid w:val="007D2D24"/>
    <w:rsid w:val="007D3090"/>
    <w:rsid w:val="007D311F"/>
    <w:rsid w:val="007D3486"/>
    <w:rsid w:val="007D34B1"/>
    <w:rsid w:val="007D36AC"/>
    <w:rsid w:val="007D3997"/>
    <w:rsid w:val="007D3B4F"/>
    <w:rsid w:val="007D3F64"/>
    <w:rsid w:val="007D40A6"/>
    <w:rsid w:val="007D42C9"/>
    <w:rsid w:val="007D4465"/>
    <w:rsid w:val="007D49F7"/>
    <w:rsid w:val="007D50F2"/>
    <w:rsid w:val="007D5526"/>
    <w:rsid w:val="007D5914"/>
    <w:rsid w:val="007D59E0"/>
    <w:rsid w:val="007D5F94"/>
    <w:rsid w:val="007D60F4"/>
    <w:rsid w:val="007D617B"/>
    <w:rsid w:val="007D627D"/>
    <w:rsid w:val="007D62D0"/>
    <w:rsid w:val="007D66F9"/>
    <w:rsid w:val="007D6795"/>
    <w:rsid w:val="007D6906"/>
    <w:rsid w:val="007D69DA"/>
    <w:rsid w:val="007D6A0B"/>
    <w:rsid w:val="007D7456"/>
    <w:rsid w:val="007D7950"/>
    <w:rsid w:val="007D7E27"/>
    <w:rsid w:val="007D7EB3"/>
    <w:rsid w:val="007D7F4D"/>
    <w:rsid w:val="007D7FE6"/>
    <w:rsid w:val="007E0F60"/>
    <w:rsid w:val="007E0FC6"/>
    <w:rsid w:val="007E0FEE"/>
    <w:rsid w:val="007E108F"/>
    <w:rsid w:val="007E10A9"/>
    <w:rsid w:val="007E1822"/>
    <w:rsid w:val="007E1E35"/>
    <w:rsid w:val="007E3820"/>
    <w:rsid w:val="007E3D15"/>
    <w:rsid w:val="007E3DEE"/>
    <w:rsid w:val="007E47F8"/>
    <w:rsid w:val="007E480C"/>
    <w:rsid w:val="007E4B7C"/>
    <w:rsid w:val="007E4FA8"/>
    <w:rsid w:val="007E598F"/>
    <w:rsid w:val="007E5B4B"/>
    <w:rsid w:val="007E5F0F"/>
    <w:rsid w:val="007E60E2"/>
    <w:rsid w:val="007E641A"/>
    <w:rsid w:val="007E67EA"/>
    <w:rsid w:val="007E6A36"/>
    <w:rsid w:val="007E6A80"/>
    <w:rsid w:val="007E75C0"/>
    <w:rsid w:val="007E7777"/>
    <w:rsid w:val="007E7BAE"/>
    <w:rsid w:val="007E7BCF"/>
    <w:rsid w:val="007E7C9C"/>
    <w:rsid w:val="007F0494"/>
    <w:rsid w:val="007F0AB8"/>
    <w:rsid w:val="007F0B2B"/>
    <w:rsid w:val="007F0DF6"/>
    <w:rsid w:val="007F0F3B"/>
    <w:rsid w:val="007F0F94"/>
    <w:rsid w:val="007F1238"/>
    <w:rsid w:val="007F26FA"/>
    <w:rsid w:val="007F2B2C"/>
    <w:rsid w:val="007F2FB6"/>
    <w:rsid w:val="007F302D"/>
    <w:rsid w:val="007F3460"/>
    <w:rsid w:val="007F3CCB"/>
    <w:rsid w:val="007F3D0E"/>
    <w:rsid w:val="007F3D35"/>
    <w:rsid w:val="007F48A5"/>
    <w:rsid w:val="007F4C95"/>
    <w:rsid w:val="007F4D29"/>
    <w:rsid w:val="007F50F8"/>
    <w:rsid w:val="007F5D52"/>
    <w:rsid w:val="007F63E1"/>
    <w:rsid w:val="007F6D8C"/>
    <w:rsid w:val="007F71BE"/>
    <w:rsid w:val="007F7594"/>
    <w:rsid w:val="007F774E"/>
    <w:rsid w:val="007F780C"/>
    <w:rsid w:val="007F7C59"/>
    <w:rsid w:val="00800D36"/>
    <w:rsid w:val="008018DB"/>
    <w:rsid w:val="008019D2"/>
    <w:rsid w:val="00801CAF"/>
    <w:rsid w:val="00801F3F"/>
    <w:rsid w:val="00802695"/>
    <w:rsid w:val="00802722"/>
    <w:rsid w:val="00802BE8"/>
    <w:rsid w:val="00803760"/>
    <w:rsid w:val="00803DB1"/>
    <w:rsid w:val="00804071"/>
    <w:rsid w:val="0080432C"/>
    <w:rsid w:val="008047D5"/>
    <w:rsid w:val="0080491E"/>
    <w:rsid w:val="0080507B"/>
    <w:rsid w:val="00805133"/>
    <w:rsid w:val="0080569A"/>
    <w:rsid w:val="00805811"/>
    <w:rsid w:val="0080594C"/>
    <w:rsid w:val="0080653F"/>
    <w:rsid w:val="00806FA3"/>
    <w:rsid w:val="00807034"/>
    <w:rsid w:val="008072FD"/>
    <w:rsid w:val="00807427"/>
    <w:rsid w:val="0080761A"/>
    <w:rsid w:val="00807948"/>
    <w:rsid w:val="00807DA2"/>
    <w:rsid w:val="00807E02"/>
    <w:rsid w:val="00807F0F"/>
    <w:rsid w:val="00810B62"/>
    <w:rsid w:val="00811264"/>
    <w:rsid w:val="00811E8F"/>
    <w:rsid w:val="00812239"/>
    <w:rsid w:val="008126D1"/>
    <w:rsid w:val="00812B7F"/>
    <w:rsid w:val="0081307A"/>
    <w:rsid w:val="00813302"/>
    <w:rsid w:val="008137F8"/>
    <w:rsid w:val="00813A88"/>
    <w:rsid w:val="00813EBC"/>
    <w:rsid w:val="008141C1"/>
    <w:rsid w:val="0081497F"/>
    <w:rsid w:val="0081501A"/>
    <w:rsid w:val="008153BF"/>
    <w:rsid w:val="00815C4E"/>
    <w:rsid w:val="008164FC"/>
    <w:rsid w:val="00816760"/>
    <w:rsid w:val="00816B26"/>
    <w:rsid w:val="008172BA"/>
    <w:rsid w:val="008173FE"/>
    <w:rsid w:val="008177F0"/>
    <w:rsid w:val="00817938"/>
    <w:rsid w:val="00817D47"/>
    <w:rsid w:val="00820345"/>
    <w:rsid w:val="00821BE3"/>
    <w:rsid w:val="00821C85"/>
    <w:rsid w:val="00821DB1"/>
    <w:rsid w:val="0082239D"/>
    <w:rsid w:val="008224D5"/>
    <w:rsid w:val="0082254C"/>
    <w:rsid w:val="00822BD5"/>
    <w:rsid w:val="00822C61"/>
    <w:rsid w:val="00822FEC"/>
    <w:rsid w:val="00823751"/>
    <w:rsid w:val="00823B4A"/>
    <w:rsid w:val="00824161"/>
    <w:rsid w:val="0082461D"/>
    <w:rsid w:val="00824956"/>
    <w:rsid w:val="00824D16"/>
    <w:rsid w:val="00824F0B"/>
    <w:rsid w:val="00825412"/>
    <w:rsid w:val="008255B8"/>
    <w:rsid w:val="0082602C"/>
    <w:rsid w:val="00826370"/>
    <w:rsid w:val="008263AA"/>
    <w:rsid w:val="00826435"/>
    <w:rsid w:val="00827213"/>
    <w:rsid w:val="008273E6"/>
    <w:rsid w:val="0082760B"/>
    <w:rsid w:val="0082763B"/>
    <w:rsid w:val="00830285"/>
    <w:rsid w:val="00830625"/>
    <w:rsid w:val="00830758"/>
    <w:rsid w:val="00830EB5"/>
    <w:rsid w:val="008310AF"/>
    <w:rsid w:val="008310D7"/>
    <w:rsid w:val="008312A7"/>
    <w:rsid w:val="0083139D"/>
    <w:rsid w:val="008314AD"/>
    <w:rsid w:val="008315EA"/>
    <w:rsid w:val="008317A8"/>
    <w:rsid w:val="008318C5"/>
    <w:rsid w:val="00831B9D"/>
    <w:rsid w:val="00831CBC"/>
    <w:rsid w:val="00831E49"/>
    <w:rsid w:val="008327F0"/>
    <w:rsid w:val="008329DD"/>
    <w:rsid w:val="00832D0D"/>
    <w:rsid w:val="0083322F"/>
    <w:rsid w:val="00833308"/>
    <w:rsid w:val="00833ED5"/>
    <w:rsid w:val="00834635"/>
    <w:rsid w:val="00834F4E"/>
    <w:rsid w:val="00835E82"/>
    <w:rsid w:val="00835FAD"/>
    <w:rsid w:val="00836F68"/>
    <w:rsid w:val="00837101"/>
    <w:rsid w:val="008371EE"/>
    <w:rsid w:val="00837E5F"/>
    <w:rsid w:val="008410A3"/>
    <w:rsid w:val="008414C9"/>
    <w:rsid w:val="0084157E"/>
    <w:rsid w:val="00841866"/>
    <w:rsid w:val="0084186B"/>
    <w:rsid w:val="00841870"/>
    <w:rsid w:val="008419A1"/>
    <w:rsid w:val="00841B59"/>
    <w:rsid w:val="008422CD"/>
    <w:rsid w:val="00843261"/>
    <w:rsid w:val="008436B2"/>
    <w:rsid w:val="008436C7"/>
    <w:rsid w:val="00843C2A"/>
    <w:rsid w:val="00843D56"/>
    <w:rsid w:val="0084446B"/>
    <w:rsid w:val="0084475D"/>
    <w:rsid w:val="00844836"/>
    <w:rsid w:val="00844943"/>
    <w:rsid w:val="00844AD7"/>
    <w:rsid w:val="00844C69"/>
    <w:rsid w:val="00845158"/>
    <w:rsid w:val="008452FD"/>
    <w:rsid w:val="008458AF"/>
    <w:rsid w:val="00845A2F"/>
    <w:rsid w:val="00845D15"/>
    <w:rsid w:val="00845D20"/>
    <w:rsid w:val="00845D50"/>
    <w:rsid w:val="00845EA1"/>
    <w:rsid w:val="00845EC0"/>
    <w:rsid w:val="0084645F"/>
    <w:rsid w:val="00846606"/>
    <w:rsid w:val="00846A13"/>
    <w:rsid w:val="00846F67"/>
    <w:rsid w:val="008479F6"/>
    <w:rsid w:val="00847F33"/>
    <w:rsid w:val="00847FF4"/>
    <w:rsid w:val="00850070"/>
    <w:rsid w:val="00850134"/>
    <w:rsid w:val="00850186"/>
    <w:rsid w:val="0085021E"/>
    <w:rsid w:val="0085066D"/>
    <w:rsid w:val="00850AF1"/>
    <w:rsid w:val="00850B58"/>
    <w:rsid w:val="00850F11"/>
    <w:rsid w:val="00850F9F"/>
    <w:rsid w:val="00851496"/>
    <w:rsid w:val="00851613"/>
    <w:rsid w:val="008518B5"/>
    <w:rsid w:val="00851DB3"/>
    <w:rsid w:val="00851DB6"/>
    <w:rsid w:val="00851E19"/>
    <w:rsid w:val="00851F85"/>
    <w:rsid w:val="0085217B"/>
    <w:rsid w:val="0085224E"/>
    <w:rsid w:val="0085381B"/>
    <w:rsid w:val="00853C36"/>
    <w:rsid w:val="008547CF"/>
    <w:rsid w:val="00854A8D"/>
    <w:rsid w:val="00855481"/>
    <w:rsid w:val="008558F7"/>
    <w:rsid w:val="00856718"/>
    <w:rsid w:val="00856F41"/>
    <w:rsid w:val="0085709A"/>
    <w:rsid w:val="00857324"/>
    <w:rsid w:val="008576C7"/>
    <w:rsid w:val="00857B5E"/>
    <w:rsid w:val="00857C3A"/>
    <w:rsid w:val="008604CB"/>
    <w:rsid w:val="00860610"/>
    <w:rsid w:val="008618F8"/>
    <w:rsid w:val="00861D1A"/>
    <w:rsid w:val="008629B1"/>
    <w:rsid w:val="00862BA6"/>
    <w:rsid w:val="008634C1"/>
    <w:rsid w:val="00863502"/>
    <w:rsid w:val="00863716"/>
    <w:rsid w:val="0086373A"/>
    <w:rsid w:val="008651FA"/>
    <w:rsid w:val="00865459"/>
    <w:rsid w:val="008656B3"/>
    <w:rsid w:val="00865BDE"/>
    <w:rsid w:val="008664DF"/>
    <w:rsid w:val="00866AA1"/>
    <w:rsid w:val="00867221"/>
    <w:rsid w:val="00867367"/>
    <w:rsid w:val="008674D1"/>
    <w:rsid w:val="008676AC"/>
    <w:rsid w:val="00867A41"/>
    <w:rsid w:val="00867AB4"/>
    <w:rsid w:val="00867CDE"/>
    <w:rsid w:val="00870033"/>
    <w:rsid w:val="0087073E"/>
    <w:rsid w:val="008707E5"/>
    <w:rsid w:val="00870B29"/>
    <w:rsid w:val="008715D3"/>
    <w:rsid w:val="00871A43"/>
    <w:rsid w:val="00871C85"/>
    <w:rsid w:val="00871FE3"/>
    <w:rsid w:val="0087281B"/>
    <w:rsid w:val="008728CD"/>
    <w:rsid w:val="00872D50"/>
    <w:rsid w:val="00872D58"/>
    <w:rsid w:val="00872F95"/>
    <w:rsid w:val="00873EF3"/>
    <w:rsid w:val="00874591"/>
    <w:rsid w:val="008749E2"/>
    <w:rsid w:val="00874CEE"/>
    <w:rsid w:val="00875569"/>
    <w:rsid w:val="00876EB0"/>
    <w:rsid w:val="00876FAC"/>
    <w:rsid w:val="00877229"/>
    <w:rsid w:val="0087726D"/>
    <w:rsid w:val="00877D50"/>
    <w:rsid w:val="008806F1"/>
    <w:rsid w:val="00880985"/>
    <w:rsid w:val="00880AE9"/>
    <w:rsid w:val="00881115"/>
    <w:rsid w:val="00881AA4"/>
    <w:rsid w:val="0088214C"/>
    <w:rsid w:val="00882336"/>
    <w:rsid w:val="00882F47"/>
    <w:rsid w:val="008833D0"/>
    <w:rsid w:val="008834F3"/>
    <w:rsid w:val="008839BA"/>
    <w:rsid w:val="00883D1E"/>
    <w:rsid w:val="00884B34"/>
    <w:rsid w:val="00885725"/>
    <w:rsid w:val="0088593E"/>
    <w:rsid w:val="008868F9"/>
    <w:rsid w:val="00886C24"/>
    <w:rsid w:val="00886E2F"/>
    <w:rsid w:val="00887147"/>
    <w:rsid w:val="00887176"/>
    <w:rsid w:val="00887425"/>
    <w:rsid w:val="00887D33"/>
    <w:rsid w:val="00887DF0"/>
    <w:rsid w:val="00890FE8"/>
    <w:rsid w:val="0089156D"/>
    <w:rsid w:val="00891C6C"/>
    <w:rsid w:val="00891D31"/>
    <w:rsid w:val="00892AF8"/>
    <w:rsid w:val="00892C8C"/>
    <w:rsid w:val="00892CE5"/>
    <w:rsid w:val="0089305B"/>
    <w:rsid w:val="00893372"/>
    <w:rsid w:val="00893405"/>
    <w:rsid w:val="00893640"/>
    <w:rsid w:val="00893A94"/>
    <w:rsid w:val="008944C6"/>
    <w:rsid w:val="00894E5D"/>
    <w:rsid w:val="00895603"/>
    <w:rsid w:val="00895ABA"/>
    <w:rsid w:val="00895E27"/>
    <w:rsid w:val="00896042"/>
    <w:rsid w:val="00896194"/>
    <w:rsid w:val="00896518"/>
    <w:rsid w:val="00896DA9"/>
    <w:rsid w:val="00896F91"/>
    <w:rsid w:val="008975B5"/>
    <w:rsid w:val="0089778E"/>
    <w:rsid w:val="008A0050"/>
    <w:rsid w:val="008A01E7"/>
    <w:rsid w:val="008A03EB"/>
    <w:rsid w:val="008A0895"/>
    <w:rsid w:val="008A0938"/>
    <w:rsid w:val="008A1875"/>
    <w:rsid w:val="008A1942"/>
    <w:rsid w:val="008A1949"/>
    <w:rsid w:val="008A1A01"/>
    <w:rsid w:val="008A1E0E"/>
    <w:rsid w:val="008A20E3"/>
    <w:rsid w:val="008A2301"/>
    <w:rsid w:val="008A255E"/>
    <w:rsid w:val="008A268C"/>
    <w:rsid w:val="008A2948"/>
    <w:rsid w:val="008A298C"/>
    <w:rsid w:val="008A30BD"/>
    <w:rsid w:val="008A33DC"/>
    <w:rsid w:val="008A343D"/>
    <w:rsid w:val="008A3698"/>
    <w:rsid w:val="008A36B2"/>
    <w:rsid w:val="008A3EC2"/>
    <w:rsid w:val="008A3F45"/>
    <w:rsid w:val="008A436E"/>
    <w:rsid w:val="008A4C55"/>
    <w:rsid w:val="008A4CD0"/>
    <w:rsid w:val="008A5516"/>
    <w:rsid w:val="008A560A"/>
    <w:rsid w:val="008A5D35"/>
    <w:rsid w:val="008A5ED8"/>
    <w:rsid w:val="008A6105"/>
    <w:rsid w:val="008A6A7D"/>
    <w:rsid w:val="008A6F22"/>
    <w:rsid w:val="008A70D2"/>
    <w:rsid w:val="008A70FA"/>
    <w:rsid w:val="008A7969"/>
    <w:rsid w:val="008B01BF"/>
    <w:rsid w:val="008B0C2E"/>
    <w:rsid w:val="008B1C68"/>
    <w:rsid w:val="008B1C7D"/>
    <w:rsid w:val="008B22B5"/>
    <w:rsid w:val="008B249F"/>
    <w:rsid w:val="008B2569"/>
    <w:rsid w:val="008B3274"/>
    <w:rsid w:val="008B32C7"/>
    <w:rsid w:val="008B3702"/>
    <w:rsid w:val="008B3B07"/>
    <w:rsid w:val="008B3C4B"/>
    <w:rsid w:val="008B3DFA"/>
    <w:rsid w:val="008B4082"/>
    <w:rsid w:val="008B583C"/>
    <w:rsid w:val="008B597E"/>
    <w:rsid w:val="008B6471"/>
    <w:rsid w:val="008B6A64"/>
    <w:rsid w:val="008B6B31"/>
    <w:rsid w:val="008B6BF6"/>
    <w:rsid w:val="008B70E4"/>
    <w:rsid w:val="008B7816"/>
    <w:rsid w:val="008B78F2"/>
    <w:rsid w:val="008B7D0E"/>
    <w:rsid w:val="008C0A18"/>
    <w:rsid w:val="008C0C46"/>
    <w:rsid w:val="008C11FE"/>
    <w:rsid w:val="008C1572"/>
    <w:rsid w:val="008C162A"/>
    <w:rsid w:val="008C1ABD"/>
    <w:rsid w:val="008C1B05"/>
    <w:rsid w:val="008C20F0"/>
    <w:rsid w:val="008C21C0"/>
    <w:rsid w:val="008C2539"/>
    <w:rsid w:val="008C2F9C"/>
    <w:rsid w:val="008C3404"/>
    <w:rsid w:val="008C3680"/>
    <w:rsid w:val="008C3871"/>
    <w:rsid w:val="008C3C62"/>
    <w:rsid w:val="008C3ECD"/>
    <w:rsid w:val="008C455E"/>
    <w:rsid w:val="008C4630"/>
    <w:rsid w:val="008C519D"/>
    <w:rsid w:val="008C524C"/>
    <w:rsid w:val="008C5550"/>
    <w:rsid w:val="008C59DE"/>
    <w:rsid w:val="008C70A8"/>
    <w:rsid w:val="008C7269"/>
    <w:rsid w:val="008C74A6"/>
    <w:rsid w:val="008C7518"/>
    <w:rsid w:val="008C7714"/>
    <w:rsid w:val="008C7DE3"/>
    <w:rsid w:val="008D0608"/>
    <w:rsid w:val="008D1AB9"/>
    <w:rsid w:val="008D1BBC"/>
    <w:rsid w:val="008D1F6F"/>
    <w:rsid w:val="008D1F91"/>
    <w:rsid w:val="008D242A"/>
    <w:rsid w:val="008D256A"/>
    <w:rsid w:val="008D293B"/>
    <w:rsid w:val="008D2D6F"/>
    <w:rsid w:val="008D3107"/>
    <w:rsid w:val="008D31F7"/>
    <w:rsid w:val="008D3241"/>
    <w:rsid w:val="008D349B"/>
    <w:rsid w:val="008D3655"/>
    <w:rsid w:val="008D3877"/>
    <w:rsid w:val="008D3DC6"/>
    <w:rsid w:val="008D4584"/>
    <w:rsid w:val="008D4B5E"/>
    <w:rsid w:val="008D4D52"/>
    <w:rsid w:val="008D4FE3"/>
    <w:rsid w:val="008D5867"/>
    <w:rsid w:val="008D59D7"/>
    <w:rsid w:val="008D630C"/>
    <w:rsid w:val="008D6501"/>
    <w:rsid w:val="008D70B7"/>
    <w:rsid w:val="008D75C8"/>
    <w:rsid w:val="008D7DA1"/>
    <w:rsid w:val="008D7F05"/>
    <w:rsid w:val="008E00BE"/>
    <w:rsid w:val="008E00D4"/>
    <w:rsid w:val="008E04F6"/>
    <w:rsid w:val="008E05A2"/>
    <w:rsid w:val="008E0D15"/>
    <w:rsid w:val="008E1324"/>
    <w:rsid w:val="008E1444"/>
    <w:rsid w:val="008E160C"/>
    <w:rsid w:val="008E1623"/>
    <w:rsid w:val="008E1912"/>
    <w:rsid w:val="008E1E5D"/>
    <w:rsid w:val="008E2110"/>
    <w:rsid w:val="008E282A"/>
    <w:rsid w:val="008E2BEA"/>
    <w:rsid w:val="008E2DA6"/>
    <w:rsid w:val="008E3170"/>
    <w:rsid w:val="008E3216"/>
    <w:rsid w:val="008E32A2"/>
    <w:rsid w:val="008E3796"/>
    <w:rsid w:val="008E3A36"/>
    <w:rsid w:val="008E3DA7"/>
    <w:rsid w:val="008E58B6"/>
    <w:rsid w:val="008E5E2B"/>
    <w:rsid w:val="008E5F80"/>
    <w:rsid w:val="008E65BE"/>
    <w:rsid w:val="008E6CFC"/>
    <w:rsid w:val="008E714F"/>
    <w:rsid w:val="008E71CA"/>
    <w:rsid w:val="008E7392"/>
    <w:rsid w:val="008E7489"/>
    <w:rsid w:val="008E78EB"/>
    <w:rsid w:val="008E7F89"/>
    <w:rsid w:val="008F0525"/>
    <w:rsid w:val="008F067D"/>
    <w:rsid w:val="008F1342"/>
    <w:rsid w:val="008F1850"/>
    <w:rsid w:val="008F1DF5"/>
    <w:rsid w:val="008F2566"/>
    <w:rsid w:val="008F2CB3"/>
    <w:rsid w:val="008F2E56"/>
    <w:rsid w:val="008F3C2D"/>
    <w:rsid w:val="008F4270"/>
    <w:rsid w:val="008F42FC"/>
    <w:rsid w:val="008F43DE"/>
    <w:rsid w:val="008F4DD2"/>
    <w:rsid w:val="008F5126"/>
    <w:rsid w:val="008F5A12"/>
    <w:rsid w:val="008F5C21"/>
    <w:rsid w:val="008F5C6B"/>
    <w:rsid w:val="008F6345"/>
    <w:rsid w:val="008F64F2"/>
    <w:rsid w:val="008F676F"/>
    <w:rsid w:val="008F7BA2"/>
    <w:rsid w:val="009000C0"/>
    <w:rsid w:val="0090029A"/>
    <w:rsid w:val="0090086F"/>
    <w:rsid w:val="00900D30"/>
    <w:rsid w:val="00900DF8"/>
    <w:rsid w:val="00900E19"/>
    <w:rsid w:val="00901299"/>
    <w:rsid w:val="0090154E"/>
    <w:rsid w:val="00901654"/>
    <w:rsid w:val="0090167E"/>
    <w:rsid w:val="00901B76"/>
    <w:rsid w:val="00901FAF"/>
    <w:rsid w:val="00901FD5"/>
    <w:rsid w:val="00902329"/>
    <w:rsid w:val="0090260A"/>
    <w:rsid w:val="00902C95"/>
    <w:rsid w:val="00903253"/>
    <w:rsid w:val="00903501"/>
    <w:rsid w:val="0090361E"/>
    <w:rsid w:val="00903CC9"/>
    <w:rsid w:val="009042FA"/>
    <w:rsid w:val="00904364"/>
    <w:rsid w:val="00904412"/>
    <w:rsid w:val="0090455B"/>
    <w:rsid w:val="009046FE"/>
    <w:rsid w:val="009051F3"/>
    <w:rsid w:val="00905655"/>
    <w:rsid w:val="00906286"/>
    <w:rsid w:val="009064D4"/>
    <w:rsid w:val="009068E9"/>
    <w:rsid w:val="00906C39"/>
    <w:rsid w:val="00906C57"/>
    <w:rsid w:val="00907B14"/>
    <w:rsid w:val="00907C17"/>
    <w:rsid w:val="009108C4"/>
    <w:rsid w:val="00910944"/>
    <w:rsid w:val="00910B47"/>
    <w:rsid w:val="00910BC6"/>
    <w:rsid w:val="009114E6"/>
    <w:rsid w:val="00911523"/>
    <w:rsid w:val="009118FA"/>
    <w:rsid w:val="00911CBD"/>
    <w:rsid w:val="0091204B"/>
    <w:rsid w:val="009142DA"/>
    <w:rsid w:val="009144AE"/>
    <w:rsid w:val="0091495C"/>
    <w:rsid w:val="00914BE7"/>
    <w:rsid w:val="00914BFB"/>
    <w:rsid w:val="00914C4C"/>
    <w:rsid w:val="00914F5E"/>
    <w:rsid w:val="00915766"/>
    <w:rsid w:val="00915918"/>
    <w:rsid w:val="00915DD2"/>
    <w:rsid w:val="00915E83"/>
    <w:rsid w:val="0091649E"/>
    <w:rsid w:val="009165F0"/>
    <w:rsid w:val="009166E8"/>
    <w:rsid w:val="00916980"/>
    <w:rsid w:val="00916AF6"/>
    <w:rsid w:val="00916ED2"/>
    <w:rsid w:val="00916F0B"/>
    <w:rsid w:val="00917139"/>
    <w:rsid w:val="0091741F"/>
    <w:rsid w:val="00917660"/>
    <w:rsid w:val="00917DCA"/>
    <w:rsid w:val="009201F5"/>
    <w:rsid w:val="0092026F"/>
    <w:rsid w:val="009204AA"/>
    <w:rsid w:val="009207E1"/>
    <w:rsid w:val="0092137A"/>
    <w:rsid w:val="00921A48"/>
    <w:rsid w:val="009225B6"/>
    <w:rsid w:val="00922E1D"/>
    <w:rsid w:val="00923171"/>
    <w:rsid w:val="009232D1"/>
    <w:rsid w:val="009239F4"/>
    <w:rsid w:val="00923AB6"/>
    <w:rsid w:val="00923AE1"/>
    <w:rsid w:val="00923CE9"/>
    <w:rsid w:val="00924359"/>
    <w:rsid w:val="009247D7"/>
    <w:rsid w:val="00924A67"/>
    <w:rsid w:val="009256D0"/>
    <w:rsid w:val="00925EAA"/>
    <w:rsid w:val="009263CB"/>
    <w:rsid w:val="00926A02"/>
    <w:rsid w:val="00926C0F"/>
    <w:rsid w:val="00927258"/>
    <w:rsid w:val="0092750D"/>
    <w:rsid w:val="00927606"/>
    <w:rsid w:val="0092782B"/>
    <w:rsid w:val="00927CFC"/>
    <w:rsid w:val="00927F9A"/>
    <w:rsid w:val="0093051D"/>
    <w:rsid w:val="009306BC"/>
    <w:rsid w:val="00930773"/>
    <w:rsid w:val="009323BF"/>
    <w:rsid w:val="00932445"/>
    <w:rsid w:val="009325F2"/>
    <w:rsid w:val="00932CDF"/>
    <w:rsid w:val="00932D9E"/>
    <w:rsid w:val="009333DF"/>
    <w:rsid w:val="00933409"/>
    <w:rsid w:val="009334F9"/>
    <w:rsid w:val="009336B4"/>
    <w:rsid w:val="00933752"/>
    <w:rsid w:val="00934290"/>
    <w:rsid w:val="00934375"/>
    <w:rsid w:val="0093470C"/>
    <w:rsid w:val="00934A70"/>
    <w:rsid w:val="00934B51"/>
    <w:rsid w:val="00934EB6"/>
    <w:rsid w:val="00935494"/>
    <w:rsid w:val="009354FD"/>
    <w:rsid w:val="00936A9E"/>
    <w:rsid w:val="00936D49"/>
    <w:rsid w:val="00937417"/>
    <w:rsid w:val="0093761F"/>
    <w:rsid w:val="009408A3"/>
    <w:rsid w:val="00940A12"/>
    <w:rsid w:val="00940ABC"/>
    <w:rsid w:val="00940B9B"/>
    <w:rsid w:val="00940EA2"/>
    <w:rsid w:val="0094241C"/>
    <w:rsid w:val="00943C06"/>
    <w:rsid w:val="00943C45"/>
    <w:rsid w:val="009444C2"/>
    <w:rsid w:val="0094455A"/>
    <w:rsid w:val="00944C6C"/>
    <w:rsid w:val="00945002"/>
    <w:rsid w:val="0094521A"/>
    <w:rsid w:val="009453C3"/>
    <w:rsid w:val="00945590"/>
    <w:rsid w:val="009456F3"/>
    <w:rsid w:val="00946343"/>
    <w:rsid w:val="00946589"/>
    <w:rsid w:val="00946778"/>
    <w:rsid w:val="00946EFF"/>
    <w:rsid w:val="0094790A"/>
    <w:rsid w:val="009479BA"/>
    <w:rsid w:val="009479E1"/>
    <w:rsid w:val="00947BB2"/>
    <w:rsid w:val="00947BD8"/>
    <w:rsid w:val="00947BDD"/>
    <w:rsid w:val="00950399"/>
    <w:rsid w:val="00950C99"/>
    <w:rsid w:val="00950CEF"/>
    <w:rsid w:val="009512C4"/>
    <w:rsid w:val="0095150F"/>
    <w:rsid w:val="00952331"/>
    <w:rsid w:val="00953194"/>
    <w:rsid w:val="00953543"/>
    <w:rsid w:val="009539DD"/>
    <w:rsid w:val="00954361"/>
    <w:rsid w:val="00954403"/>
    <w:rsid w:val="00954BFB"/>
    <w:rsid w:val="00955355"/>
    <w:rsid w:val="00955561"/>
    <w:rsid w:val="009562D7"/>
    <w:rsid w:val="009563A7"/>
    <w:rsid w:val="009564F2"/>
    <w:rsid w:val="00956579"/>
    <w:rsid w:val="0095667D"/>
    <w:rsid w:val="00956749"/>
    <w:rsid w:val="00956961"/>
    <w:rsid w:val="00956D1A"/>
    <w:rsid w:val="0095769E"/>
    <w:rsid w:val="009578FE"/>
    <w:rsid w:val="0096033D"/>
    <w:rsid w:val="00960375"/>
    <w:rsid w:val="0096114C"/>
    <w:rsid w:val="009612B1"/>
    <w:rsid w:val="0096191C"/>
    <w:rsid w:val="0096192B"/>
    <w:rsid w:val="009620BC"/>
    <w:rsid w:val="009620D9"/>
    <w:rsid w:val="00962296"/>
    <w:rsid w:val="00962390"/>
    <w:rsid w:val="009626C9"/>
    <w:rsid w:val="00962783"/>
    <w:rsid w:val="009629F5"/>
    <w:rsid w:val="00962DCB"/>
    <w:rsid w:val="00962E76"/>
    <w:rsid w:val="0096329B"/>
    <w:rsid w:val="00963636"/>
    <w:rsid w:val="00963A87"/>
    <w:rsid w:val="00963EC4"/>
    <w:rsid w:val="009650E5"/>
    <w:rsid w:val="00965A5A"/>
    <w:rsid w:val="009662BE"/>
    <w:rsid w:val="009664B2"/>
    <w:rsid w:val="00966A95"/>
    <w:rsid w:val="00967394"/>
    <w:rsid w:val="009673FD"/>
    <w:rsid w:val="009703A1"/>
    <w:rsid w:val="00970F9D"/>
    <w:rsid w:val="00971038"/>
    <w:rsid w:val="009710F1"/>
    <w:rsid w:val="00971CFF"/>
    <w:rsid w:val="00971F1A"/>
    <w:rsid w:val="009723E6"/>
    <w:rsid w:val="009727D4"/>
    <w:rsid w:val="009729B4"/>
    <w:rsid w:val="009732B8"/>
    <w:rsid w:val="00973968"/>
    <w:rsid w:val="00973AD5"/>
    <w:rsid w:val="00973D14"/>
    <w:rsid w:val="00973FB0"/>
    <w:rsid w:val="0097400B"/>
    <w:rsid w:val="0097403F"/>
    <w:rsid w:val="009742DF"/>
    <w:rsid w:val="009744B8"/>
    <w:rsid w:val="00974AFE"/>
    <w:rsid w:val="00974EB1"/>
    <w:rsid w:val="00974F95"/>
    <w:rsid w:val="00975292"/>
    <w:rsid w:val="00975E02"/>
    <w:rsid w:val="00976B1B"/>
    <w:rsid w:val="00976FBB"/>
    <w:rsid w:val="009770E0"/>
    <w:rsid w:val="00977433"/>
    <w:rsid w:val="0097782F"/>
    <w:rsid w:val="0098024E"/>
    <w:rsid w:val="009803CD"/>
    <w:rsid w:val="00981201"/>
    <w:rsid w:val="0098172E"/>
    <w:rsid w:val="009826A0"/>
    <w:rsid w:val="00983056"/>
    <w:rsid w:val="00983341"/>
    <w:rsid w:val="00983D19"/>
    <w:rsid w:val="0098439C"/>
    <w:rsid w:val="00984BDB"/>
    <w:rsid w:val="00985251"/>
    <w:rsid w:val="00985ACC"/>
    <w:rsid w:val="0098624D"/>
    <w:rsid w:val="009864E7"/>
    <w:rsid w:val="00986FCD"/>
    <w:rsid w:val="00987622"/>
    <w:rsid w:val="009876AC"/>
    <w:rsid w:val="0098791F"/>
    <w:rsid w:val="00987BCF"/>
    <w:rsid w:val="00987BD5"/>
    <w:rsid w:val="00987F18"/>
    <w:rsid w:val="00987FD8"/>
    <w:rsid w:val="0099057B"/>
    <w:rsid w:val="009908E2"/>
    <w:rsid w:val="00990905"/>
    <w:rsid w:val="00991288"/>
    <w:rsid w:val="0099157A"/>
    <w:rsid w:val="0099166A"/>
    <w:rsid w:val="00991678"/>
    <w:rsid w:val="00991927"/>
    <w:rsid w:val="0099207B"/>
    <w:rsid w:val="009920A1"/>
    <w:rsid w:val="00992A72"/>
    <w:rsid w:val="00992E50"/>
    <w:rsid w:val="0099308A"/>
    <w:rsid w:val="00993094"/>
    <w:rsid w:val="009936F9"/>
    <w:rsid w:val="0099410B"/>
    <w:rsid w:val="00994BAF"/>
    <w:rsid w:val="00994E72"/>
    <w:rsid w:val="0099531C"/>
    <w:rsid w:val="009955A1"/>
    <w:rsid w:val="009955B7"/>
    <w:rsid w:val="0099586D"/>
    <w:rsid w:val="00995AEC"/>
    <w:rsid w:val="00995C59"/>
    <w:rsid w:val="009969F8"/>
    <w:rsid w:val="00997091"/>
    <w:rsid w:val="00997582"/>
    <w:rsid w:val="00997D45"/>
    <w:rsid w:val="00997D7E"/>
    <w:rsid w:val="00997E0A"/>
    <w:rsid w:val="009A09D2"/>
    <w:rsid w:val="009A0F42"/>
    <w:rsid w:val="009A179D"/>
    <w:rsid w:val="009A1899"/>
    <w:rsid w:val="009A1B4B"/>
    <w:rsid w:val="009A1F63"/>
    <w:rsid w:val="009A27F3"/>
    <w:rsid w:val="009A29B9"/>
    <w:rsid w:val="009A3A5C"/>
    <w:rsid w:val="009A4143"/>
    <w:rsid w:val="009A4AD5"/>
    <w:rsid w:val="009A5054"/>
    <w:rsid w:val="009A5688"/>
    <w:rsid w:val="009A6129"/>
    <w:rsid w:val="009A65EC"/>
    <w:rsid w:val="009A6785"/>
    <w:rsid w:val="009A6928"/>
    <w:rsid w:val="009A6A33"/>
    <w:rsid w:val="009A6A37"/>
    <w:rsid w:val="009A7149"/>
    <w:rsid w:val="009B0040"/>
    <w:rsid w:val="009B053F"/>
    <w:rsid w:val="009B07BF"/>
    <w:rsid w:val="009B176A"/>
    <w:rsid w:val="009B1B9B"/>
    <w:rsid w:val="009B1E69"/>
    <w:rsid w:val="009B21A7"/>
    <w:rsid w:val="009B224F"/>
    <w:rsid w:val="009B2BA2"/>
    <w:rsid w:val="009B2BB4"/>
    <w:rsid w:val="009B328F"/>
    <w:rsid w:val="009B35D6"/>
    <w:rsid w:val="009B35EC"/>
    <w:rsid w:val="009B36C1"/>
    <w:rsid w:val="009B3C1F"/>
    <w:rsid w:val="009B44B5"/>
    <w:rsid w:val="009B5F15"/>
    <w:rsid w:val="009B673F"/>
    <w:rsid w:val="009B695D"/>
    <w:rsid w:val="009B6ECE"/>
    <w:rsid w:val="009B70B1"/>
    <w:rsid w:val="009B7880"/>
    <w:rsid w:val="009C0405"/>
    <w:rsid w:val="009C06C6"/>
    <w:rsid w:val="009C0775"/>
    <w:rsid w:val="009C0955"/>
    <w:rsid w:val="009C1452"/>
    <w:rsid w:val="009C1477"/>
    <w:rsid w:val="009C2752"/>
    <w:rsid w:val="009C2C22"/>
    <w:rsid w:val="009C2D39"/>
    <w:rsid w:val="009C48C8"/>
    <w:rsid w:val="009C4CD3"/>
    <w:rsid w:val="009C4EBE"/>
    <w:rsid w:val="009C51C5"/>
    <w:rsid w:val="009C58A6"/>
    <w:rsid w:val="009C5D07"/>
    <w:rsid w:val="009C6297"/>
    <w:rsid w:val="009C64C2"/>
    <w:rsid w:val="009C7A3B"/>
    <w:rsid w:val="009D0362"/>
    <w:rsid w:val="009D045D"/>
    <w:rsid w:val="009D0804"/>
    <w:rsid w:val="009D0AE7"/>
    <w:rsid w:val="009D1405"/>
    <w:rsid w:val="009D1B42"/>
    <w:rsid w:val="009D1CCC"/>
    <w:rsid w:val="009D1EEC"/>
    <w:rsid w:val="009D1F28"/>
    <w:rsid w:val="009D2614"/>
    <w:rsid w:val="009D2ACC"/>
    <w:rsid w:val="009D320B"/>
    <w:rsid w:val="009D32DB"/>
    <w:rsid w:val="009D3BB1"/>
    <w:rsid w:val="009D4833"/>
    <w:rsid w:val="009D4AD4"/>
    <w:rsid w:val="009D4D0D"/>
    <w:rsid w:val="009D6439"/>
    <w:rsid w:val="009D6CDA"/>
    <w:rsid w:val="009D6F02"/>
    <w:rsid w:val="009D7145"/>
    <w:rsid w:val="009E09AC"/>
    <w:rsid w:val="009E0B58"/>
    <w:rsid w:val="009E0F24"/>
    <w:rsid w:val="009E10D5"/>
    <w:rsid w:val="009E12A6"/>
    <w:rsid w:val="009E132E"/>
    <w:rsid w:val="009E14EB"/>
    <w:rsid w:val="009E19E4"/>
    <w:rsid w:val="009E1B19"/>
    <w:rsid w:val="009E1D1A"/>
    <w:rsid w:val="009E2006"/>
    <w:rsid w:val="009E20A1"/>
    <w:rsid w:val="009E2393"/>
    <w:rsid w:val="009E26EE"/>
    <w:rsid w:val="009E2A95"/>
    <w:rsid w:val="009E2BDE"/>
    <w:rsid w:val="009E2F72"/>
    <w:rsid w:val="009E3049"/>
    <w:rsid w:val="009E30E4"/>
    <w:rsid w:val="009E35B9"/>
    <w:rsid w:val="009E364A"/>
    <w:rsid w:val="009E3B55"/>
    <w:rsid w:val="009E3F4F"/>
    <w:rsid w:val="009E46E3"/>
    <w:rsid w:val="009E49ED"/>
    <w:rsid w:val="009E51C2"/>
    <w:rsid w:val="009E54CB"/>
    <w:rsid w:val="009E5DAB"/>
    <w:rsid w:val="009E6167"/>
    <w:rsid w:val="009E6956"/>
    <w:rsid w:val="009E6B71"/>
    <w:rsid w:val="009E6C28"/>
    <w:rsid w:val="009E6D6E"/>
    <w:rsid w:val="009E6F32"/>
    <w:rsid w:val="009E7277"/>
    <w:rsid w:val="009E77F0"/>
    <w:rsid w:val="009E787F"/>
    <w:rsid w:val="009E7AF5"/>
    <w:rsid w:val="009E7AFD"/>
    <w:rsid w:val="009E7B01"/>
    <w:rsid w:val="009E7C80"/>
    <w:rsid w:val="009E7EB2"/>
    <w:rsid w:val="009F0164"/>
    <w:rsid w:val="009F0355"/>
    <w:rsid w:val="009F058F"/>
    <w:rsid w:val="009F0D71"/>
    <w:rsid w:val="009F143C"/>
    <w:rsid w:val="009F1BDC"/>
    <w:rsid w:val="009F392B"/>
    <w:rsid w:val="009F3995"/>
    <w:rsid w:val="009F3B56"/>
    <w:rsid w:val="009F3F5C"/>
    <w:rsid w:val="009F41D6"/>
    <w:rsid w:val="009F46F1"/>
    <w:rsid w:val="009F4A85"/>
    <w:rsid w:val="009F4B27"/>
    <w:rsid w:val="009F4BC1"/>
    <w:rsid w:val="009F539B"/>
    <w:rsid w:val="009F59CD"/>
    <w:rsid w:val="009F5C71"/>
    <w:rsid w:val="009F5F54"/>
    <w:rsid w:val="009F6A13"/>
    <w:rsid w:val="009F7DAF"/>
    <w:rsid w:val="009F7E15"/>
    <w:rsid w:val="009F7F96"/>
    <w:rsid w:val="00A0029D"/>
    <w:rsid w:val="00A0058E"/>
    <w:rsid w:val="00A00F05"/>
    <w:rsid w:val="00A02074"/>
    <w:rsid w:val="00A025D5"/>
    <w:rsid w:val="00A02B6A"/>
    <w:rsid w:val="00A02C76"/>
    <w:rsid w:val="00A030E1"/>
    <w:rsid w:val="00A031A9"/>
    <w:rsid w:val="00A034B1"/>
    <w:rsid w:val="00A035FB"/>
    <w:rsid w:val="00A0373E"/>
    <w:rsid w:val="00A03CE3"/>
    <w:rsid w:val="00A03EC3"/>
    <w:rsid w:val="00A0461F"/>
    <w:rsid w:val="00A047A7"/>
    <w:rsid w:val="00A04A34"/>
    <w:rsid w:val="00A05184"/>
    <w:rsid w:val="00A051B0"/>
    <w:rsid w:val="00A05317"/>
    <w:rsid w:val="00A05709"/>
    <w:rsid w:val="00A05806"/>
    <w:rsid w:val="00A05870"/>
    <w:rsid w:val="00A06A23"/>
    <w:rsid w:val="00A06B72"/>
    <w:rsid w:val="00A07E9A"/>
    <w:rsid w:val="00A10763"/>
    <w:rsid w:val="00A11215"/>
    <w:rsid w:val="00A112BA"/>
    <w:rsid w:val="00A11300"/>
    <w:rsid w:val="00A11D3C"/>
    <w:rsid w:val="00A120B3"/>
    <w:rsid w:val="00A12A3B"/>
    <w:rsid w:val="00A12C38"/>
    <w:rsid w:val="00A12EE2"/>
    <w:rsid w:val="00A1317A"/>
    <w:rsid w:val="00A131BB"/>
    <w:rsid w:val="00A131D0"/>
    <w:rsid w:val="00A1350E"/>
    <w:rsid w:val="00A136B2"/>
    <w:rsid w:val="00A13715"/>
    <w:rsid w:val="00A14262"/>
    <w:rsid w:val="00A1482B"/>
    <w:rsid w:val="00A148DC"/>
    <w:rsid w:val="00A14978"/>
    <w:rsid w:val="00A159BF"/>
    <w:rsid w:val="00A15B6F"/>
    <w:rsid w:val="00A15EB0"/>
    <w:rsid w:val="00A16143"/>
    <w:rsid w:val="00A16D0F"/>
    <w:rsid w:val="00A170BC"/>
    <w:rsid w:val="00A17423"/>
    <w:rsid w:val="00A17790"/>
    <w:rsid w:val="00A200A4"/>
    <w:rsid w:val="00A20187"/>
    <w:rsid w:val="00A20A3D"/>
    <w:rsid w:val="00A20E4E"/>
    <w:rsid w:val="00A2100A"/>
    <w:rsid w:val="00A210B8"/>
    <w:rsid w:val="00A2111D"/>
    <w:rsid w:val="00A211BB"/>
    <w:rsid w:val="00A21E00"/>
    <w:rsid w:val="00A21F32"/>
    <w:rsid w:val="00A222BE"/>
    <w:rsid w:val="00A22809"/>
    <w:rsid w:val="00A22C9A"/>
    <w:rsid w:val="00A23404"/>
    <w:rsid w:val="00A23B7D"/>
    <w:rsid w:val="00A23DE0"/>
    <w:rsid w:val="00A23DED"/>
    <w:rsid w:val="00A23F13"/>
    <w:rsid w:val="00A240FA"/>
    <w:rsid w:val="00A2422F"/>
    <w:rsid w:val="00A242D3"/>
    <w:rsid w:val="00A24343"/>
    <w:rsid w:val="00A249F0"/>
    <w:rsid w:val="00A24CDF"/>
    <w:rsid w:val="00A25273"/>
    <w:rsid w:val="00A25AF4"/>
    <w:rsid w:val="00A25EAC"/>
    <w:rsid w:val="00A26021"/>
    <w:rsid w:val="00A26681"/>
    <w:rsid w:val="00A27453"/>
    <w:rsid w:val="00A27731"/>
    <w:rsid w:val="00A27815"/>
    <w:rsid w:val="00A27887"/>
    <w:rsid w:val="00A27E7B"/>
    <w:rsid w:val="00A302DF"/>
    <w:rsid w:val="00A3039F"/>
    <w:rsid w:val="00A30439"/>
    <w:rsid w:val="00A30870"/>
    <w:rsid w:val="00A30884"/>
    <w:rsid w:val="00A3140A"/>
    <w:rsid w:val="00A31576"/>
    <w:rsid w:val="00A32BAB"/>
    <w:rsid w:val="00A32C5A"/>
    <w:rsid w:val="00A33187"/>
    <w:rsid w:val="00A33207"/>
    <w:rsid w:val="00A3323D"/>
    <w:rsid w:val="00A3393D"/>
    <w:rsid w:val="00A33AC1"/>
    <w:rsid w:val="00A344ED"/>
    <w:rsid w:val="00A34C60"/>
    <w:rsid w:val="00A3577D"/>
    <w:rsid w:val="00A35CC2"/>
    <w:rsid w:val="00A35E11"/>
    <w:rsid w:val="00A36000"/>
    <w:rsid w:val="00A36263"/>
    <w:rsid w:val="00A3653F"/>
    <w:rsid w:val="00A3697A"/>
    <w:rsid w:val="00A36D84"/>
    <w:rsid w:val="00A375AD"/>
    <w:rsid w:val="00A375B1"/>
    <w:rsid w:val="00A377E5"/>
    <w:rsid w:val="00A401C3"/>
    <w:rsid w:val="00A40A27"/>
    <w:rsid w:val="00A40EED"/>
    <w:rsid w:val="00A412D4"/>
    <w:rsid w:val="00A41FEF"/>
    <w:rsid w:val="00A42407"/>
    <w:rsid w:val="00A424D7"/>
    <w:rsid w:val="00A42C69"/>
    <w:rsid w:val="00A42D75"/>
    <w:rsid w:val="00A42F45"/>
    <w:rsid w:val="00A43481"/>
    <w:rsid w:val="00A43B40"/>
    <w:rsid w:val="00A43E90"/>
    <w:rsid w:val="00A44087"/>
    <w:rsid w:val="00A44450"/>
    <w:rsid w:val="00A44652"/>
    <w:rsid w:val="00A45729"/>
    <w:rsid w:val="00A45A04"/>
    <w:rsid w:val="00A45E09"/>
    <w:rsid w:val="00A45EB1"/>
    <w:rsid w:val="00A46611"/>
    <w:rsid w:val="00A47C47"/>
    <w:rsid w:val="00A47FA7"/>
    <w:rsid w:val="00A50733"/>
    <w:rsid w:val="00A508E1"/>
    <w:rsid w:val="00A50E53"/>
    <w:rsid w:val="00A517A8"/>
    <w:rsid w:val="00A519F7"/>
    <w:rsid w:val="00A51A5E"/>
    <w:rsid w:val="00A51AA2"/>
    <w:rsid w:val="00A51D35"/>
    <w:rsid w:val="00A51F67"/>
    <w:rsid w:val="00A520EE"/>
    <w:rsid w:val="00A52195"/>
    <w:rsid w:val="00A5244A"/>
    <w:rsid w:val="00A525F3"/>
    <w:rsid w:val="00A52CBE"/>
    <w:rsid w:val="00A53305"/>
    <w:rsid w:val="00A53BC7"/>
    <w:rsid w:val="00A541F8"/>
    <w:rsid w:val="00A5463C"/>
    <w:rsid w:val="00A54F72"/>
    <w:rsid w:val="00A553A1"/>
    <w:rsid w:val="00A55E78"/>
    <w:rsid w:val="00A56092"/>
    <w:rsid w:val="00A56A09"/>
    <w:rsid w:val="00A56E8E"/>
    <w:rsid w:val="00A570E7"/>
    <w:rsid w:val="00A600F2"/>
    <w:rsid w:val="00A60290"/>
    <w:rsid w:val="00A6097D"/>
    <w:rsid w:val="00A610EE"/>
    <w:rsid w:val="00A61687"/>
    <w:rsid w:val="00A61AE4"/>
    <w:rsid w:val="00A6204F"/>
    <w:rsid w:val="00A62069"/>
    <w:rsid w:val="00A629EB"/>
    <w:rsid w:val="00A62CB4"/>
    <w:rsid w:val="00A63389"/>
    <w:rsid w:val="00A63A65"/>
    <w:rsid w:val="00A63ADA"/>
    <w:rsid w:val="00A63D22"/>
    <w:rsid w:val="00A63D4B"/>
    <w:rsid w:val="00A63DD9"/>
    <w:rsid w:val="00A6402D"/>
    <w:rsid w:val="00A6481A"/>
    <w:rsid w:val="00A6488D"/>
    <w:rsid w:val="00A6495A"/>
    <w:rsid w:val="00A64966"/>
    <w:rsid w:val="00A652ED"/>
    <w:rsid w:val="00A65486"/>
    <w:rsid w:val="00A65832"/>
    <w:rsid w:val="00A65F35"/>
    <w:rsid w:val="00A65FC4"/>
    <w:rsid w:val="00A66544"/>
    <w:rsid w:val="00A66846"/>
    <w:rsid w:val="00A6684D"/>
    <w:rsid w:val="00A66B80"/>
    <w:rsid w:val="00A7113A"/>
    <w:rsid w:val="00A71318"/>
    <w:rsid w:val="00A717CD"/>
    <w:rsid w:val="00A73006"/>
    <w:rsid w:val="00A73174"/>
    <w:rsid w:val="00A73789"/>
    <w:rsid w:val="00A73B72"/>
    <w:rsid w:val="00A74259"/>
    <w:rsid w:val="00A7428D"/>
    <w:rsid w:val="00A744B9"/>
    <w:rsid w:val="00A7495B"/>
    <w:rsid w:val="00A74A15"/>
    <w:rsid w:val="00A74BF4"/>
    <w:rsid w:val="00A74F7E"/>
    <w:rsid w:val="00A75602"/>
    <w:rsid w:val="00A757E8"/>
    <w:rsid w:val="00A75B40"/>
    <w:rsid w:val="00A7625E"/>
    <w:rsid w:val="00A76AD5"/>
    <w:rsid w:val="00A76C37"/>
    <w:rsid w:val="00A76DE8"/>
    <w:rsid w:val="00A76F5A"/>
    <w:rsid w:val="00A7754E"/>
    <w:rsid w:val="00A778F6"/>
    <w:rsid w:val="00A77CA1"/>
    <w:rsid w:val="00A80232"/>
    <w:rsid w:val="00A80CF0"/>
    <w:rsid w:val="00A814EF"/>
    <w:rsid w:val="00A815C3"/>
    <w:rsid w:val="00A816AD"/>
    <w:rsid w:val="00A81CE4"/>
    <w:rsid w:val="00A82252"/>
    <w:rsid w:val="00A82496"/>
    <w:rsid w:val="00A82692"/>
    <w:rsid w:val="00A82B1A"/>
    <w:rsid w:val="00A83338"/>
    <w:rsid w:val="00A83827"/>
    <w:rsid w:val="00A845C2"/>
    <w:rsid w:val="00A8539C"/>
    <w:rsid w:val="00A85709"/>
    <w:rsid w:val="00A86975"/>
    <w:rsid w:val="00A8750B"/>
    <w:rsid w:val="00A876BB"/>
    <w:rsid w:val="00A908BB"/>
    <w:rsid w:val="00A917EE"/>
    <w:rsid w:val="00A922DA"/>
    <w:rsid w:val="00A92B83"/>
    <w:rsid w:val="00A92C56"/>
    <w:rsid w:val="00A93663"/>
    <w:rsid w:val="00A93B4D"/>
    <w:rsid w:val="00A93B5C"/>
    <w:rsid w:val="00A93F21"/>
    <w:rsid w:val="00A94171"/>
    <w:rsid w:val="00A942A5"/>
    <w:rsid w:val="00A9430D"/>
    <w:rsid w:val="00A94DF3"/>
    <w:rsid w:val="00A9502B"/>
    <w:rsid w:val="00A957FF"/>
    <w:rsid w:val="00A95C4A"/>
    <w:rsid w:val="00A95F5F"/>
    <w:rsid w:val="00A961D1"/>
    <w:rsid w:val="00A963D2"/>
    <w:rsid w:val="00A96686"/>
    <w:rsid w:val="00A96D9C"/>
    <w:rsid w:val="00A96EEB"/>
    <w:rsid w:val="00A9709A"/>
    <w:rsid w:val="00A9743C"/>
    <w:rsid w:val="00A977EB"/>
    <w:rsid w:val="00A979DB"/>
    <w:rsid w:val="00A979EB"/>
    <w:rsid w:val="00A97A90"/>
    <w:rsid w:val="00A97DBA"/>
    <w:rsid w:val="00AA0681"/>
    <w:rsid w:val="00AA0A47"/>
    <w:rsid w:val="00AA12C8"/>
    <w:rsid w:val="00AA1350"/>
    <w:rsid w:val="00AA138C"/>
    <w:rsid w:val="00AA1526"/>
    <w:rsid w:val="00AA1E42"/>
    <w:rsid w:val="00AA1FB0"/>
    <w:rsid w:val="00AA26AC"/>
    <w:rsid w:val="00AA2A91"/>
    <w:rsid w:val="00AA2B1C"/>
    <w:rsid w:val="00AA2FA7"/>
    <w:rsid w:val="00AA3122"/>
    <w:rsid w:val="00AA36C5"/>
    <w:rsid w:val="00AA3793"/>
    <w:rsid w:val="00AA381F"/>
    <w:rsid w:val="00AA3900"/>
    <w:rsid w:val="00AA3DEE"/>
    <w:rsid w:val="00AA4985"/>
    <w:rsid w:val="00AA524D"/>
    <w:rsid w:val="00AA5309"/>
    <w:rsid w:val="00AA5560"/>
    <w:rsid w:val="00AA566E"/>
    <w:rsid w:val="00AA6754"/>
    <w:rsid w:val="00AA704E"/>
    <w:rsid w:val="00AA7419"/>
    <w:rsid w:val="00AB009F"/>
    <w:rsid w:val="00AB069B"/>
    <w:rsid w:val="00AB06C7"/>
    <w:rsid w:val="00AB0C9A"/>
    <w:rsid w:val="00AB103B"/>
    <w:rsid w:val="00AB12A6"/>
    <w:rsid w:val="00AB1326"/>
    <w:rsid w:val="00AB145B"/>
    <w:rsid w:val="00AB186B"/>
    <w:rsid w:val="00AB1CB0"/>
    <w:rsid w:val="00AB1DD2"/>
    <w:rsid w:val="00AB2154"/>
    <w:rsid w:val="00AB26E7"/>
    <w:rsid w:val="00AB274A"/>
    <w:rsid w:val="00AB2AE1"/>
    <w:rsid w:val="00AB3939"/>
    <w:rsid w:val="00AB39A6"/>
    <w:rsid w:val="00AB3DF2"/>
    <w:rsid w:val="00AB4459"/>
    <w:rsid w:val="00AB45A4"/>
    <w:rsid w:val="00AB4A19"/>
    <w:rsid w:val="00AB4A39"/>
    <w:rsid w:val="00AB4DF8"/>
    <w:rsid w:val="00AB590B"/>
    <w:rsid w:val="00AB5990"/>
    <w:rsid w:val="00AB5B4A"/>
    <w:rsid w:val="00AB5E63"/>
    <w:rsid w:val="00AB608A"/>
    <w:rsid w:val="00AB635D"/>
    <w:rsid w:val="00AB635E"/>
    <w:rsid w:val="00AB63AE"/>
    <w:rsid w:val="00AB678F"/>
    <w:rsid w:val="00AB6A80"/>
    <w:rsid w:val="00AB6DDC"/>
    <w:rsid w:val="00AB6E93"/>
    <w:rsid w:val="00AB7D01"/>
    <w:rsid w:val="00AC0584"/>
    <w:rsid w:val="00AC19AB"/>
    <w:rsid w:val="00AC1ACD"/>
    <w:rsid w:val="00AC2A87"/>
    <w:rsid w:val="00AC2DEC"/>
    <w:rsid w:val="00AC3045"/>
    <w:rsid w:val="00AC3A6A"/>
    <w:rsid w:val="00AC3AEA"/>
    <w:rsid w:val="00AC3C2A"/>
    <w:rsid w:val="00AC402D"/>
    <w:rsid w:val="00AC41FC"/>
    <w:rsid w:val="00AC44BC"/>
    <w:rsid w:val="00AC4657"/>
    <w:rsid w:val="00AC4864"/>
    <w:rsid w:val="00AC5387"/>
    <w:rsid w:val="00AC5889"/>
    <w:rsid w:val="00AC59F2"/>
    <w:rsid w:val="00AC5C8B"/>
    <w:rsid w:val="00AC6015"/>
    <w:rsid w:val="00AC69EB"/>
    <w:rsid w:val="00AC6E32"/>
    <w:rsid w:val="00AC792C"/>
    <w:rsid w:val="00AC7F70"/>
    <w:rsid w:val="00AD03C7"/>
    <w:rsid w:val="00AD068C"/>
    <w:rsid w:val="00AD09A9"/>
    <w:rsid w:val="00AD11E8"/>
    <w:rsid w:val="00AD1737"/>
    <w:rsid w:val="00AD22F3"/>
    <w:rsid w:val="00AD2537"/>
    <w:rsid w:val="00AD38C1"/>
    <w:rsid w:val="00AD39F4"/>
    <w:rsid w:val="00AD3A17"/>
    <w:rsid w:val="00AD445A"/>
    <w:rsid w:val="00AD4595"/>
    <w:rsid w:val="00AD4640"/>
    <w:rsid w:val="00AD4838"/>
    <w:rsid w:val="00AD4A75"/>
    <w:rsid w:val="00AD4DC2"/>
    <w:rsid w:val="00AD5090"/>
    <w:rsid w:val="00AD56BF"/>
    <w:rsid w:val="00AD5871"/>
    <w:rsid w:val="00AD58E4"/>
    <w:rsid w:val="00AD5BE2"/>
    <w:rsid w:val="00AD5BEF"/>
    <w:rsid w:val="00AD5E27"/>
    <w:rsid w:val="00AD6491"/>
    <w:rsid w:val="00AD6611"/>
    <w:rsid w:val="00AD66DA"/>
    <w:rsid w:val="00AD66EE"/>
    <w:rsid w:val="00AD6C67"/>
    <w:rsid w:val="00AD711F"/>
    <w:rsid w:val="00AD7BC9"/>
    <w:rsid w:val="00AD7E44"/>
    <w:rsid w:val="00AE05B3"/>
    <w:rsid w:val="00AE121F"/>
    <w:rsid w:val="00AE124D"/>
    <w:rsid w:val="00AE149B"/>
    <w:rsid w:val="00AE1AFA"/>
    <w:rsid w:val="00AE1E2A"/>
    <w:rsid w:val="00AE1FED"/>
    <w:rsid w:val="00AE2224"/>
    <w:rsid w:val="00AE2582"/>
    <w:rsid w:val="00AE2644"/>
    <w:rsid w:val="00AE3658"/>
    <w:rsid w:val="00AE377C"/>
    <w:rsid w:val="00AE3E22"/>
    <w:rsid w:val="00AE3EF9"/>
    <w:rsid w:val="00AE45B6"/>
    <w:rsid w:val="00AE491A"/>
    <w:rsid w:val="00AE4DFB"/>
    <w:rsid w:val="00AE64E5"/>
    <w:rsid w:val="00AE6923"/>
    <w:rsid w:val="00AE6B62"/>
    <w:rsid w:val="00AE6BC2"/>
    <w:rsid w:val="00AE6FDA"/>
    <w:rsid w:val="00AE70F3"/>
    <w:rsid w:val="00AE741B"/>
    <w:rsid w:val="00AE76A0"/>
    <w:rsid w:val="00AE7C27"/>
    <w:rsid w:val="00AF0B86"/>
    <w:rsid w:val="00AF1576"/>
    <w:rsid w:val="00AF17DD"/>
    <w:rsid w:val="00AF1899"/>
    <w:rsid w:val="00AF18F6"/>
    <w:rsid w:val="00AF1C4E"/>
    <w:rsid w:val="00AF2578"/>
    <w:rsid w:val="00AF281F"/>
    <w:rsid w:val="00AF28FC"/>
    <w:rsid w:val="00AF2B92"/>
    <w:rsid w:val="00AF30AB"/>
    <w:rsid w:val="00AF3185"/>
    <w:rsid w:val="00AF3318"/>
    <w:rsid w:val="00AF3552"/>
    <w:rsid w:val="00AF3686"/>
    <w:rsid w:val="00AF36A7"/>
    <w:rsid w:val="00AF37F5"/>
    <w:rsid w:val="00AF38A0"/>
    <w:rsid w:val="00AF393E"/>
    <w:rsid w:val="00AF4244"/>
    <w:rsid w:val="00AF4AA8"/>
    <w:rsid w:val="00AF4AC2"/>
    <w:rsid w:val="00AF4B43"/>
    <w:rsid w:val="00AF4F2E"/>
    <w:rsid w:val="00AF5062"/>
    <w:rsid w:val="00AF5411"/>
    <w:rsid w:val="00AF5B1A"/>
    <w:rsid w:val="00AF5B3C"/>
    <w:rsid w:val="00AF6098"/>
    <w:rsid w:val="00AF6205"/>
    <w:rsid w:val="00AF647A"/>
    <w:rsid w:val="00AF6994"/>
    <w:rsid w:val="00AF6AC1"/>
    <w:rsid w:val="00AF6B01"/>
    <w:rsid w:val="00AF6CDB"/>
    <w:rsid w:val="00AF6CFD"/>
    <w:rsid w:val="00AF7621"/>
    <w:rsid w:val="00AF769C"/>
    <w:rsid w:val="00AF7912"/>
    <w:rsid w:val="00AF7B98"/>
    <w:rsid w:val="00B00A7E"/>
    <w:rsid w:val="00B00AD7"/>
    <w:rsid w:val="00B00E24"/>
    <w:rsid w:val="00B010AB"/>
    <w:rsid w:val="00B01731"/>
    <w:rsid w:val="00B01D1B"/>
    <w:rsid w:val="00B01F02"/>
    <w:rsid w:val="00B01FDF"/>
    <w:rsid w:val="00B02321"/>
    <w:rsid w:val="00B02352"/>
    <w:rsid w:val="00B023EC"/>
    <w:rsid w:val="00B02B95"/>
    <w:rsid w:val="00B02EE0"/>
    <w:rsid w:val="00B02F79"/>
    <w:rsid w:val="00B03256"/>
    <w:rsid w:val="00B037D0"/>
    <w:rsid w:val="00B044AC"/>
    <w:rsid w:val="00B0466B"/>
    <w:rsid w:val="00B04838"/>
    <w:rsid w:val="00B05088"/>
    <w:rsid w:val="00B05328"/>
    <w:rsid w:val="00B060E8"/>
    <w:rsid w:val="00B067F3"/>
    <w:rsid w:val="00B06AD4"/>
    <w:rsid w:val="00B06E8C"/>
    <w:rsid w:val="00B06F76"/>
    <w:rsid w:val="00B070BE"/>
    <w:rsid w:val="00B07E8C"/>
    <w:rsid w:val="00B1102F"/>
    <w:rsid w:val="00B1165F"/>
    <w:rsid w:val="00B11C03"/>
    <w:rsid w:val="00B11D6C"/>
    <w:rsid w:val="00B11E0A"/>
    <w:rsid w:val="00B120D3"/>
    <w:rsid w:val="00B12C2C"/>
    <w:rsid w:val="00B13623"/>
    <w:rsid w:val="00B14091"/>
    <w:rsid w:val="00B146DE"/>
    <w:rsid w:val="00B148D4"/>
    <w:rsid w:val="00B14D6B"/>
    <w:rsid w:val="00B14FC3"/>
    <w:rsid w:val="00B1511E"/>
    <w:rsid w:val="00B1513F"/>
    <w:rsid w:val="00B1529C"/>
    <w:rsid w:val="00B162E7"/>
    <w:rsid w:val="00B16424"/>
    <w:rsid w:val="00B16D21"/>
    <w:rsid w:val="00B16DA1"/>
    <w:rsid w:val="00B17397"/>
    <w:rsid w:val="00B17749"/>
    <w:rsid w:val="00B178AF"/>
    <w:rsid w:val="00B178B3"/>
    <w:rsid w:val="00B17BA7"/>
    <w:rsid w:val="00B17D00"/>
    <w:rsid w:val="00B20195"/>
    <w:rsid w:val="00B20550"/>
    <w:rsid w:val="00B205C8"/>
    <w:rsid w:val="00B20A7B"/>
    <w:rsid w:val="00B20D1C"/>
    <w:rsid w:val="00B20FA6"/>
    <w:rsid w:val="00B21159"/>
    <w:rsid w:val="00B2178C"/>
    <w:rsid w:val="00B219E2"/>
    <w:rsid w:val="00B21D5C"/>
    <w:rsid w:val="00B21EFB"/>
    <w:rsid w:val="00B22AA2"/>
    <w:rsid w:val="00B231D2"/>
    <w:rsid w:val="00B23400"/>
    <w:rsid w:val="00B236FA"/>
    <w:rsid w:val="00B238C8"/>
    <w:rsid w:val="00B2396E"/>
    <w:rsid w:val="00B24457"/>
    <w:rsid w:val="00B24A2E"/>
    <w:rsid w:val="00B24B97"/>
    <w:rsid w:val="00B2514A"/>
    <w:rsid w:val="00B252D2"/>
    <w:rsid w:val="00B25FBA"/>
    <w:rsid w:val="00B26214"/>
    <w:rsid w:val="00B26DAA"/>
    <w:rsid w:val="00B26E81"/>
    <w:rsid w:val="00B26ED9"/>
    <w:rsid w:val="00B27738"/>
    <w:rsid w:val="00B2792B"/>
    <w:rsid w:val="00B300F4"/>
    <w:rsid w:val="00B30B6D"/>
    <w:rsid w:val="00B31844"/>
    <w:rsid w:val="00B3187F"/>
    <w:rsid w:val="00B319C2"/>
    <w:rsid w:val="00B32645"/>
    <w:rsid w:val="00B33240"/>
    <w:rsid w:val="00B33570"/>
    <w:rsid w:val="00B33E6B"/>
    <w:rsid w:val="00B33FE7"/>
    <w:rsid w:val="00B34275"/>
    <w:rsid w:val="00B346EF"/>
    <w:rsid w:val="00B3537F"/>
    <w:rsid w:val="00B35CD3"/>
    <w:rsid w:val="00B35D48"/>
    <w:rsid w:val="00B3623D"/>
    <w:rsid w:val="00B368A7"/>
    <w:rsid w:val="00B369DA"/>
    <w:rsid w:val="00B36B48"/>
    <w:rsid w:val="00B3792F"/>
    <w:rsid w:val="00B37A72"/>
    <w:rsid w:val="00B4018C"/>
    <w:rsid w:val="00B40486"/>
    <w:rsid w:val="00B40D1A"/>
    <w:rsid w:val="00B40D7E"/>
    <w:rsid w:val="00B41192"/>
    <w:rsid w:val="00B42C34"/>
    <w:rsid w:val="00B436DA"/>
    <w:rsid w:val="00B43B0B"/>
    <w:rsid w:val="00B43B98"/>
    <w:rsid w:val="00B43D22"/>
    <w:rsid w:val="00B43E14"/>
    <w:rsid w:val="00B43F39"/>
    <w:rsid w:val="00B44079"/>
    <w:rsid w:val="00B440D1"/>
    <w:rsid w:val="00B44586"/>
    <w:rsid w:val="00B44ECC"/>
    <w:rsid w:val="00B451EE"/>
    <w:rsid w:val="00B460B1"/>
    <w:rsid w:val="00B475EF"/>
    <w:rsid w:val="00B500D7"/>
    <w:rsid w:val="00B50435"/>
    <w:rsid w:val="00B507A6"/>
    <w:rsid w:val="00B50B93"/>
    <w:rsid w:val="00B50D7C"/>
    <w:rsid w:val="00B5102F"/>
    <w:rsid w:val="00B51698"/>
    <w:rsid w:val="00B519A7"/>
    <w:rsid w:val="00B51A45"/>
    <w:rsid w:val="00B51B8F"/>
    <w:rsid w:val="00B52443"/>
    <w:rsid w:val="00B52B76"/>
    <w:rsid w:val="00B52DA2"/>
    <w:rsid w:val="00B52EDD"/>
    <w:rsid w:val="00B52F32"/>
    <w:rsid w:val="00B530F5"/>
    <w:rsid w:val="00B53264"/>
    <w:rsid w:val="00B53791"/>
    <w:rsid w:val="00B539D6"/>
    <w:rsid w:val="00B53D9A"/>
    <w:rsid w:val="00B53F27"/>
    <w:rsid w:val="00B542F0"/>
    <w:rsid w:val="00B54B08"/>
    <w:rsid w:val="00B54B4E"/>
    <w:rsid w:val="00B54CB5"/>
    <w:rsid w:val="00B54E23"/>
    <w:rsid w:val="00B553D0"/>
    <w:rsid w:val="00B553E2"/>
    <w:rsid w:val="00B5565A"/>
    <w:rsid w:val="00B55F48"/>
    <w:rsid w:val="00B577B7"/>
    <w:rsid w:val="00B60A36"/>
    <w:rsid w:val="00B615C1"/>
    <w:rsid w:val="00B615FF"/>
    <w:rsid w:val="00B619AF"/>
    <w:rsid w:val="00B61A71"/>
    <w:rsid w:val="00B61C5E"/>
    <w:rsid w:val="00B62226"/>
    <w:rsid w:val="00B625B4"/>
    <w:rsid w:val="00B62B3F"/>
    <w:rsid w:val="00B632F1"/>
    <w:rsid w:val="00B6340B"/>
    <w:rsid w:val="00B63F30"/>
    <w:rsid w:val="00B6483B"/>
    <w:rsid w:val="00B65240"/>
    <w:rsid w:val="00B6696A"/>
    <w:rsid w:val="00B66FA9"/>
    <w:rsid w:val="00B6706E"/>
    <w:rsid w:val="00B671CF"/>
    <w:rsid w:val="00B67B0F"/>
    <w:rsid w:val="00B67CB7"/>
    <w:rsid w:val="00B67D67"/>
    <w:rsid w:val="00B70AC1"/>
    <w:rsid w:val="00B70ACD"/>
    <w:rsid w:val="00B7167C"/>
    <w:rsid w:val="00B718B1"/>
    <w:rsid w:val="00B71984"/>
    <w:rsid w:val="00B71A4D"/>
    <w:rsid w:val="00B71FF3"/>
    <w:rsid w:val="00B73040"/>
    <w:rsid w:val="00B73D44"/>
    <w:rsid w:val="00B73F24"/>
    <w:rsid w:val="00B742F7"/>
    <w:rsid w:val="00B74B32"/>
    <w:rsid w:val="00B75235"/>
    <w:rsid w:val="00B755D5"/>
    <w:rsid w:val="00B75A66"/>
    <w:rsid w:val="00B7660C"/>
    <w:rsid w:val="00B7668C"/>
    <w:rsid w:val="00B76B99"/>
    <w:rsid w:val="00B773A7"/>
    <w:rsid w:val="00B7758B"/>
    <w:rsid w:val="00B77695"/>
    <w:rsid w:val="00B776C7"/>
    <w:rsid w:val="00B8075A"/>
    <w:rsid w:val="00B80909"/>
    <w:rsid w:val="00B80F0B"/>
    <w:rsid w:val="00B8166B"/>
    <w:rsid w:val="00B82051"/>
    <w:rsid w:val="00B82054"/>
    <w:rsid w:val="00B82778"/>
    <w:rsid w:val="00B82C88"/>
    <w:rsid w:val="00B82F0E"/>
    <w:rsid w:val="00B83461"/>
    <w:rsid w:val="00B83CB9"/>
    <w:rsid w:val="00B83D8A"/>
    <w:rsid w:val="00B84155"/>
    <w:rsid w:val="00B849F4"/>
    <w:rsid w:val="00B8575B"/>
    <w:rsid w:val="00B85B65"/>
    <w:rsid w:val="00B85EE0"/>
    <w:rsid w:val="00B85EF2"/>
    <w:rsid w:val="00B86AD5"/>
    <w:rsid w:val="00B86DEC"/>
    <w:rsid w:val="00B875A9"/>
    <w:rsid w:val="00B87621"/>
    <w:rsid w:val="00B900A9"/>
    <w:rsid w:val="00B90BA6"/>
    <w:rsid w:val="00B9168B"/>
    <w:rsid w:val="00B9177C"/>
    <w:rsid w:val="00B91BFC"/>
    <w:rsid w:val="00B91CBF"/>
    <w:rsid w:val="00B929A1"/>
    <w:rsid w:val="00B92A55"/>
    <w:rsid w:val="00B92C60"/>
    <w:rsid w:val="00B9324D"/>
    <w:rsid w:val="00B9361A"/>
    <w:rsid w:val="00B93B03"/>
    <w:rsid w:val="00B93E23"/>
    <w:rsid w:val="00B94284"/>
    <w:rsid w:val="00B9452B"/>
    <w:rsid w:val="00B949A0"/>
    <w:rsid w:val="00B94F58"/>
    <w:rsid w:val="00B9520A"/>
    <w:rsid w:val="00B9537C"/>
    <w:rsid w:val="00B95600"/>
    <w:rsid w:val="00B9716B"/>
    <w:rsid w:val="00B9761D"/>
    <w:rsid w:val="00B9798E"/>
    <w:rsid w:val="00BA0141"/>
    <w:rsid w:val="00BA02AB"/>
    <w:rsid w:val="00BA03E3"/>
    <w:rsid w:val="00BA0C0C"/>
    <w:rsid w:val="00BA0DB3"/>
    <w:rsid w:val="00BA0FA4"/>
    <w:rsid w:val="00BA1348"/>
    <w:rsid w:val="00BA14CC"/>
    <w:rsid w:val="00BA1645"/>
    <w:rsid w:val="00BA17EB"/>
    <w:rsid w:val="00BA1FD6"/>
    <w:rsid w:val="00BA2A46"/>
    <w:rsid w:val="00BA2D74"/>
    <w:rsid w:val="00BA2E67"/>
    <w:rsid w:val="00BA2FC1"/>
    <w:rsid w:val="00BA3DB7"/>
    <w:rsid w:val="00BA4340"/>
    <w:rsid w:val="00BA4CA8"/>
    <w:rsid w:val="00BA4E43"/>
    <w:rsid w:val="00BA5058"/>
    <w:rsid w:val="00BA5E7C"/>
    <w:rsid w:val="00BA6FF7"/>
    <w:rsid w:val="00BA74A1"/>
    <w:rsid w:val="00BA7AE9"/>
    <w:rsid w:val="00BA7B79"/>
    <w:rsid w:val="00BA7B7E"/>
    <w:rsid w:val="00BA7E20"/>
    <w:rsid w:val="00BA7E95"/>
    <w:rsid w:val="00BA7F14"/>
    <w:rsid w:val="00BB17ED"/>
    <w:rsid w:val="00BB1EC3"/>
    <w:rsid w:val="00BB2D5D"/>
    <w:rsid w:val="00BB332B"/>
    <w:rsid w:val="00BB38BD"/>
    <w:rsid w:val="00BB3923"/>
    <w:rsid w:val="00BB3BEB"/>
    <w:rsid w:val="00BB3D8B"/>
    <w:rsid w:val="00BB4EC5"/>
    <w:rsid w:val="00BB667C"/>
    <w:rsid w:val="00BB6939"/>
    <w:rsid w:val="00BB7049"/>
    <w:rsid w:val="00BB73E1"/>
    <w:rsid w:val="00BB7C95"/>
    <w:rsid w:val="00BC0855"/>
    <w:rsid w:val="00BC1084"/>
    <w:rsid w:val="00BC10D9"/>
    <w:rsid w:val="00BC130D"/>
    <w:rsid w:val="00BC146E"/>
    <w:rsid w:val="00BC18E7"/>
    <w:rsid w:val="00BC1C03"/>
    <w:rsid w:val="00BC1EE4"/>
    <w:rsid w:val="00BC2435"/>
    <w:rsid w:val="00BC2741"/>
    <w:rsid w:val="00BC2969"/>
    <w:rsid w:val="00BC400A"/>
    <w:rsid w:val="00BC453B"/>
    <w:rsid w:val="00BC4E10"/>
    <w:rsid w:val="00BC4EE4"/>
    <w:rsid w:val="00BC5335"/>
    <w:rsid w:val="00BC5BA5"/>
    <w:rsid w:val="00BC5C9D"/>
    <w:rsid w:val="00BC620D"/>
    <w:rsid w:val="00BC6519"/>
    <w:rsid w:val="00BC6F31"/>
    <w:rsid w:val="00BC7B00"/>
    <w:rsid w:val="00BD07AD"/>
    <w:rsid w:val="00BD0E79"/>
    <w:rsid w:val="00BD15B6"/>
    <w:rsid w:val="00BD1E04"/>
    <w:rsid w:val="00BD25DA"/>
    <w:rsid w:val="00BD302C"/>
    <w:rsid w:val="00BD31EA"/>
    <w:rsid w:val="00BD3827"/>
    <w:rsid w:val="00BD382A"/>
    <w:rsid w:val="00BD3884"/>
    <w:rsid w:val="00BD3E3E"/>
    <w:rsid w:val="00BD471D"/>
    <w:rsid w:val="00BD50BB"/>
    <w:rsid w:val="00BD5393"/>
    <w:rsid w:val="00BD5729"/>
    <w:rsid w:val="00BD6195"/>
    <w:rsid w:val="00BD6328"/>
    <w:rsid w:val="00BD6E12"/>
    <w:rsid w:val="00BD70AF"/>
    <w:rsid w:val="00BD7609"/>
    <w:rsid w:val="00BD775F"/>
    <w:rsid w:val="00BD7C61"/>
    <w:rsid w:val="00BD7C9C"/>
    <w:rsid w:val="00BD7CC4"/>
    <w:rsid w:val="00BE06F4"/>
    <w:rsid w:val="00BE0CEA"/>
    <w:rsid w:val="00BE1764"/>
    <w:rsid w:val="00BE1968"/>
    <w:rsid w:val="00BE1C2F"/>
    <w:rsid w:val="00BE1C4F"/>
    <w:rsid w:val="00BE1C50"/>
    <w:rsid w:val="00BE1D9F"/>
    <w:rsid w:val="00BE2187"/>
    <w:rsid w:val="00BE2233"/>
    <w:rsid w:val="00BE23C0"/>
    <w:rsid w:val="00BE2659"/>
    <w:rsid w:val="00BE2D1B"/>
    <w:rsid w:val="00BE3332"/>
    <w:rsid w:val="00BE3337"/>
    <w:rsid w:val="00BE3508"/>
    <w:rsid w:val="00BE3591"/>
    <w:rsid w:val="00BE374E"/>
    <w:rsid w:val="00BE467A"/>
    <w:rsid w:val="00BE4F79"/>
    <w:rsid w:val="00BE5428"/>
    <w:rsid w:val="00BE5477"/>
    <w:rsid w:val="00BE54E5"/>
    <w:rsid w:val="00BE5528"/>
    <w:rsid w:val="00BE5597"/>
    <w:rsid w:val="00BE56CC"/>
    <w:rsid w:val="00BE5A32"/>
    <w:rsid w:val="00BE6304"/>
    <w:rsid w:val="00BE6985"/>
    <w:rsid w:val="00BE6D20"/>
    <w:rsid w:val="00BE6D78"/>
    <w:rsid w:val="00BE6F3E"/>
    <w:rsid w:val="00BE7193"/>
    <w:rsid w:val="00BE73B6"/>
    <w:rsid w:val="00BE79A3"/>
    <w:rsid w:val="00BE79C4"/>
    <w:rsid w:val="00BE7AD4"/>
    <w:rsid w:val="00BF041B"/>
    <w:rsid w:val="00BF05BE"/>
    <w:rsid w:val="00BF0A36"/>
    <w:rsid w:val="00BF10E8"/>
    <w:rsid w:val="00BF18F2"/>
    <w:rsid w:val="00BF207C"/>
    <w:rsid w:val="00BF2536"/>
    <w:rsid w:val="00BF2714"/>
    <w:rsid w:val="00BF27A4"/>
    <w:rsid w:val="00BF28A2"/>
    <w:rsid w:val="00BF2C74"/>
    <w:rsid w:val="00BF2ECA"/>
    <w:rsid w:val="00BF2ED6"/>
    <w:rsid w:val="00BF2F02"/>
    <w:rsid w:val="00BF3023"/>
    <w:rsid w:val="00BF302D"/>
    <w:rsid w:val="00BF3156"/>
    <w:rsid w:val="00BF3536"/>
    <w:rsid w:val="00BF386F"/>
    <w:rsid w:val="00BF3EA5"/>
    <w:rsid w:val="00BF42BD"/>
    <w:rsid w:val="00BF4DD0"/>
    <w:rsid w:val="00BF4F29"/>
    <w:rsid w:val="00BF4FF2"/>
    <w:rsid w:val="00BF5447"/>
    <w:rsid w:val="00BF54EA"/>
    <w:rsid w:val="00BF5745"/>
    <w:rsid w:val="00BF5746"/>
    <w:rsid w:val="00BF5781"/>
    <w:rsid w:val="00BF5EFC"/>
    <w:rsid w:val="00BF6D99"/>
    <w:rsid w:val="00BF71AE"/>
    <w:rsid w:val="00BF78E3"/>
    <w:rsid w:val="00BF7925"/>
    <w:rsid w:val="00C008A6"/>
    <w:rsid w:val="00C00CC8"/>
    <w:rsid w:val="00C01238"/>
    <w:rsid w:val="00C012C7"/>
    <w:rsid w:val="00C013AB"/>
    <w:rsid w:val="00C014C8"/>
    <w:rsid w:val="00C01A32"/>
    <w:rsid w:val="00C01ED6"/>
    <w:rsid w:val="00C01EEC"/>
    <w:rsid w:val="00C02473"/>
    <w:rsid w:val="00C02817"/>
    <w:rsid w:val="00C029F5"/>
    <w:rsid w:val="00C02F8B"/>
    <w:rsid w:val="00C03BD1"/>
    <w:rsid w:val="00C03CBC"/>
    <w:rsid w:val="00C0421D"/>
    <w:rsid w:val="00C04D22"/>
    <w:rsid w:val="00C04F75"/>
    <w:rsid w:val="00C05042"/>
    <w:rsid w:val="00C05100"/>
    <w:rsid w:val="00C05707"/>
    <w:rsid w:val="00C058B1"/>
    <w:rsid w:val="00C05AA2"/>
    <w:rsid w:val="00C061C1"/>
    <w:rsid w:val="00C06A40"/>
    <w:rsid w:val="00C07DA9"/>
    <w:rsid w:val="00C10711"/>
    <w:rsid w:val="00C11C0D"/>
    <w:rsid w:val="00C12056"/>
    <w:rsid w:val="00C121E4"/>
    <w:rsid w:val="00C12798"/>
    <w:rsid w:val="00C12B2B"/>
    <w:rsid w:val="00C12C2B"/>
    <w:rsid w:val="00C12EA9"/>
    <w:rsid w:val="00C131C0"/>
    <w:rsid w:val="00C134AF"/>
    <w:rsid w:val="00C13947"/>
    <w:rsid w:val="00C141B3"/>
    <w:rsid w:val="00C14221"/>
    <w:rsid w:val="00C1560B"/>
    <w:rsid w:val="00C15982"/>
    <w:rsid w:val="00C15AF5"/>
    <w:rsid w:val="00C15C97"/>
    <w:rsid w:val="00C15CF8"/>
    <w:rsid w:val="00C15D9C"/>
    <w:rsid w:val="00C15FB5"/>
    <w:rsid w:val="00C1606C"/>
    <w:rsid w:val="00C16195"/>
    <w:rsid w:val="00C164C4"/>
    <w:rsid w:val="00C16E10"/>
    <w:rsid w:val="00C16FBF"/>
    <w:rsid w:val="00C17403"/>
    <w:rsid w:val="00C174BD"/>
    <w:rsid w:val="00C1768C"/>
    <w:rsid w:val="00C2015B"/>
    <w:rsid w:val="00C20376"/>
    <w:rsid w:val="00C20862"/>
    <w:rsid w:val="00C20A51"/>
    <w:rsid w:val="00C20BA9"/>
    <w:rsid w:val="00C20F3E"/>
    <w:rsid w:val="00C21919"/>
    <w:rsid w:val="00C222F8"/>
    <w:rsid w:val="00C223C1"/>
    <w:rsid w:val="00C2276B"/>
    <w:rsid w:val="00C22A0D"/>
    <w:rsid w:val="00C22ECA"/>
    <w:rsid w:val="00C230DE"/>
    <w:rsid w:val="00C23A73"/>
    <w:rsid w:val="00C23AA3"/>
    <w:rsid w:val="00C23AA9"/>
    <w:rsid w:val="00C23C90"/>
    <w:rsid w:val="00C23D2C"/>
    <w:rsid w:val="00C23EC7"/>
    <w:rsid w:val="00C242B6"/>
    <w:rsid w:val="00C24508"/>
    <w:rsid w:val="00C249BA"/>
    <w:rsid w:val="00C24CBF"/>
    <w:rsid w:val="00C2511B"/>
    <w:rsid w:val="00C25242"/>
    <w:rsid w:val="00C258DB"/>
    <w:rsid w:val="00C25A1F"/>
    <w:rsid w:val="00C25E77"/>
    <w:rsid w:val="00C26325"/>
    <w:rsid w:val="00C26E1C"/>
    <w:rsid w:val="00C26F1C"/>
    <w:rsid w:val="00C27017"/>
    <w:rsid w:val="00C270E5"/>
    <w:rsid w:val="00C27740"/>
    <w:rsid w:val="00C27B75"/>
    <w:rsid w:val="00C27D4B"/>
    <w:rsid w:val="00C27D7C"/>
    <w:rsid w:val="00C30911"/>
    <w:rsid w:val="00C31100"/>
    <w:rsid w:val="00C31A02"/>
    <w:rsid w:val="00C32006"/>
    <w:rsid w:val="00C323B7"/>
    <w:rsid w:val="00C323F9"/>
    <w:rsid w:val="00C32990"/>
    <w:rsid w:val="00C329D1"/>
    <w:rsid w:val="00C32CC7"/>
    <w:rsid w:val="00C32E22"/>
    <w:rsid w:val="00C32EA0"/>
    <w:rsid w:val="00C32FBA"/>
    <w:rsid w:val="00C330E6"/>
    <w:rsid w:val="00C3398D"/>
    <w:rsid w:val="00C33B74"/>
    <w:rsid w:val="00C33F25"/>
    <w:rsid w:val="00C34229"/>
    <w:rsid w:val="00C34B53"/>
    <w:rsid w:val="00C359FC"/>
    <w:rsid w:val="00C35A65"/>
    <w:rsid w:val="00C35AE2"/>
    <w:rsid w:val="00C35ECA"/>
    <w:rsid w:val="00C3611C"/>
    <w:rsid w:val="00C3658F"/>
    <w:rsid w:val="00C365E1"/>
    <w:rsid w:val="00C36835"/>
    <w:rsid w:val="00C36A82"/>
    <w:rsid w:val="00C36EE5"/>
    <w:rsid w:val="00C36FC5"/>
    <w:rsid w:val="00C3704A"/>
    <w:rsid w:val="00C371D2"/>
    <w:rsid w:val="00C37336"/>
    <w:rsid w:val="00C3736C"/>
    <w:rsid w:val="00C37620"/>
    <w:rsid w:val="00C40A1B"/>
    <w:rsid w:val="00C40DE6"/>
    <w:rsid w:val="00C41496"/>
    <w:rsid w:val="00C41642"/>
    <w:rsid w:val="00C42430"/>
    <w:rsid w:val="00C42ABB"/>
    <w:rsid w:val="00C42C23"/>
    <w:rsid w:val="00C42F63"/>
    <w:rsid w:val="00C43027"/>
    <w:rsid w:val="00C43459"/>
    <w:rsid w:val="00C434D5"/>
    <w:rsid w:val="00C4396E"/>
    <w:rsid w:val="00C43C02"/>
    <w:rsid w:val="00C4431A"/>
    <w:rsid w:val="00C44B18"/>
    <w:rsid w:val="00C44BC9"/>
    <w:rsid w:val="00C45C63"/>
    <w:rsid w:val="00C45DA9"/>
    <w:rsid w:val="00C4607C"/>
    <w:rsid w:val="00C46231"/>
    <w:rsid w:val="00C4628C"/>
    <w:rsid w:val="00C4669E"/>
    <w:rsid w:val="00C4729B"/>
    <w:rsid w:val="00C50450"/>
    <w:rsid w:val="00C5068E"/>
    <w:rsid w:val="00C50E3F"/>
    <w:rsid w:val="00C51000"/>
    <w:rsid w:val="00C5119A"/>
    <w:rsid w:val="00C5162D"/>
    <w:rsid w:val="00C52726"/>
    <w:rsid w:val="00C52D5A"/>
    <w:rsid w:val="00C535B8"/>
    <w:rsid w:val="00C53AC5"/>
    <w:rsid w:val="00C545C7"/>
    <w:rsid w:val="00C54646"/>
    <w:rsid w:val="00C546E6"/>
    <w:rsid w:val="00C555AB"/>
    <w:rsid w:val="00C556DA"/>
    <w:rsid w:val="00C55C85"/>
    <w:rsid w:val="00C55FB5"/>
    <w:rsid w:val="00C56272"/>
    <w:rsid w:val="00C565E8"/>
    <w:rsid w:val="00C56700"/>
    <w:rsid w:val="00C5696E"/>
    <w:rsid w:val="00C56AAE"/>
    <w:rsid w:val="00C56BA4"/>
    <w:rsid w:val="00C572E5"/>
    <w:rsid w:val="00C5737F"/>
    <w:rsid w:val="00C57441"/>
    <w:rsid w:val="00C57962"/>
    <w:rsid w:val="00C601AF"/>
    <w:rsid w:val="00C6043F"/>
    <w:rsid w:val="00C60D3C"/>
    <w:rsid w:val="00C61079"/>
    <w:rsid w:val="00C6135E"/>
    <w:rsid w:val="00C6188D"/>
    <w:rsid w:val="00C6196C"/>
    <w:rsid w:val="00C622FF"/>
    <w:rsid w:val="00C62488"/>
    <w:rsid w:val="00C627F3"/>
    <w:rsid w:val="00C62981"/>
    <w:rsid w:val="00C6299D"/>
    <w:rsid w:val="00C62CE7"/>
    <w:rsid w:val="00C62EA6"/>
    <w:rsid w:val="00C63250"/>
    <w:rsid w:val="00C6402D"/>
    <w:rsid w:val="00C640FB"/>
    <w:rsid w:val="00C64791"/>
    <w:rsid w:val="00C64ACD"/>
    <w:rsid w:val="00C64B17"/>
    <w:rsid w:val="00C65276"/>
    <w:rsid w:val="00C65461"/>
    <w:rsid w:val="00C6642C"/>
    <w:rsid w:val="00C66904"/>
    <w:rsid w:val="00C669C1"/>
    <w:rsid w:val="00C67584"/>
    <w:rsid w:val="00C700A7"/>
    <w:rsid w:val="00C70427"/>
    <w:rsid w:val="00C70CD8"/>
    <w:rsid w:val="00C70ECB"/>
    <w:rsid w:val="00C71641"/>
    <w:rsid w:val="00C717C1"/>
    <w:rsid w:val="00C71AA8"/>
    <w:rsid w:val="00C71E05"/>
    <w:rsid w:val="00C72050"/>
    <w:rsid w:val="00C72B55"/>
    <w:rsid w:val="00C72EC7"/>
    <w:rsid w:val="00C735C0"/>
    <w:rsid w:val="00C73F55"/>
    <w:rsid w:val="00C743FD"/>
    <w:rsid w:val="00C751EB"/>
    <w:rsid w:val="00C75858"/>
    <w:rsid w:val="00C75ACE"/>
    <w:rsid w:val="00C76991"/>
    <w:rsid w:val="00C76A4E"/>
    <w:rsid w:val="00C76AFB"/>
    <w:rsid w:val="00C77034"/>
    <w:rsid w:val="00C77B75"/>
    <w:rsid w:val="00C800E4"/>
    <w:rsid w:val="00C80112"/>
    <w:rsid w:val="00C808D9"/>
    <w:rsid w:val="00C80B1D"/>
    <w:rsid w:val="00C81303"/>
    <w:rsid w:val="00C813FD"/>
    <w:rsid w:val="00C82C3C"/>
    <w:rsid w:val="00C83668"/>
    <w:rsid w:val="00C84026"/>
    <w:rsid w:val="00C840BF"/>
    <w:rsid w:val="00C84253"/>
    <w:rsid w:val="00C844A3"/>
    <w:rsid w:val="00C84C47"/>
    <w:rsid w:val="00C85027"/>
    <w:rsid w:val="00C855FE"/>
    <w:rsid w:val="00C85BE2"/>
    <w:rsid w:val="00C86610"/>
    <w:rsid w:val="00C86E91"/>
    <w:rsid w:val="00C87A36"/>
    <w:rsid w:val="00C87ABD"/>
    <w:rsid w:val="00C87AF5"/>
    <w:rsid w:val="00C87B5E"/>
    <w:rsid w:val="00C87DD2"/>
    <w:rsid w:val="00C90362"/>
    <w:rsid w:val="00C904CC"/>
    <w:rsid w:val="00C916D4"/>
    <w:rsid w:val="00C91AAA"/>
    <w:rsid w:val="00C92AB3"/>
    <w:rsid w:val="00C92ABF"/>
    <w:rsid w:val="00C92D68"/>
    <w:rsid w:val="00C93838"/>
    <w:rsid w:val="00C93AD2"/>
    <w:rsid w:val="00C94D07"/>
    <w:rsid w:val="00C95206"/>
    <w:rsid w:val="00C952C0"/>
    <w:rsid w:val="00C95A5A"/>
    <w:rsid w:val="00C95FF8"/>
    <w:rsid w:val="00C960B4"/>
    <w:rsid w:val="00C967FC"/>
    <w:rsid w:val="00C96995"/>
    <w:rsid w:val="00C96C4F"/>
    <w:rsid w:val="00C97292"/>
    <w:rsid w:val="00C97C11"/>
    <w:rsid w:val="00C97D6A"/>
    <w:rsid w:val="00C97E1D"/>
    <w:rsid w:val="00C97EBD"/>
    <w:rsid w:val="00C97EE2"/>
    <w:rsid w:val="00CA0303"/>
    <w:rsid w:val="00CA0329"/>
    <w:rsid w:val="00CA06F6"/>
    <w:rsid w:val="00CA1024"/>
    <w:rsid w:val="00CA1AA0"/>
    <w:rsid w:val="00CA22A2"/>
    <w:rsid w:val="00CA25E1"/>
    <w:rsid w:val="00CA260D"/>
    <w:rsid w:val="00CA2804"/>
    <w:rsid w:val="00CA2ED3"/>
    <w:rsid w:val="00CA31E5"/>
    <w:rsid w:val="00CA334F"/>
    <w:rsid w:val="00CA3BDD"/>
    <w:rsid w:val="00CA3D66"/>
    <w:rsid w:val="00CA42E8"/>
    <w:rsid w:val="00CA43A5"/>
    <w:rsid w:val="00CA44AD"/>
    <w:rsid w:val="00CA44B5"/>
    <w:rsid w:val="00CA4C07"/>
    <w:rsid w:val="00CA4C12"/>
    <w:rsid w:val="00CA4CA6"/>
    <w:rsid w:val="00CA5074"/>
    <w:rsid w:val="00CA5B44"/>
    <w:rsid w:val="00CA5BF2"/>
    <w:rsid w:val="00CA5DB5"/>
    <w:rsid w:val="00CA720A"/>
    <w:rsid w:val="00CA7233"/>
    <w:rsid w:val="00CA74AC"/>
    <w:rsid w:val="00CA7B67"/>
    <w:rsid w:val="00CA7CA5"/>
    <w:rsid w:val="00CA7FC3"/>
    <w:rsid w:val="00CB074B"/>
    <w:rsid w:val="00CB08C6"/>
    <w:rsid w:val="00CB0D40"/>
    <w:rsid w:val="00CB14D0"/>
    <w:rsid w:val="00CB176C"/>
    <w:rsid w:val="00CB1DF3"/>
    <w:rsid w:val="00CB217E"/>
    <w:rsid w:val="00CB21B0"/>
    <w:rsid w:val="00CB21C5"/>
    <w:rsid w:val="00CB22E6"/>
    <w:rsid w:val="00CB2686"/>
    <w:rsid w:val="00CB2E4A"/>
    <w:rsid w:val="00CB2EE7"/>
    <w:rsid w:val="00CB2FE7"/>
    <w:rsid w:val="00CB32CF"/>
    <w:rsid w:val="00CB4266"/>
    <w:rsid w:val="00CB4655"/>
    <w:rsid w:val="00CB4BBD"/>
    <w:rsid w:val="00CB4D36"/>
    <w:rsid w:val="00CB4ECD"/>
    <w:rsid w:val="00CB4F05"/>
    <w:rsid w:val="00CB50B0"/>
    <w:rsid w:val="00CB5947"/>
    <w:rsid w:val="00CB621F"/>
    <w:rsid w:val="00CB6333"/>
    <w:rsid w:val="00CB6597"/>
    <w:rsid w:val="00CB669F"/>
    <w:rsid w:val="00CB6747"/>
    <w:rsid w:val="00CB6F7B"/>
    <w:rsid w:val="00CB7554"/>
    <w:rsid w:val="00CB761F"/>
    <w:rsid w:val="00CB7CAF"/>
    <w:rsid w:val="00CB7CD4"/>
    <w:rsid w:val="00CB7E93"/>
    <w:rsid w:val="00CC0059"/>
    <w:rsid w:val="00CC0396"/>
    <w:rsid w:val="00CC03EC"/>
    <w:rsid w:val="00CC0A7A"/>
    <w:rsid w:val="00CC0C4D"/>
    <w:rsid w:val="00CC2610"/>
    <w:rsid w:val="00CC3650"/>
    <w:rsid w:val="00CC382B"/>
    <w:rsid w:val="00CC3E46"/>
    <w:rsid w:val="00CC3E80"/>
    <w:rsid w:val="00CC426C"/>
    <w:rsid w:val="00CC43AA"/>
    <w:rsid w:val="00CC45A6"/>
    <w:rsid w:val="00CC499A"/>
    <w:rsid w:val="00CC4BD7"/>
    <w:rsid w:val="00CC4F18"/>
    <w:rsid w:val="00CC5581"/>
    <w:rsid w:val="00CC577D"/>
    <w:rsid w:val="00CC5941"/>
    <w:rsid w:val="00CC5A2D"/>
    <w:rsid w:val="00CC5B4C"/>
    <w:rsid w:val="00CC5EE1"/>
    <w:rsid w:val="00CC600F"/>
    <w:rsid w:val="00CC660F"/>
    <w:rsid w:val="00CC680F"/>
    <w:rsid w:val="00CC6932"/>
    <w:rsid w:val="00CC6B65"/>
    <w:rsid w:val="00CC6D99"/>
    <w:rsid w:val="00CC7902"/>
    <w:rsid w:val="00CC7E8E"/>
    <w:rsid w:val="00CD0142"/>
    <w:rsid w:val="00CD02E4"/>
    <w:rsid w:val="00CD054E"/>
    <w:rsid w:val="00CD0DBF"/>
    <w:rsid w:val="00CD1825"/>
    <w:rsid w:val="00CD1A79"/>
    <w:rsid w:val="00CD2095"/>
    <w:rsid w:val="00CD21D1"/>
    <w:rsid w:val="00CD227F"/>
    <w:rsid w:val="00CD22F2"/>
    <w:rsid w:val="00CD236A"/>
    <w:rsid w:val="00CD253A"/>
    <w:rsid w:val="00CD2F78"/>
    <w:rsid w:val="00CD37FC"/>
    <w:rsid w:val="00CD3EF6"/>
    <w:rsid w:val="00CD454A"/>
    <w:rsid w:val="00CD4B69"/>
    <w:rsid w:val="00CD5020"/>
    <w:rsid w:val="00CD55BC"/>
    <w:rsid w:val="00CD7093"/>
    <w:rsid w:val="00CD730E"/>
    <w:rsid w:val="00CD7655"/>
    <w:rsid w:val="00CD78BF"/>
    <w:rsid w:val="00CD794E"/>
    <w:rsid w:val="00CD7A21"/>
    <w:rsid w:val="00CE0038"/>
    <w:rsid w:val="00CE028A"/>
    <w:rsid w:val="00CE0333"/>
    <w:rsid w:val="00CE04B7"/>
    <w:rsid w:val="00CE04CC"/>
    <w:rsid w:val="00CE04F4"/>
    <w:rsid w:val="00CE0529"/>
    <w:rsid w:val="00CE0900"/>
    <w:rsid w:val="00CE0C50"/>
    <w:rsid w:val="00CE1482"/>
    <w:rsid w:val="00CE1616"/>
    <w:rsid w:val="00CE246A"/>
    <w:rsid w:val="00CE24C4"/>
    <w:rsid w:val="00CE2D5D"/>
    <w:rsid w:val="00CE3768"/>
    <w:rsid w:val="00CE3810"/>
    <w:rsid w:val="00CE3D08"/>
    <w:rsid w:val="00CE41A4"/>
    <w:rsid w:val="00CE4353"/>
    <w:rsid w:val="00CE44D9"/>
    <w:rsid w:val="00CE4FEF"/>
    <w:rsid w:val="00CE50F8"/>
    <w:rsid w:val="00CE5706"/>
    <w:rsid w:val="00CE5D25"/>
    <w:rsid w:val="00CE6CFD"/>
    <w:rsid w:val="00CE6E5A"/>
    <w:rsid w:val="00CE6E80"/>
    <w:rsid w:val="00CE732F"/>
    <w:rsid w:val="00CE7473"/>
    <w:rsid w:val="00CE7880"/>
    <w:rsid w:val="00CE7A9A"/>
    <w:rsid w:val="00CE7CAC"/>
    <w:rsid w:val="00CF058A"/>
    <w:rsid w:val="00CF09E3"/>
    <w:rsid w:val="00CF0E9C"/>
    <w:rsid w:val="00CF1097"/>
    <w:rsid w:val="00CF1561"/>
    <w:rsid w:val="00CF1F82"/>
    <w:rsid w:val="00CF225C"/>
    <w:rsid w:val="00CF271D"/>
    <w:rsid w:val="00CF2AE3"/>
    <w:rsid w:val="00CF3840"/>
    <w:rsid w:val="00CF3A89"/>
    <w:rsid w:val="00CF4319"/>
    <w:rsid w:val="00CF491E"/>
    <w:rsid w:val="00CF4D93"/>
    <w:rsid w:val="00CF50C1"/>
    <w:rsid w:val="00CF5160"/>
    <w:rsid w:val="00CF5371"/>
    <w:rsid w:val="00CF53D0"/>
    <w:rsid w:val="00CF5799"/>
    <w:rsid w:val="00CF588E"/>
    <w:rsid w:val="00CF5DBA"/>
    <w:rsid w:val="00CF6008"/>
    <w:rsid w:val="00CF6B5D"/>
    <w:rsid w:val="00CF7424"/>
    <w:rsid w:val="00CF7579"/>
    <w:rsid w:val="00CF7741"/>
    <w:rsid w:val="00CF7D0F"/>
    <w:rsid w:val="00D002A2"/>
    <w:rsid w:val="00D00841"/>
    <w:rsid w:val="00D01414"/>
    <w:rsid w:val="00D01507"/>
    <w:rsid w:val="00D0151F"/>
    <w:rsid w:val="00D019CB"/>
    <w:rsid w:val="00D01BBE"/>
    <w:rsid w:val="00D01D31"/>
    <w:rsid w:val="00D01F68"/>
    <w:rsid w:val="00D02320"/>
    <w:rsid w:val="00D02C4E"/>
    <w:rsid w:val="00D03080"/>
    <w:rsid w:val="00D034A2"/>
    <w:rsid w:val="00D037FE"/>
    <w:rsid w:val="00D039B7"/>
    <w:rsid w:val="00D04B27"/>
    <w:rsid w:val="00D04D34"/>
    <w:rsid w:val="00D05254"/>
    <w:rsid w:val="00D05753"/>
    <w:rsid w:val="00D057CF"/>
    <w:rsid w:val="00D05F2C"/>
    <w:rsid w:val="00D05F3B"/>
    <w:rsid w:val="00D06018"/>
    <w:rsid w:val="00D06707"/>
    <w:rsid w:val="00D0743C"/>
    <w:rsid w:val="00D0776D"/>
    <w:rsid w:val="00D07FC0"/>
    <w:rsid w:val="00D104BE"/>
    <w:rsid w:val="00D106CA"/>
    <w:rsid w:val="00D10BB5"/>
    <w:rsid w:val="00D1196F"/>
    <w:rsid w:val="00D11EA7"/>
    <w:rsid w:val="00D12086"/>
    <w:rsid w:val="00D12576"/>
    <w:rsid w:val="00D1273B"/>
    <w:rsid w:val="00D12A45"/>
    <w:rsid w:val="00D12A51"/>
    <w:rsid w:val="00D12F86"/>
    <w:rsid w:val="00D133B6"/>
    <w:rsid w:val="00D1457F"/>
    <w:rsid w:val="00D14832"/>
    <w:rsid w:val="00D14AE5"/>
    <w:rsid w:val="00D14B54"/>
    <w:rsid w:val="00D14B74"/>
    <w:rsid w:val="00D14BD3"/>
    <w:rsid w:val="00D14E4A"/>
    <w:rsid w:val="00D15524"/>
    <w:rsid w:val="00D15931"/>
    <w:rsid w:val="00D15ADD"/>
    <w:rsid w:val="00D16088"/>
    <w:rsid w:val="00D161B2"/>
    <w:rsid w:val="00D164A7"/>
    <w:rsid w:val="00D166B5"/>
    <w:rsid w:val="00D17B2C"/>
    <w:rsid w:val="00D200A5"/>
    <w:rsid w:val="00D204DE"/>
    <w:rsid w:val="00D2120C"/>
    <w:rsid w:val="00D215AE"/>
    <w:rsid w:val="00D21C9B"/>
    <w:rsid w:val="00D23205"/>
    <w:rsid w:val="00D23A10"/>
    <w:rsid w:val="00D23C5A"/>
    <w:rsid w:val="00D23E26"/>
    <w:rsid w:val="00D24367"/>
    <w:rsid w:val="00D24F1A"/>
    <w:rsid w:val="00D25171"/>
    <w:rsid w:val="00D25568"/>
    <w:rsid w:val="00D2578D"/>
    <w:rsid w:val="00D2667A"/>
    <w:rsid w:val="00D26969"/>
    <w:rsid w:val="00D26D71"/>
    <w:rsid w:val="00D26FEC"/>
    <w:rsid w:val="00D2738E"/>
    <w:rsid w:val="00D30693"/>
    <w:rsid w:val="00D30AC3"/>
    <w:rsid w:val="00D30F95"/>
    <w:rsid w:val="00D3165B"/>
    <w:rsid w:val="00D31CCD"/>
    <w:rsid w:val="00D31CEB"/>
    <w:rsid w:val="00D31CF3"/>
    <w:rsid w:val="00D31F71"/>
    <w:rsid w:val="00D3266F"/>
    <w:rsid w:val="00D3277E"/>
    <w:rsid w:val="00D32A33"/>
    <w:rsid w:val="00D32AA1"/>
    <w:rsid w:val="00D334C5"/>
    <w:rsid w:val="00D33726"/>
    <w:rsid w:val="00D344D6"/>
    <w:rsid w:val="00D34930"/>
    <w:rsid w:val="00D34BBC"/>
    <w:rsid w:val="00D34D14"/>
    <w:rsid w:val="00D34F4D"/>
    <w:rsid w:val="00D35147"/>
    <w:rsid w:val="00D35379"/>
    <w:rsid w:val="00D357F8"/>
    <w:rsid w:val="00D36C6C"/>
    <w:rsid w:val="00D376DB"/>
    <w:rsid w:val="00D379AD"/>
    <w:rsid w:val="00D37C17"/>
    <w:rsid w:val="00D40CF1"/>
    <w:rsid w:val="00D40D44"/>
    <w:rsid w:val="00D425A9"/>
    <w:rsid w:val="00D42864"/>
    <w:rsid w:val="00D42A7F"/>
    <w:rsid w:val="00D42C3B"/>
    <w:rsid w:val="00D435B6"/>
    <w:rsid w:val="00D440BF"/>
    <w:rsid w:val="00D4418B"/>
    <w:rsid w:val="00D44220"/>
    <w:rsid w:val="00D446F8"/>
    <w:rsid w:val="00D447FC"/>
    <w:rsid w:val="00D449D8"/>
    <w:rsid w:val="00D44B63"/>
    <w:rsid w:val="00D45546"/>
    <w:rsid w:val="00D45777"/>
    <w:rsid w:val="00D45AA7"/>
    <w:rsid w:val="00D45F32"/>
    <w:rsid w:val="00D46079"/>
    <w:rsid w:val="00D464BB"/>
    <w:rsid w:val="00D46939"/>
    <w:rsid w:val="00D46A8C"/>
    <w:rsid w:val="00D46AA7"/>
    <w:rsid w:val="00D46D1E"/>
    <w:rsid w:val="00D46F8C"/>
    <w:rsid w:val="00D47370"/>
    <w:rsid w:val="00D47AD1"/>
    <w:rsid w:val="00D47BD1"/>
    <w:rsid w:val="00D47C03"/>
    <w:rsid w:val="00D47C93"/>
    <w:rsid w:val="00D5021C"/>
    <w:rsid w:val="00D5052B"/>
    <w:rsid w:val="00D50585"/>
    <w:rsid w:val="00D5089D"/>
    <w:rsid w:val="00D5136D"/>
    <w:rsid w:val="00D514EF"/>
    <w:rsid w:val="00D51EAB"/>
    <w:rsid w:val="00D52277"/>
    <w:rsid w:val="00D526FA"/>
    <w:rsid w:val="00D528EF"/>
    <w:rsid w:val="00D52A3E"/>
    <w:rsid w:val="00D5329E"/>
    <w:rsid w:val="00D53345"/>
    <w:rsid w:val="00D5335C"/>
    <w:rsid w:val="00D53737"/>
    <w:rsid w:val="00D539C5"/>
    <w:rsid w:val="00D53AB2"/>
    <w:rsid w:val="00D53E12"/>
    <w:rsid w:val="00D53F16"/>
    <w:rsid w:val="00D54113"/>
    <w:rsid w:val="00D544E6"/>
    <w:rsid w:val="00D546F0"/>
    <w:rsid w:val="00D547D2"/>
    <w:rsid w:val="00D55634"/>
    <w:rsid w:val="00D559BD"/>
    <w:rsid w:val="00D559E5"/>
    <w:rsid w:val="00D55A25"/>
    <w:rsid w:val="00D55A52"/>
    <w:rsid w:val="00D55A78"/>
    <w:rsid w:val="00D55FE4"/>
    <w:rsid w:val="00D562C5"/>
    <w:rsid w:val="00D566E6"/>
    <w:rsid w:val="00D5672D"/>
    <w:rsid w:val="00D56885"/>
    <w:rsid w:val="00D56E4A"/>
    <w:rsid w:val="00D56EDF"/>
    <w:rsid w:val="00D5703D"/>
    <w:rsid w:val="00D570E5"/>
    <w:rsid w:val="00D577EF"/>
    <w:rsid w:val="00D57873"/>
    <w:rsid w:val="00D5792B"/>
    <w:rsid w:val="00D57A29"/>
    <w:rsid w:val="00D57B79"/>
    <w:rsid w:val="00D60795"/>
    <w:rsid w:val="00D60ACA"/>
    <w:rsid w:val="00D60C33"/>
    <w:rsid w:val="00D60EA8"/>
    <w:rsid w:val="00D619EE"/>
    <w:rsid w:val="00D61B75"/>
    <w:rsid w:val="00D61DE5"/>
    <w:rsid w:val="00D62354"/>
    <w:rsid w:val="00D62D81"/>
    <w:rsid w:val="00D63C17"/>
    <w:rsid w:val="00D64A9F"/>
    <w:rsid w:val="00D65012"/>
    <w:rsid w:val="00D650C9"/>
    <w:rsid w:val="00D654B1"/>
    <w:rsid w:val="00D65907"/>
    <w:rsid w:val="00D65FAC"/>
    <w:rsid w:val="00D66077"/>
    <w:rsid w:val="00D66BCA"/>
    <w:rsid w:val="00D66C1B"/>
    <w:rsid w:val="00D6744D"/>
    <w:rsid w:val="00D707C1"/>
    <w:rsid w:val="00D709D7"/>
    <w:rsid w:val="00D70A8C"/>
    <w:rsid w:val="00D71192"/>
    <w:rsid w:val="00D714E1"/>
    <w:rsid w:val="00D71C7A"/>
    <w:rsid w:val="00D71EC6"/>
    <w:rsid w:val="00D72033"/>
    <w:rsid w:val="00D72665"/>
    <w:rsid w:val="00D726B6"/>
    <w:rsid w:val="00D7275B"/>
    <w:rsid w:val="00D727DC"/>
    <w:rsid w:val="00D72F60"/>
    <w:rsid w:val="00D732B2"/>
    <w:rsid w:val="00D73552"/>
    <w:rsid w:val="00D73AF1"/>
    <w:rsid w:val="00D73C1D"/>
    <w:rsid w:val="00D73DCC"/>
    <w:rsid w:val="00D746C2"/>
    <w:rsid w:val="00D749BA"/>
    <w:rsid w:val="00D749E1"/>
    <w:rsid w:val="00D7572F"/>
    <w:rsid w:val="00D75995"/>
    <w:rsid w:val="00D76060"/>
    <w:rsid w:val="00D7613C"/>
    <w:rsid w:val="00D766C4"/>
    <w:rsid w:val="00D76946"/>
    <w:rsid w:val="00D76B55"/>
    <w:rsid w:val="00D77343"/>
    <w:rsid w:val="00D77A9E"/>
    <w:rsid w:val="00D77F86"/>
    <w:rsid w:val="00D806FF"/>
    <w:rsid w:val="00D8070C"/>
    <w:rsid w:val="00D80787"/>
    <w:rsid w:val="00D80C4B"/>
    <w:rsid w:val="00D80C52"/>
    <w:rsid w:val="00D80DD9"/>
    <w:rsid w:val="00D81312"/>
    <w:rsid w:val="00D8174F"/>
    <w:rsid w:val="00D81E20"/>
    <w:rsid w:val="00D82058"/>
    <w:rsid w:val="00D825AC"/>
    <w:rsid w:val="00D82711"/>
    <w:rsid w:val="00D827D4"/>
    <w:rsid w:val="00D841C5"/>
    <w:rsid w:val="00D843F0"/>
    <w:rsid w:val="00D8451D"/>
    <w:rsid w:val="00D84E6C"/>
    <w:rsid w:val="00D86368"/>
    <w:rsid w:val="00D86602"/>
    <w:rsid w:val="00D86879"/>
    <w:rsid w:val="00D87B1F"/>
    <w:rsid w:val="00D87C05"/>
    <w:rsid w:val="00D9003B"/>
    <w:rsid w:val="00D90316"/>
    <w:rsid w:val="00D903FC"/>
    <w:rsid w:val="00D90DB4"/>
    <w:rsid w:val="00D90E0B"/>
    <w:rsid w:val="00D91001"/>
    <w:rsid w:val="00D912B4"/>
    <w:rsid w:val="00D91316"/>
    <w:rsid w:val="00D913BF"/>
    <w:rsid w:val="00D913FB"/>
    <w:rsid w:val="00D91AC3"/>
    <w:rsid w:val="00D91B7B"/>
    <w:rsid w:val="00D91FBE"/>
    <w:rsid w:val="00D92251"/>
    <w:rsid w:val="00D92AAD"/>
    <w:rsid w:val="00D92F1E"/>
    <w:rsid w:val="00D9327F"/>
    <w:rsid w:val="00D95ABC"/>
    <w:rsid w:val="00D95CEE"/>
    <w:rsid w:val="00D95D41"/>
    <w:rsid w:val="00D9696B"/>
    <w:rsid w:val="00D96B0E"/>
    <w:rsid w:val="00D96D86"/>
    <w:rsid w:val="00D97416"/>
    <w:rsid w:val="00DA0215"/>
    <w:rsid w:val="00DA0A1D"/>
    <w:rsid w:val="00DA1326"/>
    <w:rsid w:val="00DA16F5"/>
    <w:rsid w:val="00DA1897"/>
    <w:rsid w:val="00DA1923"/>
    <w:rsid w:val="00DA1C3C"/>
    <w:rsid w:val="00DA1FD4"/>
    <w:rsid w:val="00DA2126"/>
    <w:rsid w:val="00DA26E9"/>
    <w:rsid w:val="00DA2728"/>
    <w:rsid w:val="00DA2F9D"/>
    <w:rsid w:val="00DA32F2"/>
    <w:rsid w:val="00DA3383"/>
    <w:rsid w:val="00DA33A2"/>
    <w:rsid w:val="00DA342C"/>
    <w:rsid w:val="00DA3C16"/>
    <w:rsid w:val="00DA477B"/>
    <w:rsid w:val="00DA4AFC"/>
    <w:rsid w:val="00DA4DF8"/>
    <w:rsid w:val="00DA5462"/>
    <w:rsid w:val="00DA58C6"/>
    <w:rsid w:val="00DA683D"/>
    <w:rsid w:val="00DA6872"/>
    <w:rsid w:val="00DA79FE"/>
    <w:rsid w:val="00DA7F2B"/>
    <w:rsid w:val="00DB097D"/>
    <w:rsid w:val="00DB0A3F"/>
    <w:rsid w:val="00DB12AC"/>
    <w:rsid w:val="00DB1329"/>
    <w:rsid w:val="00DB196C"/>
    <w:rsid w:val="00DB1F34"/>
    <w:rsid w:val="00DB2049"/>
    <w:rsid w:val="00DB214E"/>
    <w:rsid w:val="00DB2439"/>
    <w:rsid w:val="00DB259E"/>
    <w:rsid w:val="00DB2C4C"/>
    <w:rsid w:val="00DB3343"/>
    <w:rsid w:val="00DB3920"/>
    <w:rsid w:val="00DB3E59"/>
    <w:rsid w:val="00DB50A7"/>
    <w:rsid w:val="00DB5A88"/>
    <w:rsid w:val="00DB5C60"/>
    <w:rsid w:val="00DB6478"/>
    <w:rsid w:val="00DB698E"/>
    <w:rsid w:val="00DB69A3"/>
    <w:rsid w:val="00DB6B25"/>
    <w:rsid w:val="00DB6C54"/>
    <w:rsid w:val="00DB6F26"/>
    <w:rsid w:val="00DB6FC8"/>
    <w:rsid w:val="00DB74BD"/>
    <w:rsid w:val="00DB75EC"/>
    <w:rsid w:val="00DC0285"/>
    <w:rsid w:val="00DC07B7"/>
    <w:rsid w:val="00DC0A5B"/>
    <w:rsid w:val="00DC0EFC"/>
    <w:rsid w:val="00DC1698"/>
    <w:rsid w:val="00DC18D6"/>
    <w:rsid w:val="00DC1ABF"/>
    <w:rsid w:val="00DC21AA"/>
    <w:rsid w:val="00DC226F"/>
    <w:rsid w:val="00DC2385"/>
    <w:rsid w:val="00DC2412"/>
    <w:rsid w:val="00DC29C0"/>
    <w:rsid w:val="00DC2A26"/>
    <w:rsid w:val="00DC2CD7"/>
    <w:rsid w:val="00DC2D1B"/>
    <w:rsid w:val="00DC3854"/>
    <w:rsid w:val="00DC3ADC"/>
    <w:rsid w:val="00DC4421"/>
    <w:rsid w:val="00DC45F2"/>
    <w:rsid w:val="00DC4C65"/>
    <w:rsid w:val="00DC4D97"/>
    <w:rsid w:val="00DC546C"/>
    <w:rsid w:val="00DC568A"/>
    <w:rsid w:val="00DC5A4F"/>
    <w:rsid w:val="00DC5AAD"/>
    <w:rsid w:val="00DC5D56"/>
    <w:rsid w:val="00DC6089"/>
    <w:rsid w:val="00DC6C5B"/>
    <w:rsid w:val="00DC7125"/>
    <w:rsid w:val="00DC7BFE"/>
    <w:rsid w:val="00DD01FF"/>
    <w:rsid w:val="00DD02F1"/>
    <w:rsid w:val="00DD0733"/>
    <w:rsid w:val="00DD08DA"/>
    <w:rsid w:val="00DD0A43"/>
    <w:rsid w:val="00DD16B7"/>
    <w:rsid w:val="00DD1D01"/>
    <w:rsid w:val="00DD1DBA"/>
    <w:rsid w:val="00DD232B"/>
    <w:rsid w:val="00DD2558"/>
    <w:rsid w:val="00DD270A"/>
    <w:rsid w:val="00DD37C4"/>
    <w:rsid w:val="00DD37D6"/>
    <w:rsid w:val="00DD46DD"/>
    <w:rsid w:val="00DD48B9"/>
    <w:rsid w:val="00DD49F8"/>
    <w:rsid w:val="00DD4C66"/>
    <w:rsid w:val="00DD4C89"/>
    <w:rsid w:val="00DD4F4F"/>
    <w:rsid w:val="00DD52C6"/>
    <w:rsid w:val="00DD633B"/>
    <w:rsid w:val="00DD642C"/>
    <w:rsid w:val="00DD68BF"/>
    <w:rsid w:val="00DD6987"/>
    <w:rsid w:val="00DD6F68"/>
    <w:rsid w:val="00DD70E9"/>
    <w:rsid w:val="00DD7906"/>
    <w:rsid w:val="00DD7F53"/>
    <w:rsid w:val="00DE071D"/>
    <w:rsid w:val="00DE0A02"/>
    <w:rsid w:val="00DE0B9F"/>
    <w:rsid w:val="00DE15D1"/>
    <w:rsid w:val="00DE1E18"/>
    <w:rsid w:val="00DE25C1"/>
    <w:rsid w:val="00DE283D"/>
    <w:rsid w:val="00DE28AA"/>
    <w:rsid w:val="00DE2C6C"/>
    <w:rsid w:val="00DE34AC"/>
    <w:rsid w:val="00DE3B8E"/>
    <w:rsid w:val="00DE418B"/>
    <w:rsid w:val="00DE4489"/>
    <w:rsid w:val="00DE44E8"/>
    <w:rsid w:val="00DE4656"/>
    <w:rsid w:val="00DE47CE"/>
    <w:rsid w:val="00DE4930"/>
    <w:rsid w:val="00DE49C4"/>
    <w:rsid w:val="00DE5C88"/>
    <w:rsid w:val="00DE5E10"/>
    <w:rsid w:val="00DE5E44"/>
    <w:rsid w:val="00DE5E51"/>
    <w:rsid w:val="00DE5E87"/>
    <w:rsid w:val="00DE5EF1"/>
    <w:rsid w:val="00DE666A"/>
    <w:rsid w:val="00DE68B1"/>
    <w:rsid w:val="00DE6CBF"/>
    <w:rsid w:val="00DE6DFC"/>
    <w:rsid w:val="00DE6E42"/>
    <w:rsid w:val="00DE7482"/>
    <w:rsid w:val="00DE7629"/>
    <w:rsid w:val="00DE79CE"/>
    <w:rsid w:val="00DE7A1F"/>
    <w:rsid w:val="00DE7BE9"/>
    <w:rsid w:val="00DE7FE6"/>
    <w:rsid w:val="00DF0269"/>
    <w:rsid w:val="00DF0739"/>
    <w:rsid w:val="00DF0A13"/>
    <w:rsid w:val="00DF0B64"/>
    <w:rsid w:val="00DF0C5D"/>
    <w:rsid w:val="00DF1256"/>
    <w:rsid w:val="00DF12A9"/>
    <w:rsid w:val="00DF12B6"/>
    <w:rsid w:val="00DF1318"/>
    <w:rsid w:val="00DF142A"/>
    <w:rsid w:val="00DF1456"/>
    <w:rsid w:val="00DF1E8B"/>
    <w:rsid w:val="00DF1EF3"/>
    <w:rsid w:val="00DF213E"/>
    <w:rsid w:val="00DF21C7"/>
    <w:rsid w:val="00DF2704"/>
    <w:rsid w:val="00DF2B3B"/>
    <w:rsid w:val="00DF4969"/>
    <w:rsid w:val="00DF50B9"/>
    <w:rsid w:val="00DF566F"/>
    <w:rsid w:val="00DF62B6"/>
    <w:rsid w:val="00DF6504"/>
    <w:rsid w:val="00DF6724"/>
    <w:rsid w:val="00DF6C4E"/>
    <w:rsid w:val="00DF6D47"/>
    <w:rsid w:val="00DF6EAD"/>
    <w:rsid w:val="00DF776F"/>
    <w:rsid w:val="00DF7CB5"/>
    <w:rsid w:val="00E00164"/>
    <w:rsid w:val="00E005E0"/>
    <w:rsid w:val="00E00BC9"/>
    <w:rsid w:val="00E012EF"/>
    <w:rsid w:val="00E016E6"/>
    <w:rsid w:val="00E019AB"/>
    <w:rsid w:val="00E033C7"/>
    <w:rsid w:val="00E033D5"/>
    <w:rsid w:val="00E03D82"/>
    <w:rsid w:val="00E040E4"/>
    <w:rsid w:val="00E04875"/>
    <w:rsid w:val="00E052EB"/>
    <w:rsid w:val="00E0625C"/>
    <w:rsid w:val="00E067B4"/>
    <w:rsid w:val="00E06A2B"/>
    <w:rsid w:val="00E06C90"/>
    <w:rsid w:val="00E07C31"/>
    <w:rsid w:val="00E07CF6"/>
    <w:rsid w:val="00E107EB"/>
    <w:rsid w:val="00E10B1C"/>
    <w:rsid w:val="00E110A5"/>
    <w:rsid w:val="00E11236"/>
    <w:rsid w:val="00E11322"/>
    <w:rsid w:val="00E1205E"/>
    <w:rsid w:val="00E123D8"/>
    <w:rsid w:val="00E125EB"/>
    <w:rsid w:val="00E1287A"/>
    <w:rsid w:val="00E129A0"/>
    <w:rsid w:val="00E139FA"/>
    <w:rsid w:val="00E13DF7"/>
    <w:rsid w:val="00E14265"/>
    <w:rsid w:val="00E14284"/>
    <w:rsid w:val="00E146C3"/>
    <w:rsid w:val="00E14B7C"/>
    <w:rsid w:val="00E158C2"/>
    <w:rsid w:val="00E15FDA"/>
    <w:rsid w:val="00E16116"/>
    <w:rsid w:val="00E16310"/>
    <w:rsid w:val="00E16B3F"/>
    <w:rsid w:val="00E16F49"/>
    <w:rsid w:val="00E16F94"/>
    <w:rsid w:val="00E17214"/>
    <w:rsid w:val="00E172C6"/>
    <w:rsid w:val="00E176E8"/>
    <w:rsid w:val="00E202D4"/>
    <w:rsid w:val="00E204EF"/>
    <w:rsid w:val="00E20541"/>
    <w:rsid w:val="00E20616"/>
    <w:rsid w:val="00E208EC"/>
    <w:rsid w:val="00E20A05"/>
    <w:rsid w:val="00E20C46"/>
    <w:rsid w:val="00E217C3"/>
    <w:rsid w:val="00E218BA"/>
    <w:rsid w:val="00E22440"/>
    <w:rsid w:val="00E22707"/>
    <w:rsid w:val="00E22E1C"/>
    <w:rsid w:val="00E235B3"/>
    <w:rsid w:val="00E243BC"/>
    <w:rsid w:val="00E2568E"/>
    <w:rsid w:val="00E25723"/>
    <w:rsid w:val="00E25D91"/>
    <w:rsid w:val="00E26726"/>
    <w:rsid w:val="00E26C09"/>
    <w:rsid w:val="00E27497"/>
    <w:rsid w:val="00E27E73"/>
    <w:rsid w:val="00E30058"/>
    <w:rsid w:val="00E30386"/>
    <w:rsid w:val="00E30576"/>
    <w:rsid w:val="00E3057C"/>
    <w:rsid w:val="00E30E3E"/>
    <w:rsid w:val="00E312E9"/>
    <w:rsid w:val="00E316EC"/>
    <w:rsid w:val="00E31BFB"/>
    <w:rsid w:val="00E31E4A"/>
    <w:rsid w:val="00E3208D"/>
    <w:rsid w:val="00E3259B"/>
    <w:rsid w:val="00E32709"/>
    <w:rsid w:val="00E32A50"/>
    <w:rsid w:val="00E32BDF"/>
    <w:rsid w:val="00E3300E"/>
    <w:rsid w:val="00E335F5"/>
    <w:rsid w:val="00E33AAB"/>
    <w:rsid w:val="00E34413"/>
    <w:rsid w:val="00E34453"/>
    <w:rsid w:val="00E3460B"/>
    <w:rsid w:val="00E3465B"/>
    <w:rsid w:val="00E35882"/>
    <w:rsid w:val="00E36454"/>
    <w:rsid w:val="00E36E38"/>
    <w:rsid w:val="00E37167"/>
    <w:rsid w:val="00E37CF3"/>
    <w:rsid w:val="00E37EA5"/>
    <w:rsid w:val="00E37F19"/>
    <w:rsid w:val="00E409AD"/>
    <w:rsid w:val="00E40CEA"/>
    <w:rsid w:val="00E40D58"/>
    <w:rsid w:val="00E4116F"/>
    <w:rsid w:val="00E42A06"/>
    <w:rsid w:val="00E431C3"/>
    <w:rsid w:val="00E43664"/>
    <w:rsid w:val="00E437D5"/>
    <w:rsid w:val="00E439ED"/>
    <w:rsid w:val="00E43DA5"/>
    <w:rsid w:val="00E44721"/>
    <w:rsid w:val="00E44CE7"/>
    <w:rsid w:val="00E44D15"/>
    <w:rsid w:val="00E45195"/>
    <w:rsid w:val="00E457B9"/>
    <w:rsid w:val="00E45FE5"/>
    <w:rsid w:val="00E46264"/>
    <w:rsid w:val="00E467D0"/>
    <w:rsid w:val="00E4697A"/>
    <w:rsid w:val="00E46C1E"/>
    <w:rsid w:val="00E46F31"/>
    <w:rsid w:val="00E47307"/>
    <w:rsid w:val="00E47497"/>
    <w:rsid w:val="00E47A79"/>
    <w:rsid w:val="00E505FD"/>
    <w:rsid w:val="00E510F4"/>
    <w:rsid w:val="00E514F5"/>
    <w:rsid w:val="00E51721"/>
    <w:rsid w:val="00E51845"/>
    <w:rsid w:val="00E5198B"/>
    <w:rsid w:val="00E52557"/>
    <w:rsid w:val="00E5264E"/>
    <w:rsid w:val="00E52705"/>
    <w:rsid w:val="00E52725"/>
    <w:rsid w:val="00E52A97"/>
    <w:rsid w:val="00E53235"/>
    <w:rsid w:val="00E53410"/>
    <w:rsid w:val="00E5361C"/>
    <w:rsid w:val="00E53864"/>
    <w:rsid w:val="00E53A1A"/>
    <w:rsid w:val="00E54737"/>
    <w:rsid w:val="00E547FD"/>
    <w:rsid w:val="00E54850"/>
    <w:rsid w:val="00E54B43"/>
    <w:rsid w:val="00E55314"/>
    <w:rsid w:val="00E55E6F"/>
    <w:rsid w:val="00E55FD8"/>
    <w:rsid w:val="00E569AE"/>
    <w:rsid w:val="00E56B1C"/>
    <w:rsid w:val="00E572DA"/>
    <w:rsid w:val="00E57428"/>
    <w:rsid w:val="00E57DA1"/>
    <w:rsid w:val="00E60F05"/>
    <w:rsid w:val="00E6103B"/>
    <w:rsid w:val="00E61C75"/>
    <w:rsid w:val="00E61EC8"/>
    <w:rsid w:val="00E6200A"/>
    <w:rsid w:val="00E6243A"/>
    <w:rsid w:val="00E6282A"/>
    <w:rsid w:val="00E6286C"/>
    <w:rsid w:val="00E62881"/>
    <w:rsid w:val="00E628AE"/>
    <w:rsid w:val="00E62A5E"/>
    <w:rsid w:val="00E62AF5"/>
    <w:rsid w:val="00E630BC"/>
    <w:rsid w:val="00E6319E"/>
    <w:rsid w:val="00E631BE"/>
    <w:rsid w:val="00E633BF"/>
    <w:rsid w:val="00E63548"/>
    <w:rsid w:val="00E63696"/>
    <w:rsid w:val="00E63BA6"/>
    <w:rsid w:val="00E647D9"/>
    <w:rsid w:val="00E649D1"/>
    <w:rsid w:val="00E64E70"/>
    <w:rsid w:val="00E651F7"/>
    <w:rsid w:val="00E65203"/>
    <w:rsid w:val="00E65496"/>
    <w:rsid w:val="00E65628"/>
    <w:rsid w:val="00E668C5"/>
    <w:rsid w:val="00E67826"/>
    <w:rsid w:val="00E679EF"/>
    <w:rsid w:val="00E67A6E"/>
    <w:rsid w:val="00E704A4"/>
    <w:rsid w:val="00E7072B"/>
    <w:rsid w:val="00E70AD9"/>
    <w:rsid w:val="00E70AF2"/>
    <w:rsid w:val="00E70CE9"/>
    <w:rsid w:val="00E71C6B"/>
    <w:rsid w:val="00E71D16"/>
    <w:rsid w:val="00E7238D"/>
    <w:rsid w:val="00E7253B"/>
    <w:rsid w:val="00E728FC"/>
    <w:rsid w:val="00E72959"/>
    <w:rsid w:val="00E73D6D"/>
    <w:rsid w:val="00E745A7"/>
    <w:rsid w:val="00E746D8"/>
    <w:rsid w:val="00E74BA4"/>
    <w:rsid w:val="00E74BB9"/>
    <w:rsid w:val="00E74D89"/>
    <w:rsid w:val="00E74D94"/>
    <w:rsid w:val="00E754B8"/>
    <w:rsid w:val="00E75723"/>
    <w:rsid w:val="00E75948"/>
    <w:rsid w:val="00E759CC"/>
    <w:rsid w:val="00E75E81"/>
    <w:rsid w:val="00E75EDF"/>
    <w:rsid w:val="00E760E0"/>
    <w:rsid w:val="00E7693F"/>
    <w:rsid w:val="00E76B8C"/>
    <w:rsid w:val="00E76BCC"/>
    <w:rsid w:val="00E76D81"/>
    <w:rsid w:val="00E775E4"/>
    <w:rsid w:val="00E77EEC"/>
    <w:rsid w:val="00E804FE"/>
    <w:rsid w:val="00E807A2"/>
    <w:rsid w:val="00E80A4D"/>
    <w:rsid w:val="00E815B8"/>
    <w:rsid w:val="00E81ADB"/>
    <w:rsid w:val="00E81ED6"/>
    <w:rsid w:val="00E821E5"/>
    <w:rsid w:val="00E8263A"/>
    <w:rsid w:val="00E83161"/>
    <w:rsid w:val="00E83217"/>
    <w:rsid w:val="00E83470"/>
    <w:rsid w:val="00E83838"/>
    <w:rsid w:val="00E83841"/>
    <w:rsid w:val="00E84F43"/>
    <w:rsid w:val="00E850A0"/>
    <w:rsid w:val="00E85142"/>
    <w:rsid w:val="00E85408"/>
    <w:rsid w:val="00E857AC"/>
    <w:rsid w:val="00E85ECA"/>
    <w:rsid w:val="00E8675E"/>
    <w:rsid w:val="00E86D39"/>
    <w:rsid w:val="00E870CE"/>
    <w:rsid w:val="00E87217"/>
    <w:rsid w:val="00E87668"/>
    <w:rsid w:val="00E87FD5"/>
    <w:rsid w:val="00E901D2"/>
    <w:rsid w:val="00E90769"/>
    <w:rsid w:val="00E90FCC"/>
    <w:rsid w:val="00E924F4"/>
    <w:rsid w:val="00E9277A"/>
    <w:rsid w:val="00E9325F"/>
    <w:rsid w:val="00E93532"/>
    <w:rsid w:val="00E93580"/>
    <w:rsid w:val="00E9427E"/>
    <w:rsid w:val="00E94800"/>
    <w:rsid w:val="00E94A49"/>
    <w:rsid w:val="00E95A01"/>
    <w:rsid w:val="00E95C68"/>
    <w:rsid w:val="00E968B0"/>
    <w:rsid w:val="00E97202"/>
    <w:rsid w:val="00E972D8"/>
    <w:rsid w:val="00E97300"/>
    <w:rsid w:val="00E97528"/>
    <w:rsid w:val="00E97657"/>
    <w:rsid w:val="00E976D3"/>
    <w:rsid w:val="00E97D6D"/>
    <w:rsid w:val="00EA0DE6"/>
    <w:rsid w:val="00EA1192"/>
    <w:rsid w:val="00EA1249"/>
    <w:rsid w:val="00EA13B2"/>
    <w:rsid w:val="00EA1571"/>
    <w:rsid w:val="00EA15B3"/>
    <w:rsid w:val="00EA167E"/>
    <w:rsid w:val="00EA1704"/>
    <w:rsid w:val="00EA1A6B"/>
    <w:rsid w:val="00EA20BE"/>
    <w:rsid w:val="00EA20DE"/>
    <w:rsid w:val="00EA22D8"/>
    <w:rsid w:val="00EA2470"/>
    <w:rsid w:val="00EA2830"/>
    <w:rsid w:val="00EA2C02"/>
    <w:rsid w:val="00EA2F7E"/>
    <w:rsid w:val="00EA339A"/>
    <w:rsid w:val="00EA3664"/>
    <w:rsid w:val="00EA38F0"/>
    <w:rsid w:val="00EA3B3C"/>
    <w:rsid w:val="00EA3BA3"/>
    <w:rsid w:val="00EA3C4D"/>
    <w:rsid w:val="00EA47C6"/>
    <w:rsid w:val="00EA480F"/>
    <w:rsid w:val="00EA4A6B"/>
    <w:rsid w:val="00EA4E09"/>
    <w:rsid w:val="00EA55AE"/>
    <w:rsid w:val="00EA65B8"/>
    <w:rsid w:val="00EA67B3"/>
    <w:rsid w:val="00EA68B6"/>
    <w:rsid w:val="00EA70A3"/>
    <w:rsid w:val="00EA70D9"/>
    <w:rsid w:val="00EA741F"/>
    <w:rsid w:val="00EA76E7"/>
    <w:rsid w:val="00EA7749"/>
    <w:rsid w:val="00EA7961"/>
    <w:rsid w:val="00EA7C15"/>
    <w:rsid w:val="00EB008B"/>
    <w:rsid w:val="00EB04CC"/>
    <w:rsid w:val="00EB0756"/>
    <w:rsid w:val="00EB0CF4"/>
    <w:rsid w:val="00EB0E1F"/>
    <w:rsid w:val="00EB121C"/>
    <w:rsid w:val="00EB1551"/>
    <w:rsid w:val="00EB1E74"/>
    <w:rsid w:val="00EB267A"/>
    <w:rsid w:val="00EB27B3"/>
    <w:rsid w:val="00EB2DEB"/>
    <w:rsid w:val="00EB2E4E"/>
    <w:rsid w:val="00EB3095"/>
    <w:rsid w:val="00EB31B2"/>
    <w:rsid w:val="00EB3978"/>
    <w:rsid w:val="00EB3E6A"/>
    <w:rsid w:val="00EB43D6"/>
    <w:rsid w:val="00EB473D"/>
    <w:rsid w:val="00EB486C"/>
    <w:rsid w:val="00EB49D8"/>
    <w:rsid w:val="00EB4A8B"/>
    <w:rsid w:val="00EB4AE7"/>
    <w:rsid w:val="00EB4B2E"/>
    <w:rsid w:val="00EB511A"/>
    <w:rsid w:val="00EB59F6"/>
    <w:rsid w:val="00EB609A"/>
    <w:rsid w:val="00EB655C"/>
    <w:rsid w:val="00EB669B"/>
    <w:rsid w:val="00EB6760"/>
    <w:rsid w:val="00EB6FEF"/>
    <w:rsid w:val="00EB71F8"/>
    <w:rsid w:val="00EB7E0A"/>
    <w:rsid w:val="00EC050E"/>
    <w:rsid w:val="00EC1BEC"/>
    <w:rsid w:val="00EC1C79"/>
    <w:rsid w:val="00EC2752"/>
    <w:rsid w:val="00EC2860"/>
    <w:rsid w:val="00EC28A6"/>
    <w:rsid w:val="00EC2E84"/>
    <w:rsid w:val="00EC33FD"/>
    <w:rsid w:val="00EC3556"/>
    <w:rsid w:val="00EC37B8"/>
    <w:rsid w:val="00EC4230"/>
    <w:rsid w:val="00EC440A"/>
    <w:rsid w:val="00EC4454"/>
    <w:rsid w:val="00EC4559"/>
    <w:rsid w:val="00EC4B07"/>
    <w:rsid w:val="00EC4F6D"/>
    <w:rsid w:val="00EC5612"/>
    <w:rsid w:val="00EC5715"/>
    <w:rsid w:val="00EC5721"/>
    <w:rsid w:val="00EC5B70"/>
    <w:rsid w:val="00EC5D6C"/>
    <w:rsid w:val="00EC642B"/>
    <w:rsid w:val="00EC6502"/>
    <w:rsid w:val="00EC675C"/>
    <w:rsid w:val="00EC69B8"/>
    <w:rsid w:val="00EC6B79"/>
    <w:rsid w:val="00EC726B"/>
    <w:rsid w:val="00EC7826"/>
    <w:rsid w:val="00EC78A8"/>
    <w:rsid w:val="00EC7B8F"/>
    <w:rsid w:val="00EC7CF2"/>
    <w:rsid w:val="00ED001E"/>
    <w:rsid w:val="00ED003B"/>
    <w:rsid w:val="00ED00F0"/>
    <w:rsid w:val="00ED0121"/>
    <w:rsid w:val="00ED0557"/>
    <w:rsid w:val="00ED077C"/>
    <w:rsid w:val="00ED0A61"/>
    <w:rsid w:val="00ED0FCD"/>
    <w:rsid w:val="00ED1161"/>
    <w:rsid w:val="00ED1A0B"/>
    <w:rsid w:val="00ED1B60"/>
    <w:rsid w:val="00ED1CFF"/>
    <w:rsid w:val="00ED249F"/>
    <w:rsid w:val="00ED3041"/>
    <w:rsid w:val="00ED358B"/>
    <w:rsid w:val="00ED3997"/>
    <w:rsid w:val="00ED3FF7"/>
    <w:rsid w:val="00ED4117"/>
    <w:rsid w:val="00ED44E2"/>
    <w:rsid w:val="00ED4578"/>
    <w:rsid w:val="00ED4E59"/>
    <w:rsid w:val="00ED5423"/>
    <w:rsid w:val="00ED5C8B"/>
    <w:rsid w:val="00ED5FCA"/>
    <w:rsid w:val="00ED686B"/>
    <w:rsid w:val="00ED6A11"/>
    <w:rsid w:val="00ED6F6D"/>
    <w:rsid w:val="00ED717C"/>
    <w:rsid w:val="00ED71FB"/>
    <w:rsid w:val="00EE018E"/>
    <w:rsid w:val="00EE0196"/>
    <w:rsid w:val="00EE01F6"/>
    <w:rsid w:val="00EE040D"/>
    <w:rsid w:val="00EE05FF"/>
    <w:rsid w:val="00EE091C"/>
    <w:rsid w:val="00EE0ADD"/>
    <w:rsid w:val="00EE0DBD"/>
    <w:rsid w:val="00EE1267"/>
    <w:rsid w:val="00EE14C1"/>
    <w:rsid w:val="00EE1990"/>
    <w:rsid w:val="00EE1BD0"/>
    <w:rsid w:val="00EE1CB9"/>
    <w:rsid w:val="00EE2145"/>
    <w:rsid w:val="00EE21E9"/>
    <w:rsid w:val="00EE27A8"/>
    <w:rsid w:val="00EE36B6"/>
    <w:rsid w:val="00EE3AD6"/>
    <w:rsid w:val="00EE3C10"/>
    <w:rsid w:val="00EE3D9B"/>
    <w:rsid w:val="00EE3E20"/>
    <w:rsid w:val="00EE4C6C"/>
    <w:rsid w:val="00EE54A0"/>
    <w:rsid w:val="00EE5672"/>
    <w:rsid w:val="00EE5C79"/>
    <w:rsid w:val="00EE5CBE"/>
    <w:rsid w:val="00EE6920"/>
    <w:rsid w:val="00EE74EA"/>
    <w:rsid w:val="00EE7D36"/>
    <w:rsid w:val="00EF02FC"/>
    <w:rsid w:val="00EF0504"/>
    <w:rsid w:val="00EF09AE"/>
    <w:rsid w:val="00EF0A9A"/>
    <w:rsid w:val="00EF0E97"/>
    <w:rsid w:val="00EF13B8"/>
    <w:rsid w:val="00EF18E9"/>
    <w:rsid w:val="00EF1F96"/>
    <w:rsid w:val="00EF23C5"/>
    <w:rsid w:val="00EF23FF"/>
    <w:rsid w:val="00EF2A22"/>
    <w:rsid w:val="00EF32BE"/>
    <w:rsid w:val="00EF33DC"/>
    <w:rsid w:val="00EF3C46"/>
    <w:rsid w:val="00EF410D"/>
    <w:rsid w:val="00EF4183"/>
    <w:rsid w:val="00EF43C3"/>
    <w:rsid w:val="00EF441E"/>
    <w:rsid w:val="00EF5558"/>
    <w:rsid w:val="00EF5669"/>
    <w:rsid w:val="00EF5DFD"/>
    <w:rsid w:val="00EF7085"/>
    <w:rsid w:val="00EF74F8"/>
    <w:rsid w:val="00F001AA"/>
    <w:rsid w:val="00F004A7"/>
    <w:rsid w:val="00F007A0"/>
    <w:rsid w:val="00F00D41"/>
    <w:rsid w:val="00F00DD5"/>
    <w:rsid w:val="00F0121F"/>
    <w:rsid w:val="00F016CD"/>
    <w:rsid w:val="00F01A3A"/>
    <w:rsid w:val="00F01C5F"/>
    <w:rsid w:val="00F021B9"/>
    <w:rsid w:val="00F02DCA"/>
    <w:rsid w:val="00F037A7"/>
    <w:rsid w:val="00F03F3E"/>
    <w:rsid w:val="00F03F57"/>
    <w:rsid w:val="00F03F73"/>
    <w:rsid w:val="00F04151"/>
    <w:rsid w:val="00F04755"/>
    <w:rsid w:val="00F04977"/>
    <w:rsid w:val="00F04A1F"/>
    <w:rsid w:val="00F04A73"/>
    <w:rsid w:val="00F04F5D"/>
    <w:rsid w:val="00F05BB6"/>
    <w:rsid w:val="00F05E85"/>
    <w:rsid w:val="00F068F0"/>
    <w:rsid w:val="00F06AF7"/>
    <w:rsid w:val="00F06E5D"/>
    <w:rsid w:val="00F07091"/>
    <w:rsid w:val="00F0753E"/>
    <w:rsid w:val="00F07733"/>
    <w:rsid w:val="00F077B0"/>
    <w:rsid w:val="00F07AA6"/>
    <w:rsid w:val="00F10123"/>
    <w:rsid w:val="00F10EB7"/>
    <w:rsid w:val="00F112D0"/>
    <w:rsid w:val="00F11940"/>
    <w:rsid w:val="00F11D88"/>
    <w:rsid w:val="00F11DDF"/>
    <w:rsid w:val="00F12153"/>
    <w:rsid w:val="00F12478"/>
    <w:rsid w:val="00F1265E"/>
    <w:rsid w:val="00F12789"/>
    <w:rsid w:val="00F1297A"/>
    <w:rsid w:val="00F12CD1"/>
    <w:rsid w:val="00F12D77"/>
    <w:rsid w:val="00F12E7D"/>
    <w:rsid w:val="00F12FD1"/>
    <w:rsid w:val="00F13196"/>
    <w:rsid w:val="00F145AD"/>
    <w:rsid w:val="00F14B20"/>
    <w:rsid w:val="00F14EE5"/>
    <w:rsid w:val="00F15BBB"/>
    <w:rsid w:val="00F15EFC"/>
    <w:rsid w:val="00F175B1"/>
    <w:rsid w:val="00F202E4"/>
    <w:rsid w:val="00F20763"/>
    <w:rsid w:val="00F215A3"/>
    <w:rsid w:val="00F21A13"/>
    <w:rsid w:val="00F21B6A"/>
    <w:rsid w:val="00F22724"/>
    <w:rsid w:val="00F22C76"/>
    <w:rsid w:val="00F22F23"/>
    <w:rsid w:val="00F23955"/>
    <w:rsid w:val="00F23CF0"/>
    <w:rsid w:val="00F23D96"/>
    <w:rsid w:val="00F23E84"/>
    <w:rsid w:val="00F243D4"/>
    <w:rsid w:val="00F24861"/>
    <w:rsid w:val="00F24ADB"/>
    <w:rsid w:val="00F24B09"/>
    <w:rsid w:val="00F24C03"/>
    <w:rsid w:val="00F24CC2"/>
    <w:rsid w:val="00F259ED"/>
    <w:rsid w:val="00F26270"/>
    <w:rsid w:val="00F262B5"/>
    <w:rsid w:val="00F262C9"/>
    <w:rsid w:val="00F2635B"/>
    <w:rsid w:val="00F26DCB"/>
    <w:rsid w:val="00F27E9D"/>
    <w:rsid w:val="00F27FB7"/>
    <w:rsid w:val="00F303E3"/>
    <w:rsid w:val="00F303FC"/>
    <w:rsid w:val="00F307FE"/>
    <w:rsid w:val="00F30981"/>
    <w:rsid w:val="00F31282"/>
    <w:rsid w:val="00F31C95"/>
    <w:rsid w:val="00F31D11"/>
    <w:rsid w:val="00F31D33"/>
    <w:rsid w:val="00F31F7C"/>
    <w:rsid w:val="00F328B8"/>
    <w:rsid w:val="00F3293E"/>
    <w:rsid w:val="00F32B08"/>
    <w:rsid w:val="00F33552"/>
    <w:rsid w:val="00F3388D"/>
    <w:rsid w:val="00F338C7"/>
    <w:rsid w:val="00F33C13"/>
    <w:rsid w:val="00F33D79"/>
    <w:rsid w:val="00F342DD"/>
    <w:rsid w:val="00F34D48"/>
    <w:rsid w:val="00F350B8"/>
    <w:rsid w:val="00F351F9"/>
    <w:rsid w:val="00F35893"/>
    <w:rsid w:val="00F35919"/>
    <w:rsid w:val="00F35A1B"/>
    <w:rsid w:val="00F35C04"/>
    <w:rsid w:val="00F361AA"/>
    <w:rsid w:val="00F37FF8"/>
    <w:rsid w:val="00F4013E"/>
    <w:rsid w:val="00F4049A"/>
    <w:rsid w:val="00F404DC"/>
    <w:rsid w:val="00F405E1"/>
    <w:rsid w:val="00F40FDC"/>
    <w:rsid w:val="00F419E2"/>
    <w:rsid w:val="00F41BAF"/>
    <w:rsid w:val="00F424F9"/>
    <w:rsid w:val="00F429A8"/>
    <w:rsid w:val="00F42D51"/>
    <w:rsid w:val="00F43350"/>
    <w:rsid w:val="00F4361B"/>
    <w:rsid w:val="00F43632"/>
    <w:rsid w:val="00F43B0F"/>
    <w:rsid w:val="00F4438C"/>
    <w:rsid w:val="00F44B3D"/>
    <w:rsid w:val="00F44CA0"/>
    <w:rsid w:val="00F4541B"/>
    <w:rsid w:val="00F456F0"/>
    <w:rsid w:val="00F45CE2"/>
    <w:rsid w:val="00F46D9A"/>
    <w:rsid w:val="00F46F7E"/>
    <w:rsid w:val="00F4709D"/>
    <w:rsid w:val="00F472BC"/>
    <w:rsid w:val="00F47806"/>
    <w:rsid w:val="00F47820"/>
    <w:rsid w:val="00F47E6C"/>
    <w:rsid w:val="00F47F85"/>
    <w:rsid w:val="00F50B5A"/>
    <w:rsid w:val="00F50B82"/>
    <w:rsid w:val="00F51B42"/>
    <w:rsid w:val="00F52397"/>
    <w:rsid w:val="00F52A7E"/>
    <w:rsid w:val="00F530A0"/>
    <w:rsid w:val="00F536A2"/>
    <w:rsid w:val="00F53A54"/>
    <w:rsid w:val="00F53A60"/>
    <w:rsid w:val="00F53A7C"/>
    <w:rsid w:val="00F53CDB"/>
    <w:rsid w:val="00F53E9A"/>
    <w:rsid w:val="00F544FC"/>
    <w:rsid w:val="00F54599"/>
    <w:rsid w:val="00F545B0"/>
    <w:rsid w:val="00F5508B"/>
    <w:rsid w:val="00F55964"/>
    <w:rsid w:val="00F565C2"/>
    <w:rsid w:val="00F5679E"/>
    <w:rsid w:val="00F5680A"/>
    <w:rsid w:val="00F56834"/>
    <w:rsid w:val="00F568A5"/>
    <w:rsid w:val="00F56E88"/>
    <w:rsid w:val="00F57152"/>
    <w:rsid w:val="00F57935"/>
    <w:rsid w:val="00F5799D"/>
    <w:rsid w:val="00F57EEA"/>
    <w:rsid w:val="00F6009C"/>
    <w:rsid w:val="00F6090F"/>
    <w:rsid w:val="00F60B92"/>
    <w:rsid w:val="00F60D40"/>
    <w:rsid w:val="00F610F6"/>
    <w:rsid w:val="00F6127C"/>
    <w:rsid w:val="00F61577"/>
    <w:rsid w:val="00F619A4"/>
    <w:rsid w:val="00F61CD5"/>
    <w:rsid w:val="00F61FE2"/>
    <w:rsid w:val="00F622BE"/>
    <w:rsid w:val="00F63028"/>
    <w:rsid w:val="00F63251"/>
    <w:rsid w:val="00F632A6"/>
    <w:rsid w:val="00F63317"/>
    <w:rsid w:val="00F63847"/>
    <w:rsid w:val="00F63B89"/>
    <w:rsid w:val="00F63C40"/>
    <w:rsid w:val="00F63EFC"/>
    <w:rsid w:val="00F64643"/>
    <w:rsid w:val="00F646A7"/>
    <w:rsid w:val="00F65249"/>
    <w:rsid w:val="00F6559E"/>
    <w:rsid w:val="00F65689"/>
    <w:rsid w:val="00F66551"/>
    <w:rsid w:val="00F6656A"/>
    <w:rsid w:val="00F66B28"/>
    <w:rsid w:val="00F66B59"/>
    <w:rsid w:val="00F67DE2"/>
    <w:rsid w:val="00F67FFD"/>
    <w:rsid w:val="00F7053F"/>
    <w:rsid w:val="00F70B8E"/>
    <w:rsid w:val="00F71A53"/>
    <w:rsid w:val="00F71CA2"/>
    <w:rsid w:val="00F71F38"/>
    <w:rsid w:val="00F72028"/>
    <w:rsid w:val="00F7282B"/>
    <w:rsid w:val="00F72CDB"/>
    <w:rsid w:val="00F7392B"/>
    <w:rsid w:val="00F73A07"/>
    <w:rsid w:val="00F73F48"/>
    <w:rsid w:val="00F743BF"/>
    <w:rsid w:val="00F74947"/>
    <w:rsid w:val="00F74951"/>
    <w:rsid w:val="00F74DD6"/>
    <w:rsid w:val="00F74FF4"/>
    <w:rsid w:val="00F75C76"/>
    <w:rsid w:val="00F763E1"/>
    <w:rsid w:val="00F76644"/>
    <w:rsid w:val="00F76712"/>
    <w:rsid w:val="00F7740E"/>
    <w:rsid w:val="00F77631"/>
    <w:rsid w:val="00F77801"/>
    <w:rsid w:val="00F77841"/>
    <w:rsid w:val="00F77F22"/>
    <w:rsid w:val="00F77F85"/>
    <w:rsid w:val="00F800E0"/>
    <w:rsid w:val="00F80919"/>
    <w:rsid w:val="00F80998"/>
    <w:rsid w:val="00F8185F"/>
    <w:rsid w:val="00F821DE"/>
    <w:rsid w:val="00F8260E"/>
    <w:rsid w:val="00F8275F"/>
    <w:rsid w:val="00F82BAB"/>
    <w:rsid w:val="00F82CBD"/>
    <w:rsid w:val="00F82E01"/>
    <w:rsid w:val="00F83681"/>
    <w:rsid w:val="00F839D4"/>
    <w:rsid w:val="00F83DB6"/>
    <w:rsid w:val="00F84570"/>
    <w:rsid w:val="00F846EE"/>
    <w:rsid w:val="00F84BFD"/>
    <w:rsid w:val="00F851B3"/>
    <w:rsid w:val="00F851BF"/>
    <w:rsid w:val="00F85254"/>
    <w:rsid w:val="00F859D4"/>
    <w:rsid w:val="00F85C9B"/>
    <w:rsid w:val="00F86898"/>
    <w:rsid w:val="00F86B9F"/>
    <w:rsid w:val="00F86FAD"/>
    <w:rsid w:val="00F87887"/>
    <w:rsid w:val="00F909DD"/>
    <w:rsid w:val="00F90C36"/>
    <w:rsid w:val="00F90FBF"/>
    <w:rsid w:val="00F9116A"/>
    <w:rsid w:val="00F91335"/>
    <w:rsid w:val="00F91BAB"/>
    <w:rsid w:val="00F91C59"/>
    <w:rsid w:val="00F91E0B"/>
    <w:rsid w:val="00F9332D"/>
    <w:rsid w:val="00F93EE4"/>
    <w:rsid w:val="00F94596"/>
    <w:rsid w:val="00F947C4"/>
    <w:rsid w:val="00F94879"/>
    <w:rsid w:val="00F94EBA"/>
    <w:rsid w:val="00F94F39"/>
    <w:rsid w:val="00F951CA"/>
    <w:rsid w:val="00F952B2"/>
    <w:rsid w:val="00F95542"/>
    <w:rsid w:val="00F958A6"/>
    <w:rsid w:val="00F95FD1"/>
    <w:rsid w:val="00F966FE"/>
    <w:rsid w:val="00F96776"/>
    <w:rsid w:val="00F967EB"/>
    <w:rsid w:val="00F96E39"/>
    <w:rsid w:val="00F97865"/>
    <w:rsid w:val="00F97885"/>
    <w:rsid w:val="00FA06B1"/>
    <w:rsid w:val="00FA084B"/>
    <w:rsid w:val="00FA108E"/>
    <w:rsid w:val="00FA160E"/>
    <w:rsid w:val="00FA1F54"/>
    <w:rsid w:val="00FA25F2"/>
    <w:rsid w:val="00FA2A16"/>
    <w:rsid w:val="00FA2A81"/>
    <w:rsid w:val="00FA2DFA"/>
    <w:rsid w:val="00FA333C"/>
    <w:rsid w:val="00FA34BE"/>
    <w:rsid w:val="00FA3FB0"/>
    <w:rsid w:val="00FA45FB"/>
    <w:rsid w:val="00FA4819"/>
    <w:rsid w:val="00FA4DE3"/>
    <w:rsid w:val="00FA4DF0"/>
    <w:rsid w:val="00FA4E6D"/>
    <w:rsid w:val="00FA4EC0"/>
    <w:rsid w:val="00FA57B6"/>
    <w:rsid w:val="00FA5E0F"/>
    <w:rsid w:val="00FA5EBE"/>
    <w:rsid w:val="00FA66B9"/>
    <w:rsid w:val="00FA6944"/>
    <w:rsid w:val="00FA6A4A"/>
    <w:rsid w:val="00FA6B7B"/>
    <w:rsid w:val="00FA6C4A"/>
    <w:rsid w:val="00FA6D55"/>
    <w:rsid w:val="00FA6F15"/>
    <w:rsid w:val="00FA728C"/>
    <w:rsid w:val="00FA76E2"/>
    <w:rsid w:val="00FA79A2"/>
    <w:rsid w:val="00FA7F82"/>
    <w:rsid w:val="00FB02B1"/>
    <w:rsid w:val="00FB040A"/>
    <w:rsid w:val="00FB04C8"/>
    <w:rsid w:val="00FB08A9"/>
    <w:rsid w:val="00FB0B59"/>
    <w:rsid w:val="00FB0DBD"/>
    <w:rsid w:val="00FB1227"/>
    <w:rsid w:val="00FB172E"/>
    <w:rsid w:val="00FB17E5"/>
    <w:rsid w:val="00FB1FC8"/>
    <w:rsid w:val="00FB20AA"/>
    <w:rsid w:val="00FB222A"/>
    <w:rsid w:val="00FB2548"/>
    <w:rsid w:val="00FB2D35"/>
    <w:rsid w:val="00FB2D9A"/>
    <w:rsid w:val="00FB380B"/>
    <w:rsid w:val="00FB38A2"/>
    <w:rsid w:val="00FB3EC4"/>
    <w:rsid w:val="00FB43FC"/>
    <w:rsid w:val="00FB45B3"/>
    <w:rsid w:val="00FB48C9"/>
    <w:rsid w:val="00FB49B0"/>
    <w:rsid w:val="00FB4C70"/>
    <w:rsid w:val="00FB52AB"/>
    <w:rsid w:val="00FB53F9"/>
    <w:rsid w:val="00FB564C"/>
    <w:rsid w:val="00FB5D49"/>
    <w:rsid w:val="00FB6410"/>
    <w:rsid w:val="00FB6A1B"/>
    <w:rsid w:val="00FB6DD7"/>
    <w:rsid w:val="00FB765F"/>
    <w:rsid w:val="00FC03C9"/>
    <w:rsid w:val="00FC0444"/>
    <w:rsid w:val="00FC0A14"/>
    <w:rsid w:val="00FC1897"/>
    <w:rsid w:val="00FC1DEC"/>
    <w:rsid w:val="00FC2526"/>
    <w:rsid w:val="00FC2586"/>
    <w:rsid w:val="00FC291A"/>
    <w:rsid w:val="00FC2B7B"/>
    <w:rsid w:val="00FC2E6D"/>
    <w:rsid w:val="00FC3077"/>
    <w:rsid w:val="00FC30E0"/>
    <w:rsid w:val="00FC3362"/>
    <w:rsid w:val="00FC3572"/>
    <w:rsid w:val="00FC395A"/>
    <w:rsid w:val="00FC3CD8"/>
    <w:rsid w:val="00FC448D"/>
    <w:rsid w:val="00FC4708"/>
    <w:rsid w:val="00FC470D"/>
    <w:rsid w:val="00FC499C"/>
    <w:rsid w:val="00FC4B95"/>
    <w:rsid w:val="00FC4C90"/>
    <w:rsid w:val="00FC4D83"/>
    <w:rsid w:val="00FC5AA4"/>
    <w:rsid w:val="00FC5C2E"/>
    <w:rsid w:val="00FC61E3"/>
    <w:rsid w:val="00FC65E6"/>
    <w:rsid w:val="00FC65FD"/>
    <w:rsid w:val="00FC6C6E"/>
    <w:rsid w:val="00FC6D44"/>
    <w:rsid w:val="00FC7104"/>
    <w:rsid w:val="00FC7948"/>
    <w:rsid w:val="00FC7F61"/>
    <w:rsid w:val="00FD091F"/>
    <w:rsid w:val="00FD0E77"/>
    <w:rsid w:val="00FD0F11"/>
    <w:rsid w:val="00FD120F"/>
    <w:rsid w:val="00FD13D3"/>
    <w:rsid w:val="00FD17F6"/>
    <w:rsid w:val="00FD1FAB"/>
    <w:rsid w:val="00FD2531"/>
    <w:rsid w:val="00FD2A33"/>
    <w:rsid w:val="00FD3C91"/>
    <w:rsid w:val="00FD3DA6"/>
    <w:rsid w:val="00FD402E"/>
    <w:rsid w:val="00FD4F38"/>
    <w:rsid w:val="00FD50F8"/>
    <w:rsid w:val="00FD5C57"/>
    <w:rsid w:val="00FD624E"/>
    <w:rsid w:val="00FD67B8"/>
    <w:rsid w:val="00FD6880"/>
    <w:rsid w:val="00FD6FF7"/>
    <w:rsid w:val="00FD70AB"/>
    <w:rsid w:val="00FD7251"/>
    <w:rsid w:val="00FD7717"/>
    <w:rsid w:val="00FD778F"/>
    <w:rsid w:val="00FD7912"/>
    <w:rsid w:val="00FD7A27"/>
    <w:rsid w:val="00FD7CFD"/>
    <w:rsid w:val="00FD7F32"/>
    <w:rsid w:val="00FE021C"/>
    <w:rsid w:val="00FE09D9"/>
    <w:rsid w:val="00FE0E32"/>
    <w:rsid w:val="00FE14F9"/>
    <w:rsid w:val="00FE1A0A"/>
    <w:rsid w:val="00FE1BF9"/>
    <w:rsid w:val="00FE254A"/>
    <w:rsid w:val="00FE26A3"/>
    <w:rsid w:val="00FE278F"/>
    <w:rsid w:val="00FE2879"/>
    <w:rsid w:val="00FE2D81"/>
    <w:rsid w:val="00FE2E8A"/>
    <w:rsid w:val="00FE30E1"/>
    <w:rsid w:val="00FE3518"/>
    <w:rsid w:val="00FE3720"/>
    <w:rsid w:val="00FE3AEE"/>
    <w:rsid w:val="00FE46BE"/>
    <w:rsid w:val="00FE4715"/>
    <w:rsid w:val="00FE497D"/>
    <w:rsid w:val="00FE58BB"/>
    <w:rsid w:val="00FE5F91"/>
    <w:rsid w:val="00FF011B"/>
    <w:rsid w:val="00FF064D"/>
    <w:rsid w:val="00FF0A1B"/>
    <w:rsid w:val="00FF0F45"/>
    <w:rsid w:val="00FF112A"/>
    <w:rsid w:val="00FF1AD9"/>
    <w:rsid w:val="00FF1B43"/>
    <w:rsid w:val="00FF1EF1"/>
    <w:rsid w:val="00FF2264"/>
    <w:rsid w:val="00FF2CBE"/>
    <w:rsid w:val="00FF2CF4"/>
    <w:rsid w:val="00FF30A8"/>
    <w:rsid w:val="00FF3427"/>
    <w:rsid w:val="00FF40FD"/>
    <w:rsid w:val="00FF491B"/>
    <w:rsid w:val="00FF4C43"/>
    <w:rsid w:val="00FF4C93"/>
    <w:rsid w:val="00FF4D3F"/>
    <w:rsid w:val="00FF5670"/>
    <w:rsid w:val="00FF574B"/>
    <w:rsid w:val="00FF5957"/>
    <w:rsid w:val="00FF5A29"/>
    <w:rsid w:val="00FF5B32"/>
    <w:rsid w:val="00FF66D0"/>
    <w:rsid w:val="00FF6ADC"/>
    <w:rsid w:val="00FF6CAB"/>
    <w:rsid w:val="00FF73CC"/>
    <w:rsid w:val="00FF74AC"/>
    <w:rsid w:val="00FF767D"/>
    <w:rsid w:val="00FF7D71"/>
    <w:rsid w:val="01665F91"/>
    <w:rsid w:val="0AC60F62"/>
    <w:rsid w:val="0C193B9D"/>
    <w:rsid w:val="0CA6D9CE"/>
    <w:rsid w:val="0D721CC2"/>
    <w:rsid w:val="0E9C0EE5"/>
    <w:rsid w:val="0F0F0CFA"/>
    <w:rsid w:val="0FA414B0"/>
    <w:rsid w:val="10D776A3"/>
    <w:rsid w:val="11507B3A"/>
    <w:rsid w:val="13B0BCA9"/>
    <w:rsid w:val="145DE77C"/>
    <w:rsid w:val="15A34684"/>
    <w:rsid w:val="183E378F"/>
    <w:rsid w:val="1B243662"/>
    <w:rsid w:val="1B4BC767"/>
    <w:rsid w:val="1B645BAE"/>
    <w:rsid w:val="1DAA6A84"/>
    <w:rsid w:val="1DAEADA1"/>
    <w:rsid w:val="1EA1D550"/>
    <w:rsid w:val="22367AA8"/>
    <w:rsid w:val="22801A59"/>
    <w:rsid w:val="24AE88FA"/>
    <w:rsid w:val="24CA8616"/>
    <w:rsid w:val="24CE0F63"/>
    <w:rsid w:val="252CE62F"/>
    <w:rsid w:val="2589F489"/>
    <w:rsid w:val="272DA35B"/>
    <w:rsid w:val="2823ECDF"/>
    <w:rsid w:val="285C4FC7"/>
    <w:rsid w:val="297258EE"/>
    <w:rsid w:val="298D47B0"/>
    <w:rsid w:val="2A22118D"/>
    <w:rsid w:val="2B54A32C"/>
    <w:rsid w:val="2E1C60A0"/>
    <w:rsid w:val="2E5D34BF"/>
    <w:rsid w:val="2EA8705B"/>
    <w:rsid w:val="2EFDF833"/>
    <w:rsid w:val="2F4926CE"/>
    <w:rsid w:val="30F96EE6"/>
    <w:rsid w:val="31635ACC"/>
    <w:rsid w:val="32928479"/>
    <w:rsid w:val="33DA00AE"/>
    <w:rsid w:val="33FE4626"/>
    <w:rsid w:val="34089F33"/>
    <w:rsid w:val="3480888C"/>
    <w:rsid w:val="34A0DA8E"/>
    <w:rsid w:val="34E54C13"/>
    <w:rsid w:val="37FCE315"/>
    <w:rsid w:val="382A4557"/>
    <w:rsid w:val="3920DDB3"/>
    <w:rsid w:val="39394952"/>
    <w:rsid w:val="39E37600"/>
    <w:rsid w:val="3B4E85B8"/>
    <w:rsid w:val="3D8B3856"/>
    <w:rsid w:val="3E355F4B"/>
    <w:rsid w:val="3EB78277"/>
    <w:rsid w:val="3FAA415E"/>
    <w:rsid w:val="40B5C76A"/>
    <w:rsid w:val="40C81A34"/>
    <w:rsid w:val="412EB440"/>
    <w:rsid w:val="4143736D"/>
    <w:rsid w:val="43540EFB"/>
    <w:rsid w:val="43B52A9B"/>
    <w:rsid w:val="452CD26D"/>
    <w:rsid w:val="4878DEC0"/>
    <w:rsid w:val="49091C8C"/>
    <w:rsid w:val="49E5FC92"/>
    <w:rsid w:val="4B35025C"/>
    <w:rsid w:val="4D085A28"/>
    <w:rsid w:val="4EE40887"/>
    <w:rsid w:val="4EFB2336"/>
    <w:rsid w:val="4F6DDE4F"/>
    <w:rsid w:val="55B52702"/>
    <w:rsid w:val="562B1D4D"/>
    <w:rsid w:val="56BF0976"/>
    <w:rsid w:val="57DFB0C5"/>
    <w:rsid w:val="587BB088"/>
    <w:rsid w:val="59BB0B3C"/>
    <w:rsid w:val="5BB343E9"/>
    <w:rsid w:val="5D63F46F"/>
    <w:rsid w:val="5DBE2FF0"/>
    <w:rsid w:val="5DF81B79"/>
    <w:rsid w:val="60A04D12"/>
    <w:rsid w:val="62663E04"/>
    <w:rsid w:val="62A75EC8"/>
    <w:rsid w:val="6415B6D5"/>
    <w:rsid w:val="67E1C605"/>
    <w:rsid w:val="67F5A743"/>
    <w:rsid w:val="6A59D563"/>
    <w:rsid w:val="6B370752"/>
    <w:rsid w:val="6D003B17"/>
    <w:rsid w:val="7156B690"/>
    <w:rsid w:val="71944534"/>
    <w:rsid w:val="71D52BCF"/>
    <w:rsid w:val="72603101"/>
    <w:rsid w:val="744D583E"/>
    <w:rsid w:val="74850012"/>
    <w:rsid w:val="74DED838"/>
    <w:rsid w:val="75717CEA"/>
    <w:rsid w:val="7642EF3C"/>
    <w:rsid w:val="78690B82"/>
    <w:rsid w:val="79916E46"/>
    <w:rsid w:val="7B580F73"/>
    <w:rsid w:val="7BC7C1C8"/>
    <w:rsid w:val="7C2D0501"/>
    <w:rsid w:val="7C89FA91"/>
    <w:rsid w:val="7CC8573F"/>
    <w:rsid w:val="7D3D7B1A"/>
    <w:rsid w:val="7D4BC905"/>
    <w:rsid w:val="7D88E7E6"/>
    <w:rsid w:val="7E3C544E"/>
    <w:rsid w:val="7E491C9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1E07D6E"/>
  <w15:docId w15:val="{CB340196-CD28-43B4-A48C-E593EC5D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39F4"/>
    <w:pPr>
      <w:spacing w:after="240"/>
    </w:pPr>
    <w:rPr>
      <w:sz w:val="24"/>
      <w:szCs w:val="24"/>
    </w:rPr>
  </w:style>
  <w:style w:type="paragraph" w:styleId="Heading1">
    <w:name w:val="heading 1"/>
    <w:basedOn w:val="Normal"/>
    <w:next w:val="Normal"/>
    <w:qFormat/>
    <w:rsid w:val="00F23CF0"/>
    <w:pPr>
      <w:keepNext/>
      <w:numPr>
        <w:numId w:val="2"/>
      </w:numPr>
      <w:outlineLvl w:val="0"/>
    </w:pPr>
    <w:rPr>
      <w:b/>
      <w:u w:val="single"/>
    </w:rPr>
  </w:style>
  <w:style w:type="paragraph" w:styleId="Heading2">
    <w:name w:val="heading 2"/>
    <w:basedOn w:val="Normal"/>
    <w:next w:val="Normal"/>
    <w:link w:val="Heading2Char"/>
    <w:unhideWhenUsed/>
    <w:qFormat/>
    <w:rsid w:val="00DC2385"/>
    <w:pPr>
      <w:keepNext/>
      <w:keepLines/>
      <w:spacing w:before="40"/>
      <w:outlineLvl w:val="1"/>
    </w:pPr>
    <w:rPr>
      <w:rFonts w:eastAsiaTheme="majorEastAsia" w:cstheme="majorBidi"/>
      <w:b/>
      <w:szCs w:val="26"/>
    </w:rPr>
  </w:style>
  <w:style w:type="paragraph" w:styleId="Heading3">
    <w:name w:val="heading 3"/>
    <w:basedOn w:val="Normal"/>
    <w:next w:val="Normal"/>
    <w:link w:val="Heading3Char"/>
    <w:semiHidden/>
    <w:unhideWhenUsed/>
    <w:qFormat/>
    <w:rsid w:val="00A9417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Header3"/>
    <w:next w:val="Normal"/>
    <w:link w:val="Heading4Char"/>
    <w:unhideWhenUsed/>
    <w:qFormat/>
    <w:rsid w:val="00C270E5"/>
    <w:pPr>
      <w:outlineLvl w:val="3"/>
    </w:pPr>
    <w:rPr>
      <w:i w:val="0"/>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rsid w:val="00B500D7"/>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CommentText">
    <w:name w:val="annotation text"/>
    <w:aliases w:val="Times New Roman,t"/>
    <w:basedOn w:val="Normal"/>
    <w:link w:val="CommentTextChar"/>
    <w:uiPriority w:val="99"/>
    <w:qFormat/>
    <w:rPr>
      <w:sz w:val="20"/>
      <w:szCs w:val="20"/>
    </w:rPr>
  </w:style>
  <w:style w:type="paragraph" w:styleId="BalloonText">
    <w:name w:val="Balloon Text"/>
    <w:basedOn w:val="Normal"/>
    <w:link w:val="BalloonTextChar"/>
    <w:uiPriority w:val="99"/>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link w:val="CommentSubjectChar"/>
    <w:uiPriority w:val="99"/>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uiPriority w:val="3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aliases w:val="Times New Roman Char,t Char"/>
    <w:link w:val="CommentText"/>
    <w:uiPriority w:val="99"/>
    <w:rsid w:val="007E47F8"/>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qFormat/>
    <w:rsid w:val="00915766"/>
    <w:rPr>
      <w:sz w:val="20"/>
      <w:szCs w:val="20"/>
    </w:rPr>
  </w:style>
  <w:style w:type="character" w:customStyle="1" w:styleId="FootnoteTextChar">
    <w:name w:val="Footnote Text Char"/>
    <w:aliases w:val=" Char Char,Char Char,Char18 Char,F1 Char,FT Char,Footnote Text - NEW Char,Footnote Text AG Char,Footnote Text Char Char Char,Footnote Text Char Char Char Char Char,Footnote Text Char1 Char Char Char,Footnote ak Char,Footnotes Char"/>
    <w:basedOn w:val="DefaultParagraphFont"/>
    <w:link w:val="FootnoteText"/>
    <w:uiPriority w:val="99"/>
    <w:rsid w:val="00915766"/>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 w:type="paragraph" w:customStyle="1" w:styleId="Default">
    <w:name w:val="Default"/>
    <w:rsid w:val="00402B7B"/>
    <w:pPr>
      <w:autoSpaceDE w:val="0"/>
      <w:autoSpaceDN w:val="0"/>
      <w:adjustRightInd w:val="0"/>
    </w:pPr>
    <w:rPr>
      <w:rFonts w:eastAsiaTheme="minorHAnsi"/>
      <w:color w:val="000000"/>
      <w:sz w:val="24"/>
      <w:szCs w:val="24"/>
    </w:rPr>
  </w:style>
  <w:style w:type="character" w:customStyle="1" w:styleId="UnresolvedMention2">
    <w:name w:val="Unresolved Mention2"/>
    <w:basedOn w:val="DefaultParagraphFont"/>
    <w:uiPriority w:val="99"/>
    <w:semiHidden/>
    <w:unhideWhenUsed/>
    <w:rsid w:val="00384789"/>
    <w:rPr>
      <w:color w:val="808080"/>
      <w:shd w:val="clear" w:color="auto" w:fill="E6E6E6"/>
    </w:rPr>
  </w:style>
  <w:style w:type="paragraph" w:customStyle="1" w:styleId="SSAH1">
    <w:name w:val="SSA_H1"/>
    <w:basedOn w:val="Normal"/>
    <w:next w:val="Normal"/>
    <w:qFormat/>
    <w:rsid w:val="005C38D0"/>
    <w:pPr>
      <w:outlineLvl w:val="0"/>
    </w:pPr>
    <w:rPr>
      <w:rFonts w:asciiTheme="majorHAnsi" w:eastAsiaTheme="minorHAnsi" w:hAnsiTheme="majorHAnsi" w:cstheme="minorBidi"/>
      <w:szCs w:val="22"/>
      <w:u w:val="single"/>
    </w:rPr>
  </w:style>
  <w:style w:type="paragraph" w:styleId="NoSpacing">
    <w:name w:val="No Spacing"/>
    <w:uiPriority w:val="1"/>
    <w:qFormat/>
    <w:rsid w:val="005C38D0"/>
    <w:rPr>
      <w:rFonts w:asciiTheme="minorHAnsi" w:eastAsiaTheme="minorHAnsi" w:hAnsiTheme="minorHAnsi" w:cstheme="minorBidi"/>
      <w:sz w:val="22"/>
      <w:szCs w:val="22"/>
    </w:rPr>
  </w:style>
  <w:style w:type="character" w:customStyle="1" w:styleId="UnresolvedMention3">
    <w:name w:val="Unresolved Mention3"/>
    <w:basedOn w:val="DefaultParagraphFont"/>
    <w:uiPriority w:val="99"/>
    <w:semiHidden/>
    <w:unhideWhenUsed/>
    <w:rsid w:val="00837E5F"/>
    <w:rPr>
      <w:color w:val="605E5C"/>
      <w:shd w:val="clear" w:color="auto" w:fill="E1DFDD"/>
    </w:rPr>
  </w:style>
  <w:style w:type="paragraph" w:styleId="Title">
    <w:name w:val="Title"/>
    <w:basedOn w:val="Normal"/>
    <w:next w:val="Normal"/>
    <w:link w:val="TitleChar"/>
    <w:qFormat/>
    <w:rsid w:val="00C32E22"/>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rsid w:val="00C32E22"/>
    <w:rPr>
      <w:rFonts w:eastAsiaTheme="majorEastAsia" w:cstheme="majorBidi"/>
      <w:b/>
      <w:spacing w:val="-10"/>
      <w:kern w:val="28"/>
      <w:sz w:val="28"/>
      <w:szCs w:val="56"/>
    </w:rPr>
  </w:style>
  <w:style w:type="character" w:customStyle="1" w:styleId="Heading2Char">
    <w:name w:val="Heading 2 Char"/>
    <w:basedOn w:val="DefaultParagraphFont"/>
    <w:link w:val="Heading2"/>
    <w:rsid w:val="00DC2385"/>
    <w:rPr>
      <w:rFonts w:eastAsiaTheme="majorEastAsia" w:cstheme="majorBidi"/>
      <w:b/>
      <w:sz w:val="24"/>
      <w:szCs w:val="26"/>
    </w:rPr>
  </w:style>
  <w:style w:type="paragraph" w:customStyle="1" w:styleId="Header3">
    <w:name w:val="Header 3"/>
    <w:basedOn w:val="Heading3"/>
    <w:qFormat/>
    <w:rsid w:val="00446182"/>
    <w:rPr>
      <w:rFonts w:ascii="Times New Roman" w:hAnsi="Times New Roman"/>
      <w:i/>
      <w:color w:val="auto"/>
    </w:rPr>
  </w:style>
  <w:style w:type="character" w:styleId="Emphasis">
    <w:name w:val="Emphasis"/>
    <w:basedOn w:val="DefaultParagraphFont"/>
    <w:uiPriority w:val="20"/>
    <w:qFormat/>
    <w:rsid w:val="00FE278F"/>
    <w:rPr>
      <w:b/>
      <w:i/>
      <w:iCs/>
    </w:rPr>
  </w:style>
  <w:style w:type="character" w:customStyle="1" w:styleId="Heading4Char">
    <w:name w:val="Heading 4 Char"/>
    <w:basedOn w:val="DefaultParagraphFont"/>
    <w:link w:val="Heading4"/>
    <w:rsid w:val="00C270E5"/>
    <w:rPr>
      <w:rFonts w:eastAsiaTheme="majorEastAsia" w:cstheme="majorBidi"/>
      <w:iCs/>
      <w:sz w:val="24"/>
      <w:szCs w:val="24"/>
      <w:u w:val="single"/>
    </w:rPr>
  </w:style>
  <w:style w:type="character" w:customStyle="1" w:styleId="Heading3Char">
    <w:name w:val="Heading 3 Char"/>
    <w:basedOn w:val="DefaultParagraphFont"/>
    <w:link w:val="Heading3"/>
    <w:semiHidden/>
    <w:rsid w:val="00A94171"/>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026F5B"/>
  </w:style>
  <w:style w:type="character" w:styleId="UnresolvedMention">
    <w:name w:val="Unresolved Mention"/>
    <w:basedOn w:val="DefaultParagraphFont"/>
    <w:uiPriority w:val="99"/>
    <w:unhideWhenUsed/>
    <w:rsid w:val="00A76AD5"/>
    <w:rPr>
      <w:color w:val="605E5C"/>
      <w:shd w:val="clear" w:color="auto" w:fill="E1DFDD"/>
    </w:rPr>
  </w:style>
  <w:style w:type="paragraph" w:customStyle="1" w:styleId="paragraph">
    <w:name w:val="paragraph"/>
    <w:basedOn w:val="Normal"/>
    <w:rsid w:val="00C6196C"/>
    <w:pPr>
      <w:spacing w:before="100" w:beforeAutospacing="1" w:after="100" w:afterAutospacing="1"/>
    </w:pPr>
  </w:style>
  <w:style w:type="character" w:customStyle="1" w:styleId="contextualspellingandgrammarerror">
    <w:name w:val="contextualspellingandgrammarerror"/>
    <w:basedOn w:val="DefaultParagraphFont"/>
    <w:rsid w:val="00C6196C"/>
  </w:style>
  <w:style w:type="character" w:customStyle="1" w:styleId="findhit">
    <w:name w:val="findhit"/>
    <w:basedOn w:val="DefaultParagraphFont"/>
    <w:rsid w:val="00C6196C"/>
  </w:style>
  <w:style w:type="character" w:customStyle="1" w:styleId="eop">
    <w:name w:val="eop"/>
    <w:basedOn w:val="DefaultParagraphFont"/>
    <w:rsid w:val="00C6196C"/>
  </w:style>
  <w:style w:type="character" w:customStyle="1" w:styleId="highlight">
    <w:name w:val="highlight"/>
    <w:basedOn w:val="DefaultParagraphFont"/>
    <w:rsid w:val="00E47307"/>
  </w:style>
  <w:style w:type="character" w:styleId="Mention">
    <w:name w:val="Mention"/>
    <w:basedOn w:val="DefaultParagraphFont"/>
    <w:uiPriority w:val="99"/>
    <w:unhideWhenUsed/>
    <w:rsid w:val="00C81303"/>
    <w:rPr>
      <w:color w:val="2B579A"/>
      <w:shd w:val="clear" w:color="auto" w:fill="E1DFDD"/>
    </w:rPr>
  </w:style>
  <w:style w:type="character" w:customStyle="1" w:styleId="scxw52997739">
    <w:name w:val="scxw52997739"/>
    <w:basedOn w:val="DefaultParagraphFont"/>
    <w:rsid w:val="0050707D"/>
  </w:style>
  <w:style w:type="character" w:customStyle="1" w:styleId="cf01">
    <w:name w:val="cf01"/>
    <w:basedOn w:val="DefaultParagraphFont"/>
    <w:rsid w:val="006D2661"/>
    <w:rPr>
      <w:rFonts w:ascii="Segoe UI" w:hAnsi="Segoe UI" w:cs="Segoe UI" w:hint="default"/>
      <w:sz w:val="18"/>
      <w:szCs w:val="18"/>
    </w:rPr>
  </w:style>
  <w:style w:type="paragraph" w:customStyle="1" w:styleId="footnotedescription">
    <w:name w:val="footnote description"/>
    <w:next w:val="Normal"/>
    <w:link w:val="footnotedescriptionChar"/>
    <w:hidden/>
    <w:rsid w:val="009D6F02"/>
    <w:pPr>
      <w:spacing w:line="274" w:lineRule="auto"/>
    </w:pPr>
    <w:rPr>
      <w:color w:val="000000"/>
      <w:szCs w:val="22"/>
    </w:rPr>
  </w:style>
  <w:style w:type="character" w:customStyle="1" w:styleId="footnotedescriptionChar">
    <w:name w:val="footnote description Char"/>
    <w:link w:val="footnotedescription"/>
    <w:rsid w:val="009D6F02"/>
    <w:rPr>
      <w:color w:val="000000"/>
      <w:szCs w:val="22"/>
    </w:rPr>
  </w:style>
  <w:style w:type="character" w:customStyle="1" w:styleId="footnotemark">
    <w:name w:val="footnote mark"/>
    <w:hidden/>
    <w:rsid w:val="009D6F02"/>
    <w:rPr>
      <w:rFonts w:ascii="Times New Roman" w:eastAsia="Times New Roman" w:hAnsi="Times New Roman" w:cs="Times New Roman"/>
      <w:color w:val="000000"/>
      <w:sz w:val="20"/>
      <w:vertAlign w:val="superscript"/>
    </w:rPr>
  </w:style>
  <w:style w:type="table" w:customStyle="1" w:styleId="TableGrid0">
    <w:name w:val="TableGrid"/>
    <w:rsid w:val="006328E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alloonTextChar">
    <w:name w:val="Balloon Text Char"/>
    <w:basedOn w:val="DefaultParagraphFont"/>
    <w:link w:val="BalloonText"/>
    <w:uiPriority w:val="99"/>
    <w:rsid w:val="00C93AD2"/>
    <w:rPr>
      <w:rFonts w:ascii="Tahoma" w:hAnsi="Tahoma" w:cs="Tahoma"/>
      <w:sz w:val="16"/>
      <w:szCs w:val="16"/>
    </w:rPr>
  </w:style>
  <w:style w:type="character" w:customStyle="1" w:styleId="CommentSubjectChar">
    <w:name w:val="Comment Subject Char"/>
    <w:basedOn w:val="CommentTextChar"/>
    <w:link w:val="CommentSubject"/>
    <w:uiPriority w:val="99"/>
    <w:semiHidden/>
    <w:rsid w:val="00EA20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hpms.cm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medicare-prescription-drug-inflation-rebate-program-onboarding-memo.pdf" TargetMode="External" /><Relationship Id="rId2" Type="http://schemas.openxmlformats.org/officeDocument/2006/relationships/hyperlink" Target="https://www.cms.gov/files/document/instructions-requesting-drug-manufacturer-access-cms-health-plan-management-system-cms-hpms-medicare.pdf" TargetMode="External" /><Relationship Id="rId3" Type="http://schemas.openxmlformats.org/officeDocument/2006/relationships/hyperlink" Target="https://www.gsa.gov/buy-through-us/purchasing-programs/gsa-multiple-award-schedule/about-gsaschedule" TargetMode="External" /><Relationship Id="rId4" Type="http://schemas.openxmlformats.org/officeDocument/2006/relationships/hyperlink" Target="https://www.cbo.gov/publication/57007" TargetMode="External" /><Relationship Id="rId5" Type="http://schemas.openxmlformats.org/officeDocument/2006/relationships/hyperlink" Target="https://www.justice.gov/oip/doj-guide-freedom-information-act-0" TargetMode="External" /><Relationship Id="rId6" Type="http://schemas.openxmlformats.org/officeDocument/2006/relationships/hyperlink" Target="https://data.bls.gov/oes/" TargetMode="External" /><Relationship Id="rId7"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0C4D72684F6149A9EDEC75E27D4AA8" ma:contentTypeVersion="16" ma:contentTypeDescription="Create a new document." ma:contentTypeScope="" ma:versionID="1f044ecc15c8951d97cbda5fc7ff2d7d">
  <xsd:schema xmlns:xsd="http://www.w3.org/2001/XMLSchema" xmlns:xs="http://www.w3.org/2001/XMLSchema" xmlns:p="http://schemas.microsoft.com/office/2006/metadata/properties" xmlns:ns2="78b74530-7db3-40b3-902d-7186be0a1969" targetNamespace="http://schemas.microsoft.com/office/2006/metadata/properties" ma:root="true" ma:fieldsID="2c42e54751f948a222cf0b87800180d8" ns2:_="">
    <xsd:import namespace="78b74530-7db3-40b3-902d-7186be0a19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74530-7db3-40b3-902d-7186be0a1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7B3D27-3682-4DD7-AA9F-70746A5926DA}">
  <ds:schemaRefs>
    <ds:schemaRef ds:uri="http://schemas.microsoft.com/sharepoint/v3/contenttype/forms"/>
  </ds:schemaRefs>
</ds:datastoreItem>
</file>

<file path=customXml/itemProps2.xml><?xml version="1.0" encoding="utf-8"?>
<ds:datastoreItem xmlns:ds="http://schemas.openxmlformats.org/officeDocument/2006/customXml" ds:itemID="{1687E19C-25A1-4452-A6FA-67033A89358A}">
  <ds:schemaRefs>
    <ds:schemaRef ds:uri="http://purl.org/dc/terms/"/>
    <ds:schemaRef ds:uri="http://schemas.microsoft.com/office/2006/documentManagement/types"/>
    <ds:schemaRef ds:uri="http://schemas.microsoft.com/office/infopath/2007/PartnerControls"/>
    <ds:schemaRef ds:uri="http://purl.org/dc/elements/1.1/"/>
    <ds:schemaRef ds:uri="78b74530-7db3-40b3-902d-7186be0a1969"/>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1AB6BE8-9A84-4209-86B9-21864F51468C}">
  <ds:schemaRefs>
    <ds:schemaRef ds:uri="http://schemas.openxmlformats.org/officeDocument/2006/bibliography"/>
  </ds:schemaRefs>
</ds:datastoreItem>
</file>

<file path=customXml/itemProps4.xml><?xml version="1.0" encoding="utf-8"?>
<ds:datastoreItem xmlns:ds="http://schemas.openxmlformats.org/officeDocument/2006/customXml" ds:itemID="{6A5FA5EA-415E-49F7-9D69-B6FAC9578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74530-7db3-40b3-902d-7186be0a1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32</Pages>
  <Words>11867</Words>
  <Characters>65553</Characters>
  <Application>Microsoft Office Word</Application>
  <DocSecurity>0</DocSecurity>
  <Lines>1381</Lines>
  <Paragraphs>567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Wojcicki, Michelle (CMS/CM)</dc:creator>
  <cp:lastModifiedBy>Wojcicki, Michelle (CMS/CM)</cp:lastModifiedBy>
  <cp:revision>28</cp:revision>
  <dcterms:created xsi:type="dcterms:W3CDTF">2025-11-18T16:35:00Z</dcterms:created>
  <dcterms:modified xsi:type="dcterms:W3CDTF">2026-01-06T01:55:00Z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0x010100DD0C4D72684F6149A9EDEC75E27D4AA8</vt:lpwstr>
  </property>
  <property fmtid="{D5CDD505-2E9C-101B-9397-08002B2CF9AE}" pid="4" name="MediaServiceImageTags">
    <vt:lpwstr/>
  </property>
  <property fmtid="{D5CDD505-2E9C-101B-9397-08002B2CF9AE}" pid="5" name="Order">
    <vt:r8>6000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_CopySource">
    <vt:lpwstr>https://share.cms.gov/center/CM/MDRNG/DP/ICRs/IPAY 2028/Drug Price Negotiation ICR IPAY 2028/30 Day/Finals for OSORA/For Approval/CMS-10849 Initial Price Applicability Year 2028 30-day Drug Price Negotiation ICR Supporting Statement - Part A.docx</vt:lpwstr>
  </property>
  <property fmtid="{D5CDD505-2E9C-101B-9397-08002B2CF9AE}" pid="10" name="_ExtendedDescription">
    <vt:lpwstr/>
  </property>
</Properties>
</file>