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590" w:rsidP="00B50590" w14:paraId="3C2804A3" w14:textId="77777777">
      <w:pPr>
        <w:widowControl w:val="0"/>
        <w:spacing w:after="120" w:line="240" w:lineRule="auto"/>
        <w:jc w:val="center"/>
        <w:rPr>
          <w:rFonts w:ascii="Courier New" w:eastAsia="Times New Roman" w:hAnsi="Courier New" w:cs="Courier New"/>
          <w:b/>
          <w:sz w:val="24"/>
          <w:szCs w:val="24"/>
        </w:rPr>
      </w:pPr>
      <w:bookmarkStart w:id="0" w:name="_Hlk78899520"/>
      <w:r w:rsidRPr="00B50590">
        <w:rPr>
          <w:rFonts w:ascii="Courier New" w:eastAsia="Times New Roman" w:hAnsi="Courier New" w:cs="Courier New"/>
          <w:b/>
          <w:sz w:val="24"/>
          <w:szCs w:val="24"/>
        </w:rPr>
        <w:t xml:space="preserve">CDC Model Performance Evaluation Program (MPEP) for </w:t>
      </w:r>
    </w:p>
    <w:p w:rsidR="00343E20" w:rsidRPr="00B50590" w:rsidP="00B50590" w14:paraId="5DEFD35F" w14:textId="32D76DB9">
      <w:pPr>
        <w:widowControl w:val="0"/>
        <w:spacing w:after="120" w:line="240" w:lineRule="auto"/>
        <w:jc w:val="center"/>
        <w:rPr>
          <w:rFonts w:ascii="Courier New" w:eastAsia="Times New Roman" w:hAnsi="Courier New" w:cs="Courier New"/>
          <w:sz w:val="24"/>
          <w:szCs w:val="24"/>
        </w:rPr>
      </w:pPr>
      <w:r w:rsidRPr="00B50590">
        <w:rPr>
          <w:rFonts w:ascii="Courier New" w:eastAsia="Times New Roman" w:hAnsi="Courier New" w:cs="Courier New"/>
          <w:b/>
          <w:i/>
          <w:sz w:val="24"/>
          <w:szCs w:val="24"/>
        </w:rPr>
        <w:t>Mycobacterium</w:t>
      </w:r>
      <w:r w:rsidRPr="00B50590">
        <w:rPr>
          <w:rFonts w:ascii="Courier New" w:eastAsia="Times New Roman" w:hAnsi="Courier New" w:cs="Courier New"/>
          <w:b/>
          <w:sz w:val="24"/>
          <w:szCs w:val="24"/>
        </w:rPr>
        <w:t xml:space="preserve"> </w:t>
      </w:r>
      <w:r w:rsidRPr="00B50590">
        <w:rPr>
          <w:rFonts w:ascii="Courier New" w:eastAsia="Times New Roman" w:hAnsi="Courier New" w:cs="Courier New"/>
          <w:b/>
          <w:i/>
          <w:sz w:val="24"/>
          <w:szCs w:val="24"/>
        </w:rPr>
        <w:t>tuberculosis</w:t>
      </w:r>
      <w:r w:rsidRPr="00B50590">
        <w:rPr>
          <w:rFonts w:ascii="Courier New" w:eastAsia="Times New Roman" w:hAnsi="Courier New" w:cs="Courier New"/>
          <w:b/>
          <w:sz w:val="24"/>
          <w:szCs w:val="24"/>
        </w:rPr>
        <w:t xml:space="preserve"> Drug Susceptibility Testing</w:t>
      </w:r>
    </w:p>
    <w:p w:rsidR="00343E20" w:rsidP="00B50590" w14:paraId="548CCD29" w14:textId="77777777">
      <w:pPr>
        <w:spacing w:after="120" w:line="240" w:lineRule="auto"/>
        <w:jc w:val="center"/>
        <w:rPr>
          <w:rFonts w:ascii="Courier New" w:eastAsia="Times New Roman" w:hAnsi="Courier New" w:cs="Courier New"/>
          <w:b/>
          <w:sz w:val="24"/>
          <w:szCs w:val="24"/>
        </w:rPr>
      </w:pPr>
    </w:p>
    <w:p w:rsidR="00B50590" w:rsidRPr="00B50590" w:rsidP="00B50590" w14:paraId="472C6DE5" w14:textId="77777777">
      <w:pPr>
        <w:spacing w:after="120" w:line="240" w:lineRule="auto"/>
        <w:jc w:val="center"/>
        <w:rPr>
          <w:rFonts w:ascii="Courier New" w:eastAsia="Times New Roman" w:hAnsi="Courier New" w:cs="Courier New"/>
          <w:b/>
          <w:sz w:val="24"/>
          <w:szCs w:val="24"/>
        </w:rPr>
      </w:pPr>
    </w:p>
    <w:p w:rsidR="00343E20" w:rsidP="00B50590" w14:paraId="0C4FF179" w14:textId="50A4021D">
      <w:pPr>
        <w:spacing w:after="120" w:line="240" w:lineRule="auto"/>
        <w:jc w:val="center"/>
        <w:rPr>
          <w:rFonts w:ascii="Courier New" w:eastAsia="Times New Roman" w:hAnsi="Courier New" w:cs="Courier New"/>
          <w:b/>
          <w:sz w:val="24"/>
          <w:szCs w:val="24"/>
        </w:rPr>
      </w:pPr>
      <w:r w:rsidRPr="00B50590">
        <w:rPr>
          <w:rFonts w:ascii="Courier New" w:eastAsia="Times New Roman" w:hAnsi="Courier New" w:cs="Courier New"/>
          <w:b/>
          <w:sz w:val="24"/>
          <w:szCs w:val="24"/>
        </w:rPr>
        <w:t xml:space="preserve">Attachment </w:t>
      </w:r>
      <w:r w:rsidR="008445E9">
        <w:rPr>
          <w:rFonts w:ascii="Courier New" w:eastAsia="Times New Roman" w:hAnsi="Courier New" w:cs="Courier New"/>
          <w:b/>
          <w:sz w:val="24"/>
          <w:szCs w:val="24"/>
        </w:rPr>
        <w:t>3</w:t>
      </w:r>
    </w:p>
    <w:p w:rsidR="00343E20" w:rsidRPr="00B50590" w:rsidP="00B50590" w14:paraId="71EF5924" w14:textId="332F65F5">
      <w:pPr>
        <w:spacing w:after="120" w:line="240" w:lineRule="auto"/>
        <w:jc w:val="center"/>
        <w:rPr>
          <w:rFonts w:ascii="Courier New" w:eastAsia="Times New Roman" w:hAnsi="Courier New" w:cs="Courier New"/>
          <w:b/>
          <w:sz w:val="24"/>
          <w:szCs w:val="24"/>
        </w:rPr>
      </w:pPr>
      <w:r w:rsidRPr="00B50590">
        <w:rPr>
          <w:rFonts w:ascii="Courier New" w:eastAsia="Times New Roman" w:hAnsi="Courier New" w:cs="Courier New"/>
          <w:b/>
          <w:sz w:val="24"/>
          <w:szCs w:val="24"/>
        </w:rPr>
        <w:t>Explanation of Changes</w:t>
      </w:r>
    </w:p>
    <w:bookmarkEnd w:id="0"/>
    <w:p w:rsidR="002B226C" w:rsidP="004324BA" w14:paraId="1AC15E18" w14:textId="77777777">
      <w:pPr>
        <w:widowControl w:val="0"/>
        <w:rPr>
          <w:rFonts w:ascii="Arial" w:eastAsia="Times New Roman" w:hAnsi="Arial" w:cs="Arial"/>
          <w:b/>
          <w:sz w:val="24"/>
          <w:szCs w:val="24"/>
        </w:rPr>
      </w:pPr>
    </w:p>
    <w:p w:rsidR="002B226C" w:rsidP="004324BA" w14:paraId="074390D8" w14:textId="77777777">
      <w:pPr>
        <w:widowControl w:val="0"/>
        <w:rPr>
          <w:rFonts w:ascii="Arial" w:eastAsia="Times New Roman" w:hAnsi="Arial" w:cs="Arial"/>
          <w:b/>
          <w:sz w:val="24"/>
          <w:szCs w:val="24"/>
        </w:rPr>
      </w:pPr>
    </w:p>
    <w:p w:rsidR="002B226C" w:rsidP="004324BA" w14:paraId="461864F1" w14:textId="77777777">
      <w:pPr>
        <w:widowControl w:val="0"/>
        <w:rPr>
          <w:rFonts w:ascii="Arial" w:eastAsia="Times New Roman" w:hAnsi="Arial" w:cs="Arial"/>
          <w:b/>
          <w:sz w:val="24"/>
          <w:szCs w:val="24"/>
        </w:rPr>
      </w:pPr>
    </w:p>
    <w:p w:rsidR="002B226C" w:rsidP="004324BA" w14:paraId="30E54D6A" w14:textId="77777777">
      <w:pPr>
        <w:widowControl w:val="0"/>
        <w:rPr>
          <w:rFonts w:ascii="Arial" w:eastAsia="Times New Roman" w:hAnsi="Arial" w:cs="Arial"/>
          <w:b/>
          <w:sz w:val="24"/>
          <w:szCs w:val="24"/>
        </w:rPr>
      </w:pPr>
    </w:p>
    <w:p w:rsidR="002B226C" w:rsidP="004324BA" w14:paraId="67D7A982" w14:textId="77777777">
      <w:pPr>
        <w:widowControl w:val="0"/>
        <w:rPr>
          <w:rFonts w:ascii="Arial" w:eastAsia="Times New Roman" w:hAnsi="Arial" w:cs="Arial"/>
          <w:b/>
          <w:sz w:val="24"/>
          <w:szCs w:val="24"/>
        </w:rPr>
      </w:pPr>
    </w:p>
    <w:p w:rsidR="002B226C" w:rsidP="004324BA" w14:paraId="578EBD70" w14:textId="77777777">
      <w:pPr>
        <w:widowControl w:val="0"/>
        <w:rPr>
          <w:rFonts w:ascii="Arial" w:eastAsia="Times New Roman" w:hAnsi="Arial" w:cs="Arial"/>
          <w:b/>
          <w:sz w:val="24"/>
          <w:szCs w:val="24"/>
        </w:rPr>
      </w:pPr>
    </w:p>
    <w:p w:rsidR="002B226C" w:rsidP="004324BA" w14:paraId="1A064A08" w14:textId="77777777">
      <w:pPr>
        <w:widowControl w:val="0"/>
        <w:rPr>
          <w:rFonts w:ascii="Arial" w:eastAsia="Times New Roman" w:hAnsi="Arial" w:cs="Arial"/>
          <w:b/>
          <w:sz w:val="24"/>
          <w:szCs w:val="24"/>
        </w:rPr>
      </w:pPr>
    </w:p>
    <w:p w:rsidR="002B226C" w:rsidP="004324BA" w14:paraId="7E52CE4C" w14:textId="77777777">
      <w:pPr>
        <w:widowControl w:val="0"/>
        <w:rPr>
          <w:rFonts w:ascii="Arial" w:eastAsia="Times New Roman" w:hAnsi="Arial" w:cs="Arial"/>
          <w:b/>
          <w:sz w:val="24"/>
          <w:szCs w:val="24"/>
        </w:rPr>
      </w:pPr>
    </w:p>
    <w:p w:rsidR="002B226C" w:rsidP="004324BA" w14:paraId="49C13F0E" w14:textId="77777777">
      <w:pPr>
        <w:widowControl w:val="0"/>
        <w:rPr>
          <w:rFonts w:ascii="Arial" w:eastAsia="Times New Roman" w:hAnsi="Arial" w:cs="Arial"/>
          <w:b/>
          <w:sz w:val="24"/>
          <w:szCs w:val="24"/>
        </w:rPr>
      </w:pPr>
    </w:p>
    <w:p w:rsidR="002B226C" w:rsidP="004324BA" w14:paraId="159CE942" w14:textId="77777777">
      <w:pPr>
        <w:widowControl w:val="0"/>
        <w:rPr>
          <w:rFonts w:ascii="Arial" w:eastAsia="Times New Roman" w:hAnsi="Arial" w:cs="Arial"/>
          <w:b/>
          <w:sz w:val="24"/>
          <w:szCs w:val="24"/>
        </w:rPr>
      </w:pPr>
    </w:p>
    <w:p w:rsidR="002B226C" w:rsidP="004324BA" w14:paraId="3FAD5567" w14:textId="77777777">
      <w:pPr>
        <w:widowControl w:val="0"/>
        <w:rPr>
          <w:rFonts w:ascii="Arial" w:eastAsia="Times New Roman" w:hAnsi="Arial" w:cs="Arial"/>
          <w:b/>
          <w:sz w:val="24"/>
          <w:szCs w:val="24"/>
        </w:rPr>
      </w:pPr>
    </w:p>
    <w:p w:rsidR="002B226C" w:rsidP="004324BA" w14:paraId="77B234BE" w14:textId="77777777">
      <w:pPr>
        <w:widowControl w:val="0"/>
        <w:rPr>
          <w:rFonts w:ascii="Arial" w:eastAsia="Times New Roman" w:hAnsi="Arial" w:cs="Arial"/>
          <w:b/>
          <w:sz w:val="24"/>
          <w:szCs w:val="24"/>
        </w:rPr>
      </w:pPr>
    </w:p>
    <w:p w:rsidR="00B50590" w14:paraId="45C9C6DE" w14:textId="77777777">
      <w:pPr>
        <w:rPr>
          <w:rFonts w:ascii="Arial" w:eastAsia="Times New Roman" w:hAnsi="Arial" w:cs="Arial"/>
          <w:b/>
          <w:sz w:val="24"/>
          <w:szCs w:val="24"/>
        </w:rPr>
      </w:pPr>
      <w:r>
        <w:rPr>
          <w:rFonts w:ascii="Arial" w:eastAsia="Times New Roman" w:hAnsi="Arial" w:cs="Arial"/>
          <w:b/>
          <w:sz w:val="24"/>
          <w:szCs w:val="24"/>
        </w:rPr>
        <w:br w:type="page"/>
      </w:r>
    </w:p>
    <w:p w:rsidR="004324BA" w:rsidRPr="004324BA" w:rsidP="004324BA" w14:paraId="640060D5" w14:textId="4A053B89">
      <w:pPr>
        <w:widowControl w:val="0"/>
        <w:rPr>
          <w:rFonts w:ascii="Times New Roman" w:eastAsia="Times New Roman" w:hAnsi="Times New Roman" w:cs="Times New Roman"/>
          <w:b/>
          <w:sz w:val="24"/>
          <w:szCs w:val="24"/>
        </w:rPr>
      </w:pPr>
      <w:r w:rsidRPr="004324BA">
        <w:rPr>
          <w:rFonts w:ascii="Arial" w:eastAsia="Times New Roman" w:hAnsi="Arial" w:cs="Arial"/>
          <w:b/>
          <w:sz w:val="24"/>
          <w:szCs w:val="24"/>
        </w:rPr>
        <w:t xml:space="preserve">Attachment </w:t>
      </w:r>
      <w:r w:rsidR="001B6A1E">
        <w:rPr>
          <w:rFonts w:ascii="Arial" w:eastAsia="Times New Roman" w:hAnsi="Arial" w:cs="Arial"/>
          <w:b/>
          <w:sz w:val="24"/>
          <w:szCs w:val="24"/>
        </w:rPr>
        <w:t>3</w:t>
      </w:r>
      <w:r w:rsidRPr="004324BA">
        <w:rPr>
          <w:rFonts w:ascii="Arial" w:eastAsia="Times New Roman" w:hAnsi="Arial" w:cs="Arial"/>
          <w:b/>
          <w:sz w:val="24"/>
          <w:szCs w:val="24"/>
        </w:rPr>
        <w:t>: Explanation of Changes</w:t>
      </w:r>
      <w:r>
        <w:rPr>
          <w:rFonts w:ascii="Arial" w:eastAsia="Times New Roman" w:hAnsi="Arial" w:cs="Arial"/>
          <w:b/>
          <w:sz w:val="24"/>
          <w:szCs w:val="24"/>
        </w:rPr>
        <w:t xml:space="preserve">   OMB #0920-0600                      </w:t>
      </w:r>
    </w:p>
    <w:p w:rsidR="004324BA" w:rsidRPr="004324BA" w:rsidP="004324BA" w14:paraId="7D8FBA45" w14:textId="77777777">
      <w:pPr>
        <w:spacing w:after="0" w:line="240" w:lineRule="auto"/>
        <w:jc w:val="center"/>
        <w:rPr>
          <w:rFonts w:ascii="Times New Roman" w:eastAsia="Times New Roman" w:hAnsi="Times New Roman" w:cs="Times New Roman"/>
          <w:b/>
          <w:sz w:val="24"/>
          <w:szCs w:val="24"/>
        </w:rPr>
      </w:pPr>
    </w:p>
    <w:p w:rsidR="004324BA" w:rsidRPr="00ED6812" w:rsidP="004324BA" w14:paraId="60A9D931" w14:textId="0D992F0C">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CDC is requesting OMB approval for a</w:t>
      </w:r>
      <w:r w:rsidR="00B50590">
        <w:rPr>
          <w:rFonts w:ascii="Times New Roman" w:eastAsia="Times New Roman" w:hAnsi="Times New Roman" w:cs="Times New Roman"/>
          <w:sz w:val="24"/>
          <w:szCs w:val="24"/>
        </w:rPr>
        <w:t>n extension</w:t>
      </w:r>
      <w:r w:rsidRPr="004324BA">
        <w:rPr>
          <w:rFonts w:ascii="Times New Roman" w:eastAsia="Times New Roman" w:hAnsi="Times New Roman" w:cs="Times New Roman"/>
          <w:sz w:val="24"/>
          <w:szCs w:val="24"/>
        </w:rPr>
        <w:t xml:space="preserve"> of the currently approved data collection</w:t>
      </w:r>
      <w:r w:rsidR="001B6A1E">
        <w:rPr>
          <w:rFonts w:ascii="Times New Roman" w:eastAsia="Times New Roman" w:hAnsi="Times New Roman" w:cs="Times New Roman"/>
          <w:sz w:val="24"/>
          <w:szCs w:val="24"/>
        </w:rPr>
        <w:t xml:space="preserve"> entitled</w:t>
      </w:r>
      <w:r w:rsidRPr="004324BA">
        <w:rPr>
          <w:rFonts w:ascii="Times New Roman" w:eastAsia="Times New Roman" w:hAnsi="Times New Roman" w:cs="Times New Roman"/>
          <w:sz w:val="24"/>
          <w:szCs w:val="24"/>
        </w:rPr>
        <w:t xml:space="preserve"> </w:t>
      </w:r>
      <w:r w:rsidR="00B50590">
        <w:rPr>
          <w:rFonts w:ascii="Times New Roman" w:eastAsia="Times New Roman" w:hAnsi="Times New Roman" w:cs="Times New Roman"/>
          <w:sz w:val="24"/>
          <w:szCs w:val="24"/>
        </w:rPr>
        <w:t>“</w:t>
      </w:r>
      <w:r w:rsidRPr="001B6A1E" w:rsidR="001B6A1E">
        <w:rPr>
          <w:rFonts w:ascii="Times New Roman" w:eastAsia="Times New Roman" w:hAnsi="Times New Roman" w:cs="Times New Roman"/>
          <w:i/>
          <w:sz w:val="24"/>
          <w:szCs w:val="24"/>
        </w:rPr>
        <w:t>CDC Model Performance for Mycobacterium tuberculosis Drug Susceptibility Testing,</w:t>
      </w:r>
      <w:r w:rsidRPr="001B6A1E" w:rsidR="001B6A1E">
        <w:rPr>
          <w:rFonts w:ascii="Times New Roman" w:eastAsia="Times New Roman" w:hAnsi="Times New Roman" w:cs="Times New Roman"/>
          <w:sz w:val="24"/>
          <w:szCs w:val="24"/>
        </w:rPr>
        <w:t xml:space="preserve">” </w:t>
      </w:r>
      <w:r w:rsidR="00D86697">
        <w:rPr>
          <w:rFonts w:ascii="Times New Roman" w:eastAsia="Times New Roman" w:hAnsi="Times New Roman" w:cs="Times New Roman"/>
          <w:sz w:val="24"/>
          <w:szCs w:val="24"/>
        </w:rPr>
        <w:t>including</w:t>
      </w:r>
      <w:r w:rsidRPr="004324BA">
        <w:rPr>
          <w:rFonts w:ascii="Times New Roman" w:eastAsia="Times New Roman" w:hAnsi="Times New Roman" w:cs="Times New Roman"/>
          <w:sz w:val="24"/>
          <w:szCs w:val="24"/>
        </w:rPr>
        <w:t xml:space="preserve"> a</w:t>
      </w:r>
      <w:r w:rsidRPr="00ED6812">
        <w:rPr>
          <w:rFonts w:ascii="Times New Roman" w:eastAsia="Times New Roman" w:hAnsi="Times New Roman" w:cs="Times New Roman"/>
          <w:sz w:val="24"/>
          <w:szCs w:val="24"/>
        </w:rPr>
        <w:t xml:space="preserve">pproval for the following </w:t>
      </w:r>
      <w:r w:rsidRPr="00ED6812" w:rsidR="00B50590">
        <w:rPr>
          <w:rFonts w:ascii="Times New Roman" w:eastAsia="Times New Roman" w:hAnsi="Times New Roman" w:cs="Times New Roman"/>
          <w:sz w:val="24"/>
          <w:szCs w:val="24"/>
        </w:rPr>
        <w:t xml:space="preserve">non-substantive </w:t>
      </w:r>
      <w:r w:rsidRPr="00ED6812">
        <w:rPr>
          <w:rFonts w:ascii="Times New Roman" w:eastAsia="Times New Roman" w:hAnsi="Times New Roman" w:cs="Times New Roman"/>
          <w:sz w:val="24"/>
          <w:szCs w:val="24"/>
        </w:rPr>
        <w:t>changes:</w:t>
      </w:r>
    </w:p>
    <w:p w:rsidR="009A18B6" w:rsidP="00420F61" w14:paraId="49E05CB2" w14:textId="3B61581F">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9A18B6">
        <w:rPr>
          <w:rFonts w:ascii="Times New Roman" w:eastAsia="Times New Roman" w:hAnsi="Times New Roman" w:cs="Times New Roman"/>
          <w:sz w:val="24"/>
          <w:szCs w:val="24"/>
        </w:rPr>
        <w:t xml:space="preserve">hange to the </w:t>
      </w:r>
      <w:r w:rsidR="00833B85">
        <w:rPr>
          <w:rFonts w:ascii="Times New Roman" w:eastAsia="Times New Roman" w:hAnsi="Times New Roman" w:cs="Times New Roman"/>
          <w:sz w:val="24"/>
          <w:szCs w:val="24"/>
        </w:rPr>
        <w:t xml:space="preserve">project </w:t>
      </w:r>
      <w:r w:rsidRPr="009A18B6">
        <w:rPr>
          <w:rFonts w:ascii="Times New Roman" w:eastAsia="Times New Roman" w:hAnsi="Times New Roman" w:cs="Times New Roman"/>
          <w:sz w:val="24"/>
          <w:szCs w:val="24"/>
        </w:rPr>
        <w:t xml:space="preserve">title of the data collection to “CDC Model Performance Evaluation (MPEP) for </w:t>
      </w:r>
      <w:r w:rsidRPr="009A18B6">
        <w:rPr>
          <w:rFonts w:ascii="Times New Roman" w:eastAsia="Times New Roman" w:hAnsi="Times New Roman" w:cs="Times New Roman"/>
          <w:i/>
          <w:iCs/>
          <w:sz w:val="24"/>
          <w:szCs w:val="24"/>
        </w:rPr>
        <w:t>Mycobacterium tuberculosis</w:t>
      </w:r>
      <w:r w:rsidRPr="009A18B6">
        <w:rPr>
          <w:rFonts w:ascii="Times New Roman" w:eastAsia="Times New Roman" w:hAnsi="Times New Roman" w:cs="Times New Roman"/>
          <w:sz w:val="24"/>
          <w:szCs w:val="24"/>
        </w:rPr>
        <w:t xml:space="preserve"> Drug Susceptibility Testing” from “CDC Model Performance Evaluation Program (MPEP) for </w:t>
      </w:r>
      <w:r w:rsidRPr="009A18B6">
        <w:rPr>
          <w:rFonts w:ascii="Times New Roman" w:eastAsia="Times New Roman" w:hAnsi="Times New Roman" w:cs="Times New Roman"/>
          <w:i/>
          <w:iCs/>
          <w:sz w:val="24"/>
          <w:szCs w:val="24"/>
        </w:rPr>
        <w:t>Mycobacterium tuberculosis</w:t>
      </w:r>
      <w:r w:rsidRPr="009A18B6">
        <w:rPr>
          <w:rFonts w:ascii="Times New Roman" w:eastAsia="Times New Roman" w:hAnsi="Times New Roman" w:cs="Times New Roman"/>
          <w:sz w:val="24"/>
          <w:szCs w:val="24"/>
        </w:rPr>
        <w:t xml:space="preserve"> and Nontuberculous Mycobacteria Drug Susceptibility Testing” to reflect that nontuberculous mycobacteria are no longer included in the program</w:t>
      </w:r>
      <w:r>
        <w:rPr>
          <w:rFonts w:ascii="Times New Roman" w:eastAsia="Times New Roman" w:hAnsi="Times New Roman" w:cs="Times New Roman"/>
          <w:sz w:val="24"/>
          <w:szCs w:val="24"/>
        </w:rPr>
        <w:t>.</w:t>
      </w:r>
    </w:p>
    <w:p w:rsidR="00833B85" w:rsidRPr="00ED6812" w:rsidP="00833B85" w14:paraId="5E3F3EEF" w14:textId="39B2DE72">
      <w:pPr>
        <w:numPr>
          <w:ilvl w:val="0"/>
          <w:numId w:val="3"/>
        </w:numPr>
        <w:spacing w:after="0" w:line="240" w:lineRule="auto"/>
        <w:rPr>
          <w:rFonts w:ascii="Times New Roman" w:eastAsia="Times New Roman" w:hAnsi="Times New Roman" w:cs="Times New Roman"/>
          <w:sz w:val="24"/>
          <w:szCs w:val="24"/>
        </w:rPr>
      </w:pPr>
      <w:r w:rsidRPr="00ED6812">
        <w:rPr>
          <w:rFonts w:ascii="Times New Roman" w:eastAsia="Times New Roman" w:hAnsi="Times New Roman" w:cs="Times New Roman"/>
          <w:sz w:val="24"/>
          <w:szCs w:val="24"/>
        </w:rPr>
        <w:t xml:space="preserve">Modification of the MPEP </w:t>
      </w:r>
      <w:r w:rsidR="00BF24B4">
        <w:rPr>
          <w:rFonts w:ascii="Times New Roman" w:eastAsia="Times New Roman" w:hAnsi="Times New Roman" w:cs="Times New Roman"/>
          <w:sz w:val="24"/>
          <w:szCs w:val="24"/>
        </w:rPr>
        <w:t xml:space="preserve">Online </w:t>
      </w:r>
      <w:r w:rsidRPr="00ED6812">
        <w:rPr>
          <w:rFonts w:ascii="Times New Roman" w:eastAsia="Times New Roman" w:hAnsi="Times New Roman" w:cs="Times New Roman"/>
          <w:sz w:val="24"/>
          <w:szCs w:val="24"/>
        </w:rPr>
        <w:t>Survey Instrument (</w:t>
      </w:r>
      <w:r w:rsidRPr="00BF24B4">
        <w:rPr>
          <w:rFonts w:ascii="Times New Roman" w:eastAsia="Times New Roman" w:hAnsi="Times New Roman" w:cs="Times New Roman"/>
          <w:b/>
          <w:bCs/>
          <w:sz w:val="24"/>
          <w:szCs w:val="24"/>
        </w:rPr>
        <w:t xml:space="preserve">Attachment </w:t>
      </w:r>
      <w:r w:rsidRPr="00BF24B4" w:rsidR="00BF24B4">
        <w:rPr>
          <w:rFonts w:ascii="Times New Roman" w:eastAsia="Times New Roman" w:hAnsi="Times New Roman" w:cs="Times New Roman"/>
          <w:b/>
          <w:bCs/>
          <w:sz w:val="24"/>
          <w:szCs w:val="24"/>
        </w:rPr>
        <w:t>4</w:t>
      </w:r>
      <w:r w:rsidRPr="00ED6812">
        <w:rPr>
          <w:rFonts w:ascii="Times New Roman" w:eastAsia="Times New Roman" w:hAnsi="Times New Roman" w:cs="Times New Roman"/>
          <w:sz w:val="24"/>
          <w:szCs w:val="24"/>
        </w:rPr>
        <w:t>) to update molecular testing method choices to reflect current testing options and improve survey usability and flexibility, per the request of participants.</w:t>
      </w:r>
    </w:p>
    <w:p w:rsidR="00420F61" w:rsidRPr="00ED6812" w:rsidP="00420F61" w14:paraId="2236EB25" w14:textId="623FC1DF">
      <w:pPr>
        <w:numPr>
          <w:ilvl w:val="0"/>
          <w:numId w:val="3"/>
        </w:numPr>
        <w:spacing w:after="0" w:line="240" w:lineRule="auto"/>
        <w:rPr>
          <w:rFonts w:ascii="Times New Roman" w:eastAsia="Times New Roman" w:hAnsi="Times New Roman" w:cs="Times New Roman"/>
          <w:sz w:val="24"/>
          <w:szCs w:val="24"/>
        </w:rPr>
      </w:pPr>
      <w:r w:rsidRPr="00ED6812">
        <w:rPr>
          <w:rFonts w:ascii="Times New Roman" w:eastAsia="Times New Roman" w:hAnsi="Times New Roman" w:cs="Times New Roman"/>
          <w:sz w:val="24"/>
          <w:szCs w:val="24"/>
        </w:rPr>
        <w:t>Modification of the MPEP Results Worksheet (</w:t>
      </w:r>
      <w:r w:rsidRPr="00BF24B4">
        <w:rPr>
          <w:rFonts w:ascii="Times New Roman" w:eastAsia="Times New Roman" w:hAnsi="Times New Roman" w:cs="Times New Roman"/>
          <w:b/>
          <w:bCs/>
          <w:sz w:val="24"/>
          <w:szCs w:val="24"/>
        </w:rPr>
        <w:t xml:space="preserve">Attachment </w:t>
      </w:r>
      <w:r w:rsidRPr="00BF24B4" w:rsidR="00BF24B4">
        <w:rPr>
          <w:rFonts w:ascii="Times New Roman" w:eastAsia="Times New Roman" w:hAnsi="Times New Roman" w:cs="Times New Roman"/>
          <w:b/>
          <w:bCs/>
          <w:sz w:val="24"/>
          <w:szCs w:val="24"/>
        </w:rPr>
        <w:t>8</w:t>
      </w:r>
      <w:r w:rsidRPr="00ED6812">
        <w:rPr>
          <w:rFonts w:ascii="Times New Roman" w:eastAsia="Times New Roman" w:hAnsi="Times New Roman" w:cs="Times New Roman"/>
          <w:sz w:val="24"/>
          <w:szCs w:val="24"/>
        </w:rPr>
        <w:t>) to consolidate collection of molecular testing results for ofloxacin, ciprofloxacin, moxifloxacin, and levofloxacin separately to Fluoroquinolones (moxifloxacin, levofloxacin, ofloxacin).</w:t>
      </w:r>
    </w:p>
    <w:p w:rsidR="00420F61" w:rsidRPr="00B50590" w:rsidP="00420F61" w14:paraId="4C3DFB81" w14:textId="110F524C">
      <w:pPr>
        <w:numPr>
          <w:ilvl w:val="0"/>
          <w:numId w:val="3"/>
        </w:numPr>
        <w:spacing w:after="0" w:line="240" w:lineRule="auto"/>
        <w:rPr>
          <w:rFonts w:ascii="Times New Roman" w:eastAsia="Times New Roman" w:hAnsi="Times New Roman" w:cs="Times New Roman"/>
          <w:sz w:val="24"/>
          <w:szCs w:val="24"/>
        </w:rPr>
      </w:pPr>
      <w:r w:rsidRPr="00ED6812">
        <w:rPr>
          <w:rFonts w:ascii="Times New Roman" w:eastAsia="Times New Roman" w:hAnsi="Times New Roman" w:cs="Times New Roman"/>
          <w:sz w:val="24"/>
          <w:szCs w:val="24"/>
        </w:rPr>
        <w:t>Addition of Expected Results Report (</w:t>
      </w:r>
      <w:r w:rsidRPr="00BF24B4">
        <w:rPr>
          <w:rFonts w:ascii="Times New Roman" w:eastAsia="Times New Roman" w:hAnsi="Times New Roman" w:cs="Times New Roman"/>
          <w:b/>
          <w:bCs/>
          <w:sz w:val="24"/>
          <w:szCs w:val="24"/>
        </w:rPr>
        <w:t xml:space="preserve">Attachment </w:t>
      </w:r>
      <w:r w:rsidRPr="00BF24B4" w:rsidR="00ED6812">
        <w:rPr>
          <w:rFonts w:ascii="Times New Roman" w:eastAsia="Times New Roman" w:hAnsi="Times New Roman" w:cs="Times New Roman"/>
          <w:b/>
          <w:bCs/>
          <w:sz w:val="24"/>
          <w:szCs w:val="24"/>
        </w:rPr>
        <w:t>1</w:t>
      </w:r>
      <w:r w:rsidRPr="00BF24B4" w:rsidR="00BF24B4">
        <w:rPr>
          <w:rFonts w:ascii="Times New Roman" w:eastAsia="Times New Roman" w:hAnsi="Times New Roman" w:cs="Times New Roman"/>
          <w:b/>
          <w:bCs/>
          <w:sz w:val="24"/>
          <w:szCs w:val="24"/>
        </w:rPr>
        <w:t>1</w:t>
      </w:r>
      <w:r w:rsidRPr="00B50590">
        <w:rPr>
          <w:rFonts w:ascii="Times New Roman" w:eastAsia="Times New Roman" w:hAnsi="Times New Roman" w:cs="Times New Roman"/>
          <w:sz w:val="24"/>
          <w:szCs w:val="24"/>
        </w:rPr>
        <w:t>) to provide participating laboratories a preliminary report prior to the development of the Final Report.</w:t>
      </w:r>
    </w:p>
    <w:p w:rsidR="004324BA" w:rsidRPr="004324BA" w:rsidP="004324BA" w14:paraId="29967F31" w14:textId="77777777">
      <w:pPr>
        <w:spacing w:after="0" w:line="240" w:lineRule="auto"/>
        <w:rPr>
          <w:rFonts w:ascii="Times New Roman" w:eastAsia="Times New Roman" w:hAnsi="Times New Roman" w:cs="Times New Roman"/>
          <w:sz w:val="24"/>
          <w:szCs w:val="24"/>
        </w:rPr>
      </w:pPr>
    </w:p>
    <w:p w:rsidR="004324BA" w:rsidRPr="004324BA" w:rsidP="004324BA" w14:paraId="0D9A3A32" w14:textId="77777777">
      <w:pPr>
        <w:spacing w:after="0" w:line="240" w:lineRule="auto"/>
        <w:rPr>
          <w:rFonts w:ascii="Times New Roman" w:eastAsia="Times New Roman" w:hAnsi="Times New Roman" w:cs="Times New Roman"/>
          <w:sz w:val="24"/>
          <w:szCs w:val="24"/>
          <w:u w:val="single"/>
        </w:rPr>
      </w:pPr>
      <w:r w:rsidRPr="004324BA">
        <w:rPr>
          <w:rFonts w:ascii="Times New Roman" w:eastAsia="Times New Roman" w:hAnsi="Times New Roman" w:cs="Times New Roman"/>
          <w:sz w:val="24"/>
          <w:szCs w:val="24"/>
          <w:u w:val="single"/>
        </w:rPr>
        <w:t>Background</w:t>
      </w:r>
    </w:p>
    <w:p w:rsidR="004324BA" w:rsidRPr="004324BA" w:rsidP="004324BA" w14:paraId="70B736E6" w14:textId="51990B00">
      <w:pPr>
        <w:spacing w:before="240"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Established in 1994, the CDC Model Performance Evaluation Program (MPEP) has been used </w:t>
      </w:r>
      <w:r w:rsidR="00073770">
        <w:rPr>
          <w:rFonts w:ascii="Times New Roman" w:eastAsia="Times New Roman" w:hAnsi="Times New Roman" w:cs="Times New Roman"/>
          <w:sz w:val="24"/>
          <w:szCs w:val="24"/>
        </w:rPr>
        <w:t xml:space="preserve">to </w:t>
      </w:r>
      <w:r w:rsidRPr="004324BA">
        <w:rPr>
          <w:rFonts w:ascii="Times New Roman" w:eastAsia="Times New Roman" w:hAnsi="Times New Roman" w:cs="Times New Roman"/>
          <w:sz w:val="24"/>
          <w:szCs w:val="24"/>
        </w:rPr>
        <w:t xml:space="preserve">analyze the performance and practices of clinical and public health laboratories in the United States that perform drug susceptibility testing of isolates belonging to the </w:t>
      </w:r>
      <w:r w:rsidRPr="004324BA">
        <w:rPr>
          <w:rFonts w:ascii="Times New Roman" w:eastAsia="Times New Roman" w:hAnsi="Times New Roman" w:cs="Times New Roman"/>
          <w:i/>
          <w:sz w:val="24"/>
          <w:szCs w:val="24"/>
        </w:rPr>
        <w:t xml:space="preserve">Mycobacterium tuberculosis </w:t>
      </w:r>
      <w:r w:rsidRPr="004324BA">
        <w:rPr>
          <w:rFonts w:ascii="Times New Roman" w:eastAsia="Times New Roman" w:hAnsi="Times New Roman" w:cs="Times New Roman"/>
          <w:sz w:val="24"/>
          <w:szCs w:val="24"/>
        </w:rPr>
        <w:t>complex (MTBC) using biosafety level 3 (BSL3) or BSL2 with BSL3 practices. This voluntary program assesses the reproducibility of drug susceptibility test (DST) results reported by laboratories from a panel of</w:t>
      </w:r>
      <w:r w:rsidR="00CE7ECA">
        <w:rPr>
          <w:rFonts w:ascii="Times New Roman" w:eastAsia="Times New Roman" w:hAnsi="Times New Roman" w:cs="Times New Roman"/>
          <w:sz w:val="24"/>
          <w:szCs w:val="24"/>
        </w:rPr>
        <w:t xml:space="preserve"> </w:t>
      </w:r>
      <w:r w:rsidR="00B85448">
        <w:rPr>
          <w:rFonts w:ascii="Times New Roman" w:eastAsia="Times New Roman" w:hAnsi="Times New Roman" w:cs="Times New Roman"/>
          <w:sz w:val="24"/>
          <w:szCs w:val="24"/>
        </w:rPr>
        <w:t xml:space="preserve">five </w:t>
      </w:r>
      <w:r w:rsidRPr="004324BA">
        <w:rPr>
          <w:rFonts w:ascii="Times New Roman" w:eastAsia="Times New Roman" w:hAnsi="Times New Roman" w:cs="Times New Roman"/>
          <w:sz w:val="24"/>
          <w:szCs w:val="24"/>
        </w:rPr>
        <w:t>MTBC isolates shipped twice a year.</w:t>
      </w:r>
    </w:p>
    <w:p w:rsidR="004324BA" w:rsidP="004324BA" w14:paraId="3FC2123C" w14:textId="77777777">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  </w:t>
      </w:r>
    </w:p>
    <w:p w:rsidR="00BC61E7" w:rsidP="004324BA" w14:paraId="13426B3B" w14:textId="7777777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J</w:t>
      </w:r>
      <w:r w:rsidRPr="004324BA" w:rsidR="004324BA">
        <w:rPr>
          <w:rFonts w:ascii="Times New Roman" w:eastAsia="Times New Roman" w:hAnsi="Times New Roman" w:cs="Times New Roman"/>
          <w:sz w:val="24"/>
          <w:szCs w:val="24"/>
          <w:u w:val="single"/>
        </w:rPr>
        <w:t>ustification for Changes</w:t>
      </w:r>
    </w:p>
    <w:p w:rsidR="00833B85" w:rsidP="00833B85" w14:paraId="3D67760A" w14:textId="3C47F4B4">
      <w:pPr>
        <w:spacing w:before="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CDC is requesting approval for a project title change. The proposed updated project title would remove ‘Nontuberculous Mycobacteria’ from the title, as this group of mycobacteria are no longer included in the program. </w:t>
      </w:r>
    </w:p>
    <w:p w:rsidR="00833B85" w:rsidRPr="00ED6812" w:rsidP="00833B85" w14:paraId="50ADB963" w14:textId="16C54010">
      <w:pPr>
        <w:spacing w:before="80" w:after="0" w:line="240" w:lineRule="auto"/>
        <w:rPr>
          <w:rFonts w:ascii="Times New Roman" w:eastAsia="Times New Roman" w:hAnsi="Times New Roman" w:cs="Times New Roman"/>
          <w:bCs/>
          <w:sz w:val="24"/>
          <w:szCs w:val="24"/>
        </w:rPr>
      </w:pPr>
      <w:r w:rsidRPr="00ED6812">
        <w:rPr>
          <w:rFonts w:ascii="Times New Roman" w:eastAsia="Times New Roman" w:hAnsi="Times New Roman" w:cs="Times New Roman"/>
          <w:sz w:val="24"/>
          <w:szCs w:val="24"/>
        </w:rPr>
        <w:t xml:space="preserve">CDC is requesting approval for modification of the MPEP </w:t>
      </w:r>
      <w:r w:rsidRPr="00ED6812">
        <w:rPr>
          <w:rFonts w:ascii="Times New Roman" w:eastAsia="Times New Roman" w:hAnsi="Times New Roman" w:cs="Times New Roman"/>
          <w:iCs/>
          <w:sz w:val="24"/>
          <w:szCs w:val="24"/>
        </w:rPr>
        <w:t>online data collection instrument</w:t>
      </w:r>
      <w:r w:rsidRPr="00ED6812">
        <w:rPr>
          <w:rFonts w:ascii="Times New Roman" w:eastAsia="Times New Roman" w:hAnsi="Times New Roman" w:cs="Times New Roman"/>
          <w:sz w:val="24"/>
          <w:szCs w:val="24"/>
        </w:rPr>
        <w:t xml:space="preserve"> </w:t>
      </w:r>
      <w:r w:rsidRPr="00ED6812">
        <w:rPr>
          <w:rFonts w:ascii="Times New Roman" w:eastAsia="Times New Roman" w:hAnsi="Times New Roman" w:cs="Times New Roman"/>
          <w:b/>
          <w:bCs/>
          <w:sz w:val="24"/>
          <w:szCs w:val="24"/>
        </w:rPr>
        <w:t>(</w:t>
      </w:r>
      <w:r w:rsidRPr="00ED6812">
        <w:rPr>
          <w:rFonts w:ascii="Times New Roman" w:eastAsia="Times New Roman" w:hAnsi="Times New Roman" w:cs="Times New Roman"/>
          <w:b/>
          <w:sz w:val="24"/>
          <w:szCs w:val="24"/>
        </w:rPr>
        <w:t xml:space="preserve">Attachment </w:t>
      </w:r>
      <w:r w:rsidR="008445E9">
        <w:rPr>
          <w:rFonts w:ascii="Times New Roman" w:eastAsia="Times New Roman" w:hAnsi="Times New Roman" w:cs="Times New Roman"/>
          <w:b/>
          <w:sz w:val="24"/>
          <w:szCs w:val="24"/>
        </w:rPr>
        <w:t>4</w:t>
      </w:r>
      <w:r w:rsidRPr="00ED6812">
        <w:rPr>
          <w:rFonts w:ascii="Times New Roman" w:eastAsia="Times New Roman" w:hAnsi="Times New Roman" w:cs="Times New Roman"/>
          <w:b/>
          <w:sz w:val="24"/>
          <w:szCs w:val="24"/>
        </w:rPr>
        <w:t>).</w:t>
      </w:r>
      <w:r w:rsidRPr="00ED6812">
        <w:rPr>
          <w:rFonts w:ascii="Times New Roman" w:eastAsia="Times New Roman" w:hAnsi="Times New Roman" w:cs="Times New Roman"/>
          <w:sz w:val="24"/>
          <w:szCs w:val="24"/>
        </w:rPr>
        <w:t xml:space="preserve"> These non-substantive changes include an update to the molecular testing method choices and improved survey usability and flexibility. The molecular testing method choices include the addition of next generation targeted DNA sequencing and the opportunity to specify the specific manufacturer for next generation targeted DNA sequencing and whole genome sequencing. Additionally, the usability has been improved by grouping data collection for molecular testing in one section and consolidating the collection of molecular results for four drugs (ofloxacin, ciprofloxacin, moxifloxacin, and levofloxacin) into one collection [Fluoroquinolones (moxifloxacin, levofloxacin, ofloxacin)]. </w:t>
      </w:r>
      <w:r>
        <w:rPr>
          <w:rFonts w:ascii="Times New Roman" w:eastAsia="Times New Roman" w:hAnsi="Times New Roman" w:cs="Times New Roman"/>
          <w:sz w:val="24"/>
          <w:szCs w:val="24"/>
        </w:rPr>
        <w:t>P</w:t>
      </w:r>
      <w:r w:rsidRPr="00ED6812">
        <w:rPr>
          <w:rFonts w:ascii="Times New Roman" w:eastAsia="Times New Roman" w:hAnsi="Times New Roman" w:cs="Times New Roman"/>
          <w:sz w:val="24"/>
          <w:szCs w:val="24"/>
        </w:rPr>
        <w:t>er feedback received from participating laboratories, flexibility has been improved to allow respondents to submit data for multiple growth-based DST or molecular methods in one entry. These non-substantive changes will allow collection of more current testing practices and streamline result entry for participating laboratories.</w:t>
      </w:r>
      <w:r w:rsidR="003F7182">
        <w:rPr>
          <w:rFonts w:ascii="Times New Roman" w:eastAsia="Times New Roman" w:hAnsi="Times New Roman" w:cs="Times New Roman"/>
          <w:sz w:val="24"/>
          <w:szCs w:val="24"/>
        </w:rPr>
        <w:t xml:space="preserve"> These changes and the reduction in number of participants has reduced the total burden hours from the previous version of the online data collection instrument.</w:t>
      </w:r>
    </w:p>
    <w:p w:rsidR="00420F61" w:rsidRPr="00ED6812" w:rsidP="00833B85" w14:paraId="635A3546" w14:textId="7223929E">
      <w:pPr>
        <w:spacing w:before="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CDC is requesting approval for modification of the MPEP Results </w:t>
      </w:r>
      <w:r w:rsidRPr="00ED6812">
        <w:rPr>
          <w:rFonts w:ascii="Times New Roman" w:eastAsia="Times New Roman" w:hAnsi="Times New Roman" w:cs="Times New Roman"/>
          <w:sz w:val="24"/>
          <w:szCs w:val="24"/>
        </w:rPr>
        <w:t>Worksheet (</w:t>
      </w:r>
      <w:r w:rsidRPr="00ED6812">
        <w:rPr>
          <w:rFonts w:ascii="Times New Roman" w:eastAsia="Times New Roman" w:hAnsi="Times New Roman" w:cs="Times New Roman"/>
          <w:b/>
          <w:bCs/>
          <w:sz w:val="24"/>
          <w:szCs w:val="24"/>
        </w:rPr>
        <w:t xml:space="preserve">Attachment </w:t>
      </w:r>
      <w:r w:rsidR="008445E9">
        <w:rPr>
          <w:rFonts w:ascii="Times New Roman" w:eastAsia="Times New Roman" w:hAnsi="Times New Roman" w:cs="Times New Roman"/>
          <w:b/>
          <w:bCs/>
          <w:sz w:val="24"/>
          <w:szCs w:val="24"/>
        </w:rPr>
        <w:t>8</w:t>
      </w:r>
      <w:r w:rsidRPr="00ED6812">
        <w:rPr>
          <w:rFonts w:ascii="Times New Roman" w:eastAsia="Times New Roman" w:hAnsi="Times New Roman" w:cs="Times New Roman"/>
          <w:sz w:val="24"/>
          <w:szCs w:val="24"/>
        </w:rPr>
        <w:t>) to consolidate data collection of</w:t>
      </w:r>
      <w:r w:rsidRPr="00ED6812" w:rsidR="00ED6812">
        <w:rPr>
          <w:rFonts w:ascii="Times New Roman" w:eastAsia="Times New Roman" w:hAnsi="Times New Roman" w:cs="Times New Roman"/>
          <w:sz w:val="24"/>
          <w:szCs w:val="24"/>
        </w:rPr>
        <w:t xml:space="preserve"> molecular results for</w:t>
      </w:r>
      <w:r w:rsidRPr="00ED6812">
        <w:rPr>
          <w:rFonts w:ascii="Times New Roman" w:eastAsia="Times New Roman" w:hAnsi="Times New Roman" w:cs="Times New Roman"/>
          <w:sz w:val="24"/>
          <w:szCs w:val="24"/>
        </w:rPr>
        <w:t xml:space="preserve"> four drugs (ofloxacin, ciprofloxacin, moxifloxacin, and levofloxacin) into one collection [Fluoroquinolones (moxifloxacin, levofloxacin, ofloxacin)].</w:t>
      </w:r>
      <w:r w:rsidRPr="00ED6812" w:rsidR="00ED6812">
        <w:rPr>
          <w:rFonts w:ascii="Times New Roman" w:eastAsia="Times New Roman" w:hAnsi="Times New Roman" w:cs="Times New Roman"/>
          <w:sz w:val="24"/>
          <w:szCs w:val="24"/>
        </w:rPr>
        <w:t xml:space="preserve"> This will streamline molecular result entry for participating laboratories that perform this testing.</w:t>
      </w:r>
      <w:r w:rsidRPr="003F7182" w:rsidR="003F7182">
        <w:rPr>
          <w:rFonts w:ascii="Times New Roman" w:eastAsia="Times New Roman" w:hAnsi="Times New Roman" w:cs="Times New Roman"/>
          <w:sz w:val="24"/>
          <w:szCs w:val="24"/>
        </w:rPr>
        <w:t xml:space="preserve"> </w:t>
      </w:r>
      <w:r w:rsidR="003F7182">
        <w:rPr>
          <w:rFonts w:ascii="Times New Roman" w:eastAsia="Times New Roman" w:hAnsi="Times New Roman" w:cs="Times New Roman"/>
          <w:sz w:val="24"/>
          <w:szCs w:val="24"/>
        </w:rPr>
        <w:t>This change and the reduction in number of participants has reduced the total burden hours from the previous version of the MPEP Results Worksheet.</w:t>
      </w:r>
    </w:p>
    <w:p w:rsidR="00420F61" w:rsidP="00833B85" w14:paraId="1BC06D8C" w14:textId="0B5D2558">
      <w:pPr>
        <w:spacing w:before="80" w:after="0" w:line="240" w:lineRule="auto"/>
        <w:rPr>
          <w:rFonts w:ascii="Times New Roman" w:eastAsia="Times New Roman" w:hAnsi="Times New Roman" w:cs="Times New Roman"/>
          <w:sz w:val="24"/>
          <w:szCs w:val="24"/>
        </w:rPr>
      </w:pPr>
      <w:r w:rsidRPr="00ED6812">
        <w:rPr>
          <w:rFonts w:ascii="Times New Roman" w:eastAsia="Times New Roman" w:hAnsi="Times New Roman" w:cs="Times New Roman"/>
          <w:sz w:val="24"/>
          <w:szCs w:val="24"/>
        </w:rPr>
        <w:t xml:space="preserve">CDC is requesting approval of an Expected Results Report </w:t>
      </w:r>
      <w:r w:rsidRPr="00ED6812">
        <w:rPr>
          <w:rFonts w:ascii="Times New Roman" w:eastAsia="Times New Roman" w:hAnsi="Times New Roman" w:cs="Times New Roman"/>
          <w:b/>
          <w:bCs/>
          <w:sz w:val="24"/>
          <w:szCs w:val="24"/>
        </w:rPr>
        <w:t>(</w:t>
      </w:r>
      <w:r w:rsidRPr="00ED6812">
        <w:rPr>
          <w:rFonts w:ascii="Times New Roman" w:eastAsia="Times New Roman" w:hAnsi="Times New Roman" w:cs="Times New Roman"/>
          <w:b/>
          <w:sz w:val="24"/>
          <w:szCs w:val="24"/>
        </w:rPr>
        <w:t xml:space="preserve">Attachment </w:t>
      </w:r>
      <w:r w:rsidRPr="00ED6812" w:rsidR="00ED6812">
        <w:rPr>
          <w:rFonts w:ascii="Times New Roman" w:eastAsia="Times New Roman" w:hAnsi="Times New Roman" w:cs="Times New Roman"/>
          <w:b/>
          <w:sz w:val="24"/>
          <w:szCs w:val="24"/>
        </w:rPr>
        <w:t>1</w:t>
      </w:r>
      <w:r w:rsidR="008445E9">
        <w:rPr>
          <w:rFonts w:ascii="Times New Roman" w:eastAsia="Times New Roman" w:hAnsi="Times New Roman" w:cs="Times New Roman"/>
          <w:b/>
          <w:sz w:val="24"/>
          <w:szCs w:val="24"/>
        </w:rPr>
        <w:t>1</w:t>
      </w:r>
      <w:r w:rsidRPr="00ED6812">
        <w:rPr>
          <w:rFonts w:ascii="Times New Roman" w:eastAsia="Times New Roman" w:hAnsi="Times New Roman" w:cs="Times New Roman"/>
          <w:b/>
          <w:bCs/>
          <w:sz w:val="24"/>
          <w:szCs w:val="24"/>
        </w:rPr>
        <w:t>)</w:t>
      </w:r>
      <w:r w:rsidRPr="00ED6812">
        <w:rPr>
          <w:rFonts w:ascii="Times New Roman" w:eastAsia="Times New Roman" w:hAnsi="Times New Roman" w:cs="Times New Roman"/>
          <w:sz w:val="24"/>
          <w:szCs w:val="24"/>
        </w:rPr>
        <w:t>. The</w:t>
      </w:r>
      <w:r>
        <w:rPr>
          <w:rFonts w:ascii="Times New Roman" w:eastAsia="Times New Roman" w:hAnsi="Times New Roman" w:cs="Times New Roman"/>
          <w:sz w:val="24"/>
          <w:szCs w:val="24"/>
        </w:rPr>
        <w:t xml:space="preserve"> Expected Results Report is a preliminary report with expected growth-based DST and molecular results. </w:t>
      </w:r>
      <w:r w:rsidR="00ED6812">
        <w:rPr>
          <w:rFonts w:ascii="Times New Roman" w:eastAsia="Times New Roman" w:hAnsi="Times New Roman" w:cs="Times New Roman"/>
          <w:sz w:val="24"/>
          <w:szCs w:val="24"/>
        </w:rPr>
        <w:t xml:space="preserve">Inclusion of this report </w:t>
      </w:r>
      <w:r>
        <w:rPr>
          <w:rFonts w:ascii="Times New Roman" w:eastAsia="Times New Roman" w:hAnsi="Times New Roman" w:cs="Times New Roman"/>
          <w:sz w:val="24"/>
          <w:szCs w:val="24"/>
        </w:rPr>
        <w:t>allows participating laboratories to begin their self-evaluation while the Final Report is being developed.</w:t>
      </w:r>
    </w:p>
    <w:p w:rsidR="00986DF0" w:rsidRPr="00986DF0" w:rsidP="004324BA" w14:paraId="0D0BE476" w14:textId="7D95E9C3">
      <w:pPr>
        <w:spacing w:after="0" w:line="240" w:lineRule="auto"/>
        <w:rPr>
          <w:rFonts w:ascii="Times New Roman" w:eastAsia="Times New Roman" w:hAnsi="Times New Roman" w:cs="Times New Roman"/>
          <w:bCs/>
          <w:sz w:val="24"/>
          <w:szCs w:val="24"/>
        </w:rPr>
      </w:pPr>
    </w:p>
    <w:p w:rsidR="007C3CB7" w:rsidRPr="004324BA" w:rsidP="004324BA" w14:paraId="6BB36751" w14:textId="77777777">
      <w:pPr>
        <w:spacing w:after="0" w:line="240" w:lineRule="auto"/>
        <w:rPr>
          <w:rFonts w:ascii="Times New Roman" w:eastAsia="Times New Roman" w:hAnsi="Times New Roman" w:cs="Times New Roman"/>
          <w:sz w:val="24"/>
          <w:szCs w:val="24"/>
        </w:rPr>
      </w:pPr>
    </w:p>
    <w:p w:rsidR="00586068" w:rsidP="00586068" w14:paraId="062998A9" w14:textId="66A2AF35">
      <w:pPr>
        <w:spacing w:after="0" w:line="240" w:lineRule="auto"/>
        <w:rPr>
          <w:b/>
        </w:rPr>
      </w:pPr>
      <w:r w:rsidRPr="007A5DE4">
        <w:rPr>
          <w:b/>
        </w:rPr>
        <w:t xml:space="preserve">Table 1. </w:t>
      </w:r>
      <w:r>
        <w:rPr>
          <w:b/>
        </w:rPr>
        <w:t xml:space="preserve">CDC Model Performance Evaluation Program (MPEP) for </w:t>
      </w:r>
      <w:r>
        <w:rPr>
          <w:b/>
          <w:i/>
        </w:rPr>
        <w:t xml:space="preserve">Mycobacterium tuberculosis </w:t>
      </w:r>
      <w:r>
        <w:rPr>
          <w:b/>
        </w:rPr>
        <w:t>Drug Susceptibility Testing</w:t>
      </w:r>
    </w:p>
    <w:p w:rsidR="00586068" w:rsidP="00586068" w14:paraId="04D2494A" w14:textId="77777777">
      <w:pPr>
        <w:spacing w:after="0" w:line="240" w:lineRule="auto"/>
        <w:jc w:val="center"/>
        <w:rPr>
          <w:b/>
        </w:rPr>
      </w:pPr>
      <w:r>
        <w:rPr>
          <w:b/>
        </w:rPr>
        <w:t xml:space="preserve">OMB Control No. 0920-0600 </w:t>
      </w:r>
    </w:p>
    <w:p w:rsidR="00F22917" w:rsidP="00586068" w14:paraId="125250B6" w14:textId="77777777">
      <w:pPr>
        <w:spacing w:after="0" w:line="240" w:lineRule="auto"/>
        <w:jc w:val="center"/>
        <w:rPr>
          <w:b/>
        </w:rPr>
      </w:pPr>
      <w:r w:rsidRPr="00586068">
        <w:rPr>
          <w:b/>
        </w:rPr>
        <w:t xml:space="preserve">Explanation of </w:t>
      </w:r>
      <w:r>
        <w:rPr>
          <w:b/>
        </w:rPr>
        <w:t>Form C</w:t>
      </w:r>
      <w:r w:rsidRPr="00586068">
        <w:rPr>
          <w:b/>
        </w:rPr>
        <w:t>hanges</w:t>
      </w:r>
    </w:p>
    <w:p w:rsidR="00586068" w:rsidP="00586068" w14:paraId="7AEF0BC3" w14:textId="77777777">
      <w:pPr>
        <w:spacing w:after="0" w:line="240" w:lineRule="auto"/>
        <w:jc w:val="center"/>
        <w:rPr>
          <w:b/>
        </w:rPr>
      </w:pPr>
    </w:p>
    <w:tbl>
      <w:tblPr>
        <w:tblStyle w:val="TableGrid"/>
        <w:tblW w:w="14490" w:type="dxa"/>
        <w:tblLayout w:type="fixed"/>
        <w:tblLook w:val="04A0"/>
      </w:tblPr>
      <w:tblGrid>
        <w:gridCol w:w="4500"/>
        <w:gridCol w:w="720"/>
        <w:gridCol w:w="2700"/>
        <w:gridCol w:w="810"/>
        <w:gridCol w:w="5760"/>
      </w:tblGrid>
      <w:tr w14:paraId="274758F5" w14:textId="77777777" w:rsidTr="004324BA">
        <w:tblPrEx>
          <w:tblW w:w="14490" w:type="dxa"/>
          <w:tblLayout w:type="fixed"/>
          <w:tblLook w:val="04A0"/>
        </w:tblPrEx>
        <w:trPr>
          <w:tblHeader/>
        </w:trPr>
        <w:tc>
          <w:tcPr>
            <w:tcW w:w="4500" w:type="dxa"/>
          </w:tcPr>
          <w:p w:rsidR="00586068" w:rsidRPr="002E6341" w:rsidP="00115B12" w14:paraId="3FA33A24" w14:textId="77777777">
            <w:pPr>
              <w:rPr>
                <w:color w:val="000000"/>
              </w:rPr>
            </w:pPr>
            <w:r>
              <w:rPr>
                <w:color w:val="000000"/>
              </w:rPr>
              <w:t xml:space="preserve">Form Name </w:t>
            </w:r>
          </w:p>
        </w:tc>
        <w:tc>
          <w:tcPr>
            <w:tcW w:w="720" w:type="dxa"/>
          </w:tcPr>
          <w:p w:rsidR="00586068" w:rsidP="009D666E" w14:paraId="73FA4C1E" w14:textId="77777777">
            <w:r>
              <w:t xml:space="preserve">Still being Used </w:t>
            </w:r>
            <w:r w:rsidRPr="002E6341">
              <w:rPr>
                <w:b/>
              </w:rPr>
              <w:t>Y/N</w:t>
            </w:r>
          </w:p>
        </w:tc>
        <w:tc>
          <w:tcPr>
            <w:tcW w:w="2700" w:type="dxa"/>
          </w:tcPr>
          <w:p w:rsidR="00586068" w:rsidP="009D666E" w14:paraId="64472151" w14:textId="77777777">
            <w:r>
              <w:t xml:space="preserve">Replaced by another form if </w:t>
            </w:r>
            <w:r>
              <w:t>so</w:t>
            </w:r>
            <w:r>
              <w:t xml:space="preserve"> which new form replaces this one (Attachment #)</w:t>
            </w:r>
          </w:p>
        </w:tc>
        <w:tc>
          <w:tcPr>
            <w:tcW w:w="810" w:type="dxa"/>
          </w:tcPr>
          <w:p w:rsidR="00586068" w:rsidP="009D666E" w14:paraId="17D61B89" w14:textId="77777777">
            <w:r>
              <w:t>OK to delete form</w:t>
            </w:r>
          </w:p>
          <w:p w:rsidR="00586068" w:rsidP="009D666E" w14:paraId="0BEB1AF5" w14:textId="77777777">
            <w:r w:rsidRPr="002E6341">
              <w:rPr>
                <w:b/>
              </w:rPr>
              <w:t>Y/N</w:t>
            </w:r>
          </w:p>
        </w:tc>
        <w:tc>
          <w:tcPr>
            <w:tcW w:w="5760" w:type="dxa"/>
          </w:tcPr>
          <w:p w:rsidR="00586068" w:rsidP="009D666E" w14:paraId="5575E7B8" w14:textId="77777777">
            <w:r>
              <w:t>Comments</w:t>
            </w:r>
          </w:p>
        </w:tc>
      </w:tr>
      <w:tr w14:paraId="784241B5" w14:textId="77777777" w:rsidTr="004324BA">
        <w:tblPrEx>
          <w:tblW w:w="14490" w:type="dxa"/>
          <w:tblLayout w:type="fixed"/>
          <w:tblLook w:val="04A0"/>
        </w:tblPrEx>
        <w:trPr>
          <w:tblHeader/>
        </w:trPr>
        <w:tc>
          <w:tcPr>
            <w:tcW w:w="4500" w:type="dxa"/>
          </w:tcPr>
          <w:p w:rsidR="00833B85" w:rsidP="00833B85" w14:paraId="1CA3F1F9" w14:textId="63C9ECA9">
            <w:pPr>
              <w:rPr>
                <w:color w:val="000000"/>
              </w:rPr>
            </w:pPr>
            <w:r>
              <w:t xml:space="preserve">Online </w:t>
            </w:r>
            <w:r w:rsidRPr="00ED6812">
              <w:t xml:space="preserve">Survey Instrument </w:t>
            </w:r>
            <w:r w:rsidRPr="00ED6812">
              <w:t>Webshots</w:t>
            </w:r>
            <w:r w:rsidRPr="00ED6812">
              <w:t xml:space="preserve"> (</w:t>
            </w:r>
            <w:r w:rsidRPr="00ED6812">
              <w:rPr>
                <w:b/>
                <w:bCs/>
              </w:rPr>
              <w:t xml:space="preserve">Attachment </w:t>
            </w:r>
            <w:r w:rsidR="008445E9">
              <w:rPr>
                <w:b/>
                <w:bCs/>
              </w:rPr>
              <w:t>4</w:t>
            </w:r>
            <w:r w:rsidRPr="00ED6812">
              <w:t>)</w:t>
            </w:r>
          </w:p>
        </w:tc>
        <w:tc>
          <w:tcPr>
            <w:tcW w:w="720" w:type="dxa"/>
          </w:tcPr>
          <w:p w:rsidR="00833B85" w:rsidP="00833B85" w14:paraId="5886A503" w14:textId="5991EA79">
            <w:r>
              <w:t>Y</w:t>
            </w:r>
          </w:p>
        </w:tc>
        <w:tc>
          <w:tcPr>
            <w:tcW w:w="2700" w:type="dxa"/>
          </w:tcPr>
          <w:p w:rsidR="00833B85" w:rsidP="00833B85" w14:paraId="40754FD6" w14:textId="77777777"/>
        </w:tc>
        <w:tc>
          <w:tcPr>
            <w:tcW w:w="810" w:type="dxa"/>
          </w:tcPr>
          <w:p w:rsidR="00833B85" w:rsidP="00833B85" w14:paraId="6F84A639" w14:textId="4DDD09B6">
            <w:r>
              <w:t>N</w:t>
            </w:r>
          </w:p>
        </w:tc>
        <w:tc>
          <w:tcPr>
            <w:tcW w:w="5760" w:type="dxa"/>
          </w:tcPr>
          <w:p w:rsidR="00833B85" w:rsidP="00833B85" w14:paraId="4EE9BE9C" w14:textId="33CA5838">
            <w:r>
              <w:t>U</w:t>
            </w:r>
            <w:r w:rsidRPr="00074D12">
              <w:t>pdate molecular testing method choices to reflect current testing options and improve survey usability and flexibility, per the request of participants</w:t>
            </w:r>
          </w:p>
        </w:tc>
      </w:tr>
      <w:tr w14:paraId="18743722" w14:textId="77777777" w:rsidTr="004324BA">
        <w:tblPrEx>
          <w:tblW w:w="14490" w:type="dxa"/>
          <w:tblLayout w:type="fixed"/>
          <w:tblLook w:val="04A0"/>
        </w:tblPrEx>
        <w:tc>
          <w:tcPr>
            <w:tcW w:w="4500" w:type="dxa"/>
          </w:tcPr>
          <w:p w:rsidR="00833B85" w:rsidRPr="00ED6812" w:rsidP="00833B85" w14:paraId="264FE953" w14:textId="71F8CBCC">
            <w:r w:rsidRPr="00ED6812">
              <w:t xml:space="preserve">MPEP </w:t>
            </w:r>
            <w:r w:rsidRPr="00ED6812">
              <w:rPr>
                <w:i/>
                <w:iCs/>
              </w:rPr>
              <w:t xml:space="preserve">Mycobacterium tuberculosis </w:t>
            </w:r>
            <w:r w:rsidRPr="00ED6812">
              <w:t>Results Worksheet (</w:t>
            </w:r>
            <w:r w:rsidRPr="00ED6812">
              <w:rPr>
                <w:b/>
                <w:bCs/>
              </w:rPr>
              <w:t xml:space="preserve">Attachment </w:t>
            </w:r>
            <w:r w:rsidR="008445E9">
              <w:rPr>
                <w:b/>
                <w:bCs/>
              </w:rPr>
              <w:t>8</w:t>
            </w:r>
            <w:r w:rsidRPr="00ED6812">
              <w:t>)</w:t>
            </w:r>
          </w:p>
        </w:tc>
        <w:tc>
          <w:tcPr>
            <w:tcW w:w="720" w:type="dxa"/>
          </w:tcPr>
          <w:p w:rsidR="00833B85" w:rsidP="00833B85" w14:paraId="62B6D537" w14:textId="2C288A72">
            <w:r>
              <w:t>Y</w:t>
            </w:r>
          </w:p>
        </w:tc>
        <w:tc>
          <w:tcPr>
            <w:tcW w:w="2700" w:type="dxa"/>
          </w:tcPr>
          <w:p w:rsidR="00833B85" w:rsidP="00833B85" w14:paraId="1B1E8470" w14:textId="77777777"/>
        </w:tc>
        <w:tc>
          <w:tcPr>
            <w:tcW w:w="810" w:type="dxa"/>
          </w:tcPr>
          <w:p w:rsidR="00833B85" w:rsidP="00833B85" w14:paraId="7CCB6DE9" w14:textId="2A53F30F">
            <w:r>
              <w:t>N</w:t>
            </w:r>
          </w:p>
        </w:tc>
        <w:tc>
          <w:tcPr>
            <w:tcW w:w="5760" w:type="dxa"/>
          </w:tcPr>
          <w:p w:rsidR="00833B85" w:rsidP="00833B85" w14:paraId="234490D0" w14:textId="4187E933">
            <w:r>
              <w:t>C</w:t>
            </w:r>
            <w:r w:rsidRPr="00420F61">
              <w:t>onsolidate data collection of four drugs (ofloxacin, ciprofloxacin, moxifloxacin, and levofloxacin) into one collection [Fluoroquinolones (moxifloxacin, levofloxacin, ofloxacin)]</w:t>
            </w:r>
          </w:p>
        </w:tc>
      </w:tr>
      <w:tr w14:paraId="4CFD1955" w14:textId="77777777" w:rsidTr="004324BA">
        <w:tblPrEx>
          <w:tblW w:w="14490" w:type="dxa"/>
          <w:tblLayout w:type="fixed"/>
          <w:tblLook w:val="04A0"/>
        </w:tblPrEx>
        <w:tc>
          <w:tcPr>
            <w:tcW w:w="4500" w:type="dxa"/>
          </w:tcPr>
          <w:p w:rsidR="00833B85" w:rsidRPr="00ED6812" w:rsidP="00833B85" w14:paraId="569FA491" w14:textId="0EAFF455">
            <w:pPr>
              <w:rPr>
                <w:b/>
                <w:bCs/>
              </w:rPr>
            </w:pPr>
            <w:r w:rsidRPr="00ED6812">
              <w:t>Expected Results Report (</w:t>
            </w:r>
            <w:r w:rsidRPr="00ED6812">
              <w:rPr>
                <w:b/>
                <w:bCs/>
              </w:rPr>
              <w:t>Attachment 1</w:t>
            </w:r>
            <w:r w:rsidR="008445E9">
              <w:rPr>
                <w:b/>
                <w:bCs/>
              </w:rPr>
              <w:t>1</w:t>
            </w:r>
            <w:r w:rsidRPr="00ED6812">
              <w:rPr>
                <w:b/>
                <w:bCs/>
              </w:rPr>
              <w:t>)</w:t>
            </w:r>
          </w:p>
        </w:tc>
        <w:tc>
          <w:tcPr>
            <w:tcW w:w="720" w:type="dxa"/>
          </w:tcPr>
          <w:p w:rsidR="00833B85" w:rsidRPr="003D08AE" w:rsidP="00833B85" w14:paraId="45792FC8" w14:textId="1FC353C5"/>
        </w:tc>
        <w:tc>
          <w:tcPr>
            <w:tcW w:w="2700" w:type="dxa"/>
          </w:tcPr>
          <w:p w:rsidR="00833B85" w:rsidRPr="003D08AE" w:rsidP="00833B85" w14:paraId="552AF514" w14:textId="586AEF10"/>
        </w:tc>
        <w:tc>
          <w:tcPr>
            <w:tcW w:w="810" w:type="dxa"/>
          </w:tcPr>
          <w:p w:rsidR="00833B85" w:rsidRPr="003D08AE" w:rsidP="00833B85" w14:paraId="6C08EFE8" w14:textId="1654A1D1"/>
        </w:tc>
        <w:tc>
          <w:tcPr>
            <w:tcW w:w="5760" w:type="dxa"/>
          </w:tcPr>
          <w:p w:rsidR="00833B85" w:rsidRPr="003D08AE" w:rsidP="00833B85" w14:paraId="2DE889D9" w14:textId="5B0628B6">
            <w:r>
              <w:rPr>
                <w:bCs/>
              </w:rPr>
              <w:t>New form to p</w:t>
            </w:r>
            <w:r w:rsidRPr="00074D12">
              <w:rPr>
                <w:bCs/>
              </w:rPr>
              <w:t>rovide participating laboratories a preliminary report</w:t>
            </w:r>
            <w:r>
              <w:rPr>
                <w:bCs/>
              </w:rPr>
              <w:t xml:space="preserve"> of expected results</w:t>
            </w:r>
            <w:r w:rsidRPr="00074D12">
              <w:rPr>
                <w:bCs/>
              </w:rPr>
              <w:t xml:space="preserve"> prior to the development of the Final Report</w:t>
            </w:r>
          </w:p>
        </w:tc>
      </w:tr>
    </w:tbl>
    <w:p w:rsidR="00586068" w:rsidRPr="00586068" w:rsidP="00E236D9" w14:paraId="4CF43CE3" w14:textId="77777777">
      <w:pPr>
        <w:spacing w:after="0" w:line="240" w:lineRule="auto"/>
        <w:rPr>
          <w:b/>
        </w:rPr>
      </w:pPr>
    </w:p>
    <w:sectPr w:rsidSect="00BF24B4">
      <w:headerReference w:type="even" r:id="rId5"/>
      <w:headerReference w:type="default" r:id="rId6"/>
      <w:footerReference w:type="even" r:id="rId7"/>
      <w:footerReference w:type="default" r:id="rId8"/>
      <w:headerReference w:type="first" r:id="rId9"/>
      <w:footerReference w:type="first" r:id="rI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E20" w14:paraId="25F39E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5357828"/>
      <w:docPartObj>
        <w:docPartGallery w:val="Page Numbers (Bottom of Page)"/>
        <w:docPartUnique/>
      </w:docPartObj>
    </w:sdtPr>
    <w:sdtEndPr>
      <w:rPr>
        <w:noProof/>
      </w:rPr>
    </w:sdtEndPr>
    <w:sdtContent>
      <w:p w:rsidR="004324BA" w14:paraId="19EC256B" w14:textId="77777777">
        <w:pPr>
          <w:pStyle w:val="Footer"/>
          <w:jc w:val="center"/>
        </w:pPr>
        <w:r>
          <w:fldChar w:fldCharType="begin"/>
        </w:r>
        <w:r>
          <w:instrText xml:space="preserve"> PAGE   \* MERGEFORMAT </w:instrText>
        </w:r>
        <w:r>
          <w:fldChar w:fldCharType="separate"/>
        </w:r>
        <w:r w:rsidR="002B226C">
          <w:rPr>
            <w:noProof/>
          </w:rPr>
          <w:t>2</w:t>
        </w:r>
        <w:r>
          <w:rPr>
            <w:noProof/>
          </w:rPr>
          <w:fldChar w:fldCharType="end"/>
        </w:r>
      </w:p>
    </w:sdtContent>
  </w:sdt>
  <w:p w:rsidR="004324BA" w14:paraId="136449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E20" w14:paraId="130AE9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E20" w14:paraId="699AAB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E20" w14:paraId="24987A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E20" w14:paraId="41BEFD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5D5E01"/>
    <w:multiLevelType w:val="hybridMultilevel"/>
    <w:tmpl w:val="475AB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AF0688"/>
    <w:multiLevelType w:val="hybridMultilevel"/>
    <w:tmpl w:val="FD8A2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277096"/>
    <w:multiLevelType w:val="hybridMultilevel"/>
    <w:tmpl w:val="00121AC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21804763">
    <w:abstractNumId w:val="2"/>
  </w:num>
  <w:num w:numId="2" w16cid:durableId="2092698883">
    <w:abstractNumId w:val="1"/>
  </w:num>
  <w:num w:numId="3" w16cid:durableId="191366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68"/>
    <w:rsid w:val="00007583"/>
    <w:rsid w:val="000550A5"/>
    <w:rsid w:val="00055CE9"/>
    <w:rsid w:val="000666B1"/>
    <w:rsid w:val="00072397"/>
    <w:rsid w:val="00073770"/>
    <w:rsid w:val="00074D12"/>
    <w:rsid w:val="0008027F"/>
    <w:rsid w:val="000B0152"/>
    <w:rsid w:val="000D50F6"/>
    <w:rsid w:val="000F1991"/>
    <w:rsid w:val="000F653D"/>
    <w:rsid w:val="00101A2F"/>
    <w:rsid w:val="00115B12"/>
    <w:rsid w:val="00136334"/>
    <w:rsid w:val="00176C34"/>
    <w:rsid w:val="00181099"/>
    <w:rsid w:val="001B6A1E"/>
    <w:rsid w:val="001E2227"/>
    <w:rsid w:val="001F6849"/>
    <w:rsid w:val="0021034D"/>
    <w:rsid w:val="0021522B"/>
    <w:rsid w:val="00253338"/>
    <w:rsid w:val="00267EA2"/>
    <w:rsid w:val="002B226C"/>
    <w:rsid w:val="002E6341"/>
    <w:rsid w:val="00343E20"/>
    <w:rsid w:val="00372C7F"/>
    <w:rsid w:val="003D08AE"/>
    <w:rsid w:val="003E08A1"/>
    <w:rsid w:val="003E787D"/>
    <w:rsid w:val="003F7182"/>
    <w:rsid w:val="00412E31"/>
    <w:rsid w:val="00420F61"/>
    <w:rsid w:val="004324BA"/>
    <w:rsid w:val="00434D38"/>
    <w:rsid w:val="004710BA"/>
    <w:rsid w:val="00481DB9"/>
    <w:rsid w:val="00494050"/>
    <w:rsid w:val="00586068"/>
    <w:rsid w:val="005D7B41"/>
    <w:rsid w:val="005F4A2C"/>
    <w:rsid w:val="00621B7A"/>
    <w:rsid w:val="007233B5"/>
    <w:rsid w:val="00751369"/>
    <w:rsid w:val="0077283B"/>
    <w:rsid w:val="007A5DE4"/>
    <w:rsid w:val="007C0775"/>
    <w:rsid w:val="007C3CB7"/>
    <w:rsid w:val="007E3FEF"/>
    <w:rsid w:val="00821295"/>
    <w:rsid w:val="00833B85"/>
    <w:rsid w:val="008445E9"/>
    <w:rsid w:val="0085775B"/>
    <w:rsid w:val="00862A83"/>
    <w:rsid w:val="00885275"/>
    <w:rsid w:val="0098160E"/>
    <w:rsid w:val="00986DF0"/>
    <w:rsid w:val="009A18B6"/>
    <w:rsid w:val="009C2B21"/>
    <w:rsid w:val="009D666E"/>
    <w:rsid w:val="00A80308"/>
    <w:rsid w:val="00A94986"/>
    <w:rsid w:val="00AA6B77"/>
    <w:rsid w:val="00AE3A92"/>
    <w:rsid w:val="00B270F1"/>
    <w:rsid w:val="00B50590"/>
    <w:rsid w:val="00B8502F"/>
    <w:rsid w:val="00B85448"/>
    <w:rsid w:val="00BA63C8"/>
    <w:rsid w:val="00BB32F3"/>
    <w:rsid w:val="00BC2CE7"/>
    <w:rsid w:val="00BC4CFF"/>
    <w:rsid w:val="00BC61E7"/>
    <w:rsid w:val="00BC7039"/>
    <w:rsid w:val="00BF24B4"/>
    <w:rsid w:val="00C17F45"/>
    <w:rsid w:val="00C22B7A"/>
    <w:rsid w:val="00C51E0A"/>
    <w:rsid w:val="00C53B0A"/>
    <w:rsid w:val="00C77537"/>
    <w:rsid w:val="00CE007F"/>
    <w:rsid w:val="00CE7ECA"/>
    <w:rsid w:val="00D03AEA"/>
    <w:rsid w:val="00D16EEE"/>
    <w:rsid w:val="00D858CD"/>
    <w:rsid w:val="00D86697"/>
    <w:rsid w:val="00DB25E0"/>
    <w:rsid w:val="00E2197D"/>
    <w:rsid w:val="00E236D9"/>
    <w:rsid w:val="00E31222"/>
    <w:rsid w:val="00EA4EC8"/>
    <w:rsid w:val="00ED6812"/>
    <w:rsid w:val="00F1087F"/>
    <w:rsid w:val="00F22917"/>
    <w:rsid w:val="00FE41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1AFC35"/>
  <w15:docId w15:val="{11C43D5A-4499-43CE-A850-E62698AE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BA"/>
  </w:style>
  <w:style w:type="paragraph" w:styleId="Footer">
    <w:name w:val="footer"/>
    <w:basedOn w:val="Normal"/>
    <w:link w:val="FooterChar"/>
    <w:uiPriority w:val="99"/>
    <w:unhideWhenUsed/>
    <w:rsid w:val="0043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BA"/>
  </w:style>
  <w:style w:type="paragraph" w:styleId="BalloonText">
    <w:name w:val="Balloon Text"/>
    <w:basedOn w:val="Normal"/>
    <w:link w:val="BalloonTextChar"/>
    <w:uiPriority w:val="99"/>
    <w:semiHidden/>
    <w:unhideWhenUsed/>
    <w:rsid w:val="0077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3B"/>
    <w:rPr>
      <w:rFonts w:ascii="Tahoma" w:hAnsi="Tahoma" w:cs="Tahoma"/>
      <w:sz w:val="16"/>
      <w:szCs w:val="16"/>
    </w:rPr>
  </w:style>
  <w:style w:type="character" w:styleId="CommentReference">
    <w:name w:val="annotation reference"/>
    <w:basedOn w:val="DefaultParagraphFont"/>
    <w:uiPriority w:val="99"/>
    <w:semiHidden/>
    <w:unhideWhenUsed/>
    <w:rsid w:val="00343E20"/>
    <w:rPr>
      <w:sz w:val="16"/>
      <w:szCs w:val="16"/>
    </w:rPr>
  </w:style>
  <w:style w:type="paragraph" w:styleId="CommentText">
    <w:name w:val="annotation text"/>
    <w:basedOn w:val="Normal"/>
    <w:link w:val="CommentTextChar"/>
    <w:uiPriority w:val="99"/>
    <w:unhideWhenUsed/>
    <w:rsid w:val="00343E20"/>
    <w:pPr>
      <w:spacing w:line="240" w:lineRule="auto"/>
    </w:pPr>
    <w:rPr>
      <w:sz w:val="20"/>
      <w:szCs w:val="20"/>
    </w:rPr>
  </w:style>
  <w:style w:type="character" w:customStyle="1" w:styleId="CommentTextChar">
    <w:name w:val="Comment Text Char"/>
    <w:basedOn w:val="DefaultParagraphFont"/>
    <w:link w:val="CommentText"/>
    <w:uiPriority w:val="99"/>
    <w:rsid w:val="00343E20"/>
    <w:rPr>
      <w:sz w:val="20"/>
      <w:szCs w:val="20"/>
    </w:rPr>
  </w:style>
  <w:style w:type="paragraph" w:styleId="CommentSubject">
    <w:name w:val="annotation subject"/>
    <w:basedOn w:val="CommentText"/>
    <w:next w:val="CommentText"/>
    <w:link w:val="CommentSubjectChar"/>
    <w:uiPriority w:val="99"/>
    <w:semiHidden/>
    <w:unhideWhenUsed/>
    <w:rsid w:val="00136334"/>
    <w:rPr>
      <w:b/>
      <w:bCs/>
    </w:rPr>
  </w:style>
  <w:style w:type="character" w:customStyle="1" w:styleId="CommentSubjectChar">
    <w:name w:val="Comment Subject Char"/>
    <w:basedOn w:val="CommentTextChar"/>
    <w:link w:val="CommentSubject"/>
    <w:uiPriority w:val="99"/>
    <w:semiHidden/>
    <w:rsid w:val="00136334"/>
    <w:rPr>
      <w:b/>
      <w:bCs/>
      <w:sz w:val="20"/>
      <w:szCs w:val="20"/>
    </w:rPr>
  </w:style>
  <w:style w:type="paragraph" w:styleId="Revision">
    <w:name w:val="Revision"/>
    <w:hidden/>
    <w:uiPriority w:val="99"/>
    <w:semiHidden/>
    <w:rsid w:val="009A18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E6FE-8717-4D64-A34F-33C6ACFD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Stafford, Cortney (CDC/DDID/NCHHSTP/DTE)</cp:lastModifiedBy>
  <cp:revision>6</cp:revision>
  <cp:lastPrinted>2018-06-20T12:53:00Z</cp:lastPrinted>
  <dcterms:created xsi:type="dcterms:W3CDTF">2025-02-28T14:55:00Z</dcterms:created>
  <dcterms:modified xsi:type="dcterms:W3CDTF">2025-08-06T13:40:00Z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2d4cf889-2bc2-4b25-878c-4bf19ea2d6f0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2021-08-02T15:39:39Z</vt:lpwstr>
  </property>
  <property fmtid="{D5CDD505-2E9C-101B-9397-08002B2CF9AE}" pid="8" name="MSIP_Label_7b94a7b8-f06c-4dfe-bdcc-9b548fd58c31_SiteId">
    <vt:lpwstr>9ce70869-60db-44fd-abe8-d2767077fc8f</vt:lpwstr>
  </property>
</Properties>
</file>