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5740D" w:rsidRPr="00AE6D54" w:rsidP="00D5740D" w14:paraId="398EF76F" w14:textId="77777777">
      <w:pPr>
        <w:pStyle w:val="NormalWeb"/>
        <w:spacing w:line="288" w:lineRule="atLeast"/>
        <w:ind w:firstLine="480"/>
        <w:jc w:val="center"/>
        <w:rPr>
          <w:rFonts w:ascii="Cambria" w:hAnsi="Cambria"/>
          <w:u w:val="single"/>
        </w:rPr>
      </w:pPr>
      <w:bookmarkStart w:id="0" w:name="cs31d"/>
      <w:r w:rsidRPr="00AE6D54">
        <w:rPr>
          <w:rFonts w:ascii="Cambria" w:hAnsi="Cambria"/>
          <w:u w:val="single"/>
        </w:rPr>
        <w:t>SUPPORTING STATEMENT – PART B</w:t>
      </w:r>
    </w:p>
    <w:p w:rsidR="00324BBB" w:rsidRPr="00EB2E87" w:rsidP="00EB2E87" w14:paraId="311D3137" w14:textId="7668BCA5">
      <w:pPr>
        <w:pStyle w:val="NormalWeb"/>
        <w:spacing w:line="288" w:lineRule="atLeast"/>
        <w:ind w:firstLine="480"/>
        <w:rPr>
          <w:rFonts w:ascii="Cambria" w:hAnsi="Cambria"/>
        </w:rPr>
      </w:pPr>
      <w:bookmarkStart w:id="1" w:name="cs32"/>
      <w:bookmarkEnd w:id="0"/>
      <w:r w:rsidRPr="00AE6D54">
        <w:rPr>
          <w:rFonts w:ascii="Cambria" w:hAnsi="Cambria"/>
        </w:rPr>
        <w:t xml:space="preserve">B.  </w:t>
      </w:r>
      <w:r w:rsidRPr="00AE6D54">
        <w:rPr>
          <w:rFonts w:ascii="Cambria" w:hAnsi="Cambria"/>
          <w:u w:val="single"/>
        </w:rPr>
        <w:t>COLLECTIONS OF INFORMATION EMPLOYING STATISTICAL METHODS</w:t>
      </w:r>
      <w:bookmarkEnd w:id="1"/>
    </w:p>
    <w:p w:rsidR="00324BBB" w:rsidP="00324BBB" w14:paraId="47F5DD40" w14:textId="1878E2EC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bCs/>
          <w:sz w:val="24"/>
          <w:szCs w:val="24"/>
          <w:u w:val="single"/>
        </w:rPr>
      </w:pPr>
      <w:r w:rsidRPr="003901C6">
        <w:rPr>
          <w:rFonts w:ascii="Cambria" w:hAnsi="Cambria"/>
          <w:bCs/>
          <w:sz w:val="24"/>
          <w:szCs w:val="24"/>
          <w:u w:val="single"/>
        </w:rPr>
        <w:t xml:space="preserve">Description of the Activity </w:t>
      </w:r>
    </w:p>
    <w:p w:rsidR="00EB2E87" w:rsidP="00EB2E87" w14:paraId="205F0366" w14:textId="77777777">
      <w:pPr>
        <w:pStyle w:val="ListParagraph"/>
        <w:spacing w:after="0" w:line="240" w:lineRule="auto"/>
        <w:ind w:left="360"/>
        <w:rPr>
          <w:rFonts w:ascii="Cambria" w:hAnsi="Cambria"/>
          <w:sz w:val="24"/>
          <w:szCs w:val="24"/>
        </w:rPr>
      </w:pPr>
    </w:p>
    <w:p w:rsidR="00324BBB" w:rsidP="00EB2E87" w14:paraId="3E35CB06" w14:textId="49D9132E">
      <w:pPr>
        <w:pStyle w:val="ListParagraph"/>
        <w:spacing w:after="0" w:line="240" w:lineRule="auto"/>
        <w:ind w:left="360" w:firstLine="360"/>
        <w:rPr>
          <w:rFonts w:ascii="Cambria" w:hAnsi="Cambria"/>
          <w:sz w:val="24"/>
          <w:szCs w:val="24"/>
        </w:rPr>
      </w:pPr>
      <w:r w:rsidRPr="00EB2E87">
        <w:rPr>
          <w:rFonts w:ascii="Cambria" w:hAnsi="Cambria"/>
          <w:sz w:val="24"/>
          <w:szCs w:val="24"/>
        </w:rPr>
        <w:t xml:space="preserve">Data collection methods, procedures for conducting the research will vary; the purpose of these collections will be to provide assessments that inform internal decision-making, to conduct process, outcome, or impact evaluations of existing or proposed programs or policies, and/or to inform additional or future research. Some information collections may be required by Congress.  Information collected under this generic clearance may yield generalizable findings.  </w:t>
      </w:r>
    </w:p>
    <w:p w:rsidR="00EB2E87" w:rsidRPr="00EB2E87" w:rsidP="00EB2E87" w14:paraId="49359833" w14:textId="77777777">
      <w:pPr>
        <w:pStyle w:val="ListParagraph"/>
        <w:spacing w:after="0" w:line="240" w:lineRule="auto"/>
        <w:ind w:left="360" w:firstLine="360"/>
        <w:rPr>
          <w:rFonts w:ascii="Cambria" w:hAnsi="Cambria"/>
          <w:sz w:val="24"/>
          <w:szCs w:val="24"/>
        </w:rPr>
      </w:pPr>
    </w:p>
    <w:p w:rsidR="00324BBB" w:rsidRPr="00282ACC" w:rsidP="00EB2E87" w14:paraId="30BA78CD" w14:textId="2BCA9FBD">
      <w:pPr>
        <w:pStyle w:val="ListParagraph"/>
        <w:spacing w:after="0" w:line="240" w:lineRule="auto"/>
        <w:ind w:left="360" w:firstLine="360"/>
        <w:rPr>
          <w:rFonts w:ascii="Cambria" w:hAnsi="Cambria"/>
          <w:sz w:val="24"/>
          <w:szCs w:val="24"/>
        </w:rPr>
      </w:pPr>
      <w:r w:rsidRPr="00282ACC">
        <w:rPr>
          <w:rFonts w:ascii="Cambria" w:hAnsi="Cambria"/>
          <w:sz w:val="24"/>
          <w:szCs w:val="24"/>
        </w:rPr>
        <w:t>T</w:t>
      </w:r>
      <w:r w:rsidRPr="00282ACC">
        <w:rPr>
          <w:rFonts w:ascii="Cambria" w:hAnsi="Cambria"/>
          <w:sz w:val="24"/>
          <w:szCs w:val="24"/>
        </w:rPr>
        <w:t xml:space="preserve">he activities under this clearance may involve </w:t>
      </w:r>
      <w:r w:rsidRPr="00282ACC" w:rsidR="000D0580">
        <w:rPr>
          <w:rFonts w:ascii="Cambria" w:hAnsi="Cambria"/>
          <w:sz w:val="24"/>
          <w:szCs w:val="24"/>
        </w:rPr>
        <w:t xml:space="preserve">statistical samples, </w:t>
      </w:r>
      <w:r w:rsidRPr="00282ACC">
        <w:rPr>
          <w:rFonts w:ascii="Cambria" w:hAnsi="Cambria"/>
          <w:sz w:val="24"/>
          <w:szCs w:val="24"/>
        </w:rPr>
        <w:t xml:space="preserve">self-selected </w:t>
      </w:r>
      <w:r w:rsidRPr="00282ACC" w:rsidR="00FD770A">
        <w:rPr>
          <w:rFonts w:ascii="Cambria" w:hAnsi="Cambria"/>
          <w:sz w:val="24"/>
          <w:szCs w:val="24"/>
        </w:rPr>
        <w:t>participants, (</w:t>
      </w:r>
      <w:r w:rsidRPr="00282ACC" w:rsidR="0090198C">
        <w:rPr>
          <w:rFonts w:ascii="Cambria" w:hAnsi="Cambria"/>
          <w:sz w:val="24"/>
          <w:szCs w:val="24"/>
        </w:rPr>
        <w:t xml:space="preserve">i.e., </w:t>
      </w:r>
      <w:r w:rsidRPr="00282ACC">
        <w:rPr>
          <w:rFonts w:ascii="Cambria" w:hAnsi="Cambria"/>
          <w:sz w:val="24"/>
          <w:szCs w:val="24"/>
        </w:rPr>
        <w:t>convenience samples</w:t>
      </w:r>
      <w:r w:rsidRPr="00282ACC" w:rsidR="000D0580">
        <w:rPr>
          <w:rFonts w:ascii="Cambria" w:hAnsi="Cambria"/>
          <w:sz w:val="24"/>
          <w:szCs w:val="24"/>
        </w:rPr>
        <w:t>)</w:t>
      </w:r>
      <w:r w:rsidRPr="00282ACC">
        <w:rPr>
          <w:rFonts w:ascii="Cambria" w:hAnsi="Cambria"/>
          <w:sz w:val="24"/>
          <w:szCs w:val="24"/>
        </w:rPr>
        <w:t xml:space="preserve">, and quota samples, with respondents selected to cover a broad range of </w:t>
      </w:r>
      <w:r w:rsidRPr="00282ACC" w:rsidR="00C34330">
        <w:rPr>
          <w:rFonts w:ascii="Cambria" w:hAnsi="Cambria"/>
          <w:sz w:val="24"/>
          <w:szCs w:val="24"/>
        </w:rPr>
        <w:t>participants</w:t>
      </w:r>
      <w:r w:rsidRPr="00282ACC">
        <w:rPr>
          <w:rFonts w:ascii="Cambria" w:hAnsi="Cambria"/>
          <w:sz w:val="24"/>
          <w:szCs w:val="24"/>
        </w:rPr>
        <w:t xml:space="preserve">.  </w:t>
      </w:r>
      <w:r w:rsidRPr="00282ACC" w:rsidR="003603F5">
        <w:rPr>
          <w:rFonts w:ascii="Cambria" w:hAnsi="Cambria"/>
          <w:sz w:val="24"/>
          <w:szCs w:val="24"/>
        </w:rPr>
        <w:t xml:space="preserve">Participants will </w:t>
      </w:r>
      <w:r w:rsidRPr="00282ACC" w:rsidR="00A4647B">
        <w:rPr>
          <w:rFonts w:ascii="Cambria" w:hAnsi="Cambria"/>
          <w:sz w:val="24"/>
          <w:szCs w:val="24"/>
        </w:rPr>
        <w:t>include</w:t>
      </w:r>
      <w:r w:rsidRPr="00282ACC" w:rsidR="003603F5">
        <w:rPr>
          <w:rFonts w:ascii="Cambria" w:hAnsi="Cambria"/>
          <w:sz w:val="24"/>
          <w:szCs w:val="24"/>
        </w:rPr>
        <w:t xml:space="preserve"> the military population, which may include those on </w:t>
      </w:r>
      <w:r w:rsidRPr="00282ACC" w:rsidR="00A4647B">
        <w:rPr>
          <w:rFonts w:ascii="Cambria" w:hAnsi="Cambria"/>
          <w:sz w:val="24"/>
          <w:szCs w:val="24"/>
        </w:rPr>
        <w:t>Active-Duty</w:t>
      </w:r>
      <w:r w:rsidRPr="00282ACC" w:rsidR="003603F5">
        <w:rPr>
          <w:rFonts w:ascii="Cambria" w:hAnsi="Cambria"/>
          <w:sz w:val="24"/>
          <w:szCs w:val="24"/>
        </w:rPr>
        <w:t xml:space="preserve"> status (i.e., Title 10), Reserve (i.e., Title 32), and students attending the Military Service Academies</w:t>
      </w:r>
      <w:r w:rsidRPr="00282ACC" w:rsidR="00A4647B">
        <w:rPr>
          <w:rFonts w:ascii="Cambria" w:hAnsi="Cambria"/>
          <w:sz w:val="24"/>
          <w:szCs w:val="24"/>
        </w:rPr>
        <w:t xml:space="preserve">, as well as pre-accession participants and civilian personnel. </w:t>
      </w:r>
      <w:r w:rsidRPr="00282ACC" w:rsidR="000D0580">
        <w:rPr>
          <w:rFonts w:ascii="Cambria" w:hAnsi="Cambria"/>
          <w:sz w:val="24"/>
          <w:szCs w:val="24"/>
        </w:rPr>
        <w:t xml:space="preserve"> P</w:t>
      </w:r>
      <w:r w:rsidRPr="00282ACC" w:rsidR="0090198C">
        <w:rPr>
          <w:rFonts w:ascii="Cambria" w:hAnsi="Cambria"/>
          <w:sz w:val="24"/>
          <w:szCs w:val="24"/>
        </w:rPr>
        <w:t xml:space="preserve">articipants may </w:t>
      </w:r>
      <w:r w:rsidRPr="00282ACC" w:rsidR="000D0580">
        <w:rPr>
          <w:rFonts w:ascii="Cambria" w:hAnsi="Cambria"/>
          <w:sz w:val="24"/>
          <w:szCs w:val="24"/>
        </w:rPr>
        <w:t xml:space="preserve">also include civilian employees of the DoD, including those employed by the military Departments or the National Guard Bureau. </w:t>
      </w:r>
      <w:r w:rsidRPr="00282ACC">
        <w:rPr>
          <w:rFonts w:ascii="Cambria" w:hAnsi="Cambria"/>
          <w:sz w:val="24"/>
          <w:szCs w:val="24"/>
        </w:rPr>
        <w:t xml:space="preserve">The specific sample planned for each individual collection and the method for soliciting participation will be described fully in each collection request.  </w:t>
      </w:r>
    </w:p>
    <w:p w:rsidR="00324BBB" w:rsidRPr="00282ACC" w:rsidP="00324BBB" w14:paraId="7CB91F38" w14:textId="77777777">
      <w:pPr>
        <w:pStyle w:val="ListParagraph"/>
        <w:spacing w:after="0" w:line="240" w:lineRule="auto"/>
        <w:ind w:left="360"/>
        <w:rPr>
          <w:rFonts w:ascii="Cambria" w:hAnsi="Cambria"/>
          <w:sz w:val="24"/>
          <w:szCs w:val="24"/>
        </w:rPr>
      </w:pPr>
    </w:p>
    <w:p w:rsidR="00324BBB" w:rsidRPr="00672E9E" w:rsidP="00324BBB" w14:paraId="0DB4D353" w14:textId="77777777">
      <w:pPr>
        <w:pStyle w:val="ListParagraph"/>
        <w:spacing w:after="0" w:line="240" w:lineRule="auto"/>
        <w:ind w:left="360"/>
        <w:rPr>
          <w:rFonts w:ascii="Cambria" w:hAnsi="Cambria"/>
          <w:b/>
          <w:sz w:val="28"/>
          <w:szCs w:val="28"/>
        </w:rPr>
      </w:pPr>
    </w:p>
    <w:p w:rsidR="00324BBB" w:rsidRPr="00672E9E" w:rsidP="00324BBB" w14:paraId="6D1BC1EF" w14:textId="03B990A3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b/>
          <w:sz w:val="28"/>
          <w:szCs w:val="28"/>
        </w:rPr>
      </w:pPr>
      <w:r w:rsidRPr="00672E9E">
        <w:rPr>
          <w:rFonts w:ascii="Cambria" w:hAnsi="Cambria"/>
          <w:sz w:val="24"/>
          <w:szCs w:val="24"/>
          <w:u w:val="single"/>
        </w:rPr>
        <w:t>Procedures for the Collection of Information</w:t>
      </w:r>
    </w:p>
    <w:p w:rsidR="00324BBB" w:rsidRPr="00282ACC" w:rsidP="00324BBB" w14:paraId="5CEBE329" w14:textId="77777777">
      <w:pPr>
        <w:pStyle w:val="ListParagraph"/>
        <w:spacing w:after="0" w:line="240" w:lineRule="auto"/>
        <w:ind w:left="360"/>
        <w:rPr>
          <w:rFonts w:ascii="Cambria" w:hAnsi="Cambria"/>
          <w:b/>
          <w:sz w:val="24"/>
          <w:szCs w:val="24"/>
        </w:rPr>
      </w:pPr>
    </w:p>
    <w:p w:rsidR="00B01BA0" w:rsidRPr="00282ACC" w:rsidP="006D5D10" w14:paraId="1ADC3235" w14:textId="24A71305">
      <w:pPr>
        <w:pStyle w:val="ListParagraph"/>
        <w:spacing w:after="0" w:line="240" w:lineRule="auto"/>
        <w:ind w:left="360"/>
        <w:rPr>
          <w:rFonts w:ascii="Cambria" w:hAnsi="Cambria"/>
          <w:sz w:val="24"/>
          <w:szCs w:val="24"/>
        </w:rPr>
      </w:pPr>
      <w:r w:rsidRPr="00282ACC">
        <w:rPr>
          <w:rFonts w:ascii="Cambria" w:hAnsi="Cambria"/>
          <w:sz w:val="24"/>
          <w:szCs w:val="24"/>
        </w:rPr>
        <w:t xml:space="preserve">Data collection methods and procedures will vary and the specifics of these will be provided with each collection request. The </w:t>
      </w:r>
      <w:r w:rsidRPr="00282ACC" w:rsidR="00C34330">
        <w:rPr>
          <w:rFonts w:ascii="Cambria" w:hAnsi="Cambria"/>
          <w:sz w:val="24"/>
          <w:szCs w:val="24"/>
        </w:rPr>
        <w:t xml:space="preserve">DoD </w:t>
      </w:r>
      <w:r w:rsidRPr="00282ACC" w:rsidR="00A11921">
        <w:rPr>
          <w:rFonts w:ascii="Cambria" w:hAnsi="Cambria"/>
          <w:sz w:val="24"/>
          <w:szCs w:val="24"/>
        </w:rPr>
        <w:t xml:space="preserve">Office of the Undersecretary of Defense (Personnel and Readiness) (OUSD(P&amp;R)) </w:t>
      </w:r>
      <w:r w:rsidRPr="00282ACC">
        <w:rPr>
          <w:rFonts w:ascii="Cambria" w:hAnsi="Cambria"/>
          <w:sz w:val="24"/>
          <w:szCs w:val="24"/>
        </w:rPr>
        <w:t xml:space="preserve">expects to use a variety of </w:t>
      </w:r>
      <w:r w:rsidRPr="00282ACC" w:rsidR="000D0580">
        <w:rPr>
          <w:rFonts w:ascii="Cambria" w:hAnsi="Cambria"/>
          <w:sz w:val="24"/>
          <w:szCs w:val="24"/>
        </w:rPr>
        <w:t xml:space="preserve">quantitative and qualitative </w:t>
      </w:r>
      <w:r w:rsidRPr="00282ACC">
        <w:rPr>
          <w:rFonts w:ascii="Cambria" w:hAnsi="Cambria"/>
          <w:sz w:val="24"/>
          <w:szCs w:val="24"/>
        </w:rPr>
        <w:t xml:space="preserve">methodologies for these </w:t>
      </w:r>
      <w:r w:rsidRPr="00282ACC" w:rsidR="0090198C">
        <w:rPr>
          <w:rFonts w:ascii="Cambria" w:hAnsi="Cambria"/>
          <w:sz w:val="24"/>
          <w:szCs w:val="24"/>
        </w:rPr>
        <w:t xml:space="preserve">data </w:t>
      </w:r>
      <w:r w:rsidRPr="00282ACC">
        <w:rPr>
          <w:rFonts w:ascii="Cambria" w:hAnsi="Cambria"/>
          <w:sz w:val="24"/>
          <w:szCs w:val="24"/>
        </w:rPr>
        <w:t>collections</w:t>
      </w:r>
      <w:r w:rsidRPr="00282ACC" w:rsidR="0090198C">
        <w:rPr>
          <w:rFonts w:ascii="Cambria" w:hAnsi="Cambria"/>
          <w:sz w:val="24"/>
          <w:szCs w:val="24"/>
        </w:rPr>
        <w:t xml:space="preserve"> with close consideration regarding the </w:t>
      </w:r>
      <w:r w:rsidRPr="00282ACC" w:rsidR="00C148FC">
        <w:rPr>
          <w:rFonts w:ascii="Cambria" w:hAnsi="Cambria"/>
          <w:sz w:val="24"/>
          <w:szCs w:val="24"/>
        </w:rPr>
        <w:t>research design</w:t>
      </w:r>
      <w:r w:rsidRPr="00282ACC" w:rsidR="00CA3D9A">
        <w:rPr>
          <w:rFonts w:ascii="Cambria" w:hAnsi="Cambria"/>
          <w:sz w:val="24"/>
          <w:szCs w:val="24"/>
        </w:rPr>
        <w:t xml:space="preserve"> and </w:t>
      </w:r>
      <w:r w:rsidRPr="00282ACC" w:rsidR="0090198C">
        <w:rPr>
          <w:rFonts w:ascii="Cambria" w:hAnsi="Cambria"/>
          <w:sz w:val="24"/>
          <w:szCs w:val="24"/>
        </w:rPr>
        <w:t>level of rigor required to sup</w:t>
      </w:r>
      <w:r w:rsidRPr="00282ACC" w:rsidR="00C148FC">
        <w:rPr>
          <w:rFonts w:ascii="Cambria" w:hAnsi="Cambria"/>
          <w:sz w:val="24"/>
          <w:szCs w:val="24"/>
        </w:rPr>
        <w:t>port the information requirement</w:t>
      </w:r>
      <w:r w:rsidRPr="00282ACC">
        <w:rPr>
          <w:rFonts w:ascii="Cambria" w:hAnsi="Cambria"/>
          <w:sz w:val="24"/>
          <w:szCs w:val="24"/>
        </w:rPr>
        <w:t xml:space="preserve">. </w:t>
      </w:r>
      <w:r w:rsidRPr="00282ACC">
        <w:rPr>
          <w:rFonts w:ascii="Cambria" w:hAnsi="Cambria"/>
          <w:sz w:val="24"/>
          <w:szCs w:val="24"/>
        </w:rPr>
        <w:t xml:space="preserve">These information collections will be conducted </w:t>
      </w:r>
      <w:r w:rsidRPr="00282ACC" w:rsidR="00FD558B">
        <w:rPr>
          <w:rFonts w:ascii="Cambria" w:hAnsi="Cambria"/>
          <w:sz w:val="24"/>
          <w:szCs w:val="24"/>
        </w:rPr>
        <w:t>by the Office of the Secretary of Defense (OSD) components, Military Departments, Military Services, and/or National Guard Bureau (hereafter referred to as DoD)</w:t>
      </w:r>
      <w:r w:rsidRPr="00282ACC">
        <w:rPr>
          <w:rFonts w:ascii="Cambria" w:hAnsi="Cambria"/>
          <w:sz w:val="24"/>
          <w:szCs w:val="24"/>
        </w:rPr>
        <w:t>.</w:t>
      </w:r>
    </w:p>
    <w:p w:rsidR="00B01BA0" w:rsidRPr="00282ACC" w:rsidP="006D5D10" w14:paraId="7BB320BA" w14:textId="77777777">
      <w:pPr>
        <w:pStyle w:val="ListParagraph"/>
        <w:spacing w:after="0" w:line="240" w:lineRule="auto"/>
        <w:ind w:left="360"/>
        <w:rPr>
          <w:rFonts w:ascii="Cambria" w:hAnsi="Cambria"/>
          <w:sz w:val="24"/>
          <w:szCs w:val="24"/>
        </w:rPr>
      </w:pPr>
    </w:p>
    <w:p w:rsidR="00324BBB" w:rsidRPr="00282ACC" w14:paraId="3E2A60F7" w14:textId="04C59B06">
      <w:pPr>
        <w:pStyle w:val="ListParagraph"/>
        <w:spacing w:after="0" w:line="240" w:lineRule="auto"/>
        <w:ind w:left="360"/>
        <w:rPr>
          <w:rFonts w:ascii="Cambria" w:hAnsi="Cambria"/>
          <w:sz w:val="24"/>
          <w:szCs w:val="24"/>
        </w:rPr>
      </w:pPr>
      <w:r w:rsidRPr="00282ACC">
        <w:rPr>
          <w:rFonts w:ascii="Cambria" w:hAnsi="Cambria"/>
          <w:sz w:val="24"/>
          <w:szCs w:val="24"/>
        </w:rPr>
        <w:t xml:space="preserve">For example, </w:t>
      </w:r>
      <w:r w:rsidRPr="00282ACC" w:rsidR="00C34330">
        <w:rPr>
          <w:rFonts w:ascii="Cambria" w:hAnsi="Cambria"/>
          <w:sz w:val="24"/>
          <w:szCs w:val="24"/>
        </w:rPr>
        <w:t xml:space="preserve">DoD </w:t>
      </w:r>
      <w:r w:rsidRPr="00282ACC">
        <w:rPr>
          <w:rFonts w:ascii="Cambria" w:hAnsi="Cambria"/>
          <w:sz w:val="24"/>
          <w:szCs w:val="24"/>
        </w:rPr>
        <w:t>or its contractors may use commercial survey</w:t>
      </w:r>
      <w:r w:rsidRPr="00282ACC" w:rsidR="000D0580">
        <w:rPr>
          <w:rFonts w:ascii="Cambria" w:hAnsi="Cambria"/>
          <w:sz w:val="24"/>
          <w:szCs w:val="24"/>
        </w:rPr>
        <w:t xml:space="preserve"> </w:t>
      </w:r>
      <w:r w:rsidRPr="00282ACC">
        <w:rPr>
          <w:rFonts w:ascii="Cambria" w:hAnsi="Cambria"/>
          <w:sz w:val="24"/>
          <w:szCs w:val="24"/>
        </w:rPr>
        <w:t>software to automate its</w:t>
      </w:r>
      <w:r w:rsidRPr="00282ACC" w:rsidR="000D0580">
        <w:rPr>
          <w:rFonts w:ascii="Cambria" w:hAnsi="Cambria"/>
          <w:sz w:val="24"/>
          <w:szCs w:val="24"/>
        </w:rPr>
        <w:t xml:space="preserve"> data</w:t>
      </w:r>
      <w:r w:rsidRPr="00282ACC">
        <w:rPr>
          <w:rFonts w:ascii="Cambria" w:hAnsi="Cambria"/>
          <w:sz w:val="24"/>
          <w:szCs w:val="24"/>
        </w:rPr>
        <w:t xml:space="preserve"> collection</w:t>
      </w:r>
      <w:r w:rsidRPr="00282ACC" w:rsidR="000D0580">
        <w:rPr>
          <w:rFonts w:ascii="Cambria" w:hAnsi="Cambria"/>
          <w:sz w:val="24"/>
          <w:szCs w:val="24"/>
        </w:rPr>
        <w:t>s</w:t>
      </w:r>
      <w:r w:rsidRPr="00282ACC">
        <w:rPr>
          <w:rFonts w:ascii="Cambria" w:hAnsi="Cambria"/>
          <w:sz w:val="24"/>
          <w:szCs w:val="24"/>
        </w:rPr>
        <w:t xml:space="preserve"> and </w:t>
      </w:r>
      <w:r w:rsidRPr="00282ACC" w:rsidR="000D0580">
        <w:rPr>
          <w:rFonts w:ascii="Cambria" w:hAnsi="Cambria"/>
          <w:sz w:val="24"/>
          <w:szCs w:val="24"/>
        </w:rPr>
        <w:t xml:space="preserve">to conduct </w:t>
      </w:r>
      <w:r w:rsidRPr="00282ACC">
        <w:rPr>
          <w:rFonts w:ascii="Cambria" w:hAnsi="Cambria"/>
          <w:sz w:val="24"/>
          <w:szCs w:val="24"/>
        </w:rPr>
        <w:t xml:space="preserve">analysis of </w:t>
      </w:r>
      <w:r w:rsidRPr="00282ACC" w:rsidR="00CA3D9A">
        <w:rPr>
          <w:rFonts w:ascii="Cambria" w:hAnsi="Cambria"/>
          <w:sz w:val="24"/>
          <w:szCs w:val="24"/>
        </w:rPr>
        <w:t xml:space="preserve">the </w:t>
      </w:r>
      <w:r w:rsidRPr="00282ACC" w:rsidR="000D0580">
        <w:rPr>
          <w:rFonts w:ascii="Cambria" w:hAnsi="Cambria"/>
          <w:sz w:val="24"/>
          <w:szCs w:val="24"/>
        </w:rPr>
        <w:t>data</w:t>
      </w:r>
      <w:r w:rsidRPr="00282ACC">
        <w:rPr>
          <w:rFonts w:ascii="Cambria" w:hAnsi="Cambria"/>
          <w:sz w:val="24"/>
          <w:szCs w:val="24"/>
        </w:rPr>
        <w:t xml:space="preserve">.  In addition to physical copies, information collection instruments may be electronically disseminated. </w:t>
      </w:r>
      <w:r w:rsidRPr="00282ACC" w:rsidR="00216896">
        <w:rPr>
          <w:rFonts w:ascii="Cambria" w:hAnsi="Cambria"/>
          <w:sz w:val="24"/>
          <w:szCs w:val="24"/>
        </w:rPr>
        <w:t xml:space="preserve">Verbal </w:t>
      </w:r>
      <w:r w:rsidRPr="00282ACC">
        <w:rPr>
          <w:rFonts w:ascii="Cambria" w:hAnsi="Cambria"/>
          <w:sz w:val="24"/>
          <w:szCs w:val="24"/>
        </w:rPr>
        <w:t xml:space="preserve">scripts, </w:t>
      </w:r>
      <w:r w:rsidRPr="00282ACC" w:rsidR="00C34330">
        <w:rPr>
          <w:rFonts w:ascii="Cambria" w:hAnsi="Cambria"/>
          <w:sz w:val="24"/>
          <w:szCs w:val="24"/>
        </w:rPr>
        <w:t xml:space="preserve">structured </w:t>
      </w:r>
      <w:r w:rsidRPr="00282ACC" w:rsidR="00CA3D9A">
        <w:rPr>
          <w:rFonts w:ascii="Cambria" w:hAnsi="Cambria"/>
          <w:sz w:val="24"/>
          <w:szCs w:val="24"/>
        </w:rPr>
        <w:t xml:space="preserve">(i.e., with an inflexible question protocol) </w:t>
      </w:r>
      <w:r w:rsidRPr="00282ACC" w:rsidR="00C34330">
        <w:rPr>
          <w:rFonts w:ascii="Cambria" w:hAnsi="Cambria"/>
          <w:sz w:val="24"/>
          <w:szCs w:val="24"/>
        </w:rPr>
        <w:t xml:space="preserve">or unstructured </w:t>
      </w:r>
      <w:r w:rsidRPr="00282ACC" w:rsidR="00CA3D9A">
        <w:rPr>
          <w:rFonts w:ascii="Cambria" w:hAnsi="Cambria"/>
          <w:sz w:val="24"/>
          <w:szCs w:val="24"/>
        </w:rPr>
        <w:t xml:space="preserve">(i.e., with a flexible question protocol) </w:t>
      </w:r>
      <w:r w:rsidRPr="00282ACC" w:rsidR="00C34330">
        <w:rPr>
          <w:rFonts w:ascii="Cambria" w:hAnsi="Cambria"/>
          <w:sz w:val="24"/>
          <w:szCs w:val="24"/>
        </w:rPr>
        <w:t>in-depth</w:t>
      </w:r>
      <w:r w:rsidRPr="00282ACC">
        <w:rPr>
          <w:rFonts w:ascii="Cambria" w:hAnsi="Cambria"/>
          <w:sz w:val="24"/>
          <w:szCs w:val="24"/>
        </w:rPr>
        <w:t xml:space="preserve"> interviews, and focus groups with professional guidance and moderation may also be used.</w:t>
      </w:r>
    </w:p>
    <w:p w:rsidR="000919B5" w:rsidRPr="00282ACC" w14:paraId="475598FE" w14:textId="77777777">
      <w:pPr>
        <w:pStyle w:val="ListParagraph"/>
        <w:spacing w:after="0" w:line="240" w:lineRule="auto"/>
        <w:ind w:left="360"/>
        <w:rPr>
          <w:rFonts w:ascii="Cambria" w:hAnsi="Cambria"/>
          <w:sz w:val="24"/>
          <w:szCs w:val="24"/>
        </w:rPr>
      </w:pPr>
    </w:p>
    <w:p w:rsidR="000919B5" w:rsidRPr="00282ACC" w:rsidP="000919B5" w14:paraId="138286C6" w14:textId="03EEF2E2">
      <w:pPr>
        <w:pStyle w:val="ListParagraph"/>
        <w:spacing w:after="0" w:line="240" w:lineRule="auto"/>
        <w:ind w:left="360"/>
        <w:rPr>
          <w:rFonts w:ascii="Cambria" w:hAnsi="Cambria"/>
          <w:sz w:val="24"/>
          <w:szCs w:val="24"/>
        </w:rPr>
      </w:pPr>
      <w:r w:rsidRPr="00282ACC">
        <w:rPr>
          <w:rFonts w:ascii="Cambria" w:hAnsi="Cambria"/>
          <w:sz w:val="24"/>
          <w:szCs w:val="24"/>
        </w:rPr>
        <w:t xml:space="preserve">Mixed-methods (quantitative and qualitative) </w:t>
      </w:r>
      <w:r w:rsidRPr="00282ACC" w:rsidR="003547FD">
        <w:rPr>
          <w:rFonts w:ascii="Cambria" w:hAnsi="Cambria"/>
          <w:sz w:val="24"/>
          <w:szCs w:val="24"/>
        </w:rPr>
        <w:t>research is a method</w:t>
      </w:r>
      <w:r w:rsidRPr="00282ACC">
        <w:rPr>
          <w:rFonts w:ascii="Cambria" w:hAnsi="Cambria"/>
          <w:sz w:val="24"/>
          <w:szCs w:val="24"/>
        </w:rPr>
        <w:t xml:space="preserve"> used to </w:t>
      </w:r>
      <w:r w:rsidRPr="00282ACC" w:rsidR="003547FD">
        <w:rPr>
          <w:rFonts w:ascii="Cambria" w:hAnsi="Cambria"/>
          <w:sz w:val="24"/>
          <w:szCs w:val="24"/>
        </w:rPr>
        <w:t xml:space="preserve">conduct </w:t>
      </w:r>
      <w:r w:rsidRPr="00282ACC" w:rsidR="00D57836">
        <w:rPr>
          <w:rFonts w:ascii="Cambria" w:hAnsi="Cambria"/>
          <w:sz w:val="24"/>
          <w:szCs w:val="24"/>
        </w:rPr>
        <w:t>research</w:t>
      </w:r>
      <w:r w:rsidRPr="00282ACC" w:rsidR="003547FD">
        <w:rPr>
          <w:rFonts w:ascii="Cambria" w:hAnsi="Cambria"/>
          <w:sz w:val="24"/>
          <w:szCs w:val="24"/>
        </w:rPr>
        <w:t xml:space="preserve"> to </w:t>
      </w:r>
      <w:r w:rsidRPr="00282ACC">
        <w:rPr>
          <w:rFonts w:ascii="Cambria" w:hAnsi="Cambria"/>
          <w:sz w:val="24"/>
          <w:szCs w:val="24"/>
        </w:rPr>
        <w:t>inform improvements to</w:t>
      </w:r>
      <w:r w:rsidRPr="00282ACC">
        <w:rPr>
          <w:rFonts w:ascii="Cambria" w:hAnsi="Cambria"/>
          <w:sz w:val="24"/>
          <w:szCs w:val="24"/>
        </w:rPr>
        <w:t xml:space="preserve"> programs</w:t>
      </w:r>
      <w:r w:rsidRPr="00282ACC">
        <w:rPr>
          <w:rFonts w:ascii="Cambria" w:hAnsi="Cambria"/>
          <w:sz w:val="24"/>
          <w:szCs w:val="24"/>
        </w:rPr>
        <w:t xml:space="preserve"> and policies, or to support the </w:t>
      </w:r>
      <w:r w:rsidRPr="00282ACC" w:rsidR="003547FD">
        <w:rPr>
          <w:rFonts w:ascii="Cambria" w:hAnsi="Cambria"/>
          <w:sz w:val="24"/>
          <w:szCs w:val="24"/>
        </w:rPr>
        <w:t>process, outcome, or impact</w:t>
      </w:r>
      <w:r w:rsidRPr="00282ACC">
        <w:rPr>
          <w:rFonts w:ascii="Cambria" w:hAnsi="Cambria"/>
          <w:sz w:val="24"/>
          <w:szCs w:val="24"/>
        </w:rPr>
        <w:t xml:space="preserve"> evaluation</w:t>
      </w:r>
      <w:r w:rsidRPr="00282ACC" w:rsidR="003547FD">
        <w:rPr>
          <w:rFonts w:ascii="Cambria" w:hAnsi="Cambria"/>
          <w:sz w:val="24"/>
          <w:szCs w:val="24"/>
        </w:rPr>
        <w:t xml:space="preserve">s </w:t>
      </w:r>
      <w:r w:rsidRPr="00282ACC" w:rsidR="00D57836">
        <w:rPr>
          <w:rFonts w:ascii="Cambria" w:hAnsi="Cambria"/>
          <w:sz w:val="24"/>
          <w:szCs w:val="24"/>
        </w:rPr>
        <w:t xml:space="preserve">of interventions, programs, or policies </w:t>
      </w:r>
      <w:r w:rsidRPr="00282ACC" w:rsidR="003547FD">
        <w:rPr>
          <w:rFonts w:ascii="Cambria" w:hAnsi="Cambria"/>
          <w:sz w:val="24"/>
          <w:szCs w:val="24"/>
        </w:rPr>
        <w:t>related to</w:t>
      </w:r>
      <w:r w:rsidRPr="00282ACC">
        <w:rPr>
          <w:rFonts w:ascii="Cambria" w:hAnsi="Cambria"/>
          <w:sz w:val="24"/>
          <w:szCs w:val="24"/>
        </w:rPr>
        <w:t xml:space="preserve"> the </w:t>
      </w:r>
      <w:r w:rsidRPr="00282ACC">
        <w:rPr>
          <w:rFonts w:ascii="Cambria" w:hAnsi="Cambria"/>
          <w:sz w:val="24"/>
          <w:szCs w:val="24"/>
        </w:rPr>
        <w:t xml:space="preserve">recommendations </w:t>
      </w:r>
      <w:r w:rsidRPr="00282ACC" w:rsidR="00D57836">
        <w:rPr>
          <w:rFonts w:ascii="Cambria" w:hAnsi="Cambria"/>
          <w:sz w:val="24"/>
          <w:szCs w:val="24"/>
        </w:rPr>
        <w:t>of</w:t>
      </w:r>
      <w:r w:rsidRPr="00282ACC" w:rsidR="00FD770A">
        <w:rPr>
          <w:rFonts w:ascii="Cambria" w:hAnsi="Cambria"/>
          <w:sz w:val="24"/>
          <w:szCs w:val="24"/>
        </w:rPr>
        <w:t xml:space="preserve"> </w:t>
      </w:r>
      <w:r w:rsidRPr="00282ACC">
        <w:rPr>
          <w:rFonts w:ascii="Cambria" w:hAnsi="Cambria"/>
          <w:sz w:val="24"/>
          <w:szCs w:val="24"/>
        </w:rPr>
        <w:t>the Independent Review Commission on Sexual Assault in the Military (IRC)</w:t>
      </w:r>
      <w:r w:rsidRPr="00282ACC">
        <w:rPr>
          <w:rFonts w:ascii="Cambria" w:hAnsi="Cambria"/>
          <w:sz w:val="24"/>
          <w:szCs w:val="24"/>
        </w:rPr>
        <w:t xml:space="preserve">.  </w:t>
      </w:r>
    </w:p>
    <w:p w:rsidR="000919B5" w:rsidRPr="00282ACC" w14:paraId="27877AE6" w14:textId="77777777">
      <w:pPr>
        <w:pStyle w:val="ListParagraph"/>
        <w:spacing w:after="0" w:line="240" w:lineRule="auto"/>
        <w:ind w:left="360"/>
        <w:rPr>
          <w:sz w:val="24"/>
          <w:szCs w:val="24"/>
        </w:rPr>
      </w:pPr>
    </w:p>
    <w:p w:rsidR="00324BBB" w:rsidRPr="00282ACC" w:rsidP="00324BBB" w14:paraId="7AD6C01D" w14:textId="77777777">
      <w:pPr>
        <w:pStyle w:val="ListParagraph"/>
        <w:spacing w:after="0" w:line="240" w:lineRule="auto"/>
        <w:ind w:left="360"/>
        <w:rPr>
          <w:rFonts w:ascii="Cambria" w:hAnsi="Cambria"/>
          <w:b/>
          <w:sz w:val="24"/>
          <w:szCs w:val="24"/>
        </w:rPr>
      </w:pPr>
    </w:p>
    <w:p w:rsidR="00324BBB" w:rsidRPr="00697A5A" w:rsidP="00324BBB" w14:paraId="1B951751" w14:textId="7F7C1457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b/>
          <w:sz w:val="28"/>
          <w:szCs w:val="28"/>
        </w:rPr>
      </w:pPr>
      <w:r w:rsidRPr="00697A5A">
        <w:rPr>
          <w:rFonts w:ascii="Cambria" w:hAnsi="Cambria"/>
          <w:sz w:val="24"/>
          <w:szCs w:val="24"/>
          <w:u w:val="single"/>
        </w:rPr>
        <w:t>Maximization of Response Rates, Non-response, and Reliability</w:t>
      </w:r>
    </w:p>
    <w:p w:rsidR="00324BBB" w:rsidRPr="00282ACC" w:rsidP="00324BBB" w14:paraId="41AC3ECA" w14:textId="77777777">
      <w:pPr>
        <w:pStyle w:val="ListParagraph"/>
        <w:spacing w:after="0" w:line="240" w:lineRule="auto"/>
        <w:ind w:left="360"/>
        <w:rPr>
          <w:rFonts w:ascii="Cambria" w:hAnsi="Cambria"/>
          <w:sz w:val="24"/>
          <w:szCs w:val="24"/>
        </w:rPr>
      </w:pPr>
    </w:p>
    <w:p w:rsidR="001E2D36" w:rsidRPr="00282ACC" w:rsidP="00697A5A" w14:paraId="52318FFD" w14:textId="185550A0">
      <w:pPr>
        <w:spacing w:after="0" w:line="240" w:lineRule="auto"/>
        <w:ind w:left="360" w:firstLine="360"/>
        <w:contextualSpacing/>
        <w:rPr>
          <w:rFonts w:ascii="Cambria" w:eastAsia="Times New Roman" w:hAnsi="Cambria"/>
          <w:b/>
          <w:sz w:val="24"/>
          <w:szCs w:val="24"/>
        </w:rPr>
      </w:pPr>
      <w:r w:rsidRPr="00282ACC">
        <w:rPr>
          <w:rFonts w:ascii="Cambria" w:hAnsi="Cambria"/>
          <w:sz w:val="24"/>
          <w:szCs w:val="24"/>
        </w:rPr>
        <w:t xml:space="preserve">In order to maximize responses, </w:t>
      </w:r>
      <w:r w:rsidRPr="00282ACC" w:rsidR="00580996">
        <w:rPr>
          <w:rFonts w:ascii="Cambria" w:hAnsi="Cambria"/>
          <w:sz w:val="24"/>
          <w:szCs w:val="24"/>
        </w:rPr>
        <w:t>collection instruments</w:t>
      </w:r>
      <w:r w:rsidRPr="00282ACC">
        <w:rPr>
          <w:rFonts w:ascii="Cambria" w:hAnsi="Cambria"/>
          <w:sz w:val="24"/>
          <w:szCs w:val="24"/>
        </w:rPr>
        <w:t xml:space="preserve"> may be sent out via email to ensure all respondents receive an invitation. </w:t>
      </w:r>
      <w:r w:rsidRPr="00282ACC" w:rsidR="00580996">
        <w:rPr>
          <w:rFonts w:ascii="Cambria" w:hAnsi="Cambria"/>
          <w:sz w:val="24"/>
          <w:szCs w:val="24"/>
        </w:rPr>
        <w:t xml:space="preserve">Letters may also be sent to respondents to encourage them to fill out the collection instrument(s). </w:t>
      </w:r>
      <w:r w:rsidRPr="00282ACC" w:rsidR="002779DA">
        <w:rPr>
          <w:rFonts w:ascii="Cambria" w:hAnsi="Cambria"/>
          <w:sz w:val="24"/>
          <w:szCs w:val="24"/>
        </w:rPr>
        <w:t>The use of technolo</w:t>
      </w:r>
      <w:r w:rsidRPr="00282ACC" w:rsidR="00595A7B">
        <w:rPr>
          <w:rFonts w:ascii="Cambria" w:hAnsi="Cambria"/>
          <w:sz w:val="24"/>
          <w:szCs w:val="24"/>
        </w:rPr>
        <w:t>gical platforms</w:t>
      </w:r>
      <w:r w:rsidRPr="00282ACC" w:rsidR="000735ED">
        <w:rPr>
          <w:rFonts w:ascii="Cambria" w:hAnsi="Cambria"/>
          <w:sz w:val="24"/>
          <w:szCs w:val="24"/>
        </w:rPr>
        <w:t xml:space="preserve"> such as Webex or </w:t>
      </w:r>
      <w:r w:rsidRPr="00282ACC" w:rsidR="00350C6D">
        <w:rPr>
          <w:rFonts w:ascii="Cambria" w:hAnsi="Cambria"/>
          <w:sz w:val="24"/>
          <w:szCs w:val="24"/>
        </w:rPr>
        <w:t xml:space="preserve">Microsoft </w:t>
      </w:r>
      <w:r w:rsidRPr="00282ACC" w:rsidR="000735ED">
        <w:rPr>
          <w:rFonts w:ascii="Cambria" w:hAnsi="Cambria"/>
          <w:sz w:val="24"/>
          <w:szCs w:val="24"/>
        </w:rPr>
        <w:t>Teams</w:t>
      </w:r>
      <w:r w:rsidRPr="00282ACC" w:rsidR="00595A7B">
        <w:rPr>
          <w:rFonts w:ascii="Cambria" w:hAnsi="Cambria"/>
          <w:sz w:val="24"/>
          <w:szCs w:val="24"/>
        </w:rPr>
        <w:t xml:space="preserve"> </w:t>
      </w:r>
      <w:r w:rsidRPr="00282ACC" w:rsidR="00EB7541">
        <w:rPr>
          <w:rFonts w:ascii="Cambria" w:hAnsi="Cambria"/>
          <w:sz w:val="24"/>
          <w:szCs w:val="24"/>
        </w:rPr>
        <w:t>may be used</w:t>
      </w:r>
      <w:r w:rsidRPr="00282ACC" w:rsidR="009E56EB">
        <w:rPr>
          <w:rFonts w:ascii="Cambria" w:hAnsi="Cambria"/>
          <w:sz w:val="24"/>
          <w:szCs w:val="24"/>
        </w:rPr>
        <w:t xml:space="preserve"> </w:t>
      </w:r>
      <w:r w:rsidRPr="00282ACC" w:rsidR="00724D66">
        <w:rPr>
          <w:rFonts w:ascii="Cambria" w:hAnsi="Cambria"/>
          <w:sz w:val="24"/>
          <w:szCs w:val="24"/>
        </w:rPr>
        <w:t>for information collection</w:t>
      </w:r>
      <w:r w:rsidRPr="00282ACC" w:rsidR="00401EBD">
        <w:rPr>
          <w:rFonts w:ascii="Cambria" w:hAnsi="Cambria"/>
          <w:sz w:val="24"/>
          <w:szCs w:val="24"/>
        </w:rPr>
        <w:t>, and</w:t>
      </w:r>
      <w:r w:rsidRPr="00282ACC" w:rsidR="00724D66">
        <w:rPr>
          <w:rFonts w:ascii="Cambria" w:hAnsi="Cambria"/>
          <w:sz w:val="24"/>
          <w:szCs w:val="24"/>
        </w:rPr>
        <w:t xml:space="preserve"> DoD approved online survey collection tools may also be used.</w:t>
      </w:r>
      <w:r w:rsidRPr="00282ACC" w:rsidR="002779DA">
        <w:rPr>
          <w:rFonts w:ascii="Cambria" w:hAnsi="Cambria"/>
          <w:sz w:val="24"/>
          <w:szCs w:val="24"/>
        </w:rPr>
        <w:t xml:space="preserve"> </w:t>
      </w:r>
      <w:r w:rsidRPr="00282ACC" w:rsidR="00350C6D">
        <w:rPr>
          <w:rFonts w:ascii="Cambria" w:hAnsi="Cambria"/>
          <w:sz w:val="24"/>
          <w:szCs w:val="24"/>
        </w:rPr>
        <w:t xml:space="preserve">Other methods for maximizing response will be considered, including incentives (monetary or non-monetary and taking steps to reduce duplicative information collections. </w:t>
      </w:r>
      <w:r w:rsidRPr="00282ACC" w:rsidR="008411B7">
        <w:rPr>
          <w:rFonts w:ascii="Cambria" w:hAnsi="Cambria"/>
          <w:sz w:val="24"/>
          <w:szCs w:val="24"/>
        </w:rPr>
        <w:t>Information collection instrument</w:t>
      </w:r>
      <w:r w:rsidRPr="00282ACC" w:rsidR="00350C6D">
        <w:rPr>
          <w:rFonts w:ascii="Cambria" w:hAnsi="Cambria"/>
          <w:sz w:val="24"/>
          <w:szCs w:val="24"/>
        </w:rPr>
        <w:t xml:space="preserve"> will also be designed to maximize response rates by including clear questions and limiting the</w:t>
      </w:r>
      <w:r w:rsidRPr="00282ACC" w:rsidR="008411B7">
        <w:rPr>
          <w:rFonts w:ascii="Cambria" w:hAnsi="Cambria"/>
          <w:sz w:val="24"/>
          <w:szCs w:val="24"/>
        </w:rPr>
        <w:t xml:space="preserve"> </w:t>
      </w:r>
      <w:r w:rsidRPr="00282ACC" w:rsidR="00901E33">
        <w:rPr>
          <w:rFonts w:ascii="Cambria" w:hAnsi="Cambria"/>
          <w:sz w:val="24"/>
          <w:szCs w:val="24"/>
        </w:rPr>
        <w:t xml:space="preserve">length to </w:t>
      </w:r>
      <w:r w:rsidRPr="00282ACC" w:rsidR="00395033">
        <w:rPr>
          <w:rFonts w:ascii="Cambria" w:hAnsi="Cambria"/>
          <w:sz w:val="24"/>
          <w:szCs w:val="24"/>
        </w:rPr>
        <w:t>decrease burden.</w:t>
      </w:r>
      <w:r w:rsidRPr="00282ACC" w:rsidR="008411B7">
        <w:rPr>
          <w:rFonts w:ascii="Cambria" w:hAnsi="Cambria"/>
          <w:sz w:val="24"/>
          <w:szCs w:val="24"/>
        </w:rPr>
        <w:t xml:space="preserve"> </w:t>
      </w:r>
    </w:p>
    <w:p w:rsidR="001E2D36" w:rsidRPr="00282ACC" w:rsidP="00324BBB" w14:paraId="526DB0C1" w14:textId="77777777">
      <w:pPr>
        <w:pStyle w:val="ListParagraph"/>
        <w:spacing w:after="0" w:line="240" w:lineRule="auto"/>
        <w:ind w:left="360"/>
        <w:rPr>
          <w:rFonts w:ascii="Cambria" w:hAnsi="Cambria"/>
          <w:b/>
          <w:sz w:val="24"/>
          <w:szCs w:val="24"/>
        </w:rPr>
      </w:pPr>
    </w:p>
    <w:p w:rsidR="00324BBB" w:rsidRPr="00443096" w:rsidP="00324BBB" w14:paraId="3123B25F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bCs/>
          <w:sz w:val="24"/>
          <w:szCs w:val="24"/>
          <w:u w:val="single"/>
        </w:rPr>
      </w:pPr>
      <w:r w:rsidRPr="00443096">
        <w:rPr>
          <w:rFonts w:ascii="Cambria" w:hAnsi="Cambria"/>
          <w:bCs/>
          <w:sz w:val="24"/>
          <w:szCs w:val="24"/>
          <w:u w:val="single"/>
        </w:rPr>
        <w:t>Testing of Procedures</w:t>
      </w:r>
    </w:p>
    <w:p w:rsidR="00324BBB" w:rsidRPr="00282ACC" w:rsidP="00324BBB" w14:paraId="417EBD21" w14:textId="4A94A363">
      <w:pPr>
        <w:pStyle w:val="ListParagraph"/>
        <w:spacing w:after="0" w:line="240" w:lineRule="auto"/>
        <w:ind w:left="360"/>
        <w:rPr>
          <w:rFonts w:ascii="Cambria" w:hAnsi="Cambria"/>
          <w:b/>
          <w:sz w:val="24"/>
          <w:szCs w:val="24"/>
        </w:rPr>
      </w:pPr>
    </w:p>
    <w:p w:rsidR="00324BBB" w:rsidRPr="00F0214E" w:rsidP="00F0214E" w14:paraId="5849D4A3" w14:textId="3E7B4AFC">
      <w:pPr>
        <w:pStyle w:val="ListParagraph"/>
        <w:spacing w:after="0" w:line="240" w:lineRule="auto"/>
        <w:ind w:left="360" w:firstLine="360"/>
        <w:rPr>
          <w:rFonts w:ascii="Cambria" w:hAnsi="Cambria"/>
          <w:b/>
          <w:sz w:val="24"/>
          <w:szCs w:val="24"/>
        </w:rPr>
      </w:pPr>
      <w:r w:rsidRPr="00282ACC">
        <w:rPr>
          <w:rFonts w:ascii="Cambria" w:hAnsi="Cambria"/>
          <w:sz w:val="24"/>
          <w:szCs w:val="24"/>
        </w:rPr>
        <w:t xml:space="preserve">Pretesting </w:t>
      </w:r>
      <w:r w:rsidRPr="00282ACC" w:rsidR="00D875AE">
        <w:rPr>
          <w:rFonts w:ascii="Cambria" w:hAnsi="Cambria"/>
          <w:sz w:val="24"/>
          <w:szCs w:val="24"/>
        </w:rPr>
        <w:t xml:space="preserve">or pilot studies </w:t>
      </w:r>
      <w:r w:rsidRPr="00282ACC">
        <w:rPr>
          <w:rFonts w:ascii="Cambria" w:hAnsi="Cambria"/>
          <w:sz w:val="24"/>
          <w:szCs w:val="24"/>
        </w:rPr>
        <w:t xml:space="preserve">may be </w:t>
      </w:r>
      <w:r w:rsidRPr="00282ACC" w:rsidR="00D875AE">
        <w:rPr>
          <w:rFonts w:ascii="Cambria" w:hAnsi="Cambria"/>
          <w:sz w:val="24"/>
          <w:szCs w:val="24"/>
        </w:rPr>
        <w:t xml:space="preserve">conducted </w:t>
      </w:r>
      <w:r w:rsidRPr="00282ACC">
        <w:rPr>
          <w:rFonts w:ascii="Cambria" w:hAnsi="Cambria"/>
          <w:sz w:val="24"/>
          <w:szCs w:val="24"/>
        </w:rPr>
        <w:t>with</w:t>
      </w:r>
      <w:r w:rsidRPr="00282ACC" w:rsidR="00D875AE">
        <w:rPr>
          <w:rFonts w:ascii="Cambria" w:hAnsi="Cambria"/>
          <w:sz w:val="24"/>
          <w:szCs w:val="24"/>
        </w:rPr>
        <w:t xml:space="preserve"> a limited sample of participants</w:t>
      </w:r>
      <w:r w:rsidRPr="00282ACC" w:rsidR="002463A4">
        <w:rPr>
          <w:rFonts w:ascii="Cambria" w:hAnsi="Cambria"/>
          <w:sz w:val="24"/>
          <w:szCs w:val="24"/>
        </w:rPr>
        <w:t xml:space="preserve"> (more than nine)</w:t>
      </w:r>
      <w:r w:rsidRPr="00282ACC" w:rsidR="00792318">
        <w:rPr>
          <w:rFonts w:ascii="Cambria" w:hAnsi="Cambria"/>
          <w:sz w:val="24"/>
          <w:szCs w:val="24"/>
        </w:rPr>
        <w:t xml:space="preserve"> to test the methodology of the study or test the validity and reliability of the data collection instruments.</w:t>
      </w:r>
      <w:r w:rsidRPr="00282ACC" w:rsidR="00D875AE">
        <w:rPr>
          <w:rFonts w:ascii="Cambria" w:hAnsi="Cambria"/>
          <w:sz w:val="24"/>
          <w:szCs w:val="24"/>
        </w:rPr>
        <w:t xml:space="preserve"> </w:t>
      </w:r>
      <w:r w:rsidRPr="00282ACC">
        <w:rPr>
          <w:rFonts w:ascii="Cambria" w:hAnsi="Cambria"/>
          <w:sz w:val="24"/>
          <w:szCs w:val="24"/>
        </w:rPr>
        <w:t xml:space="preserve"> </w:t>
      </w:r>
    </w:p>
    <w:p w:rsidR="00324BBB" w:rsidRPr="000F048E" w:rsidP="000F048E" w14:paraId="02F4E35A" w14:textId="07698FE4">
      <w:pPr>
        <w:pStyle w:val="NormalWeb"/>
        <w:spacing w:line="288" w:lineRule="atLeast"/>
        <w:rPr>
          <w:rFonts w:ascii="Cambria" w:hAnsi="Cambria"/>
        </w:rPr>
      </w:pPr>
      <w:r w:rsidRPr="00AE6D54">
        <w:rPr>
          <w:rFonts w:ascii="Cambria" w:hAnsi="Cambria"/>
        </w:rPr>
        <w:t xml:space="preserve">5.  </w:t>
      </w:r>
      <w:r w:rsidRPr="00AE6D54">
        <w:rPr>
          <w:rFonts w:ascii="Cambria" w:hAnsi="Cambria"/>
          <w:u w:val="single"/>
        </w:rPr>
        <w:t>Statistical Consultation and Information Analysis</w:t>
      </w:r>
    </w:p>
    <w:p w:rsidR="00E66CDF" w:rsidRPr="00282ACC" w:rsidP="00697A5A" w14:paraId="0503D09C" w14:textId="3525A75A">
      <w:pPr>
        <w:pStyle w:val="ListParagraph"/>
        <w:spacing w:after="0" w:line="240" w:lineRule="auto"/>
        <w:ind w:left="360" w:firstLine="360"/>
        <w:rPr>
          <w:rFonts w:ascii="Cambria" w:hAnsi="Cambria"/>
          <w:sz w:val="24"/>
          <w:szCs w:val="24"/>
        </w:rPr>
      </w:pPr>
      <w:r w:rsidRPr="00282ACC">
        <w:rPr>
          <w:rFonts w:ascii="Cambria" w:hAnsi="Cambria"/>
          <w:sz w:val="24"/>
          <w:szCs w:val="24"/>
        </w:rPr>
        <w:t>E</w:t>
      </w:r>
      <w:r w:rsidRPr="00282ACC">
        <w:rPr>
          <w:rFonts w:ascii="Cambria" w:hAnsi="Cambria"/>
          <w:sz w:val="24"/>
          <w:szCs w:val="24"/>
        </w:rPr>
        <w:t xml:space="preserve">ach </w:t>
      </w:r>
      <w:r w:rsidRPr="00282ACC" w:rsidR="00EF6FE9">
        <w:rPr>
          <w:rFonts w:ascii="Cambria" w:hAnsi="Cambria"/>
          <w:sz w:val="24"/>
          <w:szCs w:val="24"/>
        </w:rPr>
        <w:t xml:space="preserve">information collection </w:t>
      </w:r>
      <w:r w:rsidRPr="00282ACC" w:rsidR="00FD770A">
        <w:rPr>
          <w:rFonts w:ascii="Cambria" w:hAnsi="Cambria"/>
          <w:sz w:val="24"/>
          <w:szCs w:val="24"/>
        </w:rPr>
        <w:t>will consultation from</w:t>
      </w:r>
      <w:r w:rsidRPr="00282ACC" w:rsidR="00E97248">
        <w:rPr>
          <w:rFonts w:ascii="Cambria" w:hAnsi="Cambria"/>
          <w:sz w:val="24"/>
          <w:szCs w:val="24"/>
        </w:rPr>
        <w:t xml:space="preserve"> </w:t>
      </w:r>
      <w:r w:rsidRPr="00282ACC" w:rsidR="002463A4">
        <w:rPr>
          <w:rFonts w:ascii="Cambria" w:hAnsi="Cambria"/>
          <w:sz w:val="24"/>
          <w:szCs w:val="24"/>
        </w:rPr>
        <w:t>social scientists,</w:t>
      </w:r>
      <w:r w:rsidRPr="00282ACC" w:rsidR="00FD770A">
        <w:rPr>
          <w:rFonts w:ascii="Cambria" w:hAnsi="Cambria"/>
          <w:sz w:val="24"/>
          <w:szCs w:val="24"/>
        </w:rPr>
        <w:t xml:space="preserve"> </w:t>
      </w:r>
      <w:r w:rsidRPr="00282ACC">
        <w:rPr>
          <w:rFonts w:ascii="Cambria" w:hAnsi="Cambria"/>
          <w:sz w:val="24"/>
          <w:szCs w:val="24"/>
        </w:rPr>
        <w:t>statisticians</w:t>
      </w:r>
      <w:r w:rsidRPr="00282ACC" w:rsidR="002463A4">
        <w:rPr>
          <w:rFonts w:ascii="Cambria" w:hAnsi="Cambria"/>
          <w:sz w:val="24"/>
          <w:szCs w:val="24"/>
        </w:rPr>
        <w:t xml:space="preserve">, </w:t>
      </w:r>
      <w:r w:rsidRPr="00282ACC" w:rsidR="00EF6FE9">
        <w:rPr>
          <w:rFonts w:ascii="Cambria" w:hAnsi="Cambria"/>
          <w:sz w:val="24"/>
          <w:szCs w:val="24"/>
        </w:rPr>
        <w:t xml:space="preserve">and/or </w:t>
      </w:r>
      <w:r w:rsidRPr="00282ACC" w:rsidR="00B033A0">
        <w:rPr>
          <w:rFonts w:ascii="Cambria" w:hAnsi="Cambria"/>
          <w:sz w:val="24"/>
          <w:szCs w:val="24"/>
        </w:rPr>
        <w:t>subject matter experts (</w:t>
      </w:r>
      <w:r w:rsidRPr="00282ACC" w:rsidR="002463A4">
        <w:rPr>
          <w:rFonts w:ascii="Cambria" w:hAnsi="Cambria"/>
          <w:sz w:val="24"/>
          <w:szCs w:val="24"/>
        </w:rPr>
        <w:t>SMEs</w:t>
      </w:r>
      <w:r w:rsidRPr="00282ACC" w:rsidR="00B033A0">
        <w:rPr>
          <w:rFonts w:ascii="Cambria" w:hAnsi="Cambria"/>
          <w:sz w:val="24"/>
          <w:szCs w:val="24"/>
        </w:rPr>
        <w:t>)</w:t>
      </w:r>
      <w:r w:rsidRPr="00282ACC">
        <w:rPr>
          <w:rFonts w:ascii="Cambria" w:hAnsi="Cambria"/>
          <w:sz w:val="24"/>
          <w:szCs w:val="24"/>
        </w:rPr>
        <w:t xml:space="preserve"> in the development, design, conduct, and analysis of </w:t>
      </w:r>
      <w:r w:rsidRPr="00282ACC" w:rsidR="00792318">
        <w:rPr>
          <w:rFonts w:ascii="Cambria" w:hAnsi="Cambria"/>
          <w:sz w:val="24"/>
          <w:szCs w:val="24"/>
        </w:rPr>
        <w:t>the</w:t>
      </w:r>
      <w:r w:rsidRPr="00282ACC" w:rsidR="00EF6FE9">
        <w:rPr>
          <w:rFonts w:ascii="Cambria" w:hAnsi="Cambria"/>
          <w:sz w:val="24"/>
          <w:szCs w:val="24"/>
        </w:rPr>
        <w:t xml:space="preserve"> research</w:t>
      </w:r>
      <w:r w:rsidRPr="00282ACC">
        <w:rPr>
          <w:rFonts w:ascii="Cambria" w:hAnsi="Cambria"/>
          <w:sz w:val="24"/>
          <w:szCs w:val="24"/>
        </w:rPr>
        <w:t xml:space="preserve">, when appropriate.  This </w:t>
      </w:r>
      <w:r w:rsidRPr="00282ACC" w:rsidR="00E97248">
        <w:rPr>
          <w:rFonts w:ascii="Cambria" w:hAnsi="Cambria"/>
          <w:sz w:val="24"/>
          <w:szCs w:val="24"/>
        </w:rPr>
        <w:t xml:space="preserve">research design and </w:t>
      </w:r>
      <w:r w:rsidRPr="00282ACC">
        <w:rPr>
          <w:rFonts w:ascii="Cambria" w:hAnsi="Cambria"/>
          <w:sz w:val="24"/>
          <w:szCs w:val="24"/>
        </w:rPr>
        <w:t xml:space="preserve">statistical expertise will be available from </w:t>
      </w:r>
      <w:r w:rsidRPr="00282ACC" w:rsidR="005F44B4">
        <w:rPr>
          <w:rFonts w:ascii="Cambria" w:hAnsi="Cambria"/>
          <w:sz w:val="24"/>
          <w:szCs w:val="24"/>
        </w:rPr>
        <w:t>DoD</w:t>
      </w:r>
      <w:r w:rsidRPr="00282ACC" w:rsidR="00792318">
        <w:rPr>
          <w:rFonts w:ascii="Cambria" w:hAnsi="Cambria"/>
          <w:sz w:val="24"/>
          <w:szCs w:val="24"/>
        </w:rPr>
        <w:t xml:space="preserve"> </w:t>
      </w:r>
      <w:r w:rsidRPr="00282ACC" w:rsidR="00FD770A">
        <w:rPr>
          <w:rFonts w:ascii="Cambria" w:hAnsi="Cambria"/>
          <w:sz w:val="24"/>
          <w:szCs w:val="24"/>
        </w:rPr>
        <w:t>personnel, contractors</w:t>
      </w:r>
      <w:r w:rsidRPr="00282ACC" w:rsidR="005F44B4">
        <w:rPr>
          <w:rFonts w:ascii="Cambria" w:hAnsi="Cambria"/>
          <w:sz w:val="24"/>
          <w:szCs w:val="24"/>
        </w:rPr>
        <w:t>,</w:t>
      </w:r>
      <w:r w:rsidRPr="00282ACC">
        <w:rPr>
          <w:rFonts w:ascii="Cambria" w:hAnsi="Cambria"/>
          <w:sz w:val="24"/>
          <w:szCs w:val="24"/>
        </w:rPr>
        <w:t xml:space="preserve"> </w:t>
      </w:r>
      <w:r w:rsidRPr="00282ACC" w:rsidR="00EF6FE9">
        <w:rPr>
          <w:rFonts w:ascii="Cambria" w:hAnsi="Cambria"/>
          <w:sz w:val="24"/>
          <w:szCs w:val="24"/>
        </w:rPr>
        <w:t xml:space="preserve">or SMEs from outside of the Department.  The </w:t>
      </w:r>
      <w:r w:rsidRPr="00282ACC" w:rsidR="005F44B4">
        <w:rPr>
          <w:rFonts w:ascii="Cambria" w:hAnsi="Cambria"/>
          <w:sz w:val="24"/>
          <w:szCs w:val="24"/>
        </w:rPr>
        <w:t xml:space="preserve">DoD </w:t>
      </w:r>
      <w:r w:rsidRPr="00282ACC">
        <w:rPr>
          <w:rFonts w:ascii="Cambria" w:hAnsi="Cambria"/>
          <w:sz w:val="24"/>
          <w:szCs w:val="24"/>
        </w:rPr>
        <w:t xml:space="preserve">will include the names and contact information of persons consulted in the specific information collection requests submitted under this generic clearance. </w:t>
      </w:r>
    </w:p>
    <w:p w:rsidR="00E66CDF" w:rsidRPr="00E66CDF" w:rsidP="00E66CDF" w14:paraId="44D91EC6" w14:textId="587E7DE6">
      <w:pPr>
        <w:tabs>
          <w:tab w:val="left" w:pos="5630"/>
        </w:tabs>
      </w:pPr>
      <w:r w:rsidRPr="00282ACC">
        <w:rPr>
          <w:sz w:val="24"/>
          <w:szCs w:val="24"/>
        </w:rPr>
        <w:tab/>
      </w:r>
    </w:p>
    <w:sectPr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B4E75" w:rsidP="00E66CDF" w14:paraId="626E8FB9" w14:textId="080E357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F6FE9">
      <w:rPr>
        <w:noProof/>
      </w:rPr>
      <w:t>1</w:t>
    </w:r>
    <w:r>
      <w:rPr>
        <w:noProof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1591103"/>
    <w:multiLevelType w:val="hybridMultilevel"/>
    <w:tmpl w:val="7430A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C5A7B14"/>
    <w:multiLevelType w:val="hybridMultilevel"/>
    <w:tmpl w:val="C51090DE"/>
    <w:lvl w:ilvl="0">
      <w:start w:val="1"/>
      <w:numFmt w:val="decimal"/>
      <w:lvlText w:val="%1."/>
      <w:lvlJc w:val="left"/>
      <w:pPr>
        <w:ind w:left="0" w:hanging="360"/>
      </w:pPr>
      <w:rPr>
        <w:rFonts w:hint="default"/>
        <w:b w:val="0"/>
        <w:bCs/>
      </w:rPr>
    </w:lvl>
    <w:lvl w:ilvl="1" w:tentative="1">
      <w:start w:val="1"/>
      <w:numFmt w:val="lowerLetter"/>
      <w:lvlText w:val="%2."/>
      <w:lvlJc w:val="left"/>
      <w:pPr>
        <w:ind w:left="720" w:hanging="360"/>
      </w:pPr>
    </w:lvl>
    <w:lvl w:ilvl="2" w:tentative="1">
      <w:start w:val="1"/>
      <w:numFmt w:val="lowerRoman"/>
      <w:lvlText w:val="%3."/>
      <w:lvlJc w:val="right"/>
      <w:pPr>
        <w:ind w:left="1440" w:hanging="180"/>
      </w:pPr>
    </w:lvl>
    <w:lvl w:ilvl="3" w:tentative="1">
      <w:start w:val="1"/>
      <w:numFmt w:val="decimal"/>
      <w:lvlText w:val="%4."/>
      <w:lvlJc w:val="left"/>
      <w:pPr>
        <w:ind w:left="2160" w:hanging="360"/>
      </w:pPr>
    </w:lvl>
    <w:lvl w:ilvl="4" w:tentative="1">
      <w:start w:val="1"/>
      <w:numFmt w:val="lowerLetter"/>
      <w:lvlText w:val="%5."/>
      <w:lvlJc w:val="left"/>
      <w:pPr>
        <w:ind w:left="2880" w:hanging="360"/>
      </w:pPr>
    </w:lvl>
    <w:lvl w:ilvl="5" w:tentative="1">
      <w:start w:val="1"/>
      <w:numFmt w:val="lowerRoman"/>
      <w:lvlText w:val="%6."/>
      <w:lvlJc w:val="right"/>
      <w:pPr>
        <w:ind w:left="3600" w:hanging="180"/>
      </w:pPr>
    </w:lvl>
    <w:lvl w:ilvl="6" w:tentative="1">
      <w:start w:val="1"/>
      <w:numFmt w:val="decimal"/>
      <w:lvlText w:val="%7."/>
      <w:lvlJc w:val="left"/>
      <w:pPr>
        <w:ind w:left="4320" w:hanging="360"/>
      </w:pPr>
    </w:lvl>
    <w:lvl w:ilvl="7" w:tentative="1">
      <w:start w:val="1"/>
      <w:numFmt w:val="lowerLetter"/>
      <w:lvlText w:val="%8."/>
      <w:lvlJc w:val="left"/>
      <w:pPr>
        <w:ind w:left="5040" w:hanging="360"/>
      </w:pPr>
    </w:lvl>
    <w:lvl w:ilvl="8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795208EA"/>
    <w:multiLevelType w:val="hybridMultilevel"/>
    <w:tmpl w:val="B860DE3C"/>
    <w:lvl w:ilvl="0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090474">
    <w:abstractNumId w:val="0"/>
  </w:num>
  <w:num w:numId="2" w16cid:durableId="80181117">
    <w:abstractNumId w:val="2"/>
  </w:num>
  <w:num w:numId="3" w16cid:durableId="681980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BBB"/>
    <w:rsid w:val="000003DE"/>
    <w:rsid w:val="00024284"/>
    <w:rsid w:val="00044EB6"/>
    <w:rsid w:val="00063127"/>
    <w:rsid w:val="000735ED"/>
    <w:rsid w:val="0007416F"/>
    <w:rsid w:val="0008269D"/>
    <w:rsid w:val="00085A70"/>
    <w:rsid w:val="000919B5"/>
    <w:rsid w:val="000A78E7"/>
    <w:rsid w:val="000B4E75"/>
    <w:rsid w:val="000C6FA8"/>
    <w:rsid w:val="000D0580"/>
    <w:rsid w:val="000F048E"/>
    <w:rsid w:val="000F645D"/>
    <w:rsid w:val="00102D77"/>
    <w:rsid w:val="00112ECC"/>
    <w:rsid w:val="00116C3B"/>
    <w:rsid w:val="00124B76"/>
    <w:rsid w:val="00125DC1"/>
    <w:rsid w:val="0013051F"/>
    <w:rsid w:val="0013638B"/>
    <w:rsid w:val="00190E5E"/>
    <w:rsid w:val="001A77DA"/>
    <w:rsid w:val="001D2ACF"/>
    <w:rsid w:val="001E2D36"/>
    <w:rsid w:val="001E7AF6"/>
    <w:rsid w:val="001F413A"/>
    <w:rsid w:val="00200CC3"/>
    <w:rsid w:val="002041FF"/>
    <w:rsid w:val="00216896"/>
    <w:rsid w:val="00217406"/>
    <w:rsid w:val="00224975"/>
    <w:rsid w:val="00242714"/>
    <w:rsid w:val="00244147"/>
    <w:rsid w:val="002463A4"/>
    <w:rsid w:val="00254F94"/>
    <w:rsid w:val="00262539"/>
    <w:rsid w:val="00275EE8"/>
    <w:rsid w:val="002766E8"/>
    <w:rsid w:val="002779DA"/>
    <w:rsid w:val="00280E65"/>
    <w:rsid w:val="00282ACC"/>
    <w:rsid w:val="00291451"/>
    <w:rsid w:val="002B6F3F"/>
    <w:rsid w:val="002D43EB"/>
    <w:rsid w:val="002E2030"/>
    <w:rsid w:val="002F3E8E"/>
    <w:rsid w:val="00303465"/>
    <w:rsid w:val="003111CD"/>
    <w:rsid w:val="0032272A"/>
    <w:rsid w:val="00322E6F"/>
    <w:rsid w:val="00324BBB"/>
    <w:rsid w:val="00326D34"/>
    <w:rsid w:val="003273A8"/>
    <w:rsid w:val="00342FCE"/>
    <w:rsid w:val="00343708"/>
    <w:rsid w:val="00350C6D"/>
    <w:rsid w:val="003547FD"/>
    <w:rsid w:val="003603F5"/>
    <w:rsid w:val="00361921"/>
    <w:rsid w:val="0036225E"/>
    <w:rsid w:val="003626BF"/>
    <w:rsid w:val="003655C5"/>
    <w:rsid w:val="00383B98"/>
    <w:rsid w:val="003901C6"/>
    <w:rsid w:val="00395033"/>
    <w:rsid w:val="00397425"/>
    <w:rsid w:val="003B553A"/>
    <w:rsid w:val="003F2312"/>
    <w:rsid w:val="003F6B4F"/>
    <w:rsid w:val="00401B11"/>
    <w:rsid w:val="00401EBD"/>
    <w:rsid w:val="00406608"/>
    <w:rsid w:val="004263AA"/>
    <w:rsid w:val="00443096"/>
    <w:rsid w:val="00450A11"/>
    <w:rsid w:val="00460447"/>
    <w:rsid w:val="0046234A"/>
    <w:rsid w:val="004705E6"/>
    <w:rsid w:val="0049101D"/>
    <w:rsid w:val="0049312C"/>
    <w:rsid w:val="004A7E0C"/>
    <w:rsid w:val="004B5B48"/>
    <w:rsid w:val="004B7619"/>
    <w:rsid w:val="004D228B"/>
    <w:rsid w:val="004D2836"/>
    <w:rsid w:val="004D62FC"/>
    <w:rsid w:val="004E7EA4"/>
    <w:rsid w:val="00512740"/>
    <w:rsid w:val="00514C7F"/>
    <w:rsid w:val="00526276"/>
    <w:rsid w:val="00562D4D"/>
    <w:rsid w:val="00572D72"/>
    <w:rsid w:val="00580996"/>
    <w:rsid w:val="00585FAC"/>
    <w:rsid w:val="00586084"/>
    <w:rsid w:val="00595A7B"/>
    <w:rsid w:val="005A138A"/>
    <w:rsid w:val="005B0A6B"/>
    <w:rsid w:val="005B2712"/>
    <w:rsid w:val="005B4CC0"/>
    <w:rsid w:val="005E6E81"/>
    <w:rsid w:val="005E7812"/>
    <w:rsid w:val="005F1478"/>
    <w:rsid w:val="005F44B4"/>
    <w:rsid w:val="00603666"/>
    <w:rsid w:val="00604129"/>
    <w:rsid w:val="0061067C"/>
    <w:rsid w:val="0061274A"/>
    <w:rsid w:val="00617816"/>
    <w:rsid w:val="006205CF"/>
    <w:rsid w:val="00621A55"/>
    <w:rsid w:val="00625B3C"/>
    <w:rsid w:val="006270E5"/>
    <w:rsid w:val="006360BF"/>
    <w:rsid w:val="00655FF4"/>
    <w:rsid w:val="00672E9E"/>
    <w:rsid w:val="00684278"/>
    <w:rsid w:val="00686E37"/>
    <w:rsid w:val="00695354"/>
    <w:rsid w:val="00697518"/>
    <w:rsid w:val="00697A5A"/>
    <w:rsid w:val="006C7383"/>
    <w:rsid w:val="006D5D10"/>
    <w:rsid w:val="006E5C64"/>
    <w:rsid w:val="006F78D4"/>
    <w:rsid w:val="007165F5"/>
    <w:rsid w:val="00724D66"/>
    <w:rsid w:val="00725248"/>
    <w:rsid w:val="00727FFB"/>
    <w:rsid w:val="007326AF"/>
    <w:rsid w:val="00734EBA"/>
    <w:rsid w:val="007417C4"/>
    <w:rsid w:val="00746703"/>
    <w:rsid w:val="0074684A"/>
    <w:rsid w:val="007654F1"/>
    <w:rsid w:val="00770FDD"/>
    <w:rsid w:val="007725FF"/>
    <w:rsid w:val="00792318"/>
    <w:rsid w:val="007A128A"/>
    <w:rsid w:val="007A5F8E"/>
    <w:rsid w:val="007A7B13"/>
    <w:rsid w:val="007C6058"/>
    <w:rsid w:val="007D24F3"/>
    <w:rsid w:val="007D70F3"/>
    <w:rsid w:val="007E0262"/>
    <w:rsid w:val="008046FE"/>
    <w:rsid w:val="0080526A"/>
    <w:rsid w:val="0081587D"/>
    <w:rsid w:val="00816832"/>
    <w:rsid w:val="008206F0"/>
    <w:rsid w:val="00820E69"/>
    <w:rsid w:val="00833DCC"/>
    <w:rsid w:val="008411B7"/>
    <w:rsid w:val="008544A2"/>
    <w:rsid w:val="00860C71"/>
    <w:rsid w:val="00896608"/>
    <w:rsid w:val="00896760"/>
    <w:rsid w:val="008A7D1B"/>
    <w:rsid w:val="008B005F"/>
    <w:rsid w:val="008D583A"/>
    <w:rsid w:val="008E2105"/>
    <w:rsid w:val="0090198C"/>
    <w:rsid w:val="00901E33"/>
    <w:rsid w:val="00904B63"/>
    <w:rsid w:val="00944D14"/>
    <w:rsid w:val="00947385"/>
    <w:rsid w:val="00951407"/>
    <w:rsid w:val="00953F3C"/>
    <w:rsid w:val="00975164"/>
    <w:rsid w:val="00980666"/>
    <w:rsid w:val="009807E8"/>
    <w:rsid w:val="009A79F0"/>
    <w:rsid w:val="009C509E"/>
    <w:rsid w:val="009D43EF"/>
    <w:rsid w:val="009E56EB"/>
    <w:rsid w:val="00A11921"/>
    <w:rsid w:val="00A21DD6"/>
    <w:rsid w:val="00A42E09"/>
    <w:rsid w:val="00A42F45"/>
    <w:rsid w:val="00A4647B"/>
    <w:rsid w:val="00A46D3E"/>
    <w:rsid w:val="00A5062C"/>
    <w:rsid w:val="00A964C3"/>
    <w:rsid w:val="00AA1AC0"/>
    <w:rsid w:val="00AA32D4"/>
    <w:rsid w:val="00AA7CDC"/>
    <w:rsid w:val="00AD7616"/>
    <w:rsid w:val="00AE6D54"/>
    <w:rsid w:val="00B0133C"/>
    <w:rsid w:val="00B01BA0"/>
    <w:rsid w:val="00B033A0"/>
    <w:rsid w:val="00B07B6D"/>
    <w:rsid w:val="00B21859"/>
    <w:rsid w:val="00B337D2"/>
    <w:rsid w:val="00B473D1"/>
    <w:rsid w:val="00B665B9"/>
    <w:rsid w:val="00B71EA8"/>
    <w:rsid w:val="00B800DF"/>
    <w:rsid w:val="00B86C05"/>
    <w:rsid w:val="00BA6112"/>
    <w:rsid w:val="00BB07C2"/>
    <w:rsid w:val="00BB5A2D"/>
    <w:rsid w:val="00BB79F8"/>
    <w:rsid w:val="00BC5459"/>
    <w:rsid w:val="00BD2DD9"/>
    <w:rsid w:val="00BD4406"/>
    <w:rsid w:val="00BD6BC5"/>
    <w:rsid w:val="00BD7493"/>
    <w:rsid w:val="00BE6AEE"/>
    <w:rsid w:val="00BF2792"/>
    <w:rsid w:val="00C148FC"/>
    <w:rsid w:val="00C14C82"/>
    <w:rsid w:val="00C2299F"/>
    <w:rsid w:val="00C268D1"/>
    <w:rsid w:val="00C312BB"/>
    <w:rsid w:val="00C34330"/>
    <w:rsid w:val="00C415A1"/>
    <w:rsid w:val="00C51AD4"/>
    <w:rsid w:val="00C55D3D"/>
    <w:rsid w:val="00C642B9"/>
    <w:rsid w:val="00C96422"/>
    <w:rsid w:val="00C96A82"/>
    <w:rsid w:val="00CA3D9A"/>
    <w:rsid w:val="00CA4EAE"/>
    <w:rsid w:val="00CC402D"/>
    <w:rsid w:val="00CC7804"/>
    <w:rsid w:val="00CC78D0"/>
    <w:rsid w:val="00CD5EFB"/>
    <w:rsid w:val="00CD75E2"/>
    <w:rsid w:val="00CE74CB"/>
    <w:rsid w:val="00D03DBC"/>
    <w:rsid w:val="00D1093F"/>
    <w:rsid w:val="00D11041"/>
    <w:rsid w:val="00D5740D"/>
    <w:rsid w:val="00D57836"/>
    <w:rsid w:val="00D72CB7"/>
    <w:rsid w:val="00D776CF"/>
    <w:rsid w:val="00D86641"/>
    <w:rsid w:val="00D875AE"/>
    <w:rsid w:val="00DD29C3"/>
    <w:rsid w:val="00E154DF"/>
    <w:rsid w:val="00E22077"/>
    <w:rsid w:val="00E245D7"/>
    <w:rsid w:val="00E66CDF"/>
    <w:rsid w:val="00E82A92"/>
    <w:rsid w:val="00E9542E"/>
    <w:rsid w:val="00E97248"/>
    <w:rsid w:val="00EA48C8"/>
    <w:rsid w:val="00EA7E74"/>
    <w:rsid w:val="00EB07C4"/>
    <w:rsid w:val="00EB2785"/>
    <w:rsid w:val="00EB2E87"/>
    <w:rsid w:val="00EB7541"/>
    <w:rsid w:val="00ED0159"/>
    <w:rsid w:val="00EE3A2F"/>
    <w:rsid w:val="00EF1EB7"/>
    <w:rsid w:val="00EF6FE9"/>
    <w:rsid w:val="00F0214E"/>
    <w:rsid w:val="00F1109C"/>
    <w:rsid w:val="00F20530"/>
    <w:rsid w:val="00F3447F"/>
    <w:rsid w:val="00F344B3"/>
    <w:rsid w:val="00F4575A"/>
    <w:rsid w:val="00F51FEC"/>
    <w:rsid w:val="00F62BC8"/>
    <w:rsid w:val="00F65D9A"/>
    <w:rsid w:val="00F66652"/>
    <w:rsid w:val="00F8385E"/>
    <w:rsid w:val="00F924DD"/>
    <w:rsid w:val="00FA1438"/>
    <w:rsid w:val="00FB2701"/>
    <w:rsid w:val="00FB4212"/>
    <w:rsid w:val="00FB4FD5"/>
    <w:rsid w:val="00FC4890"/>
    <w:rsid w:val="00FD558B"/>
    <w:rsid w:val="00FD770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296D97D"/>
  <w15:chartTrackingRefBased/>
  <w15:docId w15:val="{6C97BEB4-B50A-4637-9B12-EFA564E66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4BBB"/>
    <w:pPr>
      <w:ind w:left="720"/>
      <w:contextualSpacing/>
    </w:pPr>
    <w:rPr>
      <w:rFonts w:eastAsia="Times New Roman"/>
    </w:rPr>
  </w:style>
  <w:style w:type="paragraph" w:styleId="BodyTextIndent3">
    <w:name w:val="Body Text Indent 3"/>
    <w:basedOn w:val="Normal"/>
    <w:link w:val="BodyTextIndent3Char"/>
    <w:semiHidden/>
    <w:rsid w:val="00324BBB"/>
    <w:pPr>
      <w:tabs>
        <w:tab w:val="left" w:pos="360"/>
      </w:tabs>
      <w:spacing w:after="0" w:line="240" w:lineRule="auto"/>
      <w:ind w:left="360" w:hanging="360"/>
    </w:pPr>
    <w:rPr>
      <w:rFonts w:ascii="Tahoma" w:eastAsia="Times New Roman" w:hAnsi="Tahoma"/>
      <w:sz w:val="20"/>
      <w:szCs w:val="20"/>
    </w:rPr>
  </w:style>
  <w:style w:type="character" w:customStyle="1" w:styleId="BodyTextIndent3Char">
    <w:name w:val="Body Text Indent 3 Char"/>
    <w:link w:val="BodyTextIndent3"/>
    <w:semiHidden/>
    <w:rsid w:val="00324BBB"/>
    <w:rPr>
      <w:rFonts w:ascii="Tahoma" w:eastAsia="Times New Roman" w:hAnsi="Tahoma"/>
    </w:rPr>
  </w:style>
  <w:style w:type="paragraph" w:styleId="Header">
    <w:name w:val="header"/>
    <w:basedOn w:val="Normal"/>
    <w:link w:val="HeaderChar"/>
    <w:uiPriority w:val="99"/>
    <w:unhideWhenUsed/>
    <w:rsid w:val="000B4E7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B4E7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B4E7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B4E75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343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43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43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43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433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0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262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unhideWhenUsed/>
    <w:rsid w:val="00896608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896608"/>
    <w:rPr>
      <w:color w:val="2B579A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unhideWhenUsed/>
    <w:rsid w:val="00BC5459"/>
    <w:rPr>
      <w:color w:val="605E5C"/>
      <w:shd w:val="clear" w:color="auto" w:fill="E1DFDD"/>
    </w:rPr>
  </w:style>
  <w:style w:type="character" w:customStyle="1" w:styleId="Mention2">
    <w:name w:val="Mention2"/>
    <w:basedOn w:val="DefaultParagraphFont"/>
    <w:uiPriority w:val="99"/>
    <w:unhideWhenUsed/>
    <w:rsid w:val="00BC5459"/>
    <w:rPr>
      <w:color w:val="2B579A"/>
      <w:shd w:val="clear" w:color="auto" w:fill="E1DFDD"/>
    </w:rPr>
  </w:style>
  <w:style w:type="paragraph" w:styleId="NormalWeb">
    <w:name w:val="Normal (Web)"/>
    <w:basedOn w:val="Normal"/>
    <w:unhideWhenUsed/>
    <w:rsid w:val="00D574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6498f3-6e5b-4e42-8d21-edb5ee036d0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135FB5CBCBE24184DF503F9F719F43" ma:contentTypeVersion="14" ma:contentTypeDescription="Create a new document." ma:contentTypeScope="" ma:versionID="915b5fa53479d4c183f4208857daf872">
  <xsd:schema xmlns:xsd="http://www.w3.org/2001/XMLSchema" xmlns:xs="http://www.w3.org/2001/XMLSchema" xmlns:p="http://schemas.microsoft.com/office/2006/metadata/properties" xmlns:ns3="7f6498f3-6e5b-4e42-8d21-edb5ee036d02" xmlns:ns4="7d756df2-7a67-4ebc-b619-1cae08509eee" targetNamespace="http://schemas.microsoft.com/office/2006/metadata/properties" ma:root="true" ma:fieldsID="459313189f468c14e95c3612c6b11f30" ns3:_="" ns4:_="">
    <xsd:import namespace="7f6498f3-6e5b-4e42-8d21-edb5ee036d02"/>
    <xsd:import namespace="7d756df2-7a67-4ebc-b619-1cae08509e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498f3-6e5b-4e42-8d21-edb5ee036d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56df2-7a67-4ebc-b619-1cae08509ee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654F9E-6E29-4F35-A5DD-C79D6B9C52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A2801A-8FC7-4992-90C2-154590F7BDB1}">
  <ds:schemaRefs>
    <ds:schemaRef ds:uri="http://purl.org/dc/elements/1.1/"/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7f6498f3-6e5b-4e42-8d21-edb5ee036d02"/>
    <ds:schemaRef ds:uri="http://schemas.openxmlformats.org/package/2006/metadata/core-properties"/>
    <ds:schemaRef ds:uri="7d756df2-7a67-4ebc-b619-1cae08509eee"/>
  </ds:schemaRefs>
</ds:datastoreItem>
</file>

<file path=customXml/itemProps3.xml><?xml version="1.0" encoding="utf-8"?>
<ds:datastoreItem xmlns:ds="http://schemas.openxmlformats.org/officeDocument/2006/customXml" ds:itemID="{8CEA90E9-7EBE-4A5E-9657-8E490D1C70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6B11F3-04B3-40E7-AAF0-99D8CD1D64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6498f3-6e5b-4e42-8d21-edb5ee036d02"/>
    <ds:schemaRef ds:uri="7d756df2-7a67-4ebc-b619-1cae08509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02d0191-eeae-4761-b1cb-1a83e86ef445}" enabled="0" method="" siteId="{102d0191-eeae-4761-b1cb-1a83e86ef445}" removed="1"/>
  <clbl:label id="{d5fe813e-0caa-432a-b2ac-d555aa91bd1c}" enabled="0" method="" siteId="{d5fe813e-0caa-432a-b2ac-d555aa91bd1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OMB</Company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malanoski</dc:creator>
  <cp:lastModifiedBy>Agyeman, Nana B CTR WHS ESD (USA)</cp:lastModifiedBy>
  <cp:revision>16</cp:revision>
  <cp:lastPrinted>2015-12-28T19:51:00Z</cp:lastPrinted>
  <dcterms:created xsi:type="dcterms:W3CDTF">2025-12-05T19:29:00Z</dcterms:created>
  <dcterms:modified xsi:type="dcterms:W3CDTF">2025-12-05T19:41:00Z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0x0101000B135FB5CBCBE24184DF503F9F719F43</vt:lpwstr>
  </property>
  <property fmtid="{D5CDD505-2E9C-101B-9397-08002B2CF9AE}" pid="3" name="_NewReviewCycle">
    <vt:lpwstr/>
  </property>
</Properties>
</file>