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F4689" w:rsidP="00E4794D" w14:paraId="46692DEB" w14:textId="18E8CE09">
      <w:pPr>
        <w:spacing w:line="240" w:lineRule="auto"/>
        <w:ind w:left="0" w:firstLine="0"/>
        <w:jc w:val="center"/>
        <w:rPr>
          <w:rFonts w:cstheme="minorHAnsi"/>
          <w:sz w:val="32"/>
          <w:szCs w:val="32"/>
        </w:rPr>
      </w:pPr>
      <w:bookmarkStart w:id="0" w:name="_Toc49148152"/>
      <w:r w:rsidRPr="00CF4689">
        <w:rPr>
          <w:rFonts w:cstheme="minorHAnsi"/>
          <w:sz w:val="32"/>
          <w:szCs w:val="32"/>
        </w:rPr>
        <w:t>U.S. Environmental Protection Agency</w:t>
      </w:r>
    </w:p>
    <w:p w:rsidR="002C57D1" w:rsidRPr="00CF4689" w:rsidP="00E4794D" w14:paraId="12485FB6" w14:textId="17CC9166">
      <w:pPr>
        <w:spacing w:line="240" w:lineRule="auto"/>
        <w:ind w:left="0" w:firstLine="0"/>
        <w:jc w:val="center"/>
        <w:rPr>
          <w:rFonts w:cstheme="minorHAnsi"/>
        </w:rPr>
      </w:pPr>
      <w:r w:rsidRPr="00CF4689">
        <w:rPr>
          <w:rFonts w:cstheme="minorHAnsi"/>
          <w:sz w:val="32"/>
          <w:szCs w:val="32"/>
        </w:rPr>
        <w:t>Information Collection Request</w:t>
      </w:r>
    </w:p>
    <w:p w:rsidR="00052926" w:rsidRPr="00CF4689" w:rsidP="00E4794D" w14:paraId="0CA0107B" w14:textId="51D76CCA">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b/>
          <w:bCs/>
          <w:color w:val="000000" w:themeColor="text1"/>
          <w:sz w:val="22"/>
          <w:szCs w:val="22"/>
        </w:rPr>
      </w:pPr>
      <w:r w:rsidRPr="00CF4689">
        <w:rPr>
          <w:rFonts w:asciiTheme="minorHAnsi" w:hAnsiTheme="minorHAnsi" w:cstheme="minorHAnsi"/>
          <w:b/>
          <w:bCs/>
          <w:color w:val="000000" w:themeColor="text1"/>
          <w:sz w:val="22"/>
          <w:szCs w:val="22"/>
        </w:rPr>
        <w:t xml:space="preserve">TITLE: </w:t>
      </w:r>
      <w:r w:rsidRPr="00CF4689" w:rsidR="00F77FF3">
        <w:rPr>
          <w:rFonts w:asciiTheme="minorHAnsi" w:hAnsiTheme="minorHAnsi" w:cstheme="minorHAnsi"/>
          <w:b/>
          <w:bCs/>
          <w:color w:val="000000" w:themeColor="text1"/>
          <w:sz w:val="22"/>
          <w:szCs w:val="22"/>
        </w:rPr>
        <w:t>Recordkeeping and Reporting for Renewable Fuel Standard (RFS) Program: RFS Annual Rules</w:t>
      </w:r>
    </w:p>
    <w:p w:rsidR="00EE2403" w:rsidRPr="00CF4689" w:rsidP="00E4794D" w14:paraId="71D5121E" w14:textId="7B3CB146">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b/>
          <w:bCs/>
          <w:color w:val="000000" w:themeColor="text1"/>
          <w:sz w:val="22"/>
          <w:szCs w:val="22"/>
        </w:rPr>
      </w:pPr>
      <w:r w:rsidRPr="00CF4689">
        <w:rPr>
          <w:rFonts w:asciiTheme="minorHAnsi" w:hAnsiTheme="minorHAnsi" w:cstheme="minorHAnsi"/>
          <w:b/>
          <w:bCs/>
          <w:color w:val="000000" w:themeColor="text1"/>
          <w:sz w:val="22"/>
          <w:szCs w:val="22"/>
        </w:rPr>
        <w:t xml:space="preserve">OMB CONTROL NUMBER: </w:t>
      </w:r>
      <w:r w:rsidRPr="00CF4689" w:rsidR="00F77FF3">
        <w:rPr>
          <w:rFonts w:asciiTheme="minorHAnsi" w:hAnsiTheme="minorHAnsi" w:cstheme="minorHAnsi"/>
          <w:b/>
          <w:bCs/>
          <w:color w:val="000000" w:themeColor="text1"/>
          <w:sz w:val="22"/>
          <w:szCs w:val="22"/>
        </w:rPr>
        <w:t>2060-0740</w:t>
      </w:r>
    </w:p>
    <w:p w:rsidR="00EE2403" w:rsidRPr="00CF4689" w:rsidP="00E4794D" w14:paraId="4FB77BCA" w14:textId="1BC1169C">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sz w:val="22"/>
          <w:szCs w:val="22"/>
        </w:rPr>
      </w:pPr>
      <w:r w:rsidRPr="00CF4689">
        <w:rPr>
          <w:rFonts w:asciiTheme="minorHAnsi" w:hAnsiTheme="minorHAnsi" w:cstheme="minorHAnsi"/>
          <w:b/>
          <w:bCs/>
          <w:color w:val="000000" w:themeColor="text1"/>
          <w:sz w:val="22"/>
          <w:szCs w:val="22"/>
        </w:rPr>
        <w:t xml:space="preserve">EPA ICR NUMBER: </w:t>
      </w:r>
      <w:r w:rsidRPr="00CF4689" w:rsidR="00F77FF3">
        <w:rPr>
          <w:rFonts w:asciiTheme="minorHAnsi" w:hAnsiTheme="minorHAnsi" w:cstheme="minorHAnsi"/>
          <w:b/>
          <w:bCs/>
          <w:color w:val="000000" w:themeColor="text1"/>
          <w:sz w:val="22"/>
          <w:szCs w:val="22"/>
        </w:rPr>
        <w:t>2691.03</w:t>
      </w:r>
    </w:p>
    <w:p w:rsidR="0011244C" w:rsidRPr="00CF4689" w:rsidP="00E4794D" w14:paraId="671E1787" w14:textId="24E1E647">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color w:val="000000" w:themeColor="text1"/>
          <w:sz w:val="22"/>
          <w:szCs w:val="22"/>
        </w:rPr>
      </w:pPr>
      <w:r w:rsidRPr="00CF4689">
        <w:rPr>
          <w:rFonts w:asciiTheme="minorHAnsi" w:hAnsiTheme="minorHAnsi" w:cstheme="minorHAnsi"/>
          <w:b/>
          <w:bCs/>
          <w:color w:val="000000" w:themeColor="text1"/>
          <w:sz w:val="22"/>
          <w:szCs w:val="22"/>
        </w:rPr>
        <w:t>ABSTRACT:</w:t>
      </w:r>
      <w:r w:rsidRPr="00CF4689" w:rsidR="00E4794D">
        <w:rPr>
          <w:rFonts w:asciiTheme="minorHAnsi" w:hAnsiTheme="minorHAnsi" w:cstheme="minorHAnsi"/>
          <w:b/>
          <w:bCs/>
          <w:color w:val="000000" w:themeColor="text1"/>
          <w:sz w:val="22"/>
          <w:szCs w:val="22"/>
        </w:rPr>
        <w:t xml:space="preserve"> </w:t>
      </w:r>
    </w:p>
    <w:p w:rsidR="00F77FF3" w:rsidRPr="00CF4689" w:rsidP="00F77FF3" w14:paraId="387555F5" w14:textId="3711F002">
      <w:pPr>
        <w:spacing w:line="259" w:lineRule="auto"/>
        <w:ind w:left="0" w:firstLine="0"/>
        <w:rPr>
          <w:rFonts w:cstheme="minorHAnsi"/>
        </w:rPr>
      </w:pPr>
      <w:r w:rsidRPr="00CF4689">
        <w:rPr>
          <w:rFonts w:cstheme="minorHAnsi"/>
        </w:rPr>
        <w:t xml:space="preserve">This Information Collection Request (ICR) is </w:t>
      </w:r>
      <w:bookmarkStart w:id="1" w:name="_Hlk488225077"/>
      <w:r w:rsidRPr="00CF4689">
        <w:rPr>
          <w:rFonts w:cstheme="minorHAnsi"/>
        </w:rPr>
        <w:t xml:space="preserve">a proposed extension. The collection is currently approved through October 31. 2025.  This ICR </w:t>
      </w:r>
      <w:r w:rsidR="00880B25">
        <w:rPr>
          <w:rFonts w:cstheme="minorHAnsi"/>
        </w:rPr>
        <w:t>applies</w:t>
      </w:r>
      <w:r w:rsidRPr="00CF4689">
        <w:rPr>
          <w:rFonts w:cstheme="minorHAnsi"/>
        </w:rPr>
        <w:t xml:space="preserve"> to the Renewable Fuel Standard (RFS) regulations and is related to biointermediates. </w:t>
      </w:r>
    </w:p>
    <w:bookmarkEnd w:id="1"/>
    <w:p w:rsidR="001A1EA6" w:rsidRPr="00CF4689" w:rsidP="00296995" w14:paraId="5F0F82EE" w14:textId="2F49ACC2">
      <w:pPr>
        <w:spacing w:line="259" w:lineRule="auto"/>
        <w:ind w:left="0" w:firstLine="0"/>
        <w:rPr>
          <w:rFonts w:cstheme="minorHAnsi"/>
        </w:rPr>
      </w:pPr>
    </w:p>
    <w:p w:rsidR="00872792" w:rsidRPr="00CF4689" w:rsidP="00940939" w14:paraId="49043A12" w14:textId="600FFF56">
      <w:pPr>
        <w:spacing w:line="240" w:lineRule="auto"/>
        <w:ind w:left="0" w:firstLine="0"/>
        <w:rPr>
          <w:rFonts w:cstheme="minorHAnsi"/>
          <w:b/>
          <w:bCs/>
          <w:u w:val="single"/>
        </w:rPr>
      </w:pPr>
      <w:r w:rsidRPr="00CF4689">
        <w:rPr>
          <w:rFonts w:cstheme="minorHAnsi"/>
          <w:b/>
          <w:bCs/>
          <w:u w:val="single"/>
        </w:rPr>
        <w:t>Supporting Statement A</w:t>
      </w:r>
    </w:p>
    <w:p w:rsidR="00D47CB3" w:rsidRPr="00CF4689" w:rsidP="00E4794D"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autoSpaceDE w:val="0"/>
        <w:autoSpaceDN w:val="0"/>
        <w:adjustRightInd w:val="0"/>
        <w:spacing w:before="0" w:after="160"/>
        <w:rPr>
          <w:rFonts w:asciiTheme="minorHAnsi" w:hAnsiTheme="minorHAnsi" w:cstheme="minorHAnsi"/>
          <w:b/>
          <w:bCs/>
          <w:sz w:val="22"/>
          <w:szCs w:val="22"/>
        </w:rPr>
      </w:pPr>
      <w:bookmarkStart w:id="2" w:name="_Toc156593368"/>
      <w:bookmarkEnd w:id="0"/>
      <w:r w:rsidRPr="00CF4689">
        <w:rPr>
          <w:rFonts w:asciiTheme="minorHAnsi" w:hAnsiTheme="minorHAnsi" w:cstheme="minorHAnsi"/>
          <w:b/>
          <w:bCs/>
          <w:color w:val="000000" w:themeColor="text1"/>
          <w:sz w:val="22"/>
          <w:szCs w:val="22"/>
        </w:rPr>
        <w:t>NEED AND AUTHORITY FOR THE COLLECTION</w:t>
      </w:r>
      <w:bookmarkEnd w:id="2"/>
      <w:r w:rsidRPr="00CF4689" w:rsidR="00EF65DF">
        <w:rPr>
          <w:rFonts w:asciiTheme="minorHAnsi" w:hAnsiTheme="minorHAnsi" w:cstheme="minorHAnsi"/>
          <w:b/>
          <w:bCs/>
          <w:color w:val="000000" w:themeColor="text1"/>
          <w:sz w:val="22"/>
          <w:szCs w:val="22"/>
        </w:rPr>
        <w:t>:</w:t>
      </w:r>
    </w:p>
    <w:p w:rsidR="00A27E5C" w:rsidRPr="00CF4689"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CF4689">
        <w:rPr>
          <w:rFonts w:cstheme="minorHAnsi"/>
          <w:i/>
          <w:iCs/>
          <w:color w:val="000000"/>
          <w:shd w:val="clear" w:color="auto" w:fill="FFFFFF"/>
        </w:rPr>
        <w:t>Explain the circumstances that make the collection of information necessary. Identify any legal or administrative requirements that necessitate</w:t>
      </w:r>
      <w:r w:rsidRPr="00CF4689" w:rsidR="00186985">
        <w:rPr>
          <w:rFonts w:cstheme="minorHAnsi"/>
          <w:i/>
          <w:iCs/>
          <w:color w:val="000000"/>
          <w:shd w:val="clear" w:color="auto" w:fill="FFFFFF"/>
        </w:rPr>
        <w:t xml:space="preserve"> </w:t>
      </w:r>
      <w:r w:rsidRPr="00CF4689">
        <w:rPr>
          <w:rFonts w:cstheme="minorHAnsi"/>
          <w:i/>
          <w:iCs/>
          <w:color w:val="000000"/>
          <w:shd w:val="clear" w:color="auto" w:fill="FFFFFF"/>
        </w:rPr>
        <w:t>the collection.</w:t>
      </w:r>
    </w:p>
    <w:p w:rsidR="00F77FF3" w:rsidRPr="00CF4689" w:rsidP="00F77FF3" w14:paraId="2685A7EE" w14:textId="2039F308">
      <w:pPr>
        <w:pStyle w:val="ListParagraph"/>
        <w:spacing w:line="240" w:lineRule="auto"/>
        <w:ind w:left="360" w:firstLine="0"/>
        <w:rPr>
          <w:rFonts w:cstheme="minorHAnsi"/>
        </w:rPr>
      </w:pPr>
      <w:bookmarkStart w:id="3" w:name="_Toc156593369"/>
      <w:r w:rsidRPr="00CF4689">
        <w:rPr>
          <w:rFonts w:cstheme="minorHAnsi"/>
        </w:rPr>
        <w:t xml:space="preserve">Sections 114 and 208 of the Clean Air Act (CAA), 42 U.S.C. §§ 7414 and 7542, authorize EPA to require recordkeeping and reporting regarding enforcement of the provisions of Title II of the CAA. The recordkeeping and reporting requirements of this regulation will allow EPA to monitor compliance under the Renewable Fuel Standard (RFS) program. The relevant regulations are in 40 CFR parts 80 and 1090. </w:t>
      </w:r>
    </w:p>
    <w:p w:rsidR="00D47CB3" w:rsidRPr="00CF4689"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PRACTICAL UTILITY/USERS OF THE DATA</w:t>
      </w:r>
      <w:bookmarkEnd w:id="3"/>
      <w:r w:rsidRPr="00CF4689" w:rsidR="00EF65DF">
        <w:rPr>
          <w:rFonts w:asciiTheme="minorHAnsi" w:hAnsiTheme="minorHAnsi" w:cstheme="minorHAnsi"/>
          <w:b/>
          <w:bCs/>
          <w:color w:val="000000" w:themeColor="text1"/>
          <w:sz w:val="22"/>
          <w:szCs w:val="22"/>
        </w:rPr>
        <w:t>:</w:t>
      </w:r>
    </w:p>
    <w:p w:rsidR="004252C1" w:rsidRPr="00CF4689"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CF4689">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6E4C61" w:rsidRPr="00CF4689" w:rsidP="006E4C61" w14:paraId="06590A8F" w14:textId="77777777">
      <w:pPr>
        <w:pStyle w:val="Heading1"/>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firstLine="0"/>
        <w:rPr>
          <w:rFonts w:asciiTheme="minorHAnsi" w:eastAsiaTheme="minorEastAsia" w:hAnsiTheme="minorHAnsi" w:cstheme="minorHAnsi"/>
          <w:color w:val="auto"/>
          <w:sz w:val="22"/>
          <w:szCs w:val="22"/>
        </w:rPr>
      </w:pPr>
      <w:bookmarkStart w:id="4" w:name="_Toc156593370"/>
      <w:r w:rsidRPr="00CF4689">
        <w:rPr>
          <w:rFonts w:asciiTheme="minorHAnsi" w:eastAsiaTheme="minorEastAsia" w:hAnsiTheme="minorHAnsi" w:cstheme="minorHAnsi"/>
          <w:color w:val="auto"/>
          <w:sz w:val="22"/>
          <w:szCs w:val="22"/>
        </w:rPr>
        <w:t>This ICR is for provisions regarding biointermediates in the Renewable Fuel Standard (RFS) program. A “biointermediate” is produced from renewable biomass at a biointermediate production facility and is not itself a renewable fuel; the biointermediate will be processed into a renewable fuel at a subsequent renewable fuel production facility.  EPA published a final rule entitled “Renewable Fuel Standard (RFS) Program: RFS Annual Rules” in the Federal Register on July 1, 2022 (87 FR 39600).</w:t>
      </w:r>
    </w:p>
    <w:p w:rsidR="006E4C61" w:rsidRPr="00CF4689" w:rsidP="006E4C61" w14:paraId="19B4FE9C" w14:textId="77777777">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left="360" w:firstLine="0"/>
        <w:rPr>
          <w:rFonts w:asciiTheme="minorHAnsi" w:eastAsiaTheme="minorEastAsia" w:hAnsiTheme="minorHAnsi" w:cstheme="minorHAnsi"/>
          <w:color w:val="auto"/>
          <w:sz w:val="22"/>
          <w:szCs w:val="22"/>
        </w:rPr>
      </w:pPr>
      <w:r w:rsidRPr="00CF4689">
        <w:rPr>
          <w:rFonts w:asciiTheme="minorHAnsi" w:eastAsiaTheme="minorEastAsia" w:hAnsiTheme="minorHAnsi" w:cstheme="minorHAnsi"/>
          <w:color w:val="auto"/>
          <w:sz w:val="22"/>
          <w:szCs w:val="22"/>
        </w:rPr>
        <w:t xml:space="preserve">RFS is a program that relies upon marketable credits (RINs) to function, which necessitates recordkeeping and reporting to establish type and number of RINs generated, sold, retired, etc. EPA provides the secure trading platform in which RIN transactions occur (EMTS), which removes a burden from industry. EPA uses the information to monitor compliance with RFS and to ensure the integrity of the RIN market. </w:t>
      </w:r>
    </w:p>
    <w:p w:rsidR="00074917" w:rsidRPr="00CF4689" w:rsidP="006E4C61" w14:paraId="1522D565" w14:textId="4E0DDE6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USE OF TECHNOLOGY</w:t>
      </w:r>
      <w:bookmarkEnd w:id="4"/>
      <w:r w:rsidRPr="00CF4689" w:rsidR="00EF65DF">
        <w:rPr>
          <w:rFonts w:asciiTheme="minorHAnsi" w:hAnsiTheme="minorHAnsi" w:cstheme="minorHAnsi"/>
          <w:b/>
          <w:bCs/>
          <w:color w:val="000000" w:themeColor="text1"/>
          <w:sz w:val="22"/>
          <w:szCs w:val="22"/>
        </w:rPr>
        <w:t>:</w:t>
      </w:r>
    </w:p>
    <w:p w:rsidR="00D47CB3" w:rsidRPr="00CF4689" w:rsidP="00940939" w14:paraId="50A4BA09" w14:textId="2FD9C2D1">
      <w:pPr>
        <w:pBdr>
          <w:bottom w:val="single" w:sz="4" w:space="1" w:color="auto"/>
        </w:pBdr>
        <w:spacing w:line="240" w:lineRule="auto"/>
        <w:ind w:left="0" w:firstLine="0"/>
        <w:jc w:val="both"/>
        <w:rPr>
          <w:rFonts w:cstheme="minorHAnsi"/>
          <w:i/>
          <w:iCs/>
        </w:rPr>
      </w:pPr>
      <w:r w:rsidRPr="00CF4689">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E4C61" w:rsidRPr="00CF4689" w:rsidP="002F7B5C" w14:paraId="034A3B5D" w14:textId="77777777">
      <w:pPr>
        <w:pStyle w:val="ListParagraph"/>
        <w:spacing w:line="240" w:lineRule="auto"/>
        <w:ind w:left="360" w:firstLine="0"/>
        <w:rPr>
          <w:rFonts w:cstheme="minorHAnsi"/>
        </w:rPr>
      </w:pPr>
      <w:bookmarkStart w:id="5" w:name="_Toc156593371"/>
      <w:r w:rsidRPr="00CF4689">
        <w:rPr>
          <w:rFonts w:cstheme="minorHAnsi"/>
        </w:rPr>
        <w:t>This ICR is for provisions regarding biointermediates in the Renewable Fuel Standard (RFS) program. A “biointermediate” is produced from renewable biomass at a biointermediate production facility and is not itself a renewable fuel; the biointermediate will be processed into a renewable fuel at a subsequent renewable fuel production facility.  EPA published a final rule entitled “Renewable Fuel Standard (RFS) Program: RFS Annual Rules” in the Federal Register on July 1, 2022 (87 FR 39600).</w:t>
      </w:r>
    </w:p>
    <w:p w:rsidR="006E4C61" w:rsidRPr="00CF4689" w:rsidP="002F7B5C" w14:paraId="51D41F86" w14:textId="77777777">
      <w:pPr>
        <w:pStyle w:val="ListParagraph"/>
        <w:spacing w:line="240" w:lineRule="auto"/>
        <w:ind w:left="360" w:firstLine="0"/>
        <w:rPr>
          <w:rFonts w:cstheme="minorHAnsi"/>
        </w:rPr>
      </w:pPr>
    </w:p>
    <w:p w:rsidR="006E4C61" w:rsidRPr="00CF4689" w:rsidP="002F7B5C" w14:paraId="51CA2F1F" w14:textId="77777777">
      <w:pPr>
        <w:pStyle w:val="ListParagraph"/>
        <w:spacing w:line="240" w:lineRule="auto"/>
        <w:ind w:left="360" w:firstLine="0"/>
        <w:rPr>
          <w:rFonts w:cstheme="minorHAnsi"/>
        </w:rPr>
      </w:pPr>
      <w:r w:rsidRPr="00CF4689">
        <w:rPr>
          <w:rFonts w:cstheme="minorHAnsi"/>
        </w:rPr>
        <w:t xml:space="preserve">RFS is a program that relies upon marketable credits (RINs) to function, which necessitates recordkeeping and reporting to establish type and number of RINs generated, sold, retired, etc. EPA provides the secure trading platform in which RIN transactions occur (EMTS), which removes a burden from industry. EPA uses the information to monitor compliance with RFS and to ensure the integrity of the RIN market. </w:t>
      </w:r>
    </w:p>
    <w:p w:rsidR="005263EC" w:rsidRPr="00CF4689"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EFFORTS TO IDENTIFY DUPLICATION</w:t>
      </w:r>
      <w:bookmarkEnd w:id="5"/>
      <w:r w:rsidRPr="00CF4689" w:rsidR="00EF65DF">
        <w:rPr>
          <w:rFonts w:asciiTheme="minorHAnsi" w:hAnsiTheme="minorHAnsi" w:cstheme="minorHAnsi"/>
          <w:b/>
          <w:bCs/>
          <w:color w:val="000000" w:themeColor="text1"/>
          <w:sz w:val="22"/>
          <w:szCs w:val="22"/>
        </w:rPr>
        <w:t>:</w:t>
      </w:r>
    </w:p>
    <w:p w:rsidR="00D47CB3" w:rsidRPr="00CF4689" w:rsidP="00940939" w14:paraId="15DFF081" w14:textId="77777777">
      <w:pPr>
        <w:pBdr>
          <w:bottom w:val="single" w:sz="4" w:space="1" w:color="auto"/>
        </w:pBdr>
        <w:spacing w:line="240" w:lineRule="auto"/>
        <w:ind w:left="0" w:firstLine="0"/>
        <w:jc w:val="both"/>
        <w:rPr>
          <w:rFonts w:cstheme="minorHAnsi"/>
          <w:i/>
          <w:iCs/>
        </w:rPr>
      </w:pPr>
      <w:r w:rsidRPr="00CF4689">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6E4C61" w:rsidRPr="00CF4689" w:rsidP="006E4C61" w14:paraId="52A86DCD" w14:textId="78200337">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left="360" w:firstLine="0"/>
        <w:rPr>
          <w:rFonts w:asciiTheme="minorHAnsi" w:eastAsiaTheme="minorEastAsia" w:hAnsiTheme="minorHAnsi" w:cstheme="minorHAnsi"/>
          <w:color w:val="auto"/>
          <w:sz w:val="22"/>
          <w:szCs w:val="22"/>
        </w:rPr>
      </w:pPr>
      <w:bookmarkStart w:id="6" w:name="_Toc156593372"/>
      <w:r w:rsidRPr="00CF4689">
        <w:rPr>
          <w:rFonts w:asciiTheme="minorHAnsi" w:eastAsiaTheme="minorEastAsia" w:hAnsiTheme="minorHAnsi" w:cstheme="minorHAnsi"/>
          <w:color w:val="auto"/>
          <w:sz w:val="22"/>
          <w:szCs w:val="22"/>
        </w:rPr>
        <w:t>Efforts have been made to eliminate duplication in this information collection and EPA is only requesting information necessary to implement a working biointermediate program. We are not seeking to collect information available to us in any other manner. The information requested is often claimed as confidential business information (CBI) by the submitter and, as such, is not readily or publicly available.</w:t>
      </w:r>
    </w:p>
    <w:p w:rsidR="00251151" w:rsidRPr="00CF4689"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MINIMIZING BURDEN ON SMALL ENTITIES</w:t>
      </w:r>
      <w:bookmarkEnd w:id="6"/>
      <w:r w:rsidRPr="00CF4689" w:rsidR="00EF65DF">
        <w:rPr>
          <w:rFonts w:asciiTheme="minorHAnsi" w:hAnsiTheme="minorHAnsi" w:cstheme="minorHAnsi"/>
          <w:b/>
          <w:bCs/>
          <w:color w:val="000000" w:themeColor="text1"/>
          <w:sz w:val="22"/>
          <w:szCs w:val="22"/>
        </w:rPr>
        <w:t>:</w:t>
      </w:r>
    </w:p>
    <w:p w:rsidR="00D47CB3" w:rsidRPr="00CF4689" w:rsidP="00940939" w14:paraId="3D612A53" w14:textId="12EBD254">
      <w:pPr>
        <w:pBdr>
          <w:bottom w:val="single" w:sz="4" w:space="1" w:color="auto"/>
        </w:pBdr>
        <w:spacing w:line="240" w:lineRule="auto"/>
        <w:ind w:left="0" w:firstLine="0"/>
        <w:jc w:val="both"/>
        <w:rPr>
          <w:rFonts w:cstheme="minorHAnsi"/>
          <w:i/>
          <w:iCs/>
        </w:rPr>
      </w:pPr>
      <w:r w:rsidRPr="00CF4689">
        <w:rPr>
          <w:rFonts w:cstheme="minorHAnsi"/>
          <w:i/>
          <w:iCs/>
          <w:color w:val="000000"/>
          <w:shd w:val="clear" w:color="auto" w:fill="FFFFFF"/>
        </w:rPr>
        <w:t>If the collection of information impacts small businesses or other small entities, describe any methods used to minimize burden.</w:t>
      </w:r>
    </w:p>
    <w:p w:rsidR="002F7B5C" w:rsidRPr="00CF4689" w:rsidP="3C1B7F5E" w14:paraId="34CB0CEB" w14:textId="77777777">
      <w:pPr>
        <w:pStyle w:val="ListParagraph"/>
        <w:spacing w:line="240" w:lineRule="auto"/>
        <w:ind w:left="360" w:firstLine="0"/>
        <w:rPr>
          <w:rFonts w:cstheme="minorHAnsi"/>
        </w:rPr>
      </w:pPr>
      <w:bookmarkStart w:id="7" w:name="_Toc156593373"/>
      <w:r w:rsidRPr="00CF4689">
        <w:rPr>
          <w:rFonts w:cstheme="minorHAnsi"/>
        </w:rPr>
        <w:t>This collection would not adversely affect small entities and may benefit small entities who are either biointermediate producers and/or renewable fuel producers.</w:t>
      </w:r>
    </w:p>
    <w:p w:rsidR="004252C1" w:rsidRPr="00CF4689"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EFFECTS OF LESS FREQUENT COLLECTION</w:t>
      </w:r>
      <w:bookmarkEnd w:id="7"/>
      <w:r w:rsidRPr="00CF4689" w:rsidR="00EF65DF">
        <w:rPr>
          <w:rFonts w:asciiTheme="minorHAnsi" w:hAnsiTheme="minorHAnsi" w:cstheme="minorHAnsi"/>
          <w:b/>
          <w:bCs/>
          <w:color w:val="000000" w:themeColor="text1"/>
          <w:sz w:val="22"/>
          <w:szCs w:val="22"/>
        </w:rPr>
        <w:t>:</w:t>
      </w:r>
    </w:p>
    <w:p w:rsidR="00D47CB3" w:rsidRPr="00CF4689" w:rsidP="00940939" w14:paraId="00E27992" w14:textId="51FE3814">
      <w:pPr>
        <w:pBdr>
          <w:bottom w:val="single" w:sz="4" w:space="1" w:color="auto"/>
        </w:pBdr>
        <w:spacing w:line="240" w:lineRule="auto"/>
        <w:ind w:left="0" w:firstLine="0"/>
        <w:jc w:val="both"/>
        <w:rPr>
          <w:rFonts w:cstheme="minorHAnsi"/>
          <w:i/>
          <w:iCs/>
        </w:rPr>
      </w:pPr>
      <w:r w:rsidRPr="00CF4689">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CF4689" w:rsidP="3C1B7F5E" w14:paraId="5934FB28" w14:textId="752D19F7">
      <w:pPr>
        <w:spacing w:line="259" w:lineRule="auto"/>
        <w:ind w:left="360" w:firstLine="0"/>
        <w:rPr>
          <w:rFonts w:cstheme="minorHAnsi"/>
        </w:rPr>
      </w:pPr>
      <w:r w:rsidRPr="00CF4689">
        <w:rPr>
          <w:rFonts w:cstheme="minorHAnsi"/>
        </w:rPr>
        <w:t xml:space="preserve">We have designed the reporting schedule to coincide with existing RFS reporting deadlines applicable to all parties regulated under the RFS program. Compliance reporting is typically quarterly or annual. </w:t>
      </w:r>
      <w:bookmarkStart w:id="8" w:name="_Hlk191455277"/>
      <w:r w:rsidRPr="00CF4689">
        <w:rPr>
          <w:rFonts w:cstheme="minorHAnsi"/>
        </w:rPr>
        <w:t xml:space="preserve">Reporting of transactions within EMTS are done on-occasion and as needed, when a respondent engages in a RIN transaction. The EMTS system is provided by EPA for registered respondents to use as a reliable method of engaging in transactions. </w:t>
      </w:r>
      <w:bookmarkEnd w:id="8"/>
      <w:r w:rsidRPr="00CF4689">
        <w:rPr>
          <w:rFonts w:cstheme="minorHAnsi"/>
        </w:rPr>
        <w:t xml:space="preserve">Initial registration and setting up initial system access typically are a one-time event; however, parties are responsible for updating their registrations on-occasion/as needed (e.g., if they change their address or the </w:t>
      </w:r>
      <w:r w:rsidRPr="00CF4689">
        <w:rPr>
          <w:rFonts w:cstheme="minorHAnsi"/>
        </w:rPr>
        <w:t>activities they engage in under the program). Engineering reviews are initially required and must be updated every three years. Less frequent collection of data would make it impossible to carry out the provisions of the Clean Air Act.</w:t>
      </w:r>
    </w:p>
    <w:p w:rsidR="00A233E0" w:rsidRPr="00CF4689"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9" w:name="_Toc156593374"/>
      <w:r w:rsidRPr="00CF4689">
        <w:rPr>
          <w:rFonts w:asciiTheme="minorHAnsi" w:hAnsiTheme="minorHAnsi" w:cstheme="minorHAnsi"/>
          <w:b/>
          <w:bCs/>
          <w:color w:val="000000" w:themeColor="text1"/>
          <w:sz w:val="22"/>
          <w:szCs w:val="22"/>
        </w:rPr>
        <w:t>GENERAL GUIDELINES</w:t>
      </w:r>
      <w:bookmarkEnd w:id="9"/>
      <w:r w:rsidRPr="00CF4689" w:rsidR="00EF65DF">
        <w:rPr>
          <w:rFonts w:asciiTheme="minorHAnsi" w:hAnsiTheme="minorHAnsi" w:cstheme="minorHAnsi"/>
          <w:b/>
          <w:bCs/>
          <w:color w:val="000000" w:themeColor="text1"/>
          <w:sz w:val="22"/>
          <w:szCs w:val="22"/>
        </w:rPr>
        <w:t>:</w:t>
      </w:r>
    </w:p>
    <w:p w:rsidR="00A233E0" w:rsidRPr="00CF4689" w:rsidP="00940939" w14:paraId="7754F228" w14:textId="66F6C47B">
      <w:pPr>
        <w:pBdr>
          <w:bottom w:val="single" w:sz="4" w:space="1" w:color="auto"/>
        </w:pBdr>
        <w:spacing w:line="240" w:lineRule="auto"/>
        <w:ind w:left="0" w:firstLine="0"/>
        <w:jc w:val="both"/>
        <w:rPr>
          <w:rFonts w:cstheme="minorHAnsi"/>
        </w:rPr>
      </w:pPr>
      <w:r w:rsidRPr="00CF4689">
        <w:rPr>
          <w:rFonts w:cstheme="minorHAnsi"/>
          <w:i/>
          <w:iCs/>
        </w:rPr>
        <w:t xml:space="preserve">Explain any special circumstances that require the collection to be conducted in a manner inconsistent with </w:t>
      </w:r>
      <w:r w:rsidRPr="00CF4689" w:rsidR="00EF65DF">
        <w:rPr>
          <w:rFonts w:cstheme="minorHAnsi"/>
          <w:i/>
          <w:iCs/>
        </w:rPr>
        <w:t>PRA Guidelines at 5 CFR 1320.5(d)(2)</w:t>
      </w:r>
      <w:r w:rsidRPr="00CF4689">
        <w:rPr>
          <w:rFonts w:cstheme="minorHAnsi"/>
          <w:i/>
          <w:iCs/>
        </w:rPr>
        <w:t>.</w:t>
      </w:r>
    </w:p>
    <w:p w:rsidR="002F7B5C" w:rsidRPr="00CF4689" w:rsidP="002F7B5C" w14:paraId="7DCA708A" w14:textId="77777777">
      <w:pPr>
        <w:pStyle w:val="ListParagraph"/>
        <w:numPr>
          <w:ilvl w:val="0"/>
          <w:numId w:val="30"/>
        </w:numPr>
        <w:spacing w:line="259" w:lineRule="auto"/>
        <w:rPr>
          <w:rFonts w:cstheme="minorHAnsi"/>
        </w:rPr>
      </w:pPr>
      <w:r w:rsidRPr="00CF4689">
        <w:rPr>
          <w:rFonts w:cstheme="minorHAnsi"/>
        </w:rPr>
        <w:t>Reporting of transactions within EMTS are done on-occasion and as needed, when a respondent engages in a RIN transaction. The frequency is driven by the respondent. Some may engage in daily RIN transactions, while others may engage in very few transactions during the year. Because RINs are basically a market, respondents must be able to engage in transactions whenever necessary. The EMTS system is provided by EPA for all registered respondents to use as a reliable method of engaging in transactions.</w:t>
      </w:r>
    </w:p>
    <w:p w:rsidR="002F7B5C" w:rsidRPr="00CF4689" w:rsidP="002F7B5C" w14:paraId="5A4C4E26" w14:textId="77777777">
      <w:pPr>
        <w:pStyle w:val="ListParagraph"/>
        <w:numPr>
          <w:ilvl w:val="0"/>
          <w:numId w:val="30"/>
        </w:numPr>
        <w:spacing w:line="259" w:lineRule="auto"/>
        <w:rPr>
          <w:rFonts w:cstheme="minorHAnsi"/>
        </w:rPr>
      </w:pPr>
      <w:r w:rsidRPr="00CF4689">
        <w:rPr>
          <w:rFonts w:cstheme="minorHAnsi"/>
        </w:rPr>
        <w:t xml:space="preserve">The record retention schedule for the RFS regulation is five years. This is consistent with the statute of limitations under the Clean Air Act. </w:t>
      </w:r>
    </w:p>
    <w:p w:rsidR="00111663" w:rsidRPr="00CF4689" w:rsidP="002F7B5C" w14:paraId="775EDF16" w14:textId="6A5F9EFF">
      <w:pPr>
        <w:pStyle w:val="ListParagraph"/>
        <w:numPr>
          <w:ilvl w:val="0"/>
          <w:numId w:val="30"/>
        </w:numPr>
        <w:spacing w:line="259" w:lineRule="auto"/>
        <w:rPr>
          <w:rFonts w:cstheme="minorHAnsi"/>
        </w:rPr>
      </w:pPr>
      <w:r w:rsidRPr="00CF4689">
        <w:rPr>
          <w:rFonts w:cstheme="minorHAnsi"/>
        </w:rPr>
        <w:t xml:space="preserve">Respondents may claim information contained in their recordkeeping and reporting as confidential business information (CBI). Our registration and reporting methods and EMTS are designed in a manner to be able to handle CBI. Where practicable, we provide respondents with a clear method of asserting a CBI claim. </w:t>
      </w:r>
    </w:p>
    <w:p w:rsidR="006036CD" w:rsidRPr="00CF4689"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10" w:name="_Toc156593375"/>
      <w:r w:rsidRPr="00CF4689">
        <w:rPr>
          <w:rFonts w:asciiTheme="minorHAnsi" w:hAnsiTheme="minorHAnsi" w:cstheme="minorHAnsi"/>
          <w:b/>
          <w:bCs/>
          <w:color w:val="000000" w:themeColor="text1"/>
          <w:sz w:val="22"/>
          <w:szCs w:val="22"/>
        </w:rPr>
        <w:t>PUBLIC COMMENT AND CONSULTATIONS</w:t>
      </w:r>
      <w:bookmarkStart w:id="11" w:name="_Toc156593376"/>
      <w:bookmarkEnd w:id="10"/>
      <w:r w:rsidRPr="00CF4689" w:rsidR="00262421">
        <w:rPr>
          <w:rFonts w:asciiTheme="minorHAnsi" w:hAnsiTheme="minorHAnsi" w:cstheme="minorHAnsi"/>
          <w:b/>
          <w:bCs/>
          <w:color w:val="000000" w:themeColor="text1"/>
          <w:sz w:val="22"/>
          <w:szCs w:val="22"/>
        </w:rPr>
        <w:t>:</w:t>
      </w:r>
    </w:p>
    <w:p w:rsidR="00DD2682" w:rsidRPr="00CF4689"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CF4689">
        <w:rPr>
          <w:rFonts w:asciiTheme="minorHAnsi" w:hAnsiTheme="minorHAnsi" w:cstheme="minorHAnsi"/>
          <w:b/>
          <w:bCs/>
          <w:color w:val="000000" w:themeColor="text1"/>
          <w:sz w:val="22"/>
          <w:szCs w:val="22"/>
        </w:rPr>
        <w:t xml:space="preserve">8a. </w:t>
      </w:r>
      <w:r w:rsidRPr="00CF4689" w:rsidR="00A82647">
        <w:rPr>
          <w:rFonts w:asciiTheme="minorHAnsi" w:hAnsiTheme="minorHAnsi" w:cstheme="minorHAnsi"/>
          <w:b/>
          <w:bCs/>
          <w:color w:val="000000" w:themeColor="text1"/>
          <w:sz w:val="22"/>
          <w:szCs w:val="22"/>
        </w:rPr>
        <w:t>Public Comment</w:t>
      </w:r>
      <w:bookmarkStart w:id="12" w:name="_Toc156593377"/>
      <w:bookmarkEnd w:id="11"/>
    </w:p>
    <w:p w:rsidR="00A233E0" w:rsidRPr="00CF4689" w:rsidP="00940939" w14:paraId="4D2D25D5" w14:textId="77777777">
      <w:pPr>
        <w:spacing w:line="240" w:lineRule="auto"/>
        <w:ind w:left="0" w:firstLine="0"/>
        <w:jc w:val="both"/>
        <w:rPr>
          <w:rFonts w:cstheme="minorHAnsi"/>
          <w:i/>
          <w:iCs/>
        </w:rPr>
      </w:pPr>
      <w:r w:rsidRPr="00CF4689">
        <w:rPr>
          <w:rFonts w:cstheme="minorHAnsi"/>
          <w:i/>
          <w:iCs/>
        </w:rPr>
        <w:t xml:space="preserve">If applicable, provide a copy and identify the date and page number of </w:t>
      </w:r>
      <w:r w:rsidRPr="00CF4689">
        <w:rPr>
          <w:rFonts w:cstheme="minorHAnsi"/>
          <w:i/>
          <w:iCs/>
        </w:rPr>
        <w:t>publication</w:t>
      </w:r>
      <w:r w:rsidRPr="00CF4689">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971A6" w:rsidRPr="00CF4689" w:rsidP="3C1B7F5E" w14:paraId="3A1C4D5B" w14:textId="6A21DF55">
      <w:pPr>
        <w:spacing w:line="240" w:lineRule="auto"/>
        <w:ind w:left="360" w:firstLine="0"/>
        <w:rPr>
          <w:rFonts w:cstheme="minorHAnsi"/>
        </w:rPr>
      </w:pPr>
      <w:r w:rsidRPr="00CF4689">
        <w:rPr>
          <w:rFonts w:cstheme="minorHAnsi"/>
        </w:rPr>
        <w:t>Federal Register 90 FR 17593,</w:t>
      </w:r>
      <w:r w:rsidRPr="00CF4689">
        <w:rPr>
          <w:rFonts w:cstheme="minorHAnsi"/>
        </w:rPr>
        <w:t xml:space="preserve"> published April 28, 2025. It contained the notice entitled, </w:t>
      </w:r>
      <w:r w:rsidR="0096247D">
        <w:rPr>
          <w:rFonts w:cstheme="minorHAnsi"/>
        </w:rPr>
        <w:t>“</w:t>
      </w:r>
      <w:r w:rsidRPr="00CF4689">
        <w:rPr>
          <w:rFonts w:cstheme="minorHAnsi"/>
        </w:rPr>
        <w:t xml:space="preserve">Agency Information Collection Activities; Proposed Information Collection Request; Comment Request; Renewable Fuel Standard (RFS) Program: RFS Annual Rules, EPA ICR No. 2691.03, OMB Control Number 2060-0740.”  One comment was received from an anonymous submitter supporting renewal of the information collection and RFS goals of expanding renewable fuel use.  </w:t>
      </w:r>
    </w:p>
    <w:p w:rsidR="00DB7775" w:rsidRPr="00CF4689" w:rsidP="003971A6" w14:paraId="71A9B3CC" w14:textId="256BF82B">
      <w:pPr>
        <w:spacing w:line="240" w:lineRule="auto"/>
        <w:ind w:left="0" w:firstLine="0"/>
        <w:rPr>
          <w:rFonts w:cstheme="minorHAnsi"/>
          <w:b/>
          <w:bCs/>
        </w:rPr>
      </w:pPr>
      <w:r w:rsidRPr="00CF4689">
        <w:rPr>
          <w:rFonts w:cstheme="minorHAnsi"/>
          <w:b/>
          <w:bCs/>
          <w:color w:val="000000" w:themeColor="text1"/>
        </w:rPr>
        <w:t xml:space="preserve">8b. </w:t>
      </w:r>
      <w:r w:rsidRPr="00CF4689" w:rsidR="0061689C">
        <w:rPr>
          <w:rFonts w:cstheme="minorHAnsi"/>
          <w:b/>
          <w:bCs/>
          <w:color w:val="000000" w:themeColor="text1"/>
        </w:rPr>
        <w:t>C</w:t>
      </w:r>
      <w:bookmarkEnd w:id="12"/>
      <w:r w:rsidRPr="00CF4689" w:rsidR="005D140B">
        <w:rPr>
          <w:rFonts w:cstheme="minorHAnsi"/>
          <w:b/>
          <w:bCs/>
          <w:color w:val="000000" w:themeColor="text1"/>
        </w:rPr>
        <w:t>onsultations</w:t>
      </w:r>
    </w:p>
    <w:p w:rsidR="00A233E0" w:rsidRPr="00CF4689" w:rsidP="00940939" w14:paraId="04F99483" w14:textId="13F9808D">
      <w:pPr>
        <w:spacing w:line="240" w:lineRule="auto"/>
        <w:ind w:left="0" w:firstLine="0"/>
        <w:jc w:val="both"/>
        <w:rPr>
          <w:rFonts w:cstheme="minorHAnsi"/>
          <w:i/>
          <w:iCs/>
        </w:rPr>
      </w:pPr>
      <w:r w:rsidRPr="00CF4689">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971A6" w:rsidRPr="00CF4689" w:rsidP="3C1B7F5E" w14:paraId="6AD07DB0" w14:textId="368F0B9C">
      <w:pPr>
        <w:spacing w:line="240" w:lineRule="auto"/>
        <w:ind w:left="360" w:firstLine="0"/>
        <w:rPr>
          <w:rFonts w:cstheme="minorHAnsi"/>
          <w:sz w:val="24"/>
          <w:szCs w:val="24"/>
        </w:rPr>
      </w:pPr>
      <w:r w:rsidRPr="00CF4689">
        <w:rPr>
          <w:rFonts w:cstheme="minorHAnsi"/>
        </w:rPr>
        <w:t xml:space="preserve">We also solicited input from two industry participants.  Responses from Weaver and Poet Bioprocessing both stated limited experience with biointermediates.  However, Weaver did suggest increasing estimates related to hours required when implementing QAP and the use of professional </w:t>
      </w:r>
      <w:r w:rsidRPr="00CF4689">
        <w:rPr>
          <w:rFonts w:cstheme="minorHAnsi"/>
        </w:rPr>
        <w:t>services</w:t>
      </w:r>
      <w:r w:rsidR="00045031">
        <w:rPr>
          <w:rFonts w:cstheme="minorHAnsi"/>
        </w:rPr>
        <w:t>,</w:t>
      </w:r>
      <w:r w:rsidRPr="00CF4689">
        <w:rPr>
          <w:rFonts w:cstheme="minorHAnsi"/>
        </w:rPr>
        <w:t xml:space="preserve"> but</w:t>
      </w:r>
      <w:r w:rsidRPr="00CF4689">
        <w:rPr>
          <w:rFonts w:cstheme="minorHAnsi"/>
        </w:rPr>
        <w:t xml:space="preserve"> largely agreed with our method for calculating costs.  We revised our final detailed cost estimates based on the feedback received.</w:t>
      </w:r>
    </w:p>
    <w:p w:rsidR="00940939" w:rsidRPr="00CF4689" w:rsidP="002943D2" w14:paraId="09E7F150" w14:textId="01986BA2">
      <w:pPr>
        <w:spacing w:line="259" w:lineRule="auto"/>
        <w:ind w:left="0" w:firstLine="0"/>
        <w:rPr>
          <w:rFonts w:cstheme="minorHAnsi"/>
        </w:rPr>
      </w:pPr>
    </w:p>
    <w:p w:rsidR="00A233E0" w:rsidRPr="00CF468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8"/>
      <w:r w:rsidRPr="00CF4689">
        <w:rPr>
          <w:rFonts w:asciiTheme="minorHAnsi" w:hAnsiTheme="minorHAnsi" w:cstheme="minorHAnsi"/>
          <w:b/>
          <w:bCs/>
          <w:color w:val="auto"/>
          <w:sz w:val="22"/>
          <w:szCs w:val="22"/>
        </w:rPr>
        <w:t>PAYMENTS OR GIFTS TO RESPONDENTS</w:t>
      </w:r>
      <w:bookmarkEnd w:id="13"/>
      <w:r w:rsidRPr="00CF4689" w:rsidR="0042474D">
        <w:rPr>
          <w:rFonts w:asciiTheme="minorHAnsi" w:hAnsiTheme="minorHAnsi" w:cstheme="minorHAnsi"/>
          <w:b/>
          <w:bCs/>
          <w:color w:val="000000" w:themeColor="text1"/>
          <w:sz w:val="22"/>
          <w:szCs w:val="22"/>
        </w:rPr>
        <w:t>:</w:t>
      </w:r>
    </w:p>
    <w:p w:rsidR="00D47CB3" w:rsidRPr="00CF4689" w:rsidP="00940939" w14:paraId="5B1B6C7F" w14:textId="1A951D95">
      <w:pPr>
        <w:pBdr>
          <w:bottom w:val="single" w:sz="4" w:space="1" w:color="auto"/>
        </w:pBdr>
        <w:spacing w:line="240" w:lineRule="auto"/>
        <w:ind w:left="0" w:firstLine="0"/>
        <w:rPr>
          <w:rFonts w:cstheme="minorHAnsi"/>
        </w:rPr>
      </w:pPr>
      <w:r w:rsidRPr="00CF4689">
        <w:rPr>
          <w:rFonts w:cstheme="minorHAnsi"/>
          <w:i/>
          <w:iCs/>
        </w:rPr>
        <w:t>Explain any decisions to provide payments or gifts to respondents, other than remuneration of contractors or grantees.</w:t>
      </w:r>
    </w:p>
    <w:p w:rsidR="00ED57A4" w:rsidRPr="00CF4689" w:rsidP="3C1B7F5E" w14:paraId="0D75D3D3" w14:textId="2C7AFDFD">
      <w:pPr>
        <w:spacing w:line="259" w:lineRule="auto"/>
        <w:ind w:left="360" w:firstLine="0"/>
        <w:rPr>
          <w:rFonts w:cstheme="minorHAnsi"/>
        </w:rPr>
      </w:pPr>
      <w:r w:rsidRPr="00CF4689">
        <w:rPr>
          <w:rFonts w:cstheme="minorHAnsi"/>
        </w:rPr>
        <w:t xml:space="preserve">No payments or gifts to the respondents were made. </w:t>
      </w:r>
    </w:p>
    <w:p w:rsidR="00A233E0" w:rsidRPr="00CF4689"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79"/>
      <w:r w:rsidRPr="00CF4689">
        <w:rPr>
          <w:rFonts w:asciiTheme="minorHAnsi" w:hAnsiTheme="minorHAnsi" w:cstheme="minorHAnsi"/>
          <w:b/>
          <w:bCs/>
          <w:color w:val="000000" w:themeColor="text1"/>
          <w:sz w:val="22"/>
          <w:szCs w:val="22"/>
        </w:rPr>
        <w:t>PROVISIONS FOR PROTECTION OF INFORMATION</w:t>
      </w:r>
      <w:bookmarkEnd w:id="14"/>
      <w:r w:rsidRPr="00CF4689" w:rsidR="0042474D">
        <w:rPr>
          <w:rFonts w:asciiTheme="minorHAnsi" w:hAnsiTheme="minorHAnsi" w:cstheme="minorHAnsi"/>
          <w:b/>
          <w:bCs/>
          <w:color w:val="000000" w:themeColor="text1"/>
          <w:sz w:val="22"/>
          <w:szCs w:val="22"/>
        </w:rPr>
        <w:t>:</w:t>
      </w:r>
    </w:p>
    <w:p w:rsidR="00A233E0" w:rsidRPr="00CF4689" w:rsidP="00940939" w14:paraId="429AF986" w14:textId="56C0AA32">
      <w:pPr>
        <w:pBdr>
          <w:bottom w:val="single" w:sz="4" w:space="1" w:color="auto"/>
        </w:pBdr>
        <w:spacing w:line="240" w:lineRule="auto"/>
        <w:ind w:left="0" w:firstLine="0"/>
        <w:jc w:val="both"/>
        <w:rPr>
          <w:rFonts w:cstheme="minorHAnsi"/>
        </w:rPr>
      </w:pPr>
      <w:r w:rsidRPr="00CF4689">
        <w:rPr>
          <w:rFonts w:cstheme="minorHAnsi"/>
          <w:i/>
          <w:iCs/>
        </w:rPr>
        <w:t xml:space="preserve">Describe any assurance of confidentiality provided to respondents and the basis for the assurance in statute, regulation, or Agency policy. If the collection requires a </w:t>
      </w:r>
      <w:r w:rsidRPr="00CF4689">
        <w:rPr>
          <w:rFonts w:cstheme="minorHAnsi"/>
          <w:i/>
          <w:iCs/>
        </w:rPr>
        <w:t>systems of records notice (SORN)</w:t>
      </w:r>
      <w:r w:rsidRPr="00CF4689">
        <w:rPr>
          <w:rFonts w:cstheme="minorHAnsi"/>
          <w:i/>
          <w:iCs/>
        </w:rPr>
        <w:t xml:space="preserve"> or privacy impact assessment (PIA), those should be cited and described here.</w:t>
      </w:r>
    </w:p>
    <w:p w:rsidR="009F1E00" w:rsidRPr="00CF4689" w:rsidP="3C1B7F5E" w14:paraId="3676EBC5" w14:textId="7A845046">
      <w:pPr>
        <w:spacing w:line="240" w:lineRule="auto"/>
        <w:ind w:left="360" w:firstLine="0"/>
        <w:rPr>
          <w:rFonts w:cstheme="minorHAnsi"/>
          <w:sz w:val="24"/>
          <w:szCs w:val="24"/>
        </w:rPr>
      </w:pPr>
      <w:r w:rsidRPr="00CF4689">
        <w:rPr>
          <w:rFonts w:cstheme="minorHAnsi"/>
        </w:rPr>
        <w:t xml:space="preserve">We inform respondents that they may assert claims of CBI for information they submit. Most form instructions contain a field to assert a claim. However, respondents may submit other information or attachments. Any information claimed as confidential by the submitter will be treated in accordance with 40 CFR part 2 and established EPA procedures. Information that is received without a clear claim of confidentiality may be made available to the public without further notice to the submitter under 40 CFR 2.203, although it is our normal practice to contact any respondent who has not indicated confidentiality prior to release of their information, to see if they wish to claim confidentiality. We do not collect privacy data under this program. </w:t>
      </w:r>
    </w:p>
    <w:p w:rsidR="00A233E0" w:rsidRPr="00CF4689"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5" w:name="_Toc156593380"/>
      <w:r w:rsidRPr="00CF4689">
        <w:rPr>
          <w:rFonts w:asciiTheme="minorHAnsi" w:hAnsiTheme="minorHAnsi" w:cstheme="minorHAnsi"/>
          <w:b/>
          <w:bCs/>
          <w:color w:val="000000" w:themeColor="text1"/>
          <w:sz w:val="22"/>
          <w:szCs w:val="22"/>
        </w:rPr>
        <w:t>JUSTIFICATION FOR SENSITIVE QUESTIONS</w:t>
      </w:r>
      <w:bookmarkEnd w:id="15"/>
      <w:r w:rsidRPr="00CF4689" w:rsidR="0042474D">
        <w:rPr>
          <w:rFonts w:asciiTheme="minorHAnsi" w:hAnsiTheme="minorHAnsi" w:cstheme="minorHAnsi"/>
          <w:b/>
          <w:bCs/>
          <w:color w:val="000000" w:themeColor="text1"/>
          <w:sz w:val="22"/>
          <w:szCs w:val="22"/>
        </w:rPr>
        <w:t>:</w:t>
      </w:r>
    </w:p>
    <w:p w:rsidR="00A233E0" w:rsidRPr="00CF4689" w:rsidP="00940939" w14:paraId="6E3B78D8" w14:textId="5C334C1C">
      <w:pPr>
        <w:pBdr>
          <w:bottom w:val="single" w:sz="4" w:space="1" w:color="auto"/>
        </w:pBdr>
        <w:spacing w:line="240" w:lineRule="auto"/>
        <w:ind w:left="0" w:firstLine="0"/>
        <w:jc w:val="both"/>
        <w:rPr>
          <w:rFonts w:cstheme="minorHAnsi"/>
        </w:rPr>
      </w:pPr>
      <w:r w:rsidRPr="00CF4689">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CF4689" w:rsidP="3C1B7F5E" w14:paraId="77467D05" w14:textId="66FBF3E7">
      <w:pPr>
        <w:spacing w:line="259" w:lineRule="auto"/>
        <w:ind w:left="360" w:firstLine="0"/>
        <w:rPr>
          <w:rFonts w:cstheme="minorHAnsi"/>
        </w:rPr>
      </w:pPr>
      <w:r w:rsidRPr="00CF4689">
        <w:rPr>
          <w:rFonts w:cstheme="minorHAnsi"/>
        </w:rPr>
        <w:t xml:space="preserve">There are no sensitive questions. </w:t>
      </w:r>
    </w:p>
    <w:p w:rsidR="001172FE" w:rsidRPr="00CF4689" w:rsidP="3C1B7F5E"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6" w:name="_Toc156593381"/>
      <w:r w:rsidRPr="00CF4689">
        <w:rPr>
          <w:rFonts w:asciiTheme="minorHAnsi" w:hAnsiTheme="minorHAnsi" w:cstheme="minorHAnsi"/>
          <w:b/>
          <w:bCs/>
          <w:color w:val="000000" w:themeColor="text1"/>
          <w:sz w:val="22"/>
          <w:szCs w:val="22"/>
        </w:rPr>
        <w:t>RESPONDENT BURDEN HOURS AND LABOR COSTS</w:t>
      </w:r>
      <w:bookmarkStart w:id="17" w:name="_Toc156593382"/>
      <w:bookmarkEnd w:id="16"/>
      <w:r w:rsidRPr="00CF4689" w:rsidR="0042474D">
        <w:rPr>
          <w:rFonts w:asciiTheme="minorHAnsi" w:hAnsiTheme="minorHAnsi" w:cstheme="minorHAnsi"/>
          <w:b/>
          <w:bCs/>
          <w:color w:val="000000" w:themeColor="text1"/>
          <w:sz w:val="22"/>
          <w:szCs w:val="22"/>
        </w:rPr>
        <w:t>:</w:t>
      </w:r>
    </w:p>
    <w:p w:rsidR="00A233E0" w:rsidRPr="00CF4689" w:rsidP="00940939" w14:paraId="71F2FC12" w14:textId="77777777">
      <w:pPr>
        <w:pStyle w:val="ListParagraph"/>
        <w:spacing w:line="240" w:lineRule="auto"/>
        <w:ind w:left="0" w:firstLine="0"/>
        <w:jc w:val="both"/>
        <w:rPr>
          <w:rFonts w:cstheme="minorHAnsi"/>
          <w:i/>
          <w:iCs/>
        </w:rPr>
      </w:pPr>
      <w:r w:rsidRPr="00CF4689">
        <w:rPr>
          <w:rFonts w:cstheme="minorHAnsi"/>
          <w:i/>
          <w:iCs/>
        </w:rPr>
        <w:t>Provide estimates of the hour burden of the collection of information. The statement should:</w:t>
      </w:r>
    </w:p>
    <w:p w:rsidR="008F2B76" w:rsidRPr="00CF4689" w:rsidP="00940939" w14:paraId="3A12D4C3" w14:textId="77777777">
      <w:pPr>
        <w:pStyle w:val="ListParagraph"/>
        <w:numPr>
          <w:ilvl w:val="0"/>
          <w:numId w:val="14"/>
        </w:numPr>
        <w:spacing w:line="240" w:lineRule="auto"/>
        <w:ind w:left="450"/>
        <w:jc w:val="both"/>
        <w:rPr>
          <w:rFonts w:cstheme="minorHAnsi"/>
          <w:i/>
          <w:iCs/>
        </w:rPr>
      </w:pPr>
      <w:r w:rsidRPr="00CF4689">
        <w:rPr>
          <w:rFonts w:cstheme="minorHAnsi"/>
          <w:i/>
          <w:iCs/>
        </w:rPr>
        <w:t xml:space="preserve">Indicate the number of respondents, frequency of response, annual hour burden, and an explanation of how the burden was estimated. </w:t>
      </w:r>
    </w:p>
    <w:p w:rsidR="00A233E0" w:rsidRPr="00CF4689" w:rsidP="00940939" w14:paraId="2184CE92" w14:textId="69353A84">
      <w:pPr>
        <w:pStyle w:val="ListParagraph"/>
        <w:numPr>
          <w:ilvl w:val="0"/>
          <w:numId w:val="14"/>
        </w:numPr>
        <w:spacing w:line="240" w:lineRule="auto"/>
        <w:ind w:left="450"/>
        <w:jc w:val="both"/>
        <w:rPr>
          <w:rFonts w:cstheme="minorHAnsi"/>
          <w:i/>
          <w:iCs/>
        </w:rPr>
      </w:pPr>
      <w:r w:rsidRPr="00CF4689">
        <w:rPr>
          <w:rFonts w:cstheme="minorHAnsi"/>
          <w:i/>
          <w:iCs/>
        </w:rPr>
        <w:t>If this request for approval covers more than one form, provide separate hour burden estimates for each form and the aggregate the hour burdens.</w:t>
      </w:r>
    </w:p>
    <w:p w:rsidR="004C4034" w:rsidRPr="00CF4689"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CF4689">
        <w:rPr>
          <w:rFonts w:cstheme="minorHAnsi"/>
          <w:i/>
          <w:iCs/>
        </w:rPr>
        <w:t xml:space="preserve">Provide estimates of annualized cost to respondents for the hour burdens for collections of information, identifying and using appropriate wage rate categories. The cost of contracting out or </w:t>
      </w:r>
      <w:r w:rsidRPr="00CF4689">
        <w:rPr>
          <w:rFonts w:cstheme="minorHAnsi"/>
          <w:i/>
          <w:iCs/>
        </w:rPr>
        <w:t>paying outside parties for information collection activities should not be included here. Instead, this cost should be included as O&amp;M costs under non-labor costs covered under question 13</w:t>
      </w:r>
      <w:r w:rsidRPr="00CF4689" w:rsidR="001F0834">
        <w:rPr>
          <w:rFonts w:cstheme="minorHAnsi"/>
          <w:i/>
          <w:iCs/>
        </w:rPr>
        <w:t>.</w:t>
      </w:r>
    </w:p>
    <w:p w:rsidR="004C4034" w:rsidRPr="00CF4689" w:rsidP="00940939" w14:paraId="45F970FD" w14:textId="77777777">
      <w:pPr>
        <w:pStyle w:val="ListParagraph"/>
        <w:spacing w:line="240" w:lineRule="auto"/>
        <w:ind w:left="446"/>
        <w:rPr>
          <w:rFonts w:cstheme="minorHAnsi"/>
        </w:rPr>
      </w:pPr>
    </w:p>
    <w:p w:rsidR="0007647C" w:rsidRPr="00CF4689" w:rsidP="0007647C" w14:paraId="3BFD4066" w14:textId="77777777">
      <w:pPr>
        <w:pStyle w:val="Heading2"/>
        <w:keepNext w:val="0"/>
        <w:spacing w:before="0" w:after="160"/>
        <w:ind w:left="0" w:firstLine="0"/>
        <w:rPr>
          <w:rFonts w:asciiTheme="minorHAnsi" w:hAnsiTheme="minorHAnsi" w:cstheme="minorHAnsi"/>
          <w:sz w:val="22"/>
          <w:szCs w:val="22"/>
        </w:rPr>
      </w:pPr>
      <w:bookmarkStart w:id="18" w:name="_Toc156593383"/>
      <w:bookmarkEnd w:id="17"/>
      <w:r w:rsidRPr="00CF4689">
        <w:rPr>
          <w:rFonts w:asciiTheme="minorHAnsi" w:hAnsiTheme="minorHAnsi" w:cstheme="minorHAnsi"/>
          <w:b/>
          <w:bCs/>
          <w:color w:val="000000" w:themeColor="text1"/>
          <w:sz w:val="22"/>
          <w:szCs w:val="22"/>
        </w:rPr>
        <w:t>12a. RESPONDENTS/NAICS CODES</w:t>
      </w:r>
    </w:p>
    <w:p w:rsidR="00E74E56" w:rsidRPr="00CF4689" w:rsidP="00C46412" w14:paraId="25DD8EB5" w14:textId="3EFA7271">
      <w:pPr>
        <w:spacing w:before="100" w:beforeAutospacing="1" w:after="100" w:afterAutospacing="1" w:line="240" w:lineRule="auto"/>
        <w:ind w:left="360" w:firstLine="0"/>
        <w:rPr>
          <w:rFonts w:eastAsia="Times New Roman" w:cstheme="minorHAnsi"/>
          <w:sz w:val="24"/>
          <w:szCs w:val="24"/>
        </w:rPr>
      </w:pPr>
      <w:r w:rsidRPr="00CF4689">
        <w:rPr>
          <w:rFonts w:eastAsia="Times New Roman" w:cstheme="minorHAnsi"/>
          <w:sz w:val="24"/>
          <w:szCs w:val="24"/>
        </w:rPr>
        <w:t>Respondents to this information collection include:</w:t>
      </w:r>
    </w:p>
    <w:tbl>
      <w:tblPr>
        <w:tblW w:w="9002" w:type="dxa"/>
        <w:tblCellSpacing w:w="15" w:type="dxa"/>
        <w:tblInd w:w="355" w:type="dxa"/>
        <w:tblCellMar>
          <w:top w:w="15" w:type="dxa"/>
          <w:left w:w="15" w:type="dxa"/>
          <w:bottom w:w="15" w:type="dxa"/>
          <w:right w:w="15" w:type="dxa"/>
        </w:tblCellMar>
        <w:tblLook w:val="04A0"/>
      </w:tblPr>
      <w:tblGrid>
        <w:gridCol w:w="50"/>
        <w:gridCol w:w="6360"/>
        <w:gridCol w:w="823"/>
        <w:gridCol w:w="1724"/>
        <w:gridCol w:w="45"/>
      </w:tblGrid>
      <w:tr w14:paraId="710DEDEF" w14:textId="5F0FD3C0"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Header/>
          <w:tblCellSpacing w:w="15" w:type="dxa"/>
        </w:trPr>
        <w:tc>
          <w:tcPr>
            <w:tcW w:w="7153" w:type="dxa"/>
            <w:gridSpan w:val="2"/>
            <w:tcBorders>
              <w:top w:val="single" w:sz="4" w:space="0" w:color="auto"/>
              <w:left w:val="single" w:sz="4" w:space="0" w:color="auto"/>
              <w:bottom w:val="single" w:sz="4" w:space="0" w:color="auto"/>
              <w:right w:val="single" w:sz="4" w:space="0" w:color="auto"/>
            </w:tcBorders>
            <w:shd w:val="clear" w:color="auto" w:fill="F9F9F9"/>
            <w:vAlign w:val="center"/>
            <w:hideMark/>
          </w:tcPr>
          <w:p w:rsidR="003B5665" w:rsidRPr="00CF4689" w:rsidP="003B5665" w14:paraId="0D903A01" w14:textId="3D0F8167">
            <w:pPr>
              <w:spacing w:after="0" w:line="240" w:lineRule="auto"/>
              <w:ind w:left="0" w:firstLine="0"/>
              <w:rPr>
                <w:rFonts w:eastAsia="Times New Roman" w:cstheme="minorHAnsi"/>
                <w:b/>
                <w:bCs/>
                <w:sz w:val="24"/>
                <w:szCs w:val="24"/>
              </w:rPr>
            </w:pPr>
            <w:r w:rsidRPr="00CF4689">
              <w:rPr>
                <w:rFonts w:eastAsia="Times New Roman" w:cstheme="minorHAnsi"/>
                <w:b/>
                <w:bCs/>
                <w:sz w:val="24"/>
                <w:szCs w:val="24"/>
              </w:rPr>
              <w:t>Industry Category</w:t>
            </w:r>
          </w:p>
        </w:tc>
        <w:tc>
          <w:tcPr>
            <w:tcW w:w="1694" w:type="dxa"/>
            <w:tcBorders>
              <w:top w:val="single" w:sz="4" w:space="0" w:color="auto"/>
              <w:left w:val="single" w:sz="4" w:space="0" w:color="auto"/>
              <w:bottom w:val="single" w:sz="4" w:space="0" w:color="auto"/>
              <w:right w:val="single" w:sz="4" w:space="0" w:color="auto"/>
            </w:tcBorders>
            <w:shd w:val="clear" w:color="auto" w:fill="F9F9F9"/>
            <w:vAlign w:val="center"/>
          </w:tcPr>
          <w:p w:rsidR="003B5665" w:rsidRPr="00CF4689" w:rsidP="003B5665" w14:paraId="7D3B5546" w14:textId="16E431E0">
            <w:pPr>
              <w:spacing w:after="0" w:line="240" w:lineRule="auto"/>
              <w:ind w:left="0" w:firstLine="0"/>
              <w:rPr>
                <w:rFonts w:eastAsia="Times New Roman" w:cstheme="minorHAnsi"/>
                <w:b/>
                <w:bCs/>
                <w:sz w:val="24"/>
                <w:szCs w:val="24"/>
              </w:rPr>
            </w:pPr>
            <w:r w:rsidRPr="00CF4689">
              <w:rPr>
                <w:rFonts w:eastAsia="Times New Roman" w:cstheme="minorHAnsi"/>
                <w:b/>
                <w:bCs/>
                <w:sz w:val="24"/>
                <w:szCs w:val="24"/>
              </w:rPr>
              <w:t>NAICS </w:t>
            </w:r>
            <w:r w:rsidRPr="00CF4689">
              <w:rPr>
                <w:rFonts w:eastAsia="Times New Roman" w:cstheme="minorHAnsi"/>
                <w:b/>
                <w:bCs/>
                <w:sz w:val="24"/>
                <w:szCs w:val="24"/>
                <w:vertAlign w:val="superscript"/>
              </w:rPr>
              <w:t>1</w:t>
            </w:r>
            <w:r w:rsidRPr="00CF4689">
              <w:rPr>
                <w:rFonts w:eastAsia="Times New Roman" w:cstheme="minorHAnsi"/>
                <w:b/>
                <w:bCs/>
                <w:sz w:val="24"/>
                <w:szCs w:val="24"/>
              </w:rPr>
              <w:t xml:space="preserve"> code</w:t>
            </w:r>
          </w:p>
        </w:tc>
      </w:tr>
      <w:tr w14:paraId="2B19BC57" w14:textId="6063BC08"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CF4689" w:rsidP="003B5665" w14:paraId="3E465438" w14:textId="77777777">
            <w:pPr>
              <w:spacing w:after="0" w:line="240" w:lineRule="auto"/>
              <w:ind w:left="0" w:firstLine="0"/>
              <w:rPr>
                <w:rFonts w:eastAsia="Times New Roman" w:cstheme="minorHAnsi"/>
                <w:sz w:val="24"/>
                <w:szCs w:val="24"/>
              </w:rPr>
            </w:pPr>
            <w:r w:rsidRPr="00CF4689">
              <w:rPr>
                <w:rFonts w:eastAsia="Times New Roman" w:cstheme="minorHAnsi"/>
                <w:sz w:val="24"/>
                <w:szCs w:val="24"/>
              </w:rPr>
              <w:t>Petroleum refineries.</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CF4689" w:rsidP="003B5665" w14:paraId="6D31693A" w14:textId="77B75941">
            <w:pPr>
              <w:spacing w:after="0" w:line="240" w:lineRule="auto"/>
              <w:ind w:left="0" w:firstLine="0"/>
              <w:rPr>
                <w:rFonts w:eastAsia="Times New Roman" w:cstheme="minorHAnsi"/>
                <w:sz w:val="24"/>
                <w:szCs w:val="24"/>
              </w:rPr>
            </w:pPr>
            <w:r w:rsidRPr="00CF4689">
              <w:rPr>
                <w:rFonts w:eastAsia="Times New Roman" w:cstheme="minorHAnsi"/>
                <w:sz w:val="24"/>
                <w:szCs w:val="24"/>
              </w:rPr>
              <w:t>324110</w:t>
            </w:r>
          </w:p>
        </w:tc>
      </w:tr>
      <w:tr w14:paraId="6DDB2149" w14:textId="7480DBAD"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CF4689" w:rsidP="003B5665" w14:paraId="0CDF4EB5" w14:textId="77777777">
            <w:pPr>
              <w:spacing w:after="0" w:line="240" w:lineRule="auto"/>
              <w:ind w:left="0" w:firstLine="0"/>
              <w:rPr>
                <w:rFonts w:eastAsia="Times New Roman" w:cstheme="minorHAnsi"/>
                <w:sz w:val="24"/>
                <w:szCs w:val="24"/>
              </w:rPr>
            </w:pPr>
            <w:r w:rsidRPr="00CF4689">
              <w:rPr>
                <w:rFonts w:eastAsia="Times New Roman" w:cstheme="minorHAnsi"/>
                <w:sz w:val="24"/>
                <w:szCs w:val="24"/>
              </w:rPr>
              <w:t>Ethyl alcohol manufacturing.</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CF4689" w:rsidP="003B5665" w14:paraId="0E788498" w14:textId="4FE80DF2">
            <w:pPr>
              <w:spacing w:after="0" w:line="240" w:lineRule="auto"/>
              <w:ind w:left="0" w:firstLine="0"/>
              <w:rPr>
                <w:rFonts w:eastAsia="Times New Roman" w:cstheme="minorHAnsi"/>
                <w:sz w:val="24"/>
                <w:szCs w:val="24"/>
              </w:rPr>
            </w:pPr>
            <w:r w:rsidRPr="00CF4689">
              <w:rPr>
                <w:rFonts w:eastAsia="Times New Roman" w:cstheme="minorHAnsi"/>
                <w:sz w:val="24"/>
                <w:szCs w:val="24"/>
              </w:rPr>
              <w:t>325193</w:t>
            </w:r>
          </w:p>
        </w:tc>
      </w:tr>
      <w:tr w14:paraId="0C1E87C1" w14:textId="006AF0DD"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CF4689" w:rsidP="003B5665" w14:paraId="15B2EC43" w14:textId="77777777">
            <w:pPr>
              <w:spacing w:after="0" w:line="240" w:lineRule="auto"/>
              <w:ind w:left="0" w:firstLine="0"/>
              <w:rPr>
                <w:rFonts w:eastAsia="Times New Roman" w:cstheme="minorHAnsi"/>
                <w:sz w:val="24"/>
                <w:szCs w:val="24"/>
              </w:rPr>
            </w:pPr>
            <w:r w:rsidRPr="00CF4689">
              <w:rPr>
                <w:rFonts w:eastAsia="Times New Roman" w:cstheme="minorHAnsi"/>
                <w:sz w:val="24"/>
                <w:szCs w:val="24"/>
              </w:rPr>
              <w:t>Other basic organic chemical manufacturing.</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CF4689" w:rsidP="003B5665" w14:paraId="21A70895" w14:textId="146BD628">
            <w:pPr>
              <w:spacing w:after="0" w:line="240" w:lineRule="auto"/>
              <w:ind w:left="0" w:firstLine="0"/>
              <w:rPr>
                <w:rFonts w:eastAsia="Times New Roman" w:cstheme="minorHAnsi"/>
                <w:sz w:val="24"/>
                <w:szCs w:val="24"/>
              </w:rPr>
            </w:pPr>
            <w:r w:rsidRPr="00CF4689">
              <w:rPr>
                <w:rFonts w:eastAsia="Times New Roman" w:cstheme="minorHAnsi"/>
                <w:sz w:val="24"/>
                <w:szCs w:val="24"/>
              </w:rPr>
              <w:t>325199</w:t>
            </w:r>
          </w:p>
        </w:tc>
      </w:tr>
      <w:tr w14:paraId="53B5541C" w14:textId="3D635B02"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CF4689" w:rsidP="003B5665" w14:paraId="7AA62A65" w14:textId="77777777">
            <w:pPr>
              <w:spacing w:after="0" w:line="240" w:lineRule="auto"/>
              <w:ind w:left="0" w:firstLine="0"/>
              <w:rPr>
                <w:rFonts w:eastAsia="Times New Roman" w:cstheme="minorHAnsi"/>
                <w:sz w:val="24"/>
                <w:szCs w:val="24"/>
              </w:rPr>
            </w:pPr>
            <w:r w:rsidRPr="00CF4689">
              <w:rPr>
                <w:rFonts w:eastAsia="Times New Roman" w:cstheme="minorHAnsi"/>
                <w:sz w:val="24"/>
                <w:szCs w:val="24"/>
              </w:rPr>
              <w:t>Chemical and allied products merchant wholesalers.</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CF4689" w:rsidP="003B5665" w14:paraId="27A740BB" w14:textId="08037CD3">
            <w:pPr>
              <w:spacing w:after="0" w:line="240" w:lineRule="auto"/>
              <w:ind w:left="0" w:firstLine="0"/>
              <w:rPr>
                <w:rFonts w:eastAsia="Times New Roman" w:cstheme="minorHAnsi"/>
                <w:sz w:val="24"/>
                <w:szCs w:val="24"/>
              </w:rPr>
            </w:pPr>
            <w:r w:rsidRPr="00CF4689">
              <w:rPr>
                <w:rFonts w:eastAsia="Times New Roman" w:cstheme="minorHAnsi"/>
                <w:sz w:val="24"/>
                <w:szCs w:val="24"/>
              </w:rPr>
              <w:t>424690</w:t>
            </w:r>
          </w:p>
        </w:tc>
      </w:tr>
      <w:tr w14:paraId="30B96DF2" w14:textId="1C383DA6"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CF4689" w:rsidP="003B5665" w14:paraId="1FCA58B2" w14:textId="77777777">
            <w:pPr>
              <w:spacing w:after="0" w:line="240" w:lineRule="auto"/>
              <w:ind w:left="0" w:firstLine="0"/>
              <w:rPr>
                <w:rFonts w:eastAsia="Times New Roman" w:cstheme="minorHAnsi"/>
                <w:sz w:val="24"/>
                <w:szCs w:val="24"/>
              </w:rPr>
            </w:pPr>
            <w:r w:rsidRPr="00CF4689">
              <w:rPr>
                <w:rFonts w:eastAsia="Times New Roman" w:cstheme="minorHAnsi"/>
                <w:sz w:val="24"/>
                <w:szCs w:val="24"/>
              </w:rPr>
              <w:t>Petroleum bulk stations and terminals.</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CF4689" w:rsidP="003B5665" w14:paraId="34A1BB0F" w14:textId="08D8584A">
            <w:pPr>
              <w:spacing w:after="0" w:line="240" w:lineRule="auto"/>
              <w:ind w:left="0" w:firstLine="0"/>
              <w:rPr>
                <w:rFonts w:eastAsia="Times New Roman" w:cstheme="minorHAnsi"/>
                <w:sz w:val="24"/>
                <w:szCs w:val="24"/>
              </w:rPr>
            </w:pPr>
            <w:r w:rsidRPr="00CF4689">
              <w:rPr>
                <w:rFonts w:eastAsia="Times New Roman" w:cstheme="minorHAnsi"/>
                <w:sz w:val="24"/>
                <w:szCs w:val="24"/>
              </w:rPr>
              <w:t>424710</w:t>
            </w:r>
          </w:p>
        </w:tc>
      </w:tr>
      <w:tr w14:paraId="79709077" w14:textId="65CEF6D7"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CF4689" w:rsidP="003B5665" w14:paraId="2C133F4F" w14:textId="77777777">
            <w:pPr>
              <w:spacing w:after="0" w:line="240" w:lineRule="auto"/>
              <w:ind w:left="0" w:firstLine="0"/>
              <w:rPr>
                <w:rFonts w:eastAsia="Times New Roman" w:cstheme="minorHAnsi"/>
                <w:sz w:val="24"/>
                <w:szCs w:val="24"/>
              </w:rPr>
            </w:pPr>
            <w:r w:rsidRPr="00CF4689">
              <w:rPr>
                <w:rFonts w:eastAsia="Times New Roman" w:cstheme="minorHAnsi"/>
                <w:sz w:val="24"/>
                <w:szCs w:val="24"/>
              </w:rPr>
              <w:t>Petroleum and petroleum products merchant wholesalers.</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CF4689" w:rsidP="003B5665" w14:paraId="4FE08C7E" w14:textId="6EBFB3BF">
            <w:pPr>
              <w:spacing w:after="0" w:line="240" w:lineRule="auto"/>
              <w:ind w:left="0" w:firstLine="0"/>
              <w:rPr>
                <w:rFonts w:eastAsia="Times New Roman" w:cstheme="minorHAnsi"/>
                <w:sz w:val="24"/>
                <w:szCs w:val="24"/>
              </w:rPr>
            </w:pPr>
            <w:r w:rsidRPr="00CF4689">
              <w:rPr>
                <w:rFonts w:eastAsia="Times New Roman" w:cstheme="minorHAnsi"/>
                <w:sz w:val="24"/>
                <w:szCs w:val="24"/>
              </w:rPr>
              <w:t>424720</w:t>
            </w:r>
          </w:p>
        </w:tc>
      </w:tr>
      <w:tr w14:paraId="156013FF" w14:textId="420DD8BB"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CF4689" w:rsidP="003B5665" w14:paraId="342BF4EE" w14:textId="77777777">
            <w:pPr>
              <w:spacing w:after="0" w:line="240" w:lineRule="auto"/>
              <w:ind w:left="0" w:firstLine="0"/>
              <w:rPr>
                <w:rFonts w:eastAsia="Times New Roman" w:cstheme="minorHAnsi"/>
                <w:sz w:val="24"/>
                <w:szCs w:val="24"/>
              </w:rPr>
            </w:pPr>
            <w:r w:rsidRPr="00CF4689">
              <w:rPr>
                <w:rFonts w:eastAsia="Times New Roman" w:cstheme="minorHAnsi"/>
                <w:sz w:val="24"/>
                <w:szCs w:val="24"/>
              </w:rPr>
              <w:t>Manufactured gas production and distribution.</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CF4689" w:rsidP="003B5665" w14:paraId="28405899" w14:textId="4B5F8E50">
            <w:pPr>
              <w:spacing w:after="0" w:line="240" w:lineRule="auto"/>
              <w:ind w:left="0" w:firstLine="0"/>
              <w:rPr>
                <w:rFonts w:eastAsia="Times New Roman" w:cstheme="minorHAnsi"/>
                <w:sz w:val="24"/>
                <w:szCs w:val="24"/>
              </w:rPr>
            </w:pPr>
            <w:r w:rsidRPr="00CF4689">
              <w:rPr>
                <w:rFonts w:eastAsia="Times New Roman" w:cstheme="minorHAnsi"/>
                <w:sz w:val="24"/>
                <w:szCs w:val="24"/>
              </w:rPr>
              <w:t>221210</w:t>
            </w:r>
          </w:p>
        </w:tc>
      </w:tr>
      <w:tr w14:paraId="27E833A4" w14:textId="287B14B3"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CF4689" w:rsidP="003B5665" w14:paraId="36384628" w14:textId="77777777">
            <w:pPr>
              <w:spacing w:after="0" w:line="240" w:lineRule="auto"/>
              <w:ind w:left="0" w:firstLine="0"/>
              <w:rPr>
                <w:rFonts w:eastAsia="Times New Roman" w:cstheme="minorHAnsi"/>
                <w:sz w:val="24"/>
                <w:szCs w:val="24"/>
              </w:rPr>
            </w:pPr>
            <w:r w:rsidRPr="00CF4689">
              <w:rPr>
                <w:rFonts w:eastAsia="Times New Roman" w:cstheme="minorHAnsi"/>
                <w:sz w:val="24"/>
                <w:szCs w:val="24"/>
              </w:rPr>
              <w:t>Other fuel dealers.</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CF4689" w:rsidP="003B5665" w14:paraId="14D5E268" w14:textId="2BE36A81">
            <w:pPr>
              <w:spacing w:after="0" w:line="240" w:lineRule="auto"/>
              <w:ind w:left="0" w:firstLine="0"/>
              <w:rPr>
                <w:rFonts w:eastAsia="Times New Roman" w:cstheme="minorHAnsi"/>
                <w:sz w:val="24"/>
                <w:szCs w:val="24"/>
              </w:rPr>
            </w:pPr>
            <w:r w:rsidRPr="00CF4689">
              <w:rPr>
                <w:rFonts w:eastAsia="Times New Roman" w:cstheme="minorHAnsi"/>
                <w:sz w:val="24"/>
                <w:szCs w:val="24"/>
              </w:rPr>
              <w:t>454319</w:t>
            </w:r>
          </w:p>
        </w:tc>
      </w:tr>
      <w:tr w14:paraId="524587CC" w14:textId="54F9E8CD" w:rsidTr="00D364E8">
        <w:tblPrEx>
          <w:tblW w:w="9002" w:type="dxa"/>
          <w:tblCellSpacing w:w="15" w:type="dxa"/>
          <w:tblInd w:w="355" w:type="dxa"/>
          <w:tblCellMar>
            <w:top w:w="15" w:type="dxa"/>
            <w:left w:w="15" w:type="dxa"/>
            <w:bottom w:w="15" w:type="dxa"/>
            <w:right w:w="15" w:type="dxa"/>
          </w:tblCellMar>
          <w:tblLook w:val="04A0"/>
        </w:tblPrEx>
        <w:trPr>
          <w:tblCellSpacing w:w="15" w:type="dxa"/>
        </w:trPr>
        <w:tc>
          <w:tcPr>
            <w:tcW w:w="6365" w:type="dxa"/>
            <w:gridSpan w:val="2"/>
            <w:vAlign w:val="center"/>
            <w:hideMark/>
          </w:tcPr>
          <w:p w:rsidR="003B5665" w:rsidRPr="00CF4689" w:rsidP="003B5665" w14:paraId="1211DC85" w14:textId="20EA2BEB">
            <w:pPr>
              <w:spacing w:after="0" w:line="240" w:lineRule="auto"/>
              <w:ind w:left="0" w:right="-64" w:firstLine="0"/>
              <w:rPr>
                <w:rFonts w:eastAsia="Times New Roman" w:cstheme="minorHAnsi"/>
                <w:sz w:val="24"/>
                <w:szCs w:val="24"/>
              </w:rPr>
            </w:pPr>
            <w:r w:rsidRPr="00CF4689">
              <w:rPr>
                <w:rFonts w:eastAsia="Times New Roman" w:cstheme="minorHAnsi"/>
                <w:sz w:val="24"/>
                <w:szCs w:val="24"/>
                <w:vertAlign w:val="superscript"/>
              </w:rPr>
              <w:t>1</w:t>
            </w:r>
            <w:r w:rsidRPr="00CF4689">
              <w:rPr>
                <w:rFonts w:eastAsia="Times New Roman" w:cstheme="minorHAnsi"/>
                <w:sz w:val="24"/>
                <w:szCs w:val="24"/>
              </w:rPr>
              <w:t xml:space="preserve">  North American Industry Classification system (NAICS).</w:t>
            </w:r>
          </w:p>
        </w:tc>
        <w:tc>
          <w:tcPr>
            <w:tcW w:w="0" w:type="auto"/>
            <w:gridSpan w:val="3"/>
          </w:tcPr>
          <w:p w:rsidR="003B5665" w:rsidRPr="00CF4689" w:rsidP="003B5665" w14:paraId="1264E7BA" w14:textId="77777777">
            <w:pPr>
              <w:spacing w:after="0" w:line="240" w:lineRule="auto"/>
              <w:ind w:left="0" w:right="-64" w:firstLine="0"/>
              <w:rPr>
                <w:rFonts w:eastAsia="Times New Roman" w:cstheme="minorHAnsi"/>
                <w:sz w:val="24"/>
                <w:szCs w:val="24"/>
                <w:vertAlign w:val="superscript"/>
              </w:rPr>
            </w:pPr>
          </w:p>
        </w:tc>
      </w:tr>
    </w:tbl>
    <w:p w:rsidR="00D364E8" w:rsidRPr="00CF4689" w:rsidP="00D364E8" w14:paraId="071D8647" w14:textId="77777777">
      <w:pPr>
        <w:pStyle w:val="Standard"/>
        <w:ind w:left="90"/>
        <w:rPr>
          <w:rFonts w:asciiTheme="minorHAnsi" w:hAnsiTheme="minorHAnsi" w:cstheme="minorHAnsi"/>
        </w:rPr>
      </w:pPr>
    </w:p>
    <w:p w:rsidR="00D364E8" w:rsidRPr="00CF4689" w:rsidP="3C1B7F5E" w14:paraId="693FD150" w14:textId="202A0564">
      <w:pPr>
        <w:pStyle w:val="Standard"/>
        <w:ind w:left="360"/>
        <w:rPr>
          <w:rFonts w:asciiTheme="minorHAnsi" w:hAnsiTheme="minorHAnsi" w:cstheme="minorHAnsi"/>
        </w:rPr>
      </w:pPr>
      <w:r w:rsidRPr="00CF4689">
        <w:rPr>
          <w:rFonts w:asciiTheme="minorHAnsi" w:hAnsiTheme="minorHAnsi" w:cstheme="minorHAnsi"/>
        </w:rPr>
        <w:t>We have assumed the following classes of party, which are covered by this supporting statement.</w:t>
      </w:r>
    </w:p>
    <w:p w:rsidR="00D364E8" w:rsidRPr="00CF4689" w:rsidP="00D364E8" w14:paraId="504DCA0C" w14:textId="77777777">
      <w:pPr>
        <w:pStyle w:val="Standard"/>
        <w:ind w:firstLine="720"/>
        <w:rPr>
          <w:rFonts w:asciiTheme="minorHAnsi" w:hAnsiTheme="minorHAnsi" w:cstheme="minorHAnsi"/>
        </w:rPr>
      </w:pPr>
    </w:p>
    <w:p w:rsidR="00D364E8" w:rsidRPr="00CF4689" w:rsidP="00D364E8" w14:paraId="534CFBFC" w14:textId="77777777">
      <w:pPr>
        <w:pStyle w:val="Standard"/>
        <w:numPr>
          <w:ilvl w:val="0"/>
          <w:numId w:val="32"/>
        </w:numPr>
        <w:ind w:left="810"/>
        <w:rPr>
          <w:rFonts w:asciiTheme="minorHAnsi" w:hAnsiTheme="minorHAnsi" w:cstheme="minorHAnsi"/>
        </w:rPr>
      </w:pPr>
      <w:r w:rsidRPr="00CF4689">
        <w:rPr>
          <w:rFonts w:asciiTheme="minorHAnsi" w:hAnsiTheme="minorHAnsi" w:cstheme="minorHAnsi"/>
        </w:rPr>
        <w:t>Biointermediate producers</w:t>
      </w:r>
    </w:p>
    <w:p w:rsidR="00D364E8" w:rsidRPr="00CF4689" w:rsidP="00D364E8" w14:paraId="4B6BD347" w14:textId="77777777">
      <w:pPr>
        <w:pStyle w:val="Standard"/>
        <w:numPr>
          <w:ilvl w:val="0"/>
          <w:numId w:val="32"/>
        </w:numPr>
        <w:ind w:left="810"/>
        <w:rPr>
          <w:rFonts w:asciiTheme="minorHAnsi" w:hAnsiTheme="minorHAnsi" w:cstheme="minorHAnsi"/>
        </w:rPr>
      </w:pPr>
      <w:r w:rsidRPr="00CF4689">
        <w:rPr>
          <w:rFonts w:asciiTheme="minorHAnsi" w:hAnsiTheme="minorHAnsi" w:cstheme="minorHAnsi"/>
        </w:rPr>
        <w:t>RIN Generators – specifically, renewable fuel producers who use biointermediates</w:t>
      </w:r>
    </w:p>
    <w:p w:rsidR="00D364E8" w:rsidRPr="00CF4689" w:rsidP="00D364E8" w14:paraId="029537BE" w14:textId="77777777">
      <w:pPr>
        <w:pStyle w:val="Standard"/>
        <w:numPr>
          <w:ilvl w:val="0"/>
          <w:numId w:val="32"/>
        </w:numPr>
        <w:ind w:left="810"/>
        <w:rPr>
          <w:rFonts w:asciiTheme="minorHAnsi" w:hAnsiTheme="minorHAnsi" w:cstheme="minorHAnsi"/>
        </w:rPr>
      </w:pPr>
      <w:r w:rsidRPr="00CF4689">
        <w:rPr>
          <w:rFonts w:asciiTheme="minorHAnsi" w:hAnsiTheme="minorHAnsi" w:cstheme="minorHAnsi"/>
        </w:rPr>
        <w:t>Biointermediate importers</w:t>
      </w:r>
    </w:p>
    <w:p w:rsidR="00D364E8" w:rsidRPr="00CF4689" w:rsidP="00D364E8" w14:paraId="31882B8C" w14:textId="77777777">
      <w:pPr>
        <w:pStyle w:val="Standard"/>
        <w:numPr>
          <w:ilvl w:val="0"/>
          <w:numId w:val="32"/>
        </w:numPr>
        <w:ind w:left="810"/>
        <w:rPr>
          <w:rFonts w:asciiTheme="minorHAnsi" w:hAnsiTheme="minorHAnsi" w:cstheme="minorHAnsi"/>
        </w:rPr>
      </w:pPr>
      <w:r w:rsidRPr="00CF4689">
        <w:rPr>
          <w:rFonts w:asciiTheme="minorHAnsi" w:hAnsiTheme="minorHAnsi" w:cstheme="minorHAnsi"/>
        </w:rPr>
        <w:t>Third parties, including third party engineers, attest auditors, QAP providers, and independent parties who provide purchased professional services to the parties listed above.</w:t>
      </w:r>
    </w:p>
    <w:p w:rsidR="00E74E56" w:rsidRPr="00CF4689" w:rsidP="00940939" w14:paraId="2B2167CC" w14:textId="77777777">
      <w:pPr>
        <w:pStyle w:val="Heading2"/>
        <w:keepNext w:val="0"/>
        <w:spacing w:before="0" w:after="160"/>
        <w:ind w:left="0" w:firstLine="0"/>
        <w:rPr>
          <w:rFonts w:asciiTheme="minorHAnsi" w:hAnsiTheme="minorHAnsi" w:cstheme="minorHAnsi"/>
          <w:b/>
          <w:bCs/>
          <w:color w:val="000000" w:themeColor="text1"/>
          <w:sz w:val="22"/>
          <w:szCs w:val="22"/>
        </w:rPr>
      </w:pPr>
    </w:p>
    <w:p w:rsidR="00ED57A4" w:rsidRPr="00CF4689" w:rsidP="00940939" w14:paraId="24D360E5" w14:textId="1826FF6B">
      <w:pPr>
        <w:pStyle w:val="Heading2"/>
        <w:keepNext w:val="0"/>
        <w:spacing w:before="0" w:after="160"/>
        <w:ind w:left="0" w:firstLine="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12b.</w:t>
      </w:r>
      <w:r w:rsidRPr="00CF4689">
        <w:rPr>
          <w:rFonts w:asciiTheme="minorHAnsi" w:hAnsiTheme="minorHAnsi" w:cstheme="minorHAnsi"/>
          <w:b/>
          <w:bCs/>
          <w:sz w:val="22"/>
          <w:szCs w:val="22"/>
        </w:rPr>
        <w:t xml:space="preserve"> </w:t>
      </w:r>
      <w:r w:rsidRPr="00CF4689" w:rsidR="0042474D">
        <w:rPr>
          <w:rFonts w:asciiTheme="minorHAnsi" w:hAnsiTheme="minorHAnsi" w:cstheme="minorHAnsi"/>
          <w:b/>
          <w:bCs/>
          <w:color w:val="000000" w:themeColor="text1"/>
          <w:sz w:val="22"/>
          <w:szCs w:val="22"/>
        </w:rPr>
        <w:t>INFORMATION REQUESTED</w:t>
      </w:r>
      <w:bookmarkStart w:id="19" w:name="_Toc156593384"/>
      <w:bookmarkEnd w:id="18"/>
    </w:p>
    <w:p w:rsidR="00D364E8" w:rsidRPr="00CF4689" w:rsidP="00D364E8" w14:paraId="7CDB3F98" w14:textId="6BCE549C">
      <w:pPr>
        <w:pStyle w:val="Standard"/>
        <w:ind w:left="360"/>
        <w:outlineLvl w:val="1"/>
        <w:rPr>
          <w:rFonts w:asciiTheme="minorHAnsi" w:hAnsiTheme="minorHAnsi" w:cstheme="minorHAnsi"/>
        </w:rPr>
      </w:pPr>
      <w:r w:rsidRPr="00CF4689">
        <w:rPr>
          <w:rFonts w:asciiTheme="minorHAnsi" w:hAnsiTheme="minorHAnsi" w:cstheme="minorHAnsi"/>
        </w:rPr>
        <w:t xml:space="preserve">The information requested is listed in detail </w:t>
      </w:r>
      <w:r w:rsidRPr="00CF4689" w:rsidR="41B0CB5B">
        <w:rPr>
          <w:rFonts w:asciiTheme="minorHAnsi" w:hAnsiTheme="minorHAnsi" w:cstheme="minorHAnsi"/>
        </w:rPr>
        <w:t xml:space="preserve">in Appendix </w:t>
      </w:r>
      <w:r w:rsidRPr="00CF4689">
        <w:rPr>
          <w:rFonts w:asciiTheme="minorHAnsi" w:hAnsiTheme="minorHAnsi" w:cstheme="minorHAnsi"/>
        </w:rPr>
        <w:t xml:space="preserve">A and may be summarized, by respondent, as follows: </w:t>
      </w:r>
    </w:p>
    <w:p w:rsidR="00D364E8" w:rsidRPr="00CF4689" w:rsidP="00D364E8" w14:paraId="0223A09C" w14:textId="77777777">
      <w:pPr>
        <w:pStyle w:val="Standard"/>
        <w:ind w:firstLine="720"/>
        <w:outlineLvl w:val="1"/>
        <w:rPr>
          <w:rFonts w:asciiTheme="minorHAnsi" w:hAnsiTheme="minorHAnsi" w:cstheme="minorHAnsi"/>
        </w:rPr>
      </w:pPr>
    </w:p>
    <w:p w:rsidR="00D364E8" w:rsidRPr="00CF4689" w:rsidP="00D364E8" w14:paraId="2BD533D9" w14:textId="77777777">
      <w:pPr>
        <w:pStyle w:val="Standard"/>
        <w:ind w:left="720"/>
        <w:outlineLvl w:val="1"/>
        <w:rPr>
          <w:rFonts w:asciiTheme="minorHAnsi" w:hAnsiTheme="minorHAnsi" w:cstheme="minorHAnsi"/>
          <w:i/>
          <w:iCs/>
        </w:rPr>
      </w:pPr>
      <w:r w:rsidRPr="00CF4689">
        <w:rPr>
          <w:rFonts w:asciiTheme="minorHAnsi" w:hAnsiTheme="minorHAnsi" w:cstheme="minorHAnsi"/>
          <w:i/>
          <w:iCs/>
        </w:rPr>
        <w:t>Biointermediate Producers (Table I) and RIN Generators - Renewable Fuel Producers (Table II) who use biointermediates:</w:t>
      </w:r>
    </w:p>
    <w:p w:rsidR="00D364E8" w:rsidRPr="00CF4689" w:rsidP="00D364E8" w14:paraId="2D32E7FF" w14:textId="77777777">
      <w:pPr>
        <w:pStyle w:val="Standard"/>
        <w:ind w:firstLine="720"/>
        <w:outlineLvl w:val="1"/>
        <w:rPr>
          <w:rFonts w:asciiTheme="minorHAnsi" w:hAnsiTheme="minorHAnsi" w:cstheme="minorHAnsi"/>
          <w:i/>
          <w:iCs/>
        </w:rPr>
      </w:pPr>
    </w:p>
    <w:p w:rsidR="00D364E8" w:rsidRPr="00CF4689" w:rsidP="00D364E8" w14:paraId="14FAFC27" w14:textId="6FE90D86">
      <w:pPr>
        <w:pStyle w:val="Standard"/>
        <w:numPr>
          <w:ilvl w:val="0"/>
          <w:numId w:val="33"/>
        </w:numPr>
        <w:outlineLvl w:val="1"/>
        <w:rPr>
          <w:rFonts w:asciiTheme="minorHAnsi" w:hAnsiTheme="minorHAnsi" w:cstheme="minorHAnsi"/>
        </w:rPr>
      </w:pPr>
      <w:r w:rsidRPr="00CF4689">
        <w:rPr>
          <w:rFonts w:asciiTheme="minorHAnsi" w:hAnsiTheme="minorHAnsi" w:cstheme="minorHAnsi"/>
        </w:rPr>
        <w:t xml:space="preserve">Reporting requirements including registration and periodic compliance reports. These parties must engage the services of independent third parties to provide engineering reviews (a part of registration that describes the process or making the biointermediate and related aspects of the facility in which is produced), </w:t>
      </w:r>
      <w:r w:rsidRPr="00CF4689">
        <w:rPr>
          <w:rFonts w:asciiTheme="minorHAnsi" w:hAnsiTheme="minorHAnsi" w:cstheme="minorHAnsi"/>
        </w:rPr>
        <w:t>QAP (a process of independent verification of feedstocks and renewable fuels), and attest engagements (an independent auditing requirement).</w:t>
      </w:r>
      <w:r w:rsidR="00234D0B">
        <w:rPr>
          <w:rFonts w:asciiTheme="minorHAnsi" w:hAnsiTheme="minorHAnsi" w:cstheme="minorHAnsi"/>
        </w:rPr>
        <w:t xml:space="preserve"> </w:t>
      </w:r>
      <w:r w:rsidRPr="00CF4689">
        <w:rPr>
          <w:rFonts w:asciiTheme="minorHAnsi" w:hAnsiTheme="minorHAnsi" w:cstheme="minorHAnsi"/>
        </w:rPr>
        <w:t xml:space="preserve">All forms are listed with regulatory citations in Appendix A, Tables 1 and 2, for these parties.   </w:t>
      </w:r>
    </w:p>
    <w:p w:rsidR="00D364E8" w:rsidRPr="00CF4689" w:rsidP="00D364E8" w14:paraId="7BA827D3" w14:textId="77777777">
      <w:pPr>
        <w:pStyle w:val="Standard"/>
        <w:numPr>
          <w:ilvl w:val="0"/>
          <w:numId w:val="33"/>
        </w:numPr>
        <w:outlineLvl w:val="1"/>
        <w:rPr>
          <w:rFonts w:asciiTheme="minorHAnsi" w:hAnsiTheme="minorHAnsi" w:cstheme="minorHAnsi"/>
        </w:rPr>
      </w:pPr>
      <w:r w:rsidRPr="00CF4689">
        <w:rPr>
          <w:rFonts w:asciiTheme="minorHAnsi" w:hAnsiTheme="minorHAnsi" w:cstheme="minorHAnsi"/>
        </w:rPr>
        <w:t>Recordkeeping requirements that include keeping copies of all records that support compliance reports and the use and retention of product transfer documents (PTDs).</w:t>
      </w:r>
    </w:p>
    <w:p w:rsidR="00D364E8" w:rsidRPr="00CF4689" w:rsidP="00D364E8" w14:paraId="7D0CCAAD" w14:textId="77777777">
      <w:pPr>
        <w:pStyle w:val="Standard"/>
        <w:outlineLvl w:val="1"/>
        <w:rPr>
          <w:rFonts w:asciiTheme="minorHAnsi" w:hAnsiTheme="minorHAnsi" w:cstheme="minorHAnsi"/>
        </w:rPr>
      </w:pPr>
    </w:p>
    <w:p w:rsidR="00D364E8" w:rsidRPr="00CF4689" w:rsidP="3C1B7F5E" w14:paraId="6EC846F5" w14:textId="3222FAC7">
      <w:pPr>
        <w:pStyle w:val="Standard"/>
        <w:ind w:firstLine="720"/>
        <w:outlineLvl w:val="1"/>
        <w:rPr>
          <w:rFonts w:asciiTheme="minorHAnsi" w:hAnsiTheme="minorHAnsi" w:cstheme="minorHAnsi"/>
          <w:i/>
          <w:iCs/>
        </w:rPr>
      </w:pPr>
      <w:r w:rsidRPr="00CF4689">
        <w:rPr>
          <w:rFonts w:asciiTheme="minorHAnsi" w:hAnsiTheme="minorHAnsi" w:cstheme="minorHAnsi"/>
          <w:i/>
          <w:iCs/>
        </w:rPr>
        <w:t>Biointermediate Importers (Table III):</w:t>
      </w:r>
    </w:p>
    <w:p w:rsidR="00D364E8" w:rsidRPr="00CF4689" w:rsidP="00D364E8" w14:paraId="14570571" w14:textId="77777777">
      <w:pPr>
        <w:pStyle w:val="Standard"/>
        <w:ind w:firstLine="720"/>
        <w:outlineLvl w:val="1"/>
        <w:rPr>
          <w:rFonts w:asciiTheme="minorHAnsi" w:hAnsiTheme="minorHAnsi" w:cstheme="minorHAnsi"/>
          <w:i/>
          <w:iCs/>
        </w:rPr>
      </w:pPr>
    </w:p>
    <w:p w:rsidR="00D364E8" w:rsidRPr="00CF4689" w:rsidP="00D364E8" w14:paraId="69786AD5" w14:textId="77777777">
      <w:pPr>
        <w:pStyle w:val="Standard"/>
        <w:numPr>
          <w:ilvl w:val="0"/>
          <w:numId w:val="34"/>
        </w:numPr>
        <w:outlineLvl w:val="1"/>
        <w:rPr>
          <w:rFonts w:asciiTheme="minorHAnsi" w:hAnsiTheme="minorHAnsi" w:cstheme="minorHAnsi"/>
        </w:rPr>
      </w:pPr>
      <w:r w:rsidRPr="00CF4689">
        <w:rPr>
          <w:rFonts w:asciiTheme="minorHAnsi" w:hAnsiTheme="minorHAnsi" w:cstheme="minorHAnsi"/>
        </w:rPr>
        <w:t>No reporting requirements.</w:t>
      </w:r>
    </w:p>
    <w:p w:rsidR="00D364E8" w:rsidRPr="00CF4689" w:rsidP="00D364E8" w14:paraId="4BA762B7" w14:textId="77777777">
      <w:pPr>
        <w:pStyle w:val="Standard"/>
        <w:numPr>
          <w:ilvl w:val="0"/>
          <w:numId w:val="34"/>
        </w:numPr>
        <w:outlineLvl w:val="1"/>
        <w:rPr>
          <w:rFonts w:asciiTheme="minorHAnsi" w:hAnsiTheme="minorHAnsi" w:cstheme="minorHAnsi"/>
        </w:rPr>
      </w:pPr>
      <w:r w:rsidRPr="00CF4689">
        <w:rPr>
          <w:rFonts w:asciiTheme="minorHAnsi" w:hAnsiTheme="minorHAnsi" w:cstheme="minorHAnsi"/>
        </w:rPr>
        <w:t xml:space="preserve">Recordkeeping requirements that include keeping copies of PTDs and retaining/using volume certification records. These parties must engage the services of an independent third party to perform volume certification. </w:t>
      </w:r>
    </w:p>
    <w:p w:rsidR="00746607" w:rsidRPr="00CF4689" w:rsidP="00C46412" w14:paraId="39472C9C" w14:textId="18472821">
      <w:pPr>
        <w:spacing w:line="259" w:lineRule="auto"/>
        <w:ind w:left="360" w:firstLine="0"/>
        <w:rPr>
          <w:rFonts w:cstheme="minorHAnsi"/>
        </w:rPr>
      </w:pPr>
    </w:p>
    <w:p w:rsidR="00746607" w:rsidRPr="00CF4689" w:rsidP="00C46412" w14:paraId="12066FFC" w14:textId="77777777">
      <w:pPr>
        <w:spacing w:line="259" w:lineRule="auto"/>
        <w:ind w:left="360" w:firstLine="0"/>
        <w:rPr>
          <w:rFonts w:cstheme="minorHAnsi"/>
        </w:rPr>
      </w:pPr>
    </w:p>
    <w:p w:rsidR="001172FE" w:rsidRPr="00CF4689" w:rsidP="00940939" w14:paraId="7B8A0ACD" w14:textId="41024AE1">
      <w:pPr>
        <w:pStyle w:val="Heading2"/>
        <w:keepNext w:val="0"/>
        <w:spacing w:before="0" w:after="160"/>
        <w:ind w:left="0" w:firstLine="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12c.</w:t>
      </w:r>
      <w:r w:rsidRPr="00CF4689">
        <w:rPr>
          <w:rFonts w:asciiTheme="minorHAnsi" w:hAnsiTheme="minorHAnsi" w:cstheme="minorHAnsi"/>
          <w:b/>
          <w:bCs/>
          <w:sz w:val="22"/>
          <w:szCs w:val="22"/>
        </w:rPr>
        <w:t xml:space="preserve"> </w:t>
      </w:r>
      <w:r w:rsidRPr="00CF4689" w:rsidR="0042474D">
        <w:rPr>
          <w:rFonts w:asciiTheme="minorHAnsi" w:hAnsiTheme="minorHAnsi" w:cstheme="minorHAnsi"/>
          <w:b/>
          <w:bCs/>
          <w:color w:val="000000" w:themeColor="text1"/>
          <w:sz w:val="22"/>
          <w:szCs w:val="22"/>
        </w:rPr>
        <w:t>RESPONDENT ACTIVITIES</w:t>
      </w:r>
      <w:bookmarkStart w:id="20" w:name="_Toc156593385"/>
      <w:bookmarkEnd w:id="19"/>
      <w:r w:rsidRPr="00CF4689" w:rsidR="00AC289A">
        <w:rPr>
          <w:rFonts w:asciiTheme="minorHAnsi" w:hAnsiTheme="minorHAnsi" w:cstheme="minorHAnsi"/>
          <w:b/>
          <w:bCs/>
          <w:color w:val="000000" w:themeColor="text1"/>
          <w:sz w:val="22"/>
          <w:szCs w:val="22"/>
        </w:rPr>
        <w:t xml:space="preserve"> AND FREQUENC</w:t>
      </w:r>
      <w:r w:rsidRPr="00CF4689" w:rsidR="005B429D">
        <w:rPr>
          <w:rFonts w:asciiTheme="minorHAnsi" w:hAnsiTheme="minorHAnsi" w:cstheme="minorHAnsi"/>
          <w:b/>
          <w:bCs/>
          <w:color w:val="000000" w:themeColor="text1"/>
          <w:sz w:val="22"/>
          <w:szCs w:val="22"/>
        </w:rPr>
        <w:t>Y</w:t>
      </w:r>
    </w:p>
    <w:p w:rsidR="002C7516" w:rsidRPr="00CF4689" w:rsidP="002C7516" w14:paraId="20DD1006" w14:textId="4EBB0845">
      <w:pPr>
        <w:pStyle w:val="Standard"/>
        <w:ind w:left="360"/>
        <w:outlineLvl w:val="1"/>
        <w:rPr>
          <w:rFonts w:asciiTheme="minorHAnsi" w:hAnsiTheme="minorHAnsi" w:cstheme="minorHAnsi"/>
        </w:rPr>
      </w:pPr>
      <w:r w:rsidRPr="00CF4689">
        <w:rPr>
          <w:rFonts w:asciiTheme="minorHAnsi" w:hAnsiTheme="minorHAnsi" w:cstheme="minorHAnsi"/>
        </w:rPr>
        <w:t xml:space="preserve">The </w:t>
      </w:r>
      <w:r w:rsidRPr="00CF4689" w:rsidR="14EC409D">
        <w:rPr>
          <w:rFonts w:asciiTheme="minorHAnsi" w:hAnsiTheme="minorHAnsi" w:cstheme="minorHAnsi"/>
        </w:rPr>
        <w:t>activities</w:t>
      </w:r>
      <w:r w:rsidRPr="00CF4689">
        <w:rPr>
          <w:rFonts w:asciiTheme="minorHAnsi" w:hAnsiTheme="minorHAnsi" w:cstheme="minorHAnsi"/>
        </w:rPr>
        <w:t xml:space="preserve"> and frequency </w:t>
      </w:r>
      <w:r w:rsidRPr="00CF4689" w:rsidR="008251EE">
        <w:rPr>
          <w:rFonts w:asciiTheme="minorHAnsi" w:hAnsiTheme="minorHAnsi" w:cstheme="minorHAnsi"/>
        </w:rPr>
        <w:t>are</w:t>
      </w:r>
      <w:r w:rsidRPr="00CF4689">
        <w:rPr>
          <w:rFonts w:asciiTheme="minorHAnsi" w:hAnsiTheme="minorHAnsi" w:cstheme="minorHAnsi"/>
        </w:rPr>
        <w:t xml:space="preserve"> listed in detail in Appendix A and may be summarized, by respondent, as follows: </w:t>
      </w:r>
    </w:p>
    <w:p w:rsidR="002C7516" w:rsidRPr="00CF4689" w:rsidP="002C7516" w14:paraId="5BBC7CB0" w14:textId="77777777">
      <w:pPr>
        <w:pStyle w:val="Standard"/>
        <w:ind w:firstLine="720"/>
        <w:outlineLvl w:val="1"/>
        <w:rPr>
          <w:rFonts w:asciiTheme="minorHAnsi" w:hAnsiTheme="minorHAnsi" w:cstheme="minorHAnsi"/>
        </w:rPr>
      </w:pPr>
    </w:p>
    <w:p w:rsidR="002C7516" w:rsidRPr="00CF4689" w:rsidP="002C7516" w14:paraId="690842DA" w14:textId="77777777">
      <w:pPr>
        <w:pStyle w:val="Standard"/>
        <w:ind w:left="720"/>
        <w:outlineLvl w:val="1"/>
        <w:rPr>
          <w:rFonts w:asciiTheme="minorHAnsi" w:hAnsiTheme="minorHAnsi" w:cstheme="minorHAnsi"/>
          <w:i/>
          <w:iCs/>
        </w:rPr>
      </w:pPr>
      <w:r w:rsidRPr="00CF4689">
        <w:rPr>
          <w:rFonts w:asciiTheme="minorHAnsi" w:hAnsiTheme="minorHAnsi" w:cstheme="minorHAnsi"/>
          <w:i/>
          <w:iCs/>
        </w:rPr>
        <w:t>Biointermediate Producers (Table I) and RIN Generators - Renewable Fuel Producers (Table II) who use biointermediates:</w:t>
      </w:r>
    </w:p>
    <w:p w:rsidR="002C7516" w:rsidRPr="00CF4689" w:rsidP="002C7516" w14:paraId="7CF99A01" w14:textId="77777777">
      <w:pPr>
        <w:pStyle w:val="Standard"/>
        <w:ind w:firstLine="720"/>
        <w:outlineLvl w:val="1"/>
        <w:rPr>
          <w:rFonts w:asciiTheme="minorHAnsi" w:hAnsiTheme="minorHAnsi" w:cstheme="minorHAnsi"/>
          <w:i/>
          <w:iCs/>
        </w:rPr>
      </w:pPr>
    </w:p>
    <w:p w:rsidR="002C7516" w:rsidRPr="00CF4689" w:rsidP="00424619" w14:paraId="0E961F63" w14:textId="79848CF2">
      <w:pPr>
        <w:pStyle w:val="Standard"/>
        <w:numPr>
          <w:ilvl w:val="0"/>
          <w:numId w:val="35"/>
        </w:numPr>
        <w:outlineLvl w:val="1"/>
        <w:rPr>
          <w:rFonts w:asciiTheme="minorHAnsi" w:hAnsiTheme="minorHAnsi" w:cstheme="minorHAnsi"/>
        </w:rPr>
      </w:pPr>
      <w:r w:rsidRPr="00CF4689">
        <w:rPr>
          <w:rFonts w:asciiTheme="minorHAnsi" w:hAnsiTheme="minorHAnsi" w:cstheme="minorHAnsi"/>
        </w:rPr>
        <w:t>Reporting requirements</w:t>
      </w:r>
      <w:r w:rsidR="00F61D6C">
        <w:rPr>
          <w:rFonts w:asciiTheme="minorHAnsi" w:hAnsiTheme="minorHAnsi" w:cstheme="minorHAnsi"/>
        </w:rPr>
        <w:t>,</w:t>
      </w:r>
      <w:r w:rsidRPr="00CF4689">
        <w:rPr>
          <w:rFonts w:asciiTheme="minorHAnsi" w:hAnsiTheme="minorHAnsi" w:cstheme="minorHAnsi"/>
        </w:rPr>
        <w:t xml:space="preserve"> including registration and periodic compliance reports. These parties have periodic compliance reporting requirements</w:t>
      </w:r>
      <w:r w:rsidRPr="00CF4689" w:rsidR="00424619">
        <w:rPr>
          <w:rFonts w:asciiTheme="minorHAnsi" w:hAnsiTheme="minorHAnsi" w:cstheme="minorHAnsi"/>
        </w:rPr>
        <w:t xml:space="preserve"> based on their production </w:t>
      </w:r>
      <w:r w:rsidRPr="00CF4689" w:rsidR="2A8581A5">
        <w:rPr>
          <w:rFonts w:asciiTheme="minorHAnsi" w:hAnsiTheme="minorHAnsi" w:cstheme="minorHAnsi"/>
        </w:rPr>
        <w:t>activities</w:t>
      </w:r>
      <w:r w:rsidRPr="00CF4689">
        <w:rPr>
          <w:rFonts w:asciiTheme="minorHAnsi" w:hAnsiTheme="minorHAnsi" w:cstheme="minorHAnsi"/>
        </w:rPr>
        <w:t xml:space="preserve">. All forms are listed with regulatory citations in Appendix A, Tables 1 and 2, for these parties.   </w:t>
      </w:r>
    </w:p>
    <w:p w:rsidR="002C7516" w:rsidRPr="00CF4689" w:rsidP="00424619" w14:paraId="303ED8BB" w14:textId="77777777">
      <w:pPr>
        <w:pStyle w:val="Standard"/>
        <w:numPr>
          <w:ilvl w:val="0"/>
          <w:numId w:val="35"/>
        </w:numPr>
        <w:outlineLvl w:val="1"/>
        <w:rPr>
          <w:rFonts w:asciiTheme="minorHAnsi" w:hAnsiTheme="minorHAnsi" w:cstheme="minorHAnsi"/>
        </w:rPr>
      </w:pPr>
      <w:r w:rsidRPr="00CF4689">
        <w:rPr>
          <w:rFonts w:asciiTheme="minorHAnsi" w:hAnsiTheme="minorHAnsi" w:cstheme="minorHAnsi"/>
        </w:rPr>
        <w:t>Recordkeeping requirements that include keeping copies of all records that support compliance reports and the use and retention of product transfer documents (PTDs).</w:t>
      </w:r>
    </w:p>
    <w:p w:rsidR="002C7516" w:rsidRPr="00CF4689" w:rsidP="002C7516" w14:paraId="760D4783" w14:textId="77777777">
      <w:pPr>
        <w:pStyle w:val="Standard"/>
        <w:outlineLvl w:val="1"/>
        <w:rPr>
          <w:rFonts w:asciiTheme="minorHAnsi" w:hAnsiTheme="minorHAnsi" w:cstheme="minorHAnsi"/>
        </w:rPr>
      </w:pPr>
    </w:p>
    <w:p w:rsidR="002C7516" w:rsidRPr="00CF4689" w:rsidP="3C1B7F5E" w14:paraId="767D54AA" w14:textId="3F60E739">
      <w:pPr>
        <w:pStyle w:val="Standard"/>
        <w:ind w:firstLine="720"/>
        <w:outlineLvl w:val="1"/>
        <w:rPr>
          <w:rFonts w:asciiTheme="minorHAnsi" w:hAnsiTheme="minorHAnsi" w:cstheme="minorHAnsi"/>
          <w:i/>
          <w:iCs/>
        </w:rPr>
      </w:pPr>
      <w:r w:rsidRPr="00CF4689">
        <w:rPr>
          <w:rFonts w:asciiTheme="minorHAnsi" w:hAnsiTheme="minorHAnsi" w:cstheme="minorHAnsi"/>
          <w:i/>
          <w:iCs/>
        </w:rPr>
        <w:t>Biointermediate Importers (Table III):</w:t>
      </w:r>
    </w:p>
    <w:p w:rsidR="002C7516" w:rsidRPr="00CF4689" w:rsidP="002C7516" w14:paraId="4125E323" w14:textId="77777777">
      <w:pPr>
        <w:pStyle w:val="Standard"/>
        <w:ind w:firstLine="720"/>
        <w:outlineLvl w:val="1"/>
        <w:rPr>
          <w:rFonts w:asciiTheme="minorHAnsi" w:hAnsiTheme="minorHAnsi" w:cstheme="minorHAnsi"/>
          <w:i/>
          <w:iCs/>
        </w:rPr>
      </w:pPr>
    </w:p>
    <w:p w:rsidR="002C7516" w:rsidRPr="00CF4689" w:rsidP="00424619" w14:paraId="65878669" w14:textId="77777777">
      <w:pPr>
        <w:pStyle w:val="Standard"/>
        <w:numPr>
          <w:ilvl w:val="0"/>
          <w:numId w:val="36"/>
        </w:numPr>
        <w:outlineLvl w:val="1"/>
        <w:rPr>
          <w:rFonts w:asciiTheme="minorHAnsi" w:hAnsiTheme="minorHAnsi" w:cstheme="minorHAnsi"/>
        </w:rPr>
      </w:pPr>
      <w:r w:rsidRPr="00CF4689">
        <w:rPr>
          <w:rFonts w:asciiTheme="minorHAnsi" w:hAnsiTheme="minorHAnsi" w:cstheme="minorHAnsi"/>
        </w:rPr>
        <w:t>No reporting requirements.</w:t>
      </w:r>
    </w:p>
    <w:p w:rsidR="002C7516" w:rsidRPr="00CF4689" w:rsidP="00424619" w14:paraId="1B3C5C0A" w14:textId="77777777">
      <w:pPr>
        <w:pStyle w:val="Standard"/>
        <w:numPr>
          <w:ilvl w:val="0"/>
          <w:numId w:val="36"/>
        </w:numPr>
        <w:outlineLvl w:val="1"/>
        <w:rPr>
          <w:rFonts w:asciiTheme="minorHAnsi" w:hAnsiTheme="minorHAnsi" w:cstheme="minorHAnsi"/>
        </w:rPr>
      </w:pPr>
      <w:r w:rsidRPr="00CF4689">
        <w:rPr>
          <w:rFonts w:asciiTheme="minorHAnsi" w:hAnsiTheme="minorHAnsi" w:cstheme="minorHAnsi"/>
        </w:rPr>
        <w:t xml:space="preserve">Recordkeeping requirements that include keeping copies of PTDs and retaining/using volume certification records. These parties must engage the services of an independent third party to perform volume certification. </w:t>
      </w:r>
    </w:p>
    <w:p w:rsidR="002C7516" w:rsidRPr="00CF4689" w:rsidP="002C7516" w14:paraId="75A3A2B4" w14:textId="77777777">
      <w:pPr>
        <w:spacing w:line="259" w:lineRule="auto"/>
        <w:ind w:left="360" w:firstLine="0"/>
        <w:rPr>
          <w:rFonts w:cstheme="minorHAnsi"/>
        </w:rPr>
      </w:pPr>
    </w:p>
    <w:p w:rsidR="00D92ED6" w:rsidRPr="00CF4689" w:rsidP="00940939" w14:paraId="0B6BE1C2" w14:textId="30D424E1">
      <w:pPr>
        <w:pStyle w:val="Heading2"/>
        <w:keepNext w:val="0"/>
        <w:spacing w:before="0" w:after="160"/>
        <w:ind w:left="0" w:firstLine="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12d.</w:t>
      </w:r>
      <w:r w:rsidRPr="00CF4689" w:rsidR="00BB104E">
        <w:rPr>
          <w:rFonts w:asciiTheme="minorHAnsi" w:hAnsiTheme="minorHAnsi" w:cstheme="minorHAnsi"/>
          <w:b/>
          <w:bCs/>
          <w:sz w:val="22"/>
          <w:szCs w:val="22"/>
        </w:rPr>
        <w:t xml:space="preserve"> </w:t>
      </w:r>
      <w:r w:rsidRPr="00CF4689" w:rsidR="0042474D">
        <w:rPr>
          <w:rFonts w:asciiTheme="minorHAnsi" w:hAnsiTheme="minorHAnsi" w:cstheme="minorHAnsi"/>
          <w:b/>
          <w:bCs/>
          <w:color w:val="000000" w:themeColor="text1"/>
          <w:sz w:val="22"/>
          <w:szCs w:val="22"/>
        </w:rPr>
        <w:t xml:space="preserve">RESPONDENT BURDEN HOURS AND LABOR </w:t>
      </w:r>
      <w:bookmarkEnd w:id="20"/>
      <w:r w:rsidRPr="00CF4689" w:rsidR="0042474D">
        <w:rPr>
          <w:rFonts w:asciiTheme="minorHAnsi" w:hAnsiTheme="minorHAnsi" w:cstheme="minorHAnsi"/>
          <w:b/>
          <w:bCs/>
          <w:color w:val="000000" w:themeColor="text1"/>
          <w:sz w:val="22"/>
          <w:szCs w:val="22"/>
        </w:rPr>
        <w:t>COSTS</w:t>
      </w:r>
    </w:p>
    <w:p w:rsidR="008251EE" w:rsidRPr="00CF4689" w:rsidP="008251EE" w14:paraId="65A25C72" w14:textId="77777777">
      <w:pPr>
        <w:pStyle w:val="ListParagraph"/>
        <w:numPr>
          <w:ilvl w:val="12"/>
          <w:numId w:val="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bookmarkStart w:id="21" w:name="_Toc156593386"/>
      <w:r w:rsidRPr="00CF4689">
        <w:rPr>
          <w:rFonts w:cstheme="minorHAnsi"/>
        </w:rPr>
        <w:t xml:space="preserve">To show the calculations, we have provided an Excel Spreadsheet containing extremely detailed program estimates. The spreadsheet was placed in the public docket to assist commenters in </w:t>
      </w:r>
      <w:r w:rsidRPr="00CF4689">
        <w:rPr>
          <w:rFonts w:cstheme="minorHAnsi"/>
        </w:rPr>
        <w:t>understanding this collection and the assumptions used to develop it. We sought and received comments and feedback from industry consultations.</w:t>
      </w:r>
    </w:p>
    <w:p w:rsidR="008251EE" w:rsidRPr="00CF4689" w:rsidP="008251EE" w14:paraId="1E21A48A" w14:textId="77777777">
      <w:pPr>
        <w:pStyle w:val="ListParagraph"/>
        <w:numPr>
          <w:ilvl w:val="12"/>
          <w:numId w:val="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p>
    <w:p w:rsidR="008251EE" w:rsidRPr="00CF4689" w:rsidP="008251EE" w14:paraId="20C17E66" w14:textId="77777777">
      <w:pPr>
        <w:pStyle w:val="ListParagraph"/>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r w:rsidRPr="00CF4689">
        <w:rPr>
          <w:rFonts w:cstheme="minorHAnsi"/>
        </w:rPr>
        <w:t xml:space="preserve">Consultation requests were sent to representatives of Poet Bioprocessing and Weaver.  Both respondents stated that they had limited experience with biointermediates.  No edits or suggestions were received from Poet.  Weaver (a company that specifically provides several services directly related to recordkeeping and reporting) provided some comments that resulted in upward adjustments of estimates related to performance of some services related to recordkeeping and reporting.  No actionable comments were received from the public.  </w:t>
      </w:r>
    </w:p>
    <w:p w:rsidR="008251EE" w:rsidRPr="00CF4689" w:rsidP="008251EE" w14:paraId="4492BA12" w14:textId="77777777">
      <w:pPr>
        <w:pStyle w:val="ListParagraph"/>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p>
    <w:p w:rsidR="008251EE" w:rsidRPr="00CF4689" w:rsidP="008251EE" w14:paraId="3A1AC1A2" w14:textId="77777777">
      <w:pPr>
        <w:pStyle w:val="ListParagraph"/>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r w:rsidRPr="00CF4689">
        <w:rPr>
          <w:rFonts w:cstheme="minorHAnsi"/>
        </w:rPr>
        <w:t>The revised total estimated respondents (by type), responses, hours, and total cost including both labor and non-labor costs is as follows:</w:t>
      </w:r>
    </w:p>
    <w:tbl>
      <w:tblPr>
        <w:tblW w:w="9344" w:type="dxa"/>
        <w:tblLook w:val="04A0"/>
      </w:tblPr>
      <w:tblGrid>
        <w:gridCol w:w="2769"/>
        <w:gridCol w:w="2222"/>
        <w:gridCol w:w="2128"/>
        <w:gridCol w:w="2225"/>
      </w:tblGrid>
      <w:tr w14:paraId="4A8185B3" w14:textId="77777777" w:rsidTr="00136C32">
        <w:tblPrEx>
          <w:tblW w:w="9344" w:type="dxa"/>
          <w:tblLook w:val="04A0"/>
        </w:tblPrEx>
        <w:trPr>
          <w:trHeight w:val="418"/>
        </w:trPr>
        <w:tc>
          <w:tcPr>
            <w:tcW w:w="9344" w:type="dxa"/>
            <w:gridSpan w:val="4"/>
            <w:tcBorders>
              <w:top w:val="single" w:sz="8" w:space="0" w:color="auto"/>
              <w:left w:val="single" w:sz="8" w:space="0" w:color="auto"/>
              <w:bottom w:val="nil"/>
              <w:right w:val="single" w:sz="8" w:space="0" w:color="000000"/>
            </w:tcBorders>
            <w:shd w:val="clear" w:color="auto" w:fill="auto"/>
            <w:noWrap/>
            <w:vAlign w:val="bottom"/>
            <w:hideMark/>
          </w:tcPr>
          <w:tbl>
            <w:tblPr>
              <w:tblW w:w="8749" w:type="dxa"/>
              <w:tblLook w:val="04A0"/>
            </w:tblPr>
            <w:tblGrid>
              <w:gridCol w:w="2391"/>
              <w:gridCol w:w="2220"/>
              <w:gridCol w:w="2238"/>
              <w:gridCol w:w="1900"/>
            </w:tblGrid>
            <w:tr w14:paraId="56A0BAF7" w14:textId="77777777" w:rsidTr="00136C32">
              <w:tblPrEx>
                <w:tblW w:w="8749" w:type="dxa"/>
                <w:tblLook w:val="04A0"/>
              </w:tblPrEx>
              <w:trPr>
                <w:trHeight w:val="434"/>
              </w:trPr>
              <w:tc>
                <w:tcPr>
                  <w:tcW w:w="8749" w:type="dxa"/>
                  <w:gridSpan w:val="4"/>
                  <w:tcBorders>
                    <w:top w:val="single" w:sz="8" w:space="0" w:color="auto"/>
                    <w:left w:val="single" w:sz="8" w:space="0" w:color="auto"/>
                    <w:bottom w:val="nil"/>
                    <w:right w:val="single" w:sz="8" w:space="0" w:color="000000"/>
                  </w:tcBorders>
                  <w:shd w:val="clear" w:color="auto" w:fill="auto"/>
                  <w:noWrap/>
                  <w:vAlign w:val="bottom"/>
                  <w:hideMark/>
                </w:tcPr>
                <w:p w:rsidR="008251EE" w:rsidRPr="00CF4689" w:rsidP="0058794F" w14:paraId="2F832EA2" w14:textId="77777777">
                  <w:pPr>
                    <w:spacing w:after="0" w:line="240" w:lineRule="auto"/>
                    <w:jc w:val="center"/>
                    <w:rPr>
                      <w:rFonts w:eastAsia="Times New Roman" w:cstheme="minorHAnsi"/>
                      <w:b/>
                      <w:bCs/>
                      <w:color w:val="000000"/>
                      <w:sz w:val="28"/>
                      <w:szCs w:val="28"/>
                    </w:rPr>
                  </w:pPr>
                  <w:r w:rsidRPr="00CF4689">
                    <w:rPr>
                      <w:rFonts w:eastAsia="Times New Roman" w:cstheme="minorHAnsi"/>
                      <w:b/>
                      <w:bCs/>
                      <w:color w:val="000000"/>
                      <w:sz w:val="28"/>
                      <w:szCs w:val="28"/>
                    </w:rPr>
                    <w:t>Summary</w:t>
                  </w:r>
                </w:p>
              </w:tc>
            </w:tr>
            <w:tr w14:paraId="55B46960" w14:textId="77777777" w:rsidTr="00136C32">
              <w:tblPrEx>
                <w:tblW w:w="8749" w:type="dxa"/>
                <w:tblLook w:val="04A0"/>
              </w:tblPrEx>
              <w:trPr>
                <w:trHeight w:val="1020"/>
              </w:trPr>
              <w:tc>
                <w:tcPr>
                  <w:tcW w:w="2391" w:type="dxa"/>
                  <w:tcBorders>
                    <w:top w:val="single" w:sz="8" w:space="0" w:color="auto"/>
                    <w:left w:val="single" w:sz="8" w:space="0" w:color="auto"/>
                    <w:bottom w:val="nil"/>
                    <w:right w:val="nil"/>
                  </w:tcBorders>
                  <w:shd w:val="clear" w:color="auto" w:fill="auto"/>
                  <w:vAlign w:val="center"/>
                  <w:hideMark/>
                </w:tcPr>
                <w:p w:rsidR="008251EE" w:rsidRPr="00CF4689" w:rsidP="0058794F" w14:paraId="6F3185D2" w14:textId="77777777">
                  <w:pPr>
                    <w:spacing w:after="0" w:line="240" w:lineRule="auto"/>
                    <w:jc w:val="center"/>
                    <w:rPr>
                      <w:rFonts w:eastAsia="Times New Roman" w:cstheme="minorHAnsi"/>
                      <w:i/>
                      <w:iCs/>
                      <w:color w:val="000000"/>
                    </w:rPr>
                  </w:pPr>
                  <w:r w:rsidRPr="00CF4689">
                    <w:rPr>
                      <w:rFonts w:eastAsia="Times New Roman" w:cstheme="minorHAnsi"/>
                      <w:i/>
                      <w:iCs/>
                      <w:color w:val="000000"/>
                    </w:rPr>
                    <w:t>Type of Respondent</w:t>
                  </w:r>
                </w:p>
              </w:tc>
              <w:tc>
                <w:tcPr>
                  <w:tcW w:w="2220" w:type="dxa"/>
                  <w:tcBorders>
                    <w:top w:val="single" w:sz="8" w:space="0" w:color="auto"/>
                    <w:left w:val="nil"/>
                    <w:bottom w:val="nil"/>
                    <w:right w:val="nil"/>
                  </w:tcBorders>
                  <w:shd w:val="clear" w:color="auto" w:fill="auto"/>
                  <w:vAlign w:val="center"/>
                  <w:hideMark/>
                </w:tcPr>
                <w:p w:rsidR="008251EE" w:rsidRPr="00CF4689" w:rsidP="0058794F" w14:paraId="59E7BF4D" w14:textId="77777777">
                  <w:pPr>
                    <w:spacing w:after="0" w:line="240" w:lineRule="auto"/>
                    <w:jc w:val="center"/>
                    <w:rPr>
                      <w:rFonts w:eastAsia="Times New Roman" w:cstheme="minorHAnsi"/>
                      <w:i/>
                      <w:iCs/>
                      <w:color w:val="000000"/>
                    </w:rPr>
                  </w:pPr>
                  <w:r w:rsidRPr="00CF4689">
                    <w:rPr>
                      <w:rFonts w:eastAsia="Times New Roman" w:cstheme="minorHAnsi"/>
                      <w:i/>
                      <w:iCs/>
                      <w:color w:val="000000"/>
                    </w:rPr>
                    <w:t>Total Responses per Year</w:t>
                  </w:r>
                </w:p>
              </w:tc>
              <w:tc>
                <w:tcPr>
                  <w:tcW w:w="2238" w:type="dxa"/>
                  <w:tcBorders>
                    <w:top w:val="single" w:sz="8" w:space="0" w:color="auto"/>
                    <w:left w:val="nil"/>
                    <w:bottom w:val="nil"/>
                    <w:right w:val="nil"/>
                  </w:tcBorders>
                  <w:shd w:val="clear" w:color="auto" w:fill="auto"/>
                  <w:vAlign w:val="center"/>
                  <w:hideMark/>
                </w:tcPr>
                <w:p w:rsidR="008251EE" w:rsidRPr="00CF4689" w:rsidP="0058794F" w14:paraId="2AA2CA1C" w14:textId="77777777">
                  <w:pPr>
                    <w:spacing w:after="0" w:line="240" w:lineRule="auto"/>
                    <w:jc w:val="center"/>
                    <w:rPr>
                      <w:rFonts w:eastAsia="Times New Roman" w:cstheme="minorHAnsi"/>
                      <w:i/>
                      <w:iCs/>
                      <w:color w:val="000000"/>
                    </w:rPr>
                  </w:pPr>
                  <w:r w:rsidRPr="00CF4689">
                    <w:rPr>
                      <w:rFonts w:eastAsia="Times New Roman" w:cstheme="minorHAnsi"/>
                      <w:i/>
                      <w:iCs/>
                      <w:color w:val="000000"/>
                    </w:rPr>
                    <w:t>Total Hours per Year</w:t>
                  </w:r>
                </w:p>
              </w:tc>
              <w:tc>
                <w:tcPr>
                  <w:tcW w:w="1898" w:type="dxa"/>
                  <w:tcBorders>
                    <w:top w:val="single" w:sz="8" w:space="0" w:color="auto"/>
                    <w:left w:val="nil"/>
                    <w:bottom w:val="nil"/>
                    <w:right w:val="single" w:sz="8" w:space="0" w:color="auto"/>
                  </w:tcBorders>
                  <w:shd w:val="clear" w:color="auto" w:fill="auto"/>
                  <w:vAlign w:val="center"/>
                  <w:hideMark/>
                </w:tcPr>
                <w:p w:rsidR="008251EE" w:rsidRPr="00CF4689" w:rsidP="0058794F" w14:paraId="4230658B" w14:textId="77777777">
                  <w:pPr>
                    <w:spacing w:after="0" w:line="240" w:lineRule="auto"/>
                    <w:jc w:val="center"/>
                    <w:rPr>
                      <w:rFonts w:eastAsia="Times New Roman" w:cstheme="minorHAnsi"/>
                      <w:i/>
                      <w:iCs/>
                      <w:color w:val="A6A6A6" w:themeColor="background1" w:themeShade="A6"/>
                    </w:rPr>
                  </w:pPr>
                  <w:r w:rsidRPr="00CF4689">
                    <w:rPr>
                      <w:rFonts w:eastAsia="Times New Roman" w:cstheme="minorHAnsi"/>
                      <w:i/>
                      <w:iCs/>
                      <w:color w:val="A6A6A6" w:themeColor="background1" w:themeShade="A6"/>
                    </w:rPr>
                    <w:t>Total Cost per Year (Labor and Non-Labor)</w:t>
                  </w:r>
                </w:p>
              </w:tc>
            </w:tr>
            <w:tr w14:paraId="33566516" w14:textId="77777777" w:rsidTr="00136C32">
              <w:tblPrEx>
                <w:tblW w:w="8749" w:type="dxa"/>
                <w:tblLook w:val="04A0"/>
              </w:tblPrEx>
              <w:trPr>
                <w:trHeight w:val="333"/>
              </w:trPr>
              <w:tc>
                <w:tcPr>
                  <w:tcW w:w="2391" w:type="dxa"/>
                  <w:tcBorders>
                    <w:top w:val="single" w:sz="8" w:space="0" w:color="auto"/>
                    <w:left w:val="single" w:sz="8" w:space="0" w:color="auto"/>
                    <w:bottom w:val="nil"/>
                    <w:right w:val="nil"/>
                  </w:tcBorders>
                  <w:shd w:val="clear" w:color="auto" w:fill="auto"/>
                  <w:noWrap/>
                  <w:vAlign w:val="bottom"/>
                  <w:hideMark/>
                </w:tcPr>
                <w:p w:rsidR="008251EE" w:rsidRPr="00CF4689" w:rsidP="0058794F" w14:paraId="053B6697" w14:textId="77777777">
                  <w:pPr>
                    <w:spacing w:after="0" w:line="240" w:lineRule="auto"/>
                    <w:rPr>
                      <w:rFonts w:eastAsia="Times New Roman" w:cstheme="minorHAnsi"/>
                      <w:color w:val="000000"/>
                    </w:rPr>
                  </w:pPr>
                  <w:r w:rsidRPr="00CF4689">
                    <w:rPr>
                      <w:rFonts w:eastAsia="Times New Roman" w:cstheme="minorHAnsi"/>
                      <w:color w:val="000000"/>
                    </w:rPr>
                    <w:t>Biointermediate Producers</w:t>
                  </w:r>
                </w:p>
              </w:tc>
              <w:tc>
                <w:tcPr>
                  <w:tcW w:w="2220" w:type="dxa"/>
                  <w:tcBorders>
                    <w:top w:val="single" w:sz="8" w:space="0" w:color="auto"/>
                    <w:left w:val="nil"/>
                    <w:bottom w:val="nil"/>
                    <w:right w:val="nil"/>
                  </w:tcBorders>
                  <w:shd w:val="clear" w:color="auto" w:fill="auto"/>
                  <w:noWrap/>
                  <w:vAlign w:val="bottom"/>
                  <w:hideMark/>
                </w:tcPr>
                <w:p w:rsidR="008251EE" w:rsidRPr="00CF4689" w:rsidP="0058794F" w14:paraId="52DB52BF" w14:textId="77777777">
                  <w:pPr>
                    <w:spacing w:after="0" w:line="240" w:lineRule="auto"/>
                    <w:jc w:val="center"/>
                    <w:rPr>
                      <w:rFonts w:eastAsia="Times New Roman" w:cstheme="minorHAnsi"/>
                      <w:color w:val="000000"/>
                    </w:rPr>
                  </w:pPr>
                  <w:r w:rsidRPr="00CF4689">
                    <w:rPr>
                      <w:rFonts w:eastAsia="Times New Roman" w:cstheme="minorHAnsi"/>
                      <w:color w:val="000000"/>
                    </w:rPr>
                    <w:t>16,625</w:t>
                  </w:r>
                </w:p>
              </w:tc>
              <w:tc>
                <w:tcPr>
                  <w:tcW w:w="2238" w:type="dxa"/>
                  <w:tcBorders>
                    <w:top w:val="single" w:sz="8" w:space="0" w:color="auto"/>
                    <w:left w:val="nil"/>
                    <w:bottom w:val="nil"/>
                    <w:right w:val="nil"/>
                  </w:tcBorders>
                  <w:shd w:val="clear" w:color="auto" w:fill="auto"/>
                  <w:noWrap/>
                  <w:vAlign w:val="bottom"/>
                  <w:hideMark/>
                </w:tcPr>
                <w:p w:rsidR="008251EE" w:rsidRPr="00CF4689" w:rsidP="0058794F" w14:paraId="43024373" w14:textId="77777777">
                  <w:pPr>
                    <w:spacing w:after="0" w:line="240" w:lineRule="auto"/>
                    <w:jc w:val="center"/>
                    <w:rPr>
                      <w:rFonts w:eastAsia="Times New Roman" w:cstheme="minorHAnsi"/>
                      <w:color w:val="000000"/>
                    </w:rPr>
                  </w:pPr>
                  <w:r w:rsidRPr="00CF4689">
                    <w:rPr>
                      <w:rFonts w:eastAsia="Times New Roman" w:cstheme="minorHAnsi"/>
                      <w:color w:val="000000"/>
                    </w:rPr>
                    <w:t>13,497</w:t>
                  </w:r>
                </w:p>
              </w:tc>
              <w:tc>
                <w:tcPr>
                  <w:tcW w:w="1898" w:type="dxa"/>
                  <w:tcBorders>
                    <w:top w:val="single" w:sz="8" w:space="0" w:color="auto"/>
                    <w:left w:val="nil"/>
                    <w:bottom w:val="nil"/>
                    <w:right w:val="single" w:sz="8" w:space="0" w:color="auto"/>
                  </w:tcBorders>
                  <w:shd w:val="clear" w:color="auto" w:fill="auto"/>
                  <w:noWrap/>
                  <w:vAlign w:val="bottom"/>
                  <w:hideMark/>
                </w:tcPr>
                <w:p w:rsidR="008251EE" w:rsidRPr="00CF4689" w:rsidP="0058794F" w14:paraId="48E2795B" w14:textId="77777777">
                  <w:pPr>
                    <w:spacing w:after="0" w:line="240" w:lineRule="auto"/>
                    <w:jc w:val="center"/>
                    <w:rPr>
                      <w:rFonts w:eastAsia="Times New Roman" w:cstheme="minorHAnsi"/>
                      <w:color w:val="A6A6A6" w:themeColor="background1" w:themeShade="A6"/>
                    </w:rPr>
                  </w:pPr>
                  <w:r w:rsidRPr="00CF4689">
                    <w:rPr>
                      <w:rFonts w:eastAsia="Times New Roman" w:cstheme="minorHAnsi"/>
                      <w:color w:val="A6A6A6" w:themeColor="background1" w:themeShade="A6"/>
                    </w:rPr>
                    <w:t>$1,541,907</w:t>
                  </w:r>
                </w:p>
              </w:tc>
            </w:tr>
            <w:tr w14:paraId="540D9DEF" w14:textId="77777777" w:rsidTr="00136C32">
              <w:tblPrEx>
                <w:tblW w:w="8749" w:type="dxa"/>
                <w:tblLook w:val="04A0"/>
              </w:tblPrEx>
              <w:trPr>
                <w:trHeight w:val="668"/>
              </w:trPr>
              <w:tc>
                <w:tcPr>
                  <w:tcW w:w="2391" w:type="dxa"/>
                  <w:tcBorders>
                    <w:top w:val="nil"/>
                    <w:left w:val="single" w:sz="8" w:space="0" w:color="auto"/>
                    <w:bottom w:val="nil"/>
                    <w:right w:val="nil"/>
                  </w:tcBorders>
                  <w:shd w:val="clear" w:color="auto" w:fill="auto"/>
                  <w:vAlign w:val="bottom"/>
                  <w:hideMark/>
                </w:tcPr>
                <w:p w:rsidR="008251EE" w:rsidRPr="00CF4689" w:rsidP="0058794F" w14:paraId="1470CC58" w14:textId="77777777">
                  <w:pPr>
                    <w:spacing w:after="0" w:line="240" w:lineRule="auto"/>
                    <w:rPr>
                      <w:rFonts w:eastAsia="Times New Roman" w:cstheme="minorHAnsi"/>
                      <w:color w:val="000000"/>
                    </w:rPr>
                  </w:pPr>
                  <w:r w:rsidRPr="00CF4689">
                    <w:rPr>
                      <w:rFonts w:eastAsia="Times New Roman" w:cstheme="minorHAnsi"/>
                      <w:color w:val="000000"/>
                    </w:rPr>
                    <w:t>RIN Generators (Renewable Fuel Producers)</w:t>
                  </w:r>
                </w:p>
              </w:tc>
              <w:tc>
                <w:tcPr>
                  <w:tcW w:w="2220" w:type="dxa"/>
                  <w:tcBorders>
                    <w:top w:val="nil"/>
                    <w:left w:val="nil"/>
                    <w:bottom w:val="nil"/>
                    <w:right w:val="nil"/>
                  </w:tcBorders>
                  <w:shd w:val="clear" w:color="auto" w:fill="auto"/>
                  <w:noWrap/>
                  <w:vAlign w:val="bottom"/>
                  <w:hideMark/>
                </w:tcPr>
                <w:p w:rsidR="008251EE" w:rsidRPr="00CF4689" w:rsidP="0058794F" w14:paraId="465C0D28" w14:textId="77777777">
                  <w:pPr>
                    <w:spacing w:after="0" w:line="240" w:lineRule="auto"/>
                    <w:jc w:val="center"/>
                    <w:rPr>
                      <w:rFonts w:eastAsia="Times New Roman" w:cstheme="minorHAnsi"/>
                      <w:color w:val="000000"/>
                    </w:rPr>
                  </w:pPr>
                  <w:r w:rsidRPr="00CF4689">
                    <w:rPr>
                      <w:rFonts w:eastAsia="Times New Roman" w:cstheme="minorHAnsi"/>
                      <w:color w:val="000000"/>
                    </w:rPr>
                    <w:t>16,430</w:t>
                  </w:r>
                </w:p>
              </w:tc>
              <w:tc>
                <w:tcPr>
                  <w:tcW w:w="2238" w:type="dxa"/>
                  <w:tcBorders>
                    <w:top w:val="nil"/>
                    <w:left w:val="nil"/>
                    <w:bottom w:val="nil"/>
                    <w:right w:val="nil"/>
                  </w:tcBorders>
                  <w:shd w:val="clear" w:color="auto" w:fill="auto"/>
                  <w:noWrap/>
                  <w:vAlign w:val="bottom"/>
                  <w:hideMark/>
                </w:tcPr>
                <w:p w:rsidR="008251EE" w:rsidRPr="00CF4689" w:rsidP="0058794F" w14:paraId="5471926B" w14:textId="77777777">
                  <w:pPr>
                    <w:spacing w:after="0" w:line="240" w:lineRule="auto"/>
                    <w:jc w:val="center"/>
                    <w:rPr>
                      <w:rFonts w:eastAsia="Times New Roman" w:cstheme="minorHAnsi"/>
                      <w:color w:val="000000"/>
                    </w:rPr>
                  </w:pPr>
                  <w:r w:rsidRPr="00CF4689">
                    <w:rPr>
                      <w:rFonts w:eastAsia="Times New Roman" w:cstheme="minorHAnsi"/>
                      <w:color w:val="000000"/>
                    </w:rPr>
                    <w:t>8,319</w:t>
                  </w:r>
                </w:p>
              </w:tc>
              <w:tc>
                <w:tcPr>
                  <w:tcW w:w="1898" w:type="dxa"/>
                  <w:tcBorders>
                    <w:top w:val="nil"/>
                    <w:left w:val="nil"/>
                    <w:bottom w:val="nil"/>
                    <w:right w:val="single" w:sz="8" w:space="0" w:color="auto"/>
                  </w:tcBorders>
                  <w:shd w:val="clear" w:color="auto" w:fill="auto"/>
                  <w:noWrap/>
                  <w:vAlign w:val="bottom"/>
                  <w:hideMark/>
                </w:tcPr>
                <w:p w:rsidR="008251EE" w:rsidRPr="00CF4689" w:rsidP="0058794F" w14:paraId="240AF960" w14:textId="77777777">
                  <w:pPr>
                    <w:spacing w:after="0" w:line="240" w:lineRule="auto"/>
                    <w:jc w:val="center"/>
                    <w:rPr>
                      <w:rFonts w:eastAsia="Times New Roman" w:cstheme="minorHAnsi"/>
                      <w:color w:val="A6A6A6" w:themeColor="background1" w:themeShade="A6"/>
                    </w:rPr>
                  </w:pPr>
                  <w:r w:rsidRPr="00CF4689">
                    <w:rPr>
                      <w:rFonts w:eastAsia="Times New Roman" w:cstheme="minorHAnsi"/>
                      <w:color w:val="A6A6A6" w:themeColor="background1" w:themeShade="A6"/>
                    </w:rPr>
                    <w:t>$1,066,251</w:t>
                  </w:r>
                </w:p>
              </w:tc>
            </w:tr>
            <w:tr w14:paraId="5478E01F" w14:textId="77777777" w:rsidTr="00136C32">
              <w:tblPrEx>
                <w:tblW w:w="8749" w:type="dxa"/>
                <w:tblLook w:val="04A0"/>
              </w:tblPrEx>
              <w:trPr>
                <w:trHeight w:val="333"/>
              </w:trPr>
              <w:tc>
                <w:tcPr>
                  <w:tcW w:w="2391" w:type="dxa"/>
                  <w:tcBorders>
                    <w:top w:val="nil"/>
                    <w:left w:val="single" w:sz="8" w:space="0" w:color="auto"/>
                    <w:bottom w:val="nil"/>
                    <w:right w:val="nil"/>
                  </w:tcBorders>
                  <w:shd w:val="clear" w:color="auto" w:fill="auto"/>
                  <w:noWrap/>
                  <w:vAlign w:val="bottom"/>
                  <w:hideMark/>
                </w:tcPr>
                <w:p w:rsidR="008251EE" w:rsidRPr="00CF4689" w:rsidP="0058794F" w14:paraId="2970AD4C" w14:textId="77777777">
                  <w:pPr>
                    <w:spacing w:after="0" w:line="240" w:lineRule="auto"/>
                    <w:rPr>
                      <w:rFonts w:eastAsia="Times New Roman" w:cstheme="minorHAnsi"/>
                      <w:color w:val="000000"/>
                    </w:rPr>
                  </w:pPr>
                  <w:r w:rsidRPr="00CF4689">
                    <w:rPr>
                      <w:rFonts w:eastAsia="Times New Roman" w:cstheme="minorHAnsi"/>
                      <w:color w:val="000000"/>
                    </w:rPr>
                    <w:t>Biointermediate Importer</w:t>
                  </w:r>
                </w:p>
              </w:tc>
              <w:tc>
                <w:tcPr>
                  <w:tcW w:w="2220" w:type="dxa"/>
                  <w:tcBorders>
                    <w:top w:val="nil"/>
                    <w:left w:val="nil"/>
                    <w:bottom w:val="nil"/>
                    <w:right w:val="nil"/>
                  </w:tcBorders>
                  <w:shd w:val="clear" w:color="auto" w:fill="auto"/>
                  <w:noWrap/>
                  <w:vAlign w:val="bottom"/>
                  <w:hideMark/>
                </w:tcPr>
                <w:p w:rsidR="008251EE" w:rsidRPr="00CF4689" w:rsidP="0058794F" w14:paraId="62B4FD6C" w14:textId="77777777">
                  <w:pPr>
                    <w:spacing w:after="0" w:line="240" w:lineRule="auto"/>
                    <w:jc w:val="center"/>
                    <w:rPr>
                      <w:rFonts w:eastAsia="Times New Roman" w:cstheme="minorHAnsi"/>
                      <w:color w:val="000000"/>
                    </w:rPr>
                  </w:pPr>
                  <w:r w:rsidRPr="00CF4689">
                    <w:rPr>
                      <w:rFonts w:eastAsia="Times New Roman" w:cstheme="minorHAnsi"/>
                      <w:color w:val="000000"/>
                    </w:rPr>
                    <w:t>4,080</w:t>
                  </w:r>
                </w:p>
              </w:tc>
              <w:tc>
                <w:tcPr>
                  <w:tcW w:w="2238" w:type="dxa"/>
                  <w:tcBorders>
                    <w:top w:val="nil"/>
                    <w:left w:val="nil"/>
                    <w:bottom w:val="nil"/>
                    <w:right w:val="nil"/>
                  </w:tcBorders>
                  <w:shd w:val="clear" w:color="auto" w:fill="auto"/>
                  <w:noWrap/>
                  <w:vAlign w:val="bottom"/>
                  <w:hideMark/>
                </w:tcPr>
                <w:p w:rsidR="008251EE" w:rsidRPr="00CF4689" w:rsidP="0058794F" w14:paraId="546AF6A5" w14:textId="77777777">
                  <w:pPr>
                    <w:spacing w:after="0" w:line="240" w:lineRule="auto"/>
                    <w:jc w:val="center"/>
                    <w:rPr>
                      <w:rFonts w:eastAsia="Times New Roman" w:cstheme="minorHAnsi"/>
                      <w:color w:val="000000"/>
                    </w:rPr>
                  </w:pPr>
                  <w:r w:rsidRPr="00CF4689">
                    <w:rPr>
                      <w:rFonts w:eastAsia="Times New Roman" w:cstheme="minorHAnsi"/>
                      <w:color w:val="000000"/>
                    </w:rPr>
                    <w:t>5,295</w:t>
                  </w:r>
                </w:p>
              </w:tc>
              <w:tc>
                <w:tcPr>
                  <w:tcW w:w="1898" w:type="dxa"/>
                  <w:tcBorders>
                    <w:top w:val="nil"/>
                    <w:left w:val="nil"/>
                    <w:bottom w:val="nil"/>
                    <w:right w:val="single" w:sz="8" w:space="0" w:color="auto"/>
                  </w:tcBorders>
                  <w:shd w:val="clear" w:color="auto" w:fill="auto"/>
                  <w:noWrap/>
                  <w:vAlign w:val="bottom"/>
                  <w:hideMark/>
                </w:tcPr>
                <w:p w:rsidR="008251EE" w:rsidRPr="00CF4689" w:rsidP="0058794F" w14:paraId="2684ECB0" w14:textId="77777777">
                  <w:pPr>
                    <w:spacing w:after="0" w:line="240" w:lineRule="auto"/>
                    <w:jc w:val="center"/>
                    <w:rPr>
                      <w:rFonts w:eastAsia="Times New Roman" w:cstheme="minorHAnsi"/>
                      <w:color w:val="A6A6A6" w:themeColor="background1" w:themeShade="A6"/>
                    </w:rPr>
                  </w:pPr>
                  <w:r w:rsidRPr="00CF4689">
                    <w:rPr>
                      <w:rFonts w:eastAsia="Times New Roman" w:cstheme="minorHAnsi"/>
                      <w:color w:val="A6A6A6" w:themeColor="background1" w:themeShade="A6"/>
                    </w:rPr>
                    <w:t>$1,127,625</w:t>
                  </w:r>
                </w:p>
              </w:tc>
            </w:tr>
            <w:tr w14:paraId="3EA61A46" w14:textId="77777777" w:rsidTr="00136C32">
              <w:tblPrEx>
                <w:tblW w:w="8749" w:type="dxa"/>
                <w:tblLook w:val="04A0"/>
              </w:tblPrEx>
              <w:trPr>
                <w:trHeight w:val="350"/>
              </w:trPr>
              <w:tc>
                <w:tcPr>
                  <w:tcW w:w="2391" w:type="dxa"/>
                  <w:tcBorders>
                    <w:top w:val="nil"/>
                    <w:left w:val="single" w:sz="8" w:space="0" w:color="auto"/>
                    <w:bottom w:val="single" w:sz="8" w:space="0" w:color="auto"/>
                    <w:right w:val="nil"/>
                  </w:tcBorders>
                  <w:shd w:val="clear" w:color="auto" w:fill="auto"/>
                  <w:noWrap/>
                  <w:vAlign w:val="bottom"/>
                  <w:hideMark/>
                </w:tcPr>
                <w:p w:rsidR="008251EE" w:rsidRPr="00CF4689" w:rsidP="0058794F" w14:paraId="3C3AEA57" w14:textId="77777777">
                  <w:pPr>
                    <w:spacing w:after="0" w:line="240" w:lineRule="auto"/>
                    <w:rPr>
                      <w:rFonts w:eastAsia="Times New Roman" w:cstheme="minorHAnsi"/>
                      <w:color w:val="000000"/>
                    </w:rPr>
                  </w:pPr>
                  <w:r w:rsidRPr="00CF4689">
                    <w:rPr>
                      <w:rFonts w:eastAsia="Times New Roman" w:cstheme="minorHAnsi"/>
                      <w:color w:val="000000"/>
                    </w:rPr>
                    <w:t xml:space="preserve">Third Parties </w:t>
                  </w:r>
                </w:p>
              </w:tc>
              <w:tc>
                <w:tcPr>
                  <w:tcW w:w="2220" w:type="dxa"/>
                  <w:tcBorders>
                    <w:top w:val="nil"/>
                    <w:left w:val="nil"/>
                    <w:bottom w:val="single" w:sz="8" w:space="0" w:color="auto"/>
                    <w:right w:val="nil"/>
                  </w:tcBorders>
                  <w:shd w:val="clear" w:color="auto" w:fill="auto"/>
                  <w:noWrap/>
                  <w:vAlign w:val="bottom"/>
                  <w:hideMark/>
                </w:tcPr>
                <w:p w:rsidR="008251EE" w:rsidRPr="00CF4689" w:rsidP="0058794F" w14:paraId="3B3CE6B8" w14:textId="77777777">
                  <w:pPr>
                    <w:spacing w:after="0" w:line="240" w:lineRule="auto"/>
                    <w:jc w:val="center"/>
                    <w:rPr>
                      <w:rFonts w:eastAsia="Times New Roman" w:cstheme="minorHAnsi"/>
                      <w:color w:val="000000"/>
                    </w:rPr>
                  </w:pPr>
                  <w:r w:rsidRPr="00CF4689">
                    <w:rPr>
                      <w:rFonts w:eastAsia="Times New Roman" w:cstheme="minorHAnsi"/>
                      <w:color w:val="000000"/>
                    </w:rPr>
                    <w:t>10</w:t>
                  </w:r>
                </w:p>
              </w:tc>
              <w:tc>
                <w:tcPr>
                  <w:tcW w:w="2238" w:type="dxa"/>
                  <w:tcBorders>
                    <w:top w:val="nil"/>
                    <w:left w:val="nil"/>
                    <w:bottom w:val="single" w:sz="8" w:space="0" w:color="auto"/>
                    <w:right w:val="nil"/>
                  </w:tcBorders>
                  <w:shd w:val="clear" w:color="auto" w:fill="auto"/>
                  <w:noWrap/>
                  <w:vAlign w:val="bottom"/>
                  <w:hideMark/>
                </w:tcPr>
                <w:p w:rsidR="008251EE" w:rsidRPr="00CF4689" w:rsidP="0058794F" w14:paraId="2A6BF5E4" w14:textId="77777777">
                  <w:pPr>
                    <w:spacing w:after="0" w:line="240" w:lineRule="auto"/>
                    <w:jc w:val="center"/>
                    <w:rPr>
                      <w:rFonts w:eastAsia="Times New Roman" w:cstheme="minorHAnsi"/>
                      <w:color w:val="000000"/>
                    </w:rPr>
                  </w:pPr>
                  <w:r w:rsidRPr="00CF4689">
                    <w:rPr>
                      <w:rFonts w:eastAsia="Times New Roman" w:cstheme="minorHAnsi"/>
                      <w:color w:val="000000"/>
                    </w:rPr>
                    <w:t>760</w:t>
                  </w:r>
                </w:p>
              </w:tc>
              <w:tc>
                <w:tcPr>
                  <w:tcW w:w="1898" w:type="dxa"/>
                  <w:tcBorders>
                    <w:top w:val="nil"/>
                    <w:left w:val="nil"/>
                    <w:bottom w:val="single" w:sz="8" w:space="0" w:color="auto"/>
                    <w:right w:val="single" w:sz="8" w:space="0" w:color="auto"/>
                  </w:tcBorders>
                  <w:shd w:val="clear" w:color="auto" w:fill="auto"/>
                  <w:noWrap/>
                  <w:vAlign w:val="bottom"/>
                  <w:hideMark/>
                </w:tcPr>
                <w:p w:rsidR="008251EE" w:rsidRPr="00CF4689" w:rsidP="0058794F" w14:paraId="0AC4E587" w14:textId="77777777">
                  <w:pPr>
                    <w:spacing w:after="0" w:line="240" w:lineRule="auto"/>
                    <w:jc w:val="center"/>
                    <w:rPr>
                      <w:rFonts w:eastAsia="Times New Roman" w:cstheme="minorHAnsi"/>
                      <w:color w:val="A6A6A6" w:themeColor="background1" w:themeShade="A6"/>
                    </w:rPr>
                  </w:pPr>
                  <w:r w:rsidRPr="00CF4689">
                    <w:rPr>
                      <w:rFonts w:eastAsia="Times New Roman" w:cstheme="minorHAnsi"/>
                      <w:color w:val="A6A6A6" w:themeColor="background1" w:themeShade="A6"/>
                    </w:rPr>
                    <w:t>$186,200</w:t>
                  </w:r>
                </w:p>
              </w:tc>
            </w:tr>
            <w:tr w14:paraId="41BC83AF" w14:textId="77777777" w:rsidTr="00136C32">
              <w:tblPrEx>
                <w:tblW w:w="8749" w:type="dxa"/>
                <w:tblLook w:val="04A0"/>
              </w:tblPrEx>
              <w:trPr>
                <w:trHeight w:val="350"/>
              </w:trPr>
              <w:tc>
                <w:tcPr>
                  <w:tcW w:w="2391" w:type="dxa"/>
                  <w:tcBorders>
                    <w:top w:val="nil"/>
                    <w:left w:val="single" w:sz="8" w:space="0" w:color="auto"/>
                    <w:bottom w:val="single" w:sz="8" w:space="0" w:color="auto"/>
                    <w:right w:val="nil"/>
                  </w:tcBorders>
                  <w:shd w:val="clear" w:color="auto" w:fill="auto"/>
                  <w:noWrap/>
                  <w:vAlign w:val="bottom"/>
                  <w:hideMark/>
                </w:tcPr>
                <w:p w:rsidR="008251EE" w:rsidRPr="00CF4689" w:rsidP="0058794F" w14:paraId="054ACC0C" w14:textId="77777777">
                  <w:pPr>
                    <w:spacing w:after="0" w:line="240" w:lineRule="auto"/>
                    <w:rPr>
                      <w:rFonts w:eastAsia="Times New Roman" w:cstheme="minorHAnsi"/>
                      <w:b/>
                      <w:bCs/>
                      <w:color w:val="000000"/>
                    </w:rPr>
                  </w:pPr>
                  <w:r w:rsidRPr="00CF4689">
                    <w:rPr>
                      <w:rFonts w:eastAsia="Times New Roman" w:cstheme="minorHAnsi"/>
                      <w:b/>
                      <w:bCs/>
                      <w:color w:val="000000"/>
                    </w:rPr>
                    <w:t>GRAND TOTAL</w:t>
                  </w:r>
                </w:p>
              </w:tc>
              <w:tc>
                <w:tcPr>
                  <w:tcW w:w="2220" w:type="dxa"/>
                  <w:tcBorders>
                    <w:top w:val="nil"/>
                    <w:left w:val="nil"/>
                    <w:bottom w:val="single" w:sz="8" w:space="0" w:color="auto"/>
                    <w:right w:val="nil"/>
                  </w:tcBorders>
                  <w:shd w:val="clear" w:color="auto" w:fill="auto"/>
                  <w:noWrap/>
                  <w:vAlign w:val="bottom"/>
                  <w:hideMark/>
                </w:tcPr>
                <w:p w:rsidR="008251EE" w:rsidRPr="00CF4689" w:rsidP="0058794F" w14:paraId="218288F5" w14:textId="77777777">
                  <w:pPr>
                    <w:spacing w:after="0" w:line="240" w:lineRule="auto"/>
                    <w:jc w:val="center"/>
                    <w:rPr>
                      <w:rFonts w:eastAsia="Times New Roman" w:cstheme="minorHAnsi"/>
                      <w:b/>
                      <w:bCs/>
                      <w:color w:val="000000"/>
                    </w:rPr>
                  </w:pPr>
                  <w:r w:rsidRPr="00CF4689">
                    <w:rPr>
                      <w:rFonts w:eastAsia="Times New Roman" w:cstheme="minorHAnsi"/>
                      <w:b/>
                      <w:bCs/>
                      <w:color w:val="000000"/>
                    </w:rPr>
                    <w:t>37,145</w:t>
                  </w:r>
                </w:p>
              </w:tc>
              <w:tc>
                <w:tcPr>
                  <w:tcW w:w="2238" w:type="dxa"/>
                  <w:tcBorders>
                    <w:top w:val="nil"/>
                    <w:left w:val="nil"/>
                    <w:bottom w:val="single" w:sz="8" w:space="0" w:color="auto"/>
                    <w:right w:val="nil"/>
                  </w:tcBorders>
                  <w:shd w:val="clear" w:color="auto" w:fill="auto"/>
                  <w:noWrap/>
                  <w:vAlign w:val="bottom"/>
                  <w:hideMark/>
                </w:tcPr>
                <w:p w:rsidR="008251EE" w:rsidRPr="00CF4689" w:rsidP="0058794F" w14:paraId="27CCD302" w14:textId="77777777">
                  <w:pPr>
                    <w:spacing w:after="0" w:line="240" w:lineRule="auto"/>
                    <w:jc w:val="center"/>
                    <w:rPr>
                      <w:rFonts w:eastAsia="Times New Roman" w:cstheme="minorHAnsi"/>
                      <w:b/>
                      <w:bCs/>
                      <w:color w:val="000000"/>
                    </w:rPr>
                  </w:pPr>
                  <w:r w:rsidRPr="00CF4689">
                    <w:rPr>
                      <w:rFonts w:eastAsia="Times New Roman" w:cstheme="minorHAnsi"/>
                      <w:b/>
                      <w:bCs/>
                      <w:color w:val="000000"/>
                    </w:rPr>
                    <w:t>27,871</w:t>
                  </w:r>
                </w:p>
              </w:tc>
              <w:tc>
                <w:tcPr>
                  <w:tcW w:w="1898" w:type="dxa"/>
                  <w:tcBorders>
                    <w:top w:val="nil"/>
                    <w:left w:val="nil"/>
                    <w:bottom w:val="single" w:sz="8" w:space="0" w:color="auto"/>
                    <w:right w:val="single" w:sz="8" w:space="0" w:color="auto"/>
                  </w:tcBorders>
                  <w:shd w:val="clear" w:color="auto" w:fill="auto"/>
                  <w:noWrap/>
                  <w:vAlign w:val="bottom"/>
                  <w:hideMark/>
                </w:tcPr>
                <w:p w:rsidR="008251EE" w:rsidRPr="00CF4689" w:rsidP="0058794F" w14:paraId="77C7A972" w14:textId="77777777">
                  <w:pPr>
                    <w:spacing w:after="0" w:line="240" w:lineRule="auto"/>
                    <w:jc w:val="center"/>
                    <w:rPr>
                      <w:rFonts w:eastAsia="Times New Roman" w:cstheme="minorHAnsi"/>
                      <w:b/>
                      <w:bCs/>
                      <w:color w:val="A6A6A6" w:themeColor="background1" w:themeShade="A6"/>
                    </w:rPr>
                  </w:pPr>
                  <w:r w:rsidRPr="00CF4689">
                    <w:rPr>
                      <w:rFonts w:eastAsia="Times New Roman" w:cstheme="minorHAnsi"/>
                      <w:b/>
                      <w:bCs/>
                      <w:color w:val="A6A6A6" w:themeColor="background1" w:themeShade="A6"/>
                    </w:rPr>
                    <w:t>$3,921,983</w:t>
                  </w:r>
                </w:p>
              </w:tc>
            </w:tr>
          </w:tbl>
          <w:p w:rsidR="008251EE" w:rsidRPr="00CF4689" w:rsidP="0058794F" w14:paraId="7814A16B" w14:textId="77777777">
            <w:pPr>
              <w:spacing w:after="0" w:line="240" w:lineRule="auto"/>
              <w:jc w:val="center"/>
              <w:rPr>
                <w:rFonts w:eastAsia="Times New Roman" w:cstheme="minorHAnsi"/>
                <w:b/>
                <w:bCs/>
                <w:color w:val="000000"/>
                <w:sz w:val="28"/>
                <w:szCs w:val="28"/>
              </w:rPr>
            </w:pPr>
          </w:p>
        </w:tc>
      </w:tr>
      <w:tr w14:paraId="0CE768CE" w14:textId="77777777" w:rsidTr="00136C32">
        <w:tblPrEx>
          <w:tblW w:w="9344" w:type="dxa"/>
          <w:tblLook w:val="04A0"/>
        </w:tblPrEx>
        <w:trPr>
          <w:trHeight w:val="321"/>
        </w:trPr>
        <w:tc>
          <w:tcPr>
            <w:tcW w:w="2769" w:type="dxa"/>
            <w:tcBorders>
              <w:top w:val="nil"/>
              <w:left w:val="nil"/>
              <w:bottom w:val="nil"/>
              <w:right w:val="nil"/>
            </w:tcBorders>
            <w:shd w:val="clear" w:color="auto" w:fill="auto"/>
            <w:noWrap/>
            <w:vAlign w:val="bottom"/>
            <w:hideMark/>
          </w:tcPr>
          <w:p w:rsidR="008251EE" w:rsidRPr="00CF4689" w:rsidP="0058794F" w14:paraId="65F2F95E" w14:textId="77777777">
            <w:pPr>
              <w:spacing w:after="0" w:line="240" w:lineRule="auto"/>
              <w:jc w:val="center"/>
              <w:rPr>
                <w:rFonts w:eastAsia="Times New Roman" w:cstheme="minorHAnsi"/>
                <w:color w:val="BFBFBF"/>
              </w:rPr>
            </w:pPr>
          </w:p>
        </w:tc>
        <w:tc>
          <w:tcPr>
            <w:tcW w:w="2222" w:type="dxa"/>
            <w:tcBorders>
              <w:top w:val="nil"/>
              <w:left w:val="nil"/>
              <w:bottom w:val="nil"/>
              <w:right w:val="nil"/>
            </w:tcBorders>
            <w:shd w:val="clear" w:color="auto" w:fill="auto"/>
            <w:noWrap/>
            <w:vAlign w:val="bottom"/>
            <w:hideMark/>
          </w:tcPr>
          <w:p w:rsidR="008251EE" w:rsidRPr="00CF4689" w:rsidP="0058794F" w14:paraId="35558715" w14:textId="77777777">
            <w:pPr>
              <w:spacing w:after="0" w:line="240" w:lineRule="auto"/>
              <w:rPr>
                <w:rFonts w:eastAsia="Times New Roman" w:cstheme="minorHAnsi"/>
                <w:sz w:val="20"/>
                <w:szCs w:val="20"/>
              </w:rPr>
            </w:pPr>
          </w:p>
        </w:tc>
        <w:tc>
          <w:tcPr>
            <w:tcW w:w="2128" w:type="dxa"/>
            <w:tcBorders>
              <w:top w:val="nil"/>
              <w:left w:val="nil"/>
              <w:bottom w:val="nil"/>
              <w:right w:val="nil"/>
            </w:tcBorders>
            <w:shd w:val="clear" w:color="auto" w:fill="auto"/>
            <w:noWrap/>
            <w:vAlign w:val="bottom"/>
            <w:hideMark/>
          </w:tcPr>
          <w:p w:rsidR="008251EE" w:rsidRPr="00CF4689" w:rsidP="0058794F" w14:paraId="2D2BF4BD" w14:textId="77777777">
            <w:pPr>
              <w:spacing w:after="0" w:line="240" w:lineRule="auto"/>
              <w:rPr>
                <w:rFonts w:eastAsia="Times New Roman" w:cstheme="minorHAnsi"/>
                <w:sz w:val="20"/>
                <w:szCs w:val="20"/>
              </w:rPr>
            </w:pPr>
          </w:p>
        </w:tc>
        <w:tc>
          <w:tcPr>
            <w:tcW w:w="2223" w:type="dxa"/>
            <w:tcBorders>
              <w:top w:val="nil"/>
              <w:left w:val="nil"/>
              <w:bottom w:val="nil"/>
              <w:right w:val="nil"/>
            </w:tcBorders>
            <w:shd w:val="clear" w:color="auto" w:fill="auto"/>
            <w:noWrap/>
            <w:vAlign w:val="bottom"/>
            <w:hideMark/>
          </w:tcPr>
          <w:p w:rsidR="008251EE" w:rsidRPr="00CF4689" w:rsidP="0058794F" w14:paraId="0A58D4C6" w14:textId="77777777">
            <w:pPr>
              <w:spacing w:after="0" w:line="240" w:lineRule="auto"/>
              <w:rPr>
                <w:rFonts w:eastAsia="Times New Roman" w:cstheme="minorHAnsi"/>
                <w:sz w:val="20"/>
                <w:szCs w:val="20"/>
              </w:rPr>
            </w:pPr>
          </w:p>
        </w:tc>
      </w:tr>
    </w:tbl>
    <w:p w:rsidR="008251EE" w:rsidRPr="00CF4689" w:rsidP="008251EE" w14:paraId="24AC5525" w14:textId="77777777">
      <w:pPr>
        <w:pStyle w:val="ListParagraph"/>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r w:rsidRPr="00CF4689">
        <w:rPr>
          <w:rFonts w:cstheme="minorHAnsi"/>
        </w:rPr>
        <w:t xml:space="preserve">Third parties who have their own recordkeeping and reporting requirements are QAP providers. All other third parties do work for biointermediate producers and RIN generators as purchased services and the cost is attributed to the party that hires them. Such third parties would include contract engineers to do engineering reviews or independent accountants who perform attest engagements. </w:t>
      </w:r>
    </w:p>
    <w:p w:rsidR="008251EE" w:rsidRPr="00CF4689" w:rsidP="008251EE" w14:paraId="1F394B6A" w14:textId="77777777">
      <w:pPr>
        <w:pStyle w:val="ListParagraph"/>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p>
    <w:p w:rsidR="008251EE" w:rsidRPr="00CF4689" w:rsidP="008251EE" w14:paraId="024B29A9" w14:textId="77777777">
      <w:pPr>
        <w:pStyle w:val="ListParagraph"/>
        <w:numPr>
          <w:ilvl w:val="12"/>
          <w:numId w:val="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r w:rsidRPr="00CF4689">
        <w:rPr>
          <w:rFonts w:cstheme="minorHAnsi"/>
        </w:rPr>
        <w:t xml:space="preserve">The total number of respondents and the non-labor costs (those used in the OMB Inventory for the collection) are as follows: </w:t>
      </w:r>
    </w:p>
    <w:tbl>
      <w:tblPr>
        <w:tblW w:w="4575" w:type="dxa"/>
        <w:tblInd w:w="-10" w:type="dxa"/>
        <w:tblLook w:val="04A0"/>
      </w:tblPr>
      <w:tblGrid>
        <w:gridCol w:w="2340"/>
        <w:gridCol w:w="2235"/>
      </w:tblGrid>
      <w:tr w14:paraId="1206448E" w14:textId="77777777" w:rsidTr="3C1B7F5E">
        <w:tblPrEx>
          <w:tblW w:w="4575" w:type="dxa"/>
          <w:tblInd w:w="-10" w:type="dxa"/>
          <w:tblLook w:val="04A0"/>
        </w:tblPrEx>
        <w:trPr>
          <w:trHeight w:val="300"/>
        </w:trPr>
        <w:tc>
          <w:tcPr>
            <w:tcW w:w="2340" w:type="dxa"/>
            <w:tcBorders>
              <w:top w:val="single" w:sz="8" w:space="0" w:color="auto"/>
              <w:left w:val="single" w:sz="8" w:space="0" w:color="auto"/>
              <w:bottom w:val="nil"/>
              <w:right w:val="nil"/>
            </w:tcBorders>
            <w:shd w:val="clear" w:color="auto" w:fill="auto"/>
            <w:noWrap/>
            <w:vAlign w:val="bottom"/>
            <w:hideMark/>
          </w:tcPr>
          <w:p w:rsidR="008251EE" w:rsidRPr="00CF4689" w:rsidP="0058794F" w14:paraId="1889FB3C" w14:textId="77777777">
            <w:pPr>
              <w:spacing w:after="0" w:line="240" w:lineRule="auto"/>
              <w:rPr>
                <w:rFonts w:eastAsia="Times New Roman" w:cstheme="minorHAnsi"/>
                <w:color w:val="000000"/>
              </w:rPr>
            </w:pPr>
            <w:r w:rsidRPr="00CF4689">
              <w:rPr>
                <w:rFonts w:eastAsia="Times New Roman" w:cstheme="minorHAnsi"/>
                <w:color w:val="000000"/>
              </w:rPr>
              <w:t> </w:t>
            </w:r>
          </w:p>
        </w:tc>
        <w:tc>
          <w:tcPr>
            <w:tcW w:w="2235" w:type="dxa"/>
            <w:tcBorders>
              <w:top w:val="single" w:sz="8" w:space="0" w:color="auto"/>
              <w:left w:val="nil"/>
              <w:bottom w:val="nil"/>
              <w:right w:val="single" w:sz="8" w:space="0" w:color="auto"/>
            </w:tcBorders>
            <w:shd w:val="clear" w:color="auto" w:fill="auto"/>
            <w:noWrap/>
            <w:vAlign w:val="bottom"/>
            <w:hideMark/>
          </w:tcPr>
          <w:p w:rsidR="008251EE" w:rsidRPr="00CF4689" w:rsidP="0058794F" w14:paraId="0077E12E" w14:textId="77777777">
            <w:pPr>
              <w:spacing w:after="0" w:line="240" w:lineRule="auto"/>
              <w:rPr>
                <w:rFonts w:eastAsia="Times New Roman" w:cstheme="minorHAnsi"/>
                <w:color w:val="000000"/>
              </w:rPr>
            </w:pPr>
            <w:r w:rsidRPr="00CF4689">
              <w:rPr>
                <w:rFonts w:eastAsia="Times New Roman" w:cstheme="minorHAnsi"/>
                <w:color w:val="000000"/>
              </w:rPr>
              <w:t> </w:t>
            </w:r>
          </w:p>
        </w:tc>
      </w:tr>
      <w:tr w14:paraId="07721757" w14:textId="77777777" w:rsidTr="3C1B7F5E">
        <w:tblPrEx>
          <w:tblW w:w="4575" w:type="dxa"/>
          <w:tblInd w:w="-10" w:type="dxa"/>
          <w:tblLook w:val="04A0"/>
        </w:tblPrEx>
        <w:trPr>
          <w:trHeight w:val="300"/>
        </w:trPr>
        <w:tc>
          <w:tcPr>
            <w:tcW w:w="4575" w:type="dxa"/>
            <w:gridSpan w:val="2"/>
            <w:tcBorders>
              <w:top w:val="nil"/>
              <w:left w:val="single" w:sz="8" w:space="0" w:color="auto"/>
              <w:bottom w:val="nil"/>
              <w:right w:val="single" w:sz="8" w:space="0" w:color="000000" w:themeColor="text1"/>
            </w:tcBorders>
            <w:shd w:val="clear" w:color="auto" w:fill="FFFFFF" w:themeFill="background1"/>
            <w:noWrap/>
            <w:vAlign w:val="bottom"/>
            <w:hideMark/>
          </w:tcPr>
          <w:p w:rsidR="008251EE" w:rsidRPr="00CF4689" w:rsidP="0058794F" w14:paraId="1580C0D3" w14:textId="77777777">
            <w:pPr>
              <w:spacing w:after="0" w:line="240" w:lineRule="auto"/>
              <w:rPr>
                <w:rFonts w:eastAsia="Times New Roman" w:cstheme="minorHAnsi"/>
              </w:rPr>
            </w:pPr>
            <w:r w:rsidRPr="00CF4689">
              <w:rPr>
                <w:rFonts w:eastAsia="Times New Roman" w:cstheme="minorHAnsi"/>
              </w:rPr>
              <w:t>TOTAL NUMBER of Respondents:</w:t>
            </w:r>
          </w:p>
        </w:tc>
      </w:tr>
      <w:tr w14:paraId="3BFC2460" w14:textId="77777777" w:rsidTr="3C1B7F5E">
        <w:tblPrEx>
          <w:tblW w:w="4575" w:type="dxa"/>
          <w:tblInd w:w="-10" w:type="dxa"/>
          <w:tblLook w:val="04A0"/>
        </w:tblPrEx>
        <w:trPr>
          <w:trHeight w:val="300"/>
        </w:trPr>
        <w:tc>
          <w:tcPr>
            <w:tcW w:w="2340" w:type="dxa"/>
            <w:tcBorders>
              <w:top w:val="nil"/>
              <w:left w:val="single" w:sz="8" w:space="0" w:color="auto"/>
              <w:bottom w:val="nil"/>
              <w:right w:val="nil"/>
            </w:tcBorders>
            <w:shd w:val="clear" w:color="auto" w:fill="FFFFFF" w:themeFill="background1"/>
            <w:noWrap/>
            <w:vAlign w:val="bottom"/>
            <w:hideMark/>
          </w:tcPr>
          <w:p w:rsidR="008251EE" w:rsidRPr="00CF4689" w:rsidP="0058794F" w14:paraId="3EF614AC" w14:textId="77777777">
            <w:pPr>
              <w:spacing w:after="0" w:line="240" w:lineRule="auto"/>
              <w:rPr>
                <w:rFonts w:eastAsia="Times New Roman" w:cstheme="minorHAnsi"/>
              </w:rPr>
            </w:pPr>
            <w:r w:rsidRPr="00CF4689">
              <w:rPr>
                <w:rFonts w:eastAsia="Times New Roman" w:cstheme="minorHAnsi"/>
              </w:rPr>
              <w:t> </w:t>
            </w:r>
          </w:p>
        </w:tc>
        <w:tc>
          <w:tcPr>
            <w:tcW w:w="2235" w:type="dxa"/>
            <w:tcBorders>
              <w:top w:val="nil"/>
              <w:left w:val="nil"/>
              <w:bottom w:val="nil"/>
              <w:right w:val="single" w:sz="8" w:space="0" w:color="auto"/>
            </w:tcBorders>
            <w:shd w:val="clear" w:color="auto" w:fill="FFFFFF" w:themeFill="background1"/>
            <w:noWrap/>
            <w:vAlign w:val="bottom"/>
            <w:hideMark/>
          </w:tcPr>
          <w:p w:rsidR="008251EE" w:rsidRPr="00CF4689" w:rsidP="0058794F" w14:paraId="0183E530" w14:textId="77777777">
            <w:pPr>
              <w:spacing w:after="0" w:line="240" w:lineRule="auto"/>
              <w:rPr>
                <w:rFonts w:eastAsia="Times New Roman" w:cstheme="minorHAnsi"/>
              </w:rPr>
            </w:pPr>
            <w:r w:rsidRPr="00CF4689">
              <w:rPr>
                <w:rFonts w:eastAsia="Times New Roman" w:cstheme="minorHAnsi"/>
              </w:rPr>
              <w:t xml:space="preserve">                                892.00 </w:t>
            </w:r>
          </w:p>
        </w:tc>
      </w:tr>
      <w:tr w14:paraId="199B63F7" w14:textId="77777777" w:rsidTr="3C1B7F5E">
        <w:tblPrEx>
          <w:tblW w:w="4575" w:type="dxa"/>
          <w:tblInd w:w="-10" w:type="dxa"/>
          <w:tblLook w:val="04A0"/>
        </w:tblPrEx>
        <w:trPr>
          <w:trHeight w:val="300"/>
        </w:trPr>
        <w:tc>
          <w:tcPr>
            <w:tcW w:w="4575" w:type="dxa"/>
            <w:gridSpan w:val="2"/>
            <w:tcBorders>
              <w:top w:val="nil"/>
              <w:left w:val="single" w:sz="8" w:space="0" w:color="auto"/>
              <w:bottom w:val="nil"/>
              <w:right w:val="single" w:sz="8" w:space="0" w:color="000000" w:themeColor="text1"/>
            </w:tcBorders>
            <w:shd w:val="clear" w:color="auto" w:fill="D9E1F2"/>
            <w:noWrap/>
            <w:vAlign w:val="bottom"/>
            <w:hideMark/>
          </w:tcPr>
          <w:p w:rsidR="008251EE" w:rsidRPr="00CF4689" w:rsidP="3C1B7F5E" w14:paraId="530C4AB8" w14:textId="77777777">
            <w:pPr>
              <w:spacing w:after="0" w:line="240" w:lineRule="auto"/>
              <w:ind w:left="0" w:firstLine="0"/>
              <w:rPr>
                <w:rFonts w:eastAsia="Times New Roman" w:cstheme="minorHAnsi"/>
              </w:rPr>
            </w:pPr>
            <w:r w:rsidRPr="00CF4689">
              <w:rPr>
                <w:rFonts w:eastAsia="Times New Roman" w:cstheme="minorHAnsi"/>
              </w:rPr>
              <w:t xml:space="preserve">Non-Labor Costs* Only - Used for OMB Inventory: </w:t>
            </w:r>
          </w:p>
        </w:tc>
      </w:tr>
      <w:tr w14:paraId="629476AD" w14:textId="77777777" w:rsidTr="3C1B7F5E">
        <w:tblPrEx>
          <w:tblW w:w="4575" w:type="dxa"/>
          <w:tblInd w:w="-10" w:type="dxa"/>
          <w:tblLook w:val="04A0"/>
        </w:tblPrEx>
        <w:trPr>
          <w:trHeight w:val="300"/>
        </w:trPr>
        <w:tc>
          <w:tcPr>
            <w:tcW w:w="2340" w:type="dxa"/>
            <w:tcBorders>
              <w:top w:val="nil"/>
              <w:left w:val="single" w:sz="8" w:space="0" w:color="auto"/>
              <w:bottom w:val="nil"/>
              <w:right w:val="nil"/>
            </w:tcBorders>
            <w:shd w:val="clear" w:color="auto" w:fill="D9E1F2"/>
            <w:noWrap/>
            <w:vAlign w:val="bottom"/>
            <w:hideMark/>
          </w:tcPr>
          <w:p w:rsidR="008251EE" w:rsidRPr="00CF4689" w:rsidP="0058794F" w14:paraId="7956BC84" w14:textId="77777777">
            <w:pPr>
              <w:spacing w:after="0" w:line="240" w:lineRule="auto"/>
              <w:rPr>
                <w:rFonts w:eastAsia="Times New Roman" w:cstheme="minorHAnsi"/>
              </w:rPr>
            </w:pPr>
            <w:r w:rsidRPr="00CF4689">
              <w:rPr>
                <w:rFonts w:eastAsia="Times New Roman" w:cstheme="minorHAnsi"/>
              </w:rPr>
              <w:t> </w:t>
            </w:r>
          </w:p>
        </w:tc>
        <w:tc>
          <w:tcPr>
            <w:tcW w:w="2235" w:type="dxa"/>
            <w:tcBorders>
              <w:top w:val="nil"/>
              <w:left w:val="nil"/>
              <w:bottom w:val="nil"/>
              <w:right w:val="single" w:sz="8" w:space="0" w:color="auto"/>
            </w:tcBorders>
            <w:shd w:val="clear" w:color="auto" w:fill="D9E1F2"/>
            <w:noWrap/>
            <w:vAlign w:val="bottom"/>
            <w:hideMark/>
          </w:tcPr>
          <w:p w:rsidR="008251EE" w:rsidRPr="00CF4689" w:rsidP="0058794F" w14:paraId="0F8B003A" w14:textId="77777777">
            <w:pPr>
              <w:spacing w:after="0" w:line="240" w:lineRule="auto"/>
              <w:rPr>
                <w:rFonts w:eastAsia="Times New Roman" w:cstheme="minorHAnsi"/>
              </w:rPr>
            </w:pPr>
            <w:r w:rsidRPr="00CF4689">
              <w:rPr>
                <w:rFonts w:eastAsia="Times New Roman" w:cstheme="minorHAnsi"/>
              </w:rPr>
              <w:t xml:space="preserve">                    $2,062,900.00 </w:t>
            </w:r>
          </w:p>
        </w:tc>
      </w:tr>
      <w:tr w14:paraId="3F28637B" w14:textId="77777777" w:rsidTr="3C1B7F5E">
        <w:tblPrEx>
          <w:tblW w:w="4575" w:type="dxa"/>
          <w:tblInd w:w="-10" w:type="dxa"/>
          <w:tblLook w:val="04A0"/>
        </w:tblPrEx>
        <w:trPr>
          <w:trHeight w:val="315"/>
        </w:trPr>
        <w:tc>
          <w:tcPr>
            <w:tcW w:w="2340" w:type="dxa"/>
            <w:tcBorders>
              <w:top w:val="nil"/>
              <w:left w:val="single" w:sz="8" w:space="0" w:color="auto"/>
              <w:bottom w:val="single" w:sz="8" w:space="0" w:color="auto"/>
              <w:right w:val="nil"/>
            </w:tcBorders>
            <w:shd w:val="clear" w:color="auto" w:fill="D9E1F2"/>
            <w:noWrap/>
            <w:vAlign w:val="bottom"/>
            <w:hideMark/>
          </w:tcPr>
          <w:p w:rsidR="008251EE" w:rsidRPr="00CF4689" w:rsidP="0058794F" w14:paraId="7499C13B" w14:textId="77777777">
            <w:pPr>
              <w:spacing w:after="0" w:line="240" w:lineRule="auto"/>
              <w:rPr>
                <w:rFonts w:eastAsia="Times New Roman" w:cstheme="minorHAnsi"/>
              </w:rPr>
            </w:pPr>
            <w:r w:rsidRPr="00CF4689">
              <w:rPr>
                <w:rFonts w:eastAsia="Times New Roman" w:cstheme="minorHAnsi"/>
              </w:rPr>
              <w:t> </w:t>
            </w:r>
          </w:p>
        </w:tc>
        <w:tc>
          <w:tcPr>
            <w:tcW w:w="2235" w:type="dxa"/>
            <w:tcBorders>
              <w:top w:val="nil"/>
              <w:left w:val="nil"/>
              <w:bottom w:val="single" w:sz="8" w:space="0" w:color="auto"/>
              <w:right w:val="single" w:sz="8" w:space="0" w:color="auto"/>
            </w:tcBorders>
            <w:shd w:val="clear" w:color="auto" w:fill="D9E1F2"/>
            <w:noWrap/>
            <w:vAlign w:val="bottom"/>
            <w:hideMark/>
          </w:tcPr>
          <w:p w:rsidR="008251EE" w:rsidRPr="00CF4689" w:rsidP="0058794F" w14:paraId="4996F456" w14:textId="77777777">
            <w:pPr>
              <w:spacing w:after="0" w:line="240" w:lineRule="auto"/>
              <w:rPr>
                <w:rFonts w:eastAsia="Times New Roman" w:cstheme="minorHAnsi"/>
              </w:rPr>
            </w:pPr>
            <w:r w:rsidRPr="00CF4689">
              <w:rPr>
                <w:rFonts w:eastAsia="Times New Roman" w:cstheme="minorHAnsi"/>
              </w:rPr>
              <w:t> </w:t>
            </w:r>
          </w:p>
        </w:tc>
      </w:tr>
    </w:tbl>
    <w:p w:rsidR="008251EE" w:rsidRPr="00CF4689" w:rsidP="008251EE" w14:paraId="0B7D302A" w14:textId="77777777">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8251EE" w:rsidRPr="00CF4689" w:rsidP="00136C32" w14:paraId="5CAD83DD" w14:textId="77777777">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cstheme="minorHAnsi"/>
        </w:rPr>
      </w:pPr>
      <w:r w:rsidRPr="00CF4689">
        <w:rPr>
          <w:rFonts w:cstheme="minorHAnsi"/>
        </w:rPr>
        <w:t xml:space="preserve">All non-labor costs are purchased services. There are no capital and O&amp;M costs. </w:t>
      </w:r>
    </w:p>
    <w:p w:rsidR="008251EE" w:rsidRPr="00CF4689" w:rsidP="3C1B7F5E" w14:paraId="07A88F81" w14:textId="77777777">
      <w:pPr>
        <w:pStyle w:val="ListParagraph"/>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cstheme="minorHAnsi"/>
        </w:rPr>
      </w:pPr>
      <w:r w:rsidRPr="00CF4689">
        <w:rPr>
          <w:rFonts w:cstheme="minorHAnsi"/>
        </w:rPr>
        <w:t>The individual forms with their estimated hourly burden are as follows:</w:t>
      </w:r>
    </w:p>
    <w:tbl>
      <w:tblPr>
        <w:tblStyle w:val="TableGrid"/>
        <w:tblW w:w="0" w:type="auto"/>
        <w:tblInd w:w="355" w:type="dxa"/>
        <w:tblLook w:val="04A0"/>
      </w:tblPr>
      <w:tblGrid>
        <w:gridCol w:w="4277"/>
        <w:gridCol w:w="4628"/>
      </w:tblGrid>
      <w:tr w14:paraId="3426983D" w14:textId="77777777" w:rsidTr="3C1B7F5E">
        <w:tblPrEx>
          <w:tblW w:w="0" w:type="auto"/>
          <w:tblInd w:w="355" w:type="dxa"/>
          <w:tblLook w:val="04A0"/>
        </w:tblPrEx>
        <w:tc>
          <w:tcPr>
            <w:tcW w:w="4277" w:type="dxa"/>
          </w:tcPr>
          <w:p w:rsidR="008251EE" w:rsidRPr="00CF4689" w:rsidP="3C1B7F5E" w14:paraId="6895EFA6"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RFS0107 (5900-631) (Q)</w:t>
            </w:r>
          </w:p>
        </w:tc>
        <w:tc>
          <w:tcPr>
            <w:tcW w:w="4628" w:type="dxa"/>
          </w:tcPr>
          <w:p w:rsidR="008251EE" w:rsidRPr="00CF4689" w:rsidP="3C1B7F5E" w14:paraId="5B179E73"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 xml:space="preserve">4 hours </w:t>
            </w:r>
          </w:p>
        </w:tc>
      </w:tr>
      <w:tr w14:paraId="229AC325" w14:textId="77777777" w:rsidTr="3C1B7F5E">
        <w:tblPrEx>
          <w:tblW w:w="0" w:type="auto"/>
          <w:tblInd w:w="355" w:type="dxa"/>
          <w:tblLook w:val="04A0"/>
        </w:tblPrEx>
        <w:tc>
          <w:tcPr>
            <w:tcW w:w="4277" w:type="dxa"/>
          </w:tcPr>
          <w:p w:rsidR="008251EE" w:rsidRPr="00CF4689" w:rsidP="3C1B7F5E" w14:paraId="47AB3CA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RFS0602 (5900-290) (Q)</w:t>
            </w:r>
          </w:p>
        </w:tc>
        <w:tc>
          <w:tcPr>
            <w:tcW w:w="4628" w:type="dxa"/>
          </w:tcPr>
          <w:p w:rsidR="008251EE" w:rsidRPr="00CF4689" w:rsidP="3C1B7F5E" w14:paraId="0F43442A"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2 hours</w:t>
            </w:r>
          </w:p>
        </w:tc>
      </w:tr>
      <w:tr w14:paraId="521235AD" w14:textId="77777777" w:rsidTr="3C1B7F5E">
        <w:tblPrEx>
          <w:tblW w:w="0" w:type="auto"/>
          <w:tblInd w:w="355" w:type="dxa"/>
          <w:tblLook w:val="04A0"/>
        </w:tblPrEx>
        <w:tc>
          <w:tcPr>
            <w:tcW w:w="4277" w:type="dxa"/>
          </w:tcPr>
          <w:p w:rsidR="008251EE" w:rsidRPr="00CF4689" w:rsidP="3C1B7F5E" w14:paraId="263D2BA6"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RFS0702 (5900-289) (Q)</w:t>
            </w:r>
          </w:p>
        </w:tc>
        <w:tc>
          <w:tcPr>
            <w:tcW w:w="4628" w:type="dxa"/>
          </w:tcPr>
          <w:p w:rsidR="008251EE" w:rsidRPr="00CF4689" w:rsidP="3C1B7F5E" w14:paraId="13C0448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4 hours</w:t>
            </w:r>
          </w:p>
        </w:tc>
      </w:tr>
      <w:tr w14:paraId="34939E6F" w14:textId="77777777" w:rsidTr="3C1B7F5E">
        <w:tblPrEx>
          <w:tblW w:w="0" w:type="auto"/>
          <w:tblInd w:w="355" w:type="dxa"/>
          <w:tblLook w:val="04A0"/>
        </w:tblPrEx>
        <w:tc>
          <w:tcPr>
            <w:tcW w:w="4277" w:type="dxa"/>
          </w:tcPr>
          <w:p w:rsidR="008251EE" w:rsidRPr="00CF4689" w:rsidP="3C1B7F5E" w14:paraId="1FA21BFF"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RFS0801 (5900-293) (Q)</w:t>
            </w:r>
          </w:p>
        </w:tc>
        <w:tc>
          <w:tcPr>
            <w:tcW w:w="4628" w:type="dxa"/>
          </w:tcPr>
          <w:p w:rsidR="008251EE" w:rsidRPr="00CF4689" w:rsidP="3C1B7F5E" w14:paraId="2918B990"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16 hours</w:t>
            </w:r>
          </w:p>
        </w:tc>
      </w:tr>
      <w:tr w14:paraId="31E32697" w14:textId="77777777" w:rsidTr="3C1B7F5E">
        <w:tblPrEx>
          <w:tblW w:w="0" w:type="auto"/>
          <w:tblInd w:w="355" w:type="dxa"/>
          <w:tblLook w:val="04A0"/>
        </w:tblPrEx>
        <w:tc>
          <w:tcPr>
            <w:tcW w:w="4277" w:type="dxa"/>
          </w:tcPr>
          <w:p w:rsidR="008251EE" w:rsidRPr="00CF4689" w:rsidP="3C1B7F5E" w14:paraId="1E31C8FD"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RFS0902 (5900-278) (Q)</w:t>
            </w:r>
          </w:p>
        </w:tc>
        <w:tc>
          <w:tcPr>
            <w:tcW w:w="4628" w:type="dxa"/>
          </w:tcPr>
          <w:p w:rsidR="008251EE" w:rsidRPr="00CF4689" w:rsidP="3C1B7F5E" w14:paraId="76F86261"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1 hour</w:t>
            </w:r>
          </w:p>
        </w:tc>
      </w:tr>
      <w:tr w14:paraId="3E3BC737" w14:textId="77777777" w:rsidTr="3C1B7F5E">
        <w:tblPrEx>
          <w:tblW w:w="0" w:type="auto"/>
          <w:tblInd w:w="355" w:type="dxa"/>
          <w:tblLook w:val="04A0"/>
        </w:tblPrEx>
        <w:tc>
          <w:tcPr>
            <w:tcW w:w="4277" w:type="dxa"/>
          </w:tcPr>
          <w:p w:rsidR="008251EE" w:rsidRPr="00CF4689" w:rsidP="3C1B7F5E" w14:paraId="724C325D"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RFS2001 (5900-633) (A)</w:t>
            </w:r>
          </w:p>
        </w:tc>
        <w:tc>
          <w:tcPr>
            <w:tcW w:w="4628" w:type="dxa"/>
          </w:tcPr>
          <w:p w:rsidR="008251EE" w:rsidRPr="00CF4689" w:rsidP="3C1B7F5E" w14:paraId="70350CDF"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16 hours</w:t>
            </w:r>
          </w:p>
        </w:tc>
      </w:tr>
      <w:tr w14:paraId="75968190" w14:textId="77777777" w:rsidTr="3C1B7F5E">
        <w:tblPrEx>
          <w:tblW w:w="0" w:type="auto"/>
          <w:tblInd w:w="355" w:type="dxa"/>
          <w:tblLook w:val="04A0"/>
        </w:tblPrEx>
        <w:tc>
          <w:tcPr>
            <w:tcW w:w="4277" w:type="dxa"/>
          </w:tcPr>
          <w:p w:rsidR="008251EE" w:rsidRPr="00CF4689" w:rsidP="3C1B7F5E" w14:paraId="16565AB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RFS2101 (5900-634) (A)</w:t>
            </w:r>
          </w:p>
        </w:tc>
        <w:tc>
          <w:tcPr>
            <w:tcW w:w="4628" w:type="dxa"/>
          </w:tcPr>
          <w:p w:rsidR="008251EE" w:rsidRPr="00CF4689" w:rsidP="3C1B7F5E" w14:paraId="09E371EF"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16 hours</w:t>
            </w:r>
          </w:p>
        </w:tc>
      </w:tr>
      <w:tr w14:paraId="6D7F6F85" w14:textId="77777777" w:rsidTr="3C1B7F5E">
        <w:tblPrEx>
          <w:tblW w:w="0" w:type="auto"/>
          <w:tblInd w:w="355" w:type="dxa"/>
          <w:tblLook w:val="04A0"/>
        </w:tblPrEx>
        <w:tc>
          <w:tcPr>
            <w:tcW w:w="4277" w:type="dxa"/>
          </w:tcPr>
          <w:p w:rsidR="008251EE" w:rsidRPr="00CF4689" w:rsidP="3C1B7F5E" w14:paraId="29F563CE"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RFS2201 (5900-635) (A)</w:t>
            </w:r>
          </w:p>
        </w:tc>
        <w:tc>
          <w:tcPr>
            <w:tcW w:w="4628" w:type="dxa"/>
          </w:tcPr>
          <w:p w:rsidR="008251EE" w:rsidRPr="00CF4689" w:rsidP="3C1B7F5E" w14:paraId="46029E4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16 hours</w:t>
            </w:r>
          </w:p>
        </w:tc>
      </w:tr>
      <w:tr w14:paraId="5F940833" w14:textId="77777777" w:rsidTr="3C1B7F5E">
        <w:tblPrEx>
          <w:tblW w:w="0" w:type="auto"/>
          <w:tblInd w:w="355" w:type="dxa"/>
          <w:tblLook w:val="04A0"/>
        </w:tblPrEx>
        <w:tc>
          <w:tcPr>
            <w:tcW w:w="4277" w:type="dxa"/>
          </w:tcPr>
          <w:p w:rsidR="008251EE" w:rsidRPr="00CF4689" w:rsidP="3C1B7F5E" w14:paraId="4CE63E12"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RFS2301 (5900-636) (A)</w:t>
            </w:r>
          </w:p>
        </w:tc>
        <w:tc>
          <w:tcPr>
            <w:tcW w:w="4628" w:type="dxa"/>
          </w:tcPr>
          <w:p w:rsidR="008251EE" w:rsidRPr="00CF4689" w:rsidP="3C1B7F5E" w14:paraId="37E82303"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16 hours</w:t>
            </w:r>
          </w:p>
        </w:tc>
      </w:tr>
      <w:tr w14:paraId="784B1ACE" w14:textId="77777777" w:rsidTr="3C1B7F5E">
        <w:tblPrEx>
          <w:tblW w:w="0" w:type="auto"/>
          <w:tblInd w:w="355" w:type="dxa"/>
          <w:tblLook w:val="04A0"/>
        </w:tblPrEx>
        <w:tc>
          <w:tcPr>
            <w:tcW w:w="4277" w:type="dxa"/>
          </w:tcPr>
          <w:p w:rsidR="008251EE" w:rsidRPr="00CF4689" w:rsidP="3C1B7F5E" w14:paraId="4D0B6BC3"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RFS2400 (5900-361) (A)</w:t>
            </w:r>
          </w:p>
        </w:tc>
        <w:tc>
          <w:tcPr>
            <w:tcW w:w="4628" w:type="dxa"/>
          </w:tcPr>
          <w:p w:rsidR="008251EE" w:rsidRPr="00CF4689" w:rsidP="3C1B7F5E" w14:paraId="4A31EC82"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16 hours</w:t>
            </w:r>
          </w:p>
        </w:tc>
      </w:tr>
      <w:tr w14:paraId="5EBD935D" w14:textId="77777777" w:rsidTr="3C1B7F5E">
        <w:tblPrEx>
          <w:tblW w:w="0" w:type="auto"/>
          <w:tblInd w:w="355" w:type="dxa"/>
          <w:tblLook w:val="04A0"/>
        </w:tblPrEx>
        <w:tc>
          <w:tcPr>
            <w:tcW w:w="4277" w:type="dxa"/>
          </w:tcPr>
          <w:p w:rsidR="008251EE" w:rsidRPr="00CF4689" w:rsidP="3C1B7F5E" w14:paraId="74503A08"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RFS4000 (5900-529) (Q)</w:t>
            </w:r>
          </w:p>
        </w:tc>
        <w:tc>
          <w:tcPr>
            <w:tcW w:w="4628" w:type="dxa"/>
          </w:tcPr>
          <w:p w:rsidR="008251EE" w:rsidRPr="00CF4689" w:rsidP="3C1B7F5E" w14:paraId="44CF4602"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F4689">
              <w:rPr>
                <w:rFonts w:cstheme="minorHAnsi"/>
              </w:rPr>
              <w:t>20 hours</w:t>
            </w:r>
          </w:p>
        </w:tc>
      </w:tr>
    </w:tbl>
    <w:p w:rsidR="008251EE" w:rsidRPr="00CF4689" w:rsidP="008251EE" w14:paraId="29CB526B" w14:textId="77777777">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8251EE" w:rsidRPr="00CF4689" w:rsidP="008251EE" w14:paraId="7825A178" w14:textId="77777777">
      <w:pPr>
        <w:pStyle w:val="ListParagraph"/>
        <w:numPr>
          <w:ilvl w:val="12"/>
          <w:numId w:val="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r w:rsidRPr="00CF4689">
        <w:rPr>
          <w:rFonts w:cstheme="minorHAnsi"/>
        </w:rPr>
        <w:t xml:space="preserve">This collection contains recordkeeping and reporting by methods other than forms. The overall annual burden to respondents for this collection is 27,871 hours. </w:t>
      </w:r>
    </w:p>
    <w:p w:rsidR="00BB2B15" w:rsidRPr="00CF4689"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r w:rsidRPr="00CF4689">
        <w:rPr>
          <w:rFonts w:asciiTheme="minorHAnsi" w:hAnsiTheme="minorHAnsi" w:cstheme="minorHAnsi"/>
          <w:b/>
          <w:bCs/>
          <w:color w:val="000000" w:themeColor="text1"/>
          <w:sz w:val="22"/>
          <w:szCs w:val="22"/>
        </w:rPr>
        <w:t>RESPONDENT CAPITAL AND O&amp;M COSTS</w:t>
      </w:r>
      <w:bookmarkEnd w:id="21"/>
      <w:r w:rsidRPr="00CF4689" w:rsidR="0042474D">
        <w:rPr>
          <w:rFonts w:asciiTheme="minorHAnsi" w:hAnsiTheme="minorHAnsi" w:cstheme="minorHAnsi"/>
          <w:b/>
          <w:bCs/>
          <w:color w:val="000000" w:themeColor="text1"/>
          <w:sz w:val="22"/>
          <w:szCs w:val="22"/>
        </w:rPr>
        <w:t>:</w:t>
      </w:r>
      <w:r w:rsidRPr="00CF4689" w:rsidR="00966210">
        <w:rPr>
          <w:rFonts w:asciiTheme="minorHAnsi" w:hAnsiTheme="minorHAnsi" w:cstheme="minorHAnsi"/>
          <w:b/>
          <w:bCs/>
          <w:sz w:val="22"/>
          <w:szCs w:val="22"/>
        </w:rPr>
        <w:t xml:space="preserve"> </w:t>
      </w:r>
    </w:p>
    <w:p w:rsidR="00F92596" w:rsidRPr="00CF4689" w:rsidP="00940939" w14:paraId="0925DF34" w14:textId="77777777">
      <w:pPr>
        <w:spacing w:line="240" w:lineRule="auto"/>
        <w:ind w:left="0" w:firstLine="0"/>
        <w:jc w:val="both"/>
        <w:rPr>
          <w:rFonts w:cstheme="minorHAnsi"/>
          <w:i/>
          <w:iCs/>
        </w:rPr>
      </w:pPr>
      <w:r w:rsidRPr="00CF4689">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CF4689" w:rsidP="00940939" w14:paraId="7ED5E3E9" w14:textId="6CCD3140">
      <w:pPr>
        <w:spacing w:line="240" w:lineRule="auto"/>
        <w:ind w:left="0" w:firstLine="0"/>
        <w:jc w:val="both"/>
        <w:rPr>
          <w:rFonts w:cstheme="minorHAnsi"/>
          <w:i/>
          <w:iCs/>
        </w:rPr>
      </w:pPr>
      <w:r w:rsidRPr="00CF4689">
        <w:rPr>
          <w:rFonts w:cstheme="minorHAnsi"/>
          <w:i/>
          <w:iCs/>
        </w:rPr>
        <w:t>The cost estimate should be split into two components: (a) a total capital and start-up cost</w:t>
      </w:r>
      <w:r w:rsidRPr="00CF4689" w:rsidR="007A33F6">
        <w:rPr>
          <w:rFonts w:cstheme="minorHAnsi"/>
          <w:i/>
          <w:iCs/>
        </w:rPr>
        <w:t xml:space="preserve"> </w:t>
      </w:r>
      <w:r w:rsidRPr="00CF4689">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CF4689" w:rsidP="00940939" w14:paraId="761690A4" w14:textId="4D4ED057">
      <w:pPr>
        <w:spacing w:line="240" w:lineRule="auto"/>
        <w:ind w:left="0" w:firstLine="0"/>
        <w:jc w:val="both"/>
        <w:rPr>
          <w:rFonts w:cstheme="minorHAnsi"/>
          <w:i/>
          <w:iCs/>
        </w:rPr>
      </w:pPr>
      <w:r w:rsidRPr="00CF4689">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CF4689" w:rsidP="00940939" w14:paraId="577731C5" w14:textId="77777777">
      <w:pPr>
        <w:pBdr>
          <w:bottom w:val="single" w:sz="4" w:space="1" w:color="auto"/>
        </w:pBdr>
        <w:spacing w:line="240" w:lineRule="auto"/>
        <w:ind w:left="0" w:firstLine="0"/>
        <w:jc w:val="both"/>
        <w:rPr>
          <w:rFonts w:cstheme="minorHAnsi"/>
          <w:i/>
          <w:iCs/>
        </w:rPr>
      </w:pPr>
      <w:r w:rsidRPr="00CF4689">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CF4689" w:rsidP="3C1B7F5E" w14:paraId="678BA42F" w14:textId="3CCB4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r w:rsidRPr="00CF4689">
        <w:rPr>
          <w:rFonts w:cstheme="minorHAnsi"/>
        </w:rPr>
        <w:t xml:space="preserve">Of the total, non-labor cost burden of $2,062,900.00, the full amount is purchased services and $0 is capital/O&amp;M. </w:t>
      </w:r>
    </w:p>
    <w:p w:rsidR="00023EFE" w:rsidRPr="00CF4689" w:rsidP="3C1B7F5E" w14:paraId="7D2BF7DE" w14:textId="16E742D0">
      <w:pPr>
        <w:pStyle w:val="Heading1"/>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2" w:name="_Toc156593387"/>
      <w:r w:rsidRPr="00CF4689">
        <w:rPr>
          <w:rFonts w:asciiTheme="minorHAnsi" w:hAnsiTheme="minorHAnsi" w:cstheme="minorHAnsi"/>
          <w:b/>
          <w:bCs/>
          <w:color w:val="000000" w:themeColor="text1"/>
          <w:sz w:val="22"/>
          <w:szCs w:val="22"/>
        </w:rPr>
        <w:t xml:space="preserve">AGENCY </w:t>
      </w:r>
      <w:bookmarkStart w:id="23" w:name="_Toc156593388"/>
      <w:bookmarkEnd w:id="22"/>
      <w:r w:rsidRPr="00CF4689">
        <w:rPr>
          <w:rFonts w:asciiTheme="minorHAnsi" w:hAnsiTheme="minorHAnsi" w:cstheme="minorHAnsi"/>
          <w:b/>
          <w:bCs/>
          <w:color w:val="000000" w:themeColor="text1"/>
          <w:sz w:val="22"/>
          <w:szCs w:val="22"/>
        </w:rPr>
        <w:t>COSTS</w:t>
      </w:r>
      <w:r w:rsidRPr="00CF4689" w:rsidR="007A33F6">
        <w:rPr>
          <w:rFonts w:asciiTheme="minorHAnsi" w:hAnsiTheme="minorHAnsi" w:cstheme="minorHAnsi"/>
          <w:b/>
          <w:bCs/>
          <w:color w:val="000000" w:themeColor="text1"/>
          <w:sz w:val="22"/>
          <w:szCs w:val="22"/>
        </w:rPr>
        <w:t>:</w:t>
      </w:r>
    </w:p>
    <w:p w:rsidR="001F0834" w:rsidRPr="00CF4689" w:rsidP="3C1B7F5E" w14:paraId="3D696CEA" w14:textId="77777777">
      <w:pPr>
        <w:keepNext/>
        <w:widowControl w:val="0"/>
        <w:pBdr>
          <w:bottom w:val="single" w:sz="4" w:space="1" w:color="auto"/>
        </w:pBdr>
        <w:spacing w:line="240" w:lineRule="auto"/>
        <w:ind w:left="0" w:firstLine="0"/>
        <w:jc w:val="both"/>
        <w:rPr>
          <w:rFonts w:cstheme="minorHAnsi"/>
          <w:i/>
          <w:iCs/>
        </w:rPr>
      </w:pPr>
      <w:r w:rsidRPr="00CF4689">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CF4689" w:rsidP="00940939" w14:paraId="1D8BBDEC" w14:textId="7D3333D9">
      <w:pPr>
        <w:pStyle w:val="Heading2"/>
        <w:keepNext w:val="0"/>
        <w:spacing w:before="0" w:after="160"/>
        <w:ind w:left="0" w:firstLine="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 xml:space="preserve">14a. </w:t>
      </w:r>
      <w:r w:rsidRPr="00CF4689" w:rsidR="00BB2B15">
        <w:rPr>
          <w:rFonts w:asciiTheme="minorHAnsi" w:hAnsiTheme="minorHAnsi" w:cstheme="minorHAnsi"/>
          <w:b/>
          <w:bCs/>
          <w:color w:val="000000" w:themeColor="text1"/>
          <w:sz w:val="22"/>
          <w:szCs w:val="22"/>
        </w:rPr>
        <w:t>Agency Activities</w:t>
      </w:r>
    </w:p>
    <w:p w:rsidR="009F1E00" w:rsidRPr="00CF4689" w:rsidP="3C1B7F5E" w14:paraId="06060BC0" w14:textId="17F0E246">
      <w:pPr>
        <w:spacing w:line="259" w:lineRule="auto"/>
        <w:ind w:left="360" w:firstLine="0"/>
        <w:rPr>
          <w:rFonts w:cstheme="minorHAnsi"/>
        </w:rPr>
      </w:pPr>
      <w:r w:rsidRPr="00CF4689">
        <w:rPr>
          <w:rFonts w:cstheme="minorHAnsi"/>
        </w:rPr>
        <w:t>The EPA generate</w:t>
      </w:r>
      <w:r w:rsidRPr="00CF4689" w:rsidR="6C8EDA47">
        <w:rPr>
          <w:rFonts w:cstheme="minorHAnsi"/>
        </w:rPr>
        <w:t>s</w:t>
      </w:r>
      <w:r w:rsidRPr="00CF4689">
        <w:rPr>
          <w:rFonts w:cstheme="minorHAnsi"/>
        </w:rPr>
        <w:t xml:space="preserve"> company and facility registration number(s) for new registrants and notify them of these numbers, which would appear on reports. EPA </w:t>
      </w:r>
      <w:r w:rsidRPr="00CF4689" w:rsidR="54CE9EE1">
        <w:rPr>
          <w:rFonts w:cstheme="minorHAnsi"/>
        </w:rPr>
        <w:t>a</w:t>
      </w:r>
      <w:r w:rsidRPr="00CF4689">
        <w:rPr>
          <w:rFonts w:cstheme="minorHAnsi"/>
        </w:rPr>
        <w:t>lso process</w:t>
      </w:r>
      <w:r w:rsidRPr="00CF4689" w:rsidR="2ABE3CB1">
        <w:rPr>
          <w:rFonts w:cstheme="minorHAnsi"/>
        </w:rPr>
        <w:t>es</w:t>
      </w:r>
      <w:r w:rsidRPr="00CF4689">
        <w:rPr>
          <w:rFonts w:cstheme="minorHAnsi"/>
        </w:rPr>
        <w:t xml:space="preserve"> pathway applications and examine</w:t>
      </w:r>
      <w:r w:rsidRPr="00CF4689" w:rsidR="3127F536">
        <w:rPr>
          <w:rFonts w:cstheme="minorHAnsi"/>
        </w:rPr>
        <w:t>s</w:t>
      </w:r>
      <w:r w:rsidRPr="00CF4689">
        <w:rPr>
          <w:rFonts w:cstheme="minorHAnsi"/>
        </w:rPr>
        <w:t xml:space="preserve"> registration materials, such as engineering reviews. </w:t>
      </w:r>
      <w:r w:rsidRPr="00CF4689" w:rsidR="5E070E77">
        <w:rPr>
          <w:rFonts w:cstheme="minorHAnsi"/>
        </w:rPr>
        <w:t>Report formats and instructions/</w:t>
      </w:r>
      <w:r w:rsidRPr="00CF4689" w:rsidR="120A8F10">
        <w:rPr>
          <w:rFonts w:cstheme="minorHAnsi"/>
        </w:rPr>
        <w:t xml:space="preserve"> </w:t>
      </w:r>
      <w:r w:rsidRPr="00CF4689" w:rsidR="5E070E77">
        <w:rPr>
          <w:rFonts w:cstheme="minorHAnsi"/>
        </w:rPr>
        <w:t xml:space="preserve">guidance are maintained by EPA personnel. Reports </w:t>
      </w:r>
      <w:r w:rsidRPr="00CF4689" w:rsidR="4EFC8BB8">
        <w:rPr>
          <w:rFonts w:cstheme="minorHAnsi"/>
        </w:rPr>
        <w:t>are</w:t>
      </w:r>
      <w:r w:rsidRPr="00CF4689" w:rsidR="5E070E77">
        <w:rPr>
          <w:rFonts w:cstheme="minorHAnsi"/>
        </w:rPr>
        <w:t xml:space="preserve"> processed by contractors and </w:t>
      </w:r>
      <w:r w:rsidRPr="00CF4689" w:rsidR="61990814">
        <w:rPr>
          <w:rFonts w:cstheme="minorHAnsi"/>
        </w:rPr>
        <w:t>are</w:t>
      </w:r>
      <w:r w:rsidRPr="00CF4689" w:rsidR="5E070E77">
        <w:rPr>
          <w:rFonts w:cstheme="minorHAnsi"/>
        </w:rPr>
        <w:t xml:space="preserve"> reviewed by EPA personnel using automated processes to the greatest extent practical. Reporting parties </w:t>
      </w:r>
      <w:r w:rsidRPr="00CF4689" w:rsidR="7F068587">
        <w:rPr>
          <w:rFonts w:cstheme="minorHAnsi"/>
        </w:rPr>
        <w:t>are</w:t>
      </w:r>
      <w:r w:rsidRPr="00CF4689" w:rsidR="5E070E77">
        <w:rPr>
          <w:rFonts w:cstheme="minorHAnsi"/>
        </w:rPr>
        <w:t xml:space="preserve"> contacted if there is a problem with their submission. </w:t>
      </w:r>
    </w:p>
    <w:p w:rsidR="009F1E00" w:rsidRPr="00CF4689" w:rsidP="3C1B7F5E" w14:paraId="647FDC77" w14:textId="3C8715AF">
      <w:pPr>
        <w:spacing w:line="259" w:lineRule="auto"/>
        <w:ind w:left="360" w:firstLine="0"/>
        <w:rPr>
          <w:rFonts w:cstheme="minorHAnsi"/>
        </w:rPr>
      </w:pPr>
      <w:r w:rsidRPr="00CF4689">
        <w:rPr>
          <w:rFonts w:cstheme="minorHAnsi"/>
        </w:rPr>
        <w:t>Note that these</w:t>
      </w:r>
      <w:r w:rsidRPr="00CF4689" w:rsidR="48E02904">
        <w:rPr>
          <w:rFonts w:cstheme="minorHAnsi"/>
        </w:rPr>
        <w:t xml:space="preserve"> activities are already accounted for under the ICR related to the general collection related to RFS, which bears OMB Control No. 2060-0725 (expiring November 30, 2025). </w:t>
      </w:r>
    </w:p>
    <w:p w:rsidR="00023EFE" w:rsidRPr="00CF4689" w:rsidP="00940939" w14:paraId="30F74537" w14:textId="36750968">
      <w:pPr>
        <w:pStyle w:val="Heading2"/>
        <w:keepNext w:val="0"/>
        <w:spacing w:before="0" w:after="160"/>
        <w:ind w:left="0" w:firstLine="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 xml:space="preserve">14b. </w:t>
      </w:r>
      <w:r w:rsidRPr="00CF4689" w:rsidR="00BB2B15">
        <w:rPr>
          <w:rFonts w:asciiTheme="minorHAnsi" w:hAnsiTheme="minorHAnsi" w:cstheme="minorHAnsi"/>
          <w:b/>
          <w:bCs/>
          <w:color w:val="000000" w:themeColor="text1"/>
          <w:sz w:val="22"/>
          <w:szCs w:val="22"/>
        </w:rPr>
        <w:t xml:space="preserve">Agency </w:t>
      </w:r>
      <w:r w:rsidRPr="00CF4689" w:rsidR="00C60F1B">
        <w:rPr>
          <w:rFonts w:asciiTheme="minorHAnsi" w:hAnsiTheme="minorHAnsi" w:cstheme="minorHAnsi"/>
          <w:b/>
          <w:bCs/>
          <w:color w:val="000000" w:themeColor="text1"/>
          <w:sz w:val="22"/>
          <w:szCs w:val="22"/>
        </w:rPr>
        <w:t xml:space="preserve">Burden and </w:t>
      </w:r>
      <w:r w:rsidRPr="00CF4689" w:rsidR="00BB2B15">
        <w:rPr>
          <w:rFonts w:asciiTheme="minorHAnsi" w:hAnsiTheme="minorHAnsi" w:cstheme="minorHAnsi"/>
          <w:b/>
          <w:bCs/>
          <w:color w:val="000000" w:themeColor="text1"/>
          <w:sz w:val="22"/>
          <w:szCs w:val="22"/>
        </w:rPr>
        <w:t>Labor Cost</w:t>
      </w:r>
    </w:p>
    <w:p w:rsidR="3CF93D47" w:rsidRPr="00CF4689" w:rsidP="3C1B7F5E" w14:paraId="1CBB6B2C" w14:textId="05B51351">
      <w:pPr>
        <w:spacing w:line="259" w:lineRule="auto"/>
        <w:ind w:left="360" w:firstLine="0"/>
        <w:rPr>
          <w:rFonts w:cstheme="minorHAnsi"/>
        </w:rPr>
      </w:pPr>
      <w:r w:rsidRPr="00CF4689">
        <w:rPr>
          <w:rFonts w:cstheme="minorHAnsi"/>
        </w:rPr>
        <w:t>The costs associated with the initial ICR, namely the costs needed to include biointermediates, when staff and contractors were making necessary changes to materials and systems, should not continue into this renewal.</w:t>
      </w:r>
      <w:r w:rsidRPr="00CF4689" w:rsidR="20E42E89">
        <w:rPr>
          <w:rFonts w:cstheme="minorHAnsi"/>
        </w:rPr>
        <w:t xml:space="preserve">  </w:t>
      </w:r>
      <w:r w:rsidRPr="00CF4689" w:rsidR="20E42E89">
        <w:rPr>
          <w:rFonts w:cstheme="minorHAnsi"/>
        </w:rPr>
        <w:t>Therefore;</w:t>
      </w:r>
      <w:r w:rsidRPr="00CF4689" w:rsidR="20E42E89">
        <w:rPr>
          <w:rFonts w:cstheme="minorHAnsi"/>
        </w:rPr>
        <w:t xml:space="preserve"> Agency Burden and Labor costs are reported here as zero.</w:t>
      </w:r>
    </w:p>
    <w:p w:rsidR="00434E78" w:rsidRPr="00CF4689" w:rsidP="00434E78" w14:paraId="01724E3A" w14:textId="44AAC155">
      <w:pPr>
        <w:pStyle w:val="Heading2"/>
        <w:keepNext w:val="0"/>
        <w:spacing w:before="0" w:after="160"/>
        <w:ind w:left="0" w:firstLine="0"/>
        <w:rPr>
          <w:rFonts w:asciiTheme="minorHAnsi" w:hAnsiTheme="minorHAnsi" w:cstheme="minorHAnsi"/>
          <w:b/>
          <w:bCs/>
          <w:color w:val="000000" w:themeColor="text1"/>
          <w:sz w:val="22"/>
          <w:szCs w:val="22"/>
        </w:rPr>
      </w:pPr>
      <w:r w:rsidRPr="00CF4689">
        <w:rPr>
          <w:rFonts w:asciiTheme="minorHAnsi" w:hAnsiTheme="minorHAnsi" w:cstheme="minorHAnsi"/>
          <w:b/>
          <w:bCs/>
          <w:color w:val="000000" w:themeColor="text1"/>
          <w:sz w:val="22"/>
          <w:szCs w:val="22"/>
        </w:rPr>
        <w:t xml:space="preserve">14c. </w:t>
      </w:r>
      <w:r w:rsidRPr="00CF4689" w:rsidR="00D17BB9">
        <w:rPr>
          <w:rFonts w:asciiTheme="minorHAnsi" w:hAnsiTheme="minorHAnsi" w:cstheme="minorHAnsi"/>
          <w:b/>
          <w:bCs/>
          <w:color w:val="000000" w:themeColor="text1"/>
          <w:sz w:val="22"/>
          <w:szCs w:val="22"/>
        </w:rPr>
        <w:t>Agency Non-Labor Costs</w:t>
      </w:r>
    </w:p>
    <w:p w:rsidR="191BF4A9" w:rsidRPr="00CF4689" w:rsidP="3C1B7F5E" w14:paraId="395CFD85" w14:textId="6B960C23">
      <w:pPr>
        <w:spacing w:line="240" w:lineRule="auto"/>
        <w:ind w:left="360" w:firstLine="0"/>
        <w:rPr>
          <w:rFonts w:cstheme="minorHAnsi"/>
        </w:rPr>
      </w:pPr>
      <w:r w:rsidRPr="00CF4689">
        <w:rPr>
          <w:rFonts w:cstheme="minorHAnsi"/>
        </w:rPr>
        <w:t>Since we are using CDX, some costs incurred by the EPA will be tied to the number of registrants who send us reports. As with other costs, the subscription cost is already accounted for in the general collection for RFS, which bears OMB Control No. 2060-0725 (expiring November 30, 2025).  However, because there is an annual "subscription cost" associated with the use of CDX that is passed on to the EPA program office, and we may register new parties using biointermediates and receipt reports from them, we estimate that such activity may result in an increase of $2,000 for CDX.</w:t>
      </w:r>
    </w:p>
    <w:p w:rsidR="00434E78" w:rsidRPr="00CF4689"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CF4689">
        <w:rPr>
          <w:rFonts w:asciiTheme="minorHAnsi" w:hAnsiTheme="minorHAnsi" w:cstheme="minorHAnsi"/>
          <w:b/>
          <w:bCs/>
          <w:color w:val="000000" w:themeColor="text1"/>
          <w:sz w:val="22"/>
          <w:szCs w:val="22"/>
        </w:rPr>
        <w:t>14d. Agency Total Costs</w:t>
      </w:r>
    </w:p>
    <w:p w:rsidR="00434E78" w:rsidRPr="00CF4689" w:rsidP="3C1B7F5E" w14:paraId="007E6F37" w14:textId="5E9EB518">
      <w:pPr>
        <w:spacing w:line="240" w:lineRule="auto"/>
        <w:ind w:left="360" w:firstLine="0"/>
        <w:rPr>
          <w:rFonts w:cstheme="minorHAnsi"/>
        </w:rPr>
      </w:pPr>
      <w:r w:rsidRPr="00CF4689">
        <w:rPr>
          <w:rFonts w:cstheme="minorHAnsi"/>
        </w:rPr>
        <w:t>As noted above</w:t>
      </w:r>
      <w:r w:rsidRPr="00CF4689" w:rsidR="3EFC2C02">
        <w:rPr>
          <w:rFonts w:cstheme="minorHAnsi"/>
        </w:rPr>
        <w:t xml:space="preserve"> activities are already accounted for under </w:t>
      </w:r>
      <w:r w:rsidRPr="00CF4689" w:rsidR="5FFCF977">
        <w:rPr>
          <w:rFonts w:cstheme="minorHAnsi"/>
        </w:rPr>
        <w:t xml:space="preserve">the ICR related to the general collection related to RFS, which bears OMB Control No. 2060-0725 (expiring November 30, 2025). </w:t>
      </w:r>
    </w:p>
    <w:p w:rsidR="00434E78" w:rsidRPr="00CF4689" w:rsidP="3C1B7F5E" w14:paraId="2BE133DD" w14:textId="417DA27D">
      <w:pPr>
        <w:spacing w:line="240" w:lineRule="auto"/>
        <w:ind w:left="360" w:firstLine="0"/>
        <w:rPr>
          <w:rFonts w:cstheme="minorHAnsi"/>
        </w:rPr>
      </w:pPr>
      <w:r w:rsidRPr="00CF4689">
        <w:rPr>
          <w:rFonts w:cstheme="minorHAnsi"/>
        </w:rPr>
        <w:t xml:space="preserve">Accordingly, only the Agency Non-Labor costs </w:t>
      </w:r>
      <w:r w:rsidRPr="00CF4689" w:rsidR="5DF54D79">
        <w:rPr>
          <w:rFonts w:cstheme="minorHAnsi"/>
        </w:rPr>
        <w:t xml:space="preserve">stated above, </w:t>
      </w:r>
      <w:r w:rsidRPr="00CF4689" w:rsidR="63E1BE4D">
        <w:rPr>
          <w:rFonts w:cstheme="minorHAnsi"/>
        </w:rPr>
        <w:t>those associated with us</w:t>
      </w:r>
      <w:r w:rsidRPr="00CF4689" w:rsidR="003971A6">
        <w:rPr>
          <w:rFonts w:cstheme="minorHAnsi"/>
        </w:rPr>
        <w:t xml:space="preserve">ing CDX, </w:t>
      </w:r>
      <w:r w:rsidRPr="00CF4689" w:rsidR="1D853E28">
        <w:rPr>
          <w:rFonts w:cstheme="minorHAnsi"/>
        </w:rPr>
        <w:t>factor into the total cost.  T</w:t>
      </w:r>
      <w:r w:rsidRPr="00CF4689" w:rsidR="003971A6">
        <w:rPr>
          <w:rFonts w:cstheme="minorHAnsi"/>
        </w:rPr>
        <w:t xml:space="preserve">he subscription cost is already accounted for in the general collection for RFS, which bears OMB Control No. 2060-0725 (expiring November 30, 2025).  </w:t>
      </w:r>
      <w:r w:rsidRPr="00CF4689" w:rsidR="085F999B">
        <w:rPr>
          <w:rFonts w:cstheme="minorHAnsi"/>
        </w:rPr>
        <w:t xml:space="preserve">The impact of </w:t>
      </w:r>
      <w:r w:rsidRPr="00CF4689" w:rsidR="013FB62C">
        <w:rPr>
          <w:rFonts w:cstheme="minorHAnsi"/>
        </w:rPr>
        <w:t xml:space="preserve">renewal of </w:t>
      </w:r>
      <w:r w:rsidRPr="00CF4689" w:rsidR="085F999B">
        <w:rPr>
          <w:rFonts w:cstheme="minorHAnsi"/>
        </w:rPr>
        <w:t xml:space="preserve">this ICR on the </w:t>
      </w:r>
      <w:r w:rsidRPr="00CF4689" w:rsidR="003971A6">
        <w:rPr>
          <w:rFonts w:cstheme="minorHAnsi"/>
        </w:rPr>
        <w:t>annual "subscription cost" associated with the use of CDX</w:t>
      </w:r>
      <w:r w:rsidRPr="00CF4689" w:rsidR="07CCB88A">
        <w:rPr>
          <w:rFonts w:cstheme="minorHAnsi"/>
        </w:rPr>
        <w:t xml:space="preserve"> may </w:t>
      </w:r>
      <w:r w:rsidRPr="00CF4689" w:rsidR="2A53226A">
        <w:rPr>
          <w:rFonts w:cstheme="minorHAnsi"/>
        </w:rPr>
        <w:t xml:space="preserve">contribute to </w:t>
      </w:r>
      <w:r w:rsidRPr="00CF4689" w:rsidR="07CCB88A">
        <w:rPr>
          <w:rFonts w:cstheme="minorHAnsi"/>
        </w:rPr>
        <w:t xml:space="preserve">an increase of </w:t>
      </w:r>
      <w:r w:rsidRPr="00CF4689" w:rsidR="003971A6">
        <w:rPr>
          <w:rFonts w:cstheme="minorHAnsi"/>
        </w:rPr>
        <w:t>$2,000 for CDX</w:t>
      </w:r>
      <w:r w:rsidRPr="00CF4689" w:rsidR="00260F45">
        <w:rPr>
          <w:rFonts w:cstheme="minorHAnsi"/>
        </w:rPr>
        <w:t>.</w:t>
      </w:r>
    </w:p>
    <w:p w:rsidR="004620CA" w:rsidRPr="00CF4689"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CHANGE IN BURDEN</w:t>
      </w:r>
      <w:bookmarkEnd w:id="23"/>
      <w:r w:rsidRPr="00CF4689" w:rsidR="00EF46E9">
        <w:rPr>
          <w:rFonts w:asciiTheme="minorHAnsi" w:hAnsiTheme="minorHAnsi" w:cstheme="minorHAnsi"/>
          <w:b/>
          <w:bCs/>
          <w:color w:val="000000" w:themeColor="text1"/>
          <w:sz w:val="22"/>
          <w:szCs w:val="22"/>
        </w:rPr>
        <w:t>:</w:t>
      </w:r>
    </w:p>
    <w:p w:rsidR="001F0834" w:rsidRPr="00CF4689" w:rsidP="00940939" w14:paraId="567B01FE" w14:textId="77777777">
      <w:pPr>
        <w:pBdr>
          <w:bottom w:val="single" w:sz="4" w:space="1" w:color="auto"/>
        </w:pBdr>
        <w:spacing w:line="240" w:lineRule="auto"/>
        <w:ind w:left="0" w:firstLine="0"/>
        <w:jc w:val="both"/>
        <w:rPr>
          <w:rFonts w:cstheme="minorHAnsi"/>
          <w:i/>
          <w:iCs/>
        </w:rPr>
      </w:pPr>
      <w:r w:rsidRPr="00CF4689">
        <w:rPr>
          <w:rFonts w:cstheme="minorHAnsi"/>
          <w:i/>
          <w:iCs/>
        </w:rPr>
        <w:t>Explain the reasons for any program changes or adjustments reported in the burden or capital/O&amp;M cost estimates.</w:t>
      </w:r>
    </w:p>
    <w:p w:rsidR="00841BC4" w:rsidRPr="00CF4689" w:rsidP="3C1B7F5E" w14:paraId="47E3EE91" w14:textId="32C216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ind w:left="360" w:firstLine="0"/>
        <w:rPr>
          <w:rFonts w:cstheme="minorHAnsi"/>
          <w:sz w:val="24"/>
          <w:szCs w:val="24"/>
        </w:rPr>
      </w:pPr>
      <w:r w:rsidRPr="00CF4689">
        <w:rPr>
          <w:rFonts w:cstheme="minorHAnsi"/>
          <w:sz w:val="24"/>
          <w:szCs w:val="24"/>
        </w:rPr>
        <w:t xml:space="preserve">There is a decrease of 139,514 hours in the total estimated respondent burden compared with the ICR currently approved by OMB. This decrease is due to far fewer parties who </w:t>
      </w:r>
      <w:r w:rsidRPr="00CF4689">
        <w:rPr>
          <w:rFonts w:cstheme="minorHAnsi"/>
          <w:sz w:val="24"/>
          <w:szCs w:val="24"/>
        </w:rPr>
        <w:t>actually registered</w:t>
      </w:r>
      <w:r w:rsidRPr="00CF4689">
        <w:rPr>
          <w:rFonts w:cstheme="minorHAnsi"/>
          <w:sz w:val="24"/>
          <w:szCs w:val="24"/>
        </w:rPr>
        <w:t xml:space="preserve"> as biointermediate producers than the original estimates anticipated as a potential upper limit. Since the initial estimates were made, we now know that very few parties (far fewer than 10) have registered as biointermediate producers, although we anticipated as many as 60 might register at the start of the program. Similarly, we now know from registrations that very few parties (far fewer than 10) have registered as RIN generators related to biointermediates, although we anticipated as many as 90 at the start. We have readjusted our estimates to reflect the reality of participation in the first three years of this ICR. Because we may receive new pathways applications, we have considered that new respondents may become subject to the regulations and recordkeeping and reporting under them. We have adjusted the expectations, and the estimates, to reflect what we have learned in actual practice during the first three years of this collection.</w:t>
      </w:r>
    </w:p>
    <w:p w:rsidR="00841BC4" w:rsidRPr="00CF4689" w:rsidP="00841BC4" w14:paraId="0E4400D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b/>
          <w:bCs/>
        </w:rPr>
      </w:pPr>
    </w:p>
    <w:p w:rsidR="00ED57A4" w:rsidRPr="00CF4689" w:rsidP="002943D2" w14:paraId="18F76AB6" w14:textId="71748437">
      <w:pPr>
        <w:spacing w:line="259" w:lineRule="auto"/>
        <w:ind w:left="0" w:firstLine="0"/>
        <w:rPr>
          <w:rFonts w:cstheme="minorHAnsi"/>
        </w:rPr>
      </w:pPr>
    </w:p>
    <w:p w:rsidR="005D140B" w:rsidRPr="00CF4689"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89"/>
      <w:r w:rsidRPr="00CF4689">
        <w:rPr>
          <w:rFonts w:asciiTheme="minorHAnsi" w:hAnsiTheme="minorHAnsi" w:cstheme="minorHAnsi"/>
          <w:b/>
          <w:bCs/>
          <w:color w:val="000000" w:themeColor="text1"/>
          <w:sz w:val="22"/>
          <w:szCs w:val="22"/>
        </w:rPr>
        <w:t>PUBLICATION OF DATA</w:t>
      </w:r>
      <w:bookmarkStart w:id="25" w:name="_Toc156593390"/>
      <w:bookmarkEnd w:id="24"/>
      <w:r w:rsidRPr="00CF4689" w:rsidR="00EF46E9">
        <w:rPr>
          <w:rFonts w:asciiTheme="minorHAnsi" w:hAnsiTheme="minorHAnsi" w:cstheme="minorHAnsi"/>
          <w:b/>
          <w:bCs/>
          <w:color w:val="000000" w:themeColor="text1"/>
          <w:sz w:val="22"/>
          <w:szCs w:val="22"/>
        </w:rPr>
        <w:t>:</w:t>
      </w:r>
    </w:p>
    <w:p w:rsidR="001F0834" w:rsidRPr="00CF4689" w:rsidP="00940939" w14:paraId="21A4F990" w14:textId="3CA04715">
      <w:pPr>
        <w:pBdr>
          <w:bottom w:val="single" w:sz="4" w:space="1" w:color="auto"/>
        </w:pBdr>
        <w:spacing w:line="240" w:lineRule="auto"/>
        <w:ind w:left="0" w:firstLine="0"/>
        <w:jc w:val="both"/>
        <w:rPr>
          <w:rFonts w:cstheme="minorHAnsi"/>
          <w:i/>
          <w:iCs/>
        </w:rPr>
      </w:pPr>
      <w:r w:rsidRPr="00CF4689">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CF4689" w:rsidP="3C1B7F5E" w14:paraId="5CBE5491" w14:textId="547E7A12">
      <w:pPr>
        <w:spacing w:line="259" w:lineRule="auto"/>
        <w:ind w:left="360" w:firstLine="0"/>
        <w:rPr>
          <w:rFonts w:cstheme="minorHAnsi"/>
        </w:rPr>
      </w:pPr>
      <w:r w:rsidRPr="00CF4689">
        <w:rPr>
          <w:rFonts w:cstheme="minorHAnsi"/>
        </w:rPr>
        <w:t xml:space="preserve">Not applicable. </w:t>
      </w:r>
      <w:r w:rsidRPr="00CF4689">
        <w:rPr>
          <w:rFonts w:cstheme="minorHAnsi"/>
        </w:rPr>
        <w:br/>
      </w:r>
    </w:p>
    <w:p w:rsidR="00627768" w:rsidRPr="00CF4689"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CF4689">
        <w:rPr>
          <w:rFonts w:asciiTheme="minorHAnsi" w:hAnsiTheme="minorHAnsi" w:cstheme="minorHAnsi"/>
          <w:b/>
          <w:bCs/>
          <w:color w:val="000000" w:themeColor="text1"/>
          <w:sz w:val="22"/>
          <w:szCs w:val="22"/>
        </w:rPr>
        <w:t>DISPLAY OF OMB CONTROL NUMBER AND EXPIRATION DATE ON INSTRUMENTS</w:t>
      </w:r>
      <w:bookmarkEnd w:id="25"/>
      <w:r w:rsidRPr="00CF4689" w:rsidR="00EF46E9">
        <w:rPr>
          <w:rFonts w:asciiTheme="minorHAnsi" w:hAnsiTheme="minorHAnsi" w:cstheme="minorHAnsi"/>
          <w:b/>
          <w:bCs/>
          <w:color w:val="000000" w:themeColor="text1"/>
          <w:sz w:val="22"/>
          <w:szCs w:val="22"/>
        </w:rPr>
        <w:t>:</w:t>
      </w:r>
      <w:r w:rsidRPr="00CF4689" w:rsidR="00644EBE">
        <w:rPr>
          <w:rFonts w:asciiTheme="minorHAnsi" w:hAnsiTheme="minorHAnsi" w:cstheme="minorHAnsi"/>
          <w:b/>
          <w:bCs/>
          <w:sz w:val="22"/>
          <w:szCs w:val="22"/>
        </w:rPr>
        <w:t xml:space="preserve"> </w:t>
      </w:r>
    </w:p>
    <w:p w:rsidR="001F0834" w:rsidRPr="00CF4689" w:rsidP="00940939" w14:paraId="23256265" w14:textId="77777777">
      <w:pPr>
        <w:pBdr>
          <w:bottom w:val="single" w:sz="4" w:space="1" w:color="auto"/>
        </w:pBdr>
        <w:spacing w:line="240" w:lineRule="auto"/>
        <w:ind w:left="0" w:firstLine="0"/>
        <w:jc w:val="both"/>
        <w:rPr>
          <w:rFonts w:cstheme="minorHAnsi"/>
          <w:i/>
          <w:iCs/>
        </w:rPr>
      </w:pPr>
      <w:r w:rsidRPr="00CF4689">
        <w:rPr>
          <w:rFonts w:cstheme="minorHAnsi"/>
          <w:i/>
          <w:iCs/>
        </w:rPr>
        <w:t>If seeking approval to not display the expiration date for OMB approval of the information collection, explain the reasons that display would be inappropriate.</w:t>
      </w:r>
    </w:p>
    <w:p w:rsidR="00ED57A4" w:rsidRPr="00CF4689" w:rsidP="3C1B7F5E" w14:paraId="38543EA2" w14:textId="4DF62F18">
      <w:pPr>
        <w:spacing w:line="259" w:lineRule="auto"/>
        <w:ind w:left="360" w:firstLine="0"/>
        <w:rPr>
          <w:rFonts w:cstheme="minorHAnsi"/>
        </w:rPr>
      </w:pPr>
      <w:r w:rsidRPr="00CF4689">
        <w:rPr>
          <w:rFonts w:cstheme="minorHAnsi"/>
        </w:rPr>
        <w:t xml:space="preserve">Not applicable. </w:t>
      </w:r>
      <w:r w:rsidRPr="00CF4689">
        <w:rPr>
          <w:rFonts w:cstheme="minorHAnsi"/>
        </w:rPr>
        <w:br/>
      </w:r>
    </w:p>
    <w:p w:rsidR="00691828" w:rsidRPr="00CF4689" w:rsidP="3C1B7F5E" w14:paraId="7CCB26DD" w14:textId="4B3BA648">
      <w:pPr>
        <w:pStyle w:val="Heading1"/>
        <w:widowControl w:val="0"/>
        <w:numPr>
          <w:ilvl w:val="0"/>
          <w:numId w:val="28"/>
        </w:numPr>
        <w:pBdr>
          <w:top w:val="single" w:sz="6" w:space="0" w:color="FFFFFF"/>
          <w:left w:val="single" w:sz="6" w:space="0" w:color="FFFFFF"/>
          <w:bottom w:val="single" w:sz="6" w:space="0" w:color="FFFFFF"/>
          <w:right w:val="single" w:sz="6" w:space="0" w:color="FFFFFF"/>
        </w:pBd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6" w:name="_Toc156593391"/>
      <w:r w:rsidRPr="00CF4689">
        <w:rPr>
          <w:rFonts w:asciiTheme="minorHAnsi" w:hAnsiTheme="minorHAnsi" w:cstheme="minorHAnsi"/>
          <w:b/>
          <w:bCs/>
          <w:color w:val="000000" w:themeColor="text1"/>
          <w:sz w:val="22"/>
          <w:szCs w:val="22"/>
        </w:rPr>
        <w:t>CERTIFICATION STATEMENT</w:t>
      </w:r>
      <w:bookmarkEnd w:id="26"/>
      <w:r w:rsidRPr="00CF4689" w:rsidR="00EF46E9">
        <w:rPr>
          <w:rFonts w:asciiTheme="minorHAnsi" w:hAnsiTheme="minorHAnsi" w:cstheme="minorHAnsi"/>
          <w:b/>
          <w:bCs/>
          <w:color w:val="000000" w:themeColor="text1"/>
          <w:sz w:val="22"/>
          <w:szCs w:val="22"/>
        </w:rPr>
        <w:t>:</w:t>
      </w:r>
    </w:p>
    <w:p w:rsidR="001F0834" w:rsidRPr="00CF4689" w:rsidP="3C1B7F5E" w14:paraId="59893047" w14:textId="77777777">
      <w:pPr>
        <w:keepNext/>
        <w:keepLines/>
        <w:widowControl w:val="0"/>
        <w:pBdr>
          <w:bottom w:val="single" w:sz="4" w:space="1" w:color="auto"/>
        </w:pBdr>
        <w:spacing w:line="240" w:lineRule="auto"/>
        <w:ind w:left="0" w:firstLine="0"/>
        <w:jc w:val="both"/>
        <w:rPr>
          <w:rFonts w:cstheme="minorHAnsi"/>
          <w:i/>
          <w:iCs/>
        </w:rPr>
      </w:pPr>
      <w:r w:rsidRPr="00CF4689">
        <w:rPr>
          <w:rFonts w:cstheme="minorHAnsi"/>
          <w:i/>
          <w:iCs/>
        </w:rPr>
        <w:t>Explain each exception to the topics of the certification statement identified in “Certification for Paperwork Reduction Act Submissions.”</w:t>
      </w:r>
    </w:p>
    <w:p w:rsidR="00ED57A4" w:rsidRPr="00CF4689" w:rsidP="3C1B7F5E" w14:paraId="2765D073" w14:textId="3CDBCAD0">
      <w:pPr>
        <w:keepNext/>
        <w:keepLines/>
        <w:widowControl w:val="0"/>
        <w:spacing w:line="259" w:lineRule="auto"/>
        <w:ind w:left="360" w:firstLine="0"/>
        <w:rPr>
          <w:rFonts w:cstheme="minorHAnsi"/>
        </w:rPr>
      </w:pPr>
      <w:r w:rsidRPr="00CF4689">
        <w:rPr>
          <w:rFonts w:cstheme="minorHAnsi"/>
        </w:rPr>
        <w:t xml:space="preserve">There are no exceptions. </w:t>
      </w:r>
      <w:r w:rsidRPr="00CF4689">
        <w:rPr>
          <w:rFonts w:cstheme="minorHAnsi"/>
        </w:rPr>
        <w:br/>
      </w:r>
    </w:p>
    <w:p w:rsidR="00BB3410" w:rsidRPr="00CF4689" w:rsidP="3C1B7F5E"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CF4689">
        <w:rPr>
          <w:rFonts w:asciiTheme="minorHAnsi" w:hAnsiTheme="minorHAnsi" w:cstheme="minorHAnsi"/>
          <w:b/>
          <w:bCs/>
          <w:color w:val="000000" w:themeColor="text1"/>
          <w:sz w:val="22"/>
          <w:szCs w:val="22"/>
        </w:rPr>
        <w:t>BURDEN STATEMENT</w:t>
      </w:r>
    </w:p>
    <w:p w:rsidR="00CF4689" w:rsidRPr="00CF4689" w:rsidP="00CF4689" w14:paraId="6E2CC05C" w14:textId="7B8C05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ind w:left="360" w:firstLine="0"/>
        <w:rPr>
          <w:rFonts w:cstheme="minorHAnsi"/>
        </w:rPr>
      </w:pPr>
      <w:r w:rsidRPr="00CF4689">
        <w:rPr>
          <w:rFonts w:cstheme="minorHAnsi"/>
        </w:rPr>
        <w:t xml:space="preserve">The annual public reporting and recordkeeping burden for this collection of information is estimated to average one hour per response. Burden means the total time, effort, or financial resources expended by persons to generate, maintain, retain, or disclose or provide information to or for a federal agency. This includes the time needed to review instructions; develop, acquire, </w:t>
      </w:r>
      <w:r w:rsidRPr="00CF4689">
        <w:rPr>
          <w:rFonts w:cstheme="minorHAnsi"/>
        </w:rPr>
        <w:t>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EB3FEB" w:rsidRPr="00CF4689" w:rsidP="00940939" w14:paraId="50B6A138" w14:textId="0F8A4309">
      <w:pPr>
        <w:pStyle w:val="Heading1"/>
        <w:keepNext w:val="0"/>
        <w:pBdr>
          <w:bottom w:val="single" w:sz="4" w:space="1" w:color="auto"/>
        </w:pBdr>
        <w:spacing w:before="0" w:after="160"/>
        <w:rPr>
          <w:rFonts w:asciiTheme="minorHAnsi" w:hAnsiTheme="minorHAnsi" w:cstheme="minorHAnsi"/>
        </w:rPr>
      </w:pPr>
      <w:r w:rsidRPr="00CF4689">
        <w:rPr>
          <w:rFonts w:asciiTheme="minorHAnsi" w:hAnsiTheme="minorHAnsi" w:cstheme="minorHAnsi"/>
          <w:b/>
          <w:bCs/>
          <w:color w:val="000000" w:themeColor="text1"/>
          <w:sz w:val="22"/>
          <w:szCs w:val="22"/>
        </w:rPr>
        <w:t>ATTACHMENTS</w:t>
      </w:r>
    </w:p>
    <w:p w:rsidR="00EB3FEB" w:rsidRPr="00CF4689" w:rsidP="3C1B7F5E" w14:paraId="51BEF171" w14:textId="7DF008E9">
      <w:pPr>
        <w:spacing w:line="259" w:lineRule="auto"/>
        <w:ind w:left="360" w:firstLine="0"/>
        <w:rPr>
          <w:rFonts w:cstheme="minorHAnsi"/>
        </w:rPr>
      </w:pPr>
      <w:r w:rsidRPr="00CF4689">
        <w:rPr>
          <w:rFonts w:cstheme="minorHAnsi"/>
        </w:rPr>
        <w:t xml:space="preserve">Appendix A referenced in this document </w:t>
      </w:r>
      <w:r w:rsidRPr="00CF4689" w:rsidR="3577DE15">
        <w:rPr>
          <w:rFonts w:cstheme="minorHAnsi"/>
        </w:rPr>
        <w:t xml:space="preserve">refers to the accompanying file </w:t>
      </w:r>
      <w:r w:rsidRPr="00CF4689" w:rsidR="04A6ACE0">
        <w:rPr>
          <w:rFonts w:cstheme="minorHAnsi"/>
        </w:rPr>
        <w:t>“2nd FR Notice EPA ICR #2691_03 Appendix A – Detailed Burden Estimates</w:t>
      </w:r>
      <w:r w:rsidRPr="00CF4689" w:rsidR="2833DCBA">
        <w:rPr>
          <w:rFonts w:cstheme="minorHAnsi"/>
        </w:rPr>
        <w:t xml:space="preserve"> Tables 1 through 4</w:t>
      </w:r>
      <w:r w:rsidRPr="00CF4689" w:rsidR="5593F8C0">
        <w:rPr>
          <w:rFonts w:cstheme="minorHAnsi"/>
        </w:rPr>
        <w:t>).xlsx”</w:t>
      </w:r>
      <w:r w:rsidRPr="00CF4689" w:rsidR="009A5C98">
        <w:rPr>
          <w:rFonts w:cstheme="minorHAnsi"/>
        </w:rPr>
        <w:br/>
      </w:r>
    </w:p>
    <w:sectPr w:rsidSect="008251EE">
      <w:footerReference w:type="default" r:id="rId9"/>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406490"/>
    <w:multiLevelType w:val="hybridMultilevel"/>
    <w:tmpl w:val="6778C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9D5CAF"/>
    <w:multiLevelType w:val="hybridMultilevel"/>
    <w:tmpl w:val="FF24CE0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B94F90"/>
    <w:multiLevelType w:val="hybridMultilevel"/>
    <w:tmpl w:val="2EFCC6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D829B4"/>
    <w:multiLevelType w:val="hybridMultilevel"/>
    <w:tmpl w:val="22FC73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892568B"/>
    <w:multiLevelType w:val="hybridMultilevel"/>
    <w:tmpl w:val="C93809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B80DA0"/>
    <w:multiLevelType w:val="hybridMultilevel"/>
    <w:tmpl w:val="C93809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8">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F582D3A"/>
    <w:multiLevelType w:val="hybridMultilevel"/>
    <w:tmpl w:val="A52C1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2127513">
    <w:abstractNumId w:val="14"/>
  </w:num>
  <w:num w:numId="2" w16cid:durableId="1032609060">
    <w:abstractNumId w:val="6"/>
  </w:num>
  <w:num w:numId="3" w16cid:durableId="1158494831">
    <w:abstractNumId w:val="2"/>
  </w:num>
  <w:num w:numId="4" w16cid:durableId="493573829">
    <w:abstractNumId w:val="33"/>
  </w:num>
  <w:num w:numId="5" w16cid:durableId="2055687918">
    <w:abstractNumId w:val="22"/>
  </w:num>
  <w:num w:numId="6" w16cid:durableId="1603025219">
    <w:abstractNumId w:val="30"/>
  </w:num>
  <w:num w:numId="7" w16cid:durableId="423957196">
    <w:abstractNumId w:val="19"/>
  </w:num>
  <w:num w:numId="8" w16cid:durableId="2031829208">
    <w:abstractNumId w:val="26"/>
  </w:num>
  <w:num w:numId="9" w16cid:durableId="218439549">
    <w:abstractNumId w:val="9"/>
  </w:num>
  <w:num w:numId="10" w16cid:durableId="1285231924">
    <w:abstractNumId w:val="5"/>
  </w:num>
  <w:num w:numId="11" w16cid:durableId="327370686">
    <w:abstractNumId w:val="8"/>
  </w:num>
  <w:num w:numId="12" w16cid:durableId="1802993385">
    <w:abstractNumId w:val="12"/>
  </w:num>
  <w:num w:numId="13" w16cid:durableId="1792938267">
    <w:abstractNumId w:val="34"/>
  </w:num>
  <w:num w:numId="14" w16cid:durableId="239490726">
    <w:abstractNumId w:val="7"/>
  </w:num>
  <w:num w:numId="15" w16cid:durableId="1395350314">
    <w:abstractNumId w:val="10"/>
  </w:num>
  <w:num w:numId="16" w16cid:durableId="441535906">
    <w:abstractNumId w:val="15"/>
  </w:num>
  <w:num w:numId="17" w16cid:durableId="2008243381">
    <w:abstractNumId w:val="27"/>
  </w:num>
  <w:num w:numId="18" w16cid:durableId="840463183">
    <w:abstractNumId w:val="25"/>
  </w:num>
  <w:num w:numId="19" w16cid:durableId="469980091">
    <w:abstractNumId w:val="29"/>
  </w:num>
  <w:num w:numId="20" w16cid:durableId="2126730031">
    <w:abstractNumId w:val="13"/>
  </w:num>
  <w:num w:numId="21" w16cid:durableId="106124704">
    <w:abstractNumId w:val="1"/>
  </w:num>
  <w:num w:numId="22" w16cid:durableId="1552418013">
    <w:abstractNumId w:val="16"/>
  </w:num>
  <w:num w:numId="23" w16cid:durableId="1598828334">
    <w:abstractNumId w:val="31"/>
  </w:num>
  <w:num w:numId="24" w16cid:durableId="2051031068">
    <w:abstractNumId w:val="0"/>
  </w:num>
  <w:num w:numId="25" w16cid:durableId="258569098">
    <w:abstractNumId w:val="20"/>
  </w:num>
  <w:num w:numId="26" w16cid:durableId="331181582">
    <w:abstractNumId w:val="24"/>
  </w:num>
  <w:num w:numId="27" w16cid:durableId="1015961391">
    <w:abstractNumId w:val="28"/>
  </w:num>
  <w:num w:numId="28" w16cid:durableId="1315645907">
    <w:abstractNumId w:val="21"/>
  </w:num>
  <w:num w:numId="29" w16cid:durableId="1456172683">
    <w:abstractNumId w:val="32"/>
  </w:num>
  <w:num w:numId="30" w16cid:durableId="2140761973">
    <w:abstractNumId w:val="3"/>
  </w:num>
  <w:num w:numId="31" w16cid:durableId="796609270">
    <w:abstractNumId w:val="35"/>
  </w:num>
  <w:num w:numId="32" w16cid:durableId="995841668">
    <w:abstractNumId w:val="11"/>
  </w:num>
  <w:num w:numId="33" w16cid:durableId="1756517279">
    <w:abstractNumId w:val="17"/>
  </w:num>
  <w:num w:numId="34" w16cid:durableId="1845850780">
    <w:abstractNumId w:val="23"/>
  </w:num>
  <w:num w:numId="35" w16cid:durableId="1587303554">
    <w:abstractNumId w:val="4"/>
  </w:num>
  <w:num w:numId="36" w16cid:durableId="124741785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031"/>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737"/>
    <w:rsid w:val="00074917"/>
    <w:rsid w:val="00074E51"/>
    <w:rsid w:val="00075C7A"/>
    <w:rsid w:val="000762A8"/>
    <w:rsid w:val="00076439"/>
    <w:rsid w:val="0007647C"/>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6C32"/>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1EA6"/>
    <w:rsid w:val="001A20B0"/>
    <w:rsid w:val="001A21A7"/>
    <w:rsid w:val="001A3351"/>
    <w:rsid w:val="001A452F"/>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55E0"/>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4D0B"/>
    <w:rsid w:val="00235E79"/>
    <w:rsid w:val="002360BC"/>
    <w:rsid w:val="00237BB3"/>
    <w:rsid w:val="00240F23"/>
    <w:rsid w:val="0024175E"/>
    <w:rsid w:val="002420F2"/>
    <w:rsid w:val="00243141"/>
    <w:rsid w:val="002455F0"/>
    <w:rsid w:val="0024599B"/>
    <w:rsid w:val="00246A7E"/>
    <w:rsid w:val="00247198"/>
    <w:rsid w:val="0025051F"/>
    <w:rsid w:val="00251151"/>
    <w:rsid w:val="0025162C"/>
    <w:rsid w:val="0025259C"/>
    <w:rsid w:val="00252A4E"/>
    <w:rsid w:val="0025319A"/>
    <w:rsid w:val="00253F9D"/>
    <w:rsid w:val="0025617C"/>
    <w:rsid w:val="002604F7"/>
    <w:rsid w:val="0026050F"/>
    <w:rsid w:val="00260F45"/>
    <w:rsid w:val="00260FB7"/>
    <w:rsid w:val="002621A5"/>
    <w:rsid w:val="00262421"/>
    <w:rsid w:val="002648CF"/>
    <w:rsid w:val="00265FE7"/>
    <w:rsid w:val="002702F9"/>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6995"/>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516"/>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2F7B5C"/>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37417"/>
    <w:rsid w:val="00342DB5"/>
    <w:rsid w:val="00343CEF"/>
    <w:rsid w:val="00344CB0"/>
    <w:rsid w:val="003467C8"/>
    <w:rsid w:val="00347C3C"/>
    <w:rsid w:val="0035079F"/>
    <w:rsid w:val="003527C1"/>
    <w:rsid w:val="00352C25"/>
    <w:rsid w:val="003565B6"/>
    <w:rsid w:val="00356A66"/>
    <w:rsid w:val="00357418"/>
    <w:rsid w:val="00360B75"/>
    <w:rsid w:val="00361737"/>
    <w:rsid w:val="00363603"/>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95A6A"/>
    <w:rsid w:val="003971A6"/>
    <w:rsid w:val="003A1D0D"/>
    <w:rsid w:val="003A255B"/>
    <w:rsid w:val="003A38FB"/>
    <w:rsid w:val="003A41A0"/>
    <w:rsid w:val="003A6BEF"/>
    <w:rsid w:val="003B04B9"/>
    <w:rsid w:val="003B0A8F"/>
    <w:rsid w:val="003B153D"/>
    <w:rsid w:val="003B4D4F"/>
    <w:rsid w:val="003B5665"/>
    <w:rsid w:val="003B7CE6"/>
    <w:rsid w:val="003C0DBC"/>
    <w:rsid w:val="003C2482"/>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6654"/>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619"/>
    <w:rsid w:val="0042474D"/>
    <w:rsid w:val="00424DDE"/>
    <w:rsid w:val="00424F93"/>
    <w:rsid w:val="004252C1"/>
    <w:rsid w:val="0042541E"/>
    <w:rsid w:val="00427079"/>
    <w:rsid w:val="004275E0"/>
    <w:rsid w:val="004306A8"/>
    <w:rsid w:val="00430EDC"/>
    <w:rsid w:val="00431D3F"/>
    <w:rsid w:val="00432AC2"/>
    <w:rsid w:val="00434E78"/>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2F6F"/>
    <w:rsid w:val="004C4034"/>
    <w:rsid w:val="004C43EA"/>
    <w:rsid w:val="004C4445"/>
    <w:rsid w:val="004C53AD"/>
    <w:rsid w:val="004C6291"/>
    <w:rsid w:val="004C65F0"/>
    <w:rsid w:val="004C680C"/>
    <w:rsid w:val="004C6EC4"/>
    <w:rsid w:val="004C7205"/>
    <w:rsid w:val="004D0275"/>
    <w:rsid w:val="004D27CA"/>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75BB5"/>
    <w:rsid w:val="005810DF"/>
    <w:rsid w:val="00583101"/>
    <w:rsid w:val="005836B3"/>
    <w:rsid w:val="00584D72"/>
    <w:rsid w:val="0058662D"/>
    <w:rsid w:val="005877C1"/>
    <w:rsid w:val="0058794F"/>
    <w:rsid w:val="005900C3"/>
    <w:rsid w:val="00590A21"/>
    <w:rsid w:val="005932EC"/>
    <w:rsid w:val="00594D4D"/>
    <w:rsid w:val="005966D8"/>
    <w:rsid w:val="0059769C"/>
    <w:rsid w:val="005A0F75"/>
    <w:rsid w:val="005A129A"/>
    <w:rsid w:val="005A35B4"/>
    <w:rsid w:val="005A422E"/>
    <w:rsid w:val="005A7235"/>
    <w:rsid w:val="005A7BA6"/>
    <w:rsid w:val="005B429D"/>
    <w:rsid w:val="005B499E"/>
    <w:rsid w:val="005B6A8D"/>
    <w:rsid w:val="005C195D"/>
    <w:rsid w:val="005C2031"/>
    <w:rsid w:val="005C4174"/>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46C4E"/>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487E"/>
    <w:rsid w:val="006E4C61"/>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607"/>
    <w:rsid w:val="00746F8F"/>
    <w:rsid w:val="00747678"/>
    <w:rsid w:val="00750796"/>
    <w:rsid w:val="00750A63"/>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301"/>
    <w:rsid w:val="00780787"/>
    <w:rsid w:val="007837C6"/>
    <w:rsid w:val="007838DA"/>
    <w:rsid w:val="0078463B"/>
    <w:rsid w:val="007853D4"/>
    <w:rsid w:val="007860F8"/>
    <w:rsid w:val="00786880"/>
    <w:rsid w:val="00791DFE"/>
    <w:rsid w:val="007927B8"/>
    <w:rsid w:val="007937AD"/>
    <w:rsid w:val="00794978"/>
    <w:rsid w:val="00796ECF"/>
    <w:rsid w:val="00796ED4"/>
    <w:rsid w:val="007975D8"/>
    <w:rsid w:val="007A0115"/>
    <w:rsid w:val="007A2883"/>
    <w:rsid w:val="007A33F6"/>
    <w:rsid w:val="007A3403"/>
    <w:rsid w:val="007A3539"/>
    <w:rsid w:val="007A3C78"/>
    <w:rsid w:val="007A4ADE"/>
    <w:rsid w:val="007A5180"/>
    <w:rsid w:val="007A5A6C"/>
    <w:rsid w:val="007A5B79"/>
    <w:rsid w:val="007A5EE5"/>
    <w:rsid w:val="007B00E3"/>
    <w:rsid w:val="007B14AA"/>
    <w:rsid w:val="007B22C1"/>
    <w:rsid w:val="007B2A30"/>
    <w:rsid w:val="007B41DD"/>
    <w:rsid w:val="007B5199"/>
    <w:rsid w:val="007B74AA"/>
    <w:rsid w:val="007C285F"/>
    <w:rsid w:val="007C3A41"/>
    <w:rsid w:val="007C7191"/>
    <w:rsid w:val="007C7392"/>
    <w:rsid w:val="007D091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51EE"/>
    <w:rsid w:val="00827596"/>
    <w:rsid w:val="0082798D"/>
    <w:rsid w:val="00830F44"/>
    <w:rsid w:val="008310D5"/>
    <w:rsid w:val="008316D7"/>
    <w:rsid w:val="00831944"/>
    <w:rsid w:val="00831B47"/>
    <w:rsid w:val="008343F1"/>
    <w:rsid w:val="008366EC"/>
    <w:rsid w:val="00840AE4"/>
    <w:rsid w:val="008416DF"/>
    <w:rsid w:val="00841BC4"/>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0B25"/>
    <w:rsid w:val="00881794"/>
    <w:rsid w:val="00881CAD"/>
    <w:rsid w:val="00881DED"/>
    <w:rsid w:val="00883A58"/>
    <w:rsid w:val="00883D9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47D"/>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5709"/>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0C4F"/>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289A"/>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4C8D"/>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E755A"/>
    <w:rsid w:val="00BF0CAD"/>
    <w:rsid w:val="00BF2700"/>
    <w:rsid w:val="00BF2A34"/>
    <w:rsid w:val="00BF2DF6"/>
    <w:rsid w:val="00BF5699"/>
    <w:rsid w:val="00BF6721"/>
    <w:rsid w:val="00C02D9A"/>
    <w:rsid w:val="00C033E9"/>
    <w:rsid w:val="00C0389F"/>
    <w:rsid w:val="00C04326"/>
    <w:rsid w:val="00C046AD"/>
    <w:rsid w:val="00C054E3"/>
    <w:rsid w:val="00C066B7"/>
    <w:rsid w:val="00C0784D"/>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46412"/>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D7393"/>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4689"/>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64E8"/>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B90"/>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623C"/>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4794D"/>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4E56"/>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A8E"/>
    <w:rsid w:val="00EA5D83"/>
    <w:rsid w:val="00EA6184"/>
    <w:rsid w:val="00EA6BDC"/>
    <w:rsid w:val="00EB0C83"/>
    <w:rsid w:val="00EB1796"/>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1D6C"/>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77FF3"/>
    <w:rsid w:val="00F823FF"/>
    <w:rsid w:val="00F84AF9"/>
    <w:rsid w:val="00F85BB1"/>
    <w:rsid w:val="00F8697C"/>
    <w:rsid w:val="00F904F9"/>
    <w:rsid w:val="00F90ACE"/>
    <w:rsid w:val="00F9157A"/>
    <w:rsid w:val="00F916E8"/>
    <w:rsid w:val="00F91707"/>
    <w:rsid w:val="00F919C9"/>
    <w:rsid w:val="00F91EF0"/>
    <w:rsid w:val="00F92596"/>
    <w:rsid w:val="00F939BD"/>
    <w:rsid w:val="00F955C1"/>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3651"/>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089"/>
    <w:rsid w:val="00FF5265"/>
    <w:rsid w:val="00FF55F1"/>
    <w:rsid w:val="013FB62C"/>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A01926"/>
    <w:rsid w:val="03E4746D"/>
    <w:rsid w:val="0478847D"/>
    <w:rsid w:val="04A6ACE0"/>
    <w:rsid w:val="05031D9C"/>
    <w:rsid w:val="056DDD49"/>
    <w:rsid w:val="0589CF88"/>
    <w:rsid w:val="06070A83"/>
    <w:rsid w:val="0613B2CE"/>
    <w:rsid w:val="065BDB83"/>
    <w:rsid w:val="065EDDB5"/>
    <w:rsid w:val="067503E0"/>
    <w:rsid w:val="0688745E"/>
    <w:rsid w:val="06D233E7"/>
    <w:rsid w:val="0768A609"/>
    <w:rsid w:val="07CCB88A"/>
    <w:rsid w:val="07DA50B0"/>
    <w:rsid w:val="08462F7E"/>
    <w:rsid w:val="084F7F16"/>
    <w:rsid w:val="0856A253"/>
    <w:rsid w:val="085F999B"/>
    <w:rsid w:val="08742A6B"/>
    <w:rsid w:val="096C4DC3"/>
    <w:rsid w:val="09A58165"/>
    <w:rsid w:val="09DA399C"/>
    <w:rsid w:val="0A60FF51"/>
    <w:rsid w:val="0A61D18E"/>
    <w:rsid w:val="0A7BADC9"/>
    <w:rsid w:val="0A87B1B4"/>
    <w:rsid w:val="0A9A8022"/>
    <w:rsid w:val="0AA3A86F"/>
    <w:rsid w:val="0AECB8EB"/>
    <w:rsid w:val="0AFB87B1"/>
    <w:rsid w:val="0C14FBF0"/>
    <w:rsid w:val="0C550549"/>
    <w:rsid w:val="0C9D8B4A"/>
    <w:rsid w:val="0CAA651B"/>
    <w:rsid w:val="0D059B8C"/>
    <w:rsid w:val="0D05FC5C"/>
    <w:rsid w:val="0D36C0D2"/>
    <w:rsid w:val="0D9C6C8E"/>
    <w:rsid w:val="0DBFDACA"/>
    <w:rsid w:val="0E24BC54"/>
    <w:rsid w:val="0E27C4FB"/>
    <w:rsid w:val="0E379206"/>
    <w:rsid w:val="0E421184"/>
    <w:rsid w:val="0E7B3485"/>
    <w:rsid w:val="0F1AE58D"/>
    <w:rsid w:val="0F24E44C"/>
    <w:rsid w:val="0F26F43C"/>
    <w:rsid w:val="0FE6717B"/>
    <w:rsid w:val="104196CA"/>
    <w:rsid w:val="104361D7"/>
    <w:rsid w:val="105625C4"/>
    <w:rsid w:val="106176CF"/>
    <w:rsid w:val="10BBB88C"/>
    <w:rsid w:val="10CC20C5"/>
    <w:rsid w:val="10CC9E5A"/>
    <w:rsid w:val="112D3373"/>
    <w:rsid w:val="11410993"/>
    <w:rsid w:val="11AB4B38"/>
    <w:rsid w:val="120A8F10"/>
    <w:rsid w:val="129B6C98"/>
    <w:rsid w:val="12BD9676"/>
    <w:rsid w:val="131FD8A5"/>
    <w:rsid w:val="13CB0A04"/>
    <w:rsid w:val="13F72327"/>
    <w:rsid w:val="14441B87"/>
    <w:rsid w:val="14EC409D"/>
    <w:rsid w:val="1542C886"/>
    <w:rsid w:val="1543CD3F"/>
    <w:rsid w:val="15BD4994"/>
    <w:rsid w:val="15E2B037"/>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78166"/>
    <w:rsid w:val="18DC5CAE"/>
    <w:rsid w:val="191BF4A9"/>
    <w:rsid w:val="193C70FB"/>
    <w:rsid w:val="197C0B15"/>
    <w:rsid w:val="198CBA07"/>
    <w:rsid w:val="19D0DF69"/>
    <w:rsid w:val="19D5BF11"/>
    <w:rsid w:val="1A4C914E"/>
    <w:rsid w:val="1A7F7419"/>
    <w:rsid w:val="1A889B5B"/>
    <w:rsid w:val="1A9C409B"/>
    <w:rsid w:val="1AC73956"/>
    <w:rsid w:val="1ACFC339"/>
    <w:rsid w:val="1BB23D1F"/>
    <w:rsid w:val="1C3ACA4E"/>
    <w:rsid w:val="1C8F0082"/>
    <w:rsid w:val="1D24AEC1"/>
    <w:rsid w:val="1D853E28"/>
    <w:rsid w:val="1D88378A"/>
    <w:rsid w:val="1D92A723"/>
    <w:rsid w:val="1DC75DB1"/>
    <w:rsid w:val="1DE31029"/>
    <w:rsid w:val="1E453E56"/>
    <w:rsid w:val="1ED51596"/>
    <w:rsid w:val="1F1C394A"/>
    <w:rsid w:val="1F5487D7"/>
    <w:rsid w:val="1F7C4270"/>
    <w:rsid w:val="1FA62F62"/>
    <w:rsid w:val="203D5B12"/>
    <w:rsid w:val="20501E38"/>
    <w:rsid w:val="20968CC8"/>
    <w:rsid w:val="20DF4F37"/>
    <w:rsid w:val="20E42E89"/>
    <w:rsid w:val="20FB9EC2"/>
    <w:rsid w:val="211AF725"/>
    <w:rsid w:val="213A3980"/>
    <w:rsid w:val="218D4418"/>
    <w:rsid w:val="21AE98AB"/>
    <w:rsid w:val="221F5CE0"/>
    <w:rsid w:val="222512CE"/>
    <w:rsid w:val="22325D29"/>
    <w:rsid w:val="22773A0F"/>
    <w:rsid w:val="227F4303"/>
    <w:rsid w:val="22826A13"/>
    <w:rsid w:val="23B29CB5"/>
    <w:rsid w:val="240E6710"/>
    <w:rsid w:val="2465FC40"/>
    <w:rsid w:val="24CA7F1E"/>
    <w:rsid w:val="25373DF2"/>
    <w:rsid w:val="25887D1F"/>
    <w:rsid w:val="25A37DC1"/>
    <w:rsid w:val="25B0D956"/>
    <w:rsid w:val="25B819D3"/>
    <w:rsid w:val="25CAEC98"/>
    <w:rsid w:val="263A7A08"/>
    <w:rsid w:val="266CA112"/>
    <w:rsid w:val="27274B2F"/>
    <w:rsid w:val="275FA0AA"/>
    <w:rsid w:val="279052A7"/>
    <w:rsid w:val="2792BB1F"/>
    <w:rsid w:val="27B891D2"/>
    <w:rsid w:val="27BDE7A1"/>
    <w:rsid w:val="27BE8256"/>
    <w:rsid w:val="27E825D9"/>
    <w:rsid w:val="2833DCBA"/>
    <w:rsid w:val="286300B2"/>
    <w:rsid w:val="287DB562"/>
    <w:rsid w:val="28A8953E"/>
    <w:rsid w:val="28B669C9"/>
    <w:rsid w:val="2912FBA6"/>
    <w:rsid w:val="297525E1"/>
    <w:rsid w:val="2990A606"/>
    <w:rsid w:val="2A00A404"/>
    <w:rsid w:val="2A2A15C8"/>
    <w:rsid w:val="2A53226A"/>
    <w:rsid w:val="2A8581A5"/>
    <w:rsid w:val="2A8EDDB9"/>
    <w:rsid w:val="2A9D6224"/>
    <w:rsid w:val="2AA44433"/>
    <w:rsid w:val="2AB2567D"/>
    <w:rsid w:val="2ABE3CB1"/>
    <w:rsid w:val="2B4B5582"/>
    <w:rsid w:val="2BC009BF"/>
    <w:rsid w:val="2BE32438"/>
    <w:rsid w:val="2C0DB51F"/>
    <w:rsid w:val="2C4E5B0E"/>
    <w:rsid w:val="2C942B70"/>
    <w:rsid w:val="2CCE69C9"/>
    <w:rsid w:val="2D40FCE6"/>
    <w:rsid w:val="2D9223AC"/>
    <w:rsid w:val="2E22A67E"/>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127F536"/>
    <w:rsid w:val="320B6F4B"/>
    <w:rsid w:val="326B2CC6"/>
    <w:rsid w:val="329F570B"/>
    <w:rsid w:val="32E3142D"/>
    <w:rsid w:val="331FED17"/>
    <w:rsid w:val="332A96A7"/>
    <w:rsid w:val="3343CE0C"/>
    <w:rsid w:val="33446247"/>
    <w:rsid w:val="337291F6"/>
    <w:rsid w:val="3432FB36"/>
    <w:rsid w:val="34573AA0"/>
    <w:rsid w:val="3577DE15"/>
    <w:rsid w:val="35871221"/>
    <w:rsid w:val="35FD5EF2"/>
    <w:rsid w:val="366A66C8"/>
    <w:rsid w:val="36A3ED28"/>
    <w:rsid w:val="36AD647E"/>
    <w:rsid w:val="374D12E5"/>
    <w:rsid w:val="37708A51"/>
    <w:rsid w:val="37DBF8F1"/>
    <w:rsid w:val="37F1FC62"/>
    <w:rsid w:val="3810C2BE"/>
    <w:rsid w:val="384D55EA"/>
    <w:rsid w:val="38547927"/>
    <w:rsid w:val="38AB8210"/>
    <w:rsid w:val="38BE1427"/>
    <w:rsid w:val="38CF9107"/>
    <w:rsid w:val="39047FA9"/>
    <w:rsid w:val="3963E91D"/>
    <w:rsid w:val="39B28E3E"/>
    <w:rsid w:val="3A1B83DF"/>
    <w:rsid w:val="3A5210FE"/>
    <w:rsid w:val="3A57C0BD"/>
    <w:rsid w:val="3A647B5E"/>
    <w:rsid w:val="3A815CE5"/>
    <w:rsid w:val="3AAD53C7"/>
    <w:rsid w:val="3AB552BC"/>
    <w:rsid w:val="3AFFB97E"/>
    <w:rsid w:val="3B0BE252"/>
    <w:rsid w:val="3B0E920A"/>
    <w:rsid w:val="3BAB6869"/>
    <w:rsid w:val="3BEB04C5"/>
    <w:rsid w:val="3C1B7F5E"/>
    <w:rsid w:val="3C9B89DF"/>
    <w:rsid w:val="3CB852BE"/>
    <w:rsid w:val="3CF59BF8"/>
    <w:rsid w:val="3CF93D47"/>
    <w:rsid w:val="3D15E52A"/>
    <w:rsid w:val="3E102B8C"/>
    <w:rsid w:val="3E256BBE"/>
    <w:rsid w:val="3E2DE675"/>
    <w:rsid w:val="3E65CE30"/>
    <w:rsid w:val="3E9CD3A0"/>
    <w:rsid w:val="3EB7B85F"/>
    <w:rsid w:val="3EE3A51C"/>
    <w:rsid w:val="3EE6D5A6"/>
    <w:rsid w:val="3EFC2C02"/>
    <w:rsid w:val="3F2B31E0"/>
    <w:rsid w:val="3F62E1B1"/>
    <w:rsid w:val="3FA31006"/>
    <w:rsid w:val="402AD2D5"/>
    <w:rsid w:val="4076D92C"/>
    <w:rsid w:val="40797F11"/>
    <w:rsid w:val="407CE14E"/>
    <w:rsid w:val="417ABBDB"/>
    <w:rsid w:val="419D6EF2"/>
    <w:rsid w:val="41B0CB5B"/>
    <w:rsid w:val="41BFBFA4"/>
    <w:rsid w:val="422015F4"/>
    <w:rsid w:val="4261741E"/>
    <w:rsid w:val="437E5AB7"/>
    <w:rsid w:val="439D51F1"/>
    <w:rsid w:val="43EE9002"/>
    <w:rsid w:val="4421770F"/>
    <w:rsid w:val="4489D1E3"/>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8E02904"/>
    <w:rsid w:val="49133A93"/>
    <w:rsid w:val="49248A83"/>
    <w:rsid w:val="49272C95"/>
    <w:rsid w:val="498764AB"/>
    <w:rsid w:val="4A018F5E"/>
    <w:rsid w:val="4A2B536C"/>
    <w:rsid w:val="4A4EB2C4"/>
    <w:rsid w:val="4A9C43CA"/>
    <w:rsid w:val="4AD72224"/>
    <w:rsid w:val="4B8C1788"/>
    <w:rsid w:val="4BE53EA6"/>
    <w:rsid w:val="4C270B2A"/>
    <w:rsid w:val="4C5807F8"/>
    <w:rsid w:val="4C929F63"/>
    <w:rsid w:val="4CA5DD10"/>
    <w:rsid w:val="4CD146E4"/>
    <w:rsid w:val="4D1B6FCA"/>
    <w:rsid w:val="4D24F240"/>
    <w:rsid w:val="4D5307BF"/>
    <w:rsid w:val="4D857A98"/>
    <w:rsid w:val="4DA32AA6"/>
    <w:rsid w:val="4E1EA890"/>
    <w:rsid w:val="4E28B7CE"/>
    <w:rsid w:val="4E684EAB"/>
    <w:rsid w:val="4EAE4F8E"/>
    <w:rsid w:val="4EB83457"/>
    <w:rsid w:val="4EC8A5E0"/>
    <w:rsid w:val="4ECED983"/>
    <w:rsid w:val="4EFC8BB8"/>
    <w:rsid w:val="4F344174"/>
    <w:rsid w:val="4F580799"/>
    <w:rsid w:val="4F90C958"/>
    <w:rsid w:val="4FDF4D6F"/>
    <w:rsid w:val="4FE7D2BE"/>
    <w:rsid w:val="5035202F"/>
    <w:rsid w:val="5038DB1A"/>
    <w:rsid w:val="5050A6CE"/>
    <w:rsid w:val="50D011D5"/>
    <w:rsid w:val="50DAAFDA"/>
    <w:rsid w:val="51742EFD"/>
    <w:rsid w:val="51CD8467"/>
    <w:rsid w:val="51E3F953"/>
    <w:rsid w:val="521911B3"/>
    <w:rsid w:val="5286A8AB"/>
    <w:rsid w:val="528A0761"/>
    <w:rsid w:val="52A0F47C"/>
    <w:rsid w:val="52C9A661"/>
    <w:rsid w:val="52DA71F9"/>
    <w:rsid w:val="5303AE56"/>
    <w:rsid w:val="534A0648"/>
    <w:rsid w:val="53B6A4DA"/>
    <w:rsid w:val="53B8BDE3"/>
    <w:rsid w:val="53BC4006"/>
    <w:rsid w:val="542209E4"/>
    <w:rsid w:val="54613CEF"/>
    <w:rsid w:val="54C8E03D"/>
    <w:rsid w:val="54CE9EE1"/>
    <w:rsid w:val="54EBB54E"/>
    <w:rsid w:val="54EF6163"/>
    <w:rsid w:val="54F09390"/>
    <w:rsid w:val="5593F8C0"/>
    <w:rsid w:val="55B638DA"/>
    <w:rsid w:val="55C46F90"/>
    <w:rsid w:val="55F230B6"/>
    <w:rsid w:val="562AFBC0"/>
    <w:rsid w:val="5634B247"/>
    <w:rsid w:val="56EC747E"/>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ADF5475"/>
    <w:rsid w:val="5B00145C"/>
    <w:rsid w:val="5B2DA956"/>
    <w:rsid w:val="5B3D24DA"/>
    <w:rsid w:val="5B56F2EA"/>
    <w:rsid w:val="5B62618D"/>
    <w:rsid w:val="5BB14082"/>
    <w:rsid w:val="5BBB9343"/>
    <w:rsid w:val="5C20C024"/>
    <w:rsid w:val="5C37D93F"/>
    <w:rsid w:val="5C7C89F5"/>
    <w:rsid w:val="5C9736DD"/>
    <w:rsid w:val="5D05D99B"/>
    <w:rsid w:val="5D661202"/>
    <w:rsid w:val="5DAE2CE2"/>
    <w:rsid w:val="5DBE4365"/>
    <w:rsid w:val="5DD1D3A6"/>
    <w:rsid w:val="5DE4CC5D"/>
    <w:rsid w:val="5DF54D79"/>
    <w:rsid w:val="5E070E77"/>
    <w:rsid w:val="5E0A2024"/>
    <w:rsid w:val="5F0A01BF"/>
    <w:rsid w:val="5F264E0D"/>
    <w:rsid w:val="5FA42750"/>
    <w:rsid w:val="5FFCF977"/>
    <w:rsid w:val="600A041E"/>
    <w:rsid w:val="602069F4"/>
    <w:rsid w:val="605B484E"/>
    <w:rsid w:val="60BF5BE7"/>
    <w:rsid w:val="60EE8316"/>
    <w:rsid w:val="61144901"/>
    <w:rsid w:val="6144C413"/>
    <w:rsid w:val="618FD68D"/>
    <w:rsid w:val="61990814"/>
    <w:rsid w:val="61BC3A55"/>
    <w:rsid w:val="61CEFC2F"/>
    <w:rsid w:val="6230FBE5"/>
    <w:rsid w:val="62427667"/>
    <w:rsid w:val="6275C003"/>
    <w:rsid w:val="62C6FCEF"/>
    <w:rsid w:val="62C86836"/>
    <w:rsid w:val="62D2B05F"/>
    <w:rsid w:val="62EF0CA2"/>
    <w:rsid w:val="63004559"/>
    <w:rsid w:val="632133F9"/>
    <w:rsid w:val="633062C5"/>
    <w:rsid w:val="636198AD"/>
    <w:rsid w:val="63753164"/>
    <w:rsid w:val="63B366FE"/>
    <w:rsid w:val="63E1BE4D"/>
    <w:rsid w:val="63F1DF7F"/>
    <w:rsid w:val="640172C1"/>
    <w:rsid w:val="64076A51"/>
    <w:rsid w:val="643A07D3"/>
    <w:rsid w:val="64625D75"/>
    <w:rsid w:val="648F9301"/>
    <w:rsid w:val="6497165D"/>
    <w:rsid w:val="64A95F1A"/>
    <w:rsid w:val="64D3BA6C"/>
    <w:rsid w:val="6502FD70"/>
    <w:rsid w:val="652A4E96"/>
    <w:rsid w:val="6616A42E"/>
    <w:rsid w:val="66FC4F7A"/>
    <w:rsid w:val="67A12CA8"/>
    <w:rsid w:val="67B0064B"/>
    <w:rsid w:val="67EAAB8B"/>
    <w:rsid w:val="6840832B"/>
    <w:rsid w:val="68A30040"/>
    <w:rsid w:val="6919E450"/>
    <w:rsid w:val="6927A0BE"/>
    <w:rsid w:val="693BCAC5"/>
    <w:rsid w:val="69734583"/>
    <w:rsid w:val="69C0983C"/>
    <w:rsid w:val="69C65CF5"/>
    <w:rsid w:val="6A27ADA6"/>
    <w:rsid w:val="6A3B8B12"/>
    <w:rsid w:val="6A3C75AE"/>
    <w:rsid w:val="6A72FDEA"/>
    <w:rsid w:val="6A797A9F"/>
    <w:rsid w:val="6A84908E"/>
    <w:rsid w:val="6AA64786"/>
    <w:rsid w:val="6AA89EEA"/>
    <w:rsid w:val="6AA91BA3"/>
    <w:rsid w:val="6AD20ED4"/>
    <w:rsid w:val="6B4A9CA0"/>
    <w:rsid w:val="6BAE07D7"/>
    <w:rsid w:val="6BD47994"/>
    <w:rsid w:val="6C06BB6F"/>
    <w:rsid w:val="6C1A47A6"/>
    <w:rsid w:val="6C662F01"/>
    <w:rsid w:val="6C8EDA47"/>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D895E"/>
    <w:rsid w:val="71016B6C"/>
    <w:rsid w:val="71083EAF"/>
    <w:rsid w:val="71B73D84"/>
    <w:rsid w:val="71C942A4"/>
    <w:rsid w:val="72100CD5"/>
    <w:rsid w:val="721A1AE9"/>
    <w:rsid w:val="723B9BBC"/>
    <w:rsid w:val="729599FD"/>
    <w:rsid w:val="72BE970B"/>
    <w:rsid w:val="72E08E85"/>
    <w:rsid w:val="72FBE242"/>
    <w:rsid w:val="730C8C6A"/>
    <w:rsid w:val="7333BF65"/>
    <w:rsid w:val="733415EF"/>
    <w:rsid w:val="73A2B3E6"/>
    <w:rsid w:val="73EBD8BA"/>
    <w:rsid w:val="740E8C24"/>
    <w:rsid w:val="7483A86B"/>
    <w:rsid w:val="74B96759"/>
    <w:rsid w:val="74C611E6"/>
    <w:rsid w:val="756D3DCA"/>
    <w:rsid w:val="75AD869D"/>
    <w:rsid w:val="75FAFB9D"/>
    <w:rsid w:val="767124E0"/>
    <w:rsid w:val="767F2AB4"/>
    <w:rsid w:val="7691FDA3"/>
    <w:rsid w:val="76A0B3AF"/>
    <w:rsid w:val="76D274F7"/>
    <w:rsid w:val="76F5E482"/>
    <w:rsid w:val="771357ED"/>
    <w:rsid w:val="7758C1E7"/>
    <w:rsid w:val="778EDDEE"/>
    <w:rsid w:val="77CE5746"/>
    <w:rsid w:val="77EC8816"/>
    <w:rsid w:val="77F83150"/>
    <w:rsid w:val="78674B66"/>
    <w:rsid w:val="78BF49DD"/>
    <w:rsid w:val="790B3138"/>
    <w:rsid w:val="799DA319"/>
    <w:rsid w:val="79A48D3C"/>
    <w:rsid w:val="79B20E76"/>
    <w:rsid w:val="79C64322"/>
    <w:rsid w:val="79D5BFE7"/>
    <w:rsid w:val="7A006C41"/>
    <w:rsid w:val="7B85C3CB"/>
    <w:rsid w:val="7BD2E15A"/>
    <w:rsid w:val="7C02D676"/>
    <w:rsid w:val="7C55E10E"/>
    <w:rsid w:val="7C6523A7"/>
    <w:rsid w:val="7D037978"/>
    <w:rsid w:val="7D0C0225"/>
    <w:rsid w:val="7D4D62A7"/>
    <w:rsid w:val="7D4DE6BD"/>
    <w:rsid w:val="7D507A2C"/>
    <w:rsid w:val="7D7D5244"/>
    <w:rsid w:val="7D94BCDF"/>
    <w:rsid w:val="7D97A902"/>
    <w:rsid w:val="7DE531C9"/>
    <w:rsid w:val="7E06B584"/>
    <w:rsid w:val="7E50821F"/>
    <w:rsid w:val="7EFAC43F"/>
    <w:rsid w:val="7F068587"/>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paragraph" w:customStyle="1" w:styleId="Standard">
    <w:name w:val="Standard"/>
    <w:rsid w:val="00D364E8"/>
    <w:pPr>
      <w:suppressAutoHyphens/>
      <w:autoSpaceDN w:val="0"/>
      <w:spacing w:after="0" w:line="240" w:lineRule="auto"/>
      <w:ind w:left="0" w:firstLine="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b9e024-192f-4b11-811c-3cf166ba4edd">
      <UserInfo>
        <DisplayName>Basati, Hardeep</DisplayName>
        <AccountId>26</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2025-09-08T18:48:26+00:00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D5A6FCEC7CAE6428412A13C5A7AB639" ma:contentTypeVersion="8" ma:contentTypeDescription="Create a new document." ma:contentTypeScope="" ma:versionID="4119f6f057c739b629cd49ade2a41f6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316e08d-59eb-4834-a38a-0b4a1d3a2532" xmlns:ns6="e3b9e024-192f-4b11-811c-3cf166ba4edd" targetNamespace="http://schemas.microsoft.com/office/2006/metadata/properties" ma:root="true" ma:fieldsID="872317fadd669ef044225547b1de4091" ns1:_="" ns2:_="" ns3:_="" ns4:_="" ns5:_="" ns6:_="">
    <xsd:import namespace="http://schemas.microsoft.com/sharepoint/v3"/>
    <xsd:import namespace="4ffa91fb-a0ff-4ac5-b2db-65c790d184a4"/>
    <xsd:import namespace="http://schemas.microsoft.com/sharepoint.v3"/>
    <xsd:import namespace="http://schemas.microsoft.com/sharepoint/v3/fields"/>
    <xsd:import namespace="6316e08d-59eb-4834-a38a-0b4a1d3a2532"/>
    <xsd:import namespace="e3b9e024-192f-4b11-811c-3cf166ba4e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dc3375c-f01e-40fd-817e-95909d6afc3b}" ma:internalName="TaxCatchAllLabel" ma:readOnly="true" ma:showField="CatchAllDataLabel" ma:web="e3b9e024-192f-4b11-811c-3cf166ba4e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dc3375c-f01e-40fd-817e-95909d6afc3b}" ma:internalName="TaxCatchAll" ma:showField="CatchAllData" ma:web="e3b9e024-192f-4b11-811c-3cf166ba4e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16e08d-59eb-4834-a38a-0b4a1d3a253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9e024-192f-4b11-811c-3cf166ba4ed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33098-BF7F-4D78-8529-0AFBF5D8899C}">
  <ds:schemaRefs>
    <ds:schemaRef ds:uri="http://schemas.microsoft.com/office/2006/documentManagement/types"/>
    <ds:schemaRef ds:uri="6c518e14-76c7-4604-b937-665d8473fe0f"/>
    <ds:schemaRef ds:uri="http://purl.org/dc/elements/1.1/"/>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5607d3ce-575b-4ee0-a621-a0be008c8029"/>
    <ds:schemaRef ds:uri="e3b9e024-192f-4b11-811c-3cf166ba4edd"/>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683205D7-F768-472A-850D-A492228231DD}">
  <ds:schemaRefs>
    <ds:schemaRef ds:uri="Microsoft.SharePoint.Taxonomy.ContentTypeSync"/>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AB718874-7FBF-4620-96FD-9B94F8890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316e08d-59eb-4834-a38a-0b4a1d3a2532"/>
    <ds:schemaRef ds:uri="e3b9e024-192f-4b11-811c-3cf166ba4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11</Pages>
  <Words>3761</Words>
  <Characters>21534</Characters>
  <Application>Microsoft Office Word</Application>
  <DocSecurity>0</DocSecurity>
  <Lines>442</Lines>
  <Paragraphs>189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5</cp:revision>
  <dcterms:created xsi:type="dcterms:W3CDTF">2025-09-10T13:23:00Z</dcterms:created>
  <dcterms:modified xsi:type="dcterms:W3CDTF">2025-09-26T21:10:00Z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0x0101007D5A6FCEC7CAE6428412A13C5A7AB639</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