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3650" w:rsidP="00A40C66" w14:paraId="314D6E3E" w14:textId="3E667136">
      <w:pPr>
        <w:pStyle w:val="Title"/>
      </w:pPr>
      <w:r>
        <w:t>AERR ICR, first notice, Response to Comments</w:t>
      </w:r>
    </w:p>
    <w:p w:rsidR="00A40C66" w:rsidP="00A40C66" w14:paraId="0CB41EE3" w14:textId="616092BC">
      <w:pPr>
        <w:pStyle w:val="Heading1"/>
      </w:pPr>
      <w:r>
        <w:t>List of commenters</w:t>
      </w:r>
    </w:p>
    <w:p w:rsidR="00711768" w:rsidRPr="00606618" w:rsidP="00606618" w14:paraId="1D4C9682" w14:textId="5A88EB4C">
      <w:pPr>
        <w:pStyle w:val="Caption"/>
      </w:pPr>
      <w:bookmarkStart w:id="0" w:name="_Ref205477075"/>
      <w:r w:rsidRPr="00606618">
        <w:t xml:space="preserve">Table </w:t>
      </w:r>
      <w:r w:rsidRPr="00606618">
        <w:fldChar w:fldCharType="begin"/>
      </w:r>
      <w:r w:rsidRPr="00606618">
        <w:instrText xml:space="preserve"> SEQ Table \* ARABIC </w:instrText>
      </w:r>
      <w:r w:rsidRPr="00606618">
        <w:fldChar w:fldCharType="separate"/>
      </w:r>
      <w:r w:rsidRPr="00606618">
        <w:t>1</w:t>
      </w:r>
      <w:r w:rsidRPr="00606618">
        <w:fldChar w:fldCharType="end"/>
      </w:r>
      <w:bookmarkEnd w:id="0"/>
      <w:r w:rsidRPr="00606618">
        <w:t>: List of commenters</w:t>
      </w:r>
    </w:p>
    <w:tbl>
      <w:tblPr>
        <w:tblStyle w:val="TableGrid"/>
        <w:tblW w:w="9355" w:type="dxa"/>
        <w:tblLook w:val="04A0"/>
      </w:tblPr>
      <w:tblGrid>
        <w:gridCol w:w="3631"/>
        <w:gridCol w:w="5724"/>
      </w:tblGrid>
      <w:tr w14:paraId="2BBCC5CC" w14:textId="26A58C6A" w:rsidTr="00A40C66">
        <w:tblPrEx>
          <w:tblW w:w="9355" w:type="dxa"/>
          <w:tblLook w:val="04A0"/>
        </w:tblPrEx>
        <w:trPr>
          <w:tblHeader/>
        </w:trPr>
        <w:tc>
          <w:tcPr>
            <w:tcW w:w="3631" w:type="dxa"/>
            <w:vAlign w:val="bottom"/>
          </w:tcPr>
          <w:p w:rsidR="00A40C66" w:rsidRPr="00A40C66" w:rsidP="00A40C66" w14:paraId="724394BF" w14:textId="307ACED4">
            <w:pPr>
              <w:jc w:val="center"/>
              <w:rPr>
                <w:b/>
                <w:bCs/>
              </w:rPr>
            </w:pPr>
            <w:r w:rsidRPr="00A40C66">
              <w:rPr>
                <w:b/>
                <w:bCs/>
              </w:rPr>
              <w:t xml:space="preserve">Docket number </w:t>
            </w:r>
            <w:r w:rsidRPr="00A40C66">
              <w:rPr>
                <w:b/>
                <w:bCs/>
              </w:rPr>
              <w:br/>
              <w:t>(EPA-HQ-OAR-2004-0489-XXXX)</w:t>
            </w:r>
          </w:p>
        </w:tc>
        <w:tc>
          <w:tcPr>
            <w:tcW w:w="5724" w:type="dxa"/>
            <w:vAlign w:val="bottom"/>
          </w:tcPr>
          <w:p w:rsidR="00A40C66" w:rsidRPr="00A40C66" w:rsidP="00A40C66" w14:paraId="25AE5342" w14:textId="2B2E6811">
            <w:pPr>
              <w:jc w:val="center"/>
              <w:rPr>
                <w:b/>
                <w:bCs/>
              </w:rPr>
            </w:pPr>
            <w:r w:rsidRPr="00A40C66">
              <w:rPr>
                <w:b/>
                <w:bCs/>
              </w:rPr>
              <w:t>Commenter</w:t>
            </w:r>
          </w:p>
        </w:tc>
      </w:tr>
      <w:tr w14:paraId="527A47BC" w14:textId="5E826EA5" w:rsidTr="00A40C66">
        <w:tblPrEx>
          <w:tblW w:w="9355" w:type="dxa"/>
          <w:tblLook w:val="04A0"/>
        </w:tblPrEx>
        <w:tc>
          <w:tcPr>
            <w:tcW w:w="3631" w:type="dxa"/>
            <w:vAlign w:val="center"/>
          </w:tcPr>
          <w:p w:rsidR="00A40C66" w:rsidP="00A40C66" w14:paraId="03FCED24" w14:textId="7FBDB98D">
            <w:r>
              <w:t>0319</w:t>
            </w:r>
          </w:p>
        </w:tc>
        <w:tc>
          <w:tcPr>
            <w:tcW w:w="5724" w:type="dxa"/>
            <w:vAlign w:val="center"/>
          </w:tcPr>
          <w:p w:rsidR="00A40C66" w:rsidP="00A40C66" w14:paraId="1922433D" w14:textId="5264287A">
            <w:r>
              <w:t>Anonymous</w:t>
            </w:r>
          </w:p>
        </w:tc>
      </w:tr>
      <w:tr w14:paraId="4C3570B6" w14:textId="198FB09F" w:rsidTr="00A40C66">
        <w:tblPrEx>
          <w:tblW w:w="9355" w:type="dxa"/>
          <w:tblLook w:val="04A0"/>
        </w:tblPrEx>
        <w:tc>
          <w:tcPr>
            <w:tcW w:w="3631" w:type="dxa"/>
            <w:vAlign w:val="center"/>
          </w:tcPr>
          <w:p w:rsidR="00A40C66" w:rsidP="00A40C66" w14:paraId="381EE990" w14:textId="523B0896">
            <w:r>
              <w:t>0320</w:t>
            </w:r>
          </w:p>
        </w:tc>
        <w:tc>
          <w:tcPr>
            <w:tcW w:w="5724" w:type="dxa"/>
            <w:vAlign w:val="center"/>
          </w:tcPr>
          <w:p w:rsidR="00A40C66" w:rsidP="00A40C66" w14:paraId="14F3133B" w14:textId="4B08B8C1">
            <w:r>
              <w:t>Anonymous</w:t>
            </w:r>
          </w:p>
        </w:tc>
      </w:tr>
      <w:tr w14:paraId="44891AE0" w14:textId="2E33CC0D" w:rsidTr="00A40C66">
        <w:tblPrEx>
          <w:tblW w:w="9355" w:type="dxa"/>
          <w:tblLook w:val="04A0"/>
        </w:tblPrEx>
        <w:tc>
          <w:tcPr>
            <w:tcW w:w="3631" w:type="dxa"/>
            <w:vAlign w:val="center"/>
          </w:tcPr>
          <w:p w:rsidR="00A40C66" w:rsidP="00A40C66" w14:paraId="5F21D752" w14:textId="0DD4AF06">
            <w:r>
              <w:t>0321</w:t>
            </w:r>
          </w:p>
        </w:tc>
        <w:tc>
          <w:tcPr>
            <w:tcW w:w="5724" w:type="dxa"/>
            <w:vAlign w:val="center"/>
          </w:tcPr>
          <w:p w:rsidR="00A40C66" w:rsidP="00A40C66" w14:paraId="304E3D0E" w14:textId="191177CC">
            <w:r w:rsidRPr="00711768">
              <w:t>Stacey Gifford</w:t>
            </w:r>
          </w:p>
        </w:tc>
      </w:tr>
      <w:tr w14:paraId="2AC57893" w14:textId="6551F7CB" w:rsidTr="00A40C66">
        <w:tblPrEx>
          <w:tblW w:w="9355" w:type="dxa"/>
          <w:tblLook w:val="04A0"/>
        </w:tblPrEx>
        <w:tc>
          <w:tcPr>
            <w:tcW w:w="3631" w:type="dxa"/>
            <w:vAlign w:val="center"/>
          </w:tcPr>
          <w:p w:rsidR="00A40C66" w:rsidP="00A40C66" w14:paraId="792CE829" w14:textId="6136BC88">
            <w:r>
              <w:t>0322</w:t>
            </w:r>
          </w:p>
        </w:tc>
        <w:tc>
          <w:tcPr>
            <w:tcW w:w="5724" w:type="dxa"/>
            <w:vAlign w:val="center"/>
          </w:tcPr>
          <w:p w:rsidR="00A40C66" w:rsidP="00A40C66" w14:paraId="4AD3648E" w14:textId="6378E2C6">
            <w:r>
              <w:t>Anonymous</w:t>
            </w:r>
          </w:p>
        </w:tc>
      </w:tr>
      <w:tr w14:paraId="4052CFDF" w14:textId="63BBB1D4" w:rsidTr="00A40C66">
        <w:tblPrEx>
          <w:tblW w:w="9355" w:type="dxa"/>
          <w:tblLook w:val="04A0"/>
        </w:tblPrEx>
        <w:tc>
          <w:tcPr>
            <w:tcW w:w="3631" w:type="dxa"/>
            <w:vAlign w:val="center"/>
          </w:tcPr>
          <w:p w:rsidR="00A40C66" w:rsidP="00A40C66" w14:paraId="49B9D0CF" w14:textId="21945BEE">
            <w:r>
              <w:t>0323</w:t>
            </w:r>
          </w:p>
        </w:tc>
        <w:tc>
          <w:tcPr>
            <w:tcW w:w="5724" w:type="dxa"/>
            <w:vAlign w:val="center"/>
          </w:tcPr>
          <w:p w:rsidR="00A40C66" w:rsidP="00A40C66" w14:paraId="788C7AE0" w14:textId="5524CDED">
            <w:r>
              <w:t>Anonymous</w:t>
            </w:r>
          </w:p>
        </w:tc>
      </w:tr>
      <w:tr w14:paraId="4C1D816F" w14:textId="2E686942" w:rsidTr="00A40C66">
        <w:tblPrEx>
          <w:tblW w:w="9355" w:type="dxa"/>
          <w:tblLook w:val="04A0"/>
        </w:tblPrEx>
        <w:tc>
          <w:tcPr>
            <w:tcW w:w="3631" w:type="dxa"/>
            <w:vAlign w:val="center"/>
          </w:tcPr>
          <w:p w:rsidR="00A40C66" w:rsidP="00A40C66" w14:paraId="25E63F63" w14:textId="29A6E1E6">
            <w:r>
              <w:t>0324</w:t>
            </w:r>
          </w:p>
        </w:tc>
        <w:tc>
          <w:tcPr>
            <w:tcW w:w="5724" w:type="dxa"/>
            <w:vAlign w:val="center"/>
          </w:tcPr>
          <w:p w:rsidR="00A40C66" w:rsidP="00A40C66" w14:paraId="0D1A7C41" w14:textId="1787EECD">
            <w:r>
              <w:t>Mass comment campaign, sponsoring organization unknown (sample provided)</w:t>
            </w:r>
          </w:p>
        </w:tc>
      </w:tr>
      <w:tr w14:paraId="19FA6806" w14:textId="4150282C" w:rsidTr="00A40C66">
        <w:tblPrEx>
          <w:tblW w:w="9355" w:type="dxa"/>
          <w:tblLook w:val="04A0"/>
        </w:tblPrEx>
        <w:tc>
          <w:tcPr>
            <w:tcW w:w="3631" w:type="dxa"/>
            <w:vAlign w:val="center"/>
          </w:tcPr>
          <w:p w:rsidR="00A40C66" w:rsidP="00A40C66" w14:paraId="610EF579" w14:textId="169B8B2D">
            <w:r>
              <w:t>0325</w:t>
            </w:r>
          </w:p>
        </w:tc>
        <w:tc>
          <w:tcPr>
            <w:tcW w:w="5724" w:type="dxa"/>
            <w:vAlign w:val="center"/>
          </w:tcPr>
          <w:p w:rsidR="00A40C66" w:rsidP="00A40C66" w14:paraId="15EC014B" w14:textId="759E8B94">
            <w:r w:rsidRPr="00795851">
              <w:t>Texas Commission on Environmental Quality (TCEQ)</w:t>
            </w:r>
          </w:p>
        </w:tc>
      </w:tr>
      <w:tr w14:paraId="5D5F6EE6" w14:textId="10356139" w:rsidTr="00A40C66">
        <w:tblPrEx>
          <w:tblW w:w="9355" w:type="dxa"/>
          <w:tblLook w:val="04A0"/>
        </w:tblPrEx>
        <w:tc>
          <w:tcPr>
            <w:tcW w:w="3631" w:type="dxa"/>
            <w:vAlign w:val="center"/>
          </w:tcPr>
          <w:p w:rsidR="00A40C66" w:rsidP="00A40C66" w14:paraId="7173D559" w14:textId="03C5FA50">
            <w:r>
              <w:t>0326</w:t>
            </w:r>
          </w:p>
        </w:tc>
        <w:tc>
          <w:tcPr>
            <w:tcW w:w="5724" w:type="dxa"/>
            <w:vAlign w:val="center"/>
          </w:tcPr>
          <w:p w:rsidR="00A40C66" w:rsidP="00A40C66" w14:paraId="03CCA841" w14:textId="31214607">
            <w:r w:rsidRPr="00795851">
              <w:t>Western States Air Resources Council (WESTAR)</w:t>
            </w:r>
          </w:p>
        </w:tc>
      </w:tr>
      <w:tr w14:paraId="122FEFB8" w14:textId="71629664" w:rsidTr="00A40C66">
        <w:tblPrEx>
          <w:tblW w:w="9355" w:type="dxa"/>
          <w:tblLook w:val="04A0"/>
        </w:tblPrEx>
        <w:tc>
          <w:tcPr>
            <w:tcW w:w="3631" w:type="dxa"/>
            <w:vAlign w:val="center"/>
          </w:tcPr>
          <w:p w:rsidR="00A40C66" w:rsidP="00A40C66" w14:paraId="022666CE" w14:textId="2A1167CA">
            <w:r>
              <w:t>0327</w:t>
            </w:r>
          </w:p>
        </w:tc>
        <w:tc>
          <w:tcPr>
            <w:tcW w:w="5724" w:type="dxa"/>
            <w:vAlign w:val="center"/>
          </w:tcPr>
          <w:p w:rsidR="00A40C66" w:rsidP="00A40C66" w14:paraId="16428D35" w14:textId="173374B7">
            <w:r w:rsidRPr="007753E8">
              <w:t>Oklahoma Department of Environmental Quality (ODEQ)</w:t>
            </w:r>
          </w:p>
        </w:tc>
      </w:tr>
      <w:tr w14:paraId="0149540F" w14:textId="77777777" w:rsidTr="00A40C66">
        <w:tblPrEx>
          <w:tblW w:w="9355" w:type="dxa"/>
          <w:tblLook w:val="04A0"/>
        </w:tblPrEx>
        <w:tc>
          <w:tcPr>
            <w:tcW w:w="3631" w:type="dxa"/>
            <w:vAlign w:val="center"/>
          </w:tcPr>
          <w:p w:rsidR="00A40C66" w:rsidP="00A40C66" w14:paraId="6E98BE26" w14:textId="675AC177">
            <w:r>
              <w:t>0328</w:t>
            </w:r>
          </w:p>
        </w:tc>
        <w:tc>
          <w:tcPr>
            <w:tcW w:w="5724" w:type="dxa"/>
            <w:vAlign w:val="center"/>
          </w:tcPr>
          <w:p w:rsidR="00A40C66" w:rsidRPr="007753E8" w:rsidP="00A40C66" w14:paraId="74C3B408" w14:textId="04D6F73B">
            <w:r>
              <w:t>Cheryl Greer</w:t>
            </w:r>
          </w:p>
        </w:tc>
      </w:tr>
      <w:tr w14:paraId="134379FB" w14:textId="77777777" w:rsidTr="00A40C66">
        <w:tblPrEx>
          <w:tblW w:w="9355" w:type="dxa"/>
          <w:tblLook w:val="04A0"/>
        </w:tblPrEx>
        <w:tc>
          <w:tcPr>
            <w:tcW w:w="3631" w:type="dxa"/>
            <w:vAlign w:val="center"/>
          </w:tcPr>
          <w:p w:rsidR="00A40C66" w:rsidP="00A40C66" w14:paraId="69BB5B8E" w14:textId="63FFCA80">
            <w:r>
              <w:t>0329</w:t>
            </w:r>
          </w:p>
        </w:tc>
        <w:tc>
          <w:tcPr>
            <w:tcW w:w="5724" w:type="dxa"/>
            <w:vAlign w:val="center"/>
          </w:tcPr>
          <w:p w:rsidR="00A40C66" w:rsidP="00A40C66" w14:paraId="53B4384B" w14:textId="7696D4AF">
            <w:r>
              <w:t>Lis S</w:t>
            </w:r>
          </w:p>
        </w:tc>
      </w:tr>
      <w:tr w14:paraId="74D5629B" w14:textId="77777777" w:rsidTr="00A40C66">
        <w:tblPrEx>
          <w:tblW w:w="9355" w:type="dxa"/>
          <w:tblLook w:val="04A0"/>
        </w:tblPrEx>
        <w:tc>
          <w:tcPr>
            <w:tcW w:w="3631" w:type="dxa"/>
            <w:vAlign w:val="center"/>
          </w:tcPr>
          <w:p w:rsidR="00A40C66" w:rsidP="00A40C66" w14:paraId="230446FD" w14:textId="2EB88316">
            <w:r>
              <w:t>0330</w:t>
            </w:r>
          </w:p>
        </w:tc>
        <w:tc>
          <w:tcPr>
            <w:tcW w:w="5724" w:type="dxa"/>
            <w:vAlign w:val="center"/>
          </w:tcPr>
          <w:p w:rsidR="00A40C66" w:rsidP="00A40C66" w14:paraId="76241666" w14:textId="430398D9">
            <w:r>
              <w:t>Elizabeth Sanders</w:t>
            </w:r>
          </w:p>
        </w:tc>
      </w:tr>
      <w:tr w14:paraId="296C0190" w14:textId="77777777" w:rsidTr="00A40C66">
        <w:tblPrEx>
          <w:tblW w:w="9355" w:type="dxa"/>
          <w:tblLook w:val="04A0"/>
        </w:tblPrEx>
        <w:tc>
          <w:tcPr>
            <w:tcW w:w="3631" w:type="dxa"/>
            <w:vAlign w:val="center"/>
          </w:tcPr>
          <w:p w:rsidR="00A40C66" w:rsidP="00A40C66" w14:paraId="52A62175" w14:textId="13D2515B">
            <w:r>
              <w:t>0331</w:t>
            </w:r>
          </w:p>
        </w:tc>
        <w:tc>
          <w:tcPr>
            <w:tcW w:w="5724" w:type="dxa"/>
            <w:vAlign w:val="center"/>
          </w:tcPr>
          <w:p w:rsidR="00A40C66" w:rsidP="00A40C66" w14:paraId="4A5E5C32" w14:textId="714CA776">
            <w:r w:rsidRPr="005F4566">
              <w:t>April Rodeghero</w:t>
            </w:r>
          </w:p>
        </w:tc>
      </w:tr>
      <w:tr w14:paraId="71DB1619" w14:textId="77777777" w:rsidTr="00A40C66">
        <w:tblPrEx>
          <w:tblW w:w="9355" w:type="dxa"/>
          <w:tblLook w:val="04A0"/>
        </w:tblPrEx>
        <w:tc>
          <w:tcPr>
            <w:tcW w:w="3631" w:type="dxa"/>
            <w:vAlign w:val="center"/>
          </w:tcPr>
          <w:p w:rsidR="00A40C66" w:rsidP="00A40C66" w14:paraId="297B1FBE" w14:textId="406F8A24">
            <w:r>
              <w:t>0332</w:t>
            </w:r>
          </w:p>
        </w:tc>
        <w:tc>
          <w:tcPr>
            <w:tcW w:w="5724" w:type="dxa"/>
            <w:vAlign w:val="center"/>
          </w:tcPr>
          <w:p w:rsidR="00A40C66" w:rsidRPr="005F4566" w:rsidP="00A40C66" w14:paraId="737D8C92" w14:textId="66F9851D">
            <w:r>
              <w:t>Anonymous</w:t>
            </w:r>
          </w:p>
        </w:tc>
      </w:tr>
      <w:tr w14:paraId="40AEE5E3" w14:textId="77777777" w:rsidTr="00A40C66">
        <w:tblPrEx>
          <w:tblW w:w="9355" w:type="dxa"/>
          <w:tblLook w:val="04A0"/>
        </w:tblPrEx>
        <w:tc>
          <w:tcPr>
            <w:tcW w:w="3631" w:type="dxa"/>
            <w:vAlign w:val="center"/>
          </w:tcPr>
          <w:p w:rsidR="00A40C66" w:rsidP="00A40C66" w14:paraId="2E1998A4" w14:textId="4B2A2994">
            <w:r>
              <w:t>0333</w:t>
            </w:r>
          </w:p>
        </w:tc>
        <w:tc>
          <w:tcPr>
            <w:tcW w:w="5724" w:type="dxa"/>
            <w:vAlign w:val="center"/>
          </w:tcPr>
          <w:p w:rsidR="00A40C66" w:rsidP="00A40C66" w14:paraId="2701AA37" w14:textId="68A9DD90">
            <w:r>
              <w:t>Anonymous</w:t>
            </w:r>
          </w:p>
        </w:tc>
      </w:tr>
      <w:tr w14:paraId="1DAE4723" w14:textId="77777777" w:rsidTr="00A40C66">
        <w:tblPrEx>
          <w:tblW w:w="9355" w:type="dxa"/>
          <w:tblLook w:val="04A0"/>
        </w:tblPrEx>
        <w:tc>
          <w:tcPr>
            <w:tcW w:w="3631" w:type="dxa"/>
            <w:vAlign w:val="center"/>
          </w:tcPr>
          <w:p w:rsidR="00A40C66" w:rsidP="00A40C66" w14:paraId="7AA67189" w14:textId="03A367E5">
            <w:r>
              <w:t>0334</w:t>
            </w:r>
          </w:p>
        </w:tc>
        <w:tc>
          <w:tcPr>
            <w:tcW w:w="5724" w:type="dxa"/>
            <w:vAlign w:val="center"/>
          </w:tcPr>
          <w:p w:rsidR="00A40C66" w:rsidP="00A40C66" w14:paraId="5E5E834A" w14:textId="3EDABA8B">
            <w:r>
              <w:t>Anonymous</w:t>
            </w:r>
          </w:p>
        </w:tc>
      </w:tr>
      <w:tr w14:paraId="516B774A" w14:textId="77777777" w:rsidTr="00A40C66">
        <w:tblPrEx>
          <w:tblW w:w="9355" w:type="dxa"/>
          <w:tblLook w:val="04A0"/>
        </w:tblPrEx>
        <w:tc>
          <w:tcPr>
            <w:tcW w:w="3631" w:type="dxa"/>
            <w:vAlign w:val="center"/>
          </w:tcPr>
          <w:p w:rsidR="00A40C66" w:rsidP="00A40C66" w14:paraId="0A936A27" w14:textId="650EA8E4">
            <w:r>
              <w:t>0335</w:t>
            </w:r>
          </w:p>
        </w:tc>
        <w:tc>
          <w:tcPr>
            <w:tcW w:w="5724" w:type="dxa"/>
            <w:vAlign w:val="center"/>
          </w:tcPr>
          <w:p w:rsidR="00A40C66" w:rsidP="00A40C66" w14:paraId="545C1AC1" w14:textId="11C4D034">
            <w:r>
              <w:t>Katie Hunter</w:t>
            </w:r>
          </w:p>
        </w:tc>
      </w:tr>
      <w:tr w14:paraId="346C692F" w14:textId="77777777" w:rsidTr="00A40C66">
        <w:tblPrEx>
          <w:tblW w:w="9355" w:type="dxa"/>
          <w:tblLook w:val="04A0"/>
        </w:tblPrEx>
        <w:tc>
          <w:tcPr>
            <w:tcW w:w="3631" w:type="dxa"/>
            <w:vAlign w:val="center"/>
          </w:tcPr>
          <w:p w:rsidR="00A40C66" w:rsidP="00A40C66" w14:paraId="13BA7936" w14:textId="7C381324">
            <w:r>
              <w:t>0336</w:t>
            </w:r>
          </w:p>
        </w:tc>
        <w:tc>
          <w:tcPr>
            <w:tcW w:w="5724" w:type="dxa"/>
            <w:vAlign w:val="center"/>
          </w:tcPr>
          <w:p w:rsidR="00A40C66" w:rsidP="00A40C66" w14:paraId="73C8BC58" w14:textId="6EDB1ADC">
            <w:r>
              <w:t>Nancy Nelson</w:t>
            </w:r>
          </w:p>
        </w:tc>
      </w:tr>
      <w:tr w14:paraId="2C5927F0" w14:textId="77777777" w:rsidTr="00A40C66">
        <w:tblPrEx>
          <w:tblW w:w="9355" w:type="dxa"/>
          <w:tblLook w:val="04A0"/>
        </w:tblPrEx>
        <w:tc>
          <w:tcPr>
            <w:tcW w:w="3631" w:type="dxa"/>
            <w:vAlign w:val="center"/>
          </w:tcPr>
          <w:p w:rsidR="00A40C66" w:rsidP="00A40C66" w14:paraId="65B64D47" w14:textId="4461FD6B">
            <w:r>
              <w:t>0337</w:t>
            </w:r>
          </w:p>
        </w:tc>
        <w:tc>
          <w:tcPr>
            <w:tcW w:w="5724" w:type="dxa"/>
            <w:vAlign w:val="center"/>
          </w:tcPr>
          <w:p w:rsidR="00A40C66" w:rsidP="00A40C66" w14:paraId="1DBF888B" w14:textId="2EFD6D6F">
            <w:r w:rsidRPr="002E0E0D">
              <w:t>Rayna Burmeister</w:t>
            </w:r>
          </w:p>
        </w:tc>
      </w:tr>
      <w:tr w14:paraId="5B8133FF" w14:textId="77777777" w:rsidTr="00A40C66">
        <w:tblPrEx>
          <w:tblW w:w="9355" w:type="dxa"/>
          <w:tblLook w:val="04A0"/>
        </w:tblPrEx>
        <w:tc>
          <w:tcPr>
            <w:tcW w:w="3631" w:type="dxa"/>
            <w:vAlign w:val="center"/>
          </w:tcPr>
          <w:p w:rsidR="00A40C66" w:rsidP="00A40C66" w14:paraId="5A9ED08D" w14:textId="7AFB9D6C">
            <w:r>
              <w:t>0338</w:t>
            </w:r>
          </w:p>
        </w:tc>
        <w:tc>
          <w:tcPr>
            <w:tcW w:w="5724" w:type="dxa"/>
            <w:vAlign w:val="center"/>
          </w:tcPr>
          <w:p w:rsidR="00A40C66" w:rsidRPr="002E0E0D" w:rsidP="00A40C66" w14:paraId="19B38B5D" w14:textId="723E5E04">
            <w:r w:rsidRPr="002E0E0D">
              <w:t>Michelle Adler</w:t>
            </w:r>
          </w:p>
        </w:tc>
      </w:tr>
      <w:tr w14:paraId="3A0AAAB2" w14:textId="77777777" w:rsidTr="00A40C66">
        <w:tblPrEx>
          <w:tblW w:w="9355" w:type="dxa"/>
          <w:tblLook w:val="04A0"/>
        </w:tblPrEx>
        <w:tc>
          <w:tcPr>
            <w:tcW w:w="3631" w:type="dxa"/>
            <w:vAlign w:val="center"/>
          </w:tcPr>
          <w:p w:rsidR="00A40C66" w:rsidP="00A40C66" w14:paraId="31F86094" w14:textId="0569F628">
            <w:r>
              <w:t>0339</w:t>
            </w:r>
          </w:p>
        </w:tc>
        <w:tc>
          <w:tcPr>
            <w:tcW w:w="5724" w:type="dxa"/>
            <w:vAlign w:val="center"/>
          </w:tcPr>
          <w:p w:rsidR="00A40C66" w:rsidRPr="002E0E0D" w:rsidP="00A40C66" w14:paraId="209DE369" w14:textId="2C893BBB">
            <w:r>
              <w:t>Anonymous</w:t>
            </w:r>
          </w:p>
        </w:tc>
      </w:tr>
      <w:tr w14:paraId="67814751" w14:textId="77777777" w:rsidTr="00A40C66">
        <w:tblPrEx>
          <w:tblW w:w="9355" w:type="dxa"/>
          <w:tblLook w:val="04A0"/>
        </w:tblPrEx>
        <w:tc>
          <w:tcPr>
            <w:tcW w:w="3631" w:type="dxa"/>
            <w:vAlign w:val="center"/>
          </w:tcPr>
          <w:p w:rsidR="00A40C66" w:rsidP="00A40C66" w14:paraId="648956C6" w14:textId="4D15090A">
            <w:r>
              <w:t>0340</w:t>
            </w:r>
          </w:p>
        </w:tc>
        <w:tc>
          <w:tcPr>
            <w:tcW w:w="5724" w:type="dxa"/>
            <w:vAlign w:val="center"/>
          </w:tcPr>
          <w:p w:rsidR="00A40C66" w:rsidRPr="002E0E0D" w:rsidP="00A40C66" w14:paraId="03D2C80B" w14:textId="37C92D96">
            <w:r>
              <w:t>Anonymous</w:t>
            </w:r>
          </w:p>
        </w:tc>
      </w:tr>
      <w:tr w14:paraId="352C2DE5" w14:textId="77777777" w:rsidTr="00A40C66">
        <w:tblPrEx>
          <w:tblW w:w="9355" w:type="dxa"/>
          <w:tblLook w:val="04A0"/>
        </w:tblPrEx>
        <w:tc>
          <w:tcPr>
            <w:tcW w:w="3631" w:type="dxa"/>
            <w:vAlign w:val="center"/>
          </w:tcPr>
          <w:p w:rsidR="00A40C66" w:rsidP="00A40C66" w14:paraId="03BC2655" w14:textId="3B089A6D">
            <w:r>
              <w:t>0341</w:t>
            </w:r>
          </w:p>
        </w:tc>
        <w:tc>
          <w:tcPr>
            <w:tcW w:w="5724" w:type="dxa"/>
            <w:vAlign w:val="center"/>
          </w:tcPr>
          <w:p w:rsidR="00A40C66" w:rsidRPr="002E0E0D" w:rsidP="00A40C66" w14:paraId="64172C25" w14:textId="09B74FBC">
            <w:r>
              <w:t>Anonymous</w:t>
            </w:r>
          </w:p>
        </w:tc>
      </w:tr>
      <w:tr w14:paraId="74DFD69D" w14:textId="77777777" w:rsidTr="00A40C66">
        <w:tblPrEx>
          <w:tblW w:w="9355" w:type="dxa"/>
          <w:tblLook w:val="04A0"/>
        </w:tblPrEx>
        <w:tc>
          <w:tcPr>
            <w:tcW w:w="3631" w:type="dxa"/>
            <w:vAlign w:val="center"/>
          </w:tcPr>
          <w:p w:rsidR="00A40C66" w:rsidP="00A40C66" w14:paraId="762E5D8B" w14:textId="5419209D">
            <w:r>
              <w:t>0342</w:t>
            </w:r>
          </w:p>
        </w:tc>
        <w:tc>
          <w:tcPr>
            <w:tcW w:w="5724" w:type="dxa"/>
            <w:vAlign w:val="center"/>
          </w:tcPr>
          <w:p w:rsidR="00A40C66" w:rsidRPr="002E0E0D" w:rsidP="00A40C66" w14:paraId="6BC79557" w14:textId="385130B5">
            <w:r>
              <w:t>Anonymous</w:t>
            </w:r>
          </w:p>
        </w:tc>
      </w:tr>
      <w:tr w14:paraId="0AD1FBDA" w14:textId="77777777" w:rsidTr="00A40C66">
        <w:tblPrEx>
          <w:tblW w:w="9355" w:type="dxa"/>
          <w:tblLook w:val="04A0"/>
        </w:tblPrEx>
        <w:tc>
          <w:tcPr>
            <w:tcW w:w="3631" w:type="dxa"/>
            <w:vAlign w:val="center"/>
          </w:tcPr>
          <w:p w:rsidR="00A40C66" w:rsidP="00A40C66" w14:paraId="2F4FEFF7" w14:textId="6304F8C8">
            <w:r>
              <w:t>0343</w:t>
            </w:r>
          </w:p>
        </w:tc>
        <w:tc>
          <w:tcPr>
            <w:tcW w:w="5724" w:type="dxa"/>
            <w:vAlign w:val="center"/>
          </w:tcPr>
          <w:p w:rsidR="00A40C66" w:rsidRPr="002E0E0D" w:rsidP="00A40C66" w14:paraId="28B5AC3A" w14:textId="4E0B1C5D">
            <w:r w:rsidRPr="0079140D">
              <w:t>Elizabeth Catelli</w:t>
            </w:r>
          </w:p>
        </w:tc>
      </w:tr>
      <w:tr w14:paraId="5F592731" w14:textId="77777777" w:rsidTr="00A40C66">
        <w:tblPrEx>
          <w:tblW w:w="9355" w:type="dxa"/>
          <w:tblLook w:val="04A0"/>
        </w:tblPrEx>
        <w:tc>
          <w:tcPr>
            <w:tcW w:w="3631" w:type="dxa"/>
            <w:vAlign w:val="center"/>
          </w:tcPr>
          <w:p w:rsidR="00A40C66" w:rsidP="00A40C66" w14:paraId="2F6DE70A" w14:textId="50C8F103">
            <w:r>
              <w:t>0344</w:t>
            </w:r>
          </w:p>
        </w:tc>
        <w:tc>
          <w:tcPr>
            <w:tcW w:w="5724" w:type="dxa"/>
            <w:vAlign w:val="center"/>
          </w:tcPr>
          <w:p w:rsidR="00A40C66" w:rsidRPr="002E0E0D" w:rsidP="00A40C66" w14:paraId="2645485F" w14:textId="4B18C5D5">
            <w:r w:rsidRPr="0079140D">
              <w:t>Jane Rapinchuk</w:t>
            </w:r>
          </w:p>
        </w:tc>
      </w:tr>
      <w:tr w14:paraId="1016B8BD" w14:textId="77777777" w:rsidTr="00A40C66">
        <w:tblPrEx>
          <w:tblW w:w="9355" w:type="dxa"/>
          <w:tblLook w:val="04A0"/>
        </w:tblPrEx>
        <w:tc>
          <w:tcPr>
            <w:tcW w:w="3631" w:type="dxa"/>
            <w:vAlign w:val="center"/>
          </w:tcPr>
          <w:p w:rsidR="00A40C66" w:rsidP="00A40C66" w14:paraId="3D675457" w14:textId="47D2F08F">
            <w:r>
              <w:t>0345</w:t>
            </w:r>
          </w:p>
        </w:tc>
        <w:tc>
          <w:tcPr>
            <w:tcW w:w="5724" w:type="dxa"/>
            <w:vAlign w:val="center"/>
          </w:tcPr>
          <w:p w:rsidR="00A40C66" w:rsidRPr="002E0E0D" w:rsidP="00A40C66" w14:paraId="401B5A2F" w14:textId="0047B072">
            <w:r w:rsidRPr="0079140D">
              <w:t>Erin Rectanus</w:t>
            </w:r>
          </w:p>
        </w:tc>
      </w:tr>
      <w:tr w14:paraId="2E5D05A9" w14:textId="77777777" w:rsidTr="00A40C66">
        <w:tblPrEx>
          <w:tblW w:w="9355" w:type="dxa"/>
          <w:tblLook w:val="04A0"/>
        </w:tblPrEx>
        <w:tc>
          <w:tcPr>
            <w:tcW w:w="3631" w:type="dxa"/>
            <w:vAlign w:val="center"/>
          </w:tcPr>
          <w:p w:rsidR="00A40C66" w:rsidP="00A40C66" w14:paraId="3BA405C1" w14:textId="02636A15">
            <w:r>
              <w:t>0346</w:t>
            </w:r>
          </w:p>
        </w:tc>
        <w:tc>
          <w:tcPr>
            <w:tcW w:w="5724" w:type="dxa"/>
            <w:vAlign w:val="center"/>
          </w:tcPr>
          <w:p w:rsidR="00A40C66" w:rsidRPr="002E0E0D" w:rsidP="00A40C66" w14:paraId="1E7D7ED4" w14:textId="10CC4FCE">
            <w:r>
              <w:t>Anonymous</w:t>
            </w:r>
          </w:p>
        </w:tc>
      </w:tr>
      <w:tr w14:paraId="7D2E86FD" w14:textId="77777777" w:rsidTr="00A40C66">
        <w:tblPrEx>
          <w:tblW w:w="9355" w:type="dxa"/>
          <w:tblLook w:val="04A0"/>
        </w:tblPrEx>
        <w:tc>
          <w:tcPr>
            <w:tcW w:w="3631" w:type="dxa"/>
            <w:vAlign w:val="center"/>
          </w:tcPr>
          <w:p w:rsidR="00A40C66" w:rsidP="00A40C66" w14:paraId="093019EE" w14:textId="3AE949B9">
            <w:r>
              <w:t>0347</w:t>
            </w:r>
          </w:p>
        </w:tc>
        <w:tc>
          <w:tcPr>
            <w:tcW w:w="5724" w:type="dxa"/>
            <w:vAlign w:val="center"/>
          </w:tcPr>
          <w:p w:rsidR="00A40C66" w:rsidRPr="002E0E0D" w:rsidP="00A40C66" w14:paraId="155F6574" w14:textId="618D98FF">
            <w:r>
              <w:t>Anonymous</w:t>
            </w:r>
          </w:p>
        </w:tc>
      </w:tr>
      <w:tr w14:paraId="52FE58E4" w14:textId="77777777" w:rsidTr="00A40C66">
        <w:tblPrEx>
          <w:tblW w:w="9355" w:type="dxa"/>
          <w:tblLook w:val="04A0"/>
        </w:tblPrEx>
        <w:tc>
          <w:tcPr>
            <w:tcW w:w="3631" w:type="dxa"/>
            <w:vAlign w:val="center"/>
          </w:tcPr>
          <w:p w:rsidR="00A40C66" w:rsidP="00A40C66" w14:paraId="340F1CA8" w14:textId="22BE0A7D">
            <w:r>
              <w:t>0348</w:t>
            </w:r>
          </w:p>
        </w:tc>
        <w:tc>
          <w:tcPr>
            <w:tcW w:w="5724" w:type="dxa"/>
            <w:vAlign w:val="center"/>
          </w:tcPr>
          <w:p w:rsidR="00A40C66" w:rsidRPr="002E0E0D" w:rsidP="00A40C66" w14:paraId="42CB1CFE" w14:textId="3DEFDB21">
            <w:r w:rsidRPr="007C1846">
              <w:t>Giselle Gibbons</w:t>
            </w:r>
          </w:p>
        </w:tc>
      </w:tr>
      <w:tr w14:paraId="6714BF6D" w14:textId="77777777" w:rsidTr="00A40C66">
        <w:tblPrEx>
          <w:tblW w:w="9355" w:type="dxa"/>
          <w:tblLook w:val="04A0"/>
        </w:tblPrEx>
        <w:tc>
          <w:tcPr>
            <w:tcW w:w="3631" w:type="dxa"/>
            <w:vAlign w:val="center"/>
          </w:tcPr>
          <w:p w:rsidR="00A40C66" w:rsidP="00A40C66" w14:paraId="60185773" w14:textId="6FA52471">
            <w:r>
              <w:t>0349</w:t>
            </w:r>
          </w:p>
        </w:tc>
        <w:tc>
          <w:tcPr>
            <w:tcW w:w="5724" w:type="dxa"/>
            <w:vAlign w:val="center"/>
          </w:tcPr>
          <w:p w:rsidR="00A40C66" w:rsidRPr="002E0E0D" w:rsidP="00A40C66" w14:paraId="20DFCA52" w14:textId="3724E6E3">
            <w:r>
              <w:t>Angela Rice</w:t>
            </w:r>
          </w:p>
        </w:tc>
      </w:tr>
      <w:tr w14:paraId="5E95D87A" w14:textId="77777777" w:rsidTr="00A40C66">
        <w:tblPrEx>
          <w:tblW w:w="9355" w:type="dxa"/>
          <w:tblLook w:val="04A0"/>
        </w:tblPrEx>
        <w:tc>
          <w:tcPr>
            <w:tcW w:w="3631" w:type="dxa"/>
            <w:vAlign w:val="center"/>
          </w:tcPr>
          <w:p w:rsidR="00A40C66" w:rsidP="00A40C66" w14:paraId="524035CA" w14:textId="2D73E462">
            <w:r>
              <w:t>0350</w:t>
            </w:r>
          </w:p>
        </w:tc>
        <w:tc>
          <w:tcPr>
            <w:tcW w:w="5724" w:type="dxa"/>
            <w:vAlign w:val="center"/>
          </w:tcPr>
          <w:p w:rsidR="00A40C66" w:rsidRPr="002E0E0D" w:rsidP="00A40C66" w14:paraId="045C6CAA" w14:textId="216DF75A">
            <w:r w:rsidRPr="00351BBD">
              <w:t>Matthew Bolanos-Wood</w:t>
            </w:r>
          </w:p>
        </w:tc>
      </w:tr>
      <w:tr w14:paraId="42BC4890" w14:textId="77777777" w:rsidTr="00A40C66">
        <w:tblPrEx>
          <w:tblW w:w="9355" w:type="dxa"/>
          <w:tblLook w:val="04A0"/>
        </w:tblPrEx>
        <w:tc>
          <w:tcPr>
            <w:tcW w:w="3631" w:type="dxa"/>
            <w:vAlign w:val="center"/>
          </w:tcPr>
          <w:p w:rsidR="00A40C66" w:rsidP="00A40C66" w14:paraId="7EF9F77C" w14:textId="520D5BA4">
            <w:r>
              <w:t>0351</w:t>
            </w:r>
          </w:p>
        </w:tc>
        <w:tc>
          <w:tcPr>
            <w:tcW w:w="5724" w:type="dxa"/>
            <w:vAlign w:val="center"/>
          </w:tcPr>
          <w:p w:rsidR="00A40C66" w:rsidRPr="002E0E0D" w:rsidP="00A40C66" w14:paraId="56985A23" w14:textId="12B70014">
            <w:r w:rsidRPr="00351BBD">
              <w:t>Katherine Kretchmar</w:t>
            </w:r>
          </w:p>
        </w:tc>
      </w:tr>
      <w:tr w14:paraId="279BC66F" w14:textId="77777777" w:rsidTr="00A40C66">
        <w:tblPrEx>
          <w:tblW w:w="9355" w:type="dxa"/>
          <w:tblLook w:val="04A0"/>
        </w:tblPrEx>
        <w:tc>
          <w:tcPr>
            <w:tcW w:w="3631" w:type="dxa"/>
            <w:vAlign w:val="center"/>
          </w:tcPr>
          <w:p w:rsidR="00A40C66" w:rsidP="00A40C66" w14:paraId="2C2CBD08" w14:textId="65818CD3">
            <w:r>
              <w:t>0352</w:t>
            </w:r>
          </w:p>
        </w:tc>
        <w:tc>
          <w:tcPr>
            <w:tcW w:w="5724" w:type="dxa"/>
            <w:vAlign w:val="center"/>
          </w:tcPr>
          <w:p w:rsidR="00A40C66" w:rsidRPr="002E0E0D" w:rsidP="00A40C66" w14:paraId="4B5C9680" w14:textId="118AC494">
            <w:r w:rsidRPr="00351BBD">
              <w:t>Laura Spehar</w:t>
            </w:r>
          </w:p>
        </w:tc>
      </w:tr>
      <w:tr w14:paraId="0CF16199" w14:textId="77777777" w:rsidTr="00A40C66">
        <w:tblPrEx>
          <w:tblW w:w="9355" w:type="dxa"/>
          <w:tblLook w:val="04A0"/>
        </w:tblPrEx>
        <w:tc>
          <w:tcPr>
            <w:tcW w:w="3631" w:type="dxa"/>
            <w:vAlign w:val="center"/>
          </w:tcPr>
          <w:p w:rsidR="00A40C66" w:rsidP="00A40C66" w14:paraId="3008FCE9" w14:textId="36046A39">
            <w:r>
              <w:t>0353</w:t>
            </w:r>
          </w:p>
        </w:tc>
        <w:tc>
          <w:tcPr>
            <w:tcW w:w="5724" w:type="dxa"/>
            <w:vAlign w:val="center"/>
          </w:tcPr>
          <w:p w:rsidR="00A40C66" w:rsidRPr="002E0E0D" w:rsidP="00A40C66" w14:paraId="63DB3582" w14:textId="13A415EB">
            <w:r w:rsidRPr="00351BBD">
              <w:t>Lisa Hesse</w:t>
            </w:r>
          </w:p>
        </w:tc>
      </w:tr>
      <w:tr w14:paraId="291A3EA0" w14:textId="77777777" w:rsidTr="00A40C66">
        <w:tblPrEx>
          <w:tblW w:w="9355" w:type="dxa"/>
          <w:tblLook w:val="04A0"/>
        </w:tblPrEx>
        <w:tc>
          <w:tcPr>
            <w:tcW w:w="3631" w:type="dxa"/>
            <w:vAlign w:val="center"/>
          </w:tcPr>
          <w:p w:rsidR="00A40C66" w:rsidP="00A40C66" w14:paraId="286E4E59" w14:textId="626BD1F0">
            <w:r>
              <w:t>0354</w:t>
            </w:r>
          </w:p>
        </w:tc>
        <w:tc>
          <w:tcPr>
            <w:tcW w:w="5724" w:type="dxa"/>
            <w:vAlign w:val="center"/>
          </w:tcPr>
          <w:p w:rsidR="00A40C66" w:rsidRPr="002E0E0D" w:rsidP="00A40C66" w14:paraId="2AC06474" w14:textId="18E99C09">
            <w:r w:rsidRPr="00351BBD">
              <w:t>Elizabeth Kramer</w:t>
            </w:r>
          </w:p>
        </w:tc>
      </w:tr>
      <w:tr w14:paraId="1AC93D41" w14:textId="77777777" w:rsidTr="00A40C66">
        <w:tblPrEx>
          <w:tblW w:w="9355" w:type="dxa"/>
          <w:tblLook w:val="04A0"/>
        </w:tblPrEx>
        <w:tc>
          <w:tcPr>
            <w:tcW w:w="3631" w:type="dxa"/>
            <w:vAlign w:val="center"/>
          </w:tcPr>
          <w:p w:rsidR="00A40C66" w:rsidP="00A40C66" w14:paraId="3EDDAE96" w14:textId="5D61DE18">
            <w:r>
              <w:t>0355</w:t>
            </w:r>
          </w:p>
        </w:tc>
        <w:tc>
          <w:tcPr>
            <w:tcW w:w="5724" w:type="dxa"/>
            <w:vAlign w:val="center"/>
          </w:tcPr>
          <w:p w:rsidR="00A40C66" w:rsidRPr="002E0E0D" w:rsidP="00A40C66" w14:paraId="597F8469" w14:textId="5513B992">
            <w:r w:rsidRPr="00351BBD">
              <w:t>Kimberly Kaufmann</w:t>
            </w:r>
          </w:p>
        </w:tc>
      </w:tr>
      <w:tr w14:paraId="3F80DD42" w14:textId="77777777" w:rsidTr="00A40C66">
        <w:tblPrEx>
          <w:tblW w:w="9355" w:type="dxa"/>
          <w:tblLook w:val="04A0"/>
        </w:tblPrEx>
        <w:tc>
          <w:tcPr>
            <w:tcW w:w="3631" w:type="dxa"/>
            <w:vAlign w:val="center"/>
          </w:tcPr>
          <w:p w:rsidR="00A40C66" w:rsidP="00A40C66" w14:paraId="0EB6BAD8" w14:textId="0E922CDE">
            <w:r>
              <w:t>0356</w:t>
            </w:r>
          </w:p>
        </w:tc>
        <w:tc>
          <w:tcPr>
            <w:tcW w:w="5724" w:type="dxa"/>
            <w:vAlign w:val="center"/>
          </w:tcPr>
          <w:p w:rsidR="00A40C66" w:rsidRPr="002E0E0D" w:rsidP="00A40C66" w14:paraId="132AA5BF" w14:textId="70C2E7A2">
            <w:r w:rsidRPr="00351BBD">
              <w:t>Venetia Charles</w:t>
            </w:r>
          </w:p>
        </w:tc>
      </w:tr>
      <w:tr w14:paraId="03014CBF" w14:textId="77777777" w:rsidTr="00A40C66">
        <w:tblPrEx>
          <w:tblW w:w="9355" w:type="dxa"/>
          <w:tblLook w:val="04A0"/>
        </w:tblPrEx>
        <w:tc>
          <w:tcPr>
            <w:tcW w:w="3631" w:type="dxa"/>
            <w:vAlign w:val="center"/>
          </w:tcPr>
          <w:p w:rsidR="00A40C66" w:rsidP="00A40C66" w14:paraId="06FE8B3E" w14:textId="18CFF494">
            <w:r>
              <w:t>0357</w:t>
            </w:r>
          </w:p>
        </w:tc>
        <w:tc>
          <w:tcPr>
            <w:tcW w:w="5724" w:type="dxa"/>
            <w:vAlign w:val="center"/>
          </w:tcPr>
          <w:p w:rsidR="00A40C66" w:rsidRPr="002E0E0D" w:rsidP="00A40C66" w14:paraId="6E30743B" w14:textId="003D2AA4">
            <w:r w:rsidRPr="00351BBD">
              <w:t>Noel Russell</w:t>
            </w:r>
          </w:p>
        </w:tc>
      </w:tr>
      <w:tr w14:paraId="157DB133" w14:textId="77777777" w:rsidTr="00A40C66">
        <w:tblPrEx>
          <w:tblW w:w="9355" w:type="dxa"/>
          <w:tblLook w:val="04A0"/>
        </w:tblPrEx>
        <w:tc>
          <w:tcPr>
            <w:tcW w:w="3631" w:type="dxa"/>
            <w:vAlign w:val="center"/>
          </w:tcPr>
          <w:p w:rsidR="00A40C66" w:rsidP="00A40C66" w14:paraId="7300890F" w14:textId="7CE68084">
            <w:r>
              <w:t>0358</w:t>
            </w:r>
          </w:p>
        </w:tc>
        <w:tc>
          <w:tcPr>
            <w:tcW w:w="5724" w:type="dxa"/>
            <w:vAlign w:val="center"/>
          </w:tcPr>
          <w:p w:rsidR="00A40C66" w:rsidRPr="002E0E0D" w:rsidP="00A40C66" w14:paraId="7696E926" w14:textId="45998190">
            <w:r w:rsidRPr="00351BBD">
              <w:t>Sarah Holt</w:t>
            </w:r>
          </w:p>
        </w:tc>
      </w:tr>
      <w:tr w14:paraId="73D58912" w14:textId="77777777" w:rsidTr="00A40C66">
        <w:tblPrEx>
          <w:tblW w:w="9355" w:type="dxa"/>
          <w:tblLook w:val="04A0"/>
        </w:tblPrEx>
        <w:tc>
          <w:tcPr>
            <w:tcW w:w="3631" w:type="dxa"/>
            <w:vAlign w:val="center"/>
          </w:tcPr>
          <w:p w:rsidR="00A40C66" w:rsidP="00A40C66" w14:paraId="2CB329F6" w14:textId="31DD5558">
            <w:r>
              <w:t>0359</w:t>
            </w:r>
          </w:p>
        </w:tc>
        <w:tc>
          <w:tcPr>
            <w:tcW w:w="5724" w:type="dxa"/>
            <w:vAlign w:val="center"/>
          </w:tcPr>
          <w:p w:rsidR="00A40C66" w:rsidRPr="002E0E0D" w:rsidP="00A40C66" w14:paraId="705D8AAC" w14:textId="418BE93E">
            <w:r w:rsidRPr="00351BBD">
              <w:t>Anonymous</w:t>
            </w:r>
          </w:p>
        </w:tc>
      </w:tr>
      <w:tr w14:paraId="466C6AF7" w14:textId="77777777" w:rsidTr="00A40C66">
        <w:tblPrEx>
          <w:tblW w:w="9355" w:type="dxa"/>
          <w:tblLook w:val="04A0"/>
        </w:tblPrEx>
        <w:tc>
          <w:tcPr>
            <w:tcW w:w="3631" w:type="dxa"/>
            <w:vAlign w:val="center"/>
          </w:tcPr>
          <w:p w:rsidR="00A40C66" w:rsidP="00A40C66" w14:paraId="636FFF49" w14:textId="131FE185">
            <w:r>
              <w:t>0360</w:t>
            </w:r>
          </w:p>
        </w:tc>
        <w:tc>
          <w:tcPr>
            <w:tcW w:w="5724" w:type="dxa"/>
            <w:vAlign w:val="center"/>
          </w:tcPr>
          <w:p w:rsidR="00A40C66" w:rsidRPr="002E0E0D" w:rsidP="00A40C66" w14:paraId="5AA1882E" w14:textId="49813030">
            <w:r w:rsidRPr="00351BBD">
              <w:t>Eileen ODonnell</w:t>
            </w:r>
          </w:p>
        </w:tc>
      </w:tr>
      <w:tr w14:paraId="3386F768" w14:textId="77777777" w:rsidTr="00A40C66">
        <w:tblPrEx>
          <w:tblW w:w="9355" w:type="dxa"/>
          <w:tblLook w:val="04A0"/>
        </w:tblPrEx>
        <w:tc>
          <w:tcPr>
            <w:tcW w:w="3631" w:type="dxa"/>
            <w:vAlign w:val="center"/>
          </w:tcPr>
          <w:p w:rsidR="00A40C66" w:rsidP="00A40C66" w14:paraId="0FBAA2C9" w14:textId="491B68E8">
            <w:r>
              <w:t>0361</w:t>
            </w:r>
          </w:p>
        </w:tc>
        <w:tc>
          <w:tcPr>
            <w:tcW w:w="5724" w:type="dxa"/>
            <w:vAlign w:val="center"/>
          </w:tcPr>
          <w:p w:rsidR="00A40C66" w:rsidRPr="002E0E0D" w:rsidP="00A40C66" w14:paraId="0603B797" w14:textId="226F550B">
            <w:r w:rsidRPr="00DB5C51">
              <w:t>Maria Kramer</w:t>
            </w:r>
          </w:p>
        </w:tc>
      </w:tr>
      <w:tr w14:paraId="056296F1" w14:textId="77777777" w:rsidTr="00A40C66">
        <w:tblPrEx>
          <w:tblW w:w="9355" w:type="dxa"/>
          <w:tblLook w:val="04A0"/>
        </w:tblPrEx>
        <w:tc>
          <w:tcPr>
            <w:tcW w:w="3631" w:type="dxa"/>
            <w:vAlign w:val="center"/>
          </w:tcPr>
          <w:p w:rsidR="00A40C66" w:rsidP="00A40C66" w14:paraId="38502782" w14:textId="3B9471F6">
            <w:r>
              <w:t>0362</w:t>
            </w:r>
          </w:p>
        </w:tc>
        <w:tc>
          <w:tcPr>
            <w:tcW w:w="5724" w:type="dxa"/>
            <w:vAlign w:val="center"/>
          </w:tcPr>
          <w:p w:rsidR="00A40C66" w:rsidRPr="002E0E0D" w:rsidP="00A40C66" w14:paraId="76087D84" w14:textId="1392CD8E">
            <w:r w:rsidRPr="00DB5C51">
              <w:t xml:space="preserve">Anonymous </w:t>
            </w:r>
          </w:p>
        </w:tc>
      </w:tr>
      <w:tr w14:paraId="6F98CCE3" w14:textId="77777777" w:rsidTr="00A40C66">
        <w:tblPrEx>
          <w:tblW w:w="9355" w:type="dxa"/>
          <w:tblLook w:val="04A0"/>
        </w:tblPrEx>
        <w:tc>
          <w:tcPr>
            <w:tcW w:w="3631" w:type="dxa"/>
            <w:vAlign w:val="center"/>
          </w:tcPr>
          <w:p w:rsidR="00A40C66" w:rsidP="00A40C66" w14:paraId="56C8D4A7" w14:textId="48E4B080">
            <w:r>
              <w:t>0363</w:t>
            </w:r>
          </w:p>
        </w:tc>
        <w:tc>
          <w:tcPr>
            <w:tcW w:w="5724" w:type="dxa"/>
            <w:vAlign w:val="center"/>
          </w:tcPr>
          <w:p w:rsidR="00A40C66" w:rsidRPr="002E0E0D" w:rsidP="00A40C66" w14:paraId="7192F66A" w14:textId="3AF1B4E0">
            <w:r w:rsidRPr="00DB5C51">
              <w:t>B. Moyer</w:t>
            </w:r>
          </w:p>
        </w:tc>
      </w:tr>
      <w:tr w14:paraId="44DEAAC6" w14:textId="77777777" w:rsidTr="00A40C66">
        <w:tblPrEx>
          <w:tblW w:w="9355" w:type="dxa"/>
          <w:tblLook w:val="04A0"/>
        </w:tblPrEx>
        <w:tc>
          <w:tcPr>
            <w:tcW w:w="3631" w:type="dxa"/>
            <w:vAlign w:val="center"/>
          </w:tcPr>
          <w:p w:rsidR="00A40C66" w:rsidP="00A40C66" w14:paraId="5B5F3539" w14:textId="0853F8F1">
            <w:r>
              <w:t>0364</w:t>
            </w:r>
          </w:p>
        </w:tc>
        <w:tc>
          <w:tcPr>
            <w:tcW w:w="5724" w:type="dxa"/>
            <w:vAlign w:val="center"/>
          </w:tcPr>
          <w:p w:rsidR="00A40C66" w:rsidRPr="002E0E0D" w:rsidP="00A40C66" w14:paraId="6E89BD98" w14:textId="65B4BBA8">
            <w:r w:rsidRPr="00DB5C51">
              <w:t>Ibeya Allf</w:t>
            </w:r>
          </w:p>
        </w:tc>
      </w:tr>
      <w:tr w14:paraId="154E5BA5" w14:textId="77777777" w:rsidTr="00A40C66">
        <w:tblPrEx>
          <w:tblW w:w="9355" w:type="dxa"/>
          <w:tblLook w:val="04A0"/>
        </w:tblPrEx>
        <w:tc>
          <w:tcPr>
            <w:tcW w:w="3631" w:type="dxa"/>
            <w:vAlign w:val="center"/>
          </w:tcPr>
          <w:p w:rsidR="00A40C66" w:rsidP="00A40C66" w14:paraId="3B27BBDE" w14:textId="1881F23F">
            <w:r>
              <w:t>0365</w:t>
            </w:r>
          </w:p>
        </w:tc>
        <w:tc>
          <w:tcPr>
            <w:tcW w:w="5724" w:type="dxa"/>
            <w:vAlign w:val="center"/>
          </w:tcPr>
          <w:p w:rsidR="00A40C66" w:rsidRPr="002E0E0D" w:rsidP="00A40C66" w14:paraId="7E5F0D1C" w14:textId="01E48779">
            <w:r w:rsidRPr="00DB5C51">
              <w:t xml:space="preserve">Anonymous </w:t>
            </w:r>
          </w:p>
        </w:tc>
      </w:tr>
      <w:tr w14:paraId="7B60B891" w14:textId="77777777" w:rsidTr="00A40C66">
        <w:tblPrEx>
          <w:tblW w:w="9355" w:type="dxa"/>
          <w:tblLook w:val="04A0"/>
        </w:tblPrEx>
        <w:tc>
          <w:tcPr>
            <w:tcW w:w="3631" w:type="dxa"/>
            <w:vAlign w:val="center"/>
          </w:tcPr>
          <w:p w:rsidR="00A40C66" w:rsidP="00A40C66" w14:paraId="7B3DDFFE" w14:textId="4C37134F">
            <w:r>
              <w:t>0366</w:t>
            </w:r>
          </w:p>
        </w:tc>
        <w:tc>
          <w:tcPr>
            <w:tcW w:w="5724" w:type="dxa"/>
            <w:vAlign w:val="center"/>
          </w:tcPr>
          <w:p w:rsidR="00A40C66" w:rsidRPr="002E0E0D" w:rsidP="00A40C66" w14:paraId="0FC707B7" w14:textId="6D05E498">
            <w:r w:rsidRPr="00DB5C51">
              <w:t>Tanya King</w:t>
            </w:r>
          </w:p>
        </w:tc>
      </w:tr>
      <w:tr w14:paraId="2CF4EF1C" w14:textId="77777777" w:rsidTr="00A40C66">
        <w:tblPrEx>
          <w:tblW w:w="9355" w:type="dxa"/>
          <w:tblLook w:val="04A0"/>
        </w:tblPrEx>
        <w:tc>
          <w:tcPr>
            <w:tcW w:w="3631" w:type="dxa"/>
            <w:vAlign w:val="center"/>
          </w:tcPr>
          <w:p w:rsidR="00A40C66" w:rsidP="00A40C66" w14:paraId="4FD2269D" w14:textId="77EC8EEB">
            <w:r>
              <w:t>0367</w:t>
            </w:r>
          </w:p>
        </w:tc>
        <w:tc>
          <w:tcPr>
            <w:tcW w:w="5724" w:type="dxa"/>
            <w:vAlign w:val="center"/>
          </w:tcPr>
          <w:p w:rsidR="00A40C66" w:rsidRPr="002E0E0D" w:rsidP="00A40C66" w14:paraId="4C202FFF" w14:textId="372DD9FD">
            <w:r w:rsidRPr="00DB5C51">
              <w:t xml:space="preserve">Anonymous </w:t>
            </w:r>
          </w:p>
        </w:tc>
      </w:tr>
      <w:tr w14:paraId="1B2B332F" w14:textId="77777777" w:rsidTr="00A40C66">
        <w:tblPrEx>
          <w:tblW w:w="9355" w:type="dxa"/>
          <w:tblLook w:val="04A0"/>
        </w:tblPrEx>
        <w:tc>
          <w:tcPr>
            <w:tcW w:w="3631" w:type="dxa"/>
            <w:vAlign w:val="center"/>
          </w:tcPr>
          <w:p w:rsidR="00A40C66" w:rsidP="00A40C66" w14:paraId="51A4DE70" w14:textId="4933C9AD">
            <w:r>
              <w:t>0368</w:t>
            </w:r>
          </w:p>
        </w:tc>
        <w:tc>
          <w:tcPr>
            <w:tcW w:w="5724" w:type="dxa"/>
            <w:vAlign w:val="center"/>
          </w:tcPr>
          <w:p w:rsidR="00A40C66" w:rsidRPr="002E0E0D" w:rsidP="00A40C66" w14:paraId="3CF647A1" w14:textId="50B5085E">
            <w:r w:rsidRPr="00DB5C51">
              <w:t>Tammis Dowling</w:t>
            </w:r>
          </w:p>
        </w:tc>
      </w:tr>
      <w:tr w14:paraId="112F50E4" w14:textId="77777777" w:rsidTr="00A40C66">
        <w:tblPrEx>
          <w:tblW w:w="9355" w:type="dxa"/>
          <w:tblLook w:val="04A0"/>
        </w:tblPrEx>
        <w:tc>
          <w:tcPr>
            <w:tcW w:w="3631" w:type="dxa"/>
            <w:vAlign w:val="center"/>
          </w:tcPr>
          <w:p w:rsidR="00A40C66" w:rsidP="00A40C66" w14:paraId="37F7CB94" w14:textId="62CCD8DF">
            <w:r>
              <w:t>0369</w:t>
            </w:r>
          </w:p>
        </w:tc>
        <w:tc>
          <w:tcPr>
            <w:tcW w:w="5724" w:type="dxa"/>
            <w:vAlign w:val="center"/>
          </w:tcPr>
          <w:p w:rsidR="00A40C66" w:rsidRPr="002E0E0D" w:rsidP="00A40C66" w14:paraId="3849AE67" w14:textId="4C0ED836">
            <w:r w:rsidRPr="00DB5C51">
              <w:t>Allegra DiNetta</w:t>
            </w:r>
          </w:p>
        </w:tc>
      </w:tr>
      <w:tr w14:paraId="2FCFD91D" w14:textId="77777777" w:rsidTr="00A40C66">
        <w:tblPrEx>
          <w:tblW w:w="9355" w:type="dxa"/>
          <w:tblLook w:val="04A0"/>
        </w:tblPrEx>
        <w:tc>
          <w:tcPr>
            <w:tcW w:w="3631" w:type="dxa"/>
            <w:vAlign w:val="center"/>
          </w:tcPr>
          <w:p w:rsidR="00A40C66" w:rsidP="00A40C66" w14:paraId="0A568BE7" w14:textId="67A8D9D9">
            <w:r>
              <w:t>0370</w:t>
            </w:r>
          </w:p>
        </w:tc>
        <w:tc>
          <w:tcPr>
            <w:tcW w:w="5724" w:type="dxa"/>
            <w:vAlign w:val="center"/>
          </w:tcPr>
          <w:p w:rsidR="00A40C66" w:rsidRPr="002E0E0D" w:rsidP="00A40C66" w14:paraId="3541CDB3" w14:textId="19B53B6F">
            <w:r w:rsidRPr="00DB5C51">
              <w:t>Anonymous</w:t>
            </w:r>
          </w:p>
        </w:tc>
      </w:tr>
      <w:tr w14:paraId="1D428397" w14:textId="77777777" w:rsidTr="00A40C66">
        <w:tblPrEx>
          <w:tblW w:w="9355" w:type="dxa"/>
          <w:tblLook w:val="04A0"/>
        </w:tblPrEx>
        <w:tc>
          <w:tcPr>
            <w:tcW w:w="3631" w:type="dxa"/>
            <w:vAlign w:val="center"/>
          </w:tcPr>
          <w:p w:rsidR="00A40C66" w:rsidP="00A40C66" w14:paraId="607EE5F1" w14:textId="40EC2981">
            <w:r w:rsidRPr="001859A5">
              <w:t>0371</w:t>
            </w:r>
          </w:p>
        </w:tc>
        <w:tc>
          <w:tcPr>
            <w:tcW w:w="5724" w:type="dxa"/>
            <w:vAlign w:val="center"/>
          </w:tcPr>
          <w:p w:rsidR="00A40C66" w:rsidRPr="00DB5C51" w:rsidP="00A40C66" w14:paraId="7F484515" w14:textId="43703C2F">
            <w:r w:rsidRPr="00585F89">
              <w:t>Leslie McCollam</w:t>
            </w:r>
          </w:p>
        </w:tc>
      </w:tr>
      <w:tr w14:paraId="68880482" w14:textId="77777777" w:rsidTr="00A40C66">
        <w:tblPrEx>
          <w:tblW w:w="9355" w:type="dxa"/>
          <w:tblLook w:val="04A0"/>
        </w:tblPrEx>
        <w:tc>
          <w:tcPr>
            <w:tcW w:w="3631" w:type="dxa"/>
            <w:vAlign w:val="center"/>
          </w:tcPr>
          <w:p w:rsidR="00A40C66" w:rsidP="00A40C66" w14:paraId="11508C8A" w14:textId="3F011F8B">
            <w:r w:rsidRPr="001859A5">
              <w:t>0372</w:t>
            </w:r>
          </w:p>
        </w:tc>
        <w:tc>
          <w:tcPr>
            <w:tcW w:w="5724" w:type="dxa"/>
            <w:vAlign w:val="center"/>
          </w:tcPr>
          <w:p w:rsidR="00A40C66" w:rsidRPr="00DB5C51" w:rsidP="00A40C66" w14:paraId="5A2C5210" w14:textId="43C1A24D">
            <w:r w:rsidRPr="00585F89">
              <w:t>Sarah Riley</w:t>
            </w:r>
          </w:p>
        </w:tc>
      </w:tr>
      <w:tr w14:paraId="448F97F2" w14:textId="77777777" w:rsidTr="00A40C66">
        <w:tblPrEx>
          <w:tblW w:w="9355" w:type="dxa"/>
          <w:tblLook w:val="04A0"/>
        </w:tblPrEx>
        <w:tc>
          <w:tcPr>
            <w:tcW w:w="3631" w:type="dxa"/>
            <w:vAlign w:val="center"/>
          </w:tcPr>
          <w:p w:rsidR="00A40C66" w:rsidP="00A40C66" w14:paraId="05F9570E" w14:textId="2923DDA1">
            <w:r w:rsidRPr="001859A5">
              <w:t>0373</w:t>
            </w:r>
          </w:p>
        </w:tc>
        <w:tc>
          <w:tcPr>
            <w:tcW w:w="5724" w:type="dxa"/>
            <w:vAlign w:val="center"/>
          </w:tcPr>
          <w:p w:rsidR="00A40C66" w:rsidRPr="00DB5C51" w:rsidP="00A40C66" w14:paraId="498D75F3" w14:textId="767C4BE5">
            <w:r w:rsidRPr="00585F89">
              <w:t>Ruth Fink-Winter</w:t>
            </w:r>
          </w:p>
        </w:tc>
      </w:tr>
      <w:tr w14:paraId="21B0C145" w14:textId="77777777" w:rsidTr="00A40C66">
        <w:tblPrEx>
          <w:tblW w:w="9355" w:type="dxa"/>
          <w:tblLook w:val="04A0"/>
        </w:tblPrEx>
        <w:tc>
          <w:tcPr>
            <w:tcW w:w="3631" w:type="dxa"/>
            <w:vAlign w:val="center"/>
          </w:tcPr>
          <w:p w:rsidR="00A40C66" w:rsidP="00A40C66" w14:paraId="1C2742F7" w14:textId="5FFA43ED">
            <w:r w:rsidRPr="001859A5">
              <w:t>0374</w:t>
            </w:r>
          </w:p>
        </w:tc>
        <w:tc>
          <w:tcPr>
            <w:tcW w:w="5724" w:type="dxa"/>
            <w:vAlign w:val="center"/>
          </w:tcPr>
          <w:p w:rsidR="00A40C66" w:rsidRPr="00DB5C51" w:rsidP="00A40C66" w14:paraId="2940CD75" w14:textId="19788DEC">
            <w:r w:rsidRPr="00585F89">
              <w:t>Michelle Velez</w:t>
            </w:r>
          </w:p>
        </w:tc>
      </w:tr>
      <w:tr w14:paraId="5CA372C8" w14:textId="77777777" w:rsidTr="00A40C66">
        <w:tblPrEx>
          <w:tblW w:w="9355" w:type="dxa"/>
          <w:tblLook w:val="04A0"/>
        </w:tblPrEx>
        <w:tc>
          <w:tcPr>
            <w:tcW w:w="3631" w:type="dxa"/>
            <w:vAlign w:val="center"/>
          </w:tcPr>
          <w:p w:rsidR="00A40C66" w:rsidP="00A40C66" w14:paraId="513760A7" w14:textId="1F0CBE28">
            <w:r w:rsidRPr="001859A5">
              <w:t>0375</w:t>
            </w:r>
          </w:p>
        </w:tc>
        <w:tc>
          <w:tcPr>
            <w:tcW w:w="5724" w:type="dxa"/>
            <w:vAlign w:val="center"/>
          </w:tcPr>
          <w:p w:rsidR="00A40C66" w:rsidRPr="00DB5C51" w:rsidP="00A40C66" w14:paraId="5483B9C3" w14:textId="40E968C8">
            <w:r w:rsidRPr="00585F89">
              <w:t>Ryann Larson</w:t>
            </w:r>
          </w:p>
        </w:tc>
      </w:tr>
      <w:tr w14:paraId="2A90A15E" w14:textId="77777777" w:rsidTr="00A40C66">
        <w:tblPrEx>
          <w:tblW w:w="9355" w:type="dxa"/>
          <w:tblLook w:val="04A0"/>
        </w:tblPrEx>
        <w:tc>
          <w:tcPr>
            <w:tcW w:w="3631" w:type="dxa"/>
            <w:vAlign w:val="center"/>
          </w:tcPr>
          <w:p w:rsidR="00A40C66" w:rsidP="00A40C66" w14:paraId="4F58E70A" w14:textId="46E7BCF4">
            <w:r w:rsidRPr="001859A5">
              <w:t>0376</w:t>
            </w:r>
          </w:p>
        </w:tc>
        <w:tc>
          <w:tcPr>
            <w:tcW w:w="5724" w:type="dxa"/>
            <w:vAlign w:val="center"/>
          </w:tcPr>
          <w:p w:rsidR="00A40C66" w:rsidRPr="00DB5C51" w:rsidP="00A40C66" w14:paraId="20A44AFE" w14:textId="7B080AA5">
            <w:r>
              <w:t>Anonymous</w:t>
            </w:r>
          </w:p>
        </w:tc>
      </w:tr>
      <w:tr w14:paraId="13A1191F" w14:textId="77777777" w:rsidTr="00A40C66">
        <w:tblPrEx>
          <w:tblW w:w="9355" w:type="dxa"/>
          <w:tblLook w:val="04A0"/>
        </w:tblPrEx>
        <w:tc>
          <w:tcPr>
            <w:tcW w:w="3631" w:type="dxa"/>
            <w:vAlign w:val="center"/>
          </w:tcPr>
          <w:p w:rsidR="00A40C66" w:rsidP="00A40C66" w14:paraId="266A5580" w14:textId="4348ADDD">
            <w:r w:rsidRPr="001859A5">
              <w:t>0377</w:t>
            </w:r>
          </w:p>
        </w:tc>
        <w:tc>
          <w:tcPr>
            <w:tcW w:w="5724" w:type="dxa"/>
            <w:vAlign w:val="center"/>
          </w:tcPr>
          <w:p w:rsidR="00A40C66" w:rsidRPr="00DB5C51" w:rsidP="00A40C66" w14:paraId="585EE6A4" w14:textId="6DDEA987">
            <w:r>
              <w:t>Anonymous</w:t>
            </w:r>
          </w:p>
        </w:tc>
      </w:tr>
      <w:tr w14:paraId="0B162B1F" w14:textId="77777777" w:rsidTr="00A40C66">
        <w:tblPrEx>
          <w:tblW w:w="9355" w:type="dxa"/>
          <w:tblLook w:val="04A0"/>
        </w:tblPrEx>
        <w:tc>
          <w:tcPr>
            <w:tcW w:w="3631" w:type="dxa"/>
            <w:vAlign w:val="center"/>
          </w:tcPr>
          <w:p w:rsidR="00A40C66" w:rsidP="00A40C66" w14:paraId="29F67C2F" w14:textId="5642CD3A">
            <w:r w:rsidRPr="001859A5">
              <w:t>0378</w:t>
            </w:r>
          </w:p>
        </w:tc>
        <w:tc>
          <w:tcPr>
            <w:tcW w:w="5724" w:type="dxa"/>
            <w:vAlign w:val="center"/>
          </w:tcPr>
          <w:p w:rsidR="00A40C66" w:rsidRPr="00DB5C51" w:rsidP="00A40C66" w14:paraId="7006D94F" w14:textId="2203E853">
            <w:r>
              <w:t>Anonymous</w:t>
            </w:r>
          </w:p>
        </w:tc>
      </w:tr>
      <w:tr w14:paraId="5659B16A" w14:textId="77777777" w:rsidTr="00A40C66">
        <w:tblPrEx>
          <w:tblW w:w="9355" w:type="dxa"/>
          <w:tblLook w:val="04A0"/>
        </w:tblPrEx>
        <w:tc>
          <w:tcPr>
            <w:tcW w:w="3631" w:type="dxa"/>
            <w:vAlign w:val="center"/>
          </w:tcPr>
          <w:p w:rsidR="00A40C66" w:rsidP="00A40C66" w14:paraId="75EBF5AE" w14:textId="5BC81105">
            <w:r w:rsidRPr="001859A5">
              <w:t>0379</w:t>
            </w:r>
          </w:p>
        </w:tc>
        <w:tc>
          <w:tcPr>
            <w:tcW w:w="5724" w:type="dxa"/>
            <w:vAlign w:val="center"/>
          </w:tcPr>
          <w:p w:rsidR="00A40C66" w:rsidRPr="00DB5C51" w:rsidP="00A40C66" w14:paraId="783D0C9E" w14:textId="7DBCDD55">
            <w:r w:rsidRPr="00585F89">
              <w:t>Beth Cooper</w:t>
            </w:r>
          </w:p>
        </w:tc>
      </w:tr>
      <w:tr w14:paraId="32890779" w14:textId="77777777" w:rsidTr="00A40C66">
        <w:tblPrEx>
          <w:tblW w:w="9355" w:type="dxa"/>
          <w:tblLook w:val="04A0"/>
        </w:tblPrEx>
        <w:tc>
          <w:tcPr>
            <w:tcW w:w="3631" w:type="dxa"/>
            <w:vAlign w:val="center"/>
          </w:tcPr>
          <w:p w:rsidR="00A40C66" w:rsidP="00A40C66" w14:paraId="6C0B30CF" w14:textId="2541DCB0">
            <w:r w:rsidRPr="001859A5">
              <w:t>0380</w:t>
            </w:r>
          </w:p>
        </w:tc>
        <w:tc>
          <w:tcPr>
            <w:tcW w:w="5724" w:type="dxa"/>
            <w:vAlign w:val="center"/>
          </w:tcPr>
          <w:p w:rsidR="00A40C66" w:rsidRPr="00DB5C51" w:rsidP="00A40C66" w14:paraId="045C533D" w14:textId="5183F2D3">
            <w:r w:rsidRPr="00585F89">
              <w:t>Lindsay Eanet</w:t>
            </w:r>
          </w:p>
        </w:tc>
      </w:tr>
      <w:tr w14:paraId="757E7CFA" w14:textId="77777777" w:rsidTr="00A40C66">
        <w:tblPrEx>
          <w:tblW w:w="9355" w:type="dxa"/>
          <w:tblLook w:val="04A0"/>
        </w:tblPrEx>
        <w:tc>
          <w:tcPr>
            <w:tcW w:w="3631" w:type="dxa"/>
            <w:vAlign w:val="center"/>
          </w:tcPr>
          <w:p w:rsidR="00A40C66" w:rsidP="00A40C66" w14:paraId="56312BC7" w14:textId="6ABC06AE">
            <w:r w:rsidRPr="001859A5">
              <w:t>0381</w:t>
            </w:r>
          </w:p>
        </w:tc>
        <w:tc>
          <w:tcPr>
            <w:tcW w:w="5724" w:type="dxa"/>
            <w:vAlign w:val="center"/>
          </w:tcPr>
          <w:p w:rsidR="00A40C66" w:rsidRPr="00DB5C51" w:rsidP="00A40C66" w14:paraId="37695313" w14:textId="4E0766B0">
            <w:r w:rsidRPr="00585F89">
              <w:t>Becky Stark</w:t>
            </w:r>
          </w:p>
        </w:tc>
      </w:tr>
      <w:tr w14:paraId="50E9647C" w14:textId="77777777" w:rsidTr="00A40C66">
        <w:tblPrEx>
          <w:tblW w:w="9355" w:type="dxa"/>
          <w:tblLook w:val="04A0"/>
        </w:tblPrEx>
        <w:tc>
          <w:tcPr>
            <w:tcW w:w="3631" w:type="dxa"/>
            <w:vAlign w:val="center"/>
          </w:tcPr>
          <w:p w:rsidR="00A40C66" w:rsidP="00A40C66" w14:paraId="15F562B9" w14:textId="4A592AA2">
            <w:r w:rsidRPr="001859A5">
              <w:t>0382</w:t>
            </w:r>
          </w:p>
        </w:tc>
        <w:tc>
          <w:tcPr>
            <w:tcW w:w="5724" w:type="dxa"/>
            <w:vAlign w:val="center"/>
          </w:tcPr>
          <w:p w:rsidR="00A40C66" w:rsidRPr="00DB5C51" w:rsidP="00A40C66" w14:paraId="01D90F74" w14:textId="62F935CC">
            <w:r>
              <w:t>Anonymous</w:t>
            </w:r>
          </w:p>
        </w:tc>
      </w:tr>
      <w:tr w14:paraId="2D3F2353" w14:textId="77777777" w:rsidTr="00A40C66">
        <w:tblPrEx>
          <w:tblW w:w="9355" w:type="dxa"/>
          <w:tblLook w:val="04A0"/>
        </w:tblPrEx>
        <w:tc>
          <w:tcPr>
            <w:tcW w:w="3631" w:type="dxa"/>
            <w:vAlign w:val="center"/>
          </w:tcPr>
          <w:p w:rsidR="00A40C66" w:rsidP="00A40C66" w14:paraId="54AA2FDC" w14:textId="59C5787E">
            <w:r w:rsidRPr="001859A5">
              <w:t>0383</w:t>
            </w:r>
          </w:p>
        </w:tc>
        <w:tc>
          <w:tcPr>
            <w:tcW w:w="5724" w:type="dxa"/>
            <w:vAlign w:val="center"/>
          </w:tcPr>
          <w:p w:rsidR="00A40C66" w:rsidRPr="00DB5C51" w:rsidP="00A40C66" w14:paraId="1FFAE06B" w14:textId="1EC111AF">
            <w:r w:rsidRPr="00585F89">
              <w:t>Karen Solliday</w:t>
            </w:r>
          </w:p>
        </w:tc>
      </w:tr>
      <w:tr w14:paraId="73A9A3AA" w14:textId="77777777" w:rsidTr="00A40C66">
        <w:tblPrEx>
          <w:tblW w:w="9355" w:type="dxa"/>
          <w:tblLook w:val="04A0"/>
        </w:tblPrEx>
        <w:tc>
          <w:tcPr>
            <w:tcW w:w="3631" w:type="dxa"/>
            <w:vAlign w:val="center"/>
          </w:tcPr>
          <w:p w:rsidR="00A40C66" w:rsidP="00A40C66" w14:paraId="0319969D" w14:textId="07AC6C58">
            <w:r w:rsidRPr="001859A5">
              <w:t>0384</w:t>
            </w:r>
          </w:p>
        </w:tc>
        <w:tc>
          <w:tcPr>
            <w:tcW w:w="5724" w:type="dxa"/>
            <w:vAlign w:val="center"/>
          </w:tcPr>
          <w:p w:rsidR="00A40C66" w:rsidRPr="00DB5C51" w:rsidP="00A40C66" w14:paraId="07B3A81B" w14:textId="6FD0236A">
            <w:r w:rsidRPr="00585F89">
              <w:t>Aaron Klaus</w:t>
            </w:r>
          </w:p>
        </w:tc>
      </w:tr>
      <w:tr w14:paraId="3AACAEAF" w14:textId="77777777" w:rsidTr="00A40C66">
        <w:tblPrEx>
          <w:tblW w:w="9355" w:type="dxa"/>
          <w:tblLook w:val="04A0"/>
        </w:tblPrEx>
        <w:tc>
          <w:tcPr>
            <w:tcW w:w="3631" w:type="dxa"/>
            <w:vAlign w:val="center"/>
          </w:tcPr>
          <w:p w:rsidR="00A40C66" w:rsidP="00A40C66" w14:paraId="6F7A6F6F" w14:textId="7CC51507">
            <w:r w:rsidRPr="001859A5">
              <w:t>0385</w:t>
            </w:r>
          </w:p>
        </w:tc>
        <w:tc>
          <w:tcPr>
            <w:tcW w:w="5724" w:type="dxa"/>
            <w:vAlign w:val="center"/>
          </w:tcPr>
          <w:p w:rsidR="00A40C66" w:rsidRPr="00DB5C51" w:rsidP="00A40C66" w14:paraId="4711D622" w14:textId="02929F02">
            <w:r w:rsidRPr="00585F89">
              <w:t>K</w:t>
            </w:r>
            <w:r>
              <w:t>arl</w:t>
            </w:r>
            <w:r w:rsidRPr="00585F89">
              <w:t xml:space="preserve"> D</w:t>
            </w:r>
            <w:r>
              <w:t>robnic</w:t>
            </w:r>
          </w:p>
        </w:tc>
      </w:tr>
      <w:tr w14:paraId="1F6B2CB2" w14:textId="77777777" w:rsidTr="00A40C66">
        <w:tblPrEx>
          <w:tblW w:w="9355" w:type="dxa"/>
          <w:tblLook w:val="04A0"/>
        </w:tblPrEx>
        <w:tc>
          <w:tcPr>
            <w:tcW w:w="3631" w:type="dxa"/>
            <w:vAlign w:val="center"/>
          </w:tcPr>
          <w:p w:rsidR="00A40C66" w:rsidP="00A40C66" w14:paraId="643E31B6" w14:textId="2FC49C10">
            <w:r w:rsidRPr="001859A5">
              <w:t>0386</w:t>
            </w:r>
          </w:p>
        </w:tc>
        <w:tc>
          <w:tcPr>
            <w:tcW w:w="5724" w:type="dxa"/>
            <w:vAlign w:val="center"/>
          </w:tcPr>
          <w:p w:rsidR="00A40C66" w:rsidRPr="00DB5C51" w:rsidP="00A40C66" w14:paraId="4105F3B4" w14:textId="4C894E7D">
            <w:r w:rsidRPr="00585F89">
              <w:t>Katie Anonymous</w:t>
            </w:r>
          </w:p>
        </w:tc>
      </w:tr>
      <w:tr w14:paraId="3BF5473A" w14:textId="77777777" w:rsidTr="00A40C66">
        <w:tblPrEx>
          <w:tblW w:w="9355" w:type="dxa"/>
          <w:tblLook w:val="04A0"/>
        </w:tblPrEx>
        <w:tc>
          <w:tcPr>
            <w:tcW w:w="3631" w:type="dxa"/>
            <w:vAlign w:val="center"/>
          </w:tcPr>
          <w:p w:rsidR="00A40C66" w:rsidP="00A40C66" w14:paraId="4525066D" w14:textId="24A3E8A8">
            <w:r w:rsidRPr="001859A5">
              <w:t>0387</w:t>
            </w:r>
          </w:p>
        </w:tc>
        <w:tc>
          <w:tcPr>
            <w:tcW w:w="5724" w:type="dxa"/>
            <w:vAlign w:val="center"/>
          </w:tcPr>
          <w:p w:rsidR="00A40C66" w:rsidRPr="00DB5C51" w:rsidP="00A40C66" w14:paraId="387452DF" w14:textId="2C8FEAD1">
            <w:r>
              <w:t>Anonymous</w:t>
            </w:r>
          </w:p>
        </w:tc>
      </w:tr>
      <w:tr w14:paraId="1E2AD555" w14:textId="77777777" w:rsidTr="00A40C66">
        <w:tblPrEx>
          <w:tblW w:w="9355" w:type="dxa"/>
          <w:tblLook w:val="04A0"/>
        </w:tblPrEx>
        <w:tc>
          <w:tcPr>
            <w:tcW w:w="3631" w:type="dxa"/>
            <w:vAlign w:val="center"/>
          </w:tcPr>
          <w:p w:rsidR="00A40C66" w:rsidP="00A40C66" w14:paraId="3BDD5268" w14:textId="3F213C83">
            <w:r w:rsidRPr="001859A5">
              <w:t>0388</w:t>
            </w:r>
          </w:p>
        </w:tc>
        <w:tc>
          <w:tcPr>
            <w:tcW w:w="5724" w:type="dxa"/>
            <w:vAlign w:val="center"/>
          </w:tcPr>
          <w:p w:rsidR="00A40C66" w:rsidRPr="00DB5C51" w:rsidP="00A40C66" w14:paraId="34AF2970" w14:textId="5875CB1C">
            <w:r>
              <w:t>Anonymous</w:t>
            </w:r>
          </w:p>
        </w:tc>
      </w:tr>
      <w:tr w14:paraId="52773FF0" w14:textId="77777777" w:rsidTr="00A40C66">
        <w:tblPrEx>
          <w:tblW w:w="9355" w:type="dxa"/>
          <w:tblLook w:val="04A0"/>
        </w:tblPrEx>
        <w:tc>
          <w:tcPr>
            <w:tcW w:w="3631" w:type="dxa"/>
            <w:vAlign w:val="center"/>
          </w:tcPr>
          <w:p w:rsidR="00A40C66" w:rsidP="00A40C66" w14:paraId="79DC975A" w14:textId="791B525E">
            <w:r w:rsidRPr="001859A5">
              <w:t>0389</w:t>
            </w:r>
          </w:p>
        </w:tc>
        <w:tc>
          <w:tcPr>
            <w:tcW w:w="5724" w:type="dxa"/>
            <w:vAlign w:val="center"/>
          </w:tcPr>
          <w:p w:rsidR="00A40C66" w:rsidRPr="00DB5C51" w:rsidP="00A40C66" w14:paraId="1EA75AD2" w14:textId="5BCEBC51">
            <w:r>
              <w:t>Anonymous</w:t>
            </w:r>
          </w:p>
        </w:tc>
      </w:tr>
      <w:tr w14:paraId="129CC21F" w14:textId="77777777" w:rsidTr="00A40C66">
        <w:tblPrEx>
          <w:tblW w:w="9355" w:type="dxa"/>
          <w:tblLook w:val="04A0"/>
        </w:tblPrEx>
        <w:tc>
          <w:tcPr>
            <w:tcW w:w="3631" w:type="dxa"/>
            <w:vAlign w:val="center"/>
          </w:tcPr>
          <w:p w:rsidR="00A40C66" w:rsidP="00A40C66" w14:paraId="6509498B" w14:textId="2833C5C1">
            <w:r w:rsidRPr="001859A5">
              <w:t>0390</w:t>
            </w:r>
          </w:p>
        </w:tc>
        <w:tc>
          <w:tcPr>
            <w:tcW w:w="5724" w:type="dxa"/>
            <w:vAlign w:val="center"/>
          </w:tcPr>
          <w:p w:rsidR="00A40C66" w:rsidRPr="00DB5C51" w:rsidP="00A40C66" w14:paraId="30573596" w14:textId="30D3CE31">
            <w:r w:rsidRPr="00585F89">
              <w:t>Alexa Pengelly</w:t>
            </w:r>
          </w:p>
        </w:tc>
      </w:tr>
      <w:tr w14:paraId="1E216C02" w14:textId="77777777" w:rsidTr="00A40C66">
        <w:tblPrEx>
          <w:tblW w:w="9355" w:type="dxa"/>
          <w:tblLook w:val="04A0"/>
        </w:tblPrEx>
        <w:tc>
          <w:tcPr>
            <w:tcW w:w="3631" w:type="dxa"/>
            <w:vAlign w:val="center"/>
          </w:tcPr>
          <w:p w:rsidR="00A40C66" w:rsidP="00A40C66" w14:paraId="5E297047" w14:textId="65363C47">
            <w:r w:rsidRPr="001859A5">
              <w:t>0391</w:t>
            </w:r>
          </w:p>
        </w:tc>
        <w:tc>
          <w:tcPr>
            <w:tcW w:w="5724" w:type="dxa"/>
            <w:vAlign w:val="center"/>
          </w:tcPr>
          <w:p w:rsidR="00A40C66" w:rsidRPr="00DB5C51" w:rsidP="00A40C66" w14:paraId="76C53127" w14:textId="24211881">
            <w:r>
              <w:t>Anonymous</w:t>
            </w:r>
          </w:p>
        </w:tc>
      </w:tr>
      <w:tr w14:paraId="55E2324B" w14:textId="77777777" w:rsidTr="00A40C66">
        <w:tblPrEx>
          <w:tblW w:w="9355" w:type="dxa"/>
          <w:tblLook w:val="04A0"/>
        </w:tblPrEx>
        <w:tc>
          <w:tcPr>
            <w:tcW w:w="3631" w:type="dxa"/>
            <w:vAlign w:val="center"/>
          </w:tcPr>
          <w:p w:rsidR="00A40C66" w:rsidP="00A40C66" w14:paraId="66C252B2" w14:textId="6CB34E5A">
            <w:r w:rsidRPr="001859A5">
              <w:t>0392</w:t>
            </w:r>
          </w:p>
        </w:tc>
        <w:tc>
          <w:tcPr>
            <w:tcW w:w="5724" w:type="dxa"/>
            <w:vAlign w:val="center"/>
          </w:tcPr>
          <w:p w:rsidR="00A40C66" w:rsidRPr="00DB5C51" w:rsidP="00A40C66" w14:paraId="47EB6449" w14:textId="6F46D13E">
            <w:r>
              <w:t>Anonymous</w:t>
            </w:r>
          </w:p>
        </w:tc>
      </w:tr>
      <w:tr w14:paraId="0DC7192D" w14:textId="77777777" w:rsidTr="00A40C66">
        <w:tblPrEx>
          <w:tblW w:w="9355" w:type="dxa"/>
          <w:tblLook w:val="04A0"/>
        </w:tblPrEx>
        <w:tc>
          <w:tcPr>
            <w:tcW w:w="3631" w:type="dxa"/>
            <w:vAlign w:val="center"/>
          </w:tcPr>
          <w:p w:rsidR="00A40C66" w:rsidP="00A40C66" w14:paraId="6FA1DD9E" w14:textId="35D1B560">
            <w:r w:rsidRPr="001859A5">
              <w:t>0393</w:t>
            </w:r>
          </w:p>
        </w:tc>
        <w:tc>
          <w:tcPr>
            <w:tcW w:w="5724" w:type="dxa"/>
            <w:vAlign w:val="center"/>
          </w:tcPr>
          <w:p w:rsidR="00A40C66" w:rsidRPr="00DB5C51" w:rsidP="00A40C66" w14:paraId="2FBFEAB0" w14:textId="30E44960">
            <w:r w:rsidRPr="00585F89">
              <w:t>Janice Schroeder</w:t>
            </w:r>
          </w:p>
        </w:tc>
      </w:tr>
      <w:tr w14:paraId="0008AE98" w14:textId="77777777" w:rsidTr="00A40C66">
        <w:tblPrEx>
          <w:tblW w:w="9355" w:type="dxa"/>
          <w:tblLook w:val="04A0"/>
        </w:tblPrEx>
        <w:tc>
          <w:tcPr>
            <w:tcW w:w="3631" w:type="dxa"/>
            <w:vAlign w:val="center"/>
          </w:tcPr>
          <w:p w:rsidR="00A40C66" w:rsidP="00A40C66" w14:paraId="38A68522" w14:textId="49280641">
            <w:r w:rsidRPr="001859A5">
              <w:t>0394</w:t>
            </w:r>
          </w:p>
        </w:tc>
        <w:tc>
          <w:tcPr>
            <w:tcW w:w="5724" w:type="dxa"/>
            <w:vAlign w:val="center"/>
          </w:tcPr>
          <w:p w:rsidR="00A40C66" w:rsidRPr="00DB5C51" w:rsidP="00A40C66" w14:paraId="674E3600" w14:textId="40DFACBC">
            <w:r w:rsidRPr="00585F89">
              <w:t>M H</w:t>
            </w:r>
          </w:p>
        </w:tc>
      </w:tr>
      <w:tr w14:paraId="5751C516" w14:textId="77777777" w:rsidTr="00A40C66">
        <w:tblPrEx>
          <w:tblW w:w="9355" w:type="dxa"/>
          <w:tblLook w:val="04A0"/>
        </w:tblPrEx>
        <w:tc>
          <w:tcPr>
            <w:tcW w:w="3631" w:type="dxa"/>
            <w:vAlign w:val="center"/>
          </w:tcPr>
          <w:p w:rsidR="00A40C66" w:rsidP="00A40C66" w14:paraId="314B754F" w14:textId="1F84D869">
            <w:r w:rsidRPr="001859A5">
              <w:t>0395</w:t>
            </w:r>
          </w:p>
        </w:tc>
        <w:tc>
          <w:tcPr>
            <w:tcW w:w="5724" w:type="dxa"/>
            <w:vAlign w:val="center"/>
          </w:tcPr>
          <w:p w:rsidR="00A40C66" w:rsidRPr="00DB5C51" w:rsidP="00A40C66" w14:paraId="36E03510" w14:textId="5794C759">
            <w:r>
              <w:t>Anonymous</w:t>
            </w:r>
          </w:p>
        </w:tc>
      </w:tr>
      <w:tr w14:paraId="3C0D8E03" w14:textId="77777777" w:rsidTr="00A40C66">
        <w:tblPrEx>
          <w:tblW w:w="9355" w:type="dxa"/>
          <w:tblLook w:val="04A0"/>
        </w:tblPrEx>
        <w:tc>
          <w:tcPr>
            <w:tcW w:w="3631" w:type="dxa"/>
            <w:vAlign w:val="center"/>
          </w:tcPr>
          <w:p w:rsidR="00A40C66" w:rsidP="00A40C66" w14:paraId="7D7F05B8" w14:textId="466F0418">
            <w:r w:rsidRPr="001859A5">
              <w:t>0396</w:t>
            </w:r>
          </w:p>
        </w:tc>
        <w:tc>
          <w:tcPr>
            <w:tcW w:w="5724" w:type="dxa"/>
            <w:vAlign w:val="center"/>
          </w:tcPr>
          <w:p w:rsidR="00A40C66" w:rsidRPr="00DB5C51" w:rsidP="00A40C66" w14:paraId="0D0B66E6" w14:textId="750CEF2B">
            <w:r w:rsidRPr="00585F89">
              <w:t>Ken Novak</w:t>
            </w:r>
          </w:p>
        </w:tc>
      </w:tr>
      <w:tr w14:paraId="08493993" w14:textId="77777777" w:rsidTr="00A40C66">
        <w:tblPrEx>
          <w:tblW w:w="9355" w:type="dxa"/>
          <w:tblLook w:val="04A0"/>
        </w:tblPrEx>
        <w:tc>
          <w:tcPr>
            <w:tcW w:w="3631" w:type="dxa"/>
            <w:vAlign w:val="center"/>
          </w:tcPr>
          <w:p w:rsidR="00A40C66" w:rsidP="00A40C66" w14:paraId="4AF615F0" w14:textId="2BFCDF4B">
            <w:r w:rsidRPr="001859A5">
              <w:t>0397</w:t>
            </w:r>
          </w:p>
        </w:tc>
        <w:tc>
          <w:tcPr>
            <w:tcW w:w="5724" w:type="dxa"/>
            <w:vAlign w:val="center"/>
          </w:tcPr>
          <w:p w:rsidR="00A40C66" w:rsidRPr="00DB5C51" w:rsidP="00A40C66" w14:paraId="5DB46C68" w14:textId="0C404367">
            <w:r w:rsidRPr="00585F89">
              <w:t>Danielle Hajdufi</w:t>
            </w:r>
          </w:p>
        </w:tc>
      </w:tr>
      <w:tr w14:paraId="0F81717D" w14:textId="77777777" w:rsidTr="00A40C66">
        <w:tblPrEx>
          <w:tblW w:w="9355" w:type="dxa"/>
          <w:tblLook w:val="04A0"/>
        </w:tblPrEx>
        <w:tc>
          <w:tcPr>
            <w:tcW w:w="3631" w:type="dxa"/>
            <w:vAlign w:val="center"/>
          </w:tcPr>
          <w:p w:rsidR="00A40C66" w:rsidP="00A40C66" w14:paraId="3844EF7E" w14:textId="1F0EFA2B">
            <w:r w:rsidRPr="001859A5">
              <w:t>0398</w:t>
            </w:r>
          </w:p>
        </w:tc>
        <w:tc>
          <w:tcPr>
            <w:tcW w:w="5724" w:type="dxa"/>
            <w:vAlign w:val="center"/>
          </w:tcPr>
          <w:p w:rsidR="00A40C66" w:rsidRPr="00DB5C51" w:rsidP="00A40C66" w14:paraId="47A48A44" w14:textId="186686C9">
            <w:r w:rsidRPr="00585F89">
              <w:t>Eileen Campbell</w:t>
            </w:r>
          </w:p>
        </w:tc>
      </w:tr>
      <w:tr w14:paraId="5078B321" w14:textId="77777777" w:rsidTr="00A40C66">
        <w:tblPrEx>
          <w:tblW w:w="9355" w:type="dxa"/>
          <w:tblLook w:val="04A0"/>
        </w:tblPrEx>
        <w:tc>
          <w:tcPr>
            <w:tcW w:w="3631" w:type="dxa"/>
            <w:vAlign w:val="center"/>
          </w:tcPr>
          <w:p w:rsidR="00A40C66" w:rsidP="00A40C66" w14:paraId="2FA4DC7E" w14:textId="1CA006C2">
            <w:r w:rsidRPr="001859A5">
              <w:t>0399</w:t>
            </w:r>
          </w:p>
        </w:tc>
        <w:tc>
          <w:tcPr>
            <w:tcW w:w="5724" w:type="dxa"/>
            <w:vAlign w:val="center"/>
          </w:tcPr>
          <w:p w:rsidR="00A40C66" w:rsidRPr="00DB5C51" w:rsidP="00A40C66" w14:paraId="62AB8FA2" w14:textId="6B60ADEB">
            <w:r>
              <w:t>Anonymous</w:t>
            </w:r>
          </w:p>
        </w:tc>
      </w:tr>
      <w:tr w14:paraId="59CC6C9C" w14:textId="77777777" w:rsidTr="00A40C66">
        <w:tblPrEx>
          <w:tblW w:w="9355" w:type="dxa"/>
          <w:tblLook w:val="04A0"/>
        </w:tblPrEx>
        <w:tc>
          <w:tcPr>
            <w:tcW w:w="3631" w:type="dxa"/>
            <w:vAlign w:val="center"/>
          </w:tcPr>
          <w:p w:rsidR="00A40C66" w:rsidP="00A40C66" w14:paraId="1D66C54E" w14:textId="423010BA">
            <w:r w:rsidRPr="001859A5">
              <w:t>0400</w:t>
            </w:r>
          </w:p>
        </w:tc>
        <w:tc>
          <w:tcPr>
            <w:tcW w:w="5724" w:type="dxa"/>
            <w:vAlign w:val="center"/>
          </w:tcPr>
          <w:p w:rsidR="00A40C66" w:rsidRPr="00DB5C51" w:rsidP="00A40C66" w14:paraId="0AABF8A3" w14:textId="65DC1B5D">
            <w:r>
              <w:t>Anonymous</w:t>
            </w:r>
          </w:p>
        </w:tc>
      </w:tr>
      <w:tr w14:paraId="65CC56D6" w14:textId="77777777" w:rsidTr="00A40C66">
        <w:tblPrEx>
          <w:tblW w:w="9355" w:type="dxa"/>
          <w:tblLook w:val="04A0"/>
        </w:tblPrEx>
        <w:tc>
          <w:tcPr>
            <w:tcW w:w="3631" w:type="dxa"/>
            <w:vAlign w:val="center"/>
          </w:tcPr>
          <w:p w:rsidR="00A40C66" w:rsidP="00A40C66" w14:paraId="212A34DF" w14:textId="48FE77A7">
            <w:r w:rsidRPr="001859A5">
              <w:t>0401</w:t>
            </w:r>
          </w:p>
        </w:tc>
        <w:tc>
          <w:tcPr>
            <w:tcW w:w="5724" w:type="dxa"/>
            <w:vAlign w:val="center"/>
          </w:tcPr>
          <w:p w:rsidR="00A40C66" w:rsidRPr="00DB5C51" w:rsidP="00A40C66" w14:paraId="6B3B13CB" w14:textId="4A6D67F3">
            <w:r w:rsidRPr="00585F89">
              <w:t>Michael Aniskovich</w:t>
            </w:r>
          </w:p>
        </w:tc>
      </w:tr>
      <w:tr w14:paraId="0E8DC9D4" w14:textId="77777777" w:rsidTr="00A40C66">
        <w:tblPrEx>
          <w:tblW w:w="9355" w:type="dxa"/>
          <w:tblLook w:val="04A0"/>
        </w:tblPrEx>
        <w:tc>
          <w:tcPr>
            <w:tcW w:w="3631" w:type="dxa"/>
            <w:vAlign w:val="center"/>
          </w:tcPr>
          <w:p w:rsidR="00A40C66" w:rsidP="00A40C66" w14:paraId="13E9F160" w14:textId="65411177">
            <w:r w:rsidRPr="001859A5">
              <w:t>0402</w:t>
            </w:r>
          </w:p>
        </w:tc>
        <w:tc>
          <w:tcPr>
            <w:tcW w:w="5724" w:type="dxa"/>
            <w:vAlign w:val="center"/>
          </w:tcPr>
          <w:p w:rsidR="00A40C66" w:rsidRPr="00DB5C51" w:rsidP="00A40C66" w14:paraId="10DDAAB2" w14:textId="6239A91F">
            <w:r w:rsidRPr="00585F89">
              <w:t>Eugene Debs</w:t>
            </w:r>
          </w:p>
        </w:tc>
      </w:tr>
      <w:tr w14:paraId="5677A594" w14:textId="77777777" w:rsidTr="00A40C66">
        <w:tblPrEx>
          <w:tblW w:w="9355" w:type="dxa"/>
          <w:tblLook w:val="04A0"/>
        </w:tblPrEx>
        <w:tc>
          <w:tcPr>
            <w:tcW w:w="3631" w:type="dxa"/>
            <w:vAlign w:val="center"/>
          </w:tcPr>
          <w:p w:rsidR="00A40C66" w:rsidP="00A40C66" w14:paraId="19E78B0B" w14:textId="0C47ED3B">
            <w:r w:rsidRPr="001859A5">
              <w:t>0403</w:t>
            </w:r>
          </w:p>
        </w:tc>
        <w:tc>
          <w:tcPr>
            <w:tcW w:w="5724" w:type="dxa"/>
            <w:vAlign w:val="center"/>
          </w:tcPr>
          <w:p w:rsidR="00A40C66" w:rsidRPr="00DB5C51" w:rsidP="00A40C66" w14:paraId="62CDF624" w14:textId="5919EDEA">
            <w:r w:rsidRPr="00585F89">
              <w:t>Erin Rosenfeld</w:t>
            </w:r>
          </w:p>
        </w:tc>
      </w:tr>
      <w:tr w14:paraId="1E31754B" w14:textId="77777777" w:rsidTr="00A40C66">
        <w:tblPrEx>
          <w:tblW w:w="9355" w:type="dxa"/>
          <w:tblLook w:val="04A0"/>
        </w:tblPrEx>
        <w:tc>
          <w:tcPr>
            <w:tcW w:w="3631" w:type="dxa"/>
            <w:vAlign w:val="center"/>
          </w:tcPr>
          <w:p w:rsidR="00A40C66" w:rsidP="00A40C66" w14:paraId="58C5B93A" w14:textId="3E64B298">
            <w:r w:rsidRPr="001859A5">
              <w:t>0404</w:t>
            </w:r>
          </w:p>
        </w:tc>
        <w:tc>
          <w:tcPr>
            <w:tcW w:w="5724" w:type="dxa"/>
            <w:vAlign w:val="center"/>
          </w:tcPr>
          <w:p w:rsidR="00A40C66" w:rsidRPr="00DB5C51" w:rsidP="00A40C66" w14:paraId="345FCF58" w14:textId="52C91A2D">
            <w:r w:rsidRPr="00585F89">
              <w:t>Zachary Steckel</w:t>
            </w:r>
          </w:p>
        </w:tc>
      </w:tr>
      <w:tr w14:paraId="0478AB20" w14:textId="77777777" w:rsidTr="00A40C66">
        <w:tblPrEx>
          <w:tblW w:w="9355" w:type="dxa"/>
          <w:tblLook w:val="04A0"/>
        </w:tblPrEx>
        <w:tc>
          <w:tcPr>
            <w:tcW w:w="3631" w:type="dxa"/>
            <w:vAlign w:val="center"/>
          </w:tcPr>
          <w:p w:rsidR="00A40C66" w:rsidP="00A40C66" w14:paraId="7FD9B5D0" w14:textId="382459F8">
            <w:r w:rsidRPr="001859A5">
              <w:t>0405</w:t>
            </w:r>
          </w:p>
        </w:tc>
        <w:tc>
          <w:tcPr>
            <w:tcW w:w="5724" w:type="dxa"/>
            <w:vAlign w:val="center"/>
          </w:tcPr>
          <w:p w:rsidR="00A40C66" w:rsidRPr="00DB5C51" w:rsidP="00A40C66" w14:paraId="5E20F8AD" w14:textId="07FE06F8">
            <w:r w:rsidRPr="00585F89">
              <w:t>Molly Park</w:t>
            </w:r>
          </w:p>
        </w:tc>
      </w:tr>
      <w:tr w14:paraId="0A701B92" w14:textId="77777777" w:rsidTr="00A40C66">
        <w:tblPrEx>
          <w:tblW w:w="9355" w:type="dxa"/>
          <w:tblLook w:val="04A0"/>
        </w:tblPrEx>
        <w:tc>
          <w:tcPr>
            <w:tcW w:w="3631" w:type="dxa"/>
            <w:vAlign w:val="center"/>
          </w:tcPr>
          <w:p w:rsidR="00A40C66" w:rsidP="00A40C66" w14:paraId="51ED45C2" w14:textId="659C5662">
            <w:r w:rsidRPr="001859A5">
              <w:t>0406</w:t>
            </w:r>
          </w:p>
        </w:tc>
        <w:tc>
          <w:tcPr>
            <w:tcW w:w="5724" w:type="dxa"/>
            <w:vAlign w:val="center"/>
          </w:tcPr>
          <w:p w:rsidR="00A40C66" w:rsidRPr="00DB5C51" w:rsidP="00A40C66" w14:paraId="1699FC92" w14:textId="11FC442C">
            <w:r>
              <w:t>Anonymous</w:t>
            </w:r>
          </w:p>
        </w:tc>
      </w:tr>
      <w:tr w14:paraId="275C208D" w14:textId="77777777" w:rsidTr="00A40C66">
        <w:tblPrEx>
          <w:tblW w:w="9355" w:type="dxa"/>
          <w:tblLook w:val="04A0"/>
        </w:tblPrEx>
        <w:tc>
          <w:tcPr>
            <w:tcW w:w="3631" w:type="dxa"/>
            <w:vAlign w:val="center"/>
          </w:tcPr>
          <w:p w:rsidR="00A40C66" w:rsidP="00A40C66" w14:paraId="56F4139C" w14:textId="39AADEE5">
            <w:r w:rsidRPr="001859A5">
              <w:t>0407</w:t>
            </w:r>
          </w:p>
        </w:tc>
        <w:tc>
          <w:tcPr>
            <w:tcW w:w="5724" w:type="dxa"/>
            <w:vAlign w:val="center"/>
          </w:tcPr>
          <w:p w:rsidR="00A40C66" w:rsidRPr="00DB5C51" w:rsidP="00A40C66" w14:paraId="6CA132D1" w14:textId="2DCC3344">
            <w:r w:rsidRPr="00585F89">
              <w:t>Julie Barber</w:t>
            </w:r>
          </w:p>
        </w:tc>
      </w:tr>
      <w:tr w14:paraId="440C688A" w14:textId="77777777" w:rsidTr="00A40C66">
        <w:tblPrEx>
          <w:tblW w:w="9355" w:type="dxa"/>
          <w:tblLook w:val="04A0"/>
        </w:tblPrEx>
        <w:tc>
          <w:tcPr>
            <w:tcW w:w="3631" w:type="dxa"/>
            <w:vAlign w:val="center"/>
          </w:tcPr>
          <w:p w:rsidR="00A40C66" w:rsidP="00A40C66" w14:paraId="197F494B" w14:textId="6B35C33E">
            <w:r w:rsidRPr="001859A5">
              <w:t>0408</w:t>
            </w:r>
          </w:p>
        </w:tc>
        <w:tc>
          <w:tcPr>
            <w:tcW w:w="5724" w:type="dxa"/>
            <w:vAlign w:val="center"/>
          </w:tcPr>
          <w:p w:rsidR="00A40C66" w:rsidRPr="00DB5C51" w:rsidP="00A40C66" w14:paraId="432B7DAA" w14:textId="0DD775D2">
            <w:r w:rsidRPr="00585F89">
              <w:t>Sarah Sewick</w:t>
            </w:r>
          </w:p>
        </w:tc>
      </w:tr>
      <w:tr w14:paraId="2707128F" w14:textId="77777777" w:rsidTr="00A40C66">
        <w:tblPrEx>
          <w:tblW w:w="9355" w:type="dxa"/>
          <w:tblLook w:val="04A0"/>
        </w:tblPrEx>
        <w:tc>
          <w:tcPr>
            <w:tcW w:w="3631" w:type="dxa"/>
            <w:vAlign w:val="center"/>
          </w:tcPr>
          <w:p w:rsidR="00A40C66" w:rsidP="00A40C66" w14:paraId="19B8B7E4" w14:textId="08900961">
            <w:r w:rsidRPr="001859A5">
              <w:t>0409</w:t>
            </w:r>
          </w:p>
        </w:tc>
        <w:tc>
          <w:tcPr>
            <w:tcW w:w="5724" w:type="dxa"/>
            <w:vAlign w:val="center"/>
          </w:tcPr>
          <w:p w:rsidR="00A40C66" w:rsidRPr="00DB5C51" w:rsidP="00A40C66" w14:paraId="5E735DCC" w14:textId="1DCFC305">
            <w:r w:rsidRPr="00585F89">
              <w:t>LJ Herman</w:t>
            </w:r>
          </w:p>
        </w:tc>
      </w:tr>
      <w:tr w14:paraId="4E1B962D" w14:textId="77777777" w:rsidTr="00A40C66">
        <w:tblPrEx>
          <w:tblW w:w="9355" w:type="dxa"/>
          <w:tblLook w:val="04A0"/>
        </w:tblPrEx>
        <w:tc>
          <w:tcPr>
            <w:tcW w:w="3631" w:type="dxa"/>
            <w:vAlign w:val="center"/>
          </w:tcPr>
          <w:p w:rsidR="00A40C66" w:rsidP="00A40C66" w14:paraId="04092A22" w14:textId="18C4786D">
            <w:r w:rsidRPr="001859A5">
              <w:t>0410</w:t>
            </w:r>
          </w:p>
        </w:tc>
        <w:tc>
          <w:tcPr>
            <w:tcW w:w="5724" w:type="dxa"/>
            <w:vAlign w:val="center"/>
          </w:tcPr>
          <w:p w:rsidR="00A40C66" w:rsidRPr="00DB5C51" w:rsidP="00A40C66" w14:paraId="6EA21A43" w14:textId="68515A7C">
            <w:r>
              <w:t>Anonymous</w:t>
            </w:r>
          </w:p>
        </w:tc>
      </w:tr>
      <w:tr w14:paraId="455DF626" w14:textId="77777777" w:rsidTr="00A40C66">
        <w:tblPrEx>
          <w:tblW w:w="9355" w:type="dxa"/>
          <w:tblLook w:val="04A0"/>
        </w:tblPrEx>
        <w:tc>
          <w:tcPr>
            <w:tcW w:w="3631" w:type="dxa"/>
            <w:vAlign w:val="center"/>
          </w:tcPr>
          <w:p w:rsidR="00A40C66" w:rsidP="00A40C66" w14:paraId="137B3B97" w14:textId="444CAB30">
            <w:r w:rsidRPr="001859A5">
              <w:t>0411</w:t>
            </w:r>
          </w:p>
        </w:tc>
        <w:tc>
          <w:tcPr>
            <w:tcW w:w="5724" w:type="dxa"/>
            <w:vAlign w:val="center"/>
          </w:tcPr>
          <w:p w:rsidR="00A40C66" w:rsidRPr="00DB5C51" w:rsidP="00A40C66" w14:paraId="79A9DD1A" w14:textId="3A5CC04B">
            <w:r w:rsidRPr="00585F89">
              <w:t>Lissa Willis</w:t>
            </w:r>
          </w:p>
        </w:tc>
      </w:tr>
      <w:tr w14:paraId="78DE4AA4" w14:textId="77777777" w:rsidTr="00A40C66">
        <w:tblPrEx>
          <w:tblW w:w="9355" w:type="dxa"/>
          <w:tblLook w:val="04A0"/>
        </w:tblPrEx>
        <w:tc>
          <w:tcPr>
            <w:tcW w:w="3631" w:type="dxa"/>
            <w:vAlign w:val="center"/>
          </w:tcPr>
          <w:p w:rsidR="00A40C66" w:rsidP="00A40C66" w14:paraId="24690F6B" w14:textId="4C50361D">
            <w:r w:rsidRPr="001859A5">
              <w:t>0412</w:t>
            </w:r>
          </w:p>
        </w:tc>
        <w:tc>
          <w:tcPr>
            <w:tcW w:w="5724" w:type="dxa"/>
            <w:vAlign w:val="center"/>
          </w:tcPr>
          <w:p w:rsidR="00A40C66" w:rsidRPr="00DB5C51" w:rsidP="00A40C66" w14:paraId="6D8151BD" w14:textId="1349C7A7">
            <w:r w:rsidRPr="00585F89">
              <w:t>Rosann Geiser</w:t>
            </w:r>
          </w:p>
        </w:tc>
      </w:tr>
      <w:tr w14:paraId="418DC485" w14:textId="77777777" w:rsidTr="00A40C66">
        <w:tblPrEx>
          <w:tblW w:w="9355" w:type="dxa"/>
          <w:tblLook w:val="04A0"/>
        </w:tblPrEx>
        <w:tc>
          <w:tcPr>
            <w:tcW w:w="3631" w:type="dxa"/>
            <w:vAlign w:val="center"/>
          </w:tcPr>
          <w:p w:rsidR="00A40C66" w:rsidP="00A40C66" w14:paraId="0DFB6D35" w14:textId="3C38E308">
            <w:r w:rsidRPr="001859A5">
              <w:t>0413</w:t>
            </w:r>
          </w:p>
        </w:tc>
        <w:tc>
          <w:tcPr>
            <w:tcW w:w="5724" w:type="dxa"/>
            <w:vAlign w:val="center"/>
          </w:tcPr>
          <w:p w:rsidR="00A40C66" w:rsidRPr="00DB5C51" w:rsidP="00A40C66" w14:paraId="01994D9E" w14:textId="107D134F">
            <w:r w:rsidRPr="00585F89">
              <w:t>Lynnette Simon</w:t>
            </w:r>
          </w:p>
        </w:tc>
      </w:tr>
      <w:tr w14:paraId="4DB8DC73" w14:textId="77777777" w:rsidTr="00A40C66">
        <w:tblPrEx>
          <w:tblW w:w="9355" w:type="dxa"/>
          <w:tblLook w:val="04A0"/>
        </w:tblPrEx>
        <w:tc>
          <w:tcPr>
            <w:tcW w:w="3631" w:type="dxa"/>
            <w:vAlign w:val="center"/>
          </w:tcPr>
          <w:p w:rsidR="00A40C66" w:rsidP="00A40C66" w14:paraId="58826F6C" w14:textId="6D6A8458">
            <w:r w:rsidRPr="001859A5">
              <w:t>0414</w:t>
            </w:r>
          </w:p>
        </w:tc>
        <w:tc>
          <w:tcPr>
            <w:tcW w:w="5724" w:type="dxa"/>
            <w:vAlign w:val="center"/>
          </w:tcPr>
          <w:p w:rsidR="00A40C66" w:rsidRPr="00DB5C51" w:rsidP="00A40C66" w14:paraId="1EF9606C" w14:textId="3FF15719">
            <w:r>
              <w:t>Anonymous</w:t>
            </w:r>
          </w:p>
        </w:tc>
      </w:tr>
      <w:tr w14:paraId="28AF4F92" w14:textId="77777777" w:rsidTr="00A40C66">
        <w:tblPrEx>
          <w:tblW w:w="9355" w:type="dxa"/>
          <w:tblLook w:val="04A0"/>
        </w:tblPrEx>
        <w:tc>
          <w:tcPr>
            <w:tcW w:w="3631" w:type="dxa"/>
            <w:vAlign w:val="center"/>
          </w:tcPr>
          <w:p w:rsidR="00A40C66" w:rsidP="00A40C66" w14:paraId="298EFF10" w14:textId="2A640707">
            <w:r w:rsidRPr="001859A5">
              <w:t>0415</w:t>
            </w:r>
          </w:p>
        </w:tc>
        <w:tc>
          <w:tcPr>
            <w:tcW w:w="5724" w:type="dxa"/>
            <w:vAlign w:val="center"/>
          </w:tcPr>
          <w:p w:rsidR="00A40C66" w:rsidRPr="00DB5C51" w:rsidP="00A40C66" w14:paraId="6DDBC594" w14:textId="0E611543">
            <w:r w:rsidRPr="00585F89">
              <w:t>Elizabeth Penman</w:t>
            </w:r>
          </w:p>
        </w:tc>
      </w:tr>
      <w:tr w14:paraId="0779999C" w14:textId="77777777" w:rsidTr="00A40C66">
        <w:tblPrEx>
          <w:tblW w:w="9355" w:type="dxa"/>
          <w:tblLook w:val="04A0"/>
        </w:tblPrEx>
        <w:tc>
          <w:tcPr>
            <w:tcW w:w="3631" w:type="dxa"/>
            <w:vAlign w:val="center"/>
          </w:tcPr>
          <w:p w:rsidR="00A40C66" w:rsidP="00A40C66" w14:paraId="65054D5C" w14:textId="5A6E501D">
            <w:r w:rsidRPr="001859A5">
              <w:t>0416</w:t>
            </w:r>
          </w:p>
        </w:tc>
        <w:tc>
          <w:tcPr>
            <w:tcW w:w="5724" w:type="dxa"/>
            <w:vAlign w:val="center"/>
          </w:tcPr>
          <w:p w:rsidR="00A40C66" w:rsidRPr="00DB5C51" w:rsidP="00A40C66" w14:paraId="1775BDC2" w14:textId="32B068B3">
            <w:r>
              <w:t>Anonymous</w:t>
            </w:r>
          </w:p>
        </w:tc>
      </w:tr>
      <w:tr w14:paraId="683E7D70" w14:textId="77777777" w:rsidTr="00A40C66">
        <w:tblPrEx>
          <w:tblW w:w="9355" w:type="dxa"/>
          <w:tblLook w:val="04A0"/>
        </w:tblPrEx>
        <w:tc>
          <w:tcPr>
            <w:tcW w:w="3631" w:type="dxa"/>
            <w:vAlign w:val="center"/>
          </w:tcPr>
          <w:p w:rsidR="00A40C66" w:rsidP="00A40C66" w14:paraId="01503FD6" w14:textId="550447B1">
            <w:r w:rsidRPr="001859A5">
              <w:t>0417</w:t>
            </w:r>
          </w:p>
        </w:tc>
        <w:tc>
          <w:tcPr>
            <w:tcW w:w="5724" w:type="dxa"/>
            <w:vAlign w:val="center"/>
          </w:tcPr>
          <w:p w:rsidR="00A40C66" w:rsidRPr="00DB5C51" w:rsidP="00A40C66" w14:paraId="7EAD9C87" w14:textId="775665A4">
            <w:r w:rsidRPr="00585F89">
              <w:t>Madeline Bach</w:t>
            </w:r>
          </w:p>
        </w:tc>
      </w:tr>
      <w:tr w14:paraId="4EB02403" w14:textId="77777777" w:rsidTr="00A40C66">
        <w:tblPrEx>
          <w:tblW w:w="9355" w:type="dxa"/>
          <w:tblLook w:val="04A0"/>
        </w:tblPrEx>
        <w:tc>
          <w:tcPr>
            <w:tcW w:w="3631" w:type="dxa"/>
            <w:vAlign w:val="center"/>
          </w:tcPr>
          <w:p w:rsidR="00A40C66" w:rsidP="00A40C66" w14:paraId="24AA6C72" w14:textId="203F455E">
            <w:r w:rsidRPr="001859A5">
              <w:t>0418</w:t>
            </w:r>
          </w:p>
        </w:tc>
        <w:tc>
          <w:tcPr>
            <w:tcW w:w="5724" w:type="dxa"/>
            <w:vAlign w:val="center"/>
          </w:tcPr>
          <w:p w:rsidR="00A40C66" w:rsidRPr="00DB5C51" w:rsidP="00A40C66" w14:paraId="390F2197" w14:textId="7B1ED4B3">
            <w:r>
              <w:t>Anonymous</w:t>
            </w:r>
          </w:p>
        </w:tc>
      </w:tr>
      <w:tr w14:paraId="268D4FEF" w14:textId="77777777" w:rsidTr="00A40C66">
        <w:tblPrEx>
          <w:tblW w:w="9355" w:type="dxa"/>
          <w:tblLook w:val="04A0"/>
        </w:tblPrEx>
        <w:tc>
          <w:tcPr>
            <w:tcW w:w="3631" w:type="dxa"/>
            <w:vAlign w:val="center"/>
          </w:tcPr>
          <w:p w:rsidR="00A40C66" w:rsidRPr="001859A5" w:rsidP="00A40C66" w14:paraId="624060A6" w14:textId="33197AE9">
            <w:r>
              <w:t>0419</w:t>
            </w:r>
          </w:p>
        </w:tc>
        <w:tc>
          <w:tcPr>
            <w:tcW w:w="5724" w:type="dxa"/>
            <w:vAlign w:val="center"/>
          </w:tcPr>
          <w:p w:rsidR="00A40C66" w:rsidP="00A40C66" w14:paraId="5AC8A887" w14:textId="18B902DE">
            <w:r w:rsidRPr="00D33864">
              <w:t>Radha Newsom</w:t>
            </w:r>
          </w:p>
        </w:tc>
      </w:tr>
      <w:tr w14:paraId="7AC7EC18" w14:textId="77777777" w:rsidTr="00A40C66">
        <w:tblPrEx>
          <w:tblW w:w="9355" w:type="dxa"/>
          <w:tblLook w:val="04A0"/>
        </w:tblPrEx>
        <w:tc>
          <w:tcPr>
            <w:tcW w:w="3631" w:type="dxa"/>
            <w:vAlign w:val="center"/>
          </w:tcPr>
          <w:p w:rsidR="00A40C66" w:rsidRPr="001859A5" w:rsidP="00A40C66" w14:paraId="67714383" w14:textId="738CF9C8">
            <w:r>
              <w:t>0420</w:t>
            </w:r>
          </w:p>
        </w:tc>
        <w:tc>
          <w:tcPr>
            <w:tcW w:w="5724" w:type="dxa"/>
            <w:vAlign w:val="center"/>
          </w:tcPr>
          <w:p w:rsidR="00A40C66" w:rsidP="00A40C66" w14:paraId="7F37EEAC" w14:textId="0CAFABAF">
            <w:r w:rsidRPr="00D33864">
              <w:t>Jessica Barlow</w:t>
            </w:r>
          </w:p>
        </w:tc>
      </w:tr>
      <w:tr w14:paraId="7DB056C1" w14:textId="77777777" w:rsidTr="00A40C66">
        <w:tblPrEx>
          <w:tblW w:w="9355" w:type="dxa"/>
          <w:tblLook w:val="04A0"/>
        </w:tblPrEx>
        <w:tc>
          <w:tcPr>
            <w:tcW w:w="3631" w:type="dxa"/>
            <w:vAlign w:val="center"/>
          </w:tcPr>
          <w:p w:rsidR="00A40C66" w:rsidRPr="001859A5" w:rsidP="00A40C66" w14:paraId="13229A85" w14:textId="02577641">
            <w:r>
              <w:t>0421</w:t>
            </w:r>
          </w:p>
        </w:tc>
        <w:tc>
          <w:tcPr>
            <w:tcW w:w="5724" w:type="dxa"/>
            <w:vAlign w:val="center"/>
          </w:tcPr>
          <w:p w:rsidR="00A40C66" w:rsidP="00A40C66" w14:paraId="318EAD7E" w14:textId="0DF1AAD6">
            <w:r>
              <w:t>Anonymous</w:t>
            </w:r>
          </w:p>
        </w:tc>
      </w:tr>
      <w:tr w14:paraId="2488EBEC" w14:textId="77777777" w:rsidTr="00A40C66">
        <w:tblPrEx>
          <w:tblW w:w="9355" w:type="dxa"/>
          <w:tblLook w:val="04A0"/>
        </w:tblPrEx>
        <w:tc>
          <w:tcPr>
            <w:tcW w:w="3631" w:type="dxa"/>
            <w:vAlign w:val="center"/>
          </w:tcPr>
          <w:p w:rsidR="00A40C66" w:rsidRPr="001859A5" w:rsidP="00A40C66" w14:paraId="3E6225CF" w14:textId="7060542E">
            <w:r>
              <w:t>0422</w:t>
            </w:r>
          </w:p>
        </w:tc>
        <w:tc>
          <w:tcPr>
            <w:tcW w:w="5724" w:type="dxa"/>
            <w:vAlign w:val="center"/>
          </w:tcPr>
          <w:p w:rsidR="00A40C66" w:rsidP="00A40C66" w14:paraId="56515CED" w14:textId="5632BA59">
            <w:r>
              <w:t>Anonymous</w:t>
            </w:r>
          </w:p>
        </w:tc>
      </w:tr>
      <w:tr w14:paraId="64F3BB54" w14:textId="77777777" w:rsidTr="00A40C66">
        <w:tblPrEx>
          <w:tblW w:w="9355" w:type="dxa"/>
          <w:tblLook w:val="04A0"/>
        </w:tblPrEx>
        <w:tc>
          <w:tcPr>
            <w:tcW w:w="3631" w:type="dxa"/>
            <w:vAlign w:val="center"/>
          </w:tcPr>
          <w:p w:rsidR="00A40C66" w:rsidRPr="001859A5" w:rsidP="00A40C66" w14:paraId="69EF13C9" w14:textId="3A8A6E3C">
            <w:r>
              <w:t>0423</w:t>
            </w:r>
          </w:p>
        </w:tc>
        <w:tc>
          <w:tcPr>
            <w:tcW w:w="5724" w:type="dxa"/>
            <w:vAlign w:val="center"/>
          </w:tcPr>
          <w:p w:rsidR="00A40C66" w:rsidP="00A40C66" w14:paraId="13D70301" w14:textId="3D1C4C52">
            <w:r>
              <w:t>Anonymous</w:t>
            </w:r>
          </w:p>
        </w:tc>
      </w:tr>
      <w:tr w14:paraId="27622E58" w14:textId="77777777" w:rsidTr="00A40C66">
        <w:tblPrEx>
          <w:tblW w:w="9355" w:type="dxa"/>
          <w:tblLook w:val="04A0"/>
        </w:tblPrEx>
        <w:tc>
          <w:tcPr>
            <w:tcW w:w="3631" w:type="dxa"/>
            <w:vAlign w:val="center"/>
          </w:tcPr>
          <w:p w:rsidR="00A40C66" w:rsidRPr="001859A5" w:rsidP="00A40C66" w14:paraId="4C01AD3F" w14:textId="6BB3D893">
            <w:r>
              <w:t>0424</w:t>
            </w:r>
          </w:p>
        </w:tc>
        <w:tc>
          <w:tcPr>
            <w:tcW w:w="5724" w:type="dxa"/>
            <w:vAlign w:val="center"/>
          </w:tcPr>
          <w:p w:rsidR="00A40C66" w:rsidP="00A40C66" w14:paraId="77601B41" w14:textId="42E048BF">
            <w:r>
              <w:t>Anonymous</w:t>
            </w:r>
          </w:p>
        </w:tc>
      </w:tr>
      <w:tr w14:paraId="497258F0" w14:textId="77777777" w:rsidTr="00A40C66">
        <w:tblPrEx>
          <w:tblW w:w="9355" w:type="dxa"/>
          <w:tblLook w:val="04A0"/>
        </w:tblPrEx>
        <w:tc>
          <w:tcPr>
            <w:tcW w:w="3631" w:type="dxa"/>
            <w:vAlign w:val="center"/>
          </w:tcPr>
          <w:p w:rsidR="00A40C66" w:rsidRPr="001859A5" w:rsidP="00A40C66" w14:paraId="6B5A8B31" w14:textId="6D886501">
            <w:r>
              <w:t>0425</w:t>
            </w:r>
          </w:p>
        </w:tc>
        <w:tc>
          <w:tcPr>
            <w:tcW w:w="5724" w:type="dxa"/>
            <w:vAlign w:val="center"/>
          </w:tcPr>
          <w:p w:rsidR="00A40C66" w:rsidP="00A40C66" w14:paraId="0B9ADA27" w14:textId="6E7FE0AC">
            <w:r>
              <w:t>Anonymous</w:t>
            </w:r>
          </w:p>
        </w:tc>
      </w:tr>
      <w:tr w14:paraId="7CE5AA21" w14:textId="77777777" w:rsidTr="00A40C66">
        <w:tblPrEx>
          <w:tblW w:w="9355" w:type="dxa"/>
          <w:tblLook w:val="04A0"/>
        </w:tblPrEx>
        <w:tc>
          <w:tcPr>
            <w:tcW w:w="3631" w:type="dxa"/>
            <w:vAlign w:val="center"/>
          </w:tcPr>
          <w:p w:rsidR="00A40C66" w:rsidRPr="001859A5" w:rsidP="00A40C66" w14:paraId="15F5A0D1" w14:textId="2497BCE5">
            <w:r>
              <w:t>0426</w:t>
            </w:r>
          </w:p>
        </w:tc>
        <w:tc>
          <w:tcPr>
            <w:tcW w:w="5724" w:type="dxa"/>
            <w:vAlign w:val="center"/>
          </w:tcPr>
          <w:p w:rsidR="00A40C66" w:rsidP="00A40C66" w14:paraId="0B271E49" w14:textId="37E9B3DF">
            <w:r w:rsidRPr="00D33864">
              <w:t>Kevin Miller</w:t>
            </w:r>
          </w:p>
        </w:tc>
      </w:tr>
      <w:tr w14:paraId="698F1A51" w14:textId="77777777" w:rsidTr="00A40C66">
        <w:tblPrEx>
          <w:tblW w:w="9355" w:type="dxa"/>
          <w:tblLook w:val="04A0"/>
        </w:tblPrEx>
        <w:tc>
          <w:tcPr>
            <w:tcW w:w="3631" w:type="dxa"/>
            <w:vAlign w:val="center"/>
          </w:tcPr>
          <w:p w:rsidR="00A40C66" w:rsidRPr="001859A5" w:rsidP="00A40C66" w14:paraId="5BB81AED" w14:textId="6C365576">
            <w:r>
              <w:t>0427</w:t>
            </w:r>
          </w:p>
        </w:tc>
        <w:tc>
          <w:tcPr>
            <w:tcW w:w="5724" w:type="dxa"/>
            <w:vAlign w:val="center"/>
          </w:tcPr>
          <w:p w:rsidR="00A40C66" w:rsidP="00A40C66" w14:paraId="40EDDB1B" w14:textId="1BA6330E">
            <w:r w:rsidRPr="00D33864">
              <w:t>Amber Keating</w:t>
            </w:r>
          </w:p>
        </w:tc>
      </w:tr>
      <w:tr w14:paraId="7A7093A8" w14:textId="77777777" w:rsidTr="00A40C66">
        <w:tblPrEx>
          <w:tblW w:w="9355" w:type="dxa"/>
          <w:tblLook w:val="04A0"/>
        </w:tblPrEx>
        <w:tc>
          <w:tcPr>
            <w:tcW w:w="3631" w:type="dxa"/>
            <w:vAlign w:val="center"/>
          </w:tcPr>
          <w:p w:rsidR="00A40C66" w:rsidRPr="001859A5" w:rsidP="00A40C66" w14:paraId="7CB1BA2D" w14:textId="7B797983">
            <w:r>
              <w:t>0428</w:t>
            </w:r>
          </w:p>
        </w:tc>
        <w:tc>
          <w:tcPr>
            <w:tcW w:w="5724" w:type="dxa"/>
            <w:vAlign w:val="center"/>
          </w:tcPr>
          <w:p w:rsidR="00A40C66" w:rsidP="00A40C66" w14:paraId="4940386C" w14:textId="52015DAD">
            <w:r w:rsidRPr="00D33864">
              <w:t>Antoinette Rose MD</w:t>
            </w:r>
          </w:p>
        </w:tc>
      </w:tr>
      <w:tr w14:paraId="1BBAC30A" w14:textId="77777777" w:rsidTr="00A40C66">
        <w:tblPrEx>
          <w:tblW w:w="9355" w:type="dxa"/>
          <w:tblLook w:val="04A0"/>
        </w:tblPrEx>
        <w:tc>
          <w:tcPr>
            <w:tcW w:w="3631" w:type="dxa"/>
            <w:vAlign w:val="center"/>
          </w:tcPr>
          <w:p w:rsidR="00A40C66" w:rsidRPr="001859A5" w:rsidP="00A40C66" w14:paraId="30617114" w14:textId="7E379B49">
            <w:r>
              <w:t>0429</w:t>
            </w:r>
          </w:p>
        </w:tc>
        <w:tc>
          <w:tcPr>
            <w:tcW w:w="5724" w:type="dxa"/>
            <w:vAlign w:val="center"/>
          </w:tcPr>
          <w:p w:rsidR="00A40C66" w:rsidP="00A40C66" w14:paraId="253BDB2B" w14:textId="19739B87">
            <w:r w:rsidRPr="00D33864">
              <w:t>Marianne Walter</w:t>
            </w:r>
          </w:p>
        </w:tc>
      </w:tr>
      <w:tr w14:paraId="740C1A86" w14:textId="77777777" w:rsidTr="00A40C66">
        <w:tblPrEx>
          <w:tblW w:w="9355" w:type="dxa"/>
          <w:tblLook w:val="04A0"/>
        </w:tblPrEx>
        <w:tc>
          <w:tcPr>
            <w:tcW w:w="3631" w:type="dxa"/>
            <w:vAlign w:val="center"/>
          </w:tcPr>
          <w:p w:rsidR="00A40C66" w:rsidRPr="001859A5" w:rsidP="00A40C66" w14:paraId="57D3DA55" w14:textId="364D33BC">
            <w:r>
              <w:t>0430</w:t>
            </w:r>
          </w:p>
        </w:tc>
        <w:tc>
          <w:tcPr>
            <w:tcW w:w="5724" w:type="dxa"/>
            <w:vAlign w:val="center"/>
          </w:tcPr>
          <w:p w:rsidR="00A40C66" w:rsidP="00A40C66" w14:paraId="756BC3D8" w14:textId="022BF959">
            <w:r>
              <w:t>Anonymous</w:t>
            </w:r>
          </w:p>
        </w:tc>
      </w:tr>
      <w:tr w14:paraId="435BC26F" w14:textId="77777777" w:rsidTr="00A40C66">
        <w:tblPrEx>
          <w:tblW w:w="9355" w:type="dxa"/>
          <w:tblLook w:val="04A0"/>
        </w:tblPrEx>
        <w:tc>
          <w:tcPr>
            <w:tcW w:w="3631" w:type="dxa"/>
            <w:vAlign w:val="center"/>
          </w:tcPr>
          <w:p w:rsidR="00A40C66" w:rsidRPr="001859A5" w:rsidP="00A40C66" w14:paraId="64632F8B" w14:textId="4AC682A5">
            <w:r>
              <w:t>0431</w:t>
            </w:r>
          </w:p>
        </w:tc>
        <w:tc>
          <w:tcPr>
            <w:tcW w:w="5724" w:type="dxa"/>
            <w:vAlign w:val="center"/>
          </w:tcPr>
          <w:p w:rsidR="00A40C66" w:rsidP="00A40C66" w14:paraId="4C23C77B" w14:textId="456C24B1">
            <w:r>
              <w:t>Anonymous</w:t>
            </w:r>
          </w:p>
        </w:tc>
      </w:tr>
      <w:tr w14:paraId="07F84AA8" w14:textId="77777777" w:rsidTr="00A40C66">
        <w:tblPrEx>
          <w:tblW w:w="9355" w:type="dxa"/>
          <w:tblLook w:val="04A0"/>
        </w:tblPrEx>
        <w:tc>
          <w:tcPr>
            <w:tcW w:w="3631" w:type="dxa"/>
            <w:vAlign w:val="center"/>
          </w:tcPr>
          <w:p w:rsidR="00A40C66" w:rsidRPr="001859A5" w:rsidP="00A40C66" w14:paraId="0EBA5650" w14:textId="3C8EDB7E">
            <w:r>
              <w:t>0432</w:t>
            </w:r>
          </w:p>
        </w:tc>
        <w:tc>
          <w:tcPr>
            <w:tcW w:w="5724" w:type="dxa"/>
            <w:vAlign w:val="center"/>
          </w:tcPr>
          <w:p w:rsidR="00A40C66" w:rsidP="00A40C66" w14:paraId="1D8DF728" w14:textId="54DA0A13">
            <w:r w:rsidRPr="00D33864">
              <w:t>Jennifer Lantrip</w:t>
            </w:r>
          </w:p>
        </w:tc>
      </w:tr>
      <w:tr w14:paraId="5F3898BB" w14:textId="77777777" w:rsidTr="00A40C66">
        <w:tblPrEx>
          <w:tblW w:w="9355" w:type="dxa"/>
          <w:tblLook w:val="04A0"/>
        </w:tblPrEx>
        <w:tc>
          <w:tcPr>
            <w:tcW w:w="3631" w:type="dxa"/>
            <w:vAlign w:val="center"/>
          </w:tcPr>
          <w:p w:rsidR="00A40C66" w:rsidRPr="001859A5" w:rsidP="00A40C66" w14:paraId="1083C57D" w14:textId="4F874BA9">
            <w:r>
              <w:t>0433</w:t>
            </w:r>
          </w:p>
        </w:tc>
        <w:tc>
          <w:tcPr>
            <w:tcW w:w="5724" w:type="dxa"/>
            <w:vAlign w:val="center"/>
          </w:tcPr>
          <w:p w:rsidR="00A40C66" w:rsidP="00A40C66" w14:paraId="2A3C02E2" w14:textId="023C7BDD">
            <w:r>
              <w:t>Anonymous</w:t>
            </w:r>
          </w:p>
        </w:tc>
      </w:tr>
      <w:tr w14:paraId="024AA1F1" w14:textId="77777777" w:rsidTr="00A40C66">
        <w:tblPrEx>
          <w:tblW w:w="9355" w:type="dxa"/>
          <w:tblLook w:val="04A0"/>
        </w:tblPrEx>
        <w:tc>
          <w:tcPr>
            <w:tcW w:w="3631" w:type="dxa"/>
            <w:vAlign w:val="center"/>
          </w:tcPr>
          <w:p w:rsidR="00A40C66" w:rsidRPr="001859A5" w:rsidP="00A40C66" w14:paraId="1BC47BBF" w14:textId="146E78E6">
            <w:r>
              <w:t>0434</w:t>
            </w:r>
          </w:p>
        </w:tc>
        <w:tc>
          <w:tcPr>
            <w:tcW w:w="5724" w:type="dxa"/>
            <w:vAlign w:val="center"/>
          </w:tcPr>
          <w:p w:rsidR="00A40C66" w:rsidP="00A40C66" w14:paraId="5BCBFCB1" w14:textId="570CFE75">
            <w:r w:rsidRPr="00D33864">
              <w:t>Kendra Eshleman</w:t>
            </w:r>
          </w:p>
        </w:tc>
      </w:tr>
      <w:tr w14:paraId="47A8E611" w14:textId="77777777" w:rsidTr="00A40C66">
        <w:tblPrEx>
          <w:tblW w:w="9355" w:type="dxa"/>
          <w:tblLook w:val="04A0"/>
        </w:tblPrEx>
        <w:tc>
          <w:tcPr>
            <w:tcW w:w="3631" w:type="dxa"/>
            <w:vAlign w:val="center"/>
          </w:tcPr>
          <w:p w:rsidR="00A40C66" w:rsidRPr="001859A5" w:rsidP="00A40C66" w14:paraId="4EEE1874" w14:textId="6D20D59C">
            <w:r>
              <w:t>0435</w:t>
            </w:r>
          </w:p>
        </w:tc>
        <w:tc>
          <w:tcPr>
            <w:tcW w:w="5724" w:type="dxa"/>
            <w:vAlign w:val="center"/>
          </w:tcPr>
          <w:p w:rsidR="00A40C66" w:rsidP="00A40C66" w14:paraId="1F2D0717" w14:textId="288AA546">
            <w:r w:rsidRPr="00D33864">
              <w:t>Patrick Murphy</w:t>
            </w:r>
          </w:p>
        </w:tc>
      </w:tr>
      <w:tr w14:paraId="2AE82B77" w14:textId="77777777" w:rsidTr="00A40C66">
        <w:tblPrEx>
          <w:tblW w:w="9355" w:type="dxa"/>
          <w:tblLook w:val="04A0"/>
        </w:tblPrEx>
        <w:tc>
          <w:tcPr>
            <w:tcW w:w="3631" w:type="dxa"/>
            <w:vAlign w:val="center"/>
          </w:tcPr>
          <w:p w:rsidR="00A40C66" w:rsidRPr="001859A5" w:rsidP="00A40C66" w14:paraId="1C853325" w14:textId="1FAFBB82">
            <w:r>
              <w:t>0436</w:t>
            </w:r>
          </w:p>
        </w:tc>
        <w:tc>
          <w:tcPr>
            <w:tcW w:w="5724" w:type="dxa"/>
            <w:vAlign w:val="center"/>
          </w:tcPr>
          <w:p w:rsidR="00A40C66" w:rsidP="00A40C66" w14:paraId="3D07E563" w14:textId="69F32EF1">
            <w:r w:rsidRPr="00D33864">
              <w:t>Carol Wilson</w:t>
            </w:r>
          </w:p>
        </w:tc>
      </w:tr>
      <w:tr w14:paraId="09066BE8" w14:textId="77777777" w:rsidTr="00A40C66">
        <w:tblPrEx>
          <w:tblW w:w="9355" w:type="dxa"/>
          <w:tblLook w:val="04A0"/>
        </w:tblPrEx>
        <w:tc>
          <w:tcPr>
            <w:tcW w:w="3631" w:type="dxa"/>
            <w:vAlign w:val="center"/>
          </w:tcPr>
          <w:p w:rsidR="00A40C66" w:rsidRPr="001859A5" w:rsidP="00A40C66" w14:paraId="7AD2DD44" w14:textId="33B92B31">
            <w:r>
              <w:t>0437</w:t>
            </w:r>
          </w:p>
        </w:tc>
        <w:tc>
          <w:tcPr>
            <w:tcW w:w="5724" w:type="dxa"/>
            <w:vAlign w:val="center"/>
          </w:tcPr>
          <w:p w:rsidR="00A40C66" w:rsidP="00A40C66" w14:paraId="067F79E9" w14:textId="722F6C65">
            <w:r>
              <w:t>Anonymous</w:t>
            </w:r>
          </w:p>
        </w:tc>
      </w:tr>
      <w:tr w14:paraId="761380C0" w14:textId="77777777" w:rsidTr="00A40C66">
        <w:tblPrEx>
          <w:tblW w:w="9355" w:type="dxa"/>
          <w:tblLook w:val="04A0"/>
        </w:tblPrEx>
        <w:tc>
          <w:tcPr>
            <w:tcW w:w="3631" w:type="dxa"/>
            <w:vAlign w:val="center"/>
          </w:tcPr>
          <w:p w:rsidR="00A40C66" w:rsidRPr="001859A5" w:rsidP="00A40C66" w14:paraId="5F40B2CF" w14:textId="61BABCC8">
            <w:r>
              <w:t>0438</w:t>
            </w:r>
          </w:p>
        </w:tc>
        <w:tc>
          <w:tcPr>
            <w:tcW w:w="5724" w:type="dxa"/>
            <w:vAlign w:val="center"/>
          </w:tcPr>
          <w:p w:rsidR="00A40C66" w:rsidP="00A40C66" w14:paraId="50188597" w14:textId="4DB66D01">
            <w:r w:rsidRPr="00D33864">
              <w:t>Elliott Rabin</w:t>
            </w:r>
          </w:p>
        </w:tc>
      </w:tr>
      <w:tr w14:paraId="5FB2F680" w14:textId="77777777" w:rsidTr="00A40C66">
        <w:tblPrEx>
          <w:tblW w:w="9355" w:type="dxa"/>
          <w:tblLook w:val="04A0"/>
        </w:tblPrEx>
        <w:tc>
          <w:tcPr>
            <w:tcW w:w="3631" w:type="dxa"/>
            <w:vAlign w:val="center"/>
          </w:tcPr>
          <w:p w:rsidR="00A40C66" w:rsidRPr="001859A5" w:rsidP="00A40C66" w14:paraId="5694D6E6" w14:textId="53E93785">
            <w:r>
              <w:t>0439</w:t>
            </w:r>
          </w:p>
        </w:tc>
        <w:tc>
          <w:tcPr>
            <w:tcW w:w="5724" w:type="dxa"/>
            <w:vAlign w:val="center"/>
          </w:tcPr>
          <w:p w:rsidR="00A40C66" w:rsidP="00A40C66" w14:paraId="27050F2C" w14:textId="5DE17ABB">
            <w:r>
              <w:t>Anonymous</w:t>
            </w:r>
          </w:p>
        </w:tc>
      </w:tr>
      <w:tr w14:paraId="5FCB3F58" w14:textId="77777777" w:rsidTr="00A40C66">
        <w:tblPrEx>
          <w:tblW w:w="9355" w:type="dxa"/>
          <w:tblLook w:val="04A0"/>
        </w:tblPrEx>
        <w:tc>
          <w:tcPr>
            <w:tcW w:w="3631" w:type="dxa"/>
            <w:vAlign w:val="center"/>
          </w:tcPr>
          <w:p w:rsidR="00A40C66" w:rsidRPr="001859A5" w:rsidP="00A40C66" w14:paraId="220E58A6" w14:textId="3503D49D">
            <w:r>
              <w:t>0440</w:t>
            </w:r>
          </w:p>
        </w:tc>
        <w:tc>
          <w:tcPr>
            <w:tcW w:w="5724" w:type="dxa"/>
            <w:vAlign w:val="center"/>
          </w:tcPr>
          <w:p w:rsidR="00A40C66" w:rsidP="00A40C66" w14:paraId="1B6B9513" w14:textId="3D9CE613">
            <w:r>
              <w:t>Anonymous</w:t>
            </w:r>
          </w:p>
        </w:tc>
      </w:tr>
      <w:tr w14:paraId="2AAF6049" w14:textId="77777777" w:rsidTr="00A40C66">
        <w:tblPrEx>
          <w:tblW w:w="9355" w:type="dxa"/>
          <w:tblLook w:val="04A0"/>
        </w:tblPrEx>
        <w:tc>
          <w:tcPr>
            <w:tcW w:w="3631" w:type="dxa"/>
            <w:vAlign w:val="center"/>
          </w:tcPr>
          <w:p w:rsidR="00A40C66" w:rsidRPr="001859A5" w:rsidP="00A40C66" w14:paraId="57DB41EE" w14:textId="6F006911">
            <w:r>
              <w:t>0441</w:t>
            </w:r>
          </w:p>
        </w:tc>
        <w:tc>
          <w:tcPr>
            <w:tcW w:w="5724" w:type="dxa"/>
            <w:vAlign w:val="center"/>
          </w:tcPr>
          <w:p w:rsidR="00A40C66" w:rsidP="00A40C66" w14:paraId="117D1F48" w14:textId="1597DB91">
            <w:r>
              <w:t>Anonymous</w:t>
            </w:r>
          </w:p>
        </w:tc>
      </w:tr>
      <w:tr w14:paraId="256A925F" w14:textId="77777777" w:rsidTr="00A40C66">
        <w:tblPrEx>
          <w:tblW w:w="9355" w:type="dxa"/>
          <w:tblLook w:val="04A0"/>
        </w:tblPrEx>
        <w:tc>
          <w:tcPr>
            <w:tcW w:w="3631" w:type="dxa"/>
            <w:vAlign w:val="center"/>
          </w:tcPr>
          <w:p w:rsidR="00A40C66" w:rsidRPr="001859A5" w:rsidP="00A40C66" w14:paraId="39EA9498" w14:textId="7DCBAFCD">
            <w:r>
              <w:t>0442</w:t>
            </w:r>
          </w:p>
        </w:tc>
        <w:tc>
          <w:tcPr>
            <w:tcW w:w="5724" w:type="dxa"/>
            <w:vAlign w:val="center"/>
          </w:tcPr>
          <w:p w:rsidR="00A40C66" w:rsidP="00A40C66" w14:paraId="77536EF2" w14:textId="35C072C7">
            <w:r w:rsidRPr="00D33864">
              <w:t>Alexandra Ross</w:t>
            </w:r>
          </w:p>
        </w:tc>
      </w:tr>
      <w:tr w14:paraId="7177C77D" w14:textId="77777777" w:rsidTr="00A40C66">
        <w:tblPrEx>
          <w:tblW w:w="9355" w:type="dxa"/>
          <w:tblLook w:val="04A0"/>
        </w:tblPrEx>
        <w:tc>
          <w:tcPr>
            <w:tcW w:w="3631" w:type="dxa"/>
            <w:vAlign w:val="center"/>
          </w:tcPr>
          <w:p w:rsidR="00A40C66" w:rsidRPr="001859A5" w:rsidP="00A40C66" w14:paraId="0DD3D9D7" w14:textId="0A244AC8">
            <w:r>
              <w:t>0443</w:t>
            </w:r>
          </w:p>
        </w:tc>
        <w:tc>
          <w:tcPr>
            <w:tcW w:w="5724" w:type="dxa"/>
            <w:vAlign w:val="center"/>
          </w:tcPr>
          <w:p w:rsidR="00A40C66" w:rsidP="00A40C66" w14:paraId="1358C860" w14:textId="3300160F">
            <w:r w:rsidRPr="00D33864">
              <w:t>Thomas Weissert</w:t>
            </w:r>
          </w:p>
        </w:tc>
      </w:tr>
      <w:tr w14:paraId="473EE6F2" w14:textId="77777777" w:rsidTr="00A40C66">
        <w:tblPrEx>
          <w:tblW w:w="9355" w:type="dxa"/>
          <w:tblLook w:val="04A0"/>
        </w:tblPrEx>
        <w:tc>
          <w:tcPr>
            <w:tcW w:w="3631" w:type="dxa"/>
            <w:vAlign w:val="center"/>
          </w:tcPr>
          <w:p w:rsidR="00A40C66" w:rsidRPr="001859A5" w:rsidP="00A40C66" w14:paraId="75CDF6DB" w14:textId="2D557F26">
            <w:r>
              <w:t>0444</w:t>
            </w:r>
          </w:p>
        </w:tc>
        <w:tc>
          <w:tcPr>
            <w:tcW w:w="5724" w:type="dxa"/>
            <w:vAlign w:val="center"/>
          </w:tcPr>
          <w:p w:rsidR="00A40C66" w:rsidP="00A40C66" w14:paraId="798434A1" w14:textId="255B0828">
            <w:r w:rsidRPr="00D33864">
              <w:t>Fara OSullivan</w:t>
            </w:r>
          </w:p>
        </w:tc>
      </w:tr>
      <w:tr w14:paraId="308AC675" w14:textId="77777777" w:rsidTr="00A40C66">
        <w:tblPrEx>
          <w:tblW w:w="9355" w:type="dxa"/>
          <w:tblLook w:val="04A0"/>
        </w:tblPrEx>
        <w:tc>
          <w:tcPr>
            <w:tcW w:w="3631" w:type="dxa"/>
            <w:vAlign w:val="center"/>
          </w:tcPr>
          <w:p w:rsidR="00A40C66" w:rsidRPr="001859A5" w:rsidP="00A40C66" w14:paraId="6BBEC3B2" w14:textId="43FB99E3">
            <w:r>
              <w:t>0445</w:t>
            </w:r>
          </w:p>
        </w:tc>
        <w:tc>
          <w:tcPr>
            <w:tcW w:w="5724" w:type="dxa"/>
            <w:vAlign w:val="center"/>
          </w:tcPr>
          <w:p w:rsidR="00A40C66" w:rsidP="00A40C66" w14:paraId="10667050" w14:textId="30549DAE">
            <w:r w:rsidRPr="00D33864">
              <w:t>Sandra Eskrich</w:t>
            </w:r>
          </w:p>
        </w:tc>
      </w:tr>
      <w:tr w14:paraId="2F24DB97" w14:textId="77777777" w:rsidTr="00A40C66">
        <w:tblPrEx>
          <w:tblW w:w="9355" w:type="dxa"/>
          <w:tblLook w:val="04A0"/>
        </w:tblPrEx>
        <w:tc>
          <w:tcPr>
            <w:tcW w:w="3631" w:type="dxa"/>
            <w:vAlign w:val="center"/>
          </w:tcPr>
          <w:p w:rsidR="00A40C66" w:rsidRPr="001859A5" w:rsidP="00A40C66" w14:paraId="0FF4E66E" w14:textId="264B8570">
            <w:r>
              <w:t>0446</w:t>
            </w:r>
          </w:p>
        </w:tc>
        <w:tc>
          <w:tcPr>
            <w:tcW w:w="5724" w:type="dxa"/>
            <w:vAlign w:val="center"/>
          </w:tcPr>
          <w:p w:rsidR="00A40C66" w:rsidP="00A40C66" w14:paraId="4138B3FF" w14:textId="3931EA10">
            <w:r w:rsidRPr="00D33864">
              <w:t>Savannah Salazar</w:t>
            </w:r>
          </w:p>
        </w:tc>
      </w:tr>
      <w:tr w14:paraId="27351A81" w14:textId="77777777" w:rsidTr="00A40C66">
        <w:tblPrEx>
          <w:tblW w:w="9355" w:type="dxa"/>
          <w:tblLook w:val="04A0"/>
        </w:tblPrEx>
        <w:tc>
          <w:tcPr>
            <w:tcW w:w="3631" w:type="dxa"/>
            <w:vAlign w:val="center"/>
          </w:tcPr>
          <w:p w:rsidR="00A40C66" w:rsidRPr="001859A5" w:rsidP="00A40C66" w14:paraId="3B41F4B9" w14:textId="3A4AE9B6">
            <w:r>
              <w:t>0447</w:t>
            </w:r>
          </w:p>
        </w:tc>
        <w:tc>
          <w:tcPr>
            <w:tcW w:w="5724" w:type="dxa"/>
            <w:vAlign w:val="center"/>
          </w:tcPr>
          <w:p w:rsidR="00A40C66" w:rsidP="00A40C66" w14:paraId="6C562B5B" w14:textId="4AED3716">
            <w:r w:rsidRPr="00D33864">
              <w:t>Julianne Griepp</w:t>
            </w:r>
          </w:p>
        </w:tc>
      </w:tr>
      <w:tr w14:paraId="53992C38" w14:textId="77777777" w:rsidTr="00A40C66">
        <w:tblPrEx>
          <w:tblW w:w="9355" w:type="dxa"/>
          <w:tblLook w:val="04A0"/>
        </w:tblPrEx>
        <w:tc>
          <w:tcPr>
            <w:tcW w:w="3631" w:type="dxa"/>
            <w:vAlign w:val="center"/>
          </w:tcPr>
          <w:p w:rsidR="00A40C66" w:rsidRPr="001859A5" w:rsidP="00A40C66" w14:paraId="02D0BF10" w14:textId="66F4C4A8">
            <w:r>
              <w:t>0448</w:t>
            </w:r>
          </w:p>
        </w:tc>
        <w:tc>
          <w:tcPr>
            <w:tcW w:w="5724" w:type="dxa"/>
            <w:vAlign w:val="center"/>
          </w:tcPr>
          <w:p w:rsidR="00A40C66" w:rsidP="00A40C66" w14:paraId="1D3E8B34" w14:textId="0B3C970A">
            <w:r>
              <w:t>Anonymous</w:t>
            </w:r>
          </w:p>
        </w:tc>
      </w:tr>
      <w:tr w14:paraId="7BC9068C" w14:textId="77777777" w:rsidTr="00A40C66">
        <w:tblPrEx>
          <w:tblW w:w="9355" w:type="dxa"/>
          <w:tblLook w:val="04A0"/>
        </w:tblPrEx>
        <w:tc>
          <w:tcPr>
            <w:tcW w:w="3631" w:type="dxa"/>
            <w:vAlign w:val="center"/>
          </w:tcPr>
          <w:p w:rsidR="00A40C66" w:rsidRPr="001859A5" w:rsidP="00A40C66" w14:paraId="765EF07D" w14:textId="57293D31">
            <w:r>
              <w:t>0449</w:t>
            </w:r>
          </w:p>
        </w:tc>
        <w:tc>
          <w:tcPr>
            <w:tcW w:w="5724" w:type="dxa"/>
            <w:vAlign w:val="center"/>
          </w:tcPr>
          <w:p w:rsidR="00A40C66" w:rsidP="00A40C66" w14:paraId="333CDD74" w14:textId="413DE0D4">
            <w:r>
              <w:t>Anonymous</w:t>
            </w:r>
          </w:p>
        </w:tc>
      </w:tr>
      <w:tr w14:paraId="291BB0FD" w14:textId="77777777" w:rsidTr="00A40C66">
        <w:tblPrEx>
          <w:tblW w:w="9355" w:type="dxa"/>
          <w:tblLook w:val="04A0"/>
        </w:tblPrEx>
        <w:tc>
          <w:tcPr>
            <w:tcW w:w="3631" w:type="dxa"/>
            <w:vAlign w:val="center"/>
          </w:tcPr>
          <w:p w:rsidR="00A40C66" w:rsidRPr="001859A5" w:rsidP="00A40C66" w14:paraId="5187AD17" w14:textId="641D6AAC">
            <w:r>
              <w:t>0450</w:t>
            </w:r>
          </w:p>
        </w:tc>
        <w:tc>
          <w:tcPr>
            <w:tcW w:w="5724" w:type="dxa"/>
            <w:vAlign w:val="center"/>
          </w:tcPr>
          <w:p w:rsidR="00A40C66" w:rsidP="00A40C66" w14:paraId="5D081A54" w14:textId="20957733">
            <w:r>
              <w:t>Anonymous</w:t>
            </w:r>
          </w:p>
        </w:tc>
      </w:tr>
      <w:tr w14:paraId="42555D28" w14:textId="77777777" w:rsidTr="00A40C66">
        <w:tblPrEx>
          <w:tblW w:w="9355" w:type="dxa"/>
          <w:tblLook w:val="04A0"/>
        </w:tblPrEx>
        <w:tc>
          <w:tcPr>
            <w:tcW w:w="3631" w:type="dxa"/>
            <w:vAlign w:val="center"/>
          </w:tcPr>
          <w:p w:rsidR="00A40C66" w:rsidRPr="001859A5" w:rsidP="00A40C66" w14:paraId="541073BB" w14:textId="57923B93">
            <w:r>
              <w:t>0451</w:t>
            </w:r>
          </w:p>
        </w:tc>
        <w:tc>
          <w:tcPr>
            <w:tcW w:w="5724" w:type="dxa"/>
            <w:vAlign w:val="center"/>
          </w:tcPr>
          <w:p w:rsidR="00A40C66" w:rsidP="00A40C66" w14:paraId="1634B6A9" w14:textId="312037B9">
            <w:r>
              <w:t>Anonymous</w:t>
            </w:r>
          </w:p>
        </w:tc>
      </w:tr>
      <w:tr w14:paraId="4AF8482B" w14:textId="77777777" w:rsidTr="00A40C66">
        <w:tblPrEx>
          <w:tblW w:w="9355" w:type="dxa"/>
          <w:tblLook w:val="04A0"/>
        </w:tblPrEx>
        <w:tc>
          <w:tcPr>
            <w:tcW w:w="3631" w:type="dxa"/>
            <w:vAlign w:val="center"/>
          </w:tcPr>
          <w:p w:rsidR="00A40C66" w:rsidRPr="001859A5" w:rsidP="00A40C66" w14:paraId="7BD1A287" w14:textId="2004503E">
            <w:r>
              <w:t>0452</w:t>
            </w:r>
          </w:p>
        </w:tc>
        <w:tc>
          <w:tcPr>
            <w:tcW w:w="5724" w:type="dxa"/>
            <w:vAlign w:val="center"/>
          </w:tcPr>
          <w:p w:rsidR="00A40C66" w:rsidP="00A40C66" w14:paraId="345500B7" w14:textId="1D6786CE">
            <w:r w:rsidRPr="00D33864">
              <w:t>Adam Auerbach</w:t>
            </w:r>
          </w:p>
        </w:tc>
      </w:tr>
      <w:tr w14:paraId="575827F9" w14:textId="77777777" w:rsidTr="00A40C66">
        <w:tblPrEx>
          <w:tblW w:w="9355" w:type="dxa"/>
          <w:tblLook w:val="04A0"/>
        </w:tblPrEx>
        <w:tc>
          <w:tcPr>
            <w:tcW w:w="3631" w:type="dxa"/>
            <w:vAlign w:val="center"/>
          </w:tcPr>
          <w:p w:rsidR="00A40C66" w:rsidRPr="001859A5" w:rsidP="00A40C66" w14:paraId="3350E3FC" w14:textId="60872C32">
            <w:r>
              <w:t>0453</w:t>
            </w:r>
          </w:p>
        </w:tc>
        <w:tc>
          <w:tcPr>
            <w:tcW w:w="5724" w:type="dxa"/>
            <w:vAlign w:val="center"/>
          </w:tcPr>
          <w:p w:rsidR="00A40C66" w:rsidP="00A40C66" w14:paraId="414707CC" w14:textId="27AB4BC7">
            <w:r w:rsidRPr="00D33864">
              <w:t>Nicole Voss</w:t>
            </w:r>
          </w:p>
        </w:tc>
      </w:tr>
      <w:tr w14:paraId="525EA34D" w14:textId="77777777" w:rsidTr="00A40C66">
        <w:tblPrEx>
          <w:tblW w:w="9355" w:type="dxa"/>
          <w:tblLook w:val="04A0"/>
        </w:tblPrEx>
        <w:tc>
          <w:tcPr>
            <w:tcW w:w="3631" w:type="dxa"/>
            <w:vAlign w:val="center"/>
          </w:tcPr>
          <w:p w:rsidR="00A40C66" w:rsidRPr="001859A5" w:rsidP="00A40C66" w14:paraId="02283BD7" w14:textId="3CB7538E">
            <w:r>
              <w:t>0454</w:t>
            </w:r>
          </w:p>
        </w:tc>
        <w:tc>
          <w:tcPr>
            <w:tcW w:w="5724" w:type="dxa"/>
            <w:vAlign w:val="center"/>
          </w:tcPr>
          <w:p w:rsidR="00A40C66" w:rsidP="00A40C66" w14:paraId="5C8C557C" w14:textId="7186DAF2">
            <w:r w:rsidRPr="00D33864">
              <w:t>Guy Desrochers</w:t>
            </w:r>
          </w:p>
        </w:tc>
      </w:tr>
      <w:tr w14:paraId="3300167F" w14:textId="77777777" w:rsidTr="00A40C66">
        <w:tblPrEx>
          <w:tblW w:w="9355" w:type="dxa"/>
          <w:tblLook w:val="04A0"/>
        </w:tblPrEx>
        <w:tc>
          <w:tcPr>
            <w:tcW w:w="3631" w:type="dxa"/>
            <w:vAlign w:val="center"/>
          </w:tcPr>
          <w:p w:rsidR="00A40C66" w:rsidRPr="001859A5" w:rsidP="00A40C66" w14:paraId="4BE92C93" w14:textId="600D3CCF">
            <w:r>
              <w:t>0455</w:t>
            </w:r>
          </w:p>
        </w:tc>
        <w:tc>
          <w:tcPr>
            <w:tcW w:w="5724" w:type="dxa"/>
            <w:vAlign w:val="center"/>
          </w:tcPr>
          <w:p w:rsidR="00A40C66" w:rsidP="00A40C66" w14:paraId="4B5FE422" w14:textId="5EAD2042">
            <w:r>
              <w:t>Anonymous</w:t>
            </w:r>
          </w:p>
        </w:tc>
      </w:tr>
      <w:tr w14:paraId="0871B331" w14:textId="77777777" w:rsidTr="00A40C66">
        <w:tblPrEx>
          <w:tblW w:w="9355" w:type="dxa"/>
          <w:tblLook w:val="04A0"/>
        </w:tblPrEx>
        <w:tc>
          <w:tcPr>
            <w:tcW w:w="3631" w:type="dxa"/>
            <w:vAlign w:val="center"/>
          </w:tcPr>
          <w:p w:rsidR="00A40C66" w:rsidRPr="001859A5" w:rsidP="00A40C66" w14:paraId="009D1184" w14:textId="76E2C350">
            <w:r>
              <w:t>0456</w:t>
            </w:r>
          </w:p>
        </w:tc>
        <w:tc>
          <w:tcPr>
            <w:tcW w:w="5724" w:type="dxa"/>
            <w:vAlign w:val="center"/>
          </w:tcPr>
          <w:p w:rsidR="00A40C66" w:rsidP="00A40C66" w14:paraId="24B59A6B" w14:textId="214FEC57">
            <w:r w:rsidRPr="00D33864">
              <w:t>Sharon Roy</w:t>
            </w:r>
          </w:p>
        </w:tc>
      </w:tr>
      <w:tr w14:paraId="56DA551A" w14:textId="77777777" w:rsidTr="00A40C66">
        <w:tblPrEx>
          <w:tblW w:w="9355" w:type="dxa"/>
          <w:tblLook w:val="04A0"/>
        </w:tblPrEx>
        <w:tc>
          <w:tcPr>
            <w:tcW w:w="3631" w:type="dxa"/>
            <w:vAlign w:val="center"/>
          </w:tcPr>
          <w:p w:rsidR="00A40C66" w:rsidRPr="001859A5" w:rsidP="00A40C66" w14:paraId="53327925" w14:textId="746BC666">
            <w:r>
              <w:t>0457</w:t>
            </w:r>
          </w:p>
        </w:tc>
        <w:tc>
          <w:tcPr>
            <w:tcW w:w="5724" w:type="dxa"/>
            <w:vAlign w:val="center"/>
          </w:tcPr>
          <w:p w:rsidR="00A40C66" w:rsidP="00A40C66" w14:paraId="525E5243" w14:textId="122A7736">
            <w:r w:rsidRPr="00D33864">
              <w:t>Sean Sweeney</w:t>
            </w:r>
          </w:p>
        </w:tc>
      </w:tr>
      <w:tr w14:paraId="0E04B2F7" w14:textId="77777777" w:rsidTr="00A40C66">
        <w:tblPrEx>
          <w:tblW w:w="9355" w:type="dxa"/>
          <w:tblLook w:val="04A0"/>
        </w:tblPrEx>
        <w:tc>
          <w:tcPr>
            <w:tcW w:w="3631" w:type="dxa"/>
            <w:vAlign w:val="center"/>
          </w:tcPr>
          <w:p w:rsidR="00A40C66" w:rsidRPr="001859A5" w:rsidP="00A40C66" w14:paraId="362008C0" w14:textId="65A73E73">
            <w:r>
              <w:t>0458</w:t>
            </w:r>
          </w:p>
        </w:tc>
        <w:tc>
          <w:tcPr>
            <w:tcW w:w="5724" w:type="dxa"/>
            <w:vAlign w:val="center"/>
          </w:tcPr>
          <w:p w:rsidR="00A40C66" w:rsidP="00A40C66" w14:paraId="05FC868B" w14:textId="5D383C7D">
            <w:r>
              <w:t>Anonymous</w:t>
            </w:r>
          </w:p>
        </w:tc>
      </w:tr>
      <w:tr w14:paraId="38ABC27E" w14:textId="77777777" w:rsidTr="00A40C66">
        <w:tblPrEx>
          <w:tblW w:w="9355" w:type="dxa"/>
          <w:tblLook w:val="04A0"/>
        </w:tblPrEx>
        <w:tc>
          <w:tcPr>
            <w:tcW w:w="3631" w:type="dxa"/>
            <w:vAlign w:val="center"/>
          </w:tcPr>
          <w:p w:rsidR="00A40C66" w:rsidRPr="001859A5" w:rsidP="00A40C66" w14:paraId="79F773D3" w14:textId="5C13A44F">
            <w:r>
              <w:t>0459</w:t>
            </w:r>
          </w:p>
        </w:tc>
        <w:tc>
          <w:tcPr>
            <w:tcW w:w="5724" w:type="dxa"/>
            <w:vAlign w:val="center"/>
          </w:tcPr>
          <w:p w:rsidR="00A40C66" w:rsidP="00A40C66" w14:paraId="252370DF" w14:textId="6F5CC818">
            <w:r w:rsidRPr="00D33864">
              <w:t>Kami Eugenio</w:t>
            </w:r>
          </w:p>
        </w:tc>
      </w:tr>
      <w:tr w14:paraId="247A4E18" w14:textId="77777777" w:rsidTr="00A40C66">
        <w:tblPrEx>
          <w:tblW w:w="9355" w:type="dxa"/>
          <w:tblLook w:val="04A0"/>
        </w:tblPrEx>
        <w:tc>
          <w:tcPr>
            <w:tcW w:w="3631" w:type="dxa"/>
            <w:vAlign w:val="center"/>
          </w:tcPr>
          <w:p w:rsidR="00A40C66" w:rsidRPr="001859A5" w:rsidP="00A40C66" w14:paraId="3B87C727" w14:textId="78933F11">
            <w:r>
              <w:t>0460</w:t>
            </w:r>
          </w:p>
        </w:tc>
        <w:tc>
          <w:tcPr>
            <w:tcW w:w="5724" w:type="dxa"/>
            <w:vAlign w:val="center"/>
          </w:tcPr>
          <w:p w:rsidR="00A40C66" w:rsidP="00A40C66" w14:paraId="62EFE960" w14:textId="1F48E41D">
            <w:r>
              <w:t>Anonymous</w:t>
            </w:r>
          </w:p>
        </w:tc>
      </w:tr>
      <w:tr w14:paraId="52F9488C" w14:textId="77777777" w:rsidTr="00A40C66">
        <w:tblPrEx>
          <w:tblW w:w="9355" w:type="dxa"/>
          <w:tblLook w:val="04A0"/>
        </w:tblPrEx>
        <w:tc>
          <w:tcPr>
            <w:tcW w:w="3631" w:type="dxa"/>
            <w:vAlign w:val="center"/>
          </w:tcPr>
          <w:p w:rsidR="00A40C66" w:rsidRPr="001859A5" w:rsidP="00A40C66" w14:paraId="65A1CC0D" w14:textId="43E75D3F">
            <w:r>
              <w:t>0461</w:t>
            </w:r>
          </w:p>
        </w:tc>
        <w:tc>
          <w:tcPr>
            <w:tcW w:w="5724" w:type="dxa"/>
            <w:vAlign w:val="center"/>
          </w:tcPr>
          <w:p w:rsidR="00A40C66" w:rsidP="00A40C66" w14:paraId="0B1DEAE3" w14:textId="775E84B0">
            <w:r>
              <w:t>Anonymous</w:t>
            </w:r>
          </w:p>
        </w:tc>
      </w:tr>
      <w:tr w14:paraId="2F9C25E1" w14:textId="77777777" w:rsidTr="00A40C66">
        <w:tblPrEx>
          <w:tblW w:w="9355" w:type="dxa"/>
          <w:tblLook w:val="04A0"/>
        </w:tblPrEx>
        <w:tc>
          <w:tcPr>
            <w:tcW w:w="3631" w:type="dxa"/>
            <w:vAlign w:val="center"/>
          </w:tcPr>
          <w:p w:rsidR="00A40C66" w:rsidRPr="001859A5" w:rsidP="00A40C66" w14:paraId="0907031A" w14:textId="1DF10D49">
            <w:r>
              <w:t>0462</w:t>
            </w:r>
          </w:p>
        </w:tc>
        <w:tc>
          <w:tcPr>
            <w:tcW w:w="5724" w:type="dxa"/>
            <w:vAlign w:val="center"/>
          </w:tcPr>
          <w:p w:rsidR="00A40C66" w:rsidP="00A40C66" w14:paraId="6D0EA1D5" w14:textId="72556914">
            <w:r w:rsidRPr="00D33864">
              <w:t>Jared Jamesson</w:t>
            </w:r>
          </w:p>
        </w:tc>
      </w:tr>
      <w:tr w14:paraId="61DDF545" w14:textId="77777777" w:rsidTr="00A40C66">
        <w:tblPrEx>
          <w:tblW w:w="9355" w:type="dxa"/>
          <w:tblLook w:val="04A0"/>
        </w:tblPrEx>
        <w:tc>
          <w:tcPr>
            <w:tcW w:w="3631" w:type="dxa"/>
            <w:vAlign w:val="center"/>
          </w:tcPr>
          <w:p w:rsidR="00A40C66" w:rsidRPr="001859A5" w:rsidP="00A40C66" w14:paraId="60D287FE" w14:textId="4397635D">
            <w:r>
              <w:t>0463</w:t>
            </w:r>
          </w:p>
        </w:tc>
        <w:tc>
          <w:tcPr>
            <w:tcW w:w="5724" w:type="dxa"/>
            <w:vAlign w:val="center"/>
          </w:tcPr>
          <w:p w:rsidR="00A40C66" w:rsidP="00A40C66" w14:paraId="07B7F81D" w14:textId="51AD23DE">
            <w:r w:rsidRPr="00D33864">
              <w:t>Carol Lubkowski</w:t>
            </w:r>
          </w:p>
        </w:tc>
      </w:tr>
      <w:tr w14:paraId="19D12EDB" w14:textId="77777777" w:rsidTr="00A40C66">
        <w:tblPrEx>
          <w:tblW w:w="9355" w:type="dxa"/>
          <w:tblLook w:val="04A0"/>
        </w:tblPrEx>
        <w:tc>
          <w:tcPr>
            <w:tcW w:w="3631" w:type="dxa"/>
            <w:vAlign w:val="center"/>
          </w:tcPr>
          <w:p w:rsidR="00A40C66" w:rsidRPr="001859A5" w:rsidP="00A40C66" w14:paraId="13408E42" w14:textId="21CBC951">
            <w:r>
              <w:t>0464</w:t>
            </w:r>
          </w:p>
        </w:tc>
        <w:tc>
          <w:tcPr>
            <w:tcW w:w="5724" w:type="dxa"/>
            <w:vAlign w:val="center"/>
          </w:tcPr>
          <w:p w:rsidR="00A40C66" w:rsidP="00A40C66" w14:paraId="2E9E40B6" w14:textId="4989A605">
            <w:r>
              <w:t>Anonymous</w:t>
            </w:r>
          </w:p>
        </w:tc>
      </w:tr>
      <w:tr w14:paraId="3AFBAC7F" w14:textId="77777777" w:rsidTr="00A40C66">
        <w:tblPrEx>
          <w:tblW w:w="9355" w:type="dxa"/>
          <w:tblLook w:val="04A0"/>
        </w:tblPrEx>
        <w:tc>
          <w:tcPr>
            <w:tcW w:w="3631" w:type="dxa"/>
            <w:vAlign w:val="center"/>
          </w:tcPr>
          <w:p w:rsidR="00A40C66" w:rsidRPr="001859A5" w:rsidP="00A40C66" w14:paraId="5B4CA045" w14:textId="21F6FCCC">
            <w:r>
              <w:t>0465</w:t>
            </w:r>
          </w:p>
        </w:tc>
        <w:tc>
          <w:tcPr>
            <w:tcW w:w="5724" w:type="dxa"/>
            <w:vAlign w:val="center"/>
          </w:tcPr>
          <w:p w:rsidR="00A40C66" w:rsidP="00A40C66" w14:paraId="25AD4D29" w14:textId="660A57D6">
            <w:r w:rsidRPr="00D33864">
              <w:t>A Kuester</w:t>
            </w:r>
          </w:p>
        </w:tc>
      </w:tr>
      <w:tr w14:paraId="4AD2A630" w14:textId="77777777" w:rsidTr="00A40C66">
        <w:tblPrEx>
          <w:tblW w:w="9355" w:type="dxa"/>
          <w:tblLook w:val="04A0"/>
        </w:tblPrEx>
        <w:tc>
          <w:tcPr>
            <w:tcW w:w="3631" w:type="dxa"/>
            <w:vAlign w:val="center"/>
          </w:tcPr>
          <w:p w:rsidR="00A40C66" w:rsidRPr="001859A5" w:rsidP="00A40C66" w14:paraId="09F6E72F" w14:textId="1B4CE5D1">
            <w:r>
              <w:t>0466</w:t>
            </w:r>
          </w:p>
        </w:tc>
        <w:tc>
          <w:tcPr>
            <w:tcW w:w="5724" w:type="dxa"/>
            <w:vAlign w:val="center"/>
          </w:tcPr>
          <w:p w:rsidR="00A40C66" w:rsidP="00A40C66" w14:paraId="600FA248" w14:textId="35D89A5D">
            <w:r w:rsidRPr="00D33864">
              <w:t>Amber Wilcox</w:t>
            </w:r>
          </w:p>
        </w:tc>
      </w:tr>
      <w:tr w14:paraId="23F65C8F" w14:textId="77777777" w:rsidTr="00A40C66">
        <w:tblPrEx>
          <w:tblW w:w="9355" w:type="dxa"/>
          <w:tblLook w:val="04A0"/>
        </w:tblPrEx>
        <w:tc>
          <w:tcPr>
            <w:tcW w:w="3631" w:type="dxa"/>
            <w:vAlign w:val="center"/>
          </w:tcPr>
          <w:p w:rsidR="00A40C66" w:rsidRPr="001859A5" w:rsidP="00A40C66" w14:paraId="16815809" w14:textId="7019563E">
            <w:r>
              <w:t>0467</w:t>
            </w:r>
          </w:p>
        </w:tc>
        <w:tc>
          <w:tcPr>
            <w:tcW w:w="5724" w:type="dxa"/>
            <w:vAlign w:val="center"/>
          </w:tcPr>
          <w:p w:rsidR="00A40C66" w:rsidP="00A40C66" w14:paraId="7B1B136E" w14:textId="51A6B1A8">
            <w:r w:rsidRPr="00D33864">
              <w:t>Sandra Riverman</w:t>
            </w:r>
          </w:p>
        </w:tc>
      </w:tr>
      <w:tr w14:paraId="29FDF4F7" w14:textId="77777777" w:rsidTr="00A40C66">
        <w:tblPrEx>
          <w:tblW w:w="9355" w:type="dxa"/>
          <w:tblLook w:val="04A0"/>
        </w:tblPrEx>
        <w:tc>
          <w:tcPr>
            <w:tcW w:w="3631" w:type="dxa"/>
            <w:vAlign w:val="center"/>
          </w:tcPr>
          <w:p w:rsidR="00A40C66" w:rsidRPr="001859A5" w:rsidP="00A40C66" w14:paraId="19B17BEA" w14:textId="170E8821">
            <w:r>
              <w:t>0468</w:t>
            </w:r>
          </w:p>
        </w:tc>
        <w:tc>
          <w:tcPr>
            <w:tcW w:w="5724" w:type="dxa"/>
            <w:vAlign w:val="center"/>
          </w:tcPr>
          <w:p w:rsidR="00A40C66" w:rsidP="00A40C66" w14:paraId="48EB6CD1" w14:textId="02FA6C00">
            <w:r w:rsidRPr="00D33864">
              <w:t>Marcia E Fehl</w:t>
            </w:r>
          </w:p>
        </w:tc>
      </w:tr>
      <w:tr w14:paraId="4D91420F" w14:textId="77777777" w:rsidTr="00A40C66">
        <w:tblPrEx>
          <w:tblW w:w="9355" w:type="dxa"/>
          <w:tblLook w:val="04A0"/>
        </w:tblPrEx>
        <w:tc>
          <w:tcPr>
            <w:tcW w:w="3631" w:type="dxa"/>
            <w:vAlign w:val="center"/>
          </w:tcPr>
          <w:p w:rsidR="00A40C66" w:rsidRPr="001859A5" w:rsidP="00A40C66" w14:paraId="1DDB419C" w14:textId="23891A5B">
            <w:r>
              <w:t>0469</w:t>
            </w:r>
          </w:p>
        </w:tc>
        <w:tc>
          <w:tcPr>
            <w:tcW w:w="5724" w:type="dxa"/>
            <w:vAlign w:val="center"/>
          </w:tcPr>
          <w:p w:rsidR="00A40C66" w:rsidP="00A40C66" w14:paraId="7F70CC6B" w14:textId="5C0DFA0A">
            <w:r w:rsidRPr="00D33864">
              <w:t>Melinda Mueller</w:t>
            </w:r>
          </w:p>
        </w:tc>
      </w:tr>
      <w:tr w14:paraId="531B7B20" w14:textId="77777777" w:rsidTr="00A40C66">
        <w:tblPrEx>
          <w:tblW w:w="9355" w:type="dxa"/>
          <w:tblLook w:val="04A0"/>
        </w:tblPrEx>
        <w:tc>
          <w:tcPr>
            <w:tcW w:w="3631" w:type="dxa"/>
            <w:vAlign w:val="center"/>
          </w:tcPr>
          <w:p w:rsidR="00A40C66" w:rsidRPr="001859A5" w:rsidP="00A40C66" w14:paraId="0D441BEC" w14:textId="5DC4C9A8">
            <w:r>
              <w:t>0470</w:t>
            </w:r>
          </w:p>
        </w:tc>
        <w:tc>
          <w:tcPr>
            <w:tcW w:w="5724" w:type="dxa"/>
            <w:vAlign w:val="center"/>
          </w:tcPr>
          <w:p w:rsidR="00A40C66" w:rsidP="00A40C66" w14:paraId="08EFD559" w14:textId="1F3E3AC3">
            <w:r w:rsidRPr="00D33864">
              <w:t>Jessica Windham</w:t>
            </w:r>
          </w:p>
        </w:tc>
      </w:tr>
      <w:tr w14:paraId="79B20E1B" w14:textId="77777777" w:rsidTr="00A40C66">
        <w:tblPrEx>
          <w:tblW w:w="9355" w:type="dxa"/>
          <w:tblLook w:val="04A0"/>
        </w:tblPrEx>
        <w:tc>
          <w:tcPr>
            <w:tcW w:w="3631" w:type="dxa"/>
            <w:vAlign w:val="center"/>
          </w:tcPr>
          <w:p w:rsidR="00A40C66" w:rsidRPr="001859A5" w:rsidP="00A40C66" w14:paraId="3EB8F720" w14:textId="61791F80">
            <w:r>
              <w:t>0471</w:t>
            </w:r>
          </w:p>
        </w:tc>
        <w:tc>
          <w:tcPr>
            <w:tcW w:w="5724" w:type="dxa"/>
            <w:vAlign w:val="center"/>
          </w:tcPr>
          <w:p w:rsidR="00A40C66" w:rsidP="00A40C66" w14:paraId="58ED49FC" w14:textId="31610F40">
            <w:r w:rsidRPr="00D33864">
              <w:t>Erin Pellecchia</w:t>
            </w:r>
          </w:p>
        </w:tc>
      </w:tr>
      <w:tr w14:paraId="715FC1EB" w14:textId="77777777" w:rsidTr="00A40C66">
        <w:tblPrEx>
          <w:tblW w:w="9355" w:type="dxa"/>
          <w:tblLook w:val="04A0"/>
        </w:tblPrEx>
        <w:tc>
          <w:tcPr>
            <w:tcW w:w="3631" w:type="dxa"/>
            <w:vAlign w:val="center"/>
          </w:tcPr>
          <w:p w:rsidR="00A40C66" w:rsidRPr="001859A5" w:rsidP="00A40C66" w14:paraId="6EE3F587" w14:textId="7EBA59CC">
            <w:r>
              <w:t>0472</w:t>
            </w:r>
          </w:p>
        </w:tc>
        <w:tc>
          <w:tcPr>
            <w:tcW w:w="5724" w:type="dxa"/>
            <w:vAlign w:val="center"/>
          </w:tcPr>
          <w:p w:rsidR="00A40C66" w:rsidP="00A40C66" w14:paraId="3A4F2B50" w14:textId="7392DDDE">
            <w:r w:rsidRPr="00D33864">
              <w:t>Beatrice Zovich</w:t>
            </w:r>
          </w:p>
        </w:tc>
      </w:tr>
      <w:tr w14:paraId="30DDBBB9" w14:textId="77777777" w:rsidTr="00A40C66">
        <w:tblPrEx>
          <w:tblW w:w="9355" w:type="dxa"/>
          <w:tblLook w:val="04A0"/>
        </w:tblPrEx>
        <w:tc>
          <w:tcPr>
            <w:tcW w:w="3631" w:type="dxa"/>
            <w:vAlign w:val="center"/>
          </w:tcPr>
          <w:p w:rsidR="00A40C66" w:rsidRPr="001859A5" w:rsidP="00A40C66" w14:paraId="4D992FC0" w14:textId="4E13E151">
            <w:r>
              <w:t>0473</w:t>
            </w:r>
          </w:p>
        </w:tc>
        <w:tc>
          <w:tcPr>
            <w:tcW w:w="5724" w:type="dxa"/>
            <w:vAlign w:val="center"/>
          </w:tcPr>
          <w:p w:rsidR="00A40C66" w:rsidP="00A40C66" w14:paraId="08C9C387" w14:textId="2AB5D41C">
            <w:r>
              <w:t>Anonymous</w:t>
            </w:r>
          </w:p>
        </w:tc>
      </w:tr>
      <w:tr w14:paraId="1F6BB3DA" w14:textId="77777777" w:rsidTr="00A40C66">
        <w:tblPrEx>
          <w:tblW w:w="9355" w:type="dxa"/>
          <w:tblLook w:val="04A0"/>
        </w:tblPrEx>
        <w:tc>
          <w:tcPr>
            <w:tcW w:w="3631" w:type="dxa"/>
            <w:vAlign w:val="center"/>
          </w:tcPr>
          <w:p w:rsidR="00A40C66" w:rsidRPr="001859A5" w:rsidP="00A40C66" w14:paraId="2D64CBE7" w14:textId="6BB7C427">
            <w:r>
              <w:t>0474</w:t>
            </w:r>
          </w:p>
        </w:tc>
        <w:tc>
          <w:tcPr>
            <w:tcW w:w="5724" w:type="dxa"/>
            <w:vAlign w:val="center"/>
          </w:tcPr>
          <w:p w:rsidR="00A40C66" w:rsidP="00A40C66" w14:paraId="0EEF156B" w14:textId="65E34915">
            <w:r w:rsidRPr="00D33864">
              <w:t>R. Swinford</w:t>
            </w:r>
          </w:p>
        </w:tc>
      </w:tr>
      <w:tr w14:paraId="2CFD69FC" w14:textId="77777777" w:rsidTr="00A40C66">
        <w:tblPrEx>
          <w:tblW w:w="9355" w:type="dxa"/>
          <w:tblLook w:val="04A0"/>
        </w:tblPrEx>
        <w:tc>
          <w:tcPr>
            <w:tcW w:w="3631" w:type="dxa"/>
            <w:vAlign w:val="center"/>
          </w:tcPr>
          <w:p w:rsidR="00A40C66" w:rsidRPr="001859A5" w:rsidP="00A40C66" w14:paraId="15651377" w14:textId="03ED034F">
            <w:r>
              <w:t>0475</w:t>
            </w:r>
          </w:p>
        </w:tc>
        <w:tc>
          <w:tcPr>
            <w:tcW w:w="5724" w:type="dxa"/>
            <w:vAlign w:val="center"/>
          </w:tcPr>
          <w:p w:rsidR="00A40C66" w:rsidP="00A40C66" w14:paraId="61A86AE9" w14:textId="5B778717">
            <w:r w:rsidRPr="00D33864">
              <w:t>Lauren Tozzi</w:t>
            </w:r>
          </w:p>
        </w:tc>
      </w:tr>
      <w:tr w14:paraId="4A4439B4" w14:textId="77777777" w:rsidTr="00A40C66">
        <w:tblPrEx>
          <w:tblW w:w="9355" w:type="dxa"/>
          <w:tblLook w:val="04A0"/>
        </w:tblPrEx>
        <w:tc>
          <w:tcPr>
            <w:tcW w:w="3631" w:type="dxa"/>
            <w:vAlign w:val="center"/>
          </w:tcPr>
          <w:p w:rsidR="00A40C66" w:rsidRPr="001859A5" w:rsidP="00A40C66" w14:paraId="0FE1F70A" w14:textId="36A499FC">
            <w:r>
              <w:t>0476</w:t>
            </w:r>
          </w:p>
        </w:tc>
        <w:tc>
          <w:tcPr>
            <w:tcW w:w="5724" w:type="dxa"/>
            <w:vAlign w:val="center"/>
          </w:tcPr>
          <w:p w:rsidR="00A40C66" w:rsidP="00A40C66" w14:paraId="6ACEF72C" w14:textId="13865CBE">
            <w:r w:rsidRPr="00D33864">
              <w:t>Lea Langdon</w:t>
            </w:r>
          </w:p>
        </w:tc>
      </w:tr>
      <w:tr w14:paraId="7CB64A89" w14:textId="77777777" w:rsidTr="00A40C66">
        <w:tblPrEx>
          <w:tblW w:w="9355" w:type="dxa"/>
          <w:tblLook w:val="04A0"/>
        </w:tblPrEx>
        <w:tc>
          <w:tcPr>
            <w:tcW w:w="3631" w:type="dxa"/>
            <w:vAlign w:val="center"/>
          </w:tcPr>
          <w:p w:rsidR="00A40C66" w:rsidRPr="001859A5" w:rsidP="00A40C66" w14:paraId="737AB309" w14:textId="63B4196F">
            <w:r>
              <w:t>0477</w:t>
            </w:r>
          </w:p>
        </w:tc>
        <w:tc>
          <w:tcPr>
            <w:tcW w:w="5724" w:type="dxa"/>
            <w:vAlign w:val="center"/>
          </w:tcPr>
          <w:p w:rsidR="00A40C66" w:rsidP="00A40C66" w14:paraId="4533584E" w14:textId="66A21F0D">
            <w:r>
              <w:t>Anonymous</w:t>
            </w:r>
          </w:p>
        </w:tc>
      </w:tr>
      <w:tr w14:paraId="259A1DF6" w14:textId="77777777" w:rsidTr="00A40C66">
        <w:tblPrEx>
          <w:tblW w:w="9355" w:type="dxa"/>
          <w:tblLook w:val="04A0"/>
        </w:tblPrEx>
        <w:tc>
          <w:tcPr>
            <w:tcW w:w="3631" w:type="dxa"/>
            <w:vAlign w:val="center"/>
          </w:tcPr>
          <w:p w:rsidR="00A40C66" w:rsidRPr="001859A5" w:rsidP="00A40C66" w14:paraId="4E56C2CD" w14:textId="0F409CB5">
            <w:r>
              <w:t>0478</w:t>
            </w:r>
          </w:p>
        </w:tc>
        <w:tc>
          <w:tcPr>
            <w:tcW w:w="5724" w:type="dxa"/>
            <w:vAlign w:val="center"/>
          </w:tcPr>
          <w:p w:rsidR="00A40C66" w:rsidP="00A40C66" w14:paraId="717C081D" w14:textId="4157890A">
            <w:r w:rsidRPr="00D33864">
              <w:t>Sandra Oshea</w:t>
            </w:r>
          </w:p>
        </w:tc>
      </w:tr>
      <w:tr w14:paraId="107A76F7" w14:textId="77777777" w:rsidTr="00A40C66">
        <w:tblPrEx>
          <w:tblW w:w="9355" w:type="dxa"/>
          <w:tblLook w:val="04A0"/>
        </w:tblPrEx>
        <w:tc>
          <w:tcPr>
            <w:tcW w:w="3631" w:type="dxa"/>
            <w:vAlign w:val="center"/>
          </w:tcPr>
          <w:p w:rsidR="00A40C66" w:rsidRPr="001859A5" w:rsidP="00A40C66" w14:paraId="5138E225" w14:textId="3CC87604">
            <w:r>
              <w:t>0479</w:t>
            </w:r>
          </w:p>
        </w:tc>
        <w:tc>
          <w:tcPr>
            <w:tcW w:w="5724" w:type="dxa"/>
            <w:vAlign w:val="center"/>
          </w:tcPr>
          <w:p w:rsidR="00A40C66" w:rsidP="00A40C66" w14:paraId="0E489217" w14:textId="56312E95">
            <w:r w:rsidRPr="00D33864">
              <w:t>James Threatte</w:t>
            </w:r>
          </w:p>
        </w:tc>
      </w:tr>
      <w:tr w14:paraId="6302E8AF" w14:textId="77777777" w:rsidTr="00A40C66">
        <w:tblPrEx>
          <w:tblW w:w="9355" w:type="dxa"/>
          <w:tblLook w:val="04A0"/>
        </w:tblPrEx>
        <w:tc>
          <w:tcPr>
            <w:tcW w:w="3631" w:type="dxa"/>
            <w:vAlign w:val="center"/>
          </w:tcPr>
          <w:p w:rsidR="00B17791" w:rsidP="00A40C66" w14:paraId="5B112044" w14:textId="1FFBEB87">
            <w:r>
              <w:t>0480</w:t>
            </w:r>
          </w:p>
        </w:tc>
        <w:tc>
          <w:tcPr>
            <w:tcW w:w="5724" w:type="dxa"/>
            <w:vAlign w:val="center"/>
          </w:tcPr>
          <w:p w:rsidR="00B17791" w:rsidRPr="00D33864" w:rsidP="00A40C66" w14:paraId="3B0FAA3E" w14:textId="25B6A625">
            <w:r>
              <w:t>Environmental Integrity Project (via email)</w:t>
            </w:r>
          </w:p>
        </w:tc>
      </w:tr>
      <w:tr w14:paraId="4BB51DCA" w14:textId="77777777" w:rsidTr="00A40C66">
        <w:tblPrEx>
          <w:tblW w:w="9355" w:type="dxa"/>
          <w:tblLook w:val="04A0"/>
        </w:tblPrEx>
        <w:tc>
          <w:tcPr>
            <w:tcW w:w="3631" w:type="dxa"/>
            <w:vAlign w:val="center"/>
          </w:tcPr>
          <w:p w:rsidR="00B17791" w:rsidRPr="00B622D4" w:rsidP="00A40C66" w14:paraId="42C713EF" w14:textId="68EA740C">
            <w:r w:rsidRPr="00B622D4">
              <w:t>0482</w:t>
            </w:r>
          </w:p>
        </w:tc>
        <w:tc>
          <w:tcPr>
            <w:tcW w:w="5724" w:type="dxa"/>
            <w:vAlign w:val="center"/>
          </w:tcPr>
          <w:p w:rsidR="00B17791" w:rsidRPr="00B622D4" w:rsidP="00A40C66" w14:paraId="6A54A119" w14:textId="3A27543C">
            <w:r w:rsidRPr="00B622D4">
              <w:t>Clark County, Nevada (via email)</w:t>
            </w:r>
          </w:p>
        </w:tc>
      </w:tr>
    </w:tbl>
    <w:p w:rsidR="00711768" w:rsidP="00711768" w14:paraId="66727285" w14:textId="77777777"/>
    <w:p w:rsidR="00A40C66" w:rsidP="00A40C66" w14:paraId="01C4BBA5" w14:textId="49C857CC">
      <w:pPr>
        <w:pStyle w:val="Heading1"/>
      </w:pPr>
      <w:r>
        <w:t>Introduction</w:t>
      </w:r>
    </w:p>
    <w:p w:rsidR="00A40C66" w:rsidRPr="00A40C66" w:rsidP="00A40C66" w14:paraId="2E6E46C6" w14:textId="7BC87FA1">
      <w:r>
        <w:t xml:space="preserve">In this document, </w:t>
      </w:r>
      <w:r w:rsidR="008622E2">
        <w:t xml:space="preserve">some comments are shown in whole, while other more complex comments have been separated into different sections. The comments shown in whole are those </w:t>
      </w:r>
      <w:r>
        <w:t xml:space="preserve">comments identified with a prefix “Comment XXXX” where “XXXX” is the last four digits of the docket number </w:t>
      </w:r>
      <w:r w:rsidR="008622E2">
        <w:t xml:space="preserve">(see  </w:t>
      </w:r>
      <w:r w:rsidR="008622E2">
        <w:fldChar w:fldCharType="begin"/>
      </w:r>
      <w:r w:rsidR="008622E2">
        <w:instrText xml:space="preserve"> REF _Ref205477075 \h </w:instrText>
      </w:r>
      <w:r w:rsidR="008622E2">
        <w:fldChar w:fldCharType="separate"/>
      </w:r>
      <w:r w:rsidRPr="00606618" w:rsidR="008622E2">
        <w:t>Table 1</w:t>
      </w:r>
      <w:r w:rsidR="008622E2">
        <w:fldChar w:fldCharType="end"/>
      </w:r>
      <w:r w:rsidR="008622E2">
        <w:t xml:space="preserve">). Comments that have been separated are identified with the 4-digit number shown in parentheses as part of the paragraph. </w:t>
      </w:r>
    </w:p>
    <w:p w:rsidR="00711768" w:rsidP="00FC1AE3" w14:paraId="414A893C" w14:textId="68B84F3D">
      <w:pPr>
        <w:pStyle w:val="Heading1"/>
      </w:pPr>
      <w:r>
        <w:t>Supportive Comments</w:t>
      </w:r>
    </w:p>
    <w:p w:rsidR="0059656B" w:rsidRPr="0059656B" w:rsidP="00FC1AE3" w14:paraId="468B8945" w14:textId="7FE37812">
      <w:r>
        <w:t>The EPA received several</w:t>
      </w:r>
      <w:r>
        <w:t xml:space="preserve"> comment</w:t>
      </w:r>
      <w:r>
        <w:t xml:space="preserve">s </w:t>
      </w:r>
      <w:r w:rsidR="008622E2">
        <w:t>generally</w:t>
      </w:r>
      <w:r>
        <w:t xml:space="preserve"> support</w:t>
      </w:r>
      <w:r>
        <w:t>ing</w:t>
      </w:r>
      <w:r>
        <w:t xml:space="preserve"> the collection of emissions data</w:t>
      </w:r>
      <w:r w:rsidR="00DB5530">
        <w:t>.</w:t>
      </w:r>
    </w:p>
    <w:p w:rsidR="00FC1AE3" w:rsidP="004C4120" w14:paraId="6BB93AAD" w14:textId="253EC2EF">
      <w:r w:rsidRPr="0059656B">
        <w:rPr>
          <w:b/>
          <w:bCs/>
        </w:rPr>
        <w:t>Comment</w:t>
      </w:r>
      <w:r w:rsidR="00DB5530">
        <w:rPr>
          <w:b/>
          <w:bCs/>
        </w:rPr>
        <w:t>er</w:t>
      </w:r>
      <w:r w:rsidRPr="0059656B">
        <w:rPr>
          <w:b/>
          <w:bCs/>
        </w:rPr>
        <w:t xml:space="preserve"> </w:t>
      </w:r>
      <w:r w:rsidRPr="0059656B">
        <w:rPr>
          <w:b/>
          <w:bCs/>
        </w:rPr>
        <w:t>0322</w:t>
      </w:r>
      <w:r>
        <w:t xml:space="preserve"> </w:t>
      </w:r>
      <w:r w:rsidR="00DB5530">
        <w:t>stated that</w:t>
      </w:r>
      <w:r w:rsidRPr="00FC1AE3">
        <w:t xml:space="preserve"> air quality emissions studies are absolutely necessary to the mission and function of the EPA. Our air quality cannot be protected without this data, and eliminating the studies would cause irreparable damage to the air and environment of the U</w:t>
      </w:r>
      <w:r w:rsidR="00DB5530">
        <w:t>.</w:t>
      </w:r>
      <w:r w:rsidRPr="00FC1AE3">
        <w:t>S.</w:t>
      </w:r>
    </w:p>
    <w:p w:rsidR="00FC1AE3" w:rsidP="004C4120" w14:paraId="69292D3C" w14:textId="1DB0DDA8">
      <w:r w:rsidRPr="007753E8">
        <w:rPr>
          <w:b/>
          <w:bCs/>
        </w:rPr>
        <w:t>Comment</w:t>
      </w:r>
      <w:r w:rsidR="00DB5530">
        <w:rPr>
          <w:b/>
          <w:bCs/>
        </w:rPr>
        <w:t>er</w:t>
      </w:r>
      <w:r w:rsidR="0059656B">
        <w:rPr>
          <w:b/>
          <w:bCs/>
        </w:rPr>
        <w:t xml:space="preserve"> 0325</w:t>
      </w:r>
      <w:r>
        <w:t xml:space="preserve"> </w:t>
      </w:r>
      <w:r w:rsidR="00DB5530">
        <w:t>stated</w:t>
      </w:r>
      <w:r w:rsidRPr="00795851">
        <w:t xml:space="preserve"> </w:t>
      </w:r>
      <w:r w:rsidR="00DB5530">
        <w:t xml:space="preserve">their </w:t>
      </w:r>
      <w:r w:rsidRPr="00795851">
        <w:t>support</w:t>
      </w:r>
      <w:r w:rsidR="00DB5530">
        <w:t xml:space="preserve"> of</w:t>
      </w:r>
      <w:r w:rsidRPr="00795851">
        <w:t xml:space="preserve"> EPA issuing an AERR ICR that acknowledges that </w:t>
      </w:r>
      <w:r w:rsidR="00DF7042">
        <w:t>S</w:t>
      </w:r>
      <w:r w:rsidRPr="00795851">
        <w:t>tates collect air</w:t>
      </w:r>
      <w:r>
        <w:t xml:space="preserve"> </w:t>
      </w:r>
      <w:r w:rsidRPr="00795851">
        <w:t>emissions data to fulfill multiple regulatory obligations.</w:t>
      </w:r>
      <w:r>
        <w:t xml:space="preserve"> </w:t>
      </w:r>
      <w:r w:rsidRPr="00795851">
        <w:t xml:space="preserve">The collection of high quality, </w:t>
      </w:r>
      <w:r w:rsidR="00D034E1">
        <w:t>S</w:t>
      </w:r>
      <w:r w:rsidRPr="00795851">
        <w:t>tate-specific emissions data is essential for Texas’ air quality</w:t>
      </w:r>
      <w:r>
        <w:t xml:space="preserve"> </w:t>
      </w:r>
      <w:r w:rsidRPr="00795851">
        <w:t xml:space="preserve">planning purposes and to implement other </w:t>
      </w:r>
      <w:r w:rsidR="004923C8">
        <w:t>S</w:t>
      </w:r>
      <w:r w:rsidRPr="00795851">
        <w:t xml:space="preserve">tate or </w:t>
      </w:r>
      <w:r w:rsidR="004923C8">
        <w:t>F</w:t>
      </w:r>
      <w:r w:rsidRPr="00795851">
        <w:t>ederal regulatory programs beyond the</w:t>
      </w:r>
      <w:r>
        <w:t xml:space="preserve"> </w:t>
      </w:r>
      <w:r w:rsidRPr="00795851">
        <w:t xml:space="preserve">AERR, including </w:t>
      </w:r>
      <w:r w:rsidR="004923C8">
        <w:t>S</w:t>
      </w:r>
      <w:r w:rsidRPr="00795851">
        <w:t xml:space="preserve">tate implementation plan revisions, </w:t>
      </w:r>
      <w:r w:rsidR="004923C8">
        <w:t>F</w:t>
      </w:r>
      <w:r w:rsidRPr="00795851">
        <w:t>ederal Clean Air Act Title V air fee</w:t>
      </w:r>
      <w:r>
        <w:t xml:space="preserve"> </w:t>
      </w:r>
      <w:r w:rsidRPr="00795851">
        <w:t>assessment, emissions banking and trading program administration, and compliance</w:t>
      </w:r>
      <w:r>
        <w:t xml:space="preserve"> </w:t>
      </w:r>
      <w:r w:rsidRPr="00795851">
        <w:t xml:space="preserve">evaluations, among other purposes. Therefore, EPA should allow </w:t>
      </w:r>
      <w:r w:rsidR="004923C8">
        <w:t>S</w:t>
      </w:r>
      <w:r w:rsidRPr="00795851">
        <w:t>tates to provide summary</w:t>
      </w:r>
      <w:r>
        <w:t xml:space="preserve"> </w:t>
      </w:r>
      <w:r w:rsidRPr="00795851">
        <w:t>information on how air emissions data are used</w:t>
      </w:r>
      <w:r>
        <w:t>.</w:t>
      </w:r>
    </w:p>
    <w:p w:rsidR="00BD23AB" w:rsidRPr="00BD23AB" w:rsidP="00BD23AB" w14:paraId="7C3C71C1" w14:textId="2212823E">
      <w:r w:rsidRPr="00BD23AB">
        <w:rPr>
          <w:b/>
          <w:bCs/>
        </w:rPr>
        <w:t xml:space="preserve">Commenter </w:t>
      </w:r>
      <w:r w:rsidR="001C3EBF">
        <w:rPr>
          <w:b/>
          <w:bCs/>
        </w:rPr>
        <w:t>(</w:t>
      </w:r>
      <w:r w:rsidRPr="00BD23AB">
        <w:rPr>
          <w:b/>
          <w:bCs/>
        </w:rPr>
        <w:t>0326</w:t>
      </w:r>
      <w:r w:rsidR="001C3EBF">
        <w:rPr>
          <w:b/>
          <w:bCs/>
        </w:rPr>
        <w:t>)</w:t>
      </w:r>
      <w:r w:rsidRPr="00BD23AB">
        <w:t xml:space="preserve"> indicated that their member agencies support accurate estimation, collection, and reporting of emissions data while being mindful of the resources required to do so. Therefore, WESTAR often assists member agencies by sharing resources to collect regional emissions inventory data that can be used for planning and analysis, submitted to the National Emissions Inventory (NEI), and used as inputs for emissions and photochemical modeling. Our member agencies acknowledge that the Air Emissions Reporting Rule (AERR) is an important rule that supports EI data collection and subsequent dissemination to agencies and the public for use in air quality management across all jurisdictions. WESTAR supports EPA’s continued effort to collect and maintain high-quality emissions inventory data, which supports these important planning and public health functions.</w:t>
      </w:r>
    </w:p>
    <w:p w:rsidR="00A20660" w:rsidP="004C4120" w14:paraId="2FC183F3" w14:textId="7DE2A3C0">
      <w:r>
        <w:rPr>
          <w:b/>
          <w:bCs/>
        </w:rPr>
        <w:t>Comment</w:t>
      </w:r>
      <w:r w:rsidR="00D034E1">
        <w:rPr>
          <w:b/>
          <w:bCs/>
        </w:rPr>
        <w:t>er</w:t>
      </w:r>
      <w:r w:rsidR="0059656B">
        <w:rPr>
          <w:b/>
          <w:bCs/>
        </w:rPr>
        <w:t xml:space="preserve"> 0328</w:t>
      </w:r>
      <w:r>
        <w:rPr>
          <w:b/>
          <w:bCs/>
        </w:rPr>
        <w:t xml:space="preserve"> </w:t>
      </w:r>
      <w:r w:rsidR="00D034E1">
        <w:t>stated that t</w:t>
      </w:r>
      <w:r w:rsidR="0059656B">
        <w:t xml:space="preserve">he </w:t>
      </w:r>
      <w:r w:rsidRPr="00A20660">
        <w:t xml:space="preserve">public has a right to this information as a simple matter of </w:t>
      </w:r>
      <w:r w:rsidR="00D034E1">
        <w:t>p</w:t>
      </w:r>
      <w:r w:rsidRPr="00A20660">
        <w:t xml:space="preserve">ublic </w:t>
      </w:r>
      <w:r w:rsidR="00D034E1">
        <w:t>h</w:t>
      </w:r>
      <w:r w:rsidRPr="00A20660">
        <w:t>ealth.</w:t>
      </w:r>
    </w:p>
    <w:p w:rsidR="005F4566" w:rsidP="004C4120" w14:paraId="0823F229" w14:textId="57D3002F">
      <w:r w:rsidRPr="005F4566">
        <w:rPr>
          <w:b/>
          <w:bCs/>
        </w:rPr>
        <w:t>Comment</w:t>
      </w:r>
      <w:r w:rsidR="00D034E1">
        <w:rPr>
          <w:b/>
          <w:bCs/>
        </w:rPr>
        <w:t>er</w:t>
      </w:r>
      <w:r w:rsidR="0059656B">
        <w:rPr>
          <w:b/>
          <w:bCs/>
        </w:rPr>
        <w:t xml:space="preserve"> 0333</w:t>
      </w:r>
      <w:r>
        <w:t xml:space="preserve"> </w:t>
      </w:r>
      <w:r w:rsidR="008622E2">
        <w:t xml:space="preserve">stated </w:t>
      </w:r>
      <w:r w:rsidR="00D034E1">
        <w:t xml:space="preserve">that </w:t>
      </w:r>
      <w:r w:rsidR="008622E2">
        <w:t xml:space="preserve">we need </w:t>
      </w:r>
      <w:r w:rsidR="00D034E1">
        <w:t>more</w:t>
      </w:r>
      <w:r w:rsidRPr="005F4566">
        <w:t xml:space="preserve"> quality control, oversight, and continued follow-up on all sources of environmental health impacts and hazards. This equals increased knowledge, efficiency, better products, health interventions and progress. </w:t>
      </w:r>
    </w:p>
    <w:p w:rsidR="005F4566" w:rsidP="004C4120" w14:paraId="5FF9AB0D" w14:textId="301AE7F9">
      <w:r>
        <w:rPr>
          <w:b/>
          <w:bCs/>
        </w:rPr>
        <w:t>Comment</w:t>
      </w:r>
      <w:r w:rsidR="00D034E1">
        <w:rPr>
          <w:b/>
          <w:bCs/>
        </w:rPr>
        <w:t>er</w:t>
      </w:r>
      <w:r w:rsidR="0059656B">
        <w:rPr>
          <w:b/>
          <w:bCs/>
        </w:rPr>
        <w:t xml:space="preserve"> 0335</w:t>
      </w:r>
      <w:r>
        <w:rPr>
          <w:b/>
          <w:bCs/>
        </w:rPr>
        <w:t xml:space="preserve"> </w:t>
      </w:r>
      <w:r w:rsidR="00D034E1">
        <w:t>stated their concern for air quality and that</w:t>
      </w:r>
      <w:r w:rsidRPr="005F4566">
        <w:t xml:space="preserve"> companies </w:t>
      </w:r>
      <w:r w:rsidR="00D034E1">
        <w:t xml:space="preserve">should be held </w:t>
      </w:r>
      <w:r w:rsidRPr="005F4566">
        <w:t>accountable for their pollution</w:t>
      </w:r>
      <w:r w:rsidR="00D034E1">
        <w:t xml:space="preserve"> and</w:t>
      </w:r>
      <w:r w:rsidRPr="005F4566">
        <w:t xml:space="preserve"> need to continue to report their air emissions </w:t>
      </w:r>
      <w:r w:rsidR="00D034E1">
        <w:t xml:space="preserve">to the </w:t>
      </w:r>
      <w:r w:rsidRPr="005F4566">
        <w:t>EPA</w:t>
      </w:r>
      <w:r w:rsidR="00D034E1">
        <w:t>.</w:t>
      </w:r>
    </w:p>
    <w:p w:rsidR="0079140D" w:rsidP="004C4120" w14:paraId="55604226" w14:textId="72494214">
      <w:r w:rsidRPr="0059656B">
        <w:rPr>
          <w:b/>
          <w:bCs/>
        </w:rPr>
        <w:t>Comment</w:t>
      </w:r>
      <w:r w:rsidR="00D034E1">
        <w:rPr>
          <w:b/>
          <w:bCs/>
        </w:rPr>
        <w:t>er</w:t>
      </w:r>
      <w:r w:rsidRPr="0059656B">
        <w:rPr>
          <w:b/>
          <w:bCs/>
        </w:rPr>
        <w:t xml:space="preserve"> </w:t>
      </w:r>
      <w:r w:rsidRPr="0059656B">
        <w:rPr>
          <w:b/>
          <w:bCs/>
        </w:rPr>
        <w:t>0344</w:t>
      </w:r>
      <w:r>
        <w:t xml:space="preserve"> </w:t>
      </w:r>
      <w:r w:rsidR="00D034E1">
        <w:t>stated that</w:t>
      </w:r>
      <w:r w:rsidRPr="0079140D">
        <w:t xml:space="preserve"> more regulations and inspections protecting the public from private polluters</w:t>
      </w:r>
      <w:r w:rsidR="00D034E1">
        <w:t xml:space="preserve"> is needed</w:t>
      </w:r>
      <w:r w:rsidRPr="0079140D">
        <w:t xml:space="preserve">. </w:t>
      </w:r>
    </w:p>
    <w:p w:rsidR="008E46FC" w:rsidP="00D034E1" w14:paraId="6033C373" w14:textId="39073229">
      <w:r w:rsidRPr="00586979">
        <w:rPr>
          <w:b/>
          <w:bCs/>
        </w:rPr>
        <w:t>Comment</w:t>
      </w:r>
      <w:r w:rsidR="00D034E1">
        <w:rPr>
          <w:b/>
          <w:bCs/>
        </w:rPr>
        <w:t>er</w:t>
      </w:r>
      <w:r w:rsidRPr="00586979">
        <w:rPr>
          <w:b/>
          <w:bCs/>
        </w:rPr>
        <w:t xml:space="preserve"> 0351</w:t>
      </w:r>
      <w:r>
        <w:t xml:space="preserve"> </w:t>
      </w:r>
      <w:r w:rsidR="00D034E1">
        <w:t xml:space="preserve">requested that the EPA </w:t>
      </w:r>
      <w:r>
        <w:t xml:space="preserve">maintain current policy for reporting on and limits to emissions that have clear measurable harm to American families </w:t>
      </w:r>
      <w:r w:rsidR="00D034E1">
        <w:t xml:space="preserve">to </w:t>
      </w:r>
      <w:r>
        <w:t xml:space="preserve">protect health and allow </w:t>
      </w:r>
      <w:r w:rsidR="00D034E1">
        <w:t>the public</w:t>
      </w:r>
      <w:r>
        <w:t xml:space="preserve"> to track what is happening in </w:t>
      </w:r>
      <w:r w:rsidR="00D034E1">
        <w:t>their</w:t>
      </w:r>
      <w:r>
        <w:t xml:space="preserve"> communities.</w:t>
      </w:r>
    </w:p>
    <w:p w:rsidR="008E46FC" w:rsidP="00806044" w14:paraId="6718E7D5" w14:textId="77A49AEE">
      <w:r w:rsidRPr="00586979">
        <w:rPr>
          <w:b/>
          <w:bCs/>
        </w:rPr>
        <w:t>Comment</w:t>
      </w:r>
      <w:r w:rsidR="00806044">
        <w:rPr>
          <w:b/>
          <w:bCs/>
        </w:rPr>
        <w:t>er</w:t>
      </w:r>
      <w:r w:rsidRPr="00586979">
        <w:rPr>
          <w:b/>
          <w:bCs/>
        </w:rPr>
        <w:t xml:space="preserve"> </w:t>
      </w:r>
      <w:r w:rsidRPr="00586979">
        <w:rPr>
          <w:b/>
          <w:bCs/>
        </w:rPr>
        <w:t>0353</w:t>
      </w:r>
      <w:r>
        <w:t xml:space="preserve"> </w:t>
      </w:r>
      <w:r w:rsidR="00806044">
        <w:t>stated that i</w:t>
      </w:r>
      <w:r>
        <w:t>t is the job of the EPA to protect U</w:t>
      </w:r>
      <w:r w:rsidR="00E36EA5">
        <w:t>.</w:t>
      </w:r>
      <w:r>
        <w:t>S</w:t>
      </w:r>
      <w:r w:rsidR="00E36EA5">
        <w:t>.</w:t>
      </w:r>
      <w:r>
        <w:t xml:space="preserve"> citizens and our environment from harm. Anything less than full, accurate, and transparent disclosure of emissions is contrary to the interests of the country and its citizens. The downstream costs of the obfuscation and subsequent pollution that will result from this change will be magnitudes greater than the cost of reporting. Corporations must have designated persons that will be held legally and criminally responsible for errors, omissions, or blatant misinformation about their emissions.</w:t>
      </w:r>
    </w:p>
    <w:p w:rsidR="008E46FC" w:rsidP="00806044" w14:paraId="68B5E447" w14:textId="04F9BFCA">
      <w:r w:rsidRPr="00586979">
        <w:rPr>
          <w:b/>
          <w:bCs/>
        </w:rPr>
        <w:t>Comment</w:t>
      </w:r>
      <w:r w:rsidR="00806044">
        <w:rPr>
          <w:b/>
          <w:bCs/>
        </w:rPr>
        <w:t>er</w:t>
      </w:r>
      <w:r w:rsidRPr="00586979">
        <w:rPr>
          <w:b/>
          <w:bCs/>
        </w:rPr>
        <w:t xml:space="preserve"> </w:t>
      </w:r>
      <w:r w:rsidRPr="00586979">
        <w:rPr>
          <w:b/>
          <w:bCs/>
        </w:rPr>
        <w:t>0356</w:t>
      </w:r>
      <w:r>
        <w:t xml:space="preserve"> </w:t>
      </w:r>
      <w:r w:rsidR="00806044">
        <w:t>stated that w</w:t>
      </w:r>
      <w:r>
        <w:t xml:space="preserve">e cannot enact meaningful changes or legislation without accurate and continuous reporting.  </w:t>
      </w:r>
      <w:r w:rsidR="00CF3061">
        <w:t>They also stated the need for</w:t>
      </w:r>
      <w:r>
        <w:t xml:space="preserve"> transparency</w:t>
      </w:r>
      <w:r w:rsidR="00CF3061">
        <w:t>,</w:t>
      </w:r>
      <w:r>
        <w:t xml:space="preserve"> not only of the government</w:t>
      </w:r>
      <w:r w:rsidR="00CF3061">
        <w:t>,</w:t>
      </w:r>
      <w:r>
        <w:t xml:space="preserve"> but also of corporations who are having such a huge impact on </w:t>
      </w:r>
      <w:r w:rsidR="00CF3061">
        <w:t>their</w:t>
      </w:r>
      <w:r>
        <w:t xml:space="preserve"> life.</w:t>
      </w:r>
    </w:p>
    <w:p w:rsidR="00A55D76" w:rsidP="00A55D76" w14:paraId="48B2E727" w14:textId="77777777">
      <w:r w:rsidRPr="00CC79BA">
        <w:rPr>
          <w:b/>
          <w:bCs/>
        </w:rPr>
        <w:t>Comment</w:t>
      </w:r>
      <w:r>
        <w:rPr>
          <w:b/>
          <w:bCs/>
        </w:rPr>
        <w:t>er</w:t>
      </w:r>
      <w:r w:rsidRPr="00CC79BA">
        <w:rPr>
          <w:b/>
          <w:bCs/>
        </w:rPr>
        <w:t xml:space="preserve"> </w:t>
      </w:r>
      <w:r w:rsidRPr="00CC79BA">
        <w:rPr>
          <w:b/>
          <w:bCs/>
        </w:rPr>
        <w:t>0410</w:t>
      </w:r>
      <w:r>
        <w:t xml:space="preserve"> stated that they are fully in favor of renewing this data collection requirement and keeping the American public informed about what pollutants are in the air and potentially killing, or at least adding to possible illnesses suffered by, this country's citizenry. They requested that the EPA keep the reporting limits the same and keep collecting and sharing this data.</w:t>
      </w:r>
    </w:p>
    <w:p w:rsidR="008622E2" w:rsidP="00BD23AB" w14:paraId="5A264049" w14:textId="77ED8880">
      <w:r w:rsidRPr="00586979">
        <w:rPr>
          <w:b/>
          <w:bCs/>
        </w:rPr>
        <w:t>Comment</w:t>
      </w:r>
      <w:r w:rsidR="00BD23AB">
        <w:rPr>
          <w:b/>
          <w:bCs/>
        </w:rPr>
        <w:t>er</w:t>
      </w:r>
      <w:r w:rsidRPr="00586979">
        <w:rPr>
          <w:b/>
          <w:bCs/>
        </w:rPr>
        <w:t xml:space="preserve"> 0464</w:t>
      </w:r>
      <w:r>
        <w:t xml:space="preserve"> </w:t>
      </w:r>
      <w:r w:rsidR="00BD23AB">
        <w:t>stated that a</w:t>
      </w:r>
      <w:r>
        <w:t>ir quality emissions studies are essential to the EPA’s mission and operations. This data is critical for protecting our air, and discontinuing these studies would result in lasting harm to the environment and public health across the U</w:t>
      </w:r>
      <w:r w:rsidR="00BD23AB">
        <w:t>.S.</w:t>
      </w:r>
    </w:p>
    <w:p w:rsidR="008622E2" w:rsidP="00BD23AB" w14:paraId="087D2796" w14:textId="3997801B">
      <w:r w:rsidRPr="00586979">
        <w:rPr>
          <w:b/>
          <w:bCs/>
        </w:rPr>
        <w:t>Comment</w:t>
      </w:r>
      <w:r w:rsidR="00BD23AB">
        <w:rPr>
          <w:b/>
          <w:bCs/>
        </w:rPr>
        <w:t>er</w:t>
      </w:r>
      <w:r w:rsidRPr="00586979">
        <w:rPr>
          <w:b/>
          <w:bCs/>
        </w:rPr>
        <w:t xml:space="preserve"> 0467</w:t>
      </w:r>
      <w:r>
        <w:t xml:space="preserve"> </w:t>
      </w:r>
      <w:r w:rsidR="00BD23AB">
        <w:t>stated that i</w:t>
      </w:r>
      <w:r>
        <w:t>t is crucial to the health of the citizens of this country that we breathe clean air. Businesses and corporations that emit harmful pollution into this air must be regulated and fined if they exceed the established limitations. It is imperative that they report their air emissions.</w:t>
      </w:r>
    </w:p>
    <w:p w:rsidR="006702EA" w:rsidP="00801153" w14:paraId="1832C3E8" w14:textId="25C1A12A">
      <w:r w:rsidRPr="0074232F">
        <w:rPr>
          <w:b/>
          <w:bCs/>
        </w:rPr>
        <w:t>C</w:t>
      </w:r>
      <w:r w:rsidRPr="0074232F">
        <w:rPr>
          <w:b/>
          <w:bCs/>
        </w:rPr>
        <w:t>ommenter (0480)</w:t>
      </w:r>
      <w:r>
        <w:t xml:space="preserve"> express</w:t>
      </w:r>
      <w:r w:rsidR="004C4120">
        <w:t>ed</w:t>
      </w:r>
      <w:r>
        <w:t xml:space="preserve"> support by stating that they urge EPA and OMB to renew the ICR. It is an important, common-sense way to collect basic data that enables the Agency to efficiently implement the Clean Air Act. It also improves the efficiency of </w:t>
      </w:r>
      <w:r w:rsidR="004C4120">
        <w:t>S</w:t>
      </w:r>
      <w:r>
        <w:t xml:space="preserve">tate, local, and </w:t>
      </w:r>
      <w:r w:rsidR="004C4120">
        <w:t>T</w:t>
      </w:r>
      <w:r>
        <w:t>ribal clean air programs because it provides shared methodologies and software for collecting emission information. The NEI also provides useful information to dockets, scientist</w:t>
      </w:r>
      <w:r w:rsidR="004C4120">
        <w:t>s</w:t>
      </w:r>
      <w:r>
        <w:t xml:space="preserve">, policy makers, and the general public. </w:t>
      </w:r>
    </w:p>
    <w:p w:rsidR="008622E2" w:rsidRPr="00CC79BA" w:rsidP="008622E2" w14:paraId="3F0C09B0" w14:textId="64FCB4E9">
      <w:r w:rsidRPr="004D607A">
        <w:rPr>
          <w:b/>
          <w:bCs/>
        </w:rPr>
        <w:t xml:space="preserve">Response: </w:t>
      </w:r>
      <w:r w:rsidRPr="004D607A" w:rsidR="00CC79BA">
        <w:t>The</w:t>
      </w:r>
      <w:r w:rsidR="00CC79BA">
        <w:t xml:space="preserve"> EPA acknowledges these supportive comments.</w:t>
      </w:r>
    </w:p>
    <w:p w:rsidR="00F148F1" w:rsidP="00D14AA8" w14:paraId="0A08C854" w14:textId="5CF4C3E0">
      <w:r w:rsidRPr="00586979">
        <w:rPr>
          <w:b/>
          <w:bCs/>
        </w:rPr>
        <w:t>Comment</w:t>
      </w:r>
      <w:r w:rsidR="00F70276">
        <w:rPr>
          <w:b/>
          <w:bCs/>
        </w:rPr>
        <w:t>er</w:t>
      </w:r>
      <w:r w:rsidRPr="00586979">
        <w:rPr>
          <w:b/>
          <w:bCs/>
        </w:rPr>
        <w:t xml:space="preserve"> </w:t>
      </w:r>
      <w:r w:rsidRPr="00586979">
        <w:rPr>
          <w:b/>
          <w:bCs/>
        </w:rPr>
        <w:t>0459</w:t>
      </w:r>
      <w:r>
        <w:t xml:space="preserve"> </w:t>
      </w:r>
      <w:r w:rsidR="00F70276">
        <w:t xml:space="preserve">stated their </w:t>
      </w:r>
      <w:r>
        <w:t xml:space="preserve">support </w:t>
      </w:r>
      <w:r w:rsidR="006605A3">
        <w:t xml:space="preserve">of </w:t>
      </w:r>
      <w:r>
        <w:t>the continuation of this data collection, and offer</w:t>
      </w:r>
      <w:r w:rsidR="00F70276">
        <w:t>ed</w:t>
      </w:r>
      <w:r>
        <w:t xml:space="preserve"> the following comments regarding its necessity, burden, and opportunities for improvement.</w:t>
      </w:r>
      <w:r w:rsidR="00F70276">
        <w:t xml:space="preserve">  Commenter 0459 stated that the</w:t>
      </w:r>
      <w:r>
        <w:t xml:space="preserve"> data collected through the AERR is essential to fulfilling EPA’s responsibilities under the Clean Air Act (CAA), particularly for developing and implementing the National Ambient Air Quality Standards (NAAQS) and maintaining the National Emissions Inventory (NEI). As outlined in the Federal Register: Revisions to AERR (2023), this emissions data supports essential regulatory functions, including air quality modeling, State Implementation Plans (SIPs), and risk assessments. Without these emissions inventories, EPA and </w:t>
      </w:r>
      <w:r w:rsidR="004C4120">
        <w:t>S</w:t>
      </w:r>
      <w:r>
        <w:t xml:space="preserve">tate, local, and </w:t>
      </w:r>
      <w:r w:rsidR="004C4120">
        <w:t>T</w:t>
      </w:r>
      <w:r>
        <w:t>ribal agencies would lack the foundational data necessary to monitor air pollution trends, target emission reduction strategies, and meet both legal and scientific goals. In addition, the NEI provides transparency to the public and other stakeholders, making it a critical tool for environmental justice, academic research, and community planning.</w:t>
      </w:r>
      <w:r w:rsidR="00F70276">
        <w:t xml:space="preserve"> They also stated that</w:t>
      </w:r>
      <w:r>
        <w:t xml:space="preserve"> </w:t>
      </w:r>
      <w:r>
        <w:t>the estimated burden associated with this ICR is justified by the public health and environmental benefits resulting from accurate emissions data</w:t>
      </w:r>
      <w:r w:rsidR="00F70276">
        <w:t xml:space="preserve"> and that</w:t>
      </w:r>
      <w:r>
        <w:t xml:space="preserve"> </w:t>
      </w:r>
      <w:r w:rsidR="00F70276">
        <w:t>t</w:t>
      </w:r>
      <w:r>
        <w:t xml:space="preserve">he approach of triennial reporting for comprehensive inventories, combined with limited annual reporting for large point sources, is a practical method that balances thorough data collection with manageable administrative effort. </w:t>
      </w:r>
      <w:r w:rsidR="00F70276">
        <w:t>This commenter also believes that w</w:t>
      </w:r>
      <w:r>
        <w:t>hile the total estimated burden of over 200,000 hours (across all entities) is large, it is reasonable in the context of the AERR’s role in supporting federal and state-level compliance with the CAA.</w:t>
      </w:r>
      <w:r w:rsidR="00F70276">
        <w:t xml:space="preserve"> Commenter 0459 also</w:t>
      </w:r>
      <w:r w:rsidR="006605A3">
        <w:t xml:space="preserve"> stated that</w:t>
      </w:r>
      <w:r w:rsidR="003A74A3">
        <w:t xml:space="preserve"> </w:t>
      </w:r>
      <w:r w:rsidR="006605A3">
        <w:t>t</w:t>
      </w:r>
      <w:r w:rsidRPr="008622E2">
        <w:t xml:space="preserve">he AERR data collection is necessary to further our understanding of how air pollution impacts our environment as well as ensuring the health standards for future generations. With guided assistance the burden is reasonable, and with improvements to digital systems with support, it can be made even more efficient. Continued investment in tools like the Compliance and Emissions Data Reporting Interface and the Emissions Collection and Monitoring Plan System, along with increased training and outreach for under-resourced agencies, can further streamline reporting and enhance data quality. </w:t>
      </w:r>
    </w:p>
    <w:p w:rsidR="008622E2" w:rsidRPr="00CC3FE3" w:rsidP="00F148F1" w14:paraId="51BC3E07" w14:textId="1DFC8328">
      <w:r w:rsidRPr="00CC3FE3">
        <w:rPr>
          <w:b/>
          <w:bCs/>
        </w:rPr>
        <w:t>Response:</w:t>
      </w:r>
      <w:r>
        <w:rPr>
          <w:b/>
          <w:bCs/>
        </w:rPr>
        <w:t xml:space="preserve"> </w:t>
      </w:r>
      <w:r w:rsidR="00CC3FE3">
        <w:t xml:space="preserve">EPA acknowledges these supportive comments and the recognition of EPA’s efforts to use electronic reporting to make data collection efficient. The data systems used for emissions data collection under the AERR are the Emissions Inventory System (EIS) and, optionally for </w:t>
      </w:r>
      <w:r w:rsidR="004C4120">
        <w:t>S</w:t>
      </w:r>
      <w:r w:rsidR="00CC3FE3">
        <w:t>tates, the Combined Air Emissions Reporting System (CAERS). The other data systems mentioned in this comment are not used by the EPA as part of the AERR implementation.</w:t>
      </w:r>
    </w:p>
    <w:p w:rsidR="00F148F1" w:rsidP="00F148F1" w14:paraId="1E014855" w14:textId="12BE34B0">
      <w:r w:rsidRPr="00586979">
        <w:rPr>
          <w:b/>
          <w:bCs/>
        </w:rPr>
        <w:t>Comment</w:t>
      </w:r>
      <w:r w:rsidR="006605A3">
        <w:rPr>
          <w:b/>
          <w:bCs/>
        </w:rPr>
        <w:t>er</w:t>
      </w:r>
      <w:r w:rsidRPr="00586979">
        <w:rPr>
          <w:b/>
          <w:bCs/>
        </w:rPr>
        <w:t xml:space="preserve"> </w:t>
      </w:r>
      <w:r w:rsidRPr="00586979">
        <w:rPr>
          <w:b/>
          <w:bCs/>
        </w:rPr>
        <w:t>0460</w:t>
      </w:r>
      <w:r>
        <w:t xml:space="preserve"> </w:t>
      </w:r>
      <w:r w:rsidR="006605A3">
        <w:t xml:space="preserve">stated their </w:t>
      </w:r>
      <w:r>
        <w:t xml:space="preserve">support of the U.S. Environmental Protection Agency’s proposed updates to the Air Emissions Reporting Requirements (AERR), as outlined in the </w:t>
      </w:r>
      <w:r w:rsidRPr="006605A3">
        <w:rPr>
          <w:i/>
          <w:iCs/>
        </w:rPr>
        <w:t>Federal Register</w:t>
      </w:r>
      <w:r>
        <w:t xml:space="preserve"> (88 FR 84596)</w:t>
      </w:r>
      <w:r w:rsidR="006605A3">
        <w:t xml:space="preserve"> and provided several examples:</w:t>
      </w:r>
      <w:r>
        <w:t xml:space="preserve"> meaningful improvement in emissions data collection, transparency, and consistency: all necessary for effective environmental management under the Clean Air Act (CAA).</w:t>
      </w:r>
    </w:p>
    <w:p w:rsidR="00F148F1" w:rsidP="00F148F1" w14:paraId="2A67D7A7" w14:textId="4376224F">
      <w:r>
        <w:t>Commenter 0460 also provided</w:t>
      </w:r>
      <w:r w:rsidRPr="008622E2">
        <w:t xml:space="preserve"> suggestions aim</w:t>
      </w:r>
      <w:r>
        <w:t>ed</w:t>
      </w:r>
      <w:r w:rsidRPr="008622E2">
        <w:t xml:space="preserve"> to support the EPA’s goals while promoting transparency, accountability, and environmental justice.</w:t>
      </w:r>
    </w:p>
    <w:p w:rsidR="008E46FC" w:rsidP="007753E8" w14:paraId="28F1D2E1" w14:textId="0ED3CA32">
      <w:r w:rsidRPr="00615052">
        <w:rPr>
          <w:b/>
          <w:bCs/>
        </w:rPr>
        <w:t xml:space="preserve">Response: </w:t>
      </w:r>
      <w:r w:rsidRPr="00615052" w:rsidR="00CC3FE3">
        <w:t xml:space="preserve">The EPA acknowledges these supportive comments. </w:t>
      </w:r>
      <w:r w:rsidR="006605A3">
        <w:t>However, this</w:t>
      </w:r>
      <w:r w:rsidRPr="00615052" w:rsidR="00CC3FE3">
        <w:t xml:space="preserve"> ICR </w:t>
      </w:r>
      <w:r w:rsidR="006605A3">
        <w:t>renewal</w:t>
      </w:r>
      <w:r w:rsidRPr="00615052" w:rsidR="00CC3FE3">
        <w:t xml:space="preserve"> is not associated with any r</w:t>
      </w:r>
      <w:r w:rsidR="00CC3FE3">
        <w:t>evisions to the AERR. It is simply renewing the existing AERR collection</w:t>
      </w:r>
      <w:r w:rsidR="006605A3">
        <w:t xml:space="preserve"> requirements</w:t>
      </w:r>
      <w:r w:rsidR="00CC3FE3">
        <w:t>. Thus, comments associated with making the rule stronger are not applicable in the context of this ICR notice.</w:t>
      </w:r>
    </w:p>
    <w:p w:rsidR="00353DA4" w:rsidP="007753E8" w14:paraId="39D0B1C0" w14:textId="7126A7DA">
      <w:r>
        <w:rPr>
          <w:b/>
          <w:bCs/>
        </w:rPr>
        <w:t>Comment</w:t>
      </w:r>
      <w:r w:rsidR="006E6DB7">
        <w:rPr>
          <w:b/>
          <w:bCs/>
        </w:rPr>
        <w:t>er</w:t>
      </w:r>
      <w:r>
        <w:rPr>
          <w:b/>
          <w:bCs/>
        </w:rPr>
        <w:t xml:space="preserve"> </w:t>
      </w:r>
      <w:r w:rsidR="00E74791">
        <w:rPr>
          <w:b/>
          <w:bCs/>
        </w:rPr>
        <w:t>0482</w:t>
      </w:r>
      <w:r w:rsidRPr="00353DA4">
        <w:t xml:space="preserve"> </w:t>
      </w:r>
      <w:r w:rsidR="006E6DB7">
        <w:t xml:space="preserve">stated that they </w:t>
      </w:r>
      <w:r w:rsidRPr="00353DA4">
        <w:t xml:space="preserve">are generally supportive of the proposed changes, particularly efforts to enhance data consistency and streamline reporting across programs. However, </w:t>
      </w:r>
      <w:r w:rsidR="006E6DB7">
        <w:t>they</w:t>
      </w:r>
      <w:r w:rsidRPr="00353DA4">
        <w:t xml:space="preserve"> believe that successful implementation will require enhanced budgets and </w:t>
      </w:r>
      <w:r w:rsidRPr="00353DA4">
        <w:t xml:space="preserve">resources for </w:t>
      </w:r>
      <w:r w:rsidR="006E6DB7">
        <w:t>S</w:t>
      </w:r>
      <w:r w:rsidRPr="00353DA4">
        <w:t xml:space="preserve">tate, local, and </w:t>
      </w:r>
      <w:r w:rsidR="006E6DB7">
        <w:t>T</w:t>
      </w:r>
      <w:r w:rsidRPr="00353DA4">
        <w:t>ribal agencies. Adequate funding will be essential to address the increased technical and administrative demands that may result from these revisions.</w:t>
      </w:r>
    </w:p>
    <w:p w:rsidR="00353DA4" w:rsidRPr="00353DA4" w:rsidP="007753E8" w14:paraId="1FFFD6C6" w14:textId="7494B37F">
      <w:r w:rsidRPr="00353DA4">
        <w:rPr>
          <w:b/>
          <w:bCs/>
        </w:rPr>
        <w:t xml:space="preserve">Response: </w:t>
      </w:r>
      <w:r>
        <w:t>The EPA ac</w:t>
      </w:r>
      <w:r w:rsidRPr="00353DA4">
        <w:t xml:space="preserve"> </w:t>
      </w:r>
      <w:r w:rsidRPr="00615052">
        <w:t>acknowledges these supportive comments.</w:t>
      </w:r>
      <w:r>
        <w:t xml:space="preserve"> The ICR notice does not impact the funding provided to reporting agencies. Further, there is no increase in the technical or administrative demands compared to past ICRs for the AERR, rather the EPA is quantifying costs that have previously been incurred but not reflected in the ICR cost estimates.</w:t>
      </w:r>
    </w:p>
    <w:p w:rsidR="008E46FC" w:rsidP="00FC1AE3" w14:paraId="1414D571" w14:textId="321B446D">
      <w:pPr>
        <w:pStyle w:val="Heading1"/>
      </w:pPr>
      <w:r>
        <w:t xml:space="preserve">Comments about </w:t>
      </w:r>
      <w:r w:rsidR="0099302A">
        <w:t xml:space="preserve">the </w:t>
      </w:r>
      <w:r>
        <w:t>AERR</w:t>
      </w:r>
      <w:r w:rsidR="0099302A">
        <w:t xml:space="preserve"> rule</w:t>
      </w:r>
    </w:p>
    <w:p w:rsidR="00887AA2" w:rsidRPr="00887AA2" w:rsidP="008E46FC" w14:paraId="47F9B692" w14:textId="3B15C96B">
      <w:r>
        <w:t>The EPA received several comments related to the AERR rule.</w:t>
      </w:r>
    </w:p>
    <w:p w:rsidR="008E46FC" w:rsidP="008E46FC" w14:paraId="1465D836" w14:textId="4E003F33">
      <w:r w:rsidRPr="00586979">
        <w:rPr>
          <w:b/>
          <w:bCs/>
        </w:rPr>
        <w:t>Comment</w:t>
      </w:r>
      <w:r w:rsidR="006E6DB7">
        <w:rPr>
          <w:b/>
          <w:bCs/>
        </w:rPr>
        <w:t>er</w:t>
      </w:r>
      <w:r w:rsidRPr="00586979">
        <w:rPr>
          <w:b/>
          <w:bCs/>
        </w:rPr>
        <w:t xml:space="preserve"> </w:t>
      </w:r>
      <w:r w:rsidRPr="00586979">
        <w:rPr>
          <w:b/>
          <w:bCs/>
        </w:rPr>
        <w:t>0360</w:t>
      </w:r>
      <w:r>
        <w:t xml:space="preserve"> </w:t>
      </w:r>
      <w:r w:rsidR="006E6DB7">
        <w:t xml:space="preserve">stated their </w:t>
      </w:r>
      <w:r>
        <w:t xml:space="preserve">opposition to the Air Emissions Reporting Requirements as written because they </w:t>
      </w:r>
      <w:r w:rsidR="006E6DB7">
        <w:t xml:space="preserve">believe the requirements </w:t>
      </w:r>
      <w:r>
        <w:t>are weakening the protections needed for clean air, climate change and public health</w:t>
      </w:r>
      <w:r w:rsidR="006E6DB7">
        <w:t xml:space="preserve">, and noted that the EPA </w:t>
      </w:r>
      <w:r>
        <w:t xml:space="preserve">should not be scaling back critical greenhouse gas reporting. </w:t>
      </w:r>
      <w:r w:rsidR="006E6DB7">
        <w:t>Commenter 0360 noted the</w:t>
      </w:r>
      <w:r>
        <w:t xml:space="preserve"> need </w:t>
      </w:r>
      <w:r w:rsidR="006E6DB7">
        <w:t xml:space="preserve">for </w:t>
      </w:r>
      <w:r>
        <w:t xml:space="preserve">strong, enforceable and transparent emissions reporting so that meaningful climate action can be </w:t>
      </w:r>
      <w:r w:rsidR="00464E6A">
        <w:t>pursued,</w:t>
      </w:r>
      <w:r>
        <w:t xml:space="preserve"> and our children and environment can be protected. </w:t>
      </w:r>
      <w:r w:rsidR="006E6DB7">
        <w:t>Commenter 0360</w:t>
      </w:r>
      <w:r>
        <w:t xml:space="preserve"> urge</w:t>
      </w:r>
      <w:r w:rsidR="006E6DB7">
        <w:t>d</w:t>
      </w:r>
      <w:r>
        <w:t xml:space="preserve"> the EPA to pause this process and take a serious look at how the AERR could be improved to meet the scale of the climate and public health challenges we’re facing.</w:t>
      </w:r>
    </w:p>
    <w:p w:rsidR="00586979" w:rsidRPr="00586979" w:rsidP="008E46FC" w14:paraId="4FB8715A" w14:textId="1A813210">
      <w:r>
        <w:rPr>
          <w:b/>
          <w:bCs/>
        </w:rPr>
        <w:t xml:space="preserve">Response: </w:t>
      </w:r>
      <w:r>
        <w:t>The ICR notice addresses the current AERR rule, which does not require reporting of greenhouse gas emissions. The ICR notice does not impact the collection of greenhouse gases. The commenter may have confused this notice with</w:t>
      </w:r>
      <w:r w:rsidR="005D5BAB">
        <w:t xml:space="preserve"> the Greenhouse Gas Reporting Program (</w:t>
      </w:r>
      <w:hyperlink r:id="rId10" w:history="1">
        <w:r w:rsidRPr="008969A2" w:rsidR="005D5BAB">
          <w:rPr>
            <w:rStyle w:val="Hyperlink"/>
          </w:rPr>
          <w:t>https://www.epa.gov/ghgreporting</w:t>
        </w:r>
      </w:hyperlink>
      <w:r w:rsidR="005D5BAB">
        <w:t xml:space="preserve">), which is a separate air emissions reporting program. </w:t>
      </w:r>
    </w:p>
    <w:p w:rsidR="00586979" w:rsidRPr="00586979" w:rsidP="00681163" w14:paraId="54E8BCFB" w14:textId="46F9FEF2">
      <w:r>
        <w:t>The EPA received several</w:t>
      </w:r>
      <w:r>
        <w:t xml:space="preserve"> comment</w:t>
      </w:r>
      <w:r>
        <w:t>s</w:t>
      </w:r>
      <w:r>
        <w:t xml:space="preserve"> </w:t>
      </w:r>
      <w:r>
        <w:t xml:space="preserve">on </w:t>
      </w:r>
      <w:r>
        <w:t>the ICR notice related to weakening or eliminating emissions reporting requirements</w:t>
      </w:r>
      <w:r>
        <w:t xml:space="preserve"> within the AERR</w:t>
      </w:r>
      <w:r w:rsidR="005271BF">
        <w:t>.</w:t>
      </w:r>
    </w:p>
    <w:p w:rsidR="00681163" w:rsidP="005271BF" w14:paraId="01870249" w14:textId="22126F54">
      <w:r w:rsidRPr="00586979">
        <w:rPr>
          <w:b/>
          <w:bCs/>
        </w:rPr>
        <w:t>Comment</w:t>
      </w:r>
      <w:r w:rsidR="005271BF">
        <w:rPr>
          <w:b/>
          <w:bCs/>
        </w:rPr>
        <w:t>er</w:t>
      </w:r>
      <w:r w:rsidRPr="00586979">
        <w:rPr>
          <w:b/>
          <w:bCs/>
        </w:rPr>
        <w:t xml:space="preserve"> </w:t>
      </w:r>
      <w:r w:rsidRPr="00586979">
        <w:rPr>
          <w:b/>
          <w:bCs/>
        </w:rPr>
        <w:t>0362</w:t>
      </w:r>
      <w:r>
        <w:t xml:space="preserve"> </w:t>
      </w:r>
      <w:r w:rsidR="005271BF">
        <w:t>requested that the EPA not</w:t>
      </w:r>
      <w:r>
        <w:t xml:space="preserve"> remove these reporting requirements or relax the restrictions. </w:t>
      </w:r>
    </w:p>
    <w:p w:rsidR="00681163" w:rsidRPr="00681163" w:rsidP="005271BF" w14:paraId="1FB01405" w14:textId="0ABB4D46">
      <w:r w:rsidRPr="00586979">
        <w:rPr>
          <w:b/>
          <w:bCs/>
        </w:rPr>
        <w:t>Comment</w:t>
      </w:r>
      <w:r w:rsidR="005271BF">
        <w:rPr>
          <w:b/>
          <w:bCs/>
        </w:rPr>
        <w:t>er</w:t>
      </w:r>
      <w:r w:rsidRPr="00586979">
        <w:rPr>
          <w:b/>
          <w:bCs/>
        </w:rPr>
        <w:t xml:space="preserve"> </w:t>
      </w:r>
      <w:r w:rsidRPr="00586979">
        <w:rPr>
          <w:b/>
          <w:bCs/>
        </w:rPr>
        <w:t>0370</w:t>
      </w:r>
      <w:r w:rsidR="005271BF">
        <w:t>– stated their</w:t>
      </w:r>
      <w:r>
        <w:t xml:space="preserve"> oppos</w:t>
      </w:r>
      <w:r w:rsidR="005271BF">
        <w:t xml:space="preserve">ition to </w:t>
      </w:r>
      <w:r>
        <w:t xml:space="preserve">these rule changes </w:t>
      </w:r>
      <w:r w:rsidR="005271BF">
        <w:t>w</w:t>
      </w:r>
      <w:r>
        <w:t xml:space="preserve">ithout these reports, the </w:t>
      </w:r>
      <w:r w:rsidR="005271BF">
        <w:t>F</w:t>
      </w:r>
      <w:r>
        <w:t xml:space="preserve">ederal </w:t>
      </w:r>
      <w:r w:rsidR="005271BF">
        <w:t>G</w:t>
      </w:r>
      <w:r>
        <w:t>overnment won't have the necessary data to measure and limit sources of pollution such as soot and mercury, which are highly harmful to human health and the planet.</w:t>
      </w:r>
    </w:p>
    <w:p w:rsidR="00545A50" w:rsidP="005271BF" w14:paraId="2BD8519B" w14:textId="4B8B74F5">
      <w:r w:rsidRPr="00586979">
        <w:rPr>
          <w:b/>
          <w:bCs/>
        </w:rPr>
        <w:t>Comment</w:t>
      </w:r>
      <w:r w:rsidR="005271BF">
        <w:rPr>
          <w:b/>
          <w:bCs/>
        </w:rPr>
        <w:t>er</w:t>
      </w:r>
      <w:r w:rsidRPr="00586979">
        <w:rPr>
          <w:b/>
          <w:bCs/>
        </w:rPr>
        <w:t xml:space="preserve"> </w:t>
      </w:r>
      <w:r w:rsidRPr="00586979">
        <w:rPr>
          <w:b/>
          <w:bCs/>
        </w:rPr>
        <w:t>0383</w:t>
      </w:r>
      <w:r w:rsidR="005271BF">
        <w:t xml:space="preserve"> requested that the EPA</w:t>
      </w:r>
      <w:r>
        <w:t xml:space="preserve"> not weaken rules and requirements surrounding </w:t>
      </w:r>
      <w:r w:rsidR="005271BF">
        <w:t>a</w:t>
      </w:r>
      <w:r>
        <w:t xml:space="preserve">ir </w:t>
      </w:r>
      <w:r w:rsidR="005271BF">
        <w:t>e</w:t>
      </w:r>
      <w:r>
        <w:t xml:space="preserve">missions. </w:t>
      </w:r>
    </w:p>
    <w:p w:rsidR="00545A50" w:rsidP="005271BF" w14:paraId="783ED696" w14:textId="0ADAEEBC">
      <w:r w:rsidRPr="00586979">
        <w:rPr>
          <w:b/>
          <w:bCs/>
        </w:rPr>
        <w:t>Comment</w:t>
      </w:r>
      <w:r w:rsidR="005271BF">
        <w:rPr>
          <w:b/>
          <w:bCs/>
        </w:rPr>
        <w:t>er</w:t>
      </w:r>
      <w:r w:rsidRPr="00586979">
        <w:rPr>
          <w:b/>
          <w:bCs/>
        </w:rPr>
        <w:t xml:space="preserve"> </w:t>
      </w:r>
      <w:r w:rsidRPr="00586979">
        <w:rPr>
          <w:b/>
          <w:bCs/>
        </w:rPr>
        <w:t>0384</w:t>
      </w:r>
      <w:r>
        <w:t xml:space="preserve"> </w:t>
      </w:r>
      <w:r w:rsidR="005271BF">
        <w:t xml:space="preserve">stated that they are </w:t>
      </w:r>
      <w:r>
        <w:t xml:space="preserve">opposed to these harmful rule changes </w:t>
      </w:r>
      <w:r w:rsidR="005271BF">
        <w:t>w</w:t>
      </w:r>
      <w:r>
        <w:t xml:space="preserve">ithout these reports, the </w:t>
      </w:r>
      <w:r w:rsidR="005271BF">
        <w:t>F</w:t>
      </w:r>
      <w:r>
        <w:t xml:space="preserve">ederal </w:t>
      </w:r>
      <w:r w:rsidR="005271BF">
        <w:t>G</w:t>
      </w:r>
      <w:r>
        <w:t>overnment will lack necessary data to measure and limit sources of pollution heating the planet.</w:t>
      </w:r>
    </w:p>
    <w:p w:rsidR="00CC79BA" w:rsidP="005271BF" w14:paraId="25F196ED" w14:textId="415C56CB">
      <w:r w:rsidRPr="00CC79BA">
        <w:rPr>
          <w:b/>
          <w:bCs/>
        </w:rPr>
        <w:t>Comment</w:t>
      </w:r>
      <w:r w:rsidR="005271BF">
        <w:rPr>
          <w:b/>
          <w:bCs/>
        </w:rPr>
        <w:t>er</w:t>
      </w:r>
      <w:r w:rsidRPr="00CC79BA">
        <w:rPr>
          <w:b/>
          <w:bCs/>
        </w:rPr>
        <w:t xml:space="preserve"> 0386</w:t>
      </w:r>
      <w:r>
        <w:t xml:space="preserve"> </w:t>
      </w:r>
      <w:r w:rsidR="002D434E">
        <w:t>stated that i</w:t>
      </w:r>
      <w:r>
        <w:t xml:space="preserve">t is the mission of the EPA to protect people, and the environment </w:t>
      </w:r>
      <w:r w:rsidR="002D434E">
        <w:t xml:space="preserve">and that </w:t>
      </w:r>
      <w:r>
        <w:t>Docket ID No. EPA-HQ-OAR-2004-0489 would allow the opposite to happen. T</w:t>
      </w:r>
      <w:r w:rsidR="002D434E">
        <w:t>he commenter stated that t</w:t>
      </w:r>
      <w:r>
        <w:t>his changed requirement only helps polluters.</w:t>
      </w:r>
    </w:p>
    <w:p w:rsidR="00115509" w:rsidP="002D434E" w14:paraId="38E11AD4" w14:textId="5157B0E2">
      <w:r w:rsidRPr="00586979">
        <w:rPr>
          <w:b/>
          <w:bCs/>
        </w:rPr>
        <w:t>Comment</w:t>
      </w:r>
      <w:r w:rsidR="002D434E">
        <w:rPr>
          <w:b/>
          <w:bCs/>
        </w:rPr>
        <w:t>er</w:t>
      </w:r>
      <w:r w:rsidRPr="00586979">
        <w:rPr>
          <w:b/>
          <w:bCs/>
        </w:rPr>
        <w:t xml:space="preserve"> </w:t>
      </w:r>
      <w:r w:rsidRPr="00586979">
        <w:rPr>
          <w:b/>
          <w:bCs/>
        </w:rPr>
        <w:t>0395</w:t>
      </w:r>
      <w:r>
        <w:t xml:space="preserve"> </w:t>
      </w:r>
      <w:r w:rsidR="002D434E">
        <w:t>stated that r</w:t>
      </w:r>
      <w:r>
        <w:t>emoving these protections will increase exposure to harmful pollution, damage whole communities, and eliminate accountability for companies that prioritize profits over human lives</w:t>
      </w:r>
    </w:p>
    <w:p w:rsidR="00115509" w:rsidP="002D434E" w14:paraId="6D892726" w14:textId="56CBC6D3">
      <w:r w:rsidRPr="00586979">
        <w:rPr>
          <w:b/>
          <w:bCs/>
        </w:rPr>
        <w:t>Comment</w:t>
      </w:r>
      <w:r w:rsidR="00AB7761">
        <w:rPr>
          <w:b/>
          <w:bCs/>
        </w:rPr>
        <w:t>er</w:t>
      </w:r>
      <w:r w:rsidRPr="00586979">
        <w:rPr>
          <w:b/>
          <w:bCs/>
        </w:rPr>
        <w:t xml:space="preserve"> </w:t>
      </w:r>
      <w:r w:rsidRPr="00586979">
        <w:rPr>
          <w:b/>
          <w:bCs/>
        </w:rPr>
        <w:t>0397</w:t>
      </w:r>
      <w:r>
        <w:t xml:space="preserve"> </w:t>
      </w:r>
      <w:r w:rsidR="00AB7761">
        <w:t>stated that l</w:t>
      </w:r>
      <w:r>
        <w:t>imiting tracking and regulation removes necessary data points which are needed to make policy. We cannot make effective policy without having all the information available.</w:t>
      </w:r>
    </w:p>
    <w:p w:rsidR="00CF294A" w:rsidP="00AB7761" w14:paraId="5A68D3A3" w14:textId="60DDA5A4">
      <w:r w:rsidRPr="00CC79BA">
        <w:rPr>
          <w:b/>
          <w:bCs/>
        </w:rPr>
        <w:t>Comment</w:t>
      </w:r>
      <w:r w:rsidR="00D51322">
        <w:rPr>
          <w:b/>
          <w:bCs/>
        </w:rPr>
        <w:t>er</w:t>
      </w:r>
      <w:r w:rsidRPr="00CC79BA">
        <w:rPr>
          <w:b/>
          <w:bCs/>
        </w:rPr>
        <w:t xml:space="preserve"> 0402</w:t>
      </w:r>
      <w:r>
        <w:t xml:space="preserve"> </w:t>
      </w:r>
      <w:r w:rsidR="00D51322">
        <w:t xml:space="preserve">stated that they </w:t>
      </w:r>
      <w:r>
        <w:t xml:space="preserve">vehemently oppose this proposed rule! </w:t>
      </w:r>
      <w:r w:rsidR="00D51322">
        <w:t>The commenter</w:t>
      </w:r>
      <w:r>
        <w:t xml:space="preserve"> demand</w:t>
      </w:r>
      <w:r w:rsidR="00D51322">
        <w:t>s</w:t>
      </w:r>
      <w:r>
        <w:t xml:space="preserve"> that our government protect our public health by compiling data on pollution emitted by fossil fuel industries</w:t>
      </w:r>
      <w:r w:rsidR="00D51322">
        <w:t>, and that</w:t>
      </w:r>
      <w:r>
        <w:t xml:space="preserve"> </w:t>
      </w:r>
      <w:r w:rsidR="00D51322">
        <w:t>w</w:t>
      </w:r>
      <w:r>
        <w:t xml:space="preserve">ithout these reports, the </w:t>
      </w:r>
      <w:r w:rsidR="00D51322">
        <w:t>F</w:t>
      </w:r>
      <w:r>
        <w:t xml:space="preserve">ederal </w:t>
      </w:r>
      <w:r w:rsidR="00D51322">
        <w:t>G</w:t>
      </w:r>
      <w:r>
        <w:t xml:space="preserve">overnment will lack necessary data to measure and limit sources of pollution that are destroying our planet. </w:t>
      </w:r>
      <w:r w:rsidR="00D51322">
        <w:t>Commenter 0402</w:t>
      </w:r>
      <w:r>
        <w:t xml:space="preserve"> demand</w:t>
      </w:r>
      <w:r w:rsidR="00D51322">
        <w:t>s</w:t>
      </w:r>
      <w:r>
        <w:t xml:space="preserve"> that the EPA immediately withdraw this proposal!</w:t>
      </w:r>
    </w:p>
    <w:p w:rsidR="00115509" w:rsidP="00D51322" w14:paraId="33ACFEA7" w14:textId="56796FF5">
      <w:r w:rsidRPr="00586979">
        <w:rPr>
          <w:b/>
          <w:bCs/>
        </w:rPr>
        <w:t>Comment</w:t>
      </w:r>
      <w:r w:rsidR="00284913">
        <w:rPr>
          <w:b/>
          <w:bCs/>
        </w:rPr>
        <w:t>er</w:t>
      </w:r>
      <w:r w:rsidRPr="00586979">
        <w:rPr>
          <w:b/>
          <w:bCs/>
        </w:rPr>
        <w:t xml:space="preserve"> </w:t>
      </w:r>
      <w:r w:rsidRPr="00586979">
        <w:rPr>
          <w:b/>
          <w:bCs/>
        </w:rPr>
        <w:t>0416</w:t>
      </w:r>
      <w:r w:rsidRPr="00586979">
        <w:t xml:space="preserve"> </w:t>
      </w:r>
      <w:r w:rsidR="00284913">
        <w:t xml:space="preserve">stated that they </w:t>
      </w:r>
      <w:r w:rsidRPr="00586979">
        <w:t>oppose these harmful rule changes.</w:t>
      </w:r>
    </w:p>
    <w:p w:rsidR="00CF294A" w:rsidP="00284913" w14:paraId="5D00DE4B" w14:textId="33B19476">
      <w:r w:rsidRPr="00CF294A">
        <w:rPr>
          <w:b/>
          <w:bCs/>
        </w:rPr>
        <w:t>Comment</w:t>
      </w:r>
      <w:r w:rsidR="00284913">
        <w:rPr>
          <w:b/>
          <w:bCs/>
        </w:rPr>
        <w:t>er</w:t>
      </w:r>
      <w:r w:rsidRPr="00CF294A">
        <w:rPr>
          <w:b/>
          <w:bCs/>
        </w:rPr>
        <w:t xml:space="preserve"> 0424</w:t>
      </w:r>
      <w:r>
        <w:t xml:space="preserve"> </w:t>
      </w:r>
      <w:r w:rsidR="00284913">
        <w:t xml:space="preserve">stated that they </w:t>
      </w:r>
      <w:r>
        <w:t>oppose these changes to the reporting requirements. This data is essential for measuring and limiting sources of pollution.</w:t>
      </w:r>
    </w:p>
    <w:p w:rsidR="00CF294A" w:rsidP="00284913" w14:paraId="055CD97D" w14:textId="1A6E29F0">
      <w:r w:rsidRPr="00CF294A">
        <w:rPr>
          <w:b/>
          <w:bCs/>
        </w:rPr>
        <w:t>Comment</w:t>
      </w:r>
      <w:r w:rsidR="00284913">
        <w:rPr>
          <w:b/>
          <w:bCs/>
        </w:rPr>
        <w:t>er</w:t>
      </w:r>
      <w:r w:rsidRPr="00CF294A">
        <w:rPr>
          <w:b/>
          <w:bCs/>
        </w:rPr>
        <w:t xml:space="preserve"> 0425</w:t>
      </w:r>
      <w:r>
        <w:t xml:space="preserve"> </w:t>
      </w:r>
      <w:r w:rsidR="00284913">
        <w:t xml:space="preserve">requested the EPA to not </w:t>
      </w:r>
      <w:r>
        <w:t>repeal reporting requirements! This is not helpful or useful in any way and doesn't serve the people.</w:t>
      </w:r>
    </w:p>
    <w:p w:rsidR="00A40C66" w:rsidP="00536C17" w14:paraId="4F76B146" w14:textId="056F786F">
      <w:r w:rsidRPr="00A40C66">
        <w:rPr>
          <w:b/>
          <w:bCs/>
        </w:rPr>
        <w:t>Comment</w:t>
      </w:r>
      <w:r w:rsidR="00536C17">
        <w:rPr>
          <w:b/>
          <w:bCs/>
        </w:rPr>
        <w:t>er</w:t>
      </w:r>
      <w:r w:rsidRPr="00A40C66">
        <w:rPr>
          <w:b/>
          <w:bCs/>
        </w:rPr>
        <w:t xml:space="preserve"> 0428</w:t>
      </w:r>
      <w:r>
        <w:t xml:space="preserve"> strongly oppose</w:t>
      </w:r>
      <w:r w:rsidR="00536C17">
        <w:t>s</w:t>
      </w:r>
      <w:r>
        <w:t xml:space="preserve"> the stopping of reporting on emissions. This change would further put our heads in the </w:t>
      </w:r>
      <w:r w:rsidR="00464E6A">
        <w:t>sand and</w:t>
      </w:r>
      <w:r>
        <w:t xml:space="preserve"> is the opposite of what we should be doing, as stewards of this Earth. </w:t>
      </w:r>
    </w:p>
    <w:p w:rsidR="00A40C66" w:rsidP="00536C17" w14:paraId="177BBB47" w14:textId="4CE5F6CC">
      <w:r w:rsidRPr="00A40C66">
        <w:rPr>
          <w:b/>
          <w:bCs/>
        </w:rPr>
        <w:t>Comment</w:t>
      </w:r>
      <w:r w:rsidR="00B875AF">
        <w:rPr>
          <w:b/>
          <w:bCs/>
        </w:rPr>
        <w:t>er</w:t>
      </w:r>
      <w:r w:rsidRPr="00A40C66">
        <w:rPr>
          <w:b/>
          <w:bCs/>
        </w:rPr>
        <w:t xml:space="preserve"> 0429</w:t>
      </w:r>
      <w:r>
        <w:t xml:space="preserve"> </w:t>
      </w:r>
      <w:r w:rsidR="00B875AF">
        <w:t>stated that t</w:t>
      </w:r>
      <w:r>
        <w:t>hese requirements should not be repealed</w:t>
      </w:r>
      <w:r w:rsidR="00B875AF">
        <w:t xml:space="preserve"> because</w:t>
      </w:r>
      <w:r>
        <w:t xml:space="preserve"> </w:t>
      </w:r>
      <w:r w:rsidR="00B875AF">
        <w:t xml:space="preserve">they </w:t>
      </w:r>
      <w:r>
        <w:t xml:space="preserve">are necessary to collect the necessary data to measure and limit sources of pollution. </w:t>
      </w:r>
    </w:p>
    <w:p w:rsidR="00A40C66" w:rsidP="00536C17" w14:paraId="00CC4C0B" w14:textId="1E35F33E">
      <w:r w:rsidRPr="00A40C66">
        <w:rPr>
          <w:b/>
          <w:bCs/>
        </w:rPr>
        <w:t>Comment</w:t>
      </w:r>
      <w:r w:rsidR="00C9763A">
        <w:rPr>
          <w:b/>
          <w:bCs/>
        </w:rPr>
        <w:t>er</w:t>
      </w:r>
      <w:r w:rsidRPr="00A40C66">
        <w:rPr>
          <w:b/>
          <w:bCs/>
        </w:rPr>
        <w:t xml:space="preserve"> 0432</w:t>
      </w:r>
      <w:r>
        <w:t xml:space="preserve"> </w:t>
      </w:r>
      <w:r w:rsidR="00C9763A">
        <w:t>stated that r</w:t>
      </w:r>
      <w:r>
        <w:t>epealing these requirements for reporting is heinous. These reporting requirements were put there to protect our citizens. Repealing these requirements will result in our citizens' illness and death due to pollution, without question.</w:t>
      </w:r>
    </w:p>
    <w:p w:rsidR="00A40C66" w:rsidP="00536C17" w14:paraId="388DECC8" w14:textId="160A8155">
      <w:r w:rsidRPr="00A40C66">
        <w:rPr>
          <w:b/>
          <w:bCs/>
        </w:rPr>
        <w:t>Comment</w:t>
      </w:r>
      <w:r w:rsidR="00C9763A">
        <w:rPr>
          <w:b/>
          <w:bCs/>
        </w:rPr>
        <w:t>er</w:t>
      </w:r>
      <w:r w:rsidRPr="00A40C66">
        <w:rPr>
          <w:b/>
          <w:bCs/>
        </w:rPr>
        <w:t xml:space="preserve"> 0444</w:t>
      </w:r>
      <w:r>
        <w:t xml:space="preserve"> </w:t>
      </w:r>
      <w:r w:rsidR="00C9763A">
        <w:t xml:space="preserve">requested that the EPA </w:t>
      </w:r>
      <w:r w:rsidR="00803A3B">
        <w:t>does not repeal</w:t>
      </w:r>
      <w:r w:rsidR="00C9763A">
        <w:t xml:space="preserve"> the AERR.</w:t>
      </w:r>
    </w:p>
    <w:p w:rsidR="00A40C66" w:rsidP="00C9763A" w14:paraId="37C183A2" w14:textId="5DFD5530">
      <w:r w:rsidRPr="00A40C66">
        <w:rPr>
          <w:b/>
          <w:bCs/>
        </w:rPr>
        <w:t>Comment</w:t>
      </w:r>
      <w:r w:rsidR="00654555">
        <w:rPr>
          <w:b/>
          <w:bCs/>
        </w:rPr>
        <w:t>er</w:t>
      </w:r>
      <w:r w:rsidRPr="00A40C66">
        <w:rPr>
          <w:b/>
          <w:bCs/>
        </w:rPr>
        <w:t xml:space="preserve"> 0447</w:t>
      </w:r>
      <w:r>
        <w:t xml:space="preserve"> </w:t>
      </w:r>
      <w:r w:rsidR="00654555">
        <w:t xml:space="preserve">stated that they </w:t>
      </w:r>
      <w:r>
        <w:t>oppose th</w:t>
      </w:r>
      <w:r w:rsidR="00654555">
        <w:t>e</w:t>
      </w:r>
      <w:r>
        <w:t xml:space="preserve"> proposal. These regulations and reporting standards protect the health and safety of everyday Americans. </w:t>
      </w:r>
    </w:p>
    <w:p w:rsidR="00A40C66" w:rsidP="00C9763A" w14:paraId="15E3AE07" w14:textId="66E7081A">
      <w:r w:rsidRPr="00A40C66">
        <w:rPr>
          <w:b/>
          <w:bCs/>
        </w:rPr>
        <w:t>Comment</w:t>
      </w:r>
      <w:r w:rsidR="00654555">
        <w:rPr>
          <w:b/>
          <w:bCs/>
        </w:rPr>
        <w:t>er</w:t>
      </w:r>
      <w:r w:rsidRPr="00A40C66">
        <w:rPr>
          <w:b/>
          <w:bCs/>
        </w:rPr>
        <w:t xml:space="preserve"> 0448</w:t>
      </w:r>
      <w:r>
        <w:t xml:space="preserve"> </w:t>
      </w:r>
      <w:r w:rsidR="00654555">
        <w:t>Stated that r</w:t>
      </w:r>
      <w:r>
        <w:t xml:space="preserve">olling back pollution regulations will </w:t>
      </w:r>
      <w:r w:rsidR="00654555">
        <w:t>kill people.</w:t>
      </w:r>
    </w:p>
    <w:p w:rsidR="00A40C66" w:rsidP="00C9763A" w14:paraId="5A9803A8" w14:textId="1405F1CB">
      <w:r w:rsidRPr="00A40C66">
        <w:rPr>
          <w:b/>
          <w:bCs/>
        </w:rPr>
        <w:t>Comment</w:t>
      </w:r>
      <w:r w:rsidR="00654555">
        <w:rPr>
          <w:b/>
          <w:bCs/>
        </w:rPr>
        <w:t>er</w:t>
      </w:r>
      <w:r w:rsidRPr="00A40C66">
        <w:rPr>
          <w:b/>
          <w:bCs/>
        </w:rPr>
        <w:t xml:space="preserve"> 0449</w:t>
      </w:r>
      <w:r>
        <w:t xml:space="preserve"> </w:t>
      </w:r>
      <w:r w:rsidR="00654555">
        <w:t>stated that p</w:t>
      </w:r>
      <w:r>
        <w:t>ollution is a very large problem</w:t>
      </w:r>
      <w:r w:rsidR="00654555">
        <w:t xml:space="preserve"> and that</w:t>
      </w:r>
      <w:r>
        <w:t xml:space="preserve"> the younger generation, those in third world countries, and many animal species will suffer.  </w:t>
      </w:r>
      <w:r w:rsidR="00654555">
        <w:t xml:space="preserve">They also mentioned that </w:t>
      </w:r>
      <w:r>
        <w:t>government no longer work</w:t>
      </w:r>
      <w:r w:rsidR="00654555">
        <w:t>s</w:t>
      </w:r>
      <w:r>
        <w:t xml:space="preserve"> for the people.</w:t>
      </w:r>
    </w:p>
    <w:p w:rsidR="00A40C66" w:rsidP="000D5139" w14:paraId="3490AFE7" w14:textId="7659C1B0">
      <w:r w:rsidRPr="00A40C66">
        <w:rPr>
          <w:b/>
          <w:bCs/>
        </w:rPr>
        <w:t>Comment</w:t>
      </w:r>
      <w:r w:rsidR="000D5139">
        <w:rPr>
          <w:b/>
          <w:bCs/>
        </w:rPr>
        <w:t>er</w:t>
      </w:r>
      <w:r w:rsidRPr="00A40C66">
        <w:rPr>
          <w:b/>
          <w:bCs/>
        </w:rPr>
        <w:t xml:space="preserve"> 0450</w:t>
      </w:r>
      <w:r>
        <w:t xml:space="preserve"> </w:t>
      </w:r>
      <w:r w:rsidR="000D5139">
        <w:t xml:space="preserve">stated that they are </w:t>
      </w:r>
      <w:r>
        <w:t>opposed to reducing or eliminating any data collection and reporting on said data</w:t>
      </w:r>
      <w:r w:rsidR="000D5139">
        <w:t>, and that f</w:t>
      </w:r>
      <w:r>
        <w:t>ailure to maintain public records regarding environmental pollution and polluters would be damaging to the health and wel</w:t>
      </w:r>
      <w:r w:rsidR="000D5139">
        <w:t>fare</w:t>
      </w:r>
      <w:r>
        <w:t xml:space="preserve"> of millions of American</w:t>
      </w:r>
      <w:r w:rsidR="000D5139">
        <w:t>s</w:t>
      </w:r>
      <w:r>
        <w:t>.</w:t>
      </w:r>
    </w:p>
    <w:p w:rsidR="00A40C66" w:rsidP="000D5139" w14:paraId="2BD948F0" w14:textId="3DC0C80D">
      <w:r w:rsidRPr="00A40C66">
        <w:rPr>
          <w:b/>
          <w:bCs/>
        </w:rPr>
        <w:t>Comment</w:t>
      </w:r>
      <w:r w:rsidR="000D5139">
        <w:rPr>
          <w:b/>
          <w:bCs/>
        </w:rPr>
        <w:t>er</w:t>
      </w:r>
      <w:r w:rsidRPr="00A40C66">
        <w:rPr>
          <w:b/>
          <w:bCs/>
        </w:rPr>
        <w:t xml:space="preserve"> 0454</w:t>
      </w:r>
      <w:r>
        <w:t xml:space="preserve"> </w:t>
      </w:r>
      <w:r w:rsidR="000D5139">
        <w:t>stated that r</w:t>
      </w:r>
      <w:r>
        <w:t xml:space="preserve">eporting requirements are a </w:t>
      </w:r>
      <w:r w:rsidR="000D5139">
        <w:t>necessary</w:t>
      </w:r>
      <w:r>
        <w:t xml:space="preserve"> part of the work </w:t>
      </w:r>
      <w:r w:rsidR="000D5139">
        <w:t>that the EPA</w:t>
      </w:r>
      <w:r>
        <w:t xml:space="preserve"> has done. The</w:t>
      </w:r>
      <w:r w:rsidR="000D5139">
        <w:t>y also stated that the</w:t>
      </w:r>
      <w:r>
        <w:t xml:space="preserve"> proposed actions to remove reporting requirements serve to deny inhabitants of the United States clean air and clean water. The proposed provision essentially acts guts an essential provision of the clean air and water acts, important pieces of legislation. While not constitutionally protected at present, a clean and safe environment form the cornerstones of the right of people to pursue life, liberty and happiness. </w:t>
      </w:r>
      <w:r w:rsidR="000D5139">
        <w:t>The commenter</w:t>
      </w:r>
      <w:r>
        <w:t xml:space="preserve"> insist</w:t>
      </w:r>
      <w:r w:rsidR="000D5139">
        <w:t>s</w:t>
      </w:r>
      <w:r>
        <w:t xml:space="preserve"> that the provisions pertaining to reporting on air and water be retained. </w:t>
      </w:r>
    </w:p>
    <w:p w:rsidR="00CF294A" w:rsidP="000D5139" w14:paraId="17C4CEC0" w14:textId="289917F4">
      <w:r w:rsidRPr="00CF294A">
        <w:rPr>
          <w:b/>
          <w:bCs/>
        </w:rPr>
        <w:t>Comment</w:t>
      </w:r>
      <w:r w:rsidR="000D5139">
        <w:rPr>
          <w:b/>
          <w:bCs/>
        </w:rPr>
        <w:t>er</w:t>
      </w:r>
      <w:r w:rsidRPr="00CF294A">
        <w:rPr>
          <w:b/>
          <w:bCs/>
        </w:rPr>
        <w:t xml:space="preserve"> 0465</w:t>
      </w:r>
      <w:r>
        <w:t xml:space="preserve"> </w:t>
      </w:r>
      <w:r w:rsidR="000D5139">
        <w:t>o</w:t>
      </w:r>
      <w:r>
        <w:t>ppose</w:t>
      </w:r>
      <w:r w:rsidR="000D5139">
        <w:t>s</w:t>
      </w:r>
      <w:r>
        <w:t xml:space="preserve"> these harmful rule changes! Without these reports, the </w:t>
      </w:r>
      <w:r w:rsidR="000D5139">
        <w:t>F</w:t>
      </w:r>
      <w:r>
        <w:t xml:space="preserve">ederal </w:t>
      </w:r>
      <w:r w:rsidR="000D5139">
        <w:t>G</w:t>
      </w:r>
      <w:r>
        <w:t>overnment will lack necessary data to measure and limit sources of pollution affecting the planet.</w:t>
      </w:r>
    </w:p>
    <w:p w:rsidR="00A40C66" w:rsidP="000D5139" w14:paraId="49CFF49B" w14:textId="016F2BE3">
      <w:r w:rsidRPr="00A40C66">
        <w:rPr>
          <w:b/>
          <w:bCs/>
        </w:rPr>
        <w:t>Comment</w:t>
      </w:r>
      <w:r w:rsidR="000D5139">
        <w:rPr>
          <w:b/>
          <w:bCs/>
        </w:rPr>
        <w:t>er</w:t>
      </w:r>
      <w:r w:rsidRPr="00A40C66">
        <w:rPr>
          <w:b/>
          <w:bCs/>
        </w:rPr>
        <w:t xml:space="preserve"> 0474</w:t>
      </w:r>
      <w:r>
        <w:t xml:space="preserve"> </w:t>
      </w:r>
      <w:r w:rsidR="000D5139">
        <w:t>stated that w</w:t>
      </w:r>
      <w:r>
        <w:t>e need to know what is being released into our air and water so we can protect ourselves and our environment. Please do not roll back reporting or protections.</w:t>
      </w:r>
    </w:p>
    <w:p w:rsidR="00A40C66" w:rsidP="000D5139" w14:paraId="49E7BAD8" w14:textId="32163054">
      <w:r w:rsidRPr="00A40C66">
        <w:rPr>
          <w:b/>
          <w:bCs/>
        </w:rPr>
        <w:t>Comment</w:t>
      </w:r>
      <w:r w:rsidR="000D5139">
        <w:rPr>
          <w:b/>
          <w:bCs/>
        </w:rPr>
        <w:t>er</w:t>
      </w:r>
      <w:r w:rsidRPr="00A40C66">
        <w:rPr>
          <w:b/>
          <w:bCs/>
        </w:rPr>
        <w:t xml:space="preserve"> 0475</w:t>
      </w:r>
      <w:r>
        <w:t xml:space="preserve"> oppose</w:t>
      </w:r>
      <w:r w:rsidR="000D5139">
        <w:t>s</w:t>
      </w:r>
      <w:r>
        <w:t xml:space="preserve"> any changes to current rules to protect the people and the planet from environmental toxins in our air and water!!</w:t>
      </w:r>
    </w:p>
    <w:p w:rsidR="00A40C66" w:rsidP="000D5139" w14:paraId="59F7D6D2" w14:textId="5DBD8DD0">
      <w:r w:rsidRPr="00A40C66">
        <w:rPr>
          <w:b/>
          <w:bCs/>
        </w:rPr>
        <w:t>Comment</w:t>
      </w:r>
      <w:r w:rsidR="000D5139">
        <w:rPr>
          <w:b/>
          <w:bCs/>
        </w:rPr>
        <w:t>er</w:t>
      </w:r>
      <w:r w:rsidRPr="00A40C66">
        <w:rPr>
          <w:b/>
          <w:bCs/>
        </w:rPr>
        <w:t xml:space="preserve"> 0478</w:t>
      </w:r>
      <w:r>
        <w:t xml:space="preserve"> </w:t>
      </w:r>
      <w:r w:rsidR="000D5139">
        <w:t>stated that t</w:t>
      </w:r>
      <w:r>
        <w:t xml:space="preserve">hese changes will make the air polluted, causing people with asthma more breathing problems. </w:t>
      </w:r>
    </w:p>
    <w:p w:rsidR="00A40C66" w:rsidP="000D5139" w14:paraId="13F914C7" w14:textId="40EFE526">
      <w:r w:rsidRPr="00A40C66">
        <w:rPr>
          <w:b/>
          <w:bCs/>
        </w:rPr>
        <w:t>Comment</w:t>
      </w:r>
      <w:r w:rsidR="000D5139">
        <w:rPr>
          <w:b/>
          <w:bCs/>
        </w:rPr>
        <w:t>er</w:t>
      </w:r>
      <w:r w:rsidRPr="00A40C66">
        <w:rPr>
          <w:b/>
          <w:bCs/>
        </w:rPr>
        <w:t xml:space="preserve"> 0479</w:t>
      </w:r>
      <w:r>
        <w:t xml:space="preserve"> </w:t>
      </w:r>
      <w:r w:rsidR="000D5139">
        <w:t xml:space="preserve">stated their </w:t>
      </w:r>
      <w:r>
        <w:t>opposition to the reduction in reporting requirements contained in EPA-HQ-OAR-2004-0489.</w:t>
      </w:r>
    </w:p>
    <w:p w:rsidR="00586979" w:rsidRPr="00A40C66" w:rsidP="00115509" w14:paraId="3E047B3C" w14:textId="1D41D575">
      <w:r w:rsidRPr="00A40C66">
        <w:rPr>
          <w:b/>
          <w:bCs/>
        </w:rPr>
        <w:t>Response:</w:t>
      </w:r>
      <w:r>
        <w:rPr>
          <w:b/>
          <w:bCs/>
        </w:rPr>
        <w:t xml:space="preserve"> </w:t>
      </w:r>
      <w:r w:rsidR="00A40C66">
        <w:t xml:space="preserve">The ICR notice does not include any changes to the </w:t>
      </w:r>
      <w:r w:rsidR="00CC79BA">
        <w:t xml:space="preserve">data reporting requirements included in the </w:t>
      </w:r>
      <w:r w:rsidR="00A40C66">
        <w:t>AERR. The ICR notice is simply a renewal of the existing emissions data collection.</w:t>
      </w:r>
    </w:p>
    <w:p w:rsidR="00115509" w:rsidRPr="00510ADA" w:rsidP="00115509" w14:paraId="2D37AA3B" w14:textId="5F4D129F">
      <w:r w:rsidRPr="00A40C66">
        <w:rPr>
          <w:b/>
          <w:bCs/>
        </w:rPr>
        <w:t>Comment</w:t>
      </w:r>
      <w:r w:rsidR="000D5139">
        <w:rPr>
          <w:b/>
          <w:bCs/>
        </w:rPr>
        <w:t>er</w:t>
      </w:r>
      <w:r w:rsidRPr="00A40C66">
        <w:rPr>
          <w:b/>
          <w:bCs/>
        </w:rPr>
        <w:t xml:space="preserve"> </w:t>
      </w:r>
      <w:r w:rsidRPr="00A40C66">
        <w:rPr>
          <w:b/>
          <w:bCs/>
        </w:rPr>
        <w:t>0418</w:t>
      </w:r>
      <w:r>
        <w:t xml:space="preserve"> </w:t>
      </w:r>
      <w:r w:rsidR="000D5139">
        <w:t xml:space="preserve">stated that they </w:t>
      </w:r>
      <w:r>
        <w:t>think it’s essential to even the playing field for companies by keeping regulations the same across the county. T</w:t>
      </w:r>
      <w:r w:rsidR="000D5139">
        <w:t>he commenter believes that t</w:t>
      </w:r>
      <w:r>
        <w:t>his is a dumb change to a law that’s working well for businesses and communities.</w:t>
      </w:r>
    </w:p>
    <w:p w:rsidR="008E46FC" w:rsidRPr="00A40C66" w:rsidP="008E46FC" w14:paraId="2A979618" w14:textId="2AD036B4">
      <w:r w:rsidRPr="00A40C66">
        <w:rPr>
          <w:b/>
          <w:bCs/>
        </w:rPr>
        <w:t xml:space="preserve">Response: </w:t>
      </w:r>
      <w:r>
        <w:t xml:space="preserve">The AERR </w:t>
      </w:r>
      <w:r w:rsidR="000D5139">
        <w:t xml:space="preserve">rule </w:t>
      </w:r>
      <w:r>
        <w:t xml:space="preserve">includes consistent reporting requirements across the U.S., with one exception – California is required to report mobile source annual emissions totals rather than inputs to the mobile source MOVES model. This is because California has </w:t>
      </w:r>
      <w:r w:rsidR="000D5139">
        <w:t xml:space="preserve">EPA </w:t>
      </w:r>
      <w:r>
        <w:t>approval to use a different model that estimates mobile source emissions.</w:t>
      </w:r>
      <w:r w:rsidR="00CC79BA">
        <w:t xml:space="preserve"> No changes have been proposed to the AERR with this ICR notice.</w:t>
      </w:r>
    </w:p>
    <w:p w:rsidR="00DD656B" w:rsidP="00FC1AE3" w14:paraId="29A2563D" w14:textId="04964655">
      <w:pPr>
        <w:pStyle w:val="Heading1"/>
      </w:pPr>
      <w:r>
        <w:t>Concerns about AERR implementation</w:t>
      </w:r>
    </w:p>
    <w:p w:rsidR="00DD656B" w:rsidP="00DD656B" w14:paraId="3DC50D2E" w14:textId="138AF565">
      <w:r>
        <w:rPr>
          <w:b/>
          <w:bCs/>
        </w:rPr>
        <w:t>Comment</w:t>
      </w:r>
      <w:r w:rsidR="000D5139">
        <w:rPr>
          <w:b/>
          <w:bCs/>
        </w:rPr>
        <w:t>er</w:t>
      </w:r>
      <w:r>
        <w:t xml:space="preserve"> </w:t>
      </w:r>
      <w:r w:rsidRPr="009F1F66">
        <w:rPr>
          <w:b/>
          <w:bCs/>
        </w:rPr>
        <w:t>(0326)</w:t>
      </w:r>
      <w:r w:rsidR="00CC79BA">
        <w:t xml:space="preserve"> noted that</w:t>
      </w:r>
      <w:r w:rsidRPr="00DD656B">
        <w:t xml:space="preserve"> </w:t>
      </w:r>
      <w:r>
        <w:t>t</w:t>
      </w:r>
      <w:r w:rsidRPr="00DD656B">
        <w:t>h</w:t>
      </w:r>
      <w:r w:rsidR="00CC79BA">
        <w:t>e</w:t>
      </w:r>
      <w:r w:rsidRPr="00DD656B">
        <w:t xml:space="preserve"> ICR also attempts to estimate the cost burden of reporting voluntary data elements such as </w:t>
      </w:r>
      <w:r w:rsidR="000D5139">
        <w:t>hazardous air pollutants (</w:t>
      </w:r>
      <w:r w:rsidRPr="00DD656B">
        <w:t>HAPs</w:t>
      </w:r>
      <w:r w:rsidR="000D5139">
        <w:t>)</w:t>
      </w:r>
      <w:r w:rsidRPr="00DD656B">
        <w:t xml:space="preserve">, smaller point sources, and fire emissions data. In past ICRs, the cost burden to the </w:t>
      </w:r>
      <w:r w:rsidR="000D5139">
        <w:t>S</w:t>
      </w:r>
      <w:r w:rsidRPr="00DD656B">
        <w:t>tates for voluntary reporting has not been characterized, and WESTAR member agencies appreciate the new direction. However, EI reporters have noted that, in practice, these elements are often treated as expected parts of a complete emissions inventory submission. For example, while the AERR allows agricultural fires to be reported as nonpoint sources, EPA’s data reporting systems request that these be submitted as events, which means the agency must adjust its data tracking and preparation for this sector. In some cases, this is not possible. Similarly, control path data, while not mandated in the rule and lacking a fully implemented schema, is requested during data validation. The situation created is one in which voluntary reporting seemingly becomes necessary in order to submit an inventory to EPA successfully.</w:t>
      </w:r>
    </w:p>
    <w:p w:rsidR="00DD656B" w:rsidP="00DD656B" w14:paraId="19C1A51A" w14:textId="52175BFD">
      <w:r w:rsidRPr="00DD656B">
        <w:t xml:space="preserve">While this issue isn’t directly related to the technical details of the ICR – where EPA has mentioned it is mainly looking for feedback – WESTAR wants to bring this to EPA’s attention. In many cases, </w:t>
      </w:r>
      <w:r w:rsidR="00F6162C">
        <w:t>S</w:t>
      </w:r>
      <w:r w:rsidRPr="00DD656B">
        <w:t>tates, locals, and Tribes are willing to submit voluntary data to improve the overall dataset, but without regulatory authority or simpler data formats and submission methods, submitting voluntary data should not get in the way of submitting the required data.</w:t>
      </w:r>
    </w:p>
    <w:p w:rsidR="00C12AFC" w:rsidRPr="009A2DAA" w:rsidP="00DD656B" w14:paraId="42A5E336" w14:textId="33527C80">
      <w:r w:rsidRPr="009A2DAA">
        <w:rPr>
          <w:b/>
          <w:bCs/>
        </w:rPr>
        <w:t>Response:</w:t>
      </w:r>
      <w:r w:rsidRPr="009A2DAA" w:rsidR="009A2DAA">
        <w:rPr>
          <w:b/>
          <w:bCs/>
        </w:rPr>
        <w:t xml:space="preserve"> </w:t>
      </w:r>
      <w:r w:rsidRPr="009A2DAA" w:rsidR="009A2DAA">
        <w:t>EP</w:t>
      </w:r>
      <w:r w:rsidR="009A2DAA">
        <w:t xml:space="preserve">A acknowledges that some aspects of voluntary reporting are more burdensome for </w:t>
      </w:r>
      <w:r w:rsidR="00F6162C">
        <w:t>S</w:t>
      </w:r>
      <w:r w:rsidR="009A2DAA">
        <w:t xml:space="preserve">tates if they choose to </w:t>
      </w:r>
      <w:r w:rsidR="00C36516">
        <w:t>report such information</w:t>
      </w:r>
      <w:r w:rsidR="009A2DAA">
        <w:t xml:space="preserve">. In this </w:t>
      </w:r>
      <w:r w:rsidR="00F6162C">
        <w:t>renewal</w:t>
      </w:r>
      <w:r w:rsidR="009A2DAA">
        <w:t xml:space="preserve">, the EPA has </w:t>
      </w:r>
      <w:r w:rsidR="00DA0C73">
        <w:t xml:space="preserve">included </w:t>
      </w:r>
      <w:r w:rsidR="009A2DAA">
        <w:t>cost</w:t>
      </w:r>
      <w:r w:rsidR="009A2DAA">
        <w:t xml:space="preserve"> </w:t>
      </w:r>
      <w:r w:rsidR="00DA0C73">
        <w:t>estimates</w:t>
      </w:r>
      <w:r w:rsidR="009A2DAA">
        <w:t xml:space="preserve"> associated with voluntary </w:t>
      </w:r>
      <w:r w:rsidR="00DA0C73">
        <w:t xml:space="preserve">reporting </w:t>
      </w:r>
      <w:r w:rsidR="009A2DAA">
        <w:t xml:space="preserve">of agricultural fires as events. </w:t>
      </w:r>
      <w:r w:rsidR="009A2DAA">
        <w:t xml:space="preserve">Regarding </w:t>
      </w:r>
      <w:r w:rsidR="009A2DAA">
        <w:t xml:space="preserve">the </w:t>
      </w:r>
      <w:r w:rsidR="00417465">
        <w:t>comment about</w:t>
      </w:r>
      <w:r w:rsidR="009A2DAA">
        <w:t xml:space="preserve"> control paths that </w:t>
      </w:r>
      <w:r w:rsidR="00546C33">
        <w:t>EPA</w:t>
      </w:r>
      <w:r w:rsidR="009A2DAA">
        <w:t xml:space="preserve"> implemented </w:t>
      </w:r>
      <w:r w:rsidR="00AF6619">
        <w:t>via EIS</w:t>
      </w:r>
      <w:r w:rsidR="006C4013">
        <w:t xml:space="preserve"> </w:t>
      </w:r>
      <w:r w:rsidR="00730CBB">
        <w:t>(</w:t>
      </w:r>
      <w:r w:rsidR="006C4013">
        <w:t>several years ago</w:t>
      </w:r>
      <w:r w:rsidR="002B29AA">
        <w:t>)</w:t>
      </w:r>
      <w:r w:rsidR="00DD19AD">
        <w:t>;</w:t>
      </w:r>
      <w:r w:rsidR="009A2DAA">
        <w:t xml:space="preserve"> </w:t>
      </w:r>
      <w:r w:rsidR="000B1835">
        <w:t xml:space="preserve">these changes were made </w:t>
      </w:r>
      <w:r w:rsidR="00853741">
        <w:t>previously</w:t>
      </w:r>
      <w:r w:rsidR="000B1835">
        <w:t xml:space="preserve"> so that the control data could better represent the actual controls at facilities. </w:t>
      </w:r>
      <w:r w:rsidR="00E47621">
        <w:t xml:space="preserve">This ICR renewal </w:t>
      </w:r>
      <w:r w:rsidR="00853741">
        <w:t xml:space="preserve">action </w:t>
      </w:r>
      <w:r w:rsidR="00E47621">
        <w:t>does not alter any requirement</w:t>
      </w:r>
      <w:r w:rsidR="00853741">
        <w:t>s</w:t>
      </w:r>
      <w:r w:rsidR="00E47621">
        <w:t xml:space="preserve"> related to control paths or </w:t>
      </w:r>
      <w:r w:rsidR="00426C29">
        <w:t xml:space="preserve">the </w:t>
      </w:r>
      <w:r w:rsidR="00E47621">
        <w:t>EIS.</w:t>
      </w:r>
      <w:r w:rsidR="000B1835">
        <w:t xml:space="preserve"> T</w:t>
      </w:r>
      <w:r w:rsidR="009A2DAA">
        <w:t xml:space="preserve">he cost </w:t>
      </w:r>
      <w:r w:rsidR="00426C29">
        <w:t>and burden estimates</w:t>
      </w:r>
      <w:r w:rsidR="009A2DAA">
        <w:t xml:space="preserve"> included in th</w:t>
      </w:r>
      <w:r w:rsidR="00426C29">
        <w:t>is</w:t>
      </w:r>
      <w:r w:rsidR="009A2DAA">
        <w:t xml:space="preserve"> ICR </w:t>
      </w:r>
      <w:r w:rsidR="000B1835">
        <w:t xml:space="preserve">renewal </w:t>
      </w:r>
      <w:r w:rsidR="009A2DAA">
        <w:t xml:space="preserve">are intended to reflect </w:t>
      </w:r>
      <w:r w:rsidR="009A2DAA">
        <w:t>the</w:t>
      </w:r>
      <w:r w:rsidR="00730CBB">
        <w:t xml:space="preserve"> current EIS</w:t>
      </w:r>
      <w:r w:rsidR="009A2DAA">
        <w:t xml:space="preserve"> data system </w:t>
      </w:r>
      <w:r w:rsidR="00426C29">
        <w:t>including both required and voluntary aspects.</w:t>
      </w:r>
      <w:r w:rsidR="009A2DAA">
        <w:t xml:space="preserve"> </w:t>
      </w:r>
    </w:p>
    <w:p w:rsidR="00FC1AE3" w:rsidP="00FC1AE3" w14:paraId="713507B9" w14:textId="1F12A721">
      <w:pPr>
        <w:pStyle w:val="Heading1"/>
      </w:pPr>
      <w:r>
        <w:t>Suggested approaches for the ICR</w:t>
      </w:r>
    </w:p>
    <w:p w:rsidR="00FC1AE3" w:rsidRPr="00FC1AE3" w:rsidP="00FC1AE3" w14:paraId="672602B0" w14:textId="60ECA4D9">
      <w:pPr>
        <w:pStyle w:val="Heading2"/>
      </w:pPr>
      <w:r>
        <w:t>Comments on the ICR process:</w:t>
      </w:r>
    </w:p>
    <w:p w:rsidR="00711768" w14:paraId="4DA487D8" w14:textId="571B71C3">
      <w:r>
        <w:rPr>
          <w:b/>
          <w:bCs/>
        </w:rPr>
        <w:t>Comment</w:t>
      </w:r>
      <w:r w:rsidR="00F6162C">
        <w:rPr>
          <w:b/>
          <w:bCs/>
        </w:rPr>
        <w:t>er</w:t>
      </w:r>
      <w:r w:rsidR="00CC79BA">
        <w:rPr>
          <w:b/>
          <w:bCs/>
        </w:rPr>
        <w:t xml:space="preserve"> 0319</w:t>
      </w:r>
      <w:r w:rsidR="00CC79BA">
        <w:t xml:space="preserve"> recommend</w:t>
      </w:r>
      <w:r w:rsidR="00F6162C">
        <w:t>ed</w:t>
      </w:r>
      <w:r>
        <w:t xml:space="preserve"> </w:t>
      </w:r>
      <w:r w:rsidR="00F6162C">
        <w:t>that EPA</w:t>
      </w:r>
      <w:r w:rsidRPr="00711768">
        <w:t xml:space="preserve"> only consider the burden on the lives who are impacted by polluters. The people affected by poor air quality are the ONLY stakeholders. Disregard emitters and polluters costs in reporting and enforce reporting. </w:t>
      </w:r>
      <w:r w:rsidR="00F6162C">
        <w:t>The commenter</w:t>
      </w:r>
      <w:r w:rsidRPr="00711768">
        <w:t xml:space="preserve"> further recommend</w:t>
      </w:r>
      <w:r w:rsidR="00F6162C">
        <w:t>s</w:t>
      </w:r>
      <w:r w:rsidRPr="00711768">
        <w:t xml:space="preserve"> as a penalty </w:t>
      </w:r>
      <w:r w:rsidR="00F6162C">
        <w:t xml:space="preserve">for </w:t>
      </w:r>
      <w:r w:rsidRPr="00711768">
        <w:t>late or failing to report ICR result in mandatory prison time.</w:t>
      </w:r>
    </w:p>
    <w:p w:rsidR="00CC79BA" w:rsidP="00CC79BA" w14:paraId="7CF4B265" w14:textId="68EB9D7F">
      <w:r w:rsidRPr="00CC79BA">
        <w:rPr>
          <w:b/>
          <w:bCs/>
        </w:rPr>
        <w:t>Comment</w:t>
      </w:r>
      <w:r w:rsidR="00F6162C">
        <w:rPr>
          <w:b/>
          <w:bCs/>
        </w:rPr>
        <w:t>er</w:t>
      </w:r>
      <w:r w:rsidRPr="00CC79BA">
        <w:rPr>
          <w:b/>
          <w:bCs/>
        </w:rPr>
        <w:t xml:space="preserve"> 0388</w:t>
      </w:r>
      <w:r>
        <w:t xml:space="preserve"> urge</w:t>
      </w:r>
      <w:r w:rsidR="00F6162C">
        <w:t>d the EPA</w:t>
      </w:r>
      <w:r>
        <w:t xml:space="preserve"> to consider the well-being of the individuals and the environment that this Agency was established to safeguard, rather than prioritizing the financial interests of corporations. </w:t>
      </w:r>
      <w:r w:rsidR="00F6162C">
        <w:t>They</w:t>
      </w:r>
      <w:r>
        <w:t xml:space="preserve"> concur with others suggesting that penalties for delayed or failed reporting of ICR should include mandatory prison time corresponding to the number of people affected.</w:t>
      </w:r>
    </w:p>
    <w:p w:rsidR="00C12AFC" w:rsidRPr="00C12AFC" w14:paraId="05C99ED2" w14:textId="6BF22B2E">
      <w:pPr>
        <w:rPr>
          <w:b/>
          <w:bCs/>
        </w:rPr>
      </w:pPr>
      <w:r w:rsidRPr="00CC79BA">
        <w:rPr>
          <w:b/>
          <w:bCs/>
        </w:rPr>
        <w:t>Response:</w:t>
      </w:r>
      <w:r>
        <w:rPr>
          <w:b/>
          <w:bCs/>
        </w:rPr>
        <w:t xml:space="preserve"> </w:t>
      </w:r>
      <w:r w:rsidR="00CC79BA">
        <w:t xml:space="preserve">The ICR notice </w:t>
      </w:r>
      <w:r w:rsidR="00F6162C">
        <w:t xml:space="preserve">must </w:t>
      </w:r>
      <w:r w:rsidR="00CC79BA">
        <w:t xml:space="preserve">meet </w:t>
      </w:r>
      <w:r w:rsidR="00F6162C">
        <w:t xml:space="preserve">the </w:t>
      </w:r>
      <w:r w:rsidR="00CC79BA">
        <w:t xml:space="preserve">requirements of the Paperwork Reduction Act enacted by Congress, which directs EPA to consider the burden to those affected by the reporting requirements – in this case </w:t>
      </w:r>
      <w:r w:rsidR="00F6162C">
        <w:t>S</w:t>
      </w:r>
      <w:r w:rsidR="00CC79BA">
        <w:t>tates, their delegated agencies, and owners/operators of certain facilities. Thus, the EPA is unable to disregard the costs as suggested by the commenter</w:t>
      </w:r>
      <w:r w:rsidR="00F6162C">
        <w:t>s</w:t>
      </w:r>
      <w:r w:rsidR="00CC79BA">
        <w:t xml:space="preserve">. The ICR </w:t>
      </w:r>
      <w:r w:rsidR="00F6162C">
        <w:t xml:space="preserve">also </w:t>
      </w:r>
      <w:r w:rsidR="00CC79BA">
        <w:t xml:space="preserve">does not impact how the EPA would enforce a lack of reporting by </w:t>
      </w:r>
      <w:r w:rsidR="00F6162C">
        <w:t>S</w:t>
      </w:r>
      <w:r w:rsidR="00CC79BA">
        <w:t>tates or their delegated agencies, so that part of the comment is outside of the scope of the ICR notice.</w:t>
      </w:r>
    </w:p>
    <w:p w:rsidR="007753E8" w:rsidP="00FC1AE3" w14:paraId="3F56605F" w14:textId="59A1C380">
      <w:pPr>
        <w:pStyle w:val="Heading2"/>
      </w:pPr>
      <w:r>
        <w:t>Support EPA’s choices in the burden calculations</w:t>
      </w:r>
    </w:p>
    <w:p w:rsidR="007753E8" w:rsidP="00DD656B" w14:paraId="00DA5ECC" w14:textId="6C8F3851">
      <w:r>
        <w:rPr>
          <w:b/>
          <w:bCs/>
        </w:rPr>
        <w:t>Comment</w:t>
      </w:r>
      <w:r w:rsidR="00F6162C">
        <w:rPr>
          <w:b/>
          <w:bCs/>
        </w:rPr>
        <w:t>er</w:t>
      </w:r>
      <w:r>
        <w:t xml:space="preserve"> </w:t>
      </w:r>
      <w:r w:rsidRPr="009F1F66">
        <w:rPr>
          <w:b/>
          <w:bCs/>
        </w:rPr>
        <w:t>(0326)</w:t>
      </w:r>
      <w:r>
        <w:t xml:space="preserve"> supported </w:t>
      </w:r>
      <w:r w:rsidRPr="00DD656B">
        <w:t>EPA’s use of publicly available data sources to estimate the cost burden estimates</w:t>
      </w:r>
      <w:r>
        <w:t>. They said this</w:t>
      </w:r>
      <w:r w:rsidRPr="00DD656B">
        <w:t xml:space="preserve"> is helpful and in keeping with previous ICRs, making it easier for stakeholders to verify updates and changes. For example, the updated labor costs, while for some western </w:t>
      </w:r>
      <w:r w:rsidR="00F6162C">
        <w:t>S</w:t>
      </w:r>
      <w:r w:rsidRPr="00DD656B">
        <w:t xml:space="preserve">tates are somewhat high, seem reasonable overall. We recognize that a conservative approach to calculating the overall cost burden can ultimately support </w:t>
      </w:r>
      <w:r w:rsidR="00F6162C">
        <w:t>S</w:t>
      </w:r>
      <w:r w:rsidRPr="00DD656B">
        <w:t>tates in operating their programs effectively.</w:t>
      </w:r>
    </w:p>
    <w:p w:rsidR="00DD656B" w:rsidP="00DD656B" w14:paraId="170C4922" w14:textId="3F165FF5">
      <w:r>
        <w:t>The commenter a</w:t>
      </w:r>
      <w:r w:rsidRPr="00DD656B">
        <w:t>lso appreciate</w:t>
      </w:r>
      <w:r>
        <w:t>s</w:t>
      </w:r>
      <w:r w:rsidRPr="00DD656B">
        <w:t xml:space="preserve"> that EPA has tried to estimate in the ICR the actual costs associated with an air agency’s own IT systems that collect EI data. Tasks such as internal EI database management and maintenance, as well as data formatting and QA/QC, all require significant time and resources. The fact that EPA has attempted to include these costs in the ICR is helpful to agencies. Also appreciated are the estimated costs to industry </w:t>
      </w:r>
      <w:r w:rsidRPr="00DD656B">
        <w:t>to comply with state rules that are aligned with the AERR. Together, these new data points provide a better picture of the cost burden of the AERR.</w:t>
      </w:r>
    </w:p>
    <w:p w:rsidR="00C12AFC" w:rsidRPr="00C12AFC" w:rsidP="00DD656B" w14:paraId="7F9749DA" w14:textId="0F772088">
      <w:pPr>
        <w:rPr>
          <w:b/>
          <w:bCs/>
        </w:rPr>
      </w:pPr>
      <w:r>
        <w:rPr>
          <w:b/>
          <w:bCs/>
        </w:rPr>
        <w:t>Response:</w:t>
      </w:r>
      <w:r w:rsidR="00CC79BA">
        <w:rPr>
          <w:b/>
          <w:bCs/>
        </w:rPr>
        <w:t xml:space="preserve"> </w:t>
      </w:r>
      <w:r w:rsidR="00CC79BA">
        <w:t>The EPA acknowledges these supportive comments.</w:t>
      </w:r>
    </w:p>
    <w:p w:rsidR="00FC1AE3" w:rsidP="00FC1AE3" w14:paraId="0D068695" w14:textId="69F0360C">
      <w:pPr>
        <w:pStyle w:val="Heading2"/>
      </w:pPr>
      <w:r>
        <w:t>Recommended changes to burden estimate calculations</w:t>
      </w:r>
    </w:p>
    <w:p w:rsidR="00795851" w:rsidP="00795851" w14:paraId="225EB6D6" w14:textId="24265542">
      <w:r w:rsidRPr="00795851">
        <w:rPr>
          <w:b/>
          <w:bCs/>
        </w:rPr>
        <w:t>Comment</w:t>
      </w:r>
      <w:r w:rsidR="00F6162C">
        <w:rPr>
          <w:b/>
          <w:bCs/>
        </w:rPr>
        <w:t>er</w:t>
      </w:r>
      <w:r>
        <w:t xml:space="preserve"> </w:t>
      </w:r>
      <w:r w:rsidRPr="00D50A3F">
        <w:rPr>
          <w:b/>
          <w:bCs/>
        </w:rPr>
        <w:t>(0325)</w:t>
      </w:r>
      <w:r>
        <w:t xml:space="preserve"> </w:t>
      </w:r>
      <w:r w:rsidR="008347F3">
        <w:t>stated</w:t>
      </w:r>
      <w:r>
        <w:t xml:space="preserve"> that the </w:t>
      </w:r>
      <w:r w:rsidRPr="00795851">
        <w:t>EPA should update certain assumptions to enhance the utility of the information collected</w:t>
      </w:r>
      <w:r>
        <w:t xml:space="preserve"> </w:t>
      </w:r>
      <w:r w:rsidRPr="00795851">
        <w:t xml:space="preserve">under the </w:t>
      </w:r>
      <w:r w:rsidR="008347F3">
        <w:t>AERR</w:t>
      </w:r>
      <w:r w:rsidRPr="00795851">
        <w:t xml:space="preserve"> ICR.</w:t>
      </w:r>
      <w:r>
        <w:t xml:space="preserve"> </w:t>
      </w:r>
      <w:r w:rsidR="008347F3">
        <w:t>The commenter stated that i</w:t>
      </w:r>
      <w:r w:rsidRPr="00795851">
        <w:t>n the AERR burden calculation spreadsheet provided in the docket associated with th</w:t>
      </w:r>
      <w:r w:rsidR="008347F3">
        <w:t>e</w:t>
      </w:r>
      <w:r w:rsidRPr="00795851">
        <w:t xml:space="preserve"> </w:t>
      </w:r>
      <w:r w:rsidR="008347F3">
        <w:t xml:space="preserve">renewal </w:t>
      </w:r>
      <w:r w:rsidRPr="00795851">
        <w:t xml:space="preserve">(EPA-HQ-OAR-2004-0489-0317), the burden estimate for </w:t>
      </w:r>
      <w:r w:rsidR="008347F3">
        <w:t>S</w:t>
      </w:r>
      <w:r w:rsidRPr="00795851">
        <w:t>tates’ quality assurance of</w:t>
      </w:r>
      <w:r>
        <w:t xml:space="preserve"> </w:t>
      </w:r>
      <w:r w:rsidRPr="00795851">
        <w:t>submitted AERR data is assumed to be equal to the time to run EPA Emissions Information</w:t>
      </w:r>
      <w:r>
        <w:t xml:space="preserve"> </w:t>
      </w:r>
      <w:r w:rsidRPr="00795851">
        <w:t>System (EIS) quality-assurance checks and resolve critical errors</w:t>
      </w:r>
      <w:r w:rsidR="008347F3">
        <w:t>, and noted that</w:t>
      </w:r>
      <w:r w:rsidRPr="00795851">
        <w:t xml:space="preserve"> </w:t>
      </w:r>
      <w:r w:rsidR="008347F3">
        <w:t>t</w:t>
      </w:r>
      <w:r w:rsidRPr="00795851">
        <w:t>he EIS checks are just a few</w:t>
      </w:r>
      <w:r>
        <w:t xml:space="preserve"> </w:t>
      </w:r>
      <w:r w:rsidRPr="00795851">
        <w:t xml:space="preserve">of many quality assurance procedures that TCEQ performs on air emissions data. </w:t>
      </w:r>
      <w:r w:rsidR="008347F3">
        <w:t>They also stated that n</w:t>
      </w:r>
      <w:r w:rsidRPr="00795851">
        <w:t>umerous</w:t>
      </w:r>
      <w:r>
        <w:t xml:space="preserve"> </w:t>
      </w:r>
      <w:r w:rsidRPr="00795851">
        <w:t>other quality assurance checks are detailed in TCEQ’s EPA-approved National Emissions</w:t>
      </w:r>
      <w:r>
        <w:t xml:space="preserve"> </w:t>
      </w:r>
      <w:r w:rsidRPr="00795851">
        <w:t xml:space="preserve">Inventory Quality Assurance Project Plan. </w:t>
      </w:r>
      <w:r w:rsidR="008347F3">
        <w:t xml:space="preserve">Commenter (0325) believes that the </w:t>
      </w:r>
      <w:r w:rsidRPr="00795851">
        <w:t>EPA’s estimation of burden is based on an</w:t>
      </w:r>
      <w:r>
        <w:t xml:space="preserve"> </w:t>
      </w:r>
      <w:r w:rsidRPr="00795851">
        <w:t>inadequate assumption and</w:t>
      </w:r>
      <w:r w:rsidR="008347F3">
        <w:t>,</w:t>
      </w:r>
      <w:r w:rsidRPr="00795851">
        <w:t xml:space="preserve"> therefore</w:t>
      </w:r>
      <w:r w:rsidR="008347F3">
        <w:t>,</w:t>
      </w:r>
      <w:r w:rsidRPr="00795851">
        <w:t xml:space="preserve"> fails to consider the resources required to perform</w:t>
      </w:r>
      <w:r>
        <w:t xml:space="preserve"> </w:t>
      </w:r>
      <w:r w:rsidRPr="00795851">
        <w:t xml:space="preserve">quality assurance of submitted data. </w:t>
      </w:r>
      <w:r w:rsidR="008347F3">
        <w:t xml:space="preserve">They state that the </w:t>
      </w:r>
      <w:r w:rsidRPr="00795851">
        <w:t>EPA should use a more complete methodology, including</w:t>
      </w:r>
      <w:r>
        <w:t xml:space="preserve"> </w:t>
      </w:r>
      <w:r w:rsidRPr="00795851">
        <w:t>using regional hourly rates instead of national average rates, to determine the AERR-related</w:t>
      </w:r>
      <w:r>
        <w:t xml:space="preserve"> </w:t>
      </w:r>
      <w:r w:rsidRPr="00795851">
        <w:t>costs since labor costs vary by region.</w:t>
      </w:r>
    </w:p>
    <w:p w:rsidR="00C12AFC" w:rsidP="00795851" w14:paraId="46B5B816" w14:textId="06E7714C">
      <w:r w:rsidRPr="00D62433">
        <w:rPr>
          <w:b/>
          <w:bCs/>
        </w:rPr>
        <w:t xml:space="preserve">Response: </w:t>
      </w:r>
      <w:r w:rsidRPr="00D62433" w:rsidR="00692555">
        <w:t>The</w:t>
      </w:r>
      <w:r w:rsidRPr="00692555" w:rsidR="00692555">
        <w:t xml:space="preserve"> </w:t>
      </w:r>
      <w:r w:rsidR="00692555">
        <w:t xml:space="preserve">time included in the burden estimates for the </w:t>
      </w:r>
      <w:r w:rsidR="008347F3">
        <w:t>S</w:t>
      </w:r>
      <w:r w:rsidR="00692555">
        <w:t>tates to perform quality assurance are intended to reflect not only the time it takes to run EIS critical errors, but also the time for quality assurance activities outside of that process. Without specific information provided by the commenter regarding the amount of time it takes fo</w:t>
      </w:r>
      <w:r w:rsidR="009C2C06">
        <w:t>r</w:t>
      </w:r>
      <w:r w:rsidR="00692555">
        <w:t xml:space="preserve"> a </w:t>
      </w:r>
      <w:r w:rsidR="008347F3">
        <w:t>S</w:t>
      </w:r>
      <w:r w:rsidR="00692555">
        <w:t>tate to perform the quality assurance, there is no specific information provided that would allow the EPA to update its estimates. Further, the commenter does not acknowledge that some of the quality assurance of emissions data is in support of other programs besides reporting emissions to the EPA, such as accurate emissions for State Implementation Plans, evaluating compliance, and for assessing emissions fees. Thus, the costs associated with emissions quality assurance should not be completely attributed to the AERR ICR.</w:t>
      </w:r>
    </w:p>
    <w:p w:rsidR="00692555" w:rsidP="00795851" w14:paraId="703DAB03" w14:textId="0B092957">
      <w:r>
        <w:t xml:space="preserve">With respect to the recommendation to use regional hourly rates rather than national average rates, the EPA </w:t>
      </w:r>
      <w:r w:rsidR="009C2C06">
        <w:t xml:space="preserve">has considered how regional hourly rates could be included without making the ICR overly complicated, since the costs for the many summary tables still need to be reflected at the national level. The EPA appreciates that it is difficult for individual </w:t>
      </w:r>
      <w:r w:rsidR="008347F3">
        <w:t>S</w:t>
      </w:r>
      <w:r w:rsidR="009C2C06">
        <w:t xml:space="preserve">tates to comment on the average rates being used and that providing </w:t>
      </w:r>
      <w:r w:rsidR="008347F3">
        <w:t>S</w:t>
      </w:r>
      <w:r w:rsidR="009C2C06">
        <w:t>tate- or region-specific rates would not be useful unless the calculations were setup to include those.</w:t>
      </w:r>
    </w:p>
    <w:p w:rsidR="009C2C06" w:rsidRPr="009C2C06" w:rsidP="00795851" w14:paraId="6AE65C4C" w14:textId="7C5BB29E">
      <w:r>
        <w:t>In response to</w:t>
      </w:r>
      <w:r>
        <w:t xml:space="preserve"> this comment, the EPA has devise</w:t>
      </w:r>
      <w:r w:rsidR="005D5BAB">
        <w:t>d</w:t>
      </w:r>
      <w:r>
        <w:t xml:space="preserve"> a method of developing a weighted average national labor rate based on the regional rates and the number of facilities (for point source activities) and counties (for nonpoint and mobile activities). These average national labor rates are calculated on the </w:t>
      </w:r>
      <w:r w:rsidR="005D5BAB">
        <w:t>“Labor information”</w:t>
      </w:r>
      <w:r>
        <w:t xml:space="preserve"> tab of the ICR calculation spreadsheet</w:t>
      </w:r>
      <w:r w:rsidR="005D5BAB">
        <w:t xml:space="preserve"> “2025 ICR tables for notice2_v1</w:t>
      </w:r>
      <w:r w:rsidR="008E0D8F">
        <w:t>1</w:t>
      </w:r>
      <w:r w:rsidR="005D5BAB">
        <w:t xml:space="preserve"> for docket.xlsx”</w:t>
      </w:r>
      <w:r>
        <w:t xml:space="preserve">, which has been updated </w:t>
      </w:r>
      <w:r w:rsidR="006E0DF8">
        <w:t>for the</w:t>
      </w:r>
      <w:r>
        <w:t xml:space="preserve"> second </w:t>
      </w:r>
      <w:r w:rsidR="006E0DF8">
        <w:t xml:space="preserve">ICR </w:t>
      </w:r>
      <w:r>
        <w:t xml:space="preserve">notice </w:t>
      </w:r>
      <w:r w:rsidR="006E0DF8">
        <w:t>based on this comment</w:t>
      </w:r>
      <w:r>
        <w:t>.</w:t>
      </w:r>
      <w:r w:rsidR="00D62433">
        <w:t xml:space="preserve"> </w:t>
      </w:r>
      <w:r w:rsidR="00464E6A">
        <w:t>A</w:t>
      </w:r>
      <w:r w:rsidR="006E0DF8">
        <w:t xml:space="preserve">bsent other information, </w:t>
      </w:r>
      <w:r w:rsidR="00464E6A">
        <w:t xml:space="preserve">the EPA maintains </w:t>
      </w:r>
      <w:r w:rsidR="006E0DF8">
        <w:t xml:space="preserve">that this change is an improvement to the overall calculation </w:t>
      </w:r>
      <w:r w:rsidR="00464E6A">
        <w:t>approach. However, t</w:t>
      </w:r>
      <w:r w:rsidR="006E0DF8">
        <w:t xml:space="preserve">he Agency notes that the </w:t>
      </w:r>
      <w:r>
        <w:t>S</w:t>
      </w:r>
      <w:r w:rsidR="006E0DF8">
        <w:t xml:space="preserve">tate-specific BLS labor rate data are not available separately for </w:t>
      </w:r>
      <w:r>
        <w:t>S</w:t>
      </w:r>
      <w:r w:rsidR="006E0DF8">
        <w:t xml:space="preserve">tate </w:t>
      </w:r>
      <w:r>
        <w:t>G</w:t>
      </w:r>
      <w:r w:rsidR="006E0DF8">
        <w:t xml:space="preserve">overnment and private ownership, thus the resulting ICR calculations </w:t>
      </w:r>
      <w:r w:rsidR="00464E6A">
        <w:t xml:space="preserve">in the second ICR notice </w:t>
      </w:r>
      <w:r w:rsidR="006E0DF8">
        <w:t xml:space="preserve">use the same labor rates </w:t>
      </w:r>
      <w:r w:rsidR="005972C0">
        <w:t>for both</w:t>
      </w:r>
      <w:r w:rsidR="006E0DF8">
        <w:t xml:space="preserve"> </w:t>
      </w:r>
      <w:r w:rsidR="0074230D">
        <w:t>S</w:t>
      </w:r>
      <w:r w:rsidR="006E0DF8">
        <w:t>tate</w:t>
      </w:r>
      <w:r w:rsidR="005972C0">
        <w:t xml:space="preserve"> and owner/operator activities</w:t>
      </w:r>
      <w:r w:rsidR="00464E6A">
        <w:t>, which is different from the approach used in the first ICR notice</w:t>
      </w:r>
      <w:r w:rsidR="006E0DF8">
        <w:t>. Th</w:t>
      </w:r>
      <w:r w:rsidR="00464E6A">
        <w:t>e approach in the second ICR notice</w:t>
      </w:r>
      <w:r w:rsidR="006E0DF8">
        <w:t xml:space="preserve"> could tend to overstate the </w:t>
      </w:r>
      <w:r w:rsidR="0074230D">
        <w:t>S</w:t>
      </w:r>
      <w:r w:rsidR="006E0DF8">
        <w:t>tate-specific cost burden and understate the industry-specific cost burden included in th</w:t>
      </w:r>
      <w:r w:rsidR="0074230D">
        <w:t>e</w:t>
      </w:r>
      <w:r w:rsidR="006E0DF8">
        <w:t xml:space="preserve"> second ICR notice.</w:t>
      </w:r>
    </w:p>
    <w:p w:rsidR="007753E8" w:rsidP="007753E8" w14:paraId="382F1E08" w14:textId="7358EE23">
      <w:r>
        <w:rPr>
          <w:b/>
          <w:bCs/>
        </w:rPr>
        <w:t>Comment</w:t>
      </w:r>
      <w:r w:rsidR="0074230D">
        <w:rPr>
          <w:b/>
          <w:bCs/>
        </w:rPr>
        <w:t>er</w:t>
      </w:r>
      <w:r>
        <w:t xml:space="preserve"> </w:t>
      </w:r>
      <w:r w:rsidRPr="00D50A3F">
        <w:rPr>
          <w:b/>
          <w:bCs/>
        </w:rPr>
        <w:t>(0327)</w:t>
      </w:r>
      <w:r>
        <w:t xml:space="preserve"> indicated that </w:t>
      </w:r>
      <w:r w:rsidRPr="00795851">
        <w:t xml:space="preserve">use of different CAERS “Cases” is confusing and not explained in the ICR. Throughout this comment, </w:t>
      </w:r>
      <w:r w:rsidR="0074230D">
        <w:t>there are</w:t>
      </w:r>
      <w:r w:rsidRPr="00795851">
        <w:t xml:space="preserve"> frequent references </w:t>
      </w:r>
      <w:r w:rsidR="0074230D">
        <w:t xml:space="preserve">to </w:t>
      </w:r>
      <w:r w:rsidRPr="00795851">
        <w:t>the spreadsheet that EPA provided</w:t>
      </w:r>
      <w:r>
        <w:t xml:space="preserve"> </w:t>
      </w:r>
      <w:r w:rsidRPr="00795851">
        <w:t>to estimate the burdens from the ICR (“ICR Spreadsheet”).</w:t>
      </w:r>
      <w:r>
        <w:rPr>
          <w:rStyle w:val="FootnoteReference"/>
        </w:rPr>
        <w:footnoteReference w:id="3"/>
      </w:r>
      <w:r w:rsidRPr="00795851">
        <w:t xml:space="preserve"> This ICR spreadsheet contains a sheet</w:t>
      </w:r>
      <w:r>
        <w:t xml:space="preserve"> </w:t>
      </w:r>
      <w:r w:rsidRPr="00795851">
        <w:t>titled “ICR Final Summary Tables” that includes four different CAERS “Cases.” These cases are</w:t>
      </w:r>
      <w:r>
        <w:t xml:space="preserve"> </w:t>
      </w:r>
      <w:r w:rsidRPr="00795851">
        <w:t>simply titled CAERS Case 1, Case 2, Case 3, and Case 4,</w:t>
      </w:r>
      <w:r>
        <w:rPr>
          <w:rStyle w:val="FootnoteReference"/>
        </w:rPr>
        <w:footnoteReference w:id="4"/>
      </w:r>
      <w:r w:rsidRPr="00795851">
        <w:t xml:space="preserve"> with no defining characteristics, which</w:t>
      </w:r>
      <w:r>
        <w:t xml:space="preserve"> </w:t>
      </w:r>
      <w:r w:rsidRPr="00795851">
        <w:t>makes the table and its data unclear</w:t>
      </w:r>
      <w:r w:rsidRPr="00D62433">
        <w:t xml:space="preserve">. </w:t>
      </w:r>
      <w:r w:rsidR="0074230D">
        <w:t>The commenter</w:t>
      </w:r>
      <w:r w:rsidRPr="00D62433">
        <w:t xml:space="preserve"> respectfully requests that EPA include definitions for each Case on the ICR </w:t>
      </w:r>
      <w:r w:rsidR="0074230D">
        <w:t xml:space="preserve">renewal </w:t>
      </w:r>
      <w:r w:rsidRPr="00D62433">
        <w:t xml:space="preserve">notice submitted to OMB. As it stands, the confusion in the layout of the table leads to lingering questions, such as whether the different cases involving CAERS are necessary to differentiate in this </w:t>
      </w:r>
      <w:r w:rsidR="0074230D">
        <w:t>renewal</w:t>
      </w:r>
      <w:r w:rsidRPr="00D62433">
        <w:t xml:space="preserve"> or if all the cases are actually in use right now. </w:t>
      </w:r>
      <w:r w:rsidR="0074230D">
        <w:t>The commenter notes that i</w:t>
      </w:r>
      <w:r w:rsidRPr="00D62433">
        <w:t xml:space="preserve">f some of the cases are hypothetical, then it doesn’t seem proper to include them in this ICR. </w:t>
      </w:r>
      <w:r w:rsidR="0074230D">
        <w:t>The commenter believes that t</w:t>
      </w:r>
      <w:r w:rsidRPr="00D62433">
        <w:t>he sample group informing the analysis of CAERS-use seems skewed and incorrectly applied to scenarios and costs.</w:t>
      </w:r>
    </w:p>
    <w:p w:rsidR="007753E8" w:rsidP="007753E8" w14:paraId="029FE4D0" w14:textId="0FB588EC">
      <w:r w:rsidRPr="001A1611">
        <w:t xml:space="preserve">Furthermore, </w:t>
      </w:r>
      <w:r w:rsidR="0074230D">
        <w:t xml:space="preserve">the commenter notes that </w:t>
      </w:r>
      <w:r w:rsidRPr="001A1611">
        <w:t>the percentage values of burden hours placed on the various CAERS Cases seem arbitrary and inaccurate. For example, on the “SLT NEI Burden Details” sheet of the ICR Spreadsheet, Table 4a (SLT data</w:t>
      </w:r>
      <w:r w:rsidRPr="00795851">
        <w:t xml:space="preserve"> system operation and maintenance hours for NEI Collection from</w:t>
      </w:r>
      <w:r>
        <w:t xml:space="preserve"> </w:t>
      </w:r>
      <w:r w:rsidRPr="00795851">
        <w:t>owners/operators) there is an “Activity” row for “User support and training for point source</w:t>
      </w:r>
      <w:r>
        <w:t xml:space="preserve"> </w:t>
      </w:r>
      <w:r w:rsidRPr="00795851">
        <w:t>emissions data reporting</w:t>
      </w:r>
      <w:r w:rsidRPr="00D62433">
        <w:t xml:space="preserve">.” On this row, just 50% of the listed non-CAERS SLT hours are assumed to apply to CAERS Case 3 and Case 4. The </w:t>
      </w:r>
      <w:r w:rsidR="0074230D">
        <w:t xml:space="preserve">commenter notes that the </w:t>
      </w:r>
      <w:r w:rsidRPr="00D62433">
        <w:t xml:space="preserve">basis for this percentage is unclear and likely too low. </w:t>
      </w:r>
      <w:r w:rsidR="0074230D">
        <w:t>Commenter 0327 states that e</w:t>
      </w:r>
      <w:r w:rsidRPr="00D62433">
        <w:t>ven if there are</w:t>
      </w:r>
      <w:r w:rsidRPr="00795851">
        <w:t xml:space="preserve"> no modifications to CAERS over time, in </w:t>
      </w:r>
      <w:r w:rsidR="0074230D">
        <w:t>their</w:t>
      </w:r>
      <w:r w:rsidRPr="00795851">
        <w:t xml:space="preserve"> </w:t>
      </w:r>
      <w:r w:rsidRPr="00795851">
        <w:t>experience, continuous</w:t>
      </w:r>
      <w:r>
        <w:t xml:space="preserve"> </w:t>
      </w:r>
      <w:r w:rsidRPr="00795851">
        <w:t xml:space="preserve">training is necessary for industry simply due to turnover in industry personnel </w:t>
      </w:r>
      <w:r w:rsidRPr="00D62433">
        <w:t xml:space="preserve">completing the reporting. Another example lies in Table 4b (SLT point source reporting burden hours by activity) under the “Activity” row “Quality assurance of submitted data and revision support.” Again, in this row, only 50% of the listed non-CAERS SLT hours are assumed to apply to CAERS Case 4, and it is not clear what the basis is for that 50%. </w:t>
      </w:r>
      <w:r w:rsidR="0074230D">
        <w:t>The commenter states that</w:t>
      </w:r>
      <w:r w:rsidRPr="00D62433">
        <w:t xml:space="preserve"> it appears that this activity is mislabeled as quality assurance, when it should actually be quality control, since the data has already been submitted. Activity 8 is labeled as “Run EIS quality-assurance checks and resolve critical errors” therefore it seems like Activity 4 is meant to be about performing quality control on submitted data. If EPA assumes that only 50% of these hours apply to CAERS Case 4, then that seems to imply that less quality control is being performed on submitted data, which calls into question the adequacy of the quality control. As an</w:t>
      </w:r>
      <w:r w:rsidRPr="00795851">
        <w:t xml:space="preserve"> example for why this seems inaccurate, </w:t>
      </w:r>
      <w:r w:rsidR="0074230D">
        <w:t>the commenter noted that its</w:t>
      </w:r>
      <w:r w:rsidRPr="00795851">
        <w:t xml:space="preserve"> reporting</w:t>
      </w:r>
      <w:r>
        <w:t xml:space="preserve"> </w:t>
      </w:r>
      <w:r w:rsidRPr="00795851">
        <w:t>system has all of EPA’s EIS quality assurance requirements built-in, presumably the same</w:t>
      </w:r>
      <w:r>
        <w:t xml:space="preserve"> </w:t>
      </w:r>
      <w:r w:rsidRPr="00795851">
        <w:t xml:space="preserve">as CAERS does, and has many additional quality assurance checks that are particular to </w:t>
      </w:r>
      <w:r w:rsidR="00CF20F2">
        <w:t>S</w:t>
      </w:r>
      <w:r w:rsidRPr="00795851">
        <w:t>tate data.</w:t>
      </w:r>
      <w:r>
        <w:t xml:space="preserve"> </w:t>
      </w:r>
      <w:r w:rsidR="00CF20F2">
        <w:t xml:space="preserve">They also note that </w:t>
      </w:r>
      <w:r w:rsidRPr="00795851">
        <w:t>it seems unlikely that CAERS gains better reported data than other systems</w:t>
      </w:r>
      <w:r w:rsidRPr="00D62433">
        <w:t xml:space="preserve">. Due to the above observations, </w:t>
      </w:r>
      <w:r w:rsidR="00CF20F2">
        <w:t>Commenter 0327</w:t>
      </w:r>
      <w:r w:rsidRPr="00D62433">
        <w:t xml:space="preserve"> respectfully request</w:t>
      </w:r>
      <w:r w:rsidR="00CF20F2">
        <w:t>s</w:t>
      </w:r>
      <w:r w:rsidRPr="00D62433">
        <w:t xml:space="preserve"> that on the ICR submitted to OMB, EPA include reasoning and evidence for the general percent savings applied to the CAERS Cases.</w:t>
      </w:r>
    </w:p>
    <w:p w:rsidR="00C12AFC" w:rsidP="007753E8" w14:paraId="7EC87BC0" w14:textId="706B6503">
      <w:r w:rsidRPr="00D62433">
        <w:rPr>
          <w:b/>
          <w:bCs/>
        </w:rPr>
        <w:t>Response:</w:t>
      </w:r>
      <w:r w:rsidRPr="00D62433" w:rsidR="005972C0">
        <w:rPr>
          <w:b/>
          <w:bCs/>
        </w:rPr>
        <w:t xml:space="preserve"> </w:t>
      </w:r>
      <w:r w:rsidRPr="00D62433" w:rsidR="005972C0">
        <w:t>Additional</w:t>
      </w:r>
      <w:r w:rsidRPr="005972C0" w:rsidR="005972C0">
        <w:t xml:space="preserve"> information about the different CAERS cases is provided as part of the supporting statement for this second ICR notice.</w:t>
      </w:r>
      <w:r w:rsidR="005972C0">
        <w:t xml:space="preserve"> Regarding the commenter’s question about which cases are in use currently, CAERS cases 3 and 4 are currently in </w:t>
      </w:r>
      <w:r w:rsidR="00464E6A">
        <w:t>use,</w:t>
      </w:r>
      <w:r w:rsidR="005972C0">
        <w:t xml:space="preserve"> and these are the 2 cases with cost reductions for </w:t>
      </w:r>
      <w:r w:rsidR="00CF20F2">
        <w:t>S</w:t>
      </w:r>
      <w:r w:rsidR="005972C0">
        <w:t>tates. CAERS cases 1 and 2 have the same costs as the current approach of using the EIS, so they are included for completeness of documentation but do not impact the cost estimates. Furthermore, the estimates do not have any SLTs projected to adopt CAERS cases 1 or 2 in the 3-year period covered by this ICR, which addresses the concern raised by the commenter about EPA including cases in the ICR that are not currently being used. Only cases that are in use currently (i.e., cases 3 and 4) are forecast to be adopted in the 3-year period associated with this ICR</w:t>
      </w:r>
      <w:r w:rsidR="00CF20F2">
        <w:t xml:space="preserve"> renewal</w:t>
      </w:r>
      <w:r w:rsidR="00EB6587">
        <w:t>, thus any perception by the commenter of a skewed situation is because the Agency is relying on its experience to date with the cases that have already been adopted.</w:t>
      </w:r>
    </w:p>
    <w:p w:rsidR="00D62433" w:rsidP="007753E8" w14:paraId="7632C2B1" w14:textId="3F378987">
      <w:r w:rsidRPr="00464E6A">
        <w:t>Regardin</w:t>
      </w:r>
      <w:r>
        <w:t xml:space="preserve">g the comment about the burden hours for the various CAERS </w:t>
      </w:r>
      <w:r>
        <w:t>c</w:t>
      </w:r>
      <w:r>
        <w:t>ases seeming arbitrary and inaccurate,</w:t>
      </w:r>
      <w:r>
        <w:t xml:space="preserve"> the EPA has used its best judgement based on the following considerations. With regard to the training burden, the EPA prepares the CAERS training materials for each new version of CAERS.</w:t>
      </w:r>
      <w:r>
        <w:t xml:space="preserve"> </w:t>
      </w:r>
      <w:r>
        <w:t xml:space="preserve">SLT representatives can customize and augment the training, but they are not responsible for building the training for each year, leading to </w:t>
      </w:r>
      <w:r>
        <w:t xml:space="preserve">the burden reduction expected. Thus, SLTs would have lower burden to adjust training materials to accommodate each NEI collection cycle.  </w:t>
      </w:r>
    </w:p>
    <w:p w:rsidR="00D62433" w:rsidP="007753E8" w14:paraId="09394255" w14:textId="63E44A15">
      <w:r>
        <w:t xml:space="preserve">With regard to the reduction in </w:t>
      </w:r>
      <w:r w:rsidR="00CF20F2">
        <w:t>quality assurance</w:t>
      </w:r>
      <w:r>
        <w:t xml:space="preserve"> burden, the EPA has assumed that during the period of this ICR, the </w:t>
      </w:r>
      <w:r w:rsidR="00CF20F2">
        <w:t>S</w:t>
      </w:r>
      <w:r>
        <w:t>tates/local</w:t>
      </w:r>
      <w:r w:rsidR="00CF20F2">
        <w:t xml:space="preserve"> agencie</w:t>
      </w:r>
      <w:r>
        <w:t xml:space="preserve">s that would migrate to CAERS would be those that have inefficient approaches in place rather than those who have custom systems in place as described by the commenter. In these cases, the SLT staff would have less time spent on </w:t>
      </w:r>
      <w:r w:rsidR="00CF20F2">
        <w:t>quality assurance</w:t>
      </w:r>
      <w:r>
        <w:t xml:space="preserve"> needed to get the data submitted to EPA because CAERS handles all such </w:t>
      </w:r>
      <w:r w:rsidR="00CF20F2">
        <w:t>quality assurance</w:t>
      </w:r>
      <w:r>
        <w:t xml:space="preserve">. The EPA agrees that the burden change would be lower or perhaps nonexistent for SLTs with robust systems. Rather than less </w:t>
      </w:r>
      <w:r w:rsidR="00CF20F2">
        <w:t>quality assurance</w:t>
      </w:r>
      <w:r>
        <w:t xml:space="preserve"> being performed, more of the </w:t>
      </w:r>
      <w:r w:rsidR="00CF20F2">
        <w:t xml:space="preserve">quality assurance </w:t>
      </w:r>
      <w:r>
        <w:t>would be automatic and</w:t>
      </w:r>
      <w:r w:rsidR="00CF20F2">
        <w:t>,</w:t>
      </w:r>
      <w:r>
        <w:t xml:space="preserve"> therefore</w:t>
      </w:r>
      <w:r w:rsidR="00CF20F2">
        <w:t>,</w:t>
      </w:r>
      <w:r>
        <w:t xml:space="preserve"> have less burden for those SLTs.</w:t>
      </w:r>
    </w:p>
    <w:p w:rsidR="00E3660B" w:rsidRPr="00E3660B" w:rsidP="00E3660B" w14:paraId="29325257" w14:textId="3799DBB0">
      <w:r>
        <w:rPr>
          <w:b/>
          <w:bCs/>
        </w:rPr>
        <w:t>Comment</w:t>
      </w:r>
      <w:r w:rsidR="008D7A1B">
        <w:rPr>
          <w:b/>
          <w:bCs/>
        </w:rPr>
        <w:t>er</w:t>
      </w:r>
      <w:r>
        <w:t xml:space="preserve"> </w:t>
      </w:r>
      <w:r w:rsidRPr="00BD4EBE">
        <w:rPr>
          <w:b/>
          <w:bCs/>
        </w:rPr>
        <w:t>(</w:t>
      </w:r>
      <w:r w:rsidRPr="00BD4EBE" w:rsidR="007753E8">
        <w:rPr>
          <w:b/>
          <w:bCs/>
        </w:rPr>
        <w:t>0327</w:t>
      </w:r>
      <w:r w:rsidRPr="00BD4EBE">
        <w:rPr>
          <w:b/>
          <w:bCs/>
        </w:rPr>
        <w:t>)</w:t>
      </w:r>
      <w:r>
        <w:t xml:space="preserve"> </w:t>
      </w:r>
      <w:r w:rsidR="008D7A1B">
        <w:t>stated</w:t>
      </w:r>
      <w:r>
        <w:t xml:space="preserve"> that the </w:t>
      </w:r>
      <w:r w:rsidRPr="00E3660B">
        <w:t>EPA’s use of environmental engineering hourly mean data for burden</w:t>
      </w:r>
      <w:r>
        <w:t xml:space="preserve"> </w:t>
      </w:r>
      <w:r w:rsidRPr="00E3660B">
        <w:t>cost estimation is unrepresentative and should be substituted with more</w:t>
      </w:r>
      <w:r>
        <w:t xml:space="preserve"> </w:t>
      </w:r>
      <w:r w:rsidRPr="00E3660B">
        <w:t>accurate data.</w:t>
      </w:r>
      <w:r>
        <w:t xml:space="preserve"> </w:t>
      </w:r>
      <w:r w:rsidRPr="00E3660B">
        <w:t>The ICR Spreadsheet contains a sheet titled “Labor Information.”</w:t>
      </w:r>
      <w:r>
        <w:rPr>
          <w:rStyle w:val="FootnoteReference"/>
        </w:rPr>
        <w:footnoteReference w:id="5"/>
      </w:r>
      <w:r w:rsidRPr="00E3660B">
        <w:t xml:space="preserve"> The sheet lists</w:t>
      </w:r>
      <w:r>
        <w:t xml:space="preserve"> </w:t>
      </w:r>
      <w:r w:rsidRPr="00E3660B">
        <w:t>assumptions for mean hourly wage using data provided by the Bureau of Labor Statistics (“BLS”).</w:t>
      </w:r>
      <w:r>
        <w:t xml:space="preserve"> </w:t>
      </w:r>
      <w:r w:rsidRPr="00E3660B">
        <w:t>These assumed hourly wages would be used for calculations across the other sheets in the</w:t>
      </w:r>
      <w:r>
        <w:t xml:space="preserve"> </w:t>
      </w:r>
      <w:r w:rsidRPr="00E3660B">
        <w:t>spreadsheet. However, one of the assumptions appears inaccurate and unrepresentative, as</w:t>
      </w:r>
      <w:r>
        <w:t xml:space="preserve"> </w:t>
      </w:r>
      <w:r w:rsidRPr="00E3660B">
        <w:t>described below.</w:t>
      </w:r>
    </w:p>
    <w:p w:rsidR="00E3660B" w:rsidRPr="00E3660B" w:rsidP="00E3660B" w14:paraId="5EED8959" w14:textId="107EEDE5">
      <w:r w:rsidRPr="007642C4">
        <w:t>The mean hourly wage value of $45.97 provided in the burden cost estimation spreadsheet for the “Environmental Engineer” employee under the “State Government” employer was not present within any of the source files cited for said employee and employer.</w:t>
      </w:r>
      <w:r w:rsidRPr="00E3660B">
        <w:t xml:space="preserve"> “Employee” refers to</w:t>
      </w:r>
      <w:r>
        <w:t xml:space="preserve"> </w:t>
      </w:r>
      <w:r w:rsidRPr="00E3660B">
        <w:t>OCC_TITLE column in the source files. “Employer” refers to the NAICS_TITLE column in the</w:t>
      </w:r>
      <w:r>
        <w:t xml:space="preserve"> </w:t>
      </w:r>
      <w:r w:rsidRPr="00E3660B">
        <w:t>source files. The only employers where the mean hourly wage of $45.97 was present for the</w:t>
      </w:r>
      <w:r>
        <w:t xml:space="preserve"> </w:t>
      </w:r>
      <w:r w:rsidRPr="00E3660B">
        <w:t>“Environmental Engineer” employee were “Educational Services” and “Colleges, Universities,</w:t>
      </w:r>
      <w:r>
        <w:t xml:space="preserve"> </w:t>
      </w:r>
      <w:r w:rsidRPr="00E3660B">
        <w:t>and Professional Schools.”</w:t>
      </w:r>
      <w:r>
        <w:rPr>
          <w:rStyle w:val="FootnoteReference"/>
        </w:rPr>
        <w:footnoteReference w:id="6"/>
      </w:r>
      <w:r w:rsidRPr="00E3660B">
        <w:t xml:space="preserve"> Therefore, it is unclear where the $45.97 value derived from. After</w:t>
      </w:r>
      <w:r>
        <w:t xml:space="preserve"> </w:t>
      </w:r>
      <w:r w:rsidRPr="00E3660B">
        <w:t>reviewing similar employees and employers, this value was not found. Calculations using the mean</w:t>
      </w:r>
      <w:r>
        <w:t xml:space="preserve"> </w:t>
      </w:r>
      <w:r w:rsidRPr="00E3660B">
        <w:t>hourly wage across similar employees were conducted, but ODEQ staff were not able to replicate</w:t>
      </w:r>
      <w:r>
        <w:t xml:space="preserve"> </w:t>
      </w:r>
      <w:r w:rsidRPr="00E3660B">
        <w:t>the $45.97 value.</w:t>
      </w:r>
    </w:p>
    <w:p w:rsidR="00E3660B" w:rsidRPr="00E3660B" w:rsidP="00E3660B" w14:paraId="43748C68" w14:textId="66F13ABD">
      <w:r w:rsidRPr="00E3660B">
        <w:t xml:space="preserve">Regardless of the accuracy of the proposed assumed mean hourly rate, </w:t>
      </w:r>
      <w:r w:rsidR="008D7A1B">
        <w:t>commenter 0327</w:t>
      </w:r>
      <w:r w:rsidRPr="00E3660B">
        <w:t xml:space="preserve"> recommends</w:t>
      </w:r>
      <w:r>
        <w:t xml:space="preserve"> </w:t>
      </w:r>
      <w:r w:rsidRPr="00E3660B">
        <w:t>using a different OCC_Title and corresponding mean hourly wage from the provided source for</w:t>
      </w:r>
      <w:r>
        <w:t xml:space="preserve"> </w:t>
      </w:r>
      <w:r w:rsidRPr="00E3660B">
        <w:t xml:space="preserve">the burden spreadsheet calculations. </w:t>
      </w:r>
      <w:r w:rsidR="008D7A1B">
        <w:t>The commenter noted that they</w:t>
      </w:r>
      <w:r w:rsidRPr="00E3660B">
        <w:t xml:space="preserve"> do not employ an environmental engineer to conduct</w:t>
      </w:r>
      <w:r>
        <w:t xml:space="preserve"> </w:t>
      </w:r>
      <w:r w:rsidRPr="00E3660B">
        <w:t xml:space="preserve">this work for its Emission Inventory </w:t>
      </w:r>
      <w:r w:rsidRPr="00E3660B">
        <w:t>(“EI”) section, which is responsible for completion of the</w:t>
      </w:r>
      <w:r>
        <w:t xml:space="preserve"> </w:t>
      </w:r>
      <w:r w:rsidRPr="00E3660B">
        <w:t xml:space="preserve">requirements set by the AERR ICR. Rather, the </w:t>
      </w:r>
      <w:r w:rsidR="008D7A1B">
        <w:t>commenter’s</w:t>
      </w:r>
      <w:r w:rsidRPr="00E3660B">
        <w:t xml:space="preserve"> EI section consists of “Environmental</w:t>
      </w:r>
      <w:r>
        <w:t xml:space="preserve"> </w:t>
      </w:r>
      <w:r w:rsidRPr="00E3660B">
        <w:t xml:space="preserve">Programs Specialists,” which is likely to have broader </w:t>
      </w:r>
      <w:r w:rsidRPr="00E3660B" w:rsidR="00EB6587">
        <w:t>requirements,</w:t>
      </w:r>
      <w:r w:rsidRPr="00E3660B">
        <w:t xml:space="preserve"> and a lower mean hourly</w:t>
      </w:r>
      <w:r>
        <w:t xml:space="preserve"> </w:t>
      </w:r>
      <w:r w:rsidRPr="00E3660B">
        <w:t>wage compared to environmental engineers. This can be seen by comparing the mean hourly wages</w:t>
      </w:r>
      <w:r>
        <w:t xml:space="preserve"> </w:t>
      </w:r>
      <w:r w:rsidRPr="00E3660B">
        <w:t>for environmental scientist and environmental engineering employee OCC titles within the BLS</w:t>
      </w:r>
      <w:r>
        <w:t xml:space="preserve"> </w:t>
      </w:r>
      <w:r w:rsidRPr="00E3660B">
        <w:t>files.</w:t>
      </w:r>
    </w:p>
    <w:p w:rsidR="00E3660B" w:rsidRPr="00851AFA" w:rsidP="00E3660B" w14:paraId="7F083167" w14:textId="4F674F35">
      <w:r w:rsidRPr="00851AFA">
        <w:t xml:space="preserve">After reviewing the BLS data cited by EPA, </w:t>
      </w:r>
      <w:r w:rsidR="008D7A1B">
        <w:t>commenter 0327</w:t>
      </w:r>
      <w:r w:rsidRPr="00851AFA">
        <w:t xml:space="preserve"> believes the “Environmental Scientist and Specialist, Including Health” title with a mean hourly rate of $38.54 is the most appropriate assumption to replace the “Environmental Engineering” title with the “State Government” employer from the BLS referenced data.</w:t>
      </w:r>
      <w:r>
        <w:rPr>
          <w:rStyle w:val="FootnoteReference"/>
        </w:rPr>
        <w:footnoteReference w:id="7"/>
      </w:r>
      <w:r w:rsidRPr="00851AFA">
        <w:t xml:space="preserve"> Further, according to Occupational Information Network (O*NET) data, the “Enviro</w:t>
      </w:r>
      <w:r w:rsidRPr="00851AFA">
        <w:t>nmental Programs Specialist” position is under the “Environmental Scientist and Specialist, Including Health” employee title, which supports this suggested alternate approach.</w:t>
      </w:r>
      <w:r>
        <w:rPr>
          <w:rStyle w:val="FootnoteReference"/>
        </w:rPr>
        <w:footnoteReference w:id="8"/>
      </w:r>
    </w:p>
    <w:p w:rsidR="00C12AFC" w:rsidP="00E3660B" w14:paraId="018711C4" w14:textId="543CB8AD">
      <w:r w:rsidRPr="00851AFA">
        <w:rPr>
          <w:b/>
          <w:bCs/>
        </w:rPr>
        <w:t>Response:</w:t>
      </w:r>
      <w:r>
        <w:rPr>
          <w:b/>
          <w:bCs/>
        </w:rPr>
        <w:t xml:space="preserve"> </w:t>
      </w:r>
      <w:r w:rsidR="00EB6587">
        <w:t>The EPA agrees that the mean hourly wage applied for an “</w:t>
      </w:r>
      <w:r w:rsidRPr="00EB6587" w:rsidR="00EB6587">
        <w:t>Environmental Engineer” employee under the “State Government” employer</w:t>
      </w:r>
      <w:r w:rsidR="00EB6587">
        <w:t xml:space="preserve"> included in the first </w:t>
      </w:r>
      <w:r w:rsidR="002730DC">
        <w:t xml:space="preserve">ICR renewal </w:t>
      </w:r>
      <w:r w:rsidR="00EB6587">
        <w:t xml:space="preserve">notice is not consistent with the data now available on the BLS website. </w:t>
      </w:r>
      <w:r w:rsidR="002730DC">
        <w:t>The EPA appreciates the information provided and t</w:t>
      </w:r>
      <w:r w:rsidR="00EB6587">
        <w:t xml:space="preserve">he rates have been corrected in the “Labor information” tab of the </w:t>
      </w:r>
      <w:r w:rsidR="008840A8">
        <w:t>spreadsheet “2025 ICR tables for notice2_v1</w:t>
      </w:r>
      <w:r w:rsidR="008E0D8F">
        <w:t>1</w:t>
      </w:r>
      <w:r w:rsidR="008840A8">
        <w:t xml:space="preserve"> for docket.xlsx”</w:t>
      </w:r>
      <w:r w:rsidR="002730DC">
        <w:t xml:space="preserve"> and in the second notice for the ICR renewal.</w:t>
      </w:r>
    </w:p>
    <w:p w:rsidR="008840A8" w:rsidRPr="00EB6587" w:rsidP="00E3660B" w14:paraId="5ECEB904" w14:textId="54E3620E">
      <w:r>
        <w:t>In addition, the EPA agrees with the suggestion that the OCC Title “</w:t>
      </w:r>
      <w:r w:rsidRPr="00E3660B">
        <w:t>Environmental</w:t>
      </w:r>
      <w:r>
        <w:t xml:space="preserve"> </w:t>
      </w:r>
      <w:r w:rsidRPr="00E3660B">
        <w:t>Scientist and Specialist, Including Health</w:t>
      </w:r>
      <w:r>
        <w:t xml:space="preserve">” is a reasonable and perhaps improved approach for setting the average hourly wage and has adopted that OCC Title as the default approach in the new wage rate calculations described in this document (i.e., using a weighted </w:t>
      </w:r>
      <w:r w:rsidR="002730DC">
        <w:t>S</w:t>
      </w:r>
      <w:r>
        <w:t>tate average).</w:t>
      </w:r>
    </w:p>
    <w:p w:rsidR="00E3660B" w:rsidP="00E3660B" w14:paraId="3407ABB0" w14:textId="26F875B6">
      <w:r>
        <w:rPr>
          <w:b/>
          <w:bCs/>
        </w:rPr>
        <w:t>Comment</w:t>
      </w:r>
      <w:r w:rsidR="002730DC">
        <w:rPr>
          <w:b/>
          <w:bCs/>
        </w:rPr>
        <w:t>er</w:t>
      </w:r>
      <w:r>
        <w:t xml:space="preserve"> </w:t>
      </w:r>
      <w:r w:rsidRPr="00BD4EBE">
        <w:rPr>
          <w:b/>
          <w:bCs/>
        </w:rPr>
        <w:t>(</w:t>
      </w:r>
      <w:r w:rsidRPr="00BD4EBE" w:rsidR="007753E8">
        <w:rPr>
          <w:b/>
          <w:bCs/>
        </w:rPr>
        <w:t>0327</w:t>
      </w:r>
      <w:r w:rsidRPr="00BD4EBE">
        <w:rPr>
          <w:b/>
          <w:bCs/>
        </w:rPr>
        <w:t>)</w:t>
      </w:r>
      <w:r>
        <w:t xml:space="preserve"> </w:t>
      </w:r>
      <w:r w:rsidR="002730DC">
        <w:t>stated</w:t>
      </w:r>
      <w:r>
        <w:t xml:space="preserve"> that the EPA’s use of 2.1 multiplier to calculate the Loaded Hourly Rate for state employees seems overly high for their </w:t>
      </w:r>
      <w:r w:rsidR="002730DC">
        <w:t>S</w:t>
      </w:r>
      <w:r>
        <w:t>tate. In the ICR Spreadsheet, within the sheet titled “Labor Information</w:t>
      </w:r>
      <w:r w:rsidR="00741E0A">
        <w:t>,</w:t>
      </w:r>
      <w:r>
        <w:t>” in addition to the Mean Hourly Wage, there is a column of “Loaded Hourly Rate</w:t>
      </w:r>
      <w:r w:rsidR="00741E0A">
        <w:t>.</w:t>
      </w:r>
      <w:r>
        <w:t>” There is a comment for Loaded Hourly Rate that states “Multiplier of 2.1 from Larry Sorrels as per latest OMB guidance”.</w:t>
      </w:r>
      <w:r>
        <w:rPr>
          <w:rStyle w:val="FootnoteReference"/>
        </w:rPr>
        <w:footnoteReference w:id="9"/>
      </w:r>
      <w:r w:rsidR="00D55845">
        <w:t xml:space="preserve"> </w:t>
      </w:r>
      <w:r>
        <w:t xml:space="preserve">When requested, </w:t>
      </w:r>
      <w:r w:rsidR="00741E0A">
        <w:t>the commenter</w:t>
      </w:r>
      <w:r>
        <w:t xml:space="preserve"> received additional details from EPA staff regarding this 2.1 multiplier, which stated that EPA’s ICRs have been using a 110% rate increase for a number of years, which accounts for varying industry wage rates and the additional business expenses of </w:t>
      </w:r>
      <w:r>
        <w:t>employing a worker beyond their wages and benefits, such as those associated with hiring, training, and equipping their employees.</w:t>
      </w:r>
      <w:r>
        <w:rPr>
          <w:rStyle w:val="FootnoteReference"/>
        </w:rPr>
        <w:footnoteReference w:id="10"/>
      </w:r>
    </w:p>
    <w:p w:rsidR="00E3660B" w:rsidP="00E3660B" w14:paraId="620FF5C9" w14:textId="569BB00F">
      <w:r>
        <w:t xml:space="preserve">While the additional information is helpful, </w:t>
      </w:r>
      <w:r w:rsidR="00741E0A">
        <w:t>Commenter 0327</w:t>
      </w:r>
      <w:r>
        <w:t xml:space="preserve"> requests </w:t>
      </w:r>
      <w:r w:rsidR="00741E0A">
        <w:t xml:space="preserve">that </w:t>
      </w:r>
      <w:r>
        <w:t xml:space="preserve">the calculations for the referenced 110% (or “2.1 multiplier”) be included in EPA’s ICR submittal to OMB. Without knowing the detailed calculations, the 110% amount on its face seems overly high. Also of note is that the 110% increase accounted for hiring, training, and equipping. For </w:t>
      </w:r>
      <w:r w:rsidR="00741E0A">
        <w:t>the commenter</w:t>
      </w:r>
      <w:r>
        <w:t>, hiring costs are included in existing managerial job duties, not as an added cost. Further, if the 110% increase includes “equipping” staff, then EPA may be double counting costs since there is already a capital</w:t>
      </w:r>
      <w:r w:rsidR="007753E8">
        <w:t xml:space="preserve"> </w:t>
      </w:r>
      <w:r>
        <w:t>cost of $1,500 and capital maintenance cost of $1,500 included in Table 8: Annual Total SLT</w:t>
      </w:r>
      <w:r w:rsidR="007753E8">
        <w:t xml:space="preserve"> </w:t>
      </w:r>
      <w:r>
        <w:t>Burden and Cost by Activity.</w:t>
      </w:r>
      <w:r>
        <w:rPr>
          <w:rStyle w:val="FootnoteReference"/>
        </w:rPr>
        <w:footnoteReference w:id="11"/>
      </w:r>
      <w:r>
        <w:t xml:space="preserve"> </w:t>
      </w:r>
      <w:r w:rsidR="00741E0A">
        <w:t>The commenter</w:t>
      </w:r>
      <w:r>
        <w:t xml:space="preserve"> would also note that IT costs for </w:t>
      </w:r>
      <w:r w:rsidR="00741E0A">
        <w:t>S</w:t>
      </w:r>
      <w:r>
        <w:t>tates are likely included</w:t>
      </w:r>
      <w:r w:rsidR="007753E8">
        <w:t xml:space="preserve"> </w:t>
      </w:r>
      <w:r>
        <w:t>in the loaded rate as well as included as a separate cost in multiple tables as “IT Admin Hours”</w:t>
      </w:r>
      <w:r w:rsidR="007753E8">
        <w:t xml:space="preserve"> </w:t>
      </w:r>
      <w:r>
        <w:t>within the ICR Spreadsheet.</w:t>
      </w:r>
      <w:r>
        <w:rPr>
          <w:rStyle w:val="FootnoteReference"/>
        </w:rPr>
        <w:footnoteReference w:id="12"/>
      </w:r>
      <w:r>
        <w:t xml:space="preserve"> Utilizing both loaded government rate costs for </w:t>
      </w:r>
      <w:r w:rsidR="00741E0A">
        <w:t>S</w:t>
      </w:r>
      <w:r>
        <w:t>tate government</w:t>
      </w:r>
      <w:r w:rsidR="007753E8">
        <w:t xml:space="preserve"> </w:t>
      </w:r>
      <w:r>
        <w:t>employees and the abovementioned IT admin costs appears to be double counting.</w:t>
      </w:r>
    </w:p>
    <w:p w:rsidR="00E3660B" w:rsidP="00E3660B" w14:paraId="425B6849" w14:textId="6135AD2A">
      <w:r>
        <w:t>Further, if the discrepancies in costs noted above are noticed in Oklahoma, then it is likely</w:t>
      </w:r>
      <w:r w:rsidR="007753E8">
        <w:t xml:space="preserve"> </w:t>
      </w:r>
      <w:r>
        <w:t xml:space="preserve">that other States have their own variances. As such, </w:t>
      </w:r>
      <w:r w:rsidR="00741E0A">
        <w:t>the commenter</w:t>
      </w:r>
      <w:r>
        <w:t xml:space="preserve"> would recommend that EPA use</w:t>
      </w:r>
      <w:r w:rsidR="007753E8">
        <w:t xml:space="preserve"> </w:t>
      </w:r>
      <w:r>
        <w:t xml:space="preserve">spatially weighted costs based on regional or </w:t>
      </w:r>
      <w:r w:rsidR="00741E0A">
        <w:t>S</w:t>
      </w:r>
      <w:r>
        <w:t>tate-specific operational scenarios and financial</w:t>
      </w:r>
      <w:r w:rsidR="007753E8">
        <w:t xml:space="preserve"> </w:t>
      </w:r>
      <w:r>
        <w:t xml:space="preserve">statistics. Regardless, </w:t>
      </w:r>
      <w:bookmarkStart w:id="1" w:name="_Hlk205816475"/>
      <w:r w:rsidR="00741E0A">
        <w:t>the commenter</w:t>
      </w:r>
      <w:r>
        <w:t xml:space="preserve"> would request that the full calculations behind the 2.1 multiplier and</w:t>
      </w:r>
      <w:r w:rsidR="007753E8">
        <w:t xml:space="preserve"> </w:t>
      </w:r>
      <w:r>
        <w:t>the Loaded Hourly Rate be included with EPA’s ICR submittal to OMB.</w:t>
      </w:r>
      <w:bookmarkEnd w:id="1"/>
    </w:p>
    <w:p w:rsidR="00F876FB" w:rsidP="00F876FB" w14:paraId="7BFBA404" w14:textId="6A6C442E">
      <w:r w:rsidRPr="007852C4">
        <w:rPr>
          <w:b/>
          <w:bCs/>
        </w:rPr>
        <w:t>Response:</w:t>
      </w:r>
      <w:r>
        <w:rPr>
          <w:b/>
          <w:bCs/>
        </w:rPr>
        <w:t xml:space="preserve"> </w:t>
      </w:r>
      <w:r w:rsidRPr="00BE4244" w:rsidR="00BE4244">
        <w:t xml:space="preserve">The BLS wage rates we use do include the basic </w:t>
      </w:r>
      <w:r>
        <w:t>“</w:t>
      </w:r>
      <w:r w:rsidRPr="00BE4244" w:rsidR="00BE4244">
        <w:t>benefits packages</w:t>
      </w:r>
      <w:r w:rsidR="001A1611">
        <w:t>.</w:t>
      </w:r>
      <w:r>
        <w:t>”</w:t>
      </w:r>
      <w:r w:rsidR="001A1611">
        <w:t xml:space="preserve"> </w:t>
      </w:r>
      <w:r w:rsidRPr="00BE4244" w:rsidR="00BE4244">
        <w:t xml:space="preserve">Regarding the 2.1 multiplier, </w:t>
      </w:r>
      <w:bookmarkStart w:id="2" w:name="_Hlk205816624"/>
      <w:r w:rsidRPr="00BE4244" w:rsidR="00BE4244">
        <w:t xml:space="preserve">the 110% added accounts for the additional business cost of employing a worker beyond their wages and benefits, such as </w:t>
      </w:r>
      <w:r w:rsidR="00EB19B8">
        <w:t>Social Security</w:t>
      </w:r>
      <w:r w:rsidRPr="00BE4244" w:rsidR="00BE4244">
        <w:t xml:space="preserve"> and </w:t>
      </w:r>
      <w:r w:rsidR="00EB19B8">
        <w:t>M</w:t>
      </w:r>
      <w:r w:rsidRPr="00BE4244" w:rsidR="00BE4244">
        <w:t>edicare contributions, unemployment insurance, and all the other business expenses associated with hiring, training, and equipping their employees</w:t>
      </w:r>
      <w:r w:rsidR="00BE4244">
        <w:t>.</w:t>
      </w:r>
      <w:r w:rsidR="008840A8">
        <w:t xml:space="preserve"> </w:t>
      </w:r>
      <w:r>
        <w:t xml:space="preserve"> </w:t>
      </w:r>
      <w:bookmarkEnd w:id="2"/>
      <w:r>
        <w:t xml:space="preserve">Detailed calculations are not available. </w:t>
      </w:r>
    </w:p>
    <w:p w:rsidR="00F876FB" w:rsidP="00F876FB" w14:paraId="2B86E9A6" w14:textId="1BD41C79">
      <w:r>
        <w:t xml:space="preserve">The EPA acknowledges the commenter’s remarks that hiring costs are covered elsewhere in their </w:t>
      </w:r>
      <w:r w:rsidR="00741E0A">
        <w:t>S</w:t>
      </w:r>
      <w:r>
        <w:t>tate’s financial accounting and</w:t>
      </w:r>
      <w:r w:rsidR="00741E0A">
        <w:t>,</w:t>
      </w:r>
      <w:r>
        <w:t xml:space="preserve"> therefore</w:t>
      </w:r>
      <w:r w:rsidR="00741E0A">
        <w:t>,</w:t>
      </w:r>
      <w:r>
        <w:t xml:space="preserve"> may be double counted in EPA’s burden estimates. </w:t>
      </w:r>
      <w:r>
        <w:t>The EPA also acknowledges the IT administrative costs that could be double counted in some or all the SLTs loaded rates.</w:t>
      </w:r>
    </w:p>
    <w:p w:rsidR="00C12AFC" w:rsidRPr="00BE4244" w:rsidP="00F876FB" w14:paraId="6C426ECF" w14:textId="23FBECE7">
      <w:r>
        <w:t xml:space="preserve">However, the EPA disagrees that it would be a feasible or reasonable solution to develop </w:t>
      </w:r>
      <w:r w:rsidR="00741E0A">
        <w:t>S</w:t>
      </w:r>
      <w:r>
        <w:t>tate-specific operational scenar</w:t>
      </w:r>
      <w:r w:rsidR="00F876FB">
        <w:t>ios. The first goal</w:t>
      </w:r>
      <w:r w:rsidR="00322A49">
        <w:t xml:space="preserve"> of the ICR</w:t>
      </w:r>
      <w:r w:rsidR="00F876FB">
        <w:t xml:space="preserve"> is to make sure that the costs are covered, and it appears that the Agency’s approach has done so, though perhaps with burden overestimates. The extra complexity that would be added by the Agency needing to establish and maintain </w:t>
      </w:r>
      <w:r w:rsidR="00741E0A">
        <w:t>S</w:t>
      </w:r>
      <w:r w:rsidR="00F876FB">
        <w:t>tate- or region-specific operational scenarios seems unwarranted given the uncertainties already present in the ICR process.</w:t>
      </w:r>
      <w:r w:rsidR="00322A49">
        <w:t xml:space="preserve"> An overestimate is preferred to an underestimate and none of these comments suggest that the EPA has underestimated the burden.</w:t>
      </w:r>
    </w:p>
    <w:p w:rsidR="007753E8" w:rsidP="007753E8" w14:paraId="2CDDDD5E" w14:textId="5F222700">
      <w:r>
        <w:rPr>
          <w:b/>
          <w:bCs/>
        </w:rPr>
        <w:t>Comment</w:t>
      </w:r>
      <w:r w:rsidR="00741E0A">
        <w:rPr>
          <w:b/>
          <w:bCs/>
        </w:rPr>
        <w:t>er</w:t>
      </w:r>
      <w:r w:rsidRPr="007753E8">
        <w:t xml:space="preserve"> </w:t>
      </w:r>
      <w:r w:rsidRPr="00D76CD5">
        <w:rPr>
          <w:b/>
          <w:bCs/>
        </w:rPr>
        <w:t>(0327)</w:t>
      </w:r>
      <w:r w:rsidRPr="007753E8">
        <w:t xml:space="preserve"> </w:t>
      </w:r>
      <w:r w:rsidR="00741E0A">
        <w:t>stated</w:t>
      </w:r>
      <w:r w:rsidRPr="007753E8">
        <w:t xml:space="preserve"> that EPA’s account of the reported number of voluntary non-major entities is inaccurate. In the ICR spreadsheet, within the sheet titled “Facility counts worksheet”, </w:t>
      </w:r>
      <w:r w:rsidR="00741E0A">
        <w:t xml:space="preserve">the </w:t>
      </w:r>
      <w:r w:rsidRPr="007753E8">
        <w:t>EPA estimates</w:t>
      </w:r>
      <w:r>
        <w:t xml:space="preserve"> </w:t>
      </w:r>
      <w:r w:rsidRPr="007753E8">
        <w:t>64,066 non-major facilities voluntarily reported by SLTs for inventory year 2026, which is a</w:t>
      </w:r>
      <w:r>
        <w:t xml:space="preserve"> </w:t>
      </w:r>
      <w:r w:rsidRPr="007753E8">
        <w:t>triennial year.</w:t>
      </w:r>
      <w:r>
        <w:rPr>
          <w:rStyle w:val="FootnoteReference"/>
        </w:rPr>
        <w:footnoteReference w:id="13"/>
      </w:r>
      <w:r w:rsidRPr="007753E8">
        <w:t xml:space="preserve"> </w:t>
      </w:r>
      <w:r w:rsidR="00741E0A">
        <w:t>The commenter</w:t>
      </w:r>
      <w:r w:rsidRPr="007753E8">
        <w:t xml:space="preserve"> believes that a large portion of these facilities would be oil and gas</w:t>
      </w:r>
      <w:r>
        <w:t xml:space="preserve"> </w:t>
      </w:r>
      <w:r w:rsidRPr="007753E8">
        <w:t xml:space="preserve">facilities, for which the AERR requires </w:t>
      </w:r>
      <w:r w:rsidR="00741E0A">
        <w:t>S</w:t>
      </w:r>
      <w:r w:rsidRPr="007753E8">
        <w:t>tates to submit emissions data on triennial years. In that</w:t>
      </w:r>
      <w:r>
        <w:t xml:space="preserve"> </w:t>
      </w:r>
      <w:r w:rsidRPr="007753E8">
        <w:t>case, many of those reports would not be classified as voluntary.</w:t>
      </w:r>
    </w:p>
    <w:p w:rsidR="007151BA" w:rsidP="007753E8" w14:paraId="3B9214CE" w14:textId="70992181">
      <w:r w:rsidRPr="001F1481">
        <w:rPr>
          <w:b/>
          <w:bCs/>
        </w:rPr>
        <w:t>Response:</w:t>
      </w:r>
      <w:r w:rsidR="00322A49">
        <w:rPr>
          <w:b/>
          <w:bCs/>
        </w:rPr>
        <w:t xml:space="preserve"> </w:t>
      </w:r>
      <w:r w:rsidRPr="00322A49" w:rsidR="00322A49">
        <w:t>The AERR requires reporting</w:t>
      </w:r>
      <w:r w:rsidR="00322A49">
        <w:t xml:space="preserve"> as point sources only for major sources – i.e., if the potential to emit exceeds pollutant-specific thresholds associated with major sources and reiterated in Table 1 to Appendix A of 40 CFR Part 51 Subpart A.</w:t>
      </w:r>
      <w:r>
        <w:t xml:space="preserve"> The only exception to the major source definition is for lead (Pb), for which the AERR includes an emissions reporting threshold of 0.5 tons/year of </w:t>
      </w:r>
      <w:r>
        <w:rPr>
          <w:i/>
          <w:iCs/>
        </w:rPr>
        <w:t>actual</w:t>
      </w:r>
      <w:r>
        <w:t xml:space="preserve"> emissions. Thus, the only non-major sources that are required by the AERR are those non-major sources that emit 0.5 tons/year of lead. The EPA methodology for specifying the number of required facilities captures these sources. Thus, the EPA disagrees with the commenter</w:t>
      </w:r>
      <w:r w:rsidR="00741E0A">
        <w:t>’</w:t>
      </w:r>
      <w:r>
        <w:t xml:space="preserve">s assertion that a large portion of the non-major facilities should be included as required by the AERR. </w:t>
      </w:r>
    </w:p>
    <w:p w:rsidR="00C12AFC" w:rsidRPr="007151BA" w:rsidP="007753E8" w14:paraId="176ED237" w14:textId="0819A9A0">
      <w:r>
        <w:t xml:space="preserve">The EPA agrees that </w:t>
      </w:r>
      <w:r w:rsidR="001F1481">
        <w:t>the AERR</w:t>
      </w:r>
      <w:r>
        <w:t xml:space="preserve"> requires emissions from such sources to be reported as nonpoint sources</w:t>
      </w:r>
      <w:r w:rsidR="001F1481">
        <w:t xml:space="preserve">. To facilitate doing so, the EPA </w:t>
      </w:r>
      <w:r>
        <w:t xml:space="preserve">provides an emissions calculation tool for </w:t>
      </w:r>
      <w:r w:rsidR="001F1481">
        <w:t>estimating emissions from the oil and gas sector on a county-wide basis</w:t>
      </w:r>
      <w:r>
        <w:t xml:space="preserve">. The costs of </w:t>
      </w:r>
      <w:r w:rsidR="001F1481">
        <w:t xml:space="preserve">SLTs </w:t>
      </w:r>
      <w:r>
        <w:t xml:space="preserve">using this tool are included in the required costs of the ICR. If SLTs choose to collect and report these sources as point sources, the burden associated with doing so is considered part of the </w:t>
      </w:r>
      <w:r w:rsidR="001F1481">
        <w:t xml:space="preserve">voluntary reporting since the AERR does not require that </w:t>
      </w:r>
      <w:r w:rsidR="00741E0A">
        <w:t>S</w:t>
      </w:r>
      <w:r w:rsidR="001F1481">
        <w:t>tates do so.</w:t>
      </w:r>
    </w:p>
    <w:p w:rsidR="006702EA" w:rsidP="007753E8" w14:paraId="25E414C4" w14:textId="7EA2698D">
      <w:r>
        <w:rPr>
          <w:b/>
          <w:bCs/>
        </w:rPr>
        <w:t>Comment</w:t>
      </w:r>
      <w:r w:rsidR="00741E0A">
        <w:rPr>
          <w:b/>
          <w:bCs/>
        </w:rPr>
        <w:t>er</w:t>
      </w:r>
      <w:r>
        <w:t xml:space="preserve"> </w:t>
      </w:r>
      <w:r w:rsidRPr="00D76CD5">
        <w:rPr>
          <w:b/>
          <w:bCs/>
        </w:rPr>
        <w:t>(0480)</w:t>
      </w:r>
      <w:r>
        <w:t xml:space="preserve"> said that EPA should further refine the c</w:t>
      </w:r>
      <w:r w:rsidR="008840A8">
        <w:t>o</w:t>
      </w:r>
      <w:r>
        <w:t xml:space="preserve">sts to owners/operators in the burden estimate for this ICR. Many </w:t>
      </w:r>
      <w:r w:rsidR="00741E0A">
        <w:t>S</w:t>
      </w:r>
      <w:r>
        <w:t xml:space="preserve">tates, localities, and </w:t>
      </w:r>
      <w:r w:rsidR="00741E0A">
        <w:t>T</w:t>
      </w:r>
      <w:r>
        <w:t xml:space="preserve">ribes (SLTs) collect and compile annual emission information from owners and operators for purposes other than supplying </w:t>
      </w:r>
      <w:r>
        <w:t>information to E</w:t>
      </w:r>
      <w:r w:rsidR="001F1481">
        <w:t>P</w:t>
      </w:r>
      <w:r>
        <w:t>A. For example, they collect and use their own emission inventories in program evaluation, planning, and to run pollution trading and offset programs.</w:t>
      </w:r>
    </w:p>
    <w:p w:rsidR="006702EA" w:rsidP="007753E8" w14:paraId="25AFFDEA" w14:textId="25565A15">
      <w:r>
        <w:t xml:space="preserve">SLTs also require owners and operators to: </w:t>
      </w:r>
    </w:p>
    <w:p w:rsidR="006702EA" w:rsidP="006702EA" w14:paraId="01ABF7F5" w14:textId="5D7AFD5A">
      <w:pPr>
        <w:pStyle w:val="ListParagraph"/>
        <w:numPr>
          <w:ilvl w:val="0"/>
          <w:numId w:val="4"/>
        </w:numPr>
      </w:pPr>
      <w:r>
        <w:t>Submit annual emission certifications, which include annual emissions estimates, so they can assess and collect Title V fees. These fees fund SLT’s Title V permitting programs.</w:t>
      </w:r>
    </w:p>
    <w:p w:rsidR="006702EA" w:rsidP="006702EA" w14:paraId="567EE683" w14:textId="35B36E05">
      <w:pPr>
        <w:pStyle w:val="ListParagraph"/>
        <w:numPr>
          <w:ilvl w:val="0"/>
          <w:numId w:val="4"/>
        </w:numPr>
      </w:pPr>
      <w:r>
        <w:t>Submit reports that contain emission information used to determine compliance with permit requirements.</w:t>
      </w:r>
    </w:p>
    <w:p w:rsidR="006702EA" w:rsidP="006702EA" w14:paraId="27069BAA" w14:textId="15B6A584">
      <w:pPr>
        <w:pStyle w:val="ListParagraph"/>
        <w:numPr>
          <w:ilvl w:val="0"/>
          <w:numId w:val="4"/>
        </w:numPr>
      </w:pPr>
      <w:r>
        <w:t xml:space="preserve">Submit additional emission inventory that EPA does not request through the AERR, like hazardous air pollutant emissions, and emissions from malfunctions and other unplanned events. </w:t>
      </w:r>
    </w:p>
    <w:p w:rsidR="006702EA" w:rsidP="006702EA" w14:paraId="47534A69" w14:textId="3178AC1B">
      <w:r>
        <w:t xml:space="preserve">EPA’s burden estimate for owners and operators does not appear to account for SLTs other obligations that require them to collect and compile emission inventory. EPA should revise the burden estimate for owners/operators, </w:t>
      </w:r>
      <w:r w:rsidR="00741E0A">
        <w:t>so</w:t>
      </w:r>
      <w:r>
        <w:t xml:space="preserve"> it should exclude them from the burden estimate.</w:t>
      </w:r>
    </w:p>
    <w:p w:rsidR="001F1481" w:rsidP="006702EA" w14:paraId="569E94AB" w14:textId="668846D7">
      <w:r>
        <w:rPr>
          <w:b/>
          <w:bCs/>
        </w:rPr>
        <w:t xml:space="preserve">Response: </w:t>
      </w:r>
      <w:r w:rsidR="00964084">
        <w:t xml:space="preserve">The first notice of the ICR covered those aspects of the collection that are required to be covered by an ICR for a regulation. Namely, it covered the costs associated with required and voluntary activities for </w:t>
      </w:r>
      <w:r w:rsidR="00741E0A">
        <w:t>S</w:t>
      </w:r>
      <w:r w:rsidR="00964084">
        <w:t xml:space="preserve">tate, local, and </w:t>
      </w:r>
      <w:r w:rsidR="00741E0A">
        <w:t>T</w:t>
      </w:r>
      <w:r w:rsidR="00964084">
        <w:t>ribal agencies and those activities that these agencies pass along to industry for required elements of the AERR. The</w:t>
      </w:r>
      <w:r>
        <w:t xml:space="preserve"> EPA disagrees that the PRA requires the Agency to include costs of other activities required by the CAA or other regulations in the ICR for the AERR.  </w:t>
      </w:r>
    </w:p>
    <w:p w:rsidR="006702EA" w:rsidRPr="00964084" w:rsidP="006702EA" w14:paraId="221F2FC2" w14:textId="7D6F6491">
      <w:r>
        <w:t>In the case of emissions reporting collection and reporting of HAP emissions, the ICR does include the associated burden as voluntary for the SLTs. However, the only required activities that SLTs pass along to owners/operators (i.e., the reporting of facility data such as name, address, coordinates, unit attributes, emissions processes, and emissions controls attributes and emissions of criteria pollutants and precursors) must be included in the overall burden estimate</w:t>
      </w:r>
      <w:r w:rsidR="007C0CFF">
        <w:t xml:space="preserve"> in accordance with direction from OMB</w:t>
      </w:r>
      <w:r>
        <w:t>.</w:t>
      </w:r>
    </w:p>
    <w:p w:rsidR="00795851" w:rsidP="00795851" w14:paraId="6B5100AD" w14:textId="571C9491">
      <w:pPr>
        <w:pStyle w:val="Heading2"/>
      </w:pPr>
      <w:r>
        <w:t>Comments asking for more information on ICR burden estimates</w:t>
      </w:r>
    </w:p>
    <w:p w:rsidR="00795851" w:rsidP="00795851" w14:paraId="06536F7D" w14:textId="1218EBA0">
      <w:r w:rsidRPr="00795851">
        <w:rPr>
          <w:b/>
          <w:bCs/>
        </w:rPr>
        <w:t>Comment</w:t>
      </w:r>
      <w:r w:rsidR="00741E0A">
        <w:rPr>
          <w:b/>
          <w:bCs/>
        </w:rPr>
        <w:t>er</w:t>
      </w:r>
      <w:r>
        <w:t xml:space="preserve"> </w:t>
      </w:r>
      <w:r w:rsidRPr="00D76CD5">
        <w:rPr>
          <w:b/>
          <w:bCs/>
        </w:rPr>
        <w:t>(032</w:t>
      </w:r>
      <w:r w:rsidRPr="00D76CD5" w:rsidR="00F81FA2">
        <w:rPr>
          <w:b/>
          <w:bCs/>
        </w:rPr>
        <w:t>5</w:t>
      </w:r>
      <w:r w:rsidRPr="00D76CD5">
        <w:rPr>
          <w:b/>
          <w:bCs/>
        </w:rPr>
        <w:t>)</w:t>
      </w:r>
      <w:r>
        <w:t xml:space="preserve"> </w:t>
      </w:r>
      <w:r w:rsidR="00741E0A">
        <w:t>stated</w:t>
      </w:r>
      <w:r>
        <w:t xml:space="preserve"> that the </w:t>
      </w:r>
      <w:r w:rsidRPr="00795851">
        <w:t xml:space="preserve">EPA should provide more information to assist </w:t>
      </w:r>
      <w:r w:rsidR="00741E0A">
        <w:t>S</w:t>
      </w:r>
      <w:r w:rsidRPr="00795851">
        <w:t>tates in evaluating the accuracy of EPA’s</w:t>
      </w:r>
      <w:r>
        <w:t xml:space="preserve"> </w:t>
      </w:r>
      <w:r w:rsidRPr="00795851">
        <w:t>burden estimate for AERR data collection.</w:t>
      </w:r>
      <w:r>
        <w:t xml:space="preserve"> They </w:t>
      </w:r>
      <w:r w:rsidRPr="00795851">
        <w:t>reviewed information provided in previous EPA AERR ICRs. EPA’s average estimated</w:t>
      </w:r>
      <w:r>
        <w:t xml:space="preserve"> </w:t>
      </w:r>
      <w:r w:rsidRPr="00795851">
        <w:t>burden underrepresents Texas’ burden due to its high population of stationary sources,</w:t>
      </w:r>
      <w:r>
        <w:t xml:space="preserve"> </w:t>
      </w:r>
      <w:r w:rsidRPr="00795851">
        <w:t xml:space="preserve">extensive transportation network, and large and widespread industrial base in the </w:t>
      </w:r>
      <w:r w:rsidR="0005446D">
        <w:t>S</w:t>
      </w:r>
      <w:r w:rsidRPr="00795851">
        <w:t>tate.</w:t>
      </w:r>
      <w:r>
        <w:t xml:space="preserve"> </w:t>
      </w:r>
      <w:r w:rsidRPr="00795851">
        <w:t xml:space="preserve">Further, for </w:t>
      </w:r>
      <w:r w:rsidR="0005446D">
        <w:t>S</w:t>
      </w:r>
      <w:r w:rsidRPr="00795851">
        <w:t>tates like Texas that have a high-cost burden, EPA’s average cost burden</w:t>
      </w:r>
      <w:r>
        <w:t xml:space="preserve"> </w:t>
      </w:r>
      <w:r w:rsidRPr="00795851">
        <w:t xml:space="preserve">estimates are not </w:t>
      </w:r>
      <w:r w:rsidRPr="00795851">
        <w:t xml:space="preserve">useful or representative. </w:t>
      </w:r>
      <w:r w:rsidR="0005446D">
        <w:t xml:space="preserve">The commenter stated that </w:t>
      </w:r>
      <w:r w:rsidRPr="00795851">
        <w:t>EPA’s estimates of the anticipated burden should</w:t>
      </w:r>
      <w:r>
        <w:t xml:space="preserve"> </w:t>
      </w:r>
      <w:r w:rsidRPr="00795851">
        <w:t>be updated to provide cost percentiles (such as quartile of estimated cost impacts) to allow</w:t>
      </w:r>
      <w:r>
        <w:t xml:space="preserve"> </w:t>
      </w:r>
      <w:r w:rsidRPr="00795851">
        <w:t xml:space="preserve">for a more accurate evaluation of the burden on </w:t>
      </w:r>
      <w:r w:rsidR="0005446D">
        <w:t>S</w:t>
      </w:r>
      <w:r w:rsidRPr="00795851">
        <w:t>tates with a range of cost factors, such as a</w:t>
      </w:r>
      <w:r>
        <w:t xml:space="preserve"> </w:t>
      </w:r>
      <w:r w:rsidRPr="00795851">
        <w:t>large population of major stationary sources, nonattainment areas, or other factors.</w:t>
      </w:r>
      <w:r>
        <w:t xml:space="preserve"> </w:t>
      </w:r>
      <w:r w:rsidRPr="00795851">
        <w:t>If EPA intends to re-propose the AERR to require centralized collection and development of</w:t>
      </w:r>
      <w:r>
        <w:t xml:space="preserve"> </w:t>
      </w:r>
      <w:r w:rsidRPr="00795851">
        <w:t xml:space="preserve">AERR data directly by the </w:t>
      </w:r>
      <w:r w:rsidR="0005446D">
        <w:t>F</w:t>
      </w:r>
      <w:r w:rsidRPr="00795851">
        <w:t xml:space="preserve">ederal </w:t>
      </w:r>
      <w:r w:rsidR="0005446D">
        <w:t>G</w:t>
      </w:r>
      <w:r w:rsidRPr="00795851">
        <w:t xml:space="preserve">overnment, </w:t>
      </w:r>
      <w:r w:rsidR="0005446D">
        <w:t>S</w:t>
      </w:r>
      <w:r w:rsidRPr="00795851">
        <w:t>tate burden estimates will increase for Texas,</w:t>
      </w:r>
      <w:r>
        <w:t xml:space="preserve"> </w:t>
      </w:r>
      <w:r w:rsidRPr="00795851">
        <w:t xml:space="preserve">since Texas has existing </w:t>
      </w:r>
      <w:r w:rsidR="0005446D">
        <w:t>S</w:t>
      </w:r>
      <w:r w:rsidRPr="00795851">
        <w:t>tate regulations that require collection of the same emissions data.</w:t>
      </w:r>
      <w:r>
        <w:t xml:space="preserve"> </w:t>
      </w:r>
      <w:r w:rsidR="0005446D">
        <w:t xml:space="preserve">The commenter stated that </w:t>
      </w:r>
      <w:r w:rsidRPr="00795851">
        <w:t xml:space="preserve">EPA should allow </w:t>
      </w:r>
      <w:r w:rsidR="0005446D">
        <w:t>S</w:t>
      </w:r>
      <w:r w:rsidRPr="00795851">
        <w:t>tates to provide burden estimates in the ICR for each data collection</w:t>
      </w:r>
      <w:r>
        <w:t xml:space="preserve"> </w:t>
      </w:r>
      <w:r w:rsidRPr="00795851">
        <w:t>scenario that EPA intends to propose.</w:t>
      </w:r>
    </w:p>
    <w:p w:rsidR="005F4566" w:rsidP="00795851" w14:paraId="4C79C113" w14:textId="5DCA19E9">
      <w:r w:rsidRPr="007C0CFF">
        <w:rPr>
          <w:b/>
          <w:bCs/>
        </w:rPr>
        <w:t>Response:</w:t>
      </w:r>
      <w:r w:rsidR="007C0CFF">
        <w:rPr>
          <w:b/>
          <w:bCs/>
        </w:rPr>
        <w:t xml:space="preserve"> </w:t>
      </w:r>
      <w:r w:rsidRPr="007C0CFF" w:rsidR="007C0CFF">
        <w:t xml:space="preserve">The </w:t>
      </w:r>
      <w:r w:rsidR="007C0CFF">
        <w:t xml:space="preserve">EPA disagrees with the requested approach of providing burden estimates that </w:t>
      </w:r>
      <w:r w:rsidR="0005446D">
        <w:t>S</w:t>
      </w:r>
      <w:r w:rsidR="007C0CFF">
        <w:t xml:space="preserve">tates could attribute to their own situations. Doing so would go far beyond the expected scope of ICRs under the PRA. However, </w:t>
      </w:r>
      <w:r w:rsidR="000F492E">
        <w:t xml:space="preserve">the previously described approach for weighted average labor rates allows something more concrete for </w:t>
      </w:r>
      <w:r w:rsidR="0005446D">
        <w:t>S</w:t>
      </w:r>
      <w:r w:rsidR="000F492E">
        <w:t xml:space="preserve">tates to provide comment. The new approach allows </w:t>
      </w:r>
      <w:r w:rsidR="0005446D">
        <w:t>S</w:t>
      </w:r>
      <w:r w:rsidR="000F492E">
        <w:t xml:space="preserve">tates to comment on the </w:t>
      </w:r>
      <w:r w:rsidR="0005446D">
        <w:t>S</w:t>
      </w:r>
      <w:r w:rsidR="000F492E">
        <w:t xml:space="preserve">tate-specific labor rates and the </w:t>
      </w:r>
      <w:r w:rsidR="0005446D">
        <w:t>S</w:t>
      </w:r>
      <w:r w:rsidR="000F492E">
        <w:t xml:space="preserve">tates’ degree of contribution, through the weighing calculations, to the weighted average labor rates. </w:t>
      </w:r>
    </w:p>
    <w:p w:rsidR="00FC1AE3" w:rsidP="00795851" w14:paraId="61E3BD3D" w14:textId="3B1C0F85">
      <w:pPr>
        <w:pStyle w:val="Heading2"/>
      </w:pPr>
      <w:r>
        <w:t>Other comments on the ICR</w:t>
      </w:r>
    </w:p>
    <w:p w:rsidR="00795851" w:rsidP="00795851" w14:paraId="4A521D22" w14:textId="58E3C53D">
      <w:r>
        <w:rPr>
          <w:b/>
          <w:bCs/>
        </w:rPr>
        <w:t>Comment</w:t>
      </w:r>
      <w:r w:rsidR="0005446D">
        <w:rPr>
          <w:b/>
          <w:bCs/>
        </w:rPr>
        <w:t>er</w:t>
      </w:r>
      <w:r>
        <w:t xml:space="preserve"> </w:t>
      </w:r>
      <w:r w:rsidRPr="00D76CD5">
        <w:rPr>
          <w:b/>
          <w:bCs/>
        </w:rPr>
        <w:t>(0325)</w:t>
      </w:r>
      <w:r>
        <w:t xml:space="preserve"> stated that </w:t>
      </w:r>
      <w:r w:rsidRPr="00795851">
        <w:t xml:space="preserve">EPA’s AERR ICR should acknowledge that </w:t>
      </w:r>
      <w:r w:rsidR="0005446D">
        <w:t>F</w:t>
      </w:r>
      <w:r w:rsidRPr="00795851">
        <w:t>ederal-</w:t>
      </w:r>
      <w:r w:rsidR="0005446D">
        <w:t>S</w:t>
      </w:r>
      <w:r w:rsidRPr="00795851">
        <w:t>tate partnership is key to collecting</w:t>
      </w:r>
      <w:r>
        <w:t xml:space="preserve"> </w:t>
      </w:r>
      <w:r w:rsidRPr="00795851">
        <w:t xml:space="preserve">high quality air emissions data. EPA should not design the ICR to presume </w:t>
      </w:r>
      <w:r w:rsidR="0005446D">
        <w:t>F</w:t>
      </w:r>
      <w:r w:rsidRPr="00795851">
        <w:t>ederal systems</w:t>
      </w:r>
      <w:r>
        <w:t xml:space="preserve"> </w:t>
      </w:r>
      <w:r w:rsidRPr="00795851">
        <w:t xml:space="preserve">will replace existing </w:t>
      </w:r>
      <w:r w:rsidR="0005446D">
        <w:t>S</w:t>
      </w:r>
      <w:r w:rsidRPr="00795851">
        <w:t>tate data collection systems.</w:t>
      </w:r>
      <w:r>
        <w:t xml:space="preserve"> </w:t>
      </w:r>
      <w:r w:rsidRPr="00795851">
        <w:t>EPA should not draft the ICR to assume that centralized collection and development of AERR</w:t>
      </w:r>
      <w:r>
        <w:t xml:space="preserve"> </w:t>
      </w:r>
      <w:r w:rsidRPr="00795851">
        <w:t xml:space="preserve">data directly by the </w:t>
      </w:r>
      <w:r w:rsidR="0005446D">
        <w:t>F</w:t>
      </w:r>
      <w:r w:rsidRPr="00795851">
        <w:t xml:space="preserve">ederal </w:t>
      </w:r>
      <w:r w:rsidR="0005446D">
        <w:t>G</w:t>
      </w:r>
      <w:r w:rsidRPr="00795851">
        <w:t xml:space="preserve">overnment is the most cost-effective approach. For Texas, </w:t>
      </w:r>
      <w:r w:rsidR="0005446D">
        <w:t>S</w:t>
      </w:r>
      <w:r w:rsidRPr="00795851">
        <w:t>tate</w:t>
      </w:r>
      <w:r>
        <w:t xml:space="preserve"> </w:t>
      </w:r>
      <w:r w:rsidRPr="00795851">
        <w:t>collection of AERR data remains the most efficient collection method due to the need to use</w:t>
      </w:r>
      <w:r>
        <w:t xml:space="preserve"> </w:t>
      </w:r>
      <w:r w:rsidRPr="00795851">
        <w:t xml:space="preserve">the data to fulfill multiple </w:t>
      </w:r>
      <w:r w:rsidR="0005446D">
        <w:t>S</w:t>
      </w:r>
      <w:r w:rsidRPr="00795851">
        <w:t xml:space="preserve">tate and </w:t>
      </w:r>
      <w:r w:rsidR="0005446D">
        <w:t>F</w:t>
      </w:r>
      <w:r w:rsidRPr="00795851">
        <w:t>ederal program obligations as well as to provide</w:t>
      </w:r>
      <w:r>
        <w:t xml:space="preserve"> </w:t>
      </w:r>
      <w:r w:rsidRPr="00795851">
        <w:t>information to the government, the public, industry, and other stakeholders. State collection</w:t>
      </w:r>
      <w:r>
        <w:t xml:space="preserve"> </w:t>
      </w:r>
      <w:r w:rsidRPr="00795851">
        <w:t>of AERR data allows for a system that is more responsive to the unique needs of data</w:t>
      </w:r>
      <w:r>
        <w:t xml:space="preserve"> </w:t>
      </w:r>
      <w:r w:rsidRPr="00795851">
        <w:t xml:space="preserve">recipients and reporters in the </w:t>
      </w:r>
      <w:r w:rsidR="0005446D">
        <w:t>S</w:t>
      </w:r>
      <w:r w:rsidRPr="00795851">
        <w:t>tate.</w:t>
      </w:r>
    </w:p>
    <w:p w:rsidR="006769DC" w:rsidP="006769DC" w14:paraId="30E7643F" w14:textId="08599643">
      <w:r w:rsidRPr="004D607A">
        <w:rPr>
          <w:b/>
          <w:bCs/>
        </w:rPr>
        <w:t>Response:</w:t>
      </w:r>
      <w:r w:rsidRPr="004D607A" w:rsidR="004D607A">
        <w:rPr>
          <w:b/>
          <w:bCs/>
        </w:rPr>
        <w:t xml:space="preserve"> </w:t>
      </w:r>
      <w:r w:rsidRPr="004D607A" w:rsidR="004D607A">
        <w:t>The A</w:t>
      </w:r>
      <w:r w:rsidR="004D607A">
        <w:t xml:space="preserve">ERR requires </w:t>
      </w:r>
      <w:r w:rsidR="0005446D">
        <w:t>S</w:t>
      </w:r>
      <w:r w:rsidR="004D607A">
        <w:t xml:space="preserve">tates to report emissions to EPA and that is reflected in the AERR ICR’s quantification of burden. Even under the scenario by which a </w:t>
      </w:r>
      <w:r w:rsidR="0005446D">
        <w:t>S</w:t>
      </w:r>
      <w:r w:rsidR="004D607A">
        <w:t xml:space="preserve">tate chooses to use the EPA-provided Combined Air Emissions Reporting System (CAERS) for their data collection, the collection is still being done by the </w:t>
      </w:r>
      <w:r w:rsidR="0005446D">
        <w:t>S</w:t>
      </w:r>
      <w:r w:rsidR="004D607A">
        <w:t xml:space="preserve">tate. The collection by a </w:t>
      </w:r>
      <w:r w:rsidR="0005446D">
        <w:t>S</w:t>
      </w:r>
      <w:r w:rsidR="004D607A">
        <w:t xml:space="preserve">tate using CAERS relies on the </w:t>
      </w:r>
      <w:r w:rsidR="0005446D">
        <w:t>S</w:t>
      </w:r>
      <w:r w:rsidR="004D607A">
        <w:t xml:space="preserve">tate’s reporting requirements, the </w:t>
      </w:r>
      <w:r w:rsidR="0005446D">
        <w:t>S</w:t>
      </w:r>
      <w:r w:rsidR="004D607A">
        <w:t xml:space="preserve">tate’s outreach to their owners/operators for reporting, the </w:t>
      </w:r>
      <w:r w:rsidR="0005446D">
        <w:t>S</w:t>
      </w:r>
      <w:r w:rsidR="004D607A">
        <w:t xml:space="preserve">tate’s quality assurance, and includes the </w:t>
      </w:r>
      <w:r w:rsidR="0005446D">
        <w:t>S</w:t>
      </w:r>
      <w:r w:rsidR="004D607A">
        <w:t xml:space="preserve">tate submitting data via CAERS to the Emissions Inventory System (EIS) as do all other </w:t>
      </w:r>
      <w:r w:rsidR="0005446D">
        <w:t>S</w:t>
      </w:r>
      <w:r w:rsidR="004D607A">
        <w:t>tates.</w:t>
      </w:r>
    </w:p>
    <w:p w:rsidR="004D607A" w:rsidRPr="004D607A" w:rsidP="006769DC" w14:paraId="4CD30AFB" w14:textId="2899BCF2">
      <w:r w:rsidRPr="004D607A">
        <w:t xml:space="preserve">The </w:t>
      </w:r>
      <w:r>
        <w:t xml:space="preserve">AERR ICR appropriately reflects the reduced costs for </w:t>
      </w:r>
      <w:r w:rsidR="0005446D">
        <w:t>S</w:t>
      </w:r>
      <w:r>
        <w:t>tates that use CAERS because they do not need to maintain their own electronic emissions collection system and because CAERS ensures that the data provided by owners/operators will meet the quality assurance requirements of the EIS</w:t>
      </w:r>
      <w:r w:rsidR="007A45CE">
        <w:t>.</w:t>
      </w:r>
    </w:p>
    <w:p w:rsidR="00711768" w:rsidP="00AD0DCF" w14:paraId="61387C42" w14:textId="5ABE2E8F">
      <w:pPr>
        <w:pStyle w:val="Heading1"/>
      </w:pPr>
      <w:r>
        <w:t>Comments on other regulations:</w:t>
      </w:r>
    </w:p>
    <w:p w:rsidR="004D060A" w:rsidP="00CC79BA" w14:paraId="77C2153F" w14:textId="68CB6938">
      <w:r>
        <w:t xml:space="preserve">Many </w:t>
      </w:r>
      <w:r>
        <w:t xml:space="preserve">commenters (0320, 0321, 0323, 0324, 0329, 0330, </w:t>
      </w:r>
      <w:r w:rsidRPr="00C203F0" w:rsidR="00C203F0">
        <w:t>0331, 0332, 0334, 0336, 0337, 0339, 0340, 0341, 0342, 0343, 0345, 0346, 0347, 0348, 0349, 0350, 0352, 0354, 0355, 0357, 0358, 0359, 0361, 0363, 0364, 0365, 0366</w:t>
      </w:r>
      <w:r w:rsidR="00C203F0">
        <w:t>, 0367, 0368, 0369, 0371, 0372, 0373, 0374, 0375, 0377, 0378, 0379, 0380, 0381, 0382, 0385, 0387, 0389, 0390, 0391, 0392, 0393, 0394, 0396, 0398, 0399, 0400, 0403, 0404, 0405, 0406, 0407, 0408, 0409, 0411, 0412, 0413, 0414, 0415, 0417, 0419, 0420, 0421, 0422, 0423, 0426, 0427, 0430, 0431, 0433, 0434, 0435, 0436, 0437, 0438, 0439, 0440, 0441, 0442, 0443, 0445, 0446, 0451, 0452, 0453, 0455, 0456, 0457, 0458, 0461, 0462, 0463, 0466, 0468, 0469, 0470, 0471, 0472, 0473, 0474, 0474, 0476, 0477, 0479)</w:t>
      </w:r>
      <w:r>
        <w:t xml:space="preserve"> described their opinion about the importance of reporting emissions of greenhouse gases and limiting emissions of soot and mercury from coal-fired power plants. </w:t>
      </w:r>
      <w:r w:rsidR="00015B37">
        <w:t>Additionally comment 0324 was a mass comment campaign with 49 commenters included in the docket.</w:t>
      </w:r>
    </w:p>
    <w:p w:rsidR="00C203F0" w:rsidRPr="00C203F0" w:rsidP="00CC79BA" w14:paraId="5C3B30CE" w14:textId="7A044054">
      <w:r>
        <w:rPr>
          <w:b/>
          <w:bCs/>
        </w:rPr>
        <w:t xml:space="preserve">Response: </w:t>
      </w:r>
      <w:r>
        <w:t>These comments are outside of the scope of the ICR first notice, which does not cover the topics of reporting of greenhouse gas emissions or limits on pollutants</w:t>
      </w:r>
      <w:r w:rsidR="00015B37">
        <w:t xml:space="preserve"> from facilities</w:t>
      </w:r>
      <w:r>
        <w:t>.</w:t>
      </w:r>
    </w:p>
    <w:p w:rsidR="008E46FC" w:rsidP="00C203F0" w14:paraId="73F93C00" w14:textId="3B9ADF48">
      <w:pPr>
        <w:pStyle w:val="Heading1"/>
      </w:pPr>
      <w:r>
        <w:t>Other comments:</w:t>
      </w:r>
    </w:p>
    <w:p w:rsidR="008E46FC" w:rsidP="008E46FC" w14:paraId="19746363" w14:textId="23FF04EF">
      <w:r w:rsidRPr="00CC79BA">
        <w:rPr>
          <w:b/>
          <w:bCs/>
        </w:rPr>
        <w:t>Comment</w:t>
      </w:r>
      <w:r w:rsidR="0005446D">
        <w:rPr>
          <w:b/>
          <w:bCs/>
        </w:rPr>
        <w:t>er</w:t>
      </w:r>
      <w:r w:rsidRPr="00CC79BA">
        <w:rPr>
          <w:b/>
          <w:bCs/>
        </w:rPr>
        <w:t xml:space="preserve"> </w:t>
      </w:r>
      <w:r w:rsidRPr="00CC79BA">
        <w:rPr>
          <w:b/>
          <w:bCs/>
        </w:rPr>
        <w:t>0359</w:t>
      </w:r>
      <w:r>
        <w:t xml:space="preserve"> </w:t>
      </w:r>
      <w:r w:rsidR="0005446D">
        <w:t xml:space="preserve">stated that they </w:t>
      </w:r>
      <w:r>
        <w:t>found that behavioral energy modeling frameworks can complement emissions reporting standards.</w:t>
      </w:r>
    </w:p>
    <w:p w:rsidR="00672F40" w:rsidRPr="004D607A" w:rsidP="008E46FC" w14:paraId="5B9F740D" w14:textId="1D9E29D4">
      <w:pPr>
        <w:rPr>
          <w:b/>
          <w:bCs/>
        </w:rPr>
      </w:pPr>
      <w:r w:rsidRPr="004D607A">
        <w:rPr>
          <w:b/>
          <w:bCs/>
        </w:rPr>
        <w:t xml:space="preserve">Response: </w:t>
      </w:r>
      <w:r w:rsidRPr="004D607A" w:rsidR="004D607A">
        <w:t>The AERR ICR is not an appropriate mechanism to incorporate behavioral energy modeling frameworks.</w:t>
      </w:r>
    </w:p>
    <w:p w:rsidR="00545A50" w:rsidRPr="004D607A" w:rsidP="00545A50" w14:paraId="1AC0F62D" w14:textId="35A96632">
      <w:r w:rsidRPr="004D607A">
        <w:rPr>
          <w:b/>
          <w:bCs/>
        </w:rPr>
        <w:t>Comment</w:t>
      </w:r>
      <w:r w:rsidR="0005446D">
        <w:rPr>
          <w:b/>
          <w:bCs/>
        </w:rPr>
        <w:t>er</w:t>
      </w:r>
      <w:r w:rsidRPr="004D607A">
        <w:rPr>
          <w:b/>
          <w:bCs/>
        </w:rPr>
        <w:t xml:space="preserve"> </w:t>
      </w:r>
      <w:r w:rsidRPr="004D607A">
        <w:rPr>
          <w:b/>
          <w:bCs/>
        </w:rPr>
        <w:t>0376</w:t>
      </w:r>
      <w:r w:rsidRPr="004D607A">
        <w:t xml:space="preserve"> </w:t>
      </w:r>
      <w:r w:rsidR="0005446D">
        <w:t xml:space="preserve">asked </w:t>
      </w:r>
      <w:r w:rsidRPr="004D607A">
        <w:t>why on Earth are we trying to destroy the place where we live? While some are trying to preserve our home, others are happy to sell it out for pennies in their pockets. Isn't that something criminal? They are taking my home from me both without my permission and certainly no compensation. In some places, that's called stealing. Here in the U.S., only public servants can get away with that.</w:t>
      </w:r>
    </w:p>
    <w:p w:rsidR="00672F40" w:rsidRPr="00672F40" w:rsidP="00545A50" w14:paraId="74B0F009" w14:textId="6A0E6A56">
      <w:pPr>
        <w:rPr>
          <w:b/>
          <w:bCs/>
        </w:rPr>
      </w:pPr>
      <w:r w:rsidRPr="004D607A">
        <w:rPr>
          <w:b/>
          <w:bCs/>
        </w:rPr>
        <w:t>Response:</w:t>
      </w:r>
      <w:r w:rsidRPr="004D607A" w:rsidR="004D607A">
        <w:rPr>
          <w:b/>
          <w:bCs/>
        </w:rPr>
        <w:t xml:space="preserve"> </w:t>
      </w:r>
      <w:r w:rsidRPr="004D607A" w:rsidR="004D607A">
        <w:t xml:space="preserve">The AERR ICR supports collection of data that the EPA and </w:t>
      </w:r>
      <w:r w:rsidR="000B279E">
        <w:t>S</w:t>
      </w:r>
      <w:r w:rsidRPr="004D607A" w:rsidR="004D607A">
        <w:t>tates use to determine emissions</w:t>
      </w:r>
      <w:r w:rsidR="004D607A">
        <w:t xml:space="preserve"> levels from all sources. These data help the EPA maintain the places we live through implementation of the National Ambient Air Quality Standards.</w:t>
      </w:r>
    </w:p>
    <w:p w:rsidR="00115509" w:rsidP="00115509" w14:paraId="1F54CAFB" w14:textId="41C1D231">
      <w:r w:rsidRPr="00CC79BA">
        <w:rPr>
          <w:b/>
          <w:bCs/>
        </w:rPr>
        <w:t>Comment</w:t>
      </w:r>
      <w:r w:rsidR="000B279E">
        <w:rPr>
          <w:b/>
          <w:bCs/>
        </w:rPr>
        <w:t>er</w:t>
      </w:r>
      <w:r w:rsidRPr="00CC79BA">
        <w:rPr>
          <w:b/>
          <w:bCs/>
        </w:rPr>
        <w:t xml:space="preserve"> </w:t>
      </w:r>
      <w:r w:rsidRPr="00CC79BA">
        <w:rPr>
          <w:b/>
          <w:bCs/>
        </w:rPr>
        <w:t>0401</w:t>
      </w:r>
      <w:r>
        <w:t xml:space="preserve"> </w:t>
      </w:r>
      <w:r w:rsidR="000B279E">
        <w:t>stated that w</w:t>
      </w:r>
      <w:r>
        <w:t>e all need clean air and water. Do NOT do this!</w:t>
      </w:r>
    </w:p>
    <w:p w:rsidR="00AF4146" w:rsidRPr="004D607A" w:rsidP="00115509" w14:paraId="50883731" w14:textId="7CA700B8">
      <w:r w:rsidRPr="004D607A">
        <w:rPr>
          <w:b/>
          <w:bCs/>
        </w:rPr>
        <w:t xml:space="preserve">Response: </w:t>
      </w:r>
      <w:r w:rsidRPr="004D607A" w:rsidR="004D607A">
        <w:t>There is nothing about the AERR ICR that will prevent clean air or clean water.</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611" w14:paraId="2354E9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70274223"/>
      <w:docPartObj>
        <w:docPartGallery w:val="Page Numbers (Bottom of Page)"/>
        <w:docPartUnique/>
      </w:docPartObj>
    </w:sdtPr>
    <w:sdtEndPr>
      <w:rPr>
        <w:noProof/>
      </w:rPr>
    </w:sdtEndPr>
    <w:sdtContent>
      <w:p w:rsidR="001A1611" w14:paraId="51D1CF00" w14:textId="3CFA7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1611" w14:paraId="743C8D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611" w14:paraId="14746E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3660B" w:rsidP="00E3660B" w14:paraId="4C9495E6" w14:textId="77777777">
      <w:pPr>
        <w:spacing w:after="0" w:line="240" w:lineRule="auto"/>
      </w:pPr>
      <w:r>
        <w:separator/>
      </w:r>
    </w:p>
  </w:footnote>
  <w:footnote w:type="continuationSeparator" w:id="1">
    <w:p w:rsidR="00E3660B" w:rsidP="00E3660B" w14:paraId="7CCEB773" w14:textId="77777777">
      <w:pPr>
        <w:spacing w:after="0" w:line="240" w:lineRule="auto"/>
      </w:pPr>
      <w:r>
        <w:continuationSeparator/>
      </w:r>
    </w:p>
  </w:footnote>
  <w:footnote w:type="continuationNotice" w:id="2">
    <w:p w:rsidR="00F612EA" w14:paraId="155B9850" w14:textId="77777777">
      <w:pPr>
        <w:spacing w:after="0" w:line="240" w:lineRule="auto"/>
      </w:pPr>
    </w:p>
  </w:footnote>
  <w:footnote w:id="3">
    <w:p w:rsidR="007753E8" w:rsidP="007753E8" w14:paraId="4B19B31D" w14:textId="77777777">
      <w:pPr>
        <w:pStyle w:val="FootnoteText"/>
      </w:pPr>
      <w:r>
        <w:rPr>
          <w:rStyle w:val="FootnoteReference"/>
        </w:rPr>
        <w:footnoteRef/>
      </w:r>
      <w:r>
        <w:t xml:space="preserve"> </w:t>
      </w:r>
      <w:r w:rsidRPr="00E3660B">
        <w:t>EPA Docket ID No. EPA-HQ-OAR-2004-0489-0317.</w:t>
      </w:r>
    </w:p>
  </w:footnote>
  <w:footnote w:id="4">
    <w:p w:rsidR="007753E8" w:rsidP="007753E8" w14:paraId="33F9382E" w14:textId="77777777">
      <w:pPr>
        <w:pStyle w:val="FootnoteText"/>
      </w:pPr>
      <w:r>
        <w:rPr>
          <w:rStyle w:val="FootnoteReference"/>
        </w:rPr>
        <w:footnoteRef/>
      </w:r>
      <w:r>
        <w:t xml:space="preserve"> </w:t>
      </w:r>
      <w:r w:rsidRPr="00E3660B">
        <w:t>ICR Final Summary Tables, Table 8, EPA Docket ID No. EPA-HQ-OAR-2004-0489-0317.</w:t>
      </w:r>
    </w:p>
  </w:footnote>
  <w:footnote w:id="5">
    <w:p w:rsidR="00E3660B" w:rsidP="00D55845" w14:paraId="59E9FEF4" w14:textId="1F93E07E">
      <w:pPr>
        <w:pStyle w:val="FootnoteText"/>
        <w:ind w:left="90" w:hanging="90"/>
      </w:pPr>
      <w:r>
        <w:rPr>
          <w:rStyle w:val="FootnoteReference"/>
        </w:rPr>
        <w:footnoteRef/>
      </w:r>
      <w:r>
        <w:t xml:space="preserve"> </w:t>
      </w:r>
      <w:r w:rsidRPr="00E3660B">
        <w:t>Labor Information, Table 1, EPA Docket ID No. EPA-HQ-OAR-2004-0489-0317.</w:t>
      </w:r>
    </w:p>
  </w:footnote>
  <w:footnote w:id="6">
    <w:p w:rsidR="00E3660B" w:rsidP="00D55845" w14:paraId="7C5375EC" w14:textId="111B357F">
      <w:pPr>
        <w:pStyle w:val="FootnoteText"/>
        <w:ind w:left="90" w:hanging="90"/>
      </w:pPr>
      <w:r>
        <w:rPr>
          <w:rStyle w:val="FootnoteReference"/>
        </w:rPr>
        <w:footnoteRef/>
      </w:r>
      <w:r>
        <w:t xml:space="preserve"> </w:t>
      </w:r>
      <w:r w:rsidRPr="00E3660B">
        <w:t>The source files linked within the “Labor Information” table: https://www.bls.gov/oes/specialrequests/ oesm24in4.zip, Files “nat3d_owner_M2024_dl” and “nat4d_owner_M2024_dl” for “Educational</w:t>
      </w:r>
      <w:r>
        <w:t xml:space="preserve"> </w:t>
      </w:r>
      <w:r w:rsidRPr="00E3660B">
        <w:t>Services” and “Colleges, Universities, and Professional Schools,” respectively.</w:t>
      </w:r>
    </w:p>
  </w:footnote>
  <w:footnote w:id="7">
    <w:p w:rsidR="00E3660B" w:rsidP="009C55F0" w14:paraId="4B06A032" w14:textId="2A7F4608">
      <w:pPr>
        <w:pStyle w:val="FootnoteText"/>
        <w:ind w:left="90" w:hanging="90"/>
      </w:pPr>
      <w:r>
        <w:rPr>
          <w:rStyle w:val="FootnoteReference"/>
        </w:rPr>
        <w:footnoteRef/>
      </w:r>
      <w:r>
        <w:t xml:space="preserve"> </w:t>
      </w:r>
      <w:r w:rsidRPr="00E3660B">
        <w:t>The source provided in the “Labor Information” sheet of the spreadsheet provided by EPA:</w:t>
      </w:r>
      <w:r w:rsidR="009C55F0">
        <w:br/>
      </w:r>
      <w:r w:rsidRPr="00E3660B">
        <w:t>https://www.bls.gov/oes/special-requests/oesm24in4.zip, File “nat4d_M2024_dl”.</w:t>
      </w:r>
    </w:p>
  </w:footnote>
  <w:footnote w:id="8">
    <w:p w:rsidR="00E3660B" w14:paraId="2CC33799" w14:textId="496FFDCE">
      <w:pPr>
        <w:pStyle w:val="FootnoteText"/>
      </w:pPr>
      <w:r>
        <w:rPr>
          <w:rStyle w:val="FootnoteReference"/>
        </w:rPr>
        <w:footnoteRef/>
      </w:r>
      <w:r>
        <w:t xml:space="preserve"> </w:t>
      </w:r>
      <w:r w:rsidRPr="00E3660B">
        <w:rPr>
          <w:i/>
          <w:iCs/>
        </w:rPr>
        <w:t xml:space="preserve">See </w:t>
      </w:r>
      <w:r w:rsidRPr="00E3660B">
        <w:t>https://www.onetonline.org/link/summary/19-2041.00.</w:t>
      </w:r>
    </w:p>
  </w:footnote>
  <w:footnote w:id="9">
    <w:p w:rsidR="00D55845" w14:paraId="63621F01" w14:textId="48ABE095">
      <w:pPr>
        <w:pStyle w:val="FootnoteText"/>
      </w:pPr>
      <w:r>
        <w:rPr>
          <w:rStyle w:val="FootnoteReference"/>
        </w:rPr>
        <w:footnoteRef/>
      </w:r>
      <w:r>
        <w:t xml:space="preserve"> </w:t>
      </w:r>
      <w:r w:rsidRPr="00D55845">
        <w:t>Labor Information, Table 1, EPA Docket ID No. EPA-HQ-OAR-2004-0489-0317.</w:t>
      </w:r>
    </w:p>
  </w:footnote>
  <w:footnote w:id="10">
    <w:p w:rsidR="00B30DE8" w:rsidP="00C243DB" w14:paraId="24C8A06F" w14:textId="3C8A77A1">
      <w:pPr>
        <w:pStyle w:val="FootnoteText"/>
        <w:ind w:left="90" w:hanging="90"/>
      </w:pPr>
      <w:r>
        <w:rPr>
          <w:rStyle w:val="FootnoteReference"/>
        </w:rPr>
        <w:footnoteRef/>
      </w:r>
      <w:r>
        <w:t xml:space="preserve"> See docket </w:t>
      </w:r>
      <w:r w:rsidRPr="00D55845">
        <w:t>EPA-HQ-OAR-2004-0489</w:t>
      </w:r>
      <w:r>
        <w:t>, supporting materials</w:t>
      </w:r>
      <w:r w:rsidR="008B1307">
        <w:t xml:space="preserve"> item “Oklahoma Q &amp; A – 2025 AERR ICR renewal.”</w:t>
      </w:r>
    </w:p>
  </w:footnote>
  <w:footnote w:id="11">
    <w:p w:rsidR="00D55845" w:rsidP="00D55845" w14:paraId="6BF0FA22" w14:textId="001A73F2">
      <w:pPr>
        <w:pStyle w:val="FootnoteText"/>
        <w:tabs>
          <w:tab w:val="left" w:pos="3420"/>
        </w:tabs>
      </w:pPr>
      <w:r>
        <w:rPr>
          <w:rStyle w:val="FootnoteReference"/>
        </w:rPr>
        <w:footnoteRef/>
      </w:r>
      <w:r>
        <w:t xml:space="preserve"> </w:t>
      </w:r>
      <w:r w:rsidRPr="00D55845">
        <w:t>ICR Final Summary Tables, Table 8, EPA Docket ID No. EPA-HQ-OAR-2004-0489-0317.</w:t>
      </w:r>
    </w:p>
  </w:footnote>
  <w:footnote w:id="12">
    <w:p w:rsidR="00D55845" w14:paraId="23403775" w14:textId="6624495D">
      <w:pPr>
        <w:pStyle w:val="FootnoteText"/>
      </w:pPr>
      <w:r>
        <w:rPr>
          <w:rStyle w:val="FootnoteReference"/>
        </w:rPr>
        <w:footnoteRef/>
      </w:r>
      <w:r>
        <w:t xml:space="preserve"> </w:t>
      </w:r>
      <w:r w:rsidRPr="00D55845">
        <w:rPr>
          <w:i/>
          <w:iCs/>
        </w:rPr>
        <w:t>Id.</w:t>
      </w:r>
    </w:p>
  </w:footnote>
  <w:footnote w:id="13">
    <w:p w:rsidR="00D55845" w14:paraId="408B2EE2" w14:textId="63C4B22E">
      <w:pPr>
        <w:pStyle w:val="FootnoteText"/>
      </w:pPr>
      <w:r>
        <w:rPr>
          <w:rStyle w:val="FootnoteReference"/>
        </w:rPr>
        <w:footnoteRef/>
      </w:r>
      <w:r>
        <w:t xml:space="preserve"> </w:t>
      </w:r>
      <w:r w:rsidRPr="00D55845">
        <w:t>Facility Counts worksheet, EPA Docket ID No. EPA-HQ-OAR-2004-0489-0317.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611" w14:paraId="4BF539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611" w14:paraId="62147C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611" w14:paraId="49E302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9A7616C"/>
    <w:multiLevelType w:val="hybridMultilevel"/>
    <w:tmpl w:val="F280DB14"/>
    <w:lvl w:ilvl="0">
      <w:start w:val="44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6F2B56"/>
    <w:multiLevelType w:val="hybridMultilevel"/>
    <w:tmpl w:val="8EB2B274"/>
    <w:lvl w:ilvl="0">
      <w:start w:val="44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FC6E98"/>
    <w:multiLevelType w:val="hybridMultilevel"/>
    <w:tmpl w:val="B60ED11E"/>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741870"/>
    <w:multiLevelType w:val="hybridMultilevel"/>
    <w:tmpl w:val="333AA08E"/>
    <w:lvl w:ilvl="0">
      <w:start w:val="44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6811488">
    <w:abstractNumId w:val="3"/>
  </w:num>
  <w:num w:numId="2" w16cid:durableId="1867795124">
    <w:abstractNumId w:val="1"/>
  </w:num>
  <w:num w:numId="3" w16cid:durableId="900139956">
    <w:abstractNumId w:val="2"/>
  </w:num>
  <w:num w:numId="4" w16cid:durableId="14985748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ouyoux, Marc">
    <w15:presenceInfo w15:providerId="AD" w15:userId="S::Houyoux.Marc@epa.gov::7b97e3eb-ed0d-4f4b-8758-9642e8b1c4b2"/>
  </w15:person>
  <w15:person w15:author="Brown, Kelly">
    <w15:presenceInfo w15:providerId="AD" w15:userId="S::Brown.Kelly@epa.gov::988aae43-87e2-45e4-a8d9-f561a304ea28"/>
  </w15:person>
  <w15:person w15:author="Mills, Derek">
    <w15:presenceInfo w15:providerId="AD" w15:userId="S::Mills.Derek@epa.gov::0e9bc722-2263-43cc-98f3-fef28cc33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2"/>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8"/>
    <w:rsid w:val="00015B37"/>
    <w:rsid w:val="00015D77"/>
    <w:rsid w:val="0005446D"/>
    <w:rsid w:val="00097B18"/>
    <w:rsid w:val="000A5365"/>
    <w:rsid w:val="000A5AD2"/>
    <w:rsid w:val="000B1835"/>
    <w:rsid w:val="000B279E"/>
    <w:rsid w:val="000D5139"/>
    <w:rsid w:val="000F083D"/>
    <w:rsid w:val="000F492E"/>
    <w:rsid w:val="000F51DB"/>
    <w:rsid w:val="001067E8"/>
    <w:rsid w:val="00115509"/>
    <w:rsid w:val="001233F2"/>
    <w:rsid w:val="0014646F"/>
    <w:rsid w:val="001618F2"/>
    <w:rsid w:val="0017234B"/>
    <w:rsid w:val="001822D9"/>
    <w:rsid w:val="001859A5"/>
    <w:rsid w:val="001A1611"/>
    <w:rsid w:val="001A7F1E"/>
    <w:rsid w:val="001C3EBF"/>
    <w:rsid w:val="001E0C0B"/>
    <w:rsid w:val="001E4716"/>
    <w:rsid w:val="001E49F9"/>
    <w:rsid w:val="001F1481"/>
    <w:rsid w:val="00215563"/>
    <w:rsid w:val="002160D4"/>
    <w:rsid w:val="00245DED"/>
    <w:rsid w:val="0026367D"/>
    <w:rsid w:val="002730DC"/>
    <w:rsid w:val="00281F07"/>
    <w:rsid w:val="00282439"/>
    <w:rsid w:val="00284913"/>
    <w:rsid w:val="002B29AA"/>
    <w:rsid w:val="002D434E"/>
    <w:rsid w:val="002D53DD"/>
    <w:rsid w:val="002E0E0D"/>
    <w:rsid w:val="002F60B4"/>
    <w:rsid w:val="002F7050"/>
    <w:rsid w:val="002F71B1"/>
    <w:rsid w:val="002F7B3F"/>
    <w:rsid w:val="00322A49"/>
    <w:rsid w:val="0033372C"/>
    <w:rsid w:val="00342D96"/>
    <w:rsid w:val="00351BBD"/>
    <w:rsid w:val="00353DA4"/>
    <w:rsid w:val="0035590C"/>
    <w:rsid w:val="003615A8"/>
    <w:rsid w:val="003808AF"/>
    <w:rsid w:val="00385B2F"/>
    <w:rsid w:val="00395AA4"/>
    <w:rsid w:val="003A74A3"/>
    <w:rsid w:val="003B1F2C"/>
    <w:rsid w:val="003C46FA"/>
    <w:rsid w:val="003D6CEF"/>
    <w:rsid w:val="003E217D"/>
    <w:rsid w:val="00417465"/>
    <w:rsid w:val="00426C29"/>
    <w:rsid w:val="00447B2D"/>
    <w:rsid w:val="00451C94"/>
    <w:rsid w:val="00464370"/>
    <w:rsid w:val="00464E6A"/>
    <w:rsid w:val="004675A2"/>
    <w:rsid w:val="00474BAF"/>
    <w:rsid w:val="004923C8"/>
    <w:rsid w:val="004A15A7"/>
    <w:rsid w:val="004C2D50"/>
    <w:rsid w:val="004C4120"/>
    <w:rsid w:val="004D060A"/>
    <w:rsid w:val="004D607A"/>
    <w:rsid w:val="00510ADA"/>
    <w:rsid w:val="005271BF"/>
    <w:rsid w:val="00536C17"/>
    <w:rsid w:val="00542660"/>
    <w:rsid w:val="00544AE9"/>
    <w:rsid w:val="00544B76"/>
    <w:rsid w:val="00545A50"/>
    <w:rsid w:val="00546C33"/>
    <w:rsid w:val="00561E7B"/>
    <w:rsid w:val="00567AC0"/>
    <w:rsid w:val="00577B88"/>
    <w:rsid w:val="00585F89"/>
    <w:rsid w:val="00586979"/>
    <w:rsid w:val="005963B1"/>
    <w:rsid w:val="0059656B"/>
    <w:rsid w:val="005972C0"/>
    <w:rsid w:val="005A0972"/>
    <w:rsid w:val="005B1D5F"/>
    <w:rsid w:val="005D5BAB"/>
    <w:rsid w:val="005E5895"/>
    <w:rsid w:val="005F3DF9"/>
    <w:rsid w:val="005F4566"/>
    <w:rsid w:val="005F4C57"/>
    <w:rsid w:val="00606618"/>
    <w:rsid w:val="00615052"/>
    <w:rsid w:val="0063147E"/>
    <w:rsid w:val="0064299F"/>
    <w:rsid w:val="00647318"/>
    <w:rsid w:val="00654555"/>
    <w:rsid w:val="006605A3"/>
    <w:rsid w:val="006702EA"/>
    <w:rsid w:val="00672F40"/>
    <w:rsid w:val="00676337"/>
    <w:rsid w:val="006769DC"/>
    <w:rsid w:val="00681163"/>
    <w:rsid w:val="00692555"/>
    <w:rsid w:val="006A4B88"/>
    <w:rsid w:val="006C084D"/>
    <w:rsid w:val="006C4013"/>
    <w:rsid w:val="006E0DF8"/>
    <w:rsid w:val="006E6DB7"/>
    <w:rsid w:val="00711768"/>
    <w:rsid w:val="007151BA"/>
    <w:rsid w:val="00730CBB"/>
    <w:rsid w:val="0073733E"/>
    <w:rsid w:val="00741E0A"/>
    <w:rsid w:val="0074230D"/>
    <w:rsid w:val="0074232F"/>
    <w:rsid w:val="007444BB"/>
    <w:rsid w:val="007569B5"/>
    <w:rsid w:val="007642C4"/>
    <w:rsid w:val="007753E8"/>
    <w:rsid w:val="007852C4"/>
    <w:rsid w:val="0079140D"/>
    <w:rsid w:val="00795851"/>
    <w:rsid w:val="007A2364"/>
    <w:rsid w:val="007A3537"/>
    <w:rsid w:val="007A45CE"/>
    <w:rsid w:val="007C0CFF"/>
    <w:rsid w:val="007C1846"/>
    <w:rsid w:val="007C4DEF"/>
    <w:rsid w:val="007C624A"/>
    <w:rsid w:val="007D508F"/>
    <w:rsid w:val="007D627A"/>
    <w:rsid w:val="007D77C8"/>
    <w:rsid w:val="007F19E4"/>
    <w:rsid w:val="007F25C7"/>
    <w:rsid w:val="00801153"/>
    <w:rsid w:val="0080371D"/>
    <w:rsid w:val="00803A3B"/>
    <w:rsid w:val="00806044"/>
    <w:rsid w:val="008347F3"/>
    <w:rsid w:val="00851AFA"/>
    <w:rsid w:val="00853741"/>
    <w:rsid w:val="00856157"/>
    <w:rsid w:val="008622E2"/>
    <w:rsid w:val="00865E7C"/>
    <w:rsid w:val="00870D81"/>
    <w:rsid w:val="008840A6"/>
    <w:rsid w:val="008840A8"/>
    <w:rsid w:val="00887AA2"/>
    <w:rsid w:val="008969A2"/>
    <w:rsid w:val="008B1307"/>
    <w:rsid w:val="008B16E0"/>
    <w:rsid w:val="008D5870"/>
    <w:rsid w:val="008D7A1B"/>
    <w:rsid w:val="008E0D8F"/>
    <w:rsid w:val="008E46FC"/>
    <w:rsid w:val="008F4244"/>
    <w:rsid w:val="00914BAC"/>
    <w:rsid w:val="00964084"/>
    <w:rsid w:val="009771B0"/>
    <w:rsid w:val="00985775"/>
    <w:rsid w:val="0099302A"/>
    <w:rsid w:val="009A2DAA"/>
    <w:rsid w:val="009A5C5A"/>
    <w:rsid w:val="009B7AB1"/>
    <w:rsid w:val="009C2C06"/>
    <w:rsid w:val="009C39CE"/>
    <w:rsid w:val="009C55F0"/>
    <w:rsid w:val="009F1F66"/>
    <w:rsid w:val="00A016AF"/>
    <w:rsid w:val="00A20660"/>
    <w:rsid w:val="00A22C73"/>
    <w:rsid w:val="00A37634"/>
    <w:rsid w:val="00A40C66"/>
    <w:rsid w:val="00A55D76"/>
    <w:rsid w:val="00A876A3"/>
    <w:rsid w:val="00A94062"/>
    <w:rsid w:val="00AA413A"/>
    <w:rsid w:val="00AA5E9B"/>
    <w:rsid w:val="00AB7761"/>
    <w:rsid w:val="00AC6634"/>
    <w:rsid w:val="00AD0DCF"/>
    <w:rsid w:val="00AF4146"/>
    <w:rsid w:val="00AF6619"/>
    <w:rsid w:val="00B126D6"/>
    <w:rsid w:val="00B17791"/>
    <w:rsid w:val="00B30DE8"/>
    <w:rsid w:val="00B43650"/>
    <w:rsid w:val="00B437E9"/>
    <w:rsid w:val="00B46DD9"/>
    <w:rsid w:val="00B622D4"/>
    <w:rsid w:val="00B702D2"/>
    <w:rsid w:val="00B875AF"/>
    <w:rsid w:val="00BD23AB"/>
    <w:rsid w:val="00BD39FC"/>
    <w:rsid w:val="00BD4EBE"/>
    <w:rsid w:val="00BD7431"/>
    <w:rsid w:val="00BE4244"/>
    <w:rsid w:val="00C050C9"/>
    <w:rsid w:val="00C12AFC"/>
    <w:rsid w:val="00C203F0"/>
    <w:rsid w:val="00C20F94"/>
    <w:rsid w:val="00C243DB"/>
    <w:rsid w:val="00C36516"/>
    <w:rsid w:val="00C46A19"/>
    <w:rsid w:val="00C643B4"/>
    <w:rsid w:val="00C9763A"/>
    <w:rsid w:val="00CA0D60"/>
    <w:rsid w:val="00CC0F82"/>
    <w:rsid w:val="00CC1B09"/>
    <w:rsid w:val="00CC3FE3"/>
    <w:rsid w:val="00CC79BA"/>
    <w:rsid w:val="00CE72D1"/>
    <w:rsid w:val="00CF00FC"/>
    <w:rsid w:val="00CF1FD7"/>
    <w:rsid w:val="00CF20F2"/>
    <w:rsid w:val="00CF294A"/>
    <w:rsid w:val="00CF3061"/>
    <w:rsid w:val="00D01224"/>
    <w:rsid w:val="00D034E1"/>
    <w:rsid w:val="00D0503B"/>
    <w:rsid w:val="00D06EE3"/>
    <w:rsid w:val="00D14AA8"/>
    <w:rsid w:val="00D17E50"/>
    <w:rsid w:val="00D33864"/>
    <w:rsid w:val="00D50A3F"/>
    <w:rsid w:val="00D51322"/>
    <w:rsid w:val="00D55845"/>
    <w:rsid w:val="00D62433"/>
    <w:rsid w:val="00D659A5"/>
    <w:rsid w:val="00D76CD5"/>
    <w:rsid w:val="00D77F10"/>
    <w:rsid w:val="00D84007"/>
    <w:rsid w:val="00DA0C73"/>
    <w:rsid w:val="00DB5530"/>
    <w:rsid w:val="00DB5C51"/>
    <w:rsid w:val="00DC7876"/>
    <w:rsid w:val="00DD19AD"/>
    <w:rsid w:val="00DD5AE4"/>
    <w:rsid w:val="00DD656B"/>
    <w:rsid w:val="00DF7042"/>
    <w:rsid w:val="00E1227F"/>
    <w:rsid w:val="00E16BE8"/>
    <w:rsid w:val="00E265EB"/>
    <w:rsid w:val="00E32335"/>
    <w:rsid w:val="00E3660B"/>
    <w:rsid w:val="00E36EA5"/>
    <w:rsid w:val="00E409DF"/>
    <w:rsid w:val="00E47621"/>
    <w:rsid w:val="00E52301"/>
    <w:rsid w:val="00E526B0"/>
    <w:rsid w:val="00E57254"/>
    <w:rsid w:val="00E742C6"/>
    <w:rsid w:val="00E74791"/>
    <w:rsid w:val="00E90BC2"/>
    <w:rsid w:val="00EA1365"/>
    <w:rsid w:val="00EB19B8"/>
    <w:rsid w:val="00EB6587"/>
    <w:rsid w:val="00EC486E"/>
    <w:rsid w:val="00EC50CB"/>
    <w:rsid w:val="00EE122C"/>
    <w:rsid w:val="00EE1920"/>
    <w:rsid w:val="00F03B6C"/>
    <w:rsid w:val="00F148F1"/>
    <w:rsid w:val="00F1610F"/>
    <w:rsid w:val="00F201FF"/>
    <w:rsid w:val="00F24882"/>
    <w:rsid w:val="00F32899"/>
    <w:rsid w:val="00F4296D"/>
    <w:rsid w:val="00F540F1"/>
    <w:rsid w:val="00F612EA"/>
    <w:rsid w:val="00F6162C"/>
    <w:rsid w:val="00F70276"/>
    <w:rsid w:val="00F72D5E"/>
    <w:rsid w:val="00F81FA2"/>
    <w:rsid w:val="00F876FB"/>
    <w:rsid w:val="00F96BAC"/>
    <w:rsid w:val="00FB25FB"/>
    <w:rsid w:val="00FC1AE3"/>
    <w:rsid w:val="00FD445B"/>
    <w:rsid w:val="00FF35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914E29"/>
  <w15:chartTrackingRefBased/>
  <w15:docId w15:val="{FD1C9779-BD06-4CDB-BD6D-CDBEF909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9DC"/>
  </w:style>
  <w:style w:type="paragraph" w:styleId="Heading1">
    <w:name w:val="heading 1"/>
    <w:basedOn w:val="Normal"/>
    <w:next w:val="Normal"/>
    <w:link w:val="Heading1Char"/>
    <w:uiPriority w:val="9"/>
    <w:qFormat/>
    <w:rsid w:val="00711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768"/>
    <w:rPr>
      <w:rFonts w:eastAsiaTheme="majorEastAsia" w:cstheme="majorBidi"/>
      <w:color w:val="272727" w:themeColor="text1" w:themeTint="D8"/>
    </w:rPr>
  </w:style>
  <w:style w:type="paragraph" w:styleId="Title">
    <w:name w:val="Title"/>
    <w:basedOn w:val="Normal"/>
    <w:next w:val="Normal"/>
    <w:link w:val="TitleChar"/>
    <w:uiPriority w:val="10"/>
    <w:qFormat/>
    <w:rsid w:val="0071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768"/>
    <w:pPr>
      <w:spacing w:before="160"/>
      <w:jc w:val="center"/>
    </w:pPr>
    <w:rPr>
      <w:i/>
      <w:iCs/>
      <w:color w:val="404040" w:themeColor="text1" w:themeTint="BF"/>
    </w:rPr>
  </w:style>
  <w:style w:type="character" w:customStyle="1" w:styleId="QuoteChar">
    <w:name w:val="Quote Char"/>
    <w:basedOn w:val="DefaultParagraphFont"/>
    <w:link w:val="Quote"/>
    <w:uiPriority w:val="29"/>
    <w:rsid w:val="00711768"/>
    <w:rPr>
      <w:i/>
      <w:iCs/>
      <w:color w:val="404040" w:themeColor="text1" w:themeTint="BF"/>
    </w:rPr>
  </w:style>
  <w:style w:type="paragraph" w:styleId="ListParagraph">
    <w:name w:val="List Paragraph"/>
    <w:basedOn w:val="Normal"/>
    <w:uiPriority w:val="34"/>
    <w:qFormat/>
    <w:rsid w:val="00711768"/>
    <w:pPr>
      <w:ind w:left="720"/>
      <w:contextualSpacing/>
    </w:pPr>
  </w:style>
  <w:style w:type="character" w:styleId="IntenseEmphasis">
    <w:name w:val="Intense Emphasis"/>
    <w:basedOn w:val="DefaultParagraphFont"/>
    <w:uiPriority w:val="21"/>
    <w:qFormat/>
    <w:rsid w:val="00711768"/>
    <w:rPr>
      <w:i/>
      <w:iCs/>
      <w:color w:val="0F4761" w:themeColor="accent1" w:themeShade="BF"/>
    </w:rPr>
  </w:style>
  <w:style w:type="paragraph" w:styleId="IntenseQuote">
    <w:name w:val="Intense Quote"/>
    <w:basedOn w:val="Normal"/>
    <w:next w:val="Normal"/>
    <w:link w:val="IntenseQuoteChar"/>
    <w:uiPriority w:val="30"/>
    <w:qFormat/>
    <w:rsid w:val="00711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768"/>
    <w:rPr>
      <w:i/>
      <w:iCs/>
      <w:color w:val="0F4761" w:themeColor="accent1" w:themeShade="BF"/>
    </w:rPr>
  </w:style>
  <w:style w:type="character" w:styleId="IntenseReference">
    <w:name w:val="Intense Reference"/>
    <w:basedOn w:val="DefaultParagraphFont"/>
    <w:uiPriority w:val="32"/>
    <w:qFormat/>
    <w:rsid w:val="00711768"/>
    <w:rPr>
      <w:b/>
      <w:bCs/>
      <w:smallCaps/>
      <w:color w:val="0F4761" w:themeColor="accent1" w:themeShade="BF"/>
      <w:spacing w:val="5"/>
    </w:rPr>
  </w:style>
  <w:style w:type="paragraph" w:styleId="Caption">
    <w:name w:val="caption"/>
    <w:basedOn w:val="Normal"/>
    <w:next w:val="Normal"/>
    <w:uiPriority w:val="35"/>
    <w:unhideWhenUsed/>
    <w:qFormat/>
    <w:rsid w:val="00606618"/>
    <w:pPr>
      <w:spacing w:after="200" w:line="240" w:lineRule="auto"/>
    </w:pPr>
    <w:rPr>
      <w:i/>
      <w:iCs/>
      <w:color w:val="0E2841" w:themeColor="text2"/>
    </w:rPr>
  </w:style>
  <w:style w:type="table" w:styleId="TableGrid">
    <w:name w:val="Table Grid"/>
    <w:basedOn w:val="TableNormal"/>
    <w:uiPriority w:val="39"/>
    <w:rsid w:val="007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6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60B"/>
    <w:rPr>
      <w:sz w:val="20"/>
      <w:szCs w:val="20"/>
    </w:rPr>
  </w:style>
  <w:style w:type="character" w:styleId="FootnoteReference">
    <w:name w:val="footnote reference"/>
    <w:basedOn w:val="DefaultParagraphFont"/>
    <w:uiPriority w:val="99"/>
    <w:semiHidden/>
    <w:unhideWhenUsed/>
    <w:rsid w:val="00E3660B"/>
    <w:rPr>
      <w:vertAlign w:val="superscript"/>
    </w:rPr>
  </w:style>
  <w:style w:type="paragraph" w:styleId="Header">
    <w:name w:val="header"/>
    <w:basedOn w:val="Normal"/>
    <w:link w:val="HeaderChar"/>
    <w:uiPriority w:val="99"/>
    <w:unhideWhenUsed/>
    <w:rsid w:val="00F6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2EA"/>
  </w:style>
  <w:style w:type="paragraph" w:styleId="Footer">
    <w:name w:val="footer"/>
    <w:basedOn w:val="Normal"/>
    <w:link w:val="FooterChar"/>
    <w:uiPriority w:val="99"/>
    <w:unhideWhenUsed/>
    <w:rsid w:val="00F6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2EA"/>
  </w:style>
  <w:style w:type="character" w:styleId="CommentReference">
    <w:name w:val="annotation reference"/>
    <w:basedOn w:val="DefaultParagraphFont"/>
    <w:uiPriority w:val="99"/>
    <w:semiHidden/>
    <w:unhideWhenUsed/>
    <w:rsid w:val="00692555"/>
    <w:rPr>
      <w:sz w:val="16"/>
      <w:szCs w:val="16"/>
    </w:rPr>
  </w:style>
  <w:style w:type="paragraph" w:styleId="CommentText">
    <w:name w:val="annotation text"/>
    <w:basedOn w:val="Normal"/>
    <w:link w:val="CommentTextChar"/>
    <w:uiPriority w:val="99"/>
    <w:unhideWhenUsed/>
    <w:rsid w:val="00692555"/>
    <w:pPr>
      <w:spacing w:line="240" w:lineRule="auto"/>
    </w:pPr>
    <w:rPr>
      <w:sz w:val="20"/>
      <w:szCs w:val="20"/>
    </w:rPr>
  </w:style>
  <w:style w:type="character" w:customStyle="1" w:styleId="CommentTextChar">
    <w:name w:val="Comment Text Char"/>
    <w:basedOn w:val="DefaultParagraphFont"/>
    <w:link w:val="CommentText"/>
    <w:uiPriority w:val="99"/>
    <w:rsid w:val="00692555"/>
    <w:rPr>
      <w:sz w:val="20"/>
      <w:szCs w:val="20"/>
    </w:rPr>
  </w:style>
  <w:style w:type="paragraph" w:styleId="CommentSubject">
    <w:name w:val="annotation subject"/>
    <w:basedOn w:val="CommentText"/>
    <w:next w:val="CommentText"/>
    <w:link w:val="CommentSubjectChar"/>
    <w:uiPriority w:val="99"/>
    <w:semiHidden/>
    <w:unhideWhenUsed/>
    <w:rsid w:val="00692555"/>
    <w:rPr>
      <w:b/>
      <w:bCs/>
    </w:rPr>
  </w:style>
  <w:style w:type="character" w:customStyle="1" w:styleId="CommentSubjectChar">
    <w:name w:val="Comment Subject Char"/>
    <w:basedOn w:val="CommentTextChar"/>
    <w:link w:val="CommentSubject"/>
    <w:uiPriority w:val="99"/>
    <w:semiHidden/>
    <w:rsid w:val="00692555"/>
    <w:rPr>
      <w:b/>
      <w:bCs/>
      <w:sz w:val="20"/>
      <w:szCs w:val="20"/>
    </w:rPr>
  </w:style>
  <w:style w:type="character" w:styleId="Hyperlink">
    <w:name w:val="Hyperlink"/>
    <w:basedOn w:val="DefaultParagraphFont"/>
    <w:uiPriority w:val="99"/>
    <w:unhideWhenUsed/>
    <w:rsid w:val="00BE4244"/>
    <w:rPr>
      <w:color w:val="467886" w:themeColor="hyperlink"/>
      <w:u w:val="single"/>
    </w:rPr>
  </w:style>
  <w:style w:type="character" w:styleId="UnresolvedMention">
    <w:name w:val="Unresolved Mention"/>
    <w:basedOn w:val="DefaultParagraphFont"/>
    <w:uiPriority w:val="99"/>
    <w:semiHidden/>
    <w:unhideWhenUsed/>
    <w:rsid w:val="00BE4244"/>
    <w:rPr>
      <w:color w:val="605E5C"/>
      <w:shd w:val="clear" w:color="auto" w:fill="E1DFDD"/>
    </w:rPr>
  </w:style>
  <w:style w:type="paragraph" w:styleId="Revision">
    <w:name w:val="Revision"/>
    <w:hidden/>
    <w:uiPriority w:val="99"/>
    <w:semiHidden/>
    <w:rsid w:val="00985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ghgreportin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EEE13D7B3E0764EBAF0ED43D1844FE5" ma:contentTypeVersion="10" ma:contentTypeDescription="Create a new document." ma:contentTypeScope="" ma:versionID="f77029c4386683fa9cf347a775808d0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8a4d002-b39b-4ac7-9cb8-7302f8e71712" xmlns:ns6="3c81a07b-2486-47a3-a2a5-b2c404b6cf2a" targetNamespace="http://schemas.microsoft.com/office/2006/metadata/properties" ma:root="true" ma:fieldsID="8f1ae2793d0f04f56b9f44c9af6213bd" ns1:_="" ns2:_="" ns3:_="" ns4:_="" ns5:_="" ns6:_="">
    <xsd:import namespace="http://schemas.microsoft.com/sharepoint/v3"/>
    <xsd:import namespace="4ffa91fb-a0ff-4ac5-b2db-65c790d184a4"/>
    <xsd:import namespace="http://schemas.microsoft.com/sharepoint.v3"/>
    <xsd:import namespace="http://schemas.microsoft.com/sharepoint/v3/fields"/>
    <xsd:import namespace="e8a4d002-b39b-4ac7-9cb8-7302f8e71712"/>
    <xsd:import namespace="3c81a07b-2486-47a3-a2a5-b2c404b6cf2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9faa09-9b6f-4a34-8c39-76975034ff94}" ma:internalName="TaxCatchAllLabel" ma:readOnly="true" ma:showField="CatchAllDataLabel" ma:web="3c81a07b-2486-47a3-a2a5-b2c404b6cf2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9faa09-9b6f-4a34-8c39-76975034ff94}" ma:internalName="TaxCatchAll" ma:showField="CatchAllData" ma:web="3c81a07b-2486-47a3-a2a5-b2c404b6cf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4d002-b39b-4ac7-9cb8-7302f8e717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1a07b-2486-47a3-a2a5-b2c404b6cf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2025-08-05T20:21:16+00:00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DEB41-4740-412C-AD3F-30148E0A7CE6}">
  <ds:schemaRefs>
    <ds:schemaRef ds:uri="Microsoft.SharePoint.Taxonomy.ContentTypeSync"/>
  </ds:schemaRefs>
</ds:datastoreItem>
</file>

<file path=customXml/itemProps2.xml><?xml version="1.0" encoding="utf-8"?>
<ds:datastoreItem xmlns:ds="http://schemas.openxmlformats.org/officeDocument/2006/customXml" ds:itemID="{3406CCE2-E09E-43BA-BACB-51A9ACB1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8a4d002-b39b-4ac7-9cb8-7302f8e71712"/>
    <ds:schemaRef ds:uri="3c81a07b-2486-47a3-a2a5-b2c404b6c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FF4CF-C8EB-4C7F-89FD-1CDB37751344}">
  <ds:schemaRefs>
    <ds:schemaRef ds:uri="http://schemas.openxmlformats.org/officeDocument/2006/bibliography"/>
  </ds:schemaRefs>
</ds:datastoreItem>
</file>

<file path=customXml/itemProps4.xml><?xml version="1.0" encoding="utf-8"?>
<ds:datastoreItem xmlns:ds="http://schemas.openxmlformats.org/officeDocument/2006/customXml" ds:itemID="{F3CE3C70-E1B4-42A9-BDE6-4297149B8D4A}">
  <ds:schemaRefs>
    <ds:schemaRef ds:uri="http://www.w3.org/XML/1998/namespace"/>
    <ds:schemaRef ds:uri="http://schemas.microsoft.com/office/2006/documentManagement/types"/>
    <ds:schemaRef ds:uri="http://schemas.microsoft.com/sharepoint/v3"/>
    <ds:schemaRef ds:uri="http://schemas.microsoft.com/sharepoint/v3/fields"/>
    <ds:schemaRef ds:uri="http://purl.org/dc/dcmitype/"/>
    <ds:schemaRef ds:uri="e8a4d002-b39b-4ac7-9cb8-7302f8e71712"/>
    <ds:schemaRef ds:uri="http://purl.org/dc/terms/"/>
    <ds:schemaRef ds:uri="http://schemas.microsoft.com/office/2006/metadata/properties"/>
    <ds:schemaRef ds:uri="3c81a07b-2486-47a3-a2a5-b2c404b6cf2a"/>
    <ds:schemaRef ds:uri="http://schemas.microsoft.com/office/infopath/2007/PartnerControls"/>
    <ds:schemaRef ds:uri="4ffa91fb-a0ff-4ac5-b2db-65c790d184a4"/>
    <ds:schemaRef ds:uri="http://schemas.openxmlformats.org/package/2006/metadata/core-properties"/>
    <ds:schemaRef ds:uri="http://schemas.microsoft.com/sharepoint.v3"/>
    <ds:schemaRef ds:uri="http://purl.org/dc/elements/1.1/"/>
  </ds:schemaRefs>
</ds:datastoreItem>
</file>

<file path=customXml/itemProps5.xml><?xml version="1.0" encoding="utf-8"?>
<ds:datastoreItem xmlns:ds="http://schemas.openxmlformats.org/officeDocument/2006/customXml" ds:itemID="{BCA601BD-B0C2-412F-B0AA-B031E8EA5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8214</TotalTime>
  <Pages>24</Pages>
  <Words>7847</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Houyoux, Marc</dc:creator>
  <cp:lastModifiedBy>Houyoux, Marc</cp:lastModifiedBy>
  <cp:revision>116</cp:revision>
  <dcterms:created xsi:type="dcterms:W3CDTF">2025-08-05T20:05:00Z</dcterms:created>
  <dcterms:modified xsi:type="dcterms:W3CDTF">2025-08-27T18:37:00Z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0x010100CEEE13D7B3E0764EBAF0ED43D1844FE5</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TaxKeyword">
    <vt:lpwstr/>
  </property>
</Properties>
</file>