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000F5D" w:rsidP="00000F5D" w14:paraId="3E175ABB" w14:textId="7CE4076F">
      <w:pPr>
        <w:rPr>
          <w:rFonts w:cstheme="minorHAnsi"/>
          <w:b/>
          <w:bCs/>
        </w:rPr>
      </w:pPr>
      <w:r w:rsidRPr="004E1D45">
        <w:rPr>
          <w:rStyle w:val="EPAHeadingChar"/>
        </w:rPr>
        <w:t>Title:</w:t>
      </w:r>
      <w:r w:rsidR="001F34A5">
        <w:rPr>
          <w:rFonts w:cstheme="minorHAnsi"/>
        </w:rPr>
        <w:t xml:space="preserve"> </w:t>
      </w:r>
      <w:r w:rsidRPr="00C00120" w:rsidR="006672E1">
        <w:t xml:space="preserve">Notification of Episodic Releases of Oil and Hazardous Substances under CERCLA </w:t>
      </w:r>
      <w:r w:rsidR="006672E1">
        <w:t>S</w:t>
      </w:r>
      <w:r w:rsidRPr="00C00120" w:rsidR="006672E1">
        <w:t>ection 103(a) and CWA Section 311</w:t>
      </w:r>
    </w:p>
    <w:p w:rsidR="00EE2403" w:rsidRPr="00BB3410" w:rsidP="00000F5D" w14:paraId="71D5121E" w14:textId="73DBBC02">
      <w:pPr>
        <w:rPr>
          <w:rFonts w:cstheme="minorHAnsi"/>
        </w:rPr>
      </w:pPr>
      <w:r w:rsidRPr="004E1D45">
        <w:rPr>
          <w:rStyle w:val="EPAHeadingChar"/>
        </w:rPr>
        <w:t>OMB Control Number:</w:t>
      </w:r>
      <w:r w:rsidRPr="00BB3410" w:rsidR="00BB432F">
        <w:rPr>
          <w:rFonts w:cstheme="minorHAnsi"/>
        </w:rPr>
        <w:t xml:space="preserve"> </w:t>
      </w:r>
      <w:r w:rsidRPr="00D62E71" w:rsidR="00BE4196">
        <w:t>2050-0046</w:t>
      </w:r>
    </w:p>
    <w:p w:rsidR="00EE2403" w:rsidRPr="00BB3410" w:rsidP="00ED57A4" w14:paraId="4FB77BCA" w14:textId="54B90704">
      <w:pPr>
        <w:spacing w:before="240" w:line="240" w:lineRule="auto"/>
        <w:rPr>
          <w:rFonts w:cstheme="minorHAnsi"/>
        </w:rPr>
      </w:pPr>
      <w:r w:rsidRPr="004E1D45">
        <w:rPr>
          <w:rStyle w:val="EPAHeadingChar"/>
        </w:rPr>
        <w:t>EPA ICR Number:</w:t>
      </w:r>
      <w:r w:rsidRPr="00BB3410" w:rsidR="00BB432F">
        <w:rPr>
          <w:rFonts w:cstheme="minorHAnsi"/>
        </w:rPr>
        <w:t xml:space="preserve"> </w:t>
      </w:r>
      <w:r w:rsidRPr="002B2498" w:rsidR="00EE6B51">
        <w:t>1049</w:t>
      </w:r>
      <w:r w:rsidRPr="00D2105B" w:rsidR="00EE6B51">
        <w:t>.16</w:t>
      </w:r>
    </w:p>
    <w:p w:rsidR="005D58B4" w:rsidRPr="00AB458E" w:rsidP="005D58B4" w14:paraId="68D2B363" w14:textId="77777777">
      <w:r w:rsidRPr="004E1D45">
        <w:rPr>
          <w:rStyle w:val="EPAHeadingChar"/>
        </w:rPr>
        <w:t>Abstract:</w:t>
      </w:r>
      <w:r w:rsidRPr="4BDBF0A0" w:rsidR="00BB432F">
        <w:t xml:space="preserve"> </w:t>
      </w:r>
      <w:r>
        <w:t>T</w:t>
      </w:r>
      <w:r w:rsidRPr="00AB458E">
        <w:t xml:space="preserve">his information collection request (ICR) addresses the reporting and recordkeeping activities required to comply with the release notification requirements </w:t>
      </w:r>
      <w:r>
        <w:t>for oil and</w:t>
      </w:r>
      <w:r w:rsidRPr="00AB458E">
        <w:t xml:space="preserve"> hazardous substances specified in section 103(a) of the Comprehensive Environmental Response, Compensation, and Liability Act of 1980 (CERCLA), as amended, and section 311 of the Clean Water Act (CWA), as amended. These reporting requirements are codified at 40 CFR parts 110, 117, and 302. This ICR renews the collection activity previousl</w:t>
      </w:r>
      <w:r w:rsidRPr="00B341AD">
        <w:t xml:space="preserve">y approved under </w:t>
      </w:r>
      <w:r>
        <w:t xml:space="preserve">ICR </w:t>
      </w:r>
      <w:r w:rsidRPr="00B341AD">
        <w:t xml:space="preserve">OMB </w:t>
      </w:r>
      <w:r>
        <w:t xml:space="preserve">Control </w:t>
      </w:r>
      <w:r w:rsidRPr="00B341AD">
        <w:t>No. 2050-0046</w:t>
      </w:r>
      <w:r>
        <w:t xml:space="preserve">, which will expire on November 30, 2025. </w:t>
      </w:r>
    </w:p>
    <w:p w:rsidR="005D58B4" w:rsidRPr="00AB458E" w:rsidP="005D58B4" w14:paraId="7638DAFE" w14:textId="77777777">
      <w:bookmarkStart w:id="1" w:name="_Hlk79660484"/>
      <w:bookmarkStart w:id="2" w:name="_Hlk79660690"/>
      <w:r w:rsidRPr="00AB458E">
        <w:t>CERCLA section 103(a) and CWA section 311 r</w:t>
      </w:r>
      <w:bookmarkEnd w:id="1"/>
      <w:r w:rsidRPr="00AB458E">
        <w:t>equire the person in charge of a facility or vessel to notify the National Response Center (NRC)</w:t>
      </w:r>
      <w:r>
        <w:t xml:space="preserve"> i</w:t>
      </w:r>
      <w:r w:rsidRPr="00AB458E">
        <w:t>mmediately of a hazardous substance release into the environment if the release quantity equals or exceeds the substance</w:t>
      </w:r>
      <w:r>
        <w:t>’</w:t>
      </w:r>
      <w:r w:rsidRPr="00AB458E">
        <w:t xml:space="preserve">s reportable quantity (RQ) </w:t>
      </w:r>
      <w:r>
        <w:t>or is</w:t>
      </w:r>
      <w:r w:rsidRPr="00AB458E">
        <w:t xml:space="preserve"> an oil discharge into U.S. waters. The regulated community is expected to:</w:t>
      </w:r>
    </w:p>
    <w:p w:rsidR="005D58B4" w:rsidRPr="00AB458E" w:rsidP="005D58B4" w14:paraId="7E36300A" w14:textId="77777777">
      <w:pPr>
        <w:pStyle w:val="ListParagraph"/>
        <w:widowControl w:val="0"/>
        <w:numPr>
          <w:ilvl w:val="0"/>
          <w:numId w:val="29"/>
        </w:numPr>
        <w:adjustRightInd w:val="0"/>
        <w:spacing w:after="120" w:line="240" w:lineRule="auto"/>
        <w:contextualSpacing w:val="0"/>
      </w:pPr>
      <w:r w:rsidRPr="00AB458E">
        <w:t>Gather necessary release data, such as the time, quantity, and source of the release</w:t>
      </w:r>
      <w:r>
        <w:t>,</w:t>
      </w:r>
    </w:p>
    <w:p w:rsidR="005D58B4" w:rsidRPr="00AB458E" w:rsidP="005D58B4" w14:paraId="7FDDF3E1" w14:textId="77777777">
      <w:pPr>
        <w:pStyle w:val="ListParagraph"/>
        <w:widowControl w:val="0"/>
        <w:numPr>
          <w:ilvl w:val="0"/>
          <w:numId w:val="29"/>
        </w:numPr>
        <w:adjustRightInd w:val="0"/>
        <w:spacing w:after="120" w:line="240" w:lineRule="auto"/>
        <w:contextualSpacing w:val="0"/>
      </w:pPr>
      <w:r w:rsidRPr="00AB458E">
        <w:t>Notify the facility manager of the release</w:t>
      </w:r>
      <w:r>
        <w:t>,</w:t>
      </w:r>
    </w:p>
    <w:p w:rsidR="005D58B4" w:rsidRPr="00AB458E" w:rsidP="005D58B4" w14:paraId="00E1EF82" w14:textId="77777777">
      <w:pPr>
        <w:pStyle w:val="ListParagraph"/>
        <w:widowControl w:val="0"/>
        <w:numPr>
          <w:ilvl w:val="0"/>
          <w:numId w:val="29"/>
        </w:numPr>
        <w:adjustRightInd w:val="0"/>
        <w:spacing w:after="120" w:line="240" w:lineRule="auto"/>
        <w:contextualSpacing w:val="0"/>
      </w:pPr>
      <w:r w:rsidRPr="00AB458E">
        <w:t>Consult with the environmental compliance expert regarding the release</w:t>
      </w:r>
      <w:r>
        <w:t>,</w:t>
      </w:r>
    </w:p>
    <w:p w:rsidR="005D58B4" w:rsidRPr="00AB458E" w:rsidP="005D58B4" w14:paraId="76AE0FF0" w14:textId="77777777">
      <w:pPr>
        <w:pStyle w:val="ListParagraph"/>
        <w:widowControl w:val="0"/>
        <w:numPr>
          <w:ilvl w:val="0"/>
          <w:numId w:val="29"/>
        </w:numPr>
        <w:adjustRightInd w:val="0"/>
        <w:spacing w:after="120" w:line="240" w:lineRule="auto"/>
        <w:contextualSpacing w:val="0"/>
      </w:pPr>
      <w:r w:rsidRPr="00AB458E">
        <w:t>Report the release to the NRC; and</w:t>
      </w:r>
    </w:p>
    <w:p w:rsidR="00BB432F" w:rsidRPr="00096646" w:rsidP="005D58B4" w14:paraId="6A3E928D" w14:textId="433BE4D2">
      <w:pPr>
        <w:pStyle w:val="ListParagraph"/>
        <w:widowControl w:val="0"/>
        <w:numPr>
          <w:ilvl w:val="0"/>
          <w:numId w:val="29"/>
        </w:numPr>
        <w:adjustRightInd w:val="0"/>
        <w:spacing w:after="120" w:line="240" w:lineRule="auto"/>
        <w:contextualSpacing w:val="0"/>
      </w:pPr>
      <w:r w:rsidRPr="00AB458E">
        <w:t>Keep a log of release data such as the time, date, and circumstances of the release. (This information is expected, but not required</w:t>
      </w:r>
      <w:r>
        <w:t>,</w:t>
      </w:r>
      <w:r w:rsidRPr="00AB458E">
        <w:t xml:space="preserve"> under the regulations.)</w:t>
      </w:r>
      <w:bookmarkEnd w:id="2"/>
      <w:r w:rsidR="0074640E">
        <w:t xml:space="preserve"> </w:t>
      </w:r>
      <w:r w:rsidRPr="00AB458E">
        <w:t xml:space="preserve">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w:t>
      </w:r>
      <w:r>
        <w:t xml:space="preserve">release </w:t>
      </w:r>
      <w:r w:rsidRPr="00AB458E">
        <w:t xml:space="preserve">to track correspondence with response authorities and to document compliance with release notification requirements under CERCLA and the CWA. </w:t>
      </w:r>
      <w:r>
        <w:t>EPA</w:t>
      </w:r>
      <w:r w:rsidRPr="00AB458E">
        <w:t xml:space="preserve"> assume</w:t>
      </w:r>
      <w:r>
        <w:t>s</w:t>
      </w:r>
      <w:r w:rsidRPr="00AB458E">
        <w:t xml:space="preserve"> respondent</w:t>
      </w:r>
      <w:r>
        <w:t>s</w:t>
      </w:r>
      <w:r w:rsidRPr="00AB458E">
        <w:t xml:space="preserve"> will maintain a log of reported releases, </w:t>
      </w:r>
      <w:r>
        <w:t xml:space="preserve">so </w:t>
      </w:r>
      <w:r w:rsidRPr="00AB458E">
        <w:t>burden and cost estimates associated with recordkeeping are included in the ICR.</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4E1D45" w14:paraId="73FF37C3" w14:textId="77C3FA07">
      <w:pPr>
        <w:pStyle w:val="EPAHeading2"/>
      </w:pPr>
      <w:bookmarkStart w:id="3" w:name="_Toc156593368"/>
      <w:r w:rsidRPr="00E3122D">
        <w:t>NEED AND AUTHORITY FOR THE COLLECTION</w:t>
      </w:r>
      <w:bookmarkEnd w:id="3"/>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A0665" w:rsidRPr="00AB458E" w:rsidP="00CA0665" w14:paraId="0CD61445" w14:textId="77777777">
      <w:bookmarkStart w:id="4" w:name="_Toc156593369"/>
      <w:r w:rsidRPr="00AB458E">
        <w:t>Th</w:t>
      </w:r>
      <w:r>
        <w:t xml:space="preserve">is collection is </w:t>
      </w:r>
      <w:r w:rsidRPr="00AB458E">
        <w:t>required under 40 CFR parts 110, 117, and 302 is authorized under CERCLA sections 103(a) and 104(e), and CWA sections 311 and 308. The regulations implementing CERCLA section 103(a) (40 CFR part 302) require the person in charge of a facility or vessel to immediately notify the NRC of a hazardous substance release if the release quantity equals or exceeds the substance</w:t>
      </w:r>
      <w:r>
        <w:t>’</w:t>
      </w:r>
      <w:r w:rsidRPr="00AB458E">
        <w:t xml:space="preserve">s </w:t>
      </w:r>
      <w:r w:rsidRPr="00961C88">
        <w:t>RQ.</w:t>
      </w:r>
      <w:r w:rsidRPr="00AB458E">
        <w:t xml:space="preserve"> The specific information provided in the notification required under CERCLA section 103(a) is authorize</w:t>
      </w:r>
      <w:r>
        <w:t xml:space="preserve">d under CERCLA section 104(e). </w:t>
      </w:r>
      <w:r w:rsidRPr="00AB458E">
        <w:t>Section 104(e) authorizes the collection of release information, entry and inspection of the release site, and sampling activities at the release site for the purposes of “determining the need for response, or choosing or taking any response action under [CERCLA].</w:t>
      </w:r>
      <w:r>
        <w:t>”</w:t>
      </w:r>
      <w:r w:rsidRPr="00AB458E">
        <w:t xml:space="preserve"> The release information collected is the minimum information needed to determine </w:t>
      </w:r>
      <w:r>
        <w:t>whether</w:t>
      </w:r>
      <w:r w:rsidRPr="00AB458E">
        <w:t xml:space="preserve"> a Federal response action is required to control or mitigate any potential adverse effects associated with a release.</w:t>
      </w:r>
    </w:p>
    <w:p w:rsidR="00CA0665" w:rsidP="00CA0665" w14:paraId="0BD450A5" w14:textId="77777777">
      <w:r w:rsidRPr="00AB458E">
        <w:t xml:space="preserve">In addition to the CERCLA notification requirements, the regulations implementing CWA section 311 (40 CFR part 110) require immediate notification to the NRC of any </w:t>
      </w:r>
      <w:r>
        <w:t>discharge</w:t>
      </w:r>
      <w:r w:rsidRPr="00AB458E">
        <w:t xml:space="preserve"> of oil into U.S. navigable waters that</w:t>
      </w:r>
      <w:r w:rsidRPr="00AB458E">
        <w:rPr>
          <w:b/>
          <w:bCs/>
        </w:rPr>
        <w:t xml:space="preserve"> </w:t>
      </w:r>
      <w:r w:rsidRPr="00AB458E">
        <w:t>causes a sheen, violates applicable water quality standards, or causes a sludge or emulsion to be deposited beneath the surface of the water or upon adjoining shorelines. The information required under CWA section 311 is authorized by CWA section 308, which allows for the collection of release information and entry, monitoring, inspection</w:t>
      </w:r>
      <w:r>
        <w:t>,</w:t>
      </w:r>
      <w:r w:rsidRPr="00AB458E">
        <w:t xml:space="preserve"> and sampling activities at the release site for the purpose of ensuring that the objectives of the CWA are satisfied. The Federal government </w:t>
      </w:r>
      <w:r>
        <w:t xml:space="preserve">must </w:t>
      </w:r>
      <w:r w:rsidRPr="00AB458E">
        <w:t xml:space="preserve">be notified of </w:t>
      </w:r>
      <w:r>
        <w:t>discharges</w:t>
      </w:r>
      <w:r w:rsidRPr="00AB458E">
        <w:t xml:space="preserve"> of oil in order to determine </w:t>
      </w:r>
      <w:r>
        <w:t>whether</w:t>
      </w:r>
      <w:r w:rsidRPr="00AB458E">
        <w:t xml:space="preserve"> a response action is necessary to mitigate or prevent damage to public health or welfare or the envi</w:t>
      </w:r>
      <w:r>
        <w:t>ronment.</w:t>
      </w:r>
    </w:p>
    <w:p w:rsidR="00D47CB3" w:rsidRPr="00E3122D" w:rsidP="004E1D45" w14:paraId="24F38A28" w14:textId="345BCCC4">
      <w:pPr>
        <w:pStyle w:val="EPAHeading2"/>
      </w:pPr>
      <w:r w:rsidRPr="00E3122D">
        <w:t>PRACTICAL UTILITY/USERS OF THE DATA</w:t>
      </w:r>
      <w:bookmarkEnd w:id="4"/>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484CED" w:rsidP="00484CED" w14:paraId="71C33AA8" w14:textId="77777777">
      <w:bookmarkStart w:id="5" w:name="_Toc156593370"/>
      <w:r w:rsidRPr="00AB458E">
        <w:t xml:space="preserve">The information collected pursuant to CERCLA section 103(a) and CWA section 311 </w:t>
      </w:r>
      <w:r>
        <w:t xml:space="preserve">is used by </w:t>
      </w:r>
      <w:r w:rsidRPr="00AB458E">
        <w:t>Federal response authorities, such as EPA and U</w:t>
      </w:r>
      <w:r>
        <w:t>.S.</w:t>
      </w:r>
      <w:r w:rsidRPr="00AB458E">
        <w:t xml:space="preserve"> Coast Guard On-Scene Coordinators (OSCs) to evaluate the environmental and human health risks attributable to a reported </w:t>
      </w:r>
      <w:r>
        <w:t xml:space="preserve">oil discharges and hazardous substance </w:t>
      </w:r>
      <w:r w:rsidRPr="00AB458E">
        <w:t>release</w:t>
      </w:r>
      <w:r>
        <w:t>s</w:t>
      </w:r>
      <w:r w:rsidRPr="00AB458E">
        <w:t xml:space="preserve"> and to determine </w:t>
      </w:r>
      <w:r>
        <w:t>whether</w:t>
      </w:r>
      <w:r w:rsidRPr="00AB458E">
        <w:t xml:space="preserve"> a Federal response action is necessary to mitigate or prevent any </w:t>
      </w:r>
      <w:r>
        <w:t xml:space="preserve">associated </w:t>
      </w:r>
      <w:r w:rsidRPr="00AB458E">
        <w:t xml:space="preserve">adverse effects. </w:t>
      </w:r>
      <w:r>
        <w:t xml:space="preserve">Federal response activities may </w:t>
      </w:r>
      <w:r w:rsidRPr="00AB458E">
        <w:t>includ</w:t>
      </w:r>
      <w:r>
        <w:t xml:space="preserve">e </w:t>
      </w:r>
      <w:r w:rsidRPr="00AB458E">
        <w:t>monitoring and overseeing cleanup activities conducted by the responsible party, evacuating surrounding populations, and directing the actual cleanup operation.</w:t>
      </w:r>
      <w:r>
        <w:t xml:space="preserve"> </w:t>
      </w:r>
      <w:r w:rsidRPr="00AB458E">
        <w:t>EPA program offices and other Federal agencies</w:t>
      </w:r>
      <w:r>
        <w:t xml:space="preserve"> also use the information</w:t>
      </w:r>
      <w:r w:rsidRPr="00AB458E">
        <w:t xml:space="preserve"> to evaluate the potential need for additional regulations, new permitting requirements for specific substances or sources, or</w:t>
      </w:r>
      <w:r>
        <w:t xml:space="preserve"> i</w:t>
      </w:r>
      <w:r w:rsidRPr="00AB458E">
        <w:t>mproved emergency response planning.</w:t>
      </w:r>
    </w:p>
    <w:p w:rsidR="00484CED" w:rsidP="00484CED" w14:paraId="69AE3C02" w14:textId="77777777">
      <w:r w:rsidRPr="00AB458E">
        <w:t xml:space="preserve">State and local government authorities and the regulated community use </w:t>
      </w:r>
      <w:r>
        <w:t xml:space="preserve">discharge and </w:t>
      </w:r>
      <w:r w:rsidRPr="00AB458E">
        <w:t>release information to help inform local emergency response planning. The public use</w:t>
      </w:r>
      <w:r>
        <w:t>s</w:t>
      </w:r>
      <w:r w:rsidRPr="00AB458E">
        <w:t xml:space="preserve"> </w:t>
      </w:r>
      <w:r>
        <w:t xml:space="preserve">this </w:t>
      </w:r>
      <w:r w:rsidRPr="00AB458E">
        <w:t xml:space="preserve">information to </w:t>
      </w:r>
      <w:r>
        <w:t>learn</w:t>
      </w:r>
      <w:r w:rsidRPr="00AB458E">
        <w:t xml:space="preserve"> </w:t>
      </w:r>
      <w:r>
        <w:t xml:space="preserve">about incidents </w:t>
      </w:r>
      <w:r w:rsidRPr="00AB458E">
        <w:t xml:space="preserve">their communities and </w:t>
      </w:r>
      <w:r>
        <w:t xml:space="preserve">across the country, as well as </w:t>
      </w:r>
      <w:r w:rsidRPr="00AB458E">
        <w:t xml:space="preserve">to </w:t>
      </w:r>
      <w:r>
        <w:t xml:space="preserve">become informed </w:t>
      </w:r>
      <w:r w:rsidRPr="00AB458E">
        <w:t xml:space="preserve">of </w:t>
      </w:r>
      <w:r>
        <w:t xml:space="preserve">any </w:t>
      </w:r>
      <w:r w:rsidRPr="00AB458E">
        <w:t>actions</w:t>
      </w:r>
      <w:r>
        <w:t xml:space="preserve"> </w:t>
      </w:r>
      <w:r w:rsidRPr="00AB458E">
        <w:t>to protect public health and welfare</w:t>
      </w:r>
      <w:r>
        <w:t>,</w:t>
      </w:r>
      <w:r w:rsidRPr="00AB458E">
        <w:t xml:space="preserve"> and the environment. The public has access to </w:t>
      </w:r>
      <w:r>
        <w:t xml:space="preserve">discharge and </w:t>
      </w:r>
      <w:r w:rsidRPr="00AB458E">
        <w:t>release information, statistics, and fact sheets through the Freedom of I</w:t>
      </w:r>
      <w:r>
        <w:t>n</w:t>
      </w:r>
      <w:r w:rsidRPr="00AB458E">
        <w:t>formation Act and the NRC</w:t>
      </w:r>
      <w:r>
        <w:t>’</w:t>
      </w:r>
      <w:r w:rsidRPr="00AB458E">
        <w:t>s website</w:t>
      </w:r>
      <w:r>
        <w:t xml:space="preserve"> </w:t>
      </w:r>
      <w:r w:rsidRPr="00DB0690">
        <w:t>www.nrc.uscg.mil/</w:t>
      </w:r>
      <w:r>
        <w:t xml:space="preserve">. </w:t>
      </w:r>
      <w:r w:rsidRPr="00AB458E">
        <w:t xml:space="preserve"> </w:t>
      </w:r>
    </w:p>
    <w:p w:rsidR="00074917" w:rsidRPr="00E3122D" w:rsidP="004E1D45" w14:paraId="1522D565" w14:textId="553E3A2D">
      <w:pPr>
        <w:pStyle w:val="EPAHeading2"/>
      </w:pPr>
      <w:r w:rsidRPr="00E3122D">
        <w:t>USE OF TECHNOLOGY</w:t>
      </w:r>
      <w:bookmarkEnd w:id="5"/>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1F0834">
        <w:rPr>
          <w:rFonts w:ascii="Calibri" w:hAnsi="Calibri" w:cs="Calibri"/>
          <w:i/>
          <w:iCs/>
          <w:color w:val="000000"/>
          <w:shd w:val="clear" w:color="auto" w:fill="FFFFFF"/>
        </w:rPr>
        <w:t>adopting this means of collection. Also describe any consideration of using information technology to reduce burden.</w:t>
      </w:r>
    </w:p>
    <w:p w:rsidR="00DA4837" w:rsidRPr="00AB458E" w:rsidP="00DA4837" w14:paraId="634894F5" w14:textId="77777777">
      <w:bookmarkStart w:id="6" w:name="_Toc156593371"/>
      <w:r>
        <w:t>A</w:t>
      </w:r>
      <w:r w:rsidRPr="00AB458E">
        <w:t xml:space="preserve"> person in charge of a facility or vessel that experiences a reportable release </w:t>
      </w:r>
      <w:r>
        <w:t xml:space="preserve">under </w:t>
      </w:r>
      <w:r w:rsidRPr="00AB458E">
        <w:t>CERCLA section 103(a) and CWA section 31</w:t>
      </w:r>
      <w:r>
        <w:t xml:space="preserve">1 </w:t>
      </w:r>
      <w:r w:rsidRPr="00AB458E">
        <w:t xml:space="preserve">must </w:t>
      </w:r>
      <w:r>
        <w:t>notify t</w:t>
      </w:r>
      <w:r w:rsidRPr="00AB458E">
        <w:t>he NRC</w:t>
      </w:r>
      <w:r>
        <w:t xml:space="preserve"> by phone. The NRC then </w:t>
      </w:r>
      <w:r w:rsidRPr="00AB458E">
        <w:t>notifies the appropriate EPA Region or U</w:t>
      </w:r>
      <w:r>
        <w:t>.S.</w:t>
      </w:r>
      <w:r w:rsidRPr="00AB458E">
        <w:t xml:space="preserve"> Coast Guard Office, the affected </w:t>
      </w:r>
      <w:r>
        <w:t>s</w:t>
      </w:r>
      <w:r w:rsidRPr="00AB458E">
        <w:t>tate, and any other Federal agency that may be able to</w:t>
      </w:r>
      <w:r>
        <w:t xml:space="preserve"> </w:t>
      </w:r>
      <w:r w:rsidRPr="00AB458E">
        <w:t>support a potential response action.</w:t>
      </w:r>
    </w:p>
    <w:p w:rsidR="005263EC" w:rsidRPr="00E3122D" w:rsidP="004E1D45" w14:paraId="2CB3B868" w14:textId="58CBB947">
      <w:pPr>
        <w:pStyle w:val="EPAHeading2"/>
      </w:pPr>
      <w:r w:rsidRPr="00E3122D">
        <w:t>EFFORTS TO IDENTIFY DUPLICATION</w:t>
      </w:r>
      <w:bookmarkEnd w:id="6"/>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FE1E24" w:rsidRPr="00AB458E" w:rsidP="00FE1E24" w14:paraId="4A30EBA9" w14:textId="77777777">
      <w:bookmarkStart w:id="7" w:name="_Toc156593372"/>
      <w:r w:rsidRPr="00AB458E">
        <w:t xml:space="preserve">The information required </w:t>
      </w:r>
      <w:r>
        <w:t>i</w:t>
      </w:r>
      <w:r w:rsidRPr="00AB458E">
        <w:t>n</w:t>
      </w:r>
      <w:r>
        <w:t xml:space="preserve"> the notification </w:t>
      </w:r>
      <w:r w:rsidRPr="00AB458E">
        <w:t xml:space="preserve">call to the NRC is the minimum necessary to evaluate a hazardous substance release or discharge of oil. Direct notification to the NRC helps to ensure a coordinated Federal response effort and </w:t>
      </w:r>
      <w:r>
        <w:t>avoid</w:t>
      </w:r>
      <w:r w:rsidRPr="00AB458E">
        <w:t xml:space="preserve"> unnecessary delays in requesting assistanc</w:t>
      </w:r>
      <w:r>
        <w:t>e</w:t>
      </w:r>
      <w:r w:rsidRPr="00AB458E">
        <w:t xml:space="preserve">. One </w:t>
      </w:r>
      <w:r>
        <w:t xml:space="preserve">phone </w:t>
      </w:r>
      <w:r w:rsidRPr="00AB458E">
        <w:t>call to the NRC fulfills the requirement to report releases of hazardous substances under CERCLA and several other regulatory programs, including the C</w:t>
      </w:r>
      <w:r>
        <w:t>lean Water Act (C</w:t>
      </w:r>
      <w:r w:rsidRPr="00AB458E">
        <w:t>WA</w:t>
      </w:r>
      <w:r>
        <w:t>)</w:t>
      </w:r>
      <w:r w:rsidRPr="00AB458E">
        <w:t>, the Resource Conservation and Recovery Act</w:t>
      </w:r>
      <w:r>
        <w:t xml:space="preserve"> (RCRA)</w:t>
      </w:r>
      <w:r w:rsidRPr="00AB458E">
        <w:t xml:space="preserve">, </w:t>
      </w:r>
      <w:r>
        <w:t>t</w:t>
      </w:r>
      <w:r w:rsidRPr="00AB458E">
        <w:t>he Hazardous Materials Transportation Act</w:t>
      </w:r>
      <w:r>
        <w:t>, and the Emergency Planning and Community Right-to-Know Act (EPCRA)</w:t>
      </w:r>
      <w:r w:rsidRPr="00AB458E">
        <w:t xml:space="preserve">. When the NRC receives a notification, the NRC watch </w:t>
      </w:r>
      <w:r>
        <w:t xml:space="preserve">officer </w:t>
      </w:r>
      <w:r w:rsidRPr="00AB458E">
        <w:t xml:space="preserve">immediately notifies the appropriate Federal </w:t>
      </w:r>
      <w:r>
        <w:t>OSC</w:t>
      </w:r>
      <w:r w:rsidRPr="00AB458E">
        <w:t xml:space="preserve">, who evaluates the circumstances surrounding the release and determines the need for a </w:t>
      </w:r>
      <w:r>
        <w:t>Federal</w:t>
      </w:r>
      <w:r w:rsidRPr="00AB458E">
        <w:t xml:space="preserve"> response action. </w:t>
      </w:r>
    </w:p>
    <w:p w:rsidR="00FE1E24" w:rsidP="00FE1E24" w14:paraId="51CD9E24" w14:textId="77777777">
      <w:r>
        <w:t>E</w:t>
      </w:r>
      <w:r w:rsidRPr="00AB458E">
        <w:t>PA analyzed po</w:t>
      </w:r>
      <w:r>
        <w:t>tential</w:t>
      </w:r>
      <w:r w:rsidRPr="00AB458E">
        <w:t xml:space="preserve"> areas of overlap </w:t>
      </w:r>
      <w:r>
        <w:t xml:space="preserve">in </w:t>
      </w:r>
      <w:r w:rsidRPr="00AB458E">
        <w:t>reporting requirements under other statute</w:t>
      </w:r>
      <w:r>
        <w:t xml:space="preserve">s and </w:t>
      </w:r>
      <w:r w:rsidRPr="00AB458E">
        <w:t xml:space="preserve">regulations and </w:t>
      </w:r>
      <w:r>
        <w:t xml:space="preserve">found only </w:t>
      </w:r>
      <w:r w:rsidRPr="00AB458E">
        <w:t>limited overlap</w:t>
      </w:r>
      <w:r>
        <w:t xml:space="preserve"> such as, f</w:t>
      </w:r>
      <w:r w:rsidRPr="00AB458E">
        <w:t xml:space="preserve">or example, with the reporting requirements specified </w:t>
      </w:r>
      <w:r w:rsidRPr="004B5BCD">
        <w:t>in CERCLA section 103(a) and in certain permitting regulations, which often require reporting if the permitted release or discharge level is exceeded. However, in contrast to notifications of permit violations, Federal officials use release information provided to the NRC to evaluate the release situation in near real time and to determine whether a government response is necessary. Thus, the notification in monthly monitoring reports that a permit release limit is exceeded is not timely for response purposes. Some overlap may also exist with the reporting requirements specified in EPCRA section 304</w:t>
      </w:r>
      <w:r>
        <w:t>, which</w:t>
      </w:r>
      <w:r w:rsidRPr="004B5BCD">
        <w:t xml:space="preserve"> re</w:t>
      </w:r>
      <w:r w:rsidRPr="00AB458E">
        <w:t xml:space="preserve">quires immediate reporting of releases of CERCLA hazardous substances equal to or above an RQ to </w:t>
      </w:r>
      <w:r>
        <w:t>s</w:t>
      </w:r>
      <w:r w:rsidRPr="00AB458E">
        <w:t>tate and local response officials</w:t>
      </w:r>
      <w:r>
        <w:t xml:space="preserve"> (OMB Control Number 2050-0092). H</w:t>
      </w:r>
      <w:r w:rsidRPr="00AB458E">
        <w:t>owever</w:t>
      </w:r>
      <w:r>
        <w:t>,</w:t>
      </w:r>
      <w:r w:rsidRPr="00AB458E">
        <w:t xml:space="preserve"> </w:t>
      </w:r>
      <w:r>
        <w:t>r</w:t>
      </w:r>
      <w:r w:rsidRPr="00AB458E">
        <w:t xml:space="preserve">eporting to the NRC as well as to the appropriate State Emergency Response Commission (SERC) and Local Emergency Planning Committee (LEPC), as required under EPCRA section 304, is </w:t>
      </w:r>
      <w:r>
        <w:t xml:space="preserve">necessary </w:t>
      </w:r>
      <w:r w:rsidRPr="00AB458E">
        <w:t>because it ensures that the Federal government is alerted to releases that may require a Federal field response</w:t>
      </w:r>
      <w:r>
        <w:t xml:space="preserve"> and </w:t>
      </w:r>
      <w:r w:rsidRPr="00A81C9F">
        <w:t>allows for a timely response in the event of an emergency.</w:t>
      </w:r>
      <w:r w:rsidRPr="00AB458E">
        <w:t xml:space="preserve"> Although the SERCs and LEPCs are notified of the releases under EPCRA section 304, some SERCs and LEPCs may not </w:t>
      </w:r>
      <w:r>
        <w:t>have</w:t>
      </w:r>
      <w:r w:rsidRPr="00AB458E">
        <w:t xml:space="preserve"> the resources ne</w:t>
      </w:r>
      <w:r>
        <w:t>eded</w:t>
      </w:r>
      <w:r w:rsidRPr="00AB458E">
        <w:t xml:space="preserve"> for a proper response action.</w:t>
      </w:r>
      <w:r>
        <w:t xml:space="preserve"> F</w:t>
      </w:r>
      <w:r w:rsidRPr="00AB458E">
        <w:t xml:space="preserve">urthermore, reporting to the NRC, SERC, and LEPC provides for a coordinated </w:t>
      </w:r>
      <w:r>
        <w:t xml:space="preserve">and more efficient response </w:t>
      </w:r>
      <w:r w:rsidRPr="00AB458E">
        <w:t xml:space="preserve">effort among Federal, </w:t>
      </w:r>
      <w:r>
        <w:t>s</w:t>
      </w:r>
      <w:r w:rsidRPr="00AB458E">
        <w:t xml:space="preserve">tate, and local response officials. The statutory requirements under CERCLA and EPCRA are clear and distinct; the Federal response system, as well as the </w:t>
      </w:r>
      <w:r>
        <w:t>S</w:t>
      </w:r>
      <w:r w:rsidRPr="00AB458E">
        <w:t>tate and local response systems, must be immediately alerted to potentially dangerous releases of hazardous substances that may pose a threat to public health or welfare or the environment.</w:t>
      </w:r>
    </w:p>
    <w:p w:rsidR="00251151" w:rsidRPr="00E3122D" w:rsidP="004E1D45" w14:paraId="79D36B3F" w14:textId="440DD77F">
      <w:pPr>
        <w:pStyle w:val="EPAHeading2"/>
      </w:pPr>
      <w:r w:rsidRPr="4BDBF0A0">
        <w:t xml:space="preserve">MINIMIZING BURDEN ON SMALL </w:t>
      </w:r>
      <w:r w:rsidRPr="4BDBF0A0" w:rsidR="0F43C128">
        <w:t xml:space="preserve">BUSINESSES AND SMALL </w:t>
      </w:r>
      <w:r w:rsidRPr="4BDBF0A0">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700665" w:rsidRPr="00AB458E" w:rsidP="00700665" w14:paraId="700DD79E" w14:textId="77777777">
      <w:bookmarkStart w:id="8" w:name="_Toc156593373"/>
      <w:r w:rsidRPr="00AB458E">
        <w:t>The notification requirements apply equally to all facilities or vessels, regardless of size, that have reportable releases of CERCL</w:t>
      </w:r>
      <w:r>
        <w:t xml:space="preserve">A hazardous substances or oil. </w:t>
      </w:r>
      <w:r w:rsidRPr="00AB458E">
        <w:t>The regulations do not impose any general information collection or recordkeeping requirements</w:t>
      </w:r>
      <w:r>
        <w:t xml:space="preserve"> on small businesses. T</w:t>
      </w:r>
      <w:r w:rsidRPr="00AB458E">
        <w:t xml:space="preserve">he notification requirements specified under these regulations represent the minimum </w:t>
      </w:r>
      <w:r>
        <w:t xml:space="preserve">amount </w:t>
      </w:r>
      <w:r w:rsidRPr="00AB458E">
        <w:t>of information necessary for Federal response officials to determine</w:t>
      </w:r>
      <w:r>
        <w:t xml:space="preserve"> whether </w:t>
      </w:r>
      <w:r w:rsidRPr="00AB458E">
        <w:t xml:space="preserve">a government response action is needed to prevent or mitigate any damage to public health </w:t>
      </w:r>
      <w:r>
        <w:t>or welfare or the environment</w:t>
      </w:r>
      <w:r w:rsidRPr="00AB458E">
        <w:t xml:space="preserve">. </w:t>
      </w:r>
      <w:r>
        <w:t>T</w:t>
      </w:r>
      <w:r w:rsidRPr="00AB458E">
        <w:t>hese reporting requirements</w:t>
      </w:r>
      <w:r>
        <w:t xml:space="preserve"> cannot be reduced</w:t>
      </w:r>
      <w:r w:rsidRPr="00AB458E">
        <w:t xml:space="preserve"> for small businesses without jeopardizing the Federal government</w:t>
      </w:r>
      <w:r>
        <w:t>’</w:t>
      </w:r>
      <w:r w:rsidRPr="00AB458E">
        <w:t>s ability to evaluate the threat posed by a release and determine</w:t>
      </w:r>
      <w:r>
        <w:t xml:space="preserve"> whether </w:t>
      </w:r>
      <w:r w:rsidRPr="00AB458E">
        <w:t>a Federal response is necessary.</w:t>
      </w:r>
    </w:p>
    <w:p w:rsidR="004252C1" w:rsidRPr="00E3122D" w:rsidP="004E1D45" w14:paraId="1FF5A778" w14:textId="02F91DFF">
      <w:pPr>
        <w:pStyle w:val="EPAHeading2"/>
      </w:pPr>
      <w:r w:rsidRPr="4BDBF0A0">
        <w:t>CONSEQUENCES</w:t>
      </w:r>
      <w:r w:rsidRPr="4BDBF0A0" w:rsidR="00061A77">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220404" w:rsidP="00220404" w14:paraId="35D3D56E" w14:textId="77777777">
      <w:bookmarkStart w:id="9" w:name="_Toc156593374"/>
      <w:r w:rsidRPr="00AB458E">
        <w:t xml:space="preserve">The information required under the regulations implementing CERCLA section 103(a) and CWA section 311 is collected </w:t>
      </w:r>
      <w:r>
        <w:t xml:space="preserve">only </w:t>
      </w:r>
      <w:r w:rsidRPr="00AB458E">
        <w:t>when reportable releases occur. The information</w:t>
      </w:r>
      <w:r>
        <w:t>, including</w:t>
      </w:r>
      <w:r w:rsidRPr="00AB458E">
        <w:t xml:space="preserve"> the source, quantity, and type of material released and the environmental medium affected, is critical to evaluating the threat posed by the release and t</w:t>
      </w:r>
      <w:r>
        <w:t xml:space="preserve">he need for a response action. </w:t>
      </w:r>
      <w:r w:rsidRPr="00AB458E">
        <w:t>The regulatory requirement</w:t>
      </w:r>
      <w:r>
        <w:t>s evaluated in this ICR</w:t>
      </w:r>
      <w:r w:rsidRPr="00AB458E">
        <w:t xml:space="preserve"> represent EPA</w:t>
      </w:r>
      <w:r>
        <w:t>’</w:t>
      </w:r>
      <w:r w:rsidRPr="00AB458E">
        <w:t xml:space="preserve">s efforts to ensure that the NRC is notified immediately of those oil </w:t>
      </w:r>
      <w:r>
        <w:t>discharges</w:t>
      </w:r>
      <w:r w:rsidRPr="00AB458E">
        <w:t xml:space="preserve"> </w:t>
      </w:r>
      <w:r>
        <w:t xml:space="preserve">and </w:t>
      </w:r>
      <w:r w:rsidRPr="00AB458E">
        <w:t>hazardous substance</w:t>
      </w:r>
      <w:r>
        <w:t xml:space="preserve"> releases</w:t>
      </w:r>
      <w:r w:rsidRPr="00AB458E">
        <w:t xml:space="preserve"> for which a Federal response action may be necessary to protect public health and welfare and the environment.</w:t>
      </w:r>
    </w:p>
    <w:p w:rsidR="00A233E0" w:rsidRPr="00E3122D" w:rsidP="004E1D45" w14:paraId="27596CC0" w14:textId="77777777">
      <w:pPr>
        <w:pStyle w:val="EPAHeading2"/>
      </w:pPr>
      <w:r w:rsidRPr="00E3122D">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412DDB" w:rsidP="00412DDB" w14:paraId="013FCD59" w14:textId="77777777">
      <w:bookmarkStart w:id="10" w:name="_Toc156593375"/>
      <w:r w:rsidRPr="00AB458E">
        <w:t>The regulations implementing CERCLA section 103(a) and CWA section 311 adhere fully to OMB</w:t>
      </w:r>
      <w:r>
        <w:t>’</w:t>
      </w:r>
      <w:r w:rsidRPr="00AB458E">
        <w:t>s general guidelines concerning the collection of information and the control of paperwork burdens on the public.</w:t>
      </w:r>
      <w:r>
        <w:t xml:space="preserve"> There are no </w:t>
      </w:r>
      <w:r w:rsidRPr="009D53B7">
        <w:t>special circumstances that require the collection to be conducted in a manner inconsistent with PRA Guidelines at 5 CFR 1320.5(d)(2).</w:t>
      </w:r>
    </w:p>
    <w:p w:rsidR="006036CD" w:rsidRPr="00E3122D" w:rsidP="004E1D45" w14:paraId="02EE9B8D" w14:textId="77777777">
      <w:pPr>
        <w:pStyle w:val="EPAHeading2"/>
      </w:pPr>
      <w:r w:rsidRPr="00E3122D">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10AA4" w:rsidRPr="005905BE" w:rsidP="090941B1" w14:paraId="44CA48A5" w14:textId="5EE83796">
      <w:pPr>
        <w:tabs>
          <w:tab w:val="left" w:pos="720"/>
          <w:tab w:val="left" w:pos="1440"/>
          <w:tab w:val="left" w:pos="2160"/>
          <w:tab w:val="left" w:pos="2880"/>
          <w:tab w:val="left" w:pos="3600"/>
          <w:tab w:val="left" w:pos="4320"/>
          <w:tab w:val="left" w:pos="5040"/>
          <w:tab w:val="left" w:pos="5760"/>
          <w:tab w:val="left" w:pos="6480"/>
          <w:tab w:val="left" w:pos="7200"/>
          <w:tab w:val="left" w:pos="7922"/>
        </w:tabs>
        <w:rPr>
          <w:color w:val="000000" w:themeColor="text1"/>
        </w:rPr>
      </w:pPr>
      <w:bookmarkStart w:id="13" w:name="_Toc510078246"/>
      <w:r w:rsidRPr="090941B1">
        <w:rPr>
          <w:color w:val="000000" w:themeColor="text1"/>
        </w:rPr>
        <w:t xml:space="preserve">In compliance with the Paperwork Reduction Act (44 U.S.C. 3501 </w:t>
      </w:r>
      <w:r w:rsidRPr="090941B1">
        <w:rPr>
          <w:i/>
          <w:iCs/>
          <w:color w:val="000000" w:themeColor="text1"/>
        </w:rPr>
        <w:t>et seq</w:t>
      </w:r>
      <w:r w:rsidRPr="090941B1">
        <w:rPr>
          <w:color w:val="000000" w:themeColor="text1"/>
        </w:rPr>
        <w:t xml:space="preserve">.), the Agency has notified the public about this ICR </w:t>
      </w:r>
      <w:r w:rsidRPr="090941B1">
        <w:rPr>
          <w:color w:val="000000" w:themeColor="text1"/>
        </w:rPr>
        <w:t xml:space="preserve">renewal through the Federal Register notice </w:t>
      </w:r>
      <w:r>
        <w:t>on</w:t>
      </w:r>
      <w:r w:rsidRPr="090941B1">
        <w:rPr>
          <w:b/>
          <w:bCs/>
        </w:rPr>
        <w:t xml:space="preserve"> </w:t>
      </w:r>
      <w:r w:rsidRPr="008D038D" w:rsidR="1FADFB6B">
        <w:t>April</w:t>
      </w:r>
      <w:r w:rsidRPr="008D038D">
        <w:t xml:space="preserve"> </w:t>
      </w:r>
      <w:r w:rsidRPr="008D038D" w:rsidR="6DBA6D40">
        <w:t>17</w:t>
      </w:r>
      <w:r w:rsidRPr="008D038D" w:rsidR="1021A06E">
        <w:t xml:space="preserve">, </w:t>
      </w:r>
      <w:r w:rsidRPr="008D038D">
        <w:t>2025</w:t>
      </w:r>
      <w:r>
        <w:t xml:space="preserve"> (</w:t>
      </w:r>
      <w:r w:rsidR="1C958449">
        <w:t>90 FR 16127</w:t>
      </w:r>
      <w:r>
        <w:t xml:space="preserve">). The public comment period </w:t>
      </w:r>
      <w:r w:rsidR="544D4669">
        <w:t xml:space="preserve">was </w:t>
      </w:r>
      <w:r>
        <w:t xml:space="preserve">open through </w:t>
      </w:r>
      <w:r w:rsidRPr="008D038D" w:rsidR="2F6437A2">
        <w:t>June 16</w:t>
      </w:r>
      <w:r w:rsidRPr="008D038D">
        <w:t>, 2025</w:t>
      </w:r>
      <w:r w:rsidRPr="090941B1">
        <w:rPr>
          <w:color w:val="000000" w:themeColor="text1"/>
        </w:rPr>
        <w:t xml:space="preserve">). EPA </w:t>
      </w:r>
      <w:r w:rsidR="008D038D">
        <w:rPr>
          <w:color w:val="000000" w:themeColor="text1"/>
        </w:rPr>
        <w:t>received one comment during the public comment period. EPA</w:t>
      </w:r>
      <w:r w:rsidRPr="090941B1">
        <w:rPr>
          <w:color w:val="000000" w:themeColor="text1"/>
        </w:rPr>
        <w:t xml:space="preserve"> </w:t>
      </w:r>
      <w:r w:rsidRPr="090941B1">
        <w:rPr>
          <w:color w:val="000000" w:themeColor="text1"/>
        </w:rPr>
        <w:t>address</w:t>
      </w:r>
      <w:r w:rsidR="008D038D">
        <w:rPr>
          <w:color w:val="000000" w:themeColor="text1"/>
        </w:rPr>
        <w:t xml:space="preserve">es this comment in </w:t>
      </w:r>
      <w:r w:rsidRPr="090941B1">
        <w:rPr>
          <w:color w:val="000000" w:themeColor="text1"/>
        </w:rPr>
        <w:t>the 30-day FR notice for this renewal.</w:t>
      </w:r>
    </w:p>
    <w:bookmarkEnd w:id="13"/>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B0C02" w:rsidP="007B0C02" w14:paraId="3EE9ACC8" w14:textId="77777777">
      <w:bookmarkStart w:id="14" w:name="_Toc156593378"/>
      <w:r w:rsidRPr="00FB7226">
        <w:t>To inform the previous ICR renewal</w:t>
      </w:r>
      <w:r>
        <w:t xml:space="preserve"> (</w:t>
      </w:r>
      <w:r w:rsidRPr="00FB7226">
        <w:t>EPA ICR 1049.15</w:t>
      </w:r>
      <w:r>
        <w:t>)</w:t>
      </w:r>
      <w:r w:rsidRPr="00FB7226">
        <w:t>, EPA c</w:t>
      </w:r>
      <w:bookmarkStart w:id="15" w:name="_Hlk79660271"/>
      <w:r w:rsidRPr="00FB7226">
        <w:t>ontacted six facilities that reported releases to the NRC to collect estimates of the burden for the initial telephone notification to the NRC following a release.</w:t>
      </w:r>
      <w:bookmarkEnd w:id="15"/>
      <w:r w:rsidRPr="00FB7226">
        <w:t xml:space="preserve"> Summaries of these calls are in Appendix A of EPA ICR 1049.15. Facilities estimated they spen</w:t>
      </w:r>
      <w:r>
        <w:t xml:space="preserve">d </w:t>
      </w:r>
      <w:r w:rsidRPr="00FB7226">
        <w:t xml:space="preserve">between 5 and 20 minutes (.08 hour to .33 hour) on the NRC call. These estimates </w:t>
      </w:r>
      <w:r>
        <w:t>were</w:t>
      </w:r>
      <w:r w:rsidRPr="00FB7226">
        <w:t xml:space="preserve"> lower than the estimated burdens use in the previous ICR renewal</w:t>
      </w:r>
      <w:r>
        <w:t xml:space="preserve"> (e.g., two renewals previous to the current renewal)</w:t>
      </w:r>
      <w:r w:rsidRPr="00FB7226">
        <w:t xml:space="preserve">. </w:t>
      </w:r>
      <w:r>
        <w:t>However, b</w:t>
      </w:r>
      <w:r w:rsidRPr="00FB7226">
        <w:t xml:space="preserve">ecause this </w:t>
      </w:r>
      <w:r>
        <w:t>was s</w:t>
      </w:r>
      <w:r w:rsidRPr="00FB7226">
        <w:t>uch a small sample and to avoid underestimating the burden in t</w:t>
      </w:r>
      <w:r>
        <w:t>he</w:t>
      </w:r>
      <w:r w:rsidRPr="00FB7226">
        <w:t xml:space="preserve"> ICR renewal, EPA maintain</w:t>
      </w:r>
      <w:r>
        <w:t>ed</w:t>
      </w:r>
      <w:r w:rsidRPr="00FB7226">
        <w:t xml:space="preserve"> the higher estimated burdens used in the</w:t>
      </w:r>
      <w:r>
        <w:t xml:space="preserve"> previous ICR renewal and is keeping those estimates for this renewal.</w:t>
      </w:r>
    </w:p>
    <w:p w:rsidR="00A233E0" w:rsidRPr="00E3122D" w:rsidP="004E1D45" w14:paraId="191560B2" w14:textId="77777777">
      <w:pPr>
        <w:pStyle w:val="EPAHeading2"/>
      </w:pPr>
      <w:r w:rsidRPr="00E3122D">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1D57D5" w:rsidP="001D57D5" w14:paraId="6D229128" w14:textId="77777777">
      <w:r>
        <w:t xml:space="preserve">No </w:t>
      </w:r>
      <w:r w:rsidRPr="004369B5">
        <w:t>payment</w:t>
      </w:r>
      <w:r>
        <w:t>s</w:t>
      </w:r>
      <w:r w:rsidRPr="004369B5">
        <w:t xml:space="preserve"> or gift</w:t>
      </w:r>
      <w:r>
        <w:t>s were made</w:t>
      </w:r>
      <w:r w:rsidRPr="004369B5">
        <w:t xml:space="preserve"> to respondents</w:t>
      </w:r>
      <w:r>
        <w:t>.</w:t>
      </w:r>
    </w:p>
    <w:p w:rsidR="4C04BBF2" w:rsidP="004E1D45" w14:paraId="333FE36D" w14:textId="45DEA41F">
      <w:pPr>
        <w:pStyle w:val="EPAHeading2"/>
      </w:pPr>
      <w:r w:rsidRPr="4BDBF0A0">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07BFC" w:rsidP="00807BFC" w14:paraId="3649D5C8" w14:textId="77777777">
      <w:bookmarkStart w:id="16" w:name="_Toc156593380"/>
      <w:r w:rsidRPr="00AB458E">
        <w:t xml:space="preserve">The regulations implementing CERCLA section 103(a) and CWA section 311 do not require the submission of any </w:t>
      </w:r>
      <w:r>
        <w:t xml:space="preserve">proprietary business </w:t>
      </w:r>
      <w:r w:rsidRPr="00AB458E">
        <w:t xml:space="preserve">information. </w:t>
      </w:r>
      <w:r>
        <w:t>T</w:t>
      </w:r>
      <w:r w:rsidRPr="00AB458E">
        <w:t>he information collection requested under these regulations is in compliance with the Privacy Act of 1974 and OMB Circular A-108.</w:t>
      </w:r>
    </w:p>
    <w:p w:rsidR="00A233E0" w:rsidRPr="00E3122D" w:rsidP="004E1D45" w14:paraId="36FBAEFB" w14:textId="77777777">
      <w:pPr>
        <w:pStyle w:val="EPAHeading2"/>
      </w:pPr>
      <w:r w:rsidRPr="4BDBF0A0">
        <w:t>JUSTIFICATION FOR SENSITIVE QUESTIONS</w:t>
      </w:r>
      <w:bookmarkEnd w:id="16"/>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5A5A" w:rsidP="00355A5A" w14:paraId="566B0814" w14:textId="77777777">
      <w:bookmarkStart w:id="17" w:name="_Toc156593381"/>
      <w:r w:rsidRPr="00AB458E">
        <w:t xml:space="preserve">The regulations implementing CERCLA section 103(a) and CWA section 311 do not require the submission of any sensitive information. </w:t>
      </w:r>
    </w:p>
    <w:p w:rsidR="001172FE" w:rsidRPr="00E3122D" w:rsidP="008804E5" w14:paraId="637A8E82" w14:textId="77777777">
      <w:pPr>
        <w:pStyle w:val="EPAHeading2"/>
        <w:pBdr>
          <w:bottom w:val="none" w:sz="0" w:space="0" w:color="auto"/>
        </w:pBdr>
      </w:pPr>
      <w:r w:rsidRPr="4BDBF0A0">
        <w:t>RESPONDENT BURDEN HOURS</w:t>
      </w:r>
      <w:r w:rsidRPr="4BDBF0A0" w:rsidR="00DB799B">
        <w:t xml:space="preserve"> &amp; LABOR COSTS</w:t>
      </w:r>
      <w:bookmarkStart w:id="18" w:name="_Toc156593382"/>
      <w:bookmarkEnd w:id="17"/>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DF6672" w14:paraId="571186E5" w14:textId="2917827F">
      <w:pPr>
        <w:pStyle w:val="Style1"/>
      </w:pPr>
      <w:r w:rsidRPr="00E3122D">
        <w:t xml:space="preserve">12a. </w:t>
      </w:r>
      <w:r w:rsidRPr="00E3122D" w:rsidR="00557E8F">
        <w:t>Respondents/NAICS Codes</w:t>
      </w:r>
      <w:bookmarkStart w:id="19" w:name="_Toc156593383"/>
      <w:bookmarkEnd w:id="18"/>
    </w:p>
    <w:p w:rsidR="008E534C" w:rsidRPr="001F5AEE" w:rsidP="008E534C" w14:paraId="7C318F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B458E">
        <w:t xml:space="preserve">EPA expects a number of different industrial categories to report hazardous substance </w:t>
      </w:r>
      <w:r>
        <w:t xml:space="preserve">releases </w:t>
      </w:r>
      <w:r w:rsidRPr="00AB458E">
        <w:t xml:space="preserve">and oil </w:t>
      </w:r>
      <w:r>
        <w:t>discharges</w:t>
      </w:r>
      <w:r w:rsidRPr="00AB458E">
        <w:t xml:space="preserve"> pursuant to the requirements specified in CERCLA section 103(a) and CWA section</w:t>
      </w:r>
      <w:r w:rsidRPr="001F5AEE">
        <w:t>. These sections apply to facilities in both the manufacturing and non-manufacturin</w:t>
      </w:r>
      <w:r>
        <w:t>g</w:t>
      </w:r>
      <w:r w:rsidRPr="001F5AEE">
        <w:t xml:space="preserve"> sectors.  </w:t>
      </w:r>
    </w:p>
    <w:p w:rsidR="008E534C" w:rsidP="008E534C" w14:paraId="144B6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F5AEE">
        <w:t xml:space="preserve">Facilities in the following major NAICS </w:t>
      </w:r>
      <w:r>
        <w:t>groups at the two-digit level that</w:t>
      </w:r>
      <w:r w:rsidRPr="001F5AEE">
        <w:t xml:space="preserve"> may be subject to either or both implementing regulations under</w:t>
      </w:r>
      <w:r>
        <w:t xml:space="preserve"> </w:t>
      </w:r>
      <w:r w:rsidRPr="007F70AB">
        <w:t>CERCLA section 103(a) and CWA section 311</w:t>
      </w:r>
      <w:r w:rsidRPr="001F5AEE">
        <w:t xml:space="preserve"> are: 11 (Agriculture, Forestry, Fishing and Hunting), 22 (Utilities), 31-33 (Manufacturing), 43 (Wholesale Trade), 44-45 (Retail Trade), and 48-49 (Transportation and Warehousing). </w:t>
      </w:r>
      <w:r>
        <w:t xml:space="preserve">Facilities under other NAICS codes </w:t>
      </w:r>
      <w:r w:rsidRPr="001F5AEE">
        <w:t>may be covered by these regulations but are not listed</w:t>
      </w:r>
      <w:r>
        <w:t xml:space="preserve"> above.</w:t>
      </w:r>
    </w:p>
    <w:p w:rsidR="008E534C" w:rsidP="008E534C" w14:paraId="2CD441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83FB9">
        <w:t>Exhibit 1 summarizes the average annual number of responses anticipated in the ICR renewal period of 2025-2027 based on NRC notification volume for 2021</w:t>
      </w:r>
      <w:r>
        <w:t>-</w:t>
      </w:r>
      <w:r w:rsidRPr="00183FB9">
        <w:t>2023.</w:t>
      </w:r>
    </w:p>
    <w:p w:rsidR="0072438A" w:rsidRPr="00183FB9" w:rsidP="008E534C" w14:paraId="38D4BB9F" w14:textId="2F2259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83FB9">
        <w:rPr>
          <w:b/>
          <w:bCs/>
          <w:color w:val="000000"/>
        </w:rPr>
        <w:t>Exhibit 1. NRC Telephone Notifications Received, 2021-2023 and Anticipated for 2025-2027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7"/>
        <w:gridCol w:w="1564"/>
        <w:gridCol w:w="1459"/>
        <w:gridCol w:w="1251"/>
        <w:gridCol w:w="1251"/>
        <w:gridCol w:w="1564"/>
      </w:tblGrid>
      <w:tr w14:paraId="7F9B9B76" w14:textId="77777777" w:rsidTr="00414E6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rPr>
        <w:tc>
          <w:tcPr>
            <w:tcW w:w="2487" w:type="dxa"/>
            <w:noWrap/>
            <w:vAlign w:val="center"/>
            <w:hideMark/>
          </w:tcPr>
          <w:p w:rsidR="008E534C" w:rsidRPr="00183FB9" w:rsidP="00D30388" w14:paraId="70A12F9D" w14:textId="77777777">
            <w:pPr>
              <w:spacing w:after="0"/>
              <w:rPr>
                <w:b/>
                <w:bCs/>
                <w:color w:val="000000"/>
              </w:rPr>
            </w:pPr>
            <w:r w:rsidRPr="00183FB9">
              <w:rPr>
                <w:b/>
                <w:bCs/>
                <w:color w:val="000000"/>
              </w:rPr>
              <w:t>Collection Activity </w:t>
            </w:r>
          </w:p>
        </w:tc>
        <w:tc>
          <w:tcPr>
            <w:tcW w:w="4274" w:type="dxa"/>
            <w:gridSpan w:val="3"/>
            <w:noWrap/>
            <w:vAlign w:val="center"/>
            <w:hideMark/>
          </w:tcPr>
          <w:p w:rsidR="008E534C" w:rsidRPr="00183FB9" w:rsidP="00D30388" w14:paraId="72AC9271" w14:textId="77777777">
            <w:pPr>
              <w:spacing w:after="0"/>
              <w:jc w:val="center"/>
              <w:rPr>
                <w:b/>
                <w:bCs/>
                <w:color w:val="000000"/>
              </w:rPr>
            </w:pPr>
            <w:r w:rsidRPr="00183FB9">
              <w:rPr>
                <w:b/>
                <w:bCs/>
                <w:color w:val="000000"/>
              </w:rPr>
              <w:t>Year</w:t>
            </w:r>
          </w:p>
        </w:tc>
        <w:tc>
          <w:tcPr>
            <w:tcW w:w="1251" w:type="dxa"/>
            <w:vMerge w:val="restart"/>
            <w:noWrap/>
            <w:vAlign w:val="center"/>
            <w:hideMark/>
          </w:tcPr>
          <w:p w:rsidR="008E534C" w:rsidRPr="00183FB9" w:rsidP="00D30388" w14:paraId="617AF55B" w14:textId="77777777">
            <w:pPr>
              <w:spacing w:after="0"/>
              <w:jc w:val="center"/>
              <w:rPr>
                <w:b/>
                <w:bCs/>
                <w:color w:val="000000"/>
              </w:rPr>
            </w:pPr>
            <w:r w:rsidRPr="00183FB9">
              <w:rPr>
                <w:b/>
                <w:bCs/>
                <w:color w:val="000000"/>
              </w:rPr>
              <w:t>Total</w:t>
            </w:r>
          </w:p>
        </w:tc>
        <w:tc>
          <w:tcPr>
            <w:tcW w:w="1564" w:type="dxa"/>
            <w:vMerge w:val="restart"/>
            <w:noWrap/>
            <w:vAlign w:val="center"/>
            <w:hideMark/>
          </w:tcPr>
          <w:p w:rsidR="008E534C" w:rsidRPr="00183FB9" w:rsidP="00D30388" w14:paraId="45238B16" w14:textId="77777777">
            <w:pPr>
              <w:spacing w:after="0"/>
              <w:jc w:val="center"/>
              <w:rPr>
                <w:b/>
                <w:bCs/>
                <w:color w:val="000000"/>
              </w:rPr>
            </w:pPr>
            <w:r w:rsidRPr="00183FB9">
              <w:rPr>
                <w:b/>
                <w:bCs/>
                <w:color w:val="000000"/>
              </w:rPr>
              <w:t>Annual Average</w:t>
            </w:r>
          </w:p>
        </w:tc>
      </w:tr>
      <w:tr w14:paraId="02D14167" w14:textId="77777777" w:rsidTr="00414E6F">
        <w:tblPrEx>
          <w:tblW w:w="5000" w:type="pct"/>
          <w:tblLayout w:type="fixed"/>
          <w:tblLook w:val="04A0"/>
        </w:tblPrEx>
        <w:trPr>
          <w:trHeight w:val="440"/>
        </w:trPr>
        <w:tc>
          <w:tcPr>
            <w:tcW w:w="2487" w:type="dxa"/>
            <w:noWrap/>
            <w:vAlign w:val="center"/>
            <w:hideMark/>
          </w:tcPr>
          <w:p w:rsidR="008E534C" w:rsidRPr="00183FB9" w:rsidP="00D30388" w14:paraId="0FA80138" w14:textId="77777777">
            <w:pPr>
              <w:spacing w:after="0"/>
              <w:rPr>
                <w:b/>
                <w:bCs/>
                <w:color w:val="000000"/>
              </w:rPr>
            </w:pPr>
            <w:r w:rsidRPr="00183FB9">
              <w:rPr>
                <w:b/>
                <w:bCs/>
                <w:color w:val="000000"/>
              </w:rPr>
              <w:t>NRC Telephone Notifications Received</w:t>
            </w:r>
          </w:p>
        </w:tc>
        <w:tc>
          <w:tcPr>
            <w:tcW w:w="1564" w:type="dxa"/>
            <w:vAlign w:val="center"/>
            <w:hideMark/>
          </w:tcPr>
          <w:p w:rsidR="008E534C" w:rsidRPr="00183FB9" w:rsidP="00D30388" w14:paraId="3B4384DB" w14:textId="77777777">
            <w:pPr>
              <w:spacing w:after="0"/>
              <w:jc w:val="center"/>
              <w:rPr>
                <w:b/>
                <w:bCs/>
                <w:color w:val="000000"/>
              </w:rPr>
            </w:pPr>
            <w:r w:rsidRPr="00183FB9">
              <w:rPr>
                <w:b/>
                <w:bCs/>
                <w:color w:val="000000"/>
              </w:rPr>
              <w:t>2021</w:t>
            </w:r>
          </w:p>
        </w:tc>
        <w:tc>
          <w:tcPr>
            <w:tcW w:w="1459" w:type="dxa"/>
            <w:vAlign w:val="center"/>
          </w:tcPr>
          <w:p w:rsidR="008E534C" w:rsidRPr="00183FB9" w:rsidP="00D30388" w14:paraId="284C9249" w14:textId="77777777">
            <w:pPr>
              <w:spacing w:after="0"/>
              <w:jc w:val="center"/>
              <w:rPr>
                <w:b/>
                <w:bCs/>
                <w:color w:val="000000"/>
              </w:rPr>
            </w:pPr>
            <w:r w:rsidRPr="00183FB9">
              <w:rPr>
                <w:b/>
                <w:bCs/>
                <w:color w:val="000000"/>
              </w:rPr>
              <w:t>2022</w:t>
            </w:r>
          </w:p>
        </w:tc>
        <w:tc>
          <w:tcPr>
            <w:tcW w:w="1251" w:type="dxa"/>
            <w:vAlign w:val="center"/>
            <w:hideMark/>
          </w:tcPr>
          <w:p w:rsidR="008E534C" w:rsidRPr="00183FB9" w:rsidP="00D30388" w14:paraId="1C94D45C" w14:textId="77777777">
            <w:pPr>
              <w:spacing w:after="0"/>
              <w:jc w:val="center"/>
              <w:rPr>
                <w:b/>
                <w:bCs/>
                <w:color w:val="000000"/>
              </w:rPr>
            </w:pPr>
            <w:r w:rsidRPr="00183FB9">
              <w:rPr>
                <w:b/>
                <w:bCs/>
                <w:color w:val="000000"/>
              </w:rPr>
              <w:t>2023</w:t>
            </w:r>
          </w:p>
        </w:tc>
        <w:tc>
          <w:tcPr>
            <w:tcW w:w="1251" w:type="dxa"/>
            <w:vMerge/>
            <w:vAlign w:val="center"/>
            <w:hideMark/>
          </w:tcPr>
          <w:p w:rsidR="008E534C" w:rsidRPr="00183FB9" w:rsidP="00D30388" w14:paraId="14A39F19" w14:textId="77777777">
            <w:pPr>
              <w:spacing w:after="0"/>
              <w:jc w:val="center"/>
              <w:rPr>
                <w:b/>
                <w:bCs/>
                <w:color w:val="000000"/>
              </w:rPr>
            </w:pPr>
          </w:p>
        </w:tc>
        <w:tc>
          <w:tcPr>
            <w:tcW w:w="1564" w:type="dxa"/>
            <w:vMerge/>
            <w:vAlign w:val="center"/>
            <w:hideMark/>
          </w:tcPr>
          <w:p w:rsidR="008E534C" w:rsidRPr="00183FB9" w:rsidP="00D30388" w14:paraId="641B351B" w14:textId="77777777">
            <w:pPr>
              <w:spacing w:after="0"/>
              <w:jc w:val="center"/>
              <w:rPr>
                <w:b/>
                <w:bCs/>
                <w:color w:val="000000"/>
              </w:rPr>
            </w:pPr>
          </w:p>
        </w:tc>
      </w:tr>
      <w:tr w14:paraId="28C3FEDB" w14:textId="77777777" w:rsidTr="00414E6F">
        <w:tblPrEx>
          <w:tblW w:w="5000" w:type="pct"/>
          <w:tblLayout w:type="fixed"/>
          <w:tblLook w:val="04A0"/>
        </w:tblPrEx>
        <w:trPr>
          <w:trHeight w:val="300"/>
        </w:trPr>
        <w:tc>
          <w:tcPr>
            <w:tcW w:w="2487" w:type="dxa"/>
            <w:noWrap/>
            <w:vAlign w:val="center"/>
            <w:hideMark/>
          </w:tcPr>
          <w:p w:rsidR="008E534C" w:rsidRPr="00183FB9" w:rsidP="00D30388" w14:paraId="30C6B1CF" w14:textId="77777777">
            <w:pPr>
              <w:spacing w:after="0"/>
              <w:ind w:left="144"/>
              <w:rPr>
                <w:color w:val="000000"/>
              </w:rPr>
            </w:pPr>
            <w:r w:rsidRPr="00183FB9">
              <w:rPr>
                <w:color w:val="000000"/>
              </w:rPr>
              <w:t xml:space="preserve">CERCLA HS </w:t>
            </w:r>
          </w:p>
        </w:tc>
        <w:tc>
          <w:tcPr>
            <w:tcW w:w="1564" w:type="dxa"/>
            <w:noWrap/>
            <w:vAlign w:val="center"/>
            <w:hideMark/>
          </w:tcPr>
          <w:p w:rsidR="008E534C" w:rsidRPr="00183FB9" w:rsidP="00D30388" w14:paraId="51A01E2E" w14:textId="77777777">
            <w:pPr>
              <w:spacing w:after="0"/>
              <w:jc w:val="center"/>
              <w:rPr>
                <w:color w:val="000000"/>
              </w:rPr>
            </w:pPr>
            <w:r w:rsidRPr="00183FB9">
              <w:rPr>
                <w:color w:val="000000"/>
              </w:rPr>
              <w:t>8,386</w:t>
            </w:r>
          </w:p>
        </w:tc>
        <w:tc>
          <w:tcPr>
            <w:tcW w:w="1459" w:type="dxa"/>
            <w:noWrap/>
            <w:vAlign w:val="center"/>
            <w:hideMark/>
          </w:tcPr>
          <w:p w:rsidR="008E534C" w:rsidRPr="00183FB9" w:rsidP="00D30388" w14:paraId="06B29C3D" w14:textId="77777777">
            <w:pPr>
              <w:spacing w:after="0"/>
              <w:jc w:val="center"/>
              <w:rPr>
                <w:color w:val="000000"/>
              </w:rPr>
            </w:pPr>
            <w:r w:rsidRPr="00183FB9">
              <w:rPr>
                <w:color w:val="000000"/>
              </w:rPr>
              <w:t>8,760</w:t>
            </w:r>
          </w:p>
        </w:tc>
        <w:tc>
          <w:tcPr>
            <w:tcW w:w="1251" w:type="dxa"/>
            <w:noWrap/>
            <w:vAlign w:val="center"/>
            <w:hideMark/>
          </w:tcPr>
          <w:p w:rsidR="008E534C" w:rsidRPr="00183FB9" w:rsidP="00D30388" w14:paraId="0D207541" w14:textId="77777777">
            <w:pPr>
              <w:spacing w:after="0"/>
              <w:jc w:val="center"/>
              <w:rPr>
                <w:color w:val="000000"/>
              </w:rPr>
            </w:pPr>
            <w:r w:rsidRPr="00183FB9">
              <w:rPr>
                <w:color w:val="000000"/>
              </w:rPr>
              <w:t>8,691</w:t>
            </w:r>
          </w:p>
        </w:tc>
        <w:tc>
          <w:tcPr>
            <w:tcW w:w="1251" w:type="dxa"/>
            <w:noWrap/>
            <w:vAlign w:val="center"/>
            <w:hideMark/>
          </w:tcPr>
          <w:p w:rsidR="008E534C" w:rsidRPr="00183FB9" w:rsidP="00D30388" w14:paraId="313EEEB8" w14:textId="77777777">
            <w:pPr>
              <w:spacing w:after="0"/>
              <w:jc w:val="center"/>
              <w:rPr>
                <w:color w:val="000000"/>
              </w:rPr>
            </w:pPr>
            <w:r w:rsidRPr="00183FB9">
              <w:rPr>
                <w:color w:val="000000"/>
              </w:rPr>
              <w:t>25,837</w:t>
            </w:r>
          </w:p>
        </w:tc>
        <w:tc>
          <w:tcPr>
            <w:tcW w:w="1564" w:type="dxa"/>
            <w:noWrap/>
            <w:vAlign w:val="center"/>
            <w:hideMark/>
          </w:tcPr>
          <w:p w:rsidR="008E534C" w:rsidRPr="00183FB9" w:rsidP="00D30388" w14:paraId="5658D3D9" w14:textId="77777777">
            <w:pPr>
              <w:spacing w:after="0"/>
              <w:jc w:val="center"/>
              <w:rPr>
                <w:b/>
                <w:bCs/>
                <w:color w:val="000000"/>
              </w:rPr>
            </w:pPr>
            <w:r w:rsidRPr="00183FB9">
              <w:rPr>
                <w:color w:val="000000"/>
              </w:rPr>
              <w:t>8,612</w:t>
            </w:r>
          </w:p>
        </w:tc>
      </w:tr>
      <w:tr w14:paraId="57B66EC3" w14:textId="77777777" w:rsidTr="00414E6F">
        <w:tblPrEx>
          <w:tblW w:w="5000" w:type="pct"/>
          <w:tblLayout w:type="fixed"/>
          <w:tblLook w:val="04A0"/>
        </w:tblPrEx>
        <w:trPr>
          <w:trHeight w:val="300"/>
        </w:trPr>
        <w:tc>
          <w:tcPr>
            <w:tcW w:w="2487" w:type="dxa"/>
            <w:noWrap/>
            <w:vAlign w:val="center"/>
            <w:hideMark/>
          </w:tcPr>
          <w:p w:rsidR="008E534C" w:rsidRPr="00183FB9" w:rsidP="00D30388" w14:paraId="0214D4EE" w14:textId="77777777">
            <w:pPr>
              <w:spacing w:after="0"/>
              <w:ind w:left="144"/>
              <w:rPr>
                <w:color w:val="000000"/>
              </w:rPr>
            </w:pPr>
            <w:r w:rsidRPr="00183FB9">
              <w:rPr>
                <w:color w:val="000000"/>
              </w:rPr>
              <w:t>CWA oil discharges</w:t>
            </w:r>
          </w:p>
        </w:tc>
        <w:tc>
          <w:tcPr>
            <w:tcW w:w="1564" w:type="dxa"/>
            <w:noWrap/>
            <w:vAlign w:val="center"/>
            <w:hideMark/>
          </w:tcPr>
          <w:p w:rsidR="008E534C" w:rsidRPr="00183FB9" w:rsidP="00D30388" w14:paraId="743958DE" w14:textId="77777777">
            <w:pPr>
              <w:spacing w:after="0"/>
              <w:jc w:val="center"/>
              <w:rPr>
                <w:color w:val="000000"/>
              </w:rPr>
            </w:pPr>
            <w:r w:rsidRPr="00183FB9">
              <w:rPr>
                <w:color w:val="000000"/>
              </w:rPr>
              <w:t>13,257</w:t>
            </w:r>
          </w:p>
        </w:tc>
        <w:tc>
          <w:tcPr>
            <w:tcW w:w="1459" w:type="dxa"/>
            <w:noWrap/>
            <w:vAlign w:val="center"/>
            <w:hideMark/>
          </w:tcPr>
          <w:p w:rsidR="008E534C" w:rsidRPr="00183FB9" w:rsidP="00D30388" w14:paraId="57133582" w14:textId="77777777">
            <w:pPr>
              <w:spacing w:after="0"/>
              <w:jc w:val="center"/>
              <w:rPr>
                <w:color w:val="000000"/>
              </w:rPr>
            </w:pPr>
            <w:r w:rsidRPr="00183FB9">
              <w:rPr>
                <w:color w:val="000000"/>
              </w:rPr>
              <w:t>13,039</w:t>
            </w:r>
          </w:p>
        </w:tc>
        <w:tc>
          <w:tcPr>
            <w:tcW w:w="1251" w:type="dxa"/>
            <w:noWrap/>
            <w:vAlign w:val="center"/>
            <w:hideMark/>
          </w:tcPr>
          <w:p w:rsidR="008E534C" w:rsidRPr="00183FB9" w:rsidP="00D30388" w14:paraId="16F8AC8C" w14:textId="77777777">
            <w:pPr>
              <w:spacing w:after="0"/>
              <w:jc w:val="center"/>
              <w:rPr>
                <w:color w:val="000000"/>
              </w:rPr>
            </w:pPr>
            <w:r w:rsidRPr="00183FB9">
              <w:rPr>
                <w:color w:val="000000"/>
              </w:rPr>
              <w:t>13,234</w:t>
            </w:r>
          </w:p>
        </w:tc>
        <w:tc>
          <w:tcPr>
            <w:tcW w:w="1251" w:type="dxa"/>
            <w:noWrap/>
            <w:vAlign w:val="center"/>
            <w:hideMark/>
          </w:tcPr>
          <w:p w:rsidR="008E534C" w:rsidRPr="00183FB9" w:rsidP="00D30388" w14:paraId="5D00350C" w14:textId="77777777">
            <w:pPr>
              <w:spacing w:after="0"/>
              <w:jc w:val="center"/>
              <w:rPr>
                <w:color w:val="000000"/>
              </w:rPr>
            </w:pPr>
            <w:r w:rsidRPr="00183FB9">
              <w:rPr>
                <w:color w:val="000000"/>
              </w:rPr>
              <w:t>39,530</w:t>
            </w:r>
          </w:p>
        </w:tc>
        <w:tc>
          <w:tcPr>
            <w:tcW w:w="1564" w:type="dxa"/>
            <w:noWrap/>
            <w:vAlign w:val="center"/>
            <w:hideMark/>
          </w:tcPr>
          <w:p w:rsidR="008E534C" w:rsidRPr="00183FB9" w:rsidP="00D30388" w14:paraId="6C00046B" w14:textId="77777777">
            <w:pPr>
              <w:spacing w:after="0"/>
              <w:jc w:val="center"/>
              <w:rPr>
                <w:b/>
                <w:bCs/>
                <w:color w:val="000000"/>
              </w:rPr>
            </w:pPr>
            <w:r w:rsidRPr="00183FB9">
              <w:rPr>
                <w:color w:val="000000"/>
              </w:rPr>
              <w:t>13,177</w:t>
            </w:r>
          </w:p>
        </w:tc>
      </w:tr>
      <w:tr w14:paraId="704F48A6" w14:textId="77777777" w:rsidTr="00414E6F">
        <w:tblPrEx>
          <w:tblW w:w="5000" w:type="pct"/>
          <w:tblLayout w:type="fixed"/>
          <w:tblLook w:val="04A0"/>
        </w:tblPrEx>
        <w:trPr>
          <w:trHeight w:val="300"/>
        </w:trPr>
        <w:tc>
          <w:tcPr>
            <w:tcW w:w="2487" w:type="dxa"/>
            <w:noWrap/>
            <w:vAlign w:val="center"/>
            <w:hideMark/>
          </w:tcPr>
          <w:p w:rsidR="008E534C" w:rsidRPr="00183FB9" w:rsidP="00D30388" w14:paraId="0CC40C47" w14:textId="77777777">
            <w:pPr>
              <w:spacing w:after="0"/>
              <w:rPr>
                <w:b/>
                <w:bCs/>
                <w:color w:val="000000"/>
              </w:rPr>
            </w:pPr>
            <w:r w:rsidRPr="00183FB9">
              <w:rPr>
                <w:b/>
                <w:bCs/>
                <w:color w:val="000000"/>
              </w:rPr>
              <w:t>Total</w:t>
            </w:r>
          </w:p>
        </w:tc>
        <w:tc>
          <w:tcPr>
            <w:tcW w:w="1564" w:type="dxa"/>
            <w:noWrap/>
            <w:vAlign w:val="center"/>
            <w:hideMark/>
          </w:tcPr>
          <w:p w:rsidR="008E534C" w:rsidRPr="00183FB9" w:rsidP="00D30388" w14:paraId="5817C6AD" w14:textId="77777777">
            <w:pPr>
              <w:spacing w:after="0"/>
              <w:jc w:val="center"/>
              <w:rPr>
                <w:b/>
                <w:bCs/>
                <w:color w:val="000000"/>
              </w:rPr>
            </w:pPr>
            <w:r w:rsidRPr="00183FB9">
              <w:rPr>
                <w:b/>
                <w:bCs/>
                <w:color w:val="000000"/>
              </w:rPr>
              <w:t>21,643</w:t>
            </w:r>
          </w:p>
        </w:tc>
        <w:tc>
          <w:tcPr>
            <w:tcW w:w="1459" w:type="dxa"/>
            <w:noWrap/>
            <w:vAlign w:val="center"/>
            <w:hideMark/>
          </w:tcPr>
          <w:p w:rsidR="008E534C" w:rsidRPr="00183FB9" w:rsidP="00D30388" w14:paraId="232DAE3F" w14:textId="77777777">
            <w:pPr>
              <w:spacing w:after="0"/>
              <w:jc w:val="center"/>
              <w:rPr>
                <w:b/>
                <w:bCs/>
                <w:color w:val="000000"/>
              </w:rPr>
            </w:pPr>
            <w:r w:rsidRPr="00183FB9">
              <w:rPr>
                <w:b/>
                <w:bCs/>
                <w:color w:val="000000"/>
              </w:rPr>
              <w:t>21,799</w:t>
            </w:r>
          </w:p>
        </w:tc>
        <w:tc>
          <w:tcPr>
            <w:tcW w:w="1251" w:type="dxa"/>
            <w:noWrap/>
            <w:vAlign w:val="center"/>
            <w:hideMark/>
          </w:tcPr>
          <w:p w:rsidR="008E534C" w:rsidRPr="00183FB9" w:rsidP="00D30388" w14:paraId="2A8260BC" w14:textId="77777777">
            <w:pPr>
              <w:spacing w:after="0"/>
              <w:jc w:val="center"/>
              <w:rPr>
                <w:b/>
                <w:bCs/>
                <w:color w:val="000000"/>
              </w:rPr>
            </w:pPr>
            <w:r w:rsidRPr="00183FB9">
              <w:rPr>
                <w:b/>
                <w:bCs/>
                <w:color w:val="000000"/>
              </w:rPr>
              <w:t>21,925</w:t>
            </w:r>
          </w:p>
        </w:tc>
        <w:tc>
          <w:tcPr>
            <w:tcW w:w="1251" w:type="dxa"/>
            <w:noWrap/>
            <w:vAlign w:val="center"/>
            <w:hideMark/>
          </w:tcPr>
          <w:p w:rsidR="008E534C" w:rsidRPr="00183FB9" w:rsidP="00D30388" w14:paraId="66C5C876" w14:textId="77777777">
            <w:pPr>
              <w:spacing w:after="0"/>
              <w:jc w:val="center"/>
              <w:rPr>
                <w:b/>
                <w:bCs/>
                <w:color w:val="000000"/>
              </w:rPr>
            </w:pPr>
            <w:r w:rsidRPr="00183FB9">
              <w:rPr>
                <w:b/>
                <w:bCs/>
                <w:color w:val="000000"/>
              </w:rPr>
              <w:t>65,367</w:t>
            </w:r>
          </w:p>
        </w:tc>
        <w:tc>
          <w:tcPr>
            <w:tcW w:w="1564" w:type="dxa"/>
            <w:noWrap/>
            <w:vAlign w:val="center"/>
            <w:hideMark/>
          </w:tcPr>
          <w:p w:rsidR="008E534C" w:rsidRPr="0043112A" w:rsidP="00D30388" w14:paraId="4CA85199" w14:textId="77777777">
            <w:pPr>
              <w:spacing w:after="0"/>
              <w:jc w:val="center"/>
              <w:rPr>
                <w:b/>
                <w:bCs/>
                <w:color w:val="000000"/>
              </w:rPr>
            </w:pPr>
            <w:r w:rsidRPr="00183FB9">
              <w:rPr>
                <w:b/>
                <w:bCs/>
                <w:color w:val="000000"/>
              </w:rPr>
              <w:t>21,789</w:t>
            </w:r>
          </w:p>
        </w:tc>
      </w:tr>
    </w:tbl>
    <w:p w:rsidR="00ED57A4" w:rsidRPr="00DF6672" w:rsidP="00DF6672" w14:paraId="24D360E5" w14:textId="6DF33794">
      <w:pPr>
        <w:pStyle w:val="Style1"/>
      </w:pPr>
      <w:r w:rsidRPr="00163C69">
        <w:t xml:space="preserve">12b. </w:t>
      </w:r>
      <w:r w:rsidRPr="00163C69" w:rsidR="00BB7DA0">
        <w:t>Information Requested</w:t>
      </w:r>
      <w:bookmarkStart w:id="20" w:name="_Toc156593384"/>
      <w:bookmarkEnd w:id="19"/>
    </w:p>
    <w:p w:rsidR="00B6763C" w:rsidP="00B6763C" w14:paraId="7A8D7A61" w14:textId="77777777">
      <w:r w:rsidRPr="00BD761D">
        <w:t>See Appendix A for a</w:t>
      </w:r>
      <w:r>
        <w:t xml:space="preserve"> list of the information items required to be provided in the notification call to the NRC for an episodic release. </w:t>
      </w:r>
    </w:p>
    <w:p w:rsidR="00B6763C" w:rsidP="00B6763C" w14:paraId="209CC976" w14:textId="77777777">
      <w:r w:rsidRPr="00AB458E">
        <w:t>As mentioned previously, there are no recordkeeping requirements specified under CERCLA section 103(a), CWA section 311, or their implementing regulations. The person in charge of the facility or vessel, however, may elect to maintain a log detailing the time, date, and circumstances associated with the reported release</w:t>
      </w:r>
      <w:r>
        <w:t>.</w:t>
      </w:r>
      <w:r w:rsidRPr="00AB458E">
        <w:t xml:space="preserve"> </w:t>
      </w:r>
      <w:r>
        <w:t xml:space="preserve">EPA assumes that </w:t>
      </w:r>
      <w:r w:rsidRPr="00AB458E">
        <w:t>respondent</w:t>
      </w:r>
      <w:r>
        <w:t>s</w:t>
      </w:r>
      <w:r w:rsidRPr="00AB458E">
        <w:t xml:space="preserve"> will maintain a reported release log, </w:t>
      </w:r>
      <w:r>
        <w:t xml:space="preserve">so </w:t>
      </w:r>
      <w:r w:rsidRPr="00AB458E">
        <w:t>burden and cost estimates associated with recordkeeping a</w:t>
      </w:r>
      <w:r>
        <w:t>re included in this ICR</w:t>
      </w:r>
      <w:r w:rsidRPr="007D3D49">
        <w:t>.</w:t>
      </w:r>
    </w:p>
    <w:p w:rsidR="001172FE" w:rsidRPr="00DF6672" w:rsidP="00DF6672" w14:paraId="7B8A0ACD" w14:textId="27119692">
      <w:pPr>
        <w:pStyle w:val="Style1"/>
      </w:pPr>
      <w:r w:rsidRPr="00163C69">
        <w:t xml:space="preserve">12c. </w:t>
      </w:r>
      <w:r w:rsidRPr="00163C69" w:rsidR="00DD718B">
        <w:t>Respondent Activities</w:t>
      </w:r>
      <w:bookmarkStart w:id="21" w:name="_Toc156593385"/>
      <w:bookmarkEnd w:id="20"/>
    </w:p>
    <w:p w:rsidR="00FB4B85" w:rsidP="00FB4B85" w14:paraId="3A205640" w14:textId="77777777">
      <w:r w:rsidRPr="00AB458E">
        <w:t>To comply with the notification requirements specified in the regulations implementing CERCLA section 103(a) and CWA section 311, the regulated community is expected to</w:t>
      </w:r>
      <w:r>
        <w:t>:</w:t>
      </w:r>
    </w:p>
    <w:p w:rsidR="00FB4B85" w:rsidP="00FB4B85" w14:paraId="0599AEDF" w14:textId="77777777">
      <w:pPr>
        <w:pStyle w:val="ListParagraph"/>
        <w:widowControl w:val="0"/>
        <w:numPr>
          <w:ilvl w:val="0"/>
          <w:numId w:val="30"/>
        </w:numPr>
        <w:adjustRightInd w:val="0"/>
        <w:spacing w:after="120" w:line="240" w:lineRule="auto"/>
        <w:contextualSpacing w:val="0"/>
      </w:pPr>
      <w:r w:rsidRPr="00AB458E">
        <w:t>Gather necessary release data, such as the time, quantity, and source of the release</w:t>
      </w:r>
      <w:r>
        <w:t>;</w:t>
      </w:r>
    </w:p>
    <w:p w:rsidR="00FB4B85" w:rsidRPr="00AB458E" w:rsidP="00FB4B85" w14:paraId="73D64E6A" w14:textId="77777777">
      <w:pPr>
        <w:pStyle w:val="ListParagraph"/>
        <w:widowControl w:val="0"/>
        <w:numPr>
          <w:ilvl w:val="0"/>
          <w:numId w:val="30"/>
        </w:numPr>
        <w:adjustRightInd w:val="0"/>
        <w:spacing w:after="120" w:line="240" w:lineRule="auto"/>
        <w:contextualSpacing w:val="0"/>
      </w:pPr>
      <w:r w:rsidRPr="00AB458E">
        <w:t>Report the release by telephone to the NRC</w:t>
      </w:r>
      <w:r>
        <w:t>;</w:t>
      </w:r>
      <w:r w:rsidRPr="00AB458E">
        <w:t xml:space="preserve"> and</w:t>
      </w:r>
      <w:r>
        <w:t>,</w:t>
      </w:r>
    </w:p>
    <w:p w:rsidR="00FB4B85" w:rsidP="00FB4B85" w14:paraId="7F8B3B8E" w14:textId="77777777">
      <w:pPr>
        <w:pStyle w:val="ListParagraph"/>
        <w:widowControl w:val="0"/>
        <w:numPr>
          <w:ilvl w:val="0"/>
          <w:numId w:val="30"/>
        </w:numPr>
        <w:adjustRightInd w:val="0"/>
        <w:spacing w:after="120" w:line="240" w:lineRule="auto"/>
        <w:contextualSpacing w:val="0"/>
      </w:pPr>
      <w:r w:rsidRPr="00AB458E">
        <w:t>Keep a log of release data such as the time, date, and</w:t>
      </w:r>
      <w:r>
        <w:t xml:space="preserve"> circumstances of the release. </w:t>
      </w:r>
      <w:r w:rsidRPr="00AB458E">
        <w:t>(This information is expected but not required under the regulations.)</w:t>
      </w:r>
    </w:p>
    <w:p w:rsidR="00FB4B85" w:rsidP="00FB4B85" w14:paraId="1B78AAF4" w14:textId="77777777">
      <w:bookmarkStart w:id="22" w:name="_Hlk189054645"/>
      <w:r w:rsidRPr="00AB458E">
        <w:t>Information is not collected at any specified frequency</w:t>
      </w:r>
      <w:bookmarkEnd w:id="22"/>
      <w:r w:rsidRPr="00AB458E">
        <w:t xml:space="preserve">; rather, it is collected when reportable releases occur. Under CERCLA section 103(a), a release of a hazardous substance is reportable when it equals or exceeds its RQ. Pursuant to CWA section 311, a discharge of oil into navigable waters is reportable whenever the discharge causes </w:t>
      </w:r>
      <w:r>
        <w:t>a sheen</w:t>
      </w:r>
      <w:r w:rsidRPr="00AB458E">
        <w:t>, violates applicable water quality standards, or causes a sludge or emulsion to be deposited beneath the surface of the water or upon adjoining shorelines.</w:t>
      </w:r>
    </w:p>
    <w:p w:rsidR="00D92ED6" w:rsidRPr="00DF6672" w:rsidP="00DF6672" w14:paraId="0B6BE1C2" w14:textId="3F49A8F0">
      <w:pPr>
        <w:pStyle w:val="Style1"/>
      </w:pPr>
      <w:r w:rsidRPr="00163C69">
        <w:t xml:space="preserve">12d. </w:t>
      </w:r>
      <w:r w:rsidRPr="00163C69">
        <w:t xml:space="preserve">Respondent </w:t>
      </w:r>
      <w:r w:rsidRPr="00163C69" w:rsidR="00BB2B15">
        <w:t xml:space="preserve">Burden </w:t>
      </w:r>
      <w:r w:rsidRPr="00163C69" w:rsidR="00B666CD">
        <w:t>Hour</w:t>
      </w:r>
      <w:r w:rsidRPr="00163C69" w:rsidR="00BB2B15">
        <w:t>s</w:t>
      </w:r>
      <w:r w:rsidRPr="00163C69" w:rsidR="00B666CD">
        <w:t xml:space="preserve"> and Labor </w:t>
      </w:r>
      <w:bookmarkEnd w:id="21"/>
      <w:r w:rsidRPr="00163C69" w:rsidR="00BB2B15">
        <w:t>Costs</w:t>
      </w:r>
    </w:p>
    <w:p w:rsidR="00E31E16" w:rsidP="00E31E16" w14:paraId="5B32DB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bookmarkStart w:id="23" w:name="_Toc156593386"/>
      <w:r w:rsidRPr="001F5AEE">
        <w:rPr>
          <w:b/>
          <w:highlight w:val="white"/>
        </w:rPr>
        <w:t>Estimating Respondent Burden</w:t>
      </w:r>
    </w:p>
    <w:p w:rsidR="00E31E16" w:rsidP="00E31E16" w14:paraId="49262B9F" w14:textId="77777777">
      <w:r w:rsidRPr="00AB458E">
        <w:t>Under CERCLA section 103(a) and CWA section 311, the person in charge of a facility or vessel that experiences a reportable release is expected to perform the following activities: (1) gather necessary release data, such as the time, date, quanti</w:t>
      </w:r>
      <w:r>
        <w:t xml:space="preserve">ty, and source of the release; </w:t>
      </w:r>
      <w:r w:rsidRPr="00AB458E">
        <w:t>(</w:t>
      </w:r>
      <w:r>
        <w:t>2</w:t>
      </w:r>
      <w:r w:rsidRPr="00AB458E">
        <w:t>) report the release by telephone to the NRC; and (</w:t>
      </w:r>
      <w:r>
        <w:t>3</w:t>
      </w:r>
      <w:r w:rsidRPr="00AB458E">
        <w:t xml:space="preserve">) keep a log of release data such as time, date, and circumstance of the release. </w:t>
      </w:r>
      <w:r>
        <w:t>R</w:t>
      </w:r>
      <w:r w:rsidRPr="00AB458E">
        <w:t>espondent</w:t>
      </w:r>
      <w:r>
        <w:t>s are</w:t>
      </w:r>
      <w:r w:rsidRPr="00AB458E">
        <w:t xml:space="preserve"> not required to keep a log of release data under the episodic release notification regulation; </w:t>
      </w:r>
      <w:r w:rsidRPr="00F04072">
        <w:t xml:space="preserve">however, EPA assumes respondents will </w:t>
      </w:r>
      <w:r>
        <w:t>do so.</w:t>
      </w:r>
    </w:p>
    <w:p w:rsidR="00E31E16" w:rsidP="00E31E16" w14:paraId="586453CB" w14:textId="77777777">
      <w:r w:rsidRPr="00AB458E">
        <w:t xml:space="preserve">Exhibit </w:t>
      </w:r>
      <w:r>
        <w:t>2</w:t>
      </w:r>
      <w:r w:rsidRPr="00AB458E">
        <w:t xml:space="preserve"> presents a summary of the unit burden hours associated with reporting a typical release to the NRC. The burden associated with the </w:t>
      </w:r>
      <w:r>
        <w:t>“</w:t>
      </w:r>
      <w:r w:rsidRPr="00AB458E">
        <w:t xml:space="preserve">Initial </w:t>
      </w:r>
      <w:r>
        <w:t>t</w:t>
      </w:r>
      <w:r w:rsidRPr="00AB458E">
        <w:t xml:space="preserve">elephone </w:t>
      </w:r>
      <w:r>
        <w:t>c</w:t>
      </w:r>
      <w:r w:rsidRPr="00AB458E">
        <w:t>all to the NRC</w:t>
      </w:r>
      <w:r>
        <w:t>”</w:t>
      </w:r>
      <w:r w:rsidRPr="00AB458E">
        <w:t xml:space="preserve"> includes t</w:t>
      </w:r>
      <w:r>
        <w:t xml:space="preserve">ime spent </w:t>
      </w:r>
      <w:r w:rsidRPr="00AB458E">
        <w:t xml:space="preserve">gathering data on the </w:t>
      </w:r>
      <w:r w:rsidRPr="00D951E0">
        <w:t>release. EPA has estimated that the respondent’s total burden for reporting a typical release is</w:t>
      </w:r>
      <w:r w:rsidRPr="00D951E0">
        <w:rPr>
          <w:vertAlign w:val="superscript"/>
        </w:rPr>
        <w:t xml:space="preserve"> </w:t>
      </w:r>
      <w:r w:rsidRPr="00D951E0">
        <w:t>1.02 hours</w:t>
      </w:r>
      <w:r>
        <w:t xml:space="preserve">. </w:t>
      </w:r>
      <w:r w:rsidRPr="00672380">
        <w:t>These estimates are unchanged from the previous ICR renewal.</w:t>
      </w:r>
    </w:p>
    <w:p w:rsidR="00414E6F" w:rsidP="00E31E16" w14:paraId="7B284701" w14:textId="0188439C">
      <w:r w:rsidRPr="00CE7603">
        <w:rPr>
          <w:b/>
          <w:color w:val="000000"/>
        </w:rPr>
        <w:t>Exhibit 2</w:t>
      </w:r>
      <w:r>
        <w:rPr>
          <w:b/>
          <w:color w:val="000000"/>
        </w:rPr>
        <w:t xml:space="preserve">. </w:t>
      </w:r>
      <w:r w:rsidRPr="00462A94">
        <w:rPr>
          <w:b/>
          <w:bCs/>
          <w:color w:val="000000"/>
        </w:rPr>
        <w:t>Unit Burden Hours for Reporting a Typical Release to the NRC</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5"/>
        <w:gridCol w:w="1476"/>
        <w:gridCol w:w="1476"/>
        <w:gridCol w:w="1477"/>
        <w:gridCol w:w="1766"/>
      </w:tblGrid>
      <w:tr w14:paraId="77A5B242" w14:textId="77777777" w:rsidTr="00414E6F">
        <w:tblPrEx>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0"/>
          <w:tblHeader/>
          <w:jc w:val="center"/>
        </w:trPr>
        <w:tc>
          <w:tcPr>
            <w:tcW w:w="3135" w:type="dxa"/>
            <w:vMerge w:val="restart"/>
            <w:noWrap/>
            <w:vAlign w:val="center"/>
            <w:hideMark/>
          </w:tcPr>
          <w:p w:rsidR="00E31E16" w:rsidRPr="00462A94" w:rsidP="00D30388" w14:paraId="03871E14" w14:textId="77777777">
            <w:pPr>
              <w:spacing w:after="0"/>
              <w:jc w:val="center"/>
              <w:rPr>
                <w:b/>
                <w:bCs/>
                <w:color w:val="000000"/>
              </w:rPr>
            </w:pPr>
            <w:r w:rsidRPr="00462A94">
              <w:rPr>
                <w:b/>
                <w:bCs/>
                <w:color w:val="000000"/>
              </w:rPr>
              <w:t>Collection Activity</w:t>
            </w:r>
          </w:p>
        </w:tc>
        <w:tc>
          <w:tcPr>
            <w:tcW w:w="4429" w:type="dxa"/>
            <w:gridSpan w:val="3"/>
            <w:noWrap/>
            <w:vAlign w:val="center"/>
            <w:hideMark/>
          </w:tcPr>
          <w:p w:rsidR="00E31E16" w:rsidRPr="00462A94" w:rsidP="00D30388" w14:paraId="719991D8" w14:textId="77777777">
            <w:pPr>
              <w:spacing w:after="0"/>
              <w:jc w:val="center"/>
              <w:rPr>
                <w:b/>
                <w:bCs/>
                <w:color w:val="000000"/>
              </w:rPr>
            </w:pPr>
            <w:r w:rsidRPr="00462A94">
              <w:rPr>
                <w:b/>
                <w:bCs/>
                <w:color w:val="000000"/>
              </w:rPr>
              <w:t>Burden Hours</w:t>
            </w:r>
          </w:p>
        </w:tc>
        <w:tc>
          <w:tcPr>
            <w:tcW w:w="1766" w:type="dxa"/>
            <w:vMerge w:val="restart"/>
            <w:noWrap/>
            <w:vAlign w:val="center"/>
            <w:hideMark/>
          </w:tcPr>
          <w:p w:rsidR="00E31E16" w:rsidRPr="00462A94" w:rsidP="00D30388" w14:paraId="2B7D0E98" w14:textId="77777777">
            <w:pPr>
              <w:spacing w:after="0"/>
              <w:jc w:val="center"/>
              <w:rPr>
                <w:b/>
                <w:bCs/>
                <w:color w:val="000000"/>
              </w:rPr>
            </w:pPr>
            <w:r w:rsidRPr="00462A94">
              <w:rPr>
                <w:b/>
                <w:bCs/>
                <w:color w:val="000000"/>
              </w:rPr>
              <w:t>Total Burden Hours</w:t>
            </w:r>
          </w:p>
        </w:tc>
      </w:tr>
      <w:tr w14:paraId="33279159" w14:textId="77777777" w:rsidTr="00414E6F">
        <w:tblPrEx>
          <w:tblW w:w="9330" w:type="dxa"/>
          <w:jc w:val="center"/>
          <w:tblLayout w:type="fixed"/>
          <w:tblLook w:val="04A0"/>
        </w:tblPrEx>
        <w:trPr>
          <w:trHeight w:val="300"/>
          <w:tblHeader/>
          <w:jc w:val="center"/>
        </w:trPr>
        <w:tc>
          <w:tcPr>
            <w:tcW w:w="3135" w:type="dxa"/>
            <w:vMerge/>
            <w:vAlign w:val="center"/>
            <w:hideMark/>
          </w:tcPr>
          <w:p w:rsidR="00E31E16" w:rsidRPr="00462A94" w:rsidP="00D30388" w14:paraId="2AB49466" w14:textId="77777777">
            <w:pPr>
              <w:spacing w:after="0"/>
              <w:rPr>
                <w:b/>
                <w:bCs/>
                <w:color w:val="000000"/>
              </w:rPr>
            </w:pPr>
          </w:p>
        </w:tc>
        <w:tc>
          <w:tcPr>
            <w:tcW w:w="1476" w:type="dxa"/>
            <w:noWrap/>
            <w:vAlign w:val="center"/>
            <w:hideMark/>
          </w:tcPr>
          <w:p w:rsidR="00E31E16" w:rsidRPr="00462A94" w:rsidP="00D30388" w14:paraId="6CADE1CC" w14:textId="77777777">
            <w:pPr>
              <w:spacing w:after="0"/>
              <w:jc w:val="center"/>
              <w:rPr>
                <w:b/>
                <w:bCs/>
                <w:color w:val="000000"/>
              </w:rPr>
            </w:pPr>
            <w:r w:rsidRPr="00462A94">
              <w:rPr>
                <w:b/>
                <w:bCs/>
                <w:color w:val="000000"/>
              </w:rPr>
              <w:t>Managerial</w:t>
            </w:r>
          </w:p>
        </w:tc>
        <w:tc>
          <w:tcPr>
            <w:tcW w:w="1476" w:type="dxa"/>
            <w:noWrap/>
            <w:vAlign w:val="center"/>
            <w:hideMark/>
          </w:tcPr>
          <w:p w:rsidR="00E31E16" w:rsidRPr="00462A94" w:rsidP="00D30388" w14:paraId="65BC39A8" w14:textId="77777777">
            <w:pPr>
              <w:spacing w:after="0"/>
              <w:jc w:val="center"/>
              <w:rPr>
                <w:b/>
                <w:bCs/>
                <w:color w:val="000000"/>
              </w:rPr>
            </w:pPr>
            <w:r w:rsidRPr="00462A94">
              <w:rPr>
                <w:b/>
                <w:bCs/>
                <w:color w:val="000000"/>
              </w:rPr>
              <w:t>Technical</w:t>
            </w:r>
          </w:p>
        </w:tc>
        <w:tc>
          <w:tcPr>
            <w:tcW w:w="1477" w:type="dxa"/>
            <w:noWrap/>
            <w:vAlign w:val="center"/>
            <w:hideMark/>
          </w:tcPr>
          <w:p w:rsidR="00E31E16" w:rsidRPr="00462A94" w:rsidP="00D30388" w14:paraId="00FCC743" w14:textId="77777777">
            <w:pPr>
              <w:spacing w:after="0"/>
              <w:jc w:val="center"/>
              <w:rPr>
                <w:b/>
                <w:bCs/>
                <w:color w:val="000000"/>
              </w:rPr>
            </w:pPr>
            <w:r w:rsidRPr="00462A94">
              <w:rPr>
                <w:b/>
                <w:bCs/>
                <w:color w:val="000000"/>
              </w:rPr>
              <w:t>Clerical</w:t>
            </w:r>
          </w:p>
        </w:tc>
        <w:tc>
          <w:tcPr>
            <w:tcW w:w="1766" w:type="dxa"/>
            <w:vMerge/>
            <w:vAlign w:val="center"/>
            <w:hideMark/>
          </w:tcPr>
          <w:p w:rsidR="00E31E16" w:rsidRPr="00462A94" w:rsidP="00D30388" w14:paraId="7C751806" w14:textId="77777777">
            <w:pPr>
              <w:spacing w:after="0"/>
              <w:rPr>
                <w:b/>
                <w:bCs/>
                <w:color w:val="000000"/>
              </w:rPr>
            </w:pPr>
          </w:p>
        </w:tc>
      </w:tr>
      <w:tr w14:paraId="6A1B0783" w14:textId="77777777" w:rsidTr="00414E6F">
        <w:tblPrEx>
          <w:tblW w:w="9330" w:type="dxa"/>
          <w:jc w:val="center"/>
          <w:tblLayout w:type="fixed"/>
          <w:tblLook w:val="04A0"/>
        </w:tblPrEx>
        <w:trPr>
          <w:trHeight w:val="300"/>
          <w:jc w:val="center"/>
        </w:trPr>
        <w:tc>
          <w:tcPr>
            <w:tcW w:w="3135" w:type="dxa"/>
            <w:noWrap/>
            <w:vAlign w:val="center"/>
            <w:hideMark/>
          </w:tcPr>
          <w:p w:rsidR="00E31E16" w:rsidRPr="00462A94" w:rsidP="00D30388" w14:paraId="0FFFC965" w14:textId="77777777">
            <w:pPr>
              <w:spacing w:after="0"/>
              <w:rPr>
                <w:color w:val="000000"/>
              </w:rPr>
            </w:pPr>
            <w:r w:rsidRPr="00462A94">
              <w:rPr>
                <w:color w:val="000000"/>
              </w:rPr>
              <w:t xml:space="preserve">Initial </w:t>
            </w:r>
            <w:r>
              <w:rPr>
                <w:color w:val="000000"/>
              </w:rPr>
              <w:t>t</w:t>
            </w:r>
            <w:r w:rsidRPr="00462A94">
              <w:rPr>
                <w:color w:val="000000"/>
              </w:rPr>
              <w:t xml:space="preserve">elephone </w:t>
            </w:r>
            <w:r>
              <w:rPr>
                <w:color w:val="000000"/>
              </w:rPr>
              <w:t>c</w:t>
            </w:r>
            <w:r w:rsidRPr="00462A94">
              <w:rPr>
                <w:color w:val="000000"/>
              </w:rPr>
              <w:t>all to the NRC</w:t>
            </w:r>
          </w:p>
        </w:tc>
        <w:tc>
          <w:tcPr>
            <w:tcW w:w="1476" w:type="dxa"/>
            <w:noWrap/>
            <w:vAlign w:val="center"/>
            <w:hideMark/>
          </w:tcPr>
          <w:p w:rsidR="00E31E16" w:rsidRPr="00F13E73" w:rsidP="00D30388" w14:paraId="62DDD4CC" w14:textId="77777777">
            <w:pPr>
              <w:spacing w:after="0"/>
              <w:jc w:val="center"/>
              <w:rPr>
                <w:color w:val="000000"/>
              </w:rPr>
            </w:pPr>
            <w:r w:rsidRPr="008D70FB">
              <w:rPr>
                <w:color w:val="000000"/>
              </w:rPr>
              <w:t>0.32</w:t>
            </w:r>
          </w:p>
        </w:tc>
        <w:tc>
          <w:tcPr>
            <w:tcW w:w="1476" w:type="dxa"/>
            <w:noWrap/>
            <w:vAlign w:val="center"/>
            <w:hideMark/>
          </w:tcPr>
          <w:p w:rsidR="00E31E16" w:rsidRPr="00F13E73" w:rsidP="00D30388" w14:paraId="73397D48" w14:textId="77777777">
            <w:pPr>
              <w:spacing w:after="0"/>
              <w:jc w:val="center"/>
              <w:rPr>
                <w:color w:val="000000"/>
              </w:rPr>
            </w:pPr>
            <w:r w:rsidRPr="008D70FB">
              <w:rPr>
                <w:color w:val="000000"/>
              </w:rPr>
              <w:t>0.32</w:t>
            </w:r>
          </w:p>
        </w:tc>
        <w:tc>
          <w:tcPr>
            <w:tcW w:w="1477" w:type="dxa"/>
            <w:noWrap/>
            <w:vAlign w:val="center"/>
            <w:hideMark/>
          </w:tcPr>
          <w:p w:rsidR="00E31E16" w:rsidRPr="00F13E73" w:rsidP="00D30388" w14:paraId="7F8837ED" w14:textId="77777777">
            <w:pPr>
              <w:spacing w:after="0"/>
              <w:jc w:val="center"/>
              <w:rPr>
                <w:color w:val="000000"/>
              </w:rPr>
            </w:pPr>
            <w:r w:rsidRPr="008D70FB">
              <w:rPr>
                <w:color w:val="000000"/>
              </w:rPr>
              <w:t>0.00</w:t>
            </w:r>
          </w:p>
        </w:tc>
        <w:tc>
          <w:tcPr>
            <w:tcW w:w="1766" w:type="dxa"/>
            <w:noWrap/>
            <w:vAlign w:val="center"/>
            <w:hideMark/>
          </w:tcPr>
          <w:p w:rsidR="00E31E16" w:rsidRPr="00F13E73" w:rsidP="00D30388" w14:paraId="27D67A35" w14:textId="77777777">
            <w:pPr>
              <w:spacing w:after="0"/>
              <w:jc w:val="center"/>
              <w:rPr>
                <w:b/>
                <w:bCs/>
                <w:color w:val="000000"/>
              </w:rPr>
            </w:pPr>
            <w:r w:rsidRPr="008D70FB">
              <w:rPr>
                <w:b/>
                <w:bCs/>
                <w:color w:val="000000"/>
              </w:rPr>
              <w:t>0.64</w:t>
            </w:r>
          </w:p>
        </w:tc>
      </w:tr>
      <w:tr w14:paraId="563F12FA" w14:textId="77777777" w:rsidTr="00414E6F">
        <w:tblPrEx>
          <w:tblW w:w="9330" w:type="dxa"/>
          <w:jc w:val="center"/>
          <w:tblLayout w:type="fixed"/>
          <w:tblLook w:val="04A0"/>
        </w:tblPrEx>
        <w:trPr>
          <w:trHeight w:val="300"/>
          <w:jc w:val="center"/>
        </w:trPr>
        <w:tc>
          <w:tcPr>
            <w:tcW w:w="3135" w:type="dxa"/>
            <w:noWrap/>
            <w:vAlign w:val="center"/>
            <w:hideMark/>
          </w:tcPr>
          <w:p w:rsidR="00E31E16" w:rsidRPr="00462A94" w:rsidP="00D30388" w14:paraId="29FC18A3" w14:textId="77777777">
            <w:pPr>
              <w:spacing w:after="0"/>
              <w:rPr>
                <w:color w:val="000000"/>
              </w:rPr>
            </w:pPr>
            <w:r w:rsidRPr="00462A94">
              <w:rPr>
                <w:color w:val="000000"/>
              </w:rPr>
              <w:t>Recordkeeping</w:t>
            </w:r>
          </w:p>
        </w:tc>
        <w:tc>
          <w:tcPr>
            <w:tcW w:w="1476" w:type="dxa"/>
            <w:noWrap/>
            <w:vAlign w:val="center"/>
            <w:hideMark/>
          </w:tcPr>
          <w:p w:rsidR="00E31E16" w:rsidRPr="00F13E73" w:rsidP="00D30388" w14:paraId="4749FC35" w14:textId="77777777">
            <w:pPr>
              <w:spacing w:after="0"/>
              <w:jc w:val="center"/>
              <w:rPr>
                <w:color w:val="000000"/>
              </w:rPr>
            </w:pPr>
            <w:r w:rsidRPr="008D70FB">
              <w:rPr>
                <w:color w:val="000000"/>
              </w:rPr>
              <w:t>0.02</w:t>
            </w:r>
          </w:p>
        </w:tc>
        <w:tc>
          <w:tcPr>
            <w:tcW w:w="1476" w:type="dxa"/>
            <w:noWrap/>
            <w:vAlign w:val="center"/>
            <w:hideMark/>
          </w:tcPr>
          <w:p w:rsidR="00E31E16" w:rsidRPr="00F13E73" w:rsidP="00D30388" w14:paraId="7C5D52AB" w14:textId="77777777">
            <w:pPr>
              <w:spacing w:after="0"/>
              <w:jc w:val="center"/>
              <w:rPr>
                <w:color w:val="000000"/>
              </w:rPr>
            </w:pPr>
            <w:r w:rsidRPr="008D70FB">
              <w:rPr>
                <w:color w:val="000000"/>
              </w:rPr>
              <w:t>0.18</w:t>
            </w:r>
          </w:p>
        </w:tc>
        <w:tc>
          <w:tcPr>
            <w:tcW w:w="1477" w:type="dxa"/>
            <w:noWrap/>
            <w:vAlign w:val="center"/>
            <w:hideMark/>
          </w:tcPr>
          <w:p w:rsidR="00E31E16" w:rsidRPr="00F13E73" w:rsidP="00D30388" w14:paraId="23396D06" w14:textId="77777777">
            <w:pPr>
              <w:spacing w:after="0"/>
              <w:jc w:val="center"/>
              <w:rPr>
                <w:color w:val="000000"/>
              </w:rPr>
            </w:pPr>
            <w:r w:rsidRPr="008D70FB">
              <w:rPr>
                <w:color w:val="000000"/>
              </w:rPr>
              <w:t>0.18</w:t>
            </w:r>
          </w:p>
        </w:tc>
        <w:tc>
          <w:tcPr>
            <w:tcW w:w="1766" w:type="dxa"/>
            <w:noWrap/>
            <w:vAlign w:val="center"/>
            <w:hideMark/>
          </w:tcPr>
          <w:p w:rsidR="00E31E16" w:rsidRPr="00F13E73" w:rsidP="00D30388" w14:paraId="6D183F3E" w14:textId="77777777">
            <w:pPr>
              <w:spacing w:after="0"/>
              <w:jc w:val="center"/>
              <w:rPr>
                <w:b/>
                <w:bCs/>
                <w:color w:val="000000"/>
              </w:rPr>
            </w:pPr>
            <w:r w:rsidRPr="008D70FB">
              <w:rPr>
                <w:b/>
                <w:bCs/>
                <w:color w:val="000000"/>
              </w:rPr>
              <w:t>0.38</w:t>
            </w:r>
          </w:p>
        </w:tc>
      </w:tr>
      <w:tr w14:paraId="53A42E15" w14:textId="77777777" w:rsidTr="00414E6F">
        <w:tblPrEx>
          <w:tblW w:w="9330" w:type="dxa"/>
          <w:jc w:val="center"/>
          <w:tblLayout w:type="fixed"/>
          <w:tblLook w:val="04A0"/>
        </w:tblPrEx>
        <w:trPr>
          <w:trHeight w:val="300"/>
          <w:jc w:val="center"/>
        </w:trPr>
        <w:tc>
          <w:tcPr>
            <w:tcW w:w="3135" w:type="dxa"/>
            <w:noWrap/>
            <w:vAlign w:val="center"/>
            <w:hideMark/>
          </w:tcPr>
          <w:p w:rsidR="00E31E16" w:rsidRPr="00462A94" w:rsidP="00D30388" w14:paraId="4CC7D890" w14:textId="77777777">
            <w:pPr>
              <w:spacing w:after="0"/>
              <w:jc w:val="center"/>
              <w:rPr>
                <w:b/>
                <w:bCs/>
                <w:color w:val="000000"/>
              </w:rPr>
            </w:pPr>
            <w:r w:rsidRPr="00462A94">
              <w:rPr>
                <w:b/>
                <w:bCs/>
                <w:color w:val="000000"/>
              </w:rPr>
              <w:t>Total</w:t>
            </w:r>
          </w:p>
        </w:tc>
        <w:tc>
          <w:tcPr>
            <w:tcW w:w="1476" w:type="dxa"/>
            <w:noWrap/>
            <w:vAlign w:val="center"/>
            <w:hideMark/>
          </w:tcPr>
          <w:p w:rsidR="00E31E16" w:rsidRPr="00F13E73" w:rsidP="00D30388" w14:paraId="29CBDAB0" w14:textId="77777777">
            <w:pPr>
              <w:spacing w:after="0"/>
              <w:jc w:val="center"/>
              <w:rPr>
                <w:b/>
                <w:bCs/>
                <w:color w:val="000000"/>
              </w:rPr>
            </w:pPr>
            <w:r w:rsidRPr="008D70FB">
              <w:rPr>
                <w:b/>
                <w:bCs/>
                <w:color w:val="000000"/>
              </w:rPr>
              <w:t>0.34</w:t>
            </w:r>
          </w:p>
        </w:tc>
        <w:tc>
          <w:tcPr>
            <w:tcW w:w="1476" w:type="dxa"/>
            <w:noWrap/>
            <w:vAlign w:val="center"/>
            <w:hideMark/>
          </w:tcPr>
          <w:p w:rsidR="00E31E16" w:rsidRPr="00F13E73" w:rsidP="00D30388" w14:paraId="0C916BA1" w14:textId="77777777">
            <w:pPr>
              <w:spacing w:after="0"/>
              <w:jc w:val="center"/>
              <w:rPr>
                <w:b/>
                <w:bCs/>
                <w:color w:val="000000"/>
              </w:rPr>
            </w:pPr>
            <w:r w:rsidRPr="008D70FB">
              <w:rPr>
                <w:b/>
                <w:bCs/>
                <w:color w:val="000000"/>
              </w:rPr>
              <w:t>0.50</w:t>
            </w:r>
          </w:p>
        </w:tc>
        <w:tc>
          <w:tcPr>
            <w:tcW w:w="1477" w:type="dxa"/>
            <w:noWrap/>
            <w:vAlign w:val="center"/>
            <w:hideMark/>
          </w:tcPr>
          <w:p w:rsidR="00E31E16" w:rsidRPr="00F13E73" w:rsidP="00D30388" w14:paraId="41DAC339" w14:textId="77777777">
            <w:pPr>
              <w:spacing w:after="0"/>
              <w:jc w:val="center"/>
              <w:rPr>
                <w:b/>
                <w:bCs/>
                <w:color w:val="000000"/>
              </w:rPr>
            </w:pPr>
            <w:r w:rsidRPr="008D70FB">
              <w:rPr>
                <w:b/>
                <w:bCs/>
                <w:color w:val="000000"/>
              </w:rPr>
              <w:t>0.18</w:t>
            </w:r>
          </w:p>
        </w:tc>
        <w:tc>
          <w:tcPr>
            <w:tcW w:w="1766" w:type="dxa"/>
            <w:noWrap/>
            <w:vAlign w:val="center"/>
            <w:hideMark/>
          </w:tcPr>
          <w:p w:rsidR="00E31E16" w:rsidRPr="00F13E73" w:rsidP="00D30388" w14:paraId="00804358" w14:textId="77777777">
            <w:pPr>
              <w:spacing w:after="0"/>
              <w:jc w:val="center"/>
              <w:rPr>
                <w:b/>
                <w:bCs/>
                <w:color w:val="000000"/>
              </w:rPr>
            </w:pPr>
            <w:r w:rsidRPr="008D70FB">
              <w:rPr>
                <w:b/>
                <w:bCs/>
                <w:color w:val="000000"/>
              </w:rPr>
              <w:t>1.02</w:t>
            </w:r>
          </w:p>
        </w:tc>
      </w:tr>
    </w:tbl>
    <w:p w:rsidR="00E31E16" w:rsidP="00E31E16" w14:paraId="5C88AE6D" w14:textId="77777777">
      <w:r w:rsidRPr="00AB458E">
        <w:t xml:space="preserve"> </w:t>
      </w:r>
    </w:p>
    <w:p w:rsidR="00E31E16" w:rsidP="00E31E16" w14:paraId="029865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B656DF">
        <w:rPr>
          <w:b/>
        </w:rPr>
        <w:t>Labor Costs</w:t>
      </w:r>
    </w:p>
    <w:p w:rsidR="00E31E16" w:rsidRPr="00684E17" w:rsidP="00E31E16" w14:paraId="2B898A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rsidRPr="00B656DF">
        <w:t xml:space="preserve">EPA estimates costs to respondents by multiplying the respondent burden estimates for each </w:t>
      </w:r>
      <w:r w:rsidRPr="00684E17">
        <w:t>labor category by the corresponding labor rate for that category. EPA updated labor rates from the previous ICR using 202</w:t>
      </w:r>
      <w:r>
        <w:t>4</w:t>
      </w:r>
      <w:r w:rsidRPr="00684E17">
        <w:t xml:space="preserve"> employer costs for employee compensation tables from the Bureau of Labor Statistics (BLS, December, 2024). EPA then multiplied unit costs for each respondent or activity by the number of respondents or activities performed on an annual basis to yield a total cost for each information collection activity in section 6(d).</w:t>
      </w:r>
    </w:p>
    <w:p w:rsidR="00E31E16" w:rsidRPr="00B656DF" w:rsidP="00E31E16" w14:paraId="56965D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2"/>
        </w:tabs>
      </w:pPr>
      <w:r w:rsidRPr="00684E17">
        <w:t>Updated hourly respondent labor costs for manufacturing facility respondents are $7</w:t>
      </w:r>
      <w:r>
        <w:t>7.88</w:t>
      </w:r>
      <w:r w:rsidRPr="00684E17">
        <w:t xml:space="preserve"> for managerial staff, $6</w:t>
      </w:r>
      <w:r>
        <w:t>8.50</w:t>
      </w:r>
      <w:r w:rsidRPr="00684E17">
        <w:t xml:space="preserve"> for technical staff, and $3</w:t>
      </w:r>
      <w:r>
        <w:t>5.69</w:t>
      </w:r>
      <w:r w:rsidRPr="00684E17">
        <w:t xml:space="preserve"> for clerical staff, including wages and benefits.</w:t>
      </w:r>
      <w:r>
        <w:rPr>
          <w:rStyle w:val="FootnoteReference"/>
        </w:rPr>
        <w:footnoteReference w:id="3"/>
      </w:r>
      <w:r w:rsidRPr="00684E17">
        <w:rPr>
          <w:rStyle w:val="footnoteref0"/>
        </w:rPr>
        <w:t xml:space="preserve"> </w:t>
      </w:r>
      <w:r w:rsidRPr="000863D0">
        <w:rPr>
          <w:rStyle w:val="footnoteref0"/>
          <w:rFonts w:asciiTheme="minorHAnsi" w:hAnsiTheme="minorHAnsi" w:cstheme="minorHAnsi"/>
          <w:vertAlign w:val="baseline"/>
        </w:rPr>
        <w:t>Updated hourly respondent labor costs for non-manufacturing facility respondents are $85.40 for managerial staff, $68.36 for technical staff, and $33.65 for clerical staff.</w:t>
      </w:r>
    </w:p>
    <w:p w:rsidR="00E31E16" w:rsidRPr="00B656DF" w:rsidP="00E31E16" w14:paraId="6180AF01" w14:textId="77777777">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2"/>
          <w:tab w:val="left" w:pos="8640"/>
          <w:tab w:val="left" w:pos="9360"/>
        </w:tabs>
      </w:pPr>
      <w:r w:rsidRPr="00B656DF">
        <w:t>EPA then calculated average labor rates for each labor category</w:t>
      </w:r>
      <w:r>
        <w:t>, assuming that m</w:t>
      </w:r>
      <w:r w:rsidRPr="00B656DF">
        <w:t xml:space="preserve">anufacturing </w:t>
      </w:r>
      <w:r>
        <w:t xml:space="preserve">and non-manufacturing </w:t>
      </w:r>
      <w:r w:rsidRPr="00B656DF">
        <w:t xml:space="preserve">facilities </w:t>
      </w:r>
      <w:r>
        <w:t>each account for</w:t>
      </w:r>
      <w:r w:rsidRPr="00B656DF">
        <w:t xml:space="preserve"> </w:t>
      </w:r>
      <w:r>
        <w:t>50</w:t>
      </w:r>
      <w:r w:rsidRPr="00B656DF">
        <w:t xml:space="preserve"> percent of all facilities</w:t>
      </w:r>
      <w:r>
        <w:t>.</w:t>
      </w:r>
      <w:r w:rsidRPr="00B656DF">
        <w:t xml:space="preserve"> Therefore, the a</w:t>
      </w:r>
      <w:r w:rsidRPr="00F451C8">
        <w:t>verage wage rate fo</w:t>
      </w:r>
      <w:r w:rsidRPr="00705CEA">
        <w:t xml:space="preserve">r managerial </w:t>
      </w:r>
      <w:r w:rsidRPr="00684E17">
        <w:t>labor is calculated as $</w:t>
      </w:r>
      <w:r>
        <w:t>81.64</w:t>
      </w:r>
      <w:r w:rsidRPr="00684E17">
        <w:t>, technical labor is calculated as $</w:t>
      </w:r>
      <w:r>
        <w:t>68.43</w:t>
      </w:r>
      <w:r w:rsidRPr="00684E17">
        <w:t xml:space="preserve"> and clerical labor is calculated as $</w:t>
      </w:r>
      <w:r>
        <w:t>34.67</w:t>
      </w:r>
      <w:r w:rsidRPr="00684E17">
        <w:t>.</w:t>
      </w:r>
      <w:r>
        <w:t xml:space="preserve"> </w:t>
      </w:r>
    </w:p>
    <w:p w:rsidR="00E31E16" w:rsidRPr="00183FB9" w:rsidP="00E31E16" w14:paraId="20C6B3A6" w14:textId="77777777">
      <w:r w:rsidRPr="000A682A">
        <w:t>These rates reflect employer cost for employee compensation</w:t>
      </w:r>
      <w:r>
        <w:t xml:space="preserve"> </w:t>
      </w:r>
      <w:r w:rsidRPr="000A682A">
        <w:t xml:space="preserve">include employer costs for legally required benefits (e.g., social security, worker’s compensation, and unemployment insurance), other important fringe benefit categories (e.g., insurance, paid leave, </w:t>
      </w:r>
      <w:r w:rsidRPr="00183FB9">
        <w:t>retirement and savings), overhead, and general and administrative costs.</w:t>
      </w:r>
    </w:p>
    <w:p w:rsidR="00E31E16" w:rsidP="00E31E16" w14:paraId="5E38C5EB" w14:textId="5699CF55">
      <w:r w:rsidRPr="00183FB9">
        <w:t xml:space="preserve">As shown previously in Exhibit 1, EPA obtained NRC data from 2021, 2022 and 2023 to estimate the number of releases that will be reported to the NRC during the </w:t>
      </w:r>
      <w:r w:rsidRPr="00183FB9">
        <w:rPr>
          <w:iCs/>
        </w:rPr>
        <w:t xml:space="preserve">ICR renewal </w:t>
      </w:r>
      <w:r w:rsidRPr="00183FB9">
        <w:t>period of 2025 through 2027. The</w:t>
      </w:r>
      <w:r w:rsidRPr="00AB458E">
        <w:t xml:space="preserve"> </w:t>
      </w:r>
      <w:r w:rsidRPr="00AA364F">
        <w:t xml:space="preserve">annual public reporting and recordkeeping burden for this collection of information is estimated to average approximately 1.02 hours per response, </w:t>
      </w:r>
      <w:r>
        <w:t xml:space="preserve">per Exhibit 2, </w:t>
      </w:r>
      <w:r w:rsidRPr="00AA364F">
        <w:t>which includes 0.64 hours associated with the initial notification and 0.38 hours recordkeeping per response</w:t>
      </w:r>
      <w:r>
        <w:t xml:space="preserve">. Given the mix of labor categories associated with this burden as well as the above labor rates, </w:t>
      </w:r>
      <w:r w:rsidRPr="00AB458E">
        <w:t xml:space="preserve">Exhibit </w:t>
      </w:r>
      <w:r>
        <w:t>3</w:t>
      </w:r>
      <w:r w:rsidRPr="00AB458E">
        <w:t xml:space="preserve"> presents the </w:t>
      </w:r>
      <w:r>
        <w:t xml:space="preserve">unit burden and cost and </w:t>
      </w:r>
      <w:r w:rsidRPr="00AB458E">
        <w:t>annual total annual burden hour and cost estimates for respondents</w:t>
      </w:r>
      <w:r>
        <w:t>.</w:t>
      </w:r>
    </w:p>
    <w:p w:rsidR="00414E6F" w:rsidP="00E31E16" w14:paraId="273196D3" w14:textId="3473DC58">
      <w:r w:rsidRPr="009E4994">
        <w:rPr>
          <w:b/>
          <w:bCs/>
          <w:color w:val="000000"/>
        </w:rPr>
        <w:t>Exhibit 3</w:t>
      </w:r>
      <w:r>
        <w:rPr>
          <w:b/>
          <w:bCs/>
          <w:color w:val="000000"/>
        </w:rPr>
        <w:t>.</w:t>
      </w:r>
      <w:r w:rsidRPr="009E4994">
        <w:rPr>
          <w:b/>
          <w:bCs/>
          <w:color w:val="000000"/>
        </w:rPr>
        <w:t xml:space="preserve"> Burden Hours and Costs for a Telephone Notification –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4"/>
        <w:gridCol w:w="1666"/>
        <w:gridCol w:w="1070"/>
        <w:gridCol w:w="1276"/>
        <w:gridCol w:w="1277"/>
        <w:gridCol w:w="1276"/>
        <w:gridCol w:w="1277"/>
      </w:tblGrid>
      <w:tr w14:paraId="065043B1" w14:textId="77777777" w:rsidTr="00414E6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40"/>
        </w:trPr>
        <w:tc>
          <w:tcPr>
            <w:tcW w:w="1734" w:type="dxa"/>
            <w:vAlign w:val="center"/>
          </w:tcPr>
          <w:p w:rsidR="00E31E16" w:rsidRPr="009E4994" w:rsidP="00D30388" w14:paraId="1E316EC9" w14:textId="77777777">
            <w:pPr>
              <w:spacing w:after="0"/>
              <w:jc w:val="center"/>
              <w:rPr>
                <w:b/>
                <w:bCs/>
                <w:color w:val="000000"/>
              </w:rPr>
            </w:pPr>
            <w:r w:rsidRPr="009E4994">
              <w:rPr>
                <w:b/>
                <w:bCs/>
                <w:color w:val="000000"/>
              </w:rPr>
              <w:t>Reporting Release to NRC</w:t>
            </w:r>
          </w:p>
        </w:tc>
        <w:tc>
          <w:tcPr>
            <w:tcW w:w="1666" w:type="dxa"/>
            <w:vAlign w:val="center"/>
          </w:tcPr>
          <w:p w:rsidR="00E31E16" w:rsidRPr="009E4994" w:rsidP="00D30388" w14:paraId="6973C426" w14:textId="77777777">
            <w:pPr>
              <w:spacing w:after="0"/>
              <w:jc w:val="center"/>
              <w:rPr>
                <w:b/>
                <w:bCs/>
                <w:color w:val="000000"/>
              </w:rPr>
            </w:pPr>
            <w:r w:rsidRPr="009E4994">
              <w:rPr>
                <w:b/>
                <w:bCs/>
                <w:color w:val="000000"/>
              </w:rPr>
              <w:t xml:space="preserve">Average Number of </w:t>
            </w:r>
            <w:r>
              <w:rPr>
                <w:b/>
                <w:bCs/>
                <w:color w:val="000000"/>
              </w:rPr>
              <w:t>Notifications</w:t>
            </w:r>
            <w:r w:rsidRPr="009E4994">
              <w:rPr>
                <w:b/>
                <w:bCs/>
                <w:color w:val="000000"/>
              </w:rPr>
              <w:t xml:space="preserve"> /Year</w:t>
            </w:r>
          </w:p>
        </w:tc>
        <w:tc>
          <w:tcPr>
            <w:tcW w:w="1070" w:type="dxa"/>
            <w:vAlign w:val="center"/>
          </w:tcPr>
          <w:p w:rsidR="00E31E16" w:rsidRPr="009E4994" w:rsidP="00D30388" w14:paraId="1938C950" w14:textId="77777777">
            <w:pPr>
              <w:spacing w:after="0"/>
              <w:jc w:val="center"/>
              <w:rPr>
                <w:b/>
                <w:bCs/>
                <w:color w:val="000000"/>
              </w:rPr>
            </w:pPr>
            <w:r w:rsidRPr="009E4994">
              <w:rPr>
                <w:b/>
                <w:bCs/>
                <w:color w:val="000000"/>
              </w:rPr>
              <w:t>Unit Burden Hours</w:t>
            </w:r>
          </w:p>
        </w:tc>
        <w:tc>
          <w:tcPr>
            <w:tcW w:w="1276" w:type="dxa"/>
            <w:vAlign w:val="center"/>
          </w:tcPr>
          <w:p w:rsidR="00E31E16" w:rsidRPr="009E4994" w:rsidP="00D30388" w14:paraId="328FBDEE" w14:textId="77777777">
            <w:pPr>
              <w:spacing w:after="0"/>
              <w:jc w:val="center"/>
              <w:rPr>
                <w:b/>
                <w:bCs/>
                <w:color w:val="000000"/>
              </w:rPr>
            </w:pPr>
            <w:r>
              <w:rPr>
                <w:b/>
                <w:bCs/>
                <w:color w:val="000000"/>
              </w:rPr>
              <w:t>Hourly Labor Cost</w:t>
            </w:r>
          </w:p>
        </w:tc>
        <w:tc>
          <w:tcPr>
            <w:tcW w:w="1277" w:type="dxa"/>
            <w:vAlign w:val="center"/>
          </w:tcPr>
          <w:p w:rsidR="00E31E16" w:rsidRPr="009E4994" w:rsidP="00D30388" w14:paraId="4F763252" w14:textId="77777777">
            <w:pPr>
              <w:spacing w:after="0"/>
              <w:jc w:val="center"/>
              <w:rPr>
                <w:b/>
                <w:bCs/>
                <w:color w:val="000000"/>
              </w:rPr>
            </w:pPr>
            <w:r>
              <w:rPr>
                <w:b/>
                <w:bCs/>
                <w:color w:val="000000"/>
              </w:rPr>
              <w:t>Unit Labor Cost</w:t>
            </w:r>
          </w:p>
        </w:tc>
        <w:tc>
          <w:tcPr>
            <w:tcW w:w="1276" w:type="dxa"/>
            <w:vAlign w:val="center"/>
          </w:tcPr>
          <w:p w:rsidR="00E31E16" w:rsidRPr="009E4994" w:rsidP="00D30388" w14:paraId="04754BFC" w14:textId="77777777">
            <w:pPr>
              <w:spacing w:after="0"/>
              <w:jc w:val="center"/>
              <w:rPr>
                <w:b/>
                <w:bCs/>
                <w:color w:val="000000"/>
              </w:rPr>
            </w:pPr>
            <w:r w:rsidRPr="009E4994">
              <w:rPr>
                <w:b/>
                <w:bCs/>
                <w:color w:val="000000"/>
              </w:rPr>
              <w:t>Total Annual Burden Hours</w:t>
            </w:r>
          </w:p>
        </w:tc>
        <w:tc>
          <w:tcPr>
            <w:tcW w:w="1277" w:type="dxa"/>
            <w:vAlign w:val="center"/>
          </w:tcPr>
          <w:p w:rsidR="00E31E16" w:rsidRPr="009E4994" w:rsidP="00D30388" w14:paraId="22F0AE02" w14:textId="77777777">
            <w:pPr>
              <w:spacing w:after="0"/>
              <w:jc w:val="center"/>
              <w:rPr>
                <w:b/>
                <w:bCs/>
                <w:color w:val="000000"/>
              </w:rPr>
            </w:pPr>
            <w:r w:rsidRPr="009E4994">
              <w:rPr>
                <w:b/>
                <w:bCs/>
                <w:color w:val="000000"/>
              </w:rPr>
              <w:t>Total Annual Cost</w:t>
            </w:r>
          </w:p>
        </w:tc>
      </w:tr>
      <w:tr w14:paraId="4B039ACE" w14:textId="77777777" w:rsidTr="00414E6F">
        <w:tblPrEx>
          <w:tblW w:w="5000" w:type="pct"/>
          <w:tblLayout w:type="fixed"/>
          <w:tblLook w:val="04A0"/>
        </w:tblPrEx>
        <w:trPr>
          <w:trHeight w:val="290"/>
        </w:trPr>
        <w:tc>
          <w:tcPr>
            <w:tcW w:w="1734" w:type="dxa"/>
            <w:noWrap/>
            <w:vAlign w:val="center"/>
          </w:tcPr>
          <w:p w:rsidR="00E31E16" w:rsidRPr="009E4994" w:rsidP="00D30388" w14:paraId="5041A348" w14:textId="77777777">
            <w:pPr>
              <w:spacing w:after="0"/>
              <w:rPr>
                <w:color w:val="000000"/>
              </w:rPr>
            </w:pPr>
            <w:r w:rsidRPr="00A667E5">
              <w:rPr>
                <w:color w:val="000000"/>
              </w:rPr>
              <w:t>Initial telephone call to the NRC</w:t>
            </w:r>
          </w:p>
        </w:tc>
        <w:tc>
          <w:tcPr>
            <w:tcW w:w="1666" w:type="dxa"/>
            <w:vAlign w:val="center"/>
          </w:tcPr>
          <w:p w:rsidR="00E31E16" w:rsidRPr="009E4994" w:rsidP="00D30388" w14:paraId="0121F407" w14:textId="77777777">
            <w:pPr>
              <w:spacing w:after="0"/>
              <w:jc w:val="center"/>
              <w:rPr>
                <w:color w:val="000000"/>
              </w:rPr>
            </w:pPr>
            <w:r>
              <w:rPr>
                <w:color w:val="000000"/>
              </w:rPr>
              <w:t>21,789</w:t>
            </w:r>
          </w:p>
        </w:tc>
        <w:tc>
          <w:tcPr>
            <w:tcW w:w="1070" w:type="dxa"/>
            <w:vAlign w:val="center"/>
          </w:tcPr>
          <w:p w:rsidR="00E31E16" w:rsidRPr="009E4994" w:rsidP="00D30388" w14:paraId="0E9B4F1E" w14:textId="77777777">
            <w:pPr>
              <w:spacing w:after="0"/>
              <w:jc w:val="center"/>
              <w:rPr>
                <w:color w:val="000000"/>
              </w:rPr>
            </w:pPr>
            <w:r>
              <w:rPr>
                <w:color w:val="000000"/>
              </w:rPr>
              <w:t>0.64</w:t>
            </w:r>
          </w:p>
        </w:tc>
        <w:tc>
          <w:tcPr>
            <w:tcW w:w="1276" w:type="dxa"/>
            <w:vAlign w:val="center"/>
          </w:tcPr>
          <w:p w:rsidR="00E31E16" w:rsidRPr="009E4994" w:rsidP="00D30388" w14:paraId="7736E991" w14:textId="77777777">
            <w:pPr>
              <w:spacing w:after="0"/>
              <w:jc w:val="center"/>
              <w:rPr>
                <w:color w:val="000000"/>
              </w:rPr>
            </w:pPr>
            <w:r>
              <w:rPr>
                <w:color w:val="000000"/>
              </w:rPr>
              <w:t>$75.04</w:t>
            </w:r>
          </w:p>
        </w:tc>
        <w:tc>
          <w:tcPr>
            <w:tcW w:w="1277" w:type="dxa"/>
            <w:vAlign w:val="center"/>
          </w:tcPr>
          <w:p w:rsidR="00E31E16" w:rsidRPr="009E4994" w:rsidP="00D30388" w14:paraId="10AB69CF" w14:textId="77777777">
            <w:pPr>
              <w:spacing w:after="0"/>
              <w:jc w:val="center"/>
              <w:rPr>
                <w:color w:val="000000"/>
              </w:rPr>
            </w:pPr>
            <w:r>
              <w:rPr>
                <w:color w:val="000000"/>
              </w:rPr>
              <w:t>$48.02</w:t>
            </w:r>
          </w:p>
        </w:tc>
        <w:tc>
          <w:tcPr>
            <w:tcW w:w="1276" w:type="dxa"/>
            <w:vAlign w:val="center"/>
          </w:tcPr>
          <w:p w:rsidR="00E31E16" w:rsidRPr="009E4994" w:rsidP="00D30388" w14:paraId="1B06EB51" w14:textId="77777777">
            <w:pPr>
              <w:spacing w:after="0"/>
              <w:jc w:val="center"/>
              <w:rPr>
                <w:color w:val="000000"/>
              </w:rPr>
            </w:pPr>
            <w:r>
              <w:rPr>
                <w:color w:val="000000"/>
              </w:rPr>
              <w:t>13,945</w:t>
            </w:r>
          </w:p>
        </w:tc>
        <w:tc>
          <w:tcPr>
            <w:tcW w:w="1277" w:type="dxa"/>
            <w:vAlign w:val="center"/>
          </w:tcPr>
          <w:p w:rsidR="00E31E16" w:rsidRPr="009E4994" w:rsidP="00D30388" w14:paraId="737E2FFB" w14:textId="77777777">
            <w:pPr>
              <w:spacing w:after="0"/>
              <w:jc w:val="center"/>
              <w:rPr>
                <w:color w:val="000000"/>
              </w:rPr>
            </w:pPr>
            <w:r>
              <w:rPr>
                <w:color w:val="000000"/>
              </w:rPr>
              <w:t>$1,046,360</w:t>
            </w:r>
          </w:p>
        </w:tc>
      </w:tr>
      <w:tr w14:paraId="625BF34C" w14:textId="77777777" w:rsidTr="00414E6F">
        <w:tblPrEx>
          <w:tblW w:w="5000" w:type="pct"/>
          <w:tblLayout w:type="fixed"/>
          <w:tblLook w:val="04A0"/>
        </w:tblPrEx>
        <w:trPr>
          <w:trHeight w:val="290"/>
        </w:trPr>
        <w:tc>
          <w:tcPr>
            <w:tcW w:w="1734" w:type="dxa"/>
            <w:noWrap/>
            <w:vAlign w:val="center"/>
          </w:tcPr>
          <w:p w:rsidR="00E31E16" w:rsidRPr="009E4994" w:rsidP="00D30388" w14:paraId="6456BCF5" w14:textId="77777777">
            <w:pPr>
              <w:spacing w:after="0"/>
              <w:rPr>
                <w:color w:val="000000"/>
              </w:rPr>
            </w:pPr>
            <w:r w:rsidRPr="00A667E5">
              <w:rPr>
                <w:color w:val="000000"/>
              </w:rPr>
              <w:t>Recordkeeping</w:t>
            </w:r>
          </w:p>
        </w:tc>
        <w:tc>
          <w:tcPr>
            <w:tcW w:w="1666" w:type="dxa"/>
            <w:vAlign w:val="center"/>
          </w:tcPr>
          <w:p w:rsidR="00E31E16" w:rsidRPr="009E4994" w:rsidP="00D30388" w14:paraId="6E9BE0F6" w14:textId="77777777">
            <w:pPr>
              <w:spacing w:after="0"/>
              <w:jc w:val="center"/>
              <w:rPr>
                <w:color w:val="000000"/>
              </w:rPr>
            </w:pPr>
            <w:r>
              <w:rPr>
                <w:color w:val="000000"/>
              </w:rPr>
              <w:t>21,789</w:t>
            </w:r>
          </w:p>
        </w:tc>
        <w:tc>
          <w:tcPr>
            <w:tcW w:w="1070" w:type="dxa"/>
            <w:vAlign w:val="center"/>
          </w:tcPr>
          <w:p w:rsidR="00E31E16" w:rsidRPr="009E4994" w:rsidP="00D30388" w14:paraId="6D123506" w14:textId="77777777">
            <w:pPr>
              <w:spacing w:after="0"/>
              <w:jc w:val="center"/>
              <w:rPr>
                <w:color w:val="000000"/>
              </w:rPr>
            </w:pPr>
            <w:r>
              <w:rPr>
                <w:color w:val="000000"/>
              </w:rPr>
              <w:t>0.38</w:t>
            </w:r>
          </w:p>
        </w:tc>
        <w:tc>
          <w:tcPr>
            <w:tcW w:w="1276" w:type="dxa"/>
            <w:vAlign w:val="center"/>
          </w:tcPr>
          <w:p w:rsidR="00E31E16" w:rsidRPr="009E4994" w:rsidP="00D30388" w14:paraId="6E892A87" w14:textId="77777777">
            <w:pPr>
              <w:spacing w:after="0"/>
              <w:jc w:val="center"/>
              <w:rPr>
                <w:color w:val="000000"/>
              </w:rPr>
            </w:pPr>
            <w:r>
              <w:rPr>
                <w:color w:val="000000"/>
              </w:rPr>
              <w:t>$53.13</w:t>
            </w:r>
          </w:p>
        </w:tc>
        <w:tc>
          <w:tcPr>
            <w:tcW w:w="1277" w:type="dxa"/>
            <w:vAlign w:val="center"/>
          </w:tcPr>
          <w:p w:rsidR="00E31E16" w:rsidRPr="009E4994" w:rsidP="00D30388" w14:paraId="1F3166EB" w14:textId="77777777">
            <w:pPr>
              <w:spacing w:after="0"/>
              <w:jc w:val="center"/>
              <w:rPr>
                <w:color w:val="000000"/>
              </w:rPr>
            </w:pPr>
            <w:r>
              <w:rPr>
                <w:color w:val="000000"/>
              </w:rPr>
              <w:t>$20.19</w:t>
            </w:r>
          </w:p>
        </w:tc>
        <w:tc>
          <w:tcPr>
            <w:tcW w:w="1276" w:type="dxa"/>
            <w:vAlign w:val="center"/>
          </w:tcPr>
          <w:p w:rsidR="00E31E16" w:rsidRPr="009E4994" w:rsidP="00D30388" w14:paraId="4546122C" w14:textId="77777777">
            <w:pPr>
              <w:spacing w:after="0"/>
              <w:jc w:val="center"/>
              <w:rPr>
                <w:color w:val="000000"/>
              </w:rPr>
            </w:pPr>
            <w:r>
              <w:rPr>
                <w:color w:val="000000"/>
              </w:rPr>
              <w:t>8,280</w:t>
            </w:r>
          </w:p>
        </w:tc>
        <w:tc>
          <w:tcPr>
            <w:tcW w:w="1277" w:type="dxa"/>
            <w:vAlign w:val="center"/>
          </w:tcPr>
          <w:p w:rsidR="00E31E16" w:rsidRPr="009E4994" w:rsidP="00D30388" w14:paraId="2C3402CB" w14:textId="77777777">
            <w:pPr>
              <w:spacing w:after="0"/>
              <w:jc w:val="center"/>
              <w:rPr>
                <w:color w:val="000000"/>
              </w:rPr>
            </w:pPr>
            <w:r>
              <w:rPr>
                <w:color w:val="000000"/>
              </w:rPr>
              <w:t>$439,937</w:t>
            </w:r>
          </w:p>
        </w:tc>
      </w:tr>
      <w:tr w14:paraId="2236F558" w14:textId="77777777" w:rsidTr="00414E6F">
        <w:tblPrEx>
          <w:tblW w:w="5000" w:type="pct"/>
          <w:tblLayout w:type="fixed"/>
          <w:tblLook w:val="04A0"/>
        </w:tblPrEx>
        <w:trPr>
          <w:trHeight w:val="290"/>
        </w:trPr>
        <w:tc>
          <w:tcPr>
            <w:tcW w:w="1734" w:type="dxa"/>
            <w:noWrap/>
            <w:vAlign w:val="center"/>
          </w:tcPr>
          <w:p w:rsidR="00E31E16" w:rsidRPr="009E4994" w:rsidP="00D30388" w14:paraId="7C91845F" w14:textId="77777777">
            <w:pPr>
              <w:spacing w:after="0"/>
              <w:rPr>
                <w:color w:val="000000"/>
              </w:rPr>
            </w:pPr>
            <w:r w:rsidRPr="00A667E5">
              <w:rPr>
                <w:b/>
                <w:bCs/>
                <w:color w:val="000000"/>
              </w:rPr>
              <w:t>Total</w:t>
            </w:r>
          </w:p>
        </w:tc>
        <w:tc>
          <w:tcPr>
            <w:tcW w:w="1666" w:type="dxa"/>
            <w:vAlign w:val="center"/>
          </w:tcPr>
          <w:p w:rsidR="00E31E16" w:rsidRPr="009E4994" w:rsidP="00D30388" w14:paraId="75902193" w14:textId="77777777">
            <w:pPr>
              <w:spacing w:after="0"/>
              <w:jc w:val="center"/>
              <w:rPr>
                <w:color w:val="000000"/>
              </w:rPr>
            </w:pPr>
            <w:r>
              <w:rPr>
                <w:b/>
                <w:bCs/>
                <w:color w:val="000000"/>
              </w:rPr>
              <w:t>21,789</w:t>
            </w:r>
          </w:p>
        </w:tc>
        <w:tc>
          <w:tcPr>
            <w:tcW w:w="1070" w:type="dxa"/>
            <w:vAlign w:val="center"/>
          </w:tcPr>
          <w:p w:rsidR="00E31E16" w:rsidRPr="009E4994" w:rsidP="00D30388" w14:paraId="3565085A" w14:textId="77777777">
            <w:pPr>
              <w:spacing w:after="0"/>
              <w:jc w:val="center"/>
              <w:rPr>
                <w:color w:val="000000"/>
              </w:rPr>
            </w:pPr>
            <w:r>
              <w:rPr>
                <w:b/>
                <w:bCs/>
                <w:color w:val="000000"/>
              </w:rPr>
              <w:t>1.02</w:t>
            </w:r>
          </w:p>
        </w:tc>
        <w:tc>
          <w:tcPr>
            <w:tcW w:w="1276" w:type="dxa"/>
            <w:vAlign w:val="center"/>
          </w:tcPr>
          <w:p w:rsidR="00E31E16" w:rsidRPr="000E50BE" w:rsidP="00D30388" w14:paraId="7FFE3996" w14:textId="77777777">
            <w:pPr>
              <w:spacing w:after="0"/>
              <w:jc w:val="center"/>
              <w:rPr>
                <w:b/>
                <w:bCs/>
                <w:color w:val="000000"/>
              </w:rPr>
            </w:pPr>
            <w:r>
              <w:rPr>
                <w:b/>
                <w:bCs/>
                <w:color w:val="000000"/>
              </w:rPr>
              <w:t>$66.88</w:t>
            </w:r>
          </w:p>
        </w:tc>
        <w:tc>
          <w:tcPr>
            <w:tcW w:w="1277" w:type="dxa"/>
            <w:vAlign w:val="center"/>
          </w:tcPr>
          <w:p w:rsidR="00E31E16" w:rsidRPr="009E4994" w:rsidP="00D30388" w14:paraId="56F427FA" w14:textId="77777777">
            <w:pPr>
              <w:spacing w:after="0"/>
              <w:jc w:val="center"/>
              <w:rPr>
                <w:color w:val="000000"/>
              </w:rPr>
            </w:pPr>
            <w:r>
              <w:rPr>
                <w:b/>
                <w:bCs/>
                <w:color w:val="000000"/>
              </w:rPr>
              <w:t>$68.21</w:t>
            </w:r>
          </w:p>
        </w:tc>
        <w:tc>
          <w:tcPr>
            <w:tcW w:w="1276" w:type="dxa"/>
            <w:vAlign w:val="center"/>
          </w:tcPr>
          <w:p w:rsidR="00E31E16" w:rsidRPr="009E4994" w:rsidP="00D30388" w14:paraId="6FAE7EA7" w14:textId="77777777">
            <w:pPr>
              <w:spacing w:after="0"/>
              <w:jc w:val="center"/>
              <w:rPr>
                <w:color w:val="000000"/>
              </w:rPr>
            </w:pPr>
            <w:r>
              <w:rPr>
                <w:b/>
                <w:bCs/>
                <w:color w:val="000000"/>
              </w:rPr>
              <w:t>22,225</w:t>
            </w:r>
          </w:p>
        </w:tc>
        <w:tc>
          <w:tcPr>
            <w:tcW w:w="1277" w:type="dxa"/>
            <w:vAlign w:val="center"/>
          </w:tcPr>
          <w:p w:rsidR="00E31E16" w:rsidRPr="009E4994" w:rsidP="00D30388" w14:paraId="143DCEE5" w14:textId="77777777">
            <w:pPr>
              <w:spacing w:after="0"/>
              <w:jc w:val="center"/>
              <w:rPr>
                <w:color w:val="000000"/>
              </w:rPr>
            </w:pPr>
            <w:r>
              <w:rPr>
                <w:b/>
                <w:bCs/>
                <w:color w:val="000000"/>
              </w:rPr>
              <w:t>$1,486,297</w:t>
            </w:r>
          </w:p>
        </w:tc>
      </w:tr>
    </w:tbl>
    <w:p w:rsidR="00BB2B15" w:rsidRPr="008804E5" w:rsidP="008804E5" w14:paraId="5D1B71A2" w14:textId="6AEB1698">
      <w:pPr>
        <w:pStyle w:val="EPAHeading2"/>
        <w:pBdr>
          <w:bottom w:val="none" w:sz="0" w:space="0" w:color="auto"/>
        </w:pBdr>
      </w:pPr>
      <w:r w:rsidRPr="008804E5">
        <w:t>RESPONDENT CAPITAL AND O&amp;M COSTS</w:t>
      </w:r>
      <w:bookmarkEnd w:id="23"/>
      <w:r w:rsidRPr="008804E5">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391B" w:rsidP="0095391B" w14:paraId="5E4321D3" w14:textId="77777777">
      <w:bookmarkStart w:id="24" w:name="_Toc156593387"/>
      <w:r w:rsidRPr="000A682A">
        <w:t>EPA anticipate</w:t>
      </w:r>
      <w:r>
        <w:t>s</w:t>
      </w:r>
      <w:r w:rsidRPr="000A682A">
        <w:t xml:space="preserve"> that respondents will incur </w:t>
      </w:r>
      <w:r>
        <w:t xml:space="preserve">no </w:t>
      </w:r>
      <w:r w:rsidRPr="000A682A">
        <w:t>capital</w:t>
      </w:r>
      <w:r>
        <w:t xml:space="preserve"> or O&amp;M</w:t>
      </w:r>
      <w:r w:rsidRPr="000A682A">
        <w:t xml:space="preserve"> costs </w:t>
      </w:r>
      <w:r>
        <w:t>under this ICR.</w:t>
      </w:r>
    </w:p>
    <w:p w:rsidR="00023EFE" w:rsidRPr="00163C69" w:rsidP="008804E5" w14:paraId="7D2BF7DE" w14:textId="77777777">
      <w:pPr>
        <w:pStyle w:val="EPAHeading2"/>
      </w:pPr>
      <w:r w:rsidRPr="4BDBF0A0">
        <w:t xml:space="preserve">AGENCY </w:t>
      </w:r>
      <w:bookmarkStart w:id="25" w:name="_Toc156593388"/>
      <w:bookmarkEnd w:id="24"/>
      <w:r w:rsidRPr="4BDBF0A0" w:rsidR="00BB2B15">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DF6672" w:rsidP="00DF6672" w14:paraId="1D8BBDEC" w14:textId="7D3333D9">
      <w:pPr>
        <w:pStyle w:val="Style1"/>
      </w:pPr>
      <w:r w:rsidRPr="00163C69">
        <w:t xml:space="preserve">14a. </w:t>
      </w:r>
      <w:r w:rsidRPr="00163C69" w:rsidR="00BB2B15">
        <w:t>Agency Activities</w:t>
      </w:r>
    </w:p>
    <w:p w:rsidR="007E58AE" w:rsidRPr="003E730D" w:rsidP="007E58AE" w14:paraId="19EE5567" w14:textId="77777777">
      <w:pPr>
        <w:rPr>
          <w:b/>
        </w:rPr>
      </w:pPr>
      <w:r w:rsidRPr="00AB458E">
        <w:t xml:space="preserve">Every hazardous substance </w:t>
      </w:r>
      <w:r>
        <w:t xml:space="preserve">release </w:t>
      </w:r>
      <w:r w:rsidRPr="00AB458E">
        <w:t xml:space="preserve">and oil </w:t>
      </w:r>
      <w:r>
        <w:t>discharge</w:t>
      </w:r>
      <w:r w:rsidRPr="00AB458E">
        <w:t xml:space="preserve"> reported by the regulated community to the NRC must be evaluated by </w:t>
      </w:r>
      <w:r>
        <w:t xml:space="preserve">a </w:t>
      </w:r>
      <w:r w:rsidRPr="00AB458E">
        <w:t>Federal On-Scene Coordinator (OSC)</w:t>
      </w:r>
      <w:r>
        <w:t>, who</w:t>
      </w:r>
      <w:r w:rsidRPr="00AB458E">
        <w:t xml:space="preserve"> is notified of a release by a telephone call</w:t>
      </w:r>
      <w:r>
        <w:t xml:space="preserve"> from the NRC within 15 minutes of the release. The NRC informs the OSC about </w:t>
      </w:r>
      <w:r w:rsidRPr="00AB458E">
        <w:t>whether the release is to air, soil, water, etc., the source of the release, and the type of substance released. The OSC is responsible for evaluating the circumstances surrounding the release to determine whether government monitoring and/or a Federal response action may be necessary.</w:t>
      </w:r>
    </w:p>
    <w:p w:rsidR="007E58AE" w:rsidP="007E58AE" w14:paraId="674EFFEC" w14:textId="77777777">
      <w:r>
        <w:t>Release notification information is stored in EPA’s WebEOC, a</w:t>
      </w:r>
      <w:r w:rsidRPr="009E010E">
        <w:rPr>
          <w:color w:val="333333"/>
          <w:sz w:val="26"/>
          <w:szCs w:val="26"/>
          <w:shd w:val="clear" w:color="auto" w:fill="FFFFFF"/>
        </w:rPr>
        <w:t xml:space="preserve"> web-based crisis management </w:t>
      </w:r>
      <w:r w:rsidRPr="009E010E">
        <w:rPr>
          <w:color w:val="333333"/>
          <w:shd w:val="clear" w:color="auto" w:fill="FFFFFF"/>
        </w:rPr>
        <w:t xml:space="preserve">system which supports response management for significant incidents and </w:t>
      </w:r>
      <w:r>
        <w:rPr>
          <w:color w:val="333333"/>
          <w:shd w:val="clear" w:color="auto" w:fill="FFFFFF"/>
        </w:rPr>
        <w:t>d</w:t>
      </w:r>
      <w:r w:rsidRPr="009E010E">
        <w:rPr>
          <w:color w:val="333333"/>
          <w:shd w:val="clear" w:color="auto" w:fill="FFFFFF"/>
        </w:rPr>
        <w:t xml:space="preserve">aily </w:t>
      </w:r>
      <w:r>
        <w:rPr>
          <w:color w:val="333333"/>
          <w:shd w:val="clear" w:color="auto" w:fill="FFFFFF"/>
        </w:rPr>
        <w:t>o</w:t>
      </w:r>
      <w:r w:rsidRPr="009E010E">
        <w:rPr>
          <w:color w:val="333333"/>
          <w:shd w:val="clear" w:color="auto" w:fill="FFFFFF"/>
        </w:rPr>
        <w:t>perations in the Regional Response Centers and EPA</w:t>
      </w:r>
      <w:r>
        <w:rPr>
          <w:color w:val="333333"/>
          <w:shd w:val="clear" w:color="auto" w:fill="FFFFFF"/>
        </w:rPr>
        <w:t>’s Headquarters</w:t>
      </w:r>
      <w:r w:rsidRPr="009E010E">
        <w:rPr>
          <w:color w:val="333333"/>
          <w:shd w:val="clear" w:color="auto" w:fill="FFFFFF"/>
        </w:rPr>
        <w:t xml:space="preserve"> Emergency Operations Center</w:t>
      </w:r>
      <w:r>
        <w:rPr>
          <w:color w:val="333333"/>
          <w:shd w:val="clear" w:color="auto" w:fill="FFFFFF"/>
        </w:rPr>
        <w:t xml:space="preserve"> (EOC)</w:t>
      </w:r>
      <w:r w:rsidRPr="009E010E">
        <w:rPr>
          <w:color w:val="333333"/>
          <w:shd w:val="clear" w:color="auto" w:fill="FFFFFF"/>
        </w:rPr>
        <w:t>.</w:t>
      </w:r>
      <w:r>
        <w:t xml:space="preserve"> </w:t>
      </w:r>
      <w:r w:rsidRPr="00AB458E">
        <w:t>The primary activity of the Federal government under the regulations implementing CERCLA section 103(a) and CWA section 311 is processing and recording the reported release information and responding to releases that may pose a significant hazard to public health or welfare or the environment.</w:t>
      </w:r>
    </w:p>
    <w:p w:rsidR="00023EFE" w:rsidRPr="00DF6672" w:rsidP="00DF6672" w14:paraId="30F74537" w14:textId="3975E491">
      <w:pPr>
        <w:pStyle w:val="Style1"/>
      </w:pPr>
      <w:r w:rsidRPr="00163C69">
        <w:t xml:space="preserve">14b. </w:t>
      </w:r>
      <w:r w:rsidRPr="00163C69" w:rsidR="00BB2B15">
        <w:t>Agency Labor Cost</w:t>
      </w:r>
    </w:p>
    <w:p w:rsidR="00E26DBB" w:rsidP="00E26DBB" w14:paraId="53441B25" w14:textId="77777777">
      <w:r w:rsidRPr="00AB458E">
        <w:t xml:space="preserve">Federal government </w:t>
      </w:r>
      <w:r>
        <w:t xml:space="preserve">staff </w:t>
      </w:r>
      <w:r w:rsidRPr="00AB458E">
        <w:t xml:space="preserve">perform the following activities under the episodic release notification regulation: (1) process respondent telephone notifications of a release; (2) monitor cleanup activities; and (3) conduct field response actions. </w:t>
      </w:r>
      <w:r>
        <w:t>O</w:t>
      </w:r>
      <w:r w:rsidRPr="00AB458E">
        <w:t>nly</w:t>
      </w:r>
      <w:r>
        <w:t xml:space="preserve"> </w:t>
      </w:r>
      <w:r w:rsidRPr="00AB458E">
        <w:t>the fi</w:t>
      </w:r>
      <w:r>
        <w:t>rst activity</w:t>
      </w:r>
      <w:r w:rsidRPr="00AB458E">
        <w:t xml:space="preserve"> involve</w:t>
      </w:r>
      <w:r>
        <w:t>s</w:t>
      </w:r>
      <w:r w:rsidRPr="00AB458E">
        <w:t xml:space="preserve"> the processing of submitted paperwork</w:t>
      </w:r>
      <w:r>
        <w:t xml:space="preserve"> and is covered by this ICR</w:t>
      </w:r>
      <w:r w:rsidRPr="00AB458E">
        <w:t>.</w:t>
      </w:r>
    </w:p>
    <w:p w:rsidR="00E26DBB" w:rsidP="00E26DBB" w14:paraId="76D24A15" w14:textId="77777777">
      <w:r w:rsidRPr="00AB458E">
        <w:t xml:space="preserve"> </w:t>
      </w:r>
      <w:r w:rsidRPr="00183FB9">
        <w:t>Exhibit 1 shows the numbers of NRC telephone notifications received during 2021-2023 by type of release (hazardous substances and oil), and the total annual average</w:t>
      </w:r>
      <w:r>
        <w:t xml:space="preserve"> </w:t>
      </w:r>
      <w:r w:rsidRPr="00183FB9">
        <w:t xml:space="preserve">and anticipated for 2025-2027. </w:t>
      </w:r>
      <w:r w:rsidRPr="00183FB9">
        <w:t>Exhibit</w:t>
      </w:r>
      <w:r>
        <w:t xml:space="preserve"> 4 shows the e</w:t>
      </w:r>
      <w:r w:rsidRPr="00AB458E">
        <w:t>stimated unit burden hours and costs and total annual burden hours and costs for the</w:t>
      </w:r>
      <w:r>
        <w:t xml:space="preserve"> NRC’s</w:t>
      </w:r>
      <w:r w:rsidRPr="00AB458E">
        <w:t xml:space="preserve"> </w:t>
      </w:r>
      <w:r>
        <w:t>“</w:t>
      </w:r>
      <w:r w:rsidRPr="00AB458E">
        <w:t>process telephone notifications</w:t>
      </w:r>
      <w:r>
        <w:t>”</w:t>
      </w:r>
      <w:r w:rsidRPr="00AB458E">
        <w:t xml:space="preserve"> activity. </w:t>
      </w:r>
    </w:p>
    <w:p w:rsidR="00E26DBB" w:rsidRPr="00AB458E" w:rsidP="00E26DBB" w14:paraId="7C70FA31" w14:textId="77777777">
      <w:r w:rsidRPr="00AB458E">
        <w:rPr>
          <w:b/>
          <w:bCs/>
        </w:rPr>
        <w:t>Processing Telephone Notification</w:t>
      </w:r>
    </w:p>
    <w:p w:rsidR="00E26DBB" w:rsidP="00E26DBB" w14:paraId="153B1FAA" w14:textId="77777777">
      <w:r w:rsidRPr="00AB458E">
        <w:t xml:space="preserve">The total burden of processing a telephone notification of a release consists of the time the NRC uses to (1) communicate with the respondent, (2) record and enter the information provided in the telephone call into the NRC data base, and (3) contact the predesignated EPA or Coast Guard OSC or other parties by telephone. </w:t>
      </w:r>
      <w:r>
        <w:t xml:space="preserve">After consulting with the NRC, EPA is updating the burden estimate to process a telephone notification. The NRC has informed </w:t>
      </w:r>
      <w:r w:rsidRPr="00AB458E">
        <w:t xml:space="preserve">EPA </w:t>
      </w:r>
      <w:r>
        <w:t>that it estimates that the three activities described above required an average of 17 minutes total per notification, so EPA is lowering the estimate used in previous ICR renewal from one hour to 17 minutes (0.283 hours).</w:t>
      </w:r>
    </w:p>
    <w:p w:rsidR="00E26DBB" w:rsidP="00E26DBB" w14:paraId="183A8BF6" w14:textId="77777777">
      <w:r w:rsidRPr="00014B5B">
        <w:t>For the period covered by this ICR renewal, EPA estimates that the average hourly labor cost for the NRC staff is $50.69. This is calculated as the average of the 202</w:t>
      </w:r>
      <w:r>
        <w:t>4</w:t>
      </w:r>
      <w:r w:rsidRPr="00014B5B">
        <w:t>, GS-9, step 1 hourly wage ($3</w:t>
      </w:r>
      <w:r>
        <w:t>2.78</w:t>
      </w:r>
      <w:r w:rsidRPr="00014B5B">
        <w:t>) for civilian employees in the Washington DC area</w:t>
      </w:r>
      <w:r>
        <w:rPr>
          <w:rStyle w:val="FootnoteReference"/>
        </w:rPr>
        <w:footnoteReference w:id="4"/>
      </w:r>
      <w:r w:rsidRPr="00014B5B">
        <w:t xml:space="preserve"> and the E-6 military hourly wage for over 6 years of service ($2</w:t>
      </w:r>
      <w:r>
        <w:t>4.41</w:t>
      </w:r>
      <w:r w:rsidRPr="00014B5B">
        <w:t>)</w:t>
      </w:r>
      <w:r>
        <w:rPr>
          <w:rStyle w:val="FootnoteReference"/>
        </w:rPr>
        <w:footnoteReference w:id="5"/>
      </w:r>
      <w:r w:rsidRPr="00014B5B">
        <w:t>, multiplied by 1.60 to account for fringe and overhead ($2</w:t>
      </w:r>
      <w:r>
        <w:t>8.59</w:t>
      </w:r>
      <w:r w:rsidRPr="00014B5B">
        <w:t xml:space="preserve"> x 1.6 = $4</w:t>
      </w:r>
      <w:r>
        <w:t>5.75</w:t>
      </w:r>
      <w:r w:rsidRPr="00014B5B">
        <w:t>). Therefore, the unit cost associated with processing an initial telephone call is $1</w:t>
      </w:r>
      <w:r>
        <w:t>2.96</w:t>
      </w:r>
      <w:r w:rsidRPr="00014B5B">
        <w:t xml:space="preserve"> (</w:t>
      </w:r>
      <w:r>
        <w:t>0</w:t>
      </w:r>
      <w:r w:rsidRPr="00014B5B">
        <w:t>.28</w:t>
      </w:r>
      <w:r>
        <w:t>3</w:t>
      </w:r>
      <w:r w:rsidRPr="00014B5B">
        <w:t xml:space="preserve"> hour</w:t>
      </w:r>
      <w:r>
        <w:t>s</w:t>
      </w:r>
      <w:r w:rsidRPr="00014B5B">
        <w:t xml:space="preserve"> x $4</w:t>
      </w:r>
      <w:r>
        <w:t>5.75</w:t>
      </w:r>
      <w:r w:rsidRPr="00014B5B">
        <w:t xml:space="preserve"> per hour). </w:t>
      </w:r>
      <w:r w:rsidRPr="005549B2">
        <w:t>See Exhibit 4.</w:t>
      </w:r>
    </w:p>
    <w:p w:rsidR="009852CA" w:rsidP="00E26DBB" w14:paraId="6D9F60F2" w14:textId="093CAC3D">
      <w:r w:rsidRPr="007C1B76">
        <w:rPr>
          <w:b/>
          <w:bCs/>
          <w:color w:val="000000"/>
        </w:rPr>
        <w:t xml:space="preserve">Exhibit </w:t>
      </w:r>
      <w:r>
        <w:rPr>
          <w:b/>
          <w:bCs/>
          <w:color w:val="000000"/>
        </w:rPr>
        <w:t xml:space="preserve">4. </w:t>
      </w:r>
      <w:r w:rsidRPr="00E60297">
        <w:rPr>
          <w:b/>
          <w:bCs/>
          <w:color w:val="000000"/>
        </w:rPr>
        <w:t>Burden Hours and Costs for Processing a Telephone Notification</w:t>
      </w:r>
      <w:r>
        <w:rPr>
          <w:b/>
          <w:bCs/>
          <w:color w:val="000000"/>
        </w:rPr>
        <w:t xml:space="preserve"> – Federal Government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27"/>
        <w:gridCol w:w="1127"/>
        <w:gridCol w:w="1377"/>
        <w:gridCol w:w="1376"/>
        <w:gridCol w:w="1377"/>
        <w:gridCol w:w="1377"/>
      </w:tblGrid>
      <w:tr w14:paraId="74FAEBB7" w14:textId="77777777" w:rsidTr="009852C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15" w:type="dxa"/>
            <w:vAlign w:val="center"/>
            <w:hideMark/>
          </w:tcPr>
          <w:p w:rsidR="00E26DBB" w:rsidRPr="00AA364F" w:rsidP="00D30388" w14:paraId="0CC037CD" w14:textId="77777777">
            <w:pPr>
              <w:keepLines/>
              <w:spacing w:after="0"/>
              <w:jc w:val="center"/>
              <w:rPr>
                <w:b/>
                <w:bCs/>
                <w:color w:val="000000"/>
              </w:rPr>
            </w:pPr>
            <w:r w:rsidRPr="00AA364F">
              <w:rPr>
                <w:b/>
                <w:bCs/>
                <w:color w:val="000000"/>
              </w:rPr>
              <w:t>Collection Activity</w:t>
            </w:r>
          </w:p>
        </w:tc>
        <w:tc>
          <w:tcPr>
            <w:tcW w:w="1627" w:type="dxa"/>
            <w:vAlign w:val="center"/>
            <w:hideMark/>
          </w:tcPr>
          <w:p w:rsidR="00E26DBB" w:rsidRPr="00AA364F" w:rsidP="00D30388" w14:paraId="45295A36" w14:textId="77777777">
            <w:pPr>
              <w:keepLines/>
              <w:spacing w:after="0"/>
              <w:jc w:val="center"/>
              <w:rPr>
                <w:b/>
                <w:bCs/>
                <w:color w:val="000000"/>
              </w:rPr>
            </w:pPr>
            <w:r w:rsidRPr="00AA364F">
              <w:rPr>
                <w:b/>
                <w:bCs/>
                <w:color w:val="000000"/>
              </w:rPr>
              <w:t xml:space="preserve">Average Number of </w:t>
            </w:r>
            <w:r>
              <w:rPr>
                <w:b/>
                <w:bCs/>
                <w:color w:val="000000"/>
              </w:rPr>
              <w:t>Notifications</w:t>
            </w:r>
            <w:r w:rsidRPr="00AA364F">
              <w:rPr>
                <w:b/>
                <w:bCs/>
                <w:color w:val="000000"/>
              </w:rPr>
              <w:t>/Year</w:t>
            </w:r>
          </w:p>
        </w:tc>
        <w:tc>
          <w:tcPr>
            <w:tcW w:w="1127" w:type="dxa"/>
            <w:vAlign w:val="center"/>
            <w:hideMark/>
          </w:tcPr>
          <w:p w:rsidR="00E26DBB" w:rsidRPr="00AA364F" w:rsidP="00D30388" w14:paraId="5E769FEF" w14:textId="77777777">
            <w:pPr>
              <w:keepLines/>
              <w:spacing w:after="0"/>
              <w:jc w:val="center"/>
              <w:rPr>
                <w:b/>
                <w:bCs/>
                <w:color w:val="000000"/>
              </w:rPr>
            </w:pPr>
            <w:r w:rsidRPr="00AA364F">
              <w:rPr>
                <w:b/>
                <w:bCs/>
                <w:color w:val="000000"/>
              </w:rPr>
              <w:t>Unit Burden Hours</w:t>
            </w:r>
          </w:p>
        </w:tc>
        <w:tc>
          <w:tcPr>
            <w:tcW w:w="1377" w:type="dxa"/>
            <w:vAlign w:val="center"/>
            <w:hideMark/>
          </w:tcPr>
          <w:p w:rsidR="00E26DBB" w:rsidRPr="00AA364F" w:rsidP="00D30388" w14:paraId="07E27742" w14:textId="77777777">
            <w:pPr>
              <w:keepLines/>
              <w:spacing w:after="0"/>
              <w:jc w:val="center"/>
              <w:rPr>
                <w:b/>
                <w:bCs/>
                <w:color w:val="000000"/>
              </w:rPr>
            </w:pPr>
            <w:r w:rsidRPr="00AA364F">
              <w:rPr>
                <w:b/>
                <w:bCs/>
                <w:color w:val="000000"/>
              </w:rPr>
              <w:t>Hourly Labor Cost</w:t>
            </w:r>
          </w:p>
        </w:tc>
        <w:tc>
          <w:tcPr>
            <w:tcW w:w="1376" w:type="dxa"/>
            <w:vAlign w:val="center"/>
          </w:tcPr>
          <w:p w:rsidR="00E26DBB" w:rsidRPr="00AA364F" w:rsidP="00D30388" w14:paraId="1605D3E1" w14:textId="77777777">
            <w:pPr>
              <w:keepLines/>
              <w:spacing w:after="0"/>
              <w:jc w:val="center"/>
              <w:rPr>
                <w:b/>
                <w:bCs/>
                <w:color w:val="000000"/>
              </w:rPr>
            </w:pPr>
            <w:r>
              <w:rPr>
                <w:b/>
                <w:bCs/>
                <w:color w:val="000000"/>
              </w:rPr>
              <w:t>Unit Labor Cost</w:t>
            </w:r>
          </w:p>
        </w:tc>
        <w:tc>
          <w:tcPr>
            <w:tcW w:w="1377" w:type="dxa"/>
            <w:vAlign w:val="center"/>
            <w:hideMark/>
          </w:tcPr>
          <w:p w:rsidR="00E26DBB" w:rsidRPr="00AA364F" w:rsidP="00D30388" w14:paraId="789E1B5A" w14:textId="77777777">
            <w:pPr>
              <w:keepLines/>
              <w:spacing w:after="0"/>
              <w:jc w:val="center"/>
              <w:rPr>
                <w:b/>
                <w:bCs/>
                <w:color w:val="000000"/>
              </w:rPr>
            </w:pPr>
            <w:r w:rsidRPr="00AA364F">
              <w:rPr>
                <w:b/>
                <w:bCs/>
                <w:color w:val="000000"/>
              </w:rPr>
              <w:t>Total Annual Burden Hours</w:t>
            </w:r>
          </w:p>
        </w:tc>
        <w:tc>
          <w:tcPr>
            <w:tcW w:w="1377" w:type="dxa"/>
            <w:vAlign w:val="center"/>
            <w:hideMark/>
          </w:tcPr>
          <w:p w:rsidR="00E26DBB" w:rsidRPr="00AA364F" w:rsidP="00D30388" w14:paraId="648C49DF" w14:textId="77777777">
            <w:pPr>
              <w:keepLines/>
              <w:spacing w:after="0"/>
              <w:jc w:val="center"/>
              <w:rPr>
                <w:b/>
                <w:bCs/>
                <w:color w:val="000000"/>
              </w:rPr>
            </w:pPr>
            <w:r w:rsidRPr="00AA364F">
              <w:rPr>
                <w:b/>
                <w:bCs/>
                <w:color w:val="000000"/>
              </w:rPr>
              <w:t>Total Annual Cost</w:t>
            </w:r>
          </w:p>
        </w:tc>
      </w:tr>
      <w:tr w14:paraId="2A5933A8" w14:textId="77777777" w:rsidTr="009852CA">
        <w:tblPrEx>
          <w:tblW w:w="5000" w:type="pct"/>
          <w:jc w:val="center"/>
          <w:tblLayout w:type="fixed"/>
          <w:tblLook w:val="04A0"/>
        </w:tblPrEx>
        <w:trPr>
          <w:trHeight w:val="518"/>
          <w:jc w:val="center"/>
        </w:trPr>
        <w:tc>
          <w:tcPr>
            <w:tcW w:w="1315" w:type="dxa"/>
            <w:vAlign w:val="center"/>
            <w:hideMark/>
          </w:tcPr>
          <w:p w:rsidR="00E26DBB" w:rsidRPr="00AA364F" w:rsidP="00D30388" w14:paraId="5931C769" w14:textId="77777777">
            <w:pPr>
              <w:keepLines/>
              <w:spacing w:after="0"/>
              <w:jc w:val="center"/>
              <w:rPr>
                <w:color w:val="000000"/>
              </w:rPr>
            </w:pPr>
            <w:r w:rsidRPr="00AA364F">
              <w:rPr>
                <w:color w:val="000000"/>
              </w:rPr>
              <w:t>Processing Telephone Notification</w:t>
            </w:r>
          </w:p>
        </w:tc>
        <w:tc>
          <w:tcPr>
            <w:tcW w:w="1627" w:type="dxa"/>
            <w:vAlign w:val="center"/>
            <w:hideMark/>
          </w:tcPr>
          <w:p w:rsidR="00E26DBB" w:rsidRPr="00AA364F" w:rsidP="00D30388" w14:paraId="65BBF1C4" w14:textId="77777777">
            <w:pPr>
              <w:keepLines/>
              <w:spacing w:after="0"/>
              <w:rPr>
                <w:color w:val="000000"/>
              </w:rPr>
            </w:pPr>
            <w:r>
              <w:t xml:space="preserve">        21,789 </w:t>
            </w:r>
          </w:p>
        </w:tc>
        <w:tc>
          <w:tcPr>
            <w:tcW w:w="1127" w:type="dxa"/>
            <w:vAlign w:val="center"/>
            <w:hideMark/>
          </w:tcPr>
          <w:p w:rsidR="00E26DBB" w:rsidRPr="00AA364F" w:rsidP="00D30388" w14:paraId="7636D83F" w14:textId="77777777">
            <w:pPr>
              <w:keepLines/>
              <w:spacing w:after="0"/>
              <w:jc w:val="center"/>
              <w:rPr>
                <w:color w:val="000000"/>
              </w:rPr>
            </w:pPr>
            <w:r>
              <w:t>0.283</w:t>
            </w:r>
          </w:p>
        </w:tc>
        <w:tc>
          <w:tcPr>
            <w:tcW w:w="1377" w:type="dxa"/>
            <w:vAlign w:val="center"/>
            <w:hideMark/>
          </w:tcPr>
          <w:p w:rsidR="00E26DBB" w:rsidRPr="00AA364F" w:rsidP="00D30388" w14:paraId="3112E63E" w14:textId="77777777">
            <w:pPr>
              <w:keepLines/>
              <w:spacing w:after="0"/>
              <w:jc w:val="center"/>
              <w:rPr>
                <w:bCs/>
              </w:rPr>
            </w:pPr>
            <w:r>
              <w:rPr>
                <w:color w:val="000000"/>
              </w:rPr>
              <w:t>$45.75</w:t>
            </w:r>
          </w:p>
        </w:tc>
        <w:tc>
          <w:tcPr>
            <w:tcW w:w="1376" w:type="dxa"/>
            <w:vAlign w:val="center"/>
          </w:tcPr>
          <w:p w:rsidR="00E26DBB" w:rsidRPr="00AA364F" w:rsidP="00D30388" w14:paraId="3D17AE04" w14:textId="77777777">
            <w:pPr>
              <w:keepLines/>
              <w:spacing w:after="0"/>
              <w:jc w:val="center"/>
              <w:rPr>
                <w:bCs/>
              </w:rPr>
            </w:pPr>
            <w:r>
              <w:rPr>
                <w:color w:val="000000"/>
              </w:rPr>
              <w:t>$12.96</w:t>
            </w:r>
          </w:p>
        </w:tc>
        <w:tc>
          <w:tcPr>
            <w:tcW w:w="1377" w:type="dxa"/>
            <w:vAlign w:val="center"/>
            <w:hideMark/>
          </w:tcPr>
          <w:p w:rsidR="00E26DBB" w:rsidRPr="00AA364F" w:rsidP="00D30388" w14:paraId="507BB2F5" w14:textId="77777777">
            <w:pPr>
              <w:keepLines/>
              <w:spacing w:after="0"/>
              <w:jc w:val="center"/>
              <w:rPr>
                <w:color w:val="000000"/>
              </w:rPr>
            </w:pPr>
            <w:r>
              <w:rPr>
                <w:color w:val="000000"/>
              </w:rPr>
              <w:t>6,174</w:t>
            </w:r>
          </w:p>
        </w:tc>
        <w:tc>
          <w:tcPr>
            <w:tcW w:w="1377" w:type="dxa"/>
            <w:vAlign w:val="center"/>
            <w:hideMark/>
          </w:tcPr>
          <w:p w:rsidR="00E26DBB" w:rsidRPr="00AA364F" w:rsidP="00D30388" w14:paraId="348D433C" w14:textId="77777777">
            <w:pPr>
              <w:keepLines/>
              <w:spacing w:after="0"/>
              <w:jc w:val="center"/>
              <w:rPr>
                <w:color w:val="000000"/>
              </w:rPr>
            </w:pPr>
            <w:r>
              <w:rPr>
                <w:color w:val="000000"/>
              </w:rPr>
              <w:t xml:space="preserve">$282,428 </w:t>
            </w:r>
          </w:p>
        </w:tc>
      </w:tr>
    </w:tbl>
    <w:p w:rsidR="00E26DBB" w:rsidP="00E26DBB" w14:paraId="3B1F8C39" w14:textId="77777777">
      <w:pPr>
        <w:rPr>
          <w:b/>
          <w:bCs/>
        </w:rPr>
      </w:pPr>
    </w:p>
    <w:p w:rsidR="00D17BB9" w:rsidP="00DF6672" w14:paraId="164B7E2B" w14:textId="2BCAACF4">
      <w:pPr>
        <w:pStyle w:val="Style1"/>
      </w:pPr>
      <w:r w:rsidRPr="00163C69">
        <w:t xml:space="preserve">14c. </w:t>
      </w:r>
      <w:r w:rsidRPr="00163C69">
        <w:t>Agency Non-Labor Costs</w:t>
      </w:r>
    </w:p>
    <w:p w:rsidR="0062696F" w:rsidRPr="00EB7FA5" w:rsidP="0062696F" w14:paraId="2B11E4C5" w14:textId="77777777">
      <w:r w:rsidRPr="000A682A">
        <w:t xml:space="preserve">EPA does not anticipate that respondents will incur </w:t>
      </w:r>
      <w:r>
        <w:t xml:space="preserve">either </w:t>
      </w:r>
      <w:r w:rsidRPr="000A682A">
        <w:t>capital</w:t>
      </w:r>
      <w:r>
        <w:t xml:space="preserve"> or O&amp;M</w:t>
      </w:r>
      <w:r w:rsidRPr="000A682A">
        <w:t xml:space="preserve"> costs </w:t>
      </w:r>
      <w:r>
        <w:t xml:space="preserve">under this ICR. Response actions resulting from release notifications made to the NRC under this ICR </w:t>
      </w:r>
      <w:r w:rsidRPr="00AB458E">
        <w:t>are not covered under this ICR.</w:t>
      </w:r>
    </w:p>
    <w:p w:rsidR="004620CA" w:rsidRPr="00163C69" w:rsidP="008804E5" w14:paraId="3144CC9D" w14:textId="72F4E703">
      <w:pPr>
        <w:pStyle w:val="EPAHeading2"/>
        <w:pBdr>
          <w:bottom w:val="none" w:sz="0" w:space="0" w:color="auto"/>
        </w:pBdr>
      </w:pPr>
      <w:r w:rsidRPr="4BDBF0A0">
        <w:t xml:space="preserve">REASONS FOR </w:t>
      </w:r>
      <w:r w:rsidRPr="4BDBF0A0" w:rsidR="00AD46F7">
        <w:t>CHANGE IN BURDEN</w:t>
      </w:r>
      <w:bookmarkEnd w:id="25"/>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3314BD" w:rsidP="003314BD" w14:paraId="44EF6382" w14:textId="77777777">
      <w:bookmarkStart w:id="26" w:name="_Toc156593389"/>
      <w:r w:rsidRPr="00307B93">
        <w:t>Compared to the previous ICR</w:t>
      </w:r>
      <w:r>
        <w:t>, the</w:t>
      </w:r>
      <w:r w:rsidRPr="00307B93">
        <w:t xml:space="preserve"> </w:t>
      </w:r>
      <w:r w:rsidRPr="0022651A">
        <w:t>estimated respondent unit burden has remained the same and the estimated annual respondent burden has increased in this ICR ren</w:t>
      </w:r>
      <w:r w:rsidRPr="00183FB9">
        <w:t>ewal. Regarding annual burden, the projected number of annual release notifications in this renewal (21,789) is slightly higher than the number of release notifications in the previous ICR (19,450). This increase in NRC notifications results in a higher total estimated respondent burden of 22,225 hours for this ICR renewal compared to 19,839 hours in the previous ICR.</w:t>
      </w:r>
    </w:p>
    <w:p w:rsidR="003314BD" w:rsidRPr="00255BA0" w:rsidP="003314BD" w14:paraId="2EC9440D" w14:textId="77777777">
      <w:pPr>
        <w:rPr>
          <w:strike/>
        </w:rPr>
      </w:pPr>
      <w:r>
        <w:t xml:space="preserve">Similarly, due to the increase </w:t>
      </w:r>
      <w:r w:rsidRPr="0022651A">
        <w:t>in the estimated number of NRC notifications for this ICR renewal period compared to the previous ICR, the government burden is expected to increase for this ICR renewal (6,174</w:t>
      </w:r>
      <w:r>
        <w:t xml:space="preserve"> hours vs. 5,511 hours).</w:t>
      </w:r>
    </w:p>
    <w:p w:rsidR="005D140B" w:rsidRPr="00163C69" w:rsidP="008804E5" w14:paraId="3604F417" w14:textId="5D0F3160">
      <w:pPr>
        <w:pStyle w:val="EPAHeading2"/>
        <w:pBdr>
          <w:bottom w:val="none" w:sz="0" w:space="0" w:color="auto"/>
        </w:pBdr>
      </w:pPr>
      <w:r w:rsidRPr="4BDBF0A0">
        <w:t xml:space="preserve">PUBLICATION OF </w:t>
      </w:r>
      <w:bookmarkStart w:id="27" w:name="_Toc156593390"/>
      <w:bookmarkEnd w:id="26"/>
      <w:r w:rsidR="00E73E81">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6D12" w:rsidRPr="00334430" w:rsidP="00806D12" w14:paraId="42ABB91D" w14:textId="77777777">
      <w:r w:rsidRPr="00334430">
        <w:t>EPA</w:t>
      </w:r>
      <w:r>
        <w:t xml:space="preserve"> does not publish any data related to the release reports received by the NRC, nor any other data related to this ICR renewal. </w:t>
      </w:r>
    </w:p>
    <w:p w:rsidR="00627768" w:rsidRPr="00163C69" w:rsidP="008804E5" w14:paraId="54E9D2D0" w14:textId="67124984">
      <w:pPr>
        <w:pStyle w:val="EPAHeading2"/>
        <w:pBdr>
          <w:bottom w:val="none" w:sz="0" w:space="0" w:color="auto"/>
        </w:pBdr>
      </w:pPr>
      <w:r w:rsidRPr="008804E5">
        <w:t xml:space="preserve">DISPLAY </w:t>
      </w:r>
      <w:r w:rsidRPr="008804E5" w:rsidR="00644EBE">
        <w:t xml:space="preserve">OF </w:t>
      </w:r>
      <w:r w:rsidRPr="008804E5" w:rsidR="000D5863">
        <w:t>EXPIRATION DATE</w:t>
      </w:r>
      <w:bookmarkEnd w:id="27"/>
      <w:r w:rsidRPr="008804E5" w:rsidR="00644EBE">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814734" w:rsidRPr="00457BDF" w:rsidP="00814734" w14:paraId="31659AB4" w14:textId="77777777">
      <w:pPr>
        <w:tabs>
          <w:tab w:val="left" w:pos="720"/>
          <w:tab w:val="left" w:pos="1440"/>
          <w:tab w:val="left" w:pos="2160"/>
          <w:tab w:val="left" w:pos="2880"/>
          <w:tab w:val="left" w:pos="3600"/>
          <w:tab w:val="left" w:pos="4320"/>
          <w:tab w:val="left" w:pos="5040"/>
          <w:tab w:val="left" w:pos="5850"/>
          <w:tab w:val="left" w:pos="6480"/>
          <w:tab w:val="left" w:pos="7200"/>
          <w:tab w:val="left" w:pos="7922"/>
        </w:tabs>
      </w:pPr>
      <w:bookmarkStart w:id="28" w:name="_Toc156593391"/>
      <w:r w:rsidRPr="00457BDF">
        <w:t xml:space="preserve">This does not apply to this ICR. </w:t>
      </w:r>
    </w:p>
    <w:p w:rsidR="00691828" w:rsidRPr="00163C69" w:rsidP="008804E5" w14:paraId="7CCB26DD" w14:textId="4CB12282">
      <w:pPr>
        <w:pStyle w:val="EPAHeading2"/>
        <w:pBdr>
          <w:bottom w:val="none" w:sz="0" w:space="0" w:color="auto"/>
        </w:pBdr>
      </w:pPr>
      <w:r w:rsidRPr="00163C69">
        <w:t>CERTIFICATION STATEMENT</w:t>
      </w:r>
      <w:bookmarkEnd w:id="28"/>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34AD9" w:rsidRPr="00A34AD9" w:rsidP="00A34AD9" w14:paraId="7EBA6AC6" w14:textId="77777777">
      <w:r w:rsidRPr="00A34AD9">
        <w:t>This information collection complies with all provisions of the Certification for Paperwork Reduction Act Submissions.</w:t>
      </w:r>
    </w:p>
    <w:p w:rsidR="00A34AD9" w:rsidRPr="00A34AD9" w:rsidP="0072438A" w14:paraId="509F243E" w14:textId="77777777">
      <w:pPr>
        <w:rPr>
          <w:b/>
        </w:rPr>
      </w:pPr>
      <w:bookmarkStart w:id="29" w:name="_Hlk190262190"/>
      <w:r w:rsidRPr="00A34AD9">
        <w:rPr>
          <w:b/>
        </w:rPr>
        <w:t>Burden Statement</w:t>
      </w:r>
    </w:p>
    <w:bookmarkEnd w:id="29"/>
    <w:p w:rsidR="00A34AD9" w:rsidRPr="00A34AD9" w:rsidP="00A34AD9" w14:paraId="043E312C" w14:textId="77777777">
      <w:r w:rsidRPr="00A34AD9">
        <w:t xml:space="preserve">The annual public reporting and recordkeeping burden for this collection of information is estimated to average approximately 1.02 hours per response, which includes 0.64 hours associated with the initial notification and 0.38 hours record keeping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w:t>
      </w:r>
      <w:r w:rsidRPr="00A34AD9">
        <w:t>information unless it displays a currently valid OMB control number. The OMB control numbers for EPA’s regulations are listed in 40 CFR part 9 and 48 CFR chapter 15.</w:t>
      </w:r>
    </w:p>
    <w:p w:rsidR="00A34AD9" w:rsidRPr="00A34AD9" w:rsidP="00A34AD9" w14:paraId="60F125DF" w14:textId="77777777">
      <w:r w:rsidRPr="00A34AD9">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EPA-HQ-SFUND-2013-0549, which is available for online viewing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Out of an abundance of caution for members of the public and our staff, the EPA Docket Center and Reading Room is closed to the public, with limited exceptions, to reduce the risk of transmitting COVID-19. Our Docket Center staff will continue to provide remote customer service via email, phone, and webform. For further information about the EPA’s public docket, Docket Center services and the current status, please visit us online at https://www.epa.gov/dockets. The telephone number for the Docket Center is (202) 566-1744.  </w:t>
      </w:r>
    </w:p>
    <w:p w:rsidR="00A34AD9" w:rsidRPr="00A34AD9" w:rsidP="00A34AD9" w14:paraId="1B75E9F4" w14:textId="530E2D64">
      <w:r w:rsidRPr="00A34AD9">
        <w:t>Also, you can send comments to the Office of Information and Regulatory Affairs, Office of Management and Budget, 725 17th Street, NW, Washington, D.C. 20503, Attention: Desk Officer for EPA. Please include the EPA Docket ID No. EPA-HQ-SFUND-2013-0549</w:t>
      </w:r>
      <w:r>
        <w:t xml:space="preserve"> </w:t>
      </w:r>
      <w:r w:rsidRPr="00A34AD9">
        <w:t>in any correspondence.</w:t>
      </w:r>
    </w:p>
    <w:p w:rsidR="00B8373D" w14:paraId="02BFB1B4" w14:textId="6C45E18F">
      <w:r>
        <w:br w:type="page"/>
      </w:r>
    </w:p>
    <w:p w:rsidR="00757AF2" w:rsidP="00B24A05" w14:paraId="0EF525AA" w14:textId="77777777">
      <w:pPr>
        <w:pStyle w:val="EPAHeading2"/>
        <w:numPr>
          <w:ilvl w:val="0"/>
          <w:numId w:val="0"/>
        </w:numPr>
        <w:pBdr>
          <w:bottom w:val="none" w:sz="0" w:space="0" w:color="auto"/>
        </w:pBdr>
        <w:ind w:left="360" w:hanging="360"/>
        <w:jc w:val="center"/>
      </w:pPr>
      <w:r w:rsidRPr="0022651A">
        <w:t>A</w:t>
      </w:r>
      <w:r w:rsidRPr="001D2C77">
        <w:t xml:space="preserve">PPENDIX </w:t>
      </w:r>
      <w:r>
        <w:t>A: Information Items Required in NRC Call</w:t>
      </w:r>
    </w:p>
    <w:p w:rsidR="00757AF2" w:rsidRPr="00AB458E" w:rsidP="00757AF2" w14:paraId="6DB291CB" w14:textId="77777777">
      <w:r w:rsidRPr="00AB458E">
        <w:t>The information provided in the telephone call to the NRC serves to notify government authorities of the release and provides them with a description of the circumst</w:t>
      </w:r>
      <w:r>
        <w:t xml:space="preserve">ances surrounding the release. </w:t>
      </w:r>
      <w:r w:rsidRPr="00AB458E">
        <w:t>The following information is requested from all callers:</w:t>
      </w:r>
    </w:p>
    <w:p w:rsidR="00757AF2" w:rsidP="00757AF2" w14:paraId="76900AEF" w14:textId="77777777">
      <w:pPr>
        <w:pStyle w:val="ListParagraph"/>
        <w:widowControl w:val="0"/>
        <w:numPr>
          <w:ilvl w:val="0"/>
          <w:numId w:val="31"/>
        </w:numPr>
        <w:adjustRightInd w:val="0"/>
        <w:spacing w:after="60" w:line="240" w:lineRule="auto"/>
        <w:contextualSpacing w:val="0"/>
      </w:pPr>
      <w:r w:rsidRPr="00AB458E">
        <w:t xml:space="preserve">The name and location of the individual reporting the release, the name and type of organization (e.g., general public, industrial facility, or Federal, </w:t>
      </w:r>
      <w:r>
        <w:t>s</w:t>
      </w:r>
      <w:r w:rsidRPr="00AB458E">
        <w:t>tate, or local government) with which the individual reporting the release is affiliated, and the telephone number of the person reporting the release</w:t>
      </w:r>
      <w:r>
        <w:t>.</w:t>
      </w:r>
    </w:p>
    <w:p w:rsidR="00757AF2" w:rsidP="00757AF2" w14:paraId="0F006C23" w14:textId="77777777">
      <w:pPr>
        <w:pStyle w:val="ListParagraph"/>
        <w:widowControl w:val="0"/>
        <w:numPr>
          <w:ilvl w:val="0"/>
          <w:numId w:val="31"/>
        </w:numPr>
        <w:adjustRightInd w:val="0"/>
        <w:spacing w:after="60" w:line="240" w:lineRule="auto"/>
        <w:contextualSpacing w:val="0"/>
      </w:pPr>
      <w:r>
        <w:t>The name and location of the facility or vessel reporting the release, the type of organization,</w:t>
      </w:r>
      <w:r w:rsidRPr="00AB458E">
        <w:t xml:space="preserve"> and the telephone number of the </w:t>
      </w:r>
      <w:r>
        <w:t>facility or vessel.</w:t>
      </w:r>
    </w:p>
    <w:p w:rsidR="00757AF2" w:rsidP="00757AF2" w14:paraId="1E413131" w14:textId="77777777">
      <w:pPr>
        <w:pStyle w:val="ListParagraph"/>
        <w:widowControl w:val="0"/>
        <w:numPr>
          <w:ilvl w:val="0"/>
          <w:numId w:val="31"/>
        </w:numPr>
        <w:adjustRightInd w:val="0"/>
        <w:spacing w:after="60" w:line="240" w:lineRule="auto"/>
        <w:contextualSpacing w:val="0"/>
      </w:pPr>
      <w:r w:rsidRPr="00AB458E">
        <w:t>The location of the release</w:t>
      </w:r>
      <w:r>
        <w:t>.</w:t>
      </w:r>
    </w:p>
    <w:p w:rsidR="00757AF2" w:rsidP="00757AF2" w14:paraId="4608DA4D" w14:textId="77777777">
      <w:pPr>
        <w:pStyle w:val="ListParagraph"/>
        <w:widowControl w:val="0"/>
        <w:numPr>
          <w:ilvl w:val="0"/>
          <w:numId w:val="31"/>
        </w:numPr>
        <w:adjustRightInd w:val="0"/>
        <w:spacing w:after="60" w:line="240" w:lineRule="auto"/>
        <w:contextualSpacing w:val="0"/>
      </w:pPr>
      <w:r w:rsidRPr="00AB458E">
        <w:t>The date and time of the release</w:t>
      </w:r>
      <w:r>
        <w:t>.</w:t>
      </w:r>
    </w:p>
    <w:p w:rsidR="00757AF2" w:rsidP="00757AF2" w14:paraId="5CAB89F9" w14:textId="77777777">
      <w:pPr>
        <w:pStyle w:val="ListParagraph"/>
        <w:widowControl w:val="0"/>
        <w:numPr>
          <w:ilvl w:val="0"/>
          <w:numId w:val="31"/>
        </w:numPr>
        <w:adjustRightInd w:val="0"/>
        <w:spacing w:after="60" w:line="240" w:lineRule="auto"/>
        <w:contextualSpacing w:val="0"/>
      </w:pPr>
      <w:r w:rsidRPr="00AB458E">
        <w:t>The name and type of material involved in the release, and the quantity of the substance released</w:t>
      </w:r>
      <w:r>
        <w:t>.</w:t>
      </w:r>
    </w:p>
    <w:p w:rsidR="00757AF2" w:rsidP="00757AF2" w14:paraId="3BD8F2AB" w14:textId="77777777">
      <w:pPr>
        <w:pStyle w:val="ListParagraph"/>
        <w:widowControl w:val="0"/>
        <w:numPr>
          <w:ilvl w:val="0"/>
          <w:numId w:val="31"/>
        </w:numPr>
        <w:adjustRightInd w:val="0"/>
        <w:spacing w:after="60" w:line="240" w:lineRule="auto"/>
        <w:contextualSpacing w:val="0"/>
      </w:pPr>
      <w:r w:rsidRPr="00AB458E">
        <w:t>The source of the release, the vehicle identification or carrier number, if applicable, and a brief description of the source</w:t>
      </w:r>
      <w:r>
        <w:t>.</w:t>
      </w:r>
    </w:p>
    <w:p w:rsidR="00757AF2" w:rsidP="00757AF2" w14:paraId="0CE26277" w14:textId="77777777">
      <w:pPr>
        <w:pStyle w:val="ListParagraph"/>
        <w:widowControl w:val="0"/>
        <w:numPr>
          <w:ilvl w:val="0"/>
          <w:numId w:val="31"/>
        </w:numPr>
        <w:adjustRightInd w:val="0"/>
        <w:spacing w:after="60" w:line="240" w:lineRule="auto"/>
        <w:contextualSpacing w:val="0"/>
      </w:pPr>
      <w:r w:rsidRPr="00AB458E">
        <w:t xml:space="preserve">The environmental medium affected by the release (e.g., air, land, </w:t>
      </w:r>
      <w:r>
        <w:t xml:space="preserve">surface </w:t>
      </w:r>
      <w:r w:rsidRPr="00AB458E">
        <w:t>water, or ground water)</w:t>
      </w:r>
      <w:r>
        <w:t>.</w:t>
      </w:r>
    </w:p>
    <w:p w:rsidR="00757AF2" w:rsidP="00757AF2" w14:paraId="63E828A0" w14:textId="77777777">
      <w:pPr>
        <w:pStyle w:val="ListParagraph"/>
        <w:widowControl w:val="0"/>
        <w:numPr>
          <w:ilvl w:val="0"/>
          <w:numId w:val="31"/>
        </w:numPr>
        <w:adjustRightInd w:val="0"/>
        <w:spacing w:after="60" w:line="240" w:lineRule="auto"/>
        <w:contextualSpacing w:val="0"/>
      </w:pPr>
      <w:r w:rsidRPr="00AB458E">
        <w:t>The cause of the incident (e.g., transportation accident, operational error, natural phenomenon), and a brief description of the release scenario denoting any unusual circumstances associated with the release</w:t>
      </w:r>
      <w:r>
        <w:t>.</w:t>
      </w:r>
    </w:p>
    <w:p w:rsidR="00757AF2" w:rsidP="00757AF2" w14:paraId="5C6B6135" w14:textId="77777777">
      <w:pPr>
        <w:pStyle w:val="ListParagraph"/>
        <w:widowControl w:val="0"/>
        <w:numPr>
          <w:ilvl w:val="0"/>
          <w:numId w:val="31"/>
        </w:numPr>
        <w:adjustRightInd w:val="0"/>
        <w:spacing w:after="60" w:line="240" w:lineRule="auto"/>
        <w:contextualSpacing w:val="0"/>
      </w:pPr>
      <w:r w:rsidRPr="00AB458E">
        <w:t>Information on damages that occurred as a result of the release, including the number of injuries, number of deaths, and any property damage</w:t>
      </w:r>
      <w:r>
        <w:t>.</w:t>
      </w:r>
    </w:p>
    <w:p w:rsidR="00757AF2" w:rsidP="00757AF2" w14:paraId="1E7D1B5A" w14:textId="77777777">
      <w:pPr>
        <w:pStyle w:val="ListParagraph"/>
        <w:widowControl w:val="0"/>
        <w:numPr>
          <w:ilvl w:val="0"/>
          <w:numId w:val="31"/>
        </w:numPr>
        <w:adjustRightInd w:val="0"/>
        <w:spacing w:after="60" w:line="240" w:lineRule="auto"/>
        <w:contextualSpacing w:val="0"/>
      </w:pPr>
      <w:r w:rsidRPr="00AB458E">
        <w:t>A description of the response actions taken at the release site, if any</w:t>
      </w:r>
      <w:r>
        <w:t>.</w:t>
      </w:r>
    </w:p>
    <w:p w:rsidR="00757AF2" w:rsidP="00757AF2" w14:paraId="408F1127" w14:textId="77777777">
      <w:pPr>
        <w:pStyle w:val="ListParagraph"/>
        <w:widowControl w:val="0"/>
        <w:numPr>
          <w:ilvl w:val="0"/>
          <w:numId w:val="31"/>
        </w:numPr>
        <w:adjustRightInd w:val="0"/>
        <w:spacing w:after="60" w:line="240" w:lineRule="auto"/>
        <w:contextualSpacing w:val="0"/>
      </w:pPr>
      <w:r w:rsidRPr="00AB458E">
        <w:t>The name(s) and type of organization(s) that the caller has already notified; and</w:t>
      </w:r>
    </w:p>
    <w:p w:rsidR="00757AF2" w:rsidRPr="00AB458E" w:rsidP="00757AF2" w14:paraId="4B91ED9E" w14:textId="77777777">
      <w:pPr>
        <w:pStyle w:val="ListParagraph"/>
        <w:widowControl w:val="0"/>
        <w:numPr>
          <w:ilvl w:val="0"/>
          <w:numId w:val="31"/>
        </w:numPr>
        <w:adjustRightInd w:val="0"/>
        <w:spacing w:after="60" w:line="240" w:lineRule="auto"/>
        <w:contextualSpacing w:val="0"/>
      </w:pPr>
      <w:r w:rsidRPr="00AB458E">
        <w:t>Any additional comments or information regarding the release.</w:t>
      </w:r>
    </w:p>
    <w:p w:rsidR="00BB3410" w:rsidRPr="00BB3410" w:rsidP="00DF6672" w14:paraId="4FEB169F" w14:textId="77777777"/>
    <w:sectPr w:rsidSect="00C620A5">
      <w:headerReference w:type="default" r:id="rId9"/>
      <w:pgSz w:w="12240" w:h="15840"/>
      <w:pgMar w:top="1440" w:right="1440" w:bottom="144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228F" w:rsidP="002335AB" w14:paraId="03127E9F" w14:textId="77777777">
      <w:pPr>
        <w:spacing w:after="0" w:line="240" w:lineRule="auto"/>
      </w:pPr>
      <w:r>
        <w:separator/>
      </w:r>
    </w:p>
  </w:footnote>
  <w:footnote w:type="continuationSeparator" w:id="1">
    <w:p w:rsidR="0035228F" w:rsidP="002335AB" w14:paraId="77517EED" w14:textId="77777777">
      <w:pPr>
        <w:spacing w:after="0" w:line="240" w:lineRule="auto"/>
      </w:pPr>
      <w:r>
        <w:continuationSeparator/>
      </w:r>
    </w:p>
  </w:footnote>
  <w:footnote w:type="continuationNotice" w:id="2">
    <w:p w:rsidR="0035228F" w14:paraId="06BA671C" w14:textId="77777777">
      <w:pPr>
        <w:spacing w:after="0" w:line="240" w:lineRule="auto"/>
      </w:pPr>
    </w:p>
  </w:footnote>
  <w:footnote w:id="3">
    <w:p w:rsidR="00E31E16" w:rsidRPr="0095391B" w:rsidP="0095391B" w14:paraId="08D6BD37" w14:textId="119D508E">
      <w:pPr>
        <w:shd w:val="clear" w:color="auto" w:fill="FFFFFF"/>
        <w:rPr>
          <w:sz w:val="20"/>
          <w:u w:val="single"/>
          <w:lang w:val="en"/>
        </w:rPr>
      </w:pPr>
      <w:r w:rsidRPr="00BF098D">
        <w:rPr>
          <w:rStyle w:val="FootnoteReference"/>
        </w:rPr>
        <w:footnoteRef/>
      </w:r>
      <w:r>
        <w:t xml:space="preserve"> </w:t>
      </w:r>
      <w:r w:rsidRPr="00150F2B">
        <w:rPr>
          <w:sz w:val="20"/>
          <w:szCs w:val="20"/>
        </w:rPr>
        <w:t xml:space="preserve">Bureau of Labor Statistics. Employer Cost of Employee Compensation, </w:t>
      </w:r>
      <w:r>
        <w:rPr>
          <w:sz w:val="20"/>
          <w:szCs w:val="20"/>
        </w:rPr>
        <w:t>September 2024</w:t>
      </w:r>
      <w:r w:rsidRPr="00150F2B">
        <w:rPr>
          <w:sz w:val="20"/>
          <w:szCs w:val="20"/>
        </w:rPr>
        <w:t xml:space="preserve">. ECEC Private industry workers, goods-producing and service-providing industries, by occupational group. Table 9. Employer costs per hour worked for employee compensation and costs as a percent of total compensation: private industry workers, goods-producing and service-providing industries, by occupational group, </w:t>
      </w:r>
      <w:r>
        <w:rPr>
          <w:sz w:val="20"/>
          <w:szCs w:val="20"/>
        </w:rPr>
        <w:t>Sept.</w:t>
      </w:r>
      <w:r w:rsidRPr="00150F2B">
        <w:rPr>
          <w:sz w:val="20"/>
          <w:szCs w:val="20"/>
        </w:rPr>
        <w:t xml:space="preserve"> 202</w:t>
      </w:r>
      <w:r>
        <w:rPr>
          <w:sz w:val="20"/>
          <w:szCs w:val="20"/>
        </w:rPr>
        <w:t>4</w:t>
      </w:r>
      <w:r w:rsidRPr="00150F2B">
        <w:rPr>
          <w:sz w:val="20"/>
          <w:szCs w:val="20"/>
        </w:rPr>
        <w:t>. Data released December 17, 2024. https://www.bls.gov/web/ecec.supp.toc.htm</w:t>
      </w:r>
      <w:r>
        <w:rPr>
          <w:sz w:val="20"/>
        </w:rPr>
        <w:t>.</w:t>
      </w:r>
    </w:p>
  </w:footnote>
  <w:footnote w:id="4">
    <w:p w:rsidR="00E26DBB" w:rsidP="00E26DBB" w14:paraId="44533887" w14:textId="77777777">
      <w:pPr>
        <w:pStyle w:val="FootnoteText"/>
      </w:pPr>
    </w:p>
    <w:p w:rsidR="00E26DBB" w:rsidP="00E26DBB" w14:paraId="47AC7A5E" w14:textId="77777777">
      <w:pPr>
        <w:pStyle w:val="FootnoteText"/>
      </w:pPr>
      <w:r w:rsidRPr="00F04651">
        <w:rPr>
          <w:rStyle w:val="FootnoteReference"/>
        </w:rPr>
        <w:footnoteRef/>
      </w:r>
      <w:r>
        <w:t xml:space="preserve"> U.S. Office of Personnel Management, </w:t>
      </w:r>
      <w:hyperlink r:id="rId1" w:history="1">
        <w:r w:rsidRPr="00F04651">
          <w:rPr>
            <w:rStyle w:val="Hyperlink"/>
          </w:rPr>
          <w:t xml:space="preserve">Pay &amp; Leave : </w:t>
        </w:r>
        <w:r w:rsidRPr="00E8383C">
          <w:rPr>
            <w:rStyle w:val="Hyperlink"/>
          </w:rPr>
          <w:t>202</w:t>
        </w:r>
        <w:r>
          <w:rPr>
            <w:rStyle w:val="Hyperlink"/>
          </w:rPr>
          <w:t xml:space="preserve">4 </w:t>
        </w:r>
        <w:r w:rsidRPr="00F04651">
          <w:rPr>
            <w:rStyle w:val="Hyperlink"/>
          </w:rPr>
          <w:t>Salaries &amp; Wages - OPM.gov</w:t>
        </w:r>
      </w:hyperlink>
      <w:r>
        <w:t xml:space="preserve">, </w:t>
      </w:r>
      <w:r w:rsidRPr="0022651A">
        <w:t>https://www.opm.gov/policy-data-oversight/pay-leave/salaries-wages/salary-tables/24Tables/html/DCB_h.aspx</w:t>
      </w:r>
    </w:p>
  </w:footnote>
  <w:footnote w:id="5">
    <w:p w:rsidR="00E26DBB" w:rsidP="00E26DBB" w14:paraId="3EDF547F" w14:textId="77777777">
      <w:pPr>
        <w:pStyle w:val="FootnoteText"/>
      </w:pPr>
      <w:r w:rsidRPr="00E8383C">
        <w:rPr>
          <w:rStyle w:val="FootnoteReference"/>
        </w:rPr>
        <w:footnoteRef/>
      </w:r>
      <w:r>
        <w:t xml:space="preserve"> U.S. </w:t>
      </w:r>
      <w:r w:rsidRPr="00F04651">
        <w:t>Office of the Under Secretary of Defense for Personnel and Readiness</w:t>
      </w:r>
      <w:r>
        <w:t xml:space="preserve">, January 2024, </w:t>
      </w:r>
      <w:r w:rsidRPr="0022651A">
        <w:t>https://militarypay.defense.gov/Portals/3/Documents/ActiveDutyTables/2024%20Pay%20Table-Capped-FINAL.pdf</w:t>
      </w:r>
      <w:r>
        <w:t>. Monthly pay divided by 160 hours per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A03" w:rsidRPr="00D00A03" w:rsidP="00D00A03" w14:paraId="293967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7C0CDCE"/>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884589"/>
    <w:multiLevelType w:val="hybridMultilevel"/>
    <w:tmpl w:val="A48E70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336CBD"/>
    <w:multiLevelType w:val="hybridMultilevel"/>
    <w:tmpl w:val="B978D4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FA0529"/>
    <w:multiLevelType w:val="hybridMultilevel"/>
    <w:tmpl w:val="EF32199A"/>
    <w:lvl w:ilvl="0">
      <w:start w:val="1"/>
      <w:numFmt w:val="decimal"/>
      <w:pStyle w:val="EPAHeading2"/>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75C6243"/>
    <w:multiLevelType w:val="hybridMultilevel"/>
    <w:tmpl w:val="051E87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4"/>
  </w:num>
  <w:num w:numId="2" w16cid:durableId="1032609060">
    <w:abstractNumId w:val="6"/>
  </w:num>
  <w:num w:numId="3" w16cid:durableId="1158494831">
    <w:abstractNumId w:val="3"/>
  </w:num>
  <w:num w:numId="4" w16cid:durableId="493573829">
    <w:abstractNumId w:val="29"/>
  </w:num>
  <w:num w:numId="5" w16cid:durableId="2055687918">
    <w:abstractNumId w:val="19"/>
  </w:num>
  <w:num w:numId="6" w16cid:durableId="1603025219">
    <w:abstractNumId w:val="26"/>
  </w:num>
  <w:num w:numId="7" w16cid:durableId="423957196">
    <w:abstractNumId w:val="17"/>
  </w:num>
  <w:num w:numId="8" w16cid:durableId="2031829208">
    <w:abstractNumId w:val="22"/>
  </w:num>
  <w:num w:numId="9" w16cid:durableId="218439549">
    <w:abstractNumId w:val="9"/>
  </w:num>
  <w:num w:numId="10" w16cid:durableId="1285231924">
    <w:abstractNumId w:val="5"/>
  </w:num>
  <w:num w:numId="11" w16cid:durableId="327370686">
    <w:abstractNumId w:val="8"/>
  </w:num>
  <w:num w:numId="12" w16cid:durableId="1802993385">
    <w:abstractNumId w:val="12"/>
  </w:num>
  <w:num w:numId="13" w16cid:durableId="1792938267">
    <w:abstractNumId w:val="30"/>
  </w:num>
  <w:num w:numId="14" w16cid:durableId="239490726">
    <w:abstractNumId w:val="7"/>
  </w:num>
  <w:num w:numId="15" w16cid:durableId="1395350314">
    <w:abstractNumId w:val="11"/>
  </w:num>
  <w:num w:numId="16" w16cid:durableId="441535906">
    <w:abstractNumId w:val="15"/>
  </w:num>
  <w:num w:numId="17" w16cid:durableId="2008243381">
    <w:abstractNumId w:val="23"/>
  </w:num>
  <w:num w:numId="18" w16cid:durableId="840463183">
    <w:abstractNumId w:val="21"/>
  </w:num>
  <w:num w:numId="19" w16cid:durableId="469980091">
    <w:abstractNumId w:val="25"/>
  </w:num>
  <w:num w:numId="20" w16cid:durableId="2126730031">
    <w:abstractNumId w:val="13"/>
  </w:num>
  <w:num w:numId="21" w16cid:durableId="106124704">
    <w:abstractNumId w:val="2"/>
  </w:num>
  <w:num w:numId="22" w16cid:durableId="1552418013">
    <w:abstractNumId w:val="16"/>
  </w:num>
  <w:num w:numId="23" w16cid:durableId="1598828334">
    <w:abstractNumId w:val="27"/>
  </w:num>
  <w:num w:numId="24" w16cid:durableId="2051031068">
    <w:abstractNumId w:val="1"/>
  </w:num>
  <w:num w:numId="25" w16cid:durableId="258569098">
    <w:abstractNumId w:val="18"/>
  </w:num>
  <w:num w:numId="26" w16cid:durableId="331181582">
    <w:abstractNumId w:val="20"/>
  </w:num>
  <w:num w:numId="27" w16cid:durableId="1015961391">
    <w:abstractNumId w:val="24"/>
  </w:num>
  <w:num w:numId="28" w16cid:durableId="1259101347">
    <w:abstractNumId w:val="0"/>
    <w:lvlOverride w:ilvl="0">
      <w:lvl w:ilvl="0">
        <w:start w:val="0"/>
        <w:numFmt w:val="bullet"/>
        <w:lvlText w:val=""/>
        <w:legacy w:legacy="1" w:legacySpace="0" w:legacyIndent="720"/>
        <w:lvlJc w:val="left"/>
        <w:rPr>
          <w:rFonts w:ascii="Symbol" w:hAnsi="Symbol" w:hint="default"/>
        </w:rPr>
      </w:lvl>
    </w:lvlOverride>
  </w:num>
  <w:num w:numId="29" w16cid:durableId="1244267425">
    <w:abstractNumId w:val="28"/>
  </w:num>
  <w:num w:numId="30" w16cid:durableId="381177575">
    <w:abstractNumId w:val="10"/>
  </w:num>
  <w:num w:numId="31" w16cid:durableId="125632515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0F5D"/>
    <w:rsid w:val="0000329D"/>
    <w:rsid w:val="00003D64"/>
    <w:rsid w:val="00004678"/>
    <w:rsid w:val="000069C3"/>
    <w:rsid w:val="00006C95"/>
    <w:rsid w:val="00007FB5"/>
    <w:rsid w:val="00010EEE"/>
    <w:rsid w:val="000129E1"/>
    <w:rsid w:val="00013852"/>
    <w:rsid w:val="00013CE8"/>
    <w:rsid w:val="00014B10"/>
    <w:rsid w:val="00014B5B"/>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2F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63D0"/>
    <w:rsid w:val="00090627"/>
    <w:rsid w:val="00090750"/>
    <w:rsid w:val="000911D6"/>
    <w:rsid w:val="00091EB4"/>
    <w:rsid w:val="0009219E"/>
    <w:rsid w:val="000925BD"/>
    <w:rsid w:val="00093C6D"/>
    <w:rsid w:val="00093DC2"/>
    <w:rsid w:val="00094023"/>
    <w:rsid w:val="0009492C"/>
    <w:rsid w:val="00095F01"/>
    <w:rsid w:val="00096646"/>
    <w:rsid w:val="000978FD"/>
    <w:rsid w:val="000A1198"/>
    <w:rsid w:val="000A11F1"/>
    <w:rsid w:val="000A170A"/>
    <w:rsid w:val="000A397C"/>
    <w:rsid w:val="000A4527"/>
    <w:rsid w:val="000A682A"/>
    <w:rsid w:val="000A6FCE"/>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0BE"/>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4DB1"/>
    <w:rsid w:val="00135EAD"/>
    <w:rsid w:val="00136237"/>
    <w:rsid w:val="00137EB8"/>
    <w:rsid w:val="00145DAE"/>
    <w:rsid w:val="00147B68"/>
    <w:rsid w:val="0015084F"/>
    <w:rsid w:val="00150F2B"/>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3FB9"/>
    <w:rsid w:val="00184011"/>
    <w:rsid w:val="00185251"/>
    <w:rsid w:val="0019149E"/>
    <w:rsid w:val="00191826"/>
    <w:rsid w:val="0019182F"/>
    <w:rsid w:val="00191C72"/>
    <w:rsid w:val="001925B3"/>
    <w:rsid w:val="0019580A"/>
    <w:rsid w:val="00195BEB"/>
    <w:rsid w:val="00195FC3"/>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E52"/>
    <w:rsid w:val="001C260A"/>
    <w:rsid w:val="001C2D48"/>
    <w:rsid w:val="001C3106"/>
    <w:rsid w:val="001C3D5A"/>
    <w:rsid w:val="001C4634"/>
    <w:rsid w:val="001C6741"/>
    <w:rsid w:val="001C7470"/>
    <w:rsid w:val="001C7D52"/>
    <w:rsid w:val="001D01BB"/>
    <w:rsid w:val="001D0813"/>
    <w:rsid w:val="001D294E"/>
    <w:rsid w:val="001D2C77"/>
    <w:rsid w:val="001D47F8"/>
    <w:rsid w:val="001D4CDC"/>
    <w:rsid w:val="001D4D40"/>
    <w:rsid w:val="001D4F2F"/>
    <w:rsid w:val="001D51D8"/>
    <w:rsid w:val="001D57D5"/>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5AEE"/>
    <w:rsid w:val="001F75D9"/>
    <w:rsid w:val="001F7B1A"/>
    <w:rsid w:val="001F7DF2"/>
    <w:rsid w:val="0020142E"/>
    <w:rsid w:val="00201886"/>
    <w:rsid w:val="0020510E"/>
    <w:rsid w:val="002064A4"/>
    <w:rsid w:val="00210F2E"/>
    <w:rsid w:val="00211627"/>
    <w:rsid w:val="0021345A"/>
    <w:rsid w:val="00213AE6"/>
    <w:rsid w:val="00216C6A"/>
    <w:rsid w:val="00220258"/>
    <w:rsid w:val="00220404"/>
    <w:rsid w:val="00222530"/>
    <w:rsid w:val="0022259D"/>
    <w:rsid w:val="0022416D"/>
    <w:rsid w:val="00224BB3"/>
    <w:rsid w:val="00224D61"/>
    <w:rsid w:val="00224F14"/>
    <w:rsid w:val="0022651A"/>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5BA0"/>
    <w:rsid w:val="0025617C"/>
    <w:rsid w:val="0026050F"/>
    <w:rsid w:val="00260FB7"/>
    <w:rsid w:val="002648CF"/>
    <w:rsid w:val="00265FE7"/>
    <w:rsid w:val="00270940"/>
    <w:rsid w:val="00277A03"/>
    <w:rsid w:val="00282B1A"/>
    <w:rsid w:val="0028340E"/>
    <w:rsid w:val="00283764"/>
    <w:rsid w:val="00283AE9"/>
    <w:rsid w:val="00283C66"/>
    <w:rsid w:val="002847BB"/>
    <w:rsid w:val="00285249"/>
    <w:rsid w:val="00285782"/>
    <w:rsid w:val="00285A68"/>
    <w:rsid w:val="00286FA0"/>
    <w:rsid w:val="00287F94"/>
    <w:rsid w:val="00290BEB"/>
    <w:rsid w:val="00291493"/>
    <w:rsid w:val="00291589"/>
    <w:rsid w:val="0029581D"/>
    <w:rsid w:val="0029755D"/>
    <w:rsid w:val="002A43D0"/>
    <w:rsid w:val="002A6075"/>
    <w:rsid w:val="002A676B"/>
    <w:rsid w:val="002A6E4E"/>
    <w:rsid w:val="002A774D"/>
    <w:rsid w:val="002A7860"/>
    <w:rsid w:val="002A78D3"/>
    <w:rsid w:val="002B0036"/>
    <w:rsid w:val="002B2498"/>
    <w:rsid w:val="002B4615"/>
    <w:rsid w:val="002B7383"/>
    <w:rsid w:val="002B77A2"/>
    <w:rsid w:val="002C0623"/>
    <w:rsid w:val="002C1434"/>
    <w:rsid w:val="002C1646"/>
    <w:rsid w:val="002C4713"/>
    <w:rsid w:val="002C7DDE"/>
    <w:rsid w:val="002D3E1A"/>
    <w:rsid w:val="002E0316"/>
    <w:rsid w:val="002E0999"/>
    <w:rsid w:val="002E1A45"/>
    <w:rsid w:val="002E23C7"/>
    <w:rsid w:val="002E2569"/>
    <w:rsid w:val="002E3C59"/>
    <w:rsid w:val="002E5BAD"/>
    <w:rsid w:val="002E6047"/>
    <w:rsid w:val="002E6D1D"/>
    <w:rsid w:val="002E7A6A"/>
    <w:rsid w:val="002F0614"/>
    <w:rsid w:val="002F077A"/>
    <w:rsid w:val="002F10BE"/>
    <w:rsid w:val="002F13DA"/>
    <w:rsid w:val="002F15EB"/>
    <w:rsid w:val="002F3CE0"/>
    <w:rsid w:val="002F6A76"/>
    <w:rsid w:val="003005BB"/>
    <w:rsid w:val="00303DE5"/>
    <w:rsid w:val="00304842"/>
    <w:rsid w:val="00307411"/>
    <w:rsid w:val="00307B93"/>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14BD"/>
    <w:rsid w:val="0033211D"/>
    <w:rsid w:val="00333489"/>
    <w:rsid w:val="00334430"/>
    <w:rsid w:val="00342DB5"/>
    <w:rsid w:val="00343CEF"/>
    <w:rsid w:val="00344CB0"/>
    <w:rsid w:val="003467C8"/>
    <w:rsid w:val="00347C3C"/>
    <w:rsid w:val="0035079F"/>
    <w:rsid w:val="0035228F"/>
    <w:rsid w:val="003527C1"/>
    <w:rsid w:val="00352C25"/>
    <w:rsid w:val="00355838"/>
    <w:rsid w:val="00355A5A"/>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5A76"/>
    <w:rsid w:val="003A6BEF"/>
    <w:rsid w:val="003B04B9"/>
    <w:rsid w:val="003B0A8F"/>
    <w:rsid w:val="003B153D"/>
    <w:rsid w:val="003B4D4F"/>
    <w:rsid w:val="003C0DBC"/>
    <w:rsid w:val="003C2B04"/>
    <w:rsid w:val="003C321D"/>
    <w:rsid w:val="003C5631"/>
    <w:rsid w:val="003C68C2"/>
    <w:rsid w:val="003C6CE9"/>
    <w:rsid w:val="003D0044"/>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30D"/>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2DDB"/>
    <w:rsid w:val="00414BB8"/>
    <w:rsid w:val="00414E6F"/>
    <w:rsid w:val="00415248"/>
    <w:rsid w:val="00415988"/>
    <w:rsid w:val="00417612"/>
    <w:rsid w:val="0042383B"/>
    <w:rsid w:val="0042409F"/>
    <w:rsid w:val="00424DDE"/>
    <w:rsid w:val="00424F93"/>
    <w:rsid w:val="004252C1"/>
    <w:rsid w:val="0042541E"/>
    <w:rsid w:val="00427079"/>
    <w:rsid w:val="004306A8"/>
    <w:rsid w:val="00430EDC"/>
    <w:rsid w:val="0043112A"/>
    <w:rsid w:val="00431D3F"/>
    <w:rsid w:val="00432AC2"/>
    <w:rsid w:val="0043515D"/>
    <w:rsid w:val="004369B5"/>
    <w:rsid w:val="00436FD0"/>
    <w:rsid w:val="004415F7"/>
    <w:rsid w:val="00441783"/>
    <w:rsid w:val="004420DA"/>
    <w:rsid w:val="00444707"/>
    <w:rsid w:val="004455F6"/>
    <w:rsid w:val="00445751"/>
    <w:rsid w:val="004468C2"/>
    <w:rsid w:val="00446B8D"/>
    <w:rsid w:val="00450C44"/>
    <w:rsid w:val="00453E26"/>
    <w:rsid w:val="00456E33"/>
    <w:rsid w:val="00457BDF"/>
    <w:rsid w:val="004600ED"/>
    <w:rsid w:val="004620CA"/>
    <w:rsid w:val="00462A94"/>
    <w:rsid w:val="00463285"/>
    <w:rsid w:val="00465846"/>
    <w:rsid w:val="00466349"/>
    <w:rsid w:val="00466B43"/>
    <w:rsid w:val="00470E22"/>
    <w:rsid w:val="00472D33"/>
    <w:rsid w:val="00475BA6"/>
    <w:rsid w:val="00477D70"/>
    <w:rsid w:val="004831CC"/>
    <w:rsid w:val="00484CED"/>
    <w:rsid w:val="00485567"/>
    <w:rsid w:val="004855BE"/>
    <w:rsid w:val="00486860"/>
    <w:rsid w:val="00491CC3"/>
    <w:rsid w:val="00491ED9"/>
    <w:rsid w:val="00495623"/>
    <w:rsid w:val="00496F19"/>
    <w:rsid w:val="0049718B"/>
    <w:rsid w:val="004A0C7A"/>
    <w:rsid w:val="004A247B"/>
    <w:rsid w:val="004A2646"/>
    <w:rsid w:val="004A284B"/>
    <w:rsid w:val="004A2961"/>
    <w:rsid w:val="004A2CDE"/>
    <w:rsid w:val="004A3ABF"/>
    <w:rsid w:val="004A4B8D"/>
    <w:rsid w:val="004A5B46"/>
    <w:rsid w:val="004A6B13"/>
    <w:rsid w:val="004B0167"/>
    <w:rsid w:val="004B5BCD"/>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1D45"/>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1FB8"/>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49B2"/>
    <w:rsid w:val="0055616B"/>
    <w:rsid w:val="00556D62"/>
    <w:rsid w:val="00557E8F"/>
    <w:rsid w:val="005609B4"/>
    <w:rsid w:val="00560A26"/>
    <w:rsid w:val="005636FA"/>
    <w:rsid w:val="0056373A"/>
    <w:rsid w:val="00564A1B"/>
    <w:rsid w:val="00564BF4"/>
    <w:rsid w:val="00565A5E"/>
    <w:rsid w:val="00565DCF"/>
    <w:rsid w:val="00566F71"/>
    <w:rsid w:val="00567874"/>
    <w:rsid w:val="00571C92"/>
    <w:rsid w:val="00571D24"/>
    <w:rsid w:val="005723B9"/>
    <w:rsid w:val="005726BA"/>
    <w:rsid w:val="0057299B"/>
    <w:rsid w:val="00574C83"/>
    <w:rsid w:val="005810DF"/>
    <w:rsid w:val="00583101"/>
    <w:rsid w:val="005836B3"/>
    <w:rsid w:val="00584D72"/>
    <w:rsid w:val="0058662D"/>
    <w:rsid w:val="005900C3"/>
    <w:rsid w:val="005905BE"/>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8B4"/>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031"/>
    <w:rsid w:val="00611426"/>
    <w:rsid w:val="00613362"/>
    <w:rsid w:val="006150A3"/>
    <w:rsid w:val="006161DD"/>
    <w:rsid w:val="0061689C"/>
    <w:rsid w:val="006210DF"/>
    <w:rsid w:val="0062163B"/>
    <w:rsid w:val="00622434"/>
    <w:rsid w:val="00622500"/>
    <w:rsid w:val="00622738"/>
    <w:rsid w:val="00623817"/>
    <w:rsid w:val="00624119"/>
    <w:rsid w:val="006247DB"/>
    <w:rsid w:val="00624BE7"/>
    <w:rsid w:val="0062570F"/>
    <w:rsid w:val="006262C0"/>
    <w:rsid w:val="0062696F"/>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672E1"/>
    <w:rsid w:val="00670897"/>
    <w:rsid w:val="00672380"/>
    <w:rsid w:val="00672A20"/>
    <w:rsid w:val="006737EC"/>
    <w:rsid w:val="006739CE"/>
    <w:rsid w:val="0068304A"/>
    <w:rsid w:val="00683207"/>
    <w:rsid w:val="00684E1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7323"/>
    <w:rsid w:val="00700665"/>
    <w:rsid w:val="00700983"/>
    <w:rsid w:val="007020F8"/>
    <w:rsid w:val="007029CB"/>
    <w:rsid w:val="00702E91"/>
    <w:rsid w:val="00702F36"/>
    <w:rsid w:val="00703FEF"/>
    <w:rsid w:val="00704459"/>
    <w:rsid w:val="007045C4"/>
    <w:rsid w:val="00704CBA"/>
    <w:rsid w:val="00705CEA"/>
    <w:rsid w:val="00706B15"/>
    <w:rsid w:val="00706F41"/>
    <w:rsid w:val="00707339"/>
    <w:rsid w:val="00710A21"/>
    <w:rsid w:val="00712749"/>
    <w:rsid w:val="007128E1"/>
    <w:rsid w:val="007139DB"/>
    <w:rsid w:val="00714D14"/>
    <w:rsid w:val="00714E66"/>
    <w:rsid w:val="007167A3"/>
    <w:rsid w:val="00716971"/>
    <w:rsid w:val="00716CE1"/>
    <w:rsid w:val="00716D1D"/>
    <w:rsid w:val="0072438A"/>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4734"/>
    <w:rsid w:val="00745A5F"/>
    <w:rsid w:val="0074640E"/>
    <w:rsid w:val="00746F8F"/>
    <w:rsid w:val="00747678"/>
    <w:rsid w:val="00750796"/>
    <w:rsid w:val="007534F8"/>
    <w:rsid w:val="0075404F"/>
    <w:rsid w:val="007558ED"/>
    <w:rsid w:val="007560F1"/>
    <w:rsid w:val="00757AF2"/>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0C02"/>
    <w:rsid w:val="007B14AA"/>
    <w:rsid w:val="007B22C1"/>
    <w:rsid w:val="007B2A30"/>
    <w:rsid w:val="007B41DD"/>
    <w:rsid w:val="007B5199"/>
    <w:rsid w:val="007B74AA"/>
    <w:rsid w:val="007C1B76"/>
    <w:rsid w:val="007C285F"/>
    <w:rsid w:val="007C2E2B"/>
    <w:rsid w:val="007C3A41"/>
    <w:rsid w:val="007C7191"/>
    <w:rsid w:val="007C7392"/>
    <w:rsid w:val="007D1451"/>
    <w:rsid w:val="007D1B8B"/>
    <w:rsid w:val="007D2824"/>
    <w:rsid w:val="007D3C4B"/>
    <w:rsid w:val="007D3D49"/>
    <w:rsid w:val="007D4381"/>
    <w:rsid w:val="007D47D8"/>
    <w:rsid w:val="007D58A8"/>
    <w:rsid w:val="007E0597"/>
    <w:rsid w:val="007E0985"/>
    <w:rsid w:val="007E1BD7"/>
    <w:rsid w:val="007E1DEB"/>
    <w:rsid w:val="007E2E4D"/>
    <w:rsid w:val="007E403E"/>
    <w:rsid w:val="007E4B86"/>
    <w:rsid w:val="007E58AE"/>
    <w:rsid w:val="007E6E0D"/>
    <w:rsid w:val="007F1FD4"/>
    <w:rsid w:val="007F246C"/>
    <w:rsid w:val="007F2A90"/>
    <w:rsid w:val="007F3FAF"/>
    <w:rsid w:val="007F486C"/>
    <w:rsid w:val="007F5265"/>
    <w:rsid w:val="007F60B7"/>
    <w:rsid w:val="007F70AB"/>
    <w:rsid w:val="007F7757"/>
    <w:rsid w:val="0080187D"/>
    <w:rsid w:val="00802495"/>
    <w:rsid w:val="0080293D"/>
    <w:rsid w:val="00803457"/>
    <w:rsid w:val="008042DB"/>
    <w:rsid w:val="00806D12"/>
    <w:rsid w:val="00806D50"/>
    <w:rsid w:val="00807B4F"/>
    <w:rsid w:val="00807BFC"/>
    <w:rsid w:val="00811D22"/>
    <w:rsid w:val="00811FC2"/>
    <w:rsid w:val="008144DD"/>
    <w:rsid w:val="00814734"/>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04E5"/>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A7754"/>
    <w:rsid w:val="008B0300"/>
    <w:rsid w:val="008B170E"/>
    <w:rsid w:val="008B37A1"/>
    <w:rsid w:val="008B4625"/>
    <w:rsid w:val="008B467F"/>
    <w:rsid w:val="008B57B0"/>
    <w:rsid w:val="008C06CB"/>
    <w:rsid w:val="008C0C83"/>
    <w:rsid w:val="008C582D"/>
    <w:rsid w:val="008C6A5F"/>
    <w:rsid w:val="008C7F35"/>
    <w:rsid w:val="008D038D"/>
    <w:rsid w:val="008D2A1E"/>
    <w:rsid w:val="008D2CA0"/>
    <w:rsid w:val="008D3B33"/>
    <w:rsid w:val="008D4703"/>
    <w:rsid w:val="008D659E"/>
    <w:rsid w:val="008D6656"/>
    <w:rsid w:val="008D70FB"/>
    <w:rsid w:val="008E0BED"/>
    <w:rsid w:val="008E2B3A"/>
    <w:rsid w:val="008E3EF5"/>
    <w:rsid w:val="008E4DC6"/>
    <w:rsid w:val="008E534C"/>
    <w:rsid w:val="008E5A45"/>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19B"/>
    <w:rsid w:val="00922AA7"/>
    <w:rsid w:val="00922C6F"/>
    <w:rsid w:val="00922D6B"/>
    <w:rsid w:val="00923155"/>
    <w:rsid w:val="00925391"/>
    <w:rsid w:val="009254E0"/>
    <w:rsid w:val="00925CEA"/>
    <w:rsid w:val="00927A0F"/>
    <w:rsid w:val="00927A30"/>
    <w:rsid w:val="00927DC6"/>
    <w:rsid w:val="00931E9D"/>
    <w:rsid w:val="009328B3"/>
    <w:rsid w:val="00932BF2"/>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91B"/>
    <w:rsid w:val="00953FB7"/>
    <w:rsid w:val="009551C5"/>
    <w:rsid w:val="00956636"/>
    <w:rsid w:val="00961C88"/>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52CA"/>
    <w:rsid w:val="00986137"/>
    <w:rsid w:val="00986389"/>
    <w:rsid w:val="009872CD"/>
    <w:rsid w:val="00987A8B"/>
    <w:rsid w:val="00990A46"/>
    <w:rsid w:val="00990AB9"/>
    <w:rsid w:val="009912BB"/>
    <w:rsid w:val="009920E2"/>
    <w:rsid w:val="00992547"/>
    <w:rsid w:val="00994217"/>
    <w:rsid w:val="00994618"/>
    <w:rsid w:val="00994BC1"/>
    <w:rsid w:val="00996CD5"/>
    <w:rsid w:val="00997E71"/>
    <w:rsid w:val="009A09EC"/>
    <w:rsid w:val="009A0E02"/>
    <w:rsid w:val="009A12AA"/>
    <w:rsid w:val="009A151F"/>
    <w:rsid w:val="009A24BC"/>
    <w:rsid w:val="009A442C"/>
    <w:rsid w:val="009A5C07"/>
    <w:rsid w:val="009A6AF8"/>
    <w:rsid w:val="009A7EF0"/>
    <w:rsid w:val="009B2A92"/>
    <w:rsid w:val="009B3C05"/>
    <w:rsid w:val="009B46F6"/>
    <w:rsid w:val="009B5CB4"/>
    <w:rsid w:val="009B5E96"/>
    <w:rsid w:val="009B76F3"/>
    <w:rsid w:val="009B7753"/>
    <w:rsid w:val="009B7CA8"/>
    <w:rsid w:val="009C2087"/>
    <w:rsid w:val="009C24FF"/>
    <w:rsid w:val="009C2DE1"/>
    <w:rsid w:val="009C3712"/>
    <w:rsid w:val="009C3901"/>
    <w:rsid w:val="009C3BA8"/>
    <w:rsid w:val="009C3C64"/>
    <w:rsid w:val="009C41AC"/>
    <w:rsid w:val="009C66BD"/>
    <w:rsid w:val="009C6C8F"/>
    <w:rsid w:val="009D040F"/>
    <w:rsid w:val="009D043F"/>
    <w:rsid w:val="009D1603"/>
    <w:rsid w:val="009D23AF"/>
    <w:rsid w:val="009D2F92"/>
    <w:rsid w:val="009D4058"/>
    <w:rsid w:val="009D4B0D"/>
    <w:rsid w:val="009D53B7"/>
    <w:rsid w:val="009D57EC"/>
    <w:rsid w:val="009D5839"/>
    <w:rsid w:val="009D5AD5"/>
    <w:rsid w:val="009D607F"/>
    <w:rsid w:val="009D6EDD"/>
    <w:rsid w:val="009D75E4"/>
    <w:rsid w:val="009D7CC1"/>
    <w:rsid w:val="009E010E"/>
    <w:rsid w:val="009E0CD5"/>
    <w:rsid w:val="009E107C"/>
    <w:rsid w:val="009E1340"/>
    <w:rsid w:val="009E1EB9"/>
    <w:rsid w:val="009E25DF"/>
    <w:rsid w:val="009E33E8"/>
    <w:rsid w:val="009E3400"/>
    <w:rsid w:val="009E39DB"/>
    <w:rsid w:val="009E3AD4"/>
    <w:rsid w:val="009E3F6A"/>
    <w:rsid w:val="009E40F8"/>
    <w:rsid w:val="009E4994"/>
    <w:rsid w:val="009E5853"/>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4AD9"/>
    <w:rsid w:val="00A34B84"/>
    <w:rsid w:val="00A352DB"/>
    <w:rsid w:val="00A358CC"/>
    <w:rsid w:val="00A35BC3"/>
    <w:rsid w:val="00A35F5B"/>
    <w:rsid w:val="00A361CE"/>
    <w:rsid w:val="00A45770"/>
    <w:rsid w:val="00A45865"/>
    <w:rsid w:val="00A5226D"/>
    <w:rsid w:val="00A53BD4"/>
    <w:rsid w:val="00A53C9A"/>
    <w:rsid w:val="00A55764"/>
    <w:rsid w:val="00A5593D"/>
    <w:rsid w:val="00A56C84"/>
    <w:rsid w:val="00A60384"/>
    <w:rsid w:val="00A6282F"/>
    <w:rsid w:val="00A62AFA"/>
    <w:rsid w:val="00A64B54"/>
    <w:rsid w:val="00A667E5"/>
    <w:rsid w:val="00A67FC6"/>
    <w:rsid w:val="00A68791"/>
    <w:rsid w:val="00A71397"/>
    <w:rsid w:val="00A71F84"/>
    <w:rsid w:val="00A72623"/>
    <w:rsid w:val="00A768D2"/>
    <w:rsid w:val="00A80A27"/>
    <w:rsid w:val="00A816BC"/>
    <w:rsid w:val="00A81C9F"/>
    <w:rsid w:val="00A82647"/>
    <w:rsid w:val="00A8542E"/>
    <w:rsid w:val="00A8593A"/>
    <w:rsid w:val="00A9188B"/>
    <w:rsid w:val="00A91EFC"/>
    <w:rsid w:val="00A955EC"/>
    <w:rsid w:val="00A9734E"/>
    <w:rsid w:val="00A975AC"/>
    <w:rsid w:val="00A97EE9"/>
    <w:rsid w:val="00AA26C8"/>
    <w:rsid w:val="00AA2AE3"/>
    <w:rsid w:val="00AA364F"/>
    <w:rsid w:val="00AA3857"/>
    <w:rsid w:val="00AA4A5E"/>
    <w:rsid w:val="00AA4F24"/>
    <w:rsid w:val="00AA5BD7"/>
    <w:rsid w:val="00AA67A0"/>
    <w:rsid w:val="00AA74E9"/>
    <w:rsid w:val="00AB4567"/>
    <w:rsid w:val="00AB458E"/>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4A05"/>
    <w:rsid w:val="00B26757"/>
    <w:rsid w:val="00B31C31"/>
    <w:rsid w:val="00B341AD"/>
    <w:rsid w:val="00B37C28"/>
    <w:rsid w:val="00B400AE"/>
    <w:rsid w:val="00B434D7"/>
    <w:rsid w:val="00B45BEF"/>
    <w:rsid w:val="00B47058"/>
    <w:rsid w:val="00B5068E"/>
    <w:rsid w:val="00B51024"/>
    <w:rsid w:val="00B524A9"/>
    <w:rsid w:val="00B603E4"/>
    <w:rsid w:val="00B62988"/>
    <w:rsid w:val="00B63B97"/>
    <w:rsid w:val="00B65237"/>
    <w:rsid w:val="00B656DF"/>
    <w:rsid w:val="00B666CD"/>
    <w:rsid w:val="00B6763C"/>
    <w:rsid w:val="00B67894"/>
    <w:rsid w:val="00B72371"/>
    <w:rsid w:val="00B737EF"/>
    <w:rsid w:val="00B74D25"/>
    <w:rsid w:val="00B7519D"/>
    <w:rsid w:val="00B77C81"/>
    <w:rsid w:val="00B80F76"/>
    <w:rsid w:val="00B818B8"/>
    <w:rsid w:val="00B81A2E"/>
    <w:rsid w:val="00B83587"/>
    <w:rsid w:val="00B8373D"/>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D761D"/>
    <w:rsid w:val="00BE12E1"/>
    <w:rsid w:val="00BE1B26"/>
    <w:rsid w:val="00BE1F44"/>
    <w:rsid w:val="00BE3D6F"/>
    <w:rsid w:val="00BE4196"/>
    <w:rsid w:val="00BE4548"/>
    <w:rsid w:val="00BE53BF"/>
    <w:rsid w:val="00BE63D7"/>
    <w:rsid w:val="00BF0CAD"/>
    <w:rsid w:val="00BF2700"/>
    <w:rsid w:val="00BF2A34"/>
    <w:rsid w:val="00BF2DF6"/>
    <w:rsid w:val="00BF5699"/>
    <w:rsid w:val="00BF6721"/>
    <w:rsid w:val="00C00120"/>
    <w:rsid w:val="00C02D9A"/>
    <w:rsid w:val="00C033E9"/>
    <w:rsid w:val="00C0389F"/>
    <w:rsid w:val="00C04326"/>
    <w:rsid w:val="00C046AD"/>
    <w:rsid w:val="00C054E3"/>
    <w:rsid w:val="00C066B7"/>
    <w:rsid w:val="00C07AAE"/>
    <w:rsid w:val="00C07D74"/>
    <w:rsid w:val="00C10AA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67A5"/>
    <w:rsid w:val="00C573BC"/>
    <w:rsid w:val="00C60DDA"/>
    <w:rsid w:val="00C620A5"/>
    <w:rsid w:val="00C6228D"/>
    <w:rsid w:val="00C63846"/>
    <w:rsid w:val="00C67D9C"/>
    <w:rsid w:val="00C706D7"/>
    <w:rsid w:val="00C72590"/>
    <w:rsid w:val="00C72CCD"/>
    <w:rsid w:val="00C733F7"/>
    <w:rsid w:val="00C754FD"/>
    <w:rsid w:val="00C76FDB"/>
    <w:rsid w:val="00C80081"/>
    <w:rsid w:val="00C80E50"/>
    <w:rsid w:val="00C81982"/>
    <w:rsid w:val="00C81E8A"/>
    <w:rsid w:val="00C836BD"/>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0665"/>
    <w:rsid w:val="00CA27B9"/>
    <w:rsid w:val="00CA32FE"/>
    <w:rsid w:val="00CA4137"/>
    <w:rsid w:val="00CA5AE4"/>
    <w:rsid w:val="00CA6D14"/>
    <w:rsid w:val="00CA7D74"/>
    <w:rsid w:val="00CB02A1"/>
    <w:rsid w:val="00CB038B"/>
    <w:rsid w:val="00CB1797"/>
    <w:rsid w:val="00CB2325"/>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E7603"/>
    <w:rsid w:val="00CF23B4"/>
    <w:rsid w:val="00CF242E"/>
    <w:rsid w:val="00CF413A"/>
    <w:rsid w:val="00CF4631"/>
    <w:rsid w:val="00CF5A3C"/>
    <w:rsid w:val="00CF5EFF"/>
    <w:rsid w:val="00D00106"/>
    <w:rsid w:val="00D00A03"/>
    <w:rsid w:val="00D00D33"/>
    <w:rsid w:val="00D01A8F"/>
    <w:rsid w:val="00D04072"/>
    <w:rsid w:val="00D043F3"/>
    <w:rsid w:val="00D10B82"/>
    <w:rsid w:val="00D12D20"/>
    <w:rsid w:val="00D14A68"/>
    <w:rsid w:val="00D163B0"/>
    <w:rsid w:val="00D17BB9"/>
    <w:rsid w:val="00D2105B"/>
    <w:rsid w:val="00D210DB"/>
    <w:rsid w:val="00D225E2"/>
    <w:rsid w:val="00D234AD"/>
    <w:rsid w:val="00D24AC0"/>
    <w:rsid w:val="00D26124"/>
    <w:rsid w:val="00D30388"/>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2E71"/>
    <w:rsid w:val="00D64254"/>
    <w:rsid w:val="00D71AE1"/>
    <w:rsid w:val="00D73509"/>
    <w:rsid w:val="00D73DBE"/>
    <w:rsid w:val="00D73E09"/>
    <w:rsid w:val="00D74290"/>
    <w:rsid w:val="00D76DB3"/>
    <w:rsid w:val="00D77C8D"/>
    <w:rsid w:val="00D87764"/>
    <w:rsid w:val="00D90653"/>
    <w:rsid w:val="00D92ED6"/>
    <w:rsid w:val="00D951E0"/>
    <w:rsid w:val="00D9599C"/>
    <w:rsid w:val="00DA4019"/>
    <w:rsid w:val="00DA4837"/>
    <w:rsid w:val="00DA4E0C"/>
    <w:rsid w:val="00DA53F8"/>
    <w:rsid w:val="00DA7843"/>
    <w:rsid w:val="00DA7E80"/>
    <w:rsid w:val="00DB0690"/>
    <w:rsid w:val="00DB0E66"/>
    <w:rsid w:val="00DB13CB"/>
    <w:rsid w:val="00DB523F"/>
    <w:rsid w:val="00DB52E0"/>
    <w:rsid w:val="00DB5E95"/>
    <w:rsid w:val="00DB6062"/>
    <w:rsid w:val="00DB6A57"/>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6672"/>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6DBB"/>
    <w:rsid w:val="00E27F78"/>
    <w:rsid w:val="00E30F8E"/>
    <w:rsid w:val="00E3122D"/>
    <w:rsid w:val="00E31E16"/>
    <w:rsid w:val="00E33FC1"/>
    <w:rsid w:val="00E3518D"/>
    <w:rsid w:val="00E35BF8"/>
    <w:rsid w:val="00E3739C"/>
    <w:rsid w:val="00E37A2B"/>
    <w:rsid w:val="00E40D81"/>
    <w:rsid w:val="00E42EA6"/>
    <w:rsid w:val="00E439D8"/>
    <w:rsid w:val="00E463E4"/>
    <w:rsid w:val="00E47562"/>
    <w:rsid w:val="00E50CD6"/>
    <w:rsid w:val="00E5311D"/>
    <w:rsid w:val="00E54B97"/>
    <w:rsid w:val="00E55F68"/>
    <w:rsid w:val="00E60297"/>
    <w:rsid w:val="00E604E8"/>
    <w:rsid w:val="00E63258"/>
    <w:rsid w:val="00E63B7C"/>
    <w:rsid w:val="00E64357"/>
    <w:rsid w:val="00E64935"/>
    <w:rsid w:val="00E64F9E"/>
    <w:rsid w:val="00E663AF"/>
    <w:rsid w:val="00E66C6D"/>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83C"/>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2CBA"/>
    <w:rsid w:val="00EB34A6"/>
    <w:rsid w:val="00EB3F8B"/>
    <w:rsid w:val="00EB4C2F"/>
    <w:rsid w:val="00EB7FA5"/>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6B51"/>
    <w:rsid w:val="00EE7609"/>
    <w:rsid w:val="00EE782C"/>
    <w:rsid w:val="00EF2E9D"/>
    <w:rsid w:val="00EF3B34"/>
    <w:rsid w:val="00EF71E8"/>
    <w:rsid w:val="00EF7A31"/>
    <w:rsid w:val="00EF7B2E"/>
    <w:rsid w:val="00F0015C"/>
    <w:rsid w:val="00F02003"/>
    <w:rsid w:val="00F04072"/>
    <w:rsid w:val="00F04651"/>
    <w:rsid w:val="00F0705E"/>
    <w:rsid w:val="00F071BE"/>
    <w:rsid w:val="00F10CF0"/>
    <w:rsid w:val="00F13918"/>
    <w:rsid w:val="00F13E73"/>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51C8"/>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4B85"/>
    <w:rsid w:val="00FB6E02"/>
    <w:rsid w:val="00FB7226"/>
    <w:rsid w:val="00FB72D9"/>
    <w:rsid w:val="00FB7E9F"/>
    <w:rsid w:val="00FC02BD"/>
    <w:rsid w:val="00FC0F42"/>
    <w:rsid w:val="00FC153F"/>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1E24"/>
    <w:rsid w:val="00FE2C1F"/>
    <w:rsid w:val="00FE4665"/>
    <w:rsid w:val="00FE539F"/>
    <w:rsid w:val="00FF04B1"/>
    <w:rsid w:val="00FF0CC3"/>
    <w:rsid w:val="00FF0DE8"/>
    <w:rsid w:val="00FF11A9"/>
    <w:rsid w:val="00FF165F"/>
    <w:rsid w:val="00FF16DB"/>
    <w:rsid w:val="00FF3DDF"/>
    <w:rsid w:val="00FF5265"/>
    <w:rsid w:val="00FF55F1"/>
    <w:rsid w:val="019DABAA"/>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0941B1"/>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21A06E"/>
    <w:rsid w:val="10373236"/>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C958449"/>
    <w:rsid w:val="1D24AEC1"/>
    <w:rsid w:val="1D88378A"/>
    <w:rsid w:val="1D92A723"/>
    <w:rsid w:val="1DC75DB1"/>
    <w:rsid w:val="1DE31029"/>
    <w:rsid w:val="1E453E56"/>
    <w:rsid w:val="1ED51596"/>
    <w:rsid w:val="1F1C394A"/>
    <w:rsid w:val="1F5487D7"/>
    <w:rsid w:val="1F7C4270"/>
    <w:rsid w:val="1FA29A87"/>
    <w:rsid w:val="1FA62F62"/>
    <w:rsid w:val="1FADFB6B"/>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C86DE8F"/>
    <w:rsid w:val="2D40FCE6"/>
    <w:rsid w:val="2D9223AC"/>
    <w:rsid w:val="2E4B5F0D"/>
    <w:rsid w:val="2E5E4AEF"/>
    <w:rsid w:val="2ED600DC"/>
    <w:rsid w:val="2EE5F300"/>
    <w:rsid w:val="2F01D88F"/>
    <w:rsid w:val="2F21E837"/>
    <w:rsid w:val="2F3FE089"/>
    <w:rsid w:val="2F6437A2"/>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4D4669"/>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BA6D40"/>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F7BE37F-1CDE-4314-8932-44B6E44B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EPAHeading">
    <w:name w:val="EPA Heading"/>
    <w:basedOn w:val="Header"/>
    <w:link w:val="EPAHeadingChar"/>
    <w:qFormat/>
    <w:rsid w:val="004E1D45"/>
    <w:rPr>
      <w:rFonts w:cstheme="minorHAnsi"/>
      <w:b/>
      <w:bCs/>
    </w:rPr>
  </w:style>
  <w:style w:type="character" w:customStyle="1" w:styleId="EPAHeadingChar">
    <w:name w:val="EPA Heading Char"/>
    <w:basedOn w:val="HeaderChar"/>
    <w:link w:val="EPAHeading"/>
    <w:rsid w:val="004E1D45"/>
    <w:rPr>
      <w:rFonts w:cstheme="minorHAnsi"/>
      <w:b/>
      <w:bCs/>
    </w:rPr>
  </w:style>
  <w:style w:type="paragraph" w:customStyle="1" w:styleId="EPAHeading2">
    <w:name w:val="EPA Heading 2"/>
    <w:basedOn w:val="Heading1"/>
    <w:next w:val="Normal"/>
    <w:link w:val="EPAHeading2Char"/>
    <w:qFormat/>
    <w:rsid w:val="004E1D45"/>
    <w:pPr>
      <w:numPr>
        <w:numId w:val="25"/>
      </w:numPr>
      <w:pBdr>
        <w:bottom w:val="single" w:sz="4" w:space="1" w:color="auto"/>
      </w:pBdr>
      <w:spacing w:before="240"/>
    </w:pPr>
    <w:rPr>
      <w:rFonts w:asciiTheme="minorHAnsi" w:hAnsiTheme="minorHAnsi" w:cstheme="minorHAnsi"/>
      <w:b/>
      <w:bCs/>
      <w:color w:val="auto"/>
      <w:sz w:val="22"/>
    </w:rPr>
  </w:style>
  <w:style w:type="character" w:customStyle="1" w:styleId="EPAHeading2Char">
    <w:name w:val="EPA Heading 2 Char"/>
    <w:basedOn w:val="Heading1Char"/>
    <w:link w:val="EPAHeading2"/>
    <w:rsid w:val="004E1D45"/>
    <w:rPr>
      <w:rFonts w:asciiTheme="majorHAnsi" w:eastAsiaTheme="majorEastAsia" w:hAnsiTheme="majorHAnsi" w:cstheme="minorHAnsi"/>
      <w:b/>
      <w:bCs/>
      <w:color w:val="2F5496" w:themeColor="accent1" w:themeShade="BF"/>
      <w:sz w:val="30"/>
      <w:szCs w:val="30"/>
    </w:rPr>
  </w:style>
  <w:style w:type="paragraph" w:customStyle="1" w:styleId="Style1">
    <w:name w:val="Style1"/>
    <w:basedOn w:val="Heading2"/>
    <w:qFormat/>
    <w:rsid w:val="00DF6672"/>
    <w:pPr>
      <w:spacing w:before="120"/>
    </w:pPr>
    <w:rPr>
      <w:rFonts w:asciiTheme="minorHAnsi" w:hAnsiTheme="minorHAnsi" w:cstheme="minorHAnsi"/>
      <w:b/>
      <w:bCs/>
      <w:color w:val="auto"/>
      <w:sz w:val="22"/>
    </w:rPr>
  </w:style>
  <w:style w:type="character" w:customStyle="1" w:styleId="footnoteref0">
    <w:name w:val="footnote ref"/>
    <w:rsid w:val="00E31E16"/>
    <w:rPr>
      <w:rFonts w:ascii="Helvetica" w:hAnsi="Helvetica" w:cs="Helvetica"/>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ff851fb3-1a43-4650-9573-f8d09a594f9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9BAA98A669448AA00C14375F7321B" ma:contentTypeVersion="15" ma:contentTypeDescription="Create a new document." ma:contentTypeScope="" ma:versionID="6377b63d2e2bc69f49bc7688d7855657">
  <xsd:schema xmlns:xsd="http://www.w3.org/2001/XMLSchema" xmlns:xs="http://www.w3.org/2001/XMLSchema" xmlns:p="http://schemas.microsoft.com/office/2006/metadata/properties" xmlns:ns2="ff851fb3-1a43-4650-9573-f8d09a594f92" xmlns:ns3="90c7abac-10f6-40f3-a610-cd5cf5fdbda6" xmlns:ns4="fa6a9aea-fb0f-4ddd-aff8-712634b7d5fe" targetNamespace="http://schemas.microsoft.com/office/2006/metadata/properties" ma:root="true" ma:fieldsID="bfa0c1aa019d22123f34e5e3fdb2968c" ns2:_="" ns3:_="" ns4:_="">
    <xsd:import namespace="ff851fb3-1a43-4650-9573-f8d09a594f92"/>
    <xsd:import namespace="90c7abac-10f6-40f3-a610-cd5cf5fdbda6"/>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51fb3-1a43-4650-9573-f8d09a594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7abac-10f6-40f3-a610-cd5cf5fdbd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f34bee8-7dde-405f-afd1-9dc1249e06dc}" ma:internalName="TaxCatchAll" ma:showField="CatchAllData" ma:web="90c7abac-10f6-40f3-a610-cd5cf5fdb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fa6a9aea-fb0f-4ddd-aff8-712634b7d5fe"/>
    <ds:schemaRef ds:uri="ff851fb3-1a43-4650-9573-f8d09a594f92"/>
  </ds:schemaRefs>
</ds:datastoreItem>
</file>

<file path=customXml/itemProps4.xml><?xml version="1.0" encoding="utf-8"?>
<ds:datastoreItem xmlns:ds="http://schemas.openxmlformats.org/officeDocument/2006/customXml" ds:itemID="{6EE9B33E-D3A9-4B2D-A99F-18CED023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51fb3-1a43-4650-9573-f8d09a594f92"/>
    <ds:schemaRef ds:uri="90c7abac-10f6-40f3-a610-cd5cf5fdbda6"/>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13</Pages>
  <Words>5357</Words>
  <Characters>30538</Characters>
  <Application>Microsoft Office Word</Application>
  <DocSecurity>0</DocSecurity>
  <Lines>254</Lines>
  <Paragraphs>71</Paragraphs>
  <ScaleCrop>false</ScaleCrop>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Bill Noggle</cp:lastModifiedBy>
  <cp:revision>3</cp:revision>
  <dcterms:created xsi:type="dcterms:W3CDTF">2025-09-03T14:26:00Z</dcterms:created>
  <dcterms:modified xsi:type="dcterms:W3CDTF">2025-09-03T14:30:00Z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0x0101008829BAA98A669448AA00C14375F7321B</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