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58AC6BB">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2F5EF8">
        <w:rPr>
          <w:sz w:val="28"/>
        </w:rPr>
        <w:t>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0F79D452">
      <w:r w:rsidRPr="00B36959">
        <w:t>C</w:t>
      </w:r>
      <w:r w:rsidR="00C80528">
        <w:t xml:space="preserve">ustomer Experience, Expectations, and Needs (CEEN) </w:t>
      </w:r>
      <w:r w:rsidR="002F5EF8">
        <w:t>Survey</w:t>
      </w:r>
      <w:r w:rsidR="00027EAB">
        <w:t xml:space="preserve"> - 2024</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4859FC" w14:paraId="3B3A47EE" w14:textId="693EDDE5">
      <w:pPr>
        <w:ind w:left="360"/>
      </w:pPr>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4859FC" w14:paraId="48539A38" w14:textId="77777777">
      <w:pPr>
        <w:ind w:left="360"/>
      </w:pPr>
    </w:p>
    <w:p w:rsidR="00C5583C" w:rsidP="004859FC" w14:paraId="23A3B92E" w14:textId="61BDD93C">
      <w:pPr>
        <w:ind w:left="360"/>
      </w:pPr>
      <w:r w:rsidRPr="00DA0362">
        <w:t xml:space="preserve">The Customer Experience, Expectations and Needs (CEEN) survey will be administered in the </w:t>
      </w:r>
      <w:r>
        <w:t xml:space="preserve">Summer </w:t>
      </w:r>
      <w:r w:rsidRPr="00DA0362">
        <w:t>of 202</w:t>
      </w:r>
      <w:r>
        <w:t>4</w:t>
      </w:r>
      <w:r w:rsidRPr="00DA0362">
        <w:t xml:space="preserve"> to Small Business/Self Employed (SB/SE) taxpayers and will include questions about their experiences, preferences, and needs</w:t>
      </w:r>
      <w:r>
        <w:t xml:space="preserve">. </w:t>
      </w:r>
      <w:r w:rsidRPr="00C5583C">
        <w:t xml:space="preserve">Prior research and industry best practices indicate the importance of understanding customer experience, expectations and needs when looking to make operational improvements. Research also indicates an improved customer experience can lead to improved compliance.  </w:t>
      </w:r>
    </w:p>
    <w:p w:rsidR="00DA0362" w:rsidRPr="00B36959" w:rsidP="00567D6B" w14:paraId="23E8DC5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A446E3" w:rsidP="00A446E3" w14:paraId="3882838E" w14:textId="77777777">
      <w:pPr>
        <w:ind w:left="360"/>
      </w:pPr>
    </w:p>
    <w:p w:rsidR="00A446E3" w:rsidRPr="00A446E3" w:rsidP="00A446E3" w14:paraId="6D60ADBF" w14:textId="455066BF">
      <w:pPr>
        <w:ind w:left="360"/>
      </w:pPr>
      <w:r w:rsidRPr="00A446E3">
        <w:t xml:space="preserve">Respondents will be selected from the National Research Opinion Center’s (NORC) AmeriSpeak Panel. The AmeriSpeak panel is a probability-based panel that represents the U.S. household population, from which eligible </w:t>
      </w:r>
      <w:r>
        <w:t>small business and self-employed taxpayers w</w:t>
      </w:r>
      <w:r w:rsidRPr="00A446E3">
        <w:t>ill be surveyed.</w:t>
      </w:r>
    </w:p>
    <w:p w:rsidR="00C5583C" w:rsidP="00C5583C" w14:paraId="64AF2A12" w14:textId="77777777">
      <w:pPr>
        <w:autoSpaceDE w:val="0"/>
        <w:autoSpaceDN w:val="0"/>
        <w:adjustRightInd w:val="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011072E7">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C5583C" w:rsidR="00C5583C">
        <w:rPr>
          <w:b/>
          <w:sz w:val="28"/>
          <w:szCs w:val="22"/>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72D93EDD">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009A57A1">
        <w:rPr>
          <w:bCs/>
          <w:sz w:val="24"/>
        </w:rPr>
        <w:t>)</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2261931B">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00C5583C">
        <w:rPr>
          <w:bCs/>
          <w:sz w:val="24"/>
        </w:rPr>
        <w:t xml:space="preserve">  </w:t>
      </w:r>
      <w:r w:rsidRPr="00C5583C">
        <w:rPr>
          <w:bCs/>
          <w:sz w:val="24"/>
        </w:rPr>
        <w:t>]</w:t>
      </w:r>
      <w:r w:rsidRPr="00B36959">
        <w:rPr>
          <w:bCs/>
          <w:sz w:val="24"/>
        </w:rPr>
        <w:t xml:space="preserve"> Other</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C73838">
        <w:rPr>
          <w:b/>
        </w:rPr>
        <w:t>Personally Identifiable Information:</w:t>
      </w:r>
    </w:p>
    <w:p w:rsidR="00C86E91" w:rsidRPr="0061336E" w:rsidP="00C86E91" w14:paraId="536BAA2D" w14:textId="68C1B53B">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00C73838">
        <w:rPr>
          <w:b/>
          <w:bCs/>
        </w:rPr>
        <w:t xml:space="preserve"> </w:t>
      </w:r>
      <w:r w:rsidRPr="0061336E" w:rsidR="009239AA">
        <w:t>]</w:t>
      </w:r>
      <w:r w:rsidRPr="0061336E" w:rsidR="009239AA">
        <w:t xml:space="preserve"> Yes [</w:t>
      </w:r>
      <w:r w:rsidRPr="00C73838" w:rsidR="00C73838">
        <w:rPr>
          <w:b/>
          <w:bCs/>
        </w:rPr>
        <w:t>X</w:t>
      </w:r>
      <w:r w:rsidRPr="0061336E" w:rsidR="009239AA">
        <w:t xml:space="preserve">] No </w:t>
      </w:r>
    </w:p>
    <w:p w:rsidR="00C86E91" w:rsidRPr="0061336E" w:rsidP="00C86E91" w14:paraId="646C64D3" w14:textId="79D6C380">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 xml:space="preserve">is the information that will be collected included in records that are subject to the Privacy Act of 1974?   </w:t>
      </w:r>
      <w:r w:rsidRPr="0061336E" w:rsidR="009239AA">
        <w:t>[</w:t>
      </w:r>
      <w:r w:rsidR="00C73838">
        <w:t xml:space="preserve"> </w:t>
      </w:r>
      <w:r w:rsidRPr="0061336E" w:rsidR="009239AA">
        <w:t>]</w:t>
      </w:r>
      <w:r w:rsidRPr="0061336E" w:rsidR="009239AA">
        <w:t xml:space="preserve"> Yes [</w:t>
      </w:r>
      <w:r w:rsidRPr="0061336E" w:rsidR="00567D6B">
        <w:t xml:space="preserve"> </w:t>
      </w:r>
      <w:r w:rsidRPr="0061336E" w:rsidR="009239AA">
        <w:t>] No</w:t>
      </w:r>
      <w:r w:rsidRPr="0061336E">
        <w:t xml:space="preserve">   </w:t>
      </w:r>
    </w:p>
    <w:p w:rsidR="00C86E91" w:rsidRPr="0061336E" w:rsidP="00C86E91" w14:paraId="2D64E2BF" w14:textId="31E394E1">
      <w:pPr>
        <w:pStyle w:val="ListParagraph"/>
        <w:numPr>
          <w:ilvl w:val="0"/>
          <w:numId w:val="18"/>
        </w:numPr>
      </w:pPr>
      <w:r w:rsidRPr="0061336E">
        <w:t>If Applicable, has a System or Records Notice been published?  [</w:t>
      </w:r>
      <w:r w:rsidRPr="0061336E" w:rsidR="0061336E">
        <w:rPr>
          <w:b/>
          <w:bCs/>
        </w:rPr>
        <w:t>X</w:t>
      </w:r>
      <w:r w:rsidRPr="0061336E">
        <w:t xml:space="preserve">] Yes </w:t>
      </w:r>
      <w:r w:rsidRPr="0061336E">
        <w:t>[</w:t>
      </w:r>
      <w:r w:rsidRPr="0061336E" w:rsidR="009A57A1">
        <w:t xml:space="preserve"> ]</w:t>
      </w:r>
      <w:r w:rsidR="009A57A1">
        <w:t xml:space="preserve"> </w:t>
      </w:r>
      <w:r w:rsidRPr="0061336E">
        <w:t>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C73838">
        <w:rPr>
          <w:b/>
        </w:rPr>
        <w:t>Gifts or Payments</w:t>
      </w:r>
      <w:r w:rsidRPr="00C73838">
        <w:rPr>
          <w:b/>
        </w:rPr>
        <w:t>:</w:t>
      </w:r>
    </w:p>
    <w:p w:rsidR="00C86E91" w:rsidP="00C86E91" w14:paraId="5CA4FB54" w14:textId="4BEDAB4A">
      <w:bookmarkStart w:id="1" w:name="_Hlk149659000"/>
      <w:r w:rsidRPr="0061336E">
        <w:t>Is an incentive (e.g., money or reimbursement of expenses, token of appreciation) provided to participants?  [</w:t>
      </w:r>
      <w:r w:rsidRPr="0061336E" w:rsidR="000C33DD">
        <w:rPr>
          <w:b/>
          <w:bCs/>
        </w:rPr>
        <w:t>X</w:t>
      </w:r>
      <w:r w:rsidRPr="0061336E">
        <w:rPr>
          <w:b/>
          <w:bCs/>
        </w:rPr>
        <w:t>]</w:t>
      </w:r>
      <w:r w:rsidRPr="0061336E">
        <w:t xml:space="preserve"> Yes </w:t>
      </w:r>
      <w:r w:rsidRPr="0061336E">
        <w:t xml:space="preserve">[ </w:t>
      </w:r>
      <w:r w:rsidRPr="0061336E" w:rsidR="000C33DD">
        <w:t xml:space="preserve"> </w:t>
      </w:r>
      <w:r w:rsidRPr="0061336E">
        <w:t>]</w:t>
      </w:r>
      <w:r w:rsidRPr="0061336E">
        <w:t xml:space="preserve"> No</w:t>
      </w:r>
      <w:r w:rsidRPr="00B36959">
        <w:t xml:space="preserve">  </w:t>
      </w:r>
    </w:p>
    <w:p w:rsidR="004859FC" w:rsidP="004859FC" w14:paraId="6394CCA8" w14:textId="77777777"/>
    <w:p w:rsidR="004859FC" w:rsidP="004859FC" w14:paraId="605776BB" w14:textId="626BFB4E">
      <w:pPr>
        <w:ind w:left="360"/>
      </w:pPr>
      <w:r>
        <w:t>The IRS is not providing incentive payments and is not directing the contractor to do so.</w:t>
      </w:r>
    </w:p>
    <w:p w:rsidR="004859FC" w:rsidP="004859FC" w14:paraId="5B66B5C7" w14:textId="77777777">
      <w:pPr>
        <w:ind w:left="360"/>
      </w:pPr>
    </w:p>
    <w:p w:rsidR="004859FC" w:rsidP="004859FC" w14:paraId="56961CFB" w14:textId="1672DF58">
      <w:pPr>
        <w:ind w:left="360"/>
      </w:pPr>
      <w:r>
        <w:t>The contractor, as part of completing the contracted survey, will provide an incentive using the NORC “</w:t>
      </w:r>
      <w:r>
        <w:t>AmeriPoints</w:t>
      </w:r>
      <w:r>
        <w:t>” system to boost response rates. Offering incentives for participating in this type of research is a standard industry practice.</w:t>
      </w:r>
    </w:p>
    <w:p w:rsidR="004859FC" w:rsidRPr="00B36959" w:rsidP="00C86E91" w14:paraId="736B2486" w14:textId="610BEBFF">
      <w:r>
        <w:tab/>
      </w:r>
    </w:p>
    <w:p w:rsidR="005E714A" w:rsidRPr="001F1E06" w:rsidP="00C86E91" w14:paraId="307F73E8" w14:textId="23B3676A">
      <w:bookmarkStart w:id="2" w:name="_Hlk149659133"/>
      <w:bookmarkEnd w:id="1"/>
      <w:r w:rsidRPr="001F1E06">
        <w:rPr>
          <w:b/>
        </w:rPr>
        <w:t>BURDEN HOUR</w:t>
      </w:r>
      <w:r w:rsidRPr="001F1E06" w:rsidR="00441434">
        <w:rPr>
          <w:b/>
        </w:rPr>
        <w:t>S</w:t>
      </w:r>
      <w:r w:rsidRPr="001F1E06">
        <w:t xml:space="preserve"> </w:t>
      </w:r>
    </w:p>
    <w:p w:rsidR="00F35031" w:rsidP="00F35031" w14:paraId="5AB46A45" w14:textId="77777777">
      <w:pPr>
        <w:ind w:left="360"/>
        <w:jc w:val="both"/>
        <w:rPr>
          <w:color w:val="000000"/>
        </w:rPr>
      </w:pPr>
    </w:p>
    <w:p w:rsidR="00D77E28" w:rsidRPr="001F1E06" w:rsidP="00F35031" w14:paraId="24F04AF9" w14:textId="1F9E369C">
      <w:pPr>
        <w:ind w:left="360"/>
        <w:jc w:val="both"/>
        <w:rPr>
          <w:b/>
          <w:color w:val="000000"/>
          <w:u w:val="single"/>
        </w:rPr>
      </w:pPr>
      <w:r w:rsidRPr="001F1E06">
        <w:rPr>
          <w:color w:val="000000"/>
        </w:rPr>
        <w:t xml:space="preserve">The total burden hours for the </w:t>
      </w:r>
      <w:r w:rsidR="00F35031">
        <w:rPr>
          <w:color w:val="000000"/>
        </w:rPr>
        <w:t xml:space="preserve">survey of SB/SE </w:t>
      </w:r>
      <w:r w:rsidRPr="00C73838" w:rsidR="00F35031">
        <w:rPr>
          <w:color w:val="000000"/>
        </w:rPr>
        <w:t xml:space="preserve">taxpayers </w:t>
      </w:r>
      <w:r w:rsidRPr="00C73838">
        <w:rPr>
          <w:color w:val="000000"/>
        </w:rPr>
        <w:t>is</w:t>
      </w:r>
      <w:r w:rsidRPr="00C73838">
        <w:rPr>
          <w:color w:val="000000"/>
        </w:rPr>
        <w:t xml:space="preserve"> </w:t>
      </w:r>
      <w:r w:rsidRPr="00C73838" w:rsidR="00C5583C">
        <w:rPr>
          <w:b/>
          <w:color w:val="000000"/>
          <w:u w:val="single"/>
        </w:rPr>
        <w:t>1,745</w:t>
      </w:r>
      <w:r w:rsidRPr="00C73838">
        <w:rPr>
          <w:b/>
          <w:color w:val="000000"/>
          <w:u w:val="single"/>
        </w:rPr>
        <w:t xml:space="preserve"> burden hours</w:t>
      </w:r>
    </w:p>
    <w:bookmarkEnd w:id="2"/>
    <w:p w:rsidR="006832D9" w:rsidRPr="001F1E06" w:rsidP="00F3170F" w14:paraId="248E49B3" w14:textId="77777777">
      <w:pPr>
        <w:keepNext/>
        <w:keepLines/>
        <w:rPr>
          <w:b/>
        </w:rPr>
      </w:pPr>
    </w:p>
    <w:tbl>
      <w:tblPr>
        <w:tblStyle w:val="TableGrid"/>
        <w:tblW w:w="8740" w:type="dxa"/>
        <w:jc w:val="center"/>
        <w:tblLayout w:type="fixed"/>
        <w:tblLook w:val="01E0"/>
      </w:tblPr>
      <w:tblGrid>
        <w:gridCol w:w="4600"/>
        <w:gridCol w:w="1530"/>
        <w:gridCol w:w="1620"/>
        <w:gridCol w:w="990"/>
      </w:tblGrid>
      <w:tr w14:paraId="62C3273E" w14:textId="77777777" w:rsidTr="009A57A1">
        <w:tblPrEx>
          <w:tblW w:w="8740" w:type="dxa"/>
          <w:jc w:val="center"/>
          <w:tblLayout w:type="fixed"/>
          <w:tblLook w:val="01E0"/>
        </w:tblPrEx>
        <w:trPr>
          <w:trHeight w:val="274"/>
          <w:jc w:val="center"/>
        </w:trPr>
        <w:tc>
          <w:tcPr>
            <w:tcW w:w="4600" w:type="dxa"/>
            <w:vAlign w:val="center"/>
          </w:tcPr>
          <w:p w:rsidR="006832D9" w:rsidRPr="001F1E06" w:rsidP="00FE0250" w14:paraId="01AE1745" w14:textId="2F27A49C">
            <w:pPr>
              <w:jc w:val="center"/>
              <w:rPr>
                <w:b/>
              </w:rPr>
            </w:pPr>
            <w:r w:rsidRPr="001F1E06">
              <w:rPr>
                <w:b/>
              </w:rPr>
              <w:t>Respondent</w:t>
            </w:r>
            <w:r w:rsidR="00676A9C">
              <w:rPr>
                <w:b/>
              </w:rPr>
              <w:t xml:space="preserve"> Category</w:t>
            </w:r>
          </w:p>
        </w:tc>
        <w:tc>
          <w:tcPr>
            <w:tcW w:w="1530" w:type="dxa"/>
            <w:vAlign w:val="center"/>
          </w:tcPr>
          <w:p w:rsidR="006832D9" w:rsidRPr="001F1E06" w:rsidP="00FE0250" w14:paraId="0EBF713C" w14:textId="2B5D5941">
            <w:pPr>
              <w:jc w:val="center"/>
              <w:rPr>
                <w:b/>
              </w:rPr>
            </w:pPr>
            <w:r w:rsidRPr="001F1E06">
              <w:rPr>
                <w:b/>
              </w:rPr>
              <w:t>N</w:t>
            </w:r>
            <w:r w:rsidRPr="001F1E06" w:rsidR="00FE0250">
              <w:rPr>
                <w:b/>
              </w:rPr>
              <w:t xml:space="preserve">umber </w:t>
            </w:r>
            <w:r w:rsidRPr="001F1E06">
              <w:rPr>
                <w:b/>
              </w:rPr>
              <w:t>of Respondents</w:t>
            </w:r>
          </w:p>
        </w:tc>
        <w:tc>
          <w:tcPr>
            <w:tcW w:w="1620" w:type="dxa"/>
            <w:vAlign w:val="center"/>
          </w:tcPr>
          <w:p w:rsidR="006832D9" w:rsidRPr="001F1E06" w:rsidP="00FE0250" w14:paraId="6167C2FE" w14:textId="77777777">
            <w:pPr>
              <w:jc w:val="center"/>
              <w:rPr>
                <w:b/>
              </w:rPr>
            </w:pPr>
            <w:r w:rsidRPr="001F1E06">
              <w:rPr>
                <w:b/>
              </w:rPr>
              <w:t>Participation Time</w:t>
            </w:r>
          </w:p>
        </w:tc>
        <w:tc>
          <w:tcPr>
            <w:tcW w:w="990" w:type="dxa"/>
            <w:vAlign w:val="center"/>
          </w:tcPr>
          <w:p w:rsidR="006832D9" w:rsidRPr="001F1E06" w:rsidP="00FE0250" w14:paraId="64B083F4" w14:textId="6C532C70">
            <w:pPr>
              <w:jc w:val="center"/>
              <w:rPr>
                <w:b/>
              </w:rPr>
            </w:pPr>
            <w:r w:rsidRPr="001F1E06">
              <w:rPr>
                <w:b/>
              </w:rPr>
              <w:t>Burden</w:t>
            </w:r>
            <w:r w:rsidRPr="001F1E06" w:rsidR="007A2243">
              <w:rPr>
                <w:b/>
              </w:rPr>
              <w:t xml:space="preserve"> Hours</w:t>
            </w:r>
          </w:p>
        </w:tc>
      </w:tr>
      <w:tr w14:paraId="3531AA7C" w14:textId="77777777" w:rsidTr="009A57A1">
        <w:tblPrEx>
          <w:tblW w:w="8740" w:type="dxa"/>
          <w:jc w:val="center"/>
          <w:tblLayout w:type="fixed"/>
          <w:tblLook w:val="01E0"/>
        </w:tblPrEx>
        <w:trPr>
          <w:trHeight w:val="274"/>
          <w:jc w:val="center"/>
        </w:trPr>
        <w:tc>
          <w:tcPr>
            <w:tcW w:w="4600" w:type="dxa"/>
            <w:vAlign w:val="center"/>
          </w:tcPr>
          <w:p w:rsidR="00C5583C" w:rsidRPr="001F1E06" w:rsidP="00C5583C" w14:paraId="73C55C2C" w14:textId="57B550CA">
            <w:r w:rsidRPr="00C5583C">
              <w:t>Questionnaire Screening – Non-qualified participants</w:t>
            </w:r>
          </w:p>
        </w:tc>
        <w:tc>
          <w:tcPr>
            <w:tcW w:w="1530" w:type="dxa"/>
          </w:tcPr>
          <w:p w:rsidR="00C5583C" w:rsidRPr="00C73838" w:rsidP="00C5583C" w14:paraId="756DFE57" w14:textId="0B01245A">
            <w:pPr>
              <w:jc w:val="center"/>
            </w:pPr>
            <w:r w:rsidRPr="00C73838">
              <w:t>3,421</w:t>
            </w:r>
          </w:p>
        </w:tc>
        <w:tc>
          <w:tcPr>
            <w:tcW w:w="1620" w:type="dxa"/>
          </w:tcPr>
          <w:p w:rsidR="00C5583C" w:rsidRPr="00C73838" w:rsidP="00C5583C" w14:paraId="17C34146" w14:textId="2ECB56AD">
            <w:pPr>
              <w:jc w:val="center"/>
            </w:pPr>
            <w:r w:rsidRPr="00C73838">
              <w:t>1 minute</w:t>
            </w:r>
          </w:p>
        </w:tc>
        <w:tc>
          <w:tcPr>
            <w:tcW w:w="990" w:type="dxa"/>
          </w:tcPr>
          <w:p w:rsidR="00C5583C" w:rsidRPr="00C73838" w:rsidP="00C5583C" w14:paraId="38ABE309" w14:textId="3B19DB69">
            <w:pPr>
              <w:jc w:val="center"/>
            </w:pPr>
            <w:r w:rsidRPr="00C73838">
              <w:t>57</w:t>
            </w:r>
          </w:p>
        </w:tc>
      </w:tr>
      <w:tr w14:paraId="3A4A4F76" w14:textId="77777777" w:rsidTr="009A57A1">
        <w:tblPrEx>
          <w:tblW w:w="8740" w:type="dxa"/>
          <w:jc w:val="center"/>
          <w:tblLayout w:type="fixed"/>
          <w:tblLook w:val="01E0"/>
        </w:tblPrEx>
        <w:trPr>
          <w:trHeight w:val="274"/>
          <w:jc w:val="center"/>
        </w:trPr>
        <w:tc>
          <w:tcPr>
            <w:tcW w:w="4600" w:type="dxa"/>
          </w:tcPr>
          <w:p w:rsidR="00C5583C" w:rsidRPr="00B36959" w:rsidP="00C5583C" w14:paraId="4D662532" w14:textId="132DE28A">
            <w:r w:rsidRPr="000E6DD0">
              <w:t>Completed Surveys – Qualified participants</w:t>
            </w:r>
          </w:p>
        </w:tc>
        <w:tc>
          <w:tcPr>
            <w:tcW w:w="1530" w:type="dxa"/>
          </w:tcPr>
          <w:p w:rsidR="00C5583C" w:rsidRPr="00C73838" w:rsidP="00C5583C" w14:paraId="62ADDA4F" w14:textId="78B5D3E4">
            <w:pPr>
              <w:jc w:val="center"/>
            </w:pPr>
            <w:r w:rsidRPr="00C73838">
              <w:t>4,219</w:t>
            </w:r>
          </w:p>
        </w:tc>
        <w:tc>
          <w:tcPr>
            <w:tcW w:w="1620" w:type="dxa"/>
          </w:tcPr>
          <w:p w:rsidR="00C5583C" w:rsidRPr="00C73838" w:rsidP="00C5583C" w14:paraId="429CFF29" w14:textId="6B0E1ACF">
            <w:pPr>
              <w:jc w:val="center"/>
            </w:pPr>
            <w:r w:rsidRPr="00C73838">
              <w:t>24 minutes</w:t>
            </w:r>
          </w:p>
        </w:tc>
        <w:tc>
          <w:tcPr>
            <w:tcW w:w="990" w:type="dxa"/>
          </w:tcPr>
          <w:p w:rsidR="00C5583C" w:rsidRPr="00C73838" w:rsidP="00C5583C" w14:paraId="1BF5A868" w14:textId="5BE96C88">
            <w:pPr>
              <w:jc w:val="center"/>
            </w:pPr>
            <w:r w:rsidRPr="00C73838">
              <w:t>1,688</w:t>
            </w:r>
          </w:p>
        </w:tc>
      </w:tr>
      <w:tr w14:paraId="1F57FEF0" w14:textId="77777777" w:rsidTr="009A57A1">
        <w:tblPrEx>
          <w:tblW w:w="8740" w:type="dxa"/>
          <w:jc w:val="center"/>
          <w:tblLayout w:type="fixed"/>
          <w:tblLook w:val="01E0"/>
        </w:tblPrEx>
        <w:trPr>
          <w:trHeight w:val="274"/>
          <w:jc w:val="center"/>
        </w:trPr>
        <w:tc>
          <w:tcPr>
            <w:tcW w:w="4600" w:type="dxa"/>
          </w:tcPr>
          <w:p w:rsidR="007771F6" w:rsidRPr="00EB04B2" w:rsidP="00843796" w14:paraId="1D1C9BB1" w14:textId="7856BC0A">
            <w:pPr>
              <w:rPr>
                <w:b/>
                <w:bCs/>
              </w:rPr>
            </w:pPr>
            <w:r w:rsidRPr="00EB04B2">
              <w:rPr>
                <w:b/>
                <w:bCs/>
              </w:rPr>
              <w:t>Total Burden</w:t>
            </w:r>
          </w:p>
        </w:tc>
        <w:tc>
          <w:tcPr>
            <w:tcW w:w="1530" w:type="dxa"/>
          </w:tcPr>
          <w:p w:rsidR="007771F6" w:rsidRPr="00C73838" w:rsidP="00EB04B2" w14:paraId="6D8D9476" w14:textId="77777777">
            <w:pPr>
              <w:jc w:val="center"/>
            </w:pPr>
          </w:p>
        </w:tc>
        <w:tc>
          <w:tcPr>
            <w:tcW w:w="1620" w:type="dxa"/>
          </w:tcPr>
          <w:p w:rsidR="007771F6" w:rsidRPr="00C73838" w:rsidP="00EB04B2" w14:paraId="6B8577CA" w14:textId="77777777">
            <w:pPr>
              <w:jc w:val="center"/>
            </w:pPr>
          </w:p>
        </w:tc>
        <w:tc>
          <w:tcPr>
            <w:tcW w:w="990" w:type="dxa"/>
          </w:tcPr>
          <w:p w:rsidR="007771F6" w:rsidRPr="00C73838" w:rsidP="00EB04B2" w14:paraId="7A516336" w14:textId="47F65313">
            <w:pPr>
              <w:jc w:val="center"/>
              <w:rPr>
                <w:b/>
                <w:bCs/>
              </w:rPr>
            </w:pPr>
            <w:r w:rsidRPr="00C73838">
              <w:rPr>
                <w:b/>
                <w:bCs/>
              </w:rPr>
              <w:t>1,745</w:t>
            </w:r>
          </w:p>
        </w:tc>
      </w:tr>
    </w:tbl>
    <w:p w:rsidR="00B36959" w:rsidP="00E533E3" w14:paraId="02E25EE4" w14:textId="77777777">
      <w:pPr>
        <w:rPr>
          <w:b/>
          <w:sz w:val="22"/>
          <w:szCs w:val="22"/>
          <w:u w:val="single"/>
        </w:rPr>
      </w:pPr>
    </w:p>
    <w:p w:rsidR="00F35031" w14:paraId="3D6FEB26" w14:textId="77777777">
      <w:pPr>
        <w:rPr>
          <w:b/>
        </w:rPr>
      </w:pPr>
    </w:p>
    <w:p w:rsidR="005E714A" w:rsidRPr="00B36959" w14:paraId="1D20D791" w14:textId="13A1B380">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rsidP="00F35031" w14:paraId="59809541" w14:textId="7F71D211">
      <w:pPr>
        <w:ind w:left="360"/>
      </w:pPr>
      <w:bookmarkStart w:id="3" w:name="_Hlk149658931"/>
      <w:r w:rsidRPr="00B36959">
        <w:t>The</w:t>
      </w:r>
      <w:r w:rsidR="00B53031">
        <w:t xml:space="preserve"> estimated </w:t>
      </w:r>
      <w:r w:rsidRPr="00B36959">
        <w:t>cost of th</w:t>
      </w:r>
      <w:r w:rsidR="00B53031">
        <w:t xml:space="preserve">is survey is </w:t>
      </w:r>
      <w:r w:rsidRPr="00771552" w:rsidR="00771552">
        <w:t xml:space="preserve">$372,263 </w:t>
      </w:r>
      <w:r w:rsidR="00B53031">
        <w:t xml:space="preserve">for both the </w:t>
      </w:r>
      <w:r w:rsidR="0009502B">
        <w:t xml:space="preserve">English and Spanish </w:t>
      </w:r>
      <w:r w:rsidR="00B53031">
        <w:t>surveys</w:t>
      </w:r>
      <w:r w:rsidR="004C0D99">
        <w:t>.</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00AA8F21">
      <w:pPr>
        <w:pStyle w:val="ListParagraph"/>
        <w:numPr>
          <w:ilvl w:val="0"/>
          <w:numId w:val="15"/>
        </w:numPr>
      </w:pPr>
      <w:r w:rsidRPr="00B36959">
        <w:t xml:space="preserve">Do you have a customer list or something similar that defines the universe of potential </w:t>
      </w:r>
      <w:r w:rsidRPr="00B36959" w:rsidR="00BE0489">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w:t>
      </w:r>
      <w:r w:rsidRPr="00B36959" w:rsidR="00A403BB">
        <w:t>or</w:t>
      </w:r>
      <w:r w:rsidRPr="00B36959" w:rsidR="00A403BB">
        <w:t xml:space="preserve">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A446E3" w:rsidP="00A446E3" w14:paraId="20143679" w14:textId="77777777">
      <w:pPr>
        <w:autoSpaceDE w:val="0"/>
        <w:autoSpaceDN w:val="0"/>
        <w:adjustRightInd w:val="0"/>
        <w:ind w:left="720"/>
      </w:pPr>
      <w:r>
        <w:t>The contractor will include the entire NORC AmeriSpeak Panel for the selection of the probability sample of small business owners and self-employed taxpayers. This selection will be supplemented by sampling from non-probability sample sources to obtain the requested Spanish-speaking completes.</w:t>
      </w:r>
    </w:p>
    <w:p w:rsidR="004859FC" w:rsidP="00F35031" w14:paraId="10187D3A" w14:textId="77777777">
      <w:pPr>
        <w:autoSpaceDE w:val="0"/>
        <w:autoSpaceDN w:val="0"/>
        <w:adjustRightInd w:val="0"/>
        <w:ind w:left="720"/>
      </w:pPr>
    </w:p>
    <w:p w:rsidR="004859FC" w:rsidP="00F35031" w14:paraId="6CCBADD2" w14:textId="28E4C22A">
      <w:pPr>
        <w:autoSpaceDE w:val="0"/>
        <w:autoSpaceDN w:val="0"/>
        <w:adjustRightInd w:val="0"/>
        <w:ind w:left="720"/>
      </w:pPr>
      <w:r w:rsidRPr="004859FC">
        <w:t xml:space="preserve">The contractor shall develop and execute a sampling plan that is acceptable to the IRS. The sampling plan </w:t>
      </w:r>
      <w:r w:rsidR="009A57A1">
        <w:t xml:space="preserve">will </w:t>
      </w:r>
      <w:r w:rsidRPr="004859FC">
        <w:t>represent the entire US SB/SE customer base. The contractor will ensure persons without internet access are represented in the sample.</w:t>
      </w:r>
      <w:r>
        <w:t xml:space="preserve"> </w:t>
      </w:r>
      <w:r w:rsidRPr="004859FC">
        <w:t xml:space="preserve">The survey target </w:t>
      </w:r>
      <w:r>
        <w:t xml:space="preserve">is approximately </w:t>
      </w:r>
      <w:r w:rsidRPr="004859FC">
        <w:t xml:space="preserve">4,000 completes, including a Spanish Limited English Proficient (LEP) sample of 400-500. </w:t>
      </w:r>
    </w:p>
    <w:p w:rsidR="004859FC" w:rsidP="00897C33" w14:paraId="70650FD5" w14:textId="77777777">
      <w:pPr>
        <w:autoSpaceDE w:val="0"/>
        <w:autoSpaceDN w:val="0"/>
        <w:adjustRightInd w:val="0"/>
      </w:pPr>
    </w:p>
    <w:p w:rsidR="0009502B" w:rsidP="00897C33" w14:paraId="2C4BA265" w14:textId="77777777">
      <w:pPr>
        <w:autoSpaceDE w:val="0"/>
        <w:autoSpaceDN w:val="0"/>
        <w:adjustRightInd w:val="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122A0EC7">
      <w:pPr>
        <w:ind w:left="720"/>
      </w:pPr>
      <w:r w:rsidRPr="00B36959">
        <w:t>[</w:t>
      </w:r>
      <w:r w:rsidRPr="001F1E06" w:rsidR="001F1E06">
        <w:rPr>
          <w:b/>
          <w:bCs/>
        </w:rPr>
        <w:t>X</w:t>
      </w:r>
      <w:r w:rsidRPr="00B36959">
        <w:t>] Web-based</w:t>
      </w:r>
      <w:r w:rsidRPr="00B36959">
        <w:t xml:space="preserve"> or other forms of </w:t>
      </w:r>
      <w:r w:rsidRPr="00B36959">
        <w:t>Social Media</w:t>
      </w:r>
    </w:p>
    <w:p w:rsidR="001B0AAA" w:rsidRPr="00B36959" w:rsidP="001B0AAA" w14:paraId="196C8915" w14:textId="174B5258">
      <w:pPr>
        <w:ind w:left="720"/>
      </w:pPr>
      <w:r w:rsidRPr="00B36959">
        <w:t>[</w:t>
      </w:r>
      <w:r w:rsidRPr="004859FC" w:rsidR="004859FC">
        <w:rPr>
          <w:b/>
          <w:bCs/>
        </w:rPr>
        <w:t>X</w:t>
      </w:r>
      <w:r w:rsidRPr="00B36959">
        <w:t>]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P="001B0AAA" w14:paraId="08FFBC26" w14:textId="188425BB">
      <w:pPr>
        <w:ind w:left="720"/>
      </w:pPr>
      <w:r w:rsidRPr="00B36959">
        <w:t>[</w:t>
      </w:r>
      <w:r w:rsidR="004859FC">
        <w:rPr>
          <w:b/>
          <w:bCs/>
        </w:rPr>
        <w:t xml:space="preserve">  </w:t>
      </w:r>
      <w:r w:rsidRPr="00B36959">
        <w:t>]</w:t>
      </w:r>
      <w:r w:rsidRPr="00B36959">
        <w:t xml:space="preserve"> Other</w:t>
      </w:r>
    </w:p>
    <w:p w:rsidR="00D85C39" w:rsidRPr="00B36959" w:rsidP="001B0AAA" w14:paraId="4CD8FF42" w14:textId="77777777">
      <w:pPr>
        <w:ind w:left="720"/>
      </w:pPr>
    </w:p>
    <w:p w:rsidR="00F24CFC" w:rsidRPr="00E85C6C" w:rsidP="00F24CFC" w14:paraId="55E1C609" w14:textId="6AF99FD8">
      <w:pPr>
        <w:pStyle w:val="ListParagraph"/>
        <w:numPr>
          <w:ilvl w:val="0"/>
          <w:numId w:val="17"/>
        </w:numPr>
      </w:pPr>
      <w:bookmarkStart w:id="4" w:name="_Hlk149659106"/>
      <w:r w:rsidRPr="00E85C6C">
        <w:t xml:space="preserve">Will interviewers or facilitators be used?  </w:t>
      </w:r>
      <w:r w:rsidRPr="00E85C6C">
        <w:t>[</w:t>
      </w:r>
      <w:r w:rsidR="006516D9">
        <w:t xml:space="preserve">  </w:t>
      </w:r>
      <w:r w:rsidRPr="00E85C6C">
        <w:t>]</w:t>
      </w:r>
      <w:r w:rsidRPr="00E85C6C">
        <w:t xml:space="preserve"> Yes [</w:t>
      </w:r>
      <w:r w:rsidRPr="00E85C6C" w:rsidR="006516D9">
        <w:rPr>
          <w:b/>
          <w:bCs/>
        </w:rPr>
        <w:t>X</w:t>
      </w:r>
      <w:r w:rsidRPr="00E85C6C">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4C0CB0" w:rsidRPr="00B36959" w:rsidP="0024521E" w14:paraId="6F055A74" w14:textId="3B6C1564">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w:t>
      </w:r>
      <w:r w:rsidRPr="00B36959">
        <w:rPr>
          <w:sz w:val="28"/>
        </w:rPr>
        <w:t>Feedback</w:t>
      </w:r>
      <w:r w:rsidRPr="00B36959">
        <w:rPr>
          <w:sz w:val="28"/>
        </w:rPr>
        <w:t xml:space="preserve">”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27EAB"/>
    <w:rsid w:val="00032282"/>
    <w:rsid w:val="0004431D"/>
    <w:rsid w:val="00047A64"/>
    <w:rsid w:val="00060BC4"/>
    <w:rsid w:val="00062915"/>
    <w:rsid w:val="00067329"/>
    <w:rsid w:val="00072E5B"/>
    <w:rsid w:val="0009502B"/>
    <w:rsid w:val="00095C82"/>
    <w:rsid w:val="00095D81"/>
    <w:rsid w:val="000A283E"/>
    <w:rsid w:val="000B2838"/>
    <w:rsid w:val="000C33DD"/>
    <w:rsid w:val="000C742F"/>
    <w:rsid w:val="000D44CA"/>
    <w:rsid w:val="000E200B"/>
    <w:rsid w:val="000E4491"/>
    <w:rsid w:val="000E6DD0"/>
    <w:rsid w:val="000F68BE"/>
    <w:rsid w:val="000F6F5A"/>
    <w:rsid w:val="00107853"/>
    <w:rsid w:val="0011359D"/>
    <w:rsid w:val="00116BC9"/>
    <w:rsid w:val="0012605F"/>
    <w:rsid w:val="00127AFD"/>
    <w:rsid w:val="0013420E"/>
    <w:rsid w:val="00137D6A"/>
    <w:rsid w:val="0014541B"/>
    <w:rsid w:val="001632FA"/>
    <w:rsid w:val="00172A45"/>
    <w:rsid w:val="00186F76"/>
    <w:rsid w:val="001927A4"/>
    <w:rsid w:val="00194AC6"/>
    <w:rsid w:val="001A23B0"/>
    <w:rsid w:val="001A25CC"/>
    <w:rsid w:val="001B0AAA"/>
    <w:rsid w:val="001B4316"/>
    <w:rsid w:val="001B498D"/>
    <w:rsid w:val="001C39F7"/>
    <w:rsid w:val="001C4606"/>
    <w:rsid w:val="001C6DE0"/>
    <w:rsid w:val="001D1445"/>
    <w:rsid w:val="001D5477"/>
    <w:rsid w:val="001E3FBD"/>
    <w:rsid w:val="001E6E1D"/>
    <w:rsid w:val="001F1E06"/>
    <w:rsid w:val="002211CC"/>
    <w:rsid w:val="00224B75"/>
    <w:rsid w:val="002251DD"/>
    <w:rsid w:val="002277C1"/>
    <w:rsid w:val="00237B48"/>
    <w:rsid w:val="0024521E"/>
    <w:rsid w:val="002502AF"/>
    <w:rsid w:val="00252032"/>
    <w:rsid w:val="00263C3D"/>
    <w:rsid w:val="0027322E"/>
    <w:rsid w:val="00274D0B"/>
    <w:rsid w:val="00275699"/>
    <w:rsid w:val="00291387"/>
    <w:rsid w:val="002A0E98"/>
    <w:rsid w:val="002A1737"/>
    <w:rsid w:val="002A52ED"/>
    <w:rsid w:val="002A7029"/>
    <w:rsid w:val="002B0906"/>
    <w:rsid w:val="002B3C95"/>
    <w:rsid w:val="002B7E7B"/>
    <w:rsid w:val="002D0B92"/>
    <w:rsid w:val="002E0375"/>
    <w:rsid w:val="002F5EF8"/>
    <w:rsid w:val="00313A13"/>
    <w:rsid w:val="00326E42"/>
    <w:rsid w:val="00353F1C"/>
    <w:rsid w:val="00377647"/>
    <w:rsid w:val="00394C57"/>
    <w:rsid w:val="003C0B19"/>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5177B"/>
    <w:rsid w:val="0045264C"/>
    <w:rsid w:val="00464784"/>
    <w:rsid w:val="00473D0C"/>
    <w:rsid w:val="004859FC"/>
    <w:rsid w:val="004876EC"/>
    <w:rsid w:val="00496FD4"/>
    <w:rsid w:val="004A1CBB"/>
    <w:rsid w:val="004C0CB0"/>
    <w:rsid w:val="004C0D99"/>
    <w:rsid w:val="004C43E5"/>
    <w:rsid w:val="004C6B9D"/>
    <w:rsid w:val="004D6E14"/>
    <w:rsid w:val="004F2A87"/>
    <w:rsid w:val="004F6DA4"/>
    <w:rsid w:val="00500547"/>
    <w:rsid w:val="005009B0"/>
    <w:rsid w:val="00501154"/>
    <w:rsid w:val="00510239"/>
    <w:rsid w:val="00510757"/>
    <w:rsid w:val="00511914"/>
    <w:rsid w:val="005430D8"/>
    <w:rsid w:val="00560845"/>
    <w:rsid w:val="00564FA9"/>
    <w:rsid w:val="00566D95"/>
    <w:rsid w:val="005674FD"/>
    <w:rsid w:val="00567D6B"/>
    <w:rsid w:val="005757CE"/>
    <w:rsid w:val="0058651D"/>
    <w:rsid w:val="005911A9"/>
    <w:rsid w:val="00591794"/>
    <w:rsid w:val="0059484D"/>
    <w:rsid w:val="005A0728"/>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7508"/>
    <w:rsid w:val="006516D9"/>
    <w:rsid w:val="006546B0"/>
    <w:rsid w:val="00661CF6"/>
    <w:rsid w:val="00661DBB"/>
    <w:rsid w:val="00667DC9"/>
    <w:rsid w:val="00673660"/>
    <w:rsid w:val="00676A9C"/>
    <w:rsid w:val="006832D9"/>
    <w:rsid w:val="0069403B"/>
    <w:rsid w:val="006B03D2"/>
    <w:rsid w:val="006C0BFB"/>
    <w:rsid w:val="006D6B6E"/>
    <w:rsid w:val="006F3DDE"/>
    <w:rsid w:val="00704678"/>
    <w:rsid w:val="0071758C"/>
    <w:rsid w:val="007204C2"/>
    <w:rsid w:val="007425E7"/>
    <w:rsid w:val="00754B33"/>
    <w:rsid w:val="00764EAB"/>
    <w:rsid w:val="00771552"/>
    <w:rsid w:val="007771F6"/>
    <w:rsid w:val="007A2243"/>
    <w:rsid w:val="007B0B1D"/>
    <w:rsid w:val="007C0198"/>
    <w:rsid w:val="007C7816"/>
    <w:rsid w:val="007D1688"/>
    <w:rsid w:val="007D6E53"/>
    <w:rsid w:val="007D6F11"/>
    <w:rsid w:val="007E369A"/>
    <w:rsid w:val="007F24A1"/>
    <w:rsid w:val="00802607"/>
    <w:rsid w:val="008047F7"/>
    <w:rsid w:val="008054EA"/>
    <w:rsid w:val="008101A5"/>
    <w:rsid w:val="0081637D"/>
    <w:rsid w:val="00816784"/>
    <w:rsid w:val="00816A31"/>
    <w:rsid w:val="00822664"/>
    <w:rsid w:val="00831F4E"/>
    <w:rsid w:val="00843796"/>
    <w:rsid w:val="00895229"/>
    <w:rsid w:val="00897C33"/>
    <w:rsid w:val="008A32FA"/>
    <w:rsid w:val="008D1EED"/>
    <w:rsid w:val="008E17C5"/>
    <w:rsid w:val="008E6156"/>
    <w:rsid w:val="008E6D88"/>
    <w:rsid w:val="008F0203"/>
    <w:rsid w:val="008F50D4"/>
    <w:rsid w:val="00911A62"/>
    <w:rsid w:val="009239AA"/>
    <w:rsid w:val="00924EE6"/>
    <w:rsid w:val="00935ADA"/>
    <w:rsid w:val="009447E0"/>
    <w:rsid w:val="00946B6C"/>
    <w:rsid w:val="00950EA4"/>
    <w:rsid w:val="00951846"/>
    <w:rsid w:val="00955A71"/>
    <w:rsid w:val="0096108F"/>
    <w:rsid w:val="00971EF9"/>
    <w:rsid w:val="0098457C"/>
    <w:rsid w:val="00993443"/>
    <w:rsid w:val="009A55BB"/>
    <w:rsid w:val="009A57A1"/>
    <w:rsid w:val="009A5EFA"/>
    <w:rsid w:val="009A71D1"/>
    <w:rsid w:val="009C13B9"/>
    <w:rsid w:val="009D01A2"/>
    <w:rsid w:val="009D304E"/>
    <w:rsid w:val="009D5166"/>
    <w:rsid w:val="009D544F"/>
    <w:rsid w:val="009E2D58"/>
    <w:rsid w:val="009E47CC"/>
    <w:rsid w:val="009F5923"/>
    <w:rsid w:val="00A11E6A"/>
    <w:rsid w:val="00A15355"/>
    <w:rsid w:val="00A21E51"/>
    <w:rsid w:val="00A30C61"/>
    <w:rsid w:val="00A31E91"/>
    <w:rsid w:val="00A403BB"/>
    <w:rsid w:val="00A446E3"/>
    <w:rsid w:val="00A67255"/>
    <w:rsid w:val="00A674DF"/>
    <w:rsid w:val="00A806E9"/>
    <w:rsid w:val="00A83AA6"/>
    <w:rsid w:val="00AB09D9"/>
    <w:rsid w:val="00AB18EA"/>
    <w:rsid w:val="00AB6137"/>
    <w:rsid w:val="00AD7894"/>
    <w:rsid w:val="00AE1809"/>
    <w:rsid w:val="00AE7DA2"/>
    <w:rsid w:val="00B212C1"/>
    <w:rsid w:val="00B36959"/>
    <w:rsid w:val="00B47230"/>
    <w:rsid w:val="00B53031"/>
    <w:rsid w:val="00B80D76"/>
    <w:rsid w:val="00BA2105"/>
    <w:rsid w:val="00BA7E06"/>
    <w:rsid w:val="00BB43B5"/>
    <w:rsid w:val="00BB6219"/>
    <w:rsid w:val="00BC37EE"/>
    <w:rsid w:val="00BC41C2"/>
    <w:rsid w:val="00BD290F"/>
    <w:rsid w:val="00BE0489"/>
    <w:rsid w:val="00BE3FDA"/>
    <w:rsid w:val="00BE6FD0"/>
    <w:rsid w:val="00BF18A3"/>
    <w:rsid w:val="00C11ABE"/>
    <w:rsid w:val="00C14CC4"/>
    <w:rsid w:val="00C16976"/>
    <w:rsid w:val="00C33C52"/>
    <w:rsid w:val="00C40D8B"/>
    <w:rsid w:val="00C4364A"/>
    <w:rsid w:val="00C519F4"/>
    <w:rsid w:val="00C5583C"/>
    <w:rsid w:val="00C6535B"/>
    <w:rsid w:val="00C73838"/>
    <w:rsid w:val="00C80528"/>
    <w:rsid w:val="00C8407A"/>
    <w:rsid w:val="00C8488C"/>
    <w:rsid w:val="00C86E91"/>
    <w:rsid w:val="00C96EF0"/>
    <w:rsid w:val="00C9790E"/>
    <w:rsid w:val="00CA2650"/>
    <w:rsid w:val="00CB1078"/>
    <w:rsid w:val="00CB7856"/>
    <w:rsid w:val="00CC204B"/>
    <w:rsid w:val="00CC2D2A"/>
    <w:rsid w:val="00CC3125"/>
    <w:rsid w:val="00CC6FAF"/>
    <w:rsid w:val="00CD25BA"/>
    <w:rsid w:val="00CD4905"/>
    <w:rsid w:val="00CE3D7F"/>
    <w:rsid w:val="00CE771B"/>
    <w:rsid w:val="00D0347C"/>
    <w:rsid w:val="00D064D2"/>
    <w:rsid w:val="00D07E2E"/>
    <w:rsid w:val="00D24698"/>
    <w:rsid w:val="00D25371"/>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E6088"/>
    <w:rsid w:val="00E07184"/>
    <w:rsid w:val="00E14415"/>
    <w:rsid w:val="00E16987"/>
    <w:rsid w:val="00E26329"/>
    <w:rsid w:val="00E348F6"/>
    <w:rsid w:val="00E40B50"/>
    <w:rsid w:val="00E50293"/>
    <w:rsid w:val="00E51602"/>
    <w:rsid w:val="00E533E3"/>
    <w:rsid w:val="00E54877"/>
    <w:rsid w:val="00E65FFC"/>
    <w:rsid w:val="00E80951"/>
    <w:rsid w:val="00E841CA"/>
    <w:rsid w:val="00E85C6C"/>
    <w:rsid w:val="00E86168"/>
    <w:rsid w:val="00E86CC6"/>
    <w:rsid w:val="00EA22C3"/>
    <w:rsid w:val="00EB04B2"/>
    <w:rsid w:val="00EB41B8"/>
    <w:rsid w:val="00EB56B3"/>
    <w:rsid w:val="00EB6D32"/>
    <w:rsid w:val="00EC41FF"/>
    <w:rsid w:val="00EC6802"/>
    <w:rsid w:val="00ED6492"/>
    <w:rsid w:val="00ED782E"/>
    <w:rsid w:val="00EE2847"/>
    <w:rsid w:val="00EF0EFA"/>
    <w:rsid w:val="00EF2095"/>
    <w:rsid w:val="00F06866"/>
    <w:rsid w:val="00F1465E"/>
    <w:rsid w:val="00F15956"/>
    <w:rsid w:val="00F22F3C"/>
    <w:rsid w:val="00F24CFC"/>
    <w:rsid w:val="00F3170F"/>
    <w:rsid w:val="00F35031"/>
    <w:rsid w:val="00F35B2E"/>
    <w:rsid w:val="00F43973"/>
    <w:rsid w:val="00F47A76"/>
    <w:rsid w:val="00F47EAD"/>
    <w:rsid w:val="00F73688"/>
    <w:rsid w:val="00F81349"/>
    <w:rsid w:val="00F84D07"/>
    <w:rsid w:val="00F90B41"/>
    <w:rsid w:val="00F91EC0"/>
    <w:rsid w:val="00F92BDF"/>
    <w:rsid w:val="00F953B8"/>
    <w:rsid w:val="00F95546"/>
    <w:rsid w:val="00F976B0"/>
    <w:rsid w:val="00FA6DE7"/>
    <w:rsid w:val="00FB6992"/>
    <w:rsid w:val="00FC0A8E"/>
    <w:rsid w:val="00FC44BD"/>
    <w:rsid w:val="00FE0250"/>
    <w:rsid w:val="00FE2FA6"/>
    <w:rsid w:val="00FE3DF2"/>
    <w:rsid w:val="00FF1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2024-03-29T18:51:00Z</dcterms:created>
  <dcterms:modified xsi:type="dcterms:W3CDTF">2024-03-29T18:51:00Z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