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1A4F" w:rsidP="004E005D" w14:paraId="47BAFDCD" w14:textId="77777777">
      <w:pPr>
        <w:jc w:val="center"/>
      </w:pPr>
      <w:r>
        <w:t>Supporting Statement</w:t>
      </w:r>
    </w:p>
    <w:p w:rsidR="00CC46F4" w:rsidP="00CC46F4" w14:paraId="118ED09E" w14:textId="7CF0C16A">
      <w:pPr>
        <w:jc w:val="center"/>
        <w:rPr>
          <w:b/>
          <w:color w:val="000000"/>
          <w:szCs w:val="28"/>
        </w:rPr>
      </w:pPr>
      <w:r>
        <w:rPr>
          <w:b/>
          <w:color w:val="000000"/>
          <w:szCs w:val="28"/>
        </w:rPr>
        <w:t xml:space="preserve">American Customer Satisfaction Index </w:t>
      </w:r>
      <w:r w:rsidR="00820C1E">
        <w:rPr>
          <w:b/>
          <w:color w:val="000000"/>
          <w:szCs w:val="28"/>
        </w:rPr>
        <w:t xml:space="preserve">(ACSI) </w:t>
      </w:r>
      <w:r>
        <w:rPr>
          <w:b/>
          <w:color w:val="000000"/>
          <w:szCs w:val="28"/>
        </w:rPr>
        <w:t>Survey</w:t>
      </w:r>
    </w:p>
    <w:p w:rsidR="00E359D3" w:rsidP="004E005D" w14:paraId="2EE60AA7" w14:textId="77777777">
      <w:pPr>
        <w:jc w:val="center"/>
      </w:pPr>
    </w:p>
    <w:p w:rsidR="00E359D3" w:rsidP="004E005D" w14:paraId="4A33668F" w14:textId="77777777">
      <w:pPr>
        <w:jc w:val="center"/>
      </w:pPr>
      <w:r>
        <w:t>Internal Revenue Service</w:t>
      </w:r>
    </w:p>
    <w:p w:rsidR="00E359D3" w:rsidP="004E005D" w14:paraId="30F25723" w14:textId="77777777">
      <w:pPr>
        <w:jc w:val="center"/>
      </w:pPr>
      <w:r>
        <w:t>Statistics of Income Division</w:t>
      </w:r>
    </w:p>
    <w:p w:rsidR="00E359D3" w:rsidP="004E005D" w14:paraId="5C05B5BA" w14:textId="725045C5">
      <w:pPr>
        <w:jc w:val="center"/>
      </w:pPr>
      <w:r>
        <w:t xml:space="preserve">OMB </w:t>
      </w:r>
      <w:r w:rsidR="00197B3F">
        <w:t>Approval Request</w:t>
      </w:r>
      <w:r w:rsidR="006769BB">
        <w:t xml:space="preserve"> (1545-1432)</w:t>
      </w:r>
    </w:p>
    <w:p w:rsidR="00E359D3" w:rsidP="004E005D" w14:paraId="62197C81" w14:textId="77777777">
      <w:pPr>
        <w:jc w:val="center"/>
      </w:pPr>
      <w:r>
        <w:t>August</w:t>
      </w:r>
      <w:r w:rsidR="00715129">
        <w:t xml:space="preserve"> 202</w:t>
      </w:r>
      <w:r w:rsidR="002F29AD">
        <w:t>3</w:t>
      </w:r>
      <w:r w:rsidR="00715129">
        <w:t xml:space="preserve"> through </w:t>
      </w:r>
      <w:r>
        <w:t>August</w:t>
      </w:r>
      <w:r w:rsidR="00715129">
        <w:t xml:space="preserve"> 20</w:t>
      </w:r>
      <w:r w:rsidR="002F29AD">
        <w:t>26</w:t>
      </w:r>
    </w:p>
    <w:p w:rsidR="00E359D3" w14:paraId="06CA5C33" w14:textId="77777777"/>
    <w:p w:rsidR="00E359D3" w:rsidP="00414C62" w14:paraId="1C3FC342" w14:textId="77777777">
      <w:pPr>
        <w:numPr>
          <w:ilvl w:val="0"/>
          <w:numId w:val="1"/>
        </w:numPr>
      </w:pPr>
      <w:r>
        <w:t>Justification</w:t>
      </w:r>
    </w:p>
    <w:p w:rsidR="002F6C5F" w:rsidP="002F6C5F" w14:paraId="55326D54" w14:textId="77777777">
      <w:pPr>
        <w:ind w:left="360"/>
      </w:pPr>
    </w:p>
    <w:p w:rsidR="00E359D3" w:rsidP="00E359D3" w14:paraId="0A990BC2" w14:textId="77777777">
      <w:pPr>
        <w:numPr>
          <w:ilvl w:val="1"/>
          <w:numId w:val="1"/>
        </w:numPr>
      </w:pPr>
      <w:r>
        <w:t>Circumstances Necessitating Collection of Information</w:t>
      </w:r>
    </w:p>
    <w:p w:rsidR="00E359D3" w:rsidP="00E359D3" w14:paraId="2C64B598" w14:textId="77777777">
      <w:pPr>
        <w:ind w:left="1080"/>
      </w:pPr>
    </w:p>
    <w:p w:rsidR="00E359D3" w:rsidP="00E359D3" w14:paraId="2E9750D3" w14:textId="0C918D8E">
      <w:pPr>
        <w:ind w:left="1080"/>
      </w:pPr>
      <w:r>
        <w:t xml:space="preserve">We are requesting a three-year </w:t>
      </w:r>
      <w:r w:rsidR="00327856">
        <w:t>approval</w:t>
      </w:r>
      <w:r>
        <w:t xml:space="preserve"> to conduct </w:t>
      </w:r>
      <w:r w:rsidR="00A11E0F">
        <w:t xml:space="preserve">the </w:t>
      </w:r>
      <w:r w:rsidR="00327856">
        <w:t>American Customer Satisfaction Index (ACSI) Survey. This survey has previously been approved as OMB #1090-0007, at the request of the Federal Consulting Group</w:t>
      </w:r>
      <w:r w:rsidR="00061091">
        <w:t xml:space="preserve"> (FCG)</w:t>
      </w:r>
      <w:r w:rsidR="00327856">
        <w:t>, who</w:t>
      </w:r>
      <w:r w:rsidR="00061091">
        <w:t xml:space="preserve"> was responsible for</w:t>
      </w:r>
      <w:r w:rsidR="00327856">
        <w:t xml:space="preserve"> procur</w:t>
      </w:r>
      <w:r w:rsidR="00061091">
        <w:t>ing</w:t>
      </w:r>
      <w:r w:rsidR="00327856">
        <w:t xml:space="preserve"> OMB clearances for its federal customers’ ACSI surveys. OMB now require</w:t>
      </w:r>
      <w:r w:rsidR="00EC6153">
        <w:t>s</w:t>
      </w:r>
      <w:r w:rsidR="00327856">
        <w:t xml:space="preserve"> agencies to request their own OMB approvals</w:t>
      </w:r>
      <w:r w:rsidR="00061091">
        <w:t xml:space="preserve"> for ACSI</w:t>
      </w:r>
      <w:r w:rsidR="00327856">
        <w:t xml:space="preserve">. </w:t>
      </w:r>
      <w:r w:rsidR="00FD741F">
        <w:t>FCG’s OMB</w:t>
      </w:r>
      <w:r w:rsidR="00327856">
        <w:t xml:space="preserve"> clearance expire</w:t>
      </w:r>
      <w:r w:rsidR="00DD0B93">
        <w:t>d</w:t>
      </w:r>
      <w:r w:rsidR="00327856">
        <w:t xml:space="preserve"> September 30, 2022. We seek approval to </w:t>
      </w:r>
      <w:r>
        <w:t xml:space="preserve">allow us to continue </w:t>
      </w:r>
      <w:r w:rsidR="00007011">
        <w:t>using</w:t>
      </w:r>
      <w:r>
        <w:t xml:space="preserve"> </w:t>
      </w:r>
      <w:r w:rsidR="00327856">
        <w:t>this</w:t>
      </w:r>
      <w:r>
        <w:t xml:space="preserve"> data-driven approach to understand customer satisfaction at the Internal Revenue Service (IRS).</w:t>
      </w:r>
      <w:r w:rsidR="00D45306">
        <w:t xml:space="preserve"> </w:t>
      </w:r>
      <w:r>
        <w:t>Collecting, analyzing, and using customer opinion data is a vital component of IRS’s Balance</w:t>
      </w:r>
      <w:r w:rsidR="008C6DEC">
        <w:t>d</w:t>
      </w:r>
      <w:r>
        <w:t xml:space="preserve"> Measures Approach, as mandated by </w:t>
      </w:r>
      <w:r w:rsidR="001C5F32">
        <w:t xml:space="preserve">the </w:t>
      </w:r>
      <w:r>
        <w:t>Internal Revenue Service Reform and Restructuring Act of 1998 and Executive Order 12862.</w:t>
      </w:r>
    </w:p>
    <w:p w:rsidR="00E359D3" w:rsidP="00E359D3" w14:paraId="7E0488DD" w14:textId="77777777">
      <w:pPr>
        <w:ind w:left="1080"/>
      </w:pPr>
    </w:p>
    <w:p w:rsidR="00741ECE" w:rsidRPr="00E31FDD" w:rsidP="00BC2999" w14:paraId="0F037ACD" w14:textId="77777777">
      <w:pPr>
        <w:ind w:left="1080"/>
        <w:rPr>
          <w:color w:val="000000"/>
          <w:szCs w:val="28"/>
        </w:rPr>
      </w:pPr>
      <w:r>
        <w:rPr>
          <w:color w:val="000000"/>
          <w:szCs w:val="28"/>
        </w:rPr>
        <w:t>IRS has participated</w:t>
      </w:r>
      <w:r w:rsidR="00E42BB9">
        <w:rPr>
          <w:color w:val="000000"/>
          <w:szCs w:val="28"/>
        </w:rPr>
        <w:t xml:space="preserve"> </w:t>
      </w:r>
      <w:r>
        <w:rPr>
          <w:color w:val="000000"/>
          <w:szCs w:val="28"/>
        </w:rPr>
        <w:t>in ACSI since 1994</w:t>
      </w:r>
      <w:r w:rsidR="00E42BB9">
        <w:rPr>
          <w:color w:val="000000"/>
          <w:szCs w:val="28"/>
        </w:rPr>
        <w:t>, along with other government agencies</w:t>
      </w:r>
      <w:r>
        <w:rPr>
          <w:color w:val="000000"/>
          <w:szCs w:val="28"/>
        </w:rPr>
        <w:t xml:space="preserve">. </w:t>
      </w:r>
      <w:r w:rsidRPr="004940B7" w:rsidR="001C5F32">
        <w:rPr>
          <w:color w:val="000000"/>
        </w:rPr>
        <w:t>The IRS’ office of Research</w:t>
      </w:r>
      <w:r w:rsidR="001C5F32">
        <w:rPr>
          <w:color w:val="000000"/>
        </w:rPr>
        <w:t>,</w:t>
      </w:r>
      <w:r w:rsidRPr="004940B7" w:rsidR="001C5F32">
        <w:rPr>
          <w:color w:val="000000"/>
        </w:rPr>
        <w:t xml:space="preserve"> Applied Analytics &amp; Statistics (RAAS) sponsors this annual survey</w:t>
      </w:r>
      <w:r w:rsidR="00030189">
        <w:rPr>
          <w:color w:val="000000"/>
        </w:rPr>
        <w:t xml:space="preserve">, </w:t>
      </w:r>
      <w:r w:rsidR="001C5F32">
        <w:rPr>
          <w:color w:val="000000"/>
        </w:rPr>
        <w:t>which</w:t>
      </w:r>
      <w:r w:rsidR="003F69E6">
        <w:rPr>
          <w:color w:val="000000"/>
          <w:szCs w:val="28"/>
        </w:rPr>
        <w:t xml:space="preserve"> is </w:t>
      </w:r>
      <w:r w:rsidR="00030189">
        <w:rPr>
          <w:color w:val="000000"/>
          <w:szCs w:val="28"/>
        </w:rPr>
        <w:t xml:space="preserve">usually </w:t>
      </w:r>
      <w:r w:rsidR="003F69E6">
        <w:rPr>
          <w:color w:val="000000"/>
          <w:szCs w:val="28"/>
        </w:rPr>
        <w:t>conducted in August and September of each year.</w:t>
      </w:r>
      <w:r w:rsidRPr="00E31FDD">
        <w:rPr>
          <w:color w:val="000000"/>
          <w:szCs w:val="28"/>
        </w:rPr>
        <w:t xml:space="preserve"> The primary objective of the survey is </w:t>
      </w:r>
      <w:r>
        <w:rPr>
          <w:color w:val="000000"/>
          <w:szCs w:val="28"/>
        </w:rPr>
        <w:t xml:space="preserve">to </w:t>
      </w:r>
      <w:r w:rsidRPr="00E31FDD">
        <w:rPr>
          <w:color w:val="000000"/>
          <w:szCs w:val="28"/>
        </w:rPr>
        <w:t xml:space="preserve">capture updated time series data on taxpayers’ </w:t>
      </w:r>
      <w:r w:rsidR="00030189">
        <w:rPr>
          <w:color w:val="000000"/>
          <w:szCs w:val="28"/>
        </w:rPr>
        <w:t>customer satisfaction related to the overall tax filing process</w:t>
      </w:r>
      <w:r>
        <w:rPr>
          <w:color w:val="000000"/>
          <w:szCs w:val="28"/>
        </w:rPr>
        <w:t>,</w:t>
      </w:r>
      <w:r w:rsidRPr="00E31FDD">
        <w:rPr>
          <w:color w:val="000000"/>
          <w:szCs w:val="28"/>
        </w:rPr>
        <w:t xml:space="preserve"> which can be compared to findings from previous surveys, providing insights into any changes in taxpayer views over time, which will provide greater insight into </w:t>
      </w:r>
      <w:r w:rsidR="003F69E6">
        <w:rPr>
          <w:color w:val="000000"/>
          <w:szCs w:val="28"/>
        </w:rPr>
        <w:t>these issues, which</w:t>
      </w:r>
      <w:r w:rsidRPr="00E31FDD">
        <w:rPr>
          <w:color w:val="000000"/>
          <w:szCs w:val="28"/>
        </w:rPr>
        <w:t xml:space="preserve"> are of strategic importance to tax administration.  </w:t>
      </w:r>
      <w:r w:rsidR="00E42BB9">
        <w:rPr>
          <w:color w:val="000000"/>
          <w:szCs w:val="28"/>
        </w:rPr>
        <w:t xml:space="preserve">The current </w:t>
      </w:r>
      <w:r w:rsidR="006671DB">
        <w:rPr>
          <w:color w:val="000000"/>
          <w:szCs w:val="28"/>
        </w:rPr>
        <w:t xml:space="preserve">IRS </w:t>
      </w:r>
      <w:r w:rsidR="00E42BB9">
        <w:rPr>
          <w:color w:val="000000"/>
          <w:szCs w:val="28"/>
        </w:rPr>
        <w:t>ACSI survey segments are Individual Paper Tax Filers, Individual Electronic Tax Filers, Small Corporate Tax Filers, and Large Corporate Tax Filers.</w:t>
      </w:r>
    </w:p>
    <w:p w:rsidR="00741ECE" w:rsidRPr="00E31FDD" w:rsidP="00BC2999" w14:paraId="138ACF56" w14:textId="77777777">
      <w:pPr>
        <w:ind w:left="1080"/>
        <w:rPr>
          <w:color w:val="000000"/>
          <w:szCs w:val="28"/>
        </w:rPr>
      </w:pPr>
    </w:p>
    <w:p w:rsidR="00741ECE" w:rsidP="00BC2999" w14:paraId="4F40C6F2" w14:textId="1657EDB9">
      <w:pPr>
        <w:ind w:left="1080"/>
        <w:rPr>
          <w:color w:val="000000"/>
          <w:szCs w:val="28"/>
        </w:rPr>
      </w:pPr>
      <w:r w:rsidRPr="00E31FDD">
        <w:rPr>
          <w:color w:val="000000"/>
          <w:szCs w:val="28"/>
        </w:rPr>
        <w:t xml:space="preserve">The results of </w:t>
      </w:r>
      <w:r w:rsidR="0080344C">
        <w:rPr>
          <w:color w:val="000000"/>
          <w:szCs w:val="28"/>
        </w:rPr>
        <w:t>ACSI</w:t>
      </w:r>
      <w:r w:rsidRPr="00E31FDD">
        <w:rPr>
          <w:color w:val="000000"/>
          <w:szCs w:val="28"/>
        </w:rPr>
        <w:t xml:space="preserve"> are provided up the IRS chain of command to the Commissioner</w:t>
      </w:r>
      <w:r w:rsidR="005E3DF5">
        <w:rPr>
          <w:color w:val="000000"/>
          <w:szCs w:val="28"/>
        </w:rPr>
        <w:t>. The ACSI vendor used to publish</w:t>
      </w:r>
      <w:r w:rsidRPr="00E31FDD">
        <w:rPr>
          <w:color w:val="000000"/>
          <w:szCs w:val="28"/>
        </w:rPr>
        <w:t xml:space="preserve"> </w:t>
      </w:r>
      <w:r w:rsidR="0080344C">
        <w:rPr>
          <w:color w:val="000000"/>
          <w:szCs w:val="28"/>
        </w:rPr>
        <w:t>IRS’ four customer satisfaction index scores</w:t>
      </w:r>
      <w:r w:rsidRPr="00E31FDD">
        <w:rPr>
          <w:color w:val="000000"/>
          <w:szCs w:val="28"/>
        </w:rPr>
        <w:t xml:space="preserve"> </w:t>
      </w:r>
      <w:r w:rsidR="0080344C">
        <w:rPr>
          <w:color w:val="000000"/>
          <w:szCs w:val="28"/>
        </w:rPr>
        <w:t xml:space="preserve">on the ACSI website (www.theACSI.org) as part of the annual </w:t>
      </w:r>
      <w:r w:rsidR="000C1FD8">
        <w:rPr>
          <w:color w:val="000000"/>
          <w:szCs w:val="28"/>
        </w:rPr>
        <w:t>government wide</w:t>
      </w:r>
      <w:r w:rsidR="0080344C">
        <w:rPr>
          <w:color w:val="000000"/>
          <w:szCs w:val="28"/>
        </w:rPr>
        <w:t xml:space="preserve"> ACSI results</w:t>
      </w:r>
      <w:r w:rsidR="005E3DF5">
        <w:rPr>
          <w:color w:val="000000"/>
          <w:szCs w:val="28"/>
        </w:rPr>
        <w:t xml:space="preserve"> release, but in 2023, they chose to include </w:t>
      </w:r>
      <w:r w:rsidR="005F458B">
        <w:rPr>
          <w:color w:val="000000"/>
          <w:szCs w:val="28"/>
        </w:rPr>
        <w:t>only federal government departmental s</w:t>
      </w:r>
      <w:r w:rsidR="005E3DF5">
        <w:rPr>
          <w:color w:val="000000"/>
          <w:szCs w:val="28"/>
        </w:rPr>
        <w:t>cores</w:t>
      </w:r>
      <w:r w:rsidRPr="00E31FDD">
        <w:rPr>
          <w:color w:val="000000"/>
          <w:szCs w:val="28"/>
        </w:rPr>
        <w:t xml:space="preserve">.  </w:t>
      </w:r>
    </w:p>
    <w:p w:rsidR="00741ECE" w:rsidP="00E359D3" w14:paraId="031D0E4E" w14:textId="77777777">
      <w:pPr>
        <w:ind w:left="1080"/>
        <w:rPr>
          <w:color w:val="000000"/>
          <w:szCs w:val="28"/>
        </w:rPr>
      </w:pPr>
    </w:p>
    <w:p w:rsidR="00C43D7E" w:rsidP="00C43D7E" w14:paraId="0CBA7864" w14:textId="77777777">
      <w:pPr>
        <w:numPr>
          <w:ilvl w:val="1"/>
          <w:numId w:val="1"/>
        </w:numPr>
        <w:tabs>
          <w:tab w:val="left" w:pos="1080"/>
        </w:tabs>
        <w:rPr>
          <w:color w:val="000000"/>
        </w:rPr>
      </w:pPr>
      <w:r>
        <w:rPr>
          <w:color w:val="000000"/>
        </w:rPr>
        <w:t>Use of the Data</w:t>
      </w:r>
    </w:p>
    <w:p w:rsidR="00C43D7E" w:rsidRPr="00BF6DED" w:rsidP="00C43D7E" w14:paraId="68A954B1" w14:textId="77777777">
      <w:pPr>
        <w:tabs>
          <w:tab w:val="left" w:pos="1080"/>
        </w:tabs>
        <w:ind w:left="1080"/>
        <w:rPr>
          <w:color w:val="FF0000"/>
        </w:rPr>
      </w:pPr>
    </w:p>
    <w:p w:rsidR="00165039" w:rsidP="00BC2999" w14:paraId="4322FC42" w14:textId="77777777">
      <w:pPr>
        <w:ind w:left="1080"/>
        <w:rPr>
          <w:color w:val="000000"/>
        </w:rPr>
      </w:pPr>
      <w:r>
        <w:rPr>
          <w:snapToGrid w:val="0"/>
          <w:color w:val="000000"/>
        </w:rPr>
        <w:t xml:space="preserve">The findings from this survey will continue to </w:t>
      </w:r>
      <w:r>
        <w:rPr>
          <w:color w:val="000000"/>
        </w:rPr>
        <w:t xml:space="preserve">provide RAAS and IRS with a </w:t>
      </w:r>
      <w:r w:rsidR="002B5F14">
        <w:rPr>
          <w:color w:val="000000"/>
        </w:rPr>
        <w:t>useful</w:t>
      </w:r>
      <w:r>
        <w:rPr>
          <w:color w:val="000000"/>
        </w:rPr>
        <w:t xml:space="preserve"> taxpayer context </w:t>
      </w:r>
      <w:r w:rsidR="008212CA">
        <w:rPr>
          <w:color w:val="000000"/>
        </w:rPr>
        <w:t>to</w:t>
      </w:r>
      <w:r>
        <w:rPr>
          <w:color w:val="000000"/>
        </w:rPr>
        <w:t xml:space="preserve"> </w:t>
      </w:r>
      <w:r w:rsidR="00A20415">
        <w:rPr>
          <w:color w:val="000000"/>
        </w:rPr>
        <w:t>inform</w:t>
      </w:r>
      <w:r>
        <w:rPr>
          <w:color w:val="000000"/>
        </w:rPr>
        <w:t xml:space="preserve"> </w:t>
      </w:r>
      <w:r w:rsidR="005E3DF5">
        <w:rPr>
          <w:color w:val="000000"/>
        </w:rPr>
        <w:t>efforts</w:t>
      </w:r>
      <w:r w:rsidR="008212CA">
        <w:rPr>
          <w:color w:val="000000"/>
        </w:rPr>
        <w:t xml:space="preserve"> to improve </w:t>
      </w:r>
      <w:r>
        <w:rPr>
          <w:color w:val="000000"/>
        </w:rPr>
        <w:t>the Service</w:t>
      </w:r>
      <w:r w:rsidR="00A20415">
        <w:rPr>
          <w:color w:val="000000"/>
        </w:rPr>
        <w:t xml:space="preserve">’s </w:t>
      </w:r>
      <w:r>
        <w:rPr>
          <w:color w:val="000000"/>
        </w:rPr>
        <w:t>performance</w:t>
      </w:r>
      <w:r w:rsidR="00D569B9">
        <w:rPr>
          <w:color w:val="000000"/>
        </w:rPr>
        <w:t xml:space="preserve"> within</w:t>
      </w:r>
      <w:r>
        <w:rPr>
          <w:color w:val="000000"/>
        </w:rPr>
        <w:t xml:space="preserve"> </w:t>
      </w:r>
      <w:r w:rsidR="0080344C">
        <w:rPr>
          <w:color w:val="000000"/>
        </w:rPr>
        <w:t>the</w:t>
      </w:r>
      <w:r>
        <w:rPr>
          <w:color w:val="000000"/>
        </w:rPr>
        <w:t xml:space="preserve"> IRS</w:t>
      </w:r>
      <w:r w:rsidR="0080344C">
        <w:rPr>
          <w:color w:val="000000"/>
        </w:rPr>
        <w:t>’s</w:t>
      </w:r>
      <w:r>
        <w:rPr>
          <w:color w:val="000000"/>
        </w:rPr>
        <w:t xml:space="preserve"> </w:t>
      </w:r>
      <w:r w:rsidR="002B5F14">
        <w:rPr>
          <w:color w:val="000000"/>
        </w:rPr>
        <w:t xml:space="preserve">overall tax filing </w:t>
      </w:r>
      <w:r w:rsidR="0080344C">
        <w:rPr>
          <w:color w:val="000000"/>
        </w:rPr>
        <w:t>process</w:t>
      </w:r>
      <w:r w:rsidR="008212CA">
        <w:rPr>
          <w:color w:val="000000"/>
        </w:rPr>
        <w:t>, a critical element of the v</w:t>
      </w:r>
      <w:r>
        <w:rPr>
          <w:color w:val="000000"/>
        </w:rPr>
        <w:t>oluntary compliance</w:t>
      </w:r>
      <w:r w:rsidR="00A20415">
        <w:rPr>
          <w:color w:val="000000"/>
        </w:rPr>
        <w:t xml:space="preserve"> </w:t>
      </w:r>
      <w:r w:rsidR="008212CA">
        <w:rPr>
          <w:color w:val="000000"/>
        </w:rPr>
        <w:t xml:space="preserve">system that touches most U.S. adults, </w:t>
      </w:r>
      <w:r>
        <w:rPr>
          <w:color w:val="000000"/>
        </w:rPr>
        <w:t xml:space="preserve">and </w:t>
      </w:r>
      <w:r w:rsidR="008212CA">
        <w:rPr>
          <w:color w:val="000000"/>
        </w:rPr>
        <w:t xml:space="preserve">in support of </w:t>
      </w:r>
      <w:r>
        <w:rPr>
          <w:color w:val="000000"/>
        </w:rPr>
        <w:t>the Service’s strategic performance</w:t>
      </w:r>
      <w:r w:rsidR="00B93626">
        <w:rPr>
          <w:color w:val="000000"/>
        </w:rPr>
        <w:t>. A</w:t>
      </w:r>
      <w:r w:rsidR="006F21D9">
        <w:rPr>
          <w:color w:val="000000"/>
        </w:rPr>
        <w:t xml:space="preserve"> m</w:t>
      </w:r>
      <w:r w:rsidR="005E3DF5">
        <w:rPr>
          <w:color w:val="000000"/>
        </w:rPr>
        <w:t xml:space="preserve">easure based on these results serves as an IRS budget-level measure that’s part of </w:t>
      </w:r>
      <w:r w:rsidR="005E3DF5">
        <w:rPr>
          <w:color w:val="000000"/>
        </w:rPr>
        <w:t>the Congressional Justification, an IRS</w:t>
      </w:r>
      <w:r w:rsidR="006F21D9">
        <w:rPr>
          <w:color w:val="000000"/>
        </w:rPr>
        <w:t xml:space="preserve"> I</w:t>
      </w:r>
      <w:r w:rsidR="005E3DF5">
        <w:rPr>
          <w:color w:val="000000"/>
        </w:rPr>
        <w:t>ntegrated Modernization Business Plan measure, and an FY22-26 Strategic Plan measure.</w:t>
      </w:r>
      <w:r w:rsidR="006F21D9">
        <w:rPr>
          <w:color w:val="000000"/>
        </w:rPr>
        <w:t xml:space="preserve"> </w:t>
      </w:r>
      <w:r>
        <w:rPr>
          <w:color w:val="000000"/>
        </w:rPr>
        <w:t xml:space="preserve">The data tracked include measures on </w:t>
      </w:r>
      <w:r w:rsidR="008212CA">
        <w:rPr>
          <w:color w:val="000000"/>
        </w:rPr>
        <w:t xml:space="preserve">satisfaction with the overall tax filing process and elements within </w:t>
      </w:r>
      <w:r w:rsidR="00C26A26">
        <w:rPr>
          <w:color w:val="000000"/>
        </w:rPr>
        <w:t>this</w:t>
      </w:r>
      <w:r w:rsidR="008212CA">
        <w:rPr>
          <w:color w:val="000000"/>
        </w:rPr>
        <w:t xml:space="preserve"> process that impact </w:t>
      </w:r>
      <w:r w:rsidR="00B93626">
        <w:rPr>
          <w:color w:val="000000"/>
        </w:rPr>
        <w:t xml:space="preserve">or are affected by </w:t>
      </w:r>
      <w:r w:rsidR="008212CA">
        <w:rPr>
          <w:color w:val="000000"/>
        </w:rPr>
        <w:t>customer satisfaction</w:t>
      </w:r>
      <w:r>
        <w:rPr>
          <w:color w:val="000000"/>
        </w:rPr>
        <w:t xml:space="preserve">.  The results of this survey </w:t>
      </w:r>
      <w:r w:rsidR="00A20415">
        <w:rPr>
          <w:color w:val="000000"/>
        </w:rPr>
        <w:t>allow</w:t>
      </w:r>
      <w:r>
        <w:rPr>
          <w:color w:val="000000"/>
        </w:rPr>
        <w:t xml:space="preserve"> the IRS to </w:t>
      </w:r>
      <w:r w:rsidR="00A20415">
        <w:rPr>
          <w:color w:val="000000"/>
        </w:rPr>
        <w:t>understand</w:t>
      </w:r>
      <w:r>
        <w:rPr>
          <w:color w:val="000000"/>
        </w:rPr>
        <w:t xml:space="preserve"> the impact of </w:t>
      </w:r>
      <w:r w:rsidR="008212CA">
        <w:rPr>
          <w:color w:val="000000"/>
        </w:rPr>
        <w:t>the tax filing process</w:t>
      </w:r>
      <w:r>
        <w:rPr>
          <w:color w:val="000000"/>
        </w:rPr>
        <w:t xml:space="preserve"> on public perception</w:t>
      </w:r>
      <w:r w:rsidR="00A20415">
        <w:rPr>
          <w:color w:val="000000"/>
        </w:rPr>
        <w:t xml:space="preserve"> and identify</w:t>
      </w:r>
      <w:r>
        <w:rPr>
          <w:color w:val="000000"/>
        </w:rPr>
        <w:t xml:space="preserve"> </w:t>
      </w:r>
      <w:r w:rsidR="008212CA">
        <w:rPr>
          <w:color w:val="000000"/>
        </w:rPr>
        <w:t>which elements of the filing process impact customer satisfaction</w:t>
      </w:r>
      <w:r w:rsidR="00C26A26">
        <w:rPr>
          <w:color w:val="000000"/>
        </w:rPr>
        <w:t xml:space="preserve"> and to what degree</w:t>
      </w:r>
      <w:r>
        <w:rPr>
          <w:color w:val="000000"/>
        </w:rPr>
        <w:t xml:space="preserve">.  </w:t>
      </w:r>
    </w:p>
    <w:p w:rsidR="00165039" w:rsidRPr="00BF6DED" w:rsidP="00C43D7E" w14:paraId="30344519" w14:textId="77777777">
      <w:pPr>
        <w:tabs>
          <w:tab w:val="left" w:pos="1080"/>
        </w:tabs>
        <w:ind w:left="1080"/>
        <w:rPr>
          <w:color w:val="FF0000"/>
        </w:rPr>
      </w:pPr>
    </w:p>
    <w:p w:rsidR="00C43D7E" w:rsidP="00C43D7E" w14:paraId="604B90BE" w14:textId="77777777">
      <w:pPr>
        <w:numPr>
          <w:ilvl w:val="1"/>
          <w:numId w:val="1"/>
        </w:numPr>
        <w:tabs>
          <w:tab w:val="left" w:pos="1080"/>
        </w:tabs>
        <w:rPr>
          <w:color w:val="000000"/>
        </w:rPr>
      </w:pPr>
      <w:r>
        <w:rPr>
          <w:color w:val="000000"/>
        </w:rPr>
        <w:t>Use of Improved Information Technology to Reduce Burden</w:t>
      </w:r>
    </w:p>
    <w:p w:rsidR="00C43D7E" w:rsidP="00C43D7E" w14:paraId="4DFCBFDC" w14:textId="77777777">
      <w:pPr>
        <w:tabs>
          <w:tab w:val="left" w:pos="1080"/>
        </w:tabs>
        <w:ind w:left="1080"/>
        <w:rPr>
          <w:color w:val="000000"/>
        </w:rPr>
      </w:pPr>
    </w:p>
    <w:p w:rsidR="00F14E20" w:rsidP="00BC2999" w14:paraId="745937E8" w14:textId="77777777">
      <w:pPr>
        <w:pStyle w:val="BodyTextFirstIndent"/>
        <w:spacing w:after="0"/>
        <w:ind w:left="1080" w:firstLine="0"/>
        <w:rPr>
          <w:color w:val="000000"/>
        </w:rPr>
      </w:pPr>
      <w:r>
        <w:rPr>
          <w:color w:val="000000"/>
        </w:rPr>
        <w:t>The methodology employed will minimiz</w:t>
      </w:r>
      <w:r w:rsidR="000D7A92">
        <w:rPr>
          <w:color w:val="000000"/>
        </w:rPr>
        <w:t>e</w:t>
      </w:r>
      <w:r>
        <w:rPr>
          <w:color w:val="000000"/>
        </w:rPr>
        <w:t xml:space="preserve"> burden on the public</w:t>
      </w:r>
      <w:r w:rsidR="000D7A92">
        <w:rPr>
          <w:color w:val="000000"/>
        </w:rPr>
        <w:t>, to the extent possible</w:t>
      </w:r>
      <w:r w:rsidR="00BC56FC">
        <w:rPr>
          <w:color w:val="000000"/>
        </w:rPr>
        <w:t>,</w:t>
      </w:r>
      <w:r w:rsidR="000D7A92">
        <w:rPr>
          <w:color w:val="000000"/>
        </w:rPr>
        <w:t xml:space="preserve"> and will consider the </w:t>
      </w:r>
      <w:r>
        <w:rPr>
          <w:color w:val="000000"/>
        </w:rPr>
        <w:t xml:space="preserve">length of the data collection instrument itself, along with the </w:t>
      </w:r>
      <w:r w:rsidR="006238A9">
        <w:rPr>
          <w:color w:val="000000"/>
        </w:rPr>
        <w:t xml:space="preserve">use </w:t>
      </w:r>
      <w:r>
        <w:rPr>
          <w:color w:val="000000"/>
        </w:rPr>
        <w:t xml:space="preserve">of the smallest sample size necessary to obtain valid and reliable information that is consistent with the </w:t>
      </w:r>
      <w:r w:rsidR="00E81C80">
        <w:rPr>
          <w:color w:val="000000"/>
        </w:rPr>
        <w:t>objectives</w:t>
      </w:r>
      <w:r>
        <w:rPr>
          <w:color w:val="000000"/>
        </w:rPr>
        <w:t xml:space="preserve"> of the data collection effort. Instead of standard mail surveys</w:t>
      </w:r>
      <w:r w:rsidR="00D27A2C">
        <w:rPr>
          <w:color w:val="000000"/>
        </w:rPr>
        <w:t xml:space="preserve">, </w:t>
      </w:r>
      <w:r>
        <w:rPr>
          <w:color w:val="000000"/>
        </w:rPr>
        <w:t>face-to-face interviews,</w:t>
      </w:r>
      <w:r w:rsidR="00D27A2C">
        <w:rPr>
          <w:color w:val="000000"/>
        </w:rPr>
        <w:t xml:space="preserve"> or phone interviews, </w:t>
      </w:r>
      <w:r w:rsidR="006238A9">
        <w:rPr>
          <w:color w:val="000000"/>
        </w:rPr>
        <w:t xml:space="preserve">the </w:t>
      </w:r>
      <w:r w:rsidR="00E81C80">
        <w:rPr>
          <w:color w:val="000000"/>
        </w:rPr>
        <w:t xml:space="preserve">data </w:t>
      </w:r>
      <w:r>
        <w:rPr>
          <w:color w:val="000000"/>
        </w:rPr>
        <w:t xml:space="preserve">collection effort will </w:t>
      </w:r>
      <w:r w:rsidR="006238A9">
        <w:rPr>
          <w:color w:val="000000"/>
        </w:rPr>
        <w:t xml:space="preserve">use online </w:t>
      </w:r>
      <w:r w:rsidR="00D27A2C">
        <w:rPr>
          <w:color w:val="000000"/>
        </w:rPr>
        <w:t>panel surveys for individuals and businesses</w:t>
      </w:r>
      <w:r>
        <w:rPr>
          <w:color w:val="000000"/>
        </w:rPr>
        <w:t>.</w:t>
      </w:r>
      <w:r w:rsidR="00A54AE2">
        <w:rPr>
          <w:color w:val="000000"/>
        </w:rPr>
        <w:t xml:space="preserve"> </w:t>
      </w:r>
      <w:r w:rsidR="00D27A2C">
        <w:rPr>
          <w:color w:val="000000"/>
        </w:rPr>
        <w:t xml:space="preserve">The ACSI survey will </w:t>
      </w:r>
      <w:r w:rsidR="00604EC5">
        <w:rPr>
          <w:color w:val="000000"/>
        </w:rPr>
        <w:t xml:space="preserve">continue to </w:t>
      </w:r>
      <w:r w:rsidR="00D27A2C">
        <w:rPr>
          <w:color w:val="000000"/>
        </w:rPr>
        <w:t>see</w:t>
      </w:r>
      <w:r w:rsidR="00604EC5">
        <w:rPr>
          <w:color w:val="000000"/>
        </w:rPr>
        <w:t>k</w:t>
      </w:r>
      <w:r w:rsidR="00D27A2C">
        <w:rPr>
          <w:color w:val="000000"/>
        </w:rPr>
        <w:t xml:space="preserve"> input from 2,000</w:t>
      </w:r>
      <w:r>
        <w:rPr>
          <w:color w:val="000000"/>
        </w:rPr>
        <w:t xml:space="preserve"> individual respondents</w:t>
      </w:r>
      <w:r w:rsidR="00D27A2C">
        <w:rPr>
          <w:color w:val="000000"/>
        </w:rPr>
        <w:t xml:space="preserve"> and 250 large corporations, and 250 small corporations, using less expensive and burdensome online technology</w:t>
      </w:r>
      <w:r w:rsidRPr="00604EC5" w:rsidR="00604EC5">
        <w:rPr>
          <w:color w:val="000000"/>
        </w:rPr>
        <w:t>, which we hope will improve response rates</w:t>
      </w:r>
      <w:r w:rsidR="00604EC5">
        <w:rPr>
          <w:color w:val="000000"/>
        </w:rPr>
        <w:t xml:space="preserve"> by</w:t>
      </w:r>
      <w:r w:rsidR="00150BBF">
        <w:rPr>
          <w:color w:val="000000"/>
        </w:rPr>
        <w:t xml:space="preserve"> provid</w:t>
      </w:r>
      <w:r w:rsidR="00604EC5">
        <w:rPr>
          <w:color w:val="000000"/>
        </w:rPr>
        <w:t>ing</w:t>
      </w:r>
      <w:r w:rsidR="00150BBF">
        <w:rPr>
          <w:color w:val="000000"/>
        </w:rPr>
        <w:t xml:space="preserve"> greater convenience to </w:t>
      </w:r>
      <w:r w:rsidRPr="00604EC5" w:rsidR="00604EC5">
        <w:rPr>
          <w:color w:val="000000"/>
        </w:rPr>
        <w:t>and reduc</w:t>
      </w:r>
      <w:r w:rsidR="00604EC5">
        <w:rPr>
          <w:color w:val="000000"/>
        </w:rPr>
        <w:t>ing</w:t>
      </w:r>
      <w:r w:rsidRPr="00604EC5" w:rsidR="00604EC5">
        <w:rPr>
          <w:color w:val="000000"/>
        </w:rPr>
        <w:t xml:space="preserve"> completion times for respondents</w:t>
      </w:r>
      <w:r w:rsidR="00D27A2C">
        <w:rPr>
          <w:color w:val="000000"/>
        </w:rPr>
        <w:t xml:space="preserve">. </w:t>
      </w:r>
    </w:p>
    <w:p w:rsidR="00F14E20" w:rsidP="00F14E20" w14:paraId="1DC2A915" w14:textId="77777777">
      <w:pPr>
        <w:pStyle w:val="BodyTextFirstIndent"/>
        <w:spacing w:after="0"/>
        <w:ind w:left="360" w:firstLine="0"/>
        <w:rPr>
          <w:color w:val="000000"/>
        </w:rPr>
      </w:pPr>
    </w:p>
    <w:p w:rsidR="00F14E20" w:rsidP="00C062FB" w14:paraId="4FDD5063" w14:textId="77777777">
      <w:pPr>
        <w:pStyle w:val="BodyTextFirstIndent"/>
        <w:spacing w:after="0"/>
        <w:ind w:left="1080" w:firstLine="0"/>
        <w:rPr>
          <w:color w:val="000000"/>
        </w:rPr>
      </w:pPr>
      <w:r>
        <w:rPr>
          <w:color w:val="000000"/>
        </w:rPr>
        <w:t xml:space="preserve">All online </w:t>
      </w:r>
      <w:r w:rsidR="00150BBF">
        <w:rPr>
          <w:color w:val="000000"/>
        </w:rPr>
        <w:t>surveys</w:t>
      </w:r>
      <w:r>
        <w:rPr>
          <w:color w:val="000000"/>
        </w:rPr>
        <w:t xml:space="preserve"> will be conducted using an online panel. In advance, and totally independent of this RAAS survey, </w:t>
      </w:r>
      <w:r w:rsidR="00150BBF">
        <w:rPr>
          <w:color w:val="000000"/>
        </w:rPr>
        <w:t xml:space="preserve">individual and business </w:t>
      </w:r>
      <w:r>
        <w:rPr>
          <w:color w:val="000000"/>
        </w:rPr>
        <w:t xml:space="preserve">participants have been recruited by the vendor’s sub-contractor and have voluntarily completed its online panel registration surveys and provided their </w:t>
      </w:r>
      <w:r w:rsidR="00150BBF">
        <w:rPr>
          <w:color w:val="000000"/>
        </w:rPr>
        <w:t>contact information</w:t>
      </w:r>
      <w:r>
        <w:rPr>
          <w:color w:val="000000"/>
        </w:rPr>
        <w:t xml:space="preserve"> to the contractor. </w:t>
      </w:r>
      <w:r w:rsidR="00150BBF">
        <w:rPr>
          <w:color w:val="000000"/>
        </w:rPr>
        <w:t>A</w:t>
      </w:r>
      <w:r>
        <w:rPr>
          <w:color w:val="000000"/>
        </w:rPr>
        <w:t xml:space="preserve"> subset of these registrants will be </w:t>
      </w:r>
      <w:r w:rsidR="00150BBF">
        <w:rPr>
          <w:color w:val="000000"/>
        </w:rPr>
        <w:t>invited</w:t>
      </w:r>
      <w:r>
        <w:rPr>
          <w:color w:val="000000"/>
        </w:rPr>
        <w:t xml:space="preserve"> by the sub-contractor to participate in RAAS’ survey. That subset of potential online survey participants will be selected via a probability-based sampling methodology designed to provide a statistically representative sample of U.S. adults</w:t>
      </w:r>
      <w:r w:rsidR="00150BBF">
        <w:rPr>
          <w:color w:val="000000"/>
        </w:rPr>
        <w:t xml:space="preserve">, with some targeting of hard-to-reach populations, such as those who speak Spanish or are in the military, live in rural areas and have low-incomes, and veterans. </w:t>
      </w:r>
    </w:p>
    <w:p w:rsidR="00CC0D50" w:rsidRPr="00BF6DED" w:rsidP="00F14E20" w14:paraId="7861C3EC" w14:textId="77777777">
      <w:pPr>
        <w:tabs>
          <w:tab w:val="left" w:pos="1080"/>
          <w:tab w:val="left" w:pos="1515"/>
        </w:tabs>
        <w:ind w:left="1080"/>
        <w:rPr>
          <w:color w:val="FF0000"/>
        </w:rPr>
      </w:pPr>
    </w:p>
    <w:p w:rsidR="009B7F12" w:rsidP="009B7F12" w14:paraId="59A62C65" w14:textId="77777777">
      <w:pPr>
        <w:numPr>
          <w:ilvl w:val="1"/>
          <w:numId w:val="1"/>
        </w:numPr>
        <w:tabs>
          <w:tab w:val="left" w:pos="1080"/>
        </w:tabs>
        <w:rPr>
          <w:color w:val="000000"/>
        </w:rPr>
      </w:pPr>
      <w:r>
        <w:rPr>
          <w:color w:val="000000"/>
        </w:rPr>
        <w:t>Efforts to Identify Duplication</w:t>
      </w:r>
    </w:p>
    <w:p w:rsidR="009B7F12" w:rsidP="009B7F12" w14:paraId="5701FBAD" w14:textId="77777777">
      <w:pPr>
        <w:tabs>
          <w:tab w:val="left" w:pos="1080"/>
        </w:tabs>
        <w:rPr>
          <w:color w:val="000000"/>
        </w:rPr>
      </w:pPr>
    </w:p>
    <w:p w:rsidR="00BD59C6" w:rsidP="00C062FB" w14:paraId="022105A7" w14:textId="77777777">
      <w:pPr>
        <w:pStyle w:val="Heading1"/>
        <w:ind w:left="1080"/>
        <w:rPr>
          <w:b w:val="0"/>
          <w:color w:val="000000"/>
        </w:rPr>
      </w:pPr>
      <w:r>
        <w:rPr>
          <w:b w:val="0"/>
          <w:color w:val="000000"/>
        </w:rPr>
        <w:t xml:space="preserve">In conducting this research, RAAS will coordinate closely with the rest of IRS to ensure that </w:t>
      </w:r>
      <w:r w:rsidR="00382182">
        <w:rPr>
          <w:b w:val="0"/>
          <w:color w:val="000000"/>
        </w:rPr>
        <w:t>CTAS</w:t>
      </w:r>
      <w:r>
        <w:rPr>
          <w:b w:val="0"/>
          <w:color w:val="000000"/>
        </w:rPr>
        <w:t xml:space="preserve"> will provide maximum benefit to sound tax administration. RAAS will assist in survey design. Additionally, information from past and ongoing RAAS surveys, IRS research, and other research by non-profit organizations will be considered. No similar data are gathered or maintained by the Agency or are available from other sources known to RAAS.</w:t>
      </w:r>
    </w:p>
    <w:p w:rsidR="009B7F12" w:rsidRPr="00BF6DED" w:rsidP="009B7F12" w14:paraId="47E27710" w14:textId="77777777">
      <w:pPr>
        <w:tabs>
          <w:tab w:val="left" w:pos="1080"/>
        </w:tabs>
        <w:ind w:left="1080"/>
        <w:rPr>
          <w:color w:val="FF0000"/>
        </w:rPr>
      </w:pPr>
    </w:p>
    <w:p w:rsidR="009B7F12" w:rsidP="009B7F12" w14:paraId="55FE7EC6" w14:textId="77777777">
      <w:pPr>
        <w:numPr>
          <w:ilvl w:val="1"/>
          <w:numId w:val="1"/>
        </w:numPr>
        <w:tabs>
          <w:tab w:val="left" w:pos="1080"/>
        </w:tabs>
        <w:rPr>
          <w:color w:val="000000"/>
        </w:rPr>
      </w:pPr>
      <w:r>
        <w:rPr>
          <w:color w:val="000000"/>
        </w:rPr>
        <w:t>Methods to Minimize Burden on Small Businesses or Other Small Entities</w:t>
      </w:r>
    </w:p>
    <w:p w:rsidR="009B7F12" w:rsidP="009B7F12" w14:paraId="1F525A3B" w14:textId="77777777">
      <w:pPr>
        <w:tabs>
          <w:tab w:val="left" w:pos="1080"/>
        </w:tabs>
        <w:ind w:left="1080"/>
        <w:rPr>
          <w:color w:val="000000"/>
        </w:rPr>
      </w:pPr>
    </w:p>
    <w:p w:rsidR="009B7F12" w:rsidP="009B7F12" w14:paraId="355C5D48" w14:textId="4AF5C487">
      <w:pPr>
        <w:tabs>
          <w:tab w:val="left" w:pos="1080"/>
        </w:tabs>
        <w:ind w:left="1080"/>
        <w:rPr>
          <w:color w:val="000000"/>
        </w:rPr>
      </w:pPr>
      <w:r>
        <w:rPr>
          <w:color w:val="000000"/>
        </w:rPr>
        <w:t>This survey do</w:t>
      </w:r>
      <w:r w:rsidR="00C1435A">
        <w:rPr>
          <w:color w:val="000000"/>
        </w:rPr>
        <w:t>es</w:t>
      </w:r>
      <w:r>
        <w:rPr>
          <w:color w:val="000000"/>
        </w:rPr>
        <w:t xml:space="preserve"> target </w:t>
      </w:r>
      <w:r w:rsidR="00C1435A">
        <w:rPr>
          <w:color w:val="000000"/>
        </w:rPr>
        <w:t xml:space="preserve">250 </w:t>
      </w:r>
      <w:r>
        <w:rPr>
          <w:color w:val="000000"/>
        </w:rPr>
        <w:t>small business</w:t>
      </w:r>
      <w:r w:rsidR="00C1435A">
        <w:rPr>
          <w:color w:val="000000"/>
        </w:rPr>
        <w:t>es,</w:t>
      </w:r>
      <w:r>
        <w:rPr>
          <w:color w:val="000000"/>
        </w:rPr>
        <w:t xml:space="preserve"> </w:t>
      </w:r>
      <w:r w:rsidR="00C1435A">
        <w:rPr>
          <w:color w:val="000000"/>
        </w:rPr>
        <w:t>but all respondents will be ongoing panelists who have volunteered to participate in the vendor’s surveys</w:t>
      </w:r>
      <w:r>
        <w:rPr>
          <w:color w:val="000000"/>
        </w:rPr>
        <w:t xml:space="preserve">. </w:t>
      </w:r>
      <w:r w:rsidR="00C1435A">
        <w:rPr>
          <w:color w:val="000000"/>
        </w:rPr>
        <w:t xml:space="preserve">The convenience and reduced time of self-directed online surveys will minimize burden to these small businesses. </w:t>
      </w:r>
      <w:r>
        <w:rPr>
          <w:color w:val="000000"/>
        </w:rPr>
        <w:t>A</w:t>
      </w:r>
      <w:r>
        <w:rPr>
          <w:color w:val="000000"/>
        </w:rPr>
        <w:t xml:space="preserve">ll </w:t>
      </w:r>
      <w:r w:rsidR="00E81C80">
        <w:rPr>
          <w:color w:val="000000"/>
        </w:rPr>
        <w:t>data collection efforts</w:t>
      </w:r>
      <w:r>
        <w:rPr>
          <w:color w:val="000000"/>
        </w:rPr>
        <w:t xml:space="preserve"> will be </w:t>
      </w:r>
      <w:r w:rsidR="00043708">
        <w:rPr>
          <w:color w:val="000000"/>
        </w:rPr>
        <w:t>voluntary,</w:t>
      </w:r>
      <w:r>
        <w:rPr>
          <w:color w:val="000000"/>
        </w:rPr>
        <w:t xml:space="preserve"> and no </w:t>
      </w:r>
      <w:r>
        <w:rPr>
          <w:color w:val="000000"/>
        </w:rPr>
        <w:t xml:space="preserve">respondents will be required to consult or access </w:t>
      </w:r>
      <w:r>
        <w:rPr>
          <w:color w:val="000000"/>
        </w:rPr>
        <w:t>taxpayer</w:t>
      </w:r>
      <w:r>
        <w:rPr>
          <w:color w:val="000000"/>
        </w:rPr>
        <w:t xml:space="preserve"> record</w:t>
      </w:r>
      <w:r w:rsidR="00FB3901">
        <w:rPr>
          <w:color w:val="000000"/>
        </w:rPr>
        <w:t>s</w:t>
      </w:r>
      <w:r>
        <w:rPr>
          <w:color w:val="000000"/>
        </w:rPr>
        <w:t xml:space="preserve"> for detailed </w:t>
      </w:r>
      <w:r w:rsidR="00CE4832">
        <w:rPr>
          <w:color w:val="000000"/>
        </w:rPr>
        <w:t>information</w:t>
      </w:r>
      <w:r>
        <w:rPr>
          <w:color w:val="000000"/>
        </w:rPr>
        <w:t>.</w:t>
      </w:r>
    </w:p>
    <w:p w:rsidR="009B7F12" w:rsidP="009B7F12" w14:paraId="33735073" w14:textId="77777777">
      <w:pPr>
        <w:tabs>
          <w:tab w:val="left" w:pos="1080"/>
        </w:tabs>
        <w:ind w:left="1080"/>
        <w:rPr>
          <w:color w:val="000000"/>
        </w:rPr>
      </w:pPr>
    </w:p>
    <w:p w:rsidR="009B7F12" w:rsidP="009B7F12" w14:paraId="69E21594" w14:textId="77777777">
      <w:pPr>
        <w:numPr>
          <w:ilvl w:val="1"/>
          <w:numId w:val="1"/>
        </w:numPr>
        <w:tabs>
          <w:tab w:val="left" w:pos="1080"/>
        </w:tabs>
        <w:rPr>
          <w:color w:val="000000"/>
        </w:rPr>
      </w:pPr>
      <w:r>
        <w:rPr>
          <w:color w:val="000000"/>
        </w:rPr>
        <w:t>Consequences of Less Frequent Collection of Federal Programs or Policy Activities</w:t>
      </w:r>
    </w:p>
    <w:p w:rsidR="009B7F12" w:rsidP="009B7F12" w14:paraId="2162CBC0" w14:textId="77777777">
      <w:pPr>
        <w:tabs>
          <w:tab w:val="left" w:pos="1080"/>
        </w:tabs>
        <w:ind w:left="1080"/>
        <w:rPr>
          <w:color w:val="000000"/>
        </w:rPr>
      </w:pPr>
    </w:p>
    <w:p w:rsidR="00086E5A" w:rsidP="00C062FB" w14:paraId="662F3753" w14:textId="77777777">
      <w:pPr>
        <w:ind w:left="1080"/>
        <w:rPr>
          <w:color w:val="000000"/>
        </w:rPr>
      </w:pPr>
      <w:r>
        <w:rPr>
          <w:color w:val="000000"/>
        </w:rPr>
        <w:t xml:space="preserve">This clearance involves </w:t>
      </w:r>
      <w:r w:rsidR="00973873">
        <w:rPr>
          <w:color w:val="000000"/>
        </w:rPr>
        <w:t xml:space="preserve">an annual, </w:t>
      </w:r>
      <w:r>
        <w:rPr>
          <w:color w:val="000000"/>
        </w:rPr>
        <w:t>one-time data collection activit</w:t>
      </w:r>
      <w:r w:rsidR="00973873">
        <w:rPr>
          <w:color w:val="000000"/>
        </w:rPr>
        <w:t>y</w:t>
      </w:r>
      <w:r>
        <w:rPr>
          <w:color w:val="000000"/>
        </w:rPr>
        <w:t>.</w:t>
      </w:r>
      <w:r w:rsidR="007B4257">
        <w:rPr>
          <w:color w:val="000000"/>
        </w:rPr>
        <w:t xml:space="preserve"> </w:t>
      </w:r>
      <w:r>
        <w:rPr>
          <w:color w:val="000000"/>
        </w:rPr>
        <w:t>Less frequent data collection would impede RAAS’ effort to get updated critical input needed to provide a clear and reliable taxpayer context that aids IRS in its review of the performance of current IRS taxpayer service and enforcement programs designed to improve voluntary compliance, and in RAAS’ proposals for strategic performance measures. In addition, the long</w:t>
      </w:r>
      <w:r w:rsidR="00C062FB">
        <w:rPr>
          <w:color w:val="000000"/>
        </w:rPr>
        <w:t>-</w:t>
      </w:r>
      <w:r>
        <w:rPr>
          <w:color w:val="000000"/>
        </w:rPr>
        <w:t>time annual series of taxpayer</w:t>
      </w:r>
      <w:r w:rsidR="00873D35">
        <w:rPr>
          <w:color w:val="000000"/>
        </w:rPr>
        <w:t>s</w:t>
      </w:r>
      <w:r w:rsidR="00197B3F">
        <w:rPr>
          <w:color w:val="000000"/>
        </w:rPr>
        <w:t>’</w:t>
      </w:r>
      <w:r w:rsidR="00873D35">
        <w:rPr>
          <w:color w:val="000000"/>
        </w:rPr>
        <w:t xml:space="preserve"> satisfaction with and other perceptions about IRS </w:t>
      </w:r>
      <w:r>
        <w:rPr>
          <w:color w:val="000000"/>
        </w:rPr>
        <w:t>would be interrupted.</w:t>
      </w:r>
    </w:p>
    <w:p w:rsidR="009B7F12" w:rsidP="009B7F12" w14:paraId="3C6A5C4B" w14:textId="77777777">
      <w:pPr>
        <w:tabs>
          <w:tab w:val="left" w:pos="1080"/>
        </w:tabs>
        <w:ind w:left="1080"/>
        <w:rPr>
          <w:color w:val="000000"/>
        </w:rPr>
      </w:pPr>
    </w:p>
    <w:p w:rsidR="009B7F12" w:rsidP="009B7F12" w14:paraId="57638DB9" w14:textId="77777777">
      <w:pPr>
        <w:numPr>
          <w:ilvl w:val="1"/>
          <w:numId w:val="1"/>
        </w:numPr>
        <w:tabs>
          <w:tab w:val="left" w:pos="1080"/>
        </w:tabs>
        <w:rPr>
          <w:color w:val="000000"/>
        </w:rPr>
      </w:pPr>
      <w:r>
        <w:rPr>
          <w:color w:val="000000"/>
        </w:rPr>
        <w:t>Special Circumstances Requiring Data Collection to be Inconsistent with Guidelines in 5 CFR 1320.5(d) (2)</w:t>
      </w:r>
    </w:p>
    <w:p w:rsidR="009B7F12" w:rsidP="009B7F12" w14:paraId="2140E24D" w14:textId="77777777">
      <w:pPr>
        <w:tabs>
          <w:tab w:val="left" w:pos="1080"/>
        </w:tabs>
        <w:ind w:left="1080"/>
        <w:rPr>
          <w:color w:val="000000"/>
        </w:rPr>
      </w:pPr>
    </w:p>
    <w:p w:rsidR="009B7F12" w:rsidP="009B7F12" w14:paraId="5136739F" w14:textId="77777777">
      <w:pPr>
        <w:tabs>
          <w:tab w:val="left" w:pos="1080"/>
        </w:tabs>
        <w:ind w:left="1080"/>
        <w:rPr>
          <w:color w:val="000000"/>
        </w:rPr>
      </w:pPr>
      <w:r>
        <w:rPr>
          <w:color w:val="000000"/>
        </w:rPr>
        <w:t xml:space="preserve">There are no special circumstances. </w:t>
      </w:r>
      <w:r w:rsidR="00E72C71">
        <w:rPr>
          <w:color w:val="000000"/>
        </w:rPr>
        <w:t xml:space="preserve">The IRS will collect information under this clearance in a manner that complies with 5 </w:t>
      </w:r>
      <w:r w:rsidR="00721F37">
        <w:rPr>
          <w:color w:val="000000"/>
        </w:rPr>
        <w:t xml:space="preserve">CFR </w:t>
      </w:r>
      <w:r w:rsidR="00E72C71">
        <w:rPr>
          <w:color w:val="000000"/>
        </w:rPr>
        <w:t>1320.5(d) (2).</w:t>
      </w:r>
    </w:p>
    <w:p w:rsidR="00E72C71" w:rsidRPr="00BF6DED" w:rsidP="009B7F12" w14:paraId="30FE77D3" w14:textId="77777777">
      <w:pPr>
        <w:tabs>
          <w:tab w:val="left" w:pos="1080"/>
        </w:tabs>
        <w:ind w:left="1080"/>
        <w:rPr>
          <w:color w:val="FF0000"/>
        </w:rPr>
      </w:pPr>
    </w:p>
    <w:p w:rsidR="00E72C71" w:rsidP="00E72C71" w14:paraId="2D47A40F" w14:textId="77777777">
      <w:pPr>
        <w:numPr>
          <w:ilvl w:val="1"/>
          <w:numId w:val="1"/>
        </w:numPr>
        <w:tabs>
          <w:tab w:val="left" w:pos="1080"/>
        </w:tabs>
        <w:rPr>
          <w:color w:val="000000"/>
        </w:rPr>
      </w:pPr>
      <w:r>
        <w:rPr>
          <w:color w:val="000000"/>
        </w:rPr>
        <w:t>Consultation with Individuals Outside of the Agency on Availability of Data</w:t>
      </w:r>
      <w:r w:rsidR="00E81C80">
        <w:rPr>
          <w:color w:val="000000"/>
        </w:rPr>
        <w:t>,</w:t>
      </w:r>
      <w:r>
        <w:rPr>
          <w:color w:val="000000"/>
        </w:rPr>
        <w:t xml:space="preserve"> Frequency of Collection, Clarity of Instructions and Forms, and Data Elements</w:t>
      </w:r>
    </w:p>
    <w:p w:rsidR="00B8266F" w:rsidP="00022CAF" w14:paraId="306D9516" w14:textId="77777777">
      <w:pPr>
        <w:ind w:left="1080"/>
        <w:rPr>
          <w:color w:val="000000"/>
        </w:rPr>
      </w:pPr>
    </w:p>
    <w:p w:rsidR="00B8266F" w:rsidP="00CE4832" w14:paraId="00178262" w14:textId="5D56F0EA">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s>
        <w:ind w:left="1440"/>
        <w:rPr>
          <w:rFonts w:ascii="CG Times" w:hAnsi="CG Times"/>
          <w:color w:val="000000"/>
        </w:rPr>
      </w:pPr>
      <w:r>
        <w:rPr>
          <w:rFonts w:ascii="CG Times" w:hAnsi="CG Times"/>
          <w:color w:val="000000"/>
        </w:rPr>
        <w:t>Within the IRS, coordination occurs on each propose</w:t>
      </w:r>
      <w:r w:rsidR="002C46DD">
        <w:rPr>
          <w:rFonts w:ascii="CG Times" w:hAnsi="CG Times"/>
          <w:color w:val="000000"/>
        </w:rPr>
        <w:t>d</w:t>
      </w:r>
      <w:r>
        <w:rPr>
          <w:rFonts w:ascii="CG Times" w:hAnsi="CG Times"/>
          <w:color w:val="000000"/>
        </w:rPr>
        <w:t xml:space="preserve"> project through other areas of the IRS.  Care is taken to ensure that efforts do not duplicate those of opinion research or surveys conducted by contractors at the request of the IRS subject matter specialists.  </w:t>
      </w:r>
    </w:p>
    <w:p w:rsidR="00B8266F" w:rsidP="00B8266F" w14:paraId="4432AF72" w14:textId="77777777">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CG Times" w:hAnsi="CG Times"/>
          <w:color w:val="000000"/>
        </w:rPr>
      </w:pPr>
    </w:p>
    <w:p w:rsidR="009F0ABF" w:rsidP="009F0ABF" w14:paraId="678182ED" w14:textId="77777777">
      <w:pPr>
        <w:numPr>
          <w:ilvl w:val="1"/>
          <w:numId w:val="1"/>
        </w:numPr>
        <w:tabs>
          <w:tab w:val="left" w:pos="1080"/>
        </w:tabs>
        <w:rPr>
          <w:color w:val="000000"/>
        </w:rPr>
      </w:pPr>
      <w:r>
        <w:rPr>
          <w:color w:val="000000"/>
        </w:rPr>
        <w:t>Explanation of Decision to Provide any Payment or Gift to Respondents</w:t>
      </w:r>
    </w:p>
    <w:p w:rsidR="009F0ABF" w:rsidRPr="00BF6DED" w:rsidP="009F0ABF" w14:paraId="6E88A81E" w14:textId="77777777">
      <w:pPr>
        <w:tabs>
          <w:tab w:val="left" w:pos="1080"/>
        </w:tabs>
        <w:ind w:left="1080"/>
        <w:rPr>
          <w:color w:val="FF0000"/>
        </w:rPr>
      </w:pPr>
    </w:p>
    <w:p w:rsidR="00A659D6" w:rsidP="00C062FB" w14:paraId="0BA687EE" w14:textId="77777777">
      <w:pPr>
        <w:autoSpaceDE w:val="0"/>
        <w:autoSpaceDN w:val="0"/>
        <w:adjustRightInd w:val="0"/>
        <w:ind w:left="1080"/>
        <w:rPr>
          <w:rFonts w:ascii="CG Times" w:hAnsi="CG Times"/>
          <w:color w:val="000000"/>
        </w:rPr>
      </w:pPr>
      <w:r>
        <w:rPr>
          <w:color w:val="000000"/>
        </w:rPr>
        <w:t>At times, incentives are authorized as a thank you for, and to encourage participation in IRS surveys</w:t>
      </w:r>
      <w:r w:rsidR="009F0ABF">
        <w:rPr>
          <w:color w:val="000000"/>
        </w:rPr>
        <w:t xml:space="preserve">. </w:t>
      </w:r>
      <w:r w:rsidR="00873D35">
        <w:rPr>
          <w:color w:val="000000"/>
        </w:rPr>
        <w:t>The panel vendor provides incentives of nominal value to encourage participation in its surveys.</w:t>
      </w:r>
    </w:p>
    <w:p w:rsidR="009F0ABF" w:rsidP="009F0ABF" w14:paraId="0EB960D9" w14:textId="77777777">
      <w:pPr>
        <w:tabs>
          <w:tab w:val="left" w:pos="1080"/>
        </w:tabs>
        <w:ind w:left="1080"/>
        <w:rPr>
          <w:color w:val="000000"/>
        </w:rPr>
      </w:pPr>
    </w:p>
    <w:p w:rsidR="009F0ABF" w:rsidP="009F0ABF" w14:paraId="78C51ED3" w14:textId="77777777">
      <w:pPr>
        <w:numPr>
          <w:ilvl w:val="1"/>
          <w:numId w:val="1"/>
        </w:numPr>
        <w:tabs>
          <w:tab w:val="left" w:pos="1080"/>
        </w:tabs>
        <w:rPr>
          <w:color w:val="000000"/>
        </w:rPr>
      </w:pPr>
      <w:r>
        <w:rPr>
          <w:color w:val="000000"/>
        </w:rPr>
        <w:t xml:space="preserve">  </w:t>
      </w:r>
      <w:r>
        <w:rPr>
          <w:color w:val="000000"/>
        </w:rPr>
        <w:t xml:space="preserve">Assurance of </w:t>
      </w:r>
      <w:r w:rsidR="008C6DEC">
        <w:rPr>
          <w:color w:val="000000"/>
        </w:rPr>
        <w:t>Privacy</w:t>
      </w:r>
      <w:r>
        <w:rPr>
          <w:color w:val="000000"/>
        </w:rPr>
        <w:t xml:space="preserve"> of Response</w:t>
      </w:r>
    </w:p>
    <w:p w:rsidR="009F0ABF" w:rsidRPr="00BF6DED" w:rsidP="009F0ABF" w14:paraId="3D3C751F" w14:textId="77777777">
      <w:pPr>
        <w:tabs>
          <w:tab w:val="left" w:pos="1080"/>
        </w:tabs>
        <w:rPr>
          <w:color w:val="FF0000"/>
        </w:rPr>
      </w:pPr>
    </w:p>
    <w:p w:rsidR="009F0ABF" w:rsidP="009F0ABF" w14:paraId="5365F277" w14:textId="77777777">
      <w:pPr>
        <w:tabs>
          <w:tab w:val="left" w:pos="1080"/>
        </w:tabs>
        <w:ind w:left="1080"/>
        <w:rPr>
          <w:color w:val="000000"/>
        </w:rPr>
      </w:pPr>
      <w:r>
        <w:rPr>
          <w:color w:val="000000"/>
        </w:rPr>
        <w:t xml:space="preserve">Agency policy dictates non-disclosure of taxpayer information.  </w:t>
      </w:r>
      <w:r w:rsidR="008E0AF5">
        <w:rPr>
          <w:color w:val="000000"/>
        </w:rPr>
        <w:t xml:space="preserve">This survey is not subject to Section 6103 requirements, because it does not rely on IRS taxpayer data. </w:t>
      </w:r>
      <w:r>
        <w:rPr>
          <w:color w:val="000000"/>
        </w:rPr>
        <w:t>Survey respondents</w:t>
      </w:r>
      <w:r w:rsidR="00114573">
        <w:rPr>
          <w:color w:val="000000"/>
        </w:rPr>
        <w:t>, who</w:t>
      </w:r>
      <w:r>
        <w:rPr>
          <w:color w:val="000000"/>
        </w:rPr>
        <w:t xml:space="preserve"> </w:t>
      </w:r>
      <w:r w:rsidR="00114573">
        <w:rPr>
          <w:color w:val="000000"/>
        </w:rPr>
        <w:t xml:space="preserve">are </w:t>
      </w:r>
      <w:r>
        <w:rPr>
          <w:color w:val="000000"/>
        </w:rPr>
        <w:t xml:space="preserve">contacted by </w:t>
      </w:r>
      <w:r w:rsidR="00071229">
        <w:rPr>
          <w:color w:val="000000"/>
        </w:rPr>
        <w:t>e</w:t>
      </w:r>
      <w:r>
        <w:rPr>
          <w:color w:val="000000"/>
        </w:rPr>
        <w:t>mail</w:t>
      </w:r>
      <w:r w:rsidR="00071229">
        <w:rPr>
          <w:color w:val="000000"/>
        </w:rPr>
        <w:t xml:space="preserve"> or online</w:t>
      </w:r>
      <w:r>
        <w:rPr>
          <w:color w:val="000000"/>
        </w:rPr>
        <w:t xml:space="preserve">, will be advised on the survey form or other accompanying document that participation is </w:t>
      </w:r>
      <w:r w:rsidR="003D12AD">
        <w:rPr>
          <w:color w:val="000000"/>
        </w:rPr>
        <w:t>voluntary,</w:t>
      </w:r>
      <w:r>
        <w:rPr>
          <w:color w:val="000000"/>
        </w:rPr>
        <w:t xml:space="preserve"> and that the data provided will be kept </w:t>
      </w:r>
      <w:r w:rsidR="008C6DEC">
        <w:rPr>
          <w:color w:val="000000"/>
        </w:rPr>
        <w:t>private</w:t>
      </w:r>
      <w:r w:rsidR="0088346C">
        <w:rPr>
          <w:color w:val="000000"/>
        </w:rPr>
        <w:t xml:space="preserve"> to the extent allowed by law</w:t>
      </w:r>
      <w:r>
        <w:rPr>
          <w:color w:val="000000"/>
        </w:rPr>
        <w:t xml:space="preserve">.  </w:t>
      </w:r>
    </w:p>
    <w:p w:rsidR="00B64FF5" w:rsidRPr="00BF6DED" w:rsidP="009F0ABF" w14:paraId="09138EA8" w14:textId="77777777">
      <w:pPr>
        <w:tabs>
          <w:tab w:val="left" w:pos="1080"/>
        </w:tabs>
        <w:ind w:left="1080"/>
        <w:rPr>
          <w:color w:val="FF0000"/>
        </w:rPr>
      </w:pPr>
    </w:p>
    <w:p w:rsidR="00B64FF5" w:rsidP="00C062FB" w14:paraId="4E548B30" w14:textId="77777777">
      <w:pPr>
        <w:ind w:left="1080"/>
        <w:rPr>
          <w:color w:val="000000"/>
        </w:rPr>
      </w:pPr>
      <w:r>
        <w:rPr>
          <w:color w:val="000000"/>
        </w:rPr>
        <w:t>No</w:t>
      </w:r>
      <w:r>
        <w:rPr>
          <w:color w:val="000000"/>
        </w:rPr>
        <w:t xml:space="preserve"> sensitive personally identifiable information will be compiled by the vendor as part of the database for this survey, nor </w:t>
      </w:r>
      <w:r w:rsidR="008E0AF5">
        <w:rPr>
          <w:color w:val="000000"/>
        </w:rPr>
        <w:t>shared with</w:t>
      </w:r>
      <w:r>
        <w:rPr>
          <w:color w:val="000000"/>
        </w:rPr>
        <w:t xml:space="preserve"> RAAS. It will also be conducted </w:t>
      </w:r>
      <w:r>
        <w:rPr>
          <w:color w:val="000000"/>
        </w:rPr>
        <w:t xml:space="preserve">through </w:t>
      </w:r>
      <w:r>
        <w:rPr>
          <w:color w:val="000000"/>
        </w:rPr>
        <w:t xml:space="preserve">online surveys using </w:t>
      </w:r>
      <w:r>
        <w:rPr>
          <w:color w:val="000000"/>
        </w:rPr>
        <w:t xml:space="preserve">the </w:t>
      </w:r>
      <w:r>
        <w:rPr>
          <w:color w:val="000000"/>
        </w:rPr>
        <w:t xml:space="preserve">vendor’s previously recruited survey panel, for which no personally identifiable information will be shared with RAAS. Additionally, the vendor will take steps that ensure that specific records cannot be tied to individual taxpayers. Research personnel will ensure that privacy and security of the results will </w:t>
      </w:r>
      <w:r>
        <w:rPr>
          <w:color w:val="000000"/>
        </w:rPr>
        <w:t xml:space="preserve">be maintained, to the extent allowed by law. Public and official access to the information will be tightly controlled. </w:t>
      </w:r>
    </w:p>
    <w:p w:rsidR="009F0ABF" w:rsidP="009F0ABF" w14:paraId="1C6C8735" w14:textId="77777777">
      <w:pPr>
        <w:tabs>
          <w:tab w:val="left" w:pos="1080"/>
        </w:tabs>
        <w:ind w:left="1080"/>
        <w:rPr>
          <w:color w:val="000000"/>
        </w:rPr>
      </w:pPr>
    </w:p>
    <w:p w:rsidR="009F0ABF" w:rsidP="009F0ABF" w14:paraId="0A8BBCC5" w14:textId="77777777">
      <w:pPr>
        <w:numPr>
          <w:ilvl w:val="1"/>
          <w:numId w:val="1"/>
        </w:numPr>
        <w:tabs>
          <w:tab w:val="left" w:pos="1080"/>
        </w:tabs>
        <w:rPr>
          <w:color w:val="000000"/>
        </w:rPr>
      </w:pPr>
      <w:r>
        <w:rPr>
          <w:color w:val="000000"/>
        </w:rPr>
        <w:t xml:space="preserve">  </w:t>
      </w:r>
      <w:r>
        <w:rPr>
          <w:color w:val="000000"/>
        </w:rPr>
        <w:t>Justification of Sensitive Questions</w:t>
      </w:r>
    </w:p>
    <w:p w:rsidR="009F0ABF" w:rsidRPr="00BF6DED" w:rsidP="009F0ABF" w14:paraId="2DD5941B" w14:textId="77777777">
      <w:pPr>
        <w:tabs>
          <w:tab w:val="left" w:pos="1080"/>
        </w:tabs>
        <w:ind w:left="1080"/>
        <w:rPr>
          <w:color w:val="FF0000"/>
        </w:rPr>
      </w:pPr>
    </w:p>
    <w:p w:rsidR="00D126A0" w:rsidP="00C062FB" w14:paraId="759F8EAC" w14:textId="77777777">
      <w:pPr>
        <w:ind w:left="1080"/>
        <w:rPr>
          <w:b/>
          <w:color w:val="000000"/>
        </w:rPr>
      </w:pPr>
      <w:r>
        <w:rPr>
          <w:color w:val="000000"/>
        </w:rPr>
        <w:t xml:space="preserve">The survey questions </w:t>
      </w:r>
      <w:r w:rsidR="009F0ABF">
        <w:rPr>
          <w:color w:val="000000"/>
        </w:rPr>
        <w:t>are not of a sensitive nature and should not pose a problem to respondents.  However, on occasion, some respondents may consider some of the standard demographic questions as sensitive in nature (e.g., questions that request the respondent’s age, gender, education, or household income).  Demographic questions are useful in profiling and tracking the responses and are he</w:t>
      </w:r>
      <w:r w:rsidR="00EF4136">
        <w:rPr>
          <w:color w:val="000000"/>
        </w:rPr>
        <w:t>lpful in evaluating the results; therefore, respondents will be encouraged to answer these questions but assured that their participation is completely voluntary.</w:t>
      </w:r>
      <w:r>
        <w:rPr>
          <w:color w:val="000000"/>
        </w:rPr>
        <w:t xml:space="preserve"> No sensitive personally identifiable information will be collected and shared with RAAS.</w:t>
      </w:r>
    </w:p>
    <w:p w:rsidR="00B40CDF" w:rsidP="00EF4136" w14:paraId="0531458A" w14:textId="77777777">
      <w:pPr>
        <w:tabs>
          <w:tab w:val="left" w:pos="1080"/>
        </w:tabs>
        <w:ind w:left="1080"/>
        <w:rPr>
          <w:color w:val="000000"/>
        </w:rPr>
      </w:pPr>
    </w:p>
    <w:p w:rsidR="00B40CDF" w:rsidP="00B40CDF" w14:paraId="4E4565B8" w14:textId="77777777">
      <w:pPr>
        <w:numPr>
          <w:ilvl w:val="1"/>
          <w:numId w:val="1"/>
        </w:numPr>
        <w:tabs>
          <w:tab w:val="left" w:pos="1080"/>
        </w:tabs>
        <w:rPr>
          <w:color w:val="000000"/>
        </w:rPr>
      </w:pPr>
      <w:r>
        <w:rPr>
          <w:color w:val="000000"/>
        </w:rPr>
        <w:t xml:space="preserve">  </w:t>
      </w:r>
      <w:r>
        <w:rPr>
          <w:color w:val="000000"/>
        </w:rPr>
        <w:t>Estimated Burden of Information Collection</w:t>
      </w:r>
    </w:p>
    <w:p w:rsidR="00B40CDF" w:rsidRPr="00BF6DED" w:rsidP="00B40CDF" w14:paraId="575C3296" w14:textId="77777777">
      <w:pPr>
        <w:tabs>
          <w:tab w:val="left" w:pos="1080"/>
        </w:tabs>
        <w:ind w:left="1080"/>
        <w:rPr>
          <w:color w:val="FF0000"/>
        </w:rPr>
      </w:pPr>
    </w:p>
    <w:p w:rsidR="00371513" w:rsidP="00B40CDF" w14:paraId="070D902B" w14:textId="77777777">
      <w:pPr>
        <w:tabs>
          <w:tab w:val="left" w:pos="1080"/>
        </w:tabs>
        <w:ind w:left="1080"/>
        <w:rPr>
          <w:color w:val="000000"/>
        </w:rPr>
      </w:pPr>
      <w:r>
        <w:rPr>
          <w:color w:val="000000"/>
        </w:rPr>
        <w:t>The total respondent burden during this three-year appr</w:t>
      </w:r>
      <w:r w:rsidR="0088346C">
        <w:rPr>
          <w:color w:val="000000"/>
        </w:rPr>
        <w:t xml:space="preserve">oval period is estimated to be </w:t>
      </w:r>
      <w:r w:rsidR="00114573">
        <w:rPr>
          <w:color w:val="000000"/>
        </w:rPr>
        <w:t>3,850</w:t>
      </w:r>
      <w:r w:rsidR="009D2DE7">
        <w:rPr>
          <w:color w:val="000000"/>
        </w:rPr>
        <w:t xml:space="preserve"> (</w:t>
      </w:r>
      <w:r w:rsidR="00EB2F57">
        <w:rPr>
          <w:color w:val="000000"/>
        </w:rPr>
        <w:t>1,</w:t>
      </w:r>
      <w:r w:rsidR="00114573">
        <w:rPr>
          <w:color w:val="000000"/>
        </w:rPr>
        <w:t xml:space="preserve">283 </w:t>
      </w:r>
      <w:r w:rsidR="009D2DE7">
        <w:rPr>
          <w:color w:val="000000"/>
        </w:rPr>
        <w:t>annually)</w:t>
      </w:r>
      <w:r>
        <w:rPr>
          <w:color w:val="000000"/>
        </w:rPr>
        <w:t xml:space="preserve"> hours. </w:t>
      </w:r>
    </w:p>
    <w:p w:rsidR="00371513" w:rsidP="00B40CDF" w14:paraId="2E6075C6" w14:textId="77777777">
      <w:pPr>
        <w:tabs>
          <w:tab w:val="left" w:pos="1080"/>
        </w:tabs>
        <w:ind w:left="1080"/>
        <w:rPr>
          <w:color w:val="000000"/>
        </w:rPr>
      </w:pPr>
    </w:p>
    <w:p w:rsidR="00371513" w:rsidP="00275B51" w14:paraId="4592F097" w14:textId="77777777">
      <w:pPr>
        <w:ind w:left="1080"/>
        <w:rPr>
          <w:color w:val="000000"/>
        </w:rPr>
      </w:pPr>
      <w:r>
        <w:rPr>
          <w:color w:val="000000"/>
        </w:rPr>
        <w:t xml:space="preserve">With an estimated response rate of </w:t>
      </w:r>
      <w:r w:rsidR="0008042D">
        <w:rPr>
          <w:color w:val="000000"/>
        </w:rPr>
        <w:t>4.6</w:t>
      </w:r>
      <w:r>
        <w:rPr>
          <w:color w:val="000000"/>
        </w:rPr>
        <w:t xml:space="preserve">%, we anticipate screening </w:t>
      </w:r>
      <w:r w:rsidR="0008042D">
        <w:rPr>
          <w:color w:val="000000"/>
        </w:rPr>
        <w:t>54,000</w:t>
      </w:r>
      <w:r>
        <w:rPr>
          <w:color w:val="000000"/>
        </w:rPr>
        <w:t xml:space="preserve"> respondents</w:t>
      </w:r>
      <w:r w:rsidR="00987114">
        <w:rPr>
          <w:color w:val="000000"/>
        </w:rPr>
        <w:t xml:space="preserve"> annually</w:t>
      </w:r>
      <w:r>
        <w:rPr>
          <w:color w:val="000000"/>
        </w:rPr>
        <w:t>, who will take 30 seconds each to either accept or decline to participate. 2,</w:t>
      </w:r>
      <w:r w:rsidR="0008042D">
        <w:rPr>
          <w:color w:val="000000"/>
        </w:rPr>
        <w:t xml:space="preserve">500 </w:t>
      </w:r>
      <w:r>
        <w:rPr>
          <w:color w:val="000000"/>
        </w:rPr>
        <w:t xml:space="preserve">respondents will agree to participate in the survey, which represents the total number of interviews, including oversamples when quotas are met and those who only partially complete the survey. Their </w:t>
      </w:r>
      <w:r w:rsidR="00987114">
        <w:rPr>
          <w:color w:val="000000"/>
        </w:rPr>
        <w:t xml:space="preserve">estimated </w:t>
      </w:r>
      <w:r>
        <w:rPr>
          <w:color w:val="000000"/>
        </w:rPr>
        <w:t xml:space="preserve">participation time is </w:t>
      </w:r>
      <w:r w:rsidR="0008042D">
        <w:rPr>
          <w:color w:val="000000"/>
        </w:rPr>
        <w:t xml:space="preserve">20 </w:t>
      </w:r>
      <w:r>
        <w:rPr>
          <w:color w:val="000000"/>
        </w:rPr>
        <w:t xml:space="preserve">minutes per response. </w:t>
      </w:r>
      <w:r w:rsidR="00430B6F">
        <w:rPr>
          <w:color w:val="000000"/>
        </w:rPr>
        <w:t>The estimated annual burden for this survey is 1,</w:t>
      </w:r>
      <w:r w:rsidR="0008042D">
        <w:rPr>
          <w:color w:val="000000"/>
        </w:rPr>
        <w:t xml:space="preserve">283 </w:t>
      </w:r>
      <w:r w:rsidR="00430B6F">
        <w:rPr>
          <w:color w:val="000000"/>
        </w:rPr>
        <w:t>hours.</w:t>
      </w:r>
    </w:p>
    <w:p w:rsidR="00371513" w:rsidRPr="00BF6DED" w:rsidP="00371513" w14:paraId="3124AB85" w14:textId="77777777">
      <w:pPr>
        <w:ind w:left="360"/>
        <w:rPr>
          <w:color w:val="FF0000"/>
        </w:rPr>
      </w:pPr>
    </w:p>
    <w:tbl>
      <w:tblPr>
        <w:tblW w:w="1006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443"/>
        <w:gridCol w:w="1523"/>
        <w:gridCol w:w="1430"/>
        <w:gridCol w:w="1177"/>
        <w:gridCol w:w="990"/>
        <w:gridCol w:w="1069"/>
        <w:gridCol w:w="1430"/>
      </w:tblGrid>
      <w:tr w14:paraId="38002E26" w14:textId="77777777" w:rsidTr="00131F5F">
        <w:tblPrEx>
          <w:tblW w:w="1006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Ex>
        <w:tc>
          <w:tcPr>
            <w:tcW w:w="2443" w:type="dxa"/>
            <w:shd w:val="pct12" w:color="auto" w:fill="FFFFFF"/>
          </w:tcPr>
          <w:p w:rsidR="00131F5F" w:rsidP="003246AA" w14:paraId="66D4DEE9" w14:textId="77777777">
            <w:pPr>
              <w:rPr>
                <w:b/>
                <w:color w:val="000000"/>
              </w:rPr>
            </w:pPr>
            <w:r>
              <w:rPr>
                <w:b/>
                <w:color w:val="000000"/>
              </w:rPr>
              <w:t>Screened/Interviewed</w:t>
            </w:r>
          </w:p>
        </w:tc>
        <w:tc>
          <w:tcPr>
            <w:tcW w:w="1523" w:type="dxa"/>
            <w:shd w:val="pct12" w:color="auto" w:fill="FFFFFF"/>
          </w:tcPr>
          <w:p w:rsidR="00131F5F" w:rsidP="003246AA" w14:paraId="0F78896F" w14:textId="77777777">
            <w:pPr>
              <w:rPr>
                <w:b/>
                <w:color w:val="000000"/>
              </w:rPr>
            </w:pPr>
            <w:r>
              <w:rPr>
                <w:b/>
                <w:color w:val="000000"/>
              </w:rPr>
              <w:t xml:space="preserve">No. of Respondents (How many will respond to this collection?) </w:t>
            </w:r>
          </w:p>
        </w:tc>
        <w:tc>
          <w:tcPr>
            <w:tcW w:w="1430" w:type="dxa"/>
            <w:shd w:val="pct12" w:color="auto" w:fill="FFFFFF"/>
          </w:tcPr>
          <w:p w:rsidR="00131F5F" w:rsidP="003246AA" w14:paraId="1E3D134F" w14:textId="77777777">
            <w:pPr>
              <w:rPr>
                <w:b/>
                <w:color w:val="000000"/>
              </w:rPr>
            </w:pPr>
            <w:r>
              <w:rPr>
                <w:b/>
                <w:color w:val="000000"/>
              </w:rPr>
              <w:t>No. of Responses per Respondent (How many times?)</w:t>
            </w:r>
          </w:p>
        </w:tc>
        <w:tc>
          <w:tcPr>
            <w:tcW w:w="1177" w:type="dxa"/>
            <w:shd w:val="pct12" w:color="auto" w:fill="FFFFFF"/>
          </w:tcPr>
          <w:p w:rsidR="00131F5F" w:rsidP="003246AA" w14:paraId="281A8914" w14:textId="77777777">
            <w:pPr>
              <w:rPr>
                <w:b/>
                <w:color w:val="000000"/>
              </w:rPr>
            </w:pPr>
            <w:r>
              <w:rPr>
                <w:b/>
                <w:color w:val="000000"/>
              </w:rPr>
              <w:t xml:space="preserve">Avg. Burden per Response </w:t>
            </w:r>
          </w:p>
        </w:tc>
        <w:tc>
          <w:tcPr>
            <w:tcW w:w="990" w:type="dxa"/>
            <w:shd w:val="pct12" w:color="auto" w:fill="FFFFFF"/>
          </w:tcPr>
          <w:p w:rsidR="00131F5F" w:rsidP="003246AA" w14:paraId="1D0993C4" w14:textId="77777777">
            <w:pPr>
              <w:rPr>
                <w:b/>
                <w:color w:val="000000"/>
              </w:rPr>
            </w:pPr>
            <w:r>
              <w:rPr>
                <w:b/>
                <w:color w:val="000000"/>
              </w:rPr>
              <w:t>Total Annual Burden (in hours)</w:t>
            </w:r>
          </w:p>
        </w:tc>
        <w:tc>
          <w:tcPr>
            <w:tcW w:w="1069" w:type="dxa"/>
            <w:shd w:val="pct12" w:color="auto" w:fill="FFFFFF"/>
          </w:tcPr>
          <w:p w:rsidR="00131F5F" w:rsidP="003246AA" w14:paraId="13769555" w14:textId="77777777">
            <w:pPr>
              <w:rPr>
                <w:b/>
                <w:color w:val="000000"/>
              </w:rPr>
            </w:pPr>
            <w:r>
              <w:rPr>
                <w:b/>
                <w:color w:val="000000"/>
              </w:rPr>
              <w:t>Average Hourly Wage Rate</w:t>
            </w:r>
          </w:p>
        </w:tc>
        <w:tc>
          <w:tcPr>
            <w:tcW w:w="1430" w:type="dxa"/>
            <w:shd w:val="pct12" w:color="auto" w:fill="FFFFFF"/>
          </w:tcPr>
          <w:p w:rsidR="00131F5F" w:rsidP="003246AA" w14:paraId="474B8A29" w14:textId="77777777">
            <w:pPr>
              <w:rPr>
                <w:b/>
                <w:color w:val="000000"/>
              </w:rPr>
            </w:pPr>
            <w:r>
              <w:rPr>
                <w:b/>
                <w:color w:val="000000"/>
              </w:rPr>
              <w:t>Total Annual Respondent Cost*</w:t>
            </w:r>
          </w:p>
        </w:tc>
      </w:tr>
      <w:tr w14:paraId="700EA878" w14:textId="77777777" w:rsidTr="00131F5F">
        <w:tblPrEx>
          <w:tblW w:w="10062" w:type="dxa"/>
          <w:tblInd w:w="360" w:type="dxa"/>
          <w:shd w:val="clear" w:color="auto" w:fill="FFFFFF"/>
          <w:tblLook w:val="04A0"/>
        </w:tblPrEx>
        <w:tc>
          <w:tcPr>
            <w:tcW w:w="2443" w:type="dxa"/>
            <w:shd w:val="clear" w:color="auto" w:fill="FFFFFF"/>
          </w:tcPr>
          <w:p w:rsidR="00131F5F" w:rsidP="003246AA" w14:paraId="79F726D1" w14:textId="77777777">
            <w:pPr>
              <w:rPr>
                <w:color w:val="000000"/>
              </w:rPr>
            </w:pPr>
            <w:r>
              <w:rPr>
                <w:color w:val="000000"/>
              </w:rPr>
              <w:t xml:space="preserve">Total </w:t>
            </w:r>
            <w:r w:rsidR="00B92017">
              <w:rPr>
                <w:color w:val="000000"/>
              </w:rPr>
              <w:t>Screened</w:t>
            </w:r>
          </w:p>
        </w:tc>
        <w:tc>
          <w:tcPr>
            <w:tcW w:w="1523" w:type="dxa"/>
            <w:shd w:val="clear" w:color="auto" w:fill="FFFFFF"/>
          </w:tcPr>
          <w:p w:rsidR="00131F5F" w:rsidP="003246AA" w14:paraId="199916EA" w14:textId="77777777">
            <w:pPr>
              <w:rPr>
                <w:color w:val="000000"/>
              </w:rPr>
            </w:pPr>
            <w:r>
              <w:rPr>
                <w:color w:val="000000"/>
              </w:rPr>
              <w:t>54,000</w:t>
            </w:r>
          </w:p>
        </w:tc>
        <w:tc>
          <w:tcPr>
            <w:tcW w:w="1430" w:type="dxa"/>
            <w:shd w:val="clear" w:color="auto" w:fill="FFFFFF"/>
          </w:tcPr>
          <w:p w:rsidR="00131F5F" w:rsidP="003246AA" w14:paraId="2110D392" w14:textId="77777777">
            <w:pPr>
              <w:rPr>
                <w:color w:val="000000"/>
              </w:rPr>
            </w:pPr>
            <w:r>
              <w:rPr>
                <w:color w:val="000000"/>
              </w:rPr>
              <w:t>1</w:t>
            </w:r>
          </w:p>
        </w:tc>
        <w:tc>
          <w:tcPr>
            <w:tcW w:w="1177" w:type="dxa"/>
            <w:shd w:val="clear" w:color="auto" w:fill="FFFFFF"/>
          </w:tcPr>
          <w:p w:rsidR="00131F5F" w:rsidP="003246AA" w14:paraId="1D91433C" w14:textId="77777777">
            <w:pPr>
              <w:rPr>
                <w:color w:val="000000"/>
              </w:rPr>
            </w:pPr>
            <w:r>
              <w:rPr>
                <w:color w:val="000000"/>
              </w:rPr>
              <w:t>0.5 minutes</w:t>
            </w:r>
          </w:p>
        </w:tc>
        <w:tc>
          <w:tcPr>
            <w:tcW w:w="990" w:type="dxa"/>
            <w:shd w:val="clear" w:color="auto" w:fill="FFFFFF"/>
          </w:tcPr>
          <w:p w:rsidR="00131F5F" w:rsidP="003246AA" w14:paraId="68CD1B4D" w14:textId="77777777">
            <w:pPr>
              <w:rPr>
                <w:color w:val="000000"/>
              </w:rPr>
            </w:pPr>
            <w:r>
              <w:rPr>
                <w:color w:val="000000"/>
              </w:rPr>
              <w:t>45</w:t>
            </w:r>
            <w:r w:rsidR="0093700B">
              <w:rPr>
                <w:color w:val="000000"/>
              </w:rPr>
              <w:t>0</w:t>
            </w:r>
          </w:p>
        </w:tc>
        <w:tc>
          <w:tcPr>
            <w:tcW w:w="1069" w:type="dxa"/>
            <w:shd w:val="clear" w:color="auto" w:fill="FFFFFF"/>
          </w:tcPr>
          <w:p w:rsidR="00131F5F" w:rsidP="003246AA" w14:paraId="1F9D5641" w14:textId="77777777">
            <w:pPr>
              <w:rPr>
                <w:color w:val="000000"/>
              </w:rPr>
            </w:pPr>
            <w:r>
              <w:rPr>
                <w:color w:val="000000"/>
              </w:rPr>
              <w:t>$</w:t>
            </w:r>
            <w:r w:rsidR="00B92017">
              <w:rPr>
                <w:color w:val="000000"/>
              </w:rPr>
              <w:t>28</w:t>
            </w:r>
            <w:r>
              <w:rPr>
                <w:color w:val="000000"/>
              </w:rPr>
              <w:t>.</w:t>
            </w:r>
            <w:r w:rsidR="00B92017">
              <w:rPr>
                <w:color w:val="000000"/>
              </w:rPr>
              <w:t>01</w:t>
            </w:r>
          </w:p>
        </w:tc>
        <w:tc>
          <w:tcPr>
            <w:tcW w:w="1430" w:type="dxa"/>
            <w:shd w:val="clear" w:color="auto" w:fill="FFFFFF"/>
          </w:tcPr>
          <w:p w:rsidR="00131F5F" w:rsidP="003246AA" w14:paraId="7202CA0F" w14:textId="77777777">
            <w:pPr>
              <w:rPr>
                <w:color w:val="000000"/>
              </w:rPr>
            </w:pPr>
            <w:r>
              <w:rPr>
                <w:color w:val="000000"/>
              </w:rPr>
              <w:t>$</w:t>
            </w:r>
            <w:r w:rsidR="003F76E4">
              <w:rPr>
                <w:color w:val="000000"/>
              </w:rPr>
              <w:t>12,605</w:t>
            </w:r>
          </w:p>
        </w:tc>
      </w:tr>
      <w:tr w14:paraId="2CF7A35C" w14:textId="77777777" w:rsidTr="00131F5F">
        <w:tblPrEx>
          <w:tblW w:w="10062" w:type="dxa"/>
          <w:tblInd w:w="360" w:type="dxa"/>
          <w:shd w:val="clear" w:color="auto" w:fill="FFFFFF"/>
          <w:tblLook w:val="04A0"/>
        </w:tblPrEx>
        <w:tc>
          <w:tcPr>
            <w:tcW w:w="2443" w:type="dxa"/>
            <w:shd w:val="clear" w:color="auto" w:fill="FFFFFF"/>
          </w:tcPr>
          <w:p w:rsidR="00B92017" w:rsidP="003246AA" w14:paraId="7D61E9B8" w14:textId="77777777">
            <w:pPr>
              <w:rPr>
                <w:color w:val="000000"/>
              </w:rPr>
            </w:pPr>
            <w:r>
              <w:rPr>
                <w:color w:val="000000"/>
              </w:rPr>
              <w:t>Total Participants</w:t>
            </w:r>
          </w:p>
          <w:p w:rsidR="00131F5F" w:rsidP="003246AA" w14:paraId="305027DD" w14:textId="77777777">
            <w:pPr>
              <w:rPr>
                <w:color w:val="000000"/>
              </w:rPr>
            </w:pPr>
            <w:r>
              <w:rPr>
                <w:color w:val="000000"/>
                <w:sz w:val="22"/>
                <w:szCs w:val="22"/>
              </w:rPr>
              <w:t>(Included above)</w:t>
            </w:r>
          </w:p>
        </w:tc>
        <w:tc>
          <w:tcPr>
            <w:tcW w:w="1523" w:type="dxa"/>
            <w:shd w:val="clear" w:color="auto" w:fill="FFFFFF"/>
          </w:tcPr>
          <w:p w:rsidR="00131F5F" w:rsidP="003246AA" w14:paraId="0E16120B" w14:textId="77777777">
            <w:pPr>
              <w:rPr>
                <w:color w:val="000000"/>
              </w:rPr>
            </w:pPr>
            <w:r>
              <w:rPr>
                <w:color w:val="000000"/>
              </w:rPr>
              <w:t>2,</w:t>
            </w:r>
            <w:r w:rsidR="00B92017">
              <w:rPr>
                <w:color w:val="000000"/>
              </w:rPr>
              <w:t xml:space="preserve">500 </w:t>
            </w:r>
          </w:p>
        </w:tc>
        <w:tc>
          <w:tcPr>
            <w:tcW w:w="1430" w:type="dxa"/>
            <w:shd w:val="clear" w:color="auto" w:fill="FFFFFF"/>
          </w:tcPr>
          <w:p w:rsidR="00131F5F" w:rsidP="003246AA" w14:paraId="7FBEF1C8" w14:textId="77777777">
            <w:pPr>
              <w:rPr>
                <w:color w:val="000000"/>
              </w:rPr>
            </w:pPr>
            <w:r>
              <w:rPr>
                <w:color w:val="000000"/>
              </w:rPr>
              <w:t>1</w:t>
            </w:r>
          </w:p>
        </w:tc>
        <w:tc>
          <w:tcPr>
            <w:tcW w:w="1177" w:type="dxa"/>
            <w:shd w:val="clear" w:color="auto" w:fill="FFFFFF"/>
          </w:tcPr>
          <w:p w:rsidR="00131F5F" w:rsidP="003246AA" w14:paraId="5B4E71ED" w14:textId="77777777">
            <w:pPr>
              <w:rPr>
                <w:color w:val="000000"/>
              </w:rPr>
            </w:pPr>
            <w:r>
              <w:rPr>
                <w:color w:val="000000"/>
              </w:rPr>
              <w:t>2</w:t>
            </w:r>
            <w:r w:rsidR="003F76E4">
              <w:rPr>
                <w:color w:val="000000"/>
              </w:rPr>
              <w:t>0</w:t>
            </w:r>
            <w:r>
              <w:rPr>
                <w:color w:val="000000"/>
              </w:rPr>
              <w:t xml:space="preserve"> minutes</w:t>
            </w:r>
          </w:p>
        </w:tc>
        <w:tc>
          <w:tcPr>
            <w:tcW w:w="990" w:type="dxa"/>
            <w:shd w:val="clear" w:color="auto" w:fill="FFFFFF"/>
          </w:tcPr>
          <w:p w:rsidR="00131F5F" w:rsidP="003246AA" w14:paraId="6B757D11" w14:textId="77777777">
            <w:pPr>
              <w:rPr>
                <w:color w:val="000000"/>
              </w:rPr>
            </w:pPr>
            <w:r>
              <w:rPr>
                <w:color w:val="000000"/>
              </w:rPr>
              <w:t>833</w:t>
            </w:r>
          </w:p>
        </w:tc>
        <w:tc>
          <w:tcPr>
            <w:tcW w:w="1069" w:type="dxa"/>
            <w:shd w:val="clear" w:color="auto" w:fill="FFFFFF"/>
          </w:tcPr>
          <w:p w:rsidR="00131F5F" w:rsidP="003246AA" w14:paraId="154BEB91" w14:textId="77777777">
            <w:pPr>
              <w:rPr>
                <w:color w:val="000000"/>
              </w:rPr>
            </w:pPr>
            <w:r>
              <w:rPr>
                <w:color w:val="000000"/>
              </w:rPr>
              <w:t>$</w:t>
            </w:r>
            <w:r w:rsidR="00B92017">
              <w:rPr>
                <w:color w:val="000000"/>
              </w:rPr>
              <w:t>28.01</w:t>
            </w:r>
          </w:p>
        </w:tc>
        <w:tc>
          <w:tcPr>
            <w:tcW w:w="1430" w:type="dxa"/>
            <w:shd w:val="clear" w:color="auto" w:fill="FFFFFF"/>
          </w:tcPr>
          <w:p w:rsidR="00131F5F" w:rsidP="003246AA" w14:paraId="1C98CCDB" w14:textId="77777777">
            <w:pPr>
              <w:rPr>
                <w:color w:val="000000"/>
              </w:rPr>
            </w:pPr>
            <w:r>
              <w:rPr>
                <w:color w:val="000000"/>
              </w:rPr>
              <w:t>$</w:t>
            </w:r>
            <w:r w:rsidR="003F76E4">
              <w:rPr>
                <w:color w:val="000000"/>
              </w:rPr>
              <w:t>23,342</w:t>
            </w:r>
          </w:p>
        </w:tc>
      </w:tr>
      <w:tr w14:paraId="35661E77" w14:textId="77777777" w:rsidTr="00131F5F">
        <w:tblPrEx>
          <w:tblW w:w="10062" w:type="dxa"/>
          <w:tblInd w:w="360" w:type="dxa"/>
          <w:shd w:val="clear" w:color="auto" w:fill="FFFFFF"/>
          <w:tblLook w:val="04A0"/>
        </w:tblPrEx>
        <w:tc>
          <w:tcPr>
            <w:tcW w:w="2443" w:type="dxa"/>
            <w:shd w:val="clear" w:color="auto" w:fill="FFFFFF"/>
          </w:tcPr>
          <w:p w:rsidR="00131F5F" w:rsidP="003246AA" w14:paraId="3342C3EF" w14:textId="77777777">
            <w:pPr>
              <w:rPr>
                <w:b/>
                <w:color w:val="000000"/>
              </w:rPr>
            </w:pPr>
            <w:r>
              <w:rPr>
                <w:b/>
                <w:color w:val="000000"/>
              </w:rPr>
              <w:t xml:space="preserve">Total </w:t>
            </w:r>
          </w:p>
          <w:p w:rsidR="00131F5F" w:rsidP="003246AA" w14:paraId="2363748E" w14:textId="77777777">
            <w:pPr>
              <w:rPr>
                <w:b/>
                <w:color w:val="000000"/>
                <w:sz w:val="22"/>
                <w:szCs w:val="22"/>
              </w:rPr>
            </w:pPr>
            <w:r>
              <w:rPr>
                <w:color w:val="000000"/>
                <w:sz w:val="22"/>
                <w:szCs w:val="22"/>
              </w:rPr>
              <w:t xml:space="preserve">(Response Rate = </w:t>
            </w:r>
            <w:r w:rsidR="004D7F70">
              <w:rPr>
                <w:color w:val="000000"/>
                <w:sz w:val="22"/>
                <w:szCs w:val="22"/>
              </w:rPr>
              <w:t>4.6</w:t>
            </w:r>
            <w:r>
              <w:rPr>
                <w:color w:val="000000"/>
                <w:sz w:val="22"/>
                <w:szCs w:val="22"/>
              </w:rPr>
              <w:t>%)</w:t>
            </w:r>
          </w:p>
        </w:tc>
        <w:tc>
          <w:tcPr>
            <w:tcW w:w="1523" w:type="dxa"/>
            <w:shd w:val="clear" w:color="auto" w:fill="FFFFFF"/>
          </w:tcPr>
          <w:p w:rsidR="00131F5F" w:rsidP="003246AA" w14:paraId="397B1F10" w14:textId="77777777">
            <w:pPr>
              <w:rPr>
                <w:b/>
                <w:bCs/>
                <w:color w:val="000000"/>
              </w:rPr>
            </w:pPr>
            <w:r w:rsidRPr="00C1116A">
              <w:rPr>
                <w:b/>
                <w:bCs/>
                <w:color w:val="000000"/>
              </w:rPr>
              <w:t>54,000</w:t>
            </w:r>
          </w:p>
        </w:tc>
        <w:tc>
          <w:tcPr>
            <w:tcW w:w="1430" w:type="dxa"/>
            <w:shd w:val="clear" w:color="auto" w:fill="FFFFFF"/>
          </w:tcPr>
          <w:p w:rsidR="00131F5F" w:rsidP="003246AA" w14:paraId="43637A7C" w14:textId="77777777">
            <w:pPr>
              <w:rPr>
                <w:b/>
                <w:color w:val="000000"/>
              </w:rPr>
            </w:pPr>
          </w:p>
        </w:tc>
        <w:tc>
          <w:tcPr>
            <w:tcW w:w="1177" w:type="dxa"/>
            <w:shd w:val="clear" w:color="auto" w:fill="FFFFFF"/>
          </w:tcPr>
          <w:p w:rsidR="00131F5F" w:rsidP="003246AA" w14:paraId="5A5EC06F" w14:textId="77777777">
            <w:pPr>
              <w:rPr>
                <w:b/>
                <w:color w:val="000000"/>
              </w:rPr>
            </w:pPr>
          </w:p>
        </w:tc>
        <w:tc>
          <w:tcPr>
            <w:tcW w:w="990" w:type="dxa"/>
            <w:shd w:val="clear" w:color="auto" w:fill="FFFFFF"/>
          </w:tcPr>
          <w:p w:rsidR="00131F5F" w:rsidP="003246AA" w14:paraId="000956EB" w14:textId="77777777">
            <w:pPr>
              <w:rPr>
                <w:b/>
                <w:color w:val="000000"/>
              </w:rPr>
            </w:pPr>
            <w:r>
              <w:rPr>
                <w:b/>
                <w:color w:val="000000"/>
              </w:rPr>
              <w:t>1,</w:t>
            </w:r>
            <w:r w:rsidR="003F76E4">
              <w:rPr>
                <w:b/>
                <w:color w:val="000000"/>
              </w:rPr>
              <w:t>283</w:t>
            </w:r>
          </w:p>
        </w:tc>
        <w:tc>
          <w:tcPr>
            <w:tcW w:w="1069" w:type="dxa"/>
            <w:shd w:val="clear" w:color="auto" w:fill="FFFFFF"/>
          </w:tcPr>
          <w:p w:rsidR="00131F5F" w:rsidP="003246AA" w14:paraId="01581AC4" w14:textId="77777777">
            <w:pPr>
              <w:rPr>
                <w:b/>
                <w:color w:val="000000"/>
              </w:rPr>
            </w:pPr>
          </w:p>
        </w:tc>
        <w:tc>
          <w:tcPr>
            <w:tcW w:w="1430" w:type="dxa"/>
            <w:shd w:val="clear" w:color="auto" w:fill="FFFFFF"/>
          </w:tcPr>
          <w:p w:rsidR="00131F5F" w:rsidP="003246AA" w14:paraId="2C0776D2" w14:textId="77777777">
            <w:pPr>
              <w:rPr>
                <w:b/>
                <w:color w:val="000000"/>
              </w:rPr>
            </w:pPr>
            <w:r>
              <w:rPr>
                <w:b/>
                <w:color w:val="000000"/>
              </w:rPr>
              <w:t>$</w:t>
            </w:r>
            <w:r w:rsidR="003F76E4">
              <w:rPr>
                <w:b/>
                <w:color w:val="000000"/>
              </w:rPr>
              <w:t>35,946</w:t>
            </w:r>
          </w:p>
        </w:tc>
      </w:tr>
    </w:tbl>
    <w:p w:rsidR="00371513" w:rsidP="00371513" w14:paraId="29AB7EAB" w14:textId="77777777">
      <w:pPr>
        <w:ind w:left="360"/>
        <w:rPr>
          <w:color w:val="000000"/>
          <w:sz w:val="20"/>
          <w:szCs w:val="20"/>
        </w:rPr>
      </w:pPr>
      <w:r>
        <w:rPr>
          <w:color w:val="000000"/>
          <w:sz w:val="20"/>
          <w:szCs w:val="20"/>
        </w:rPr>
        <w:t xml:space="preserve">*Totals may not appear to add correctly due to rounding.  </w:t>
      </w:r>
    </w:p>
    <w:p w:rsidR="00B40CDF" w:rsidP="00B40CDF" w14:paraId="33272BE1" w14:textId="77777777">
      <w:pPr>
        <w:tabs>
          <w:tab w:val="left" w:pos="1080"/>
        </w:tabs>
        <w:ind w:left="1080"/>
        <w:rPr>
          <w:color w:val="000000"/>
        </w:rPr>
      </w:pPr>
      <w:r>
        <w:rPr>
          <w:color w:val="000000"/>
        </w:rPr>
        <w:t xml:space="preserve"> </w:t>
      </w:r>
      <w:r w:rsidR="00371513">
        <w:rPr>
          <w:color w:val="000000"/>
        </w:rPr>
        <w:t xml:space="preserve"> </w:t>
      </w:r>
    </w:p>
    <w:p w:rsidR="00B40CDF" w:rsidP="00B40CDF" w14:paraId="00CB34B4" w14:textId="77777777">
      <w:pPr>
        <w:numPr>
          <w:ilvl w:val="1"/>
          <w:numId w:val="1"/>
        </w:numPr>
        <w:tabs>
          <w:tab w:val="left" w:pos="1080"/>
        </w:tabs>
        <w:rPr>
          <w:color w:val="000000"/>
        </w:rPr>
      </w:pPr>
      <w:r>
        <w:rPr>
          <w:color w:val="000000"/>
        </w:rPr>
        <w:t xml:space="preserve">  </w:t>
      </w:r>
      <w:r>
        <w:rPr>
          <w:color w:val="000000"/>
        </w:rPr>
        <w:t>Estimated Total Annual Cost Burden to Respondents</w:t>
      </w:r>
    </w:p>
    <w:p w:rsidR="00B40CDF" w:rsidP="00B40CDF" w14:paraId="0EB18854" w14:textId="77777777">
      <w:pPr>
        <w:tabs>
          <w:tab w:val="left" w:pos="1080"/>
        </w:tabs>
        <w:rPr>
          <w:color w:val="000000"/>
        </w:rPr>
      </w:pPr>
    </w:p>
    <w:p w:rsidR="00987114" w:rsidP="00987114" w14:paraId="4BC7B510" w14:textId="77777777">
      <w:pPr>
        <w:tabs>
          <w:tab w:val="left" w:pos="1080"/>
        </w:tabs>
        <w:ind w:left="1080"/>
        <w:rPr>
          <w:color w:val="000000"/>
        </w:rPr>
      </w:pPr>
      <w:r>
        <w:rPr>
          <w:color w:val="000000"/>
        </w:rPr>
        <w:t>There are no out-of-pocket costs to respondents.  The estimated total cost burden to respondents during this three-year approval period is estimated to be $</w:t>
      </w:r>
      <w:r w:rsidR="00DF1731">
        <w:rPr>
          <w:color w:val="000000"/>
        </w:rPr>
        <w:t>107,838</w:t>
      </w:r>
      <w:r w:rsidR="00987FB7">
        <w:rPr>
          <w:color w:val="000000"/>
        </w:rPr>
        <w:t xml:space="preserve"> ($</w:t>
      </w:r>
      <w:r w:rsidR="004D7F70">
        <w:rPr>
          <w:color w:val="000000"/>
        </w:rPr>
        <w:t>35,946</w:t>
      </w:r>
      <w:r w:rsidR="00987FB7">
        <w:rPr>
          <w:color w:val="000000"/>
        </w:rPr>
        <w:t xml:space="preserve"> annually)</w:t>
      </w:r>
      <w:r>
        <w:rPr>
          <w:color w:val="000000"/>
        </w:rPr>
        <w:t xml:space="preserve">, accounting for the value of their time. </w:t>
      </w:r>
    </w:p>
    <w:p w:rsidR="00987114" w:rsidP="00987114" w14:paraId="477A1525" w14:textId="77777777">
      <w:pPr>
        <w:ind w:left="1080"/>
        <w:rPr>
          <w:color w:val="000000"/>
        </w:rPr>
      </w:pPr>
    </w:p>
    <w:p w:rsidR="00987114" w:rsidP="00C062FB" w14:paraId="318A0502" w14:textId="6D4F5A16">
      <w:pPr>
        <w:ind w:left="1080"/>
        <w:rPr>
          <w:rFonts w:ascii="Arial" w:hAnsi="Arial" w:cs="Arial"/>
          <w:color w:val="000000"/>
          <w:sz w:val="20"/>
          <w:szCs w:val="20"/>
        </w:rPr>
      </w:pPr>
      <w:r>
        <w:rPr>
          <w:color w:val="000000"/>
        </w:rPr>
        <w:t>The surveys take place across the United States with all cross-sections of society.  This estimate was created using the mean hourly wage for all occupations ($</w:t>
      </w:r>
      <w:r w:rsidR="004D7F70">
        <w:rPr>
          <w:color w:val="000000"/>
        </w:rPr>
        <w:t>28.01</w:t>
      </w:r>
      <w:r>
        <w:rPr>
          <w:color w:val="000000"/>
        </w:rPr>
        <w:t xml:space="preserve">) </w:t>
      </w:r>
      <w:r>
        <w:rPr>
          <w:color w:val="000000"/>
        </w:rPr>
        <w:t xml:space="preserve">from the Bureau of Labor Statistics May </w:t>
      </w:r>
      <w:r w:rsidR="00CC16F4">
        <w:rPr>
          <w:color w:val="000000"/>
        </w:rPr>
        <w:t xml:space="preserve">2021 </w:t>
      </w:r>
      <w:r>
        <w:rPr>
          <w:color w:val="000000"/>
        </w:rPr>
        <w:t>National Occupational Employment and Wage Estimates - United States.</w:t>
      </w:r>
    </w:p>
    <w:p w:rsidR="00B40CDF" w:rsidP="00B40CDF" w14:paraId="16EEEC08" w14:textId="77777777">
      <w:pPr>
        <w:tabs>
          <w:tab w:val="left" w:pos="1080"/>
        </w:tabs>
        <w:rPr>
          <w:color w:val="000000"/>
        </w:rPr>
      </w:pPr>
    </w:p>
    <w:p w:rsidR="00B40CDF" w:rsidP="00EA1343" w14:paraId="66E19B43" w14:textId="77777777">
      <w:pPr>
        <w:numPr>
          <w:ilvl w:val="1"/>
          <w:numId w:val="1"/>
        </w:numPr>
        <w:tabs>
          <w:tab w:val="left" w:pos="1080"/>
        </w:tabs>
        <w:rPr>
          <w:color w:val="000000"/>
        </w:rPr>
      </w:pPr>
      <w:r>
        <w:rPr>
          <w:color w:val="000000"/>
        </w:rPr>
        <w:t xml:space="preserve">  </w:t>
      </w:r>
      <w:r w:rsidR="00EA1343">
        <w:rPr>
          <w:color w:val="000000"/>
        </w:rPr>
        <w:t>Estimated Annualized Cost to the Federal Government</w:t>
      </w:r>
    </w:p>
    <w:p w:rsidR="00EA1343" w:rsidP="00EA1343" w14:paraId="780E478E" w14:textId="77777777">
      <w:pPr>
        <w:tabs>
          <w:tab w:val="left" w:pos="1080"/>
        </w:tabs>
        <w:rPr>
          <w:color w:val="000000"/>
        </w:rPr>
      </w:pPr>
    </w:p>
    <w:p w:rsidR="00BE3BA5" w:rsidP="00FB3901" w14:paraId="56DC1A35" w14:textId="183FF1AF">
      <w:pPr>
        <w:tabs>
          <w:tab w:val="left" w:pos="1080"/>
        </w:tabs>
        <w:ind w:left="1080"/>
        <w:rPr>
          <w:color w:val="000000"/>
        </w:rPr>
      </w:pPr>
      <w:r>
        <w:rPr>
          <w:color w:val="000000"/>
        </w:rPr>
        <w:t xml:space="preserve">The cost to the government </w:t>
      </w:r>
      <w:r w:rsidR="003D12AD">
        <w:rPr>
          <w:color w:val="000000"/>
        </w:rPr>
        <w:t>over the three-year period is estimated to be $</w:t>
      </w:r>
      <w:r w:rsidR="00517393">
        <w:rPr>
          <w:color w:val="000000"/>
        </w:rPr>
        <w:t>1,</w:t>
      </w:r>
      <w:r w:rsidR="00CC16F4">
        <w:rPr>
          <w:color w:val="000000"/>
        </w:rPr>
        <w:t>486</w:t>
      </w:r>
      <w:r w:rsidR="00517393">
        <w:rPr>
          <w:color w:val="000000"/>
        </w:rPr>
        <w:t>,</w:t>
      </w:r>
      <w:r w:rsidR="00A10886">
        <w:rPr>
          <w:color w:val="000000"/>
        </w:rPr>
        <w:t>6</w:t>
      </w:r>
      <w:r w:rsidR="00517393">
        <w:rPr>
          <w:color w:val="000000"/>
        </w:rPr>
        <w:t>00</w:t>
      </w:r>
      <w:r>
        <w:rPr>
          <w:color w:val="000000"/>
        </w:rPr>
        <w:t xml:space="preserve"> </w:t>
      </w:r>
      <w:r w:rsidR="00FB3901">
        <w:rPr>
          <w:color w:val="000000"/>
        </w:rPr>
        <w:t xml:space="preserve"> </w:t>
      </w:r>
    </w:p>
    <w:p w:rsidR="00F24CC4" w:rsidP="00FB3901" w14:paraId="54E63466" w14:textId="4CAD60F0">
      <w:pPr>
        <w:tabs>
          <w:tab w:val="left" w:pos="1080"/>
        </w:tabs>
        <w:ind w:left="1080"/>
        <w:rPr>
          <w:color w:val="000000"/>
        </w:rPr>
      </w:pPr>
      <w:r>
        <w:rPr>
          <w:color w:val="000000"/>
        </w:rPr>
        <w:t>($</w:t>
      </w:r>
      <w:r w:rsidR="00CC16F4">
        <w:rPr>
          <w:color w:val="000000"/>
        </w:rPr>
        <w:t>471,500</w:t>
      </w:r>
      <w:r>
        <w:rPr>
          <w:color w:val="000000"/>
        </w:rPr>
        <w:t xml:space="preserve"> in </w:t>
      </w:r>
      <w:r w:rsidR="00CC16F4">
        <w:rPr>
          <w:color w:val="000000"/>
        </w:rPr>
        <w:t>2023</w:t>
      </w:r>
      <w:r>
        <w:rPr>
          <w:color w:val="000000"/>
        </w:rPr>
        <w:t>, $</w:t>
      </w:r>
      <w:r w:rsidR="00CC16F4">
        <w:rPr>
          <w:color w:val="000000"/>
        </w:rPr>
        <w:t>495,</w:t>
      </w:r>
      <w:r w:rsidR="00A10886">
        <w:rPr>
          <w:color w:val="000000"/>
        </w:rPr>
        <w:t>1</w:t>
      </w:r>
      <w:r w:rsidR="00CC16F4">
        <w:rPr>
          <w:color w:val="000000"/>
        </w:rPr>
        <w:t>00</w:t>
      </w:r>
      <w:r>
        <w:rPr>
          <w:color w:val="000000"/>
        </w:rPr>
        <w:t xml:space="preserve"> in </w:t>
      </w:r>
      <w:r w:rsidR="00CC16F4">
        <w:rPr>
          <w:color w:val="000000"/>
        </w:rPr>
        <w:t>2024</w:t>
      </w:r>
      <w:r>
        <w:rPr>
          <w:color w:val="000000"/>
        </w:rPr>
        <w:t>, and $</w:t>
      </w:r>
      <w:r w:rsidR="00CC16F4">
        <w:rPr>
          <w:color w:val="000000"/>
        </w:rPr>
        <w:t>520</w:t>
      </w:r>
      <w:r>
        <w:rPr>
          <w:color w:val="000000"/>
        </w:rPr>
        <w:t>,000 in 202</w:t>
      </w:r>
      <w:r w:rsidR="00CC16F4">
        <w:rPr>
          <w:color w:val="000000"/>
        </w:rPr>
        <w:t>5</w:t>
      </w:r>
      <w:r>
        <w:rPr>
          <w:color w:val="000000"/>
        </w:rPr>
        <w:t>).</w:t>
      </w:r>
      <w:r w:rsidR="00A42CBB">
        <w:rPr>
          <w:color w:val="000000"/>
        </w:rPr>
        <w:t xml:space="preserve"> </w:t>
      </w:r>
      <w:r w:rsidR="00FB3901">
        <w:rPr>
          <w:color w:val="000000"/>
        </w:rPr>
        <w:t xml:space="preserve">The final cost </w:t>
      </w:r>
      <w:r w:rsidR="00CC16F4">
        <w:rPr>
          <w:color w:val="000000"/>
        </w:rPr>
        <w:t xml:space="preserve">is likely to be significantly lower without phone </w:t>
      </w:r>
      <w:r w:rsidR="00FD741F">
        <w:rPr>
          <w:color w:val="000000"/>
        </w:rPr>
        <w:t>surveys and</w:t>
      </w:r>
      <w:r w:rsidR="00CC16F4">
        <w:rPr>
          <w:color w:val="000000"/>
        </w:rPr>
        <w:t xml:space="preserve"> </w:t>
      </w:r>
      <w:r w:rsidR="00FB3901">
        <w:rPr>
          <w:color w:val="000000"/>
        </w:rPr>
        <w:t xml:space="preserve">will </w:t>
      </w:r>
      <w:r w:rsidR="00F040F5">
        <w:rPr>
          <w:color w:val="000000"/>
        </w:rPr>
        <w:t xml:space="preserve">depend on </w:t>
      </w:r>
      <w:r w:rsidR="00CE4832">
        <w:rPr>
          <w:color w:val="000000"/>
        </w:rPr>
        <w:t xml:space="preserve">the </w:t>
      </w:r>
      <w:r w:rsidR="00FE4FC4">
        <w:rPr>
          <w:color w:val="000000"/>
        </w:rPr>
        <w:t>contractor’s</w:t>
      </w:r>
      <w:r w:rsidR="00CC16F4">
        <w:rPr>
          <w:color w:val="000000"/>
        </w:rPr>
        <w:t xml:space="preserve"> </w:t>
      </w:r>
      <w:r w:rsidR="00F040F5">
        <w:rPr>
          <w:color w:val="000000"/>
        </w:rPr>
        <w:t>negotiation of costs</w:t>
      </w:r>
      <w:r w:rsidR="00CC16F4">
        <w:rPr>
          <w:color w:val="000000"/>
        </w:rPr>
        <w:t>, which is pending,</w:t>
      </w:r>
      <w:r w:rsidR="00F040F5">
        <w:rPr>
          <w:color w:val="000000"/>
        </w:rPr>
        <w:t xml:space="preserve"> for a new </w:t>
      </w:r>
      <w:r w:rsidR="00CC16F4">
        <w:rPr>
          <w:color w:val="000000"/>
        </w:rPr>
        <w:t xml:space="preserve">Interagency Agreement starting </w:t>
      </w:r>
      <w:r w:rsidR="00C1116A">
        <w:rPr>
          <w:color w:val="000000"/>
        </w:rPr>
        <w:t xml:space="preserve">in </w:t>
      </w:r>
      <w:r w:rsidR="00CC16F4">
        <w:rPr>
          <w:color w:val="000000"/>
        </w:rPr>
        <w:t>2023</w:t>
      </w:r>
      <w:r w:rsidR="00C1116A">
        <w:rPr>
          <w:color w:val="000000"/>
        </w:rPr>
        <w:t>, the first</w:t>
      </w:r>
      <w:r w:rsidR="00CC16F4">
        <w:rPr>
          <w:color w:val="000000"/>
        </w:rPr>
        <w:t xml:space="preserve"> </w:t>
      </w:r>
      <w:r w:rsidR="00F040F5">
        <w:rPr>
          <w:color w:val="000000"/>
        </w:rPr>
        <w:t>year of</w:t>
      </w:r>
      <w:r w:rsidR="003D12AD">
        <w:rPr>
          <w:color w:val="000000"/>
        </w:rPr>
        <w:t xml:space="preserve"> </w:t>
      </w:r>
      <w:r w:rsidR="00FB3901">
        <w:rPr>
          <w:color w:val="000000"/>
        </w:rPr>
        <w:t xml:space="preserve">the </w:t>
      </w:r>
      <w:r w:rsidR="003D12AD">
        <w:rPr>
          <w:color w:val="000000"/>
        </w:rPr>
        <w:t>three-year</w:t>
      </w:r>
      <w:r w:rsidR="00FB3901">
        <w:rPr>
          <w:color w:val="000000"/>
        </w:rPr>
        <w:t xml:space="preserve"> period. </w:t>
      </w:r>
    </w:p>
    <w:p w:rsidR="00F24CC4" w:rsidP="00FB3901" w14:paraId="1E752265" w14:textId="77777777">
      <w:pPr>
        <w:tabs>
          <w:tab w:val="left" w:pos="1080"/>
        </w:tabs>
        <w:ind w:left="1080"/>
        <w:rPr>
          <w:color w:val="000000"/>
        </w:rPr>
      </w:pPr>
    </w:p>
    <w:p w:rsidR="00EA1343" w:rsidP="00FB3901" w14:paraId="0EB54167" w14:textId="77777777">
      <w:pPr>
        <w:tabs>
          <w:tab w:val="left" w:pos="1080"/>
        </w:tabs>
        <w:ind w:left="1080"/>
        <w:rPr>
          <w:color w:val="000000"/>
        </w:rPr>
      </w:pPr>
      <w:r>
        <w:rPr>
          <w:color w:val="000000"/>
        </w:rPr>
        <w:t xml:space="preserve">15.  </w:t>
      </w:r>
      <w:r w:rsidR="00B04466">
        <w:rPr>
          <w:color w:val="000000"/>
        </w:rPr>
        <w:t>Reasons for Change in Burden</w:t>
      </w:r>
    </w:p>
    <w:p w:rsidR="00B04466" w:rsidP="00B04466" w14:paraId="5A9AD58C" w14:textId="77777777">
      <w:pPr>
        <w:tabs>
          <w:tab w:val="left" w:pos="1080"/>
        </w:tabs>
        <w:ind w:left="1080"/>
        <w:rPr>
          <w:color w:val="000000"/>
        </w:rPr>
      </w:pPr>
    </w:p>
    <w:p w:rsidR="00B04466" w:rsidP="00EF4136" w14:paraId="00FF407E" w14:textId="77777777">
      <w:pPr>
        <w:tabs>
          <w:tab w:val="left" w:pos="1080"/>
        </w:tabs>
        <w:ind w:left="1080"/>
        <w:rPr>
          <w:color w:val="000000"/>
        </w:rPr>
      </w:pPr>
      <w:r>
        <w:rPr>
          <w:color w:val="000000"/>
        </w:rPr>
        <w:t>The methodology changed by dropping RDD phone surveys for individual tax filers and phone surveys relying on contact lists pulled from a business database company.</w:t>
      </w:r>
    </w:p>
    <w:p w:rsidR="00762F5D" w:rsidP="00EF4136" w14:paraId="5B59D313" w14:textId="77777777">
      <w:pPr>
        <w:tabs>
          <w:tab w:val="left" w:pos="1080"/>
        </w:tabs>
        <w:ind w:left="1080"/>
        <w:rPr>
          <w:color w:val="000000"/>
        </w:rPr>
      </w:pPr>
    </w:p>
    <w:p w:rsidR="00B04466" w:rsidP="004F0E2F" w14:paraId="20036DAD" w14:textId="77777777">
      <w:pPr>
        <w:numPr>
          <w:ilvl w:val="0"/>
          <w:numId w:val="5"/>
        </w:numPr>
        <w:rPr>
          <w:color w:val="000000"/>
        </w:rPr>
      </w:pPr>
      <w:r>
        <w:rPr>
          <w:color w:val="000000"/>
        </w:rPr>
        <w:t xml:space="preserve">  </w:t>
      </w:r>
      <w:r>
        <w:rPr>
          <w:color w:val="000000"/>
        </w:rPr>
        <w:t>Plans for Tabulation, Statistical Analysis and Publication</w:t>
      </w:r>
    </w:p>
    <w:p w:rsidR="00B04466" w:rsidP="00B04466" w14:paraId="3E9348C2" w14:textId="77777777">
      <w:pPr>
        <w:tabs>
          <w:tab w:val="left" w:pos="1080"/>
        </w:tabs>
        <w:rPr>
          <w:color w:val="000000"/>
        </w:rPr>
      </w:pPr>
    </w:p>
    <w:p w:rsidR="00614F41" w:rsidP="00C062FB" w14:paraId="335B1C2F" w14:textId="77777777">
      <w:pPr>
        <w:ind w:left="1080"/>
        <w:rPr>
          <w:color w:val="000000"/>
        </w:rPr>
      </w:pPr>
      <w:r>
        <w:rPr>
          <w:color w:val="000000"/>
        </w:rPr>
        <w:t xml:space="preserve">The data will be collected using online surveys in August and September of each year. Data from the surveys will contain no sensitive personally identifiable information and will be assembled into a database in which responses are anonymous and tabulated into aggregate level results that summarize taxpayer </w:t>
      </w:r>
      <w:r w:rsidR="006D1646">
        <w:rPr>
          <w:color w:val="000000"/>
        </w:rPr>
        <w:t>customer satisfaction attitudes and perceptions</w:t>
      </w:r>
      <w:r>
        <w:rPr>
          <w:color w:val="000000"/>
        </w:rPr>
        <w:t>, and their relationships to key characteristics such</w:t>
      </w:r>
      <w:r w:rsidR="006D1646">
        <w:rPr>
          <w:color w:val="000000"/>
        </w:rPr>
        <w:t xml:space="preserve"> as income,</w:t>
      </w:r>
      <w:r>
        <w:rPr>
          <w:color w:val="000000"/>
        </w:rPr>
        <w:t xml:space="preserve"> </w:t>
      </w:r>
      <w:r w:rsidR="006D1646">
        <w:rPr>
          <w:color w:val="000000"/>
        </w:rPr>
        <w:t>education</w:t>
      </w:r>
      <w:r>
        <w:rPr>
          <w:color w:val="000000"/>
        </w:rPr>
        <w:t xml:space="preserve"> and age. </w:t>
      </w:r>
      <w:r>
        <w:rPr>
          <w:iCs/>
          <w:snapToGrid w:val="0"/>
          <w:color w:val="000000"/>
        </w:rPr>
        <w:t xml:space="preserve">The data will </w:t>
      </w:r>
      <w:r>
        <w:rPr>
          <w:color w:val="000000"/>
        </w:rPr>
        <w:t xml:space="preserve">help RAAS to </w:t>
      </w:r>
      <w:r w:rsidR="006D1646">
        <w:rPr>
          <w:color w:val="000000"/>
        </w:rPr>
        <w:t xml:space="preserve">better understand taxpayers’ concerns and </w:t>
      </w:r>
      <w:r>
        <w:rPr>
          <w:color w:val="000000"/>
        </w:rPr>
        <w:t>further develop general service improvement in tax administration.</w:t>
      </w:r>
    </w:p>
    <w:p w:rsidR="00614F41" w:rsidP="00C062FB" w14:paraId="49550B85" w14:textId="77777777">
      <w:pPr>
        <w:ind w:left="1080"/>
        <w:rPr>
          <w:color w:val="000000"/>
          <w:sz w:val="16"/>
          <w:szCs w:val="16"/>
        </w:rPr>
      </w:pPr>
    </w:p>
    <w:p w:rsidR="00275B51" w:rsidP="00B04466" w14:paraId="5EA7BBFD" w14:textId="77777777">
      <w:pPr>
        <w:tabs>
          <w:tab w:val="left" w:pos="1080"/>
        </w:tabs>
        <w:ind w:left="1080"/>
        <w:rPr>
          <w:color w:val="000000"/>
        </w:rPr>
      </w:pPr>
      <w:r>
        <w:rPr>
          <w:snapToGrid w:val="0"/>
          <w:color w:val="000000"/>
        </w:rPr>
        <w:t xml:space="preserve">Because the expected response rate is less than 50%, no critical decisions will be made solely from the analysis of the data from this survey. The results of this survey are simply one piece of a larger set of information needed to assess taxpayers’ </w:t>
      </w:r>
      <w:r w:rsidR="004532EC">
        <w:rPr>
          <w:snapToGrid w:val="0"/>
          <w:color w:val="000000"/>
        </w:rPr>
        <w:t xml:space="preserve">satisfaction </w:t>
      </w:r>
      <w:r>
        <w:rPr>
          <w:snapToGrid w:val="0"/>
          <w:color w:val="000000"/>
        </w:rPr>
        <w:t xml:space="preserve">and </w:t>
      </w:r>
      <w:r w:rsidR="004532EC">
        <w:rPr>
          <w:snapToGrid w:val="0"/>
          <w:color w:val="000000"/>
        </w:rPr>
        <w:t>perceptions</w:t>
      </w:r>
      <w:r>
        <w:rPr>
          <w:snapToGrid w:val="0"/>
          <w:color w:val="000000"/>
        </w:rPr>
        <w:t xml:space="preserve">.  </w:t>
      </w:r>
    </w:p>
    <w:p w:rsidR="00275B51" w:rsidRPr="00BF6DED" w:rsidP="00B04466" w14:paraId="63E3CE79" w14:textId="77777777">
      <w:pPr>
        <w:tabs>
          <w:tab w:val="left" w:pos="1080"/>
        </w:tabs>
        <w:ind w:left="1080"/>
        <w:rPr>
          <w:color w:val="FF0000"/>
        </w:rPr>
      </w:pPr>
    </w:p>
    <w:p w:rsidR="001A0CE1" w:rsidP="004F0E2F" w14:paraId="3574D192" w14:textId="77777777">
      <w:pPr>
        <w:numPr>
          <w:ilvl w:val="0"/>
          <w:numId w:val="5"/>
        </w:numPr>
        <w:rPr>
          <w:color w:val="000000"/>
        </w:rPr>
      </w:pPr>
      <w:r>
        <w:rPr>
          <w:color w:val="000000"/>
        </w:rPr>
        <w:t xml:space="preserve">  </w:t>
      </w:r>
      <w:r>
        <w:rPr>
          <w:color w:val="000000"/>
        </w:rPr>
        <w:t>Reasons why Displaying the OMB Expiration Date is Inappropriate</w:t>
      </w:r>
    </w:p>
    <w:p w:rsidR="001A0CE1" w:rsidP="001A0CE1" w14:paraId="5D98B12B" w14:textId="77777777">
      <w:pPr>
        <w:tabs>
          <w:tab w:val="left" w:pos="1080"/>
        </w:tabs>
        <w:ind w:left="1080"/>
        <w:rPr>
          <w:color w:val="000000"/>
        </w:rPr>
      </w:pPr>
    </w:p>
    <w:p w:rsidR="00B04466" w:rsidP="00C062FB" w14:paraId="45D1A460" w14:textId="77777777">
      <w:pPr>
        <w:pStyle w:val="ListParagraph"/>
        <w:ind w:left="1080"/>
        <w:rPr>
          <w:color w:val="000000"/>
        </w:rPr>
      </w:pPr>
      <w:r>
        <w:rPr>
          <w:color w:val="000000"/>
        </w:rPr>
        <w:t xml:space="preserve">IRS is seeking approval to not display the expiration date for OMB approval, as this is a limited-duration collection and disclosure over the </w:t>
      </w:r>
      <w:r w:rsidR="004532EC">
        <w:rPr>
          <w:color w:val="000000"/>
        </w:rPr>
        <w:t xml:space="preserve">screen </w:t>
      </w:r>
      <w:r>
        <w:rPr>
          <w:color w:val="000000"/>
        </w:rPr>
        <w:t xml:space="preserve">adds time and complexity to the script. </w:t>
      </w:r>
      <w:r w:rsidR="001A0CE1">
        <w:rPr>
          <w:color w:val="000000"/>
        </w:rPr>
        <w:t xml:space="preserve">Displaying the expiration date may cause problems with respondents for data collection programs that overlap the three-year authorization periods.  Would-be respondents might be inclined to refuse to participate if the form carries an authorization date that is expired or is soon to expire.  </w:t>
      </w:r>
    </w:p>
    <w:p w:rsidR="00CF4B40" w:rsidRPr="00BF6DED" w:rsidP="001A0CE1" w14:paraId="169BC3FB" w14:textId="77777777">
      <w:pPr>
        <w:tabs>
          <w:tab w:val="left" w:pos="1080"/>
        </w:tabs>
        <w:ind w:left="1080"/>
        <w:rPr>
          <w:color w:val="FF0000"/>
        </w:rPr>
      </w:pPr>
    </w:p>
    <w:p w:rsidR="00A406C6" w:rsidRPr="00A406C6" w:rsidP="00A406C6" w14:paraId="2F585D2C" w14:textId="77777777">
      <w:pPr>
        <w:numPr>
          <w:ilvl w:val="0"/>
          <w:numId w:val="5"/>
        </w:numPr>
        <w:rPr>
          <w:color w:val="000000"/>
        </w:rPr>
      </w:pPr>
      <w:r w:rsidRPr="00A406C6">
        <w:rPr>
          <w:color w:val="000000"/>
        </w:rPr>
        <w:t xml:space="preserve">  </w:t>
      </w:r>
      <w:r w:rsidRPr="00A406C6">
        <w:rPr>
          <w:color w:val="000000"/>
        </w:rPr>
        <w:t>Exceptions to Certification for Paperwork Reduction Act Submissions</w:t>
      </w:r>
    </w:p>
    <w:p w:rsidR="00A406C6" w:rsidP="00A406C6" w14:paraId="5D8F1F2D" w14:textId="77777777">
      <w:pPr>
        <w:ind w:left="1440"/>
        <w:rPr>
          <w:color w:val="000000"/>
        </w:rPr>
      </w:pPr>
    </w:p>
    <w:p w:rsidR="00A406C6" w:rsidRPr="00A406C6" w:rsidP="00A406C6" w14:paraId="6BFB1F53" w14:textId="03FEB5BF">
      <w:pPr>
        <w:ind w:left="1440"/>
        <w:rPr>
          <w:color w:val="000000"/>
        </w:rPr>
      </w:pPr>
      <w:r w:rsidRPr="00A406C6">
        <w:rPr>
          <w:color w:val="000000"/>
        </w:rPr>
        <w:t>These activities comply with the requirements in 5 CFR 1320.9.</w:t>
      </w:r>
    </w:p>
    <w:p w:rsidR="00A406C6" w:rsidP="00A406C6" w14:paraId="65CAA774" w14:textId="77777777">
      <w:pPr>
        <w:rPr>
          <w:color w:val="000000"/>
        </w:rPr>
      </w:pPr>
    </w:p>
    <w:p w:rsidR="00A406C6" w:rsidRPr="00A406C6" w:rsidP="00A406C6" w14:paraId="70B5727B" w14:textId="77777777">
      <w:pPr>
        <w:numPr>
          <w:ilvl w:val="0"/>
          <w:numId w:val="5"/>
        </w:numPr>
        <w:rPr>
          <w:color w:val="000000"/>
        </w:rPr>
      </w:pPr>
      <w:r w:rsidRPr="00A406C6">
        <w:rPr>
          <w:color w:val="000000"/>
        </w:rPr>
        <w:t xml:space="preserve">Dates Collection of Information will Begin and End </w:t>
      </w:r>
    </w:p>
    <w:p w:rsidR="00A406C6" w:rsidRPr="00A406C6" w:rsidP="00A406C6" w14:paraId="7BF5CE65" w14:textId="726F7AA0">
      <w:pPr>
        <w:ind w:left="1440"/>
        <w:rPr>
          <w:color w:val="000000"/>
        </w:rPr>
      </w:pPr>
      <w:r>
        <w:rPr>
          <w:color w:val="000000"/>
        </w:rPr>
        <w:t>8/1</w:t>
      </w:r>
      <w:r w:rsidRPr="00A406C6">
        <w:rPr>
          <w:color w:val="000000"/>
        </w:rPr>
        <w:t>/2023-</w:t>
      </w:r>
      <w:r>
        <w:rPr>
          <w:color w:val="000000"/>
        </w:rPr>
        <w:t>8</w:t>
      </w:r>
      <w:r w:rsidRPr="00A406C6">
        <w:rPr>
          <w:color w:val="000000"/>
        </w:rPr>
        <w:t>/1/202</w:t>
      </w:r>
      <w:r>
        <w:rPr>
          <w:color w:val="000000"/>
        </w:rPr>
        <w:t>6</w:t>
      </w:r>
    </w:p>
    <w:p w:rsidR="00A406C6" w:rsidP="00E72C71" w14:paraId="47D3959E" w14:textId="77777777">
      <w:pPr>
        <w:tabs>
          <w:tab w:val="left" w:pos="1080"/>
        </w:tabs>
        <w:rPr>
          <w:color w:val="000000"/>
        </w:rPr>
      </w:pPr>
    </w:p>
    <w:p w:rsidR="00B6418E" w:rsidP="00E72C71" w14:paraId="51BB19E9" w14:textId="11DDD404">
      <w:pPr>
        <w:tabs>
          <w:tab w:val="left" w:pos="1080"/>
        </w:tabs>
        <w:rPr>
          <w:color w:val="000000"/>
        </w:rPr>
      </w:pPr>
    </w:p>
    <w:p w:rsidR="00B6418E" w:rsidP="00B6418E" w14:paraId="6404A937" w14:textId="77777777">
      <w:pPr>
        <w:ind w:firstLine="720"/>
        <w:rPr>
          <w:color w:val="000000"/>
        </w:rPr>
      </w:pPr>
      <w:r>
        <w:t xml:space="preserve">B.  </w:t>
      </w:r>
      <w:r>
        <w:rPr>
          <w:color w:val="000000"/>
        </w:rPr>
        <w:t>Collections of Information Employing Statistical Methods.</w:t>
      </w:r>
      <w:r>
        <w:rPr>
          <w:color w:val="000000"/>
        </w:rPr>
        <w:tab/>
      </w:r>
    </w:p>
    <w:p w:rsidR="00B6418E" w:rsidP="00B6418E" w14:paraId="21DC7C39" w14:textId="77777777">
      <w:pPr>
        <w:ind w:left="1080"/>
        <w:rPr>
          <w:color w:val="000000"/>
        </w:rPr>
      </w:pPr>
    </w:p>
    <w:p w:rsidR="00B6418E" w:rsidP="00B6418E" w14:paraId="229656FF" w14:textId="77777777">
      <w:pPr>
        <w:numPr>
          <w:ilvl w:val="0"/>
          <w:numId w:val="3"/>
        </w:numPr>
        <w:rPr>
          <w:color w:val="000000"/>
        </w:rPr>
      </w:pPr>
      <w:r>
        <w:rPr>
          <w:color w:val="000000"/>
        </w:rPr>
        <w:t>Universe and Respondent Selection</w:t>
      </w:r>
    </w:p>
    <w:p w:rsidR="00B6418E" w:rsidRPr="00D72137" w:rsidP="00B6418E" w14:paraId="7C9448A1" w14:textId="77777777">
      <w:pPr>
        <w:ind w:left="1080"/>
        <w:rPr>
          <w:color w:val="FF0000"/>
        </w:rPr>
      </w:pPr>
    </w:p>
    <w:p w:rsidR="00B6418E" w:rsidP="00B6418E" w14:paraId="5FB33A14" w14:textId="77777777">
      <w:pPr>
        <w:ind w:left="1080"/>
        <w:rPr>
          <w:color w:val="000000"/>
        </w:rPr>
      </w:pPr>
      <w:r>
        <w:rPr>
          <w:color w:val="000000"/>
        </w:rPr>
        <w:t xml:space="preserve">Taxpayers over the age of 18 that match the demographic characteristics of the U.S. population and corporations will be reached via vendor’s representative online panel. </w:t>
      </w:r>
    </w:p>
    <w:p w:rsidR="00B6418E" w:rsidP="00B6418E" w14:paraId="79C7F930" w14:textId="77777777">
      <w:pPr>
        <w:ind w:left="1080"/>
        <w:rPr>
          <w:color w:val="000000"/>
        </w:rPr>
      </w:pPr>
    </w:p>
    <w:p w:rsidR="00B6418E" w:rsidP="00B6418E" w14:paraId="07AFA42C" w14:textId="77777777">
      <w:pPr>
        <w:numPr>
          <w:ilvl w:val="0"/>
          <w:numId w:val="3"/>
        </w:numPr>
        <w:rPr>
          <w:color w:val="000000"/>
        </w:rPr>
      </w:pPr>
      <w:r>
        <w:rPr>
          <w:color w:val="000000"/>
        </w:rPr>
        <w:t>Procedures for Collecting Information</w:t>
      </w:r>
    </w:p>
    <w:p w:rsidR="00B6418E" w:rsidRPr="00D72137" w:rsidP="00B6418E" w14:paraId="7839D7AA" w14:textId="77777777">
      <w:pPr>
        <w:ind w:left="720"/>
        <w:rPr>
          <w:color w:val="FF0000"/>
        </w:rPr>
      </w:pPr>
    </w:p>
    <w:p w:rsidR="00B6418E" w:rsidP="00B6418E" w14:paraId="5E1390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r>
        <w:rPr>
          <w:color w:val="000000"/>
        </w:rPr>
        <w:t xml:space="preserve">The respondent selection method will take place as follows: IRS has identified four American Customer Satisfaction Index (ACSI) survey customer segments, individual paper tax filers, individual electronic tax filers, small corporate tax filers, and large corporate tax filers.  Respondents will be recruited through an online panel vendor to achieve representative samples of continental US households or businesses registered as participants in the vendor’s business online survey panel. </w:t>
      </w:r>
    </w:p>
    <w:p w:rsidR="00B6418E" w:rsidP="00B6418E" w14:paraId="2FAE1A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p>
    <w:p w:rsidR="00B6418E" w:rsidP="00B6418E" w14:paraId="4529F38F" w14:textId="77777777">
      <w:pPr>
        <w:pStyle w:val="BodyTextFirstIndent"/>
        <w:spacing w:after="0"/>
        <w:ind w:left="1080" w:firstLine="0"/>
        <w:rPr>
          <w:color w:val="000000"/>
        </w:rPr>
      </w:pPr>
      <w:r>
        <w:rPr>
          <w:color w:val="000000"/>
        </w:rPr>
        <w:t>The ACSI survey will drop RDD phone surveys and phone surveys relying on a business database company’s contact lists in favor of online panel random sampling to ensure a representative sample of the general public and businesses. Claes Fornell International (CFI), the Federal Consulting Group’s (FCG) ACSI vendor for the Federal Government, will analyze a total of 2,500 completed online surveys, consisting of individual electronic and paper filers (2,000) and small and large corporate filers (250 each), for a margin of error of +/- 2% at the 90% confidence level for individual tax filers and +/-5% at a 90% confidence level for corporate tax filers. The survey is unchanged from 2022 and will take an average of 20 minutes to complete.</w:t>
      </w:r>
    </w:p>
    <w:p w:rsidR="00B6418E" w:rsidP="00B6418E" w14:paraId="75718D70" w14:textId="77777777">
      <w:pPr>
        <w:pStyle w:val="BodyTextFirstIndent"/>
        <w:spacing w:after="0"/>
        <w:ind w:left="1080" w:firstLine="0"/>
        <w:rPr>
          <w:color w:val="000000"/>
        </w:rPr>
      </w:pPr>
    </w:p>
    <w:p w:rsidR="00B6418E" w:rsidP="00B6418E" w14:paraId="204BEF63" w14:textId="77777777">
      <w:pPr>
        <w:pStyle w:val="ListParagraph"/>
        <w:ind w:left="1080"/>
        <w:rPr>
          <w:b/>
          <w:bCs/>
          <w:color w:val="000000"/>
          <w:lang w:val="en"/>
        </w:rPr>
      </w:pPr>
      <w:r>
        <w:rPr>
          <w:b/>
          <w:bCs/>
          <w:color w:val="000000"/>
          <w:lang w:val="en"/>
        </w:rPr>
        <w:t>Potential respondent universe</w:t>
      </w:r>
    </w:p>
    <w:p w:rsidR="00B6418E" w:rsidP="00B6418E" w14:paraId="1C2B5972" w14:textId="77777777">
      <w:pPr>
        <w:pStyle w:val="ListParagraph"/>
        <w:ind w:left="1080"/>
        <w:rPr>
          <w:color w:val="000000"/>
        </w:rPr>
      </w:pPr>
      <w:r>
        <w:rPr>
          <w:bCs/>
          <w:color w:val="000000"/>
          <w:lang w:val="en"/>
        </w:rPr>
        <w:t>Adult</w:t>
      </w:r>
      <w:r>
        <w:rPr>
          <w:color w:val="000000"/>
          <w:lang w:val="en"/>
        </w:rPr>
        <w:t xml:space="preserve"> population (18 years or older) in the United States</w:t>
      </w:r>
    </w:p>
    <w:p w:rsidR="00B6418E" w:rsidP="00B6418E" w14:paraId="461331E5" w14:textId="77777777">
      <w:pPr>
        <w:pStyle w:val="ListParagraph"/>
        <w:ind w:left="1080"/>
        <w:rPr>
          <w:b/>
          <w:bCs/>
          <w:color w:val="000000"/>
          <w:lang w:val="en"/>
        </w:rPr>
      </w:pPr>
    </w:p>
    <w:p w:rsidR="00B6418E" w:rsidP="00B6418E" w14:paraId="696E02F8" w14:textId="77777777">
      <w:pPr>
        <w:pStyle w:val="ListParagraph"/>
        <w:ind w:left="1080"/>
        <w:rPr>
          <w:b/>
          <w:bCs/>
          <w:color w:val="000000"/>
          <w:lang w:val="en"/>
        </w:rPr>
      </w:pPr>
      <w:r>
        <w:rPr>
          <w:b/>
          <w:bCs/>
          <w:color w:val="000000"/>
          <w:lang w:val="en"/>
        </w:rPr>
        <w:t>Numerical Estimate of the respondent universe</w:t>
      </w:r>
    </w:p>
    <w:p w:rsidR="00B6418E" w:rsidP="00B6418E" w14:paraId="3C74C9B2" w14:textId="77777777">
      <w:pPr>
        <w:pStyle w:val="ListParagraph"/>
        <w:ind w:left="1080"/>
        <w:rPr>
          <w:color w:val="000000"/>
          <w:lang w:val="en"/>
        </w:rPr>
      </w:pPr>
      <w:r>
        <w:rPr>
          <w:color w:val="000000"/>
          <w:lang w:val="en"/>
        </w:rPr>
        <w:t>258,672,000 based on 2021 population projections from US Census Bureau for 2017 to 2060.</w:t>
      </w:r>
    </w:p>
    <w:p w:rsidR="00B6418E" w:rsidP="00B6418E" w14:paraId="676A9731" w14:textId="77777777">
      <w:pPr>
        <w:pStyle w:val="ListParagraph"/>
        <w:ind w:left="1080"/>
        <w:rPr>
          <w:color w:val="000000"/>
        </w:rPr>
      </w:pPr>
    </w:p>
    <w:p w:rsidR="00B6418E" w:rsidP="00B6418E" w14:paraId="7F37115B" w14:textId="77777777">
      <w:pPr>
        <w:pStyle w:val="ListParagraph"/>
        <w:ind w:left="1080"/>
        <w:rPr>
          <w:b/>
          <w:color w:val="000000"/>
        </w:rPr>
      </w:pPr>
      <w:r>
        <w:rPr>
          <w:b/>
          <w:color w:val="000000"/>
        </w:rPr>
        <w:t>Number of Entities</w:t>
      </w:r>
    </w:p>
    <w:tbl>
      <w:tblPr>
        <w:tblW w:w="9378" w:type="dxa"/>
        <w:tblInd w:w="1140" w:type="dxa"/>
        <w:tblCellMar>
          <w:left w:w="0" w:type="dxa"/>
          <w:right w:w="0" w:type="dxa"/>
        </w:tblCellMar>
        <w:tblLook w:val="04A0"/>
      </w:tblPr>
      <w:tblGrid>
        <w:gridCol w:w="1638"/>
        <w:gridCol w:w="2616"/>
        <w:gridCol w:w="2784"/>
        <w:gridCol w:w="2340"/>
      </w:tblGrid>
      <w:tr w14:paraId="24405B2A" w14:textId="77777777" w:rsidTr="00A12E74">
        <w:tblPrEx>
          <w:tblW w:w="9378" w:type="dxa"/>
          <w:tblInd w:w="1140" w:type="dxa"/>
          <w:tblCellMar>
            <w:left w:w="0" w:type="dxa"/>
            <w:right w:w="0" w:type="dxa"/>
          </w:tblCellMar>
          <w:tblLook w:val="04A0"/>
        </w:tblPrEx>
        <w:trPr>
          <w:trHeight w:val="864"/>
        </w:trPr>
        <w:tc>
          <w:tcPr>
            <w:tcW w:w="1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418E" w:rsidP="00A12E74" w14:paraId="7EA1D919" w14:textId="77777777">
            <w:pPr>
              <w:jc w:val="center"/>
              <w:rPr>
                <w:color w:val="000000"/>
              </w:rPr>
            </w:pPr>
            <w:r>
              <w:rPr>
                <w:b/>
                <w:bCs/>
                <w:color w:val="000000"/>
              </w:rPr>
              <w:t>Data Collection Method</w:t>
            </w:r>
          </w:p>
        </w:tc>
        <w:tc>
          <w:tcPr>
            <w:tcW w:w="2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418E" w:rsidP="00A12E74" w14:paraId="22129CD4" w14:textId="77777777">
            <w:pPr>
              <w:jc w:val="center"/>
              <w:rPr>
                <w:color w:val="000000"/>
              </w:rPr>
            </w:pPr>
            <w:r>
              <w:rPr>
                <w:b/>
                <w:bCs/>
                <w:color w:val="000000"/>
              </w:rPr>
              <w:t xml:space="preserve">Potential Respondent Universe </w:t>
            </w:r>
          </w:p>
          <w:p w:rsidR="00B6418E" w:rsidP="00A12E74" w14:paraId="3F173786" w14:textId="77777777">
            <w:pPr>
              <w:jc w:val="center"/>
              <w:rPr>
                <w:color w:val="000000"/>
              </w:rPr>
            </w:pPr>
            <w:r>
              <w:rPr>
                <w:b/>
                <w:bCs/>
                <w:color w:val="000000"/>
              </w:rPr>
              <w:t>(adults 18+ in US)</w:t>
            </w:r>
          </w:p>
        </w:tc>
        <w:tc>
          <w:tcPr>
            <w:tcW w:w="27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418E" w:rsidP="00A12E74" w14:paraId="78B9E698" w14:textId="77777777">
            <w:pPr>
              <w:jc w:val="center"/>
              <w:rPr>
                <w:color w:val="000000"/>
              </w:rPr>
            </w:pPr>
            <w:r>
              <w:rPr>
                <w:b/>
                <w:bCs/>
                <w:color w:val="000000"/>
              </w:rPr>
              <w:t xml:space="preserve">Requested for participation </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418E" w:rsidP="00A12E74" w14:paraId="0ED04A09" w14:textId="77777777">
            <w:pPr>
              <w:jc w:val="center"/>
              <w:rPr>
                <w:color w:val="000000"/>
              </w:rPr>
            </w:pPr>
            <w:r>
              <w:rPr>
                <w:b/>
                <w:bCs/>
                <w:color w:val="000000"/>
              </w:rPr>
              <w:t xml:space="preserve">Participants in the survey </w:t>
            </w:r>
          </w:p>
          <w:p w:rsidR="00B6418E" w:rsidP="00A12E74" w14:paraId="67B4F5A3" w14:textId="77777777">
            <w:pPr>
              <w:jc w:val="center"/>
              <w:rPr>
                <w:color w:val="000000"/>
              </w:rPr>
            </w:pPr>
            <w:r>
              <w:rPr>
                <w:b/>
                <w:bCs/>
                <w:color w:val="000000"/>
              </w:rPr>
              <w:t>(survey sample size)</w:t>
            </w:r>
          </w:p>
        </w:tc>
      </w:tr>
      <w:tr w14:paraId="4729971C" w14:textId="77777777" w:rsidTr="00A12E74">
        <w:tblPrEx>
          <w:tblW w:w="9378" w:type="dxa"/>
          <w:tblInd w:w="1140" w:type="dxa"/>
          <w:tblCellMar>
            <w:left w:w="0" w:type="dxa"/>
            <w:right w:w="0" w:type="dxa"/>
          </w:tblCellMar>
          <w:tblLook w:val="04A0"/>
        </w:tblPrEx>
        <w:trPr>
          <w:trHeight w:val="288"/>
        </w:trPr>
        <w:tc>
          <w:tcPr>
            <w:tcW w:w="16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6418E" w:rsidP="00A12E74" w14:paraId="53F611C7" w14:textId="77777777">
            <w:pPr>
              <w:rPr>
                <w:color w:val="000000"/>
              </w:rPr>
            </w:pPr>
            <w:r>
              <w:rPr>
                <w:color w:val="000000"/>
              </w:rPr>
              <w:t xml:space="preserve">Online </w:t>
            </w:r>
          </w:p>
        </w:tc>
        <w:tc>
          <w:tcPr>
            <w:tcW w:w="26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418E" w:rsidP="00A12E74" w14:paraId="2214EFFD" w14:textId="77777777">
            <w:pPr>
              <w:jc w:val="center"/>
              <w:rPr>
                <w:color w:val="000000"/>
              </w:rPr>
            </w:pPr>
            <w:r>
              <w:rPr>
                <w:color w:val="000000"/>
              </w:rPr>
              <w:t>                    </w:t>
            </w:r>
            <w:r>
              <w:rPr>
                <w:color w:val="000000"/>
                <w:lang w:val="en"/>
              </w:rPr>
              <w:t>258,672,000</w:t>
            </w:r>
          </w:p>
        </w:tc>
        <w:tc>
          <w:tcPr>
            <w:tcW w:w="27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418E" w:rsidP="00A12E74" w14:paraId="18477795" w14:textId="77777777">
            <w:pPr>
              <w:jc w:val="center"/>
              <w:rPr>
                <w:color w:val="000000"/>
              </w:rPr>
            </w:pPr>
            <w:r>
              <w:rPr>
                <w:color w:val="000000"/>
              </w:rPr>
              <w:t>54,000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418E" w:rsidP="00A12E74" w14:paraId="08C34B3A" w14:textId="77777777">
            <w:pPr>
              <w:jc w:val="center"/>
              <w:rPr>
                <w:color w:val="000000"/>
              </w:rPr>
            </w:pPr>
            <w:r>
              <w:rPr>
                <w:color w:val="000000"/>
              </w:rPr>
              <w:t>2,500</w:t>
            </w:r>
          </w:p>
        </w:tc>
      </w:tr>
      <w:tr w14:paraId="15DBCB39" w14:textId="77777777" w:rsidTr="00A12E74">
        <w:tblPrEx>
          <w:tblW w:w="9378" w:type="dxa"/>
          <w:tblInd w:w="1140" w:type="dxa"/>
          <w:tblCellMar>
            <w:left w:w="0" w:type="dxa"/>
            <w:right w:w="0" w:type="dxa"/>
          </w:tblCellMar>
          <w:tblLook w:val="04A0"/>
        </w:tblPrEx>
        <w:trPr>
          <w:trHeight w:val="288"/>
        </w:trPr>
        <w:tc>
          <w:tcPr>
            <w:tcW w:w="16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6418E" w:rsidP="00A12E74" w14:paraId="2196D900" w14:textId="77777777">
            <w:pPr>
              <w:rPr>
                <w:b/>
                <w:bCs/>
                <w:color w:val="000000"/>
              </w:rPr>
            </w:pPr>
            <w:r>
              <w:rPr>
                <w:b/>
                <w:bCs/>
                <w:color w:val="000000"/>
              </w:rPr>
              <w:t xml:space="preserve">Overall Total </w:t>
            </w:r>
          </w:p>
        </w:tc>
        <w:tc>
          <w:tcPr>
            <w:tcW w:w="26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418E" w:rsidP="00A12E74" w14:paraId="330FA7F2" w14:textId="77777777">
            <w:pPr>
              <w:jc w:val="center"/>
              <w:rPr>
                <w:b/>
                <w:bCs/>
                <w:color w:val="000000"/>
              </w:rPr>
            </w:pPr>
            <w:r>
              <w:rPr>
                <w:b/>
                <w:bCs/>
                <w:color w:val="000000"/>
              </w:rPr>
              <w:t>                    </w:t>
            </w:r>
            <w:r>
              <w:rPr>
                <w:b/>
                <w:bCs/>
                <w:color w:val="000000"/>
                <w:lang w:val="en"/>
              </w:rPr>
              <w:t>258,672,000</w:t>
            </w:r>
          </w:p>
        </w:tc>
        <w:tc>
          <w:tcPr>
            <w:tcW w:w="27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418E" w:rsidP="00A12E74" w14:paraId="7AAACBAC" w14:textId="77777777">
            <w:pPr>
              <w:jc w:val="center"/>
              <w:rPr>
                <w:b/>
                <w:bCs/>
                <w:color w:val="000000"/>
              </w:rPr>
            </w:pPr>
            <w:r>
              <w:rPr>
                <w:b/>
                <w:bCs/>
                <w:color w:val="000000"/>
              </w:rPr>
              <w:t>54,000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418E" w:rsidP="00A12E74" w14:paraId="055480BF" w14:textId="77777777">
            <w:pPr>
              <w:jc w:val="center"/>
              <w:rPr>
                <w:b/>
                <w:bCs/>
                <w:color w:val="000000"/>
              </w:rPr>
            </w:pPr>
            <w:r>
              <w:rPr>
                <w:b/>
                <w:bCs/>
                <w:color w:val="000000"/>
              </w:rPr>
              <w:t>2,500</w:t>
            </w:r>
          </w:p>
        </w:tc>
      </w:tr>
    </w:tbl>
    <w:p w:rsidR="00B6418E" w:rsidRPr="00D72137" w:rsidP="00B6418E" w14:paraId="2C100726" w14:textId="77777777">
      <w:pPr>
        <w:ind w:left="1080"/>
        <w:rPr>
          <w:color w:val="FF0000"/>
        </w:rPr>
      </w:pPr>
      <w:r w:rsidRPr="00D72137">
        <w:rPr>
          <w:color w:val="FF0000"/>
        </w:rPr>
        <w:t> </w:t>
      </w:r>
    </w:p>
    <w:p w:rsidR="00B6418E" w:rsidP="00B6418E" w14:paraId="7DEF148B" w14:textId="77777777">
      <w:pPr>
        <w:widowControl w:val="0"/>
        <w:ind w:left="1080"/>
        <w:rPr>
          <w:b/>
          <w:color w:val="000000"/>
        </w:rPr>
      </w:pPr>
      <w:r>
        <w:rPr>
          <w:b/>
          <w:color w:val="000000"/>
        </w:rPr>
        <w:t>Online Methodology</w:t>
      </w:r>
    </w:p>
    <w:p w:rsidR="00B6418E" w:rsidP="00B6418E" w14:paraId="57F40D3C" w14:textId="77777777">
      <w:pPr>
        <w:widowControl w:val="0"/>
        <w:ind w:left="1080"/>
        <w:rPr>
          <w:color w:val="000000"/>
        </w:rPr>
      </w:pPr>
      <w:r>
        <w:rPr>
          <w:color w:val="000000"/>
        </w:rPr>
        <w:t xml:space="preserve">We anticipate that our vendor will collect a total online sample size of 2,000 completed surveys from individual taxpayers, with a margin of error equal to +/- 2% at the 90% confidence level and a total online sample size of 250 completed surveys each from small and large corporate filers with a margin of error equal to +/- 5% at </w:t>
      </w:r>
      <w:r>
        <w:rPr>
          <w:color w:val="000000"/>
        </w:rPr>
        <w:t>the 90% confidence level.</w:t>
      </w:r>
    </w:p>
    <w:p w:rsidR="00B6418E" w:rsidRPr="00D72137" w:rsidP="00B6418E" w14:paraId="48AC90A3" w14:textId="77777777">
      <w:pPr>
        <w:widowControl w:val="0"/>
        <w:ind w:left="1080"/>
        <w:rPr>
          <w:color w:val="FF0000"/>
        </w:rPr>
      </w:pPr>
    </w:p>
    <w:p w:rsidR="00B6418E" w:rsidP="00B6418E" w14:paraId="1F358EE4" w14:textId="77777777">
      <w:pPr>
        <w:widowControl w:val="0"/>
        <w:ind w:left="1080"/>
        <w:rPr>
          <w:color w:val="000000"/>
        </w:rPr>
      </w:pPr>
      <w:r>
        <w:rPr>
          <w:color w:val="000000"/>
          <w:u w:val="single"/>
        </w:rPr>
        <w:t>Respondent Selection Method</w:t>
      </w:r>
      <w:r>
        <w:rPr>
          <w:color w:val="000000"/>
        </w:rPr>
        <w:t xml:space="preserve">: </w:t>
      </w:r>
      <w:r>
        <w:rPr>
          <w:color w:val="000000"/>
        </w:rPr>
        <w:t>To</w:t>
      </w:r>
      <w:r>
        <w:rPr>
          <w:color w:val="000000"/>
        </w:rPr>
        <w:t xml:space="preserve"> achieve survey data that are representative of the U.S. adult online population, CFI has subcontracted with Dynata to provide the online sample from their probability based online panel. Panelists are recruited by email and on websites they use. Panel members are randomly selected to participate in this study. Dynata will send out survey invitations to the panel respondents via email containing a link to the survey</w:t>
      </w:r>
      <w:r>
        <w:rPr>
          <w:color w:val="000000"/>
        </w:rPr>
        <w:t xml:space="preserve"> on</w:t>
      </w:r>
      <w:r>
        <w:rPr>
          <w:color w:val="000000"/>
        </w:rPr>
        <w:t xml:space="preserve"> its server. The survey is completely anonymous, and no personally identifiable information on individual respondents will be provided to IRS. </w:t>
      </w:r>
    </w:p>
    <w:p w:rsidR="00B6418E" w:rsidRPr="00D72137" w:rsidP="00B6418E" w14:paraId="64B773DA" w14:textId="77777777">
      <w:pPr>
        <w:keepNext/>
        <w:widowControl w:val="0"/>
        <w:ind w:left="1080"/>
        <w:rPr>
          <w:b/>
          <w:color w:val="FF0000"/>
        </w:rPr>
      </w:pPr>
    </w:p>
    <w:p w:rsidR="00B6418E" w:rsidP="00B6418E" w14:paraId="6CE466C8" w14:textId="77777777">
      <w:pPr>
        <w:numPr>
          <w:ilvl w:val="0"/>
          <w:numId w:val="3"/>
        </w:numPr>
        <w:rPr>
          <w:color w:val="000000"/>
        </w:rPr>
      </w:pPr>
      <w:r>
        <w:rPr>
          <w:color w:val="000000"/>
        </w:rPr>
        <w:t>Methods to Maximize Response</w:t>
      </w:r>
    </w:p>
    <w:p w:rsidR="00B6418E" w:rsidP="00B6418E" w14:paraId="1147F8C6" w14:textId="77777777">
      <w:pPr>
        <w:rPr>
          <w:color w:val="000000"/>
        </w:rPr>
      </w:pPr>
    </w:p>
    <w:p w:rsidR="00B6418E" w:rsidRPr="00112EEE" w:rsidP="00B6418E" w14:paraId="111F8F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112EEE">
        <w:t>To maximize response rates, multiple</w:t>
      </w:r>
      <w:r>
        <w:t xml:space="preserve"> </w:t>
      </w:r>
      <w:r w:rsidRPr="00112EEE">
        <w:t xml:space="preserve">reminder emails encouraging customers to participate in the survey </w:t>
      </w:r>
      <w:r>
        <w:t>are</w:t>
      </w:r>
      <w:r w:rsidRPr="00112EEE">
        <w:t xml:space="preserve"> sent periodically.  </w:t>
      </w:r>
      <w:r>
        <w:t xml:space="preserve">Respondents also receive points to redeem for cash and prizes to maintain their interest in participating. The vendor regularly measures participant satisfaction related to frequency of invitations, and willingness to participate in surveys of various lengths. Test surveys are also sent to ensure that panelists are engaged and willing to participate. Additionally, online surveys allow respondents to take the surveys at their convenience. </w:t>
      </w:r>
    </w:p>
    <w:p w:rsidR="00B6418E" w:rsidRPr="00D72137" w:rsidP="00B6418E" w14:paraId="02E3780A" w14:textId="77777777">
      <w:pPr>
        <w:ind w:left="1080"/>
        <w:rPr>
          <w:color w:val="FF0000"/>
        </w:rPr>
      </w:pPr>
    </w:p>
    <w:p w:rsidR="00B6418E" w:rsidP="00B6418E" w14:paraId="6B80C1AA" w14:textId="77777777">
      <w:pPr>
        <w:numPr>
          <w:ilvl w:val="0"/>
          <w:numId w:val="3"/>
        </w:numPr>
        <w:rPr>
          <w:color w:val="000000"/>
        </w:rPr>
      </w:pPr>
      <w:r>
        <w:rPr>
          <w:color w:val="000000"/>
        </w:rPr>
        <w:t>Testing Procedures</w:t>
      </w:r>
    </w:p>
    <w:p w:rsidR="00B6418E" w:rsidRPr="00D72137" w:rsidP="00B6418E" w14:paraId="45929324" w14:textId="77777777">
      <w:pPr>
        <w:rPr>
          <w:color w:val="FF0000"/>
        </w:rPr>
      </w:pPr>
    </w:p>
    <w:p w:rsidR="00B6418E" w:rsidP="00B6418E" w14:paraId="2323AA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r w:rsidRPr="00112EEE">
        <w:t xml:space="preserve">The ACSI methodology is patented, and the standard questionnaire has undergone extensive, rigorous testing and study by the University of Michigan and the ACSI organization.  </w:t>
      </w:r>
      <w:r>
        <w:rPr>
          <w:color w:val="000000"/>
        </w:rPr>
        <w:t>The standard questionnaire has already been used by the University of Michigan and the ACSI for almost three decades with great success as a key quality metric for the U.S. economy and in over 20 foreign countries.  More specifically, the questionnaire has been used in the Federal Government in numerous studies conducted since 1994.</w:t>
      </w:r>
    </w:p>
    <w:p w:rsidR="00B6418E" w:rsidRPr="00112EEE" w:rsidP="00B6418E" w14:paraId="2A58F1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B6418E" w:rsidP="00B6418E" w14:paraId="313FCA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112EEE">
        <w:t>When the information needs of federal agencies require the design of a new type of question in the ACSI survey, various testing techniques are used depending on the data collection method to be used and the characteristics of the intended respondents.  Typically, a new type of question is tested among those who are not familiar with the program or process being assessed; refinements are made, as needed, that enhance the comprehension of the question, the scale on which it is measured (as appropriate) and the ease with which the respondent can answer it.</w:t>
      </w:r>
    </w:p>
    <w:p w:rsidR="00B6418E" w:rsidP="00B6418E" w14:paraId="77441E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B6418E" w:rsidRPr="00E00E41" w:rsidP="00B6418E" w14:paraId="0B46282C" w14:textId="77777777">
      <w:pPr>
        <w:widowControl w:val="0"/>
        <w:ind w:left="1080"/>
        <w:rPr>
          <w:color w:val="000000"/>
        </w:rPr>
      </w:pPr>
      <w:r>
        <w:t xml:space="preserve">Additionally, </w:t>
      </w:r>
      <w:r>
        <w:rPr>
          <w:color w:val="000000"/>
        </w:rPr>
        <w:t>the</w:t>
      </w:r>
      <w:r w:rsidRPr="00E00E41">
        <w:rPr>
          <w:color w:val="000000"/>
        </w:rPr>
        <w:t xml:space="preserve"> vendor will program an online version of the questionnaires. The survey ‘look and feel’ will have a professional design and will not identify the IRS as the project sponsor. The online survey will be thoroughly tested internally by the vendor to ensure the programming reflects the survey content (questions, response options) as well as any skip logic. These skip patterns are built into the survey program code and are tested along with the survey content. The vendor will test each branching of the skip patterns to ensure that the question sequence is programmed correctly. A test survey link will then be shared with the RAAS team for review and comments. The vendor will revise the online program as needed based on RAAS </w:t>
      </w:r>
      <w:r w:rsidRPr="00E00E41">
        <w:rPr>
          <w:color w:val="000000"/>
        </w:rPr>
        <w:t>feedback. The vendor will also send the email invitation text to RAAS for review.</w:t>
      </w:r>
    </w:p>
    <w:p w:rsidR="00B6418E" w:rsidP="00B6418E" w14:paraId="1D7FDD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B6418E" w:rsidP="00B6418E" w14:paraId="4D6715F3" w14:textId="77777777">
      <w:pPr>
        <w:pStyle w:val="listparagraph0"/>
        <w:spacing w:after="0" w:line="240" w:lineRule="auto"/>
        <w:ind w:left="1080"/>
        <w:rPr>
          <w:rFonts w:ascii="Times New Roman" w:hAnsi="Times New Roman"/>
          <w:color w:val="000000"/>
          <w:sz w:val="24"/>
          <w:szCs w:val="20"/>
        </w:rPr>
      </w:pPr>
      <w:r>
        <w:rPr>
          <w:rFonts w:ascii="Times New Roman" w:hAnsi="Times New Roman"/>
          <w:color w:val="000000"/>
          <w:sz w:val="24"/>
          <w:szCs w:val="20"/>
        </w:rPr>
        <w:t>The vendor will fully brief field staff responsible for data collection and the fieldwork will be monitored. This is an established survey that has been conducted for many years and which reflects the extensive experience of IRS and the vendor in conducting this and similar surveys. The 2023 questionnaires will remain stable, so no pretesting would be necessary.  If needed, questionnaires may be pre-tested on up to nine external customers.</w:t>
      </w:r>
    </w:p>
    <w:p w:rsidR="00B6418E" w:rsidRPr="00D72137" w:rsidP="00B6418E" w14:paraId="06C1F3A8" w14:textId="77777777">
      <w:pPr>
        <w:ind w:left="1080"/>
        <w:rPr>
          <w:color w:val="FF0000"/>
        </w:rPr>
      </w:pPr>
    </w:p>
    <w:p w:rsidR="00B6418E" w:rsidP="00B6418E" w14:paraId="59AD287B" w14:textId="77777777">
      <w:pPr>
        <w:numPr>
          <w:ilvl w:val="0"/>
          <w:numId w:val="3"/>
        </w:numPr>
        <w:rPr>
          <w:color w:val="000000"/>
        </w:rPr>
      </w:pPr>
      <w:r>
        <w:rPr>
          <w:color w:val="000000"/>
        </w:rPr>
        <w:t>Contact for Statistical Aspects and Data Collection</w:t>
      </w:r>
    </w:p>
    <w:p w:rsidR="00B6418E" w:rsidP="00B6418E" w14:paraId="62F6D637" w14:textId="77777777">
      <w:pPr>
        <w:rPr>
          <w:color w:val="000000"/>
        </w:rPr>
      </w:pPr>
    </w:p>
    <w:p w:rsidR="00B6418E" w:rsidP="00B6418E" w14:paraId="3284EC86" w14:textId="77777777">
      <w:pPr>
        <w:ind w:left="1080"/>
        <w:rPr>
          <w:color w:val="000000"/>
        </w:rPr>
      </w:pPr>
      <w:r>
        <w:rPr>
          <w:color w:val="000000"/>
        </w:rPr>
        <w:t>Questions regarding any statistical aspects employed or data procedures used, or for administrative questions regarding the IRS use of this clearance should be directed to:</w:t>
      </w:r>
    </w:p>
    <w:p w:rsidR="00B6418E" w:rsidP="00B6418E" w14:paraId="3072A3C7" w14:textId="77777777">
      <w:pPr>
        <w:ind w:left="1080"/>
        <w:rPr>
          <w:color w:val="000000"/>
        </w:rPr>
      </w:pPr>
    </w:p>
    <w:p w:rsidR="00B6418E" w:rsidP="00B6418E" w14:paraId="3901CDA1"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r>
        <w:rPr>
          <w:color w:val="000000"/>
        </w:rPr>
        <w:t>Timothy S. Castle</w:t>
      </w:r>
    </w:p>
    <w:p w:rsidR="00B6418E" w:rsidP="00B6418E" w14:paraId="153A6625"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r>
        <w:rPr>
          <w:color w:val="000000"/>
        </w:rPr>
        <w:t>Internal Revenue Service</w:t>
      </w:r>
    </w:p>
    <w:p w:rsidR="00B6418E" w:rsidP="00B6418E" w14:paraId="7C6D45F2"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r>
        <w:rPr>
          <w:color w:val="000000"/>
        </w:rPr>
        <w:t>Statistics of Income Division</w:t>
      </w:r>
    </w:p>
    <w:p w:rsidR="00B6418E" w:rsidP="00B6418E" w14:paraId="07215113"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r>
        <w:rPr>
          <w:color w:val="000000"/>
        </w:rPr>
        <w:t>77 K Street, NE</w:t>
      </w:r>
    </w:p>
    <w:p w:rsidR="00B6418E" w:rsidP="00B6418E" w14:paraId="242FF8A1"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r>
        <w:rPr>
          <w:color w:val="000000"/>
        </w:rPr>
        <w:t>Washington, DC 20002</w:t>
      </w:r>
    </w:p>
    <w:p w:rsidR="00B6418E" w:rsidP="00B6418E" w14:paraId="5F621134" w14:textId="29238789">
      <w:pPr>
        <w:tabs>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hyperlink r:id="rId5" w:history="1">
        <w:r w:rsidRPr="00A31E06">
          <w:rPr>
            <w:rStyle w:val="Hyperlink"/>
          </w:rPr>
          <w:t>Timothy.S.Castle@irs.gov</w:t>
        </w:r>
      </w:hyperlink>
    </w:p>
    <w:p w:rsidR="00B6418E" w:rsidP="00B6418E" w14:paraId="503AD4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rsidR="00B6418E" w:rsidP="00B6418E" w14:paraId="7BE8C0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r>
        <w:rPr>
          <w:color w:val="000000"/>
        </w:rPr>
        <w:t>Donna Baldwin</w:t>
      </w:r>
    </w:p>
    <w:p w:rsidR="00B6418E" w:rsidP="00B6418E" w14:paraId="2B2C8433"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r>
        <w:rPr>
          <w:color w:val="000000"/>
        </w:rPr>
        <w:t>Internal Revenue Service</w:t>
      </w:r>
    </w:p>
    <w:p w:rsidR="00B6418E" w:rsidP="00B6418E" w14:paraId="65D872D0"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r>
        <w:rPr>
          <w:color w:val="000000"/>
        </w:rPr>
        <w:t>Statistics of Income Division</w:t>
      </w:r>
    </w:p>
    <w:p w:rsidR="00B6418E" w:rsidP="00B6418E" w14:paraId="3BB9910B"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r>
        <w:rPr>
          <w:color w:val="000000"/>
        </w:rPr>
        <w:t>77 K Street, NE</w:t>
      </w:r>
    </w:p>
    <w:p w:rsidR="00B6418E" w:rsidP="00B6418E" w14:paraId="58FE3A05"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r>
        <w:rPr>
          <w:color w:val="000000"/>
        </w:rPr>
        <w:t>Washington, DC 20002</w:t>
      </w:r>
    </w:p>
    <w:p w:rsidR="00B6418E" w:rsidP="00B6418E" w14:paraId="2C04C8A7" w14:textId="0C879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hyperlink r:id="rId6" w:history="1">
        <w:r w:rsidRPr="00A31E06">
          <w:rPr>
            <w:rStyle w:val="Hyperlink"/>
          </w:rPr>
          <w:t>Donna.K.Baldwin@irs.gov</w:t>
        </w:r>
      </w:hyperlink>
    </w:p>
    <w:p w:rsidR="00A406C6" w:rsidP="00B6418E" w14:paraId="1489BF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p>
    <w:p w:rsidR="00B6418E" w:rsidP="00B6418E" w14:paraId="4E928B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color w:val="000000"/>
        </w:rPr>
      </w:pPr>
    </w:p>
    <w:p w:rsidR="00B6418E" w:rsidP="00E72C71" w14:paraId="061B652A" w14:textId="77777777">
      <w:pPr>
        <w:tabs>
          <w:tab w:val="left" w:pos="1080"/>
        </w:tabs>
        <w:rPr>
          <w:color w:val="000000"/>
        </w:rPr>
      </w:pPr>
    </w:p>
    <w:p w:rsidR="00D7365A" w:rsidRPr="00BF6DED" w:rsidP="00E72C71" w14:paraId="7A17303D" w14:textId="77777777">
      <w:pPr>
        <w:tabs>
          <w:tab w:val="left" w:pos="1080"/>
        </w:tabs>
        <w:rPr>
          <w:color w:val="FF0000"/>
        </w:rPr>
      </w:pPr>
    </w:p>
    <w:p w:rsidR="00C43D7E" w:rsidP="00C1116A" w14:paraId="66A28E5E" w14:textId="77777777">
      <w:pPr>
        <w:tabs>
          <w:tab w:val="left" w:pos="1080"/>
        </w:tabs>
        <w:ind w:left="1080"/>
      </w:pPr>
    </w:p>
    <w:sectPr w:rsidSect="00C87F35">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B0EC7"/>
    <w:multiLevelType w:val="hybridMultilevel"/>
    <w:tmpl w:val="AB0C5AC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125F6F3C"/>
    <w:multiLevelType w:val="hybridMultilevel"/>
    <w:tmpl w:val="866EA7AE"/>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143018A3"/>
    <w:multiLevelType w:val="hybridMultilevel"/>
    <w:tmpl w:val="6C0683C0"/>
    <w:lvl w:ilvl="0">
      <w:start w:val="1"/>
      <w:numFmt w:val="upperLetter"/>
      <w:lvlText w:val="%1."/>
      <w:lvlJc w:val="left"/>
      <w:pPr>
        <w:tabs>
          <w:tab w:val="num" w:pos="1080"/>
        </w:tabs>
        <w:ind w:left="1080" w:hanging="72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B4376B"/>
    <w:multiLevelType w:val="singleLevel"/>
    <w:tmpl w:val="8C620E38"/>
    <w:lvl w:ilvl="0">
      <w:start w:val="1"/>
      <w:numFmt w:val="lowerLetter"/>
      <w:lvlJc w:val="left"/>
      <w:pPr>
        <w:tabs>
          <w:tab w:val="num" w:pos="360"/>
        </w:tabs>
        <w:ind w:left="360" w:hanging="360"/>
      </w:pPr>
      <w:rPr>
        <w:rFonts w:ascii="WP MathA" w:hAnsi="WP MathA" w:hint="default"/>
      </w:rPr>
    </w:lvl>
  </w:abstractNum>
  <w:abstractNum w:abstractNumId="4">
    <w:nsid w:val="5E7B5824"/>
    <w:multiLevelType w:val="hybridMultilevel"/>
    <w:tmpl w:val="2FF4254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nsid w:val="68A001CC"/>
    <w:multiLevelType w:val="hybridMultilevel"/>
    <w:tmpl w:val="52480E6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220483554">
    <w:abstractNumId w:val="2"/>
  </w:num>
  <w:num w:numId="2" w16cid:durableId="1627732938">
    <w:abstractNumId w:val="5"/>
  </w:num>
  <w:num w:numId="3" w16cid:durableId="2057241995">
    <w:abstractNumId w:val="0"/>
  </w:num>
  <w:num w:numId="4" w16cid:durableId="1350835824">
    <w:abstractNumId w:val="3"/>
  </w:num>
  <w:num w:numId="5" w16cid:durableId="1745375425">
    <w:abstractNumId w:val="1"/>
  </w:num>
  <w:num w:numId="6" w16cid:durableId="1433553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F9"/>
    <w:rsid w:val="0000291F"/>
    <w:rsid w:val="00002C3C"/>
    <w:rsid w:val="00004B54"/>
    <w:rsid w:val="00007011"/>
    <w:rsid w:val="00015C0F"/>
    <w:rsid w:val="00022CAF"/>
    <w:rsid w:val="00024D7F"/>
    <w:rsid w:val="00030189"/>
    <w:rsid w:val="00043708"/>
    <w:rsid w:val="0005346D"/>
    <w:rsid w:val="00055AFB"/>
    <w:rsid w:val="00061091"/>
    <w:rsid w:val="00064E15"/>
    <w:rsid w:val="00071229"/>
    <w:rsid w:val="00076F4C"/>
    <w:rsid w:val="0008042D"/>
    <w:rsid w:val="00084B64"/>
    <w:rsid w:val="00086E5A"/>
    <w:rsid w:val="000A43B1"/>
    <w:rsid w:val="000A75E3"/>
    <w:rsid w:val="000B3F8C"/>
    <w:rsid w:val="000B4E7A"/>
    <w:rsid w:val="000C1FD8"/>
    <w:rsid w:val="000D10D3"/>
    <w:rsid w:val="000D7A92"/>
    <w:rsid w:val="000E289E"/>
    <w:rsid w:val="000E6913"/>
    <w:rsid w:val="000E778A"/>
    <w:rsid w:val="00112496"/>
    <w:rsid w:val="00112EEE"/>
    <w:rsid w:val="00114573"/>
    <w:rsid w:val="00120B0A"/>
    <w:rsid w:val="001239DA"/>
    <w:rsid w:val="00131F5F"/>
    <w:rsid w:val="00147ACB"/>
    <w:rsid w:val="00150BBF"/>
    <w:rsid w:val="00160252"/>
    <w:rsid w:val="00165039"/>
    <w:rsid w:val="00167715"/>
    <w:rsid w:val="001775EF"/>
    <w:rsid w:val="001852A9"/>
    <w:rsid w:val="00194F23"/>
    <w:rsid w:val="00197B3F"/>
    <w:rsid w:val="001A0CE1"/>
    <w:rsid w:val="001A26A6"/>
    <w:rsid w:val="001A2E8D"/>
    <w:rsid w:val="001C5F32"/>
    <w:rsid w:val="001E4AC9"/>
    <w:rsid w:val="001E6897"/>
    <w:rsid w:val="001F78BD"/>
    <w:rsid w:val="00214192"/>
    <w:rsid w:val="00221302"/>
    <w:rsid w:val="00221E2A"/>
    <w:rsid w:val="00221EC2"/>
    <w:rsid w:val="002305C6"/>
    <w:rsid w:val="00235189"/>
    <w:rsid w:val="0024054F"/>
    <w:rsid w:val="002471A7"/>
    <w:rsid w:val="00257FAC"/>
    <w:rsid w:val="002635FB"/>
    <w:rsid w:val="00270D44"/>
    <w:rsid w:val="00275B51"/>
    <w:rsid w:val="00283B6E"/>
    <w:rsid w:val="002843E3"/>
    <w:rsid w:val="002944AE"/>
    <w:rsid w:val="002A1057"/>
    <w:rsid w:val="002B5F14"/>
    <w:rsid w:val="002C46DD"/>
    <w:rsid w:val="002C6205"/>
    <w:rsid w:val="002F29AD"/>
    <w:rsid w:val="002F3B00"/>
    <w:rsid w:val="002F6C5F"/>
    <w:rsid w:val="00312F28"/>
    <w:rsid w:val="00313279"/>
    <w:rsid w:val="003163AB"/>
    <w:rsid w:val="003246AA"/>
    <w:rsid w:val="00327856"/>
    <w:rsid w:val="003337B9"/>
    <w:rsid w:val="003460E4"/>
    <w:rsid w:val="00346423"/>
    <w:rsid w:val="00350DC2"/>
    <w:rsid w:val="00371513"/>
    <w:rsid w:val="003731A7"/>
    <w:rsid w:val="003766E0"/>
    <w:rsid w:val="00382182"/>
    <w:rsid w:val="00387216"/>
    <w:rsid w:val="003A245E"/>
    <w:rsid w:val="003A472E"/>
    <w:rsid w:val="003C06AE"/>
    <w:rsid w:val="003C2394"/>
    <w:rsid w:val="003D12AD"/>
    <w:rsid w:val="003D1A99"/>
    <w:rsid w:val="003E3E38"/>
    <w:rsid w:val="003F1FFD"/>
    <w:rsid w:val="003F69E6"/>
    <w:rsid w:val="003F76E4"/>
    <w:rsid w:val="00414C62"/>
    <w:rsid w:val="00425319"/>
    <w:rsid w:val="004303D4"/>
    <w:rsid w:val="00430B6F"/>
    <w:rsid w:val="00447CF1"/>
    <w:rsid w:val="004532EC"/>
    <w:rsid w:val="00463EC9"/>
    <w:rsid w:val="0047092A"/>
    <w:rsid w:val="004736F3"/>
    <w:rsid w:val="00484C92"/>
    <w:rsid w:val="00491A25"/>
    <w:rsid w:val="00493F9A"/>
    <w:rsid w:val="004940B7"/>
    <w:rsid w:val="004A7DA7"/>
    <w:rsid w:val="004B1B91"/>
    <w:rsid w:val="004B5FF8"/>
    <w:rsid w:val="004D7F70"/>
    <w:rsid w:val="004E005D"/>
    <w:rsid w:val="004F0E2F"/>
    <w:rsid w:val="00501EE2"/>
    <w:rsid w:val="00517393"/>
    <w:rsid w:val="00521806"/>
    <w:rsid w:val="0054229D"/>
    <w:rsid w:val="00577429"/>
    <w:rsid w:val="005A514A"/>
    <w:rsid w:val="005A66F2"/>
    <w:rsid w:val="005A7EDB"/>
    <w:rsid w:val="005E0668"/>
    <w:rsid w:val="005E1EB6"/>
    <w:rsid w:val="005E3DF5"/>
    <w:rsid w:val="005F458B"/>
    <w:rsid w:val="005F5900"/>
    <w:rsid w:val="00604EC5"/>
    <w:rsid w:val="00614F41"/>
    <w:rsid w:val="006238A9"/>
    <w:rsid w:val="00627CF6"/>
    <w:rsid w:val="006671DB"/>
    <w:rsid w:val="00670B5D"/>
    <w:rsid w:val="006754E9"/>
    <w:rsid w:val="006769BB"/>
    <w:rsid w:val="00685931"/>
    <w:rsid w:val="00690B66"/>
    <w:rsid w:val="00694292"/>
    <w:rsid w:val="006C2477"/>
    <w:rsid w:val="006D15EB"/>
    <w:rsid w:val="006D1646"/>
    <w:rsid w:val="006E158D"/>
    <w:rsid w:val="006E3D73"/>
    <w:rsid w:val="006E4560"/>
    <w:rsid w:val="006E7D57"/>
    <w:rsid w:val="006F21D9"/>
    <w:rsid w:val="00707EF9"/>
    <w:rsid w:val="00715129"/>
    <w:rsid w:val="00721F37"/>
    <w:rsid w:val="00740C7F"/>
    <w:rsid w:val="00741ECE"/>
    <w:rsid w:val="00746E40"/>
    <w:rsid w:val="007608A1"/>
    <w:rsid w:val="00762F5D"/>
    <w:rsid w:val="007639CD"/>
    <w:rsid w:val="007667E1"/>
    <w:rsid w:val="00777B81"/>
    <w:rsid w:val="00790385"/>
    <w:rsid w:val="007A71D6"/>
    <w:rsid w:val="007B3B7A"/>
    <w:rsid w:val="007B4257"/>
    <w:rsid w:val="007B4FE5"/>
    <w:rsid w:val="007D79DD"/>
    <w:rsid w:val="0080344C"/>
    <w:rsid w:val="008101BF"/>
    <w:rsid w:val="00820C1E"/>
    <w:rsid w:val="008212CA"/>
    <w:rsid w:val="00833E53"/>
    <w:rsid w:val="0084004E"/>
    <w:rsid w:val="008642B4"/>
    <w:rsid w:val="00864D43"/>
    <w:rsid w:val="00873D35"/>
    <w:rsid w:val="0088346C"/>
    <w:rsid w:val="008854DB"/>
    <w:rsid w:val="008854FB"/>
    <w:rsid w:val="00896D86"/>
    <w:rsid w:val="008A63B7"/>
    <w:rsid w:val="008C1D5B"/>
    <w:rsid w:val="008C1DCE"/>
    <w:rsid w:val="008C2332"/>
    <w:rsid w:val="008C6DEC"/>
    <w:rsid w:val="008C78C4"/>
    <w:rsid w:val="008E0AF5"/>
    <w:rsid w:val="008E7389"/>
    <w:rsid w:val="00916FDC"/>
    <w:rsid w:val="00930CDB"/>
    <w:rsid w:val="009327F3"/>
    <w:rsid w:val="0093700B"/>
    <w:rsid w:val="00973873"/>
    <w:rsid w:val="00981B8A"/>
    <w:rsid w:val="00987114"/>
    <w:rsid w:val="00987FB7"/>
    <w:rsid w:val="009B30CB"/>
    <w:rsid w:val="009B72D6"/>
    <w:rsid w:val="009B732E"/>
    <w:rsid w:val="009B7F12"/>
    <w:rsid w:val="009C622D"/>
    <w:rsid w:val="009D2DE7"/>
    <w:rsid w:val="009E3815"/>
    <w:rsid w:val="009F0ABF"/>
    <w:rsid w:val="009F0BF8"/>
    <w:rsid w:val="00A10886"/>
    <w:rsid w:val="00A11E0F"/>
    <w:rsid w:val="00A12265"/>
    <w:rsid w:val="00A12E74"/>
    <w:rsid w:val="00A20415"/>
    <w:rsid w:val="00A235D4"/>
    <w:rsid w:val="00A26F16"/>
    <w:rsid w:val="00A30C5C"/>
    <w:rsid w:val="00A31E06"/>
    <w:rsid w:val="00A406C6"/>
    <w:rsid w:val="00A42CBB"/>
    <w:rsid w:val="00A54AE2"/>
    <w:rsid w:val="00A55C46"/>
    <w:rsid w:val="00A56DF2"/>
    <w:rsid w:val="00A6560D"/>
    <w:rsid w:val="00A659D6"/>
    <w:rsid w:val="00A72599"/>
    <w:rsid w:val="00A80072"/>
    <w:rsid w:val="00AB458F"/>
    <w:rsid w:val="00AC13F0"/>
    <w:rsid w:val="00AD12E2"/>
    <w:rsid w:val="00AD6DAD"/>
    <w:rsid w:val="00AE08FA"/>
    <w:rsid w:val="00AE09A8"/>
    <w:rsid w:val="00AF63B0"/>
    <w:rsid w:val="00B00661"/>
    <w:rsid w:val="00B02229"/>
    <w:rsid w:val="00B04466"/>
    <w:rsid w:val="00B100E2"/>
    <w:rsid w:val="00B14720"/>
    <w:rsid w:val="00B40CDF"/>
    <w:rsid w:val="00B471D1"/>
    <w:rsid w:val="00B6331C"/>
    <w:rsid w:val="00B63B3A"/>
    <w:rsid w:val="00B6418E"/>
    <w:rsid w:val="00B64FF5"/>
    <w:rsid w:val="00B8266F"/>
    <w:rsid w:val="00B83379"/>
    <w:rsid w:val="00B92017"/>
    <w:rsid w:val="00B93626"/>
    <w:rsid w:val="00BA268C"/>
    <w:rsid w:val="00BC1132"/>
    <w:rsid w:val="00BC2999"/>
    <w:rsid w:val="00BC56FC"/>
    <w:rsid w:val="00BC7F57"/>
    <w:rsid w:val="00BD5629"/>
    <w:rsid w:val="00BD59C6"/>
    <w:rsid w:val="00BD6D1F"/>
    <w:rsid w:val="00BE2171"/>
    <w:rsid w:val="00BE3BA5"/>
    <w:rsid w:val="00BF6DED"/>
    <w:rsid w:val="00C062FB"/>
    <w:rsid w:val="00C1116A"/>
    <w:rsid w:val="00C11556"/>
    <w:rsid w:val="00C1435A"/>
    <w:rsid w:val="00C2509F"/>
    <w:rsid w:val="00C26A26"/>
    <w:rsid w:val="00C366FB"/>
    <w:rsid w:val="00C43D7E"/>
    <w:rsid w:val="00C61471"/>
    <w:rsid w:val="00C63810"/>
    <w:rsid w:val="00C65D91"/>
    <w:rsid w:val="00C65F7A"/>
    <w:rsid w:val="00C84988"/>
    <w:rsid w:val="00C87F35"/>
    <w:rsid w:val="00CA1285"/>
    <w:rsid w:val="00CA4A93"/>
    <w:rsid w:val="00CB6CAC"/>
    <w:rsid w:val="00CC0D50"/>
    <w:rsid w:val="00CC16F4"/>
    <w:rsid w:val="00CC34F5"/>
    <w:rsid w:val="00CC46F4"/>
    <w:rsid w:val="00CD78F9"/>
    <w:rsid w:val="00CE0284"/>
    <w:rsid w:val="00CE42A3"/>
    <w:rsid w:val="00CE4832"/>
    <w:rsid w:val="00CF4B40"/>
    <w:rsid w:val="00D06A8F"/>
    <w:rsid w:val="00D126A0"/>
    <w:rsid w:val="00D16E2D"/>
    <w:rsid w:val="00D27A2C"/>
    <w:rsid w:val="00D30661"/>
    <w:rsid w:val="00D34C62"/>
    <w:rsid w:val="00D4224D"/>
    <w:rsid w:val="00D45306"/>
    <w:rsid w:val="00D53218"/>
    <w:rsid w:val="00D569B9"/>
    <w:rsid w:val="00D6135B"/>
    <w:rsid w:val="00D70B02"/>
    <w:rsid w:val="00D72137"/>
    <w:rsid w:val="00D7365A"/>
    <w:rsid w:val="00D776BB"/>
    <w:rsid w:val="00DA5A4D"/>
    <w:rsid w:val="00DA6912"/>
    <w:rsid w:val="00DC116F"/>
    <w:rsid w:val="00DD0B93"/>
    <w:rsid w:val="00DD248F"/>
    <w:rsid w:val="00DF139D"/>
    <w:rsid w:val="00DF16DD"/>
    <w:rsid w:val="00DF1731"/>
    <w:rsid w:val="00E00A7B"/>
    <w:rsid w:val="00E00E41"/>
    <w:rsid w:val="00E15F39"/>
    <w:rsid w:val="00E22DC8"/>
    <w:rsid w:val="00E234FA"/>
    <w:rsid w:val="00E31B49"/>
    <w:rsid w:val="00E31FDD"/>
    <w:rsid w:val="00E359D3"/>
    <w:rsid w:val="00E42BB9"/>
    <w:rsid w:val="00E52B69"/>
    <w:rsid w:val="00E66313"/>
    <w:rsid w:val="00E675D7"/>
    <w:rsid w:val="00E72C71"/>
    <w:rsid w:val="00E81C80"/>
    <w:rsid w:val="00E84FC6"/>
    <w:rsid w:val="00E87ED9"/>
    <w:rsid w:val="00E9411B"/>
    <w:rsid w:val="00EA1343"/>
    <w:rsid w:val="00EB2F57"/>
    <w:rsid w:val="00EB5594"/>
    <w:rsid w:val="00EB627C"/>
    <w:rsid w:val="00EC50AD"/>
    <w:rsid w:val="00EC6153"/>
    <w:rsid w:val="00EE6722"/>
    <w:rsid w:val="00EF1A4F"/>
    <w:rsid w:val="00EF213F"/>
    <w:rsid w:val="00EF4136"/>
    <w:rsid w:val="00F040F5"/>
    <w:rsid w:val="00F14E20"/>
    <w:rsid w:val="00F24CC4"/>
    <w:rsid w:val="00F5778E"/>
    <w:rsid w:val="00F57D85"/>
    <w:rsid w:val="00F61B40"/>
    <w:rsid w:val="00F67229"/>
    <w:rsid w:val="00F74663"/>
    <w:rsid w:val="00F76A36"/>
    <w:rsid w:val="00FA0B5B"/>
    <w:rsid w:val="00FA11D0"/>
    <w:rsid w:val="00FA6A0A"/>
    <w:rsid w:val="00FB3901"/>
    <w:rsid w:val="00FD4926"/>
    <w:rsid w:val="00FD741F"/>
    <w:rsid w:val="00FE4FC4"/>
    <w:rsid w:val="00FE64D8"/>
    <w:rsid w:val="00FE71D2"/>
    <w:rsid w:val="00FF57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31FB5A"/>
  <w15:chartTrackingRefBased/>
  <w15:docId w15:val="{C53F3F3D-F714-42B6-98B0-6879A74B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BD59C6"/>
    <w:pPr>
      <w:keepNext/>
      <w:ind w:right="-360"/>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F6C5F"/>
    <w:pPr>
      <w:tabs>
        <w:tab w:val="center" w:pos="4320"/>
        <w:tab w:val="right" w:pos="8640"/>
      </w:tabs>
    </w:pPr>
  </w:style>
  <w:style w:type="paragraph" w:styleId="Footer">
    <w:name w:val="footer"/>
    <w:basedOn w:val="Normal"/>
    <w:rsid w:val="002F6C5F"/>
    <w:pPr>
      <w:tabs>
        <w:tab w:val="center" w:pos="4320"/>
        <w:tab w:val="right" w:pos="8640"/>
      </w:tabs>
    </w:pPr>
  </w:style>
  <w:style w:type="paragraph" w:styleId="BodyText">
    <w:name w:val="Body Text"/>
    <w:basedOn w:val="Normal"/>
    <w:link w:val="BodyTextChar"/>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napToGrid w:val="0"/>
      <w:szCs w:val="20"/>
    </w:rPr>
  </w:style>
  <w:style w:type="paragraph" w:styleId="BalloonText">
    <w:name w:val="Balloon Text"/>
    <w:basedOn w:val="Normal"/>
    <w:semiHidden/>
    <w:rsid w:val="006D15EB"/>
    <w:rPr>
      <w:rFonts w:ascii="Tahoma" w:hAnsi="Tahoma" w:cs="Tahoma"/>
      <w:sz w:val="16"/>
      <w:szCs w:val="16"/>
    </w:rPr>
  </w:style>
  <w:style w:type="paragraph" w:styleId="BodyTextIndent2">
    <w:name w:val="Body Text Indent 2"/>
    <w:basedOn w:val="Normal"/>
    <w:rsid w:val="00B8266F"/>
    <w:pPr>
      <w:spacing w:after="120" w:line="480" w:lineRule="auto"/>
      <w:ind w:left="360"/>
    </w:pPr>
  </w:style>
  <w:style w:type="character" w:styleId="CommentReference">
    <w:name w:val="annotation reference"/>
    <w:rsid w:val="00B471D1"/>
    <w:rPr>
      <w:sz w:val="16"/>
      <w:szCs w:val="16"/>
    </w:rPr>
  </w:style>
  <w:style w:type="paragraph" w:styleId="CommentText">
    <w:name w:val="annotation text"/>
    <w:basedOn w:val="Normal"/>
    <w:link w:val="CommentTextChar"/>
    <w:rsid w:val="00B471D1"/>
    <w:rPr>
      <w:sz w:val="20"/>
      <w:szCs w:val="20"/>
    </w:rPr>
  </w:style>
  <w:style w:type="character" w:customStyle="1" w:styleId="CommentTextChar">
    <w:name w:val="Comment Text Char"/>
    <w:basedOn w:val="DefaultParagraphFont"/>
    <w:link w:val="CommentText"/>
    <w:rsid w:val="00B471D1"/>
  </w:style>
  <w:style w:type="paragraph" w:styleId="CommentSubject">
    <w:name w:val="annotation subject"/>
    <w:basedOn w:val="CommentText"/>
    <w:next w:val="CommentText"/>
    <w:link w:val="CommentSubjectChar"/>
    <w:rsid w:val="00B471D1"/>
    <w:rPr>
      <w:b/>
      <w:bCs/>
    </w:rPr>
  </w:style>
  <w:style w:type="character" w:customStyle="1" w:styleId="CommentSubjectChar">
    <w:name w:val="Comment Subject Char"/>
    <w:link w:val="CommentSubject"/>
    <w:rsid w:val="00B471D1"/>
    <w:rPr>
      <w:b/>
      <w:bCs/>
    </w:rPr>
  </w:style>
  <w:style w:type="table" w:styleId="TableGrid">
    <w:name w:val="Table Grid"/>
    <w:basedOn w:val="TableNormal"/>
    <w:uiPriority w:val="99"/>
    <w:rsid w:val="00371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87114"/>
    <w:rPr>
      <w:rFonts w:cs="Times New Roman"/>
      <w:color w:val="0000FF"/>
      <w:u w:val="single"/>
    </w:rPr>
  </w:style>
  <w:style w:type="paragraph" w:styleId="FootnoteText">
    <w:name w:val="footnote text"/>
    <w:basedOn w:val="Normal"/>
    <w:link w:val="FootnoteTextChar"/>
    <w:uiPriority w:val="99"/>
    <w:unhideWhenUsed/>
    <w:rsid w:val="00987114"/>
    <w:rPr>
      <w:sz w:val="20"/>
      <w:szCs w:val="20"/>
    </w:rPr>
  </w:style>
  <w:style w:type="character" w:customStyle="1" w:styleId="FootnoteTextChar">
    <w:name w:val="Footnote Text Char"/>
    <w:basedOn w:val="DefaultParagraphFont"/>
    <w:link w:val="FootnoteText"/>
    <w:uiPriority w:val="99"/>
    <w:rsid w:val="00987114"/>
  </w:style>
  <w:style w:type="character" w:styleId="FootnoteReference">
    <w:name w:val="footnote reference"/>
    <w:uiPriority w:val="99"/>
    <w:unhideWhenUsed/>
    <w:rsid w:val="00987114"/>
    <w:rPr>
      <w:vertAlign w:val="superscript"/>
    </w:rPr>
  </w:style>
  <w:style w:type="paragraph" w:styleId="NormalWeb">
    <w:name w:val="Normal (Web)"/>
    <w:basedOn w:val="Normal"/>
    <w:uiPriority w:val="99"/>
    <w:unhideWhenUsed/>
    <w:rsid w:val="00313279"/>
    <w:pPr>
      <w:spacing w:before="100" w:beforeAutospacing="1" w:after="100" w:afterAutospacing="1"/>
    </w:pPr>
  </w:style>
  <w:style w:type="paragraph" w:styleId="BodyTextFirstIndent">
    <w:name w:val="Body Text First Indent"/>
    <w:basedOn w:val="BodyText"/>
    <w:link w:val="BodyTextFirstIndentChar"/>
    <w:rsid w:val="00F14E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jc w:val="left"/>
    </w:pPr>
    <w:rPr>
      <w:rFonts w:ascii="Times New Roman" w:hAnsi="Times New Roman"/>
      <w:b w:val="0"/>
      <w:snapToGrid/>
      <w:szCs w:val="24"/>
    </w:rPr>
  </w:style>
  <w:style w:type="character" w:customStyle="1" w:styleId="BodyTextChar">
    <w:name w:val="Body Text Char"/>
    <w:link w:val="BodyText"/>
    <w:rsid w:val="00F14E20"/>
    <w:rPr>
      <w:rFonts w:ascii="CG Times" w:hAnsi="CG Times"/>
      <w:b/>
      <w:snapToGrid w:val="0"/>
      <w:sz w:val="24"/>
    </w:rPr>
  </w:style>
  <w:style w:type="character" w:customStyle="1" w:styleId="BodyTextFirstIndentChar">
    <w:name w:val="Body Text First Indent Char"/>
    <w:link w:val="BodyTextFirstIndent"/>
    <w:rsid w:val="00F14E20"/>
    <w:rPr>
      <w:rFonts w:ascii="CG Times" w:hAnsi="CG Times"/>
      <w:b w:val="0"/>
      <w:snapToGrid/>
      <w:sz w:val="24"/>
      <w:szCs w:val="24"/>
    </w:rPr>
  </w:style>
  <w:style w:type="character" w:customStyle="1" w:styleId="Heading1Char">
    <w:name w:val="Heading 1 Char"/>
    <w:link w:val="Heading1"/>
    <w:uiPriority w:val="99"/>
    <w:rsid w:val="00BD59C6"/>
    <w:rPr>
      <w:b/>
      <w:bCs/>
      <w:sz w:val="24"/>
      <w:szCs w:val="24"/>
    </w:rPr>
  </w:style>
  <w:style w:type="paragraph" w:styleId="ListParagraph">
    <w:name w:val="List Paragraph"/>
    <w:aliases w:val="Bullets,Primary Bullet List"/>
    <w:basedOn w:val="Normal"/>
    <w:link w:val="ListParagraphChar"/>
    <w:uiPriority w:val="34"/>
    <w:qFormat/>
    <w:rsid w:val="00064E15"/>
    <w:pPr>
      <w:ind w:left="720"/>
      <w:contextualSpacing/>
    </w:pPr>
  </w:style>
  <w:style w:type="paragraph" w:customStyle="1" w:styleId="listparagraph0">
    <w:name w:val="listparagraph"/>
    <w:basedOn w:val="Normal"/>
    <w:uiPriority w:val="99"/>
    <w:rsid w:val="003A472E"/>
    <w:pPr>
      <w:spacing w:after="200" w:line="276" w:lineRule="auto"/>
      <w:ind w:left="720"/>
    </w:pPr>
    <w:rPr>
      <w:rFonts w:ascii="Calibri" w:hAnsi="Calibri"/>
      <w:sz w:val="22"/>
      <w:szCs w:val="22"/>
    </w:rPr>
  </w:style>
  <w:style w:type="paragraph" w:styleId="Revision">
    <w:name w:val="Revision"/>
    <w:hidden/>
    <w:uiPriority w:val="99"/>
    <w:semiHidden/>
    <w:rsid w:val="00E234FA"/>
    <w:rPr>
      <w:sz w:val="24"/>
      <w:szCs w:val="24"/>
    </w:rPr>
  </w:style>
  <w:style w:type="character" w:styleId="FollowedHyperlink">
    <w:name w:val="FollowedHyperlink"/>
    <w:rsid w:val="00CC16F4"/>
    <w:rPr>
      <w:color w:val="954F72"/>
      <w:u w:val="single"/>
    </w:rPr>
  </w:style>
  <w:style w:type="character" w:customStyle="1" w:styleId="ListParagraphChar">
    <w:name w:val="List Paragraph Char"/>
    <w:aliases w:val="Bullets Char,Primary Bullet List Char"/>
    <w:link w:val="ListParagraph"/>
    <w:uiPriority w:val="34"/>
    <w:locked/>
    <w:rsid w:val="00B6418E"/>
    <w:rPr>
      <w:sz w:val="24"/>
      <w:szCs w:val="24"/>
    </w:rPr>
  </w:style>
  <w:style w:type="character" w:styleId="UnresolvedMention">
    <w:name w:val="Unresolved Mention"/>
    <w:basedOn w:val="DefaultParagraphFont"/>
    <w:uiPriority w:val="99"/>
    <w:semiHidden/>
    <w:unhideWhenUsed/>
    <w:rsid w:val="00A40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Timothy.S.Castle@irs.gov" TargetMode="External" /><Relationship Id="rId6" Type="http://schemas.openxmlformats.org/officeDocument/2006/relationships/hyperlink" Target="mailto:Donna.K.Baldwin@irs.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9A37D-8C6D-41BA-9E33-173E941C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2945</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Statistics of Income</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mdsloa00</dc:creator>
  <cp:lastModifiedBy>Castle Timothy Scott</cp:lastModifiedBy>
  <cp:revision>6</cp:revision>
  <cp:lastPrinted>2019-12-16T14:51:00Z</cp:lastPrinted>
  <dcterms:created xsi:type="dcterms:W3CDTF">2023-05-02T11:48:00Z</dcterms:created>
  <dcterms:modified xsi:type="dcterms:W3CDTF">2023-05-02T17:07:00Z</dcterms:modified>
</cp:coreProperties>
</file>