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53ABE" w:rsidRPr="0064380A" w:rsidP="00B53ABE" w14:paraId="64D740DF" w14:textId="28FB287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1545-1432) </w:t>
      </w:r>
    </w:p>
    <w:p w:rsidR="00B53ABE" w:rsidRPr="0064380A" w:rsidP="00B53ABE" w14:paraId="340A0631" w14:textId="42ABB899">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415316955"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6607E4">
        <w:t>Automated</w:t>
      </w:r>
      <w:r w:rsidR="004E6C69">
        <w:t xml:space="preserve"> </w:t>
      </w:r>
      <w:r w:rsidRPr="004E6C69" w:rsidR="004E6C69">
        <w:t>Chatbot Interaction Survey</w:t>
      </w:r>
    </w:p>
    <w:p w:rsidR="00B53ABE" w:rsidP="00B53ABE" w14:paraId="7F9C4DF4" w14:textId="11FB49B4">
      <w:r>
        <w:rPr>
          <w:b/>
        </w:rPr>
        <w:t>PURPOSE</w:t>
      </w:r>
      <w:r w:rsidRPr="009239AA">
        <w:rPr>
          <w:b/>
        </w:rPr>
        <w:t xml:space="preserve">:  </w:t>
      </w:r>
    </w:p>
    <w:p w:rsidR="00B13FC9" w:rsidRPr="00B13FC9" w:rsidP="00B13FC9" w14:paraId="78C9EE06" w14:textId="77777777">
      <w:pPr>
        <w:pStyle w:val="Header"/>
        <w:rPr>
          <w:rFonts w:asciiTheme="minorHAnsi" w:hAnsiTheme="minorHAnsi" w:cstheme="minorHAnsi"/>
          <w:bCs/>
          <w:sz w:val="22"/>
          <w:szCs w:val="22"/>
        </w:rPr>
      </w:pPr>
      <w:r w:rsidRPr="00B13FC9">
        <w:rPr>
          <w:rFonts w:asciiTheme="minorHAnsi" w:hAnsiTheme="minorHAnsi" w:cstheme="minorHAnsi"/>
          <w:bCs/>
          <w:sz w:val="22"/>
          <w:szCs w:val="22"/>
        </w:rPr>
        <w:t>This survey measures how well IRS chatbots serve taxpayers across eight automated services. We collect feedback from people who use our chat services for Refunds, Amended Returns, Identity Theft, Employer Identification Numbers, Change of Address, Advance Child Tax Credit, Earned Income Tax Credit, and Extension to File issues.</w:t>
      </w:r>
    </w:p>
    <w:p w:rsidR="00B13FC9" w:rsidRPr="00280501" w:rsidP="00B13FC9" w14:paraId="79757792" w14:textId="77777777">
      <w:pPr>
        <w:pStyle w:val="Header"/>
        <w:rPr>
          <w:rFonts w:asciiTheme="minorHAnsi" w:hAnsiTheme="minorHAnsi" w:cstheme="minorHAnsi"/>
          <w:bCs/>
          <w:sz w:val="22"/>
          <w:szCs w:val="22"/>
        </w:rPr>
      </w:pPr>
    </w:p>
    <w:p w:rsidR="00B13FC9" w:rsidRPr="00B13FC9" w:rsidP="00B13FC9" w14:paraId="75BD47A0" w14:textId="03C6B75F">
      <w:pPr>
        <w:pStyle w:val="Header"/>
        <w:rPr>
          <w:rFonts w:asciiTheme="minorHAnsi" w:hAnsiTheme="minorHAnsi" w:cstheme="minorHAnsi"/>
          <w:bCs/>
          <w:sz w:val="22"/>
          <w:szCs w:val="22"/>
        </w:rPr>
      </w:pPr>
      <w:r w:rsidRPr="00B13FC9">
        <w:rPr>
          <w:rFonts w:asciiTheme="minorHAnsi" w:hAnsiTheme="minorHAnsi" w:cstheme="minorHAnsi"/>
          <w:bCs/>
          <w:sz w:val="22"/>
          <w:szCs w:val="22"/>
        </w:rPr>
        <w:t>The data helps us understand what works well and what frustrates taxpayers when they interact with our automated systems. We use this feedback to improve chatbot responses, fix common problems, and make the overall experience smoother. Better chatbots mean taxpayers can resolve issues faster without waiting on hold or visiting our offices. This survey directly supports our goal of providing excellent digital service that meets taxpayers where they are.</w:t>
      </w:r>
    </w:p>
    <w:p w:rsidR="00B13FC9" w:rsidP="00B53ABE" w14:paraId="6CD35DE9" w14:textId="77777777">
      <w:pPr>
        <w:pStyle w:val="Header"/>
        <w:tabs>
          <w:tab w:val="clear" w:pos="4320"/>
          <w:tab w:val="clear" w:pos="8640"/>
        </w:tabs>
        <w:rPr>
          <w:b/>
        </w:rPr>
      </w:pPr>
    </w:p>
    <w:p w:rsidR="00B53ABE" w:rsidP="00B53ABE" w14:paraId="2625096B" w14:textId="4E429ED0">
      <w:pPr>
        <w:pStyle w:val="Header"/>
        <w:tabs>
          <w:tab w:val="clear" w:pos="4320"/>
          <w:tab w:val="clear" w:pos="8640"/>
        </w:tabs>
      </w:pPr>
      <w:r w:rsidRPr="00434E33">
        <w:rPr>
          <w:b/>
        </w:rPr>
        <w:t>DESCRIPTION OF RESPONDENTS</w:t>
      </w:r>
      <w:r>
        <w:t xml:space="preserve">: </w:t>
      </w:r>
    </w:p>
    <w:p w:rsidR="009A6376" w:rsidRPr="00B53ABE" w:rsidP="00B53ABE" w14:paraId="6098DBB7" w14:textId="77777777">
      <w:pPr>
        <w:pStyle w:val="Header"/>
        <w:tabs>
          <w:tab w:val="clear" w:pos="4320"/>
          <w:tab w:val="clear" w:pos="8640"/>
        </w:tabs>
        <w:rPr>
          <w:i/>
          <w:snapToGrid/>
        </w:rPr>
      </w:pPr>
    </w:p>
    <w:p w:rsidR="00280501" w:rsidRPr="00280501" w:rsidP="00280501" w14:paraId="6ED08267" w14:textId="77777777">
      <w:r w:rsidRPr="00280501">
        <w:t>Our respondents are taxpayers who recently completed interactions with any of our eight IRS chatbot services. These users span all income levels, geographic regions, and tax situations—from individuals checking refund status to small business owners getting employer identification numbers.</w:t>
      </w:r>
    </w:p>
    <w:p w:rsidR="00280501" w:rsidRPr="00280501" w:rsidP="00280501" w14:paraId="5027990F" w14:textId="77777777">
      <w:r w:rsidRPr="00280501">
        <w:t>The respondent pool includes both frequent IRS users and people who rarely interact with us. Some respondents use simple chatbot functions like checking account balances, while others navigate complex issues like identity theft resolution. This diversity ensures we capture feedback across the full spectrum of taxpayer needs and technical comfort levels.</w:t>
      </w:r>
    </w:p>
    <w:p w:rsidR="00280501" w:rsidRPr="00280501" w:rsidP="00280501" w14:paraId="1A27C72B" w14:textId="77777777">
      <w:r w:rsidRPr="00280501">
        <w:t>Respondents range from young adults filing their first tax returns to retirees managing estate issues. They access chatbots through computers, tablets, and smartphones, giving us insights into how our services work across different devices and technical environments. Geographic distribution mirrors national tax filing patterns, with higher volumes from populous states and metropolitan areas.</w:t>
      </w:r>
    </w:p>
    <w:p w:rsidR="00B53ABE" w:rsidP="00B53ABE" w14:paraId="3FEB42CA" w14:textId="77777777"/>
    <w:p w:rsidR="00B53ABE" w:rsidRPr="00F06866" w:rsidP="00B53ABE" w14:paraId="3F6E18EC" w14:textId="77777777">
      <w:pPr>
        <w:rPr>
          <w:b/>
        </w:rPr>
      </w:pPr>
      <w:r>
        <w:rPr>
          <w:b/>
        </w:rPr>
        <w:t>TYPE OF COLLECTION:</w:t>
      </w:r>
      <w:r w:rsidRPr="00F06866">
        <w:t xml:space="preserve"> (Check one)</w:t>
      </w:r>
    </w:p>
    <w:p w:rsidR="00B53ABE" w:rsidRPr="00434E33" w:rsidP="00B53ABE" w14:paraId="7DBEF1E5" w14:textId="77777777">
      <w:pPr>
        <w:pStyle w:val="BodyTextIndent"/>
        <w:tabs>
          <w:tab w:val="left" w:pos="360"/>
        </w:tabs>
        <w:ind w:left="0"/>
        <w:rPr>
          <w:bCs/>
          <w:sz w:val="16"/>
          <w:szCs w:val="16"/>
        </w:rPr>
      </w:pPr>
    </w:p>
    <w:p w:rsidR="00B53ABE" w:rsidRPr="00F06866" w:rsidP="00B53ABE" w14:paraId="2152C811" w14:textId="75680DCB">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 Customer Satisfaction Survey    </w:t>
      </w:r>
    </w:p>
    <w:p w:rsidR="00B53ABE" w:rsidP="00B53ABE" w14:paraId="7FD200F9"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53ABE" w:rsidRPr="00F06866" w:rsidP="00B53ABE" w14:paraId="367C57A1"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53ABE" w:rsidP="00B53ABE" w14:paraId="5B3A890A" w14:textId="77777777">
      <w:pPr>
        <w:pStyle w:val="Header"/>
        <w:tabs>
          <w:tab w:val="clear" w:pos="4320"/>
          <w:tab w:val="clear" w:pos="8640"/>
        </w:tabs>
      </w:pPr>
    </w:p>
    <w:p w:rsidR="00B53ABE" w:rsidP="00B53ABE" w14:paraId="6FA81E65" w14:textId="77777777">
      <w:pPr>
        <w:rPr>
          <w:b/>
        </w:rPr>
      </w:pPr>
      <w:r>
        <w:rPr>
          <w:b/>
        </w:rPr>
        <w:t>CERTIFICATION:</w:t>
      </w:r>
    </w:p>
    <w:p w:rsidR="00B53ABE" w:rsidP="00B53ABE" w14:paraId="1FA2F9C3" w14:textId="77777777">
      <w:pPr>
        <w:rPr>
          <w:sz w:val="16"/>
          <w:szCs w:val="16"/>
        </w:rPr>
      </w:pPr>
    </w:p>
    <w:p w:rsidR="00B53ABE" w:rsidRPr="009C13B9" w:rsidP="00B53ABE" w14:paraId="4A546510" w14:textId="77777777">
      <w:r>
        <w:t xml:space="preserve">I certify the following to be true: </w:t>
      </w:r>
    </w:p>
    <w:p w:rsidR="00B53ABE" w:rsidP="00B53ABE" w14:paraId="22B5EBA2" w14:textId="77777777">
      <w:pPr>
        <w:pStyle w:val="ListParagraph"/>
        <w:numPr>
          <w:ilvl w:val="0"/>
          <w:numId w:val="1"/>
        </w:numPr>
        <w:spacing w:after="0" w:line="240" w:lineRule="auto"/>
      </w:pPr>
      <w:r>
        <w:t>The collection is voluntary.</w:t>
      </w:r>
      <w:r w:rsidRPr="00C14CC4">
        <w:t xml:space="preserve"> </w:t>
      </w:r>
    </w:p>
    <w:p w:rsidR="00B53ABE" w:rsidP="00B53ABE" w14:paraId="381D7101" w14:textId="77777777">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53ABE" w:rsidP="00B53ABE" w14:paraId="5C851452" w14:textId="77777777">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53ABE" w:rsidP="00B53ABE" w14:paraId="78696946" w14:textId="77777777">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53ABE" w:rsidP="00B53ABE" w14:paraId="7EF89A50" w14:textId="77777777">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53ABE" w:rsidP="00B53ABE" w14:paraId="2244E0E1" w14:textId="77777777">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B53ABE" w:rsidP="00B53ABE" w14:paraId="4773EE48" w14:textId="77777777"/>
    <w:p w:rsidR="00B53ABE" w:rsidP="00B53ABE" w14:paraId="45891221" w14:textId="58860FA8">
      <w:r>
        <w:t>Name:_</w:t>
      </w:r>
      <w:r w:rsidRPr="0014541B">
        <w:rPr>
          <w:u w:val="single"/>
        </w:rPr>
        <w:t xml:space="preserve"> _</w:t>
      </w:r>
      <w:r>
        <w:rPr>
          <w:u w:val="single"/>
        </w:rPr>
        <w:t>signed Ben Shackleford</w:t>
      </w:r>
      <w:r w:rsidRPr="0014541B">
        <w:rPr>
          <w:u w:val="single"/>
        </w:rPr>
        <w:t>________________________________________</w:t>
      </w:r>
    </w:p>
    <w:p w:rsidR="00B53ABE" w:rsidP="00B53ABE" w14:paraId="36894AE4" w14:textId="77777777">
      <w:pPr>
        <w:pStyle w:val="ListParagraph"/>
        <w:ind w:left="360"/>
      </w:pPr>
    </w:p>
    <w:p w:rsidR="00B53ABE" w:rsidP="0064380A" w14:paraId="550A104A" w14:textId="6FEFB974">
      <w:r>
        <w:t>To assist review, please provide answers to the following question:</w:t>
      </w:r>
    </w:p>
    <w:p w:rsidR="00B53ABE" w:rsidRPr="00C86E91" w:rsidP="00B53ABE" w14:paraId="7E1FCB22" w14:textId="77777777">
      <w:pPr>
        <w:rPr>
          <w:b/>
        </w:rPr>
      </w:pPr>
      <w:r w:rsidRPr="00C86E91">
        <w:rPr>
          <w:b/>
        </w:rPr>
        <w:t>Personally Identifiable Information:</w:t>
      </w:r>
    </w:p>
    <w:p w:rsidR="00B53ABE" w:rsidP="00B53ABE" w14:paraId="24C0D8E8" w14:textId="2A137261">
      <w:pPr>
        <w:pStyle w:val="ListParagraph"/>
        <w:numPr>
          <w:ilvl w:val="0"/>
          <w:numId w:val="4"/>
        </w:numPr>
        <w:spacing w:after="0" w:line="240" w:lineRule="auto"/>
      </w:pPr>
      <w:r>
        <w:t xml:space="preserve">Is personally identifiable information (PII) collected?  [X] Yes  [ ]  No </w:t>
      </w:r>
    </w:p>
    <w:p w:rsidR="00B53ABE" w:rsidRPr="003B2723" w:rsidP="00B53ABE" w14:paraId="154DF202" w14:textId="4717BE9E">
      <w:pPr>
        <w:pStyle w:val="ListParagraph"/>
        <w:numPr>
          <w:ilvl w:val="0"/>
          <w:numId w:val="4"/>
        </w:numPr>
        <w:spacing w:after="0" w:line="240" w:lineRule="auto"/>
      </w:pPr>
      <w:r>
        <w:t xml:space="preserve">If Yes, is the information that will be collected included in records that are subject to the Privacy Act </w:t>
      </w:r>
      <w:r w:rsidRPr="003B2723">
        <w:t xml:space="preserve">of 1974?   [X ] Yes [  ] No   </w:t>
      </w:r>
    </w:p>
    <w:p w:rsidR="00B53ABE" w:rsidRPr="003B2723" w:rsidP="00B53ABE" w14:paraId="6A49F344" w14:textId="74F882E5">
      <w:pPr>
        <w:pStyle w:val="ListParagraph"/>
        <w:numPr>
          <w:ilvl w:val="0"/>
          <w:numId w:val="4"/>
        </w:numPr>
        <w:spacing w:after="0" w:line="240" w:lineRule="auto"/>
      </w:pPr>
      <w:r w:rsidRPr="003B2723">
        <w:t>If Applicable, has a System or Records Notice been published?  [ X ] Yes  [  ] No</w:t>
      </w:r>
    </w:p>
    <w:p w:rsidR="00B53ABE" w:rsidRPr="00C86E91" w:rsidP="00B53ABE" w14:paraId="32066EEA" w14:textId="77777777">
      <w:pPr>
        <w:pStyle w:val="ListParagraph"/>
        <w:ind w:left="0"/>
        <w:rPr>
          <w:b/>
        </w:rPr>
      </w:pPr>
      <w:r w:rsidRPr="003B2723">
        <w:rPr>
          <w:b/>
        </w:rPr>
        <w:t>Gifts or Payments:</w:t>
      </w:r>
    </w:p>
    <w:p w:rsidR="00B53ABE" w:rsidRPr="0064380A" w:rsidP="00B53ABE" w14:paraId="277596D4" w14:textId="103DACF9">
      <w:r>
        <w:t xml:space="preserve">Is an incentive (e.g., money or reimbursement of expenses, token of appreciation) provided to participants?  </w:t>
      </w:r>
      <w:r>
        <w:t>[  ]</w:t>
      </w:r>
      <w:r>
        <w:t xml:space="preserve"> Yes [ X] No  </w:t>
      </w:r>
    </w:p>
    <w:p w:rsidR="00B53ABE" w:rsidRPr="0064380A" w:rsidP="0064380A" w14:paraId="601F8CAA" w14:textId="2FF417C0">
      <w:r>
        <w:rPr>
          <w:b/>
        </w:rPr>
        <w:t>BURDEN HOURS</w:t>
      </w:r>
      <w:r>
        <w:t xml:space="preserve"> </w:t>
      </w:r>
    </w:p>
    <w:tbl>
      <w:tblPr>
        <w:tblStyle w:val="TableGrid"/>
        <w:tblW w:w="9661" w:type="dxa"/>
        <w:tblLayout w:type="fixed"/>
        <w:tblLook w:val="01E0"/>
      </w:tblPr>
      <w:tblGrid>
        <w:gridCol w:w="5418"/>
        <w:gridCol w:w="1530"/>
        <w:gridCol w:w="1710"/>
        <w:gridCol w:w="1003"/>
      </w:tblGrid>
      <w:tr w14:paraId="30290721" w14:textId="77777777">
        <w:tblPrEx>
          <w:tblW w:w="9661" w:type="dxa"/>
          <w:tblLayout w:type="fixed"/>
          <w:tblLook w:val="01E0"/>
        </w:tblPrEx>
        <w:trPr>
          <w:trHeight w:val="274"/>
        </w:trPr>
        <w:tc>
          <w:tcPr>
            <w:tcW w:w="5418" w:type="dxa"/>
          </w:tcPr>
          <w:p w:rsidR="00B53ABE" w:rsidRPr="00F6240A" w14:paraId="35643598" w14:textId="333FEFB8">
            <w:pPr>
              <w:rPr>
                <w:b/>
              </w:rPr>
            </w:pPr>
            <w:r>
              <w:rPr>
                <w:b/>
              </w:rPr>
              <w:t>Category of Respondent</w:t>
            </w:r>
            <w:r w:rsidR="004E6C69">
              <w:rPr>
                <w:b/>
              </w:rPr>
              <w:t>: Individuals</w:t>
            </w:r>
          </w:p>
        </w:tc>
        <w:tc>
          <w:tcPr>
            <w:tcW w:w="1530" w:type="dxa"/>
          </w:tcPr>
          <w:p w:rsidR="00B53ABE" w:rsidRPr="00F6240A" w14:paraId="6068C7E8" w14:textId="77777777">
            <w:pPr>
              <w:rPr>
                <w:b/>
              </w:rPr>
            </w:pPr>
            <w:r w:rsidRPr="00F6240A">
              <w:rPr>
                <w:b/>
              </w:rPr>
              <w:t>N</w:t>
            </w:r>
            <w:r>
              <w:rPr>
                <w:b/>
              </w:rPr>
              <w:t>o.</w:t>
            </w:r>
            <w:r w:rsidRPr="00F6240A">
              <w:rPr>
                <w:b/>
              </w:rPr>
              <w:t xml:space="preserve"> of Respondents</w:t>
            </w:r>
          </w:p>
        </w:tc>
        <w:tc>
          <w:tcPr>
            <w:tcW w:w="1710" w:type="dxa"/>
          </w:tcPr>
          <w:p w:rsidR="00B53ABE" w:rsidRPr="00F6240A" w14:paraId="2EC9F842" w14:textId="77777777">
            <w:pPr>
              <w:rPr>
                <w:b/>
              </w:rPr>
            </w:pPr>
            <w:r w:rsidRPr="00F6240A">
              <w:rPr>
                <w:b/>
              </w:rPr>
              <w:t>Participation Time</w:t>
            </w:r>
          </w:p>
        </w:tc>
        <w:tc>
          <w:tcPr>
            <w:tcW w:w="1003" w:type="dxa"/>
          </w:tcPr>
          <w:p w:rsidR="00B53ABE" w:rsidRPr="00F6240A" w14:paraId="1545C1D0" w14:textId="77777777">
            <w:pPr>
              <w:rPr>
                <w:b/>
              </w:rPr>
            </w:pPr>
            <w:r w:rsidRPr="00F6240A">
              <w:rPr>
                <w:b/>
              </w:rPr>
              <w:t>Burden</w:t>
            </w:r>
          </w:p>
        </w:tc>
      </w:tr>
      <w:tr w14:paraId="404F506A" w14:textId="77777777">
        <w:tblPrEx>
          <w:tblW w:w="9661" w:type="dxa"/>
          <w:tblLayout w:type="fixed"/>
          <w:tblLook w:val="01E0"/>
        </w:tblPrEx>
        <w:trPr>
          <w:trHeight w:val="274"/>
        </w:trPr>
        <w:tc>
          <w:tcPr>
            <w:tcW w:w="5418" w:type="dxa"/>
          </w:tcPr>
          <w:p w:rsidR="00B53ABE" w14:paraId="31034A2A" w14:textId="77777777">
            <w:r>
              <w:t>Soliciting Potential Participants</w:t>
            </w:r>
          </w:p>
        </w:tc>
        <w:tc>
          <w:tcPr>
            <w:tcW w:w="1530" w:type="dxa"/>
          </w:tcPr>
          <w:p w:rsidR="00B53ABE" w14:paraId="66410A8B" w14:textId="5B093305">
            <w:r>
              <w:t>1,201,</w:t>
            </w:r>
            <w:r w:rsidR="00CF126D">
              <w:t>251</w:t>
            </w:r>
          </w:p>
        </w:tc>
        <w:tc>
          <w:tcPr>
            <w:tcW w:w="1710" w:type="dxa"/>
          </w:tcPr>
          <w:p w:rsidR="00B53ABE" w14:paraId="683E55CE" w14:textId="1F053621">
            <w:r>
              <w:t>1 minute</w:t>
            </w:r>
          </w:p>
        </w:tc>
        <w:tc>
          <w:tcPr>
            <w:tcW w:w="1003" w:type="dxa"/>
          </w:tcPr>
          <w:p w:rsidR="00B53ABE" w14:paraId="3A6E9B79" w14:textId="3B3DD0A0">
            <w:r>
              <w:t>20,020</w:t>
            </w:r>
          </w:p>
        </w:tc>
      </w:tr>
      <w:tr w14:paraId="7A527DB7" w14:textId="77777777">
        <w:tblPrEx>
          <w:tblW w:w="9661" w:type="dxa"/>
          <w:tblLayout w:type="fixed"/>
          <w:tblLook w:val="01E0"/>
        </w:tblPrEx>
        <w:trPr>
          <w:trHeight w:val="274"/>
        </w:trPr>
        <w:tc>
          <w:tcPr>
            <w:tcW w:w="5418" w:type="dxa"/>
          </w:tcPr>
          <w:p w:rsidR="00B53ABE" w14:paraId="3DCCDC15" w14:textId="77777777">
            <w:r>
              <w:t>Expected Participants</w:t>
            </w:r>
          </w:p>
        </w:tc>
        <w:tc>
          <w:tcPr>
            <w:tcW w:w="1530" w:type="dxa"/>
          </w:tcPr>
          <w:p w:rsidR="00B53ABE" w14:paraId="7723E8D8" w14:textId="0E223901">
            <w:r>
              <w:t>30</w:t>
            </w:r>
            <w:r w:rsidR="00BB0119">
              <w:t>,848</w:t>
            </w:r>
          </w:p>
        </w:tc>
        <w:tc>
          <w:tcPr>
            <w:tcW w:w="1710" w:type="dxa"/>
          </w:tcPr>
          <w:p w:rsidR="00B53ABE" w14:paraId="37A890CB" w14:textId="2431CC1B">
            <w:r>
              <w:t>2 minutes</w:t>
            </w:r>
          </w:p>
        </w:tc>
        <w:tc>
          <w:tcPr>
            <w:tcW w:w="1003" w:type="dxa"/>
          </w:tcPr>
          <w:p w:rsidR="00B53ABE" w14:paraId="58C78BFE" w14:textId="6FD593C7">
            <w:r>
              <w:t>1,028</w:t>
            </w:r>
          </w:p>
        </w:tc>
      </w:tr>
      <w:tr w14:paraId="38B4C054" w14:textId="77777777" w:rsidTr="00BA12EB">
        <w:tblPrEx>
          <w:tblW w:w="9661" w:type="dxa"/>
          <w:tblLayout w:type="fixed"/>
          <w:tblLook w:val="01E0"/>
        </w:tblPrEx>
        <w:trPr>
          <w:trHeight w:val="274"/>
        </w:trPr>
        <w:tc>
          <w:tcPr>
            <w:tcW w:w="5418" w:type="dxa"/>
          </w:tcPr>
          <w:p w:rsidR="00B53ABE" w14:paraId="49ADCBA4" w14:textId="77777777">
            <w:r>
              <w:rPr>
                <w:b/>
              </w:rPr>
              <w:t>Totals</w:t>
            </w:r>
          </w:p>
        </w:tc>
        <w:tc>
          <w:tcPr>
            <w:tcW w:w="1530" w:type="dxa"/>
          </w:tcPr>
          <w:p w:rsidR="00B53ABE" w14:paraId="2B6A3DA7" w14:textId="2E0BA90F">
            <w:r>
              <w:t>30,848</w:t>
            </w:r>
          </w:p>
        </w:tc>
        <w:tc>
          <w:tcPr>
            <w:tcW w:w="1710" w:type="dxa"/>
            <w:shd w:val="clear" w:color="auto" w:fill="1E1C11" w:themeFill="background2" w:themeFillShade="1A"/>
          </w:tcPr>
          <w:p w:rsidR="00B53ABE" w14:paraId="25CBF8CD" w14:textId="10617334"/>
        </w:tc>
        <w:tc>
          <w:tcPr>
            <w:tcW w:w="1003" w:type="dxa"/>
          </w:tcPr>
          <w:p w:rsidR="00B53ABE" w:rsidRPr="007771F6" w14:paraId="1D148EBE" w14:textId="171E1F29">
            <w:pPr>
              <w:rPr>
                <w:b/>
                <w:bCs/>
              </w:rPr>
            </w:pPr>
            <w:r>
              <w:rPr>
                <w:b/>
                <w:bCs/>
              </w:rPr>
              <w:t>1,028</w:t>
            </w:r>
          </w:p>
        </w:tc>
      </w:tr>
    </w:tbl>
    <w:p w:rsidR="00B53ABE" w:rsidRPr="00B50B36" w:rsidP="00B53ABE" w14:paraId="2C7606B4" w14:textId="20272330">
      <w:pPr>
        <w:rPr>
          <w:rFonts w:cstheme="minorHAnsi"/>
          <w:b/>
          <w:u w:val="single"/>
        </w:rPr>
      </w:pPr>
    </w:p>
    <w:p w:rsidR="00B53ABE" w:rsidRPr="001C29A7" w:rsidP="00B53ABE" w14:paraId="52A4A390" w14:textId="333BBE52">
      <w:r>
        <w:rPr>
          <w:b/>
        </w:rPr>
        <w:t xml:space="preserve">FEDERAL COST:  </w:t>
      </w:r>
      <w:r>
        <w:t xml:space="preserve">The estimated annual cost to the Federal government is </w:t>
      </w:r>
      <w:r w:rsidR="008C6A95">
        <w:t>$42,848</w:t>
      </w:r>
      <w:r>
        <w:t xml:space="preserve"> </w:t>
      </w:r>
    </w:p>
    <w:p w:rsidR="00B53ABE" w:rsidP="00E44777" w14:paraId="11239DBD" w14:textId="286C970B">
      <w:pPr>
        <w:tabs>
          <w:tab w:val="left" w:pos="3600"/>
        </w:tabs>
        <w:rPr>
          <w:b/>
          <w:bCs/>
          <w:u w:val="single"/>
        </w:rPr>
      </w:pPr>
      <w:r w:rsidRPr="1F927C6E">
        <w:rPr>
          <w:b/>
          <w:bCs/>
          <w:u w:val="single"/>
        </w:rPr>
        <w:t xml:space="preserve">STATISTICAL METHOD: </w:t>
      </w:r>
      <w:r>
        <w:tab/>
      </w:r>
    </w:p>
    <w:p w:rsidR="00810732" w:rsidRPr="00810732" w:rsidP="00810732" w14:paraId="170CB96E" w14:textId="77777777">
      <w:pPr>
        <w:tabs>
          <w:tab w:val="left" w:pos="3600"/>
        </w:tabs>
        <w:rPr>
          <w:rFonts w:eastAsia="Times New Roman" w:cstheme="minorHAnsi"/>
        </w:rPr>
      </w:pPr>
      <w:r w:rsidRPr="00810732">
        <w:rPr>
          <w:rFonts w:eastAsia="Times New Roman" w:cstheme="minorHAnsi"/>
        </w:rPr>
        <w:t>We use stratified random sampling with proportional allocation to ensure representative feedback from all eight chatbot services. Our annual target is 30,848 responses, distributed based on each chatbot's usage volume and seasonal patterns.</w:t>
      </w:r>
    </w:p>
    <w:p w:rsidR="00810732" w:rsidRPr="00810732" w:rsidP="00810732" w14:paraId="5E32797D" w14:textId="77777777">
      <w:pPr>
        <w:tabs>
          <w:tab w:val="left" w:pos="3600"/>
        </w:tabs>
        <w:rPr>
          <w:rFonts w:eastAsia="Times New Roman" w:cstheme="minorHAnsi"/>
        </w:rPr>
      </w:pPr>
      <w:r w:rsidRPr="00810732">
        <w:rPr>
          <w:rFonts w:eastAsia="Times New Roman" w:cstheme="minorHAnsi"/>
          <w:b/>
          <w:bCs/>
        </w:rPr>
        <w:t>Sample Allocation:</w:t>
      </w:r>
      <w:r w:rsidRPr="00810732">
        <w:rPr>
          <w:rFonts w:eastAsia="Times New Roman" w:cstheme="minorHAnsi"/>
        </w:rPr>
        <w:t xml:space="preserve"> The largest service (Refunds) handles 64% of interactions and receives 19,719 response targets. Medium-volume services like Amended Returns get 2,804 targets, while smaller </w:t>
      </w:r>
      <w:r w:rsidRPr="00810732">
        <w:rPr>
          <w:rFonts w:eastAsia="Times New Roman" w:cstheme="minorHAnsi"/>
        </w:rPr>
        <w:t>services like Extension to File receive 996 targets. This proportional approach ensures adequate sample sizes for reliable analysis while reflecting actual usage patterns.</w:t>
      </w:r>
    </w:p>
    <w:p w:rsidR="00810732" w:rsidRPr="00810732" w:rsidP="00810732" w14:paraId="516BAA05" w14:textId="77777777">
      <w:pPr>
        <w:tabs>
          <w:tab w:val="left" w:pos="3600"/>
        </w:tabs>
        <w:rPr>
          <w:rFonts w:eastAsia="Times New Roman" w:cstheme="minorHAnsi"/>
        </w:rPr>
      </w:pPr>
      <w:r w:rsidRPr="00810732">
        <w:rPr>
          <w:rFonts w:eastAsia="Times New Roman" w:cstheme="minorHAnsi"/>
          <w:b/>
          <w:bCs/>
        </w:rPr>
        <w:t>Invitation Strategy:</w:t>
      </w:r>
      <w:r w:rsidRPr="00810732">
        <w:rPr>
          <w:rFonts w:eastAsia="Times New Roman" w:cstheme="minorHAnsi"/>
        </w:rPr>
        <w:t> We send approximately 1.2 million invitations annually, expecting response rates between 2.26% and 2.69% based on pilot testing and chatbot type. Services used during tax filing season (February-May) typically see higher participation because taxpayers are more engaged with tax issues during this period.</w:t>
      </w:r>
    </w:p>
    <w:p w:rsidR="00810732" w:rsidRPr="00810732" w:rsidP="00810732" w14:paraId="2A665417" w14:textId="77777777">
      <w:pPr>
        <w:tabs>
          <w:tab w:val="left" w:pos="3600"/>
        </w:tabs>
        <w:rPr>
          <w:rFonts w:eastAsia="Times New Roman" w:cstheme="minorHAnsi"/>
        </w:rPr>
      </w:pPr>
      <w:r w:rsidRPr="00810732">
        <w:rPr>
          <w:rFonts w:eastAsia="Times New Roman" w:cstheme="minorHAnsi"/>
          <w:b/>
          <w:bCs/>
        </w:rPr>
        <w:t>Precision Targets:</w:t>
      </w:r>
      <w:r w:rsidRPr="00810732">
        <w:rPr>
          <w:rFonts w:eastAsia="Times New Roman" w:cstheme="minorHAnsi"/>
        </w:rPr>
        <w:t> This design achieves quarterly margins of error between ±1% to ±4.5% for individual chatbots, depending on usage volume and season. Monthly aggregate analysis across all chatbots maintains ±2% precision year-round.</w:t>
      </w:r>
    </w:p>
    <w:p w:rsidR="00810732" w:rsidRPr="00810732" w:rsidP="00810732" w14:paraId="32B4BAC4" w14:textId="77777777">
      <w:pPr>
        <w:tabs>
          <w:tab w:val="left" w:pos="3600"/>
        </w:tabs>
        <w:rPr>
          <w:rFonts w:eastAsia="Times New Roman" w:cstheme="minorHAnsi"/>
        </w:rPr>
      </w:pPr>
      <w:r w:rsidRPr="00810732">
        <w:rPr>
          <w:rFonts w:eastAsia="Times New Roman" w:cstheme="minorHAnsi"/>
          <w:b/>
          <w:bCs/>
        </w:rPr>
        <w:t>Weighting Methodology:</w:t>
      </w:r>
      <w:r w:rsidRPr="00810732">
        <w:rPr>
          <w:rFonts w:eastAsia="Times New Roman" w:cstheme="minorHAnsi"/>
        </w:rPr>
        <w:t> We apply design weights to adjust for different selection probabilities across chatbots and time periods. Base weights equal the inverse of selection probability within each stratum (chatbot type × quarter). We then apply non-response adjustments using chatbot usage patterns, demographics when available, and seasonal factors. Final weights ensure our results properly represent the full population of chatbot users, not just survey respondents.</w:t>
      </w:r>
    </w:p>
    <w:p w:rsidR="00810732" w:rsidRPr="00810732" w:rsidP="00810732" w14:paraId="5A6DC4D2" w14:textId="77777777">
      <w:pPr>
        <w:tabs>
          <w:tab w:val="left" w:pos="3600"/>
        </w:tabs>
        <w:rPr>
          <w:rFonts w:eastAsia="Times New Roman" w:cstheme="minorHAnsi"/>
        </w:rPr>
      </w:pPr>
      <w:r w:rsidRPr="00810732">
        <w:rPr>
          <w:rFonts w:eastAsia="Times New Roman" w:cstheme="minorHAnsi"/>
          <w:b/>
          <w:bCs/>
        </w:rPr>
        <w:t>Analysis Plan:</w:t>
      </w:r>
    </w:p>
    <w:p w:rsidR="00810732" w:rsidRPr="00810732" w:rsidP="00810732" w14:paraId="4024A167" w14:textId="77777777">
      <w:pPr>
        <w:numPr>
          <w:ilvl w:val="0"/>
          <w:numId w:val="11"/>
        </w:numPr>
        <w:tabs>
          <w:tab w:val="left" w:pos="3600"/>
        </w:tabs>
        <w:rPr>
          <w:rFonts w:eastAsia="Times New Roman" w:cstheme="minorHAnsi"/>
        </w:rPr>
      </w:pPr>
      <w:r w:rsidRPr="00810732">
        <w:rPr>
          <w:rFonts w:eastAsia="Times New Roman" w:cstheme="minorHAnsi"/>
          <w:i/>
          <w:iCs/>
        </w:rPr>
        <w:t>Descriptive Statistics:</w:t>
      </w:r>
      <w:r w:rsidRPr="00810732">
        <w:rPr>
          <w:rFonts w:eastAsia="Times New Roman" w:cstheme="minorHAnsi"/>
        </w:rPr>
        <w:t> We calculate satisfaction scores, completion rates, and demographic breakdowns for each chatbot service, all properly weighted to reflect population usage patterns.</w:t>
      </w:r>
    </w:p>
    <w:p w:rsidR="00810732" w:rsidRPr="00810732" w:rsidP="00810732" w14:paraId="5850C296" w14:textId="77777777">
      <w:pPr>
        <w:numPr>
          <w:ilvl w:val="0"/>
          <w:numId w:val="11"/>
        </w:numPr>
        <w:tabs>
          <w:tab w:val="left" w:pos="3600"/>
        </w:tabs>
        <w:rPr>
          <w:rFonts w:eastAsia="Times New Roman" w:cstheme="minorHAnsi"/>
        </w:rPr>
      </w:pPr>
      <w:r w:rsidRPr="00810732">
        <w:rPr>
          <w:rFonts w:eastAsia="Times New Roman" w:cstheme="minorHAnsi"/>
          <w:i/>
          <w:iCs/>
        </w:rPr>
        <w:t>Regression Analysis:</w:t>
      </w:r>
      <w:r w:rsidRPr="00810732">
        <w:rPr>
          <w:rFonts w:eastAsia="Times New Roman" w:cstheme="minorHAnsi"/>
        </w:rPr>
        <w:t> We use ordinary least squares (OLS) regression with survey weights to test relationships between user characteristics, chatbot features, and satisfaction outcomes. This helps identify which factors most influence user experience.</w:t>
      </w:r>
    </w:p>
    <w:p w:rsidR="00C8783F" w:rsidRPr="00C8783F" w:rsidP="00C8783F" w14:paraId="3D4F4358" w14:textId="59752A65">
      <w:pPr>
        <w:numPr>
          <w:ilvl w:val="0"/>
          <w:numId w:val="11"/>
        </w:numPr>
        <w:tabs>
          <w:tab w:val="left" w:pos="3600"/>
        </w:tabs>
        <w:rPr>
          <w:rFonts w:eastAsia="Times New Roman" w:cstheme="minorHAnsi"/>
        </w:rPr>
      </w:pPr>
      <w:r w:rsidRPr="00810732">
        <w:rPr>
          <w:rFonts w:eastAsia="Times New Roman" w:cstheme="minorHAnsi"/>
          <w:i/>
          <w:iCs/>
        </w:rPr>
        <w:t>Trend Analysis:</w:t>
      </w:r>
      <w:r w:rsidRPr="00810732">
        <w:rPr>
          <w:rFonts w:eastAsia="Times New Roman" w:cstheme="minorHAnsi"/>
        </w:rPr>
        <w:t> Monthly and quarterly weighted comparisons track service improvements over time and identify seasonal patterns in user satisfaction.</w:t>
      </w:r>
    </w:p>
    <w:p w:rsidR="00C8783F" w:rsidRPr="00C8783F" w:rsidP="00C8783F" w14:paraId="2560BCC4" w14:textId="77777777">
      <w:pPr>
        <w:tabs>
          <w:tab w:val="left" w:pos="3600"/>
        </w:tabs>
        <w:rPr>
          <w:rFonts w:eastAsia="Times New Roman" w:cstheme="minorHAnsi"/>
        </w:rPr>
      </w:pPr>
      <w:r w:rsidRPr="00C8783F">
        <w:rPr>
          <w:rFonts w:eastAsia="Times New Roman" w:cstheme="minorHAnsi"/>
          <w:b/>
          <w:bCs/>
        </w:rPr>
        <w:t>Text Analysis:</w:t>
      </w:r>
      <w:r w:rsidRPr="00C8783F">
        <w:rPr>
          <w:rFonts w:eastAsia="Times New Roman" w:cstheme="minorHAnsi"/>
        </w:rPr>
        <w:t> For open-ended feedback, we employ Natural Language Processing through Structural Topic Modeling. This computer-assisted method automatically identifies common themes and concerns in thousands of text responses without human bias. The model discovers hidden topics—like "wait times," "confusing language," or "helpful features"—and shows how frequently respondents mention each theme. This approach lets us quickly spot emerging issues and track whether problems improve after we make system changes.</w:t>
      </w:r>
    </w:p>
    <w:p w:rsidR="00C8783F" w:rsidRPr="00C76F9B" w:rsidP="00C8783F" w14:paraId="73D80BD2" w14:textId="77777777">
      <w:pPr>
        <w:tabs>
          <w:tab w:val="left" w:pos="3600"/>
        </w:tabs>
        <w:rPr>
          <w:rFonts w:eastAsia="Times New Roman" w:cstheme="minorHAnsi"/>
        </w:rPr>
      </w:pPr>
    </w:p>
    <w:p w:rsidR="00B53ABE" w:rsidP="00B53ABE" w14:paraId="1E6707A5" w14:textId="77777777">
      <w:pPr>
        <w:rPr>
          <w:b/>
          <w:bCs/>
          <w:u w:val="single"/>
        </w:rPr>
      </w:pPr>
    </w:p>
    <w:p w:rsidR="00B53ABE" w:rsidP="00B53ABE" w14:paraId="719D1051" w14:textId="77777777">
      <w:pPr>
        <w:rPr>
          <w:b/>
        </w:rPr>
      </w:pPr>
      <w:r>
        <w:rPr>
          <w:b/>
          <w:bCs/>
          <w:u w:val="single"/>
        </w:rPr>
        <w:t>If you are conducting a focus group, survey, or plan to employ statistical methods, please  provide answers to the following questions:</w:t>
      </w:r>
    </w:p>
    <w:p w:rsidR="00B53ABE" w:rsidP="00B53ABE" w14:paraId="3187E94A" w14:textId="77777777">
      <w:pPr>
        <w:rPr>
          <w:b/>
        </w:rPr>
      </w:pPr>
    </w:p>
    <w:p w:rsidR="00B53ABE" w:rsidP="00B53ABE" w14:paraId="460D8B15" w14:textId="77777777">
      <w:pPr>
        <w:rPr>
          <w:b/>
        </w:rPr>
      </w:pPr>
      <w:r>
        <w:rPr>
          <w:b/>
        </w:rPr>
        <w:t>The selection of your targeted respondents</w:t>
      </w:r>
    </w:p>
    <w:p w:rsidR="00B53ABE" w:rsidP="00B53ABE" w14:paraId="109D7E3F" w14:textId="1446C34D">
      <w:pPr>
        <w:pStyle w:val="ListParagraph"/>
        <w:numPr>
          <w:ilvl w:val="0"/>
          <w:numId w:val="2"/>
        </w:numPr>
        <w:spacing w:after="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0F2B76">
        <w:t>x</w:t>
      </w:r>
      <w:r>
        <w:t>] Yes</w:t>
      </w:r>
      <w:r>
        <w:tab/>
        <w:t>[ ] No</w:t>
      </w:r>
    </w:p>
    <w:p w:rsidR="00B53ABE" w:rsidP="00B53ABE" w14:paraId="0500F3A8" w14:textId="77777777">
      <w:pPr>
        <w:pStyle w:val="ListParagraph"/>
      </w:pPr>
    </w:p>
    <w:p w:rsidR="00B53ABE" w:rsidP="00B53ABE" w14:paraId="1090336C"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33ECE" w:rsidRPr="00C33ECE" w:rsidP="00C33ECE" w14:paraId="6B8C9379" w14:textId="77777777">
      <w:r w:rsidRPr="00C33ECE">
        <w:rPr>
          <w:b/>
          <w:bCs/>
        </w:rPr>
        <w:t>Universe Definition:</w:t>
      </w:r>
      <w:r w:rsidRPr="00C33ECE">
        <w:t> Our sampling frame includes all taxpayers who complete interactions with any of our eight chatbot services during the survey period. The IRS chatbot dashboard automatically captures each session, creating a complete record of approximately 4.8 million annual interactions. We exclude incomplete sessions, test interactions, and system errors to ensure we only survey genuine users.</w:t>
      </w:r>
    </w:p>
    <w:p w:rsidR="00C33ECE" w:rsidRPr="00C33ECE" w:rsidP="00C33ECE" w14:paraId="0B026E6A" w14:textId="77777777">
      <w:r w:rsidRPr="00C33ECE">
        <w:rPr>
          <w:b/>
          <w:bCs/>
        </w:rPr>
        <w:t>Stratification Strategy:</w:t>
      </w:r>
      <w:r w:rsidRPr="00C33ECE">
        <w:t> We stratify our universe by chatbot type and time period to account for dramatic seasonal variations. Tax filing season (February-May) generates 57% of annual activity, while summer months see much lower usage. Each chatbot also has distinct usage patterns—Extension to File peaks in October, while Refunds dominates January through April.</w:t>
      </w:r>
    </w:p>
    <w:p w:rsidR="00C33ECE" w:rsidRPr="00C33ECE" w:rsidP="00C33ECE" w14:paraId="775289E2" w14:textId="77777777">
      <w:r w:rsidRPr="00C33ECE">
        <w:rPr>
          <w:b/>
          <w:bCs/>
        </w:rPr>
        <w:t>Selection Process:</w:t>
      </w:r>
      <w:r w:rsidRPr="00C33ECE">
        <w:t> Within each stratum, we use systematic random sampling with quarterly selection periods. Our system generates randomized invitation lists every three months, with sample sizes calculated to meet precision targets while adjusting for expected response rates. For example, during filing season we increase sample sizes for chatbots that typically see lower response rates, ensuring adequate data for analysis.</w:t>
      </w:r>
    </w:p>
    <w:p w:rsidR="00C33ECE" w:rsidRPr="00C33ECE" w:rsidP="00C33ECE" w14:paraId="348097D7" w14:textId="77777777">
      <w:r w:rsidRPr="00C33ECE">
        <w:rPr>
          <w:b/>
          <w:bCs/>
        </w:rPr>
        <w:t>Quality Controls:</w:t>
      </w:r>
      <w:r w:rsidRPr="00C33ECE">
        <w:t> We monitor invitation delivery, track response patterns, and adjust sampling rates if needed to maintain target precision levels. The system prevents duplicate invitations and allows respondents to opt out of future surveys. We also validate that our achieved sample matches the target population demographics and usage patterns.</w:t>
      </w:r>
    </w:p>
    <w:p w:rsidR="00C33ECE" w:rsidRPr="00C33ECE" w:rsidP="00C33ECE" w14:paraId="444DECF2" w14:textId="77777777">
      <w:r w:rsidRPr="00C33ECE">
        <w:t>This systematic approach ensures every chatbot user has a known, calculable chance of selection while maintaining proportional representation across all service types and time periods.</w:t>
      </w:r>
    </w:p>
    <w:p w:rsidR="00B53ABE" w:rsidP="00B53ABE" w14:paraId="7C676160" w14:textId="77777777"/>
    <w:p w:rsidR="00B53ABE" w:rsidP="00B53ABE" w14:paraId="250FA181" w14:textId="77777777">
      <w:pPr>
        <w:rPr>
          <w:b/>
        </w:rPr>
      </w:pPr>
      <w:r>
        <w:rPr>
          <w:b/>
        </w:rPr>
        <w:t>Administration of the Instrument</w:t>
      </w:r>
    </w:p>
    <w:p w:rsidR="00B53ABE" w:rsidP="00B53ABE" w14:paraId="63B38EA1" w14:textId="77777777">
      <w:pPr>
        <w:pStyle w:val="ListParagraph"/>
        <w:numPr>
          <w:ilvl w:val="0"/>
          <w:numId w:val="3"/>
        </w:numPr>
        <w:spacing w:after="0" w:line="240" w:lineRule="auto"/>
      </w:pPr>
      <w:r>
        <w:t>How will you collect the information? (Check all that apply)</w:t>
      </w:r>
    </w:p>
    <w:p w:rsidR="00B53ABE" w:rsidP="00B53ABE" w14:paraId="7A739C3D" w14:textId="1105CB1E">
      <w:pPr>
        <w:ind w:left="720"/>
      </w:pPr>
      <w:r>
        <w:t>[</w:t>
      </w:r>
      <w:r w:rsidR="00E56579">
        <w:t>x</w:t>
      </w:r>
      <w:r>
        <w:t xml:space="preserve">  ] Web-based or other forms of Social Media </w:t>
      </w:r>
    </w:p>
    <w:p w:rsidR="00B53ABE" w:rsidP="00B53ABE" w14:paraId="403DC3A0" w14:textId="77777777">
      <w:pPr>
        <w:ind w:left="720"/>
      </w:pPr>
      <w:r>
        <w:t>[  ] Telephone</w:t>
      </w:r>
      <w:r>
        <w:tab/>
      </w:r>
    </w:p>
    <w:p w:rsidR="00B53ABE" w:rsidP="00B53ABE" w14:paraId="1C86A785" w14:textId="77777777">
      <w:pPr>
        <w:ind w:left="720"/>
      </w:pPr>
      <w:r>
        <w:t>[  ] In-person</w:t>
      </w:r>
      <w:r>
        <w:tab/>
      </w:r>
    </w:p>
    <w:p w:rsidR="00B53ABE" w:rsidP="00B53ABE" w14:paraId="74D55D59" w14:textId="77777777">
      <w:pPr>
        <w:ind w:left="720"/>
      </w:pPr>
      <w:r>
        <w:t xml:space="preserve">[  ] Mail </w:t>
      </w:r>
    </w:p>
    <w:p w:rsidR="00B53ABE" w:rsidP="00B53ABE" w14:paraId="386B1CD6" w14:textId="77777777">
      <w:pPr>
        <w:ind w:left="720"/>
      </w:pPr>
      <w:r>
        <w:t>[  ] Other, Explain – Microsoft TEAMS or ZOOM for sharing visuals.</w:t>
      </w:r>
    </w:p>
    <w:p w:rsidR="00B53ABE" w:rsidP="00B53ABE" w14:paraId="003E212D" w14:textId="264E05C2">
      <w:pPr>
        <w:pStyle w:val="ListParagraph"/>
        <w:numPr>
          <w:ilvl w:val="0"/>
          <w:numId w:val="3"/>
        </w:numPr>
        <w:spacing w:after="0" w:line="240" w:lineRule="auto"/>
      </w:pPr>
      <w:r>
        <w:t>Will interviewers or facilitators be used?  [  ] Yes [</w:t>
      </w:r>
      <w:r w:rsidR="00E56579">
        <w:t>x</w:t>
      </w:r>
      <w:r>
        <w:t xml:space="preserve">  ] No</w:t>
      </w:r>
    </w:p>
    <w:p w:rsidR="00B53ABE" w:rsidP="00B53ABE" w14:paraId="6A8B703F" w14:textId="77777777">
      <w:r>
        <w:br w:type="page"/>
      </w:r>
    </w:p>
    <w:p w:rsidR="00B53ABE" w:rsidP="00B53ABE" w14:paraId="025E03DF" w14:textId="77777777">
      <w:pPr>
        <w:pStyle w:val="ListParagraph"/>
        <w:ind w:left="360"/>
      </w:pPr>
      <w:r>
        <w:t xml:space="preserve"> </w:t>
      </w:r>
    </w:p>
    <w:p w:rsidR="00B53ABE" w:rsidRPr="00F24CFC" w:rsidP="00B53ABE" w14:paraId="6BC741D9" w14:textId="77777777">
      <w:pPr>
        <w:rPr>
          <w:b/>
        </w:rPr>
      </w:pPr>
      <w:r w:rsidRPr="00F24CFC">
        <w:rPr>
          <w:b/>
        </w:rPr>
        <w:t>Please make sure that all instruments, instructions, and scripts are submitted with the request.</w:t>
      </w:r>
    </w:p>
    <w:p w:rsidR="00B53ABE" w:rsidP="00B53ABE" w14:paraId="563618B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53ABE" w:rsidP="00B53ABE" w14:paraId="74602BFA" w14:textId="77777777">
      <w:pPr>
        <w:rPr>
          <w:b/>
        </w:rPr>
      </w:pPr>
    </w:p>
    <w:p w:rsidR="00B53ABE" w:rsidP="00B53ABE" w14:paraId="288418CC" w14:textId="31A81E1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0" b="0"/>
                <wp:wrapNone/>
                <wp:docPr id="779850663"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53ABE" w:rsidRPr="008F50D4" w:rsidP="00B53ABE" w14:paraId="6EB81110"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53ABE" w:rsidRPr="008F50D4" w:rsidP="00B53ABE" w14:paraId="2673938B" w14:textId="77777777"/>
    <w:p w:rsidR="00B53ABE" w:rsidRPr="008F50D4" w:rsidP="00B53ABE" w14:paraId="3AEFF15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53ABE" w:rsidRPr="008F50D4" w:rsidP="00B53ABE" w14:paraId="220B93FE" w14:textId="77777777">
      <w:pPr>
        <w:pStyle w:val="Header"/>
        <w:tabs>
          <w:tab w:val="clear" w:pos="4320"/>
          <w:tab w:val="clear" w:pos="8640"/>
        </w:tabs>
        <w:rPr>
          <w:b/>
        </w:rPr>
      </w:pPr>
    </w:p>
    <w:p w:rsidR="00B53ABE" w:rsidRPr="008F50D4" w:rsidP="00B53ABE" w14:paraId="31393FE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B53ABE" w:rsidRPr="008F50D4" w:rsidP="00B53ABE" w14:paraId="7C5474F3" w14:textId="77777777">
      <w:pPr>
        <w:rPr>
          <w:b/>
        </w:rPr>
      </w:pPr>
    </w:p>
    <w:p w:rsidR="00B53ABE" w:rsidRPr="008F50D4" w:rsidP="00B53ABE" w14:paraId="4F1782CA"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53ABE" w:rsidRPr="008F50D4" w:rsidP="00B53ABE" w14:paraId="54016A9B" w14:textId="77777777">
      <w:pPr>
        <w:pStyle w:val="BodyTextIndent"/>
        <w:tabs>
          <w:tab w:val="left" w:pos="360"/>
        </w:tabs>
        <w:ind w:left="0"/>
        <w:rPr>
          <w:bCs/>
          <w:sz w:val="24"/>
          <w:szCs w:val="24"/>
        </w:rPr>
      </w:pPr>
    </w:p>
    <w:p w:rsidR="00B53ABE" w:rsidRPr="008F50D4" w:rsidP="00B53ABE" w14:paraId="55639360" w14:textId="77777777">
      <w:r w:rsidRPr="008F50D4">
        <w:rPr>
          <w:b/>
        </w:rPr>
        <w:t xml:space="preserve">CERTIFICATION:  </w:t>
      </w:r>
      <w:r>
        <w:t>Please read the certification carefully.  If you incorrectly certify, the collection will be returned as improperly submitted or it will be disapproved.</w:t>
      </w:r>
    </w:p>
    <w:p w:rsidR="00B53ABE" w:rsidP="00B53ABE" w14:paraId="6819A642" w14:textId="77777777">
      <w:pPr>
        <w:rPr>
          <w:sz w:val="16"/>
          <w:szCs w:val="16"/>
        </w:rPr>
      </w:pPr>
    </w:p>
    <w:p w:rsidR="00B53ABE" w:rsidP="00B53ABE" w14:paraId="3B0C30C1" w14:textId="77777777">
      <w:r w:rsidRPr="00C86E91">
        <w:rPr>
          <w:b/>
        </w:rPr>
        <w:t>Personally Identifiable Information:</w:t>
      </w:r>
      <w:r>
        <w:rPr>
          <w:b/>
        </w:rPr>
        <w:t xml:space="preserve">  </w:t>
      </w:r>
      <w:r>
        <w:t xml:space="preserve">Provide answers to the questions.  </w:t>
      </w:r>
    </w:p>
    <w:p w:rsidR="00B53ABE" w:rsidRPr="008F50D4" w:rsidP="00B53ABE" w14:paraId="5DB742D7" w14:textId="77777777"/>
    <w:p w:rsidR="00B53ABE" w:rsidRPr="008F50D4" w:rsidP="00B53ABE" w14:paraId="5A8C0D11"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53ABE" w:rsidP="00B53ABE" w14:paraId="49DE32A5" w14:textId="77777777">
      <w:pPr>
        <w:rPr>
          <w:b/>
        </w:rPr>
      </w:pPr>
    </w:p>
    <w:p w:rsidR="00B53ABE" w:rsidP="00B53ABE" w14:paraId="6C49CC3D" w14:textId="77777777">
      <w:pPr>
        <w:rPr>
          <w:b/>
        </w:rPr>
      </w:pPr>
      <w:r>
        <w:rPr>
          <w:b/>
        </w:rPr>
        <w:t>BURDEN HOURS:</w:t>
      </w:r>
    </w:p>
    <w:p w:rsidR="00B53ABE" w:rsidP="00B53ABE" w14:paraId="662D3A5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53ABE" w:rsidP="00B53ABE" w14:paraId="70250BE0" w14:textId="77777777">
      <w:r w:rsidRPr="008F50D4">
        <w:rPr>
          <w:b/>
        </w:rPr>
        <w:t>No</w:t>
      </w:r>
      <w:r>
        <w:rPr>
          <w:b/>
        </w:rPr>
        <w:t>.</w:t>
      </w:r>
      <w:r w:rsidRPr="008F50D4">
        <w:rPr>
          <w:b/>
        </w:rPr>
        <w:t xml:space="preserve"> of Respondents:</w:t>
      </w:r>
      <w:r>
        <w:t xml:space="preserve">  Provide an estimate of the Number of respondents.</w:t>
      </w:r>
    </w:p>
    <w:p w:rsidR="00B53ABE" w:rsidP="00B53ABE" w14:paraId="58458783" w14:textId="77777777">
      <w:r>
        <w:rPr>
          <w:b/>
        </w:rPr>
        <w:t xml:space="preserve">Participation Time:  </w:t>
      </w:r>
      <w:r>
        <w:t>Provide an estimate of the amount of time required for a respondent to participate (e.g. fill out a survey or participate in a focus group)</w:t>
      </w:r>
    </w:p>
    <w:p w:rsidR="00B53ABE" w:rsidRPr="008F50D4" w:rsidP="00B53ABE" w14:paraId="7E6C7F3B" w14:textId="77777777">
      <w:r w:rsidRPr="008F50D4">
        <w:rPr>
          <w:b/>
        </w:rPr>
        <w:t>Burden:</w:t>
      </w:r>
      <w:r>
        <w:t xml:space="preserve">  Provide the </w:t>
      </w:r>
      <w:r w:rsidRPr="008F50D4">
        <w:t>Annual burden hours:  Multiply the Number of responses and the participation time and</w:t>
      </w:r>
      <w:r>
        <w:t xml:space="preserve"> divide by 60.</w:t>
      </w:r>
    </w:p>
    <w:p w:rsidR="00B53ABE" w:rsidRPr="006832D9" w:rsidP="00B53ABE" w14:paraId="235A080D" w14:textId="77777777">
      <w:pPr>
        <w:keepNext/>
        <w:keepLines/>
        <w:rPr>
          <w:b/>
        </w:rPr>
      </w:pPr>
    </w:p>
    <w:p w:rsidR="00B53ABE" w:rsidP="00B53ABE" w14:paraId="4FF399E3" w14:textId="77777777">
      <w:pPr>
        <w:rPr>
          <w:b/>
        </w:rPr>
      </w:pPr>
      <w:r>
        <w:rPr>
          <w:b/>
        </w:rPr>
        <w:t xml:space="preserve">FEDERAL COST: </w:t>
      </w:r>
      <w:r>
        <w:t>Provide an estimate of the annual cost to the Federal government.</w:t>
      </w:r>
    </w:p>
    <w:p w:rsidR="00B53ABE" w:rsidP="00B53ABE" w14:paraId="4F637806" w14:textId="77777777">
      <w:pPr>
        <w:rPr>
          <w:b/>
          <w:bCs/>
          <w:u w:val="single"/>
        </w:rPr>
      </w:pPr>
    </w:p>
    <w:p w:rsidR="00B53ABE" w:rsidP="00B53ABE" w14:paraId="360060DC" w14:textId="77777777">
      <w:pPr>
        <w:rPr>
          <w:b/>
        </w:rPr>
      </w:pPr>
      <w:r>
        <w:rPr>
          <w:b/>
          <w:bCs/>
          <w:u w:val="single"/>
        </w:rPr>
        <w:t>If you are conducting a focus group, survey, or plan to employ statistical methods, please  provide answers to the following questions:</w:t>
      </w:r>
    </w:p>
    <w:p w:rsidR="00B53ABE" w:rsidP="00B53ABE" w14:paraId="4790BA3A" w14:textId="77777777">
      <w:pPr>
        <w:rPr>
          <w:b/>
        </w:rPr>
      </w:pPr>
    </w:p>
    <w:p w:rsidR="00B53ABE" w:rsidP="00B53ABE" w14:paraId="164528E7"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53ABE" w:rsidP="00B53ABE" w14:paraId="763ED39F" w14:textId="77777777">
      <w:pPr>
        <w:rPr>
          <w:b/>
        </w:rPr>
      </w:pPr>
    </w:p>
    <w:p w:rsidR="00B53ABE" w:rsidRPr="003F1C5B" w:rsidP="00B53ABE" w14:paraId="63497352"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53ABE" w:rsidP="00B53ABE" w14:paraId="13D9F4AC" w14:textId="77777777">
      <w:pPr>
        <w:pStyle w:val="ListParagraph"/>
        <w:ind w:left="360"/>
      </w:pPr>
    </w:p>
    <w:p w:rsidR="00B53ABE" w:rsidRPr="00F24CFC" w:rsidP="00B53ABE" w14:paraId="2B8C22D5" w14:textId="77777777">
      <w:pPr>
        <w:rPr>
          <w:b/>
        </w:rPr>
      </w:pPr>
      <w:r w:rsidRPr="00F24CFC">
        <w:rPr>
          <w:b/>
        </w:rPr>
        <w:t>Please make sure that all instruments, instructions, and scripts are submitted with the request.</w:t>
      </w:r>
    </w:p>
    <w:p w:rsidR="00B53ABE" w:rsidP="00B53ABE" w14:paraId="3A210FA2" w14:textId="77777777">
      <w:pPr>
        <w:tabs>
          <w:tab w:val="left" w:pos="5670"/>
        </w:tabs>
        <w:suppressAutoHyphens/>
      </w:pPr>
    </w:p>
    <w:p w:rsidR="00B53ABE" w:rsidP="00B53ABE" w14:paraId="216193EB" w14:textId="77777777">
      <w:pPr>
        <w:rPr>
          <w:rFonts w:cstheme="minorHAnsi"/>
          <w:b/>
          <w:bCs/>
          <w:sz w:val="24"/>
          <w:szCs w:val="24"/>
        </w:rPr>
      </w:pPr>
      <w:r>
        <w:rPr>
          <w:rFonts w:cstheme="minorHAnsi"/>
          <w:b/>
          <w:bCs/>
          <w:sz w:val="24"/>
          <w:szCs w:val="24"/>
        </w:rPr>
        <w:br w:type="page"/>
      </w:r>
    </w:p>
    <w:p w:rsidR="00B53ABE" w:rsidRPr="00BF0E2D" w:rsidP="00B53ABE" w14:paraId="37745E96" w14:textId="77777777">
      <w:pPr>
        <w:rPr>
          <w:rFonts w:cstheme="minorHAnsi"/>
          <w:sz w:val="24"/>
          <w:szCs w:val="24"/>
        </w:rPr>
      </w:pPr>
    </w:p>
    <w:p w:rsidR="00033868" w14:paraId="3D8BD5E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A991"/>
    <w:multiLevelType w:val="multilevel"/>
    <w:tmpl w:val="33EAF1E0"/>
    <w:lvl w:ilvl="0">
      <w:start w:val="0"/>
      <w:numFmt w:val="bullet"/>
      <w:lvlText w:val="•"/>
      <w:lvlJc w:val="left"/>
      <w:pPr>
        <w:ind w:left="720" w:hanging="480"/>
      </w:pPr>
    </w:lvl>
    <w:lvl w:ilvl="1">
      <w:start w:val="0"/>
      <w:numFmt w:val="bullet"/>
      <w:lvlText w:val="–"/>
      <w:lvlJc w:val="left"/>
      <w:pPr>
        <w:ind w:left="1440" w:hanging="480"/>
      </w:pPr>
    </w:lvl>
    <w:lvl w:ilvl="2">
      <w:start w:val="0"/>
      <w:numFmt w:val="bullet"/>
      <w:lvlText w:val="•"/>
      <w:lvlJc w:val="left"/>
      <w:pPr>
        <w:ind w:left="2160" w:hanging="480"/>
      </w:pPr>
    </w:lvl>
    <w:lvl w:ilvl="3">
      <w:start w:val="0"/>
      <w:numFmt w:val="bullet"/>
      <w:lvlText w:val="–"/>
      <w:lvlJc w:val="left"/>
      <w:pPr>
        <w:ind w:left="2880" w:hanging="480"/>
      </w:pPr>
    </w:lvl>
    <w:lvl w:ilvl="4">
      <w:start w:val="0"/>
      <w:numFmt w:val="bullet"/>
      <w:lvlText w:val="•"/>
      <w:lvlJc w:val="left"/>
      <w:pPr>
        <w:ind w:left="3600" w:hanging="480"/>
      </w:pPr>
    </w:lvl>
    <w:lvl w:ilvl="5">
      <w:start w:val="0"/>
      <w:numFmt w:val="bullet"/>
      <w:lvlText w:val="–"/>
      <w:lvlJc w:val="left"/>
      <w:pPr>
        <w:ind w:left="4320" w:hanging="480"/>
      </w:pPr>
    </w:lvl>
    <w:lvl w:ilvl="6">
      <w:start w:val="0"/>
      <w:numFmt w:val="bullet"/>
      <w:lvlText w:val="•"/>
      <w:lvlJc w:val="left"/>
      <w:pPr>
        <w:ind w:left="5040" w:hanging="480"/>
      </w:pPr>
    </w:lvl>
    <w:lvl w:ilvl="7">
      <w:start w:val="0"/>
      <w:numFmt w:val="bullet"/>
      <w:lvlText w:val="–"/>
      <w:lvlJc w:val="left"/>
      <w:pPr>
        <w:ind w:left="5760" w:hanging="480"/>
      </w:pPr>
    </w:lvl>
    <w:lvl w:ilvl="8">
      <w:start w:val="0"/>
      <w:numFmt w:val="bullet"/>
      <w:lvlText w:val="•"/>
      <w:lvlJc w:val="left"/>
      <w:pPr>
        <w:ind w:left="6480" w:hanging="480"/>
      </w:pPr>
    </w:lvl>
  </w:abstractNum>
  <w:abstractNum w:abstractNumId="1">
    <w:nsid w:val="00A99411"/>
    <w:multiLevelType w:val="multilevel"/>
    <w:tmpl w:val="9E4A1E8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nsid w:val="00AA3299"/>
    <w:multiLevelType w:val="multilevel"/>
    <w:tmpl w:val="B592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22F3EB3"/>
    <w:multiLevelType w:val="multilevel"/>
    <w:tmpl w:val="D8B434A6"/>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5040CB"/>
    <w:multiLevelType w:val="multilevel"/>
    <w:tmpl w:val="D8B434A6"/>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8970257">
    <w:abstractNumId w:val="8"/>
  </w:num>
  <w:num w:numId="2" w16cid:durableId="1088695362">
    <w:abstractNumId w:val="7"/>
  </w:num>
  <w:num w:numId="3" w16cid:durableId="118426472">
    <w:abstractNumId w:val="3"/>
  </w:num>
  <w:num w:numId="4" w16cid:durableId="1721055916">
    <w:abstractNumId w:val="5"/>
  </w:num>
  <w:num w:numId="5" w16cid:durableId="698554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6851540">
    <w:abstractNumId w:val="0"/>
  </w:num>
  <w:num w:numId="7" w16cid:durableId="1288203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51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3893038">
    <w:abstractNumId w:val="4"/>
  </w:num>
  <w:num w:numId="10" w16cid:durableId="816259965">
    <w:abstractNumId w:val="6"/>
  </w:num>
  <w:num w:numId="11" w16cid:durableId="19935603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sko Molly J">
    <w15:presenceInfo w15:providerId="AD" w15:userId="S::d5nvb@ds.irsnet.gov::6f63ca1e-69f7-4b9f-b7f6-52fafdbaf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BE"/>
    <w:rsid w:val="00033868"/>
    <w:rsid w:val="000620C5"/>
    <w:rsid w:val="000652C2"/>
    <w:rsid w:val="000A1330"/>
    <w:rsid w:val="000C7F02"/>
    <w:rsid w:val="000F2B76"/>
    <w:rsid w:val="000F515A"/>
    <w:rsid w:val="0014541B"/>
    <w:rsid w:val="0016413A"/>
    <w:rsid w:val="001777EA"/>
    <w:rsid w:val="001B0063"/>
    <w:rsid w:val="001C03CE"/>
    <w:rsid w:val="001C29A7"/>
    <w:rsid w:val="001C4953"/>
    <w:rsid w:val="00203B14"/>
    <w:rsid w:val="00232158"/>
    <w:rsid w:val="002708E6"/>
    <w:rsid w:val="00280501"/>
    <w:rsid w:val="002D7106"/>
    <w:rsid w:val="003B2723"/>
    <w:rsid w:val="003C0B19"/>
    <w:rsid w:val="003F1C5B"/>
    <w:rsid w:val="003F75E1"/>
    <w:rsid w:val="004147FC"/>
    <w:rsid w:val="00422B61"/>
    <w:rsid w:val="00434E33"/>
    <w:rsid w:val="00457822"/>
    <w:rsid w:val="004977EA"/>
    <w:rsid w:val="004E482A"/>
    <w:rsid w:val="004E6C69"/>
    <w:rsid w:val="005024AC"/>
    <w:rsid w:val="00521888"/>
    <w:rsid w:val="005466CE"/>
    <w:rsid w:val="00586042"/>
    <w:rsid w:val="005E3C64"/>
    <w:rsid w:val="00636621"/>
    <w:rsid w:val="0064380A"/>
    <w:rsid w:val="006607E4"/>
    <w:rsid w:val="006832D9"/>
    <w:rsid w:val="006F2564"/>
    <w:rsid w:val="00761B00"/>
    <w:rsid w:val="0077658B"/>
    <w:rsid w:val="007771F6"/>
    <w:rsid w:val="007D364D"/>
    <w:rsid w:val="00810732"/>
    <w:rsid w:val="00895229"/>
    <w:rsid w:val="008C6A95"/>
    <w:rsid w:val="008F50D4"/>
    <w:rsid w:val="009239AA"/>
    <w:rsid w:val="009A4E53"/>
    <w:rsid w:val="009A6376"/>
    <w:rsid w:val="009C13B9"/>
    <w:rsid w:val="009C4030"/>
    <w:rsid w:val="00AC3230"/>
    <w:rsid w:val="00B13FC9"/>
    <w:rsid w:val="00B41D2D"/>
    <w:rsid w:val="00B43064"/>
    <w:rsid w:val="00B50B36"/>
    <w:rsid w:val="00B53ABE"/>
    <w:rsid w:val="00BA12EB"/>
    <w:rsid w:val="00BB0119"/>
    <w:rsid w:val="00BD6580"/>
    <w:rsid w:val="00BF0E2D"/>
    <w:rsid w:val="00C14CC4"/>
    <w:rsid w:val="00C273F0"/>
    <w:rsid w:val="00C33ECE"/>
    <w:rsid w:val="00C76F9B"/>
    <w:rsid w:val="00C86E91"/>
    <w:rsid w:val="00C8783F"/>
    <w:rsid w:val="00CF126D"/>
    <w:rsid w:val="00DC4637"/>
    <w:rsid w:val="00E22094"/>
    <w:rsid w:val="00E2523F"/>
    <w:rsid w:val="00E27959"/>
    <w:rsid w:val="00E44777"/>
    <w:rsid w:val="00E56579"/>
    <w:rsid w:val="00E8498F"/>
    <w:rsid w:val="00E854FE"/>
    <w:rsid w:val="00EF1715"/>
    <w:rsid w:val="00F06866"/>
    <w:rsid w:val="00F1635F"/>
    <w:rsid w:val="00F24CFC"/>
    <w:rsid w:val="00F6240A"/>
    <w:rsid w:val="00F73562"/>
    <w:rsid w:val="00FA4760"/>
    <w:rsid w:val="00FC0C92"/>
    <w:rsid w:val="1F927C6E"/>
    <w:rsid w:val="50A000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00BFF"/>
  <w15:chartTrackingRefBased/>
  <w15:docId w15:val="{6C395968-AF55-4332-8BA6-192CE684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ABE"/>
  </w:style>
  <w:style w:type="paragraph" w:styleId="Heading1">
    <w:name w:val="heading 1"/>
    <w:basedOn w:val="Normal"/>
    <w:next w:val="Normal"/>
    <w:link w:val="Heading1Char"/>
    <w:uiPriority w:val="9"/>
    <w:qFormat/>
    <w:rsid w:val="00B53AB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B53AB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3A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3AB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3AB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3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B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3A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3AB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3AB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3AB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3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ABE"/>
    <w:rPr>
      <w:rFonts w:eastAsiaTheme="majorEastAsia" w:cstheme="majorBidi"/>
      <w:color w:val="272727" w:themeColor="text1" w:themeTint="D8"/>
    </w:rPr>
  </w:style>
  <w:style w:type="paragraph" w:styleId="Title">
    <w:name w:val="Title"/>
    <w:basedOn w:val="Normal"/>
    <w:next w:val="Normal"/>
    <w:link w:val="TitleChar"/>
    <w:uiPriority w:val="10"/>
    <w:qFormat/>
    <w:rsid w:val="00B53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A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A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ABE"/>
    <w:rPr>
      <w:i/>
      <w:iCs/>
      <w:color w:val="404040" w:themeColor="text1" w:themeTint="BF"/>
    </w:rPr>
  </w:style>
  <w:style w:type="paragraph" w:styleId="ListParagraph">
    <w:name w:val="List Paragraph"/>
    <w:basedOn w:val="Normal"/>
    <w:uiPriority w:val="34"/>
    <w:qFormat/>
    <w:rsid w:val="00B53ABE"/>
    <w:pPr>
      <w:ind w:left="720"/>
      <w:contextualSpacing/>
    </w:pPr>
  </w:style>
  <w:style w:type="character" w:styleId="IntenseEmphasis">
    <w:name w:val="Intense Emphasis"/>
    <w:basedOn w:val="DefaultParagraphFont"/>
    <w:uiPriority w:val="21"/>
    <w:qFormat/>
    <w:rsid w:val="00B53ABE"/>
    <w:rPr>
      <w:i/>
      <w:iCs/>
      <w:color w:val="365F91" w:themeColor="accent1" w:themeShade="BF"/>
    </w:rPr>
  </w:style>
  <w:style w:type="paragraph" w:styleId="IntenseQuote">
    <w:name w:val="Intense Quote"/>
    <w:basedOn w:val="Normal"/>
    <w:next w:val="Normal"/>
    <w:link w:val="IntenseQuoteChar"/>
    <w:uiPriority w:val="30"/>
    <w:qFormat/>
    <w:rsid w:val="00B53A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3ABE"/>
    <w:rPr>
      <w:i/>
      <w:iCs/>
      <w:color w:val="365F91" w:themeColor="accent1" w:themeShade="BF"/>
    </w:rPr>
  </w:style>
  <w:style w:type="character" w:styleId="IntenseReference">
    <w:name w:val="Intense Reference"/>
    <w:basedOn w:val="DefaultParagraphFont"/>
    <w:uiPriority w:val="32"/>
    <w:qFormat/>
    <w:rsid w:val="00B53ABE"/>
    <w:rPr>
      <w:b/>
      <w:bCs/>
      <w:smallCaps/>
      <w:color w:val="365F91" w:themeColor="accent1" w:themeShade="BF"/>
      <w:spacing w:val="5"/>
    </w:rPr>
  </w:style>
  <w:style w:type="paragraph" w:styleId="Header">
    <w:name w:val="header"/>
    <w:basedOn w:val="Normal"/>
    <w:link w:val="HeaderChar"/>
    <w:rsid w:val="00B53ABE"/>
    <w:pPr>
      <w:widowControl w:val="0"/>
      <w:tabs>
        <w:tab w:val="center" w:pos="4320"/>
        <w:tab w:val="right" w:pos="8640"/>
      </w:tabs>
      <w:spacing w:after="0" w:line="240" w:lineRule="auto"/>
    </w:pPr>
    <w:rPr>
      <w:rFonts w:ascii="Times New Roman" w:eastAsia="Times New Roman" w:hAnsi="Times New Roman" w:cs="Times New Roman"/>
      <w:snapToGrid w:val="0"/>
      <w:kern w:val="0"/>
      <w:sz w:val="24"/>
      <w:szCs w:val="24"/>
    </w:rPr>
  </w:style>
  <w:style w:type="character" w:customStyle="1" w:styleId="HeaderChar">
    <w:name w:val="Header Char"/>
    <w:basedOn w:val="DefaultParagraphFont"/>
    <w:link w:val="Header"/>
    <w:rsid w:val="00B53ABE"/>
    <w:rPr>
      <w:rFonts w:ascii="Times New Roman" w:eastAsia="Times New Roman" w:hAnsi="Times New Roman" w:cs="Times New Roman"/>
      <w:snapToGrid w:val="0"/>
      <w:kern w:val="0"/>
      <w:sz w:val="24"/>
      <w:szCs w:val="24"/>
    </w:rPr>
  </w:style>
  <w:style w:type="paragraph" w:styleId="BodyTextIndent">
    <w:name w:val="Body Text Indent"/>
    <w:basedOn w:val="Normal"/>
    <w:link w:val="BodyTextIndentChar"/>
    <w:rsid w:val="00B53ABE"/>
    <w:pPr>
      <w:spacing w:after="0" w:line="240" w:lineRule="auto"/>
      <w:ind w:left="288"/>
    </w:pPr>
    <w:rPr>
      <w:rFonts w:ascii="Times New Roman" w:eastAsia="Times New Roman" w:hAnsi="Times New Roman" w:cs="Times New Roman"/>
      <w:kern w:val="0"/>
      <w:sz w:val="20"/>
      <w:szCs w:val="20"/>
      <w:lang w:eastAsia="zh-CN"/>
    </w:rPr>
  </w:style>
  <w:style w:type="character" w:customStyle="1" w:styleId="BodyTextIndentChar">
    <w:name w:val="Body Text Indent Char"/>
    <w:basedOn w:val="DefaultParagraphFont"/>
    <w:link w:val="BodyTextIndent"/>
    <w:rsid w:val="00B53ABE"/>
    <w:rPr>
      <w:rFonts w:ascii="Times New Roman" w:eastAsia="Times New Roman" w:hAnsi="Times New Roman" w:cs="Times New Roman"/>
      <w:kern w:val="0"/>
      <w:sz w:val="20"/>
      <w:szCs w:val="20"/>
      <w:lang w:eastAsia="zh-CN"/>
    </w:rPr>
  </w:style>
  <w:style w:type="table" w:styleId="TableGrid">
    <w:name w:val="Table Grid"/>
    <w:basedOn w:val="TableNormal"/>
    <w:rsid w:val="00B53ABE"/>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C3230"/>
    <w:pPr>
      <w:spacing w:after="120"/>
    </w:pPr>
  </w:style>
  <w:style w:type="character" w:customStyle="1" w:styleId="BodyTextChar">
    <w:name w:val="Body Text Char"/>
    <w:basedOn w:val="DefaultParagraphFont"/>
    <w:link w:val="BodyText"/>
    <w:uiPriority w:val="99"/>
    <w:semiHidden/>
    <w:rsid w:val="00AC3230"/>
  </w:style>
  <w:style w:type="paragraph" w:styleId="Revision">
    <w:name w:val="Revision"/>
    <w:hidden/>
    <w:uiPriority w:val="99"/>
    <w:semiHidden/>
    <w:rsid w:val="006607E4"/>
    <w:pPr>
      <w:spacing w:after="0" w:line="240" w:lineRule="auto"/>
    </w:pPr>
  </w:style>
  <w:style w:type="character" w:styleId="CommentReference">
    <w:name w:val="annotation reference"/>
    <w:basedOn w:val="DefaultParagraphFont"/>
    <w:uiPriority w:val="99"/>
    <w:semiHidden/>
    <w:unhideWhenUsed/>
    <w:rsid w:val="0064380A"/>
    <w:rPr>
      <w:sz w:val="16"/>
      <w:szCs w:val="16"/>
    </w:rPr>
  </w:style>
  <w:style w:type="paragraph" w:styleId="CommentText">
    <w:name w:val="annotation text"/>
    <w:basedOn w:val="Normal"/>
    <w:link w:val="CommentTextChar"/>
    <w:uiPriority w:val="99"/>
    <w:unhideWhenUsed/>
    <w:rsid w:val="0064380A"/>
    <w:pPr>
      <w:spacing w:line="240" w:lineRule="auto"/>
    </w:pPr>
    <w:rPr>
      <w:sz w:val="20"/>
      <w:szCs w:val="20"/>
    </w:rPr>
  </w:style>
  <w:style w:type="character" w:customStyle="1" w:styleId="CommentTextChar">
    <w:name w:val="Comment Text Char"/>
    <w:basedOn w:val="DefaultParagraphFont"/>
    <w:link w:val="CommentText"/>
    <w:uiPriority w:val="99"/>
    <w:rsid w:val="0064380A"/>
    <w:rPr>
      <w:sz w:val="20"/>
      <w:szCs w:val="20"/>
    </w:rPr>
  </w:style>
  <w:style w:type="paragraph" w:styleId="CommentSubject">
    <w:name w:val="annotation subject"/>
    <w:basedOn w:val="CommentText"/>
    <w:next w:val="CommentText"/>
    <w:link w:val="CommentSubjectChar"/>
    <w:uiPriority w:val="99"/>
    <w:semiHidden/>
    <w:unhideWhenUsed/>
    <w:rsid w:val="0064380A"/>
    <w:rPr>
      <w:b/>
      <w:bCs/>
    </w:rPr>
  </w:style>
  <w:style w:type="character" w:customStyle="1" w:styleId="CommentSubjectChar">
    <w:name w:val="Comment Subject Char"/>
    <w:basedOn w:val="CommentTextChar"/>
    <w:link w:val="CommentSubject"/>
    <w:uiPriority w:val="99"/>
    <w:semiHidden/>
    <w:rsid w:val="00643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E8E07-5121-437F-A466-EF44A19BA372}">
  <ds:schemaRefs>
    <ds:schemaRef ds:uri="http://schemas.microsoft.com/office/2006/metadata/properties"/>
    <ds:schemaRef ds:uri="http://schemas.microsoft.com/office/infopath/2007/PartnerControls"/>
    <ds:schemaRef ds:uri="http://schemas.microsoft.com/sharepoint/v3"/>
    <ds:schemaRef ds:uri="e6880ed7-0315-40c9-9935-95fd5cf30858"/>
    <ds:schemaRef ds:uri="cbe02420-15b0-41d2-a6af-20ce2212ac3e"/>
  </ds:schemaRefs>
</ds:datastoreItem>
</file>

<file path=customXml/itemProps2.xml><?xml version="1.0" encoding="utf-8"?>
<ds:datastoreItem xmlns:ds="http://schemas.openxmlformats.org/officeDocument/2006/customXml" ds:itemID="{ED56DD38-E050-48A8-BC25-6D1D1F58C735}">
  <ds:schemaRefs>
    <ds:schemaRef ds:uri="http://schemas.microsoft.com/sharepoint/v3/contenttype/forms"/>
  </ds:schemaRefs>
</ds:datastoreItem>
</file>

<file path=customXml/itemProps3.xml><?xml version="1.0" encoding="utf-8"?>
<ds:datastoreItem xmlns:ds="http://schemas.openxmlformats.org/officeDocument/2006/customXml" ds:itemID="{847C41B0-3D78-49F3-AA37-AC2CAC33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1799</Words>
  <Characters>10256</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Shackleford Ben A</dc:creator>
  <cp:lastModifiedBy>Castle Timothy Scott</cp:lastModifiedBy>
  <cp:revision>2</cp:revision>
  <dcterms:created xsi:type="dcterms:W3CDTF">2025-08-19T18:06:00Z</dcterms:created>
  <dcterms:modified xsi:type="dcterms:W3CDTF">2025-08-19T18:06:00Z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