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36959" w:rsidP="00F06866" w14:paraId="2EA76605" w14:textId="5B379E64">
      <w:pPr>
        <w:pStyle w:val="Heading2"/>
        <w:tabs>
          <w:tab w:val="left" w:pos="900"/>
        </w:tabs>
        <w:ind w:right="-180"/>
      </w:pPr>
      <w:r w:rsidRPr="00B36959">
        <w:rPr>
          <w:sz w:val="28"/>
        </w:rPr>
        <w:t xml:space="preserve">Request for Approval under the “Generic Clearance for the Collection of Routine Customer Feedback” (OMB Control Number: </w:t>
      </w:r>
      <w:r w:rsidRPr="00B36959" w:rsidR="00291387">
        <w:rPr>
          <w:sz w:val="28"/>
        </w:rPr>
        <w:t>1545-1432</w:t>
      </w:r>
      <w:r w:rsidRPr="00B36959">
        <w:rPr>
          <w:sz w:val="28"/>
        </w:rPr>
        <w:t>)</w:t>
      </w:r>
    </w:p>
    <w:p w:rsidR="00F73688" w:rsidRPr="00B36959" w:rsidP="00F73688" w14:paraId="53E56E08" w14:textId="77777777">
      <w:pPr>
        <w:spacing w:before="120"/>
        <w:rPr>
          <w:b/>
        </w:rPr>
      </w:pPr>
      <w:r w:rsidRPr="00B36959">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6959" w:rsidR="005E714A">
        <w:rPr>
          <w:b/>
        </w:rPr>
        <w:t>TITLE OF INFORMATION COLLECTION:</w:t>
      </w:r>
    </w:p>
    <w:p w:rsidR="008E70F1" w:rsidP="008E70F1" w14:paraId="08A76F04" w14:textId="77777777">
      <w:r>
        <w:t>W&amp;I Stakeholder Partnerships, Education and Communication (SPEC) Partner</w:t>
      </w:r>
    </w:p>
    <w:p w:rsidR="00567D6B" w:rsidP="008E70F1" w14:paraId="2B6994FB" w14:textId="1A5AA028">
      <w:r>
        <w:t>Web Customer Satisfaction Survey</w:t>
      </w:r>
    </w:p>
    <w:p w:rsidR="008E70F1" w:rsidRPr="00B36959" w:rsidP="008E70F1" w14:paraId="3274126A" w14:textId="77777777"/>
    <w:p w:rsidR="001B0AAA" w:rsidRPr="00B36959" w14:paraId="656928B8" w14:textId="19534ACF">
      <w:r w:rsidRPr="00B36959">
        <w:rPr>
          <w:b/>
        </w:rPr>
        <w:t>PURPOSE:</w:t>
      </w:r>
      <w:r w:rsidRPr="00B36959" w:rsidR="00C14CC4">
        <w:rPr>
          <w:b/>
        </w:rPr>
        <w:t xml:space="preserve">  </w:t>
      </w:r>
    </w:p>
    <w:p w:rsidR="00464784" w:rsidRPr="00B36959" w:rsidP="00567D6B" w14:paraId="2BD385DD" w14:textId="77777777"/>
    <w:p w:rsidR="002B20E6" w:rsidP="002B20E6" w14:paraId="35181BC3" w14:textId="77777777">
      <w:r>
        <w:t>The Internal Revenue Service (IRS) uses a balanced measurement system consisting of business results, taxpayer satisfaction, and employee satisfaction. The use of these balanced organizational performance measures is mandated by the IRS Restructuring and Reform Act (RRA) of 1998. In addition, Executive Order 12862 requires all government agencies to survey their taxpayers and to incorporate taxpayer experience data in process improvement efforts.</w:t>
      </w:r>
    </w:p>
    <w:p w:rsidR="002B20E6" w:rsidP="002B20E6" w14:paraId="78EDD5EA" w14:textId="77777777"/>
    <w:p w:rsidR="002B20E6" w:rsidP="002B20E6" w14:paraId="573461B0" w14:textId="77777777">
      <w:r>
        <w:t>The Stakeholder Partnerships, Education, and Communication (SPEC) organization in the Wage</w:t>
      </w:r>
    </w:p>
    <w:p w:rsidR="002B20E6" w:rsidP="002B20E6" w14:paraId="0F947FEC" w14:textId="77777777">
      <w:r>
        <w:t>&amp; Investment (W&amp;I) Division fosters voluntary compliance by making W&amp;I taxpayers aware of</w:t>
      </w:r>
    </w:p>
    <w:p w:rsidR="002B20E6" w:rsidP="002B20E6" w14:paraId="4EFC3230" w14:textId="77777777">
      <w:r>
        <w:t>their federal tax responsibilities and assisting them to prepare timely and accurate returns. SPEC</w:t>
      </w:r>
    </w:p>
    <w:p w:rsidR="002B20E6" w:rsidP="002B20E6" w14:paraId="3C1E30C8" w14:textId="77777777">
      <w:r>
        <w:t>builds and maintains partnerships with key stakeholders, seeking to create and share value by</w:t>
      </w:r>
    </w:p>
    <w:p w:rsidR="002B20E6" w:rsidP="002B20E6" w14:paraId="6D423E39" w14:textId="77777777">
      <w:r>
        <w:t>informing, educating, and communicating with shared customers. SPEC services W&amp;I taxpayers</w:t>
      </w:r>
    </w:p>
    <w:p w:rsidR="002B20E6" w:rsidP="002B20E6" w14:paraId="2159FB2F" w14:textId="77777777">
      <w:r>
        <w:t>through education, tax preparation and asset building.</w:t>
      </w:r>
    </w:p>
    <w:p w:rsidR="002B20E6" w:rsidP="002B20E6" w14:paraId="1405F1E6" w14:textId="77777777"/>
    <w:p w:rsidR="0056003E" w:rsidP="0056003E" w14:paraId="76F376D3" w14:textId="77777777">
      <w:r>
        <w:t xml:space="preserve">This survey allows SPEC to </w:t>
      </w:r>
      <w:r w:rsidR="0036476F">
        <w:t>measure the impact of these Partner relationships and our education and outreach efforts more effectively, SPEC has embraced the IRS balanced measurement system consisting of business</w:t>
      </w:r>
      <w:r w:rsidR="00515275">
        <w:t xml:space="preserve"> results, customer satisfaction, and employee satisfaction. </w:t>
      </w:r>
      <w:r w:rsidR="0019528D">
        <w:t xml:space="preserve">This survey also allows Spec to support </w:t>
      </w:r>
      <w:r>
        <w:t>IRS Strategic Goal I - (Service) Deliver high quality and</w:t>
      </w:r>
    </w:p>
    <w:p w:rsidR="00EB41B8" w:rsidP="0056003E" w14:paraId="4F1C3A72" w14:textId="43A315AE">
      <w:r>
        <w:t xml:space="preserve">timely service to reduce taxpayer burden and encourage voluntary compliance. </w:t>
      </w:r>
      <w:r w:rsidR="00515275">
        <w:t>This project is a critical element in obtaining the data needed to measure the satisfaction of our Partners.</w:t>
      </w:r>
    </w:p>
    <w:p w:rsidR="002B20E6" w:rsidRPr="00B36959" w:rsidP="002B20E6" w14:paraId="0262331E" w14:textId="77777777"/>
    <w:p w:rsidR="00434E33" w:rsidRPr="00B36959" w:rsidP="00434E33" w14:paraId="3B4A58BE" w14:textId="77777777">
      <w:pPr>
        <w:pStyle w:val="Header"/>
        <w:tabs>
          <w:tab w:val="clear" w:pos="4320"/>
          <w:tab w:val="clear" w:pos="8640"/>
        </w:tabs>
        <w:rPr>
          <w:i/>
          <w:snapToGrid/>
        </w:rPr>
      </w:pPr>
      <w:r w:rsidRPr="00B36959">
        <w:rPr>
          <w:b/>
        </w:rPr>
        <w:t>DESCRIPTION OF RESPONDENTS</w:t>
      </w:r>
      <w:r w:rsidRPr="00B36959">
        <w:t xml:space="preserve">: </w:t>
      </w:r>
    </w:p>
    <w:p w:rsidR="00F15956" w:rsidRPr="00B36959" w14:paraId="2E3B3775" w14:textId="77777777"/>
    <w:p w:rsidR="00434E33" w14:paraId="49C43566" w14:textId="6090AEB0">
      <w:r w:rsidRPr="005B7734">
        <w:t xml:space="preserve">What is a SPEC Partner? A partner is any intermediary (individual, organization, or coalition of organizations) that shares SPEC goals and provides resources to facilitate or deliver one or more components of the SPEC business model involving income tax return preparation, educational outreach and financial education, and asset building information offered to taxpayers. A partner generally has an ongoing relationship with SPEC and helps to deliver programs and services to taxpayers. A partner typically contributes quantitative business results or supports those entities that contribute quantitative business results to SPEC activities. Quantitative business results include income tax returns prepared (through traditional VITA/TCE sites, facilitated self-assistance or alternatives such as virtual VITA/TCE remote sites), outreach events, Financial Education &amp; Asset Building (FEAB) products or FEAB outreach to targeted taxpayers. An intermediary, who provides funding for SPEC supported sites, </w:t>
      </w:r>
      <w:r w:rsidRPr="005B7734" w:rsidR="000D4F13">
        <w:t>programs,</w:t>
      </w:r>
      <w:r w:rsidRPr="005B7734">
        <w:t xml:space="preserve"> or partners, may also be considered a partner. National and regional partners are larger organizations with a presence in more than one state or SPEC Territory. These partners are supported by the Headquarters National Partnerships group.</w:t>
      </w:r>
    </w:p>
    <w:p w:rsidR="005B7734" w:rsidRPr="00B36959" w14:paraId="3A561582" w14:textId="77777777"/>
    <w:p w:rsidR="00F06866" w:rsidRPr="00B36959" w14:paraId="5AB5F81E" w14:textId="77777777">
      <w:pPr>
        <w:rPr>
          <w:b/>
        </w:rPr>
      </w:pPr>
      <w:r w:rsidRPr="00B36959">
        <w:rPr>
          <w:b/>
        </w:rPr>
        <w:t>TYPE OF COLLECTION:</w:t>
      </w:r>
      <w:r w:rsidRPr="00B36959">
        <w:t xml:space="preserve"> (Check one)</w:t>
      </w:r>
    </w:p>
    <w:p w:rsidR="00441434" w:rsidRPr="00B36959" w:rsidP="0096108F" w14:paraId="11FC8DF6" w14:textId="77777777">
      <w:pPr>
        <w:pStyle w:val="BodyTextIndent"/>
        <w:tabs>
          <w:tab w:val="left" w:pos="360"/>
        </w:tabs>
        <w:ind w:left="0"/>
        <w:rPr>
          <w:bCs/>
          <w:sz w:val="16"/>
          <w:szCs w:val="16"/>
        </w:rPr>
      </w:pPr>
    </w:p>
    <w:p w:rsidR="00F06866" w:rsidRPr="00B36959" w:rsidP="0096108F" w14:paraId="20DEE1E6" w14:textId="2404F516">
      <w:pPr>
        <w:pStyle w:val="BodyTextIndent"/>
        <w:tabs>
          <w:tab w:val="left" w:pos="360"/>
        </w:tabs>
        <w:ind w:left="0"/>
        <w:rPr>
          <w:bCs/>
          <w:sz w:val="24"/>
        </w:rPr>
      </w:pPr>
      <w:r w:rsidRPr="00B36959">
        <w:rPr>
          <w:bCs/>
          <w:sz w:val="24"/>
        </w:rPr>
        <w:t xml:space="preserve">[ </w:t>
      </w:r>
      <w:r w:rsidR="00D85C39">
        <w:rPr>
          <w:bCs/>
          <w:sz w:val="24"/>
        </w:rPr>
        <w:t xml:space="preserve"> </w:t>
      </w:r>
      <w:r w:rsidRPr="00B36959">
        <w:rPr>
          <w:bCs/>
          <w:sz w:val="24"/>
        </w:rPr>
        <w:t xml:space="preserve">] </w:t>
      </w:r>
      <w:r w:rsidRPr="00B36959">
        <w:rPr>
          <w:bCs/>
          <w:sz w:val="24"/>
        </w:rPr>
        <w:t>Customer Comment Card/Complaint Form</w:t>
      </w:r>
      <w:r w:rsidRPr="00B36959">
        <w:rPr>
          <w:bCs/>
          <w:sz w:val="24"/>
        </w:rPr>
        <w:t xml:space="preserve"> </w:t>
      </w:r>
      <w:r w:rsidRPr="00B36959">
        <w:rPr>
          <w:bCs/>
          <w:sz w:val="24"/>
        </w:rPr>
        <w:tab/>
        <w:t>[</w:t>
      </w:r>
      <w:r w:rsidRPr="00B36959" w:rsidR="002A52ED">
        <w:rPr>
          <w:b/>
          <w:sz w:val="24"/>
        </w:rPr>
        <w:t>X</w:t>
      </w:r>
      <w:r w:rsidRPr="00B36959">
        <w:rPr>
          <w:bCs/>
          <w:sz w:val="24"/>
        </w:rPr>
        <w:t xml:space="preserve">] </w:t>
      </w:r>
      <w:r w:rsidRPr="00B36959">
        <w:rPr>
          <w:bCs/>
          <w:sz w:val="24"/>
        </w:rPr>
        <w:t>Customer Satisfaction Survey</w:t>
      </w:r>
      <w:r w:rsidRPr="00B36959">
        <w:rPr>
          <w:bCs/>
          <w:sz w:val="24"/>
        </w:rPr>
        <w:t xml:space="preserve"> </w:t>
      </w:r>
      <w:r w:rsidRPr="00B36959" w:rsidR="00CA2650">
        <w:rPr>
          <w:bCs/>
          <w:sz w:val="24"/>
        </w:rPr>
        <w:t xml:space="preserve">  </w:t>
      </w:r>
      <w:r w:rsidRPr="00B36959">
        <w:rPr>
          <w:bCs/>
          <w:sz w:val="24"/>
        </w:rPr>
        <w:t xml:space="preserve"> </w:t>
      </w:r>
    </w:p>
    <w:p w:rsidR="0096108F" w:rsidRPr="00B36959" w:rsidP="0096108F" w14:paraId="218CEBA1" w14:textId="166B0E01">
      <w:pPr>
        <w:pStyle w:val="BodyTextIndent"/>
        <w:tabs>
          <w:tab w:val="left" w:pos="360"/>
        </w:tabs>
        <w:ind w:left="0"/>
        <w:rPr>
          <w:bCs/>
          <w:sz w:val="24"/>
        </w:rPr>
      </w:pPr>
      <w:r w:rsidRPr="00B36959">
        <w:rPr>
          <w:bCs/>
          <w:sz w:val="24"/>
        </w:rPr>
        <w:t>[</w:t>
      </w:r>
      <w:r w:rsidR="00D85C39">
        <w:rPr>
          <w:bCs/>
          <w:sz w:val="24"/>
        </w:rPr>
        <w:t xml:space="preserve"> </w:t>
      </w:r>
      <w:r w:rsidRPr="00B36959">
        <w:rPr>
          <w:bCs/>
          <w:sz w:val="24"/>
        </w:rPr>
        <w:t xml:space="preserve"> ] </w:t>
      </w:r>
      <w:r w:rsidRPr="00B36959" w:rsidR="00F06866">
        <w:rPr>
          <w:bCs/>
          <w:sz w:val="24"/>
        </w:rPr>
        <w:t>Usability</w:t>
      </w:r>
      <w:r w:rsidRPr="00B36959" w:rsidR="009239AA">
        <w:rPr>
          <w:bCs/>
          <w:sz w:val="24"/>
        </w:rPr>
        <w:t xml:space="preserve"> Testing (e.g., Website or Software</w:t>
      </w:r>
      <w:r w:rsidRPr="00B36959" w:rsidR="00F06866">
        <w:rPr>
          <w:bCs/>
          <w:sz w:val="24"/>
        </w:rPr>
        <w:tab/>
        <w:t>[</w:t>
      </w:r>
      <w:r w:rsidRPr="00B36959" w:rsidR="005430D8">
        <w:rPr>
          <w:bCs/>
          <w:sz w:val="24"/>
        </w:rPr>
        <w:t xml:space="preserve"> </w:t>
      </w:r>
      <w:r w:rsidR="00D85C39">
        <w:rPr>
          <w:bCs/>
          <w:sz w:val="24"/>
        </w:rPr>
        <w:t xml:space="preserve"> </w:t>
      </w:r>
      <w:r w:rsidRPr="00B36959" w:rsidR="00F06866">
        <w:rPr>
          <w:bCs/>
          <w:sz w:val="24"/>
        </w:rPr>
        <w:t>] Small Discussion Group</w:t>
      </w:r>
    </w:p>
    <w:p w:rsidR="00F06866" w:rsidRPr="00B36959" w:rsidP="0096108F" w14:paraId="3638465F" w14:textId="0E708C08">
      <w:pPr>
        <w:pStyle w:val="BodyTextIndent"/>
        <w:tabs>
          <w:tab w:val="left" w:pos="360"/>
        </w:tabs>
        <w:ind w:left="0"/>
        <w:rPr>
          <w:bCs/>
          <w:sz w:val="24"/>
        </w:rPr>
      </w:pPr>
      <w:r w:rsidRPr="00B36959">
        <w:rPr>
          <w:bCs/>
          <w:sz w:val="24"/>
        </w:rPr>
        <w:t>[</w:t>
      </w:r>
      <w:r w:rsidR="00D85C39">
        <w:rPr>
          <w:bCs/>
          <w:sz w:val="24"/>
        </w:rPr>
        <w:t xml:space="preserve"> </w:t>
      </w:r>
      <w:r w:rsidRPr="00B36959" w:rsidR="002A52ED">
        <w:rPr>
          <w:bCs/>
          <w:sz w:val="24"/>
        </w:rPr>
        <w:t xml:space="preserve"> </w:t>
      </w:r>
      <w:r w:rsidRPr="00B36959">
        <w:rPr>
          <w:bCs/>
          <w:sz w:val="24"/>
        </w:rPr>
        <w:t xml:space="preserve">]  Focus Group  </w:t>
      </w:r>
      <w:r w:rsidRPr="00B36959">
        <w:rPr>
          <w:bCs/>
          <w:sz w:val="24"/>
        </w:rPr>
        <w:tab/>
      </w:r>
      <w:r w:rsidRPr="00B36959">
        <w:rPr>
          <w:bCs/>
          <w:sz w:val="24"/>
        </w:rPr>
        <w:tab/>
      </w:r>
      <w:r w:rsidRPr="00B36959">
        <w:rPr>
          <w:bCs/>
          <w:sz w:val="24"/>
        </w:rPr>
        <w:tab/>
      </w:r>
      <w:r w:rsidRPr="00B36959">
        <w:rPr>
          <w:bCs/>
          <w:sz w:val="24"/>
        </w:rPr>
        <w:tab/>
      </w:r>
      <w:r w:rsidRPr="00B36959">
        <w:rPr>
          <w:bCs/>
          <w:sz w:val="24"/>
        </w:rPr>
        <w:tab/>
      </w:r>
      <w:r w:rsidRPr="00B36959">
        <w:rPr>
          <w:bCs/>
          <w:sz w:val="24"/>
        </w:rPr>
        <w:t xml:space="preserve">[ </w:t>
      </w:r>
      <w:r w:rsidR="00D85C39">
        <w:rPr>
          <w:bCs/>
          <w:sz w:val="24"/>
        </w:rPr>
        <w:t xml:space="preserve"> </w:t>
      </w:r>
      <w:r w:rsidRPr="00B36959">
        <w:rPr>
          <w:bCs/>
          <w:sz w:val="24"/>
        </w:rPr>
        <w:t>] Other:</w:t>
      </w:r>
      <w:r w:rsidRPr="00B36959">
        <w:rPr>
          <w:bCs/>
          <w:sz w:val="24"/>
          <w:u w:val="single"/>
        </w:rPr>
        <w:t xml:space="preserve"> _____________________</w:t>
      </w:r>
      <w:r w:rsidRPr="00B36959">
        <w:rPr>
          <w:bCs/>
          <w:sz w:val="24"/>
          <w:u w:val="single"/>
        </w:rPr>
        <w:tab/>
      </w:r>
      <w:r w:rsidRPr="00B36959">
        <w:rPr>
          <w:bCs/>
          <w:sz w:val="24"/>
          <w:u w:val="single"/>
        </w:rPr>
        <w:tab/>
      </w:r>
    </w:p>
    <w:p w:rsidR="00434E33" w:rsidRPr="00B36959" w14:paraId="27F07DE9" w14:textId="0D6ED696">
      <w:pPr>
        <w:pStyle w:val="Header"/>
        <w:tabs>
          <w:tab w:val="clear" w:pos="4320"/>
          <w:tab w:val="clear" w:pos="8640"/>
        </w:tabs>
      </w:pPr>
    </w:p>
    <w:p w:rsidR="00CA2650" w:rsidRPr="00B36959" w14:paraId="501B0D7D" w14:textId="77777777">
      <w:pPr>
        <w:rPr>
          <w:b/>
        </w:rPr>
      </w:pPr>
      <w:r w:rsidRPr="00B36959">
        <w:rPr>
          <w:b/>
        </w:rPr>
        <w:t>C</w:t>
      </w:r>
      <w:r w:rsidRPr="00B36959" w:rsidR="009C13B9">
        <w:rPr>
          <w:b/>
        </w:rPr>
        <w:t>ERTIFICATION:</w:t>
      </w:r>
    </w:p>
    <w:p w:rsidR="00441434" w:rsidRPr="00B36959" w14:paraId="38E156F1" w14:textId="77777777">
      <w:pPr>
        <w:rPr>
          <w:sz w:val="16"/>
          <w:szCs w:val="16"/>
        </w:rPr>
      </w:pPr>
    </w:p>
    <w:p w:rsidR="008101A5" w:rsidRPr="00B36959" w:rsidP="008101A5" w14:paraId="37D12FEC" w14:textId="77777777">
      <w:r w:rsidRPr="00B36959">
        <w:t xml:space="preserve">I certify the following to be true: </w:t>
      </w:r>
    </w:p>
    <w:p w:rsidR="008101A5" w:rsidRPr="00B36959" w:rsidP="008101A5" w14:paraId="6F283870" w14:textId="77777777">
      <w:pPr>
        <w:pStyle w:val="ListParagraph"/>
        <w:numPr>
          <w:ilvl w:val="0"/>
          <w:numId w:val="14"/>
        </w:numPr>
      </w:pPr>
      <w:r w:rsidRPr="00B36959">
        <w:t xml:space="preserve">The collection is voluntary. </w:t>
      </w:r>
    </w:p>
    <w:p w:rsidR="008101A5" w:rsidRPr="00B36959" w:rsidP="008101A5" w14:paraId="750A1A5E" w14:textId="1AC83390">
      <w:pPr>
        <w:pStyle w:val="ListParagraph"/>
        <w:numPr>
          <w:ilvl w:val="0"/>
          <w:numId w:val="14"/>
        </w:numPr>
      </w:pPr>
      <w:r w:rsidRPr="00B36959">
        <w:t xml:space="preserve">The collection is </w:t>
      </w:r>
      <w:r w:rsidRPr="00B36959" w:rsidR="00060BC4">
        <w:t>low burden</w:t>
      </w:r>
      <w:r w:rsidRPr="00B36959">
        <w:t xml:space="preserve"> for respondents and low-cost for the Federal Government.</w:t>
      </w:r>
    </w:p>
    <w:p w:rsidR="008101A5" w:rsidRPr="00B36959" w:rsidP="008101A5" w14:paraId="1FA287C1" w14:textId="77777777">
      <w:pPr>
        <w:pStyle w:val="ListParagraph"/>
        <w:numPr>
          <w:ilvl w:val="0"/>
          <w:numId w:val="14"/>
        </w:numPr>
      </w:pPr>
      <w:r w:rsidRPr="00B36959">
        <w:t xml:space="preserve">The collection is non-controversial and does </w:t>
      </w:r>
      <w:r w:rsidRPr="00B36959">
        <w:rPr>
          <w:u w:val="single"/>
        </w:rPr>
        <w:t>not</w:t>
      </w:r>
      <w:r w:rsidRPr="00B36959">
        <w:t xml:space="preserve"> raise issues of concern to other federal agencies.</w:t>
      </w:r>
      <w:r w:rsidRPr="00B36959">
        <w:tab/>
      </w:r>
      <w:r w:rsidRPr="00B36959">
        <w:tab/>
      </w:r>
      <w:r w:rsidRPr="00B36959">
        <w:tab/>
      </w:r>
      <w:r w:rsidRPr="00B36959">
        <w:tab/>
      </w:r>
      <w:r w:rsidRPr="00B36959">
        <w:tab/>
      </w:r>
      <w:r w:rsidRPr="00B36959">
        <w:tab/>
      </w:r>
      <w:r w:rsidRPr="00B36959">
        <w:tab/>
      </w:r>
      <w:r w:rsidRPr="00B36959">
        <w:tab/>
      </w:r>
      <w:r w:rsidRPr="00B36959">
        <w:tab/>
      </w:r>
    </w:p>
    <w:p w:rsidR="008101A5" w:rsidRPr="00B36959" w:rsidP="008101A5" w14:paraId="393EB77A" w14:textId="77777777">
      <w:pPr>
        <w:pStyle w:val="ListParagraph"/>
        <w:numPr>
          <w:ilvl w:val="0"/>
          <w:numId w:val="14"/>
        </w:numPr>
      </w:pPr>
      <w:r w:rsidRPr="00B36959">
        <w:t xml:space="preserve">The results are </w:t>
      </w:r>
      <w:r w:rsidRPr="00B36959">
        <w:rPr>
          <w:u w:val="single"/>
        </w:rPr>
        <w:t>not</w:t>
      </w:r>
      <w:r w:rsidRPr="00B36959">
        <w:t xml:space="preserve"> intended to be disseminated to the public.</w:t>
      </w:r>
      <w:r w:rsidRPr="00B36959">
        <w:tab/>
      </w:r>
      <w:r w:rsidRPr="00B36959">
        <w:tab/>
      </w:r>
    </w:p>
    <w:p w:rsidR="008101A5" w:rsidRPr="00B36959" w:rsidP="008101A5" w14:paraId="36119E49" w14:textId="77777777">
      <w:pPr>
        <w:pStyle w:val="ListParagraph"/>
        <w:numPr>
          <w:ilvl w:val="0"/>
          <w:numId w:val="14"/>
        </w:numPr>
      </w:pPr>
      <w:r w:rsidRPr="00B36959">
        <w:t xml:space="preserve">Information gathered will not be used for the purpose of </w:t>
      </w:r>
      <w:r w:rsidRPr="00B36959">
        <w:rPr>
          <w:u w:val="single"/>
        </w:rPr>
        <w:t>substantially</w:t>
      </w:r>
      <w:r w:rsidRPr="00B36959">
        <w:t xml:space="preserve"> informing </w:t>
      </w:r>
      <w:r w:rsidRPr="00B36959">
        <w:rPr>
          <w:u w:val="single"/>
        </w:rPr>
        <w:t xml:space="preserve">influential </w:t>
      </w:r>
      <w:r w:rsidRPr="00B36959">
        <w:t xml:space="preserve">policy decisions. </w:t>
      </w:r>
    </w:p>
    <w:p w:rsidR="008101A5" w:rsidRPr="00B36959" w:rsidP="008101A5" w14:paraId="5CF21DA0" w14:textId="77777777">
      <w:pPr>
        <w:pStyle w:val="ListParagraph"/>
        <w:numPr>
          <w:ilvl w:val="0"/>
          <w:numId w:val="14"/>
        </w:numPr>
      </w:pPr>
      <w:r w:rsidRPr="00B36959">
        <w:t>The collection is targeted to the solicitation of opinions from respondents who have experience with the program or may have experience with the program in the future.</w:t>
      </w:r>
    </w:p>
    <w:p w:rsidR="009C13B9" w:rsidRPr="00B36959" w:rsidP="009C13B9" w14:paraId="4F676B6D" w14:textId="77777777"/>
    <w:p w:rsidR="009C13B9" w:rsidRPr="00B36959" w:rsidP="009C13B9" w14:paraId="4D910871" w14:textId="4B0518A5">
      <w:r w:rsidRPr="00B36959">
        <w:t xml:space="preserve">Name: </w:t>
      </w:r>
      <w:r w:rsidRPr="00B36959">
        <w:rPr>
          <w:u w:val="single"/>
        </w:rPr>
        <w:t>___</w:t>
      </w:r>
      <w:r w:rsidRPr="009361DB" w:rsidR="009361DB">
        <w:rPr>
          <w:u w:val="single"/>
        </w:rPr>
        <w:t>Chance Davis</w:t>
      </w:r>
      <w:r w:rsidRPr="00B36959">
        <w:rPr>
          <w:u w:val="single"/>
        </w:rPr>
        <w:t>___________________</w:t>
      </w:r>
    </w:p>
    <w:p w:rsidR="009C13B9" w:rsidRPr="00B36959" w:rsidP="009C13B9" w14:paraId="4FFDBAB4" w14:textId="77777777">
      <w:pPr>
        <w:pStyle w:val="ListParagraph"/>
        <w:ind w:left="360"/>
      </w:pPr>
    </w:p>
    <w:p w:rsidR="009C13B9" w:rsidRPr="00B36959" w:rsidP="009C13B9" w14:paraId="53F07B8F" w14:textId="77777777">
      <w:r w:rsidRPr="00B36959">
        <w:t>To assist review, please provide answers to the following question:</w:t>
      </w:r>
    </w:p>
    <w:p w:rsidR="009C13B9" w:rsidRPr="00B36959" w:rsidP="009C13B9" w14:paraId="4BC0F391" w14:textId="77777777">
      <w:pPr>
        <w:pStyle w:val="ListParagraph"/>
        <w:ind w:left="360"/>
      </w:pPr>
    </w:p>
    <w:p w:rsidR="005D6696" w:rsidP="00C86E91" w14:paraId="77AB9F9A" w14:textId="1E3F75A2">
      <w:pPr>
        <w:rPr>
          <w:b/>
        </w:rPr>
      </w:pPr>
      <w:r w:rsidRPr="00B36959">
        <w:rPr>
          <w:b/>
        </w:rPr>
        <w:t>Personally Identifiable Information:</w:t>
      </w:r>
    </w:p>
    <w:p w:rsidR="00445A0D" w:rsidRPr="00B36959" w:rsidP="00C86E91" w14:paraId="718DEA0C" w14:textId="77777777">
      <w:pPr>
        <w:rPr>
          <w:b/>
        </w:rPr>
      </w:pPr>
    </w:p>
    <w:p w:rsidR="00C86E91" w:rsidRPr="00452C03" w:rsidP="00C86E91" w14:paraId="536BAA2D" w14:textId="03ED0AAD">
      <w:pPr>
        <w:pStyle w:val="ListParagraph"/>
        <w:numPr>
          <w:ilvl w:val="0"/>
          <w:numId w:val="18"/>
        </w:numPr>
      </w:pPr>
      <w:bookmarkStart w:id="0" w:name="_Hlk149658842"/>
      <w:r w:rsidRPr="00452C03">
        <w:t>Is</w:t>
      </w:r>
      <w:r w:rsidRPr="00452C03" w:rsidR="00237B48">
        <w:t xml:space="preserve"> personally identifiable information (PII) collected</w:t>
      </w:r>
      <w:r w:rsidRPr="00452C03">
        <w:t xml:space="preserve">?  </w:t>
      </w:r>
      <w:r w:rsidRPr="00452C03" w:rsidR="009239AA">
        <w:t>[</w:t>
      </w:r>
      <w:r w:rsidRPr="00452C03" w:rsidR="00452C03">
        <w:rPr>
          <w:b/>
          <w:bCs/>
        </w:rPr>
        <w:t>X</w:t>
      </w:r>
      <w:r w:rsidRPr="00452C03" w:rsidR="009239AA">
        <w:t>] Yes [</w:t>
      </w:r>
      <w:r w:rsidR="002F4B6F">
        <w:t xml:space="preserve"> </w:t>
      </w:r>
      <w:r w:rsidRPr="00452C03" w:rsidR="00452C03">
        <w:t xml:space="preserve"> </w:t>
      </w:r>
      <w:r w:rsidRPr="00452C03" w:rsidR="009239AA">
        <w:t xml:space="preserve">]  No </w:t>
      </w:r>
    </w:p>
    <w:p w:rsidR="00C86E91" w:rsidRPr="00A06A70" w:rsidP="00C86E91" w14:paraId="646C64D3" w14:textId="100FFAB1">
      <w:pPr>
        <w:pStyle w:val="ListParagraph"/>
        <w:numPr>
          <w:ilvl w:val="0"/>
          <w:numId w:val="18"/>
        </w:numPr>
      </w:pPr>
      <w:r w:rsidRPr="00A06A70">
        <w:t xml:space="preserve">If </w:t>
      </w:r>
      <w:r w:rsidRPr="00A06A70" w:rsidR="009239AA">
        <w:t>Yes,</w:t>
      </w:r>
      <w:r w:rsidRPr="00A06A70">
        <w:t xml:space="preserve"> </w:t>
      </w:r>
      <w:r w:rsidRPr="00A06A70" w:rsidR="009239AA">
        <w:t>is the information that will be collected included in records that are subject to the Privacy Act of 1974?   [</w:t>
      </w:r>
      <w:r w:rsidRPr="00A06A70" w:rsidR="00452C03">
        <w:rPr>
          <w:b/>
          <w:bCs/>
        </w:rPr>
        <w:t>X</w:t>
      </w:r>
      <w:r w:rsidRPr="00A06A70" w:rsidR="009239AA">
        <w:t>] Yes [</w:t>
      </w:r>
      <w:r w:rsidRPr="00A06A70" w:rsidR="00567D6B">
        <w:t xml:space="preserve"> </w:t>
      </w:r>
      <w:r w:rsidRPr="00A06A70" w:rsidR="009239AA">
        <w:t>] No</w:t>
      </w:r>
      <w:r w:rsidRPr="00A06A70">
        <w:t xml:space="preserve">   </w:t>
      </w:r>
    </w:p>
    <w:p w:rsidR="00C86E91" w:rsidRPr="00A06A70" w:rsidP="00C86E91" w14:paraId="2D64E2BF" w14:textId="4065D00E">
      <w:pPr>
        <w:pStyle w:val="ListParagraph"/>
        <w:numPr>
          <w:ilvl w:val="0"/>
          <w:numId w:val="18"/>
        </w:numPr>
      </w:pPr>
      <w:r w:rsidRPr="00A06A70">
        <w:t>If Applicable, has a System or Records Notice been published?  [</w:t>
      </w:r>
      <w:r w:rsidRPr="00A06A70" w:rsidR="005E4912">
        <w:rPr>
          <w:b/>
          <w:bCs/>
        </w:rPr>
        <w:t>X</w:t>
      </w:r>
      <w:r w:rsidRPr="00A06A70">
        <w:t>] Yes [  ] No</w:t>
      </w:r>
    </w:p>
    <w:bookmarkEnd w:id="0"/>
    <w:p w:rsidR="004C0CB0" w:rsidRPr="00B36959" w:rsidP="00C86E91" w14:paraId="5D547C7B" w14:textId="77777777">
      <w:pPr>
        <w:pStyle w:val="ListParagraph"/>
        <w:ind w:left="0"/>
        <w:rPr>
          <w:b/>
        </w:rPr>
      </w:pPr>
    </w:p>
    <w:p w:rsidR="00C86E91" w:rsidP="00C86E91" w14:paraId="125B890A" w14:textId="4A55EC3B">
      <w:pPr>
        <w:pStyle w:val="ListParagraph"/>
        <w:ind w:left="0"/>
        <w:rPr>
          <w:b/>
        </w:rPr>
      </w:pPr>
      <w:r w:rsidRPr="00B36959">
        <w:rPr>
          <w:b/>
        </w:rPr>
        <w:t>Gifts or Payments</w:t>
      </w:r>
      <w:r w:rsidRPr="00B36959">
        <w:rPr>
          <w:b/>
        </w:rPr>
        <w:t>:</w:t>
      </w:r>
    </w:p>
    <w:p w:rsidR="00445A0D" w:rsidRPr="00B36959" w:rsidP="00C86E91" w14:paraId="26F070F0" w14:textId="77777777">
      <w:pPr>
        <w:pStyle w:val="ListParagraph"/>
        <w:ind w:left="0"/>
        <w:rPr>
          <w:b/>
        </w:rPr>
      </w:pPr>
    </w:p>
    <w:p w:rsidR="00C86E91" w:rsidRPr="00B36959" w:rsidP="00C86E91" w14:paraId="5CA4FB54" w14:textId="3B36E3B0">
      <w:bookmarkStart w:id="1" w:name="_Hlk149659000"/>
      <w:r w:rsidRPr="00452C03">
        <w:t xml:space="preserve">Is an incentive (e.g., money or reimbursement of expenses, token of appreciation) provided to participants?  [  ] Yes [ </w:t>
      </w:r>
      <w:r w:rsidRPr="00452C03" w:rsidR="00567D6B">
        <w:rPr>
          <w:b/>
          <w:bCs/>
        </w:rPr>
        <w:t>X</w:t>
      </w:r>
      <w:r w:rsidRPr="00452C03">
        <w:t xml:space="preserve"> ] No</w:t>
      </w:r>
      <w:r w:rsidRPr="00B36959">
        <w:t xml:space="preserve">  </w:t>
      </w:r>
    </w:p>
    <w:bookmarkEnd w:id="1"/>
    <w:p w:rsidR="00C86E91" w:rsidRPr="00B36959" w14:paraId="64216CDD" w14:textId="77777777">
      <w:pPr>
        <w:rPr>
          <w:b/>
        </w:rPr>
      </w:pPr>
    </w:p>
    <w:p w:rsidR="008218A8" w:rsidP="002168AF" w14:paraId="5F31BAD8" w14:textId="77777777">
      <w:bookmarkStart w:id="2" w:name="_Hlk149659133"/>
      <w:r w:rsidRPr="00452C03">
        <w:rPr>
          <w:b/>
        </w:rPr>
        <w:t>BURDEN HOUR</w:t>
      </w:r>
      <w:r w:rsidRPr="00452C03" w:rsidR="00441434">
        <w:rPr>
          <w:b/>
        </w:rPr>
        <w:t>S</w:t>
      </w:r>
      <w:r w:rsidR="00445A0D">
        <w:rPr>
          <w:b/>
        </w:rPr>
        <w:t>:</w:t>
      </w:r>
      <w:r w:rsidRPr="00B36959">
        <w:t xml:space="preserve"> </w:t>
      </w:r>
      <w:bookmarkEnd w:id="2"/>
    </w:p>
    <w:p w:rsidR="008218A8" w:rsidP="002168AF" w14:paraId="6D71F081" w14:textId="77777777"/>
    <w:p w:rsidR="008218A8" w:rsidP="008218A8" w14:paraId="6D157863" w14:textId="77777777">
      <w:pPr>
        <w:rPr>
          <w:color w:val="000000"/>
        </w:rPr>
      </w:pPr>
      <w:r w:rsidRPr="00D711E1">
        <w:rPr>
          <w:color w:val="000000"/>
        </w:rPr>
        <w:t>We estimate it will take 2 minutes each to read the pre-notification e-mail and the invitation email, and 1 minute for each of the five reminder e-mails. The survey is expected to take approximately 15 minutes to complete. There are several skip patterns in the survey which limit the questions a respondent sees to only those applicable to their situation.</w:t>
      </w:r>
    </w:p>
    <w:p w:rsidR="008218A8" w:rsidP="008218A8" w14:paraId="1CEE7ECD" w14:textId="77777777">
      <w:pPr>
        <w:rPr>
          <w:color w:val="000000"/>
        </w:rPr>
      </w:pPr>
    </w:p>
    <w:p w:rsidR="008218A8" w:rsidP="008218A8" w14:paraId="0BA96618" w14:textId="77777777">
      <w:pPr>
        <w:rPr>
          <w:color w:val="000000"/>
        </w:rPr>
      </w:pPr>
      <w:r w:rsidRPr="00D711E1">
        <w:rPr>
          <w:color w:val="000000"/>
        </w:rPr>
        <w:t>For participants, total participation time is 15 minutes. This reflects the time needed to complete the survey. The expected response rate for this survey is 30%. The time burden for participants is 630 (30% of total sample) x 15 = 9,450 minutes or 158 burden hours</w:t>
      </w:r>
      <w:r>
        <w:rPr>
          <w:color w:val="000000"/>
        </w:rPr>
        <w:t>.</w:t>
      </w:r>
    </w:p>
    <w:p w:rsidR="008218A8" w:rsidP="008218A8" w14:paraId="2EFE51AC" w14:textId="77777777">
      <w:pPr>
        <w:rPr>
          <w:color w:val="000000"/>
        </w:rPr>
      </w:pPr>
    </w:p>
    <w:p w:rsidR="008218A8" w:rsidP="008218A8" w14:paraId="242C5571" w14:textId="77777777">
      <w:pPr>
        <w:rPr>
          <w:color w:val="000000"/>
        </w:rPr>
      </w:pPr>
      <w:r w:rsidRPr="00D711E1">
        <w:rPr>
          <w:color w:val="000000"/>
        </w:rPr>
        <w:t>The burden time to read the pre-notification email, the invitation email, and the five reminders is 2,100 (total sample) x (2 emails x 2 minutes/email + 5 emails x 1 minute per email)</w:t>
      </w:r>
      <w:r w:rsidR="00AE14B7">
        <w:rPr>
          <w:color w:val="000000"/>
        </w:rPr>
        <w:t xml:space="preserve"> </w:t>
      </w:r>
      <w:r w:rsidRPr="00D711E1">
        <w:rPr>
          <w:color w:val="000000"/>
        </w:rPr>
        <w:t>= 18,900 minutes or 315 burden hours</w:t>
      </w:r>
      <w:r w:rsidR="00AE14B7">
        <w:rPr>
          <w:color w:val="000000"/>
        </w:rPr>
        <w:t>.</w:t>
      </w:r>
    </w:p>
    <w:p w:rsidR="008218A8" w:rsidP="008218A8" w14:paraId="6860D9A0" w14:textId="77777777">
      <w:pPr>
        <w:rPr>
          <w:color w:val="000000"/>
        </w:rPr>
      </w:pPr>
    </w:p>
    <w:p w:rsidR="002168AF" w:rsidP="00EB22C6" w14:paraId="70BAFA05" w14:textId="4FA904F3">
      <w:pPr>
        <w:rPr>
          <w:color w:val="000000"/>
        </w:rPr>
      </w:pPr>
      <w:r w:rsidRPr="00D711E1">
        <w:rPr>
          <w:color w:val="000000"/>
        </w:rPr>
        <w:t>The total burden hours for the survey is (158 + 315) = 473 burden hours</w:t>
      </w:r>
    </w:p>
    <w:p w:rsidR="00EB22C6" w:rsidP="00EB22C6" w14:paraId="1A1EFAF0" w14:textId="77777777">
      <w:pPr>
        <w:rPr>
          <w:color w:val="000000"/>
        </w:rPr>
      </w:pPr>
    </w:p>
    <w:p w:rsidR="002168AF" w:rsidRPr="00C75D08" w:rsidP="00D711E1" w14:paraId="40967E84" w14:textId="77777777">
      <w:pPr>
        <w:keepNext/>
        <w:keepLines/>
        <w:rPr>
          <w:color w:val="000000"/>
        </w:rPr>
      </w:pPr>
    </w:p>
    <w:tbl>
      <w:tblPr>
        <w:tblStyle w:val="TableGrid"/>
        <w:tblW w:w="9661" w:type="dxa"/>
        <w:jc w:val="center"/>
        <w:tblLayout w:type="fixed"/>
        <w:tblLook w:val="01E0"/>
      </w:tblPr>
      <w:tblGrid>
        <w:gridCol w:w="3865"/>
        <w:gridCol w:w="1890"/>
        <w:gridCol w:w="2070"/>
        <w:gridCol w:w="1836"/>
      </w:tblGrid>
      <w:tr w14:paraId="62C3273E" w14:textId="77777777" w:rsidTr="000F7A37">
        <w:tblPrEx>
          <w:tblW w:w="9661" w:type="dxa"/>
          <w:jc w:val="center"/>
          <w:tblLayout w:type="fixed"/>
          <w:tblLook w:val="01E0"/>
        </w:tblPrEx>
        <w:trPr>
          <w:trHeight w:val="274"/>
          <w:jc w:val="center"/>
        </w:trPr>
        <w:tc>
          <w:tcPr>
            <w:tcW w:w="3865" w:type="dxa"/>
            <w:vAlign w:val="center"/>
          </w:tcPr>
          <w:p w:rsidR="006832D9" w:rsidRPr="00B36959" w:rsidP="00FE0250" w14:paraId="01AE1745" w14:textId="3735CBA2">
            <w:pPr>
              <w:jc w:val="center"/>
              <w:rPr>
                <w:b/>
              </w:rPr>
            </w:pPr>
            <w:r w:rsidRPr="00B36959">
              <w:rPr>
                <w:b/>
              </w:rPr>
              <w:t>Category of Respondent</w:t>
            </w:r>
          </w:p>
        </w:tc>
        <w:tc>
          <w:tcPr>
            <w:tcW w:w="1890" w:type="dxa"/>
            <w:vAlign w:val="center"/>
          </w:tcPr>
          <w:p w:rsidR="006832D9" w:rsidRPr="00B36959" w:rsidP="00FE0250" w14:paraId="0EBF713C" w14:textId="2B5D5941">
            <w:pPr>
              <w:jc w:val="center"/>
              <w:rPr>
                <w:b/>
              </w:rPr>
            </w:pPr>
            <w:r w:rsidRPr="00B36959">
              <w:rPr>
                <w:b/>
              </w:rPr>
              <w:t>N</w:t>
            </w:r>
            <w:r w:rsidRPr="00B36959" w:rsidR="00FE0250">
              <w:rPr>
                <w:b/>
              </w:rPr>
              <w:t xml:space="preserve">umber </w:t>
            </w:r>
            <w:r w:rsidRPr="00B36959">
              <w:rPr>
                <w:b/>
              </w:rPr>
              <w:t>of Respondents</w:t>
            </w:r>
          </w:p>
        </w:tc>
        <w:tc>
          <w:tcPr>
            <w:tcW w:w="2070" w:type="dxa"/>
            <w:vAlign w:val="center"/>
          </w:tcPr>
          <w:p w:rsidR="006832D9" w:rsidRPr="00B36959" w:rsidP="00FE0250" w14:paraId="6167C2FE" w14:textId="77777777">
            <w:pPr>
              <w:jc w:val="center"/>
              <w:rPr>
                <w:b/>
              </w:rPr>
            </w:pPr>
            <w:r w:rsidRPr="00B36959">
              <w:rPr>
                <w:b/>
              </w:rPr>
              <w:t>Participation Time</w:t>
            </w:r>
          </w:p>
        </w:tc>
        <w:tc>
          <w:tcPr>
            <w:tcW w:w="1836" w:type="dxa"/>
            <w:vAlign w:val="center"/>
          </w:tcPr>
          <w:p w:rsidR="006832D9" w:rsidRPr="00B36959" w:rsidP="00FE0250" w14:paraId="64B083F4" w14:textId="6C532C70">
            <w:pPr>
              <w:jc w:val="center"/>
              <w:rPr>
                <w:b/>
              </w:rPr>
            </w:pPr>
            <w:r w:rsidRPr="00B36959">
              <w:rPr>
                <w:b/>
              </w:rPr>
              <w:t>Burden</w:t>
            </w:r>
            <w:r w:rsidR="007A2243">
              <w:rPr>
                <w:b/>
              </w:rPr>
              <w:t xml:space="preserve"> Hours</w:t>
            </w:r>
          </w:p>
        </w:tc>
      </w:tr>
      <w:tr w14:paraId="3531AA7C" w14:textId="77777777" w:rsidTr="000F7A37">
        <w:tblPrEx>
          <w:tblW w:w="9661" w:type="dxa"/>
          <w:jc w:val="center"/>
          <w:tblLayout w:type="fixed"/>
          <w:tblLook w:val="01E0"/>
        </w:tblPrEx>
        <w:trPr>
          <w:trHeight w:val="274"/>
          <w:jc w:val="center"/>
        </w:trPr>
        <w:tc>
          <w:tcPr>
            <w:tcW w:w="3865" w:type="dxa"/>
            <w:vAlign w:val="center"/>
          </w:tcPr>
          <w:p w:rsidR="00567D6B" w:rsidRPr="00B36959" w:rsidP="00567D6B" w14:paraId="73C55C2C" w14:textId="083092BC">
            <w:r>
              <w:t>Customers Responding to the Survey</w:t>
            </w:r>
          </w:p>
        </w:tc>
        <w:tc>
          <w:tcPr>
            <w:tcW w:w="1890" w:type="dxa"/>
            <w:vAlign w:val="center"/>
          </w:tcPr>
          <w:p w:rsidR="00567D6B" w:rsidRPr="00B36959" w:rsidP="000F7A37" w14:paraId="756DFE57" w14:textId="6E2C2FBA">
            <w:pPr>
              <w:jc w:val="center"/>
            </w:pPr>
            <w:r>
              <w:t>630</w:t>
            </w:r>
          </w:p>
        </w:tc>
        <w:tc>
          <w:tcPr>
            <w:tcW w:w="2070" w:type="dxa"/>
            <w:vAlign w:val="center"/>
          </w:tcPr>
          <w:p w:rsidR="00567D6B" w:rsidRPr="00B36959" w:rsidP="000F7A37" w14:paraId="17C34146" w14:textId="5BCADC61">
            <w:pPr>
              <w:jc w:val="center"/>
            </w:pPr>
            <w:r>
              <w:t>1</w:t>
            </w:r>
            <w:r w:rsidR="0089050A">
              <w:t>5</w:t>
            </w:r>
            <w:r w:rsidRPr="00B36959">
              <w:t xml:space="preserve"> min</w:t>
            </w:r>
            <w:r w:rsidR="000F7A37">
              <w:t>ute</w:t>
            </w:r>
            <w:r w:rsidR="0089050A">
              <w:t>s</w:t>
            </w:r>
          </w:p>
        </w:tc>
        <w:tc>
          <w:tcPr>
            <w:tcW w:w="1836" w:type="dxa"/>
            <w:vAlign w:val="center"/>
          </w:tcPr>
          <w:p w:rsidR="00567D6B" w:rsidRPr="00B36959" w:rsidP="000F7A37" w14:paraId="38ABE309" w14:textId="38E0C1BA">
            <w:pPr>
              <w:jc w:val="center"/>
            </w:pPr>
            <w:r>
              <w:t>158 hours</w:t>
            </w:r>
          </w:p>
        </w:tc>
      </w:tr>
      <w:tr w14:paraId="3A4A4F76" w14:textId="77777777" w:rsidTr="00EC52B9">
        <w:tblPrEx>
          <w:tblW w:w="9661" w:type="dxa"/>
          <w:jc w:val="center"/>
          <w:tblLayout w:type="fixed"/>
          <w:tblLook w:val="01E0"/>
        </w:tblPrEx>
        <w:trPr>
          <w:trHeight w:val="274"/>
          <w:jc w:val="center"/>
        </w:trPr>
        <w:tc>
          <w:tcPr>
            <w:tcW w:w="3865" w:type="dxa"/>
          </w:tcPr>
          <w:p w:rsidR="0089050A" w:rsidRPr="00B36959" w:rsidP="0089050A" w14:paraId="4D662532" w14:textId="627F6930">
            <w:r>
              <w:t>All</w:t>
            </w:r>
            <w:r>
              <w:t xml:space="preserve"> Customers</w:t>
            </w:r>
          </w:p>
        </w:tc>
        <w:tc>
          <w:tcPr>
            <w:tcW w:w="1890" w:type="dxa"/>
            <w:vAlign w:val="center"/>
          </w:tcPr>
          <w:p w:rsidR="0089050A" w:rsidRPr="00B36959" w:rsidP="0089050A" w14:paraId="62ADDA4F" w14:textId="7B9DF7B9">
            <w:pPr>
              <w:jc w:val="center"/>
            </w:pPr>
            <w:r>
              <w:t>2,100</w:t>
            </w:r>
          </w:p>
        </w:tc>
        <w:tc>
          <w:tcPr>
            <w:tcW w:w="2070" w:type="dxa"/>
            <w:vAlign w:val="center"/>
          </w:tcPr>
          <w:p w:rsidR="0089050A" w:rsidRPr="00B36959" w:rsidP="0089050A" w14:paraId="429CFF29" w14:textId="4A092485">
            <w:pPr>
              <w:jc w:val="center"/>
            </w:pPr>
            <w:r>
              <w:t>9</w:t>
            </w:r>
            <w:r w:rsidRPr="00B36959">
              <w:t xml:space="preserve"> min</w:t>
            </w:r>
            <w:r>
              <w:t>utes</w:t>
            </w:r>
          </w:p>
        </w:tc>
        <w:tc>
          <w:tcPr>
            <w:tcW w:w="1836" w:type="dxa"/>
            <w:vAlign w:val="center"/>
          </w:tcPr>
          <w:p w:rsidR="0089050A" w:rsidRPr="00B36959" w:rsidP="0089050A" w14:paraId="1BF5A868" w14:textId="16899767">
            <w:pPr>
              <w:jc w:val="center"/>
            </w:pPr>
            <w:r>
              <w:t>315 hours</w:t>
            </w:r>
          </w:p>
        </w:tc>
      </w:tr>
      <w:tr w14:paraId="60B27E1B" w14:textId="77777777" w:rsidTr="000F7A37">
        <w:tblPrEx>
          <w:tblW w:w="9661" w:type="dxa"/>
          <w:jc w:val="center"/>
          <w:tblLayout w:type="fixed"/>
          <w:tblLook w:val="01E0"/>
        </w:tblPrEx>
        <w:trPr>
          <w:trHeight w:val="274"/>
          <w:jc w:val="center"/>
        </w:trPr>
        <w:tc>
          <w:tcPr>
            <w:tcW w:w="3865" w:type="dxa"/>
            <w:vAlign w:val="center"/>
          </w:tcPr>
          <w:p w:rsidR="0089050A" w:rsidRPr="00B36959" w:rsidP="0089050A" w14:paraId="7F53847C" w14:textId="1C730708">
            <w:r w:rsidRPr="00B36959">
              <w:rPr>
                <w:b/>
              </w:rPr>
              <w:t>Total Burden</w:t>
            </w:r>
          </w:p>
        </w:tc>
        <w:tc>
          <w:tcPr>
            <w:tcW w:w="1890" w:type="dxa"/>
            <w:vAlign w:val="center"/>
          </w:tcPr>
          <w:p w:rsidR="0089050A" w:rsidRPr="00B36959" w:rsidP="0089050A" w14:paraId="420E8AD3" w14:textId="77777777">
            <w:pPr>
              <w:jc w:val="center"/>
            </w:pPr>
          </w:p>
        </w:tc>
        <w:tc>
          <w:tcPr>
            <w:tcW w:w="2070" w:type="dxa"/>
            <w:vAlign w:val="center"/>
          </w:tcPr>
          <w:p w:rsidR="0089050A" w:rsidRPr="00B36959" w:rsidP="0089050A" w14:paraId="42F08B35" w14:textId="77777777">
            <w:pPr>
              <w:jc w:val="center"/>
            </w:pPr>
          </w:p>
        </w:tc>
        <w:tc>
          <w:tcPr>
            <w:tcW w:w="1836" w:type="dxa"/>
            <w:vAlign w:val="center"/>
          </w:tcPr>
          <w:p w:rsidR="0089050A" w:rsidRPr="00B36959" w:rsidP="0089050A" w14:paraId="21193FD4" w14:textId="24DC9840">
            <w:pPr>
              <w:jc w:val="center"/>
              <w:rPr>
                <w:b/>
                <w:bCs/>
              </w:rPr>
            </w:pPr>
            <w:r>
              <w:rPr>
                <w:b/>
                <w:bCs/>
              </w:rPr>
              <w:t>473</w:t>
            </w:r>
            <w:r>
              <w:rPr>
                <w:b/>
                <w:bCs/>
              </w:rPr>
              <w:t xml:space="preserve"> </w:t>
            </w:r>
            <w:r w:rsidRPr="00B36959">
              <w:rPr>
                <w:b/>
                <w:bCs/>
              </w:rPr>
              <w:t>hours</w:t>
            </w:r>
          </w:p>
        </w:tc>
      </w:tr>
      <w:tr w14:paraId="1F57FEF0" w14:textId="77777777" w:rsidTr="000F7A37">
        <w:tblPrEx>
          <w:tblW w:w="9661" w:type="dxa"/>
          <w:jc w:val="center"/>
          <w:tblLayout w:type="fixed"/>
          <w:tblLook w:val="01E0"/>
        </w:tblPrEx>
        <w:trPr>
          <w:trHeight w:val="274"/>
          <w:jc w:val="center"/>
        </w:trPr>
        <w:tc>
          <w:tcPr>
            <w:tcW w:w="3865" w:type="dxa"/>
          </w:tcPr>
          <w:p w:rsidR="0089050A" w:rsidRPr="00B36959" w:rsidP="0089050A" w14:paraId="1D1C9BB1" w14:textId="042A8E6A"/>
        </w:tc>
        <w:tc>
          <w:tcPr>
            <w:tcW w:w="1890" w:type="dxa"/>
          </w:tcPr>
          <w:p w:rsidR="0089050A" w:rsidRPr="00B36959" w:rsidP="0089050A" w14:paraId="6D8D9476" w14:textId="77777777"/>
        </w:tc>
        <w:tc>
          <w:tcPr>
            <w:tcW w:w="2070" w:type="dxa"/>
          </w:tcPr>
          <w:p w:rsidR="0089050A" w:rsidRPr="00B36959" w:rsidP="0089050A" w14:paraId="6B8577CA" w14:textId="77777777"/>
        </w:tc>
        <w:tc>
          <w:tcPr>
            <w:tcW w:w="1836" w:type="dxa"/>
          </w:tcPr>
          <w:p w:rsidR="0089050A" w:rsidRPr="00B36959" w:rsidP="0089050A" w14:paraId="7A516336" w14:textId="77777777"/>
        </w:tc>
      </w:tr>
    </w:tbl>
    <w:p w:rsidR="00B36959" w:rsidP="00E533E3" w14:paraId="02E25EE4" w14:textId="77777777">
      <w:pPr>
        <w:rPr>
          <w:b/>
          <w:sz w:val="22"/>
          <w:szCs w:val="22"/>
          <w:u w:val="single"/>
        </w:rPr>
      </w:pPr>
    </w:p>
    <w:p w:rsidR="00E533E3" w:rsidRPr="00461CB6" w:rsidP="00E533E3" w14:paraId="37503D02" w14:textId="6A958BD1">
      <w:pPr>
        <w:rPr>
          <w:b/>
          <w:u w:val="single"/>
        </w:rPr>
      </w:pPr>
      <w:r w:rsidRPr="00461CB6">
        <w:rPr>
          <w:b/>
          <w:u w:val="single"/>
        </w:rPr>
        <w:t>Estimated Response Rate:</w:t>
      </w:r>
      <w:r w:rsidRPr="00461CB6">
        <w:rPr>
          <w:b/>
        </w:rPr>
        <w:t xml:space="preserve"> </w:t>
      </w:r>
      <w:r w:rsidR="00C75D08">
        <w:rPr>
          <w:bCs/>
        </w:rPr>
        <w:t>30</w:t>
      </w:r>
      <w:r w:rsidRPr="00461CB6" w:rsidR="00567D6B">
        <w:rPr>
          <w:bCs/>
        </w:rPr>
        <w:t>%</w:t>
      </w:r>
    </w:p>
    <w:p w:rsidR="00E533E3" w:rsidRPr="00461CB6" w:rsidP="00E533E3" w14:paraId="1C414BF9" w14:textId="77777777">
      <w:pPr>
        <w:rPr>
          <w:b/>
          <w:u w:val="single"/>
        </w:rPr>
      </w:pPr>
    </w:p>
    <w:p w:rsidR="00E533E3" w:rsidRPr="00B36959" w:rsidP="00E533E3" w14:paraId="100C458F" w14:textId="3BBB634A">
      <w:pPr>
        <w:rPr>
          <w:b/>
          <w:u w:val="single"/>
        </w:rPr>
      </w:pPr>
      <w:r w:rsidRPr="00461CB6">
        <w:rPr>
          <w:b/>
          <w:u w:val="single"/>
        </w:rPr>
        <w:t>Total Burden Estimate</w:t>
      </w:r>
      <w:r w:rsidRPr="00461CB6" w:rsidR="004C0CB0">
        <w:rPr>
          <w:b/>
          <w:u w:val="single"/>
        </w:rPr>
        <w:t>:</w:t>
      </w:r>
      <w:r w:rsidRPr="00461CB6">
        <w:rPr>
          <w:b/>
        </w:rPr>
        <w:t xml:space="preserve"> </w:t>
      </w:r>
      <w:r w:rsidR="00C75D08">
        <w:rPr>
          <w:bCs/>
        </w:rPr>
        <w:t>473</w:t>
      </w:r>
      <w:r w:rsidRPr="00461CB6" w:rsidR="00BC37EE">
        <w:rPr>
          <w:bCs/>
        </w:rPr>
        <w:t xml:space="preserve"> </w:t>
      </w:r>
      <w:r w:rsidRPr="00461CB6" w:rsidR="00C6535B">
        <w:rPr>
          <w:bCs/>
        </w:rPr>
        <w:t>hours</w:t>
      </w:r>
    </w:p>
    <w:p w:rsidR="00441434" w:rsidRPr="00B36959" w:rsidP="00F3170F" w14:paraId="3AA9BF68" w14:textId="77777777"/>
    <w:p w:rsidR="005E714A" w:rsidRPr="00B36959" w14:paraId="1D20D791" w14:textId="0FC3A903">
      <w:r w:rsidRPr="00B36959">
        <w:rPr>
          <w:b/>
        </w:rPr>
        <w:t xml:space="preserve">FEDERAL </w:t>
      </w:r>
      <w:r w:rsidRPr="00B36959" w:rsidR="009F5923">
        <w:rPr>
          <w:b/>
        </w:rPr>
        <w:t>COST</w:t>
      </w:r>
      <w:r w:rsidRPr="00B36959" w:rsidR="00F06866">
        <w:rPr>
          <w:b/>
        </w:rPr>
        <w:t>:</w:t>
      </w:r>
      <w:r w:rsidRPr="00B36959" w:rsidR="00C9790E">
        <w:t xml:space="preserve"> </w:t>
      </w:r>
    </w:p>
    <w:p w:rsidR="00613A8C" w:rsidRPr="00B36959" w14:paraId="462A4CDE" w14:textId="5FD3C02E"/>
    <w:p w:rsidR="00613A8C" w:rsidRPr="00B36959" w14:paraId="59809541" w14:textId="0D2FAF9B">
      <w:bookmarkStart w:id="3" w:name="_Hlk149658931"/>
      <w:r w:rsidRPr="00B36959">
        <w:t>The estimated cost of this survey (with the contractor) is $</w:t>
      </w:r>
      <w:r w:rsidR="007147E3">
        <w:t>26,183.47</w:t>
      </w:r>
      <w:r w:rsidR="00A06A70">
        <w:t>.</w:t>
      </w:r>
      <w:r w:rsidRPr="00B36959">
        <w:t xml:space="preserve"> </w:t>
      </w:r>
      <w:r w:rsidRPr="00B36959" w:rsidR="00510757">
        <w:t xml:space="preserve"> </w:t>
      </w:r>
    </w:p>
    <w:bookmarkEnd w:id="3"/>
    <w:p w:rsidR="00ED6492" w:rsidRPr="00B36959" w14:paraId="0FFAA6E7" w14:textId="58AACF4B">
      <w:pPr>
        <w:rPr>
          <w:b/>
          <w:bCs/>
          <w:u w:val="single"/>
        </w:rPr>
      </w:pPr>
    </w:p>
    <w:p w:rsidR="004246CB" w:rsidRPr="00B36959" w14:paraId="1754854A" w14:textId="67941002">
      <w:pPr>
        <w:rPr>
          <w:b/>
          <w:bCs/>
          <w:u w:val="single"/>
        </w:rPr>
      </w:pPr>
      <w:r w:rsidRPr="00B36959">
        <w:rPr>
          <w:b/>
          <w:bCs/>
          <w:u w:val="single"/>
        </w:rPr>
        <w:t xml:space="preserve">STATISTICAL METHOD: </w:t>
      </w:r>
    </w:p>
    <w:p w:rsidR="004246CB" w:rsidRPr="00B36959" w14:paraId="36370FD1" w14:textId="77777777">
      <w:pPr>
        <w:rPr>
          <w:b/>
          <w:bCs/>
          <w:u w:val="single"/>
        </w:rPr>
      </w:pPr>
    </w:p>
    <w:p w:rsidR="0069403B" w:rsidRPr="00B36959" w:rsidP="00F06866" w14:paraId="1DE19B80" w14:textId="77777777">
      <w:pPr>
        <w:rPr>
          <w:b/>
        </w:rPr>
      </w:pPr>
      <w:r w:rsidRPr="00B36959">
        <w:rPr>
          <w:b/>
          <w:bCs/>
          <w:u w:val="single"/>
        </w:rPr>
        <w:t xml:space="preserve">If you are conducting a focus group, survey, or plan to employ statistical methods, please </w:t>
      </w:r>
      <w:r w:rsidRPr="00B36959">
        <w:rPr>
          <w:b/>
          <w:bCs/>
          <w:u w:val="single"/>
        </w:rPr>
        <w:t xml:space="preserve"> provide answers to the following questions:</w:t>
      </w:r>
    </w:p>
    <w:p w:rsidR="0069403B" w:rsidRPr="00B36959" w:rsidP="00F06866" w14:paraId="73173E16" w14:textId="77777777">
      <w:pPr>
        <w:rPr>
          <w:b/>
        </w:rPr>
      </w:pPr>
    </w:p>
    <w:p w:rsidR="00F06866" w:rsidRPr="00B36959" w:rsidP="00F06866" w14:paraId="5DB5C1DC" w14:textId="77777777">
      <w:pPr>
        <w:rPr>
          <w:b/>
        </w:rPr>
      </w:pPr>
      <w:r w:rsidRPr="00B36959">
        <w:rPr>
          <w:b/>
        </w:rPr>
        <w:t>The</w:t>
      </w:r>
      <w:r w:rsidRPr="00B36959" w:rsidR="0069403B">
        <w:rPr>
          <w:b/>
        </w:rPr>
        <w:t xml:space="preserve"> select</w:t>
      </w:r>
      <w:r w:rsidRPr="00B36959">
        <w:rPr>
          <w:b/>
        </w:rPr>
        <w:t>ion of your targeted respondents</w:t>
      </w:r>
    </w:p>
    <w:p w:rsidR="005875C8" w:rsidP="005875C8" w14:paraId="63A66A55" w14:textId="77777777">
      <w:pPr>
        <w:pStyle w:val="ListParagraph"/>
        <w:numPr>
          <w:ilvl w:val="0"/>
          <w:numId w:val="15"/>
        </w:numPr>
        <w:spacing w:after="120"/>
        <w:contextualSpacing w:val="0"/>
      </w:pPr>
      <w:r w:rsidRPr="00B36959">
        <w:t>Do you have a customer list or something similar that defines the universe of potential respondents</w:t>
      </w:r>
      <w:r w:rsidRPr="00B36959" w:rsidR="00636621">
        <w:t xml:space="preserve"> and do you have a sampling plan for selecting from this universe</w:t>
      </w:r>
      <w:r w:rsidRPr="00B36959">
        <w:t>?</w:t>
      </w:r>
      <w:r w:rsidRPr="00B36959">
        <w:tab/>
      </w:r>
    </w:p>
    <w:p w:rsidR="00636621" w:rsidRPr="00B36959" w:rsidP="005875C8" w14:paraId="0B2033D7" w14:textId="1509EF25">
      <w:pPr>
        <w:pStyle w:val="ListParagraph"/>
        <w:spacing w:before="120" w:after="120"/>
        <w:ind w:left="360"/>
        <w:contextualSpacing w:val="0"/>
      </w:pPr>
      <w:r w:rsidRPr="00B36959">
        <w:tab/>
      </w:r>
      <w:r w:rsidRPr="00B36959">
        <w:tab/>
      </w:r>
      <w:r w:rsidRPr="00B36959">
        <w:tab/>
      </w:r>
      <w:r w:rsidRPr="00B36959">
        <w:tab/>
      </w:r>
      <w:r w:rsidRPr="00B36959">
        <w:tab/>
      </w:r>
      <w:r w:rsidRPr="00B36959">
        <w:tab/>
      </w:r>
      <w:r w:rsidRPr="00B36959">
        <w:tab/>
      </w:r>
      <w:r w:rsidRPr="00B36959">
        <w:tab/>
      </w:r>
      <w:r w:rsidRPr="00B36959">
        <w:tab/>
      </w:r>
      <w:r w:rsidRPr="00B36959">
        <w:t>[</w:t>
      </w:r>
      <w:r w:rsidRPr="002E7495" w:rsidR="001C4E90">
        <w:rPr>
          <w:b/>
          <w:bCs/>
        </w:rPr>
        <w:t>X</w:t>
      </w:r>
      <w:r w:rsidRPr="00B36959">
        <w:t>] Yes</w:t>
      </w:r>
      <w:r w:rsidRPr="00B36959">
        <w:tab/>
        <w:t>[</w:t>
      </w:r>
      <w:r w:rsidR="001C4E90">
        <w:rPr>
          <w:b/>
          <w:bCs/>
        </w:rPr>
        <w:t xml:space="preserve"> </w:t>
      </w:r>
      <w:r w:rsidRPr="00B36959">
        <w:t>] No</w:t>
      </w:r>
    </w:p>
    <w:p w:rsidR="00636621" w:rsidRPr="00B36959" w:rsidP="00AB18EA" w14:paraId="6D718443" w14:textId="5197718C">
      <w:pPr>
        <w:ind w:left="360"/>
      </w:pPr>
      <w:r w:rsidRPr="00B36959">
        <w:t>If the answer is yes, please provide a description of both below</w:t>
      </w:r>
      <w:r w:rsidRPr="00B36959" w:rsidR="00A403BB">
        <w:t xml:space="preserve"> (</w:t>
      </w:r>
      <w:r w:rsidRPr="00B36959" w:rsidR="00A403BB">
        <w:t>or</w:t>
      </w:r>
      <w:r w:rsidRPr="00B36959" w:rsidR="00A403BB">
        <w:t xml:space="preserve"> attach the sampling plan)</w:t>
      </w:r>
      <w:r w:rsidRPr="00B36959">
        <w:t>?   If the answer is no, please provide a description of how you plan to identify your potential group of respondents</w:t>
      </w:r>
      <w:r w:rsidRPr="00B36959" w:rsidR="001B0AAA">
        <w:t xml:space="preserve"> and how you will select them</w:t>
      </w:r>
      <w:r w:rsidRPr="00B36959">
        <w:t>?</w:t>
      </w:r>
    </w:p>
    <w:p w:rsidR="009D304E" w:rsidRPr="00B36959" w:rsidP="001B0AAA" w14:paraId="39EBF854" w14:textId="77777777"/>
    <w:p w:rsidR="00A403BB" w:rsidP="00A403BB" w14:paraId="2D002C35" w14:textId="561D0828">
      <w:r w:rsidRPr="008B1EE6">
        <w:t>The sampling frame consists of a census of all W&amp;I local partners. The partner lists will be provided by the IRS. The contractor will be responsible for preparing the partner lists and conducting data analysis. The contractor will be responsible for hosting and administering the web survey.</w:t>
      </w:r>
    </w:p>
    <w:p w:rsidR="008B1EE6" w:rsidRPr="00B36959" w:rsidP="00A403BB" w14:paraId="441252FB" w14:textId="77777777"/>
    <w:p w:rsidR="00A403BB" w:rsidRPr="00B36959" w:rsidP="00A403BB" w14:paraId="47AEC499" w14:textId="77777777">
      <w:pPr>
        <w:rPr>
          <w:b/>
        </w:rPr>
      </w:pPr>
      <w:r w:rsidRPr="00B36959">
        <w:rPr>
          <w:b/>
        </w:rPr>
        <w:t>Administration of the Instrument</w:t>
      </w:r>
    </w:p>
    <w:p w:rsidR="00A403BB" w:rsidRPr="00B36959" w:rsidP="00A403BB" w14:paraId="16B9035E" w14:textId="77777777">
      <w:pPr>
        <w:pStyle w:val="ListParagraph"/>
        <w:numPr>
          <w:ilvl w:val="0"/>
          <w:numId w:val="17"/>
        </w:numPr>
      </w:pPr>
      <w:r w:rsidRPr="00B36959">
        <w:t>H</w:t>
      </w:r>
      <w:r w:rsidRPr="00B36959">
        <w:t>ow will you collect the information? (Check all that apply)</w:t>
      </w:r>
    </w:p>
    <w:p w:rsidR="001B0AAA" w:rsidRPr="00B36959" w:rsidP="001B0AAA" w14:paraId="52C2E232" w14:textId="609BACE7">
      <w:pPr>
        <w:ind w:left="720"/>
      </w:pPr>
      <w:r w:rsidRPr="00B36959">
        <w:t>[</w:t>
      </w:r>
      <w:r w:rsidRPr="002E7495" w:rsidR="008B1EE6">
        <w:rPr>
          <w:b/>
          <w:bCs/>
        </w:rPr>
        <w:t>X</w:t>
      </w:r>
      <w:r w:rsidRPr="00B36959">
        <w:t>]Web-based</w:t>
      </w:r>
      <w:r w:rsidRPr="00B36959">
        <w:t xml:space="preserve"> or other forms of </w:t>
      </w:r>
      <w:r w:rsidRPr="00B36959">
        <w:t>Social Media</w:t>
      </w:r>
      <w:r w:rsidRPr="00B36959">
        <w:t xml:space="preserve"> </w:t>
      </w:r>
    </w:p>
    <w:p w:rsidR="001B0AAA" w:rsidRPr="00B36959" w:rsidP="001B0AAA" w14:paraId="196C8915" w14:textId="37A218BC">
      <w:pPr>
        <w:ind w:left="720"/>
      </w:pPr>
      <w:r w:rsidRPr="00B36959">
        <w:t xml:space="preserve">[ </w:t>
      </w:r>
      <w:r>
        <w:t xml:space="preserve"> </w:t>
      </w:r>
      <w:r w:rsidRPr="00B36959">
        <w:t xml:space="preserve">] </w:t>
      </w:r>
      <w:r w:rsidRPr="00B36959" w:rsidR="00A403BB">
        <w:t>Telephone</w:t>
      </w:r>
      <w:r w:rsidRPr="00B36959" w:rsidR="00A403BB">
        <w:tab/>
      </w:r>
    </w:p>
    <w:p w:rsidR="001B0AAA" w:rsidRPr="00B36959" w:rsidP="001B0AAA" w14:paraId="73D3BA33" w14:textId="7F49A003">
      <w:pPr>
        <w:ind w:left="720"/>
      </w:pPr>
      <w:r w:rsidRPr="00B36959">
        <w:t>[</w:t>
      </w:r>
      <w:r w:rsidRPr="00B36959">
        <w:t xml:space="preserve"> </w:t>
      </w:r>
      <w:r w:rsidR="00D85C39">
        <w:t xml:space="preserve"> </w:t>
      </w:r>
      <w:r w:rsidRPr="00B36959">
        <w:t>] In-person</w:t>
      </w:r>
      <w:r w:rsidRPr="00B36959">
        <w:tab/>
      </w:r>
    </w:p>
    <w:p w:rsidR="001B0AAA" w:rsidRPr="00B36959" w:rsidP="001B0AAA" w14:paraId="1C9B32FC" w14:textId="468C96F7">
      <w:pPr>
        <w:ind w:left="720"/>
      </w:pPr>
      <w:r w:rsidRPr="00B36959">
        <w:t>[</w:t>
      </w:r>
      <w:r w:rsidR="00D85C39">
        <w:t xml:space="preserve"> </w:t>
      </w:r>
      <w:r w:rsidRPr="00B36959" w:rsidR="009D304E">
        <w:t xml:space="preserve"> </w:t>
      </w:r>
      <w:r w:rsidRPr="00B36959">
        <w:t>] Mail</w:t>
      </w:r>
      <w:r w:rsidRPr="00B36959">
        <w:t xml:space="preserve"> </w:t>
      </w:r>
    </w:p>
    <w:p w:rsidR="001B0AAA" w:rsidP="001B0AAA" w14:paraId="08FFBC26" w14:textId="2B6E9864">
      <w:pPr>
        <w:ind w:left="720"/>
      </w:pPr>
      <w:r w:rsidRPr="00B36959">
        <w:t xml:space="preserve">[ </w:t>
      </w:r>
      <w:r w:rsidRPr="00B36959">
        <w:t xml:space="preserve"> </w:t>
      </w:r>
      <w:r w:rsidRPr="00B36959">
        <w:t>]</w:t>
      </w:r>
      <w:r w:rsidRPr="00B36959">
        <w:t xml:space="preserve"> Other, Explain</w:t>
      </w:r>
      <w:r w:rsidRPr="00B36959" w:rsidR="00E07184">
        <w:t xml:space="preserve"> – Microsoft TEAMS or ZOOM for sharing visuals.</w:t>
      </w:r>
    </w:p>
    <w:p w:rsidR="00D85C39" w:rsidRPr="00B36959" w:rsidP="001B0AAA" w14:paraId="4CD8FF42" w14:textId="77777777">
      <w:pPr>
        <w:ind w:left="720"/>
      </w:pPr>
    </w:p>
    <w:p w:rsidR="00F24CFC" w:rsidRPr="00B36959" w:rsidP="00F24CFC" w14:paraId="55E1C609" w14:textId="3BC55308">
      <w:pPr>
        <w:pStyle w:val="ListParagraph"/>
        <w:numPr>
          <w:ilvl w:val="0"/>
          <w:numId w:val="17"/>
        </w:numPr>
      </w:pPr>
      <w:bookmarkStart w:id="4" w:name="_Hlk149659106"/>
      <w:r w:rsidRPr="00452C03">
        <w:t>Will interviewers or facilitators be used?</w:t>
      </w:r>
      <w:r w:rsidRPr="00B36959">
        <w:t xml:space="preserve">  [  ] Yes [</w:t>
      </w:r>
      <w:r w:rsidRPr="00D85C39" w:rsidR="006B03D2">
        <w:rPr>
          <w:b/>
          <w:bCs/>
        </w:rPr>
        <w:t>X</w:t>
      </w:r>
      <w:r w:rsidRPr="00B36959">
        <w:t>] No</w:t>
      </w:r>
    </w:p>
    <w:bookmarkEnd w:id="4"/>
    <w:p w:rsidR="00F24CFC" w:rsidRPr="00B36959" w:rsidP="00F24CFC" w14:paraId="51772501" w14:textId="77777777">
      <w:pPr>
        <w:pStyle w:val="ListParagraph"/>
        <w:ind w:left="360"/>
      </w:pPr>
      <w:r w:rsidRPr="00B36959">
        <w:t xml:space="preserve"> </w:t>
      </w:r>
    </w:p>
    <w:p w:rsidR="0024521E" w:rsidRPr="00B36959" w:rsidP="0024521E" w14:paraId="62D37A1E" w14:textId="1549B896">
      <w:pPr>
        <w:rPr>
          <w:b/>
        </w:rPr>
      </w:pPr>
      <w:r w:rsidRPr="00B36959">
        <w:rPr>
          <w:b/>
        </w:rPr>
        <w:t>Please make sure that all instruments, instructions, and scripts are submitted with the request.</w:t>
      </w:r>
    </w:p>
    <w:p w:rsidR="00F24CFC" w:rsidRPr="00B36959" w:rsidP="00F24CFC" w14:paraId="6600BA2C" w14:textId="77777777">
      <w:pPr>
        <w:pStyle w:val="Heading2"/>
        <w:tabs>
          <w:tab w:val="left" w:pos="900"/>
        </w:tabs>
        <w:ind w:right="-180"/>
      </w:pPr>
      <w:r w:rsidRPr="00B36959">
        <w:rPr>
          <w:sz w:val="28"/>
        </w:rPr>
        <w:t xml:space="preserve">Instructions for completing Request for Approval under the “Generic Clearance for the Collection of Routine Customer Feedback” </w:t>
      </w:r>
    </w:p>
    <w:p w:rsidR="00F24CFC" w:rsidRPr="00B36959" w:rsidP="00F24CFC" w14:paraId="44F30BB1" w14:textId="77777777">
      <w:pPr>
        <w:rPr>
          <w:b/>
        </w:rPr>
      </w:pPr>
    </w:p>
    <w:p w:rsidR="00F24CFC" w:rsidRPr="00B36959" w:rsidP="00F24CFC" w14:paraId="3B1459BF" w14:textId="101CAD0B">
      <w:pPr>
        <w:rPr>
          <w:b/>
        </w:rPr>
      </w:pPr>
      <w:r w:rsidRPr="00B36959">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B36959" w:rsidP="00F24CFC" w14:paraId="16C3C310" w14:textId="77777777">
      <w:pPr>
        <w:rPr>
          <w:b/>
        </w:rPr>
      </w:pPr>
      <w:r w:rsidRPr="00B36959">
        <w:rPr>
          <w:b/>
        </w:rPr>
        <w:t>TITLE OF INFORMATION COLLECTION:</w:t>
      </w:r>
      <w:r w:rsidRPr="00B36959">
        <w:t xml:space="preserve">  Provide the name of the collection that is the subject of the request</w:t>
      </w:r>
      <w:r w:rsidRPr="00B36959" w:rsidR="00CB1078">
        <w:t xml:space="preserve">. (e.g.  Comment card for soliciting feedback on </w:t>
      </w:r>
      <w:r w:rsidRPr="00B36959" w:rsidR="00CB1078">
        <w:t>xxxx</w:t>
      </w:r>
      <w:r w:rsidRPr="00B36959" w:rsidR="00CB1078">
        <w:t>)</w:t>
      </w:r>
    </w:p>
    <w:p w:rsidR="00F24CFC" w:rsidRPr="00B36959" w:rsidP="00F24CFC" w14:paraId="6F1F0C02" w14:textId="77777777"/>
    <w:p w:rsidR="00F24CFC" w:rsidRPr="00B36959" w:rsidP="00F24CFC" w14:paraId="151CA8B5" w14:textId="77777777">
      <w:pPr>
        <w:rPr>
          <w:b/>
        </w:rPr>
      </w:pPr>
      <w:r w:rsidRPr="00B36959">
        <w:rPr>
          <w:b/>
        </w:rPr>
        <w:t xml:space="preserve">PURPOSE:  </w:t>
      </w:r>
      <w:r w:rsidRPr="00B36959">
        <w:t>Provide a brief description of the purpose of this collection and how it will be used.  If this is part of a larger study or effort, please include this in your explanation.</w:t>
      </w:r>
    </w:p>
    <w:p w:rsidR="00F24CFC" w:rsidRPr="00B36959" w:rsidP="00F24CFC" w14:paraId="0780E486" w14:textId="77777777">
      <w:pPr>
        <w:pStyle w:val="Header"/>
        <w:tabs>
          <w:tab w:val="clear" w:pos="4320"/>
          <w:tab w:val="clear" w:pos="8640"/>
        </w:tabs>
        <w:rPr>
          <w:b/>
        </w:rPr>
      </w:pPr>
    </w:p>
    <w:p w:rsidR="00F24CFC" w:rsidRPr="00B36959" w:rsidP="00F24CFC" w14:paraId="76CBA811" w14:textId="77777777">
      <w:pPr>
        <w:pStyle w:val="Header"/>
        <w:tabs>
          <w:tab w:val="clear" w:pos="4320"/>
          <w:tab w:val="clear" w:pos="8640"/>
        </w:tabs>
        <w:rPr>
          <w:snapToGrid/>
        </w:rPr>
      </w:pPr>
      <w:r w:rsidRPr="00B36959">
        <w:rPr>
          <w:b/>
        </w:rPr>
        <w:t>DESCRIPTION OF RESPONDENTS</w:t>
      </w:r>
      <w:r w:rsidRPr="00B36959">
        <w:t>: Provide a brief description of the targeted group or groups for this collection of information.  These groups must have experience with the program.</w:t>
      </w:r>
    </w:p>
    <w:p w:rsidR="00F24CFC" w:rsidRPr="00B36959" w:rsidP="00F24CFC" w14:paraId="7DFB87A3" w14:textId="77777777">
      <w:pPr>
        <w:rPr>
          <w:b/>
        </w:rPr>
      </w:pPr>
    </w:p>
    <w:p w:rsidR="00F24CFC" w:rsidRPr="00B36959" w:rsidP="00F24CFC" w14:paraId="358F74F9" w14:textId="77777777">
      <w:pPr>
        <w:rPr>
          <w:b/>
        </w:rPr>
      </w:pPr>
      <w:r w:rsidRPr="00B36959">
        <w:rPr>
          <w:b/>
        </w:rPr>
        <w:t>TYPE OF COLLECTION:</w:t>
      </w:r>
      <w:r w:rsidRPr="00B36959">
        <w:t xml:space="preserve"> Check one box.  If you are requesting approval of other instruments under the generic</w:t>
      </w:r>
      <w:r w:rsidRPr="00B36959" w:rsidR="008F50D4">
        <w:t>, you must complete a form for each instrument.</w:t>
      </w:r>
    </w:p>
    <w:p w:rsidR="00F24CFC" w:rsidRPr="00B36959" w:rsidP="00F24CFC" w14:paraId="5B873891" w14:textId="77777777">
      <w:pPr>
        <w:pStyle w:val="BodyTextIndent"/>
        <w:tabs>
          <w:tab w:val="left" w:pos="360"/>
        </w:tabs>
        <w:ind w:left="0"/>
        <w:rPr>
          <w:bCs/>
          <w:sz w:val="24"/>
          <w:szCs w:val="24"/>
        </w:rPr>
      </w:pPr>
    </w:p>
    <w:p w:rsidR="00F24CFC" w:rsidRPr="00B36959" w:rsidP="00F24CFC" w14:paraId="6D91F0C9" w14:textId="77777777">
      <w:r w:rsidRPr="00B36959">
        <w:rPr>
          <w:b/>
        </w:rPr>
        <w:t>CERTIFICATION:</w:t>
      </w:r>
      <w:r w:rsidRPr="00B36959" w:rsidR="008F50D4">
        <w:rPr>
          <w:b/>
        </w:rPr>
        <w:t xml:space="preserve">  </w:t>
      </w:r>
      <w:r w:rsidRPr="00B36959" w:rsidR="008F50D4">
        <w:t>Please read the certification carefully.  If you incorrectly certify, the collection will be returned as improperly submitted or it will be disapproved.</w:t>
      </w:r>
    </w:p>
    <w:p w:rsidR="00F24CFC" w:rsidRPr="00B36959" w:rsidP="00F24CFC" w14:paraId="12CF2E42" w14:textId="77777777">
      <w:pPr>
        <w:rPr>
          <w:sz w:val="16"/>
          <w:szCs w:val="16"/>
        </w:rPr>
      </w:pPr>
    </w:p>
    <w:p w:rsidR="00F24CFC" w:rsidRPr="00B36959" w:rsidP="00F24CFC" w14:paraId="312E485C" w14:textId="77777777">
      <w:r w:rsidRPr="00B36959">
        <w:rPr>
          <w:b/>
        </w:rPr>
        <w:t>Personally Identifiable Information:</w:t>
      </w:r>
      <w:r w:rsidRPr="00B36959" w:rsidR="008F50D4">
        <w:rPr>
          <w:b/>
        </w:rPr>
        <w:t xml:space="preserve">  </w:t>
      </w:r>
      <w:r w:rsidRPr="00B36959" w:rsidR="008F50D4">
        <w:t xml:space="preserve">Provide answers to the questions.  </w:t>
      </w:r>
    </w:p>
    <w:p w:rsidR="008F50D4" w:rsidRPr="00B36959" w:rsidP="00F24CFC" w14:paraId="579AB59B" w14:textId="77777777"/>
    <w:p w:rsidR="00F24CFC" w:rsidRPr="00B36959" w:rsidP="008F50D4" w14:paraId="6535E063" w14:textId="77777777">
      <w:pPr>
        <w:pStyle w:val="ListParagraph"/>
        <w:ind w:left="0"/>
        <w:rPr>
          <w:b/>
        </w:rPr>
      </w:pPr>
      <w:r w:rsidRPr="00B36959">
        <w:rPr>
          <w:b/>
        </w:rPr>
        <w:t>Gifts or Payments</w:t>
      </w:r>
      <w:r w:rsidRPr="00B36959">
        <w:rPr>
          <w:b/>
        </w:rPr>
        <w:t>:</w:t>
      </w:r>
      <w:r w:rsidRPr="00B36959" w:rsidR="008F50D4">
        <w:rPr>
          <w:b/>
        </w:rPr>
        <w:t xml:space="preserve">  </w:t>
      </w:r>
      <w:r w:rsidRPr="00B36959" w:rsidR="008F50D4">
        <w:t xml:space="preserve">If you answer yes to the question, please </w:t>
      </w:r>
      <w:r w:rsidRPr="00B36959">
        <w:t>describe</w:t>
      </w:r>
      <w:r w:rsidRPr="00B36959" w:rsidR="008F50D4">
        <w:t xml:space="preserve"> the </w:t>
      </w:r>
      <w:r w:rsidRPr="00B36959" w:rsidR="008F50D4">
        <w:t>incentive</w:t>
      </w:r>
      <w:r w:rsidRPr="00B36959">
        <w:t xml:space="preserve"> and provide a justification for the amount.</w:t>
      </w:r>
    </w:p>
    <w:p w:rsidR="00F24CFC" w:rsidRPr="00B36959" w:rsidP="00F24CFC" w14:paraId="5EEE1113" w14:textId="77777777">
      <w:pPr>
        <w:rPr>
          <w:b/>
        </w:rPr>
      </w:pPr>
    </w:p>
    <w:p w:rsidR="008F50D4" w:rsidRPr="00B36959" w:rsidP="00F24CFC" w14:paraId="6E12014F" w14:textId="561C613C">
      <w:pPr>
        <w:rPr>
          <w:b/>
        </w:rPr>
      </w:pPr>
      <w:r w:rsidRPr="00B36959">
        <w:rPr>
          <w:b/>
        </w:rPr>
        <w:t>BURDEN HOURS</w:t>
      </w:r>
      <w:r w:rsidRPr="00B36959">
        <w:rPr>
          <w:b/>
        </w:rPr>
        <w:t>:</w:t>
      </w:r>
    </w:p>
    <w:p w:rsidR="008F50D4" w:rsidRPr="00B36959" w:rsidP="00F24CFC" w14:paraId="43C913C2" w14:textId="77777777">
      <w:r w:rsidRPr="00B36959">
        <w:rPr>
          <w:b/>
        </w:rPr>
        <w:t xml:space="preserve">Category of Respondents:  </w:t>
      </w:r>
      <w:r w:rsidRPr="00B36959">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B36959" w:rsidP="00F24CFC" w14:paraId="1407CE39" w14:textId="77777777">
      <w:r w:rsidRPr="00B36959">
        <w:rPr>
          <w:b/>
        </w:rPr>
        <w:t>No. of Respondents:</w:t>
      </w:r>
      <w:r w:rsidRPr="00B36959">
        <w:t xml:space="preserve">  Provide an estimate of the Number of respondents.</w:t>
      </w:r>
    </w:p>
    <w:p w:rsidR="008F50D4" w:rsidRPr="00B36959" w:rsidP="00F24CFC" w14:paraId="0A7F24E5" w14:textId="7885CF18">
      <w:r w:rsidRPr="00B36959">
        <w:rPr>
          <w:b/>
        </w:rPr>
        <w:t xml:space="preserve">Participation Time:  </w:t>
      </w:r>
      <w:r w:rsidRPr="00B36959">
        <w:t>Provide an estimate of the amount of time required for a respondent to participate (</w:t>
      </w:r>
      <w:r w:rsidRPr="00B36959" w:rsidR="004C0CB0">
        <w:t>e.g.,</w:t>
      </w:r>
      <w:r w:rsidRPr="00B36959">
        <w:t xml:space="preserve"> fill out a survey or participate in a focus group)</w:t>
      </w:r>
    </w:p>
    <w:p w:rsidR="00F24CFC" w:rsidRPr="00B36959" w:rsidP="00F24CFC" w14:paraId="4AB723E8" w14:textId="77777777">
      <w:r w:rsidRPr="00B36959">
        <w:rPr>
          <w:b/>
        </w:rPr>
        <w:t>Burden:</w:t>
      </w:r>
      <w:r w:rsidRPr="00B36959">
        <w:t xml:space="preserve">  Provide the </w:t>
      </w:r>
      <w:r w:rsidRPr="00B36959">
        <w:t>Annual burden hours:  Multiply the Number of responses and the participation time and</w:t>
      </w:r>
      <w:r w:rsidRPr="00B36959">
        <w:t xml:space="preserve"> </w:t>
      </w:r>
      <w:r w:rsidRPr="00B36959" w:rsidR="003F1C5B">
        <w:t>divide by 60.</w:t>
      </w:r>
    </w:p>
    <w:p w:rsidR="00F24CFC" w:rsidRPr="00B36959" w:rsidP="00F24CFC" w14:paraId="6EE95664" w14:textId="77777777">
      <w:pPr>
        <w:keepNext/>
        <w:keepLines/>
        <w:rPr>
          <w:b/>
        </w:rPr>
      </w:pPr>
    </w:p>
    <w:p w:rsidR="00F24CFC" w:rsidRPr="00B36959" w:rsidP="00F24CFC" w14:paraId="08A435BD" w14:textId="77777777">
      <w:pPr>
        <w:rPr>
          <w:b/>
        </w:rPr>
      </w:pPr>
      <w:r w:rsidRPr="00B36959">
        <w:rPr>
          <w:b/>
        </w:rPr>
        <w:t>FEDERAL COST:</w:t>
      </w:r>
      <w:r w:rsidRPr="00B36959" w:rsidR="003F1C5B">
        <w:rPr>
          <w:b/>
        </w:rPr>
        <w:t xml:space="preserve"> </w:t>
      </w:r>
      <w:r w:rsidRPr="00B36959" w:rsidR="003F1C5B">
        <w:t xml:space="preserve">Provide an </w:t>
      </w:r>
      <w:r w:rsidRPr="00B36959">
        <w:t>estimate</w:t>
      </w:r>
      <w:r w:rsidRPr="00B36959" w:rsidR="003F1C5B">
        <w:t xml:space="preserve"> of the</w:t>
      </w:r>
      <w:r w:rsidRPr="00B36959">
        <w:t xml:space="preserve"> annual cost to the Federal government</w:t>
      </w:r>
      <w:r w:rsidRPr="00B36959" w:rsidR="003F1C5B">
        <w:t>.</w:t>
      </w:r>
    </w:p>
    <w:p w:rsidR="00F24CFC" w:rsidRPr="00B36959" w:rsidP="00F24CFC" w14:paraId="1EAE4D6F" w14:textId="77777777">
      <w:pPr>
        <w:rPr>
          <w:b/>
          <w:bCs/>
          <w:u w:val="single"/>
        </w:rPr>
      </w:pPr>
    </w:p>
    <w:p w:rsidR="00F24CFC" w:rsidRPr="00B36959" w:rsidP="00F24CFC" w14:paraId="1FDD5087" w14:textId="77777777">
      <w:pPr>
        <w:rPr>
          <w:b/>
        </w:rPr>
      </w:pPr>
      <w:r w:rsidRPr="00B36959">
        <w:rPr>
          <w:b/>
          <w:bCs/>
          <w:u w:val="single"/>
        </w:rPr>
        <w:t>If you are conducting a focus group, survey, or plan to employ statistical methods, please  provide answers to the following questions:</w:t>
      </w:r>
    </w:p>
    <w:p w:rsidR="00F24CFC" w:rsidRPr="00B36959" w:rsidP="00F24CFC" w14:paraId="0866FD2C" w14:textId="77777777">
      <w:pPr>
        <w:rPr>
          <w:b/>
        </w:rPr>
      </w:pPr>
    </w:p>
    <w:p w:rsidR="00F24CFC" w:rsidRPr="00B36959" w:rsidP="00F24CFC" w14:paraId="720B4850" w14:textId="77777777">
      <w:r w:rsidRPr="00B36959">
        <w:rPr>
          <w:b/>
        </w:rPr>
        <w:t>The selection of your targeted respondents</w:t>
      </w:r>
      <w:r w:rsidRPr="00B36959" w:rsidR="003F1C5B">
        <w:rPr>
          <w:b/>
        </w:rPr>
        <w:t>.</w:t>
      </w:r>
      <w:r w:rsidRPr="00B36959">
        <w:t xml:space="preserve"> </w:t>
      </w:r>
      <w:r w:rsidRPr="00B36959" w:rsidR="003F1C5B">
        <w:t xml:space="preserve"> P</w:t>
      </w:r>
      <w:r w:rsidRPr="00B36959">
        <w:t>lease provide a description of how you plan to identify your potential group of responden</w:t>
      </w:r>
      <w:r w:rsidRPr="00B36959" w:rsidR="003F1C5B">
        <w:t>ts and how you will select them.  If the answer is yes, to the first question, you may provide the sampling plan in an attachment.</w:t>
      </w:r>
    </w:p>
    <w:p w:rsidR="00F24CFC" w:rsidRPr="00B36959" w:rsidP="00F24CFC" w14:paraId="35E22245" w14:textId="77777777">
      <w:pPr>
        <w:rPr>
          <w:b/>
        </w:rPr>
      </w:pPr>
    </w:p>
    <w:p w:rsidR="00F24CFC" w:rsidRPr="00B36959" w:rsidP="00F24CFC" w14:paraId="3F4978A0" w14:textId="590803E2">
      <w:r w:rsidRPr="00B36959">
        <w:rPr>
          <w:b/>
        </w:rPr>
        <w:t>Administration of the Instrument</w:t>
      </w:r>
      <w:r w:rsidRPr="00B36959" w:rsidR="003F1C5B">
        <w:rPr>
          <w:b/>
        </w:rPr>
        <w:t xml:space="preserve">:  </w:t>
      </w:r>
      <w:r w:rsidRPr="00B36959" w:rsidR="003F1C5B">
        <w:t>Identify how the information will be collected.  More than one box may be checked.  Indicate whether there will be interviewers (</w:t>
      </w:r>
      <w:r w:rsidRPr="00B36959" w:rsidR="004C0CB0">
        <w:t>e.g.,</w:t>
      </w:r>
      <w:r w:rsidRPr="00B36959" w:rsidR="003F1C5B">
        <w:t xml:space="preserve"> for surveys) or facilitators (e.g., for focus groups) used.</w:t>
      </w:r>
    </w:p>
    <w:p w:rsidR="00F24CFC" w:rsidRPr="00B36959" w:rsidP="00F24CFC" w14:paraId="00A55783" w14:textId="77777777">
      <w:pPr>
        <w:pStyle w:val="ListParagraph"/>
        <w:ind w:left="360"/>
      </w:pPr>
    </w:p>
    <w:p w:rsidR="005E714A" w:rsidRPr="00B36959"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2"/>
  </w:num>
  <w:num w:numId="2" w16cid:durableId="712340262">
    <w:abstractNumId w:val="20"/>
  </w:num>
  <w:num w:numId="3" w16cid:durableId="1619992195">
    <w:abstractNumId w:val="19"/>
  </w:num>
  <w:num w:numId="4" w16cid:durableId="1204831893">
    <w:abstractNumId w:val="21"/>
  </w:num>
  <w:num w:numId="5" w16cid:durableId="1923297363">
    <w:abstractNumId w:val="4"/>
  </w:num>
  <w:num w:numId="6" w16cid:durableId="764884660">
    <w:abstractNumId w:val="1"/>
  </w:num>
  <w:num w:numId="7" w16cid:durableId="778724063">
    <w:abstractNumId w:val="10"/>
  </w:num>
  <w:num w:numId="8" w16cid:durableId="758058739">
    <w:abstractNumId w:val="16"/>
  </w:num>
  <w:num w:numId="9" w16cid:durableId="48456860">
    <w:abstractNumId w:val="11"/>
  </w:num>
  <w:num w:numId="10" w16cid:durableId="1406997160">
    <w:abstractNumId w:val="2"/>
  </w:num>
  <w:num w:numId="11" w16cid:durableId="122816815">
    <w:abstractNumId w:val="8"/>
  </w:num>
  <w:num w:numId="12" w16cid:durableId="134184420">
    <w:abstractNumId w:val="9"/>
  </w:num>
  <w:num w:numId="13" w16cid:durableId="1245456875">
    <w:abstractNumId w:val="0"/>
  </w:num>
  <w:num w:numId="14" w16cid:durableId="268970257">
    <w:abstractNumId w:val="17"/>
  </w:num>
  <w:num w:numId="15" w16cid:durableId="1088695362">
    <w:abstractNumId w:val="15"/>
  </w:num>
  <w:num w:numId="16" w16cid:durableId="1674457944">
    <w:abstractNumId w:val="14"/>
  </w:num>
  <w:num w:numId="17" w16cid:durableId="118426472">
    <w:abstractNumId w:val="6"/>
  </w:num>
  <w:num w:numId="18" w16cid:durableId="1721055916">
    <w:abstractNumId w:val="7"/>
  </w:num>
  <w:num w:numId="19" w16cid:durableId="1501772156">
    <w:abstractNumId w:val="18"/>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5"/>
  </w:num>
  <w:num w:numId="23" w16cid:durableId="131976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13BAB"/>
    <w:rsid w:val="00023A57"/>
    <w:rsid w:val="0004431D"/>
    <w:rsid w:val="00047A64"/>
    <w:rsid w:val="00060BC4"/>
    <w:rsid w:val="00062915"/>
    <w:rsid w:val="00067329"/>
    <w:rsid w:val="00072E5B"/>
    <w:rsid w:val="00095C82"/>
    <w:rsid w:val="00095D81"/>
    <w:rsid w:val="000A283E"/>
    <w:rsid w:val="000B2838"/>
    <w:rsid w:val="000C742F"/>
    <w:rsid w:val="000D44CA"/>
    <w:rsid w:val="000D4F13"/>
    <w:rsid w:val="000E200B"/>
    <w:rsid w:val="000E4491"/>
    <w:rsid w:val="000F68BE"/>
    <w:rsid w:val="000F6F5A"/>
    <w:rsid w:val="000F7A37"/>
    <w:rsid w:val="0011359D"/>
    <w:rsid w:val="00116BC9"/>
    <w:rsid w:val="0012605F"/>
    <w:rsid w:val="0013420E"/>
    <w:rsid w:val="00137D6A"/>
    <w:rsid w:val="0014541B"/>
    <w:rsid w:val="001632FA"/>
    <w:rsid w:val="00186F76"/>
    <w:rsid w:val="001927A4"/>
    <w:rsid w:val="00194AC6"/>
    <w:rsid w:val="0019528D"/>
    <w:rsid w:val="001A23B0"/>
    <w:rsid w:val="001A25CC"/>
    <w:rsid w:val="001B0AAA"/>
    <w:rsid w:val="001B4316"/>
    <w:rsid w:val="001B498D"/>
    <w:rsid w:val="001C39F7"/>
    <w:rsid w:val="001C4606"/>
    <w:rsid w:val="001C4E90"/>
    <w:rsid w:val="001C6DE0"/>
    <w:rsid w:val="001D1445"/>
    <w:rsid w:val="001D5477"/>
    <w:rsid w:val="001E3FBD"/>
    <w:rsid w:val="001E6E1D"/>
    <w:rsid w:val="002168AF"/>
    <w:rsid w:val="002211CC"/>
    <w:rsid w:val="00224B75"/>
    <w:rsid w:val="002251DD"/>
    <w:rsid w:val="002277C1"/>
    <w:rsid w:val="002309FC"/>
    <w:rsid w:val="00237B48"/>
    <w:rsid w:val="0024521E"/>
    <w:rsid w:val="002502AF"/>
    <w:rsid w:val="00252032"/>
    <w:rsid w:val="00263C3D"/>
    <w:rsid w:val="0027322E"/>
    <w:rsid w:val="00274D0B"/>
    <w:rsid w:val="00275699"/>
    <w:rsid w:val="00291387"/>
    <w:rsid w:val="002A1737"/>
    <w:rsid w:val="002A52ED"/>
    <w:rsid w:val="002A7029"/>
    <w:rsid w:val="002B0906"/>
    <w:rsid w:val="002B20E6"/>
    <w:rsid w:val="002B3C95"/>
    <w:rsid w:val="002B7E7B"/>
    <w:rsid w:val="002D0B92"/>
    <w:rsid w:val="002E0375"/>
    <w:rsid w:val="002E7495"/>
    <w:rsid w:val="002F4B6F"/>
    <w:rsid w:val="00313A13"/>
    <w:rsid w:val="00326E42"/>
    <w:rsid w:val="00353F1C"/>
    <w:rsid w:val="0036476F"/>
    <w:rsid w:val="00377647"/>
    <w:rsid w:val="00394C57"/>
    <w:rsid w:val="003C0B19"/>
    <w:rsid w:val="003C2D04"/>
    <w:rsid w:val="003D3073"/>
    <w:rsid w:val="003D5BBE"/>
    <w:rsid w:val="003E3C61"/>
    <w:rsid w:val="003F1C5B"/>
    <w:rsid w:val="003F3988"/>
    <w:rsid w:val="003F7EF8"/>
    <w:rsid w:val="00400FF8"/>
    <w:rsid w:val="00404604"/>
    <w:rsid w:val="00410AED"/>
    <w:rsid w:val="00421992"/>
    <w:rsid w:val="00421EDC"/>
    <w:rsid w:val="004246CB"/>
    <w:rsid w:val="004318FA"/>
    <w:rsid w:val="00432CB0"/>
    <w:rsid w:val="00434E33"/>
    <w:rsid w:val="00435DDC"/>
    <w:rsid w:val="00441434"/>
    <w:rsid w:val="00445A0D"/>
    <w:rsid w:val="0045177B"/>
    <w:rsid w:val="0045264C"/>
    <w:rsid w:val="00452C03"/>
    <w:rsid w:val="00461CB6"/>
    <w:rsid w:val="00464784"/>
    <w:rsid w:val="004706EC"/>
    <w:rsid w:val="00473D0C"/>
    <w:rsid w:val="004876EC"/>
    <w:rsid w:val="004C0CB0"/>
    <w:rsid w:val="004C43E5"/>
    <w:rsid w:val="004D2733"/>
    <w:rsid w:val="004D6E14"/>
    <w:rsid w:val="004F2A87"/>
    <w:rsid w:val="00500547"/>
    <w:rsid w:val="005009B0"/>
    <w:rsid w:val="00501154"/>
    <w:rsid w:val="0050571C"/>
    <w:rsid w:val="00510757"/>
    <w:rsid w:val="00511914"/>
    <w:rsid w:val="00515275"/>
    <w:rsid w:val="0052666C"/>
    <w:rsid w:val="00533873"/>
    <w:rsid w:val="005430D8"/>
    <w:rsid w:val="0056003E"/>
    <w:rsid w:val="00560845"/>
    <w:rsid w:val="00564FA9"/>
    <w:rsid w:val="00566D95"/>
    <w:rsid w:val="005674FD"/>
    <w:rsid w:val="00567D6B"/>
    <w:rsid w:val="0058651D"/>
    <w:rsid w:val="005875C8"/>
    <w:rsid w:val="005911A9"/>
    <w:rsid w:val="00591794"/>
    <w:rsid w:val="0059484D"/>
    <w:rsid w:val="005A0728"/>
    <w:rsid w:val="005A1006"/>
    <w:rsid w:val="005A3BA7"/>
    <w:rsid w:val="005A43DD"/>
    <w:rsid w:val="005A5716"/>
    <w:rsid w:val="005A5FCB"/>
    <w:rsid w:val="005B7734"/>
    <w:rsid w:val="005C0235"/>
    <w:rsid w:val="005C15C3"/>
    <w:rsid w:val="005C1C6D"/>
    <w:rsid w:val="005C544C"/>
    <w:rsid w:val="005C6063"/>
    <w:rsid w:val="005D6696"/>
    <w:rsid w:val="005E4912"/>
    <w:rsid w:val="005E714A"/>
    <w:rsid w:val="005F0F68"/>
    <w:rsid w:val="00613A8C"/>
    <w:rsid w:val="006140A0"/>
    <w:rsid w:val="00636621"/>
    <w:rsid w:val="00640541"/>
    <w:rsid w:val="006410EE"/>
    <w:rsid w:val="00642B49"/>
    <w:rsid w:val="00647508"/>
    <w:rsid w:val="006546B0"/>
    <w:rsid w:val="00661CF6"/>
    <w:rsid w:val="00661DBB"/>
    <w:rsid w:val="00667DC9"/>
    <w:rsid w:val="00673660"/>
    <w:rsid w:val="006832D9"/>
    <w:rsid w:val="006923C8"/>
    <w:rsid w:val="0069403B"/>
    <w:rsid w:val="006B03D2"/>
    <w:rsid w:val="006C0BFB"/>
    <w:rsid w:val="006F3DDE"/>
    <w:rsid w:val="00704678"/>
    <w:rsid w:val="007147E3"/>
    <w:rsid w:val="007425E7"/>
    <w:rsid w:val="00754B33"/>
    <w:rsid w:val="00764EAB"/>
    <w:rsid w:val="007771F6"/>
    <w:rsid w:val="007A2243"/>
    <w:rsid w:val="007B0B1D"/>
    <w:rsid w:val="007C0198"/>
    <w:rsid w:val="007D1688"/>
    <w:rsid w:val="007D6E53"/>
    <w:rsid w:val="007D6F11"/>
    <w:rsid w:val="007E369A"/>
    <w:rsid w:val="007F24A1"/>
    <w:rsid w:val="00802607"/>
    <w:rsid w:val="008047F7"/>
    <w:rsid w:val="008054EA"/>
    <w:rsid w:val="008101A5"/>
    <w:rsid w:val="0081637D"/>
    <w:rsid w:val="00816784"/>
    <w:rsid w:val="00816A31"/>
    <w:rsid w:val="008218A8"/>
    <w:rsid w:val="00822664"/>
    <w:rsid w:val="00831F4E"/>
    <w:rsid w:val="008426F9"/>
    <w:rsid w:val="00843208"/>
    <w:rsid w:val="00843796"/>
    <w:rsid w:val="0089050A"/>
    <w:rsid w:val="00895229"/>
    <w:rsid w:val="00897C33"/>
    <w:rsid w:val="008A32FA"/>
    <w:rsid w:val="008B1EE6"/>
    <w:rsid w:val="008D1EED"/>
    <w:rsid w:val="008E17C5"/>
    <w:rsid w:val="008E6156"/>
    <w:rsid w:val="008E6D88"/>
    <w:rsid w:val="008E70F1"/>
    <w:rsid w:val="008F0203"/>
    <w:rsid w:val="008F50D4"/>
    <w:rsid w:val="00903D0E"/>
    <w:rsid w:val="00911A62"/>
    <w:rsid w:val="009239AA"/>
    <w:rsid w:val="00924EE6"/>
    <w:rsid w:val="00935ADA"/>
    <w:rsid w:val="009361DB"/>
    <w:rsid w:val="009447E0"/>
    <w:rsid w:val="00946B6C"/>
    <w:rsid w:val="00950EA4"/>
    <w:rsid w:val="00951846"/>
    <w:rsid w:val="00955A71"/>
    <w:rsid w:val="0096108F"/>
    <w:rsid w:val="00971EF9"/>
    <w:rsid w:val="0098457C"/>
    <w:rsid w:val="00993443"/>
    <w:rsid w:val="009A5EFA"/>
    <w:rsid w:val="009A71D1"/>
    <w:rsid w:val="009C13B9"/>
    <w:rsid w:val="009D01A2"/>
    <w:rsid w:val="009D304E"/>
    <w:rsid w:val="009D4649"/>
    <w:rsid w:val="009D5166"/>
    <w:rsid w:val="009D544F"/>
    <w:rsid w:val="009E2D58"/>
    <w:rsid w:val="009E47CC"/>
    <w:rsid w:val="009F5923"/>
    <w:rsid w:val="00A06A70"/>
    <w:rsid w:val="00A11E6A"/>
    <w:rsid w:val="00A15355"/>
    <w:rsid w:val="00A21E51"/>
    <w:rsid w:val="00A30C61"/>
    <w:rsid w:val="00A31E91"/>
    <w:rsid w:val="00A403BB"/>
    <w:rsid w:val="00A674DF"/>
    <w:rsid w:val="00A806E9"/>
    <w:rsid w:val="00A83AA6"/>
    <w:rsid w:val="00AB09D9"/>
    <w:rsid w:val="00AB18EA"/>
    <w:rsid w:val="00AB6137"/>
    <w:rsid w:val="00AD7894"/>
    <w:rsid w:val="00AE14B7"/>
    <w:rsid w:val="00AE1809"/>
    <w:rsid w:val="00AE7DA2"/>
    <w:rsid w:val="00B212C1"/>
    <w:rsid w:val="00B36959"/>
    <w:rsid w:val="00B47230"/>
    <w:rsid w:val="00B80D76"/>
    <w:rsid w:val="00BA2105"/>
    <w:rsid w:val="00BA5BFB"/>
    <w:rsid w:val="00BA7E06"/>
    <w:rsid w:val="00BB43B5"/>
    <w:rsid w:val="00BB6219"/>
    <w:rsid w:val="00BC37EE"/>
    <w:rsid w:val="00BC41C2"/>
    <w:rsid w:val="00BD290F"/>
    <w:rsid w:val="00BE3FDA"/>
    <w:rsid w:val="00BE6FD0"/>
    <w:rsid w:val="00BF18A3"/>
    <w:rsid w:val="00C11ABE"/>
    <w:rsid w:val="00C14CC4"/>
    <w:rsid w:val="00C16976"/>
    <w:rsid w:val="00C33C52"/>
    <w:rsid w:val="00C40D8B"/>
    <w:rsid w:val="00C4364A"/>
    <w:rsid w:val="00C519F4"/>
    <w:rsid w:val="00C6535B"/>
    <w:rsid w:val="00C66EB6"/>
    <w:rsid w:val="00C75D08"/>
    <w:rsid w:val="00C8407A"/>
    <w:rsid w:val="00C8488C"/>
    <w:rsid w:val="00C86E91"/>
    <w:rsid w:val="00C96EF0"/>
    <w:rsid w:val="00C9790E"/>
    <w:rsid w:val="00CA2650"/>
    <w:rsid w:val="00CB1078"/>
    <w:rsid w:val="00CB7856"/>
    <w:rsid w:val="00CC204B"/>
    <w:rsid w:val="00CC2D2A"/>
    <w:rsid w:val="00CC3125"/>
    <w:rsid w:val="00CC6FAF"/>
    <w:rsid w:val="00CD4905"/>
    <w:rsid w:val="00CE3D7F"/>
    <w:rsid w:val="00CE771B"/>
    <w:rsid w:val="00D0347C"/>
    <w:rsid w:val="00D064D2"/>
    <w:rsid w:val="00D07E2E"/>
    <w:rsid w:val="00D24698"/>
    <w:rsid w:val="00D25371"/>
    <w:rsid w:val="00D3028F"/>
    <w:rsid w:val="00D30A25"/>
    <w:rsid w:val="00D443E3"/>
    <w:rsid w:val="00D61F3A"/>
    <w:rsid w:val="00D6383F"/>
    <w:rsid w:val="00D711E1"/>
    <w:rsid w:val="00D77E28"/>
    <w:rsid w:val="00D8001C"/>
    <w:rsid w:val="00D8084F"/>
    <w:rsid w:val="00D85C39"/>
    <w:rsid w:val="00DA20E0"/>
    <w:rsid w:val="00DA5701"/>
    <w:rsid w:val="00DB37BC"/>
    <w:rsid w:val="00DB59D0"/>
    <w:rsid w:val="00DC33D3"/>
    <w:rsid w:val="00DC734C"/>
    <w:rsid w:val="00DE6088"/>
    <w:rsid w:val="00E07184"/>
    <w:rsid w:val="00E14415"/>
    <w:rsid w:val="00E16987"/>
    <w:rsid w:val="00E26329"/>
    <w:rsid w:val="00E348F6"/>
    <w:rsid w:val="00E40B50"/>
    <w:rsid w:val="00E50293"/>
    <w:rsid w:val="00E533E3"/>
    <w:rsid w:val="00E54877"/>
    <w:rsid w:val="00E65FFC"/>
    <w:rsid w:val="00E80951"/>
    <w:rsid w:val="00E841CA"/>
    <w:rsid w:val="00E86168"/>
    <w:rsid w:val="00E86CC6"/>
    <w:rsid w:val="00EA22C3"/>
    <w:rsid w:val="00EB22C6"/>
    <w:rsid w:val="00EB41B8"/>
    <w:rsid w:val="00EB56B3"/>
    <w:rsid w:val="00EB6D32"/>
    <w:rsid w:val="00EC41FF"/>
    <w:rsid w:val="00EC6802"/>
    <w:rsid w:val="00ED5BAF"/>
    <w:rsid w:val="00ED6492"/>
    <w:rsid w:val="00ED782E"/>
    <w:rsid w:val="00EE2821"/>
    <w:rsid w:val="00EE2847"/>
    <w:rsid w:val="00EF0EFA"/>
    <w:rsid w:val="00EF2095"/>
    <w:rsid w:val="00F06866"/>
    <w:rsid w:val="00F1465E"/>
    <w:rsid w:val="00F15956"/>
    <w:rsid w:val="00F22F3C"/>
    <w:rsid w:val="00F24CFC"/>
    <w:rsid w:val="00F3170F"/>
    <w:rsid w:val="00F35B2E"/>
    <w:rsid w:val="00F47A76"/>
    <w:rsid w:val="00F73688"/>
    <w:rsid w:val="00F84D07"/>
    <w:rsid w:val="00F90B41"/>
    <w:rsid w:val="00F91EC0"/>
    <w:rsid w:val="00F92BDF"/>
    <w:rsid w:val="00F953B8"/>
    <w:rsid w:val="00F95546"/>
    <w:rsid w:val="00F976B0"/>
    <w:rsid w:val="00FA6DE7"/>
    <w:rsid w:val="00FB6992"/>
    <w:rsid w:val="00FC0A8E"/>
    <w:rsid w:val="00FC44BD"/>
    <w:rsid w:val="00FE0250"/>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5C3"/>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2024-04-05T17:58:00Z</dcterms:created>
  <dcterms:modified xsi:type="dcterms:W3CDTF">2024-04-05T17:58:00Z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