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4FC8271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D2392">
        <w:t>TAS</w:t>
      </w:r>
      <w:r w:rsidRPr="00935AF4" w:rsidR="00935AF4">
        <w:t xml:space="preserve"> Customer Satisfaction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CD2392" w14:paraId="0E6D4321" w14:textId="77777777">
      <w:r w:rsidRPr="00CD2392">
        <w:t xml:space="preserve">When the IRS suspends a return because of suspected identity theft, it mails a letter to the taxpayer filing the return requesting the taxpayer verify his or her identity with the IRS within 30 days.  However, many taxpayers take significantly longer than the requested 30 days and some taxpayers do not authenticate their identity with the IRS for several months.  Depending on circumstances, taxpayers may verify their identity with the IRS through an internet portal, a telephone assistor, in-person through a Taxpayer Assistance Center, or in some cases by mail.  </w:t>
      </w:r>
    </w:p>
    <w:p w:rsidR="00CD2392" w14:paraId="0B6B65B7" w14:textId="77777777"/>
    <w:p w:rsidR="0032710C" w14:paraId="78F331BC" w14:textId="7D7FF77A">
      <w:r w:rsidRPr="00CD2392">
        <w:t xml:space="preserve">The purpose of conducting this survey is </w:t>
      </w:r>
      <w:r>
        <w:t xml:space="preserve">for the </w:t>
      </w:r>
      <w:r w:rsidRPr="00CD2392">
        <w:t xml:space="preserve">Taxpayer Advocate Service (TAS) to gain additional information directly from taxpayers to better understand why taxpayers often delay in authenticating their identity.  This information will be combined with other IRS operational data to assist with reducing burden to taxpayers during the IRS’s identity authentication process. The quicker that legitimate taxpayers can authenticate their identity, the quicker they will receive their frozen refunds.  Additionally, quicker taxpayer identity authentication reduces the administrative burden on the IRS, which </w:t>
      </w:r>
      <w:r w:rsidRPr="00CD2392">
        <w:t>has to</w:t>
      </w:r>
      <w:r w:rsidRPr="00CD2392">
        <w:t xml:space="preserve"> take additional steps to issue a previously frozen refund when taxpayers significantly postpone the identity authentication process.  </w:t>
      </w:r>
      <w:r w:rsidRPr="00CD2392">
        <w:t>At this time</w:t>
      </w:r>
      <w:r w:rsidRPr="00CD2392">
        <w:t xml:space="preserve">, Wage and Investment Refund Integrity Verification Office </w:t>
      </w:r>
      <w:r>
        <w:t>(</w:t>
      </w:r>
      <w:r w:rsidRPr="00CD2392">
        <w:t>RIVO</w:t>
      </w:r>
      <w:r>
        <w:t>)</w:t>
      </w:r>
      <w:r w:rsidRPr="00CD2392">
        <w:t xml:space="preserve"> does not fully understand why many taxpayers delay in authenticating their identity in order to receive their frozen refund.  It is unclear whether taxpayers delay as a matter of personal preference or whether the IRS process inhibits many taxpayers from authenticating their identity within 30 days.  TAS </w:t>
      </w:r>
      <w:r w:rsidR="005B5651">
        <w:t>and</w:t>
      </w:r>
      <w:r w:rsidR="00736D28">
        <w:t xml:space="preserve"> RIVO </w:t>
      </w:r>
      <w:r w:rsidRPr="00CD2392">
        <w:t>will use the information obtained from this survey in conjunction with other information to identify areas of improvement for the IRS identity authentication process</w:t>
      </w:r>
      <w:r w:rsidR="00A45B67">
        <w:t xml:space="preserve">.  This survey effort was undertaken as a response to a recommendation in the National Taxpayer Advocate’s 2018 Annual Report to Congress (ARC).  </w:t>
      </w:r>
    </w:p>
    <w:p w:rsidR="00CD2392" w14:paraId="7204918A"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78ADA7EA">
      <w:r w:rsidRPr="00CD2392">
        <w:t>This survey is targeted toward individual taxpayers who are most frequently wage earners.</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068B84BF">
      <w:pPr>
        <w:pStyle w:val="ListParagraph"/>
        <w:numPr>
          <w:ilvl w:val="0"/>
          <w:numId w:val="14"/>
        </w:numPr>
      </w:pPr>
      <w:r>
        <w:t>The results are not intended to be disseminated to the public</w:t>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598D3AEF">
      <w:r>
        <w:t xml:space="preserve">Name: </w:t>
      </w:r>
      <w:r w:rsidRPr="00A45B67" w:rsidR="00A45B67">
        <w:rPr>
          <w:rFonts w:ascii="Cochocib Script Latin Pro" w:hAnsi="Cochocib Script Latin Pro"/>
          <w:b/>
          <w:bCs/>
        </w:rPr>
        <w:t>Jeff A. Wilson</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333EE9D0">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259DE950">
      <w:pPr>
        <w:pStyle w:val="ListParagraph"/>
        <w:numPr>
          <w:ilvl w:val="0"/>
          <w:numId w:val="18"/>
        </w:numPr>
      </w:pPr>
      <w:r>
        <w:t>Is</w:t>
      </w:r>
      <w:r w:rsidR="00237B48">
        <w:t xml:space="preserve"> personally identifiable information (PII) collected</w:t>
      </w:r>
      <w:r>
        <w:t xml:space="preserve">?  </w:t>
      </w:r>
      <w:r w:rsidR="009239AA">
        <w:t>[</w:t>
      </w:r>
      <w:r w:rsidR="00CD2392">
        <w:t xml:space="preserve"> </w:t>
      </w:r>
      <w:r w:rsidR="009239AA">
        <w:t>]</w:t>
      </w:r>
      <w:r w:rsidR="009239AA">
        <w:t xml:space="preserve"> Yes  [</w:t>
      </w:r>
      <w:r w:rsidR="00A45B67">
        <w:t>X</w:t>
      </w:r>
      <w:r w:rsidR="0032710C">
        <w:t xml:space="preserve"> </w:t>
      </w:r>
      <w:r w:rsidR="009239AA">
        <w:t xml:space="preserve">]  No </w:t>
      </w:r>
    </w:p>
    <w:p w:rsidR="00C86E91" w:rsidP="00C86E91" w14:paraId="646C64D3" w14:textId="7B156854">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r w:rsidR="009239AA">
        <w:t>[ ]</w:t>
      </w:r>
      <w:r w:rsidR="009239AA">
        <w:t xml:space="preserve"> Yes [</w:t>
      </w:r>
      <w:r w:rsidR="0032710C">
        <w:t xml:space="preserve"> </w:t>
      </w:r>
      <w:r w:rsidR="00CD2392">
        <w:t xml:space="preserve"> </w:t>
      </w:r>
      <w:r w:rsidR="009239AA">
        <w:t>] No</w:t>
      </w:r>
      <w:r>
        <w:t xml:space="preserve">   </w:t>
      </w:r>
    </w:p>
    <w:p w:rsidR="00C86E91" w:rsidP="00C86E91" w14:paraId="2D64E2BF" w14:textId="177304AC">
      <w:pPr>
        <w:pStyle w:val="ListParagraph"/>
        <w:numPr>
          <w:ilvl w:val="0"/>
          <w:numId w:val="18"/>
        </w:numPr>
      </w:pPr>
      <w:r w:rsidRPr="008D1EED">
        <w:t>If Applicable, has a System or Records Notice</w:t>
      </w:r>
      <w:r>
        <w:t xml:space="preserve"> been published?  </w:t>
      </w:r>
      <w:r>
        <w:t>[  ]</w:t>
      </w:r>
      <w:r>
        <w:t xml:space="preserve"> Yes  [ </w:t>
      </w:r>
      <w:r w:rsidR="00CD2392">
        <w:t xml:space="preserve"> </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CD2392" w:rsidP="00CD2392" w14:paraId="29FBB3E4" w14:textId="3994A97A">
      <w:r>
        <w:t xml:space="preserve">Our method of collection will be online and written survey. Based on a sample of </w:t>
      </w:r>
      <w:r w:rsidR="00BD622E">
        <w:t>10</w:t>
      </w:r>
      <w:r>
        <w:t xml:space="preserve">,000 potential respondents and a projected response rate of 10 percent, we expect to receive approximately </w:t>
      </w:r>
      <w:r w:rsidR="00BD622E">
        <w:t>1,0</w:t>
      </w:r>
      <w:r>
        <w:t>00 respondents with 9,</w:t>
      </w:r>
      <w:r w:rsidR="00BD622E">
        <w:t>0</w:t>
      </w:r>
      <w:r>
        <w:t xml:space="preserve">00 non-participants. The contact time for non-respondents is based on one minute to read the pre-notification letter resulting in 367 hours. These hours are computed as follows: 22,000 x 1 minute = 366.67 burden hours. For respondents, the time to complete the survey is ten minutes.  The total hours for respondents are 367 hours computed as 2,200 respondents x 10 minutes.  The total burden hours for the survey are (367 + 367) = 734 hours.  </w:t>
      </w:r>
    </w:p>
    <w:p w:rsidR="00CD2392" w:rsidP="00CD2392" w14:paraId="3831067F" w14:textId="77777777"/>
    <w:p w:rsidR="008D1EED" w:rsidP="00CD2392" w14:paraId="5F9B0F94" w14:textId="7E9F6FF2">
      <w:r>
        <w:t>As required by the printing regulations, the survey correspondence to be mailed to the selected recipients will be printed by a GPO printer company that is managed by the IRS Media and Publications unit.</w:t>
      </w:r>
      <w:r w:rsidR="000109A5">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3685"/>
        <w:gridCol w:w="1620"/>
        <w:gridCol w:w="1710"/>
        <w:gridCol w:w="2646"/>
      </w:tblGrid>
      <w:tr w14:paraId="62C3273E" w14:textId="77777777" w:rsidTr="0032710C">
        <w:tblPrEx>
          <w:tblW w:w="9661" w:type="dxa"/>
          <w:tblLayout w:type="fixed"/>
          <w:tblLook w:val="01E0"/>
        </w:tblPrEx>
        <w:trPr>
          <w:trHeight w:val="274"/>
        </w:trPr>
        <w:tc>
          <w:tcPr>
            <w:tcW w:w="3685" w:type="dxa"/>
          </w:tcPr>
          <w:p w:rsidR="006832D9" w:rsidRPr="00F6240A" w:rsidP="00D56375" w14:paraId="01AE1745" w14:textId="00D573C3">
            <w:pPr>
              <w:jc w:val="center"/>
              <w:rPr>
                <w:b/>
              </w:rPr>
            </w:pPr>
            <w:r>
              <w:rPr>
                <w:b/>
              </w:rPr>
              <w:t>Category of Respondent</w:t>
            </w:r>
          </w:p>
        </w:tc>
        <w:tc>
          <w:tcPr>
            <w:tcW w:w="1620" w:type="dxa"/>
          </w:tcPr>
          <w:p w:rsidR="006832D9" w:rsidRPr="00F6240A" w:rsidP="00D56375" w14:paraId="0EBF713C" w14:textId="77777777">
            <w:pPr>
              <w:jc w:val="center"/>
              <w:rPr>
                <w:b/>
              </w:rPr>
            </w:pPr>
            <w:r w:rsidRPr="00F6240A">
              <w:rPr>
                <w:b/>
              </w:rPr>
              <w:t>N</w:t>
            </w:r>
            <w:r w:rsidR="009F5923">
              <w:rPr>
                <w:b/>
              </w:rPr>
              <w:t>o.</w:t>
            </w:r>
            <w:r w:rsidRPr="00F6240A">
              <w:rPr>
                <w:b/>
              </w:rPr>
              <w:t xml:space="preserve"> of Respondents</w:t>
            </w:r>
          </w:p>
        </w:tc>
        <w:tc>
          <w:tcPr>
            <w:tcW w:w="1710" w:type="dxa"/>
          </w:tcPr>
          <w:p w:rsidR="006832D9" w:rsidRPr="00F6240A" w:rsidP="00D56375" w14:paraId="6167C2FE" w14:textId="77777777">
            <w:pPr>
              <w:jc w:val="center"/>
              <w:rPr>
                <w:b/>
              </w:rPr>
            </w:pPr>
            <w:r w:rsidRPr="00F6240A">
              <w:rPr>
                <w:b/>
              </w:rPr>
              <w:t>Participation Time</w:t>
            </w:r>
          </w:p>
        </w:tc>
        <w:tc>
          <w:tcPr>
            <w:tcW w:w="2646" w:type="dxa"/>
          </w:tcPr>
          <w:p w:rsidR="006832D9" w:rsidRPr="00F6240A" w:rsidP="00D56375" w14:paraId="64B083F4" w14:textId="77777777">
            <w:pPr>
              <w:jc w:val="center"/>
              <w:rPr>
                <w:b/>
              </w:rPr>
            </w:pPr>
            <w:r w:rsidRPr="00F6240A">
              <w:rPr>
                <w:b/>
              </w:rPr>
              <w:t>Burden</w:t>
            </w:r>
          </w:p>
        </w:tc>
      </w:tr>
      <w:tr w14:paraId="3531AA7C" w14:textId="77777777" w:rsidTr="00227ACF">
        <w:tblPrEx>
          <w:tblW w:w="9661" w:type="dxa"/>
          <w:tblLayout w:type="fixed"/>
          <w:tblLook w:val="01E0"/>
        </w:tblPrEx>
        <w:trPr>
          <w:trHeight w:val="274"/>
        </w:trPr>
        <w:tc>
          <w:tcPr>
            <w:tcW w:w="3685" w:type="dxa"/>
          </w:tcPr>
          <w:p w:rsidR="00CA3C92" w:rsidRPr="00B857ED" w:rsidP="00CA3C92" w14:paraId="57CAB54A" w14:textId="77777777">
            <w:pPr>
              <w:rPr>
                <w:rFonts w:ascii="Arial" w:hAnsi="Arial" w:cs="Arial"/>
              </w:rPr>
            </w:pPr>
          </w:p>
          <w:p w:rsidR="00CA3C92" w:rsidP="00CA3C92" w14:paraId="73C55C2C" w14:textId="1699AF41">
            <w:r w:rsidRPr="00B857ED">
              <w:rPr>
                <w:rFonts w:ascii="Arial" w:hAnsi="Arial" w:cs="Arial"/>
              </w:rPr>
              <w:t>Non-</w:t>
            </w:r>
            <w:r>
              <w:rPr>
                <w:rFonts w:ascii="Arial" w:hAnsi="Arial" w:cs="Arial"/>
              </w:rPr>
              <w:t>respondent</w:t>
            </w:r>
          </w:p>
        </w:tc>
        <w:tc>
          <w:tcPr>
            <w:tcW w:w="1620" w:type="dxa"/>
          </w:tcPr>
          <w:p w:rsidR="00CA3C92" w:rsidRPr="00B857ED" w:rsidP="003A1D86" w14:paraId="0BAA05BD" w14:textId="77777777">
            <w:pPr>
              <w:jc w:val="right"/>
              <w:rPr>
                <w:rFonts w:ascii="Arial" w:hAnsi="Arial" w:cs="Arial"/>
              </w:rPr>
            </w:pPr>
          </w:p>
          <w:p w:rsidR="00CA3C92" w:rsidP="003A1D86" w14:paraId="756DFE57" w14:textId="3D9562D0">
            <w:pPr>
              <w:jc w:val="right"/>
            </w:pPr>
            <w:r>
              <w:rPr>
                <w:rFonts w:ascii="Arial" w:hAnsi="Arial" w:cs="Arial"/>
              </w:rPr>
              <w:t>9,</w:t>
            </w:r>
            <w:r w:rsidR="00BD622E">
              <w:rPr>
                <w:rFonts w:ascii="Arial" w:hAnsi="Arial" w:cs="Arial"/>
              </w:rPr>
              <w:t>0</w:t>
            </w:r>
            <w:r>
              <w:rPr>
                <w:rFonts w:ascii="Arial" w:hAnsi="Arial" w:cs="Arial"/>
              </w:rPr>
              <w:t>00</w:t>
            </w:r>
          </w:p>
        </w:tc>
        <w:tc>
          <w:tcPr>
            <w:tcW w:w="1710" w:type="dxa"/>
          </w:tcPr>
          <w:p w:rsidR="00CA3C92" w:rsidRPr="00B857ED" w:rsidP="00ED3120" w14:paraId="17B8B95D" w14:textId="77777777">
            <w:pPr>
              <w:jc w:val="center"/>
              <w:rPr>
                <w:rFonts w:ascii="Arial" w:hAnsi="Arial" w:cs="Arial"/>
              </w:rPr>
            </w:pPr>
          </w:p>
          <w:p w:rsidR="00CA3C92" w:rsidP="00ED3120" w14:paraId="17C34146" w14:textId="24ABEE4B">
            <w:pPr>
              <w:jc w:val="center"/>
            </w:pPr>
            <w:r w:rsidRPr="00B857ED">
              <w:rPr>
                <w:rFonts w:ascii="Arial" w:hAnsi="Arial" w:cs="Arial"/>
              </w:rPr>
              <w:t>1 minute or less</w:t>
            </w:r>
          </w:p>
        </w:tc>
        <w:tc>
          <w:tcPr>
            <w:tcW w:w="2646" w:type="dxa"/>
            <w:vAlign w:val="bottom"/>
          </w:tcPr>
          <w:p w:rsidR="00CA3C92" w:rsidP="00CA3C92" w14:paraId="38ABE309" w14:textId="1DE176F3">
            <w:pPr>
              <w:jc w:val="center"/>
            </w:pPr>
            <w:r>
              <w:t>1</w:t>
            </w:r>
            <w:r w:rsidR="00BD622E">
              <w:t>50</w:t>
            </w:r>
          </w:p>
        </w:tc>
      </w:tr>
      <w:tr w14:paraId="3A4A4F76" w14:textId="77777777" w:rsidTr="00227ACF">
        <w:tblPrEx>
          <w:tblW w:w="9661" w:type="dxa"/>
          <w:tblLayout w:type="fixed"/>
          <w:tblLook w:val="01E0"/>
        </w:tblPrEx>
        <w:trPr>
          <w:trHeight w:val="274"/>
        </w:trPr>
        <w:tc>
          <w:tcPr>
            <w:tcW w:w="3685" w:type="dxa"/>
          </w:tcPr>
          <w:p w:rsidR="00CA3C92" w:rsidRPr="00B857ED" w:rsidP="00CA3C92" w14:paraId="7B59E898" w14:textId="77777777">
            <w:pPr>
              <w:rPr>
                <w:rFonts w:ascii="Arial" w:hAnsi="Arial" w:cs="Arial"/>
              </w:rPr>
            </w:pPr>
          </w:p>
          <w:p w:rsidR="00CA3C92" w:rsidP="00CA3C92" w14:paraId="4D662532" w14:textId="433D08C1">
            <w:r w:rsidRPr="00B857ED">
              <w:rPr>
                <w:rFonts w:ascii="Arial" w:hAnsi="Arial" w:cs="Arial"/>
              </w:rPr>
              <w:t xml:space="preserve">Expected </w:t>
            </w:r>
            <w:r>
              <w:rPr>
                <w:rFonts w:ascii="Arial" w:hAnsi="Arial" w:cs="Arial"/>
              </w:rPr>
              <w:t>respondent</w:t>
            </w:r>
          </w:p>
        </w:tc>
        <w:tc>
          <w:tcPr>
            <w:tcW w:w="1620" w:type="dxa"/>
          </w:tcPr>
          <w:p w:rsidR="00CA3C92" w:rsidP="003A1D86" w14:paraId="62ADDA4F" w14:textId="4148C8F3">
            <w:pPr>
              <w:jc w:val="right"/>
            </w:pPr>
            <w:r>
              <w:t>1,</w:t>
            </w:r>
            <w:r w:rsidR="00BD622E">
              <w:t>0</w:t>
            </w:r>
            <w:r>
              <w:t>00</w:t>
            </w:r>
          </w:p>
        </w:tc>
        <w:tc>
          <w:tcPr>
            <w:tcW w:w="1710" w:type="dxa"/>
          </w:tcPr>
          <w:p w:rsidR="00CA3C92" w:rsidRPr="00B857ED" w:rsidP="00ED3120" w14:paraId="3D55D7ED" w14:textId="77777777">
            <w:pPr>
              <w:jc w:val="center"/>
              <w:rPr>
                <w:rFonts w:ascii="Arial" w:hAnsi="Arial" w:cs="Arial"/>
              </w:rPr>
            </w:pPr>
          </w:p>
          <w:p w:rsidR="00CA3C92" w:rsidP="00ED3120" w14:paraId="429CFF29" w14:textId="21496BC0">
            <w:pPr>
              <w:jc w:val="center"/>
            </w:pPr>
            <w:r w:rsidRPr="00B857ED">
              <w:rPr>
                <w:rFonts w:ascii="Arial" w:hAnsi="Arial" w:cs="Arial"/>
              </w:rPr>
              <w:t>10 minutes</w:t>
            </w:r>
          </w:p>
        </w:tc>
        <w:tc>
          <w:tcPr>
            <w:tcW w:w="2646" w:type="dxa"/>
            <w:vAlign w:val="bottom"/>
          </w:tcPr>
          <w:p w:rsidR="00CA3C92" w:rsidP="00CA3C92" w14:paraId="1BF5A868" w14:textId="0F1A8CD3">
            <w:pPr>
              <w:jc w:val="center"/>
            </w:pPr>
            <w:r>
              <w:rPr>
                <w:rFonts w:ascii="Arial" w:hAnsi="Arial" w:cs="Arial"/>
              </w:rPr>
              <w:t>1</w:t>
            </w:r>
            <w:r w:rsidR="00BD622E">
              <w:rPr>
                <w:rFonts w:ascii="Arial" w:hAnsi="Arial" w:cs="Arial"/>
              </w:rPr>
              <w:t>67</w:t>
            </w:r>
          </w:p>
        </w:tc>
      </w:tr>
      <w:tr w14:paraId="60B27E1B" w14:textId="77777777" w:rsidTr="00227ACF">
        <w:tblPrEx>
          <w:tblW w:w="9661" w:type="dxa"/>
          <w:tblLayout w:type="fixed"/>
          <w:tblLook w:val="01E0"/>
        </w:tblPrEx>
        <w:trPr>
          <w:trHeight w:val="274"/>
        </w:trPr>
        <w:tc>
          <w:tcPr>
            <w:tcW w:w="3685" w:type="dxa"/>
          </w:tcPr>
          <w:p w:rsidR="00CA3C92" w:rsidRPr="00B857ED" w:rsidP="00CA3C92" w14:paraId="0C70F49B" w14:textId="77777777">
            <w:pPr>
              <w:rPr>
                <w:rFonts w:ascii="Arial" w:hAnsi="Arial" w:cs="Arial"/>
                <w:b/>
              </w:rPr>
            </w:pPr>
          </w:p>
          <w:p w:rsidR="00CA3C92" w:rsidP="00CA3C92" w14:paraId="7F53847C" w14:textId="646489B1">
            <w:r w:rsidRPr="00B857ED">
              <w:rPr>
                <w:rFonts w:ascii="Arial" w:hAnsi="Arial" w:cs="Arial"/>
                <w:b/>
              </w:rPr>
              <w:t>Totals</w:t>
            </w:r>
          </w:p>
        </w:tc>
        <w:tc>
          <w:tcPr>
            <w:tcW w:w="1620" w:type="dxa"/>
          </w:tcPr>
          <w:p w:rsidR="00CA3C92" w:rsidRPr="00B857ED" w:rsidP="00CA3C92" w14:paraId="00032BAA" w14:textId="77777777">
            <w:pPr>
              <w:rPr>
                <w:rFonts w:ascii="Arial" w:hAnsi="Arial" w:cs="Arial"/>
                <w:b/>
              </w:rPr>
            </w:pPr>
          </w:p>
          <w:p w:rsidR="00CA3C92" w:rsidP="0083036F" w14:paraId="420E8AD3" w14:textId="7F9486D2">
            <w:pPr>
              <w:jc w:val="right"/>
            </w:pPr>
            <w:r>
              <w:rPr>
                <w:rFonts w:ascii="Arial" w:hAnsi="Arial" w:cs="Arial"/>
                <w:b/>
              </w:rPr>
              <w:t>1</w:t>
            </w:r>
            <w:r w:rsidR="00BD622E">
              <w:rPr>
                <w:rFonts w:ascii="Arial" w:hAnsi="Arial" w:cs="Arial"/>
                <w:b/>
              </w:rPr>
              <w:t>0</w:t>
            </w:r>
            <w:r>
              <w:rPr>
                <w:rFonts w:ascii="Arial" w:hAnsi="Arial" w:cs="Arial"/>
                <w:b/>
              </w:rPr>
              <w:t>,000</w:t>
            </w:r>
          </w:p>
        </w:tc>
        <w:tc>
          <w:tcPr>
            <w:tcW w:w="1710" w:type="dxa"/>
          </w:tcPr>
          <w:p w:rsidR="00CA3C92" w:rsidRPr="00B857ED" w:rsidP="00CA3C92" w14:paraId="0E8246A2" w14:textId="77777777">
            <w:pPr>
              <w:rPr>
                <w:rFonts w:ascii="Arial" w:hAnsi="Arial" w:cs="Arial"/>
                <w:b/>
              </w:rPr>
            </w:pPr>
          </w:p>
          <w:p w:rsidR="00CA3C92" w:rsidP="00CA3C92" w14:paraId="42F08B35" w14:textId="77777777"/>
        </w:tc>
        <w:tc>
          <w:tcPr>
            <w:tcW w:w="2646" w:type="dxa"/>
            <w:vAlign w:val="bottom"/>
          </w:tcPr>
          <w:p w:rsidR="00CA3C92" w:rsidRPr="00B857ED" w:rsidP="00CA3C92" w14:paraId="4012A655" w14:textId="77777777">
            <w:pPr>
              <w:tabs>
                <w:tab w:val="left" w:pos="-1080"/>
                <w:tab w:val="left" w:pos="-720"/>
                <w:tab w:val="left" w:pos="0"/>
                <w:tab w:val="left" w:pos="450"/>
                <w:tab w:val="left" w:pos="720"/>
                <w:tab w:val="left" w:pos="2160"/>
              </w:tabs>
              <w:jc w:val="center"/>
              <w:rPr>
                <w:rFonts w:ascii="Arial" w:hAnsi="Arial" w:cs="Arial"/>
                <w:b/>
              </w:rPr>
            </w:pPr>
          </w:p>
          <w:p w:rsidR="00CA3C92" w:rsidRPr="007771F6" w:rsidP="00CA3C92" w14:paraId="21193FD4" w14:textId="391876C4">
            <w:pPr>
              <w:jc w:val="center"/>
              <w:rPr>
                <w:b/>
                <w:bCs/>
              </w:rPr>
            </w:pPr>
            <w:r>
              <w:rPr>
                <w:rFonts w:ascii="Arial" w:hAnsi="Arial" w:cs="Arial"/>
                <w:b/>
              </w:rPr>
              <w:t>3</w:t>
            </w:r>
            <w:r w:rsidR="00BD622E">
              <w:rPr>
                <w:rFonts w:ascii="Arial" w:hAnsi="Arial" w:cs="Arial"/>
                <w:b/>
              </w:rPr>
              <w:t>17</w:t>
            </w:r>
          </w:p>
        </w:tc>
      </w:tr>
    </w:tbl>
    <w:p w:rsidR="00E533E3" w:rsidRPr="00B54267" w:rsidP="00E533E3" w14:paraId="37503D02" w14:textId="7C535A32">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32710C">
        <w:rPr>
          <w:rFonts w:asciiTheme="minorHAnsi" w:hAnsiTheme="minorHAnsi" w:cstheme="minorHAnsi"/>
          <w:b/>
          <w:sz w:val="22"/>
          <w:szCs w:val="22"/>
        </w:rPr>
        <w:t>1</w:t>
      </w:r>
      <w:r w:rsidR="00CA3C92">
        <w:rPr>
          <w:rFonts w:asciiTheme="minorHAnsi" w:hAnsiTheme="minorHAnsi" w:cstheme="minorHAnsi"/>
          <w:b/>
          <w:sz w:val="22"/>
          <w:szCs w:val="22"/>
        </w:rPr>
        <w:t>0</w:t>
      </w:r>
      <w:r w:rsidR="0032710C">
        <w:rPr>
          <w:rFonts w:asciiTheme="minorHAnsi" w:hAnsiTheme="minorHAnsi" w:cstheme="minorHAnsi"/>
          <w:b/>
          <w:sz w:val="22"/>
          <w:szCs w:val="22"/>
        </w:rPr>
        <w:t>%</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4DC01786">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006928C1">
        <w:rPr>
          <w:rFonts w:asciiTheme="minorHAnsi" w:hAnsiTheme="minorHAnsi" w:cstheme="minorHAnsi"/>
          <w:bCs/>
          <w:sz w:val="22"/>
          <w:szCs w:val="22"/>
        </w:rPr>
        <w:t>3</w:t>
      </w:r>
      <w:r w:rsidR="00BD622E">
        <w:rPr>
          <w:rFonts w:asciiTheme="minorHAnsi" w:hAnsiTheme="minorHAnsi" w:cstheme="minorHAnsi"/>
          <w:bCs/>
          <w:sz w:val="22"/>
          <w:szCs w:val="22"/>
        </w:rPr>
        <w:t>17</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4955EF98">
      <w:pPr>
        <w:rPr>
          <w:rFonts w:asciiTheme="minorHAnsi" w:hAnsiTheme="minorHAnsi" w:cstheme="minorHAnsi"/>
        </w:rPr>
      </w:pPr>
      <w:r w:rsidRPr="00CA3C92">
        <w:t>The anticipated cost to the Federal Government the survey documents is approximately $</w:t>
      </w:r>
      <w:r w:rsidR="00EA7C2D">
        <w:t>3</w:t>
      </w:r>
      <w:r w:rsidR="00D56375">
        <w:t>9,787</w:t>
      </w:r>
      <w:r w:rsidR="00EA7C2D">
        <w:t>.</w:t>
      </w:r>
      <w:r w:rsidRPr="00CA3C92">
        <w:t>.</w:t>
      </w:r>
      <w:r w:rsidRPr="00CA3C92">
        <w:t xml:space="preserve"> These printing and material costs are approximately $</w:t>
      </w:r>
      <w:r w:rsidR="00D56375">
        <w:t>35</w:t>
      </w:r>
      <w:r w:rsidRPr="00CA3C92">
        <w:t>,000.  TAS estimates that it will spend about 75 hours analyzing and summarizing the data.  The fiscal year 2023 GS-15 Step 5 hourly rate is $63.82, which produces an estimated staff cost of $4,787</w:t>
      </w:r>
      <w:r>
        <w:t>.</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385CA45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634B3">
        <w:t>X</w:t>
      </w:r>
      <w:r>
        <w:t xml:space="preserve"> ]</w:t>
      </w:r>
      <w:r>
        <w:t xml:space="preserve"> Yes</w:t>
      </w:r>
      <w:r>
        <w:tab/>
        <w:t>[</w:t>
      </w:r>
      <w:r w:rsidR="00D634B3">
        <w:t xml:space="preserve"> </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A403BB" w:rsidP="00A403BB" w14:paraId="1217901C" w14:textId="247B28CE">
      <w:r w:rsidRPr="00CA3C92">
        <w:t xml:space="preserve">Survey participants will be randomly selected based on a stratification of the number of days it took the taxpayer to authenticate his or her identity in 2023. </w:t>
      </w:r>
      <w:r w:rsidR="00FB63C1">
        <w:t xml:space="preserve">We are sampling at a higher rate from taxpayers who </w:t>
      </w:r>
      <w:r w:rsidR="00894532">
        <w:t xml:space="preserve">took </w:t>
      </w:r>
      <w:r w:rsidR="00FB63C1">
        <w:t>longer than 30 days to authenticate because</w:t>
      </w:r>
      <w:r w:rsidR="00AC00A3">
        <w:t xml:space="preserve"> we really want to understand reasons for delays to determine if we can facilitate quicker responses to these letters.  </w:t>
      </w:r>
      <w:r w:rsidR="006A1AD5">
        <w:t xml:space="preserve">However, we intend to compare the responses from these strata to the </w:t>
      </w:r>
      <w:r w:rsidR="00672BED">
        <w:t>strata</w:t>
      </w:r>
      <w:r w:rsidR="006A1AD5">
        <w:t xml:space="preserve"> of those taxpayers responding within 30 days to determine any significant difference</w:t>
      </w:r>
      <w:r w:rsidR="00672BED">
        <w:t>s between</w:t>
      </w:r>
      <w:r w:rsidR="006A1AD5">
        <w:t xml:space="preserve"> their respective responses.  </w:t>
      </w:r>
      <w:r w:rsidR="000C224C">
        <w:t>The population select</w:t>
      </w:r>
      <w:r w:rsidR="000721EE">
        <w:t>ed</w:t>
      </w:r>
      <w:r w:rsidR="000C224C">
        <w:t xml:space="preserve"> from will be approximately one million taxpayers </w:t>
      </w:r>
      <w:r w:rsidR="000721EE">
        <w:t xml:space="preserve">identified by RICS </w:t>
      </w:r>
      <w:r w:rsidR="000C224C">
        <w:t>who received</w:t>
      </w:r>
      <w:r w:rsidR="008A7AC4">
        <w:t xml:space="preserve"> </w:t>
      </w:r>
      <w:r w:rsidR="00CA4AD3">
        <w:t xml:space="preserve">and responded to </w:t>
      </w:r>
      <w:r w:rsidR="008A7AC4">
        <w:t xml:space="preserve">Letter 4883C or </w:t>
      </w:r>
      <w:r w:rsidR="00CA4AD3">
        <w:t>L</w:t>
      </w:r>
      <w:r w:rsidR="008A7AC4">
        <w:t xml:space="preserve">etter 5701C from the IRS </w:t>
      </w:r>
      <w:r w:rsidR="00CA4AD3">
        <w:t xml:space="preserve">in 2023 </w:t>
      </w:r>
      <w:r w:rsidR="008A7AC4">
        <w:t>requesting that</w:t>
      </w:r>
      <w:r w:rsidR="00CA4AD3">
        <w:t xml:space="preserve"> the taxpayer authenticate his or her identity</w:t>
      </w:r>
      <w:r w:rsidR="00926088">
        <w:t xml:space="preserve">.  </w:t>
      </w:r>
      <w:r w:rsidR="00463F9E">
        <w:t xml:space="preserve">Instances of confirmed identify theft have been removed from the population to be sampled from.  </w:t>
      </w:r>
      <w:r w:rsidR="00926088">
        <w:t xml:space="preserve">Taxpayers are requested to authenticate their identity within 30 of receipt of these letters, but authentication often takes place well after the 30 days.  </w:t>
      </w:r>
      <w:r w:rsidRPr="00CA3C92">
        <w:t>Stratifications will include taxpayers who authenticated within 30 days (a baseline group to compare to those taxpayers who took longer than 30 days); taxpayers who authenticated their identity between 31 and 180 days after being requested to do; and taxpayers who took longer than 180 days to authenticate their identity</w:t>
      </w:r>
      <w:r w:rsidRPr="00D634B3" w:rsidR="00D634B3">
        <w:t>.</w:t>
      </w:r>
      <w:r w:rsidR="00296B57">
        <w:t xml:space="preserve">  Specifically, we will select </w:t>
      </w:r>
      <w:r w:rsidR="00C34A2B">
        <w:t xml:space="preserve">a sample </w:t>
      </w:r>
      <w:r w:rsidR="0031717D">
        <w:t xml:space="preserve">3,000 from </w:t>
      </w:r>
      <w:r w:rsidR="00645A7C">
        <w:t xml:space="preserve">the approximately 733,000 taxpayers who authenticated their identity with the IRS within 30 days; a sample of 4,000 from the approximately </w:t>
      </w:r>
      <w:r w:rsidR="008C7D3C">
        <w:t>202,000 thousan</w:t>
      </w:r>
      <w:r w:rsidR="006811B0">
        <w:t xml:space="preserve">d </w:t>
      </w:r>
      <w:r w:rsidR="008C7D3C">
        <w:t>taxpayers who took between 31 and 180</w:t>
      </w:r>
      <w:r w:rsidR="00846BF1">
        <w:t xml:space="preserve"> days to authenticate their identity; and </w:t>
      </w:r>
      <w:r w:rsidR="00F840EE">
        <w:t xml:space="preserve">a sample of </w:t>
      </w:r>
      <w:r w:rsidR="00846BF1">
        <w:t xml:space="preserve">3,000 of the approximately </w:t>
      </w:r>
      <w:r w:rsidR="00173DFF">
        <w:t>5</w:t>
      </w:r>
      <w:r w:rsidR="00846BF1">
        <w:t>,000 taxpayers who took longer than 180 days to authenticate their identity</w:t>
      </w:r>
      <w:r w:rsidR="006811B0">
        <w:t xml:space="preserve"> (we expect a very low response rate from this group</w:t>
      </w:r>
      <w:r w:rsidR="00173DFF">
        <w:t xml:space="preserve">).  </w:t>
      </w:r>
      <w:r w:rsidR="0029779E">
        <w:t>The sample will be random</w:t>
      </w:r>
      <w:r w:rsidR="009A4DD3">
        <w:t>l</w:t>
      </w:r>
      <w:r w:rsidR="0029779E">
        <w:t>y selected from the population within each</w:t>
      </w:r>
      <w:r w:rsidR="009A4DD3">
        <w:t xml:space="preserve"> of the three strata</w:t>
      </w:r>
      <w:r w:rsidR="0008265D">
        <w:t>, by using a random number generator algorithm</w:t>
      </w:r>
      <w:r w:rsidR="009A4DD3">
        <w:t>.</w:t>
      </w:r>
      <w:r w:rsidR="00846BF1">
        <w:t xml:space="preserve">  </w:t>
      </w:r>
    </w:p>
    <w:p w:rsidR="00CA3C92" w:rsidP="00A403BB" w14:paraId="08548BEC" w14:textId="2E88942F"/>
    <w:p w:rsidR="00CA3C92" w:rsidP="00A403BB" w14:paraId="48A9926F" w14:textId="26E67AFC">
      <w:r w:rsidRPr="00CA3C92">
        <w:t>TAS will administer the survey by mail.  Respondents will have the option to complete an online survey questionnaire using a QR code or by entering the URL and then a unique password.  Respondents will also have the option to complete a paper survey questionnaire and return it to TAS by a postage-paid envelope.  The online responses will be combined from the results of the paper survey.  The paper survey questionnaires will be scanned and tabulated using survey software.  The results will be compiled by TAS Research, and a final report will be prepared</w:t>
      </w:r>
      <w:r w:rsidR="000D6816">
        <w:t xml:space="preserve"> for internal discussion between TAS and RIVO.</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229EA044">
      <w:pPr>
        <w:ind w:left="720"/>
      </w:pPr>
      <w:r>
        <w:t xml:space="preserve">[ </w:t>
      </w:r>
      <w:r w:rsidR="00CA3C92">
        <w:t>X</w:t>
      </w:r>
      <w:r>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F24CFC" w:rsidP="00F24CFC" w14:paraId="55E1C609" w14:textId="76FCA69C">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CA3C92" w14:paraId="63B2E3EA" w14:textId="1679A012">
      <w:pPr>
        <w:rPr>
          <w:b/>
        </w:rPr>
      </w:pPr>
      <w:r>
        <w:rPr>
          <w:b/>
        </w:rPr>
        <w:br w:type="page"/>
      </w:r>
    </w:p>
    <w:p w:rsidR="004C0CB0" w:rsidP="0024521E" w14:paraId="52FE80D8" w14:textId="77777777">
      <w:pPr>
        <w:rPr>
          <w:b/>
        </w:rPr>
      </w:pPr>
    </w:p>
    <w:p w:rsidR="004C0CB0" w:rsidP="0024521E" w14:paraId="51C66C30" w14:textId="44315404">
      <w:pPr>
        <w:rPr>
          <w:b/>
        </w:rPr>
      </w:pPr>
    </w:p>
    <w:p w:rsidR="00F24CFC" w:rsidP="00CA3C92" w14:paraId="6600BA2C" w14:textId="77777777">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5E714A" w:rsidP="00CA3C92" w14:paraId="3F9DC0A8" w14:textId="08A1C20D">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chocib Script Latin Pro">
    <w:altName w:val="Cochocib Script Latin Pro"/>
    <w:charset w:val="00"/>
    <w:family w:val="auto"/>
    <w:pitch w:val="variable"/>
    <w:sig w:usb0="A00000A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4D88"/>
    <w:rsid w:val="00067329"/>
    <w:rsid w:val="00067D8D"/>
    <w:rsid w:val="000721EE"/>
    <w:rsid w:val="0008265D"/>
    <w:rsid w:val="00095C82"/>
    <w:rsid w:val="00095D81"/>
    <w:rsid w:val="000A283E"/>
    <w:rsid w:val="000B2838"/>
    <w:rsid w:val="000C224C"/>
    <w:rsid w:val="000C742F"/>
    <w:rsid w:val="000D44CA"/>
    <w:rsid w:val="000D6816"/>
    <w:rsid w:val="000E1684"/>
    <w:rsid w:val="000E200B"/>
    <w:rsid w:val="000E4491"/>
    <w:rsid w:val="000F22C6"/>
    <w:rsid w:val="000F68BE"/>
    <w:rsid w:val="000F6F5A"/>
    <w:rsid w:val="0011359D"/>
    <w:rsid w:val="001251AB"/>
    <w:rsid w:val="0012605F"/>
    <w:rsid w:val="0013420E"/>
    <w:rsid w:val="00137D6A"/>
    <w:rsid w:val="0014541B"/>
    <w:rsid w:val="001632FA"/>
    <w:rsid w:val="00173DFF"/>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96B57"/>
    <w:rsid w:val="0029779E"/>
    <w:rsid w:val="002A52ED"/>
    <w:rsid w:val="002A7029"/>
    <w:rsid w:val="002B0906"/>
    <w:rsid w:val="002B3C95"/>
    <w:rsid w:val="002D0B92"/>
    <w:rsid w:val="002E0375"/>
    <w:rsid w:val="00313A13"/>
    <w:rsid w:val="0031717D"/>
    <w:rsid w:val="0032710C"/>
    <w:rsid w:val="0034363F"/>
    <w:rsid w:val="003A1D86"/>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63F9E"/>
    <w:rsid w:val="00473D0C"/>
    <w:rsid w:val="00481477"/>
    <w:rsid w:val="004876EC"/>
    <w:rsid w:val="004B326E"/>
    <w:rsid w:val="004C0CB0"/>
    <w:rsid w:val="004D6E14"/>
    <w:rsid w:val="00500547"/>
    <w:rsid w:val="005009B0"/>
    <w:rsid w:val="00501154"/>
    <w:rsid w:val="00510757"/>
    <w:rsid w:val="00511914"/>
    <w:rsid w:val="005271C9"/>
    <w:rsid w:val="005430D8"/>
    <w:rsid w:val="00560845"/>
    <w:rsid w:val="00564FA9"/>
    <w:rsid w:val="005674FD"/>
    <w:rsid w:val="0057360A"/>
    <w:rsid w:val="0058651D"/>
    <w:rsid w:val="00591794"/>
    <w:rsid w:val="0059484D"/>
    <w:rsid w:val="005A0728"/>
    <w:rsid w:val="005A1006"/>
    <w:rsid w:val="005A5FCB"/>
    <w:rsid w:val="005B5651"/>
    <w:rsid w:val="005C0235"/>
    <w:rsid w:val="005C1C6D"/>
    <w:rsid w:val="005C6063"/>
    <w:rsid w:val="005E2EF6"/>
    <w:rsid w:val="005E3C64"/>
    <w:rsid w:val="005E714A"/>
    <w:rsid w:val="005F0F68"/>
    <w:rsid w:val="005F1DD2"/>
    <w:rsid w:val="006101AE"/>
    <w:rsid w:val="00613A8C"/>
    <w:rsid w:val="006140A0"/>
    <w:rsid w:val="00636621"/>
    <w:rsid w:val="006410EE"/>
    <w:rsid w:val="00642B49"/>
    <w:rsid w:val="00645A7C"/>
    <w:rsid w:val="006546B0"/>
    <w:rsid w:val="00661CF6"/>
    <w:rsid w:val="00667DC9"/>
    <w:rsid w:val="00672BED"/>
    <w:rsid w:val="00673660"/>
    <w:rsid w:val="006811B0"/>
    <w:rsid w:val="006832D9"/>
    <w:rsid w:val="006928C1"/>
    <w:rsid w:val="0069403B"/>
    <w:rsid w:val="006A1AD5"/>
    <w:rsid w:val="006B03D2"/>
    <w:rsid w:val="006C0BFB"/>
    <w:rsid w:val="006F3DDE"/>
    <w:rsid w:val="00704678"/>
    <w:rsid w:val="0072035B"/>
    <w:rsid w:val="00736D28"/>
    <w:rsid w:val="007425E7"/>
    <w:rsid w:val="0075037A"/>
    <w:rsid w:val="00754B33"/>
    <w:rsid w:val="00764EAB"/>
    <w:rsid w:val="007771F6"/>
    <w:rsid w:val="007C0198"/>
    <w:rsid w:val="007D1688"/>
    <w:rsid w:val="007D769C"/>
    <w:rsid w:val="007E369A"/>
    <w:rsid w:val="00802607"/>
    <w:rsid w:val="008054EA"/>
    <w:rsid w:val="008101A5"/>
    <w:rsid w:val="00816784"/>
    <w:rsid w:val="008210DA"/>
    <w:rsid w:val="00822664"/>
    <w:rsid w:val="0083036F"/>
    <w:rsid w:val="00843796"/>
    <w:rsid w:val="00846BF1"/>
    <w:rsid w:val="0085294E"/>
    <w:rsid w:val="00890306"/>
    <w:rsid w:val="00894532"/>
    <w:rsid w:val="00895229"/>
    <w:rsid w:val="008A32FA"/>
    <w:rsid w:val="008A7AC4"/>
    <w:rsid w:val="008C7D3C"/>
    <w:rsid w:val="008D1EED"/>
    <w:rsid w:val="008E17C5"/>
    <w:rsid w:val="008E6156"/>
    <w:rsid w:val="008E6D88"/>
    <w:rsid w:val="008F0203"/>
    <w:rsid w:val="008F50D4"/>
    <w:rsid w:val="009239AA"/>
    <w:rsid w:val="00926088"/>
    <w:rsid w:val="00935ADA"/>
    <w:rsid w:val="00935AF4"/>
    <w:rsid w:val="009447E0"/>
    <w:rsid w:val="00946B6C"/>
    <w:rsid w:val="00950EA4"/>
    <w:rsid w:val="00951846"/>
    <w:rsid w:val="00955A71"/>
    <w:rsid w:val="0096108F"/>
    <w:rsid w:val="00971EF9"/>
    <w:rsid w:val="00993443"/>
    <w:rsid w:val="009A4DD3"/>
    <w:rsid w:val="009A5EFA"/>
    <w:rsid w:val="009C13B9"/>
    <w:rsid w:val="009D01A2"/>
    <w:rsid w:val="009D544F"/>
    <w:rsid w:val="009E2D58"/>
    <w:rsid w:val="009E47CC"/>
    <w:rsid w:val="009F5923"/>
    <w:rsid w:val="00A0586C"/>
    <w:rsid w:val="00A11E6A"/>
    <w:rsid w:val="00A21E51"/>
    <w:rsid w:val="00A31E91"/>
    <w:rsid w:val="00A403BB"/>
    <w:rsid w:val="00A45B67"/>
    <w:rsid w:val="00A674DF"/>
    <w:rsid w:val="00A806E9"/>
    <w:rsid w:val="00A83AA6"/>
    <w:rsid w:val="00AA716F"/>
    <w:rsid w:val="00AB09D9"/>
    <w:rsid w:val="00AC00A3"/>
    <w:rsid w:val="00AE1809"/>
    <w:rsid w:val="00B04C9F"/>
    <w:rsid w:val="00B06CDB"/>
    <w:rsid w:val="00B0758E"/>
    <w:rsid w:val="00B212C1"/>
    <w:rsid w:val="00B43D22"/>
    <w:rsid w:val="00B47230"/>
    <w:rsid w:val="00B54267"/>
    <w:rsid w:val="00B80D76"/>
    <w:rsid w:val="00B857ED"/>
    <w:rsid w:val="00BA2105"/>
    <w:rsid w:val="00BA7E06"/>
    <w:rsid w:val="00BB43B5"/>
    <w:rsid w:val="00BB6219"/>
    <w:rsid w:val="00BC41C2"/>
    <w:rsid w:val="00BD290F"/>
    <w:rsid w:val="00BD622E"/>
    <w:rsid w:val="00BE353B"/>
    <w:rsid w:val="00BE42E0"/>
    <w:rsid w:val="00BE6FD0"/>
    <w:rsid w:val="00C11ABE"/>
    <w:rsid w:val="00C14CC4"/>
    <w:rsid w:val="00C16976"/>
    <w:rsid w:val="00C33C52"/>
    <w:rsid w:val="00C34A2B"/>
    <w:rsid w:val="00C40D8B"/>
    <w:rsid w:val="00C4364A"/>
    <w:rsid w:val="00C519F4"/>
    <w:rsid w:val="00C64F9A"/>
    <w:rsid w:val="00C6535B"/>
    <w:rsid w:val="00C8407A"/>
    <w:rsid w:val="00C8488C"/>
    <w:rsid w:val="00C86E91"/>
    <w:rsid w:val="00C96EF0"/>
    <w:rsid w:val="00C9790E"/>
    <w:rsid w:val="00CA2650"/>
    <w:rsid w:val="00CA3C92"/>
    <w:rsid w:val="00CA4AD3"/>
    <w:rsid w:val="00CB1078"/>
    <w:rsid w:val="00CB7856"/>
    <w:rsid w:val="00CC204B"/>
    <w:rsid w:val="00CC3125"/>
    <w:rsid w:val="00CC6FAF"/>
    <w:rsid w:val="00CD2392"/>
    <w:rsid w:val="00CD4905"/>
    <w:rsid w:val="00CE3D7F"/>
    <w:rsid w:val="00CE771B"/>
    <w:rsid w:val="00D24698"/>
    <w:rsid w:val="00D25371"/>
    <w:rsid w:val="00D443E3"/>
    <w:rsid w:val="00D56375"/>
    <w:rsid w:val="00D61F3A"/>
    <w:rsid w:val="00D634B3"/>
    <w:rsid w:val="00D6383F"/>
    <w:rsid w:val="00DB37BC"/>
    <w:rsid w:val="00DB59D0"/>
    <w:rsid w:val="00DC314E"/>
    <w:rsid w:val="00DC33D3"/>
    <w:rsid w:val="00DC734C"/>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A7C2D"/>
    <w:rsid w:val="00EB56B3"/>
    <w:rsid w:val="00EB6D32"/>
    <w:rsid w:val="00EB7DD7"/>
    <w:rsid w:val="00EC41FF"/>
    <w:rsid w:val="00ED3120"/>
    <w:rsid w:val="00ED5B35"/>
    <w:rsid w:val="00ED6492"/>
    <w:rsid w:val="00ED782E"/>
    <w:rsid w:val="00EE2847"/>
    <w:rsid w:val="00EF2095"/>
    <w:rsid w:val="00F06866"/>
    <w:rsid w:val="00F1465E"/>
    <w:rsid w:val="00F15956"/>
    <w:rsid w:val="00F24CFC"/>
    <w:rsid w:val="00F3170F"/>
    <w:rsid w:val="00F35B2E"/>
    <w:rsid w:val="00F53BDE"/>
    <w:rsid w:val="00F6240A"/>
    <w:rsid w:val="00F840EE"/>
    <w:rsid w:val="00F849AC"/>
    <w:rsid w:val="00F91EC0"/>
    <w:rsid w:val="00F92BDF"/>
    <w:rsid w:val="00F953B8"/>
    <w:rsid w:val="00F976B0"/>
    <w:rsid w:val="00FA6DE7"/>
    <w:rsid w:val="00FB63C1"/>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9B62-9D95-4726-8037-1C14F933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1797</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2023-12-11T13:16:00Z</dcterms:created>
  <dcterms:modified xsi:type="dcterms:W3CDTF">2023-12-11T13:16:00Z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