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425C2E4D" w14:textId="6BFCD5A6">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935AF4" w:rsidR="00935AF4">
        <w:t>Return Preparer Office Customer Satisfaction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F15956" w14:paraId="7D8C7BF0" w14:textId="1FA0DAB6">
      <w:r w:rsidRPr="0032710C">
        <w:t>The IRS Return Preparer Office (RPO) Continuing Education Department is conducting an online survey to measure customer satisfaction for IRS Continuing Education (CE) Providers using the online IRS CE Provider system known as CE-PRATS. The RPO Continuing Education Department has a contractual obligation with the external vendor, Advocation Strategies, Inc., to perform a survey of the CE-PRATS system users. Feedback from IRS customers (IRS Approved CE Providers) is very important to assess the current satisfaction rate and to evaluate the system's ease of use and to consider needed improvement efforts if necessary.</w:t>
      </w:r>
    </w:p>
    <w:p w:rsidR="0032710C" w14:paraId="78F331BC"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05872C58">
      <w:r w:rsidRPr="0032710C">
        <w:t>The survey is open to all approved IRS Continuing Education Providers. The current population of providers range from large to small businesses.</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4474D4CD">
      <w:r>
        <w:t xml:space="preserve">Name: </w:t>
      </w:r>
      <w:r w:rsidRPr="0014541B">
        <w:rPr>
          <w:u w:val="single"/>
        </w:rPr>
        <w:t>_</w:t>
      </w:r>
      <w:r w:rsidRPr="00BE42E0" w:rsidR="0032710C">
        <w:rPr>
          <w:sz w:val="32"/>
          <w:szCs w:val="32"/>
          <w:u w:val="single"/>
        </w:rPr>
        <w:t xml:space="preserve"> </w:t>
      </w:r>
      <w:r w:rsidR="005271C9">
        <w:rPr>
          <w:sz w:val="32"/>
          <w:szCs w:val="32"/>
          <w:u w:val="single"/>
        </w:rPr>
        <w:t>Kelly Kirchmer</w:t>
      </w:r>
      <w:r w:rsidRPr="0014541B" w:rsidR="005271C9">
        <w:rPr>
          <w:u w:val="single"/>
        </w:rPr>
        <w:t>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D634B3" w14:paraId="74232315" w14:textId="77777777">
      <w:r>
        <w:br w:type="page"/>
      </w:r>
    </w:p>
    <w:p w:rsidR="009C13B9" w:rsidP="009C13B9" w14:paraId="53F07B8F" w14:textId="42FCB7C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5B73A6F5">
      <w:pPr>
        <w:pStyle w:val="ListParagraph"/>
        <w:numPr>
          <w:ilvl w:val="0"/>
          <w:numId w:val="18"/>
        </w:numPr>
      </w:pPr>
      <w:r>
        <w:t>Is</w:t>
      </w:r>
      <w:r w:rsidR="00237B48">
        <w:t xml:space="preserve"> personally identifiable information (PII) collected</w:t>
      </w:r>
      <w:r>
        <w:t xml:space="preserve">?  </w:t>
      </w:r>
      <w:r w:rsidR="009239AA">
        <w:t>[</w:t>
      </w:r>
      <w:r w:rsidR="00DC314E">
        <w:t>X</w:t>
      </w:r>
      <w:r w:rsidR="009239AA">
        <w:t xml:space="preserve">] </w:t>
      </w:r>
      <w:r w:rsidR="009239AA">
        <w:t>Yes  [</w:t>
      </w:r>
      <w:r w:rsidR="0032710C">
        <w:t xml:space="preserve"> </w:t>
      </w:r>
      <w:r w:rsidR="009239AA">
        <w:t xml:space="preserve">]  No </w:t>
      </w:r>
    </w:p>
    <w:p w:rsidR="00C86E91" w:rsidP="00C86E91" w14:paraId="646C64D3" w14:textId="7ED8FB50">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w:t>
      </w:r>
      <w:r w:rsidR="0032710C">
        <w:t xml:space="preserve"> </w:t>
      </w:r>
      <w:r w:rsidR="00DC314E">
        <w:t>X</w:t>
      </w:r>
      <w:r w:rsidR="009239AA">
        <w:t>] No</w:t>
      </w:r>
      <w:r>
        <w:t xml:space="preserve">   </w:t>
      </w:r>
    </w:p>
    <w:p w:rsidR="00C86E91" w:rsidP="00C86E91" w14:paraId="2D64E2BF" w14:textId="364E2B12">
      <w:pPr>
        <w:pStyle w:val="ListParagraph"/>
        <w:numPr>
          <w:ilvl w:val="0"/>
          <w:numId w:val="18"/>
        </w:numPr>
      </w:pPr>
      <w:r w:rsidRPr="008D1EED">
        <w:t>If Applicable, has a System or Records Notice</w:t>
      </w:r>
      <w:r>
        <w:t xml:space="preserve"> been published?  </w:t>
      </w:r>
      <w:r>
        <w:t>[  ]</w:t>
      </w:r>
      <w:r>
        <w:t xml:space="preserve"> Yes  [ </w:t>
      </w:r>
      <w:r w:rsidR="00DC314E">
        <w:t>X</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32710C" w:rsidP="0032710C" w14:paraId="390BC1D0" w14:textId="77777777">
      <w:r>
        <w:t>There are currently 517 IRS CE Providers. All will be asked to participate in the survey, and we assume a 15% response rate (78 providers).</w:t>
      </w:r>
    </w:p>
    <w:p w:rsidR="0032710C" w:rsidP="0032710C" w14:paraId="13170DCD" w14:textId="77777777"/>
    <w:p w:rsidR="0032710C" w:rsidP="0032710C" w14:paraId="76791EA7" w14:textId="53D33229">
      <w:r>
        <w:t>The time it takes to solicit participation is 1 minute, resulting in 9 burden hours (517 contacts x 1 minute/60 = 8.6 hours).</w:t>
      </w:r>
    </w:p>
    <w:p w:rsidR="0032710C" w:rsidP="0032710C" w14:paraId="1F99DAD1" w14:textId="77777777"/>
    <w:p w:rsidR="0032710C" w:rsidP="0032710C" w14:paraId="6C6C3800" w14:textId="44BD785C">
      <w:r>
        <w:t>It is estimated to take 5 minutes to complete each of the 78 surveys, resulting in 4 burden hours (78 participants x 5 minutes/60 = 6.5 burden hours.</w:t>
      </w:r>
    </w:p>
    <w:p w:rsidR="0032710C" w:rsidP="0032710C" w14:paraId="0EAD3B0F" w14:textId="77777777"/>
    <w:p w:rsidR="008D1EED" w:rsidP="0032710C" w14:paraId="5F9B0F94" w14:textId="50D4FE65">
      <w:r>
        <w:t>The total burden is 16 hours (8.6 + 6.5 = 15.1)</w:t>
      </w:r>
      <w:r w:rsidR="000109A5">
        <w:t xml:space="preserve">.  </w:t>
      </w:r>
    </w:p>
    <w:p w:rsidR="008D1EED" w:rsidP="00C86E91" w14:paraId="635F9442" w14:textId="77777777"/>
    <w:p w:rsidR="006832D9" w:rsidRPr="006832D9" w:rsidP="00F3170F" w14:paraId="248E49B3" w14:textId="77777777">
      <w:pPr>
        <w:keepNext/>
        <w:keepLines/>
        <w:rPr>
          <w:b/>
        </w:rPr>
      </w:pPr>
    </w:p>
    <w:tbl>
      <w:tblPr>
        <w:tblStyle w:val="TableGrid"/>
        <w:tblW w:w="9661" w:type="dxa"/>
        <w:tblLayout w:type="fixed"/>
        <w:tblLook w:val="01E0"/>
      </w:tblPr>
      <w:tblGrid>
        <w:gridCol w:w="3685"/>
        <w:gridCol w:w="1620"/>
        <w:gridCol w:w="1710"/>
        <w:gridCol w:w="2646"/>
      </w:tblGrid>
      <w:tr w14:paraId="62C3273E" w14:textId="77777777" w:rsidTr="0032710C">
        <w:tblPrEx>
          <w:tblW w:w="9661" w:type="dxa"/>
          <w:tblLayout w:type="fixed"/>
          <w:tblLook w:val="01E0"/>
        </w:tblPrEx>
        <w:trPr>
          <w:trHeight w:val="274"/>
        </w:trPr>
        <w:tc>
          <w:tcPr>
            <w:tcW w:w="3685" w:type="dxa"/>
          </w:tcPr>
          <w:p w:rsidR="006832D9" w:rsidRPr="00F6240A" w:rsidP="00C8488C" w14:paraId="01AE1745" w14:textId="77777777">
            <w:pPr>
              <w:rPr>
                <w:b/>
              </w:rPr>
            </w:pPr>
            <w:r>
              <w:rPr>
                <w:b/>
              </w:rPr>
              <w:t>Category of Respondent</w:t>
            </w:r>
            <w:r w:rsidR="00EF2095">
              <w:rPr>
                <w:b/>
              </w:rPr>
              <w:t xml:space="preserve"> </w:t>
            </w:r>
          </w:p>
        </w:tc>
        <w:tc>
          <w:tcPr>
            <w:tcW w:w="162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6167C2FE" w14:textId="77777777">
            <w:pPr>
              <w:rPr>
                <w:b/>
              </w:rPr>
            </w:pPr>
            <w:r w:rsidRPr="00F6240A">
              <w:rPr>
                <w:b/>
              </w:rPr>
              <w:t>Participation Time</w:t>
            </w:r>
          </w:p>
        </w:tc>
        <w:tc>
          <w:tcPr>
            <w:tcW w:w="2646" w:type="dxa"/>
          </w:tcPr>
          <w:p w:rsidR="006832D9" w:rsidRPr="00F6240A" w:rsidP="00843796" w14:paraId="64B083F4" w14:textId="77777777">
            <w:pPr>
              <w:rPr>
                <w:b/>
              </w:rPr>
            </w:pPr>
            <w:r w:rsidRPr="00F6240A">
              <w:rPr>
                <w:b/>
              </w:rPr>
              <w:t>Burden</w:t>
            </w:r>
          </w:p>
        </w:tc>
      </w:tr>
      <w:tr w14:paraId="3531AA7C" w14:textId="77777777" w:rsidTr="0032710C">
        <w:tblPrEx>
          <w:tblW w:w="9661" w:type="dxa"/>
          <w:tblLayout w:type="fixed"/>
          <w:tblLook w:val="01E0"/>
        </w:tblPrEx>
        <w:trPr>
          <w:trHeight w:val="274"/>
        </w:trPr>
        <w:tc>
          <w:tcPr>
            <w:tcW w:w="3685" w:type="dxa"/>
          </w:tcPr>
          <w:p w:rsidR="0032710C" w:rsidRPr="00712ACD" w:rsidP="0032710C" w14:paraId="77717F6E" w14:textId="77777777">
            <w:pPr>
              <w:rPr>
                <w:rFonts w:ascii="Calibri" w:hAnsi="Calibri" w:cs="Arial"/>
                <w:color w:val="000000"/>
                <w:sz w:val="20"/>
                <w:szCs w:val="20"/>
              </w:rPr>
            </w:pPr>
          </w:p>
          <w:p w:rsidR="0032710C" w:rsidP="0032710C" w14:paraId="73C55C2C" w14:textId="58329054">
            <w:r w:rsidRPr="00712ACD">
              <w:rPr>
                <w:rFonts w:ascii="Calibri" w:hAnsi="Calibri" w:cs="Arial"/>
                <w:color w:val="000000"/>
                <w:sz w:val="20"/>
                <w:szCs w:val="20"/>
              </w:rPr>
              <w:t xml:space="preserve">Requesting IRS CE Providers to take survey </w:t>
            </w:r>
          </w:p>
        </w:tc>
        <w:tc>
          <w:tcPr>
            <w:tcW w:w="1620" w:type="dxa"/>
          </w:tcPr>
          <w:p w:rsidR="0032710C" w:rsidRPr="00712ACD" w:rsidP="0032710C" w14:paraId="3CF8805F" w14:textId="77777777">
            <w:pPr>
              <w:jc w:val="center"/>
              <w:rPr>
                <w:rFonts w:ascii="Calibri" w:hAnsi="Calibri" w:cs="Arial"/>
                <w:b/>
                <w:color w:val="000000"/>
                <w:sz w:val="22"/>
                <w:szCs w:val="22"/>
              </w:rPr>
            </w:pPr>
          </w:p>
          <w:p w:rsidR="0032710C" w:rsidP="0032710C" w14:paraId="756DFE57" w14:textId="2461892A">
            <w:r w:rsidRPr="00712ACD">
              <w:rPr>
                <w:rFonts w:ascii="Calibri" w:hAnsi="Calibri" w:cs="Arial"/>
                <w:b/>
                <w:color w:val="000000"/>
                <w:sz w:val="22"/>
                <w:szCs w:val="22"/>
              </w:rPr>
              <w:t>5</w:t>
            </w:r>
            <w:r>
              <w:rPr>
                <w:rFonts w:ascii="Calibri" w:hAnsi="Calibri" w:cs="Arial"/>
                <w:b/>
                <w:color w:val="000000"/>
                <w:sz w:val="22"/>
                <w:szCs w:val="22"/>
              </w:rPr>
              <w:t>17</w:t>
            </w:r>
          </w:p>
        </w:tc>
        <w:tc>
          <w:tcPr>
            <w:tcW w:w="1710" w:type="dxa"/>
          </w:tcPr>
          <w:p w:rsidR="0032710C" w:rsidRPr="00712ACD" w:rsidP="0032710C" w14:paraId="11313EC9" w14:textId="77777777">
            <w:pPr>
              <w:rPr>
                <w:rFonts w:ascii="Calibri" w:hAnsi="Calibri" w:cs="Arial"/>
                <w:b/>
                <w:color w:val="000000"/>
                <w:sz w:val="22"/>
                <w:szCs w:val="22"/>
              </w:rPr>
            </w:pPr>
            <w:r w:rsidRPr="00712ACD">
              <w:rPr>
                <w:rFonts w:ascii="Calibri" w:hAnsi="Calibri" w:cs="Arial"/>
                <w:b/>
                <w:color w:val="000000"/>
                <w:sz w:val="22"/>
                <w:szCs w:val="22"/>
              </w:rPr>
              <w:t xml:space="preserve">   </w:t>
            </w:r>
          </w:p>
          <w:p w:rsidR="0032710C" w:rsidP="0032710C" w14:paraId="17C34146" w14:textId="294257AC">
            <w:r w:rsidRPr="00712ACD">
              <w:rPr>
                <w:rFonts w:ascii="Calibri" w:hAnsi="Calibri" w:cs="Arial"/>
                <w:b/>
                <w:color w:val="000000"/>
                <w:sz w:val="22"/>
                <w:szCs w:val="22"/>
              </w:rPr>
              <w:t>1 minute</w:t>
            </w:r>
          </w:p>
        </w:tc>
        <w:tc>
          <w:tcPr>
            <w:tcW w:w="2646" w:type="dxa"/>
          </w:tcPr>
          <w:p w:rsidR="0032710C" w:rsidRPr="00712ACD" w:rsidP="0032710C" w14:paraId="7AFC3ECA" w14:textId="77777777">
            <w:pPr>
              <w:jc w:val="center"/>
              <w:rPr>
                <w:rFonts w:ascii="Calibri" w:hAnsi="Calibri" w:cs="Arial"/>
                <w:b/>
                <w:color w:val="000000"/>
                <w:sz w:val="22"/>
                <w:szCs w:val="22"/>
              </w:rPr>
            </w:pPr>
          </w:p>
          <w:p w:rsidR="0032710C" w:rsidRPr="00712ACD" w:rsidP="0032710C" w14:paraId="3A01BC00" w14:textId="471CC93A">
            <w:pPr>
              <w:jc w:val="center"/>
              <w:rPr>
                <w:rFonts w:ascii="Calibri" w:hAnsi="Calibri" w:cs="Arial"/>
                <w:b/>
                <w:color w:val="000000"/>
                <w:sz w:val="22"/>
                <w:szCs w:val="22"/>
              </w:rPr>
            </w:pPr>
            <w:r>
              <w:rPr>
                <w:rFonts w:ascii="Calibri" w:hAnsi="Calibri" w:cs="Arial"/>
                <w:b/>
                <w:color w:val="000000"/>
                <w:sz w:val="22"/>
                <w:szCs w:val="22"/>
              </w:rPr>
              <w:t>8.6</w:t>
            </w:r>
            <w:r w:rsidRPr="00712ACD">
              <w:rPr>
                <w:rFonts w:ascii="Calibri" w:hAnsi="Calibri" w:cs="Arial"/>
                <w:b/>
                <w:color w:val="000000"/>
                <w:sz w:val="22"/>
                <w:szCs w:val="22"/>
              </w:rPr>
              <w:t xml:space="preserve"> </w:t>
            </w:r>
            <w:r w:rsidRPr="00712ACD">
              <w:rPr>
                <w:rFonts w:ascii="Calibri" w:hAnsi="Calibri" w:cs="Arial"/>
                <w:b/>
                <w:color w:val="000000"/>
                <w:sz w:val="22"/>
                <w:szCs w:val="22"/>
              </w:rPr>
              <w:t>hrs</w:t>
            </w:r>
          </w:p>
          <w:p w:rsidR="0032710C" w:rsidRPr="00712ACD" w:rsidP="0032710C" w14:paraId="6F962623" w14:textId="77777777">
            <w:pPr>
              <w:jc w:val="center"/>
              <w:rPr>
                <w:rFonts w:ascii="Calibri" w:hAnsi="Calibri" w:cs="Arial"/>
                <w:color w:val="000000"/>
                <w:sz w:val="18"/>
                <w:szCs w:val="18"/>
              </w:rPr>
            </w:pPr>
          </w:p>
          <w:p w:rsidR="0032710C" w:rsidP="0032710C" w14:paraId="38ABE309" w14:textId="44D320FC">
            <w:pPr>
              <w:jc w:val="center"/>
            </w:pPr>
          </w:p>
        </w:tc>
      </w:tr>
      <w:tr w14:paraId="3A4A4F76" w14:textId="77777777" w:rsidTr="0032710C">
        <w:tblPrEx>
          <w:tblW w:w="9661" w:type="dxa"/>
          <w:tblLayout w:type="fixed"/>
          <w:tblLook w:val="01E0"/>
        </w:tblPrEx>
        <w:trPr>
          <w:trHeight w:val="274"/>
        </w:trPr>
        <w:tc>
          <w:tcPr>
            <w:tcW w:w="3685" w:type="dxa"/>
          </w:tcPr>
          <w:p w:rsidR="0032710C" w:rsidRPr="00712ACD" w:rsidP="0032710C" w14:paraId="63270463" w14:textId="77777777">
            <w:pPr>
              <w:rPr>
                <w:rFonts w:ascii="Calibri" w:hAnsi="Calibri" w:cs="Arial"/>
                <w:color w:val="000000"/>
                <w:sz w:val="20"/>
                <w:szCs w:val="20"/>
              </w:rPr>
            </w:pPr>
          </w:p>
          <w:p w:rsidR="0032710C" w:rsidP="0032710C" w14:paraId="4D662532" w14:textId="6AE02EAB">
            <w:r w:rsidRPr="00712ACD">
              <w:rPr>
                <w:rFonts w:ascii="Calibri" w:hAnsi="Calibri" w:cs="Arial"/>
                <w:color w:val="000000"/>
                <w:sz w:val="20"/>
                <w:szCs w:val="20"/>
              </w:rPr>
              <w:t>IRS CE Providers that participate in survey</w:t>
            </w:r>
          </w:p>
        </w:tc>
        <w:tc>
          <w:tcPr>
            <w:tcW w:w="1620" w:type="dxa"/>
          </w:tcPr>
          <w:p w:rsidR="0032710C" w:rsidRPr="00712ACD" w:rsidP="0032710C" w14:paraId="356B34C2" w14:textId="77777777">
            <w:pPr>
              <w:jc w:val="center"/>
              <w:rPr>
                <w:rFonts w:ascii="Calibri" w:hAnsi="Calibri" w:cs="Arial"/>
                <w:b/>
                <w:color w:val="000000"/>
                <w:sz w:val="22"/>
                <w:szCs w:val="22"/>
              </w:rPr>
            </w:pPr>
          </w:p>
          <w:p w:rsidR="0032710C" w:rsidP="0032710C" w14:paraId="62ADDA4F" w14:textId="6CD3B9D6">
            <w:r>
              <w:rPr>
                <w:rFonts w:ascii="Calibri" w:hAnsi="Calibri" w:cs="Arial"/>
                <w:b/>
                <w:color w:val="000000"/>
                <w:sz w:val="22"/>
                <w:szCs w:val="22"/>
              </w:rPr>
              <w:t>78</w:t>
            </w:r>
          </w:p>
        </w:tc>
        <w:tc>
          <w:tcPr>
            <w:tcW w:w="1710" w:type="dxa"/>
          </w:tcPr>
          <w:p w:rsidR="0032710C" w:rsidRPr="00712ACD" w:rsidP="0032710C" w14:paraId="118D2BE6" w14:textId="77777777">
            <w:pPr>
              <w:jc w:val="center"/>
              <w:rPr>
                <w:rFonts w:ascii="Calibri" w:hAnsi="Calibri" w:cs="Arial"/>
                <w:b/>
                <w:color w:val="000000"/>
                <w:sz w:val="22"/>
                <w:szCs w:val="22"/>
              </w:rPr>
            </w:pPr>
          </w:p>
          <w:p w:rsidR="0032710C" w:rsidP="0032710C" w14:paraId="429CFF29" w14:textId="6FD9D26B">
            <w:r w:rsidRPr="00712ACD">
              <w:rPr>
                <w:rFonts w:ascii="Calibri" w:hAnsi="Calibri" w:cs="Arial"/>
                <w:b/>
                <w:color w:val="000000"/>
                <w:sz w:val="22"/>
                <w:szCs w:val="22"/>
              </w:rPr>
              <w:t>5 min</w:t>
            </w:r>
          </w:p>
        </w:tc>
        <w:tc>
          <w:tcPr>
            <w:tcW w:w="2646" w:type="dxa"/>
          </w:tcPr>
          <w:p w:rsidR="0032710C" w:rsidRPr="00712ACD" w:rsidP="0032710C" w14:paraId="126A5819" w14:textId="77777777">
            <w:pPr>
              <w:jc w:val="center"/>
              <w:rPr>
                <w:rFonts w:ascii="Calibri" w:hAnsi="Calibri" w:cs="Arial"/>
                <w:b/>
                <w:color w:val="000000"/>
                <w:sz w:val="22"/>
                <w:szCs w:val="22"/>
              </w:rPr>
            </w:pPr>
          </w:p>
          <w:p w:rsidR="0032710C" w:rsidRPr="00712ACD" w:rsidP="0032710C" w14:paraId="14C26910" w14:textId="6EC63459">
            <w:pPr>
              <w:jc w:val="center"/>
              <w:rPr>
                <w:rFonts w:ascii="Calibri" w:hAnsi="Calibri" w:cs="Arial"/>
                <w:b/>
                <w:color w:val="000000"/>
                <w:sz w:val="22"/>
                <w:szCs w:val="22"/>
              </w:rPr>
            </w:pPr>
            <w:r>
              <w:rPr>
                <w:rFonts w:ascii="Calibri" w:hAnsi="Calibri" w:cs="Arial"/>
                <w:b/>
                <w:color w:val="000000"/>
                <w:sz w:val="22"/>
                <w:szCs w:val="22"/>
              </w:rPr>
              <w:t>6.5</w:t>
            </w:r>
            <w:r w:rsidRPr="00712ACD">
              <w:rPr>
                <w:rFonts w:ascii="Calibri" w:hAnsi="Calibri" w:cs="Arial"/>
                <w:b/>
                <w:color w:val="000000"/>
                <w:sz w:val="22"/>
                <w:szCs w:val="22"/>
              </w:rPr>
              <w:t xml:space="preserve"> </w:t>
            </w:r>
            <w:r w:rsidRPr="00712ACD">
              <w:rPr>
                <w:rFonts w:ascii="Calibri" w:hAnsi="Calibri" w:cs="Arial"/>
                <w:b/>
                <w:color w:val="000000"/>
                <w:sz w:val="22"/>
                <w:szCs w:val="22"/>
              </w:rPr>
              <w:t>hrs</w:t>
            </w:r>
          </w:p>
          <w:p w:rsidR="0032710C" w:rsidRPr="00712ACD" w:rsidP="0032710C" w14:paraId="01454436" w14:textId="77777777">
            <w:pPr>
              <w:jc w:val="center"/>
              <w:rPr>
                <w:rFonts w:ascii="Calibri" w:hAnsi="Calibri" w:cs="Arial"/>
                <w:color w:val="000000"/>
                <w:sz w:val="18"/>
                <w:szCs w:val="18"/>
              </w:rPr>
            </w:pPr>
          </w:p>
          <w:p w:rsidR="0032710C" w:rsidP="0032710C" w14:paraId="1BF5A868" w14:textId="1C0FFD2B">
            <w:pPr>
              <w:jc w:val="center"/>
            </w:pPr>
          </w:p>
        </w:tc>
      </w:tr>
      <w:tr w14:paraId="60B27E1B" w14:textId="77777777" w:rsidTr="0032710C">
        <w:tblPrEx>
          <w:tblW w:w="9661" w:type="dxa"/>
          <w:tblLayout w:type="fixed"/>
          <w:tblLook w:val="01E0"/>
        </w:tblPrEx>
        <w:trPr>
          <w:trHeight w:val="274"/>
        </w:trPr>
        <w:tc>
          <w:tcPr>
            <w:tcW w:w="3685" w:type="dxa"/>
          </w:tcPr>
          <w:p w:rsidR="007771F6" w:rsidP="00843796" w14:paraId="7F53847C" w14:textId="07E8AC67">
            <w:r>
              <w:rPr>
                <w:b/>
              </w:rPr>
              <w:t>Totals</w:t>
            </w:r>
          </w:p>
        </w:tc>
        <w:tc>
          <w:tcPr>
            <w:tcW w:w="1620" w:type="dxa"/>
          </w:tcPr>
          <w:p w:rsidR="007771F6" w:rsidP="00843796" w14:paraId="420E8AD3" w14:textId="77777777"/>
        </w:tc>
        <w:tc>
          <w:tcPr>
            <w:tcW w:w="1710" w:type="dxa"/>
          </w:tcPr>
          <w:p w:rsidR="007771F6" w:rsidP="00843796" w14:paraId="42F08B35" w14:textId="77777777"/>
        </w:tc>
        <w:tc>
          <w:tcPr>
            <w:tcW w:w="2646" w:type="dxa"/>
          </w:tcPr>
          <w:p w:rsidR="007771F6" w:rsidRPr="007771F6" w:rsidP="00843796" w14:paraId="21193FD4" w14:textId="7BC89618">
            <w:pPr>
              <w:rPr>
                <w:b/>
                <w:bCs/>
              </w:rPr>
            </w:pPr>
            <w:r>
              <w:rPr>
                <w:b/>
                <w:bCs/>
              </w:rPr>
              <w:t>15.1</w:t>
            </w:r>
            <w:r w:rsidR="00432CB0">
              <w:rPr>
                <w:b/>
                <w:bCs/>
              </w:rPr>
              <w:t xml:space="preserve"> hours</w:t>
            </w:r>
          </w:p>
        </w:tc>
      </w:tr>
      <w:tr w14:paraId="1F57FEF0" w14:textId="77777777" w:rsidTr="0032710C">
        <w:tblPrEx>
          <w:tblW w:w="9661" w:type="dxa"/>
          <w:tblLayout w:type="fixed"/>
          <w:tblLook w:val="01E0"/>
        </w:tblPrEx>
        <w:trPr>
          <w:trHeight w:val="274"/>
        </w:trPr>
        <w:tc>
          <w:tcPr>
            <w:tcW w:w="3685" w:type="dxa"/>
          </w:tcPr>
          <w:p w:rsidR="007771F6" w:rsidP="00843796" w14:paraId="1D1C9BB1" w14:textId="042A8E6A"/>
        </w:tc>
        <w:tc>
          <w:tcPr>
            <w:tcW w:w="1620" w:type="dxa"/>
          </w:tcPr>
          <w:p w:rsidR="007771F6" w:rsidP="00843796" w14:paraId="6D8D9476" w14:textId="77777777"/>
        </w:tc>
        <w:tc>
          <w:tcPr>
            <w:tcW w:w="1710" w:type="dxa"/>
          </w:tcPr>
          <w:p w:rsidR="007771F6" w:rsidP="00843796" w14:paraId="6B8577CA" w14:textId="77777777"/>
        </w:tc>
        <w:tc>
          <w:tcPr>
            <w:tcW w:w="2646" w:type="dxa"/>
          </w:tcPr>
          <w:p w:rsidR="007771F6" w:rsidP="00843796" w14:paraId="7A516336" w14:textId="77777777"/>
        </w:tc>
      </w:tr>
    </w:tbl>
    <w:p w:rsidR="00E533E3" w:rsidRPr="00B54267" w:rsidP="00E533E3" w14:paraId="37503D02" w14:textId="6E20B901">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32710C">
        <w:rPr>
          <w:rFonts w:asciiTheme="minorHAnsi" w:hAnsiTheme="minorHAnsi" w:cstheme="minorHAnsi"/>
          <w:b/>
          <w:sz w:val="22"/>
          <w:szCs w:val="22"/>
        </w:rPr>
        <w:t>15%</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17A426D4">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0032710C">
        <w:rPr>
          <w:rFonts w:asciiTheme="minorHAnsi" w:hAnsiTheme="minorHAnsi" w:cstheme="minorHAnsi"/>
          <w:bCs/>
          <w:sz w:val="22"/>
          <w:szCs w:val="22"/>
        </w:rPr>
        <w:t>15.1</w:t>
      </w:r>
      <w:r w:rsidR="00C6535B">
        <w:rPr>
          <w:rFonts w:asciiTheme="minorHAnsi" w:hAnsiTheme="minorHAnsi" w:cstheme="minorHAnsi"/>
          <w:bCs/>
          <w:sz w:val="22"/>
          <w:szCs w:val="22"/>
        </w:rPr>
        <w:t xml:space="preserve"> 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391A5A08">
      <w:pPr>
        <w:rPr>
          <w:rFonts w:asciiTheme="minorHAnsi" w:hAnsiTheme="minorHAnsi" w:cstheme="minorHAnsi"/>
        </w:rPr>
      </w:pPr>
      <w:r w:rsidRPr="00D634B3">
        <w:t>None – the survey is part of the contract of maintaining the CE-PRATS system (Advocation Strategies, Inc.)</w:t>
      </w:r>
      <w:r>
        <w:t>.</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385CA45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634B3">
        <w:t>X</w:t>
      </w:r>
      <w:r>
        <w:t xml:space="preserve"> ]</w:t>
      </w:r>
      <w:r>
        <w:t xml:space="preserve"> Yes</w:t>
      </w:r>
      <w:r>
        <w:tab/>
        <w:t>[</w:t>
      </w:r>
      <w:r w:rsidR="00D634B3">
        <w:t xml:space="preserve"> </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A403BB" w:rsidP="00A403BB" w14:paraId="1217901C" w14:textId="4C6F2553">
      <w:r w:rsidRPr="00D634B3">
        <w:t>RPO Continuing Education Department will attempt to achieve an overall 15% response rate in the surveys. We plan to maximize the response rate by allowing CE Providers to access the survey when they log into the system between 11/1/2023-3/31/2024. The system will have pop-up messages to catch the CE Providers attention regarding the option to take the survey. Additionally, we plan to announce the survey opportunity via other communication means such as conference calls, newsletters, and in the News &amp; Alerts section on their provider page, or through secured emails in their CE Provider secure mailbox.</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w:t>
      </w:r>
      <w:r>
        <w:t xml:space="preserve">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77777777">
      <w:pPr>
        <w:ind w:left="720"/>
      </w:pPr>
      <w:r>
        <w:t xml:space="preserve">[ </w:t>
      </w:r>
      <w:r>
        <w:t xml:space="preserve"> </w:t>
      </w:r>
      <w:r>
        <w:t>]</w:t>
      </w:r>
      <w:r>
        <w:t xml:space="preserve">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4D88"/>
    <w:rsid w:val="00067329"/>
    <w:rsid w:val="00067D8D"/>
    <w:rsid w:val="00095C82"/>
    <w:rsid w:val="00095D81"/>
    <w:rsid w:val="000A283E"/>
    <w:rsid w:val="000B2838"/>
    <w:rsid w:val="000C742F"/>
    <w:rsid w:val="000D44CA"/>
    <w:rsid w:val="000E1684"/>
    <w:rsid w:val="000E200B"/>
    <w:rsid w:val="000E4491"/>
    <w:rsid w:val="000F22C6"/>
    <w:rsid w:val="000F68BE"/>
    <w:rsid w:val="000F6F5A"/>
    <w:rsid w:val="0011359D"/>
    <w:rsid w:val="001251AB"/>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2710C"/>
    <w:rsid w:val="0034363F"/>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1477"/>
    <w:rsid w:val="004876EC"/>
    <w:rsid w:val="004B326E"/>
    <w:rsid w:val="004C0CB0"/>
    <w:rsid w:val="004D6E14"/>
    <w:rsid w:val="00500547"/>
    <w:rsid w:val="005009B0"/>
    <w:rsid w:val="00501154"/>
    <w:rsid w:val="00510757"/>
    <w:rsid w:val="00511914"/>
    <w:rsid w:val="005271C9"/>
    <w:rsid w:val="005430D8"/>
    <w:rsid w:val="00560845"/>
    <w:rsid w:val="00564FA9"/>
    <w:rsid w:val="005674FD"/>
    <w:rsid w:val="0057360A"/>
    <w:rsid w:val="0058651D"/>
    <w:rsid w:val="00591794"/>
    <w:rsid w:val="0059484D"/>
    <w:rsid w:val="005A0728"/>
    <w:rsid w:val="005A1006"/>
    <w:rsid w:val="005A5FCB"/>
    <w:rsid w:val="005C0235"/>
    <w:rsid w:val="005C1C6D"/>
    <w:rsid w:val="005C6063"/>
    <w:rsid w:val="005E2EF6"/>
    <w:rsid w:val="005E3C64"/>
    <w:rsid w:val="005E714A"/>
    <w:rsid w:val="005F0F68"/>
    <w:rsid w:val="00613A8C"/>
    <w:rsid w:val="006140A0"/>
    <w:rsid w:val="00636621"/>
    <w:rsid w:val="006410EE"/>
    <w:rsid w:val="00642B49"/>
    <w:rsid w:val="006546B0"/>
    <w:rsid w:val="00661CF6"/>
    <w:rsid w:val="00667DC9"/>
    <w:rsid w:val="00673660"/>
    <w:rsid w:val="006832D9"/>
    <w:rsid w:val="0069403B"/>
    <w:rsid w:val="006B03D2"/>
    <w:rsid w:val="006C0BFB"/>
    <w:rsid w:val="006F3DDE"/>
    <w:rsid w:val="00704678"/>
    <w:rsid w:val="00712ACD"/>
    <w:rsid w:val="007425E7"/>
    <w:rsid w:val="00754B33"/>
    <w:rsid w:val="00764EAB"/>
    <w:rsid w:val="007771F6"/>
    <w:rsid w:val="007C0198"/>
    <w:rsid w:val="007D1688"/>
    <w:rsid w:val="007D769C"/>
    <w:rsid w:val="007E369A"/>
    <w:rsid w:val="00802607"/>
    <w:rsid w:val="008054EA"/>
    <w:rsid w:val="008101A5"/>
    <w:rsid w:val="00816784"/>
    <w:rsid w:val="008210DA"/>
    <w:rsid w:val="00822664"/>
    <w:rsid w:val="00843796"/>
    <w:rsid w:val="0085294E"/>
    <w:rsid w:val="00890306"/>
    <w:rsid w:val="00895229"/>
    <w:rsid w:val="008A32FA"/>
    <w:rsid w:val="008D1EED"/>
    <w:rsid w:val="008E17C5"/>
    <w:rsid w:val="008E6156"/>
    <w:rsid w:val="008E6D88"/>
    <w:rsid w:val="008F0203"/>
    <w:rsid w:val="008F50D4"/>
    <w:rsid w:val="009239AA"/>
    <w:rsid w:val="00935ADA"/>
    <w:rsid w:val="00935AF4"/>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0586C"/>
    <w:rsid w:val="00A11E6A"/>
    <w:rsid w:val="00A21E51"/>
    <w:rsid w:val="00A31E91"/>
    <w:rsid w:val="00A403BB"/>
    <w:rsid w:val="00A674DF"/>
    <w:rsid w:val="00A806E9"/>
    <w:rsid w:val="00A83AA6"/>
    <w:rsid w:val="00AA716F"/>
    <w:rsid w:val="00AB09D9"/>
    <w:rsid w:val="00AE1809"/>
    <w:rsid w:val="00B04C9F"/>
    <w:rsid w:val="00B06CDB"/>
    <w:rsid w:val="00B0758E"/>
    <w:rsid w:val="00B212C1"/>
    <w:rsid w:val="00B47230"/>
    <w:rsid w:val="00B54267"/>
    <w:rsid w:val="00B80D76"/>
    <w:rsid w:val="00BA2105"/>
    <w:rsid w:val="00BA7E06"/>
    <w:rsid w:val="00BB43B5"/>
    <w:rsid w:val="00BB6219"/>
    <w:rsid w:val="00BC41C2"/>
    <w:rsid w:val="00BD290F"/>
    <w:rsid w:val="00BE353B"/>
    <w:rsid w:val="00BE42E0"/>
    <w:rsid w:val="00BE6FD0"/>
    <w:rsid w:val="00C11ABE"/>
    <w:rsid w:val="00C14CC4"/>
    <w:rsid w:val="00C16976"/>
    <w:rsid w:val="00C33C52"/>
    <w:rsid w:val="00C40D8B"/>
    <w:rsid w:val="00C4364A"/>
    <w:rsid w:val="00C519F4"/>
    <w:rsid w:val="00C6535B"/>
    <w:rsid w:val="00C8407A"/>
    <w:rsid w:val="00C8488C"/>
    <w:rsid w:val="00C86E91"/>
    <w:rsid w:val="00C96EF0"/>
    <w:rsid w:val="00C9790E"/>
    <w:rsid w:val="00CA2650"/>
    <w:rsid w:val="00CB1078"/>
    <w:rsid w:val="00CB7856"/>
    <w:rsid w:val="00CC204B"/>
    <w:rsid w:val="00CC3125"/>
    <w:rsid w:val="00CC6FAF"/>
    <w:rsid w:val="00CD4905"/>
    <w:rsid w:val="00CE3D7F"/>
    <w:rsid w:val="00CE771B"/>
    <w:rsid w:val="00D24698"/>
    <w:rsid w:val="00D25371"/>
    <w:rsid w:val="00D443E3"/>
    <w:rsid w:val="00D61F3A"/>
    <w:rsid w:val="00D634B3"/>
    <w:rsid w:val="00D6383F"/>
    <w:rsid w:val="00DB37BC"/>
    <w:rsid w:val="00DB59D0"/>
    <w:rsid w:val="00DC314E"/>
    <w:rsid w:val="00DC33D3"/>
    <w:rsid w:val="00DC734C"/>
    <w:rsid w:val="00E07184"/>
    <w:rsid w:val="00E14415"/>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B7DD7"/>
    <w:rsid w:val="00EC41FF"/>
    <w:rsid w:val="00ED5B35"/>
    <w:rsid w:val="00ED6492"/>
    <w:rsid w:val="00ED782E"/>
    <w:rsid w:val="00EE2847"/>
    <w:rsid w:val="00EF2095"/>
    <w:rsid w:val="00F06866"/>
    <w:rsid w:val="00F1465E"/>
    <w:rsid w:val="00F15956"/>
    <w:rsid w:val="00F24CFC"/>
    <w:rsid w:val="00F3170F"/>
    <w:rsid w:val="00F35B2E"/>
    <w:rsid w:val="00F6240A"/>
    <w:rsid w:val="00F849AC"/>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2023-09-22T13:17:00Z</dcterms:created>
  <dcterms:modified xsi:type="dcterms:W3CDTF">2023-09-22T13:17:00Z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