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B4D" w:rsidRPr="009635D8" w:rsidP="00E00B4D" w14:paraId="3AD61BCF" w14:textId="77777777">
      <w:pPr>
        <w:jc w:val="center"/>
        <w:rPr>
          <w:b/>
          <w:sz w:val="28"/>
          <w:szCs w:val="28"/>
        </w:rPr>
      </w:pPr>
      <w:r w:rsidRPr="009635D8">
        <w:rPr>
          <w:b/>
          <w:sz w:val="28"/>
          <w:szCs w:val="28"/>
        </w:rPr>
        <w:t>SUPPORTING STATEMENT</w:t>
      </w:r>
    </w:p>
    <w:p w:rsidR="00E00B4D" w:rsidRPr="009635D8" w:rsidP="00E00B4D" w14:paraId="42F596BC" w14:textId="77777777">
      <w:pPr>
        <w:jc w:val="center"/>
        <w:rPr>
          <w:b/>
          <w:sz w:val="28"/>
          <w:szCs w:val="28"/>
        </w:rPr>
      </w:pPr>
      <w:r>
        <w:rPr>
          <w:b/>
          <w:sz w:val="28"/>
          <w:szCs w:val="28"/>
        </w:rPr>
        <w:t>Ongoing Data Collection of Centrally Cleared Transactions in the U.S. Repurchase Agreement Market</w:t>
      </w:r>
    </w:p>
    <w:p w:rsidR="00E00B4D" w:rsidRPr="009635D8" w:rsidP="00E00B4D" w14:paraId="62A48F86" w14:textId="26C3CC8D">
      <w:pPr>
        <w:jc w:val="center"/>
        <w:rPr>
          <w:b/>
          <w:sz w:val="28"/>
          <w:szCs w:val="28"/>
        </w:rPr>
      </w:pPr>
      <w:r w:rsidRPr="009635D8">
        <w:rPr>
          <w:b/>
          <w:sz w:val="28"/>
          <w:szCs w:val="28"/>
        </w:rPr>
        <w:t xml:space="preserve">OMB Control No.: </w:t>
      </w:r>
      <w:r w:rsidR="00B758DF">
        <w:rPr>
          <w:b/>
          <w:sz w:val="28"/>
          <w:szCs w:val="28"/>
        </w:rPr>
        <w:t>1505</w:t>
      </w:r>
      <w:r w:rsidRPr="009635D8">
        <w:rPr>
          <w:b/>
          <w:sz w:val="28"/>
          <w:szCs w:val="28"/>
        </w:rPr>
        <w:t>-</w:t>
      </w:r>
      <w:r w:rsidR="0051306B">
        <w:rPr>
          <w:b/>
          <w:sz w:val="28"/>
          <w:szCs w:val="28"/>
        </w:rPr>
        <w:t>0259</w:t>
      </w:r>
    </w:p>
    <w:p w:rsidR="00E00B4D" w:rsidRPr="009635D8" w14:paraId="5E22F0BA" w14:textId="77777777">
      <w:pPr>
        <w:rPr>
          <w:b/>
        </w:rPr>
      </w:pPr>
      <w:r w:rsidRPr="009635D8">
        <w:rPr>
          <w:b/>
        </w:rPr>
        <w:t xml:space="preserve">A. Justification </w:t>
      </w:r>
    </w:p>
    <w:p w:rsidR="00E00B4D" w:rsidP="009635D8" w14:paraId="7D7A02BB" w14:textId="77777777">
      <w:pPr>
        <w:pStyle w:val="ListParagraph"/>
        <w:numPr>
          <w:ilvl w:val="0"/>
          <w:numId w:val="1"/>
        </w:numPr>
      </w:pPr>
      <w:r w:rsidRPr="009635D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 xml:space="preserve">. </w:t>
      </w:r>
    </w:p>
    <w:p w:rsidR="0012114A" w:rsidP="003C5A8B" w14:paraId="4CC7C71B" w14:textId="79894F58">
      <w:pPr>
        <w:pStyle w:val="NoSpacing"/>
        <w:ind w:left="360"/>
      </w:pPr>
      <w:r w:rsidRPr="00E95AB1">
        <w:t>The Office of Financial Research (“Office”) is requesting</w:t>
      </w:r>
      <w:r w:rsidR="001C0DDD">
        <w:t xml:space="preserve"> a renewal of the </w:t>
      </w:r>
      <w:r w:rsidRPr="00E95AB1">
        <w:t xml:space="preserve">information </w:t>
      </w:r>
      <w:r w:rsidR="001C0DDD">
        <w:t xml:space="preserve">collection </w:t>
      </w:r>
      <w:r w:rsidRPr="00E95AB1">
        <w:t>covering centrally cleared transactions in the U.S. repurchase agreement</w:t>
      </w:r>
      <w:r>
        <w:t xml:space="preserve"> </w:t>
      </w:r>
      <w:r w:rsidR="007C40F1">
        <w:t>(“repo”)</w:t>
      </w:r>
      <w:r w:rsidRPr="00E95AB1">
        <w:t xml:space="preserve"> market</w:t>
      </w:r>
      <w:r w:rsidR="00993FB2">
        <w:t xml:space="preserve"> which was established by a Final Rule in 2019</w:t>
      </w:r>
      <w:r w:rsidRPr="00E95AB1">
        <w:t>.</w:t>
      </w:r>
      <w:r>
        <w:rPr>
          <w:rStyle w:val="FootnoteReference"/>
        </w:rPr>
        <w:footnoteReference w:id="3"/>
      </w:r>
      <w:r w:rsidRPr="00E95AB1">
        <w:t xml:space="preserve"> </w:t>
      </w:r>
      <w:r w:rsidR="00814C15">
        <w:t xml:space="preserve"> </w:t>
      </w:r>
      <w:r w:rsidRPr="00E95AB1">
        <w:t xml:space="preserve">The </w:t>
      </w:r>
      <w:r w:rsidR="00DF7F63">
        <w:t xml:space="preserve">Financial Stability Oversight </w:t>
      </w:r>
      <w:r w:rsidRPr="00E95AB1">
        <w:t xml:space="preserve">Council </w:t>
      </w:r>
      <w:r w:rsidR="00DF7F63">
        <w:t>(“Council”)</w:t>
      </w:r>
      <w:r>
        <w:t xml:space="preserve"> </w:t>
      </w:r>
      <w:r w:rsidRPr="00E95AB1">
        <w:t xml:space="preserve">recommended an ongoing collection of repo data in its </w:t>
      </w:r>
      <w:r w:rsidRPr="00E95AB1">
        <w:rPr>
          <w:i/>
        </w:rPr>
        <w:t>2016</w:t>
      </w:r>
      <w:r w:rsidRPr="00E95AB1">
        <w:t xml:space="preserve"> </w:t>
      </w:r>
      <w:r w:rsidRPr="00E95AB1">
        <w:rPr>
          <w:i/>
        </w:rPr>
        <w:t>Annual Report</w:t>
      </w:r>
      <w:r w:rsidRPr="00E95AB1">
        <w:t xml:space="preserve"> to Congress and maintained this recommendation in its </w:t>
      </w:r>
      <w:r w:rsidRPr="00E95AB1">
        <w:rPr>
          <w:i/>
        </w:rPr>
        <w:t>2017</w:t>
      </w:r>
      <w:r w:rsidRPr="00E95AB1">
        <w:t xml:space="preserve"> </w:t>
      </w:r>
      <w:r w:rsidRPr="00E95AB1">
        <w:rPr>
          <w:i/>
        </w:rPr>
        <w:t>Annual Report</w:t>
      </w:r>
      <w:r w:rsidRPr="00E95AB1">
        <w:t xml:space="preserve">.  The expanded monitoring of the repo market made possible by this collection appropriately meets Council duties and purposes because of this market’s crucial role in providing short-term funding and performing other functions for U.S. markets. </w:t>
      </w:r>
      <w:r w:rsidR="00814C15">
        <w:t xml:space="preserve"> </w:t>
      </w:r>
      <w:r w:rsidRPr="00E95AB1">
        <w:t>The data also support</w:t>
      </w:r>
      <w:r w:rsidR="00814C15">
        <w:t>s</w:t>
      </w:r>
      <w:r w:rsidRPr="00E95AB1">
        <w:t xml:space="preserve"> the calculation of the Secured Overnight Funding Rate (“SOFR”), which was selected by the Alternative Reference Rates Committee (“ARRC”) as its preferred alternative rate to U.S. dollar London Interbank Offered Rate (“LIBOR”),  as well as the Broad General Collateral Rate (“BGCR”), helping fulfill another Council recommendation on the creation of alternative reference rates.</w:t>
      </w:r>
    </w:p>
    <w:p w:rsidR="00814C15" w:rsidRPr="00E95AB1" w:rsidP="009A4C09" w14:paraId="3C9CF26C" w14:textId="77777777">
      <w:pPr>
        <w:pStyle w:val="NoSpacing"/>
      </w:pPr>
    </w:p>
    <w:p w:rsidR="00A6147D" w:rsidRPr="00E95AB1" w:rsidP="00A6147D" w14:paraId="272E245C" w14:textId="51F5BB1B">
      <w:pPr>
        <w:spacing w:line="240" w:lineRule="auto"/>
        <w:ind w:left="360"/>
        <w:rPr>
          <w:rFonts w:cstheme="minorHAnsi"/>
        </w:rPr>
      </w:pPr>
      <w:r w:rsidRPr="00E95AB1">
        <w:rPr>
          <w:rFonts w:cstheme="minorHAnsi"/>
        </w:rPr>
        <w:t xml:space="preserve">Under the Dodd-Frank Wall Street Reform and Consumer Protection Act (“Dodd-Frank Act”), the Office is authorized to issue rules and regulations </w:t>
      </w:r>
      <w:r w:rsidRPr="00E95AB1">
        <w:rPr>
          <w:rFonts w:cstheme="minorHAnsi"/>
        </w:rPr>
        <w:t>in order to</w:t>
      </w:r>
      <w:r w:rsidRPr="00E95AB1">
        <w:rPr>
          <w:rFonts w:cstheme="minorHAnsi"/>
        </w:rPr>
        <w:t xml:space="preserve"> collect and standardize data on behalf of the Council to promote Council goals, such as helping</w:t>
      </w:r>
      <w:r w:rsidR="00ED1918">
        <w:rPr>
          <w:rFonts w:cstheme="minorHAnsi"/>
        </w:rPr>
        <w:t xml:space="preserve"> to</w:t>
      </w:r>
      <w:r w:rsidRPr="00E95AB1">
        <w:rPr>
          <w:rFonts w:cstheme="minorHAnsi"/>
        </w:rPr>
        <w:t xml:space="preserve"> identify and monitor risks to financial stability. </w:t>
      </w:r>
      <w:r w:rsidR="00814C15">
        <w:rPr>
          <w:rFonts w:cstheme="minorHAnsi"/>
        </w:rPr>
        <w:t xml:space="preserve"> </w:t>
      </w:r>
      <w:r w:rsidRPr="00E95AB1" w:rsidR="00CF11B3">
        <w:rPr>
          <w:rFonts w:cstheme="minorHAnsi"/>
        </w:rPr>
        <w:t>The ability of the Office to collect centrally cleared repo data in this rule derives from the authority to promulgate regulations for the collection of financial transaction and position data of financial companies through the Data Center in 12 U.S.C. §5344(b)(1).</w:t>
      </w:r>
      <w:r w:rsidRPr="00E95AB1" w:rsidR="00EC02FE">
        <w:rPr>
          <w:rFonts w:cstheme="minorHAnsi"/>
        </w:rPr>
        <w:t xml:space="preserve"> </w:t>
      </w:r>
      <w:r w:rsidR="00814C15">
        <w:rPr>
          <w:rFonts w:cstheme="minorHAnsi"/>
        </w:rPr>
        <w:t xml:space="preserve"> </w:t>
      </w:r>
      <w:r w:rsidRPr="00E95AB1" w:rsidR="00EC02FE">
        <w:rPr>
          <w:rFonts w:cstheme="minorHAnsi"/>
        </w:rPr>
        <w:t xml:space="preserve">The promulgation of regulations for the type and scope of data collected by the Data Center is done pursuant to the general Office rulemaking authority contained in </w:t>
      </w:r>
      <w:r w:rsidRPr="00E95AB1" w:rsidR="0012114A">
        <w:rPr>
          <w:rFonts w:cstheme="minorHAnsi"/>
        </w:rPr>
        <w:t xml:space="preserve">12 U.S.C. §5343(c) </w:t>
      </w:r>
      <w:r w:rsidRPr="00E95AB1" w:rsidR="00EC02FE">
        <w:rPr>
          <w:rFonts w:cstheme="minorHAnsi"/>
        </w:rPr>
        <w:t xml:space="preserve">which states the Office shall issue rules, regulations, and orders to the extent necessary to carry out the purposes and duties of the Office.  The Office must consult with the Chairperson of the Council </w:t>
      </w:r>
      <w:r w:rsidRPr="00E95AB1" w:rsidR="0012114A">
        <w:rPr>
          <w:rFonts w:cstheme="minorHAnsi"/>
        </w:rPr>
        <w:t xml:space="preserve">under §5343(c) </w:t>
      </w:r>
      <w:r w:rsidRPr="00E95AB1" w:rsidR="00EC02FE">
        <w:rPr>
          <w:rFonts w:cstheme="minorHAnsi"/>
        </w:rPr>
        <w:t xml:space="preserve">prior to the promulgation of any rules—this consultation occurred prior to the publication of </w:t>
      </w:r>
      <w:r w:rsidR="00814C15">
        <w:rPr>
          <w:rFonts w:cstheme="minorHAnsi"/>
        </w:rPr>
        <w:t xml:space="preserve">the </w:t>
      </w:r>
      <w:r w:rsidRPr="00E95AB1" w:rsidR="00EC02FE">
        <w:rPr>
          <w:rFonts w:cstheme="minorHAnsi"/>
        </w:rPr>
        <w:t>rule.</w:t>
      </w:r>
    </w:p>
    <w:p w:rsidR="00E00B4D" w:rsidP="009635D8" w14:paraId="3035B730" w14:textId="77777777">
      <w:pPr>
        <w:pStyle w:val="ListParagraph"/>
        <w:numPr>
          <w:ilvl w:val="0"/>
          <w:numId w:val="1"/>
        </w:numPr>
      </w:pPr>
      <w:r w:rsidRPr="009635D8">
        <w:rPr>
          <w:b/>
        </w:rPr>
        <w:t>Indicate how, by whom, and for what purpose the information is to be used. Except for a new collection, indicate the actual use the agency has made of the information received from the current collection</w:t>
      </w:r>
      <w:r>
        <w:t xml:space="preserve">. </w:t>
      </w:r>
    </w:p>
    <w:p w:rsidR="00C00411" w:rsidRPr="00037248" w:rsidP="00C64B28" w14:paraId="17C17725" w14:textId="6E0E4E9C">
      <w:pPr>
        <w:ind w:left="360"/>
        <w:rPr>
          <w:rFonts w:cstheme="minorHAnsi"/>
        </w:rPr>
      </w:pPr>
      <w:r w:rsidRPr="00E95AB1">
        <w:rPr>
          <w:rFonts w:cstheme="minorHAnsi"/>
        </w:rPr>
        <w:t>The collection require</w:t>
      </w:r>
      <w:r w:rsidR="00814C15">
        <w:rPr>
          <w:rFonts w:cstheme="minorHAnsi"/>
        </w:rPr>
        <w:t>s</w:t>
      </w:r>
      <w:r w:rsidRPr="00E95AB1">
        <w:rPr>
          <w:rFonts w:cstheme="minorHAnsi"/>
        </w:rPr>
        <w:t xml:space="preserve"> reporting by certain U.S. central counterparties (“CCPs”) for repo transactions.  The collection serve</w:t>
      </w:r>
      <w:r w:rsidR="00814C15">
        <w:rPr>
          <w:rFonts w:cstheme="minorHAnsi"/>
        </w:rPr>
        <w:t>s</w:t>
      </w:r>
      <w:r w:rsidRPr="00E95AB1">
        <w:rPr>
          <w:rFonts w:cstheme="minorHAnsi"/>
        </w:rPr>
        <w:t xml:space="preserve"> two primary purposes: (1) enhanc</w:t>
      </w:r>
      <w:r w:rsidR="00814C15">
        <w:rPr>
          <w:rFonts w:cstheme="minorHAnsi"/>
        </w:rPr>
        <w:t>ing</w:t>
      </w:r>
      <w:r w:rsidRPr="00E95AB1">
        <w:rPr>
          <w:rFonts w:cstheme="minorHAnsi"/>
        </w:rPr>
        <w:t xml:space="preserve"> the ability of the Council and the Office to identify and monitor risks to financial stability; and (2) support</w:t>
      </w:r>
      <w:r w:rsidR="00874BCA">
        <w:rPr>
          <w:rFonts w:cstheme="minorHAnsi"/>
        </w:rPr>
        <w:t>ing</w:t>
      </w:r>
      <w:r w:rsidRPr="00E95AB1">
        <w:rPr>
          <w:rFonts w:cstheme="minorHAnsi"/>
        </w:rPr>
        <w:t xml:space="preserve"> the calculation </w:t>
      </w:r>
      <w:r w:rsidRPr="00E95AB1">
        <w:rPr>
          <w:rFonts w:cstheme="minorHAnsi"/>
        </w:rPr>
        <w:t xml:space="preserve">of certain reference rates. </w:t>
      </w:r>
      <w:r w:rsidR="00874BCA">
        <w:rPr>
          <w:rFonts w:cstheme="minorHAnsi"/>
        </w:rPr>
        <w:t xml:space="preserve"> </w:t>
      </w:r>
      <w:r w:rsidRPr="00E95AB1">
        <w:rPr>
          <w:rFonts w:cstheme="minorHAnsi"/>
        </w:rPr>
        <w:t xml:space="preserve">The collection </w:t>
      </w:r>
      <w:r w:rsidR="00874BCA">
        <w:rPr>
          <w:rFonts w:cstheme="minorHAnsi"/>
        </w:rPr>
        <w:t xml:space="preserve">is </w:t>
      </w:r>
      <w:r w:rsidRPr="00E95AB1">
        <w:rPr>
          <w:rFonts w:cstheme="minorHAnsi"/>
        </w:rPr>
        <w:t xml:space="preserve">used by the Office to improve the Council and member agencies’ monitoring of the U.S. repo market through access to daily transaction data. </w:t>
      </w:r>
      <w:r w:rsidR="00874BCA">
        <w:rPr>
          <w:rFonts w:cstheme="minorHAnsi"/>
        </w:rPr>
        <w:t xml:space="preserve"> </w:t>
      </w:r>
      <w:r w:rsidRPr="00E95AB1">
        <w:rPr>
          <w:rFonts w:cstheme="minorHAnsi"/>
        </w:rPr>
        <w:t xml:space="preserve">The collection </w:t>
      </w:r>
      <w:r w:rsidR="00874BCA">
        <w:rPr>
          <w:rFonts w:cstheme="minorHAnsi"/>
        </w:rPr>
        <w:t xml:space="preserve">is </w:t>
      </w:r>
      <w:r w:rsidRPr="00E95AB1">
        <w:rPr>
          <w:rFonts w:cstheme="minorHAnsi"/>
        </w:rPr>
        <w:t xml:space="preserve">also be used by </w:t>
      </w:r>
      <w:r w:rsidR="009F1065">
        <w:rPr>
          <w:rFonts w:cstheme="minorHAnsi"/>
        </w:rPr>
        <w:t>Federal Reserve Bank of New York (</w:t>
      </w:r>
      <w:r w:rsidRPr="00E95AB1">
        <w:rPr>
          <w:rFonts w:cstheme="minorHAnsi"/>
        </w:rPr>
        <w:t>FRBNY</w:t>
      </w:r>
      <w:r w:rsidR="009F1065">
        <w:rPr>
          <w:rFonts w:cstheme="minorHAnsi"/>
        </w:rPr>
        <w:t>)</w:t>
      </w:r>
      <w:r w:rsidRPr="00E95AB1">
        <w:rPr>
          <w:rFonts w:cstheme="minorHAnsi"/>
        </w:rPr>
        <w:t xml:space="preserve"> as input into the calculation of the SOFR and BGCR.  </w:t>
      </w:r>
      <w:r w:rsidRPr="00E95AB1" w:rsidR="00F57C4D">
        <w:rPr>
          <w:rFonts w:cstheme="minorHAnsi"/>
        </w:rPr>
        <w:t xml:space="preserve">The Council recognized in prior annual reports that fragilities in LIBOR made the financial system vulnerable to instability and recommended the creation of alternative reference rates such as the </w:t>
      </w:r>
      <w:r w:rsidRPr="00E95AB1" w:rsidR="00D54756">
        <w:rPr>
          <w:rFonts w:cstheme="minorHAnsi"/>
        </w:rPr>
        <w:t>SOFR and BGCR</w:t>
      </w:r>
      <w:r w:rsidRPr="00E95AB1" w:rsidR="00F57C4D">
        <w:rPr>
          <w:rFonts w:cstheme="minorHAnsi"/>
        </w:rPr>
        <w:t xml:space="preserve"> , demonstrating the nexus of rate production to financial stability. </w:t>
      </w:r>
      <w:r w:rsidR="00874BCA">
        <w:rPr>
          <w:rFonts w:cstheme="minorHAnsi"/>
        </w:rPr>
        <w:t xml:space="preserve"> </w:t>
      </w:r>
      <w:r w:rsidRPr="00E95AB1" w:rsidR="00C642B5">
        <w:rPr>
          <w:rFonts w:cstheme="minorHAnsi"/>
        </w:rPr>
        <w:t>The Office also use</w:t>
      </w:r>
      <w:r w:rsidR="00874BCA">
        <w:rPr>
          <w:rFonts w:cstheme="minorHAnsi"/>
        </w:rPr>
        <w:t>s</w:t>
      </w:r>
      <w:r w:rsidRPr="00E95AB1" w:rsidR="00C642B5">
        <w:rPr>
          <w:rFonts w:cstheme="minorHAnsi"/>
        </w:rPr>
        <w:t xml:space="preserve"> these data for related duties and purposes as contemplated by the Dodd-Frank Act. </w:t>
      </w:r>
      <w:r w:rsidR="00874BCA">
        <w:rPr>
          <w:rFonts w:cstheme="minorHAnsi"/>
        </w:rPr>
        <w:t xml:space="preserve"> </w:t>
      </w:r>
      <w:r w:rsidRPr="00E95AB1" w:rsidR="00C642B5">
        <w:rPr>
          <w:rFonts w:cstheme="minorHAnsi"/>
        </w:rPr>
        <w:t>The Office supports the Council and its member agencies by providing collected data.</w:t>
      </w:r>
    </w:p>
    <w:p w:rsidR="00843002" w:rsidP="00843002" w14:paraId="74047D96" w14:textId="77777777">
      <w:pPr>
        <w:pStyle w:val="ListParagraph"/>
        <w:ind w:left="1080"/>
      </w:pPr>
    </w:p>
    <w:p w:rsidR="00E00B4D" w:rsidRPr="009635D8" w:rsidP="009635D8" w14:paraId="6B52D7B4" w14:textId="77777777">
      <w:pPr>
        <w:pStyle w:val="ListParagraph"/>
        <w:numPr>
          <w:ilvl w:val="0"/>
          <w:numId w:val="1"/>
        </w:numPr>
        <w:rPr>
          <w:b/>
        </w:rPr>
      </w:pPr>
      <w:r w:rsidRPr="009635D8">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F3F61" w:rsidRPr="00943A52" w:rsidP="006E413A" w14:paraId="642A0A1A" w14:textId="1AC6633A">
      <w:pPr>
        <w:spacing w:after="0" w:line="240" w:lineRule="auto"/>
        <w:ind w:left="360"/>
      </w:pPr>
      <w:r w:rsidRPr="00943A52">
        <w:t>The Office has engaged with the FRBNY to act as the collection agent with required data submitted directly to the FRBNY electronically.</w:t>
      </w:r>
      <w:r w:rsidR="00874BCA">
        <w:t xml:space="preserve"> </w:t>
      </w:r>
      <w:r w:rsidRPr="00943A52">
        <w:t xml:space="preserve"> This step </w:t>
      </w:r>
      <w:r w:rsidR="00874BCA">
        <w:t>was</w:t>
      </w:r>
      <w:r w:rsidRPr="00943A52" w:rsidR="00874BCA">
        <w:t xml:space="preserve"> </w:t>
      </w:r>
      <w:r w:rsidRPr="00943A52">
        <w:t xml:space="preserve">designed to decrease burden by building on a </w:t>
      </w:r>
      <w:r w:rsidR="00874BCA">
        <w:t>then-</w:t>
      </w:r>
      <w:r w:rsidRPr="00943A52">
        <w:t xml:space="preserve">current voluntary electronic data submission by the </w:t>
      </w:r>
      <w:r w:rsidR="00F04016">
        <w:t xml:space="preserve">sole </w:t>
      </w:r>
      <w:r w:rsidRPr="00943A52">
        <w:t xml:space="preserve"> covered reporter</w:t>
      </w:r>
      <w:r w:rsidR="00F04016">
        <w:t xml:space="preserve"> which has </w:t>
      </w:r>
      <w:r w:rsidR="009C13CE">
        <w:t xml:space="preserve">been developed by </w:t>
      </w:r>
      <w:r w:rsidR="00F04016">
        <w:t>the covered reporter</w:t>
      </w:r>
      <w:r w:rsidR="009C13CE">
        <w:t xml:space="preserve"> to operate in an automated manner</w:t>
      </w:r>
      <w:r w:rsidRPr="00943A52">
        <w:t xml:space="preserve">.  The Office </w:t>
      </w:r>
      <w:r w:rsidR="00874BCA">
        <w:t>has</w:t>
      </w:r>
      <w:r w:rsidRPr="00943A52" w:rsidR="00874BCA">
        <w:t xml:space="preserve"> </w:t>
      </w:r>
      <w:r w:rsidRPr="00943A52">
        <w:t>arrange</w:t>
      </w:r>
      <w:r w:rsidR="00874BCA">
        <w:t>d</w:t>
      </w:r>
      <w:r w:rsidRPr="00943A52">
        <w:t xml:space="preserve"> with FRBNY for the transmission of collected data to the Office.  </w:t>
      </w:r>
    </w:p>
    <w:p w:rsidR="00DF3F61" w:rsidRPr="006E413A" w:rsidP="006E413A" w14:paraId="3BD26F12" w14:textId="77777777">
      <w:pPr>
        <w:spacing w:after="0" w:line="240" w:lineRule="auto"/>
        <w:ind w:left="360"/>
        <w:rPr>
          <w:rFonts w:ascii="Times New Roman" w:hAnsi="Times New Roman" w:cs="Times New Roman"/>
          <w:sz w:val="24"/>
          <w:szCs w:val="24"/>
        </w:rPr>
      </w:pPr>
    </w:p>
    <w:p w:rsidR="00E00B4D" w:rsidRPr="009635D8" w:rsidP="006E413A" w14:paraId="12FBE766" w14:textId="77777777">
      <w:pPr>
        <w:pStyle w:val="ListParagraph"/>
        <w:numPr>
          <w:ilvl w:val="0"/>
          <w:numId w:val="1"/>
        </w:numPr>
        <w:rPr>
          <w:b/>
        </w:rPr>
      </w:pPr>
      <w:r w:rsidRPr="009635D8">
        <w:rPr>
          <w:b/>
        </w:rPr>
        <w:t xml:space="preserve">Describe efforts to identify duplication. Show specifically why any similar information already available cannot be used or modified for use for the purposes described in Item 2 above. </w:t>
      </w:r>
    </w:p>
    <w:p w:rsidR="00CE2732" w:rsidP="00146A43" w14:paraId="64E8F012" w14:textId="77777777">
      <w:pPr>
        <w:pStyle w:val="ListParagraph"/>
        <w:ind w:left="360"/>
      </w:pPr>
    </w:p>
    <w:p w:rsidR="00AC327E" w:rsidP="00AC327E" w14:paraId="41562079" w14:textId="47D972D9">
      <w:pPr>
        <w:pStyle w:val="ListParagraph"/>
        <w:spacing w:line="233" w:lineRule="atLeast"/>
        <w:ind w:left="360"/>
      </w:pPr>
      <w:bookmarkStart w:id="0" w:name="_Hlk109832681"/>
      <w:r>
        <w:t>The Office has reviewed other collections that cover similar information, and has found no duplication.</w:t>
      </w:r>
      <w:r w:rsidR="00F04016">
        <w:t xml:space="preserve"> </w:t>
      </w:r>
      <w:r>
        <w:t xml:space="preserve"> This collection is designed to capture transaction-level information on a daily basis. </w:t>
      </w:r>
      <w:r w:rsidR="00F04016">
        <w:t xml:space="preserve"> </w:t>
      </w:r>
      <w:r w:rsidR="00F650A2">
        <w:t>The Office has reviewed the collections of the covered entit</w:t>
      </w:r>
      <w:r w:rsidR="00F04016">
        <w:t>y</w:t>
      </w:r>
      <w:r w:rsidR="00F650A2">
        <w:t>’</w:t>
      </w:r>
      <w:r w:rsidR="00F04016">
        <w:t>s</w:t>
      </w:r>
      <w:r w:rsidR="00F650A2">
        <w:t xml:space="preserve"> primary regulator, the SEC, and has consulted with the SEC, and has found no evidence of a collection of this sort of transactional information related to repurchase agreements. </w:t>
      </w:r>
      <w:r w:rsidR="00F04016">
        <w:t xml:space="preserve"> </w:t>
      </w:r>
    </w:p>
    <w:p w:rsidR="009D3D5B" w:rsidP="00AC327E" w14:paraId="7DEA1DF2" w14:textId="77777777">
      <w:pPr>
        <w:pStyle w:val="ListParagraph"/>
        <w:spacing w:line="233" w:lineRule="atLeast"/>
        <w:ind w:left="360"/>
      </w:pPr>
    </w:p>
    <w:p w:rsidR="00AC327E" w:rsidP="00AC327E" w14:paraId="20736676" w14:textId="36DE0171">
      <w:pPr>
        <w:pStyle w:val="ListParagraph"/>
        <w:spacing w:line="233" w:lineRule="atLeast"/>
        <w:ind w:left="360"/>
      </w:pPr>
      <w:r>
        <w:t xml:space="preserve">SEC Forms N-MFP and N-PORT do collect some </w:t>
      </w:r>
      <w:r>
        <w:t>data</w:t>
      </w:r>
      <w:r>
        <w:t xml:space="preserve"> but they do not provide the frequency or coverage to adequately provide information on the repurchase agreement market.  The monthly transactional snapshot of both these forms misses most repurchase trades due to </w:t>
      </w:r>
      <w:r w:rsidR="0063076E">
        <w:t>their</w:t>
      </w:r>
      <w:r>
        <w:t xml:space="preserve"> infrequency combined with the short tenor of repo trades, and the fact </w:t>
      </w:r>
      <w:r w:rsidR="0063076E">
        <w:t xml:space="preserve">they </w:t>
      </w:r>
      <w:r>
        <w:t>generally cover funds that transact in a type of repo that is not covered by the collection. </w:t>
      </w:r>
    </w:p>
    <w:p w:rsidR="009D3D5B" w:rsidP="00146A43" w14:paraId="51590B42" w14:textId="77777777">
      <w:pPr>
        <w:pStyle w:val="ListParagraph"/>
        <w:ind w:left="360"/>
      </w:pPr>
    </w:p>
    <w:p w:rsidR="00CE2732" w:rsidP="00146A43" w14:paraId="574ECF55" w14:textId="1F566B24">
      <w:pPr>
        <w:pStyle w:val="ListParagraph"/>
        <w:ind w:left="360"/>
      </w:pPr>
      <w:r>
        <w:t>T</w:t>
      </w:r>
      <w:r w:rsidR="00F650A2">
        <w:t xml:space="preserve">he Office is </w:t>
      </w:r>
      <w:r>
        <w:t xml:space="preserve">also </w:t>
      </w:r>
      <w:r w:rsidR="00F650A2">
        <w:t xml:space="preserve">working closely with the Federal Reserve, </w:t>
      </w:r>
      <w:r w:rsidR="006C25D0">
        <w:t>which</w:t>
      </w:r>
      <w:r w:rsidR="00F650A2">
        <w:t xml:space="preserve"> likewise has no similar collection of transactional information in place under its supervisory authority.</w:t>
      </w:r>
      <w:r w:rsidR="00F04016">
        <w:t xml:space="preserve"> </w:t>
      </w:r>
      <w:r w:rsidR="00F650A2">
        <w:t xml:space="preserve"> </w:t>
      </w:r>
      <w:r w:rsidR="006C25D0">
        <w:t xml:space="preserve">The only existing collection that captures similar type of information on a transactional basis is the Qualified Financial Contract (“QFC”) rule. </w:t>
      </w:r>
      <w:r w:rsidR="00F04016">
        <w:t xml:space="preserve"> </w:t>
      </w:r>
      <w:r w:rsidR="006C25D0">
        <w:t xml:space="preserve">This collection is not duplicative of the QFC rule, because it occurs at a different frequency and on an on-going basis instead of as requested, and because the QFC rule does not require the submission of information related to cleared trades (81 FR 75624, 75631-2). </w:t>
      </w:r>
      <w:r w:rsidR="00F04016">
        <w:t xml:space="preserve"> </w:t>
      </w:r>
      <w:r w:rsidR="00BD66D5">
        <w:t xml:space="preserve">A small subset of the </w:t>
      </w:r>
      <w:r w:rsidR="00F650A2">
        <w:t xml:space="preserve">fields and transactions </w:t>
      </w:r>
      <w:r w:rsidR="00BD66D5">
        <w:t xml:space="preserve">that </w:t>
      </w:r>
      <w:r w:rsidR="00F04016">
        <w:t xml:space="preserve">are </w:t>
      </w:r>
      <w:r w:rsidR="00BD66D5">
        <w:t xml:space="preserve">collected by this </w:t>
      </w:r>
      <w:r w:rsidR="00F04016">
        <w:t xml:space="preserve">rule was, prior to the rule, </w:t>
      </w:r>
      <w:r w:rsidR="00F650A2">
        <w:t xml:space="preserve">made available on a voluntary basis to the Federal Reserve Bank of New York, </w:t>
      </w:r>
      <w:r w:rsidR="00F04016">
        <w:t xml:space="preserve">but </w:t>
      </w:r>
      <w:r w:rsidR="00BD66D5">
        <w:t xml:space="preserve">the implementation of </w:t>
      </w:r>
      <w:r w:rsidR="00BD66D5">
        <w:t xml:space="preserve">this </w:t>
      </w:r>
      <w:r w:rsidR="00F04016">
        <w:t xml:space="preserve">rule has </w:t>
      </w:r>
      <w:r w:rsidR="00BD66D5">
        <w:t>lead to a transition where the voluntarily submission no longer exists thereby avoiding duplication of submissions.</w:t>
      </w:r>
      <w:r w:rsidR="002F7BEC">
        <w:t xml:space="preserve">  </w:t>
      </w:r>
    </w:p>
    <w:bookmarkEnd w:id="0"/>
    <w:p w:rsidR="00CE2732" w:rsidP="00146A43" w14:paraId="0574E632" w14:textId="77777777">
      <w:pPr>
        <w:pStyle w:val="ListParagraph"/>
        <w:ind w:left="360"/>
      </w:pPr>
    </w:p>
    <w:p w:rsidR="00E00B4D" w:rsidRPr="00CE2732" w:rsidP="00CE2732" w14:paraId="70AFB85E" w14:textId="77777777">
      <w:pPr>
        <w:pStyle w:val="ListParagraph"/>
        <w:numPr>
          <w:ilvl w:val="0"/>
          <w:numId w:val="1"/>
        </w:numPr>
        <w:rPr>
          <w:b/>
        </w:rPr>
      </w:pPr>
      <w:r w:rsidRPr="00CE2732">
        <w:rPr>
          <w:b/>
        </w:rPr>
        <w:t xml:space="preserve">If the collection of information impacts small businesses or other small entities (Item 5 of OMB Form 83-I), describe any methods used to minimize burden. </w:t>
      </w:r>
    </w:p>
    <w:p w:rsidR="00E00B4D" w:rsidP="00843002" w14:paraId="2040F4CC" w14:textId="77777777">
      <w:pPr>
        <w:ind w:firstLine="360"/>
      </w:pPr>
      <w:r>
        <w:t xml:space="preserve">This information collection does not have an impact on small businesses or other small entities.  </w:t>
      </w:r>
    </w:p>
    <w:p w:rsidR="00535F5E" w:rsidP="006E413A" w14:paraId="76FBF951" w14:textId="77777777">
      <w:pPr>
        <w:pStyle w:val="ListParagraph"/>
        <w:numPr>
          <w:ilvl w:val="0"/>
          <w:numId w:val="1"/>
        </w:numPr>
        <w:rPr>
          <w:b/>
        </w:rPr>
      </w:pPr>
      <w:r w:rsidRPr="009635D8">
        <w:rPr>
          <w:b/>
        </w:rPr>
        <w:t xml:space="preserve">Describe the consequence to Federal program or policy activities if the collection is not conducted or is conducted less frequently, as well as any technical or legal obstacles to reducing burden. </w:t>
      </w:r>
    </w:p>
    <w:p w:rsidR="00E00B4D" w:rsidRPr="00C25317" w:rsidP="00E95AB1" w14:paraId="3B989602" w14:textId="77777777">
      <w:pPr>
        <w:ind w:left="360"/>
        <w:rPr>
          <w:b/>
          <w:color w:val="FF0000"/>
        </w:rPr>
      </w:pPr>
      <w:r w:rsidRPr="006E413A">
        <w:t xml:space="preserve">Per Item 1 and 2, this collection is necessary for monitoring the repurchase agreement market and supplying data for alternative reference rates.  </w:t>
      </w:r>
      <w:r>
        <w:t xml:space="preserve">The inability to monitor the market creates financial stability risks as the Council and member agencies will not have a clear picture of one of the largest short-term funding markets.  </w:t>
      </w:r>
      <w:r w:rsidR="007D65A3">
        <w:t>If the data are not available for reference rate purposes, rate oversight will be made more difficult, increasing the probability of errors impacting the finances of private firms, and decreasing</w:t>
      </w:r>
      <w:r>
        <w:t xml:space="preserve"> the probability of a successful alternative rate implementation over the long-term.</w:t>
      </w:r>
      <w:r w:rsidRPr="00C25317">
        <w:rPr>
          <w:b/>
          <w:color w:val="FF0000"/>
        </w:rPr>
        <w:t xml:space="preserve"> </w:t>
      </w:r>
    </w:p>
    <w:p w:rsidR="00E00B4D" w:rsidP="006E413A" w14:paraId="67BF8EAF" w14:textId="77777777">
      <w:pPr>
        <w:pStyle w:val="ListParagraph"/>
        <w:numPr>
          <w:ilvl w:val="0"/>
          <w:numId w:val="1"/>
        </w:numPr>
        <w:rPr>
          <w:b/>
        </w:rPr>
      </w:pPr>
      <w:r w:rsidRPr="009635D8">
        <w:rPr>
          <w:b/>
        </w:rPr>
        <w:t xml:space="preserve">Explain any special circumstances that would cause an information collection to be conducted in a manner: </w:t>
      </w:r>
    </w:p>
    <w:p w:rsidR="00843002" w:rsidP="00843002" w14:paraId="3AD1C61D" w14:textId="77777777">
      <w:pPr>
        <w:pStyle w:val="ListParagraph"/>
        <w:ind w:left="360"/>
        <w:rPr>
          <w:b/>
        </w:rPr>
      </w:pPr>
    </w:p>
    <w:p w:rsidR="00B345B6" w:rsidRPr="00FD5511" w:rsidP="00B345B6" w14:paraId="1CAA07A6" w14:textId="77777777">
      <w:pPr>
        <w:pStyle w:val="ListParagraph"/>
        <w:numPr>
          <w:ilvl w:val="0"/>
          <w:numId w:val="2"/>
        </w:numPr>
        <w:rPr>
          <w:b/>
          <w:bCs/>
        </w:rPr>
      </w:pPr>
      <w:r w:rsidRPr="00FD5511">
        <w:rPr>
          <w:b/>
          <w:bCs/>
        </w:rPr>
        <w:t xml:space="preserve">Requiring respondents to report information to the agency more often than </w:t>
      </w:r>
      <w:r w:rsidRPr="00FD5511">
        <w:rPr>
          <w:b/>
          <w:bCs/>
        </w:rPr>
        <w:t>quarterly;</w:t>
      </w:r>
      <w:r w:rsidRPr="00FD5511">
        <w:rPr>
          <w:b/>
          <w:bCs/>
        </w:rPr>
        <w:t xml:space="preserve"> </w:t>
      </w:r>
    </w:p>
    <w:p w:rsidR="009635D8" w:rsidRPr="00FD5511" w:rsidP="009C3A31" w14:paraId="41F43F39" w14:textId="210688A1">
      <w:pPr>
        <w:ind w:left="360"/>
        <w:rPr>
          <w:b/>
          <w:bCs/>
        </w:rPr>
      </w:pPr>
      <w:r w:rsidRPr="00FD5511">
        <w:rPr>
          <w:b/>
          <w:bCs/>
        </w:rPr>
        <w:t xml:space="preserve">Information </w:t>
      </w:r>
      <w:r w:rsidRPr="00FD5511" w:rsidR="00F04016">
        <w:rPr>
          <w:b/>
          <w:bCs/>
        </w:rPr>
        <w:t xml:space="preserve">is </w:t>
      </w:r>
      <w:r w:rsidRPr="00FD5511">
        <w:rPr>
          <w:b/>
          <w:bCs/>
        </w:rPr>
        <w:t>required daily.  This is critical for the calculation of daily alternative reference rates.  It is also critical to monitor the market given historically destabilizing activities can occur in a matter of days.</w:t>
      </w:r>
    </w:p>
    <w:p w:rsidR="009635D8" w:rsidRPr="00FD5511" w:rsidP="009635D8" w14:paraId="522A5854" w14:textId="77777777">
      <w:pPr>
        <w:pStyle w:val="ListParagraph"/>
        <w:rPr>
          <w:b/>
          <w:bCs/>
        </w:rPr>
      </w:pPr>
    </w:p>
    <w:p w:rsidR="001931C2" w:rsidRPr="00FD5511" w:rsidP="001931C2" w14:paraId="3D8B7A90" w14:textId="77777777">
      <w:pPr>
        <w:pStyle w:val="ListParagraph"/>
        <w:numPr>
          <w:ilvl w:val="0"/>
          <w:numId w:val="2"/>
        </w:numPr>
        <w:rPr>
          <w:b/>
          <w:bCs/>
        </w:rPr>
      </w:pPr>
      <w:r w:rsidRPr="00FD5511">
        <w:rPr>
          <w:b/>
          <w:bCs/>
        </w:rPr>
        <w:t>R</w:t>
      </w:r>
      <w:r w:rsidRPr="00FD5511" w:rsidR="00E00B4D">
        <w:rPr>
          <w:b/>
          <w:bCs/>
        </w:rPr>
        <w:t xml:space="preserve">equiring respondents to submit proprietary trade secret, or other confidential information unless the agency can demonstrate that it has instituted procedures to protect the information's confidentiality to the extent permitted by law. </w:t>
      </w:r>
    </w:p>
    <w:p w:rsidR="00025FB3" w:rsidP="00025FB3" w14:paraId="2AE9BD4E" w14:textId="0A34E85D">
      <w:pPr>
        <w:ind w:left="360"/>
      </w:pPr>
      <w:r>
        <w:t xml:space="preserve">The Office is required by statute to ensure data collected is kept secured and protected from unauthorized disclosure (12 U.S.C. </w:t>
      </w:r>
      <w:r w:rsidR="00771864">
        <w:rPr>
          <w:rFonts w:cstheme="minorHAnsi"/>
        </w:rPr>
        <w:t>§</w:t>
      </w:r>
      <w:r>
        <w:t xml:space="preserve">5344(b)(3)). </w:t>
      </w:r>
      <w:r w:rsidR="00854882">
        <w:t xml:space="preserve"> </w:t>
      </w:r>
      <w:r w:rsidR="004E7669">
        <w:t xml:space="preserve">The Office is permitted, after consultation with member agencies, to provide data to the industry and public for certain reasons to the extent intellectual property rights are not violated, business confidential information is propertly protected, and the sharing of such information poses no significant threats to the financial system (12 U.S.C. </w:t>
      </w:r>
      <w:r w:rsidR="00771864">
        <w:rPr>
          <w:rFonts w:cstheme="minorHAnsi"/>
        </w:rPr>
        <w:t>§</w:t>
      </w:r>
      <w:r w:rsidR="004E7669">
        <w:t>5344(b)(6)).</w:t>
      </w:r>
      <w:r w:rsidR="00854882">
        <w:t xml:space="preserve">  </w:t>
      </w:r>
      <w:r>
        <w:t xml:space="preserve">This information collection is conducted in a manner consistent with guidelines in 5 CFR </w:t>
      </w:r>
      <w:r w:rsidR="00A02071">
        <w:rPr>
          <w:rFonts w:cstheme="minorHAnsi"/>
        </w:rPr>
        <w:t>§</w:t>
      </w:r>
      <w:r>
        <w:t>1320.5(d</w:t>
      </w:r>
      <w:r w:rsidR="00156829">
        <w:t>) (</w:t>
      </w:r>
      <w:r>
        <w:t>2)</w:t>
      </w:r>
    </w:p>
    <w:p w:rsidR="00037248" w:rsidP="00025FB3" w14:paraId="64102EC1" w14:textId="77777777">
      <w:pPr>
        <w:ind w:left="360"/>
      </w:pPr>
    </w:p>
    <w:p w:rsidR="00E00B4D" w:rsidRPr="009635D8" w:rsidP="009635D8" w14:paraId="5BDE7EA6" w14:textId="77777777">
      <w:pPr>
        <w:pStyle w:val="ListParagraph"/>
        <w:numPr>
          <w:ilvl w:val="0"/>
          <w:numId w:val="1"/>
        </w:numPr>
        <w:rPr>
          <w:b/>
        </w:rPr>
      </w:pPr>
      <w:r w:rsidRPr="009635D8">
        <w:rPr>
          <w:b/>
        </w:rPr>
        <w:t xml:space="preserve">If applicable, provide a copy and identify the data and page number of publication in the Federal Register of the agency's notice, required by 5 CFR </w:t>
      </w:r>
      <w:r w:rsidR="00A02071">
        <w:rPr>
          <w:rFonts w:cstheme="minorHAnsi"/>
          <w:b/>
        </w:rPr>
        <w:t>§</w:t>
      </w:r>
      <w:r w:rsidRPr="009635D8">
        <w:rPr>
          <w:b/>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00B4D" w:rsidRPr="009F1065" w:rsidP="009635D8" w14:paraId="01AD8CA9" w14:textId="78A3C3CB">
      <w:pPr>
        <w:ind w:left="360"/>
        <w:rPr>
          <w:b/>
        </w:rPr>
      </w:pPr>
      <w:r>
        <w:t xml:space="preserve">Treasury solicited public comments on these information requirements for 60 days following publication of a notice in the </w:t>
      </w:r>
      <w:r w:rsidRPr="00B9099F">
        <w:rPr>
          <w:i/>
          <w:iCs/>
        </w:rPr>
        <w:t>Federal Register</w:t>
      </w:r>
      <w:r>
        <w:t xml:space="preserve"> on </w:t>
      </w:r>
      <w:r w:rsidR="008C0F10">
        <w:t>July 23</w:t>
      </w:r>
      <w:r>
        <w:t>, 202</w:t>
      </w:r>
      <w:r w:rsidR="008C0F10">
        <w:t>5</w:t>
      </w:r>
      <w:r>
        <w:t xml:space="preserve"> (</w:t>
      </w:r>
      <w:r w:rsidRPr="008C0F10" w:rsidR="008C0F10">
        <w:t>90 FR 34738</w:t>
      </w:r>
      <w:r>
        <w:t>).</w:t>
      </w:r>
      <w:r w:rsidR="00854882">
        <w:t xml:space="preserve"> </w:t>
      </w:r>
      <w:r>
        <w:t xml:space="preserve"> No comments were received.</w:t>
      </w:r>
    </w:p>
    <w:p w:rsidR="00E00B4D" w:rsidRPr="009F1065" w:rsidP="009635D8" w14:paraId="79F9E783" w14:textId="77777777">
      <w:pPr>
        <w:pStyle w:val="ListParagraph"/>
        <w:numPr>
          <w:ilvl w:val="0"/>
          <w:numId w:val="1"/>
        </w:numPr>
        <w:rPr>
          <w:b/>
        </w:rPr>
      </w:pPr>
      <w:r w:rsidRPr="009635D8">
        <w:rPr>
          <w:b/>
        </w:rPr>
        <w:t>Explain any decision to provide any payment or gift to respondents, other than remuneration of contractors or grantees</w:t>
      </w:r>
      <w:r w:rsidRPr="009F1065">
        <w:rPr>
          <w:b/>
        </w:rPr>
        <w:t xml:space="preserve">. </w:t>
      </w:r>
    </w:p>
    <w:p w:rsidR="00E00B4D" w:rsidP="00025FB3" w14:paraId="03338EAC" w14:textId="77777777">
      <w:pPr>
        <w:ind w:firstLine="360"/>
      </w:pPr>
      <w:r>
        <w:t>The Office</w:t>
      </w:r>
      <w:r w:rsidR="00025FB3">
        <w:t xml:space="preserve"> does not provide payments or gifts to respondents in exchange for a benefit sought. </w:t>
      </w:r>
    </w:p>
    <w:p w:rsidR="00E00B4D" w:rsidP="009635D8" w14:paraId="6BF50D43" w14:textId="77777777">
      <w:pPr>
        <w:pStyle w:val="ListParagraph"/>
        <w:numPr>
          <w:ilvl w:val="0"/>
          <w:numId w:val="1"/>
        </w:numPr>
        <w:rPr>
          <w:b/>
        </w:rPr>
      </w:pPr>
      <w:r w:rsidRPr="009635D8">
        <w:rPr>
          <w:b/>
        </w:rPr>
        <w:t xml:space="preserve">Describe any assurance of confidentiality provided to respondents and the basis for the assurance in statute, regulation, or agency policy. </w:t>
      </w:r>
    </w:p>
    <w:p w:rsidR="00DF4B6D" w:rsidRPr="00DF4B6D" w:rsidP="00E139DE" w14:paraId="330AA6B3" w14:textId="042810D7">
      <w:pPr>
        <w:ind w:left="360"/>
      </w:pPr>
      <w:r w:rsidRPr="007C0EEB">
        <w:t>The Office</w:t>
      </w:r>
      <w:r w:rsidR="00854882">
        <w:t>’s</w:t>
      </w:r>
      <w:r w:rsidRPr="007C0EEB">
        <w:t xml:space="preserve"> ability to collect data contains specific statutory limitations regarding the confidential treatment of data</w:t>
      </w:r>
      <w:r w:rsidR="00C42CCF">
        <w:t xml:space="preserve"> which is cited in the </w:t>
      </w:r>
      <w:r w:rsidR="000B0352">
        <w:t>rule</w:t>
      </w:r>
      <w:r w:rsidRPr="007C0EEB">
        <w:t xml:space="preserve">.  </w:t>
      </w:r>
      <w:r w:rsidR="0090130D">
        <w:t xml:space="preserve">Specifically, under 12 U.S.C. </w:t>
      </w:r>
      <w:r w:rsidR="003C0ED1">
        <w:rPr>
          <w:rFonts w:cstheme="minorHAnsi"/>
        </w:rPr>
        <w:t>§</w:t>
      </w:r>
      <w:r w:rsidR="0090130D">
        <w:t>5344(b)(6), the Office can provide “certain data to financial industry participants and to the general public to increase market transparency and facilitate research on the financial system, to the extent that intellectual property rights are not violated, business confidential information is properly protected, and the sharing of such information poses no significant threats to the financial system of the United States.”</w:t>
      </w:r>
      <w:r w:rsidR="004324CA">
        <w:t xml:space="preserve">  </w:t>
      </w:r>
      <w:r w:rsidR="00363A5E">
        <w:t xml:space="preserve">Additionally, </w:t>
      </w:r>
      <w:r w:rsidR="00CF7EED">
        <w:t>t</w:t>
      </w:r>
      <w:r w:rsidR="004324CA">
        <w:t xml:space="preserve">he Office, under </w:t>
      </w:r>
      <w:r w:rsidR="003C0ED1">
        <w:rPr>
          <w:rFonts w:cstheme="minorHAnsi"/>
        </w:rPr>
        <w:t>§</w:t>
      </w:r>
      <w:r w:rsidR="004324CA">
        <w:t xml:space="preserve">5344(b)(5), “shall make data collected and maintained by the Data Center available to the Council and member agencies, as necessary to support their regulatory responsibilities.”  </w:t>
      </w:r>
      <w:r w:rsidR="003B4202">
        <w:t xml:space="preserve">Under </w:t>
      </w:r>
      <w:r w:rsidR="003C0ED1">
        <w:rPr>
          <w:rFonts w:cstheme="minorHAnsi"/>
        </w:rPr>
        <w:t>§</w:t>
      </w:r>
      <w:r w:rsidR="003B4202">
        <w:t xml:space="preserve">5344(b)(3), the Office has an information security requirement to “ensure that data collected and maintained by the Data Center are kept secure and protected against unauthorized </w:t>
      </w:r>
      <w:r w:rsidR="00C42CCF">
        <w:t>disclosure</w:t>
      </w:r>
      <w:r w:rsidR="003B4202">
        <w:t xml:space="preserve">.”  </w:t>
      </w:r>
    </w:p>
    <w:p w:rsidR="00E00B4D" w:rsidRPr="009635D8" w:rsidP="009635D8" w14:paraId="3AA9E609" w14:textId="77777777">
      <w:pPr>
        <w:pStyle w:val="ListParagraph"/>
        <w:numPr>
          <w:ilvl w:val="0"/>
          <w:numId w:val="1"/>
        </w:numPr>
        <w:rPr>
          <w:b/>
        </w:rPr>
      </w:pPr>
      <w:r w:rsidRPr="009635D8">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 </w:t>
      </w:r>
    </w:p>
    <w:p w:rsidR="00E00B4D" w:rsidP="00025FB3" w14:paraId="22EACC46" w14:textId="77777777">
      <w:pPr>
        <w:ind w:firstLine="360"/>
      </w:pPr>
      <w:r>
        <w:t xml:space="preserve">There are no questions of sensitive nature.  </w:t>
      </w:r>
    </w:p>
    <w:p w:rsidR="00E00B4D" w:rsidRPr="009635D8" w:rsidP="009635D8" w14:paraId="24AB6D93" w14:textId="50544E84">
      <w:pPr>
        <w:pStyle w:val="ListParagraph"/>
        <w:numPr>
          <w:ilvl w:val="0"/>
          <w:numId w:val="1"/>
        </w:numPr>
        <w:rPr>
          <w:b/>
        </w:rPr>
      </w:pPr>
      <w:r w:rsidRPr="009635D8">
        <w:rPr>
          <w:b/>
        </w:rPr>
        <w:t>Provide estimates of the hour burden of the collection of information.</w:t>
      </w:r>
      <w:r w:rsidR="00E23AD2">
        <w:rPr>
          <w:b/>
        </w:rPr>
        <w:t xml:space="preserve"> </w:t>
      </w:r>
      <w:r w:rsidRPr="009635D8">
        <w:rPr>
          <w:b/>
        </w:rPr>
        <w:t xml:space="preserve"> The statement should: </w:t>
      </w:r>
    </w:p>
    <w:p w:rsidR="009635D8" w:rsidP="009635D8" w14:paraId="5F977991" w14:textId="77777777">
      <w:pPr>
        <w:pStyle w:val="ListParagraph"/>
      </w:pPr>
    </w:p>
    <w:p w:rsidR="00E00B4D" w:rsidRPr="00DC37B2" w:rsidP="009635D8" w14:paraId="511F8F5C" w14:textId="059A03D6">
      <w:pPr>
        <w:pStyle w:val="ListParagraph"/>
        <w:numPr>
          <w:ilvl w:val="0"/>
          <w:numId w:val="3"/>
        </w:numPr>
        <w:rPr>
          <w:b/>
          <w:bCs/>
        </w:rPr>
      </w:pPr>
      <w:r w:rsidRPr="00DC37B2">
        <w:rPr>
          <w:b/>
          <w:bCs/>
        </w:rPr>
        <w:t xml:space="preserve">Indicate the number of respondents, frequency of response, annual hour burden, and an explanation of how the burden was estimated. </w:t>
      </w:r>
      <w:r w:rsidRPr="00DC37B2" w:rsidR="00854882">
        <w:rPr>
          <w:b/>
          <w:bCs/>
        </w:rPr>
        <w:t xml:space="preserve"> </w:t>
      </w:r>
      <w:r w:rsidRPr="00DC37B2">
        <w:rPr>
          <w:b/>
          <w:bCs/>
        </w:rPr>
        <w:t xml:space="preserve">Unless directed to do so, agencies should not conduct special surveys to obtain information on which to base hour burden estimates. Consultation with a sample (fewer than 10) of potential respondents is desirable. </w:t>
      </w:r>
      <w:r w:rsidRPr="00DC37B2" w:rsidR="00854882">
        <w:rPr>
          <w:b/>
          <w:bCs/>
        </w:rPr>
        <w:t xml:space="preserve">  </w:t>
      </w:r>
      <w:r w:rsidRPr="00DC37B2">
        <w:rPr>
          <w:b/>
          <w:bCs/>
        </w:rPr>
        <w:t xml:space="preserve">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635D8" w:rsidRPr="00DC37B2" w:rsidP="009635D8" w14:paraId="42CB948A" w14:textId="77777777">
      <w:pPr>
        <w:pStyle w:val="ListParagraph"/>
        <w:rPr>
          <w:b/>
          <w:bCs/>
        </w:rPr>
      </w:pPr>
    </w:p>
    <w:p w:rsidR="00E00B4D" w:rsidRPr="00DC37B2" w:rsidP="009635D8" w14:paraId="170E3CFD" w14:textId="74685D7F">
      <w:pPr>
        <w:pStyle w:val="ListParagraph"/>
        <w:numPr>
          <w:ilvl w:val="0"/>
          <w:numId w:val="3"/>
        </w:numPr>
        <w:rPr>
          <w:b/>
          <w:bCs/>
        </w:rPr>
      </w:pPr>
      <w:r w:rsidRPr="00DC37B2">
        <w:rPr>
          <w:b/>
          <w:bCs/>
        </w:rPr>
        <w:t xml:space="preserve">If this request for approval covers more than one form, provide separate hour burden estimates for each form and aggregate the hour burdens. </w:t>
      </w:r>
    </w:p>
    <w:p w:rsidR="009635D8" w:rsidRPr="00DC37B2" w:rsidP="009635D8" w14:paraId="18467AFF" w14:textId="77777777">
      <w:pPr>
        <w:pStyle w:val="ListParagraph"/>
        <w:rPr>
          <w:b/>
          <w:bCs/>
        </w:rPr>
      </w:pPr>
    </w:p>
    <w:p w:rsidR="009635D8" w:rsidRPr="00DC37B2" w:rsidP="009635D8" w14:paraId="62E94E3E" w14:textId="5F2FBDC3">
      <w:pPr>
        <w:pStyle w:val="ListParagraph"/>
        <w:numPr>
          <w:ilvl w:val="0"/>
          <w:numId w:val="3"/>
        </w:numPr>
        <w:rPr>
          <w:b/>
          <w:bCs/>
        </w:rPr>
      </w:pPr>
      <w:r w:rsidRPr="00DC37B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Pr="00DC37B2" w:rsidR="00C535E2">
        <w:rPr>
          <w:b/>
          <w:bCs/>
        </w:rPr>
        <w:t>3</w:t>
      </w:r>
      <w:r w:rsidRPr="00DC37B2" w:rsidR="001B2A06">
        <w:rPr>
          <w:b/>
          <w:bCs/>
        </w:rPr>
        <w:t>.</w:t>
      </w:r>
    </w:p>
    <w:p w:rsidR="00F8162E" w:rsidP="00F8162E" w14:paraId="7B74F155" w14:textId="77777777">
      <w:pPr>
        <w:pStyle w:val="NormalWeb"/>
        <w:spacing w:before="0" w:beforeAutospacing="0" w:after="0" w:afterAutospacing="0"/>
        <w:rPr>
          <w:rFonts w:asciiTheme="minorHAnsi" w:hAnsiTheme="minorHAnsi" w:cstheme="minorHAnsi"/>
          <w:color w:val="000000"/>
          <w:spacing w:val="4"/>
          <w:sz w:val="22"/>
          <w:szCs w:val="22"/>
        </w:rPr>
      </w:pPr>
    </w:p>
    <w:p w:rsidR="00F8162E" w:rsidP="00F8162E" w14:paraId="449F8CC5" w14:textId="1F792F80">
      <w:pPr>
        <w:pStyle w:val="NormalWeb"/>
        <w:spacing w:before="0" w:beforeAutospacing="0" w:after="0" w:afterAutospacing="0"/>
        <w:rPr>
          <w:rFonts w:asciiTheme="minorHAnsi" w:hAnsiTheme="minorHAnsi" w:cstheme="minorHAnsi"/>
          <w:color w:val="000000"/>
          <w:spacing w:val="4"/>
          <w:sz w:val="22"/>
          <w:szCs w:val="22"/>
        </w:rPr>
      </w:pPr>
      <w:r>
        <w:rPr>
          <w:rFonts w:asciiTheme="minorHAnsi" w:hAnsiTheme="minorHAnsi" w:cstheme="minorHAnsi"/>
          <w:color w:val="000000"/>
          <w:spacing w:val="4"/>
          <w:sz w:val="22"/>
          <w:szCs w:val="22"/>
        </w:rPr>
        <w:t xml:space="preserve">The </w:t>
      </w:r>
      <w:r w:rsidR="00535243">
        <w:rPr>
          <w:rFonts w:asciiTheme="minorHAnsi" w:hAnsiTheme="minorHAnsi" w:cstheme="minorHAnsi"/>
          <w:color w:val="000000"/>
          <w:spacing w:val="4"/>
          <w:sz w:val="22"/>
          <w:szCs w:val="22"/>
        </w:rPr>
        <w:t xml:space="preserve">reporting </w:t>
      </w:r>
      <w:r>
        <w:rPr>
          <w:rFonts w:asciiTheme="minorHAnsi" w:hAnsiTheme="minorHAnsi" w:cstheme="minorHAnsi"/>
          <w:color w:val="000000"/>
          <w:spacing w:val="4"/>
          <w:sz w:val="22"/>
          <w:szCs w:val="22"/>
        </w:rPr>
        <w:t xml:space="preserve">burden covers </w:t>
      </w:r>
      <w:r w:rsidR="00535243">
        <w:rPr>
          <w:rFonts w:asciiTheme="minorHAnsi" w:hAnsiTheme="minorHAnsi" w:cstheme="minorHAnsi"/>
          <w:color w:val="000000"/>
          <w:spacing w:val="4"/>
          <w:sz w:val="22"/>
          <w:szCs w:val="22"/>
        </w:rPr>
        <w:t>d</w:t>
      </w:r>
      <w:r w:rsidRPr="00E95AB1">
        <w:rPr>
          <w:rFonts w:asciiTheme="minorHAnsi" w:hAnsiTheme="minorHAnsi" w:cstheme="minorHAnsi"/>
          <w:color w:val="000000"/>
          <w:spacing w:val="4"/>
          <w:sz w:val="22"/>
          <w:szCs w:val="22"/>
        </w:rPr>
        <w:t>aily submission containing general collateral transactions (§1610.10(c</w:t>
      </w:r>
      <w:r w:rsidRPr="00E95AB1">
        <w:rPr>
          <w:rFonts w:asciiTheme="minorHAnsi" w:hAnsiTheme="minorHAnsi" w:cstheme="minorHAnsi"/>
          <w:color w:val="000000"/>
          <w:spacing w:val="4"/>
          <w:sz w:val="22"/>
          <w:szCs w:val="22"/>
        </w:rPr>
        <w:t>)(</w:t>
      </w:r>
      <w:r w:rsidRPr="00E95AB1">
        <w:rPr>
          <w:rFonts w:asciiTheme="minorHAnsi" w:hAnsiTheme="minorHAnsi" w:cstheme="minorHAnsi"/>
          <w:color w:val="000000"/>
          <w:spacing w:val="4"/>
          <w:sz w:val="22"/>
          <w:szCs w:val="22"/>
        </w:rPr>
        <w:t>3-4))</w:t>
      </w:r>
      <w:r>
        <w:rPr>
          <w:rFonts w:asciiTheme="minorHAnsi" w:hAnsiTheme="minorHAnsi" w:cstheme="minorHAnsi"/>
          <w:color w:val="000000"/>
          <w:spacing w:val="4"/>
          <w:sz w:val="22"/>
          <w:szCs w:val="22"/>
        </w:rPr>
        <w:t xml:space="preserve">, </w:t>
      </w:r>
      <w:r w:rsidRPr="00E92B55">
        <w:rPr>
          <w:rFonts w:asciiTheme="minorHAnsi" w:hAnsiTheme="minorHAnsi" w:cstheme="minorHAnsi"/>
          <w:color w:val="000000"/>
          <w:spacing w:val="4"/>
          <w:sz w:val="22"/>
          <w:szCs w:val="22"/>
        </w:rPr>
        <w:t>general collateral net exposure (§1610.10(c)(4</w:t>
      </w:r>
      <w:r>
        <w:rPr>
          <w:rFonts w:asciiTheme="minorHAnsi" w:hAnsiTheme="minorHAnsi" w:cstheme="minorHAnsi"/>
          <w:color w:val="000000"/>
          <w:spacing w:val="4"/>
          <w:sz w:val="22"/>
          <w:szCs w:val="22"/>
        </w:rPr>
        <w:t>),</w:t>
      </w:r>
      <w:r w:rsidRPr="00E95AB1">
        <w:rPr>
          <w:rFonts w:asciiTheme="minorHAnsi" w:hAnsiTheme="minorHAnsi" w:cstheme="minorHAnsi"/>
          <w:color w:val="000000"/>
          <w:spacing w:val="4"/>
          <w:sz w:val="22"/>
          <w:szCs w:val="22"/>
        </w:rPr>
        <w:t xml:space="preserve"> and specific security trades (§1610.10(c)(5))</w:t>
      </w:r>
      <w:r w:rsidR="00535243">
        <w:rPr>
          <w:rFonts w:asciiTheme="minorHAnsi" w:hAnsiTheme="minorHAnsi" w:cstheme="minorHAnsi"/>
          <w:color w:val="000000"/>
          <w:spacing w:val="4"/>
          <w:sz w:val="22"/>
          <w:szCs w:val="22"/>
        </w:rPr>
        <w:t>.</w:t>
      </w:r>
    </w:p>
    <w:p w:rsidR="00F8162E" w:rsidP="00103D28" w14:paraId="36285708" w14:textId="77777777"/>
    <w:tbl>
      <w:tblPr>
        <w:tblStyle w:val="TableGrid"/>
        <w:tblW w:w="9085" w:type="dxa"/>
        <w:jc w:val="center"/>
        <w:tblLayout w:type="fixed"/>
        <w:tblLook w:val="04A0"/>
      </w:tblPr>
      <w:tblGrid>
        <w:gridCol w:w="1345"/>
        <w:gridCol w:w="1440"/>
        <w:gridCol w:w="1350"/>
        <w:gridCol w:w="1260"/>
        <w:gridCol w:w="1170"/>
        <w:gridCol w:w="990"/>
        <w:gridCol w:w="1530"/>
      </w:tblGrid>
      <w:tr w14:paraId="6FFC6022" w14:textId="77777777" w:rsidTr="007B74C1">
        <w:tblPrEx>
          <w:tblW w:w="9085" w:type="dxa"/>
          <w:jc w:val="center"/>
          <w:tblLayout w:type="fixed"/>
          <w:tblLook w:val="04A0"/>
        </w:tblPrEx>
        <w:trPr>
          <w:jc w:val="center"/>
        </w:trPr>
        <w:tc>
          <w:tcPr>
            <w:tcW w:w="1345" w:type="dxa"/>
            <w:shd w:val="clear" w:color="auto" w:fill="D9D9D9" w:themeFill="background1" w:themeFillShade="D9"/>
          </w:tcPr>
          <w:p w:rsidR="00904C45" w:rsidRPr="00E00B4D" w:rsidP="00E00B4D" w14:paraId="5989422F" w14:textId="77777777">
            <w:pPr>
              <w:jc w:val="center"/>
              <w:rPr>
                <w:b/>
              </w:rPr>
            </w:pPr>
            <w:r w:rsidRPr="00E00B4D">
              <w:rPr>
                <w:b/>
              </w:rPr>
              <w:t>Form Name/ Form Number</w:t>
            </w:r>
          </w:p>
        </w:tc>
        <w:tc>
          <w:tcPr>
            <w:tcW w:w="1440" w:type="dxa"/>
            <w:shd w:val="clear" w:color="auto" w:fill="D9D9D9" w:themeFill="background1" w:themeFillShade="D9"/>
          </w:tcPr>
          <w:p w:rsidR="00904C45" w:rsidRPr="00E00B4D" w:rsidP="00E00B4D" w14:paraId="01BCE13D" w14:textId="77777777">
            <w:pPr>
              <w:jc w:val="center"/>
              <w:rPr>
                <w:b/>
              </w:rPr>
            </w:pPr>
            <w:r w:rsidRPr="00E00B4D">
              <w:rPr>
                <w:b/>
              </w:rPr>
              <w:t>No. of Respondents</w:t>
            </w:r>
          </w:p>
        </w:tc>
        <w:tc>
          <w:tcPr>
            <w:tcW w:w="1350" w:type="dxa"/>
            <w:shd w:val="clear" w:color="auto" w:fill="D9D9D9" w:themeFill="background1" w:themeFillShade="D9"/>
          </w:tcPr>
          <w:p w:rsidR="00904C45" w:rsidRPr="00E00B4D" w:rsidP="00E00B4D" w14:paraId="4619A4AC" w14:textId="77777777">
            <w:pPr>
              <w:jc w:val="center"/>
              <w:rPr>
                <w:b/>
              </w:rPr>
            </w:pPr>
            <w:r w:rsidRPr="00E00B4D">
              <w:rPr>
                <w:b/>
              </w:rPr>
              <w:t>No. of Responses per Respondent</w:t>
            </w:r>
          </w:p>
        </w:tc>
        <w:tc>
          <w:tcPr>
            <w:tcW w:w="1260" w:type="dxa"/>
            <w:shd w:val="clear" w:color="auto" w:fill="D9D9D9" w:themeFill="background1" w:themeFillShade="D9"/>
          </w:tcPr>
          <w:p w:rsidR="00904C45" w:rsidRPr="00E00B4D" w:rsidP="00E00B4D" w14:paraId="60CF2736" w14:textId="77777777">
            <w:pPr>
              <w:jc w:val="center"/>
              <w:rPr>
                <w:b/>
              </w:rPr>
            </w:pPr>
            <w:r w:rsidRPr="00E00B4D">
              <w:rPr>
                <w:b/>
              </w:rPr>
              <w:t>Avg. Burden per Response (in hours)</w:t>
            </w:r>
          </w:p>
        </w:tc>
        <w:tc>
          <w:tcPr>
            <w:tcW w:w="1170" w:type="dxa"/>
            <w:shd w:val="clear" w:color="auto" w:fill="D9D9D9" w:themeFill="background1" w:themeFillShade="D9"/>
          </w:tcPr>
          <w:p w:rsidR="00904C45" w:rsidRPr="00E00B4D" w:rsidP="00E00B4D" w14:paraId="06203377" w14:textId="77777777">
            <w:pPr>
              <w:jc w:val="center"/>
              <w:rPr>
                <w:b/>
              </w:rPr>
            </w:pPr>
            <w:r w:rsidRPr="00E00B4D">
              <w:rPr>
                <w:b/>
              </w:rPr>
              <w:t xml:space="preserve">Total Annual Burden </w:t>
            </w:r>
            <w:r w:rsidRPr="00E00B4D">
              <w:rPr>
                <w:b/>
                <w:sz w:val="20"/>
                <w:szCs w:val="20"/>
              </w:rPr>
              <w:t>(in hours)</w:t>
            </w:r>
          </w:p>
        </w:tc>
        <w:tc>
          <w:tcPr>
            <w:tcW w:w="990" w:type="dxa"/>
            <w:shd w:val="clear" w:color="auto" w:fill="D9D9D9" w:themeFill="background1" w:themeFillShade="D9"/>
          </w:tcPr>
          <w:p w:rsidR="00904C45" w:rsidRPr="00E00B4D" w:rsidP="00E00B4D" w14:paraId="1C62FE7A" w14:textId="77777777">
            <w:pPr>
              <w:jc w:val="center"/>
              <w:rPr>
                <w:b/>
              </w:rPr>
            </w:pPr>
            <w:r w:rsidRPr="00E00B4D">
              <w:rPr>
                <w:b/>
              </w:rPr>
              <w:t>Avg. Hourly Wage Rate</w:t>
            </w:r>
          </w:p>
        </w:tc>
        <w:tc>
          <w:tcPr>
            <w:tcW w:w="1530" w:type="dxa"/>
            <w:shd w:val="clear" w:color="auto" w:fill="D9D9D9" w:themeFill="background1" w:themeFillShade="D9"/>
          </w:tcPr>
          <w:p w:rsidR="00904C45" w:rsidRPr="00E00B4D" w:rsidP="00E00B4D" w14:paraId="1CC9422C" w14:textId="3302AFD4">
            <w:pPr>
              <w:jc w:val="center"/>
              <w:rPr>
                <w:b/>
              </w:rPr>
            </w:pPr>
            <w:r w:rsidRPr="00E00B4D">
              <w:rPr>
                <w:b/>
              </w:rPr>
              <w:t xml:space="preserve">Total </w:t>
            </w:r>
            <w:bookmarkStart w:id="1" w:name="_Hlk117586485"/>
            <w:r w:rsidRPr="00E00B4D">
              <w:rPr>
                <w:b/>
              </w:rPr>
              <w:t xml:space="preserve">Annual Respondent </w:t>
            </w:r>
            <w:r w:rsidR="00665398">
              <w:rPr>
                <w:b/>
              </w:rPr>
              <w:t xml:space="preserve">Labor </w:t>
            </w:r>
            <w:r w:rsidRPr="00E00B4D">
              <w:rPr>
                <w:b/>
              </w:rPr>
              <w:t>Cost</w:t>
            </w:r>
            <w:bookmarkEnd w:id="1"/>
          </w:p>
        </w:tc>
      </w:tr>
      <w:tr w14:paraId="0E3B12EA" w14:textId="77777777" w:rsidTr="007B74C1">
        <w:tblPrEx>
          <w:tblW w:w="9085" w:type="dxa"/>
          <w:jc w:val="center"/>
          <w:tblLayout w:type="fixed"/>
          <w:tblLook w:val="04A0"/>
        </w:tblPrEx>
        <w:trPr>
          <w:jc w:val="center"/>
        </w:trPr>
        <w:tc>
          <w:tcPr>
            <w:tcW w:w="1345" w:type="dxa"/>
          </w:tcPr>
          <w:p w:rsidR="00904C45" w:rsidP="00001D33" w14:paraId="4000E380" w14:textId="77777777">
            <w:r>
              <w:t xml:space="preserve">OFR </w:t>
            </w:r>
            <w:r w:rsidR="00001D33">
              <w:t>SFT-1</w:t>
            </w:r>
            <w:r>
              <w:t>-1</w:t>
            </w:r>
          </w:p>
        </w:tc>
        <w:tc>
          <w:tcPr>
            <w:tcW w:w="1440" w:type="dxa"/>
          </w:tcPr>
          <w:p w:rsidR="00904C45" w14:paraId="7D2475BF" w14:textId="101AC8EC">
            <w:r>
              <w:t>2</w:t>
            </w:r>
          </w:p>
        </w:tc>
        <w:tc>
          <w:tcPr>
            <w:tcW w:w="1350" w:type="dxa"/>
          </w:tcPr>
          <w:p w:rsidR="00904C45" w14:paraId="7AC60ED4" w14:textId="77777777">
            <w:r>
              <w:t>252</w:t>
            </w:r>
          </w:p>
        </w:tc>
        <w:tc>
          <w:tcPr>
            <w:tcW w:w="1260" w:type="dxa"/>
          </w:tcPr>
          <w:p w:rsidR="00904C45" w14:paraId="1B33D154" w14:textId="77777777">
            <w:r>
              <w:t>2</w:t>
            </w:r>
          </w:p>
        </w:tc>
        <w:tc>
          <w:tcPr>
            <w:tcW w:w="1170" w:type="dxa"/>
          </w:tcPr>
          <w:p w:rsidR="00904C45" w14:paraId="2DF2562A" w14:textId="10A06613">
            <w:r>
              <w:t>1,008</w:t>
            </w:r>
          </w:p>
        </w:tc>
        <w:tc>
          <w:tcPr>
            <w:tcW w:w="990" w:type="dxa"/>
          </w:tcPr>
          <w:p w:rsidR="00904C45" w:rsidRPr="00EB6D32" w:rsidP="005A5040" w14:paraId="44E04A25" w14:textId="6E9ABDC7">
            <w:r w:rsidRPr="00EB6D32">
              <w:t>$</w:t>
            </w:r>
            <w:r w:rsidRPr="00EB6D32" w:rsidR="009A6965">
              <w:t>126</w:t>
            </w:r>
          </w:p>
        </w:tc>
        <w:tc>
          <w:tcPr>
            <w:tcW w:w="1530" w:type="dxa"/>
          </w:tcPr>
          <w:p w:rsidR="00904C45" w:rsidRPr="00EB6D32" w:rsidP="00235E06" w14:paraId="6B8952D1" w14:textId="416F7667">
            <w:r w:rsidRPr="00EB6D32">
              <w:t>$</w:t>
            </w:r>
            <w:r w:rsidRPr="00EB6D32" w:rsidR="0093570D">
              <w:t xml:space="preserve"> 127,008</w:t>
            </w:r>
          </w:p>
        </w:tc>
      </w:tr>
      <w:tr w14:paraId="52C9E40B" w14:textId="77777777" w:rsidTr="007B74C1">
        <w:tblPrEx>
          <w:tblW w:w="9085" w:type="dxa"/>
          <w:jc w:val="center"/>
          <w:tblLayout w:type="fixed"/>
          <w:tblLook w:val="04A0"/>
        </w:tblPrEx>
        <w:trPr>
          <w:jc w:val="center"/>
        </w:trPr>
        <w:tc>
          <w:tcPr>
            <w:tcW w:w="1345" w:type="dxa"/>
          </w:tcPr>
          <w:p w:rsidR="00904C45" w:rsidP="00001D33" w14:paraId="0B515F92" w14:textId="77777777">
            <w:r>
              <w:t xml:space="preserve">OFR </w:t>
            </w:r>
            <w:r w:rsidR="00001D33">
              <w:t>SFT-1</w:t>
            </w:r>
            <w:r>
              <w:t>-2</w:t>
            </w:r>
          </w:p>
        </w:tc>
        <w:tc>
          <w:tcPr>
            <w:tcW w:w="1440" w:type="dxa"/>
          </w:tcPr>
          <w:p w:rsidR="00904C45" w14:paraId="4BCC1F3B" w14:textId="6C1E11AD">
            <w:r>
              <w:t>2</w:t>
            </w:r>
          </w:p>
        </w:tc>
        <w:tc>
          <w:tcPr>
            <w:tcW w:w="1350" w:type="dxa"/>
          </w:tcPr>
          <w:p w:rsidR="00904C45" w14:paraId="70D7074D" w14:textId="77777777">
            <w:r>
              <w:t>252</w:t>
            </w:r>
          </w:p>
        </w:tc>
        <w:tc>
          <w:tcPr>
            <w:tcW w:w="1260" w:type="dxa"/>
          </w:tcPr>
          <w:p w:rsidR="00904C45" w14:paraId="04401242" w14:textId="77777777">
            <w:r>
              <w:t>1</w:t>
            </w:r>
          </w:p>
        </w:tc>
        <w:tc>
          <w:tcPr>
            <w:tcW w:w="1170" w:type="dxa"/>
          </w:tcPr>
          <w:p w:rsidR="00904C45" w14:paraId="29091611" w14:textId="6BC85118">
            <w:r>
              <w:t>504</w:t>
            </w:r>
          </w:p>
        </w:tc>
        <w:tc>
          <w:tcPr>
            <w:tcW w:w="990" w:type="dxa"/>
          </w:tcPr>
          <w:p w:rsidR="00904C45" w:rsidRPr="00EB6D32" w:rsidP="005A5040" w14:paraId="5CA04478" w14:textId="589905E5">
            <w:r w:rsidRPr="00EB6D32">
              <w:t>$</w:t>
            </w:r>
            <w:r w:rsidRPr="00EB6D32" w:rsidR="009A6965">
              <w:t>126</w:t>
            </w:r>
          </w:p>
        </w:tc>
        <w:tc>
          <w:tcPr>
            <w:tcW w:w="1530" w:type="dxa"/>
          </w:tcPr>
          <w:p w:rsidR="00904C45" w:rsidRPr="00EB6D32" w:rsidP="00235E06" w14:paraId="0B6F9593" w14:textId="0183F956">
            <w:r w:rsidRPr="00EB6D32">
              <w:t>$</w:t>
            </w:r>
            <w:r w:rsidRPr="00EB6D32" w:rsidR="0093570D">
              <w:t xml:space="preserve"> 63,504</w:t>
            </w:r>
          </w:p>
        </w:tc>
      </w:tr>
      <w:tr w14:paraId="604ABCE4" w14:textId="77777777" w:rsidTr="007B74C1">
        <w:tblPrEx>
          <w:tblW w:w="9085" w:type="dxa"/>
          <w:jc w:val="center"/>
          <w:tblLayout w:type="fixed"/>
          <w:tblLook w:val="04A0"/>
        </w:tblPrEx>
        <w:trPr>
          <w:jc w:val="center"/>
        </w:trPr>
        <w:tc>
          <w:tcPr>
            <w:tcW w:w="1345" w:type="dxa"/>
          </w:tcPr>
          <w:p w:rsidR="00904C45" w:rsidP="00001D33" w14:paraId="263E6A51" w14:textId="77777777">
            <w:r>
              <w:t xml:space="preserve">OFR </w:t>
            </w:r>
            <w:r w:rsidR="00001D33">
              <w:t>SFT-1</w:t>
            </w:r>
            <w:r>
              <w:t>-3</w:t>
            </w:r>
          </w:p>
        </w:tc>
        <w:tc>
          <w:tcPr>
            <w:tcW w:w="1440" w:type="dxa"/>
          </w:tcPr>
          <w:p w:rsidR="00904C45" w14:paraId="4381639E" w14:textId="3F01153C">
            <w:r>
              <w:t>2</w:t>
            </w:r>
          </w:p>
        </w:tc>
        <w:tc>
          <w:tcPr>
            <w:tcW w:w="1350" w:type="dxa"/>
          </w:tcPr>
          <w:p w:rsidR="00904C45" w14:paraId="55D77518" w14:textId="77777777">
            <w:r>
              <w:t>252</w:t>
            </w:r>
          </w:p>
        </w:tc>
        <w:tc>
          <w:tcPr>
            <w:tcW w:w="1260" w:type="dxa"/>
          </w:tcPr>
          <w:p w:rsidR="00904C45" w14:paraId="45B40B9C" w14:textId="77777777">
            <w:r>
              <w:t>3</w:t>
            </w:r>
          </w:p>
        </w:tc>
        <w:tc>
          <w:tcPr>
            <w:tcW w:w="1170" w:type="dxa"/>
          </w:tcPr>
          <w:p w:rsidR="00904C45" w14:paraId="272E3D1C" w14:textId="4A72F402">
            <w:r>
              <w:t>1,</w:t>
            </w:r>
            <w:r w:rsidR="00166CFB">
              <w:t>512</w:t>
            </w:r>
          </w:p>
        </w:tc>
        <w:tc>
          <w:tcPr>
            <w:tcW w:w="990" w:type="dxa"/>
          </w:tcPr>
          <w:p w:rsidR="00904C45" w:rsidRPr="00EB6D32" w:rsidP="005A5040" w14:paraId="33EB220E" w14:textId="27987318">
            <w:r w:rsidRPr="00EB6D32">
              <w:t>$</w:t>
            </w:r>
            <w:r w:rsidRPr="00EB6D32" w:rsidR="009A6965">
              <w:t>126</w:t>
            </w:r>
          </w:p>
        </w:tc>
        <w:tc>
          <w:tcPr>
            <w:tcW w:w="1530" w:type="dxa"/>
          </w:tcPr>
          <w:p w:rsidR="00904C45" w:rsidRPr="00EB6D32" w:rsidP="001A6D98" w14:paraId="5E86467B" w14:textId="1E842BEC">
            <w:r w:rsidRPr="00EB6D32">
              <w:t>$</w:t>
            </w:r>
            <w:r w:rsidRPr="00EB6D32" w:rsidR="0093570D">
              <w:t xml:space="preserve"> 190,512</w:t>
            </w:r>
          </w:p>
        </w:tc>
      </w:tr>
      <w:tr w14:paraId="1E9F705C" w14:textId="77777777" w:rsidTr="007B74C1">
        <w:tblPrEx>
          <w:tblW w:w="9085" w:type="dxa"/>
          <w:jc w:val="center"/>
          <w:tblLayout w:type="fixed"/>
          <w:tblLook w:val="04A0"/>
        </w:tblPrEx>
        <w:trPr>
          <w:jc w:val="center"/>
        </w:trPr>
        <w:tc>
          <w:tcPr>
            <w:tcW w:w="1345" w:type="dxa"/>
          </w:tcPr>
          <w:p w:rsidR="00881334" w:rsidRPr="004A168E" w:rsidP="00001D33" w14:paraId="3AE90964" w14:textId="4DD63B6C">
            <w:pPr>
              <w:rPr>
                <w:b/>
                <w:bCs/>
              </w:rPr>
            </w:pPr>
            <w:r w:rsidRPr="004A168E">
              <w:rPr>
                <w:b/>
                <w:bCs/>
              </w:rPr>
              <w:t>TOTAL</w:t>
            </w:r>
          </w:p>
        </w:tc>
        <w:tc>
          <w:tcPr>
            <w:tcW w:w="1440" w:type="dxa"/>
          </w:tcPr>
          <w:p w:rsidR="00881334" w:rsidRPr="004A168E" w14:paraId="191A2356" w14:textId="77777777">
            <w:pPr>
              <w:rPr>
                <w:b/>
                <w:bCs/>
              </w:rPr>
            </w:pPr>
          </w:p>
        </w:tc>
        <w:tc>
          <w:tcPr>
            <w:tcW w:w="1350" w:type="dxa"/>
          </w:tcPr>
          <w:p w:rsidR="00881334" w:rsidRPr="004A168E" w14:paraId="1ACA6433" w14:textId="77777777">
            <w:pPr>
              <w:rPr>
                <w:b/>
                <w:bCs/>
              </w:rPr>
            </w:pPr>
          </w:p>
        </w:tc>
        <w:tc>
          <w:tcPr>
            <w:tcW w:w="1260" w:type="dxa"/>
          </w:tcPr>
          <w:p w:rsidR="00881334" w:rsidRPr="004A168E" w14:paraId="6172B6B7" w14:textId="77777777">
            <w:pPr>
              <w:rPr>
                <w:b/>
                <w:bCs/>
              </w:rPr>
            </w:pPr>
          </w:p>
        </w:tc>
        <w:tc>
          <w:tcPr>
            <w:tcW w:w="1170" w:type="dxa"/>
          </w:tcPr>
          <w:p w:rsidR="00881334" w:rsidRPr="004A168E" w14:paraId="08D8818C" w14:textId="1C70DAE7">
            <w:pPr>
              <w:rPr>
                <w:b/>
                <w:bCs/>
              </w:rPr>
            </w:pPr>
            <w:r w:rsidRPr="004A168E">
              <w:rPr>
                <w:b/>
                <w:bCs/>
              </w:rPr>
              <w:t>3,024</w:t>
            </w:r>
          </w:p>
        </w:tc>
        <w:tc>
          <w:tcPr>
            <w:tcW w:w="990" w:type="dxa"/>
          </w:tcPr>
          <w:p w:rsidR="00881334" w:rsidRPr="004A168E" w:rsidP="005A5040" w14:paraId="74EE7D05" w14:textId="77777777">
            <w:pPr>
              <w:rPr>
                <w:b/>
                <w:bCs/>
              </w:rPr>
            </w:pPr>
          </w:p>
        </w:tc>
        <w:tc>
          <w:tcPr>
            <w:tcW w:w="1530" w:type="dxa"/>
          </w:tcPr>
          <w:p w:rsidR="00881334" w:rsidRPr="004A168E" w:rsidP="001A6D98" w14:paraId="7C3F2C9D" w14:textId="6C71EE64">
            <w:pPr>
              <w:rPr>
                <w:b/>
                <w:bCs/>
              </w:rPr>
            </w:pPr>
            <w:r w:rsidRPr="004A168E">
              <w:rPr>
                <w:b/>
                <w:bCs/>
              </w:rPr>
              <w:t>$381,024</w:t>
            </w:r>
          </w:p>
        </w:tc>
      </w:tr>
    </w:tbl>
    <w:p w:rsidR="00E00B4D" w14:paraId="2E3D595C" w14:textId="77777777"/>
    <w:p w:rsidR="00E00B4D" w:rsidRPr="001A73A0" w:rsidP="009635D8" w14:paraId="0299F2CC" w14:textId="77777777">
      <w:pPr>
        <w:pStyle w:val="ListParagraph"/>
        <w:numPr>
          <w:ilvl w:val="0"/>
          <w:numId w:val="1"/>
        </w:numPr>
        <w:rPr>
          <w:b/>
        </w:rPr>
      </w:pPr>
      <w:r w:rsidRPr="009635D8">
        <w:rPr>
          <w:b/>
        </w:rPr>
        <w:t xml:space="preserve">Provide an estimate of the total annual cost burden to respondents or record keepers resulting from the collection of information. </w:t>
      </w:r>
      <w:r w:rsidRPr="001A73A0">
        <w:rPr>
          <w:b/>
        </w:rPr>
        <w:t xml:space="preserve">(Do not include the cost of any hour burden shown in Items 12 and 14). </w:t>
      </w:r>
    </w:p>
    <w:p w:rsidR="00435F8C" w:rsidRPr="00890735" w:rsidP="00D3412B" w14:paraId="23EABE77" w14:textId="6C734921">
      <w:pPr>
        <w:spacing w:after="0" w:line="480" w:lineRule="auto"/>
        <w:ind w:firstLine="360"/>
        <w:rPr>
          <w:rFonts w:cstheme="minorHAnsi"/>
          <w:iCs/>
          <w:sz w:val="24"/>
          <w:szCs w:val="24"/>
        </w:rPr>
      </w:pPr>
      <w:r w:rsidRPr="00890735">
        <w:rPr>
          <w:rFonts w:cstheme="minorHAnsi"/>
          <w:iCs/>
          <w:sz w:val="24"/>
          <w:szCs w:val="24"/>
        </w:rPr>
        <w:t xml:space="preserve">There are no non-labor costs </w:t>
      </w:r>
      <w:r w:rsidRPr="00890735" w:rsidR="00890735">
        <w:rPr>
          <w:rFonts w:cstheme="minorHAnsi"/>
          <w:iCs/>
          <w:sz w:val="24"/>
          <w:szCs w:val="24"/>
        </w:rPr>
        <w:t xml:space="preserve">to respondents </w:t>
      </w:r>
      <w:r w:rsidRPr="00890735">
        <w:rPr>
          <w:rFonts w:cstheme="minorHAnsi"/>
          <w:iCs/>
          <w:sz w:val="24"/>
          <w:szCs w:val="24"/>
        </w:rPr>
        <w:t xml:space="preserve">for this collection </w:t>
      </w:r>
      <w:r w:rsidRPr="00890735" w:rsidR="00890735">
        <w:rPr>
          <w:rFonts w:cstheme="minorHAnsi"/>
          <w:iCs/>
          <w:sz w:val="24"/>
          <w:szCs w:val="24"/>
        </w:rPr>
        <w:t>of information.</w:t>
      </w:r>
    </w:p>
    <w:p w:rsidR="009635D8" w:rsidP="009635D8" w14:paraId="2406F976" w14:textId="3F994BA4">
      <w:pPr>
        <w:pStyle w:val="ListParagraph"/>
        <w:ind w:left="360"/>
      </w:pPr>
    </w:p>
    <w:p w:rsidR="00E00B4D" w:rsidRPr="009635D8" w:rsidP="009635D8" w14:paraId="3A9CD878" w14:textId="73CCE755">
      <w:pPr>
        <w:pStyle w:val="ListParagraph"/>
        <w:numPr>
          <w:ilvl w:val="0"/>
          <w:numId w:val="1"/>
        </w:numPr>
        <w:rPr>
          <w:b/>
        </w:rPr>
      </w:pPr>
      <w:r w:rsidRPr="009635D8">
        <w:rPr>
          <w:b/>
        </w:rPr>
        <w:t>Provide estimates of annualized cost to the Federal government.</w:t>
      </w:r>
      <w:r w:rsidR="005C60E7">
        <w:rPr>
          <w:b/>
        </w:rPr>
        <w:t xml:space="preserve"> </w:t>
      </w:r>
      <w:r w:rsidRPr="009635D8">
        <w:rPr>
          <w:b/>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B00EA" w:rsidP="009B00EA" w14:paraId="316CB9AA" w14:textId="0789CFC0">
      <w:pPr>
        <w:ind w:left="360"/>
      </w:pPr>
      <w:r>
        <w:t xml:space="preserve">Pursuant to an interagency agreement between the Office and the Board with the FRBNY as collection agent, the collection agent has estimated </w:t>
      </w:r>
      <w:r w:rsidRPr="00136918">
        <w:t>$</w:t>
      </w:r>
      <w:r>
        <w:t>304,192.82</w:t>
      </w:r>
      <w:r w:rsidRPr="00136918">
        <w:t xml:space="preserve"> for 202</w:t>
      </w:r>
      <w:r>
        <w:t>6</w:t>
      </w:r>
      <w:r w:rsidRPr="00136918">
        <w:t>, $</w:t>
      </w:r>
      <w:r>
        <w:t>313,309.25</w:t>
      </w:r>
      <w:r w:rsidRPr="00136918">
        <w:t xml:space="preserve"> for 202</w:t>
      </w:r>
      <w:r>
        <w:t>7</w:t>
      </w:r>
      <w:r w:rsidRPr="00136918">
        <w:t>, and $</w:t>
      </w:r>
      <w:r>
        <w:t>322,732.41</w:t>
      </w:r>
      <w:r w:rsidRPr="00136918">
        <w:t xml:space="preserve"> for 202</w:t>
      </w:r>
      <w:r>
        <w:t>8</w:t>
      </w:r>
      <w:r w:rsidRPr="00136918">
        <w:t>.</w:t>
      </w:r>
    </w:p>
    <w:p w:rsidR="00136918" w:rsidP="00136918" w14:paraId="46AA989B" w14:textId="19AD45DB"/>
    <w:p w:rsidR="00310F74" w:rsidP="00310F74" w14:paraId="29E1DB23" w14:textId="77777777">
      <w:r>
        <w:t>The subcomponents of these estimates are as follows:</w:t>
      </w:r>
    </w:p>
    <w:tbl>
      <w:tblPr>
        <w:tblStyle w:val="TableGrid"/>
        <w:tblW w:w="0" w:type="auto"/>
        <w:tblLook w:val="04A0"/>
      </w:tblPr>
      <w:tblGrid>
        <w:gridCol w:w="1855"/>
        <w:gridCol w:w="2016"/>
        <w:gridCol w:w="1880"/>
        <w:gridCol w:w="1871"/>
        <w:gridCol w:w="1728"/>
      </w:tblGrid>
      <w:tr w14:paraId="6B660A6D" w14:textId="77777777" w:rsidTr="00F81A22">
        <w:tblPrEx>
          <w:tblW w:w="0" w:type="auto"/>
          <w:tblLook w:val="04A0"/>
        </w:tblPrEx>
        <w:tc>
          <w:tcPr>
            <w:tcW w:w="1855" w:type="dxa"/>
          </w:tcPr>
          <w:p w:rsidR="00310F74" w:rsidRPr="00587E39" w:rsidP="00F81A22" w14:paraId="58A0969E" w14:textId="77777777">
            <w:pPr>
              <w:tabs>
                <w:tab w:val="center" w:pos="1060"/>
              </w:tabs>
            </w:pPr>
            <w:r>
              <w:t>Fiscal year</w:t>
            </w:r>
          </w:p>
        </w:tc>
        <w:tc>
          <w:tcPr>
            <w:tcW w:w="2016" w:type="dxa"/>
          </w:tcPr>
          <w:p w:rsidR="00310F74" w:rsidRPr="00587E39" w:rsidP="00F81A22" w14:paraId="23BF217D" w14:textId="77777777">
            <w:r w:rsidRPr="00587E39">
              <w:t>Category</w:t>
            </w:r>
          </w:p>
        </w:tc>
        <w:tc>
          <w:tcPr>
            <w:tcW w:w="1880" w:type="dxa"/>
          </w:tcPr>
          <w:p w:rsidR="00310F74" w:rsidRPr="00587E39" w:rsidP="00F81A22" w14:paraId="76747613" w14:textId="77777777">
            <w:r w:rsidRPr="00587E39">
              <w:t>Hours</w:t>
            </w:r>
          </w:p>
        </w:tc>
        <w:tc>
          <w:tcPr>
            <w:tcW w:w="1871" w:type="dxa"/>
          </w:tcPr>
          <w:p w:rsidR="00310F74" w:rsidRPr="00587E39" w:rsidP="00F81A22" w14:paraId="6CE2A38C" w14:textId="77777777">
            <w:r w:rsidRPr="00587E39">
              <w:t>Rate</w:t>
            </w:r>
          </w:p>
        </w:tc>
        <w:tc>
          <w:tcPr>
            <w:tcW w:w="1728" w:type="dxa"/>
          </w:tcPr>
          <w:p w:rsidR="00310F74" w:rsidRPr="00587E39" w:rsidP="00F81A22" w14:paraId="4DA91A62" w14:textId="77777777">
            <w:r w:rsidRPr="00587E39">
              <w:t>Total</w:t>
            </w:r>
          </w:p>
        </w:tc>
      </w:tr>
      <w:tr w14:paraId="684133E8" w14:textId="77777777" w:rsidTr="00F81A22">
        <w:tblPrEx>
          <w:tblW w:w="0" w:type="auto"/>
          <w:tblLook w:val="04A0"/>
        </w:tblPrEx>
        <w:tc>
          <w:tcPr>
            <w:tcW w:w="1855" w:type="dxa"/>
          </w:tcPr>
          <w:p w:rsidR="00310F74" w:rsidRPr="00587E39" w:rsidP="00F81A22" w14:paraId="44AAD5DC" w14:textId="77777777">
            <w:r w:rsidRPr="00587E39">
              <w:t>202</w:t>
            </w:r>
            <w:r>
              <w:t>6</w:t>
            </w:r>
          </w:p>
        </w:tc>
        <w:tc>
          <w:tcPr>
            <w:tcW w:w="2016" w:type="dxa"/>
          </w:tcPr>
          <w:p w:rsidR="00310F74" w:rsidRPr="00587E39" w:rsidP="00F81A22" w14:paraId="68DB1FE0" w14:textId="77777777">
            <w:r w:rsidRPr="00587E39">
              <w:t>Market Monitoring</w:t>
            </w:r>
            <w:r>
              <w:t xml:space="preserve"> (Labor)</w:t>
            </w:r>
          </w:p>
        </w:tc>
        <w:tc>
          <w:tcPr>
            <w:tcW w:w="1880" w:type="dxa"/>
          </w:tcPr>
          <w:p w:rsidR="00310F74" w:rsidRPr="00587E39" w:rsidP="00F81A22" w14:paraId="3962D51A" w14:textId="06D1B670">
            <w:r>
              <w:t>2125</w:t>
            </w:r>
          </w:p>
        </w:tc>
        <w:tc>
          <w:tcPr>
            <w:tcW w:w="1871" w:type="dxa"/>
          </w:tcPr>
          <w:p w:rsidR="00310F74" w:rsidRPr="00587E39" w:rsidP="00F81A22" w14:paraId="1F962289" w14:textId="36FF10A9">
            <w:r>
              <w:t>87.48</w:t>
            </w:r>
          </w:p>
        </w:tc>
        <w:tc>
          <w:tcPr>
            <w:tcW w:w="1728" w:type="dxa"/>
          </w:tcPr>
          <w:p w:rsidR="00310F74" w:rsidRPr="00E332D3" w:rsidP="00F81A22" w14:paraId="5DB79E4F" w14:textId="346FE2AC">
            <w:pPr>
              <w:rPr>
                <w:rFonts w:ascii="Calibri" w:hAnsi="Calibri" w:cs="Calibri"/>
                <w:color w:val="000000"/>
              </w:rPr>
            </w:pPr>
            <w:r w:rsidRPr="00E332D3">
              <w:rPr>
                <w:rFonts w:ascii="Calibri" w:hAnsi="Calibri" w:cs="Calibri"/>
                <w:color w:val="000000"/>
              </w:rPr>
              <w:t>$185,895</w:t>
            </w:r>
            <w:r>
              <w:rPr>
                <w:rFonts w:ascii="Calibri" w:hAnsi="Calibri" w:cs="Calibri"/>
                <w:color w:val="000000"/>
              </w:rPr>
              <w:t>.00</w:t>
            </w:r>
          </w:p>
        </w:tc>
      </w:tr>
      <w:tr w14:paraId="61F69844" w14:textId="77777777" w:rsidTr="00F81A22">
        <w:tblPrEx>
          <w:tblW w:w="0" w:type="auto"/>
          <w:tblLook w:val="04A0"/>
        </w:tblPrEx>
        <w:tc>
          <w:tcPr>
            <w:tcW w:w="1855" w:type="dxa"/>
          </w:tcPr>
          <w:p w:rsidR="00310F74" w:rsidRPr="00587E39" w:rsidP="00F81A22" w14:paraId="28714B1C" w14:textId="77777777"/>
        </w:tc>
        <w:tc>
          <w:tcPr>
            <w:tcW w:w="2016" w:type="dxa"/>
          </w:tcPr>
          <w:p w:rsidR="00310F74" w:rsidRPr="00587E39" w:rsidP="00F81A22" w14:paraId="1D5B465E" w14:textId="77777777">
            <w:r w:rsidRPr="00587E39">
              <w:t>Enterprise Support</w:t>
            </w:r>
            <w:r>
              <w:t xml:space="preserve"> (Labor)</w:t>
            </w:r>
          </w:p>
        </w:tc>
        <w:tc>
          <w:tcPr>
            <w:tcW w:w="1880" w:type="dxa"/>
          </w:tcPr>
          <w:p w:rsidR="00310F74" w:rsidRPr="00587E39" w:rsidP="00F81A22" w14:paraId="51A74BC7" w14:textId="414157F9">
            <w:pPr>
              <w:rPr>
                <w:rFonts w:ascii="Calibri" w:hAnsi="Calibri" w:cs="Calibri"/>
                <w:color w:val="000000"/>
              </w:rPr>
            </w:pPr>
            <w:r>
              <w:rPr>
                <w:rFonts w:ascii="Calibri" w:hAnsi="Calibri" w:cs="Calibri"/>
                <w:color w:val="000000"/>
              </w:rPr>
              <w:t>360</w:t>
            </w:r>
          </w:p>
        </w:tc>
        <w:tc>
          <w:tcPr>
            <w:tcW w:w="1871" w:type="dxa"/>
          </w:tcPr>
          <w:p w:rsidR="00310F74" w:rsidRPr="00587E39" w:rsidP="00F81A22" w14:paraId="1A130403" w14:textId="34BC91D5">
            <w:r>
              <w:t>250.00</w:t>
            </w:r>
          </w:p>
        </w:tc>
        <w:tc>
          <w:tcPr>
            <w:tcW w:w="1728" w:type="dxa"/>
          </w:tcPr>
          <w:p w:rsidR="00310F74" w:rsidRPr="00587E39" w:rsidP="00F81A22" w14:paraId="668D9E16" w14:textId="03C0D796">
            <w:pPr>
              <w:rPr>
                <w:rFonts w:ascii="Calibri" w:hAnsi="Calibri" w:cs="Calibri"/>
                <w:color w:val="000000"/>
              </w:rPr>
            </w:pPr>
            <w:r w:rsidRPr="00587E39">
              <w:rPr>
                <w:rFonts w:ascii="Calibri" w:hAnsi="Calibri" w:cs="Calibri"/>
                <w:color w:val="000000"/>
              </w:rPr>
              <w:t>$</w:t>
            </w:r>
            <w:r>
              <w:rPr>
                <w:rFonts w:ascii="Calibri" w:hAnsi="Calibri" w:cs="Calibri"/>
                <w:color w:val="000000"/>
              </w:rPr>
              <w:t>90,000.00</w:t>
            </w:r>
          </w:p>
        </w:tc>
      </w:tr>
      <w:tr w14:paraId="3FA159B0" w14:textId="77777777" w:rsidTr="00F81A22">
        <w:tblPrEx>
          <w:tblW w:w="0" w:type="auto"/>
          <w:tblLook w:val="04A0"/>
        </w:tblPrEx>
        <w:tc>
          <w:tcPr>
            <w:tcW w:w="1855" w:type="dxa"/>
          </w:tcPr>
          <w:p w:rsidR="00310F74" w:rsidRPr="00587E39" w:rsidP="00F81A22" w14:paraId="4C3C6695" w14:textId="77777777"/>
        </w:tc>
        <w:tc>
          <w:tcPr>
            <w:tcW w:w="2016" w:type="dxa"/>
          </w:tcPr>
          <w:p w:rsidR="00310F74" w:rsidRPr="00587E39" w:rsidP="00F81A22" w14:paraId="443841F6" w14:textId="77777777">
            <w:r>
              <w:t>Technology</w:t>
            </w:r>
          </w:p>
        </w:tc>
        <w:tc>
          <w:tcPr>
            <w:tcW w:w="1880" w:type="dxa"/>
          </w:tcPr>
          <w:p w:rsidR="00310F74" w:rsidRPr="00587E39" w:rsidP="00F81A22" w14:paraId="3D47606C" w14:textId="77777777">
            <w:pPr>
              <w:rPr>
                <w:rFonts w:ascii="Calibri" w:hAnsi="Calibri" w:cs="Calibri"/>
                <w:color w:val="000000"/>
              </w:rPr>
            </w:pPr>
            <w:r>
              <w:rPr>
                <w:rFonts w:ascii="Calibri" w:hAnsi="Calibri" w:cs="Calibri"/>
                <w:color w:val="000000"/>
              </w:rPr>
              <w:t>N/A</w:t>
            </w:r>
          </w:p>
        </w:tc>
        <w:tc>
          <w:tcPr>
            <w:tcW w:w="1871" w:type="dxa"/>
          </w:tcPr>
          <w:p w:rsidR="00310F74" w:rsidRPr="00587E39" w:rsidP="00F81A22" w14:paraId="764AD1D8" w14:textId="77777777">
            <w:r>
              <w:t>N/A</w:t>
            </w:r>
          </w:p>
        </w:tc>
        <w:tc>
          <w:tcPr>
            <w:tcW w:w="1728" w:type="dxa"/>
          </w:tcPr>
          <w:p w:rsidR="00310F74" w:rsidRPr="00587E39" w:rsidP="00F81A22" w14:paraId="2F6137AB" w14:textId="4E302F4B">
            <w:pPr>
              <w:rPr>
                <w:rFonts w:ascii="Calibri" w:hAnsi="Calibri" w:cs="Calibri"/>
                <w:color w:val="000000"/>
              </w:rPr>
            </w:pPr>
            <w:r>
              <w:rPr>
                <w:rFonts w:ascii="Calibri" w:hAnsi="Calibri" w:cs="Calibri"/>
                <w:color w:val="000000"/>
              </w:rPr>
              <w:t>$28,297.82</w:t>
            </w:r>
          </w:p>
        </w:tc>
      </w:tr>
      <w:tr w14:paraId="5BEEFBEA" w14:textId="77777777" w:rsidTr="00F81A22">
        <w:tblPrEx>
          <w:tblW w:w="0" w:type="auto"/>
          <w:tblLook w:val="04A0"/>
        </w:tblPrEx>
        <w:tc>
          <w:tcPr>
            <w:tcW w:w="1855" w:type="dxa"/>
          </w:tcPr>
          <w:p w:rsidR="00310F74" w:rsidRPr="00587E39" w:rsidP="00F81A22" w14:paraId="2BFA821D" w14:textId="77777777"/>
        </w:tc>
        <w:tc>
          <w:tcPr>
            <w:tcW w:w="2016" w:type="dxa"/>
          </w:tcPr>
          <w:p w:rsidR="00310F74" w:rsidRPr="00587E39" w:rsidP="00F81A22" w14:paraId="445E6FD2" w14:textId="77777777"/>
        </w:tc>
        <w:tc>
          <w:tcPr>
            <w:tcW w:w="1880" w:type="dxa"/>
          </w:tcPr>
          <w:p w:rsidR="00310F74" w:rsidRPr="00587E39" w:rsidP="00F81A22" w14:paraId="75F4AA98" w14:textId="77777777">
            <w:pPr>
              <w:rPr>
                <w:rFonts w:ascii="Calibri" w:hAnsi="Calibri" w:cs="Calibri"/>
                <w:color w:val="000000"/>
              </w:rPr>
            </w:pPr>
          </w:p>
        </w:tc>
        <w:tc>
          <w:tcPr>
            <w:tcW w:w="1871" w:type="dxa"/>
          </w:tcPr>
          <w:p w:rsidR="00310F74" w:rsidRPr="00587E39" w:rsidP="00F81A22" w14:paraId="46418B38" w14:textId="77777777"/>
        </w:tc>
        <w:tc>
          <w:tcPr>
            <w:tcW w:w="1728" w:type="dxa"/>
          </w:tcPr>
          <w:p w:rsidR="00310F74" w:rsidRPr="00587E39" w:rsidP="00F81A22" w14:paraId="5B86C2E0" w14:textId="77777777">
            <w:pPr>
              <w:rPr>
                <w:rFonts w:ascii="Calibri" w:hAnsi="Calibri" w:cs="Calibri"/>
                <w:color w:val="000000"/>
              </w:rPr>
            </w:pPr>
          </w:p>
        </w:tc>
      </w:tr>
      <w:tr w14:paraId="5997719F" w14:textId="77777777" w:rsidTr="00F81A22">
        <w:tblPrEx>
          <w:tblW w:w="0" w:type="auto"/>
          <w:tblLook w:val="04A0"/>
        </w:tblPrEx>
        <w:tc>
          <w:tcPr>
            <w:tcW w:w="1855" w:type="dxa"/>
          </w:tcPr>
          <w:p w:rsidR="00310F74" w:rsidRPr="00587E39" w:rsidP="00F81A22" w14:paraId="7A433977" w14:textId="77777777">
            <w:r w:rsidRPr="00587E39">
              <w:t>202</w:t>
            </w:r>
            <w:r>
              <w:t>7</w:t>
            </w:r>
          </w:p>
        </w:tc>
        <w:tc>
          <w:tcPr>
            <w:tcW w:w="2016" w:type="dxa"/>
          </w:tcPr>
          <w:p w:rsidR="00310F74" w:rsidRPr="00587E39" w:rsidP="00F81A22" w14:paraId="000074EF" w14:textId="77777777">
            <w:r>
              <w:t>Market Monitoring (Labor)</w:t>
            </w:r>
          </w:p>
        </w:tc>
        <w:tc>
          <w:tcPr>
            <w:tcW w:w="1880" w:type="dxa"/>
          </w:tcPr>
          <w:p w:rsidR="00310F74" w:rsidRPr="00587E39" w:rsidP="00F81A22" w14:paraId="2C929B1D" w14:textId="29933A45">
            <w:pPr>
              <w:rPr>
                <w:rFonts w:ascii="Calibri" w:hAnsi="Calibri" w:cs="Calibri"/>
                <w:color w:val="000000"/>
              </w:rPr>
            </w:pPr>
            <w:r>
              <w:rPr>
                <w:rFonts w:ascii="Calibri" w:hAnsi="Calibri" w:cs="Calibri"/>
                <w:color w:val="000000"/>
              </w:rPr>
              <w:t>2125</w:t>
            </w:r>
          </w:p>
        </w:tc>
        <w:tc>
          <w:tcPr>
            <w:tcW w:w="1871" w:type="dxa"/>
          </w:tcPr>
          <w:p w:rsidR="00310F74" w:rsidRPr="00587E39" w:rsidP="00F81A22" w14:paraId="0F557A69" w14:textId="4808BD9C">
            <w:r>
              <w:t>90.10</w:t>
            </w:r>
          </w:p>
        </w:tc>
        <w:tc>
          <w:tcPr>
            <w:tcW w:w="1728" w:type="dxa"/>
          </w:tcPr>
          <w:p w:rsidR="00310F74" w:rsidRPr="00587E39" w:rsidP="00F81A22" w14:paraId="5D45CB5C" w14:textId="125ED787">
            <w:pPr>
              <w:rPr>
                <w:rFonts w:ascii="Calibri" w:hAnsi="Calibri" w:cs="Calibri"/>
                <w:color w:val="000000"/>
              </w:rPr>
            </w:pPr>
            <w:r w:rsidRPr="00587E39">
              <w:rPr>
                <w:rFonts w:ascii="Calibri" w:hAnsi="Calibri" w:cs="Calibri"/>
                <w:color w:val="000000"/>
              </w:rPr>
              <w:t>$</w:t>
            </w:r>
            <w:r>
              <w:rPr>
                <w:rFonts w:ascii="Calibri" w:hAnsi="Calibri" w:cs="Calibri"/>
                <w:color w:val="000000"/>
              </w:rPr>
              <w:t>191,462.50</w:t>
            </w:r>
          </w:p>
        </w:tc>
      </w:tr>
      <w:tr w14:paraId="6BDEF073" w14:textId="77777777" w:rsidTr="00F81A22">
        <w:tblPrEx>
          <w:tblW w:w="0" w:type="auto"/>
          <w:tblLook w:val="04A0"/>
        </w:tblPrEx>
        <w:tc>
          <w:tcPr>
            <w:tcW w:w="1855" w:type="dxa"/>
          </w:tcPr>
          <w:p w:rsidR="00310F74" w:rsidRPr="00587E39" w:rsidP="00F81A22" w14:paraId="21EEBB81" w14:textId="77777777"/>
        </w:tc>
        <w:tc>
          <w:tcPr>
            <w:tcW w:w="2016" w:type="dxa"/>
          </w:tcPr>
          <w:p w:rsidR="00310F74" w:rsidRPr="00587E39" w:rsidP="00F81A22" w14:paraId="5E9BF610" w14:textId="77777777">
            <w:r w:rsidRPr="00587E39">
              <w:t>Enterprise Support</w:t>
            </w:r>
            <w:r>
              <w:t xml:space="preserve"> (Labor)</w:t>
            </w:r>
          </w:p>
        </w:tc>
        <w:tc>
          <w:tcPr>
            <w:tcW w:w="1880" w:type="dxa"/>
          </w:tcPr>
          <w:p w:rsidR="00310F74" w:rsidRPr="00587E39" w:rsidP="00F81A22" w14:paraId="203BB87A" w14:textId="64E89A58">
            <w:pPr>
              <w:rPr>
                <w:rFonts w:ascii="Calibri" w:hAnsi="Calibri" w:cs="Calibri"/>
                <w:color w:val="000000"/>
              </w:rPr>
            </w:pPr>
            <w:r>
              <w:rPr>
                <w:rFonts w:ascii="Calibri" w:hAnsi="Calibri" w:cs="Calibri"/>
                <w:color w:val="000000"/>
              </w:rPr>
              <w:t>360</w:t>
            </w:r>
          </w:p>
        </w:tc>
        <w:tc>
          <w:tcPr>
            <w:tcW w:w="1871" w:type="dxa"/>
          </w:tcPr>
          <w:p w:rsidR="00310F74" w:rsidRPr="00587E39" w:rsidP="00F81A22" w14:paraId="2E20F30B" w14:textId="318D5872">
            <w:r>
              <w:t>257.50</w:t>
            </w:r>
          </w:p>
        </w:tc>
        <w:tc>
          <w:tcPr>
            <w:tcW w:w="1728" w:type="dxa"/>
          </w:tcPr>
          <w:p w:rsidR="00310F74" w:rsidRPr="00587E39" w:rsidP="00F81A22" w14:paraId="4118B4DA" w14:textId="335A95D2">
            <w:pPr>
              <w:rPr>
                <w:rFonts w:ascii="Calibri" w:hAnsi="Calibri" w:cs="Calibri"/>
                <w:color w:val="000000"/>
              </w:rPr>
            </w:pPr>
            <w:r w:rsidRPr="00587E39">
              <w:rPr>
                <w:rFonts w:ascii="Calibri" w:hAnsi="Calibri" w:cs="Calibri"/>
                <w:color w:val="000000"/>
              </w:rPr>
              <w:t>$</w:t>
            </w:r>
            <w:r>
              <w:rPr>
                <w:rFonts w:ascii="Calibri" w:hAnsi="Calibri" w:cs="Calibri"/>
                <w:color w:val="000000"/>
              </w:rPr>
              <w:t>92,700.00</w:t>
            </w:r>
          </w:p>
        </w:tc>
      </w:tr>
      <w:tr w14:paraId="2F4340C9" w14:textId="77777777" w:rsidTr="00F81A22">
        <w:tblPrEx>
          <w:tblW w:w="0" w:type="auto"/>
          <w:tblLook w:val="04A0"/>
        </w:tblPrEx>
        <w:tc>
          <w:tcPr>
            <w:tcW w:w="1855" w:type="dxa"/>
          </w:tcPr>
          <w:p w:rsidR="00310F74" w:rsidRPr="00587E39" w:rsidP="00F81A22" w14:paraId="62BB6323" w14:textId="77777777"/>
        </w:tc>
        <w:tc>
          <w:tcPr>
            <w:tcW w:w="2016" w:type="dxa"/>
          </w:tcPr>
          <w:p w:rsidR="00310F74" w:rsidRPr="00587E39" w:rsidP="00F81A22" w14:paraId="49D71D31" w14:textId="77777777">
            <w:r>
              <w:t>Technology</w:t>
            </w:r>
          </w:p>
        </w:tc>
        <w:tc>
          <w:tcPr>
            <w:tcW w:w="1880" w:type="dxa"/>
          </w:tcPr>
          <w:p w:rsidR="00310F74" w:rsidRPr="00587E39" w:rsidP="00F81A22" w14:paraId="5C87B4B8" w14:textId="77777777">
            <w:pPr>
              <w:rPr>
                <w:rFonts w:ascii="Calibri" w:hAnsi="Calibri" w:cs="Calibri"/>
                <w:color w:val="000000"/>
              </w:rPr>
            </w:pPr>
            <w:r>
              <w:rPr>
                <w:rFonts w:ascii="Calibri" w:hAnsi="Calibri" w:cs="Calibri"/>
                <w:color w:val="000000"/>
              </w:rPr>
              <w:t>N/A</w:t>
            </w:r>
          </w:p>
        </w:tc>
        <w:tc>
          <w:tcPr>
            <w:tcW w:w="1871" w:type="dxa"/>
          </w:tcPr>
          <w:p w:rsidR="00310F74" w:rsidRPr="00587E39" w:rsidP="00F81A22" w14:paraId="5D2CE177" w14:textId="77777777">
            <w:r>
              <w:rPr>
                <w:rFonts w:ascii="Calibri" w:hAnsi="Calibri" w:cs="Calibri"/>
                <w:color w:val="000000"/>
              </w:rPr>
              <w:t>N/A</w:t>
            </w:r>
          </w:p>
        </w:tc>
        <w:tc>
          <w:tcPr>
            <w:tcW w:w="1728" w:type="dxa"/>
          </w:tcPr>
          <w:p w:rsidR="00310F74" w:rsidRPr="00587E39" w:rsidP="00F81A22" w14:paraId="1DD27E48" w14:textId="35FCA041">
            <w:pPr>
              <w:rPr>
                <w:rFonts w:ascii="Calibri" w:hAnsi="Calibri" w:cs="Calibri"/>
                <w:color w:val="000000"/>
              </w:rPr>
            </w:pPr>
            <w:r>
              <w:rPr>
                <w:rFonts w:ascii="Calibri" w:hAnsi="Calibri" w:cs="Calibri"/>
                <w:color w:val="000000"/>
              </w:rPr>
              <w:t>$29,146.75</w:t>
            </w:r>
          </w:p>
        </w:tc>
      </w:tr>
      <w:tr w14:paraId="666DBD32" w14:textId="77777777" w:rsidTr="00F81A22">
        <w:tblPrEx>
          <w:tblW w:w="0" w:type="auto"/>
          <w:tblLook w:val="04A0"/>
        </w:tblPrEx>
        <w:tc>
          <w:tcPr>
            <w:tcW w:w="1855" w:type="dxa"/>
          </w:tcPr>
          <w:p w:rsidR="00310F74" w:rsidRPr="00587E39" w:rsidP="00F81A22" w14:paraId="42193470" w14:textId="77777777"/>
        </w:tc>
        <w:tc>
          <w:tcPr>
            <w:tcW w:w="2016" w:type="dxa"/>
          </w:tcPr>
          <w:p w:rsidR="00310F74" w:rsidRPr="00587E39" w:rsidP="00F81A22" w14:paraId="5BFD8939" w14:textId="77777777"/>
        </w:tc>
        <w:tc>
          <w:tcPr>
            <w:tcW w:w="1880" w:type="dxa"/>
          </w:tcPr>
          <w:p w:rsidR="00310F74" w:rsidRPr="00587E39" w:rsidP="00F81A22" w14:paraId="28863610" w14:textId="77777777">
            <w:pPr>
              <w:rPr>
                <w:rFonts w:ascii="Calibri" w:hAnsi="Calibri" w:cs="Calibri"/>
                <w:color w:val="000000"/>
              </w:rPr>
            </w:pPr>
          </w:p>
        </w:tc>
        <w:tc>
          <w:tcPr>
            <w:tcW w:w="1871" w:type="dxa"/>
          </w:tcPr>
          <w:p w:rsidR="00310F74" w:rsidRPr="00587E39" w:rsidP="00F81A22" w14:paraId="3FD4BBEF" w14:textId="77777777"/>
        </w:tc>
        <w:tc>
          <w:tcPr>
            <w:tcW w:w="1728" w:type="dxa"/>
          </w:tcPr>
          <w:p w:rsidR="00310F74" w:rsidRPr="00587E39" w:rsidP="00F81A22" w14:paraId="5F3A9B89" w14:textId="77777777">
            <w:pPr>
              <w:rPr>
                <w:rFonts w:ascii="Calibri" w:hAnsi="Calibri" w:cs="Calibri"/>
                <w:color w:val="000000"/>
              </w:rPr>
            </w:pPr>
          </w:p>
        </w:tc>
      </w:tr>
      <w:tr w14:paraId="22B2216E" w14:textId="77777777" w:rsidTr="00F81A22">
        <w:tblPrEx>
          <w:tblW w:w="0" w:type="auto"/>
          <w:tblLook w:val="04A0"/>
        </w:tblPrEx>
        <w:tc>
          <w:tcPr>
            <w:tcW w:w="1855" w:type="dxa"/>
          </w:tcPr>
          <w:p w:rsidR="00310F74" w:rsidRPr="00587E39" w:rsidP="00F81A22" w14:paraId="1B000C9F" w14:textId="77777777">
            <w:r w:rsidRPr="00587E39">
              <w:t>202</w:t>
            </w:r>
            <w:r>
              <w:t>8</w:t>
            </w:r>
          </w:p>
        </w:tc>
        <w:tc>
          <w:tcPr>
            <w:tcW w:w="2016" w:type="dxa"/>
          </w:tcPr>
          <w:p w:rsidR="00310F74" w:rsidRPr="00587E39" w:rsidP="00F81A22" w14:paraId="6BF0E0FD" w14:textId="77777777">
            <w:r>
              <w:t>Market Monitoring (Labor)</w:t>
            </w:r>
          </w:p>
        </w:tc>
        <w:tc>
          <w:tcPr>
            <w:tcW w:w="1880" w:type="dxa"/>
          </w:tcPr>
          <w:p w:rsidR="00310F74" w:rsidRPr="00587E39" w:rsidP="00F81A22" w14:paraId="12F430B7" w14:textId="06FDAFCC">
            <w:pPr>
              <w:rPr>
                <w:rFonts w:ascii="Calibri" w:hAnsi="Calibri" w:cs="Calibri"/>
                <w:color w:val="000000"/>
              </w:rPr>
            </w:pPr>
            <w:r>
              <w:rPr>
                <w:rFonts w:ascii="Calibri" w:hAnsi="Calibri" w:cs="Calibri"/>
                <w:color w:val="000000"/>
              </w:rPr>
              <w:t>2125</w:t>
            </w:r>
          </w:p>
        </w:tc>
        <w:tc>
          <w:tcPr>
            <w:tcW w:w="1871" w:type="dxa"/>
          </w:tcPr>
          <w:p w:rsidR="00310F74" w:rsidRPr="00587E39" w:rsidP="00F81A22" w14:paraId="3CFD980D" w14:textId="4B8518C7">
            <w:r>
              <w:t>92.81</w:t>
            </w:r>
          </w:p>
        </w:tc>
        <w:tc>
          <w:tcPr>
            <w:tcW w:w="1728" w:type="dxa"/>
          </w:tcPr>
          <w:p w:rsidR="00310F74" w:rsidRPr="00587E39" w:rsidP="00F81A22" w14:paraId="67BEEDB5" w14:textId="7B1A162D">
            <w:pPr>
              <w:rPr>
                <w:rFonts w:ascii="Calibri" w:hAnsi="Calibri" w:cs="Calibri"/>
                <w:color w:val="000000"/>
              </w:rPr>
            </w:pPr>
            <w:r w:rsidRPr="00587E39">
              <w:rPr>
                <w:rFonts w:ascii="Calibri" w:hAnsi="Calibri" w:cs="Calibri"/>
                <w:color w:val="000000"/>
              </w:rPr>
              <w:t>$</w:t>
            </w:r>
            <w:r>
              <w:rPr>
                <w:rFonts w:ascii="Calibri" w:hAnsi="Calibri" w:cs="Calibri"/>
                <w:color w:val="000000"/>
              </w:rPr>
              <w:t>197,221.25</w:t>
            </w:r>
          </w:p>
        </w:tc>
      </w:tr>
      <w:tr w14:paraId="3956F7AC" w14:textId="77777777" w:rsidTr="00F81A22">
        <w:tblPrEx>
          <w:tblW w:w="0" w:type="auto"/>
          <w:tblLook w:val="04A0"/>
        </w:tblPrEx>
        <w:tc>
          <w:tcPr>
            <w:tcW w:w="1855" w:type="dxa"/>
          </w:tcPr>
          <w:p w:rsidR="00310F74" w:rsidRPr="00587E39" w:rsidP="00F81A22" w14:paraId="26B94949" w14:textId="77777777"/>
        </w:tc>
        <w:tc>
          <w:tcPr>
            <w:tcW w:w="2016" w:type="dxa"/>
          </w:tcPr>
          <w:p w:rsidR="00310F74" w:rsidRPr="00587E39" w:rsidP="00F81A22" w14:paraId="2D3D4492" w14:textId="77777777">
            <w:r w:rsidRPr="00587E39">
              <w:t>Enterprise Support</w:t>
            </w:r>
            <w:r>
              <w:t xml:space="preserve"> (Labor)</w:t>
            </w:r>
          </w:p>
        </w:tc>
        <w:tc>
          <w:tcPr>
            <w:tcW w:w="1880" w:type="dxa"/>
          </w:tcPr>
          <w:p w:rsidR="00310F74" w:rsidRPr="00587E39" w:rsidP="00F81A22" w14:paraId="227C60B8" w14:textId="399D3AD5">
            <w:pPr>
              <w:rPr>
                <w:rFonts w:ascii="Calibri" w:hAnsi="Calibri" w:cs="Calibri"/>
                <w:color w:val="000000"/>
              </w:rPr>
            </w:pPr>
            <w:r>
              <w:rPr>
                <w:rFonts w:ascii="Calibri" w:hAnsi="Calibri" w:cs="Calibri"/>
                <w:color w:val="000000"/>
              </w:rPr>
              <w:t>360</w:t>
            </w:r>
          </w:p>
        </w:tc>
        <w:tc>
          <w:tcPr>
            <w:tcW w:w="1871" w:type="dxa"/>
          </w:tcPr>
          <w:p w:rsidR="00310F74" w:rsidRPr="00587E39" w:rsidP="00F81A22" w14:paraId="189737DB" w14:textId="20B4C3EA">
            <w:r>
              <w:t>265.25</w:t>
            </w:r>
          </w:p>
        </w:tc>
        <w:tc>
          <w:tcPr>
            <w:tcW w:w="1728" w:type="dxa"/>
          </w:tcPr>
          <w:p w:rsidR="00310F74" w:rsidRPr="00587E39" w:rsidP="00F81A22" w14:paraId="7C468B32" w14:textId="4387F935">
            <w:pPr>
              <w:rPr>
                <w:rFonts w:ascii="Calibri" w:hAnsi="Calibri" w:cs="Calibri"/>
                <w:color w:val="000000"/>
              </w:rPr>
            </w:pPr>
            <w:r w:rsidRPr="00587E39">
              <w:rPr>
                <w:rFonts w:ascii="Calibri" w:hAnsi="Calibri" w:cs="Calibri"/>
                <w:color w:val="000000"/>
              </w:rPr>
              <w:t>$</w:t>
            </w:r>
            <w:r>
              <w:rPr>
                <w:rFonts w:ascii="Calibri" w:hAnsi="Calibri" w:cs="Calibri"/>
                <w:color w:val="000000"/>
              </w:rPr>
              <w:t>95,490.00</w:t>
            </w:r>
          </w:p>
        </w:tc>
      </w:tr>
      <w:tr w14:paraId="3B415D98" w14:textId="77777777" w:rsidTr="00F81A22">
        <w:tblPrEx>
          <w:tblW w:w="0" w:type="auto"/>
          <w:tblLook w:val="04A0"/>
        </w:tblPrEx>
        <w:tc>
          <w:tcPr>
            <w:tcW w:w="1855" w:type="dxa"/>
          </w:tcPr>
          <w:p w:rsidR="00310F74" w:rsidRPr="00587E39" w:rsidP="00F81A22" w14:paraId="58685AB9" w14:textId="77777777"/>
        </w:tc>
        <w:tc>
          <w:tcPr>
            <w:tcW w:w="2016" w:type="dxa"/>
          </w:tcPr>
          <w:p w:rsidR="00310F74" w:rsidRPr="00587E39" w:rsidP="00F81A22" w14:paraId="366D51DC" w14:textId="77777777">
            <w:r>
              <w:t>Technology</w:t>
            </w:r>
          </w:p>
        </w:tc>
        <w:tc>
          <w:tcPr>
            <w:tcW w:w="1880" w:type="dxa"/>
          </w:tcPr>
          <w:p w:rsidR="00310F74" w:rsidRPr="00587E39" w:rsidP="00F81A22" w14:paraId="1AEA38EB" w14:textId="77777777">
            <w:pPr>
              <w:rPr>
                <w:rFonts w:ascii="Calibri" w:hAnsi="Calibri" w:cs="Calibri"/>
                <w:color w:val="000000"/>
              </w:rPr>
            </w:pPr>
            <w:r>
              <w:rPr>
                <w:rFonts w:ascii="Calibri" w:hAnsi="Calibri" w:cs="Calibri"/>
                <w:color w:val="000000"/>
              </w:rPr>
              <w:t>N/A</w:t>
            </w:r>
          </w:p>
        </w:tc>
        <w:tc>
          <w:tcPr>
            <w:tcW w:w="1871" w:type="dxa"/>
          </w:tcPr>
          <w:p w:rsidR="00310F74" w:rsidRPr="00587E39" w:rsidP="00F81A22" w14:paraId="26965A9A" w14:textId="77777777">
            <w:r>
              <w:rPr>
                <w:rFonts w:ascii="Calibri" w:hAnsi="Calibri" w:cs="Calibri"/>
                <w:color w:val="000000"/>
              </w:rPr>
              <w:t>N/A</w:t>
            </w:r>
          </w:p>
        </w:tc>
        <w:tc>
          <w:tcPr>
            <w:tcW w:w="1728" w:type="dxa"/>
          </w:tcPr>
          <w:p w:rsidR="00310F74" w:rsidRPr="00587E39" w:rsidP="00F81A22" w14:paraId="711E8781" w14:textId="5F00A68B">
            <w:pPr>
              <w:rPr>
                <w:rFonts w:ascii="Calibri" w:hAnsi="Calibri" w:cs="Calibri"/>
                <w:color w:val="000000"/>
              </w:rPr>
            </w:pPr>
            <w:r>
              <w:rPr>
                <w:rFonts w:ascii="Calibri" w:hAnsi="Calibri" w:cs="Calibri"/>
                <w:color w:val="000000"/>
              </w:rPr>
              <w:t>$30,021.16</w:t>
            </w:r>
          </w:p>
        </w:tc>
      </w:tr>
      <w:tr w14:paraId="3B37FA9F" w14:textId="77777777" w:rsidTr="00F81A22">
        <w:tblPrEx>
          <w:tblW w:w="0" w:type="auto"/>
          <w:tblLook w:val="04A0"/>
        </w:tblPrEx>
        <w:tc>
          <w:tcPr>
            <w:tcW w:w="1855" w:type="dxa"/>
          </w:tcPr>
          <w:p w:rsidR="00310F74" w:rsidRPr="00587E39" w:rsidP="00F81A22" w14:paraId="55B06244" w14:textId="77777777"/>
        </w:tc>
        <w:tc>
          <w:tcPr>
            <w:tcW w:w="2016" w:type="dxa"/>
          </w:tcPr>
          <w:p w:rsidR="00310F74" w:rsidRPr="00587E39" w:rsidP="00F81A22" w14:paraId="6AB6A092" w14:textId="77777777"/>
        </w:tc>
        <w:tc>
          <w:tcPr>
            <w:tcW w:w="1880" w:type="dxa"/>
          </w:tcPr>
          <w:p w:rsidR="00310F74" w:rsidRPr="00587E39" w:rsidP="00F81A22" w14:paraId="7B3AE105" w14:textId="77777777">
            <w:pPr>
              <w:rPr>
                <w:rFonts w:ascii="Calibri" w:hAnsi="Calibri" w:cs="Calibri"/>
                <w:color w:val="000000"/>
              </w:rPr>
            </w:pPr>
          </w:p>
        </w:tc>
        <w:tc>
          <w:tcPr>
            <w:tcW w:w="1871" w:type="dxa"/>
          </w:tcPr>
          <w:p w:rsidR="00310F74" w:rsidRPr="00587E39" w:rsidP="00F81A22" w14:paraId="1CD770CF" w14:textId="77777777"/>
        </w:tc>
        <w:tc>
          <w:tcPr>
            <w:tcW w:w="1728" w:type="dxa"/>
          </w:tcPr>
          <w:p w:rsidR="00310F74" w:rsidRPr="00587E39" w:rsidP="00F81A22" w14:paraId="100F6F92" w14:textId="77777777">
            <w:pPr>
              <w:rPr>
                <w:rFonts w:ascii="Calibri" w:hAnsi="Calibri" w:cs="Calibri"/>
                <w:color w:val="000000"/>
              </w:rPr>
            </w:pPr>
          </w:p>
        </w:tc>
      </w:tr>
    </w:tbl>
    <w:p w:rsidR="00310F74" w:rsidRPr="00136918" w:rsidP="00310F74" w14:paraId="6D9683A5" w14:textId="77777777"/>
    <w:p w:rsidR="00E00B4D" w:rsidRPr="009635D8" w:rsidP="009635D8" w14:paraId="7EBDCD53" w14:textId="50186636">
      <w:pPr>
        <w:pStyle w:val="ListParagraph"/>
        <w:numPr>
          <w:ilvl w:val="0"/>
          <w:numId w:val="1"/>
        </w:numPr>
        <w:rPr>
          <w:b/>
        </w:rPr>
      </w:pPr>
      <w:r w:rsidRPr="009635D8">
        <w:rPr>
          <w:b/>
        </w:rPr>
        <w:t xml:space="preserve">Explain the reasons for any program changes or adjustments. </w:t>
      </w:r>
    </w:p>
    <w:p w:rsidR="00A12497" w:rsidP="00EB1D91" w14:paraId="0D8BA895" w14:textId="07FD1328">
      <w:pPr>
        <w:ind w:left="360"/>
      </w:pPr>
      <w:r>
        <w:t>Th</w:t>
      </w:r>
      <w:r w:rsidR="009A4C09">
        <w:t xml:space="preserve">ere </w:t>
      </w:r>
      <w:r w:rsidR="0043721F">
        <w:t xml:space="preserve">is an increase in burden </w:t>
      </w:r>
      <w:r w:rsidR="002B0BBE">
        <w:t xml:space="preserve">due to a change in agency estimates. </w:t>
      </w:r>
      <w:r w:rsidR="00933727">
        <w:t>The</w:t>
      </w:r>
      <w:r w:rsidR="00933727">
        <w:t xml:space="preserve"> Office believes that one additional covered reporter will begin reporting under the rule within the next 12 months.  </w:t>
      </w:r>
    </w:p>
    <w:p w:rsidR="00E00B4D" w:rsidRPr="009635D8" w:rsidP="009635D8" w14:paraId="4F712427" w14:textId="77777777">
      <w:pPr>
        <w:pStyle w:val="ListParagraph"/>
        <w:numPr>
          <w:ilvl w:val="0"/>
          <w:numId w:val="1"/>
        </w:numPr>
        <w:rPr>
          <w:b/>
        </w:rPr>
      </w:pPr>
      <w:r w:rsidRPr="009635D8">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0B4D" w:rsidP="00025FB3" w14:paraId="4284BCF1" w14:textId="77777777">
      <w:pPr>
        <w:ind w:firstLine="360"/>
      </w:pPr>
      <w:r>
        <w:t xml:space="preserve">There are no plans to publish this information currently for </w:t>
      </w:r>
      <w:r w:rsidR="00025FB3">
        <w:t xml:space="preserve">statistical purposes.  </w:t>
      </w:r>
      <w:r>
        <w:t xml:space="preserve"> </w:t>
      </w:r>
    </w:p>
    <w:p w:rsidR="00E00B4D" w:rsidRPr="009635D8" w:rsidP="009635D8" w14:paraId="79513C0B" w14:textId="77777777">
      <w:pPr>
        <w:pStyle w:val="ListParagraph"/>
        <w:numPr>
          <w:ilvl w:val="0"/>
          <w:numId w:val="1"/>
        </w:numPr>
        <w:rPr>
          <w:b/>
        </w:rPr>
      </w:pPr>
      <w:r w:rsidRPr="009635D8">
        <w:rPr>
          <w:b/>
        </w:rPr>
        <w:t xml:space="preserve">If seeking approval to not display the expiration date for OMB approval of the information collection, explain the reasons that display would be inappropriate. </w:t>
      </w:r>
    </w:p>
    <w:p w:rsidR="00E00B4D" w:rsidP="00025FB3" w14:paraId="3C7971AD" w14:textId="77777777">
      <w:pPr>
        <w:ind w:firstLine="360"/>
      </w:pPr>
      <w:r>
        <w:t>The Office</w:t>
      </w:r>
      <w:r w:rsidR="00025FB3">
        <w:t xml:space="preserve"> will display the expiration date for OMB approval of this information collection request. </w:t>
      </w:r>
      <w:r>
        <w:t xml:space="preserve"> </w:t>
      </w:r>
    </w:p>
    <w:p w:rsidR="00E00B4D" w:rsidRPr="009635D8" w:rsidP="007C0EEB" w14:paraId="1A0AC11B" w14:textId="42BDE459">
      <w:pPr>
        <w:pStyle w:val="ListParagraph"/>
        <w:numPr>
          <w:ilvl w:val="0"/>
          <w:numId w:val="1"/>
        </w:numPr>
        <w:rPr>
          <w:b/>
        </w:rPr>
      </w:pPr>
      <w:r w:rsidRPr="009635D8">
        <w:rPr>
          <w:b/>
        </w:rPr>
        <w:t>Explain each exception to the certification statement</w:t>
      </w:r>
      <w:r w:rsidR="009C0403">
        <w:rPr>
          <w:b/>
        </w:rPr>
        <w:t>.</w:t>
      </w:r>
    </w:p>
    <w:p w:rsidR="000D1E20" w:rsidP="00025FB3" w14:paraId="299EF8AF" w14:textId="1F5D1C80">
      <w:pPr>
        <w:ind w:firstLine="360"/>
      </w:pPr>
      <w:r>
        <w:t>The</w:t>
      </w:r>
      <w:r w:rsidR="009C0403">
        <w:t xml:space="preserve">re are no exceptions to the </w:t>
      </w:r>
      <w:r w:rsidR="00025FB3">
        <w:t xml:space="preserve">certification </w:t>
      </w:r>
      <w:r w:rsidR="00511734">
        <w:t xml:space="preserve">for </w:t>
      </w:r>
      <w:r w:rsidR="00025FB3">
        <w:t xml:space="preserve">this information collection request.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4532742"/>
      <w:docPartObj>
        <w:docPartGallery w:val="Page Numbers (Bottom of Page)"/>
        <w:docPartUnique/>
      </w:docPartObj>
    </w:sdtPr>
    <w:sdtEndPr>
      <w:rPr>
        <w:noProof/>
      </w:rPr>
    </w:sdtEndPr>
    <w:sdtContent>
      <w:p w:rsidR="007B2361" w14:paraId="5EAFEB7A" w14:textId="77777777">
        <w:pPr>
          <w:pStyle w:val="Footer"/>
          <w:jc w:val="center"/>
        </w:pPr>
        <w:r>
          <w:fldChar w:fldCharType="begin"/>
        </w:r>
        <w:r>
          <w:instrText xml:space="preserve"> PAGE   \* MERGEFORMAT </w:instrText>
        </w:r>
        <w:r>
          <w:fldChar w:fldCharType="separate"/>
        </w:r>
        <w:r w:rsidR="00974BA4">
          <w:rPr>
            <w:noProof/>
          </w:rPr>
          <w:t>1</w:t>
        </w:r>
        <w:r>
          <w:rPr>
            <w:noProof/>
          </w:rPr>
          <w:fldChar w:fldCharType="end"/>
        </w:r>
      </w:p>
    </w:sdtContent>
  </w:sdt>
  <w:p w:rsidR="007B2361" w14:paraId="1DE987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6E9E" w:rsidP="009635D8" w14:paraId="6C16970B" w14:textId="77777777">
      <w:pPr>
        <w:spacing w:after="0" w:line="240" w:lineRule="auto"/>
      </w:pPr>
      <w:r>
        <w:separator/>
      </w:r>
    </w:p>
  </w:footnote>
  <w:footnote w:type="continuationSeparator" w:id="1">
    <w:p w:rsidR="00E46E9E" w:rsidP="009635D8" w14:paraId="4CE3FA12" w14:textId="77777777">
      <w:pPr>
        <w:spacing w:after="0" w:line="240" w:lineRule="auto"/>
      </w:pPr>
      <w:r>
        <w:continuationSeparator/>
      </w:r>
    </w:p>
  </w:footnote>
  <w:footnote w:type="continuationNotice" w:id="2">
    <w:p w:rsidR="00E46E9E" w14:paraId="756206A7" w14:textId="77777777">
      <w:pPr>
        <w:spacing w:after="0" w:line="240" w:lineRule="auto"/>
      </w:pPr>
    </w:p>
  </w:footnote>
  <w:footnote w:id="3">
    <w:p w:rsidR="00814C15" w14:paraId="246D373D" w14:textId="22BC963A">
      <w:pPr>
        <w:pStyle w:val="FootnoteText"/>
      </w:pPr>
      <w:r>
        <w:rPr>
          <w:rStyle w:val="FootnoteReference"/>
        </w:rPr>
        <w:footnoteRef/>
      </w:r>
      <w:r>
        <w:t xml:space="preserve"> See “Ongoing Data Collection of Centrally Cleared Transactions in the U.S. Repurchase Agreement Market,” 84 FR 4975 (February 20,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B50A8"/>
    <w:multiLevelType w:val="hybridMultilevel"/>
    <w:tmpl w:val="71180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1520C6"/>
    <w:multiLevelType w:val="hybridMultilevel"/>
    <w:tmpl w:val="247295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A728A3"/>
    <w:multiLevelType w:val="hybridMultilevel"/>
    <w:tmpl w:val="DEE4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326976"/>
    <w:multiLevelType w:val="hybridMultilevel"/>
    <w:tmpl w:val="D78C9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5C18E9"/>
    <w:multiLevelType w:val="hybridMultilevel"/>
    <w:tmpl w:val="6FF21F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671322">
    <w:abstractNumId w:val="1"/>
  </w:num>
  <w:num w:numId="2" w16cid:durableId="804934613">
    <w:abstractNumId w:val="2"/>
  </w:num>
  <w:num w:numId="3" w16cid:durableId="1367749996">
    <w:abstractNumId w:val="3"/>
  </w:num>
  <w:num w:numId="4" w16cid:durableId="1085565965">
    <w:abstractNumId w:val="0"/>
  </w:num>
  <w:num w:numId="5" w16cid:durableId="99526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4D"/>
    <w:rsid w:val="00001D33"/>
    <w:rsid w:val="00007AE5"/>
    <w:rsid w:val="00007C56"/>
    <w:rsid w:val="00016FED"/>
    <w:rsid w:val="00025FB3"/>
    <w:rsid w:val="0003122C"/>
    <w:rsid w:val="00037026"/>
    <w:rsid w:val="00037248"/>
    <w:rsid w:val="00043627"/>
    <w:rsid w:val="00043EF4"/>
    <w:rsid w:val="00044974"/>
    <w:rsid w:val="000505C1"/>
    <w:rsid w:val="000711F5"/>
    <w:rsid w:val="00076A68"/>
    <w:rsid w:val="00086D1B"/>
    <w:rsid w:val="000962F3"/>
    <w:rsid w:val="000A1825"/>
    <w:rsid w:val="000A1CB6"/>
    <w:rsid w:val="000B0352"/>
    <w:rsid w:val="000B0B67"/>
    <w:rsid w:val="000B36BB"/>
    <w:rsid w:val="000B5A03"/>
    <w:rsid w:val="000B6449"/>
    <w:rsid w:val="000C368D"/>
    <w:rsid w:val="000C4EEE"/>
    <w:rsid w:val="000D1E20"/>
    <w:rsid w:val="000E1E5F"/>
    <w:rsid w:val="000E1E80"/>
    <w:rsid w:val="000F303D"/>
    <w:rsid w:val="00101C75"/>
    <w:rsid w:val="00103D28"/>
    <w:rsid w:val="00106B81"/>
    <w:rsid w:val="00110D0E"/>
    <w:rsid w:val="00112D8F"/>
    <w:rsid w:val="00115DC5"/>
    <w:rsid w:val="00116DFA"/>
    <w:rsid w:val="0012114A"/>
    <w:rsid w:val="00130846"/>
    <w:rsid w:val="00131288"/>
    <w:rsid w:val="00136918"/>
    <w:rsid w:val="0014502F"/>
    <w:rsid w:val="00146A43"/>
    <w:rsid w:val="00147451"/>
    <w:rsid w:val="00156829"/>
    <w:rsid w:val="00161BAE"/>
    <w:rsid w:val="00165B0D"/>
    <w:rsid w:val="00166CFB"/>
    <w:rsid w:val="00171AC1"/>
    <w:rsid w:val="00174E21"/>
    <w:rsid w:val="001750E4"/>
    <w:rsid w:val="00181F11"/>
    <w:rsid w:val="00182F8A"/>
    <w:rsid w:val="00186F30"/>
    <w:rsid w:val="00192D45"/>
    <w:rsid w:val="001931C2"/>
    <w:rsid w:val="00196F64"/>
    <w:rsid w:val="001A6D98"/>
    <w:rsid w:val="001A73A0"/>
    <w:rsid w:val="001B2A06"/>
    <w:rsid w:val="001C0DDD"/>
    <w:rsid w:val="001C5923"/>
    <w:rsid w:val="001D0660"/>
    <w:rsid w:val="001D7269"/>
    <w:rsid w:val="001F2FA4"/>
    <w:rsid w:val="001F66D1"/>
    <w:rsid w:val="0020468A"/>
    <w:rsid w:val="00235E06"/>
    <w:rsid w:val="00240CA6"/>
    <w:rsid w:val="00243810"/>
    <w:rsid w:val="00243D25"/>
    <w:rsid w:val="002466FD"/>
    <w:rsid w:val="0025196E"/>
    <w:rsid w:val="00252AEB"/>
    <w:rsid w:val="00264223"/>
    <w:rsid w:val="00285171"/>
    <w:rsid w:val="00287769"/>
    <w:rsid w:val="0029128D"/>
    <w:rsid w:val="00292028"/>
    <w:rsid w:val="002A0C3B"/>
    <w:rsid w:val="002A0FAE"/>
    <w:rsid w:val="002A6289"/>
    <w:rsid w:val="002A7507"/>
    <w:rsid w:val="002B0BBE"/>
    <w:rsid w:val="002B2D69"/>
    <w:rsid w:val="002B3F44"/>
    <w:rsid w:val="002B50F3"/>
    <w:rsid w:val="002C3D48"/>
    <w:rsid w:val="002C66A4"/>
    <w:rsid w:val="002D28DA"/>
    <w:rsid w:val="002E03F6"/>
    <w:rsid w:val="002E1EE8"/>
    <w:rsid w:val="002E2D01"/>
    <w:rsid w:val="002E42DD"/>
    <w:rsid w:val="002F0AA8"/>
    <w:rsid w:val="002F0FB8"/>
    <w:rsid w:val="002F7BEC"/>
    <w:rsid w:val="00300ACF"/>
    <w:rsid w:val="00304714"/>
    <w:rsid w:val="00307EB9"/>
    <w:rsid w:val="00310F74"/>
    <w:rsid w:val="003156B3"/>
    <w:rsid w:val="0033063A"/>
    <w:rsid w:val="00333EB0"/>
    <w:rsid w:val="00354790"/>
    <w:rsid w:val="00354960"/>
    <w:rsid w:val="00354A68"/>
    <w:rsid w:val="00355320"/>
    <w:rsid w:val="00363A5E"/>
    <w:rsid w:val="00366DE7"/>
    <w:rsid w:val="00376EF2"/>
    <w:rsid w:val="00384444"/>
    <w:rsid w:val="00391FFB"/>
    <w:rsid w:val="0039204F"/>
    <w:rsid w:val="003A541E"/>
    <w:rsid w:val="003B4202"/>
    <w:rsid w:val="003C02EC"/>
    <w:rsid w:val="003C0ED1"/>
    <w:rsid w:val="003C2760"/>
    <w:rsid w:val="003C5A8B"/>
    <w:rsid w:val="003C60C7"/>
    <w:rsid w:val="003D5FA7"/>
    <w:rsid w:val="003E5613"/>
    <w:rsid w:val="003F51F2"/>
    <w:rsid w:val="003F5869"/>
    <w:rsid w:val="003F63E5"/>
    <w:rsid w:val="00414698"/>
    <w:rsid w:val="00415488"/>
    <w:rsid w:val="00416881"/>
    <w:rsid w:val="004210F1"/>
    <w:rsid w:val="00422FD0"/>
    <w:rsid w:val="004324CA"/>
    <w:rsid w:val="00435F8C"/>
    <w:rsid w:val="0043721F"/>
    <w:rsid w:val="00445D19"/>
    <w:rsid w:val="00446EB7"/>
    <w:rsid w:val="00454A0B"/>
    <w:rsid w:val="00470356"/>
    <w:rsid w:val="00480659"/>
    <w:rsid w:val="004818D6"/>
    <w:rsid w:val="004830F2"/>
    <w:rsid w:val="004834F8"/>
    <w:rsid w:val="00484825"/>
    <w:rsid w:val="00487EA8"/>
    <w:rsid w:val="004A168E"/>
    <w:rsid w:val="004A5252"/>
    <w:rsid w:val="004B1415"/>
    <w:rsid w:val="004B3441"/>
    <w:rsid w:val="004D438A"/>
    <w:rsid w:val="004E1209"/>
    <w:rsid w:val="004E6212"/>
    <w:rsid w:val="004E7669"/>
    <w:rsid w:val="005025F2"/>
    <w:rsid w:val="00511734"/>
    <w:rsid w:val="0051306B"/>
    <w:rsid w:val="00513D63"/>
    <w:rsid w:val="005277F8"/>
    <w:rsid w:val="00532E7A"/>
    <w:rsid w:val="00535243"/>
    <w:rsid w:val="00535F5E"/>
    <w:rsid w:val="00536417"/>
    <w:rsid w:val="0053652D"/>
    <w:rsid w:val="00540795"/>
    <w:rsid w:val="00541718"/>
    <w:rsid w:val="00543CA0"/>
    <w:rsid w:val="005525AE"/>
    <w:rsid w:val="00564DC8"/>
    <w:rsid w:val="00564DEC"/>
    <w:rsid w:val="00566DC0"/>
    <w:rsid w:val="0057170F"/>
    <w:rsid w:val="00574042"/>
    <w:rsid w:val="00587E39"/>
    <w:rsid w:val="0059024D"/>
    <w:rsid w:val="00595E12"/>
    <w:rsid w:val="00596192"/>
    <w:rsid w:val="005A0A89"/>
    <w:rsid w:val="005A25BD"/>
    <w:rsid w:val="005A5040"/>
    <w:rsid w:val="005B0FB2"/>
    <w:rsid w:val="005B39E5"/>
    <w:rsid w:val="005B638B"/>
    <w:rsid w:val="005C60E7"/>
    <w:rsid w:val="005C7DC0"/>
    <w:rsid w:val="005D09CE"/>
    <w:rsid w:val="005D2360"/>
    <w:rsid w:val="005E709D"/>
    <w:rsid w:val="005F46D1"/>
    <w:rsid w:val="005F4A1A"/>
    <w:rsid w:val="00600786"/>
    <w:rsid w:val="006036C7"/>
    <w:rsid w:val="00603F8A"/>
    <w:rsid w:val="00607D23"/>
    <w:rsid w:val="00612FD4"/>
    <w:rsid w:val="00613F48"/>
    <w:rsid w:val="00616504"/>
    <w:rsid w:val="00622EFA"/>
    <w:rsid w:val="006269D8"/>
    <w:rsid w:val="0063076E"/>
    <w:rsid w:val="0063553B"/>
    <w:rsid w:val="00641C3B"/>
    <w:rsid w:val="00645757"/>
    <w:rsid w:val="006535FD"/>
    <w:rsid w:val="006613D5"/>
    <w:rsid w:val="00665398"/>
    <w:rsid w:val="00665BF9"/>
    <w:rsid w:val="006662DA"/>
    <w:rsid w:val="00671605"/>
    <w:rsid w:val="006764CA"/>
    <w:rsid w:val="00684FAD"/>
    <w:rsid w:val="006A18E4"/>
    <w:rsid w:val="006A53C1"/>
    <w:rsid w:val="006B40AE"/>
    <w:rsid w:val="006C227B"/>
    <w:rsid w:val="006C25D0"/>
    <w:rsid w:val="006C3E46"/>
    <w:rsid w:val="006E413A"/>
    <w:rsid w:val="006E5F17"/>
    <w:rsid w:val="006F6D52"/>
    <w:rsid w:val="00700160"/>
    <w:rsid w:val="0070293E"/>
    <w:rsid w:val="00706E30"/>
    <w:rsid w:val="00707F05"/>
    <w:rsid w:val="00715F9C"/>
    <w:rsid w:val="007178D3"/>
    <w:rsid w:val="00721EA5"/>
    <w:rsid w:val="00735FFF"/>
    <w:rsid w:val="00741B56"/>
    <w:rsid w:val="00744B60"/>
    <w:rsid w:val="00744C3E"/>
    <w:rsid w:val="00745466"/>
    <w:rsid w:val="00745A06"/>
    <w:rsid w:val="007673FF"/>
    <w:rsid w:val="007709C5"/>
    <w:rsid w:val="007717AB"/>
    <w:rsid w:val="00771864"/>
    <w:rsid w:val="007722EA"/>
    <w:rsid w:val="00773C2A"/>
    <w:rsid w:val="00775CEA"/>
    <w:rsid w:val="00780B3B"/>
    <w:rsid w:val="00783875"/>
    <w:rsid w:val="00794973"/>
    <w:rsid w:val="007970FF"/>
    <w:rsid w:val="007A32A7"/>
    <w:rsid w:val="007A4861"/>
    <w:rsid w:val="007B1429"/>
    <w:rsid w:val="007B2361"/>
    <w:rsid w:val="007B74C1"/>
    <w:rsid w:val="007C0EEB"/>
    <w:rsid w:val="007C1393"/>
    <w:rsid w:val="007C40F1"/>
    <w:rsid w:val="007D403E"/>
    <w:rsid w:val="007D65A3"/>
    <w:rsid w:val="007F20FE"/>
    <w:rsid w:val="007F73B7"/>
    <w:rsid w:val="0080286F"/>
    <w:rsid w:val="00804F81"/>
    <w:rsid w:val="0080722A"/>
    <w:rsid w:val="00807F43"/>
    <w:rsid w:val="00813C81"/>
    <w:rsid w:val="00814C15"/>
    <w:rsid w:val="0082229D"/>
    <w:rsid w:val="00830E5F"/>
    <w:rsid w:val="00840275"/>
    <w:rsid w:val="00843002"/>
    <w:rsid w:val="00843025"/>
    <w:rsid w:val="00843E73"/>
    <w:rsid w:val="00850BB5"/>
    <w:rsid w:val="00854882"/>
    <w:rsid w:val="00855E9E"/>
    <w:rsid w:val="008563E0"/>
    <w:rsid w:val="00857986"/>
    <w:rsid w:val="00867B26"/>
    <w:rsid w:val="00870899"/>
    <w:rsid w:val="008710F0"/>
    <w:rsid w:val="00872FBC"/>
    <w:rsid w:val="00874BCA"/>
    <w:rsid w:val="00881334"/>
    <w:rsid w:val="00886E32"/>
    <w:rsid w:val="00890735"/>
    <w:rsid w:val="00890E24"/>
    <w:rsid w:val="008A62DD"/>
    <w:rsid w:val="008B012B"/>
    <w:rsid w:val="008B50F6"/>
    <w:rsid w:val="008C0F10"/>
    <w:rsid w:val="008D0A60"/>
    <w:rsid w:val="008D2B6D"/>
    <w:rsid w:val="008E1A73"/>
    <w:rsid w:val="008E6179"/>
    <w:rsid w:val="008E70BB"/>
    <w:rsid w:val="008E7CA0"/>
    <w:rsid w:val="008F10C9"/>
    <w:rsid w:val="008F52BB"/>
    <w:rsid w:val="008F5D51"/>
    <w:rsid w:val="0090130D"/>
    <w:rsid w:val="00904C45"/>
    <w:rsid w:val="00904C5A"/>
    <w:rsid w:val="00906C52"/>
    <w:rsid w:val="0091188C"/>
    <w:rsid w:val="0091532D"/>
    <w:rsid w:val="00933727"/>
    <w:rsid w:val="0093570D"/>
    <w:rsid w:val="00943A52"/>
    <w:rsid w:val="00955F70"/>
    <w:rsid w:val="00962573"/>
    <w:rsid w:val="009635D8"/>
    <w:rsid w:val="009711DC"/>
    <w:rsid w:val="009746BD"/>
    <w:rsid w:val="00974BA4"/>
    <w:rsid w:val="009801E8"/>
    <w:rsid w:val="00987B15"/>
    <w:rsid w:val="00987F5F"/>
    <w:rsid w:val="009916BE"/>
    <w:rsid w:val="00993FB2"/>
    <w:rsid w:val="009943BF"/>
    <w:rsid w:val="009A19A4"/>
    <w:rsid w:val="009A4230"/>
    <w:rsid w:val="009A4C09"/>
    <w:rsid w:val="009A6965"/>
    <w:rsid w:val="009B00EA"/>
    <w:rsid w:val="009B4DAF"/>
    <w:rsid w:val="009B7959"/>
    <w:rsid w:val="009C0403"/>
    <w:rsid w:val="009C13CE"/>
    <w:rsid w:val="009C3A31"/>
    <w:rsid w:val="009D0C96"/>
    <w:rsid w:val="009D3D5B"/>
    <w:rsid w:val="009F1065"/>
    <w:rsid w:val="009F16FB"/>
    <w:rsid w:val="009F575C"/>
    <w:rsid w:val="00A002FD"/>
    <w:rsid w:val="00A02071"/>
    <w:rsid w:val="00A02AA7"/>
    <w:rsid w:val="00A038CF"/>
    <w:rsid w:val="00A05358"/>
    <w:rsid w:val="00A12497"/>
    <w:rsid w:val="00A2032F"/>
    <w:rsid w:val="00A47237"/>
    <w:rsid w:val="00A51D53"/>
    <w:rsid w:val="00A6147D"/>
    <w:rsid w:val="00A64FC1"/>
    <w:rsid w:val="00A75F93"/>
    <w:rsid w:val="00A80CE4"/>
    <w:rsid w:val="00A8408E"/>
    <w:rsid w:val="00A9695B"/>
    <w:rsid w:val="00AA2D89"/>
    <w:rsid w:val="00AA5E13"/>
    <w:rsid w:val="00AB0A82"/>
    <w:rsid w:val="00AC1E1B"/>
    <w:rsid w:val="00AC327E"/>
    <w:rsid w:val="00AC637A"/>
    <w:rsid w:val="00AD0E72"/>
    <w:rsid w:val="00AD126C"/>
    <w:rsid w:val="00AD5411"/>
    <w:rsid w:val="00B07397"/>
    <w:rsid w:val="00B15183"/>
    <w:rsid w:val="00B15655"/>
    <w:rsid w:val="00B22A24"/>
    <w:rsid w:val="00B261C7"/>
    <w:rsid w:val="00B344DE"/>
    <w:rsid w:val="00B345B6"/>
    <w:rsid w:val="00B41892"/>
    <w:rsid w:val="00B45CFF"/>
    <w:rsid w:val="00B502E5"/>
    <w:rsid w:val="00B524E2"/>
    <w:rsid w:val="00B549D3"/>
    <w:rsid w:val="00B64272"/>
    <w:rsid w:val="00B66CE8"/>
    <w:rsid w:val="00B70127"/>
    <w:rsid w:val="00B758DF"/>
    <w:rsid w:val="00B768B1"/>
    <w:rsid w:val="00B85349"/>
    <w:rsid w:val="00B9099F"/>
    <w:rsid w:val="00B93188"/>
    <w:rsid w:val="00BA1A47"/>
    <w:rsid w:val="00BA23EF"/>
    <w:rsid w:val="00BA34A6"/>
    <w:rsid w:val="00BA5055"/>
    <w:rsid w:val="00BA6517"/>
    <w:rsid w:val="00BB2B3E"/>
    <w:rsid w:val="00BD66D5"/>
    <w:rsid w:val="00BF4792"/>
    <w:rsid w:val="00C00411"/>
    <w:rsid w:val="00C025B5"/>
    <w:rsid w:val="00C136A7"/>
    <w:rsid w:val="00C20B95"/>
    <w:rsid w:val="00C24C7B"/>
    <w:rsid w:val="00C25317"/>
    <w:rsid w:val="00C2600F"/>
    <w:rsid w:val="00C42CCF"/>
    <w:rsid w:val="00C53291"/>
    <w:rsid w:val="00C5331E"/>
    <w:rsid w:val="00C535E2"/>
    <w:rsid w:val="00C62917"/>
    <w:rsid w:val="00C642B5"/>
    <w:rsid w:val="00C64B28"/>
    <w:rsid w:val="00C65288"/>
    <w:rsid w:val="00C71AF7"/>
    <w:rsid w:val="00C76835"/>
    <w:rsid w:val="00C83F00"/>
    <w:rsid w:val="00C90DA9"/>
    <w:rsid w:val="00CA7E7B"/>
    <w:rsid w:val="00CC2B12"/>
    <w:rsid w:val="00CD2F35"/>
    <w:rsid w:val="00CD59CE"/>
    <w:rsid w:val="00CE1359"/>
    <w:rsid w:val="00CE2732"/>
    <w:rsid w:val="00CE3A44"/>
    <w:rsid w:val="00CE5DE2"/>
    <w:rsid w:val="00CF11B3"/>
    <w:rsid w:val="00CF53B0"/>
    <w:rsid w:val="00CF7EED"/>
    <w:rsid w:val="00D00DEF"/>
    <w:rsid w:val="00D14874"/>
    <w:rsid w:val="00D15DEE"/>
    <w:rsid w:val="00D22707"/>
    <w:rsid w:val="00D229F0"/>
    <w:rsid w:val="00D23EDA"/>
    <w:rsid w:val="00D2663F"/>
    <w:rsid w:val="00D26679"/>
    <w:rsid w:val="00D31E9A"/>
    <w:rsid w:val="00D3412B"/>
    <w:rsid w:val="00D43FAD"/>
    <w:rsid w:val="00D54203"/>
    <w:rsid w:val="00D54756"/>
    <w:rsid w:val="00D551FA"/>
    <w:rsid w:val="00D63399"/>
    <w:rsid w:val="00D71340"/>
    <w:rsid w:val="00D82BDA"/>
    <w:rsid w:val="00D86920"/>
    <w:rsid w:val="00D908F0"/>
    <w:rsid w:val="00D9540E"/>
    <w:rsid w:val="00DA1539"/>
    <w:rsid w:val="00DA4D5F"/>
    <w:rsid w:val="00DA7F60"/>
    <w:rsid w:val="00DC1A88"/>
    <w:rsid w:val="00DC37B2"/>
    <w:rsid w:val="00DC7D03"/>
    <w:rsid w:val="00DE0738"/>
    <w:rsid w:val="00DF0529"/>
    <w:rsid w:val="00DF06EB"/>
    <w:rsid w:val="00DF3F61"/>
    <w:rsid w:val="00DF4B6D"/>
    <w:rsid w:val="00DF7F63"/>
    <w:rsid w:val="00E00B4D"/>
    <w:rsid w:val="00E02084"/>
    <w:rsid w:val="00E0500E"/>
    <w:rsid w:val="00E13968"/>
    <w:rsid w:val="00E139DE"/>
    <w:rsid w:val="00E14E25"/>
    <w:rsid w:val="00E20D46"/>
    <w:rsid w:val="00E23AD2"/>
    <w:rsid w:val="00E32D13"/>
    <w:rsid w:val="00E33262"/>
    <w:rsid w:val="00E332D3"/>
    <w:rsid w:val="00E40C73"/>
    <w:rsid w:val="00E46E9E"/>
    <w:rsid w:val="00E47C41"/>
    <w:rsid w:val="00E635C8"/>
    <w:rsid w:val="00E677F3"/>
    <w:rsid w:val="00E7210F"/>
    <w:rsid w:val="00E86104"/>
    <w:rsid w:val="00E92B55"/>
    <w:rsid w:val="00E95AB1"/>
    <w:rsid w:val="00E97D85"/>
    <w:rsid w:val="00EA79D7"/>
    <w:rsid w:val="00EB1D91"/>
    <w:rsid w:val="00EB20AD"/>
    <w:rsid w:val="00EB59B9"/>
    <w:rsid w:val="00EB6D32"/>
    <w:rsid w:val="00EB79F9"/>
    <w:rsid w:val="00EC02FE"/>
    <w:rsid w:val="00EC33F5"/>
    <w:rsid w:val="00EC76A9"/>
    <w:rsid w:val="00ED0518"/>
    <w:rsid w:val="00ED1918"/>
    <w:rsid w:val="00ED48E8"/>
    <w:rsid w:val="00ED507B"/>
    <w:rsid w:val="00ED7661"/>
    <w:rsid w:val="00EE1418"/>
    <w:rsid w:val="00EE4748"/>
    <w:rsid w:val="00EE4A66"/>
    <w:rsid w:val="00EE5189"/>
    <w:rsid w:val="00EF5D07"/>
    <w:rsid w:val="00F029BE"/>
    <w:rsid w:val="00F04016"/>
    <w:rsid w:val="00F05764"/>
    <w:rsid w:val="00F074C5"/>
    <w:rsid w:val="00F15361"/>
    <w:rsid w:val="00F254FA"/>
    <w:rsid w:val="00F319EC"/>
    <w:rsid w:val="00F42087"/>
    <w:rsid w:val="00F44C0C"/>
    <w:rsid w:val="00F50908"/>
    <w:rsid w:val="00F52CCE"/>
    <w:rsid w:val="00F57C4D"/>
    <w:rsid w:val="00F60472"/>
    <w:rsid w:val="00F613EC"/>
    <w:rsid w:val="00F623AA"/>
    <w:rsid w:val="00F650A2"/>
    <w:rsid w:val="00F67ED2"/>
    <w:rsid w:val="00F70A26"/>
    <w:rsid w:val="00F7102A"/>
    <w:rsid w:val="00F724D4"/>
    <w:rsid w:val="00F74B0E"/>
    <w:rsid w:val="00F8162E"/>
    <w:rsid w:val="00F81A22"/>
    <w:rsid w:val="00F87729"/>
    <w:rsid w:val="00F90D55"/>
    <w:rsid w:val="00F969BE"/>
    <w:rsid w:val="00FA2011"/>
    <w:rsid w:val="00FB3AB4"/>
    <w:rsid w:val="00FB4BBE"/>
    <w:rsid w:val="00FD1486"/>
    <w:rsid w:val="00FD49CF"/>
    <w:rsid w:val="00FD5511"/>
    <w:rsid w:val="00FD7430"/>
    <w:rsid w:val="00FE2E2B"/>
    <w:rsid w:val="00FE612D"/>
    <w:rsid w:val="00FE7552"/>
    <w:rsid w:val="00FE7DAE"/>
    <w:rsid w:val="00FF1D46"/>
    <w:rsid w:val="00FF62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2D18DB1"/>
  <w15:docId w15:val="{2C1EC7F9-91A4-43D2-9BA6-59402F7A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5D8"/>
    <w:pPr>
      <w:ind w:left="720"/>
      <w:contextualSpacing/>
    </w:pPr>
  </w:style>
  <w:style w:type="paragraph" w:styleId="Header">
    <w:name w:val="header"/>
    <w:basedOn w:val="Normal"/>
    <w:link w:val="HeaderChar"/>
    <w:uiPriority w:val="99"/>
    <w:unhideWhenUsed/>
    <w:rsid w:val="00963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5D8"/>
  </w:style>
  <w:style w:type="paragraph" w:styleId="Footer">
    <w:name w:val="footer"/>
    <w:basedOn w:val="Normal"/>
    <w:link w:val="FooterChar"/>
    <w:uiPriority w:val="99"/>
    <w:unhideWhenUsed/>
    <w:rsid w:val="00963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D8"/>
  </w:style>
  <w:style w:type="paragraph" w:styleId="FootnoteText">
    <w:name w:val="footnote text"/>
    <w:basedOn w:val="Normal"/>
    <w:link w:val="FootnoteTextChar"/>
    <w:uiPriority w:val="99"/>
    <w:unhideWhenUsed/>
    <w:rsid w:val="00987B15"/>
    <w:pPr>
      <w:spacing w:after="0" w:line="240" w:lineRule="auto"/>
    </w:pPr>
    <w:rPr>
      <w:sz w:val="20"/>
      <w:szCs w:val="20"/>
    </w:rPr>
  </w:style>
  <w:style w:type="character" w:customStyle="1" w:styleId="FootnoteTextChar">
    <w:name w:val="Footnote Text Char"/>
    <w:basedOn w:val="DefaultParagraphFont"/>
    <w:link w:val="FootnoteText"/>
    <w:uiPriority w:val="99"/>
    <w:rsid w:val="00987B15"/>
    <w:rPr>
      <w:sz w:val="20"/>
      <w:szCs w:val="20"/>
    </w:rPr>
  </w:style>
  <w:style w:type="character" w:styleId="FootnoteReference">
    <w:name w:val="footnote reference"/>
    <w:basedOn w:val="DefaultParagraphFont"/>
    <w:uiPriority w:val="99"/>
    <w:unhideWhenUsed/>
    <w:rsid w:val="00987B15"/>
    <w:rPr>
      <w:vertAlign w:val="superscript"/>
    </w:rPr>
  </w:style>
  <w:style w:type="character" w:styleId="CommentReference">
    <w:name w:val="annotation reference"/>
    <w:basedOn w:val="DefaultParagraphFont"/>
    <w:uiPriority w:val="99"/>
    <w:semiHidden/>
    <w:unhideWhenUsed/>
    <w:rsid w:val="00EC33F5"/>
    <w:rPr>
      <w:sz w:val="16"/>
      <w:szCs w:val="16"/>
    </w:rPr>
  </w:style>
  <w:style w:type="paragraph" w:styleId="CommentText">
    <w:name w:val="annotation text"/>
    <w:basedOn w:val="Normal"/>
    <w:link w:val="CommentTextChar"/>
    <w:uiPriority w:val="99"/>
    <w:semiHidden/>
    <w:unhideWhenUsed/>
    <w:rsid w:val="00EC33F5"/>
    <w:pPr>
      <w:spacing w:line="240" w:lineRule="auto"/>
    </w:pPr>
    <w:rPr>
      <w:sz w:val="20"/>
      <w:szCs w:val="20"/>
    </w:rPr>
  </w:style>
  <w:style w:type="character" w:customStyle="1" w:styleId="CommentTextChar">
    <w:name w:val="Comment Text Char"/>
    <w:basedOn w:val="DefaultParagraphFont"/>
    <w:link w:val="CommentText"/>
    <w:uiPriority w:val="99"/>
    <w:semiHidden/>
    <w:rsid w:val="00EC33F5"/>
    <w:rPr>
      <w:sz w:val="20"/>
      <w:szCs w:val="20"/>
    </w:rPr>
  </w:style>
  <w:style w:type="paragraph" w:styleId="CommentSubject">
    <w:name w:val="annotation subject"/>
    <w:basedOn w:val="CommentText"/>
    <w:next w:val="CommentText"/>
    <w:link w:val="CommentSubjectChar"/>
    <w:uiPriority w:val="99"/>
    <w:semiHidden/>
    <w:unhideWhenUsed/>
    <w:rsid w:val="00EC33F5"/>
    <w:rPr>
      <w:b/>
      <w:bCs/>
    </w:rPr>
  </w:style>
  <w:style w:type="character" w:customStyle="1" w:styleId="CommentSubjectChar">
    <w:name w:val="Comment Subject Char"/>
    <w:basedOn w:val="CommentTextChar"/>
    <w:link w:val="CommentSubject"/>
    <w:uiPriority w:val="99"/>
    <w:semiHidden/>
    <w:rsid w:val="00EC33F5"/>
    <w:rPr>
      <w:b/>
      <w:bCs/>
      <w:sz w:val="20"/>
      <w:szCs w:val="20"/>
    </w:rPr>
  </w:style>
  <w:style w:type="paragraph" w:styleId="BalloonText">
    <w:name w:val="Balloon Text"/>
    <w:basedOn w:val="Normal"/>
    <w:link w:val="BalloonTextChar"/>
    <w:uiPriority w:val="99"/>
    <w:semiHidden/>
    <w:unhideWhenUsed/>
    <w:rsid w:val="00EC3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F5"/>
    <w:rPr>
      <w:rFonts w:ascii="Segoe UI" w:hAnsi="Segoe UI" w:cs="Segoe UI"/>
      <w:sz w:val="18"/>
      <w:szCs w:val="18"/>
    </w:rPr>
  </w:style>
  <w:style w:type="paragraph" w:styleId="NormalWeb">
    <w:name w:val="Normal (Web)"/>
    <w:basedOn w:val="Normal"/>
    <w:uiPriority w:val="99"/>
    <w:unhideWhenUsed/>
    <w:rsid w:val="00435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5F8C"/>
  </w:style>
  <w:style w:type="character" w:styleId="Hyperlink">
    <w:name w:val="Hyperlink"/>
    <w:basedOn w:val="DefaultParagraphFont"/>
    <w:uiPriority w:val="99"/>
    <w:unhideWhenUsed/>
    <w:rsid w:val="00E7210F"/>
    <w:rPr>
      <w:color w:val="0563C1" w:themeColor="hyperlink"/>
      <w:u w:val="single"/>
    </w:rPr>
  </w:style>
  <w:style w:type="character" w:styleId="FollowedHyperlink">
    <w:name w:val="FollowedHyperlink"/>
    <w:basedOn w:val="DefaultParagraphFont"/>
    <w:uiPriority w:val="99"/>
    <w:semiHidden/>
    <w:unhideWhenUsed/>
    <w:rsid w:val="00F623AA"/>
    <w:rPr>
      <w:color w:val="954F72" w:themeColor="followedHyperlink"/>
      <w:u w:val="single"/>
    </w:rPr>
  </w:style>
  <w:style w:type="paragraph" w:styleId="NoSpacing">
    <w:name w:val="No Spacing"/>
    <w:uiPriority w:val="1"/>
    <w:qFormat/>
    <w:rsid w:val="009A4C09"/>
    <w:pPr>
      <w:spacing w:after="0" w:line="240" w:lineRule="auto"/>
    </w:pPr>
  </w:style>
  <w:style w:type="paragraph" w:styleId="Revision">
    <w:name w:val="Revision"/>
    <w:hidden/>
    <w:uiPriority w:val="99"/>
    <w:semiHidden/>
    <w:rsid w:val="001C0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3C2C38C41E54EBFBA8B3CB4B189DC" ma:contentTypeVersion="19" ma:contentTypeDescription="Create a new document." ma:contentTypeScope="" ma:versionID="7203e6496cd216c8d8735f97110fdbfb">
  <xsd:schema xmlns:xsd="http://www.w3.org/2001/XMLSchema" xmlns:xs="http://www.w3.org/2001/XMLSchema" xmlns:p="http://schemas.microsoft.com/office/2006/metadata/properties" xmlns:ns2="52222ef0-b167-44f5-92f7-438fda0857cd" xmlns:ns3="e94376d4-20bf-40dd-a11e-0514c7ee802c" xmlns:ns4="http://schemas.microsoft.com/sharepoint/v3/fields" targetNamespace="http://schemas.microsoft.com/office/2006/metadata/properties" ma:root="true" ma:fieldsID="b6936effd1de573328d19cd52cebd5d5" ns2:_="" ns3:_="" ns4:_="">
    <xsd:import namespace="52222ef0-b167-44f5-92f7-438fda0857cd"/>
    <xsd:import namespace="e94376d4-20bf-40dd-a11e-0514c7ee802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tadata"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4376d4-20bf-40dd-a11e-0514c7ee802c" elementFormDefault="qualified">
    <xsd:import namespace="http://schemas.microsoft.com/office/2006/documentManagement/types"/>
    <xsd:import namespace="http://schemas.microsoft.com/office/infopath/2007/PartnerControls"/>
    <xsd:element name="Metadata" ma:index="11" nillable="true" ma:displayName="Metadata" ma:description="Contains metadata to assist in Searching" ma:internalName="Metada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tadata xmlns="e94376d4-20bf-40dd-a11e-0514c7ee802c" xsi:nil="true"/>
    <_Status xmlns="http://schemas.microsoft.com/sharepoint/v3/fields">Not Started</_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6020C7D-209E-4F8C-B957-7BF03A3A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94376d4-20bf-40dd-a11e-0514c7ee802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546DC-856B-494B-8A78-84A4F2C4301D}">
  <ds:schemaRefs>
    <ds:schemaRef ds:uri="http://schemas.microsoft.com/office/2006/metadata/properties"/>
    <ds:schemaRef ds:uri="http://schemas.microsoft.com/office/infopath/2007/PartnerControls"/>
    <ds:schemaRef ds:uri="e94376d4-20bf-40dd-a11e-0514c7ee802c"/>
    <ds:schemaRef ds:uri="http://schemas.microsoft.com/sharepoint/v3/fields"/>
  </ds:schemaRefs>
</ds:datastoreItem>
</file>

<file path=customXml/itemProps3.xml><?xml version="1.0" encoding="utf-8"?>
<ds:datastoreItem xmlns:ds="http://schemas.openxmlformats.org/officeDocument/2006/customXml" ds:itemID="{FEADC97B-D57D-43B8-8E8C-93F90AD75181}">
  <ds:schemaRefs>
    <ds:schemaRef ds:uri="http://schemas.openxmlformats.org/officeDocument/2006/bibliography"/>
  </ds:schemaRefs>
</ds:datastoreItem>
</file>

<file path=customXml/itemProps4.xml><?xml version="1.0" encoding="utf-8"?>
<ds:datastoreItem xmlns:ds="http://schemas.openxmlformats.org/officeDocument/2006/customXml" ds:itemID="{7F2FB3D4-A1EE-44FC-A9C2-33F835D33CCC}">
  <ds:schemaRefs>
    <ds:schemaRef ds:uri="http://schemas.microsoft.com/sharepoint/v3/contenttype/forms"/>
  </ds:schemaRefs>
</ds:datastoreItem>
</file>

<file path=customXml/itemProps5.xml><?xml version="1.0" encoding="utf-8"?>
<ds:datastoreItem xmlns:ds="http://schemas.openxmlformats.org/officeDocument/2006/customXml" ds:itemID="{82FBF7AF-564D-40FF-AE39-36A82E6AF5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Office of Financial Research</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Myrthil, Charlene</dc:creator>
  <cp:lastModifiedBy>Clark, Spencer</cp:lastModifiedBy>
  <cp:revision>27</cp:revision>
  <dcterms:created xsi:type="dcterms:W3CDTF">2025-10-31T14:33:00Z</dcterms:created>
  <dcterms:modified xsi:type="dcterms:W3CDTF">2025-10-31T15:55:00Z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0x0101007AC3C2C38C41E54EBFBA8B3CB4B189DC</vt:lpwstr>
  </property>
</Properties>
</file>