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59EC" w:rsidRPr="006A4B5F" w:rsidP="006A4B5F" w14:paraId="7834B8D8" w14:textId="77777777">
      <w:pPr>
        <w:pStyle w:val="Title"/>
        <w:spacing w:before="0"/>
        <w:rPr>
          <w:rFonts w:ascii="Times New Roman" w:hAnsi="Times New Roman"/>
          <w:sz w:val="24"/>
          <w:szCs w:val="24"/>
          <w:u w:val="single"/>
        </w:rPr>
      </w:pPr>
      <w:r w:rsidRPr="006A4B5F">
        <w:rPr>
          <w:rFonts w:ascii="Times New Roman" w:hAnsi="Times New Roman"/>
          <w:sz w:val="24"/>
          <w:szCs w:val="24"/>
          <w:u w:val="single"/>
        </w:rPr>
        <w:t>Supporting Statement – Part A</w:t>
      </w:r>
    </w:p>
    <w:p w:rsidR="00887A20" w:rsidRPr="00DC5101" w:rsidP="006A4B5F" w14:paraId="19A43866" w14:textId="77777777">
      <w:pPr>
        <w:pStyle w:val="Subtitle"/>
        <w:spacing w:after="0"/>
        <w:rPr>
          <w:rFonts w:ascii="Times New Roman" w:hAnsi="Times New Roman"/>
          <w:b/>
          <w:lang w:val="en-US"/>
        </w:rPr>
      </w:pPr>
      <w:r>
        <w:rPr>
          <w:rFonts w:ascii="Times New Roman" w:hAnsi="Times New Roman"/>
          <w:b/>
          <w:lang w:val="en-US"/>
        </w:rPr>
        <w:t>Minimum Essential Coverage</w:t>
      </w:r>
    </w:p>
    <w:p w:rsidR="00870D59" w:rsidRPr="00DE484E" w:rsidP="006A4B5F" w14:paraId="4C145355" w14:textId="1D2ABD92">
      <w:pPr>
        <w:pStyle w:val="Subtitle"/>
        <w:spacing w:after="240"/>
        <w:rPr>
          <w:rFonts w:ascii="Times New Roman" w:hAnsi="Times New Roman"/>
          <w:b/>
        </w:rPr>
      </w:pPr>
      <w:r w:rsidRPr="00DE484E">
        <w:rPr>
          <w:rFonts w:ascii="Times New Roman" w:hAnsi="Times New Roman"/>
          <w:b/>
        </w:rPr>
        <w:t>(</w:t>
      </w:r>
      <w:r w:rsidRPr="00DE484E" w:rsidR="006C284E">
        <w:rPr>
          <w:rFonts w:ascii="Times New Roman" w:hAnsi="Times New Roman"/>
          <w:b/>
        </w:rPr>
        <w:t>CMS-</w:t>
      </w:r>
      <w:r w:rsidR="00DA1BF8">
        <w:rPr>
          <w:rFonts w:ascii="Times New Roman" w:hAnsi="Times New Roman"/>
          <w:b/>
          <w:lang w:val="en-US"/>
        </w:rPr>
        <w:t>10465</w:t>
      </w:r>
      <w:r w:rsidR="002A0102">
        <w:rPr>
          <w:rFonts w:ascii="Times New Roman" w:hAnsi="Times New Roman"/>
          <w:b/>
          <w:lang w:val="en-US"/>
        </w:rPr>
        <w:t>/OMB Control Number: 0938-1189</w:t>
      </w:r>
      <w:r w:rsidRPr="00DE484E">
        <w:rPr>
          <w:rFonts w:ascii="Times New Roman" w:hAnsi="Times New Roman"/>
          <w:b/>
        </w:rPr>
        <w:t>)</w:t>
      </w:r>
    </w:p>
    <w:p w:rsidR="008F1EB4" w:rsidRPr="006A4B5F" w:rsidP="006A4B5F" w14:paraId="42CDB926" w14:textId="77777777">
      <w:pPr>
        <w:pStyle w:val="Heading1"/>
      </w:pPr>
      <w:r w:rsidRPr="006A4B5F">
        <w:t>Background</w:t>
      </w:r>
    </w:p>
    <w:p w:rsidR="00157316" w:rsidP="00826BBC" w14:paraId="6944B5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1A29C7">
        <w:rPr>
          <w:sz w:val="24"/>
        </w:rPr>
        <w:t>The Patient Protection and Affordable Care Act, Pub. L. 111-148</w:t>
      </w:r>
      <w:r w:rsidR="000F21F8">
        <w:rPr>
          <w:sz w:val="24"/>
        </w:rPr>
        <w:t>, was enacted on March 23, 2010</w:t>
      </w:r>
      <w:r w:rsidRPr="001A29C7">
        <w:rPr>
          <w:sz w:val="24"/>
        </w:rPr>
        <w:t xml:space="preserve"> and the Health Care and Education Reconciliation Act of 2010, Pub. L. 111-152, was enacted on March 30, 2010 (collectively known as the “Affordable Care Act”).  The Affordable Care Act reorganizes, amends, and adds to the provisions of title XXVII of the </w:t>
      </w:r>
      <w:r w:rsidR="00A820B5">
        <w:rPr>
          <w:sz w:val="24"/>
        </w:rPr>
        <w:t>Public Health Service Act (</w:t>
      </w:r>
      <w:r w:rsidRPr="001A29C7">
        <w:rPr>
          <w:sz w:val="24"/>
        </w:rPr>
        <w:t>PHS Act</w:t>
      </w:r>
      <w:r w:rsidR="00A820B5">
        <w:rPr>
          <w:sz w:val="24"/>
        </w:rPr>
        <w:t>)</w:t>
      </w:r>
      <w:r w:rsidRPr="001A29C7">
        <w:rPr>
          <w:sz w:val="24"/>
        </w:rPr>
        <w:t xml:space="preserve"> relating to group health plans and health insurance issuers in the group and individual markets.</w:t>
      </w:r>
    </w:p>
    <w:p w:rsidR="00DC5101" w:rsidP="00DC5101" w14:paraId="0BF01F04" w14:textId="2341A0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EE0E46">
        <w:rPr>
          <w:sz w:val="24"/>
        </w:rPr>
        <w:t xml:space="preserve">Section 1501 of the Affordable Care Act adds section 5000A to the Internal Revenue Code (IRC), which requires that individuals maintain </w:t>
      </w:r>
      <w:r>
        <w:rPr>
          <w:sz w:val="24"/>
        </w:rPr>
        <w:t>minimum essential coverage</w:t>
      </w:r>
      <w:r w:rsidR="004D61A2">
        <w:rPr>
          <w:sz w:val="24"/>
        </w:rPr>
        <w:t>, qual</w:t>
      </w:r>
      <w:r w:rsidR="005F0EF9">
        <w:rPr>
          <w:sz w:val="24"/>
        </w:rPr>
        <w:t xml:space="preserve">ify for an exemption, or make a shared responsibility payment </w:t>
      </w:r>
      <w:r w:rsidR="004D61A2">
        <w:rPr>
          <w:sz w:val="24"/>
        </w:rPr>
        <w:t xml:space="preserve">with their federal income tax </w:t>
      </w:r>
      <w:r w:rsidR="005004F4">
        <w:rPr>
          <w:sz w:val="24"/>
        </w:rPr>
        <w:t>return</w:t>
      </w:r>
      <w:r w:rsidRPr="00EE0E46" w:rsidR="005004F4">
        <w:rPr>
          <w:sz w:val="24"/>
        </w:rPr>
        <w:t>.</w:t>
      </w:r>
      <w:r w:rsidR="005004F4">
        <w:rPr>
          <w:sz w:val="24"/>
        </w:rPr>
        <w:t xml:space="preserve">  </w:t>
      </w:r>
      <w:r w:rsidRPr="005619BF" w:rsidR="005004F4">
        <w:rPr>
          <w:sz w:val="24"/>
        </w:rPr>
        <w:t xml:space="preserve">Under </w:t>
      </w:r>
      <w:r w:rsidRPr="005619BF" w:rsidR="005619BF">
        <w:rPr>
          <w:sz w:val="24"/>
        </w:rPr>
        <w:t>the Tax Cuts and Jobs Act, which was enacted on December 22, 2017, the individual shared responsibility payment was reduced to $0, effective for months beginning after December 31, 2018.</w:t>
      </w:r>
      <w:r>
        <w:rPr>
          <w:rStyle w:val="FootnoteReference"/>
          <w:sz w:val="24"/>
          <w:vertAlign w:val="superscript"/>
        </w:rPr>
        <w:footnoteReference w:id="3"/>
      </w:r>
      <w:r w:rsidRPr="00EE0E46">
        <w:rPr>
          <w:sz w:val="24"/>
        </w:rPr>
        <w:t xml:space="preserve">  IRC section 5000A(f) designates certain types of coverage </w:t>
      </w:r>
      <w:r w:rsidR="004D61A2">
        <w:rPr>
          <w:sz w:val="24"/>
        </w:rPr>
        <w:t xml:space="preserve">as </w:t>
      </w:r>
      <w:r>
        <w:rPr>
          <w:sz w:val="24"/>
        </w:rPr>
        <w:t>minimum essential coverage</w:t>
      </w:r>
      <w:r w:rsidRPr="00EE0E46">
        <w:rPr>
          <w:sz w:val="24"/>
        </w:rPr>
        <w:t xml:space="preserve">.  </w:t>
      </w:r>
      <w:r>
        <w:rPr>
          <w:sz w:val="24"/>
        </w:rPr>
        <w:t xml:space="preserve">In addition, </w:t>
      </w:r>
      <w:r w:rsidRPr="00EE0E46">
        <w:rPr>
          <w:sz w:val="24"/>
        </w:rPr>
        <w:t>IRC section 5000A(f)(1)(E) directs the Secretary of Health and Human Services</w:t>
      </w:r>
      <w:r w:rsidR="005F0EF9">
        <w:rPr>
          <w:sz w:val="24"/>
        </w:rPr>
        <w:t xml:space="preserve"> (HHS)</w:t>
      </w:r>
      <w:r w:rsidRPr="00EE0E46">
        <w:rPr>
          <w:sz w:val="24"/>
        </w:rPr>
        <w:t xml:space="preserve">, in coordination with the Secretary of </w:t>
      </w:r>
      <w:r w:rsidR="005F0EF9">
        <w:rPr>
          <w:sz w:val="24"/>
        </w:rPr>
        <w:t xml:space="preserve">the </w:t>
      </w:r>
      <w:r w:rsidRPr="00EE0E46">
        <w:rPr>
          <w:sz w:val="24"/>
        </w:rPr>
        <w:t>Treasury, to recognize other health benefits coverage</w:t>
      </w:r>
      <w:r w:rsidR="00995304">
        <w:rPr>
          <w:sz w:val="24"/>
        </w:rPr>
        <w:t xml:space="preserve"> </w:t>
      </w:r>
      <w:r w:rsidRPr="00EE0E46">
        <w:rPr>
          <w:sz w:val="24"/>
        </w:rPr>
        <w:t xml:space="preserve">as </w:t>
      </w:r>
      <w:r>
        <w:rPr>
          <w:sz w:val="24"/>
        </w:rPr>
        <w:t>minimum essential coverage</w:t>
      </w:r>
      <w:r w:rsidRPr="00EE0E46">
        <w:rPr>
          <w:sz w:val="24"/>
        </w:rPr>
        <w:t xml:space="preserve"> for purposes of their enrollees satisfying the minimum coverage requirement.</w:t>
      </w:r>
      <w:r w:rsidRPr="00EE0E46">
        <w:rPr>
          <w:rFonts w:eastAsia="MS Mincho"/>
          <w:sz w:val="24"/>
        </w:rPr>
        <w:t xml:space="preserve"> </w:t>
      </w:r>
      <w:r w:rsidR="0060657D">
        <w:rPr>
          <w:rFonts w:eastAsia="MS Mincho"/>
          <w:sz w:val="24"/>
        </w:rPr>
        <w:t xml:space="preserve"> </w:t>
      </w:r>
      <w:r>
        <w:rPr>
          <w:rFonts w:eastAsia="MS Mincho"/>
          <w:sz w:val="24"/>
        </w:rPr>
        <w:t xml:space="preserve">The </w:t>
      </w:r>
      <w:r w:rsidR="00284E1D">
        <w:rPr>
          <w:sz w:val="24"/>
        </w:rPr>
        <w:t xml:space="preserve">final </w:t>
      </w:r>
      <w:r w:rsidR="00196AFA">
        <w:rPr>
          <w:sz w:val="24"/>
        </w:rPr>
        <w:t>rule</w:t>
      </w:r>
      <w:r w:rsidRPr="00EE0E46" w:rsidR="00196AFA">
        <w:rPr>
          <w:sz w:val="24"/>
        </w:rPr>
        <w:t xml:space="preserve"> </w:t>
      </w:r>
      <w:r w:rsidRPr="00EE0E46">
        <w:rPr>
          <w:sz w:val="24"/>
        </w:rPr>
        <w:t>titled “</w:t>
      </w:r>
      <w:r w:rsidRPr="007A35D1" w:rsidR="007A35D1">
        <w:rPr>
          <w:sz w:val="24"/>
        </w:rPr>
        <w:t>Patient Protection and Affordable Care Act; Exchange Functions: Eligibility for Exemptions; Miscellaneous Minimum Essential Coverage Provisions</w:t>
      </w:r>
      <w:r w:rsidRPr="00EE0E46">
        <w:rPr>
          <w:sz w:val="24"/>
        </w:rPr>
        <w:t>”</w:t>
      </w:r>
      <w:r>
        <w:rPr>
          <w:sz w:val="24"/>
        </w:rPr>
        <w:t xml:space="preserve"> </w:t>
      </w:r>
      <w:r w:rsidR="005F0EF9">
        <w:rPr>
          <w:sz w:val="24"/>
        </w:rPr>
        <w:t xml:space="preserve">published July 1, 2013 (78 FR 39494) </w:t>
      </w:r>
      <w:r w:rsidR="00FA75C3">
        <w:rPr>
          <w:sz w:val="24"/>
        </w:rPr>
        <w:t>designate</w:t>
      </w:r>
      <w:r w:rsidR="001B75B9">
        <w:rPr>
          <w:sz w:val="24"/>
        </w:rPr>
        <w:t>s</w:t>
      </w:r>
      <w:r w:rsidRPr="00EE0E46" w:rsidR="00FA75C3">
        <w:rPr>
          <w:sz w:val="24"/>
        </w:rPr>
        <w:t xml:space="preserve"> </w:t>
      </w:r>
      <w:r w:rsidRPr="00EE0E46">
        <w:rPr>
          <w:sz w:val="24"/>
        </w:rPr>
        <w:t xml:space="preserve">certain types of existing coverages as minimum essential coverage.  Other coverages, not statutorily designated and not </w:t>
      </w:r>
      <w:r w:rsidR="00AC364E">
        <w:rPr>
          <w:sz w:val="24"/>
        </w:rPr>
        <w:t>designated as</w:t>
      </w:r>
      <w:r w:rsidRPr="00EE0E46" w:rsidR="00AC364E">
        <w:rPr>
          <w:sz w:val="24"/>
        </w:rPr>
        <w:t xml:space="preserve"> </w:t>
      </w:r>
      <w:r w:rsidRPr="00EE0E46">
        <w:rPr>
          <w:sz w:val="24"/>
        </w:rPr>
        <w:t>minimum essential coverage in regulation, may be recognized as minimum essential coverage if certain substantive and procedural requirements are met</w:t>
      </w:r>
      <w:r>
        <w:rPr>
          <w:sz w:val="24"/>
        </w:rPr>
        <w:t xml:space="preserve">.  </w:t>
      </w:r>
    </w:p>
    <w:p w:rsidR="006204EF" w:rsidP="006204EF" w14:paraId="1D492D61" w14:textId="2F103F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9B66EB">
        <w:rPr>
          <w:sz w:val="24"/>
        </w:rPr>
        <w:t>The Centers for Medicare &amp; Medicaid Services</w:t>
      </w:r>
      <w:r>
        <w:rPr>
          <w:sz w:val="24"/>
        </w:rPr>
        <w:t xml:space="preserve"> (CMS)</w:t>
      </w:r>
      <w:r w:rsidRPr="009B66EB">
        <w:rPr>
          <w:sz w:val="24"/>
        </w:rPr>
        <w:t xml:space="preserve"> is requesting an extension of the Office of Management and Budget (OMB) approval for the information collections included in this information collection request (ICR).</w:t>
      </w:r>
    </w:p>
    <w:p w:rsidR="008F1EB4" w:rsidP="006A4B5F" w14:paraId="15E293D4" w14:textId="77777777">
      <w:pPr>
        <w:pStyle w:val="Heading1"/>
      </w:pPr>
      <w:r>
        <w:t>Justification</w:t>
      </w:r>
    </w:p>
    <w:p w:rsidR="00641AA4" w:rsidRPr="00A12A02" w:rsidP="006A4B5F" w14:paraId="304DE869" w14:textId="77777777">
      <w:pPr>
        <w:pStyle w:val="Heading2"/>
      </w:pPr>
      <w:r w:rsidRPr="00A12A02">
        <w:t>Need and Legal Basis</w:t>
      </w:r>
    </w:p>
    <w:p w:rsidR="00DC5101" w:rsidP="00DC5101" w14:paraId="37D9C70E" w14:textId="1522FBCD">
      <w:pPr>
        <w:pStyle w:val="ListParagraph"/>
        <w:spacing w:line="240" w:lineRule="auto"/>
        <w:ind w:left="446"/>
        <w:rPr>
          <w:rFonts w:ascii="Times New Roman" w:eastAsia="Times New Roman" w:hAnsi="Times New Roman"/>
          <w:sz w:val="24"/>
          <w:szCs w:val="24"/>
        </w:rPr>
      </w:pPr>
      <w:r>
        <w:rPr>
          <w:rFonts w:ascii="Times New Roman" w:eastAsia="Times New Roman" w:hAnsi="Times New Roman"/>
          <w:sz w:val="24"/>
          <w:szCs w:val="24"/>
        </w:rPr>
        <w:t xml:space="preserve">The </w:t>
      </w:r>
      <w:r w:rsidR="001B75B9">
        <w:rPr>
          <w:rFonts w:ascii="Times New Roman" w:eastAsia="Times New Roman" w:hAnsi="Times New Roman"/>
          <w:sz w:val="24"/>
          <w:szCs w:val="24"/>
        </w:rPr>
        <w:t xml:space="preserve">final </w:t>
      </w:r>
      <w:r>
        <w:rPr>
          <w:rFonts w:ascii="Times New Roman" w:eastAsia="Times New Roman" w:hAnsi="Times New Roman"/>
          <w:sz w:val="24"/>
          <w:szCs w:val="24"/>
        </w:rPr>
        <w:t xml:space="preserve">rule </w:t>
      </w:r>
      <w:r w:rsidRPr="001254DB">
        <w:rPr>
          <w:rFonts w:ascii="Times New Roman" w:eastAsia="Times New Roman" w:hAnsi="Times New Roman"/>
          <w:sz w:val="24"/>
          <w:szCs w:val="24"/>
        </w:rPr>
        <w:t xml:space="preserve">specifically </w:t>
      </w:r>
      <w:r w:rsidR="00083B85">
        <w:rPr>
          <w:rFonts w:ascii="Times New Roman" w:eastAsia="Times New Roman" w:hAnsi="Times New Roman"/>
          <w:sz w:val="24"/>
          <w:szCs w:val="24"/>
        </w:rPr>
        <w:t>designate</w:t>
      </w:r>
      <w:r w:rsidR="001B75B9">
        <w:rPr>
          <w:rFonts w:ascii="Times New Roman" w:eastAsia="Times New Roman" w:hAnsi="Times New Roman"/>
          <w:sz w:val="24"/>
          <w:szCs w:val="24"/>
        </w:rPr>
        <w:t>s</w:t>
      </w:r>
      <w:r w:rsidR="00083B85">
        <w:rPr>
          <w:rFonts w:ascii="Times New Roman" w:eastAsia="Times New Roman" w:hAnsi="Times New Roman"/>
          <w:sz w:val="24"/>
          <w:szCs w:val="24"/>
        </w:rPr>
        <w:t xml:space="preserve"> </w:t>
      </w:r>
      <w:r w:rsidRPr="001254DB">
        <w:rPr>
          <w:rFonts w:ascii="Times New Roman" w:eastAsia="Times New Roman" w:hAnsi="Times New Roman"/>
          <w:sz w:val="24"/>
          <w:szCs w:val="24"/>
        </w:rPr>
        <w:t xml:space="preserve">certain </w:t>
      </w:r>
      <w:r w:rsidR="00083B85">
        <w:rPr>
          <w:rFonts w:ascii="Times New Roman" w:eastAsia="Times New Roman" w:hAnsi="Times New Roman"/>
          <w:sz w:val="24"/>
          <w:szCs w:val="24"/>
        </w:rPr>
        <w:t xml:space="preserve">types of </w:t>
      </w:r>
      <w:r w:rsidRPr="001254DB">
        <w:rPr>
          <w:rFonts w:ascii="Times New Roman" w:eastAsia="Times New Roman" w:hAnsi="Times New Roman"/>
          <w:sz w:val="24"/>
          <w:szCs w:val="24"/>
        </w:rPr>
        <w:t>coverage</w:t>
      </w:r>
      <w:r w:rsidR="00040FC1">
        <w:rPr>
          <w:rFonts w:ascii="Times New Roman" w:eastAsia="Times New Roman" w:hAnsi="Times New Roman"/>
          <w:sz w:val="24"/>
          <w:szCs w:val="24"/>
        </w:rPr>
        <w:t>,</w:t>
      </w:r>
      <w:r w:rsidRPr="001254DB">
        <w:rPr>
          <w:rFonts w:ascii="Times New Roman" w:eastAsia="Times New Roman" w:hAnsi="Times New Roman"/>
          <w:sz w:val="24"/>
          <w:szCs w:val="24"/>
        </w:rPr>
        <w:t xml:space="preserve"> </w:t>
      </w:r>
      <w:r w:rsidR="00D67789">
        <w:rPr>
          <w:rFonts w:ascii="Times New Roman" w:eastAsia="Times New Roman" w:hAnsi="Times New Roman"/>
          <w:sz w:val="24"/>
          <w:szCs w:val="24"/>
        </w:rPr>
        <w:t>which</w:t>
      </w:r>
      <w:r w:rsidRPr="001254DB" w:rsidR="00D67789">
        <w:rPr>
          <w:rFonts w:ascii="Times New Roman" w:eastAsia="Times New Roman" w:hAnsi="Times New Roman"/>
          <w:sz w:val="24"/>
          <w:szCs w:val="24"/>
        </w:rPr>
        <w:t xml:space="preserve"> </w:t>
      </w:r>
      <w:r w:rsidRPr="001254DB">
        <w:rPr>
          <w:rFonts w:ascii="Times New Roman" w:eastAsia="Times New Roman" w:hAnsi="Times New Roman"/>
          <w:sz w:val="24"/>
          <w:szCs w:val="24"/>
        </w:rPr>
        <w:t>have not been designated in the statute, as minimum essential coverage</w:t>
      </w:r>
      <w:r>
        <w:rPr>
          <w:rFonts w:ascii="Times New Roman" w:eastAsia="Times New Roman" w:hAnsi="Times New Roman"/>
          <w:sz w:val="24"/>
          <w:szCs w:val="24"/>
        </w:rPr>
        <w:t xml:space="preserve">. </w:t>
      </w:r>
      <w:r w:rsidR="00561F6C">
        <w:rPr>
          <w:rFonts w:ascii="Times New Roman" w:eastAsia="Times New Roman" w:hAnsi="Times New Roman"/>
          <w:sz w:val="24"/>
          <w:szCs w:val="24"/>
        </w:rPr>
        <w:t xml:space="preserve"> </w:t>
      </w:r>
      <w:r>
        <w:rPr>
          <w:rFonts w:ascii="Times New Roman" w:eastAsia="Times New Roman" w:hAnsi="Times New Roman"/>
          <w:sz w:val="24"/>
          <w:szCs w:val="24"/>
        </w:rPr>
        <w:t>In addition, t</w:t>
      </w:r>
      <w:r w:rsidRPr="005A7D44">
        <w:rPr>
          <w:rFonts w:ascii="Times New Roman" w:hAnsi="Times New Roman"/>
          <w:sz w:val="24"/>
          <w:szCs w:val="24"/>
        </w:rPr>
        <w:t xml:space="preserve">he </w:t>
      </w:r>
      <w:r w:rsidR="001B75B9">
        <w:rPr>
          <w:rFonts w:ascii="Times New Roman" w:hAnsi="Times New Roman"/>
          <w:sz w:val="24"/>
          <w:szCs w:val="24"/>
        </w:rPr>
        <w:t>final</w:t>
      </w:r>
      <w:r w:rsidRPr="005A7D44" w:rsidR="001B75B9">
        <w:rPr>
          <w:rFonts w:ascii="Times New Roman" w:hAnsi="Times New Roman"/>
          <w:sz w:val="24"/>
          <w:szCs w:val="24"/>
        </w:rPr>
        <w:t xml:space="preserve"> </w:t>
      </w:r>
      <w:r w:rsidRPr="005A7D44">
        <w:rPr>
          <w:rFonts w:ascii="Times New Roman" w:hAnsi="Times New Roman"/>
          <w:sz w:val="24"/>
          <w:szCs w:val="24"/>
        </w:rPr>
        <w:t xml:space="preserve">rule outlines a process </w:t>
      </w:r>
      <w:r w:rsidR="000F21F8">
        <w:rPr>
          <w:rFonts w:ascii="Times New Roman" w:hAnsi="Times New Roman"/>
          <w:sz w:val="24"/>
          <w:szCs w:val="24"/>
        </w:rPr>
        <w:t>by</w:t>
      </w:r>
      <w:r w:rsidRPr="005A7D44">
        <w:rPr>
          <w:rFonts w:ascii="Times New Roman" w:hAnsi="Times New Roman"/>
          <w:sz w:val="24"/>
          <w:szCs w:val="24"/>
        </w:rPr>
        <w:t xml:space="preserve"> which other types of coverage </w:t>
      </w:r>
      <w:r w:rsidR="00B97538">
        <w:rPr>
          <w:rFonts w:ascii="Times New Roman" w:hAnsi="Times New Roman"/>
          <w:sz w:val="24"/>
          <w:szCs w:val="24"/>
        </w:rPr>
        <w:t>can</w:t>
      </w:r>
      <w:r w:rsidRPr="005A7D44" w:rsidR="00B97538">
        <w:rPr>
          <w:rFonts w:ascii="Times New Roman" w:hAnsi="Times New Roman"/>
          <w:sz w:val="24"/>
          <w:szCs w:val="24"/>
        </w:rPr>
        <w:t xml:space="preserve"> </w:t>
      </w:r>
      <w:r w:rsidR="00E779D2">
        <w:rPr>
          <w:rFonts w:ascii="Times New Roman" w:hAnsi="Times New Roman"/>
          <w:sz w:val="24"/>
          <w:szCs w:val="24"/>
        </w:rPr>
        <w:t xml:space="preserve">seek to </w:t>
      </w:r>
      <w:r w:rsidRPr="005A7D44">
        <w:rPr>
          <w:rFonts w:ascii="Times New Roman" w:hAnsi="Times New Roman"/>
          <w:sz w:val="24"/>
          <w:szCs w:val="24"/>
        </w:rPr>
        <w:t xml:space="preserve">be </w:t>
      </w:r>
      <w:r w:rsidR="00083B85">
        <w:rPr>
          <w:rFonts w:ascii="Times New Roman" w:hAnsi="Times New Roman"/>
          <w:sz w:val="24"/>
          <w:szCs w:val="24"/>
        </w:rPr>
        <w:t>recognized</w:t>
      </w:r>
      <w:r w:rsidR="00E779D2">
        <w:rPr>
          <w:rFonts w:ascii="Times New Roman" w:hAnsi="Times New Roman"/>
          <w:sz w:val="24"/>
          <w:szCs w:val="24"/>
        </w:rPr>
        <w:t xml:space="preserve"> as</w:t>
      </w:r>
      <w:r w:rsidRPr="005A7D44" w:rsidR="00E779D2">
        <w:rPr>
          <w:rFonts w:ascii="Times New Roman" w:hAnsi="Times New Roman"/>
          <w:sz w:val="24"/>
          <w:szCs w:val="24"/>
        </w:rPr>
        <w:t xml:space="preserve"> </w:t>
      </w:r>
      <w:r>
        <w:rPr>
          <w:rFonts w:ascii="Times New Roman" w:hAnsi="Times New Roman"/>
          <w:sz w:val="24"/>
          <w:szCs w:val="24"/>
        </w:rPr>
        <w:t xml:space="preserve">minimum essential </w:t>
      </w:r>
      <w:r>
        <w:rPr>
          <w:rFonts w:ascii="Times New Roman" w:hAnsi="Times New Roman"/>
          <w:sz w:val="24"/>
          <w:szCs w:val="24"/>
        </w:rPr>
        <w:t>coverage</w:t>
      </w:r>
      <w:r w:rsidRPr="005A7D44">
        <w:rPr>
          <w:rFonts w:ascii="Times New Roman" w:hAnsi="Times New Roman"/>
          <w:sz w:val="24"/>
          <w:szCs w:val="24"/>
        </w:rPr>
        <w:t xml:space="preserve">.  </w:t>
      </w:r>
      <w:r w:rsidR="005F0EF9">
        <w:rPr>
          <w:rFonts w:ascii="Times New Roman" w:hAnsi="Times New Roman"/>
          <w:sz w:val="24"/>
          <w:szCs w:val="24"/>
        </w:rPr>
        <w:t>T</w:t>
      </w:r>
      <w:r w:rsidR="00020117">
        <w:rPr>
          <w:rFonts w:ascii="Times New Roman" w:hAnsi="Times New Roman"/>
          <w:sz w:val="24"/>
          <w:szCs w:val="24"/>
        </w:rPr>
        <w:t xml:space="preserve">o be </w:t>
      </w:r>
      <w:r w:rsidRPr="005A7D44">
        <w:rPr>
          <w:rFonts w:ascii="Times New Roman" w:hAnsi="Times New Roman"/>
          <w:sz w:val="24"/>
          <w:szCs w:val="24"/>
        </w:rPr>
        <w:t xml:space="preserve">recognized </w:t>
      </w:r>
      <w:r w:rsidR="00020117">
        <w:rPr>
          <w:rFonts w:ascii="Times New Roman" w:hAnsi="Times New Roman"/>
          <w:sz w:val="24"/>
          <w:szCs w:val="24"/>
        </w:rPr>
        <w:t>as</w:t>
      </w:r>
      <w:r w:rsidRPr="005A7D44">
        <w:rPr>
          <w:rFonts w:ascii="Times New Roman" w:hAnsi="Times New Roman"/>
          <w:sz w:val="24"/>
          <w:szCs w:val="24"/>
        </w:rPr>
        <w:t xml:space="preserve"> minimum essential coverage</w:t>
      </w:r>
      <w:r w:rsidR="005F0EF9">
        <w:rPr>
          <w:rFonts w:ascii="Times New Roman" w:hAnsi="Times New Roman"/>
          <w:sz w:val="24"/>
          <w:szCs w:val="24"/>
        </w:rPr>
        <w:t>, the coverage must</w:t>
      </w:r>
      <w:r w:rsidRPr="005A7D44">
        <w:rPr>
          <w:rFonts w:ascii="Times New Roman" w:hAnsi="Times New Roman"/>
          <w:sz w:val="24"/>
          <w:szCs w:val="24"/>
        </w:rPr>
        <w:t xml:space="preserve"> offer substantially the same consumer </w:t>
      </w:r>
      <w:r w:rsidRPr="005A7D44">
        <w:rPr>
          <w:rFonts w:ascii="Times New Roman" w:hAnsi="Times New Roman"/>
          <w:sz w:val="24"/>
          <w:szCs w:val="24"/>
        </w:rPr>
        <w:t>protections</w:t>
      </w:r>
      <w:r w:rsidRPr="005A7D44">
        <w:rPr>
          <w:rFonts w:ascii="Times New Roman" w:hAnsi="Times New Roman"/>
          <w:sz w:val="24"/>
          <w:szCs w:val="24"/>
        </w:rPr>
        <w:t xml:space="preserve"> as those enumerated in Title I of </w:t>
      </w:r>
      <w:r w:rsidR="00372670">
        <w:rPr>
          <w:rFonts w:ascii="Times New Roman" w:hAnsi="Times New Roman"/>
          <w:sz w:val="24"/>
          <w:szCs w:val="24"/>
        </w:rPr>
        <w:t xml:space="preserve">the </w:t>
      </w:r>
      <w:r w:rsidRPr="005A7D44">
        <w:rPr>
          <w:rFonts w:ascii="Times New Roman" w:hAnsi="Times New Roman"/>
          <w:sz w:val="24"/>
          <w:szCs w:val="24"/>
        </w:rPr>
        <w:t xml:space="preserve">Affordable Care Act relating to non-grandfathered, individual </w:t>
      </w:r>
      <w:r w:rsidR="005F0EF9">
        <w:rPr>
          <w:rFonts w:ascii="Times New Roman" w:hAnsi="Times New Roman"/>
          <w:sz w:val="24"/>
          <w:szCs w:val="24"/>
        </w:rPr>
        <w:t xml:space="preserve">health insurance </w:t>
      </w:r>
      <w:r w:rsidRPr="005A7D44">
        <w:rPr>
          <w:rFonts w:ascii="Times New Roman" w:hAnsi="Times New Roman"/>
          <w:sz w:val="24"/>
          <w:szCs w:val="24"/>
        </w:rPr>
        <w:t xml:space="preserve">coverage to ensure consumers are receiving adequate coverage.  </w:t>
      </w:r>
    </w:p>
    <w:p w:rsidR="004B138C" w:rsidP="00FA67B3" w14:paraId="38B645CB" w14:textId="5D8D13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53790F">
        <w:rPr>
          <w:sz w:val="24"/>
        </w:rPr>
        <w:t xml:space="preserve">The </w:t>
      </w:r>
      <w:r w:rsidR="001B75B9">
        <w:rPr>
          <w:sz w:val="24"/>
        </w:rPr>
        <w:t>final</w:t>
      </w:r>
      <w:r w:rsidRPr="0053790F" w:rsidR="001B75B9">
        <w:rPr>
          <w:sz w:val="24"/>
        </w:rPr>
        <w:t xml:space="preserve"> </w:t>
      </w:r>
      <w:r w:rsidRPr="0053790F">
        <w:rPr>
          <w:sz w:val="24"/>
        </w:rPr>
        <w:t>rule require</w:t>
      </w:r>
      <w:r w:rsidR="001B75B9">
        <w:rPr>
          <w:sz w:val="24"/>
        </w:rPr>
        <w:t>s</w:t>
      </w:r>
      <w:r w:rsidRPr="0053790F">
        <w:rPr>
          <w:sz w:val="24"/>
        </w:rPr>
        <w:t xml:space="preserve"> sponsors of </w:t>
      </w:r>
      <w:r w:rsidR="00020117">
        <w:rPr>
          <w:sz w:val="24"/>
        </w:rPr>
        <w:t>other</w:t>
      </w:r>
      <w:r w:rsidRPr="0053790F" w:rsidR="00020117">
        <w:rPr>
          <w:sz w:val="24"/>
        </w:rPr>
        <w:t xml:space="preserve"> </w:t>
      </w:r>
      <w:r w:rsidRPr="0053790F">
        <w:rPr>
          <w:sz w:val="24"/>
        </w:rPr>
        <w:t xml:space="preserve">coverage that seek to have such coverage </w:t>
      </w:r>
      <w:r w:rsidR="00E5669D">
        <w:rPr>
          <w:sz w:val="24"/>
        </w:rPr>
        <w:t>recognize</w:t>
      </w:r>
      <w:r w:rsidRPr="0053790F">
        <w:rPr>
          <w:sz w:val="24"/>
        </w:rPr>
        <w:t xml:space="preserve">d as minimum essential coverage to adhere to certain procedures.  </w:t>
      </w:r>
      <w:r w:rsidRPr="0053790F" w:rsidR="005004F4">
        <w:rPr>
          <w:sz w:val="24"/>
        </w:rPr>
        <w:t xml:space="preserve">They </w:t>
      </w:r>
      <w:r w:rsidR="005004F4">
        <w:rPr>
          <w:sz w:val="24"/>
        </w:rPr>
        <w:t>will</w:t>
      </w:r>
      <w:r w:rsidRPr="0053790F" w:rsidR="005004F4">
        <w:rPr>
          <w:sz w:val="24"/>
        </w:rPr>
        <w:t xml:space="preserve"> have to submit to HHS electronically the following information: (1) name of the organization sponsoring the plan; (2) name </w:t>
      </w:r>
      <w:r w:rsidR="005004F4">
        <w:rPr>
          <w:sz w:val="24"/>
        </w:rPr>
        <w:t xml:space="preserve">and title </w:t>
      </w:r>
      <w:r w:rsidRPr="0053790F" w:rsidR="005004F4">
        <w:rPr>
          <w:sz w:val="24"/>
        </w:rPr>
        <w:t xml:space="preserve">of the individual who is authorized to make, and makes, this certification on behalf of the organization; (3) address of </w:t>
      </w:r>
      <w:r w:rsidR="005004F4">
        <w:rPr>
          <w:sz w:val="24"/>
        </w:rPr>
        <w:t xml:space="preserve">such </w:t>
      </w:r>
      <w:r w:rsidRPr="0053790F" w:rsidR="005004F4">
        <w:rPr>
          <w:sz w:val="24"/>
        </w:rPr>
        <w:t xml:space="preserve">individual; (4) phone number of </w:t>
      </w:r>
      <w:r w:rsidR="005004F4">
        <w:rPr>
          <w:sz w:val="24"/>
        </w:rPr>
        <w:t xml:space="preserve">such </w:t>
      </w:r>
      <w:r w:rsidRPr="0053790F" w:rsidR="005004F4">
        <w:rPr>
          <w:sz w:val="24"/>
        </w:rPr>
        <w:t>individual; (</w:t>
      </w:r>
      <w:r w:rsidR="005004F4">
        <w:rPr>
          <w:sz w:val="24"/>
        </w:rPr>
        <w:t>5</w:t>
      </w:r>
      <w:r w:rsidRPr="0053790F" w:rsidR="005004F4">
        <w:rPr>
          <w:sz w:val="24"/>
        </w:rPr>
        <w:t>) number</w:t>
      </w:r>
      <w:r w:rsidRPr="0053790F">
        <w:rPr>
          <w:sz w:val="24"/>
        </w:rPr>
        <w:t xml:space="preserve"> of enrollees; (</w:t>
      </w:r>
      <w:r w:rsidR="00392058">
        <w:rPr>
          <w:sz w:val="24"/>
        </w:rPr>
        <w:t>6</w:t>
      </w:r>
      <w:r w:rsidRPr="0053790F">
        <w:rPr>
          <w:sz w:val="24"/>
        </w:rPr>
        <w:t>) eligibility criteria; (</w:t>
      </w:r>
      <w:r w:rsidR="00392058">
        <w:rPr>
          <w:sz w:val="24"/>
        </w:rPr>
        <w:t>7</w:t>
      </w:r>
      <w:r w:rsidRPr="0053790F">
        <w:rPr>
          <w:sz w:val="24"/>
        </w:rPr>
        <w:t>) cost sharing requirements, including deductible and out-of-pocket maximum; (</w:t>
      </w:r>
      <w:r w:rsidR="00392058">
        <w:rPr>
          <w:sz w:val="24"/>
        </w:rPr>
        <w:t>8</w:t>
      </w:r>
      <w:r w:rsidRPr="0053790F">
        <w:rPr>
          <w:sz w:val="24"/>
        </w:rPr>
        <w:t xml:space="preserve">) essential health benefits covered; and </w:t>
      </w:r>
      <w:r w:rsidR="00392058">
        <w:rPr>
          <w:sz w:val="24"/>
        </w:rPr>
        <w:t>(9) a certification</w:t>
      </w:r>
      <w:r w:rsidRPr="0053790F">
        <w:rPr>
          <w:sz w:val="24"/>
        </w:rPr>
        <w:t xml:space="preserve"> that the plan substantially complies with the provisions of Title I of the Affordable Care Act applicable to non-grandfathered individual health insurance coverage</w:t>
      </w:r>
      <w:r w:rsidR="00F9065E">
        <w:rPr>
          <w:sz w:val="24"/>
        </w:rPr>
        <w:t xml:space="preserve"> and </w:t>
      </w:r>
      <w:r w:rsidR="00A946AC">
        <w:rPr>
          <w:sz w:val="24"/>
        </w:rPr>
        <w:t xml:space="preserve">any </w:t>
      </w:r>
      <w:r w:rsidRPr="00F9065E" w:rsidR="00F9065E">
        <w:rPr>
          <w:sz w:val="24"/>
        </w:rPr>
        <w:t>plan documentation or other information that demonstrate that the coverage sponsored by the organization substantially complies with the</w:t>
      </w:r>
      <w:r w:rsidR="00F9065E">
        <w:rPr>
          <w:sz w:val="24"/>
        </w:rPr>
        <w:t>se provisions</w:t>
      </w:r>
      <w:r w:rsidRPr="0053790F">
        <w:rPr>
          <w:sz w:val="24"/>
        </w:rPr>
        <w:t xml:space="preserve">. </w:t>
      </w:r>
    </w:p>
    <w:p w:rsidR="00937FE3" w:rsidRPr="00937FE3" w:rsidP="00937FE3" w14:paraId="43A05131" w14:textId="2DFBB1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t xml:space="preserve">The </w:t>
      </w:r>
      <w:r w:rsidR="001B75B9">
        <w:rPr>
          <w:sz w:val="24"/>
        </w:rPr>
        <w:t xml:space="preserve">final </w:t>
      </w:r>
      <w:r w:rsidR="00196AFA">
        <w:rPr>
          <w:sz w:val="24"/>
        </w:rPr>
        <w:t xml:space="preserve">rule </w:t>
      </w:r>
      <w:r w:rsidR="004B138C">
        <w:rPr>
          <w:sz w:val="24"/>
        </w:rPr>
        <w:t xml:space="preserve">also </w:t>
      </w:r>
      <w:r w:rsidR="00604F22">
        <w:rPr>
          <w:sz w:val="24"/>
        </w:rPr>
        <w:t xml:space="preserve">requires </w:t>
      </w:r>
      <w:r>
        <w:rPr>
          <w:sz w:val="24"/>
        </w:rPr>
        <w:t>that</w:t>
      </w:r>
      <w:r w:rsidRPr="0053790F">
        <w:rPr>
          <w:sz w:val="24"/>
        </w:rPr>
        <w:t xml:space="preserve"> </w:t>
      </w:r>
      <w:r w:rsidR="00E5669D">
        <w:rPr>
          <w:sz w:val="24"/>
        </w:rPr>
        <w:t>sponsors</w:t>
      </w:r>
      <w:r w:rsidRPr="0053790F">
        <w:rPr>
          <w:sz w:val="24"/>
        </w:rPr>
        <w:t xml:space="preserve"> whose health coverage are </w:t>
      </w:r>
      <w:r w:rsidR="00E5669D">
        <w:rPr>
          <w:sz w:val="24"/>
        </w:rPr>
        <w:t>recognized as</w:t>
      </w:r>
      <w:r w:rsidRPr="0053790F">
        <w:rPr>
          <w:sz w:val="24"/>
        </w:rPr>
        <w:t xml:space="preserve"> minimum essential coverage </w:t>
      </w:r>
      <w:r w:rsidR="00604F22">
        <w:rPr>
          <w:sz w:val="24"/>
        </w:rPr>
        <w:t>will</w:t>
      </w:r>
      <w:r w:rsidRPr="0053790F" w:rsidR="00604F22">
        <w:rPr>
          <w:sz w:val="24"/>
        </w:rPr>
        <w:t xml:space="preserve"> </w:t>
      </w:r>
      <w:r w:rsidRPr="0053790F">
        <w:rPr>
          <w:sz w:val="24"/>
        </w:rPr>
        <w:t xml:space="preserve">have to provide a notice to enrollees informing them that the plan has been designated </w:t>
      </w:r>
      <w:r w:rsidR="00372670">
        <w:rPr>
          <w:sz w:val="24"/>
        </w:rPr>
        <w:t xml:space="preserve">as </w:t>
      </w:r>
      <w:r w:rsidRPr="0053790F">
        <w:rPr>
          <w:sz w:val="24"/>
        </w:rPr>
        <w:t>minimum essential coverage.</w:t>
      </w:r>
      <w:r>
        <w:rPr>
          <w:sz w:val="24"/>
        </w:rPr>
        <w:t xml:space="preserve"> </w:t>
      </w:r>
      <w:r w:rsidR="00561F6C">
        <w:rPr>
          <w:sz w:val="24"/>
        </w:rPr>
        <w:t xml:space="preserve"> </w:t>
      </w:r>
      <w:r w:rsidRPr="00937FE3">
        <w:rPr>
          <w:sz w:val="24"/>
        </w:rPr>
        <w:t>The notice requirement may be satisfied by inserting</w:t>
      </w:r>
      <w:r w:rsidR="00876BEE">
        <w:rPr>
          <w:sz w:val="24"/>
        </w:rPr>
        <w:t xml:space="preserve"> a statement</w:t>
      </w:r>
      <w:r w:rsidRPr="00937FE3">
        <w:rPr>
          <w:sz w:val="24"/>
        </w:rPr>
        <w:t xml:space="preserve"> into existing plan documents.  Plan documents are usually reviewed and updated annually before a n</w:t>
      </w:r>
      <w:r w:rsidR="00180013">
        <w:rPr>
          <w:sz w:val="24"/>
        </w:rPr>
        <w:t>ew plan year begins.  Sponsors</w:t>
      </w:r>
      <w:r w:rsidRPr="00937FE3">
        <w:rPr>
          <w:sz w:val="24"/>
        </w:rPr>
        <w:t xml:space="preserve"> may insert the </w:t>
      </w:r>
      <w:r w:rsidR="00A75DDB">
        <w:rPr>
          <w:sz w:val="24"/>
        </w:rPr>
        <w:t xml:space="preserve">statement </w:t>
      </w:r>
      <w:r w:rsidRPr="00937FE3">
        <w:rPr>
          <w:sz w:val="24"/>
        </w:rPr>
        <w:t xml:space="preserve">in their plan documents at that time at minimal cost.  Once the notice is included in </w:t>
      </w:r>
      <w:r w:rsidRPr="00937FE3">
        <w:rPr>
          <w:sz w:val="24"/>
        </w:rPr>
        <w:t>plan</w:t>
      </w:r>
      <w:r w:rsidRPr="00937FE3">
        <w:rPr>
          <w:sz w:val="24"/>
        </w:rPr>
        <w:t xml:space="preserve"> </w:t>
      </w:r>
      <w:r w:rsidRPr="00937FE3" w:rsidR="00911595">
        <w:rPr>
          <w:sz w:val="24"/>
        </w:rPr>
        <w:t>documents</w:t>
      </w:r>
      <w:r w:rsidR="00911595">
        <w:rPr>
          <w:sz w:val="24"/>
        </w:rPr>
        <w:t xml:space="preserve"> </w:t>
      </w:r>
      <w:r w:rsidR="00911595">
        <w:rPr>
          <w:sz w:val="24"/>
        </w:rPr>
        <w:t>in</w:t>
      </w:r>
      <w:r w:rsidR="00911595">
        <w:rPr>
          <w:sz w:val="24"/>
        </w:rPr>
        <w:t xml:space="preserve"> </w:t>
      </w:r>
      <w:r w:rsidRPr="00937FE3">
        <w:rPr>
          <w:sz w:val="24"/>
        </w:rPr>
        <w:t xml:space="preserve">the first year, no additional cost will be incurred in future years.  </w:t>
      </w:r>
    </w:p>
    <w:p w:rsidR="008F1EB4" w:rsidP="00D31450" w14:paraId="78579379" w14:textId="77777777">
      <w:pPr>
        <w:pStyle w:val="Heading2"/>
      </w:pPr>
      <w:r>
        <w:t>Information Users</w:t>
      </w:r>
    </w:p>
    <w:p w:rsidR="008F1EB4" w:rsidP="00472E16" w14:paraId="52C17E85" w14:textId="4FE622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t xml:space="preserve">CMS will </w:t>
      </w:r>
      <w:r w:rsidR="00205140">
        <w:rPr>
          <w:sz w:val="24"/>
        </w:rPr>
        <w:t>need the</w:t>
      </w:r>
      <w:r w:rsidRPr="00894E36" w:rsidR="00205140">
        <w:rPr>
          <w:sz w:val="24"/>
        </w:rPr>
        <w:t xml:space="preserve"> information</w:t>
      </w:r>
      <w:r w:rsidR="00205140">
        <w:rPr>
          <w:sz w:val="24"/>
        </w:rPr>
        <w:t xml:space="preserve"> </w:t>
      </w:r>
      <w:r w:rsidR="00020117">
        <w:rPr>
          <w:sz w:val="24"/>
        </w:rPr>
        <w:t xml:space="preserve">in this collection </w:t>
      </w:r>
      <w:r w:rsidR="00DC5101">
        <w:rPr>
          <w:sz w:val="24"/>
        </w:rPr>
        <w:t xml:space="preserve">to determine whether the plan </w:t>
      </w:r>
      <w:r w:rsidR="00D238CE">
        <w:rPr>
          <w:sz w:val="24"/>
        </w:rPr>
        <w:t>sponsored</w:t>
      </w:r>
      <w:r w:rsidR="00DC5101">
        <w:rPr>
          <w:sz w:val="24"/>
        </w:rPr>
        <w:t xml:space="preserve"> by the </w:t>
      </w:r>
      <w:r w:rsidR="00D238CE">
        <w:rPr>
          <w:sz w:val="24"/>
        </w:rPr>
        <w:t xml:space="preserve">requesting </w:t>
      </w:r>
      <w:r w:rsidR="00142C2B">
        <w:rPr>
          <w:sz w:val="24"/>
        </w:rPr>
        <w:t>sponsor</w:t>
      </w:r>
      <w:r w:rsidR="00D238CE">
        <w:rPr>
          <w:sz w:val="24"/>
        </w:rPr>
        <w:t xml:space="preserve"> may be </w:t>
      </w:r>
      <w:r w:rsidR="00142C2B">
        <w:rPr>
          <w:sz w:val="24"/>
        </w:rPr>
        <w:t>recognized as</w:t>
      </w:r>
      <w:r w:rsidR="00D238CE">
        <w:rPr>
          <w:sz w:val="24"/>
        </w:rPr>
        <w:t xml:space="preserve"> minimum e</w:t>
      </w:r>
      <w:r>
        <w:rPr>
          <w:sz w:val="24"/>
        </w:rPr>
        <w:t xml:space="preserve">ssential </w:t>
      </w:r>
      <w:r w:rsidR="00377FE0">
        <w:rPr>
          <w:sz w:val="24"/>
        </w:rPr>
        <w:t>coverage</w:t>
      </w:r>
      <w:r>
        <w:rPr>
          <w:sz w:val="24"/>
        </w:rPr>
        <w:t xml:space="preserve">.  </w:t>
      </w:r>
      <w:r w:rsidRPr="005E7F23">
        <w:rPr>
          <w:sz w:val="24"/>
        </w:rPr>
        <w:t xml:space="preserve">CMS </w:t>
      </w:r>
      <w:r w:rsidR="00B97538">
        <w:rPr>
          <w:sz w:val="24"/>
        </w:rPr>
        <w:t>will</w:t>
      </w:r>
      <w:r w:rsidRPr="005E7F23" w:rsidR="00B97538">
        <w:rPr>
          <w:sz w:val="24"/>
        </w:rPr>
        <w:t xml:space="preserve"> </w:t>
      </w:r>
      <w:r w:rsidRPr="005E7F23">
        <w:rPr>
          <w:sz w:val="24"/>
        </w:rPr>
        <w:t xml:space="preserve">maintain a public </w:t>
      </w:r>
      <w:r w:rsidR="003B3121">
        <w:rPr>
          <w:sz w:val="24"/>
        </w:rPr>
        <w:t>list</w:t>
      </w:r>
      <w:r w:rsidRPr="005E7F23">
        <w:rPr>
          <w:sz w:val="24"/>
        </w:rPr>
        <w:t xml:space="preserve"> of the </w:t>
      </w:r>
      <w:r w:rsidR="00D03519">
        <w:rPr>
          <w:sz w:val="24"/>
        </w:rPr>
        <w:t xml:space="preserve">types of coverage </w:t>
      </w:r>
      <w:r w:rsidRPr="005E7F23">
        <w:rPr>
          <w:sz w:val="24"/>
        </w:rPr>
        <w:t>that have submitted this information</w:t>
      </w:r>
      <w:r w:rsidR="00D03519">
        <w:rPr>
          <w:sz w:val="24"/>
        </w:rPr>
        <w:t xml:space="preserve"> </w:t>
      </w:r>
      <w:r w:rsidRPr="00D03519" w:rsidR="00D03519">
        <w:rPr>
          <w:sz w:val="24"/>
        </w:rPr>
        <w:t>and have been determined by the Secretary to meet the requirements to be recognized as minimum essential coverage</w:t>
      </w:r>
      <w:r>
        <w:rPr>
          <w:sz w:val="24"/>
        </w:rPr>
        <w:t>.</w:t>
      </w:r>
      <w:r w:rsidR="004B138C">
        <w:rPr>
          <w:sz w:val="24"/>
        </w:rPr>
        <w:t xml:space="preserve">  Consumers will also need to know that the </w:t>
      </w:r>
      <w:r w:rsidR="001B5FC8">
        <w:rPr>
          <w:sz w:val="24"/>
        </w:rPr>
        <w:t xml:space="preserve">types of </w:t>
      </w:r>
      <w:r w:rsidR="004B138C">
        <w:rPr>
          <w:sz w:val="24"/>
        </w:rPr>
        <w:t xml:space="preserve">coverage they are enrolled in are </w:t>
      </w:r>
      <w:r w:rsidR="00D338E1">
        <w:rPr>
          <w:sz w:val="24"/>
        </w:rPr>
        <w:t>recognized as</w:t>
      </w:r>
      <w:r w:rsidR="004B138C">
        <w:rPr>
          <w:sz w:val="24"/>
        </w:rPr>
        <w:t xml:space="preserve"> minimum essential coverage.</w:t>
      </w:r>
    </w:p>
    <w:p w:rsidR="008F1EB4" w:rsidP="00D31450" w14:paraId="641F8E01" w14:textId="77777777">
      <w:pPr>
        <w:pStyle w:val="Heading2"/>
      </w:pPr>
      <w:r>
        <w:t>Use of Information Technology</w:t>
      </w:r>
    </w:p>
    <w:p w:rsidR="008E37BB" w:rsidP="008459FF" w14:paraId="2997A6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t xml:space="preserve">Requesting </w:t>
      </w:r>
      <w:r w:rsidR="00C5122B">
        <w:rPr>
          <w:sz w:val="24"/>
        </w:rPr>
        <w:t>sponsors</w:t>
      </w:r>
      <w:r>
        <w:rPr>
          <w:sz w:val="24"/>
        </w:rPr>
        <w:t xml:space="preserve"> are expected to submit </w:t>
      </w:r>
      <w:r w:rsidR="002C4213">
        <w:rPr>
          <w:sz w:val="24"/>
        </w:rPr>
        <w:t>the information</w:t>
      </w:r>
      <w:r>
        <w:rPr>
          <w:sz w:val="24"/>
        </w:rPr>
        <w:t xml:space="preserve"> to CMS electronically.</w:t>
      </w:r>
    </w:p>
    <w:p w:rsidR="008F1EB4" w:rsidRPr="00D31450" w:rsidP="00D31450" w14:paraId="39D9DE80" w14:textId="77777777">
      <w:pPr>
        <w:pStyle w:val="Heading2"/>
      </w:pPr>
      <w:r w:rsidRPr="00D31450">
        <w:t>Duplication of Efforts</w:t>
      </w:r>
    </w:p>
    <w:p w:rsidR="008E37BB" w:rsidP="008459FF" w14:paraId="7639A1F9" w14:textId="513984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outlineLvl w:val="0"/>
        <w:rPr>
          <w:sz w:val="24"/>
        </w:rPr>
      </w:pPr>
      <w:r>
        <w:rPr>
          <w:sz w:val="24"/>
        </w:rPr>
        <w:t>T</w:t>
      </w:r>
      <w:r>
        <w:rPr>
          <w:sz w:val="24"/>
        </w:rPr>
        <w:t xml:space="preserve">here is no duplication of </w:t>
      </w:r>
      <w:r>
        <w:rPr>
          <w:sz w:val="24"/>
        </w:rPr>
        <w:t>efforts</w:t>
      </w:r>
      <w:r>
        <w:rPr>
          <w:sz w:val="24"/>
        </w:rPr>
        <w:t>.</w:t>
      </w:r>
    </w:p>
    <w:p w:rsidR="008F1EB4" w:rsidP="00D31450" w14:paraId="1C07C69E" w14:textId="77777777">
      <w:pPr>
        <w:pStyle w:val="Heading2"/>
      </w:pPr>
      <w:r>
        <w:t>Small Businesses</w:t>
      </w:r>
    </w:p>
    <w:p w:rsidR="008E37BB" w:rsidP="008459FF" w14:paraId="715B6A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outlineLvl w:val="0"/>
        <w:rPr>
          <w:sz w:val="24"/>
        </w:rPr>
      </w:pPr>
      <w:r>
        <w:rPr>
          <w:sz w:val="24"/>
        </w:rPr>
        <w:t>Small businesses are not affected by this collection.</w:t>
      </w:r>
    </w:p>
    <w:p w:rsidR="008F1EB4" w:rsidP="00D31450" w14:paraId="5B09C9B6" w14:textId="77777777">
      <w:pPr>
        <w:pStyle w:val="Heading2"/>
      </w:pPr>
      <w:r>
        <w:t>Less Frequent Collection</w:t>
      </w:r>
    </w:p>
    <w:p w:rsidR="00966AD6" w:rsidP="008459FF" w14:paraId="218C3EBC" w14:textId="0555DA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t xml:space="preserve">This information </w:t>
      </w:r>
      <w:r w:rsidR="0071160E">
        <w:rPr>
          <w:sz w:val="24"/>
        </w:rPr>
        <w:t xml:space="preserve">will </w:t>
      </w:r>
      <w:r>
        <w:rPr>
          <w:sz w:val="24"/>
        </w:rPr>
        <w:t xml:space="preserve">be provided to CMS at the time of the initial request and if there are any changes to the coverage </w:t>
      </w:r>
      <w:r>
        <w:rPr>
          <w:sz w:val="24"/>
        </w:rPr>
        <w:t>at a later date</w:t>
      </w:r>
      <w:r>
        <w:rPr>
          <w:sz w:val="24"/>
        </w:rPr>
        <w:t xml:space="preserve">.  </w:t>
      </w:r>
      <w:r>
        <w:rPr>
          <w:sz w:val="24"/>
        </w:rPr>
        <w:t xml:space="preserve">If </w:t>
      </w:r>
      <w:r w:rsidR="00D0224B">
        <w:rPr>
          <w:sz w:val="24"/>
        </w:rPr>
        <w:t>sponsors</w:t>
      </w:r>
      <w:r>
        <w:rPr>
          <w:sz w:val="24"/>
        </w:rPr>
        <w:t xml:space="preserve"> do not submit </w:t>
      </w:r>
      <w:r w:rsidR="00870E27">
        <w:rPr>
          <w:sz w:val="24"/>
        </w:rPr>
        <w:t>this information</w:t>
      </w:r>
      <w:r>
        <w:rPr>
          <w:sz w:val="24"/>
        </w:rPr>
        <w:t xml:space="preserve">, CMS </w:t>
      </w:r>
      <w:r>
        <w:rPr>
          <w:sz w:val="24"/>
        </w:rPr>
        <w:t xml:space="preserve">will not be able to </w:t>
      </w:r>
      <w:r w:rsidRPr="009C11F6">
        <w:rPr>
          <w:sz w:val="24"/>
        </w:rPr>
        <w:t>determine whethe</w:t>
      </w:r>
      <w:r w:rsidR="00E65F42">
        <w:rPr>
          <w:sz w:val="24"/>
        </w:rPr>
        <w:t xml:space="preserve">r </w:t>
      </w:r>
      <w:r w:rsidR="001B5F16">
        <w:rPr>
          <w:sz w:val="24"/>
        </w:rPr>
        <w:t xml:space="preserve">these </w:t>
      </w:r>
      <w:r w:rsidR="00D0224B">
        <w:rPr>
          <w:sz w:val="24"/>
        </w:rPr>
        <w:t xml:space="preserve">types of </w:t>
      </w:r>
      <w:r w:rsidR="001B5F16">
        <w:rPr>
          <w:sz w:val="24"/>
        </w:rPr>
        <w:t>coverage</w:t>
      </w:r>
      <w:r w:rsidR="00E65F42">
        <w:rPr>
          <w:sz w:val="24"/>
        </w:rPr>
        <w:t xml:space="preserve"> may be </w:t>
      </w:r>
      <w:r w:rsidR="00D0224B">
        <w:rPr>
          <w:sz w:val="24"/>
        </w:rPr>
        <w:t>recognized as</w:t>
      </w:r>
      <w:r w:rsidR="00E65F42">
        <w:rPr>
          <w:sz w:val="24"/>
        </w:rPr>
        <w:t xml:space="preserve"> minimum essential coverage.</w:t>
      </w:r>
      <w:r w:rsidR="004B138C">
        <w:rPr>
          <w:sz w:val="24"/>
        </w:rPr>
        <w:t xml:space="preserve">  </w:t>
      </w:r>
      <w:r w:rsidR="00971C78">
        <w:rPr>
          <w:sz w:val="24"/>
        </w:rPr>
        <w:t>Furthermore</w:t>
      </w:r>
      <w:r w:rsidR="004B138C">
        <w:rPr>
          <w:sz w:val="24"/>
        </w:rPr>
        <w:t>, if consumers are not provided with a notice</w:t>
      </w:r>
      <w:r w:rsidR="006C4550">
        <w:rPr>
          <w:sz w:val="24"/>
        </w:rPr>
        <w:t xml:space="preserve"> of minimum essential coverage status</w:t>
      </w:r>
      <w:r w:rsidR="004B138C">
        <w:rPr>
          <w:sz w:val="24"/>
        </w:rPr>
        <w:t>, they would not be aware that the</w:t>
      </w:r>
      <w:r w:rsidR="00D0224B">
        <w:rPr>
          <w:sz w:val="24"/>
        </w:rPr>
        <w:t xml:space="preserve"> </w:t>
      </w:r>
      <w:r w:rsidR="00971C78">
        <w:rPr>
          <w:sz w:val="24"/>
        </w:rPr>
        <w:t xml:space="preserve">coverage they have is </w:t>
      </w:r>
      <w:r w:rsidR="00D0224B">
        <w:rPr>
          <w:sz w:val="24"/>
        </w:rPr>
        <w:t>recognized as</w:t>
      </w:r>
      <w:r w:rsidR="004B138C">
        <w:rPr>
          <w:sz w:val="24"/>
        </w:rPr>
        <w:t xml:space="preserve"> minimum essential coverage.</w:t>
      </w:r>
    </w:p>
    <w:p w:rsidR="008F1EB4" w:rsidP="00D31450" w14:paraId="1C4F7031" w14:textId="77777777">
      <w:pPr>
        <w:pStyle w:val="Heading2"/>
      </w:pPr>
      <w:r>
        <w:t>Special Circumstances</w:t>
      </w:r>
    </w:p>
    <w:p w:rsidR="00074248" w:rsidP="008459FF" w14:paraId="2E8FBC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outlineLvl w:val="0"/>
        <w:rPr>
          <w:sz w:val="24"/>
        </w:rPr>
      </w:pPr>
      <w:r>
        <w:rPr>
          <w:sz w:val="24"/>
        </w:rPr>
        <w:t>There are no special circumstances.</w:t>
      </w:r>
    </w:p>
    <w:p w:rsidR="008F1EB4" w:rsidRPr="00B9320E" w:rsidP="00D31450" w14:paraId="5B442223" w14:textId="77777777">
      <w:pPr>
        <w:pStyle w:val="Heading2"/>
      </w:pPr>
      <w:r w:rsidRPr="00B9320E">
        <w:t>Federal Register/Outside Consultation</w:t>
      </w:r>
    </w:p>
    <w:p w:rsidR="006C4550" w:rsidP="000368D1" w14:paraId="5FDE74A6" w14:textId="6DE62F4B">
      <w:pPr>
        <w:pStyle w:val="Heading2"/>
        <w:numPr>
          <w:ilvl w:val="0"/>
          <w:numId w:val="0"/>
        </w:numPr>
        <w:spacing w:after="0"/>
        <w:ind w:left="432"/>
        <w:rPr>
          <w:u w:val="none"/>
          <w:lang w:val="en-US"/>
        </w:rPr>
      </w:pPr>
      <w:r w:rsidRPr="000368D1">
        <w:rPr>
          <w:u w:val="none"/>
        </w:rPr>
        <w:t xml:space="preserve">A Federal Register notice </w:t>
      </w:r>
      <w:r w:rsidR="00D36FF8">
        <w:rPr>
          <w:u w:val="none"/>
          <w:lang w:val="en-US"/>
        </w:rPr>
        <w:t>was</w:t>
      </w:r>
      <w:r w:rsidR="000A3F19">
        <w:rPr>
          <w:u w:val="none"/>
          <w:lang w:val="en-US"/>
        </w:rPr>
        <w:t xml:space="preserve"> </w:t>
      </w:r>
      <w:r w:rsidR="00842AEB">
        <w:rPr>
          <w:u w:val="none"/>
          <w:lang w:val="en-US"/>
        </w:rPr>
        <w:t xml:space="preserve">be </w:t>
      </w:r>
      <w:r w:rsidRPr="000368D1">
        <w:rPr>
          <w:u w:val="none"/>
        </w:rPr>
        <w:t>published</w:t>
      </w:r>
      <w:r w:rsidR="00D36FF8">
        <w:rPr>
          <w:u w:val="none"/>
        </w:rPr>
        <w:t xml:space="preserve"> on June 12, 2025 (</w:t>
      </w:r>
      <w:r w:rsidRPr="00D36FF8" w:rsidR="00D36FF8">
        <w:rPr>
          <w:u w:val="none"/>
        </w:rPr>
        <w:t>90 FR 24803</w:t>
      </w:r>
      <w:r w:rsidR="00D36FF8">
        <w:rPr>
          <w:u w:val="none"/>
        </w:rPr>
        <w:t>)</w:t>
      </w:r>
      <w:r w:rsidRPr="000368D1">
        <w:rPr>
          <w:u w:val="none"/>
        </w:rPr>
        <w:t>, providing the public with a 60-day period to submit written comments on th</w:t>
      </w:r>
      <w:r w:rsidR="006204EF">
        <w:rPr>
          <w:u w:val="none"/>
        </w:rPr>
        <w:t>is</w:t>
      </w:r>
      <w:r w:rsidRPr="000368D1">
        <w:rPr>
          <w:u w:val="none"/>
        </w:rPr>
        <w:t xml:space="preserve"> </w:t>
      </w:r>
      <w:r w:rsidRPr="007A31A7">
        <w:rPr>
          <w:u w:val="none"/>
        </w:rPr>
        <w:t>ICR</w:t>
      </w:r>
      <w:r w:rsidR="007F3D61">
        <w:rPr>
          <w:u w:val="none"/>
          <w:lang w:val="en-US"/>
        </w:rPr>
        <w:t xml:space="preserve">. </w:t>
      </w:r>
      <w:r w:rsidRPr="00F5358A" w:rsidR="00F5358A">
        <w:rPr>
          <w:u w:val="none"/>
          <w:lang w:val="en-US"/>
        </w:rPr>
        <w:t xml:space="preserve">CMS received one comment suggesting clearer guidance and simplified requirements for MEC certification. These policy recommendations are outside the scope of this </w:t>
      </w:r>
      <w:r w:rsidR="00F5358A">
        <w:rPr>
          <w:u w:val="none"/>
          <w:lang w:val="en-US"/>
        </w:rPr>
        <w:t>information collection</w:t>
      </w:r>
      <w:r w:rsidR="00D36FF8">
        <w:rPr>
          <w:u w:val="none"/>
          <w:lang w:val="en-US"/>
        </w:rPr>
        <w:t>.</w:t>
      </w:r>
      <w:r w:rsidR="001B5A0E">
        <w:rPr>
          <w:u w:val="none"/>
          <w:lang w:val="en-US"/>
        </w:rPr>
        <w:t xml:space="preserve"> A 30-day notice published in the Federal Register on September 24, 2025 (90 FR 45941). </w:t>
      </w:r>
      <w:r w:rsidRPr="00F5358A" w:rsidR="001B5A0E">
        <w:rPr>
          <w:u w:val="none"/>
          <w:lang w:val="en-US"/>
        </w:rPr>
        <w:t xml:space="preserve">CMS received one comment suggesting clearer guidance and simplified requirements for MEC certification. These policy recommendations are outside the scope of this </w:t>
      </w:r>
      <w:r w:rsidR="001B5A0E">
        <w:rPr>
          <w:u w:val="none"/>
          <w:lang w:val="en-US"/>
        </w:rPr>
        <w:t>information collection.</w:t>
      </w:r>
    </w:p>
    <w:p w:rsidR="001B5A0E" w:rsidP="001B5A0E" w14:paraId="65DE7901" w14:textId="77777777">
      <w:pPr>
        <w:rPr>
          <w:lang w:eastAsia="x-none"/>
        </w:rPr>
      </w:pPr>
    </w:p>
    <w:p w:rsidR="001B5A0E" w:rsidRPr="001B5A0E" w:rsidP="001B5A0E" w14:paraId="5608BFF8" w14:textId="2AE3DA27">
      <w:pPr>
        <w:ind w:firstLine="432"/>
        <w:rPr>
          <w:lang w:eastAsia="x-none"/>
        </w:rPr>
      </w:pPr>
      <w:r>
        <w:rPr>
          <w:lang w:eastAsia="x-none"/>
        </w:rPr>
        <w:t>No outside consultation was sought.</w:t>
      </w:r>
    </w:p>
    <w:p w:rsidR="006C4550" w:rsidRPr="00677C3A" w:rsidP="00677C3A" w14:paraId="742DFFA2" w14:textId="77777777">
      <w:pPr>
        <w:rPr>
          <w:lang w:val="x-none" w:eastAsia="x-none"/>
        </w:rPr>
      </w:pPr>
    </w:p>
    <w:p w:rsidR="00BE588B" w:rsidRPr="006C4550" w:rsidP="006C4550" w14:paraId="076164D5" w14:textId="77777777">
      <w:pPr>
        <w:pStyle w:val="Heading2"/>
      </w:pPr>
      <w:r w:rsidRPr="006C4550">
        <w:t>Payments/Gifts to Respondents</w:t>
      </w:r>
    </w:p>
    <w:p w:rsidR="00BE588B" w:rsidP="008459FF" w14:paraId="3E6605BD" w14:textId="5EBB7F7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50"/>
        <w:rPr>
          <w:sz w:val="24"/>
        </w:rPr>
      </w:pPr>
      <w:r>
        <w:rPr>
          <w:sz w:val="24"/>
        </w:rPr>
        <w:t>No payments or gifts are asso</w:t>
      </w:r>
      <w:r w:rsidR="00392DA8">
        <w:rPr>
          <w:sz w:val="24"/>
        </w:rPr>
        <w:t xml:space="preserve">ciated with </w:t>
      </w:r>
      <w:r w:rsidR="00FB424A">
        <w:rPr>
          <w:sz w:val="24"/>
        </w:rPr>
        <w:t>this information collection</w:t>
      </w:r>
      <w:r w:rsidR="007A6580">
        <w:rPr>
          <w:sz w:val="24"/>
        </w:rPr>
        <w:t>.</w:t>
      </w:r>
    </w:p>
    <w:p w:rsidR="000F3AF4" w:rsidP="00D31450" w14:paraId="6AF6ECA3" w14:textId="77777777">
      <w:pPr>
        <w:pStyle w:val="Heading2"/>
        <w:tabs>
          <w:tab w:val="clear" w:pos="720"/>
        </w:tabs>
      </w:pPr>
      <w:r>
        <w:t>Confidentiality</w:t>
      </w:r>
    </w:p>
    <w:p w:rsidR="00DD02CE" w:rsidP="00D31450" w14:paraId="2A703841" w14:textId="161975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outlineLvl w:val="0"/>
        <w:rPr>
          <w:sz w:val="24"/>
        </w:rPr>
      </w:pPr>
      <w:r w:rsidRPr="00E03F8A">
        <w:rPr>
          <w:sz w:val="24"/>
        </w:rPr>
        <w:t>No personal identifiable information is being collected.  CMS will protect privacy of the information provided to the extent provided by law (Privacy Act of 1974 (5 U.S.C. §552(a)) and FOIA Exemption (5 U.S.C. §552(b))).</w:t>
      </w:r>
      <w:r>
        <w:rPr>
          <w:sz w:val="24"/>
        </w:rPr>
        <w:t xml:space="preserve"> </w:t>
      </w:r>
    </w:p>
    <w:p w:rsidR="00BE588B" w:rsidRPr="008459FF" w:rsidP="00D31450" w14:paraId="6186050C" w14:textId="77777777">
      <w:pPr>
        <w:pStyle w:val="Heading2"/>
      </w:pPr>
      <w:r>
        <w:t>Sensitive Questions</w:t>
      </w:r>
    </w:p>
    <w:p w:rsidR="00BE588B" w:rsidP="008459FF" w14:paraId="6D7C9159" w14:textId="0B5FCC9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46"/>
        <w:rPr>
          <w:sz w:val="24"/>
        </w:rPr>
      </w:pPr>
      <w:r w:rsidRPr="00BE588B">
        <w:rPr>
          <w:sz w:val="24"/>
        </w:rPr>
        <w:t>Th</w:t>
      </w:r>
      <w:r w:rsidR="00FE12DC">
        <w:rPr>
          <w:sz w:val="24"/>
        </w:rPr>
        <w:t>is</w:t>
      </w:r>
      <w:r w:rsidRPr="00BE588B">
        <w:rPr>
          <w:sz w:val="24"/>
        </w:rPr>
        <w:t xml:space="preserve"> </w:t>
      </w:r>
      <w:r w:rsidR="00035CB8">
        <w:rPr>
          <w:sz w:val="24"/>
        </w:rPr>
        <w:t xml:space="preserve">information collection does not </w:t>
      </w:r>
      <w:r w:rsidRPr="00BE588B">
        <w:rPr>
          <w:sz w:val="24"/>
        </w:rPr>
        <w:t xml:space="preserve">involve </w:t>
      </w:r>
      <w:r w:rsidR="00035CB8">
        <w:rPr>
          <w:sz w:val="24"/>
        </w:rPr>
        <w:t>any</w:t>
      </w:r>
      <w:r w:rsidRPr="00BE588B">
        <w:rPr>
          <w:sz w:val="24"/>
        </w:rPr>
        <w:t xml:space="preserve"> sensitive questions.</w:t>
      </w:r>
    </w:p>
    <w:p w:rsidR="008F1EB4" w:rsidRPr="00A76CC6" w:rsidP="00D31450" w14:paraId="5EE0E410" w14:textId="77777777">
      <w:pPr>
        <w:pStyle w:val="Heading2"/>
      </w:pPr>
      <w:r w:rsidRPr="00A76CC6">
        <w:t>Burden Estimates (Hours &amp; Wages)</w:t>
      </w:r>
    </w:p>
    <w:p w:rsidR="009F0B35" w:rsidP="008459FF" w14:paraId="749A26D5" w14:textId="029B76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D17BE4">
        <w:rPr>
          <w:sz w:val="24"/>
        </w:rPr>
        <w:t xml:space="preserve">Organizations that currently provide </w:t>
      </w:r>
      <w:r w:rsidR="006C4550">
        <w:rPr>
          <w:sz w:val="24"/>
        </w:rPr>
        <w:t xml:space="preserve">other types of </w:t>
      </w:r>
      <w:r w:rsidRPr="00D17BE4">
        <w:rPr>
          <w:sz w:val="24"/>
        </w:rPr>
        <w:t xml:space="preserve">health coverage that are not designated </w:t>
      </w:r>
      <w:r w:rsidR="006C4550">
        <w:rPr>
          <w:sz w:val="24"/>
        </w:rPr>
        <w:t xml:space="preserve">by statute or regulation </w:t>
      </w:r>
      <w:r w:rsidRPr="00D17BE4">
        <w:rPr>
          <w:sz w:val="24"/>
        </w:rPr>
        <w:t xml:space="preserve">as minimum essential coverage may submit a request to CMS </w:t>
      </w:r>
      <w:r w:rsidR="00EE6579">
        <w:rPr>
          <w:sz w:val="24"/>
        </w:rPr>
        <w:t>for</w:t>
      </w:r>
      <w:r w:rsidRPr="00D17BE4">
        <w:rPr>
          <w:sz w:val="24"/>
        </w:rPr>
        <w:t xml:space="preserve"> their coverage </w:t>
      </w:r>
      <w:r w:rsidR="00EE6579">
        <w:rPr>
          <w:sz w:val="24"/>
        </w:rPr>
        <w:t xml:space="preserve">to </w:t>
      </w:r>
      <w:r w:rsidRPr="00D17BE4">
        <w:rPr>
          <w:sz w:val="24"/>
        </w:rPr>
        <w:t xml:space="preserve">be </w:t>
      </w:r>
      <w:r w:rsidR="00E779D2">
        <w:rPr>
          <w:sz w:val="24"/>
        </w:rPr>
        <w:t>recognized as</w:t>
      </w:r>
      <w:r w:rsidRPr="00D17BE4" w:rsidR="00E779D2">
        <w:rPr>
          <w:sz w:val="24"/>
        </w:rPr>
        <w:t xml:space="preserve"> </w:t>
      </w:r>
      <w:r w:rsidRPr="00D17BE4">
        <w:rPr>
          <w:sz w:val="24"/>
        </w:rPr>
        <w:t xml:space="preserve">minimum essential coverage. </w:t>
      </w:r>
      <w:r w:rsidR="00FF44A6">
        <w:rPr>
          <w:sz w:val="24"/>
        </w:rPr>
        <w:t xml:space="preserve"> </w:t>
      </w:r>
      <w:r w:rsidR="00BA3EE5">
        <w:rPr>
          <w:sz w:val="24"/>
        </w:rPr>
        <w:t>Organizations that make substantial changes to</w:t>
      </w:r>
      <w:r w:rsidRPr="00D17BE4">
        <w:rPr>
          <w:sz w:val="24"/>
        </w:rPr>
        <w:t xml:space="preserve"> </w:t>
      </w:r>
      <w:r w:rsidR="00BA3EE5">
        <w:rPr>
          <w:sz w:val="24"/>
        </w:rPr>
        <w:t>health coverage previously recognized as minimum essential coverage m</w:t>
      </w:r>
      <w:r w:rsidR="00D0161B">
        <w:rPr>
          <w:sz w:val="24"/>
        </w:rPr>
        <w:t>ust</w:t>
      </w:r>
      <w:r w:rsidR="00BA3EE5">
        <w:rPr>
          <w:sz w:val="24"/>
        </w:rPr>
        <w:t xml:space="preserve"> reapply </w:t>
      </w:r>
      <w:r w:rsidR="00D0161B">
        <w:rPr>
          <w:sz w:val="24"/>
        </w:rPr>
        <w:t>for continued recognition of their</w:t>
      </w:r>
      <w:r w:rsidR="00BA3EE5">
        <w:rPr>
          <w:sz w:val="24"/>
        </w:rPr>
        <w:t xml:space="preserve"> coverage</w:t>
      </w:r>
      <w:r w:rsidR="00D0161B">
        <w:rPr>
          <w:sz w:val="24"/>
        </w:rPr>
        <w:t>.</w:t>
      </w:r>
      <w:r w:rsidRPr="00D17BE4">
        <w:rPr>
          <w:sz w:val="24"/>
        </w:rPr>
        <w:t xml:space="preserve"> </w:t>
      </w:r>
      <w:r w:rsidR="00FF44A6">
        <w:rPr>
          <w:sz w:val="24"/>
        </w:rPr>
        <w:t xml:space="preserve"> </w:t>
      </w:r>
      <w:r w:rsidR="00A75C50">
        <w:rPr>
          <w:sz w:val="24"/>
        </w:rPr>
        <w:t>Sponsors</w:t>
      </w:r>
      <w:r w:rsidRPr="00D17BE4">
        <w:rPr>
          <w:sz w:val="24"/>
        </w:rPr>
        <w:t xml:space="preserve"> </w:t>
      </w:r>
      <w:r w:rsidR="0055368A">
        <w:rPr>
          <w:sz w:val="24"/>
        </w:rPr>
        <w:t>must</w:t>
      </w:r>
      <w:r w:rsidRPr="00D17BE4">
        <w:rPr>
          <w:sz w:val="24"/>
        </w:rPr>
        <w:t xml:space="preserve"> electronically submit to CMS information regarding their plans and certify that their plans meet substantially </w:t>
      </w:r>
      <w:r w:rsidRPr="00D17BE4">
        <w:rPr>
          <w:sz w:val="24"/>
        </w:rPr>
        <w:t>all of</w:t>
      </w:r>
      <w:r w:rsidRPr="00D17BE4">
        <w:rPr>
          <w:sz w:val="24"/>
        </w:rPr>
        <w:t xml:space="preserve"> the requirements in Title I of </w:t>
      </w:r>
      <w:r w:rsidR="0055368A">
        <w:rPr>
          <w:sz w:val="24"/>
        </w:rPr>
        <w:t xml:space="preserve">the </w:t>
      </w:r>
      <w:r w:rsidRPr="00D17BE4">
        <w:rPr>
          <w:sz w:val="24"/>
        </w:rPr>
        <w:t>Affordable Care Act</w:t>
      </w:r>
      <w:r w:rsidR="00677C3A">
        <w:rPr>
          <w:sz w:val="24"/>
        </w:rPr>
        <w:t xml:space="preserve"> </w:t>
      </w:r>
      <w:r w:rsidRPr="00D17BE4">
        <w:rPr>
          <w:sz w:val="24"/>
        </w:rPr>
        <w:t xml:space="preserve">applicable to non-grandfathered, individual </w:t>
      </w:r>
      <w:r w:rsidR="00677C3A">
        <w:rPr>
          <w:sz w:val="24"/>
        </w:rPr>
        <w:t xml:space="preserve">health insurance </w:t>
      </w:r>
      <w:r w:rsidRPr="00D17BE4">
        <w:rPr>
          <w:sz w:val="24"/>
        </w:rPr>
        <w:t xml:space="preserve">coverage.  </w:t>
      </w:r>
      <w:r w:rsidR="00824D5D">
        <w:rPr>
          <w:sz w:val="24"/>
        </w:rPr>
        <w:t>We</w:t>
      </w:r>
      <w:r w:rsidR="00A34961">
        <w:rPr>
          <w:sz w:val="24"/>
        </w:rPr>
        <w:t xml:space="preserve"> </w:t>
      </w:r>
      <w:r w:rsidR="00507E10">
        <w:rPr>
          <w:sz w:val="24"/>
        </w:rPr>
        <w:t>anticipate</w:t>
      </w:r>
      <w:r w:rsidR="00824D5D">
        <w:rPr>
          <w:sz w:val="24"/>
        </w:rPr>
        <w:t xml:space="preserve"> that</w:t>
      </w:r>
      <w:r w:rsidR="00A34961">
        <w:rPr>
          <w:sz w:val="24"/>
        </w:rPr>
        <w:t>,</w:t>
      </w:r>
      <w:r w:rsidR="00824D5D">
        <w:rPr>
          <w:sz w:val="24"/>
        </w:rPr>
        <w:t xml:space="preserve"> </w:t>
      </w:r>
      <w:r w:rsidR="00A34961">
        <w:rPr>
          <w:sz w:val="24"/>
        </w:rPr>
        <w:t>on average,</w:t>
      </w:r>
      <w:r w:rsidR="00824D5D">
        <w:rPr>
          <w:sz w:val="24"/>
        </w:rPr>
        <w:t xml:space="preserve"> </w:t>
      </w:r>
      <w:r w:rsidRPr="00EA05ED" w:rsidR="00824D5D">
        <w:rPr>
          <w:sz w:val="24"/>
        </w:rPr>
        <w:t>10</w:t>
      </w:r>
      <w:r w:rsidR="00824D5D">
        <w:rPr>
          <w:sz w:val="24"/>
        </w:rPr>
        <w:t xml:space="preserve"> </w:t>
      </w:r>
      <w:r w:rsidR="0035663C">
        <w:rPr>
          <w:sz w:val="24"/>
        </w:rPr>
        <w:t>sponsors</w:t>
      </w:r>
      <w:r w:rsidR="00824D5D">
        <w:rPr>
          <w:sz w:val="24"/>
        </w:rPr>
        <w:t xml:space="preserve"> will submit such a request</w:t>
      </w:r>
      <w:r w:rsidR="001117B8">
        <w:rPr>
          <w:sz w:val="24"/>
        </w:rPr>
        <w:t xml:space="preserve"> </w:t>
      </w:r>
      <w:r w:rsidR="00677C3A">
        <w:rPr>
          <w:sz w:val="24"/>
        </w:rPr>
        <w:t>each</w:t>
      </w:r>
      <w:r w:rsidR="001117B8">
        <w:rPr>
          <w:sz w:val="24"/>
        </w:rPr>
        <w:t xml:space="preserve"> year</w:t>
      </w:r>
      <w:r w:rsidR="00824D5D">
        <w:rPr>
          <w:sz w:val="24"/>
        </w:rPr>
        <w:t>.</w:t>
      </w:r>
      <w:r w:rsidRPr="00D17BE4">
        <w:rPr>
          <w:sz w:val="24"/>
        </w:rPr>
        <w:t xml:space="preserve">  </w:t>
      </w:r>
      <w:r w:rsidR="0055368A">
        <w:rPr>
          <w:sz w:val="24"/>
        </w:rPr>
        <w:t>Median</w:t>
      </w:r>
      <w:r w:rsidRPr="00D17BE4" w:rsidR="0055368A">
        <w:rPr>
          <w:sz w:val="24"/>
        </w:rPr>
        <w:t xml:space="preserve"> </w:t>
      </w:r>
      <w:r w:rsidRPr="00D17BE4">
        <w:rPr>
          <w:sz w:val="24"/>
        </w:rPr>
        <w:t>labor costs (</w:t>
      </w:r>
      <w:r w:rsidRPr="00CF7FB6" w:rsidR="00CF7FB6">
        <w:rPr>
          <w:sz w:val="24"/>
        </w:rPr>
        <w:t>doubled</w:t>
      </w:r>
      <w:r w:rsidRPr="00CF7FB6" w:rsidR="00CF7FB6">
        <w:rPr>
          <w:sz w:val="24"/>
        </w:rPr>
        <w:t xml:space="preserve"> to include fringe benefits and other associated costs</w:t>
      </w:r>
      <w:r w:rsidRPr="00D17BE4">
        <w:rPr>
          <w:sz w:val="24"/>
        </w:rPr>
        <w:t xml:space="preserve">) </w:t>
      </w:r>
      <w:r>
        <w:rPr>
          <w:sz w:val="24"/>
        </w:rPr>
        <w:t>are calculated using</w:t>
      </w:r>
      <w:r w:rsidRPr="00D17BE4">
        <w:rPr>
          <w:sz w:val="24"/>
        </w:rPr>
        <w:t xml:space="preserve"> data </w:t>
      </w:r>
      <w:r>
        <w:rPr>
          <w:sz w:val="24"/>
        </w:rPr>
        <w:t xml:space="preserve">available </w:t>
      </w:r>
      <w:r w:rsidRPr="00D17BE4">
        <w:rPr>
          <w:sz w:val="24"/>
        </w:rPr>
        <w:t xml:space="preserve">from the </w:t>
      </w:r>
      <w:r w:rsidRPr="00D17BE4">
        <w:rPr>
          <w:sz w:val="24"/>
        </w:rPr>
        <w:t>Bureau of Labor Statistics.</w:t>
      </w:r>
      <w:r>
        <w:rPr>
          <w:rStyle w:val="FootnoteReference"/>
          <w:sz w:val="24"/>
          <w:vertAlign w:val="superscript"/>
        </w:rPr>
        <w:footnoteReference w:id="4"/>
      </w:r>
      <w:r>
        <w:rPr>
          <w:sz w:val="24"/>
        </w:rPr>
        <w:t xml:space="preserve">  </w:t>
      </w:r>
    </w:p>
    <w:p w:rsidR="00CF7FB6" w:rsidRPr="000D2DE0" w:rsidP="00CF7FB6" w14:paraId="6F5E047E" w14:textId="49592B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iCs/>
          <w:sz w:val="24"/>
          <w:u w:val="single"/>
          <w:lang w:val="x-none"/>
        </w:rPr>
      </w:pPr>
      <w:r>
        <w:rPr>
          <w:bCs/>
          <w:iCs/>
          <w:sz w:val="24"/>
          <w:u w:val="single"/>
          <w:lang w:val="x-none"/>
        </w:rPr>
        <w:t xml:space="preserve">Table 12.1 </w:t>
      </w:r>
      <w:r w:rsidRPr="000D2DE0">
        <w:rPr>
          <w:bCs/>
          <w:iCs/>
          <w:sz w:val="24"/>
          <w:u w:val="single"/>
          <w:lang w:val="x-none"/>
        </w:rPr>
        <w:t>Adjusted Hourly Wages Used in Burden Estimates</w:t>
      </w:r>
    </w:p>
    <w:p w:rsidR="00CF7FB6" w:rsidRPr="000D2DE0" w:rsidP="00CF7FB6" w14:paraId="04DF38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iCs/>
          <w:sz w:val="24"/>
          <w:lang w:val="x-none"/>
        </w:rPr>
      </w:pPr>
    </w:p>
    <w:tbl>
      <w:tblPr>
        <w:tblCaption w:val="Table 12.1 Adjusted Hourly Wages Used in Burden Estimates"/>
        <w:tblDescription w:val="Table showing BLS Occupation Title and code, Median hourly wage, cost of benefits, and the final adjusted hourly wage. "/>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702"/>
        <w:gridCol w:w="1702"/>
        <w:gridCol w:w="1285"/>
        <w:gridCol w:w="1369"/>
        <w:gridCol w:w="1292"/>
      </w:tblGrid>
      <w:tr w14:paraId="6E6F1296" w14:textId="77777777" w:rsidTr="00CF7FB6">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blHeader/>
          <w:jc w:val="center"/>
        </w:trPr>
        <w:tc>
          <w:tcPr>
            <w:tcW w:w="3702" w:type="dxa"/>
            <w:vAlign w:val="center"/>
          </w:tcPr>
          <w:p w:rsidR="00CF7FB6" w:rsidRPr="000D2DE0" w:rsidP="008F744B" w14:paraId="027CFC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0D2DE0">
              <w:rPr>
                <w:sz w:val="24"/>
              </w:rPr>
              <w:t>Occupation Title</w:t>
            </w:r>
          </w:p>
        </w:tc>
        <w:tc>
          <w:tcPr>
            <w:tcW w:w="1702" w:type="dxa"/>
            <w:vAlign w:val="center"/>
          </w:tcPr>
          <w:p w:rsidR="00CF7FB6" w:rsidRPr="000D2DE0" w:rsidP="008F744B" w14:paraId="100229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0D2DE0">
              <w:rPr>
                <w:sz w:val="24"/>
              </w:rPr>
              <w:t>Occupational Code</w:t>
            </w:r>
          </w:p>
        </w:tc>
        <w:tc>
          <w:tcPr>
            <w:tcW w:w="1285" w:type="dxa"/>
            <w:vAlign w:val="center"/>
          </w:tcPr>
          <w:p w:rsidR="00CF7FB6" w:rsidRPr="000D2DE0" w:rsidP="008F744B" w14:paraId="3DF7ACC5" w14:textId="12327F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0D2DE0">
              <w:rPr>
                <w:sz w:val="24"/>
              </w:rPr>
              <w:t>Me</w:t>
            </w:r>
            <w:r w:rsidR="002E48B8">
              <w:rPr>
                <w:sz w:val="24"/>
              </w:rPr>
              <w:t>dian</w:t>
            </w:r>
            <w:r w:rsidRPr="000D2DE0">
              <w:rPr>
                <w:sz w:val="24"/>
              </w:rPr>
              <w:t xml:space="preserve"> Hourly Wage ($/hour)</w:t>
            </w:r>
          </w:p>
        </w:tc>
        <w:tc>
          <w:tcPr>
            <w:tcW w:w="1369" w:type="dxa"/>
            <w:vAlign w:val="center"/>
          </w:tcPr>
          <w:p w:rsidR="00CF7FB6" w:rsidRPr="000D2DE0" w:rsidP="008F744B" w14:paraId="61ABCFB7" w14:textId="7C3F52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0D2DE0">
              <w:rPr>
                <w:sz w:val="24"/>
              </w:rPr>
              <w:t xml:space="preserve">Fringe Benefits and </w:t>
            </w:r>
            <w:r w:rsidR="0097554F">
              <w:rPr>
                <w:sz w:val="24"/>
              </w:rPr>
              <w:t>Other Indirect Costs</w:t>
            </w:r>
            <w:r w:rsidRPr="000D2DE0">
              <w:rPr>
                <w:sz w:val="24"/>
              </w:rPr>
              <w:t xml:space="preserve"> ($/hour)</w:t>
            </w:r>
          </w:p>
        </w:tc>
        <w:tc>
          <w:tcPr>
            <w:tcW w:w="1292" w:type="dxa"/>
            <w:vAlign w:val="center"/>
          </w:tcPr>
          <w:p w:rsidR="00CF7FB6" w:rsidRPr="000D2DE0" w:rsidP="008F744B" w14:paraId="174C8A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0D2DE0">
              <w:rPr>
                <w:sz w:val="24"/>
              </w:rPr>
              <w:t>Adjusted Hourly Wage ($/hour)</w:t>
            </w:r>
          </w:p>
        </w:tc>
      </w:tr>
      <w:tr w14:paraId="3AFCEBD2" w14:textId="77777777" w:rsidTr="00230632">
        <w:tblPrEx>
          <w:tblW w:w="0" w:type="auto"/>
          <w:jc w:val="center"/>
          <w:tblCellMar>
            <w:left w:w="0" w:type="dxa"/>
            <w:right w:w="0" w:type="dxa"/>
          </w:tblCellMar>
          <w:tblLook w:val="01E0"/>
        </w:tblPrEx>
        <w:trPr>
          <w:tblHeader/>
          <w:jc w:val="center"/>
        </w:trPr>
        <w:tc>
          <w:tcPr>
            <w:tcW w:w="3702" w:type="dxa"/>
            <w:vAlign w:val="center"/>
          </w:tcPr>
          <w:p w:rsidR="00CF7FB6" w:rsidRPr="000D2DE0" w:rsidP="00CF7FB6" w14:paraId="5D1F9E1B" w14:textId="6F5F63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F7FB6">
              <w:rPr>
                <w:sz w:val="24"/>
              </w:rPr>
              <w:t>Secretaries and Administrative Assistants, Except Legal, Medical, and Executive</w:t>
            </w:r>
          </w:p>
        </w:tc>
        <w:tc>
          <w:tcPr>
            <w:tcW w:w="1702" w:type="dxa"/>
            <w:tcBorders>
              <w:top w:val="single" w:sz="4" w:space="0" w:color="auto"/>
              <w:left w:val="nil"/>
              <w:bottom w:val="single" w:sz="4" w:space="0" w:color="auto"/>
              <w:right w:val="single" w:sz="4" w:space="0" w:color="auto"/>
            </w:tcBorders>
            <w:shd w:val="clear" w:color="auto" w:fill="auto"/>
            <w:vAlign w:val="bottom"/>
          </w:tcPr>
          <w:p w:rsidR="00CF7FB6" w:rsidRPr="000D2DE0" w:rsidP="00CF7FB6" w14:paraId="21014F65" w14:textId="39C088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0D2DE0">
              <w:rPr>
                <w:sz w:val="24"/>
              </w:rPr>
              <w:t>43-6014</w:t>
            </w:r>
          </w:p>
        </w:tc>
        <w:tc>
          <w:tcPr>
            <w:tcW w:w="1285" w:type="dxa"/>
            <w:tcBorders>
              <w:top w:val="single" w:sz="4" w:space="0" w:color="auto"/>
              <w:left w:val="nil"/>
              <w:bottom w:val="single" w:sz="4" w:space="0" w:color="auto"/>
              <w:right w:val="single" w:sz="4" w:space="0" w:color="auto"/>
            </w:tcBorders>
            <w:shd w:val="clear" w:color="auto" w:fill="auto"/>
            <w:vAlign w:val="bottom"/>
          </w:tcPr>
          <w:p w:rsidR="00CF7FB6" w:rsidRPr="000D2DE0" w:rsidP="00CF7FB6" w14:paraId="4A4FAA83" w14:textId="6F71AF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0D2DE0">
              <w:rPr>
                <w:sz w:val="24"/>
              </w:rPr>
              <w:t>$</w:t>
            </w:r>
            <w:r w:rsidR="001A7237">
              <w:rPr>
                <w:sz w:val="24"/>
              </w:rPr>
              <w:t>22.26</w:t>
            </w:r>
          </w:p>
        </w:tc>
        <w:tc>
          <w:tcPr>
            <w:tcW w:w="1369" w:type="dxa"/>
            <w:tcBorders>
              <w:top w:val="single" w:sz="4" w:space="0" w:color="auto"/>
              <w:left w:val="nil"/>
              <w:bottom w:val="single" w:sz="4" w:space="0" w:color="auto"/>
              <w:right w:val="single" w:sz="4" w:space="0" w:color="auto"/>
            </w:tcBorders>
            <w:shd w:val="clear" w:color="auto" w:fill="auto"/>
            <w:vAlign w:val="bottom"/>
          </w:tcPr>
          <w:p w:rsidR="00CF7FB6" w:rsidRPr="000D2DE0" w:rsidP="00CF7FB6" w14:paraId="6D4D2EBE" w14:textId="7241B7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0D2DE0">
              <w:rPr>
                <w:sz w:val="24"/>
              </w:rPr>
              <w:t>$</w:t>
            </w:r>
            <w:r w:rsidR="00F81C39">
              <w:rPr>
                <w:sz w:val="24"/>
              </w:rPr>
              <w:t>22.26</w:t>
            </w:r>
          </w:p>
        </w:tc>
        <w:tc>
          <w:tcPr>
            <w:tcW w:w="1292" w:type="dxa"/>
            <w:tcBorders>
              <w:top w:val="single" w:sz="4" w:space="0" w:color="auto"/>
              <w:left w:val="nil"/>
              <w:bottom w:val="single" w:sz="4" w:space="0" w:color="auto"/>
              <w:right w:val="single" w:sz="4" w:space="0" w:color="auto"/>
            </w:tcBorders>
            <w:shd w:val="clear" w:color="auto" w:fill="auto"/>
            <w:vAlign w:val="bottom"/>
          </w:tcPr>
          <w:p w:rsidR="00CF7FB6" w:rsidRPr="000D2DE0" w:rsidP="00CF7FB6" w14:paraId="45070FFB" w14:textId="434698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0D2DE0">
              <w:rPr>
                <w:sz w:val="24"/>
              </w:rPr>
              <w:t>$</w:t>
            </w:r>
            <w:r w:rsidR="00201153">
              <w:rPr>
                <w:sz w:val="24"/>
              </w:rPr>
              <w:t>44.52</w:t>
            </w:r>
          </w:p>
        </w:tc>
      </w:tr>
      <w:tr w14:paraId="6C036C34" w14:textId="77777777" w:rsidTr="00CF7FB6">
        <w:tblPrEx>
          <w:tblW w:w="0" w:type="auto"/>
          <w:jc w:val="center"/>
          <w:tblCellMar>
            <w:left w:w="0" w:type="dxa"/>
            <w:right w:w="0" w:type="dxa"/>
          </w:tblCellMar>
          <w:tblLook w:val="01E0"/>
        </w:tblPrEx>
        <w:trPr>
          <w:tblHeader/>
          <w:jc w:val="center"/>
        </w:trPr>
        <w:tc>
          <w:tcPr>
            <w:tcW w:w="3702" w:type="dxa"/>
            <w:vAlign w:val="center"/>
          </w:tcPr>
          <w:p w:rsidR="00CF7FB6" w:rsidRPr="000D2DE0" w:rsidP="00CF7FB6" w14:paraId="0AB9D8EE" w14:textId="7DE264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F7FB6">
              <w:rPr>
                <w:sz w:val="24"/>
              </w:rPr>
              <w:t>Human Resources Manager</w:t>
            </w:r>
          </w:p>
        </w:tc>
        <w:tc>
          <w:tcPr>
            <w:tcW w:w="1702" w:type="dxa"/>
            <w:vAlign w:val="center"/>
          </w:tcPr>
          <w:p w:rsidR="00CF7FB6" w:rsidRPr="000D2DE0" w:rsidP="00CF7FB6" w14:paraId="16C3E959" w14:textId="6FCF01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11-3121</w:t>
            </w:r>
          </w:p>
        </w:tc>
        <w:tc>
          <w:tcPr>
            <w:tcW w:w="1285" w:type="dxa"/>
            <w:vAlign w:val="center"/>
          </w:tcPr>
          <w:p w:rsidR="00CF7FB6" w:rsidRPr="000D2DE0" w:rsidP="00CF7FB6" w14:paraId="74DBA85C" w14:textId="108FBC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w:t>
            </w:r>
            <w:r w:rsidR="000A3F19">
              <w:rPr>
                <w:sz w:val="24"/>
              </w:rPr>
              <w:t>6</w:t>
            </w:r>
            <w:r w:rsidR="001A7237">
              <w:rPr>
                <w:sz w:val="24"/>
              </w:rPr>
              <w:t>7.32</w:t>
            </w:r>
          </w:p>
        </w:tc>
        <w:tc>
          <w:tcPr>
            <w:tcW w:w="1369" w:type="dxa"/>
            <w:vAlign w:val="center"/>
          </w:tcPr>
          <w:p w:rsidR="00CF7FB6" w:rsidRPr="000D2DE0" w:rsidP="00CF7FB6" w14:paraId="29D6D7FF" w14:textId="3495D8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w:t>
            </w:r>
            <w:r w:rsidR="000A3F19">
              <w:rPr>
                <w:sz w:val="24"/>
              </w:rPr>
              <w:t>6</w:t>
            </w:r>
            <w:r w:rsidR="00F81C39">
              <w:rPr>
                <w:sz w:val="24"/>
              </w:rPr>
              <w:t>7.32</w:t>
            </w:r>
          </w:p>
        </w:tc>
        <w:tc>
          <w:tcPr>
            <w:tcW w:w="1292" w:type="dxa"/>
            <w:vAlign w:val="center"/>
          </w:tcPr>
          <w:p w:rsidR="00CF7FB6" w:rsidRPr="000D2DE0" w:rsidP="00CF7FB6" w14:paraId="32290DCE" w14:textId="3C5EB2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w:t>
            </w:r>
            <w:r w:rsidR="00887CA3">
              <w:rPr>
                <w:sz w:val="24"/>
              </w:rPr>
              <w:t>1</w:t>
            </w:r>
            <w:r w:rsidR="00155678">
              <w:rPr>
                <w:sz w:val="24"/>
              </w:rPr>
              <w:t>34</w:t>
            </w:r>
            <w:r w:rsidR="00201153">
              <w:rPr>
                <w:sz w:val="24"/>
              </w:rPr>
              <w:t>.64</w:t>
            </w:r>
          </w:p>
        </w:tc>
      </w:tr>
      <w:tr w14:paraId="7EE07144" w14:textId="77777777" w:rsidTr="00CF7FB6">
        <w:tblPrEx>
          <w:tblW w:w="0" w:type="auto"/>
          <w:jc w:val="center"/>
          <w:tblCellMar>
            <w:left w:w="0" w:type="dxa"/>
            <w:right w:w="0" w:type="dxa"/>
          </w:tblCellMar>
          <w:tblLook w:val="01E0"/>
        </w:tblPrEx>
        <w:trPr>
          <w:tblHeader/>
          <w:jc w:val="center"/>
        </w:trPr>
        <w:tc>
          <w:tcPr>
            <w:tcW w:w="3702" w:type="dxa"/>
            <w:vAlign w:val="center"/>
          </w:tcPr>
          <w:p w:rsidR="00CF7FB6" w:rsidRPr="000D2DE0" w:rsidP="00CF7FB6" w14:paraId="0C1F79E0" w14:textId="713345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Lawyer</w:t>
            </w:r>
          </w:p>
        </w:tc>
        <w:tc>
          <w:tcPr>
            <w:tcW w:w="1702" w:type="dxa"/>
            <w:vAlign w:val="center"/>
          </w:tcPr>
          <w:p w:rsidR="00CF7FB6" w:rsidRPr="000D2DE0" w:rsidP="00CF7FB6" w14:paraId="2E9349D0" w14:textId="30B1A6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23-1011</w:t>
            </w:r>
          </w:p>
        </w:tc>
        <w:tc>
          <w:tcPr>
            <w:tcW w:w="1285" w:type="dxa"/>
            <w:vAlign w:val="center"/>
          </w:tcPr>
          <w:p w:rsidR="00CF7FB6" w:rsidRPr="000D2DE0" w:rsidP="00CF7FB6" w14:paraId="63837652" w14:textId="015FB7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w:t>
            </w:r>
            <w:r w:rsidR="000A3F19">
              <w:rPr>
                <w:sz w:val="24"/>
              </w:rPr>
              <w:t>7</w:t>
            </w:r>
            <w:r w:rsidR="001A7237">
              <w:rPr>
                <w:sz w:val="24"/>
              </w:rPr>
              <w:t>2.67</w:t>
            </w:r>
          </w:p>
        </w:tc>
        <w:tc>
          <w:tcPr>
            <w:tcW w:w="1369" w:type="dxa"/>
            <w:vAlign w:val="center"/>
          </w:tcPr>
          <w:p w:rsidR="00CF7FB6" w:rsidRPr="000D2DE0" w:rsidP="00CF7FB6" w14:paraId="455F05C0" w14:textId="6DBAB7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w:t>
            </w:r>
            <w:r w:rsidR="000A3F19">
              <w:rPr>
                <w:sz w:val="24"/>
              </w:rPr>
              <w:t>7</w:t>
            </w:r>
            <w:r w:rsidR="00F81C39">
              <w:rPr>
                <w:sz w:val="24"/>
              </w:rPr>
              <w:t>2.67</w:t>
            </w:r>
          </w:p>
        </w:tc>
        <w:tc>
          <w:tcPr>
            <w:tcW w:w="1292" w:type="dxa"/>
            <w:vAlign w:val="center"/>
          </w:tcPr>
          <w:p w:rsidR="00CF7FB6" w:rsidRPr="000D2DE0" w:rsidP="00CF7FB6" w14:paraId="696C680C" w14:textId="3070CE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$1</w:t>
            </w:r>
            <w:r w:rsidR="00887CA3">
              <w:rPr>
                <w:sz w:val="24"/>
              </w:rPr>
              <w:t>4</w:t>
            </w:r>
            <w:r w:rsidR="00201153">
              <w:rPr>
                <w:sz w:val="24"/>
              </w:rPr>
              <w:t>5.3</w:t>
            </w:r>
            <w:r w:rsidR="00AB55B8">
              <w:rPr>
                <w:sz w:val="24"/>
              </w:rPr>
              <w:t>4</w:t>
            </w:r>
          </w:p>
        </w:tc>
      </w:tr>
      <w:tr w14:paraId="62CB785E" w14:textId="77777777" w:rsidTr="00CF7FB6">
        <w:tblPrEx>
          <w:tblW w:w="0" w:type="auto"/>
          <w:jc w:val="center"/>
          <w:tblCellMar>
            <w:left w:w="0" w:type="dxa"/>
            <w:right w:w="0" w:type="dxa"/>
          </w:tblCellMar>
          <w:tblLook w:val="01E0"/>
        </w:tblPrEx>
        <w:trPr>
          <w:jc w:val="center"/>
        </w:trPr>
        <w:tc>
          <w:tcPr>
            <w:tcW w:w="3702" w:type="dxa"/>
            <w:tcBorders>
              <w:top w:val="single" w:sz="4" w:space="0" w:color="auto"/>
              <w:left w:val="single" w:sz="4" w:space="0" w:color="auto"/>
              <w:bottom w:val="single" w:sz="4" w:space="0" w:color="auto"/>
              <w:right w:val="single" w:sz="4" w:space="0" w:color="auto"/>
            </w:tcBorders>
            <w:shd w:val="clear" w:color="auto" w:fill="auto"/>
            <w:vAlign w:val="bottom"/>
          </w:tcPr>
          <w:p w:rsidR="00CF7FB6" w:rsidRPr="000D2DE0" w:rsidP="00230632" w14:paraId="3628E500" w14:textId="215342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F7FB6">
              <w:rPr>
                <w:sz w:val="24"/>
              </w:rPr>
              <w:t>Chief Executives</w:t>
            </w:r>
          </w:p>
        </w:tc>
        <w:tc>
          <w:tcPr>
            <w:tcW w:w="1702" w:type="dxa"/>
            <w:tcBorders>
              <w:top w:val="single" w:sz="4" w:space="0" w:color="auto"/>
              <w:left w:val="nil"/>
              <w:bottom w:val="single" w:sz="4" w:space="0" w:color="auto"/>
              <w:right w:val="single" w:sz="4" w:space="0" w:color="auto"/>
            </w:tcBorders>
            <w:shd w:val="clear" w:color="auto" w:fill="auto"/>
            <w:vAlign w:val="bottom"/>
          </w:tcPr>
          <w:p w:rsidR="00CF7FB6" w:rsidRPr="000D2DE0" w:rsidP="00CF7FB6" w14:paraId="59E6090A" w14:textId="687B98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11-1011</w:t>
            </w:r>
          </w:p>
        </w:tc>
        <w:tc>
          <w:tcPr>
            <w:tcW w:w="1285" w:type="dxa"/>
            <w:tcBorders>
              <w:top w:val="single" w:sz="4" w:space="0" w:color="auto"/>
              <w:left w:val="nil"/>
              <w:bottom w:val="single" w:sz="4" w:space="0" w:color="auto"/>
              <w:right w:val="single" w:sz="4" w:space="0" w:color="auto"/>
            </w:tcBorders>
            <w:shd w:val="clear" w:color="auto" w:fill="auto"/>
            <w:vAlign w:val="bottom"/>
          </w:tcPr>
          <w:p w:rsidR="00CF7FB6" w:rsidRPr="000D2DE0" w:rsidP="00CF7FB6" w14:paraId="68F5AEE1" w14:textId="7ADE68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$9</w:t>
            </w:r>
            <w:r w:rsidR="001A7237">
              <w:rPr>
                <w:sz w:val="24"/>
              </w:rPr>
              <w:t>9.24</w:t>
            </w:r>
          </w:p>
        </w:tc>
        <w:tc>
          <w:tcPr>
            <w:tcW w:w="1369" w:type="dxa"/>
            <w:tcBorders>
              <w:top w:val="single" w:sz="4" w:space="0" w:color="auto"/>
              <w:left w:val="nil"/>
              <w:bottom w:val="single" w:sz="4" w:space="0" w:color="auto"/>
              <w:right w:val="single" w:sz="4" w:space="0" w:color="auto"/>
            </w:tcBorders>
            <w:shd w:val="clear" w:color="auto" w:fill="auto"/>
            <w:vAlign w:val="bottom"/>
          </w:tcPr>
          <w:p w:rsidR="00CF7FB6" w:rsidRPr="000D2DE0" w:rsidP="00CF7FB6" w14:paraId="3442DD4F" w14:textId="51B1E6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$9</w:t>
            </w:r>
            <w:r w:rsidR="00F81C39">
              <w:rPr>
                <w:sz w:val="24"/>
              </w:rPr>
              <w:t>9.24</w:t>
            </w:r>
          </w:p>
        </w:tc>
        <w:tc>
          <w:tcPr>
            <w:tcW w:w="1292" w:type="dxa"/>
            <w:tcBorders>
              <w:top w:val="single" w:sz="4" w:space="0" w:color="auto"/>
              <w:left w:val="nil"/>
              <w:bottom w:val="single" w:sz="4" w:space="0" w:color="auto"/>
              <w:right w:val="single" w:sz="4" w:space="0" w:color="auto"/>
            </w:tcBorders>
            <w:shd w:val="clear" w:color="auto" w:fill="auto"/>
            <w:vAlign w:val="bottom"/>
          </w:tcPr>
          <w:p w:rsidR="00CF7FB6" w:rsidRPr="000D2DE0" w:rsidP="00CF7FB6" w14:paraId="0430E4F0" w14:textId="00105B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$1</w:t>
            </w:r>
            <w:r w:rsidR="00887CA3">
              <w:rPr>
                <w:sz w:val="24"/>
              </w:rPr>
              <w:t>9</w:t>
            </w:r>
            <w:r w:rsidR="00201153">
              <w:rPr>
                <w:sz w:val="24"/>
              </w:rPr>
              <w:t>8.48</w:t>
            </w:r>
          </w:p>
        </w:tc>
      </w:tr>
    </w:tbl>
    <w:p w:rsidR="00CF7FB6" w:rsidP="008459FF" w14:paraId="770167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p>
    <w:p w:rsidR="002376D6" w:rsidP="008459FF" w14:paraId="58D09E3B" w14:textId="4359E1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bCs/>
          <w:sz w:val="24"/>
        </w:rPr>
      </w:pPr>
      <w:r w:rsidRPr="00D17BE4">
        <w:rPr>
          <w:sz w:val="24"/>
        </w:rPr>
        <w:t xml:space="preserve">The burden associated with this certification includes the time needed to collect and </w:t>
      </w:r>
      <w:r w:rsidR="000C3079">
        <w:rPr>
          <w:sz w:val="24"/>
        </w:rPr>
        <w:t>submit</w:t>
      </w:r>
      <w:r w:rsidRPr="00D17BE4" w:rsidR="000C3079">
        <w:rPr>
          <w:sz w:val="24"/>
        </w:rPr>
        <w:t xml:space="preserve"> </w:t>
      </w:r>
      <w:r w:rsidRPr="00D17BE4">
        <w:rPr>
          <w:sz w:val="24"/>
        </w:rPr>
        <w:t>the necessary plan information</w:t>
      </w:r>
      <w:r w:rsidR="00A278A8">
        <w:rPr>
          <w:sz w:val="24"/>
        </w:rPr>
        <w:t xml:space="preserve"> and to retain a copy for recordkeeping</w:t>
      </w:r>
      <w:r w:rsidRPr="00D17BE4">
        <w:rPr>
          <w:sz w:val="24"/>
        </w:rPr>
        <w:t xml:space="preserve"> by clerical staff and for a manager and legal counsel to review it and for a senior executive to review and sign it.  The certification </w:t>
      </w:r>
      <w:r w:rsidR="000E1741">
        <w:rPr>
          <w:sz w:val="24"/>
        </w:rPr>
        <w:t>and attachments</w:t>
      </w:r>
      <w:r w:rsidR="00CE0570">
        <w:rPr>
          <w:sz w:val="24"/>
        </w:rPr>
        <w:t xml:space="preserve"> </w:t>
      </w:r>
      <w:r w:rsidR="001117B8">
        <w:rPr>
          <w:sz w:val="24"/>
        </w:rPr>
        <w:t>will</w:t>
      </w:r>
      <w:r w:rsidRPr="00D17BE4" w:rsidR="001117B8">
        <w:rPr>
          <w:sz w:val="24"/>
        </w:rPr>
        <w:t xml:space="preserve"> </w:t>
      </w:r>
      <w:r w:rsidRPr="00D17BE4">
        <w:rPr>
          <w:sz w:val="24"/>
        </w:rPr>
        <w:t xml:space="preserve">be submitted to CMS electronically at minimal cost.  We estimate that it </w:t>
      </w:r>
      <w:r w:rsidR="001117B8">
        <w:rPr>
          <w:sz w:val="24"/>
        </w:rPr>
        <w:t>will</w:t>
      </w:r>
      <w:r w:rsidRPr="00D17BE4" w:rsidR="001117B8">
        <w:rPr>
          <w:sz w:val="24"/>
        </w:rPr>
        <w:t xml:space="preserve"> </w:t>
      </w:r>
      <w:r w:rsidRPr="00D17BE4">
        <w:rPr>
          <w:sz w:val="24"/>
        </w:rPr>
        <w:t xml:space="preserve">take a combined total of </w:t>
      </w:r>
      <w:r w:rsidRPr="00087417" w:rsidR="00CE0570">
        <w:rPr>
          <w:sz w:val="24"/>
        </w:rPr>
        <w:t>5</w:t>
      </w:r>
      <w:r w:rsidRPr="00087417">
        <w:rPr>
          <w:sz w:val="24"/>
        </w:rPr>
        <w:t>.25 hours (</w:t>
      </w:r>
      <w:r w:rsidRPr="00087417" w:rsidR="00CE0570">
        <w:rPr>
          <w:sz w:val="24"/>
        </w:rPr>
        <w:t xml:space="preserve">4 </w:t>
      </w:r>
      <w:r w:rsidRPr="00087417">
        <w:rPr>
          <w:sz w:val="24"/>
        </w:rPr>
        <w:t xml:space="preserve">hours for clerical staff at an hourly cost of </w:t>
      </w:r>
      <w:r w:rsidRPr="00087417" w:rsidR="00D75C6E">
        <w:rPr>
          <w:sz w:val="24"/>
        </w:rPr>
        <w:t>$</w:t>
      </w:r>
      <w:r w:rsidR="00AB55B8">
        <w:rPr>
          <w:sz w:val="24"/>
        </w:rPr>
        <w:t>44.52</w:t>
      </w:r>
      <w:r w:rsidRPr="00087417">
        <w:rPr>
          <w:sz w:val="24"/>
        </w:rPr>
        <w:t>, 0.5 hour</w:t>
      </w:r>
      <w:r w:rsidRPr="00087417" w:rsidR="00D75C6E">
        <w:rPr>
          <w:sz w:val="24"/>
        </w:rPr>
        <w:t>s</w:t>
      </w:r>
      <w:r w:rsidRPr="00087417">
        <w:rPr>
          <w:sz w:val="24"/>
        </w:rPr>
        <w:t xml:space="preserve"> for a </w:t>
      </w:r>
      <w:r w:rsidRPr="00087417" w:rsidR="00AC6138">
        <w:rPr>
          <w:sz w:val="24"/>
        </w:rPr>
        <w:t xml:space="preserve">human resource </w:t>
      </w:r>
      <w:r w:rsidRPr="00087417">
        <w:rPr>
          <w:sz w:val="24"/>
        </w:rPr>
        <w:t>manager at an hourly cost of $</w:t>
      </w:r>
      <w:r w:rsidRPr="00087417" w:rsidR="00C63882">
        <w:rPr>
          <w:sz w:val="24"/>
        </w:rPr>
        <w:t>1</w:t>
      </w:r>
      <w:r w:rsidR="00ED1E54">
        <w:rPr>
          <w:sz w:val="24"/>
        </w:rPr>
        <w:t>34.</w:t>
      </w:r>
      <w:r w:rsidR="00AB55B8">
        <w:rPr>
          <w:sz w:val="24"/>
        </w:rPr>
        <w:t>64</w:t>
      </w:r>
      <w:r w:rsidRPr="00087417">
        <w:rPr>
          <w:sz w:val="24"/>
        </w:rPr>
        <w:t>, 0.5 hours for legal counsel at an hourly cost of $</w:t>
      </w:r>
      <w:r w:rsidRPr="00087417" w:rsidR="00C63882">
        <w:rPr>
          <w:sz w:val="24"/>
        </w:rPr>
        <w:t>1</w:t>
      </w:r>
      <w:r w:rsidR="00A24876">
        <w:rPr>
          <w:sz w:val="24"/>
        </w:rPr>
        <w:t>4</w:t>
      </w:r>
      <w:r w:rsidR="00AB55B8">
        <w:rPr>
          <w:sz w:val="24"/>
        </w:rPr>
        <w:t>5.34</w:t>
      </w:r>
      <w:r w:rsidRPr="00087417">
        <w:rPr>
          <w:sz w:val="24"/>
        </w:rPr>
        <w:t xml:space="preserve"> and 0.25 hours for a senior executive at an hourly cost of $</w:t>
      </w:r>
      <w:r w:rsidRPr="00087417" w:rsidR="00C63882">
        <w:rPr>
          <w:sz w:val="24"/>
        </w:rPr>
        <w:t>1</w:t>
      </w:r>
      <w:r w:rsidR="00A24876">
        <w:rPr>
          <w:sz w:val="24"/>
        </w:rPr>
        <w:t>9</w:t>
      </w:r>
      <w:r w:rsidR="00F43A3D">
        <w:rPr>
          <w:sz w:val="24"/>
        </w:rPr>
        <w:t>8.48</w:t>
      </w:r>
      <w:r w:rsidRPr="00087417">
        <w:rPr>
          <w:sz w:val="24"/>
        </w:rPr>
        <w:t>) to prepare and submit the information and certification to CMS</w:t>
      </w:r>
      <w:r w:rsidRPr="00087417" w:rsidR="001434DC">
        <w:rPr>
          <w:sz w:val="24"/>
        </w:rPr>
        <w:t xml:space="preserve"> and to retain a copy for recordkeeping purposes</w:t>
      </w:r>
      <w:r w:rsidRPr="00087417">
        <w:rPr>
          <w:sz w:val="24"/>
        </w:rPr>
        <w:t xml:space="preserve">.  The total cost for one </w:t>
      </w:r>
      <w:r w:rsidRPr="00087417" w:rsidR="00C5122B">
        <w:rPr>
          <w:sz w:val="24"/>
        </w:rPr>
        <w:t>sponsor</w:t>
      </w:r>
      <w:r w:rsidRPr="00087417">
        <w:rPr>
          <w:sz w:val="24"/>
        </w:rPr>
        <w:t xml:space="preserve"> is estimated to be approximately $</w:t>
      </w:r>
      <w:r w:rsidRPr="00087417" w:rsidR="00087417">
        <w:rPr>
          <w:sz w:val="24"/>
        </w:rPr>
        <w:t>3</w:t>
      </w:r>
      <w:r w:rsidR="00F43A3D">
        <w:rPr>
          <w:sz w:val="24"/>
        </w:rPr>
        <w:t>6</w:t>
      </w:r>
      <w:r w:rsidR="001C6F0D">
        <w:rPr>
          <w:sz w:val="24"/>
        </w:rPr>
        <w:t>8</w:t>
      </w:r>
      <w:r w:rsidRPr="00087417">
        <w:rPr>
          <w:sz w:val="24"/>
        </w:rPr>
        <w:t>.</w:t>
      </w:r>
      <w:r w:rsidR="004D31CB">
        <w:rPr>
          <w:sz w:val="24"/>
        </w:rPr>
        <w:t xml:space="preserve"> The </w:t>
      </w:r>
      <w:r w:rsidR="00C5122B">
        <w:rPr>
          <w:sz w:val="24"/>
        </w:rPr>
        <w:t>sponsor</w:t>
      </w:r>
      <w:r w:rsidR="004D31CB">
        <w:rPr>
          <w:sz w:val="24"/>
        </w:rPr>
        <w:t xml:space="preserve"> </w:t>
      </w:r>
      <w:r w:rsidR="0071160E">
        <w:rPr>
          <w:sz w:val="24"/>
        </w:rPr>
        <w:t xml:space="preserve">will </w:t>
      </w:r>
      <w:r w:rsidR="004D31CB">
        <w:rPr>
          <w:sz w:val="24"/>
        </w:rPr>
        <w:t xml:space="preserve">need to submit this certification to CMS only once </w:t>
      </w:r>
      <w:r w:rsidR="00AA4D5A">
        <w:rPr>
          <w:sz w:val="24"/>
        </w:rPr>
        <w:t xml:space="preserve">and </w:t>
      </w:r>
      <w:r w:rsidR="0071160E">
        <w:rPr>
          <w:sz w:val="24"/>
        </w:rPr>
        <w:t xml:space="preserve">will </w:t>
      </w:r>
      <w:r w:rsidR="00AA4D5A">
        <w:rPr>
          <w:sz w:val="24"/>
        </w:rPr>
        <w:t xml:space="preserve">need to resubmit it only if </w:t>
      </w:r>
      <w:r w:rsidR="004D31CB">
        <w:rPr>
          <w:sz w:val="24"/>
        </w:rPr>
        <w:t xml:space="preserve">there </w:t>
      </w:r>
      <w:r w:rsidR="008965A2">
        <w:rPr>
          <w:sz w:val="24"/>
        </w:rPr>
        <w:t>is</w:t>
      </w:r>
      <w:r w:rsidR="004D31CB">
        <w:rPr>
          <w:sz w:val="24"/>
        </w:rPr>
        <w:t xml:space="preserve"> </w:t>
      </w:r>
      <w:r w:rsidR="00AA4D5A">
        <w:rPr>
          <w:sz w:val="24"/>
        </w:rPr>
        <w:t xml:space="preserve">any </w:t>
      </w:r>
      <w:r w:rsidR="008965A2">
        <w:rPr>
          <w:sz w:val="24"/>
        </w:rPr>
        <w:t>change</w:t>
      </w:r>
      <w:r w:rsidR="004D31CB">
        <w:rPr>
          <w:sz w:val="24"/>
        </w:rPr>
        <w:t xml:space="preserve"> in </w:t>
      </w:r>
      <w:r w:rsidR="00AA4D5A">
        <w:rPr>
          <w:sz w:val="24"/>
        </w:rPr>
        <w:t>coverage</w:t>
      </w:r>
      <w:r w:rsidR="004D31CB">
        <w:rPr>
          <w:sz w:val="24"/>
        </w:rPr>
        <w:t>.</w:t>
      </w:r>
      <w:r w:rsidR="0035663C">
        <w:rPr>
          <w:sz w:val="24"/>
        </w:rPr>
        <w:t xml:space="preserve">  Therefore, the total </w:t>
      </w:r>
      <w:r w:rsidR="00E70832">
        <w:rPr>
          <w:sz w:val="24"/>
        </w:rPr>
        <w:t>burden</w:t>
      </w:r>
      <w:r w:rsidR="0035663C">
        <w:rPr>
          <w:sz w:val="24"/>
        </w:rPr>
        <w:t xml:space="preserve"> for </w:t>
      </w:r>
      <w:r w:rsidRPr="00087417" w:rsidR="0035663C">
        <w:rPr>
          <w:sz w:val="24"/>
        </w:rPr>
        <w:t>10</w:t>
      </w:r>
      <w:r w:rsidR="0035663C">
        <w:rPr>
          <w:sz w:val="24"/>
        </w:rPr>
        <w:t xml:space="preserve"> </w:t>
      </w:r>
      <w:r w:rsidR="00E70832">
        <w:rPr>
          <w:sz w:val="24"/>
        </w:rPr>
        <w:t xml:space="preserve">sponsors will be </w:t>
      </w:r>
      <w:r w:rsidRPr="00087417" w:rsidR="00070260">
        <w:rPr>
          <w:sz w:val="24"/>
        </w:rPr>
        <w:t>5</w:t>
      </w:r>
      <w:r w:rsidRPr="00087417" w:rsidR="00E70832">
        <w:rPr>
          <w:sz w:val="24"/>
        </w:rPr>
        <w:t>2.5 hours</w:t>
      </w:r>
      <w:r w:rsidR="00E70832">
        <w:rPr>
          <w:sz w:val="24"/>
        </w:rPr>
        <w:t xml:space="preserve">, with an equivalent cost of </w:t>
      </w:r>
      <w:r w:rsidR="00070260">
        <w:rPr>
          <w:sz w:val="24"/>
        </w:rPr>
        <w:t xml:space="preserve">approximately </w:t>
      </w:r>
      <w:r w:rsidRPr="00087417" w:rsidR="00070260">
        <w:rPr>
          <w:sz w:val="24"/>
        </w:rPr>
        <w:t>$</w:t>
      </w:r>
      <w:r w:rsidR="00087417">
        <w:rPr>
          <w:sz w:val="24"/>
        </w:rPr>
        <w:t>3,</w:t>
      </w:r>
      <w:r w:rsidR="00F43A3D">
        <w:rPr>
          <w:sz w:val="24"/>
        </w:rPr>
        <w:t>677</w:t>
      </w:r>
      <w:r w:rsidR="00E70832">
        <w:rPr>
          <w:sz w:val="24"/>
        </w:rPr>
        <w:t>.</w:t>
      </w:r>
    </w:p>
    <w:p w:rsidR="001D43CB" w:rsidRPr="00081F23" w:rsidP="00D31450" w14:paraId="3DCABD48" w14:textId="1F154BC7">
      <w:pPr>
        <w:pStyle w:val="Heading3"/>
        <w:rPr>
          <w:lang w:val="en-US"/>
        </w:rPr>
      </w:pPr>
      <w:r w:rsidRPr="00EA05ED">
        <w:t>Table 12.</w:t>
      </w:r>
      <w:r w:rsidR="001C6F0D">
        <w:t>2</w:t>
      </w:r>
      <w:r w:rsidRPr="00EA05ED">
        <w:t xml:space="preserve"> </w:t>
      </w:r>
      <w:r w:rsidRPr="00EA05ED">
        <w:t xml:space="preserve">Estimated Burden Hours for </w:t>
      </w:r>
      <w:r w:rsidRPr="00EA05ED" w:rsidR="00081F23">
        <w:rPr>
          <w:lang w:val="en-US"/>
        </w:rPr>
        <w:t>Minimum Essential Coverage Certification</w:t>
      </w:r>
    </w:p>
    <w:tbl>
      <w:tblPr>
        <w:tblCaption w:val="Table 12.2 Estimated Burden Hours for Minimum Essential Coverage Certification"/>
        <w:tblDescription w:val="Table showing number of respondents, reports, total burden and the cost per respondent. "/>
        <w:tblW w:w="4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71"/>
        <w:gridCol w:w="1328"/>
        <w:gridCol w:w="1845"/>
        <w:gridCol w:w="1802"/>
      </w:tblGrid>
      <w:tr w14:paraId="60B7AC80" w14:textId="77777777" w:rsidTr="001C6F0D">
        <w:tblPrEx>
          <w:tblW w:w="4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2"/>
          <w:jc w:val="center"/>
        </w:trPr>
        <w:tc>
          <w:tcPr>
            <w:tcW w:w="1016" w:type="pct"/>
            <w:shd w:val="clear" w:color="auto" w:fill="auto"/>
            <w:vAlign w:val="center"/>
            <w:hideMark/>
          </w:tcPr>
          <w:p w:rsidR="00BD4772" w:rsidRPr="00BD4772" w:rsidP="00D31450" w14:paraId="25CC5311" w14:textId="77777777">
            <w:pPr>
              <w:widowControl/>
              <w:autoSpaceDE/>
              <w:autoSpaceDN/>
              <w:adjustRightInd/>
              <w:jc w:val="center"/>
              <w:rPr>
                <w:b/>
                <w:bCs/>
                <w:color w:val="000000"/>
                <w:sz w:val="24"/>
              </w:rPr>
            </w:pPr>
            <w:r w:rsidRPr="00BD4772">
              <w:rPr>
                <w:b/>
                <w:bCs/>
                <w:color w:val="000000"/>
                <w:sz w:val="24"/>
              </w:rPr>
              <w:t>Type of Form</w:t>
            </w:r>
          </w:p>
        </w:tc>
        <w:tc>
          <w:tcPr>
            <w:tcW w:w="956" w:type="pct"/>
            <w:shd w:val="clear" w:color="auto" w:fill="auto"/>
            <w:vAlign w:val="center"/>
            <w:hideMark/>
          </w:tcPr>
          <w:p w:rsidR="00BD4772" w:rsidRPr="00BD4772" w:rsidP="00D31450" w14:paraId="2A9B79D6" w14:textId="77777777">
            <w:pPr>
              <w:widowControl/>
              <w:autoSpaceDE/>
              <w:autoSpaceDN/>
              <w:adjustRightInd/>
              <w:jc w:val="center"/>
              <w:rPr>
                <w:b/>
                <w:bCs/>
                <w:color w:val="000000"/>
                <w:sz w:val="24"/>
              </w:rPr>
            </w:pPr>
            <w:r w:rsidRPr="00BD4772">
              <w:rPr>
                <w:b/>
                <w:bCs/>
                <w:color w:val="000000"/>
                <w:sz w:val="24"/>
              </w:rPr>
              <w:t>Number of Respondents</w:t>
            </w:r>
          </w:p>
        </w:tc>
        <w:tc>
          <w:tcPr>
            <w:tcW w:w="808" w:type="pct"/>
            <w:shd w:val="clear" w:color="auto" w:fill="auto"/>
            <w:vAlign w:val="center"/>
            <w:hideMark/>
          </w:tcPr>
          <w:p w:rsidR="00BD4772" w:rsidRPr="00BD4772" w:rsidP="00D31450" w14:paraId="299DC53C" w14:textId="77777777">
            <w:pPr>
              <w:widowControl/>
              <w:autoSpaceDE/>
              <w:autoSpaceDN/>
              <w:adjustRightInd/>
              <w:jc w:val="center"/>
              <w:rPr>
                <w:b/>
                <w:bCs/>
                <w:color w:val="000000"/>
                <w:sz w:val="24"/>
              </w:rPr>
            </w:pPr>
            <w:r w:rsidRPr="00BD4772">
              <w:rPr>
                <w:b/>
                <w:bCs/>
                <w:color w:val="000000"/>
                <w:sz w:val="24"/>
              </w:rPr>
              <w:t>Number of Reports</w:t>
            </w:r>
          </w:p>
        </w:tc>
        <w:tc>
          <w:tcPr>
            <w:tcW w:w="1123" w:type="pct"/>
            <w:shd w:val="clear" w:color="auto" w:fill="auto"/>
            <w:vAlign w:val="center"/>
            <w:hideMark/>
          </w:tcPr>
          <w:p w:rsidR="00BD4772" w:rsidRPr="00BD4772" w:rsidP="00D31450" w14:paraId="24A45502" w14:textId="77777777">
            <w:pPr>
              <w:widowControl/>
              <w:autoSpaceDE/>
              <w:autoSpaceDN/>
              <w:adjustRightInd/>
              <w:jc w:val="center"/>
              <w:rPr>
                <w:b/>
                <w:bCs/>
                <w:color w:val="000000"/>
                <w:sz w:val="24"/>
              </w:rPr>
            </w:pPr>
            <w:r w:rsidRPr="00BD4772">
              <w:rPr>
                <w:b/>
                <w:bCs/>
                <w:color w:val="000000"/>
                <w:sz w:val="24"/>
              </w:rPr>
              <w:t>Total Estimated Burden Hours</w:t>
            </w:r>
          </w:p>
        </w:tc>
        <w:tc>
          <w:tcPr>
            <w:tcW w:w="1097" w:type="pct"/>
            <w:shd w:val="clear" w:color="auto" w:fill="auto"/>
            <w:vAlign w:val="center"/>
            <w:hideMark/>
          </w:tcPr>
          <w:p w:rsidR="00BD4772" w:rsidRPr="00BD4772" w:rsidP="00D31450" w14:paraId="4F5DE8C5" w14:textId="77777777">
            <w:pPr>
              <w:widowControl/>
              <w:autoSpaceDE/>
              <w:autoSpaceDN/>
              <w:adjustRightInd/>
              <w:jc w:val="center"/>
              <w:rPr>
                <w:b/>
                <w:bCs/>
                <w:color w:val="000000"/>
                <w:sz w:val="24"/>
              </w:rPr>
            </w:pPr>
            <w:r w:rsidRPr="00BD4772">
              <w:rPr>
                <w:b/>
                <w:bCs/>
                <w:color w:val="000000"/>
                <w:sz w:val="24"/>
              </w:rPr>
              <w:t>Burden Cost Per Respondent</w:t>
            </w:r>
          </w:p>
        </w:tc>
      </w:tr>
      <w:tr w14:paraId="7F8EB9ED" w14:textId="77777777" w:rsidTr="001C6F0D">
        <w:tblPrEx>
          <w:tblW w:w="4393" w:type="pct"/>
          <w:jc w:val="center"/>
          <w:tblLayout w:type="fixed"/>
          <w:tblLook w:val="04A0"/>
        </w:tblPrEx>
        <w:trPr>
          <w:trHeight w:val="570"/>
          <w:jc w:val="center"/>
        </w:trPr>
        <w:tc>
          <w:tcPr>
            <w:tcW w:w="1016" w:type="pct"/>
            <w:shd w:val="clear" w:color="auto" w:fill="auto"/>
            <w:vAlign w:val="center"/>
            <w:hideMark/>
          </w:tcPr>
          <w:p w:rsidR="00BD4772" w:rsidRPr="00BD4772" w:rsidP="007D3C90" w14:paraId="016189AA" w14:textId="77777777">
            <w:pPr>
              <w:widowControl/>
              <w:autoSpaceDE/>
              <w:autoSpaceDN/>
              <w:adjustRightInd/>
              <w:jc w:val="center"/>
              <w:rPr>
                <w:color w:val="000000"/>
                <w:sz w:val="24"/>
              </w:rPr>
            </w:pPr>
            <w:r w:rsidRPr="00BD4772">
              <w:rPr>
                <w:color w:val="000000"/>
                <w:sz w:val="24"/>
              </w:rPr>
              <w:t>Certification</w:t>
            </w:r>
          </w:p>
        </w:tc>
        <w:tc>
          <w:tcPr>
            <w:tcW w:w="956" w:type="pct"/>
            <w:shd w:val="clear" w:color="auto" w:fill="auto"/>
            <w:vAlign w:val="center"/>
            <w:hideMark/>
          </w:tcPr>
          <w:p w:rsidR="00BD4772" w:rsidRPr="00BD4772" w:rsidP="001D3690" w14:paraId="15EAE619" w14:textId="77777777">
            <w:pPr>
              <w:widowControl/>
              <w:autoSpaceDE/>
              <w:autoSpaceDN/>
              <w:adjustRightInd/>
              <w:jc w:val="center"/>
              <w:rPr>
                <w:color w:val="000000"/>
                <w:sz w:val="24"/>
              </w:rPr>
            </w:pPr>
            <w:r w:rsidRPr="00BD4772">
              <w:rPr>
                <w:color w:val="000000"/>
                <w:sz w:val="24"/>
              </w:rPr>
              <w:t>1</w:t>
            </w:r>
            <w:r w:rsidR="00E70832">
              <w:rPr>
                <w:color w:val="000000"/>
                <w:sz w:val="24"/>
              </w:rPr>
              <w:t>0</w:t>
            </w:r>
          </w:p>
        </w:tc>
        <w:tc>
          <w:tcPr>
            <w:tcW w:w="808" w:type="pct"/>
            <w:shd w:val="clear" w:color="auto" w:fill="auto"/>
            <w:vAlign w:val="center"/>
            <w:hideMark/>
          </w:tcPr>
          <w:p w:rsidR="00BD4772" w:rsidRPr="00BD4772" w:rsidP="001D3690" w14:paraId="6F8A0E6B" w14:textId="77777777">
            <w:pPr>
              <w:widowControl/>
              <w:autoSpaceDE/>
              <w:autoSpaceDN/>
              <w:adjustRightInd/>
              <w:jc w:val="center"/>
              <w:rPr>
                <w:color w:val="000000"/>
                <w:sz w:val="24"/>
              </w:rPr>
            </w:pPr>
            <w:r w:rsidRPr="00BD4772">
              <w:rPr>
                <w:color w:val="000000"/>
                <w:sz w:val="24"/>
              </w:rPr>
              <w:t>1</w:t>
            </w:r>
          </w:p>
        </w:tc>
        <w:tc>
          <w:tcPr>
            <w:tcW w:w="1123" w:type="pct"/>
            <w:shd w:val="clear" w:color="auto" w:fill="auto"/>
            <w:vAlign w:val="center"/>
            <w:hideMark/>
          </w:tcPr>
          <w:p w:rsidR="00BD4772" w:rsidRPr="00BD4772" w:rsidP="00F47617" w14:paraId="1E581333" w14:textId="77777777">
            <w:pPr>
              <w:widowControl/>
              <w:autoSpaceDE/>
              <w:autoSpaceDN/>
              <w:adjustRightInd/>
              <w:jc w:val="center"/>
              <w:rPr>
                <w:color w:val="000000"/>
                <w:sz w:val="24"/>
              </w:rPr>
            </w:pPr>
            <w:r>
              <w:rPr>
                <w:color w:val="000000"/>
                <w:sz w:val="24"/>
              </w:rPr>
              <w:t>5</w:t>
            </w:r>
            <w:r w:rsidR="00E70832">
              <w:rPr>
                <w:color w:val="000000"/>
                <w:sz w:val="24"/>
              </w:rPr>
              <w:t>2.5</w:t>
            </w:r>
          </w:p>
        </w:tc>
        <w:tc>
          <w:tcPr>
            <w:tcW w:w="1097" w:type="pct"/>
            <w:shd w:val="clear" w:color="auto" w:fill="auto"/>
            <w:vAlign w:val="center"/>
            <w:hideMark/>
          </w:tcPr>
          <w:p w:rsidR="00BD4772" w:rsidRPr="00BD4772" w:rsidP="00C63882" w14:paraId="33E55230" w14:textId="3670B86F">
            <w:pPr>
              <w:jc w:val="center"/>
              <w:rPr>
                <w:color w:val="000000"/>
                <w:sz w:val="24"/>
              </w:rPr>
            </w:pPr>
            <w:r w:rsidRPr="00BD4772">
              <w:rPr>
                <w:color w:val="000000"/>
                <w:sz w:val="24"/>
              </w:rPr>
              <w:t>$</w:t>
            </w:r>
            <w:r w:rsidR="00A24876">
              <w:rPr>
                <w:color w:val="000000"/>
                <w:sz w:val="24"/>
              </w:rPr>
              <w:t>3</w:t>
            </w:r>
            <w:r w:rsidR="00F43A3D">
              <w:rPr>
                <w:color w:val="000000"/>
                <w:sz w:val="24"/>
              </w:rPr>
              <w:t>68</w:t>
            </w:r>
          </w:p>
        </w:tc>
      </w:tr>
    </w:tbl>
    <w:p w:rsidR="008F1EB4" w:rsidP="00E134EC" w14:paraId="217FA5AC" w14:textId="77777777">
      <w:pPr>
        <w:pStyle w:val="Heading2"/>
        <w:spacing w:before="360"/>
      </w:pPr>
      <w:r>
        <w:t>Capital Costs</w:t>
      </w:r>
    </w:p>
    <w:p w:rsidR="00074248" w:rsidP="000368D1" w14:paraId="3903729B" w14:textId="77777777">
      <w:pPr>
        <w:tabs>
          <w:tab w:val="left" w:pos="450"/>
        </w:tabs>
        <w:spacing w:after="240"/>
        <w:ind w:left="360"/>
        <w:rPr>
          <w:sz w:val="24"/>
        </w:rPr>
      </w:pPr>
      <w:r>
        <w:rPr>
          <w:sz w:val="24"/>
        </w:rPr>
        <w:tab/>
      </w:r>
      <w:r w:rsidR="00C5122B">
        <w:rPr>
          <w:sz w:val="24"/>
        </w:rPr>
        <w:t>Sponsors</w:t>
      </w:r>
      <w:r>
        <w:rPr>
          <w:sz w:val="24"/>
        </w:rPr>
        <w:t xml:space="preserve"> are </w:t>
      </w:r>
      <w:r w:rsidR="001434DC">
        <w:rPr>
          <w:sz w:val="24"/>
        </w:rPr>
        <w:t xml:space="preserve">not </w:t>
      </w:r>
      <w:r w:rsidR="00C33322">
        <w:rPr>
          <w:sz w:val="24"/>
        </w:rPr>
        <w:t>expected</w:t>
      </w:r>
      <w:r>
        <w:rPr>
          <w:sz w:val="24"/>
        </w:rPr>
        <w:t xml:space="preserve"> to </w:t>
      </w:r>
      <w:r w:rsidR="001434DC">
        <w:rPr>
          <w:sz w:val="24"/>
        </w:rPr>
        <w:t>incur capital costs to</w:t>
      </w:r>
      <w:r w:rsidR="00D211F4">
        <w:rPr>
          <w:sz w:val="24"/>
        </w:rPr>
        <w:t xml:space="preserve"> fulfill these requirements</w:t>
      </w:r>
      <w:r w:rsidR="001434DC">
        <w:rPr>
          <w:sz w:val="24"/>
        </w:rPr>
        <w:t>.</w:t>
      </w:r>
    </w:p>
    <w:p w:rsidR="008F1EB4" w:rsidRPr="00EA05ED" w:rsidP="00D31450" w14:paraId="545063D9" w14:textId="77777777">
      <w:pPr>
        <w:pStyle w:val="Heading2"/>
      </w:pPr>
      <w:r w:rsidRPr="00EA05ED">
        <w:t>Cost to Federal Government</w:t>
      </w:r>
    </w:p>
    <w:p w:rsidR="002A5533" w:rsidP="00472E16" w14:paraId="2B1356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t xml:space="preserve">CMS staff is expected to review the information submitted by </w:t>
      </w:r>
      <w:r w:rsidR="00DC5101">
        <w:rPr>
          <w:sz w:val="24"/>
        </w:rPr>
        <w:t xml:space="preserve">requesting </w:t>
      </w:r>
      <w:r w:rsidR="004D1AA3">
        <w:rPr>
          <w:sz w:val="24"/>
        </w:rPr>
        <w:t>sponsors</w:t>
      </w:r>
      <w:r>
        <w:rPr>
          <w:sz w:val="24"/>
        </w:rPr>
        <w:t xml:space="preserve">. </w:t>
      </w:r>
      <w:r>
        <w:rPr>
          <w:sz w:val="24"/>
        </w:rPr>
        <w:t xml:space="preserve"> We anticipate that </w:t>
      </w:r>
      <w:r w:rsidR="007B7982">
        <w:rPr>
          <w:sz w:val="24"/>
        </w:rPr>
        <w:t>a</w:t>
      </w:r>
      <w:r>
        <w:rPr>
          <w:sz w:val="24"/>
        </w:rPr>
        <w:t xml:space="preserve"> reviewer will need </w:t>
      </w:r>
      <w:r w:rsidRPr="00AE0022" w:rsidR="005F23C5">
        <w:rPr>
          <w:sz w:val="24"/>
        </w:rPr>
        <w:t>3</w:t>
      </w:r>
      <w:r w:rsidRPr="00AE0022" w:rsidR="00D86ED1">
        <w:rPr>
          <w:sz w:val="24"/>
        </w:rPr>
        <w:t xml:space="preserve"> </w:t>
      </w:r>
      <w:r w:rsidRPr="00AE0022">
        <w:rPr>
          <w:sz w:val="24"/>
        </w:rPr>
        <w:t>hour</w:t>
      </w:r>
      <w:r w:rsidRPr="00AE0022" w:rsidR="00D86ED1">
        <w:rPr>
          <w:sz w:val="24"/>
        </w:rPr>
        <w:t>s</w:t>
      </w:r>
      <w:r>
        <w:rPr>
          <w:sz w:val="24"/>
        </w:rPr>
        <w:t xml:space="preserve"> to review each submission.</w:t>
      </w:r>
    </w:p>
    <w:p w:rsidR="004E175E" w:rsidRPr="00472E16" w:rsidP="00D31450" w14:paraId="1FF87717" w14:textId="77777777">
      <w:pPr>
        <w:pStyle w:val="Heading3"/>
      </w:pPr>
      <w:r w:rsidRPr="00EA05ED">
        <w:t xml:space="preserve">Table 14.1 </w:t>
      </w:r>
      <w:r w:rsidRPr="00EA05ED" w:rsidR="00761566">
        <w:t xml:space="preserve">Estimated </w:t>
      </w:r>
      <w:r w:rsidRPr="00EA05ED">
        <w:t>Cost to Federal Government</w:t>
      </w:r>
    </w:p>
    <w:tbl>
      <w:tblPr>
        <w:tblCaption w:val="Table 14.1 Estimated Cost to Federal Government"/>
        <w:tblDescription w:val="Table showing the cost and bruden to the Federal government to review application materials. "/>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5"/>
        <w:gridCol w:w="2143"/>
        <w:gridCol w:w="1447"/>
        <w:gridCol w:w="2177"/>
        <w:gridCol w:w="1868"/>
      </w:tblGrid>
      <w:tr w14:paraId="7817225C" w14:textId="77777777" w:rsidTr="001821B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340"/>
          <w:jc w:val="center"/>
        </w:trPr>
        <w:tc>
          <w:tcPr>
            <w:tcW w:w="917" w:type="pct"/>
          </w:tcPr>
          <w:p w:rsidR="002A5533" w:rsidRPr="00F342C8" w:rsidP="00F342C8" w14:paraId="19FD6B2D" w14:textId="77777777">
            <w:pPr>
              <w:widowControl/>
              <w:autoSpaceDE/>
              <w:autoSpaceDN/>
              <w:adjustRightInd/>
              <w:jc w:val="center"/>
              <w:rPr>
                <w:b/>
                <w:bCs/>
                <w:color w:val="000000"/>
                <w:sz w:val="24"/>
              </w:rPr>
            </w:pPr>
            <w:r w:rsidRPr="00F342C8">
              <w:rPr>
                <w:b/>
                <w:bCs/>
                <w:color w:val="000000"/>
                <w:sz w:val="24"/>
              </w:rPr>
              <w:t xml:space="preserve">Type </w:t>
            </w:r>
            <w:r w:rsidRPr="00F342C8" w:rsidR="00192CB8">
              <w:rPr>
                <w:b/>
                <w:bCs/>
                <w:color w:val="000000"/>
                <w:sz w:val="24"/>
              </w:rPr>
              <w:t xml:space="preserve">of </w:t>
            </w:r>
            <w:r w:rsidRPr="00F342C8">
              <w:rPr>
                <w:b/>
                <w:bCs/>
                <w:color w:val="000000"/>
                <w:sz w:val="24"/>
              </w:rPr>
              <w:t>Federal Employee Support</w:t>
            </w:r>
          </w:p>
        </w:tc>
        <w:tc>
          <w:tcPr>
            <w:tcW w:w="1146" w:type="pct"/>
          </w:tcPr>
          <w:p w:rsidR="00472E16" w:rsidP="00F342C8" w14:paraId="2A054B35" w14:textId="77777777">
            <w:pPr>
              <w:widowControl/>
              <w:autoSpaceDE/>
              <w:autoSpaceDN/>
              <w:adjustRightInd/>
              <w:jc w:val="center"/>
              <w:rPr>
                <w:b/>
                <w:bCs/>
                <w:color w:val="000000"/>
                <w:sz w:val="24"/>
              </w:rPr>
            </w:pPr>
            <w:r w:rsidRPr="00F342C8">
              <w:rPr>
                <w:b/>
                <w:bCs/>
                <w:color w:val="000000"/>
                <w:sz w:val="24"/>
              </w:rPr>
              <w:t>Total Burden</w:t>
            </w:r>
          </w:p>
          <w:p w:rsidR="002A5533" w:rsidRPr="00F342C8" w:rsidP="00F342C8" w14:paraId="2822EA07" w14:textId="77777777">
            <w:pPr>
              <w:widowControl/>
              <w:autoSpaceDE/>
              <w:autoSpaceDN/>
              <w:adjustRightInd/>
              <w:jc w:val="center"/>
              <w:rPr>
                <w:b/>
                <w:bCs/>
                <w:color w:val="000000"/>
                <w:sz w:val="24"/>
              </w:rPr>
            </w:pPr>
            <w:r w:rsidRPr="00F342C8">
              <w:rPr>
                <w:b/>
                <w:bCs/>
                <w:color w:val="000000"/>
                <w:sz w:val="24"/>
              </w:rPr>
              <w:t>Hours per Reviewer</w:t>
            </w:r>
          </w:p>
        </w:tc>
        <w:tc>
          <w:tcPr>
            <w:tcW w:w="774" w:type="pct"/>
          </w:tcPr>
          <w:p w:rsidR="002A5533" w:rsidRPr="00F342C8" w:rsidP="00F342C8" w14:paraId="5E78C3BE" w14:textId="77777777">
            <w:pPr>
              <w:widowControl/>
              <w:autoSpaceDE/>
              <w:autoSpaceDN/>
              <w:adjustRightInd/>
              <w:jc w:val="center"/>
              <w:rPr>
                <w:b/>
                <w:bCs/>
                <w:color w:val="000000"/>
                <w:sz w:val="24"/>
              </w:rPr>
            </w:pPr>
            <w:r w:rsidRPr="00F342C8">
              <w:rPr>
                <w:b/>
                <w:bCs/>
                <w:color w:val="000000"/>
                <w:sz w:val="24"/>
              </w:rPr>
              <w:t>Total Reviewers</w:t>
            </w:r>
          </w:p>
        </w:tc>
        <w:tc>
          <w:tcPr>
            <w:tcW w:w="1164" w:type="pct"/>
          </w:tcPr>
          <w:p w:rsidR="002A5533" w:rsidRPr="00F342C8" w:rsidP="00F342C8" w14:paraId="59FA2883" w14:textId="4D7ED17F">
            <w:pPr>
              <w:widowControl/>
              <w:autoSpaceDE/>
              <w:autoSpaceDN/>
              <w:adjustRightInd/>
              <w:jc w:val="center"/>
              <w:rPr>
                <w:b/>
                <w:bCs/>
                <w:color w:val="000000"/>
                <w:sz w:val="24"/>
              </w:rPr>
            </w:pPr>
            <w:r w:rsidRPr="00F342C8">
              <w:rPr>
                <w:b/>
                <w:bCs/>
                <w:color w:val="000000"/>
                <w:sz w:val="24"/>
              </w:rPr>
              <w:t>Hourly</w:t>
            </w:r>
            <w:r w:rsidR="00472E16">
              <w:rPr>
                <w:b/>
                <w:bCs/>
                <w:color w:val="000000"/>
                <w:sz w:val="24"/>
              </w:rPr>
              <w:t xml:space="preserve"> </w:t>
            </w:r>
            <w:r w:rsidRPr="00F342C8">
              <w:rPr>
                <w:b/>
                <w:bCs/>
                <w:color w:val="000000"/>
                <w:sz w:val="24"/>
              </w:rPr>
              <w:t xml:space="preserve">Wage Rate – (includes </w:t>
            </w:r>
            <w:r w:rsidR="00ED1E54">
              <w:rPr>
                <w:b/>
                <w:bCs/>
                <w:color w:val="000000"/>
                <w:sz w:val="24"/>
              </w:rPr>
              <w:t>F</w:t>
            </w:r>
            <w:r w:rsidRPr="00F342C8">
              <w:rPr>
                <w:b/>
                <w:bCs/>
                <w:color w:val="000000"/>
                <w:sz w:val="24"/>
              </w:rPr>
              <w:t>ringe</w:t>
            </w:r>
            <w:r w:rsidR="00ED1E54">
              <w:rPr>
                <w:b/>
                <w:bCs/>
                <w:color w:val="000000"/>
                <w:sz w:val="24"/>
              </w:rPr>
              <w:t xml:space="preserve"> Benefits</w:t>
            </w:r>
            <w:r w:rsidR="00F43A3D">
              <w:rPr>
                <w:b/>
                <w:bCs/>
                <w:color w:val="000000"/>
                <w:sz w:val="24"/>
              </w:rPr>
              <w:t xml:space="preserve"> and </w:t>
            </w:r>
            <w:r w:rsidR="00ED1E54">
              <w:rPr>
                <w:b/>
                <w:bCs/>
                <w:color w:val="000000"/>
                <w:sz w:val="24"/>
              </w:rPr>
              <w:t>O</w:t>
            </w:r>
            <w:r w:rsidR="00F43A3D">
              <w:rPr>
                <w:b/>
                <w:bCs/>
                <w:color w:val="000000"/>
                <w:sz w:val="24"/>
              </w:rPr>
              <w:t xml:space="preserve">ther </w:t>
            </w:r>
            <w:r w:rsidR="00ED1E54">
              <w:rPr>
                <w:b/>
                <w:bCs/>
                <w:color w:val="000000"/>
                <w:sz w:val="24"/>
              </w:rPr>
              <w:t>I</w:t>
            </w:r>
            <w:r w:rsidR="00F43A3D">
              <w:rPr>
                <w:b/>
                <w:bCs/>
                <w:color w:val="000000"/>
                <w:sz w:val="24"/>
              </w:rPr>
              <w:t xml:space="preserve">ndirect </w:t>
            </w:r>
            <w:r w:rsidR="00ED1E54">
              <w:rPr>
                <w:b/>
                <w:bCs/>
                <w:color w:val="000000"/>
                <w:sz w:val="24"/>
              </w:rPr>
              <w:t>C</w:t>
            </w:r>
            <w:r w:rsidR="00F43A3D">
              <w:rPr>
                <w:b/>
                <w:bCs/>
                <w:color w:val="000000"/>
                <w:sz w:val="24"/>
              </w:rPr>
              <w:t>osts</w:t>
            </w:r>
            <w:r w:rsidRPr="00F342C8">
              <w:rPr>
                <w:b/>
                <w:bCs/>
                <w:color w:val="000000"/>
                <w:sz w:val="24"/>
              </w:rPr>
              <w:t>)</w:t>
            </w:r>
            <w:r w:rsidR="00001396">
              <w:rPr>
                <w:b/>
                <w:bCs/>
                <w:color w:val="000000"/>
                <w:sz w:val="24"/>
              </w:rPr>
              <w:t>*</w:t>
            </w:r>
          </w:p>
        </w:tc>
        <w:tc>
          <w:tcPr>
            <w:tcW w:w="999" w:type="pct"/>
          </w:tcPr>
          <w:p w:rsidR="002A5533" w:rsidRPr="00F342C8" w:rsidP="00F342C8" w14:paraId="6CF11748" w14:textId="77777777">
            <w:pPr>
              <w:widowControl/>
              <w:autoSpaceDE/>
              <w:autoSpaceDN/>
              <w:adjustRightInd/>
              <w:jc w:val="center"/>
              <w:rPr>
                <w:b/>
                <w:bCs/>
                <w:color w:val="000000"/>
                <w:sz w:val="24"/>
              </w:rPr>
            </w:pPr>
            <w:r w:rsidRPr="00F342C8">
              <w:rPr>
                <w:b/>
                <w:bCs/>
                <w:color w:val="000000"/>
                <w:sz w:val="24"/>
              </w:rPr>
              <w:t>Total Federal</w:t>
            </w:r>
            <w:r w:rsidR="00472E16">
              <w:rPr>
                <w:b/>
                <w:bCs/>
                <w:color w:val="000000"/>
                <w:sz w:val="24"/>
              </w:rPr>
              <w:t xml:space="preserve"> </w:t>
            </w:r>
            <w:r w:rsidRPr="00F342C8">
              <w:rPr>
                <w:b/>
                <w:bCs/>
                <w:color w:val="000000"/>
                <w:sz w:val="24"/>
              </w:rPr>
              <w:t>Government Costs</w:t>
            </w:r>
            <w:r w:rsidR="008F4B01">
              <w:rPr>
                <w:b/>
                <w:bCs/>
                <w:color w:val="000000"/>
                <w:sz w:val="24"/>
              </w:rPr>
              <w:t xml:space="preserve"> </w:t>
            </w:r>
          </w:p>
        </w:tc>
      </w:tr>
      <w:tr w14:paraId="01058255" w14:textId="77777777" w:rsidTr="001821BC">
        <w:tblPrEx>
          <w:tblW w:w="5000" w:type="pct"/>
          <w:jc w:val="center"/>
          <w:tblLayout w:type="fixed"/>
          <w:tblLook w:val="01E0"/>
        </w:tblPrEx>
        <w:trPr>
          <w:trHeight w:val="890"/>
          <w:jc w:val="center"/>
        </w:trPr>
        <w:tc>
          <w:tcPr>
            <w:tcW w:w="917" w:type="pct"/>
            <w:vAlign w:val="center"/>
          </w:tcPr>
          <w:p w:rsidR="002A5533" w:rsidRPr="00F342C8" w:rsidP="0009255B" w14:paraId="2A8E1158" w14:textId="549999B8">
            <w:pPr>
              <w:widowControl/>
              <w:autoSpaceDE/>
              <w:autoSpaceDN/>
              <w:adjustRightInd/>
              <w:jc w:val="center"/>
              <w:rPr>
                <w:color w:val="000000"/>
                <w:sz w:val="24"/>
              </w:rPr>
            </w:pPr>
            <w:r w:rsidRPr="00F342C8">
              <w:rPr>
                <w:color w:val="000000"/>
                <w:sz w:val="24"/>
              </w:rPr>
              <w:t xml:space="preserve">Review of </w:t>
            </w:r>
            <w:r w:rsidR="0009255B">
              <w:rPr>
                <w:color w:val="000000"/>
                <w:sz w:val="24"/>
              </w:rPr>
              <w:t>MEC Application Materials</w:t>
            </w:r>
          </w:p>
        </w:tc>
        <w:tc>
          <w:tcPr>
            <w:tcW w:w="1146" w:type="pct"/>
            <w:vAlign w:val="center"/>
          </w:tcPr>
          <w:p w:rsidR="002A5533" w:rsidRPr="00F342C8" w:rsidP="006F077F" w14:paraId="273C226E" w14:textId="77777777">
            <w:pPr>
              <w:widowControl/>
              <w:autoSpaceDE/>
              <w:autoSpaceDN/>
              <w:adjustRightInd/>
              <w:jc w:val="center"/>
              <w:rPr>
                <w:color w:val="000000"/>
                <w:sz w:val="24"/>
              </w:rPr>
            </w:pPr>
            <w:r w:rsidRPr="00AE0022">
              <w:rPr>
                <w:color w:val="000000"/>
                <w:sz w:val="24"/>
              </w:rPr>
              <w:t>3</w:t>
            </w:r>
            <w:r w:rsidRPr="00AE0022" w:rsidR="00E70832">
              <w:rPr>
                <w:color w:val="000000"/>
                <w:sz w:val="24"/>
              </w:rPr>
              <w:t>0 hours</w:t>
            </w:r>
            <w:r w:rsidR="00E70832">
              <w:rPr>
                <w:color w:val="000000"/>
                <w:sz w:val="24"/>
              </w:rPr>
              <w:t xml:space="preserve"> </w:t>
            </w:r>
            <w:r w:rsidRPr="00F342C8">
              <w:rPr>
                <w:color w:val="000000"/>
                <w:sz w:val="24"/>
              </w:rPr>
              <w:t xml:space="preserve"> </w:t>
            </w:r>
          </w:p>
        </w:tc>
        <w:tc>
          <w:tcPr>
            <w:tcW w:w="774" w:type="pct"/>
            <w:vAlign w:val="center"/>
          </w:tcPr>
          <w:p w:rsidR="002A5533" w:rsidRPr="00F342C8" w:rsidP="00433C8E" w14:paraId="4901980C" w14:textId="77777777">
            <w:pPr>
              <w:widowControl/>
              <w:autoSpaceDE/>
              <w:autoSpaceDN/>
              <w:adjustRightInd/>
              <w:jc w:val="center"/>
              <w:rPr>
                <w:color w:val="000000"/>
                <w:sz w:val="24"/>
              </w:rPr>
            </w:pPr>
            <w:r w:rsidRPr="00F342C8">
              <w:rPr>
                <w:color w:val="000000"/>
                <w:sz w:val="24"/>
              </w:rPr>
              <w:t>1</w:t>
            </w:r>
          </w:p>
        </w:tc>
        <w:tc>
          <w:tcPr>
            <w:tcW w:w="1164" w:type="pct"/>
            <w:vAlign w:val="center"/>
          </w:tcPr>
          <w:p w:rsidR="002A5533" w:rsidRPr="00F342C8" w:rsidP="00C63882" w14:paraId="5D32E624" w14:textId="7ADCAECA">
            <w:pPr>
              <w:widowControl/>
              <w:autoSpaceDE/>
              <w:autoSpaceDN/>
              <w:adjustRightInd/>
              <w:jc w:val="center"/>
              <w:rPr>
                <w:color w:val="000000"/>
                <w:sz w:val="24"/>
              </w:rPr>
            </w:pPr>
            <w:r w:rsidRPr="00B043D1">
              <w:rPr>
                <w:color w:val="000000"/>
                <w:sz w:val="24"/>
              </w:rPr>
              <w:t>$</w:t>
            </w:r>
            <w:r w:rsidRPr="00B043D1" w:rsidR="00AC6138">
              <w:rPr>
                <w:color w:val="000000"/>
                <w:sz w:val="24"/>
              </w:rPr>
              <w:t>1</w:t>
            </w:r>
            <w:r w:rsidR="00F43A3D">
              <w:rPr>
                <w:color w:val="000000"/>
                <w:sz w:val="24"/>
              </w:rPr>
              <w:t>36.44</w:t>
            </w:r>
          </w:p>
        </w:tc>
        <w:tc>
          <w:tcPr>
            <w:tcW w:w="999" w:type="pct"/>
            <w:vAlign w:val="center"/>
          </w:tcPr>
          <w:p w:rsidR="002A5533" w:rsidRPr="00F342C8" w:rsidP="00C63882" w14:paraId="04B3CE7F" w14:textId="0D497B67">
            <w:pPr>
              <w:widowControl/>
              <w:autoSpaceDE/>
              <w:autoSpaceDN/>
              <w:adjustRightInd/>
              <w:jc w:val="center"/>
              <w:rPr>
                <w:color w:val="000000"/>
                <w:sz w:val="24"/>
              </w:rPr>
            </w:pPr>
            <w:r w:rsidRPr="00F342C8">
              <w:rPr>
                <w:color w:val="000000"/>
                <w:sz w:val="24"/>
              </w:rPr>
              <w:t>$</w:t>
            </w:r>
            <w:r w:rsidR="008F4B01">
              <w:rPr>
                <w:color w:val="000000"/>
                <w:sz w:val="24"/>
              </w:rPr>
              <w:t xml:space="preserve"> </w:t>
            </w:r>
            <w:r w:rsidR="00F43A3D">
              <w:rPr>
                <w:color w:val="000000"/>
                <w:sz w:val="24"/>
              </w:rPr>
              <w:t>4,093</w:t>
            </w:r>
          </w:p>
        </w:tc>
      </w:tr>
    </w:tbl>
    <w:p w:rsidR="008F1EB4" w:rsidP="00DE484E" w14:paraId="4B65A017" w14:textId="7DBCCB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ind w:left="432"/>
        <w:rPr>
          <w:sz w:val="24"/>
        </w:rPr>
      </w:pPr>
      <w:r>
        <w:rPr>
          <w:sz w:val="24"/>
        </w:rPr>
        <w:t>*</w:t>
      </w:r>
      <w:r w:rsidR="00FB2F78">
        <w:rPr>
          <w:sz w:val="24"/>
        </w:rPr>
        <w:t xml:space="preserve">Hourly rate is </w:t>
      </w:r>
      <w:r w:rsidRPr="002A5533" w:rsidR="002A5533">
        <w:rPr>
          <w:sz w:val="24"/>
        </w:rPr>
        <w:t>based on a 14 Grade/Step 1 in the Washington DC area</w:t>
      </w:r>
      <w:r w:rsidRPr="00EA05ED" w:rsidR="002A5533">
        <w:rPr>
          <w:sz w:val="24"/>
        </w:rPr>
        <w:t>.</w:t>
      </w:r>
    </w:p>
    <w:p w:rsidR="008F1EB4" w:rsidRPr="00EA05ED" w:rsidP="00D31450" w14:paraId="14BB6874" w14:textId="77777777">
      <w:pPr>
        <w:pStyle w:val="Heading2"/>
      </w:pPr>
      <w:r w:rsidRPr="00EA05ED">
        <w:t>Changes to Burden</w:t>
      </w:r>
    </w:p>
    <w:p w:rsidR="008F1EB4" w:rsidP="00DE484E" w14:paraId="49FD679F" w14:textId="518F43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outlineLvl w:val="0"/>
        <w:rPr>
          <w:sz w:val="24"/>
        </w:rPr>
      </w:pPr>
      <w:r>
        <w:rPr>
          <w:sz w:val="24"/>
        </w:rPr>
        <w:t xml:space="preserve">There are no changes in burden hours. </w:t>
      </w:r>
      <w:r w:rsidR="00152F5E">
        <w:rPr>
          <w:sz w:val="24"/>
        </w:rPr>
        <w:t xml:space="preserve"> </w:t>
      </w:r>
      <w:r>
        <w:rPr>
          <w:sz w:val="24"/>
        </w:rPr>
        <w:t>However, updated labor costs</w:t>
      </w:r>
      <w:r w:rsidR="00AB00A4">
        <w:rPr>
          <w:sz w:val="24"/>
        </w:rPr>
        <w:t xml:space="preserve"> </w:t>
      </w:r>
      <w:r>
        <w:rPr>
          <w:sz w:val="24"/>
        </w:rPr>
        <w:t xml:space="preserve">have resulted in an increase in </w:t>
      </w:r>
      <w:r w:rsidR="00842AEB">
        <w:rPr>
          <w:sz w:val="24"/>
        </w:rPr>
        <w:t xml:space="preserve">equivalent </w:t>
      </w:r>
      <w:r w:rsidR="00842AEB">
        <w:rPr>
          <w:sz w:val="24"/>
        </w:rPr>
        <w:t>cost</w:t>
      </w:r>
      <w:r w:rsidR="00842AEB">
        <w:rPr>
          <w:sz w:val="24"/>
        </w:rPr>
        <w:t xml:space="preserve"> of $284, </w:t>
      </w:r>
      <w:r>
        <w:rPr>
          <w:sz w:val="24"/>
        </w:rPr>
        <w:t xml:space="preserve">from </w:t>
      </w:r>
      <w:r w:rsidRPr="00AE0022">
        <w:rPr>
          <w:sz w:val="24"/>
        </w:rPr>
        <w:t>$</w:t>
      </w:r>
      <w:r w:rsidR="000304C7">
        <w:rPr>
          <w:sz w:val="24"/>
        </w:rPr>
        <w:t>3,</w:t>
      </w:r>
      <w:r w:rsidR="00842AEB">
        <w:rPr>
          <w:sz w:val="24"/>
        </w:rPr>
        <w:t>393</w:t>
      </w:r>
      <w:r w:rsidR="00AE0022">
        <w:rPr>
          <w:sz w:val="24"/>
        </w:rPr>
        <w:t xml:space="preserve"> to $3</w:t>
      </w:r>
      <w:r w:rsidR="00842AEB">
        <w:rPr>
          <w:sz w:val="24"/>
        </w:rPr>
        <w:t>,677</w:t>
      </w:r>
      <w:r>
        <w:rPr>
          <w:sz w:val="24"/>
        </w:rPr>
        <w:t>.</w:t>
      </w:r>
    </w:p>
    <w:p w:rsidR="00BE588B" w:rsidRPr="00DE484E" w:rsidP="00D31450" w14:paraId="272287D0" w14:textId="70031CE0">
      <w:pPr>
        <w:pStyle w:val="Heading2"/>
      </w:pPr>
      <w:r>
        <w:rPr>
          <w:lang w:val="en-US"/>
        </w:rPr>
        <w:t xml:space="preserve"> </w:t>
      </w:r>
      <w:r w:rsidR="008F1EB4">
        <w:t>Publication/Tabulation Dates</w:t>
      </w:r>
    </w:p>
    <w:p w:rsidR="00A9050B" w:rsidP="00DE484E" w14:paraId="57EC8378" w14:textId="752DA56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46"/>
        <w:rPr>
          <w:bCs/>
          <w:sz w:val="24"/>
        </w:rPr>
      </w:pPr>
      <w:r w:rsidRPr="00A9050B">
        <w:rPr>
          <w:bCs/>
          <w:sz w:val="24"/>
        </w:rPr>
        <w:t>CMS publish</w:t>
      </w:r>
      <w:r>
        <w:rPr>
          <w:bCs/>
          <w:sz w:val="24"/>
        </w:rPr>
        <w:t>es</w:t>
      </w:r>
      <w:r w:rsidRPr="00A9050B">
        <w:rPr>
          <w:bCs/>
          <w:sz w:val="24"/>
        </w:rPr>
        <w:t xml:space="preserve"> a </w:t>
      </w:r>
      <w:r w:rsidRPr="00A9050B">
        <w:rPr>
          <w:bCs/>
          <w:sz w:val="24"/>
        </w:rPr>
        <w:t xml:space="preserve">list of </w:t>
      </w:r>
      <w:r>
        <w:rPr>
          <w:bCs/>
          <w:sz w:val="24"/>
        </w:rPr>
        <w:t xml:space="preserve">those plans that have applied for and received MEC recognition at </w:t>
      </w:r>
      <w:hyperlink r:id="rId9" w:history="1">
        <w:r w:rsidRPr="009C2587">
          <w:rPr>
            <w:rStyle w:val="Hyperlink"/>
            <w:bCs/>
            <w:sz w:val="24"/>
          </w:rPr>
          <w:t>https://www.cms.gov/CCIIO/Programs-and-Initiatives/Health-Insurance-Market-Reforms/minimum-essential-coverage.html</w:t>
        </w:r>
      </w:hyperlink>
      <w:r>
        <w:rPr>
          <w:bCs/>
          <w:sz w:val="24"/>
        </w:rPr>
        <w:t xml:space="preserve">. </w:t>
      </w:r>
    </w:p>
    <w:p w:rsidR="000F3AF4" w:rsidP="00D31450" w14:paraId="7251A017" w14:textId="77777777">
      <w:pPr>
        <w:pStyle w:val="Heading2"/>
      </w:pPr>
      <w:r>
        <w:t>Expiration Date</w:t>
      </w:r>
    </w:p>
    <w:p w:rsidR="000F3AF4" w:rsidP="0049303A" w14:paraId="419A40A3" w14:textId="7601D5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r w:rsidRPr="002A0102">
        <w:rPr>
          <w:sz w:val="24"/>
        </w:rPr>
        <w:t>The expiration date will be displayed on the first page of each instrument (top, right-hand corn</w:t>
      </w:r>
      <w:r>
        <w:rPr>
          <w:sz w:val="24"/>
        </w:rPr>
        <w:t>er).</w:t>
      </w:r>
    </w:p>
    <w:sectPr w:rsidSect="006A4B5F">
      <w:footerReference w:type="default" r:id="rId10"/>
      <w:endnotePr>
        <w:numFmt w:val="decimal"/>
      </w:endnotePr>
      <w:type w:val="continuous"/>
      <w:pgSz w:w="12240" w:h="15840"/>
      <w:pgMar w:top="1170" w:right="1440" w:bottom="1440" w:left="1440" w:header="1440" w:footer="12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0CB" w:rsidRPr="003F5341" w:rsidP="003F5341" w14:paraId="22AB3F54" w14:textId="150FD811">
    <w:pPr>
      <w:pStyle w:val="Footer"/>
      <w:jc w:val="right"/>
      <w:rPr>
        <w:lang w:val="en-US"/>
      </w:rPr>
    </w:pPr>
    <w:r>
      <w:fldChar w:fldCharType="begin"/>
    </w:r>
    <w:r>
      <w:instrText xml:space="preserve"> PAGE   \* MERGEFORMAT </w:instrText>
    </w:r>
    <w:r>
      <w:fldChar w:fldCharType="separate"/>
    </w:r>
    <w:r w:rsidR="00B9393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4ADF" w14:paraId="1564BE6B" w14:textId="77777777">
      <w:r>
        <w:separator/>
      </w:r>
    </w:p>
  </w:footnote>
  <w:footnote w:type="continuationSeparator" w:id="1">
    <w:p w:rsidR="00E44ADF" w14:paraId="26A3A413" w14:textId="77777777">
      <w:r>
        <w:continuationSeparator/>
      </w:r>
    </w:p>
  </w:footnote>
  <w:footnote w:type="continuationNotice" w:id="2">
    <w:p w:rsidR="00E44ADF" w14:paraId="45298C18" w14:textId="77777777"/>
  </w:footnote>
  <w:footnote w:id="3">
    <w:p w:rsidR="005619BF" w14:paraId="4ECD4AB6" w14:textId="732FB2AA">
      <w:pPr>
        <w:pStyle w:val="FootnoteText"/>
      </w:pPr>
      <w:r w:rsidRPr="00B93930">
        <w:rPr>
          <w:rStyle w:val="FootnoteReference"/>
          <w:vertAlign w:val="superscript"/>
        </w:rPr>
        <w:footnoteRef/>
      </w:r>
      <w:r>
        <w:t xml:space="preserve"> </w:t>
      </w:r>
      <w:r w:rsidRPr="005619BF">
        <w:t xml:space="preserve">Although the individual shared responsibility payment was reduced to $0, several important consumer protections continue to exist for individuals who are enrolled in coverage that is recognized as MEC, that do not exist for individuals who are enrolled in non-MEC plans. </w:t>
      </w:r>
      <w:r w:rsidR="00152F5E">
        <w:t xml:space="preserve"> </w:t>
      </w:r>
      <w:r w:rsidRPr="005619BF">
        <w:t xml:space="preserve">For example, individuals who lose MEC are entitled to a special enrollment period (SEP) during which they can request enrollment in individual market health insurance coverage any time between 60 days before and 60 days after losing that coverage, instead of being able to request enrollment in such coverage only during the annual open enrollment </w:t>
      </w:r>
      <w:r w:rsidRPr="005619BF" w:rsidR="005004F4">
        <w:t xml:space="preserve">period each </w:t>
      </w:r>
      <w:r w:rsidRPr="005619BF">
        <w:t xml:space="preserve">year. </w:t>
      </w:r>
      <w:r w:rsidR="00152F5E">
        <w:t xml:space="preserve"> </w:t>
      </w:r>
      <w:r w:rsidRPr="005619BF">
        <w:t>Also,</w:t>
      </w:r>
      <w:r w:rsidR="001B6DF7">
        <w:t xml:space="preserve"> eligibility for</w:t>
      </w:r>
      <w:r w:rsidRPr="005619BF">
        <w:t xml:space="preserve"> certain other SEPs </w:t>
      </w:r>
      <w:r w:rsidRPr="005619BF">
        <w:t>are</w:t>
      </w:r>
      <w:r w:rsidRPr="005619BF">
        <w:t xml:space="preserve"> contingent upon an individual having prior MEC, such as the SEPs for individual health insurance coverage that are created upon marriage, and upon gaining access to new individual health insurance plans </w:t>
      </w:r>
      <w:r w:rsidRPr="005619BF">
        <w:t>as a result of</w:t>
      </w:r>
      <w:r w:rsidRPr="005619BF">
        <w:t xml:space="preserve"> a permanent move</w:t>
      </w:r>
      <w:r>
        <w:t xml:space="preserve"> (</w:t>
      </w:r>
      <w:r w:rsidRPr="005619BF">
        <w:t>45 CFR 155.420, 45 CFR 147.104</w:t>
      </w:r>
      <w:r>
        <w:t>)</w:t>
      </w:r>
      <w:r w:rsidRPr="005619BF">
        <w:t>.</w:t>
      </w:r>
    </w:p>
  </w:footnote>
  <w:footnote w:id="4">
    <w:p w:rsidR="00CF7FB6" w14:paraId="47E9D4E6" w14:textId="63BA93D8">
      <w:pPr>
        <w:pStyle w:val="FootnoteText"/>
      </w:pPr>
      <w:r w:rsidRPr="00230632">
        <w:rPr>
          <w:rStyle w:val="FootnoteReference"/>
          <w:vertAlign w:val="superscript"/>
        </w:rPr>
        <w:footnoteRef/>
      </w:r>
      <w:r w:rsidRPr="00230632">
        <w:rPr>
          <w:vertAlign w:val="superscript"/>
        </w:rPr>
        <w:t xml:space="preserve"> </w:t>
      </w:r>
      <w:r w:rsidRPr="00CF7FB6">
        <w:t>May 20</w:t>
      </w:r>
      <w:r w:rsidR="000A3F19">
        <w:t>2</w:t>
      </w:r>
      <w:r w:rsidR="001A7237">
        <w:t>4</w:t>
      </w:r>
      <w:r w:rsidRPr="00CF7FB6">
        <w:t xml:space="preserve"> Occupational Employment Statistics found at https://www.bls.gov/oes/current/oes_nat.htm).  To account for fringe </w:t>
      </w:r>
      <w:r w:rsidR="00681DD7">
        <w:t>benefits and other indirect costs</w:t>
      </w:r>
      <w:r w:rsidRPr="00CF7FB6">
        <w:t xml:space="preserve">, HHS is using 100% of the </w:t>
      </w:r>
      <w:r w:rsidR="0070663E">
        <w:t>median</w:t>
      </w:r>
      <w:r w:rsidRPr="00CF7FB6" w:rsidR="0070663E">
        <w:t xml:space="preserve"> </w:t>
      </w:r>
      <w:r w:rsidRPr="00CF7FB6">
        <w:t>hourly wage.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94DBF"/>
    <w:multiLevelType w:val="hybridMultilevel"/>
    <w:tmpl w:val="A59A99B8"/>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553C4B"/>
    <w:multiLevelType w:val="hybridMultilevel"/>
    <w:tmpl w:val="D3A85D74"/>
    <w:lvl w:ilvl="0">
      <w:start w:val="1"/>
      <w:numFmt w:val="upperLetter"/>
      <w:pStyle w:val="Heading1"/>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
    <w:nsid w:val="1A5868B3"/>
    <w:multiLevelType w:val="hybridMultilevel"/>
    <w:tmpl w:val="2F3451D2"/>
    <w:lvl w:ilvl="0">
      <w:start w:val="1"/>
      <w:numFmt w:val="decimal"/>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876E5F"/>
    <w:multiLevelType w:val="hybridMultilevel"/>
    <w:tmpl w:val="371A5F2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0592575"/>
    <w:multiLevelType w:val="hybridMultilevel"/>
    <w:tmpl w:val="37B20650"/>
    <w:lvl w:ilvl="0">
      <w:start w:val="1"/>
      <w:numFmt w:val="lowerRoman"/>
      <w:lvlText w:val="%1."/>
      <w:lvlJc w:val="righ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5">
    <w:nsid w:val="58FF07CB"/>
    <w:multiLevelType w:val="hybridMultilevel"/>
    <w:tmpl w:val="5818FF84"/>
    <w:lvl w:ilvl="0">
      <w:start w:val="1"/>
      <w:numFmt w:val="lowerRoman"/>
      <w:lvlText w:val="%1."/>
      <w:lvlJc w:val="right"/>
      <w:pPr>
        <w:ind w:left="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num w:numId="1" w16cid:durableId="730275074">
    <w:abstractNumId w:val="0"/>
  </w:num>
  <w:num w:numId="2" w16cid:durableId="547523">
    <w:abstractNumId w:val="5"/>
  </w:num>
  <w:num w:numId="3" w16cid:durableId="1360664397">
    <w:abstractNumId w:val="4"/>
  </w:num>
  <w:num w:numId="4" w16cid:durableId="909074322">
    <w:abstractNumId w:val="1"/>
  </w:num>
  <w:num w:numId="5" w16cid:durableId="1430587706">
    <w:abstractNumId w:val="2"/>
  </w:num>
  <w:num w:numId="6" w16cid:durableId="1443454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050D"/>
    <w:rsid w:val="00001396"/>
    <w:rsid w:val="00020117"/>
    <w:rsid w:val="000304C7"/>
    <w:rsid w:val="00033FC6"/>
    <w:rsid w:val="00035CB8"/>
    <w:rsid w:val="000368D1"/>
    <w:rsid w:val="00040FC1"/>
    <w:rsid w:val="0004135B"/>
    <w:rsid w:val="000423EC"/>
    <w:rsid w:val="0004471A"/>
    <w:rsid w:val="00047209"/>
    <w:rsid w:val="00057CC4"/>
    <w:rsid w:val="0006188F"/>
    <w:rsid w:val="00070260"/>
    <w:rsid w:val="00074248"/>
    <w:rsid w:val="00081F23"/>
    <w:rsid w:val="00082D29"/>
    <w:rsid w:val="00083B85"/>
    <w:rsid w:val="00087417"/>
    <w:rsid w:val="0009255B"/>
    <w:rsid w:val="0009526C"/>
    <w:rsid w:val="00096EA9"/>
    <w:rsid w:val="000A1017"/>
    <w:rsid w:val="000A3F19"/>
    <w:rsid w:val="000A43C1"/>
    <w:rsid w:val="000A607F"/>
    <w:rsid w:val="000B4AE9"/>
    <w:rsid w:val="000B5551"/>
    <w:rsid w:val="000C073C"/>
    <w:rsid w:val="000C2944"/>
    <w:rsid w:val="000C3079"/>
    <w:rsid w:val="000D12A1"/>
    <w:rsid w:val="000D2DE0"/>
    <w:rsid w:val="000D7B8B"/>
    <w:rsid w:val="000E1741"/>
    <w:rsid w:val="000E74E5"/>
    <w:rsid w:val="000F0596"/>
    <w:rsid w:val="000F117F"/>
    <w:rsid w:val="000F21F8"/>
    <w:rsid w:val="000F3AF4"/>
    <w:rsid w:val="00100ED1"/>
    <w:rsid w:val="00102838"/>
    <w:rsid w:val="001074B6"/>
    <w:rsid w:val="0011084E"/>
    <w:rsid w:val="001117B8"/>
    <w:rsid w:val="0011528A"/>
    <w:rsid w:val="001166B9"/>
    <w:rsid w:val="001254DB"/>
    <w:rsid w:val="00142C2B"/>
    <w:rsid w:val="001434DC"/>
    <w:rsid w:val="00143FF2"/>
    <w:rsid w:val="001522BB"/>
    <w:rsid w:val="00152F5E"/>
    <w:rsid w:val="00155678"/>
    <w:rsid w:val="00157316"/>
    <w:rsid w:val="00160F8A"/>
    <w:rsid w:val="001628AF"/>
    <w:rsid w:val="001738B2"/>
    <w:rsid w:val="00174123"/>
    <w:rsid w:val="00176E06"/>
    <w:rsid w:val="00180013"/>
    <w:rsid w:val="00180153"/>
    <w:rsid w:val="00181D4B"/>
    <w:rsid w:val="001821BC"/>
    <w:rsid w:val="00192CB8"/>
    <w:rsid w:val="00195D06"/>
    <w:rsid w:val="00196AFA"/>
    <w:rsid w:val="001A29C7"/>
    <w:rsid w:val="001A2FB1"/>
    <w:rsid w:val="001A5603"/>
    <w:rsid w:val="001A7237"/>
    <w:rsid w:val="001B4A33"/>
    <w:rsid w:val="001B5589"/>
    <w:rsid w:val="001B572A"/>
    <w:rsid w:val="001B5A0E"/>
    <w:rsid w:val="001B5F16"/>
    <w:rsid w:val="001B5FC8"/>
    <w:rsid w:val="001B6DF7"/>
    <w:rsid w:val="001B75B9"/>
    <w:rsid w:val="001C6F0D"/>
    <w:rsid w:val="001D3690"/>
    <w:rsid w:val="001D43CB"/>
    <w:rsid w:val="001E5CA6"/>
    <w:rsid w:val="001F0CDD"/>
    <w:rsid w:val="00201153"/>
    <w:rsid w:val="00205140"/>
    <w:rsid w:val="00224015"/>
    <w:rsid w:val="00230632"/>
    <w:rsid w:val="002312DE"/>
    <w:rsid w:val="00231CA3"/>
    <w:rsid w:val="00232BC1"/>
    <w:rsid w:val="002376D6"/>
    <w:rsid w:val="0024357D"/>
    <w:rsid w:val="00257743"/>
    <w:rsid w:val="002635DD"/>
    <w:rsid w:val="00265EDB"/>
    <w:rsid w:val="00266B80"/>
    <w:rsid w:val="00273C97"/>
    <w:rsid w:val="002753E5"/>
    <w:rsid w:val="00284E1D"/>
    <w:rsid w:val="00290804"/>
    <w:rsid w:val="002A0102"/>
    <w:rsid w:val="002A5533"/>
    <w:rsid w:val="002A5777"/>
    <w:rsid w:val="002A59F4"/>
    <w:rsid w:val="002B0F81"/>
    <w:rsid w:val="002C4213"/>
    <w:rsid w:val="002C4BC5"/>
    <w:rsid w:val="002C798C"/>
    <w:rsid w:val="002D01AE"/>
    <w:rsid w:val="002E47DE"/>
    <w:rsid w:val="002E48B8"/>
    <w:rsid w:val="002E5A05"/>
    <w:rsid w:val="002F111F"/>
    <w:rsid w:val="00306531"/>
    <w:rsid w:val="00313741"/>
    <w:rsid w:val="00313800"/>
    <w:rsid w:val="00325A0C"/>
    <w:rsid w:val="00337BC4"/>
    <w:rsid w:val="00341CED"/>
    <w:rsid w:val="003468E8"/>
    <w:rsid w:val="0035663C"/>
    <w:rsid w:val="00360BB5"/>
    <w:rsid w:val="00361816"/>
    <w:rsid w:val="00364F4E"/>
    <w:rsid w:val="00371AC7"/>
    <w:rsid w:val="00372670"/>
    <w:rsid w:val="003769E1"/>
    <w:rsid w:val="00377FE0"/>
    <w:rsid w:val="00381809"/>
    <w:rsid w:val="00381CA0"/>
    <w:rsid w:val="00392058"/>
    <w:rsid w:val="00392C06"/>
    <w:rsid w:val="00392DA8"/>
    <w:rsid w:val="003A2700"/>
    <w:rsid w:val="003B1FC5"/>
    <w:rsid w:val="003B3121"/>
    <w:rsid w:val="003B4B10"/>
    <w:rsid w:val="003B7696"/>
    <w:rsid w:val="003C4DFF"/>
    <w:rsid w:val="003F468B"/>
    <w:rsid w:val="003F5341"/>
    <w:rsid w:val="00402B49"/>
    <w:rsid w:val="004059EC"/>
    <w:rsid w:val="004146A8"/>
    <w:rsid w:val="00426EDC"/>
    <w:rsid w:val="00433C8E"/>
    <w:rsid w:val="00435DC7"/>
    <w:rsid w:val="00440D1F"/>
    <w:rsid w:val="0044592F"/>
    <w:rsid w:val="004501E5"/>
    <w:rsid w:val="0046265D"/>
    <w:rsid w:val="004649DB"/>
    <w:rsid w:val="00467033"/>
    <w:rsid w:val="00471B52"/>
    <w:rsid w:val="00472221"/>
    <w:rsid w:val="00472E16"/>
    <w:rsid w:val="0047549E"/>
    <w:rsid w:val="00482FC4"/>
    <w:rsid w:val="00484683"/>
    <w:rsid w:val="00484979"/>
    <w:rsid w:val="0049303A"/>
    <w:rsid w:val="004A0A13"/>
    <w:rsid w:val="004A0BA9"/>
    <w:rsid w:val="004A4CC9"/>
    <w:rsid w:val="004A6617"/>
    <w:rsid w:val="004B138C"/>
    <w:rsid w:val="004B3EAA"/>
    <w:rsid w:val="004C0D21"/>
    <w:rsid w:val="004D1AA3"/>
    <w:rsid w:val="004D31CB"/>
    <w:rsid w:val="004D3E18"/>
    <w:rsid w:val="004D61A2"/>
    <w:rsid w:val="004D7E1A"/>
    <w:rsid w:val="004E175E"/>
    <w:rsid w:val="004E22AF"/>
    <w:rsid w:val="004F6CB6"/>
    <w:rsid w:val="005004F4"/>
    <w:rsid w:val="00507BC1"/>
    <w:rsid w:val="00507E10"/>
    <w:rsid w:val="0051645C"/>
    <w:rsid w:val="0053790F"/>
    <w:rsid w:val="00537D22"/>
    <w:rsid w:val="00544CDF"/>
    <w:rsid w:val="00552E03"/>
    <w:rsid w:val="0055368A"/>
    <w:rsid w:val="0055724B"/>
    <w:rsid w:val="005619BF"/>
    <w:rsid w:val="00561F6C"/>
    <w:rsid w:val="005815AB"/>
    <w:rsid w:val="00586F43"/>
    <w:rsid w:val="005A34B2"/>
    <w:rsid w:val="005A4F89"/>
    <w:rsid w:val="005A7D44"/>
    <w:rsid w:val="005B0908"/>
    <w:rsid w:val="005B2B95"/>
    <w:rsid w:val="005B4967"/>
    <w:rsid w:val="005C45EB"/>
    <w:rsid w:val="005D0BC6"/>
    <w:rsid w:val="005D65BF"/>
    <w:rsid w:val="005E33C8"/>
    <w:rsid w:val="005E36C6"/>
    <w:rsid w:val="005E7F23"/>
    <w:rsid w:val="005F0ECD"/>
    <w:rsid w:val="005F0EF9"/>
    <w:rsid w:val="005F23C5"/>
    <w:rsid w:val="006003E0"/>
    <w:rsid w:val="00602A25"/>
    <w:rsid w:val="00604F22"/>
    <w:rsid w:val="0060657D"/>
    <w:rsid w:val="006075BE"/>
    <w:rsid w:val="006108E9"/>
    <w:rsid w:val="00617536"/>
    <w:rsid w:val="006204EF"/>
    <w:rsid w:val="00627477"/>
    <w:rsid w:val="006348AF"/>
    <w:rsid w:val="00641AA4"/>
    <w:rsid w:val="00652DC4"/>
    <w:rsid w:val="00657B85"/>
    <w:rsid w:val="006604C5"/>
    <w:rsid w:val="00667153"/>
    <w:rsid w:val="00676DDF"/>
    <w:rsid w:val="00677C3A"/>
    <w:rsid w:val="00680B42"/>
    <w:rsid w:val="00681DD7"/>
    <w:rsid w:val="006941E7"/>
    <w:rsid w:val="00696E7E"/>
    <w:rsid w:val="006A4B5F"/>
    <w:rsid w:val="006B07A6"/>
    <w:rsid w:val="006B3068"/>
    <w:rsid w:val="006B6697"/>
    <w:rsid w:val="006B7B3D"/>
    <w:rsid w:val="006C15FA"/>
    <w:rsid w:val="006C284E"/>
    <w:rsid w:val="006C4550"/>
    <w:rsid w:val="006D2D93"/>
    <w:rsid w:val="006D4160"/>
    <w:rsid w:val="006D4F6D"/>
    <w:rsid w:val="006D5458"/>
    <w:rsid w:val="006E33C5"/>
    <w:rsid w:val="006E6114"/>
    <w:rsid w:val="006E7DF9"/>
    <w:rsid w:val="006F077F"/>
    <w:rsid w:val="006F2EA7"/>
    <w:rsid w:val="0070663E"/>
    <w:rsid w:val="0070681F"/>
    <w:rsid w:val="0071160E"/>
    <w:rsid w:val="00733BEE"/>
    <w:rsid w:val="00735D8B"/>
    <w:rsid w:val="00755823"/>
    <w:rsid w:val="00761566"/>
    <w:rsid w:val="007A31A7"/>
    <w:rsid w:val="007A35D1"/>
    <w:rsid w:val="007A39EF"/>
    <w:rsid w:val="007A6580"/>
    <w:rsid w:val="007A7A9D"/>
    <w:rsid w:val="007B15D5"/>
    <w:rsid w:val="007B7982"/>
    <w:rsid w:val="007D3C90"/>
    <w:rsid w:val="007D6442"/>
    <w:rsid w:val="007E7261"/>
    <w:rsid w:val="007F3D61"/>
    <w:rsid w:val="00816B7F"/>
    <w:rsid w:val="00824D5D"/>
    <w:rsid w:val="008250BD"/>
    <w:rsid w:val="00826BBC"/>
    <w:rsid w:val="00834BB8"/>
    <w:rsid w:val="008365D3"/>
    <w:rsid w:val="00841598"/>
    <w:rsid w:val="00842AEB"/>
    <w:rsid w:val="008431B8"/>
    <w:rsid w:val="008459FF"/>
    <w:rsid w:val="008477C3"/>
    <w:rsid w:val="00847D7B"/>
    <w:rsid w:val="008553AC"/>
    <w:rsid w:val="00860248"/>
    <w:rsid w:val="00860CDD"/>
    <w:rsid w:val="00867958"/>
    <w:rsid w:val="00870D59"/>
    <w:rsid w:val="00870E27"/>
    <w:rsid w:val="0087265D"/>
    <w:rsid w:val="00876BEE"/>
    <w:rsid w:val="008772A8"/>
    <w:rsid w:val="008815ED"/>
    <w:rsid w:val="00883EBB"/>
    <w:rsid w:val="00887A20"/>
    <w:rsid w:val="00887CA3"/>
    <w:rsid w:val="00894E36"/>
    <w:rsid w:val="008965A2"/>
    <w:rsid w:val="008B6D8F"/>
    <w:rsid w:val="008D1FCE"/>
    <w:rsid w:val="008D33D6"/>
    <w:rsid w:val="008E37BB"/>
    <w:rsid w:val="008F1EB4"/>
    <w:rsid w:val="008F4B01"/>
    <w:rsid w:val="008F67E4"/>
    <w:rsid w:val="008F744B"/>
    <w:rsid w:val="00904C2F"/>
    <w:rsid w:val="00907BDD"/>
    <w:rsid w:val="00911595"/>
    <w:rsid w:val="00926862"/>
    <w:rsid w:val="00937FE3"/>
    <w:rsid w:val="00944416"/>
    <w:rsid w:val="009534EF"/>
    <w:rsid w:val="00966042"/>
    <w:rsid w:val="00966AD6"/>
    <w:rsid w:val="00971000"/>
    <w:rsid w:val="00971C78"/>
    <w:rsid w:val="00974DFA"/>
    <w:rsid w:val="0097554F"/>
    <w:rsid w:val="00984B42"/>
    <w:rsid w:val="00987CAF"/>
    <w:rsid w:val="00993345"/>
    <w:rsid w:val="009948B8"/>
    <w:rsid w:val="00995304"/>
    <w:rsid w:val="009A1C77"/>
    <w:rsid w:val="009A4372"/>
    <w:rsid w:val="009B66EB"/>
    <w:rsid w:val="009B73F3"/>
    <w:rsid w:val="009C11F6"/>
    <w:rsid w:val="009C2587"/>
    <w:rsid w:val="009D3CCA"/>
    <w:rsid w:val="009E00E6"/>
    <w:rsid w:val="009E4C86"/>
    <w:rsid w:val="009F0B35"/>
    <w:rsid w:val="00A04066"/>
    <w:rsid w:val="00A12A02"/>
    <w:rsid w:val="00A163C4"/>
    <w:rsid w:val="00A20415"/>
    <w:rsid w:val="00A241DA"/>
    <w:rsid w:val="00A24876"/>
    <w:rsid w:val="00A2588B"/>
    <w:rsid w:val="00A278A8"/>
    <w:rsid w:val="00A30246"/>
    <w:rsid w:val="00A34961"/>
    <w:rsid w:val="00A41393"/>
    <w:rsid w:val="00A447D4"/>
    <w:rsid w:val="00A569BA"/>
    <w:rsid w:val="00A602C7"/>
    <w:rsid w:val="00A64007"/>
    <w:rsid w:val="00A74C7D"/>
    <w:rsid w:val="00A75C50"/>
    <w:rsid w:val="00A75DDB"/>
    <w:rsid w:val="00A76CC6"/>
    <w:rsid w:val="00A77507"/>
    <w:rsid w:val="00A820B5"/>
    <w:rsid w:val="00A851DE"/>
    <w:rsid w:val="00A8777F"/>
    <w:rsid w:val="00A9050B"/>
    <w:rsid w:val="00A946AC"/>
    <w:rsid w:val="00AA252C"/>
    <w:rsid w:val="00AA4D5A"/>
    <w:rsid w:val="00AA5949"/>
    <w:rsid w:val="00AB00A4"/>
    <w:rsid w:val="00AB03C5"/>
    <w:rsid w:val="00AB22FA"/>
    <w:rsid w:val="00AB2BC2"/>
    <w:rsid w:val="00AB55B8"/>
    <w:rsid w:val="00AC215C"/>
    <w:rsid w:val="00AC364E"/>
    <w:rsid w:val="00AC5525"/>
    <w:rsid w:val="00AC6138"/>
    <w:rsid w:val="00AD49AE"/>
    <w:rsid w:val="00AE0022"/>
    <w:rsid w:val="00AE02F2"/>
    <w:rsid w:val="00AE34D6"/>
    <w:rsid w:val="00AE58CD"/>
    <w:rsid w:val="00AE6066"/>
    <w:rsid w:val="00AE6D08"/>
    <w:rsid w:val="00B0374C"/>
    <w:rsid w:val="00B043D1"/>
    <w:rsid w:val="00B22F4A"/>
    <w:rsid w:val="00B252D6"/>
    <w:rsid w:val="00B26E8D"/>
    <w:rsid w:val="00B302F1"/>
    <w:rsid w:val="00B3177B"/>
    <w:rsid w:val="00B367BD"/>
    <w:rsid w:val="00B4120C"/>
    <w:rsid w:val="00B418D4"/>
    <w:rsid w:val="00B57F5A"/>
    <w:rsid w:val="00B61673"/>
    <w:rsid w:val="00B63A7A"/>
    <w:rsid w:val="00B70C93"/>
    <w:rsid w:val="00B8048D"/>
    <w:rsid w:val="00B82C93"/>
    <w:rsid w:val="00B85D89"/>
    <w:rsid w:val="00B862EE"/>
    <w:rsid w:val="00B9320E"/>
    <w:rsid w:val="00B93930"/>
    <w:rsid w:val="00B97538"/>
    <w:rsid w:val="00BA0BF9"/>
    <w:rsid w:val="00BA398C"/>
    <w:rsid w:val="00BA3EE5"/>
    <w:rsid w:val="00BB0568"/>
    <w:rsid w:val="00BB77F4"/>
    <w:rsid w:val="00BC5C65"/>
    <w:rsid w:val="00BC62F1"/>
    <w:rsid w:val="00BD122E"/>
    <w:rsid w:val="00BD4772"/>
    <w:rsid w:val="00BD4FBD"/>
    <w:rsid w:val="00BD75FB"/>
    <w:rsid w:val="00BE06BF"/>
    <w:rsid w:val="00BE0C23"/>
    <w:rsid w:val="00BE1F4C"/>
    <w:rsid w:val="00BE588B"/>
    <w:rsid w:val="00BF04CD"/>
    <w:rsid w:val="00BF0753"/>
    <w:rsid w:val="00BF44A1"/>
    <w:rsid w:val="00C0051D"/>
    <w:rsid w:val="00C0063A"/>
    <w:rsid w:val="00C00BA6"/>
    <w:rsid w:val="00C0635F"/>
    <w:rsid w:val="00C11F32"/>
    <w:rsid w:val="00C1640E"/>
    <w:rsid w:val="00C30B58"/>
    <w:rsid w:val="00C31955"/>
    <w:rsid w:val="00C33322"/>
    <w:rsid w:val="00C3644F"/>
    <w:rsid w:val="00C5122B"/>
    <w:rsid w:val="00C62101"/>
    <w:rsid w:val="00C63882"/>
    <w:rsid w:val="00C74036"/>
    <w:rsid w:val="00C91EEE"/>
    <w:rsid w:val="00C930CB"/>
    <w:rsid w:val="00CC4E3B"/>
    <w:rsid w:val="00CD381D"/>
    <w:rsid w:val="00CE0570"/>
    <w:rsid w:val="00CE353F"/>
    <w:rsid w:val="00CF45F5"/>
    <w:rsid w:val="00CF7FB6"/>
    <w:rsid w:val="00D0161B"/>
    <w:rsid w:val="00D0224B"/>
    <w:rsid w:val="00D02799"/>
    <w:rsid w:val="00D03519"/>
    <w:rsid w:val="00D04815"/>
    <w:rsid w:val="00D0738E"/>
    <w:rsid w:val="00D14639"/>
    <w:rsid w:val="00D14E5A"/>
    <w:rsid w:val="00D17956"/>
    <w:rsid w:val="00D17BE4"/>
    <w:rsid w:val="00D211F4"/>
    <w:rsid w:val="00D238CE"/>
    <w:rsid w:val="00D26A96"/>
    <w:rsid w:val="00D31450"/>
    <w:rsid w:val="00D338E1"/>
    <w:rsid w:val="00D36FF8"/>
    <w:rsid w:val="00D4185A"/>
    <w:rsid w:val="00D419A3"/>
    <w:rsid w:val="00D47666"/>
    <w:rsid w:val="00D51648"/>
    <w:rsid w:val="00D644EA"/>
    <w:rsid w:val="00D65FE9"/>
    <w:rsid w:val="00D67789"/>
    <w:rsid w:val="00D72B0F"/>
    <w:rsid w:val="00D74892"/>
    <w:rsid w:val="00D74E1C"/>
    <w:rsid w:val="00D75C6E"/>
    <w:rsid w:val="00D76E8F"/>
    <w:rsid w:val="00D86ED1"/>
    <w:rsid w:val="00D95EFD"/>
    <w:rsid w:val="00DA02FA"/>
    <w:rsid w:val="00DA1BF8"/>
    <w:rsid w:val="00DB341E"/>
    <w:rsid w:val="00DB63C3"/>
    <w:rsid w:val="00DC2E30"/>
    <w:rsid w:val="00DC465A"/>
    <w:rsid w:val="00DC5101"/>
    <w:rsid w:val="00DD02CE"/>
    <w:rsid w:val="00DD466A"/>
    <w:rsid w:val="00DE484E"/>
    <w:rsid w:val="00DF2E86"/>
    <w:rsid w:val="00DF58FB"/>
    <w:rsid w:val="00E009DF"/>
    <w:rsid w:val="00E03F8A"/>
    <w:rsid w:val="00E134EC"/>
    <w:rsid w:val="00E17990"/>
    <w:rsid w:val="00E21F04"/>
    <w:rsid w:val="00E2582D"/>
    <w:rsid w:val="00E31918"/>
    <w:rsid w:val="00E331DC"/>
    <w:rsid w:val="00E44474"/>
    <w:rsid w:val="00E44ADF"/>
    <w:rsid w:val="00E54A29"/>
    <w:rsid w:val="00E5669D"/>
    <w:rsid w:val="00E602CA"/>
    <w:rsid w:val="00E63A39"/>
    <w:rsid w:val="00E65F42"/>
    <w:rsid w:val="00E70832"/>
    <w:rsid w:val="00E73853"/>
    <w:rsid w:val="00E779D2"/>
    <w:rsid w:val="00E8161C"/>
    <w:rsid w:val="00E82432"/>
    <w:rsid w:val="00E82821"/>
    <w:rsid w:val="00E86B52"/>
    <w:rsid w:val="00E8769A"/>
    <w:rsid w:val="00EA04BC"/>
    <w:rsid w:val="00EA05ED"/>
    <w:rsid w:val="00EA2607"/>
    <w:rsid w:val="00EA3E3D"/>
    <w:rsid w:val="00EB769B"/>
    <w:rsid w:val="00EC597B"/>
    <w:rsid w:val="00ED1E54"/>
    <w:rsid w:val="00EE0E46"/>
    <w:rsid w:val="00EE6579"/>
    <w:rsid w:val="00EF62EB"/>
    <w:rsid w:val="00F05D2D"/>
    <w:rsid w:val="00F12D7F"/>
    <w:rsid w:val="00F342C8"/>
    <w:rsid w:val="00F43A3D"/>
    <w:rsid w:val="00F468A8"/>
    <w:rsid w:val="00F47617"/>
    <w:rsid w:val="00F47862"/>
    <w:rsid w:val="00F50121"/>
    <w:rsid w:val="00F5358A"/>
    <w:rsid w:val="00F6021D"/>
    <w:rsid w:val="00F62AAA"/>
    <w:rsid w:val="00F6746F"/>
    <w:rsid w:val="00F81C39"/>
    <w:rsid w:val="00F82C86"/>
    <w:rsid w:val="00F9065E"/>
    <w:rsid w:val="00FA2A6C"/>
    <w:rsid w:val="00FA67B3"/>
    <w:rsid w:val="00FA75C3"/>
    <w:rsid w:val="00FB2F78"/>
    <w:rsid w:val="00FB424A"/>
    <w:rsid w:val="00FB5612"/>
    <w:rsid w:val="00FC05B5"/>
    <w:rsid w:val="00FC4ED3"/>
    <w:rsid w:val="00FC7892"/>
    <w:rsid w:val="00FD1135"/>
    <w:rsid w:val="00FD7B77"/>
    <w:rsid w:val="00FE12DC"/>
    <w:rsid w:val="00FF44A6"/>
    <w:rsid w:val="00FF50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C24486"/>
  <w15:docId w15:val="{EABB9957-61F3-4A13-9852-0C8BCC5B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68E8"/>
    <w:pPr>
      <w:widowControl w:val="0"/>
      <w:autoSpaceDE w:val="0"/>
      <w:autoSpaceDN w:val="0"/>
      <w:adjustRightInd w:val="0"/>
    </w:pPr>
    <w:rPr>
      <w:szCs w:val="24"/>
    </w:rPr>
  </w:style>
  <w:style w:type="paragraph" w:styleId="Heading1">
    <w:name w:val="heading 1"/>
    <w:basedOn w:val="Normal"/>
    <w:next w:val="Normal"/>
    <w:link w:val="Heading1Char"/>
    <w:qFormat/>
    <w:rsid w:val="006A4B5F"/>
    <w:pPr>
      <w:numPr>
        <w:numId w:val="4"/>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hanging="792"/>
      <w:outlineLvl w:val="0"/>
    </w:pPr>
    <w:rPr>
      <w:b/>
      <w:bCs/>
      <w:sz w:val="24"/>
      <w:lang w:val="x-none" w:eastAsia="x-none"/>
    </w:rPr>
  </w:style>
  <w:style w:type="paragraph" w:styleId="Heading2">
    <w:name w:val="heading 2"/>
    <w:basedOn w:val="Normal"/>
    <w:next w:val="Normal"/>
    <w:link w:val="Heading2Char"/>
    <w:qFormat/>
    <w:rsid w:val="00D31450"/>
    <w:pPr>
      <w:numPr>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hanging="720"/>
      <w:outlineLvl w:val="1"/>
    </w:pPr>
    <w:rPr>
      <w:sz w:val="24"/>
      <w:u w:val="single"/>
      <w:lang w:val="x-none" w:eastAsia="x-none"/>
    </w:rPr>
  </w:style>
  <w:style w:type="paragraph" w:styleId="Heading3">
    <w:name w:val="heading 3"/>
    <w:basedOn w:val="Normal"/>
    <w:next w:val="Normal"/>
    <w:link w:val="Heading3Char"/>
    <w:qFormat/>
    <w:rsid w:val="00D3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outlineLvl w:val="2"/>
    </w:pPr>
    <w:rPr>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rsid w:val="00205140"/>
    <w:rPr>
      <w:sz w:val="16"/>
      <w:szCs w:val="16"/>
    </w:rPr>
  </w:style>
  <w:style w:type="paragraph" w:styleId="CommentText">
    <w:name w:val="annotation text"/>
    <w:basedOn w:val="Normal"/>
    <w:link w:val="CommentTextChar"/>
    <w:rsid w:val="00205140"/>
    <w:rPr>
      <w:szCs w:val="20"/>
    </w:rPr>
  </w:style>
  <w:style w:type="character" w:customStyle="1" w:styleId="CommentTextChar">
    <w:name w:val="Comment Text Char"/>
    <w:basedOn w:val="DefaultParagraphFont"/>
    <w:link w:val="CommentText"/>
    <w:rsid w:val="00205140"/>
  </w:style>
  <w:style w:type="paragraph" w:styleId="BalloonText">
    <w:name w:val="Balloon Text"/>
    <w:basedOn w:val="Normal"/>
    <w:link w:val="BalloonTextChar"/>
    <w:rsid w:val="00205140"/>
    <w:rPr>
      <w:rFonts w:ascii="Tahoma" w:hAnsi="Tahoma"/>
      <w:sz w:val="16"/>
      <w:szCs w:val="16"/>
      <w:lang w:val="x-none" w:eastAsia="x-none"/>
    </w:rPr>
  </w:style>
  <w:style w:type="character" w:customStyle="1" w:styleId="BalloonTextChar">
    <w:name w:val="Balloon Text Char"/>
    <w:link w:val="BalloonText"/>
    <w:rsid w:val="00205140"/>
    <w:rPr>
      <w:rFonts w:ascii="Tahoma" w:hAnsi="Tahoma" w:cs="Tahoma"/>
      <w:sz w:val="16"/>
      <w:szCs w:val="16"/>
    </w:rPr>
  </w:style>
  <w:style w:type="paragraph" w:styleId="FootnoteText">
    <w:name w:val="footnote text"/>
    <w:basedOn w:val="Normal"/>
    <w:link w:val="FootnoteTextChar"/>
    <w:uiPriority w:val="99"/>
    <w:rsid w:val="002A5533"/>
    <w:rPr>
      <w:szCs w:val="20"/>
    </w:rPr>
  </w:style>
  <w:style w:type="character" w:customStyle="1" w:styleId="FootnoteTextChar">
    <w:name w:val="Footnote Text Char"/>
    <w:basedOn w:val="DefaultParagraphFont"/>
    <w:link w:val="FootnoteText"/>
    <w:uiPriority w:val="99"/>
    <w:rsid w:val="002A5533"/>
  </w:style>
  <w:style w:type="paragraph" w:styleId="DocumentMap">
    <w:name w:val="Document Map"/>
    <w:basedOn w:val="Normal"/>
    <w:link w:val="DocumentMapChar"/>
    <w:rsid w:val="00641AA4"/>
    <w:rPr>
      <w:rFonts w:ascii="Tahoma" w:hAnsi="Tahoma"/>
      <w:sz w:val="16"/>
      <w:szCs w:val="16"/>
      <w:lang w:val="x-none" w:eastAsia="x-none"/>
    </w:rPr>
  </w:style>
  <w:style w:type="character" w:customStyle="1" w:styleId="DocumentMapChar">
    <w:name w:val="Document Map Char"/>
    <w:link w:val="DocumentMap"/>
    <w:rsid w:val="00641AA4"/>
    <w:rPr>
      <w:rFonts w:ascii="Tahoma" w:hAnsi="Tahoma" w:cs="Tahoma"/>
      <w:sz w:val="16"/>
      <w:szCs w:val="16"/>
    </w:rPr>
  </w:style>
  <w:style w:type="paragraph" w:styleId="Header">
    <w:name w:val="header"/>
    <w:basedOn w:val="Normal"/>
    <w:link w:val="HeaderChar"/>
    <w:rsid w:val="004059EC"/>
    <w:pPr>
      <w:tabs>
        <w:tab w:val="center" w:pos="4680"/>
        <w:tab w:val="right" w:pos="9360"/>
      </w:tabs>
    </w:pPr>
    <w:rPr>
      <w:lang w:val="x-none" w:eastAsia="x-none"/>
    </w:rPr>
  </w:style>
  <w:style w:type="character" w:customStyle="1" w:styleId="HeaderChar">
    <w:name w:val="Header Char"/>
    <w:link w:val="Header"/>
    <w:rsid w:val="004059EC"/>
    <w:rPr>
      <w:szCs w:val="24"/>
    </w:rPr>
  </w:style>
  <w:style w:type="paragraph" w:styleId="Footer">
    <w:name w:val="footer"/>
    <w:basedOn w:val="Normal"/>
    <w:link w:val="FooterChar"/>
    <w:uiPriority w:val="99"/>
    <w:rsid w:val="004059EC"/>
    <w:pPr>
      <w:tabs>
        <w:tab w:val="center" w:pos="4680"/>
        <w:tab w:val="right" w:pos="9360"/>
      </w:tabs>
    </w:pPr>
    <w:rPr>
      <w:lang w:val="x-none" w:eastAsia="x-none"/>
    </w:rPr>
  </w:style>
  <w:style w:type="character" w:customStyle="1" w:styleId="FooterChar">
    <w:name w:val="Footer Char"/>
    <w:link w:val="Footer"/>
    <w:uiPriority w:val="99"/>
    <w:rsid w:val="004059EC"/>
    <w:rPr>
      <w:szCs w:val="24"/>
    </w:rPr>
  </w:style>
  <w:style w:type="paragraph" w:styleId="CommentSubject">
    <w:name w:val="annotation subject"/>
    <w:basedOn w:val="CommentText"/>
    <w:next w:val="CommentText"/>
    <w:link w:val="CommentSubjectChar"/>
    <w:rsid w:val="00BE588B"/>
    <w:rPr>
      <w:b/>
      <w:bCs/>
      <w:lang w:val="x-none" w:eastAsia="x-none"/>
    </w:rPr>
  </w:style>
  <w:style w:type="character" w:customStyle="1" w:styleId="CommentSubjectChar">
    <w:name w:val="Comment Subject Char"/>
    <w:link w:val="CommentSubject"/>
    <w:rsid w:val="00BE588B"/>
    <w:rPr>
      <w:b/>
      <w:bCs/>
    </w:rPr>
  </w:style>
  <w:style w:type="paragraph" w:styleId="Title">
    <w:name w:val="Title"/>
    <w:basedOn w:val="Normal"/>
    <w:next w:val="Normal"/>
    <w:link w:val="TitleChar"/>
    <w:qFormat/>
    <w:rsid w:val="00DE484E"/>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DE484E"/>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DE484E"/>
    <w:pPr>
      <w:spacing w:after="60"/>
      <w:jc w:val="center"/>
      <w:outlineLvl w:val="1"/>
    </w:pPr>
    <w:rPr>
      <w:rFonts w:ascii="Cambria" w:hAnsi="Cambria"/>
      <w:sz w:val="24"/>
      <w:lang w:val="x-none" w:eastAsia="x-none"/>
    </w:rPr>
  </w:style>
  <w:style w:type="character" w:customStyle="1" w:styleId="SubtitleChar">
    <w:name w:val="Subtitle Char"/>
    <w:link w:val="Subtitle"/>
    <w:rsid w:val="00DE484E"/>
    <w:rPr>
      <w:rFonts w:ascii="Cambria" w:eastAsia="Times New Roman" w:hAnsi="Cambria" w:cs="Times New Roman"/>
      <w:sz w:val="24"/>
      <w:szCs w:val="24"/>
    </w:rPr>
  </w:style>
  <w:style w:type="character" w:customStyle="1" w:styleId="Heading1Char">
    <w:name w:val="Heading 1 Char"/>
    <w:link w:val="Heading1"/>
    <w:rsid w:val="006A4B5F"/>
    <w:rPr>
      <w:b/>
      <w:bCs/>
      <w:sz w:val="24"/>
      <w:szCs w:val="24"/>
    </w:rPr>
  </w:style>
  <w:style w:type="character" w:customStyle="1" w:styleId="Heading2Char">
    <w:name w:val="Heading 2 Char"/>
    <w:link w:val="Heading2"/>
    <w:rsid w:val="00D31450"/>
    <w:rPr>
      <w:sz w:val="24"/>
      <w:szCs w:val="24"/>
      <w:u w:val="single"/>
    </w:rPr>
  </w:style>
  <w:style w:type="character" w:customStyle="1" w:styleId="Heading3Char">
    <w:name w:val="Heading 3 Char"/>
    <w:link w:val="Heading3"/>
    <w:rsid w:val="00D31450"/>
    <w:rPr>
      <w:sz w:val="24"/>
      <w:szCs w:val="24"/>
      <w:u w:val="single"/>
    </w:rPr>
  </w:style>
  <w:style w:type="paragraph" w:styleId="ListParagraph">
    <w:name w:val="List Paragraph"/>
    <w:basedOn w:val="Normal"/>
    <w:uiPriority w:val="99"/>
    <w:qFormat/>
    <w:rsid w:val="00DC5101"/>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rsid w:val="00306531"/>
    <w:rPr>
      <w:color w:val="0000FF"/>
      <w:u w:val="single"/>
    </w:rPr>
  </w:style>
  <w:style w:type="paragraph" w:styleId="Revision">
    <w:name w:val="Revision"/>
    <w:hidden/>
    <w:uiPriority w:val="99"/>
    <w:semiHidden/>
    <w:rsid w:val="00E2582D"/>
    <w:rPr>
      <w:szCs w:val="24"/>
    </w:rPr>
  </w:style>
  <w:style w:type="character" w:styleId="FollowedHyperlink">
    <w:name w:val="FollowedHyperlink"/>
    <w:basedOn w:val="DefaultParagraphFont"/>
    <w:semiHidden/>
    <w:unhideWhenUsed/>
    <w:rsid w:val="00CF7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ms.gov/CCIIO/Programs-and-Initiatives/Health-Insurance-Market-Reforms/minimum-essential-coverag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5D42AD4747E499312BD59D0F1409A" ma:contentTypeVersion="3" ma:contentTypeDescription="Create a new document." ma:contentTypeScope="" ma:versionID="bb0edf5da889bd0c4209c3f7c5d08bcc">
  <xsd:schema xmlns:xsd="http://www.w3.org/2001/XMLSchema" xmlns:xs="http://www.w3.org/2001/XMLSchema" xmlns:p="http://schemas.microsoft.com/office/2006/metadata/properties" xmlns:ns2="8fb5fc7d-4133-497f-a3de-bd71b2a4ea9e" targetNamespace="http://schemas.microsoft.com/office/2006/metadata/properties" ma:root="true" ma:fieldsID="489501e35da9ffd0517b36dc975cdc98" ns2:_="">
    <xsd:import namespace="8fb5fc7d-4133-497f-a3de-bd71b2a4ea9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5fc7d-4133-497f-a3de-bd71b2a4e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EDA96-EFB7-4905-95BD-950ABD5AA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5fc7d-4133-497f-a3de-bd71b2a4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D8E52-D81D-403D-9C39-662C65F707E6}">
  <ds:schemaRefs>
    <ds:schemaRef ds:uri="http://schemas.openxmlformats.org/officeDocument/2006/bibliography"/>
  </ds:schemaRefs>
</ds:datastoreItem>
</file>

<file path=customXml/itemProps3.xml><?xml version="1.0" encoding="utf-8"?>
<ds:datastoreItem xmlns:ds="http://schemas.openxmlformats.org/officeDocument/2006/customXml" ds:itemID="{42CA099D-2509-4D86-916A-174CD8B7E5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68F10-6F9B-47A7-978A-B3E5C51A7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Minimum Essential Coverage (CMS-10465/OMB Control Number: 0938-1189)</dc:title>
  <dc:creator>CMS</dc:creator>
  <cp:keywords>MEC</cp:keywords>
  <cp:lastModifiedBy>Hill, Jamaa (CMS/OSORA)</cp:lastModifiedBy>
  <cp:revision>2</cp:revision>
  <cp:lastPrinted>2025-08-15T11:54:00Z</cp:lastPrinted>
  <dcterms:created xsi:type="dcterms:W3CDTF">2025-10-01T10:37:00Z</dcterms:created>
  <dcterms:modified xsi:type="dcterms:W3CDTF">2025-10-01T10:37:00Z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0x0101005E15D42AD4747E499312BD59D0F1409A</vt:lpwstr>
  </property>
  <property fmtid="{D5CDD505-2E9C-101B-9397-08002B2CF9AE}" pid="3" name="_NewReviewCycle">
    <vt:lpwstr/>
  </property>
</Properties>
</file>