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1A1F" w14:paraId="176AF51E" w14:textId="77777777">
      <w:pPr>
        <w:spacing w:before="80" w:line="252" w:lineRule="auto"/>
        <w:ind w:left="376" w:right="1466" w:hanging="1"/>
        <w:jc w:val="center"/>
        <w:rPr>
          <w:rFonts w:ascii="Cambria"/>
          <w:sz w:val="28"/>
        </w:rPr>
      </w:pPr>
      <w:bookmarkStart w:id="0" w:name="Supporting_Statement_for_Paperwork_Reduc"/>
      <w:bookmarkEnd w:id="0"/>
      <w:r>
        <w:rPr>
          <w:rFonts w:ascii="Cambria"/>
          <w:sz w:val="28"/>
        </w:rPr>
        <w:t>Supporting Statement for Paperwork Reduction Act Submission: Health Care Reform</w:t>
      </w:r>
      <w:r>
        <w:rPr>
          <w:rFonts w:ascii="Cambria"/>
          <w:spacing w:val="-4"/>
          <w:sz w:val="28"/>
        </w:rPr>
        <w:t xml:space="preserve"> </w:t>
      </w:r>
      <w:r>
        <w:rPr>
          <w:rFonts w:ascii="Cambria"/>
          <w:sz w:val="28"/>
        </w:rPr>
        <w:t>Insurance</w:t>
      </w:r>
      <w:r>
        <w:rPr>
          <w:rFonts w:ascii="Cambria"/>
          <w:spacing w:val="-5"/>
          <w:sz w:val="28"/>
        </w:rPr>
        <w:t xml:space="preserve"> </w:t>
      </w:r>
      <w:r>
        <w:rPr>
          <w:rFonts w:ascii="Cambria"/>
          <w:sz w:val="28"/>
        </w:rPr>
        <w:t>Web</w:t>
      </w:r>
      <w:r>
        <w:rPr>
          <w:rFonts w:ascii="Cambria"/>
          <w:spacing w:val="-3"/>
          <w:sz w:val="28"/>
        </w:rPr>
        <w:t xml:space="preserve"> </w:t>
      </w:r>
      <w:r>
        <w:rPr>
          <w:rFonts w:ascii="Cambria"/>
          <w:sz w:val="28"/>
        </w:rPr>
        <w:t>Portal</w:t>
      </w:r>
      <w:r>
        <w:rPr>
          <w:rFonts w:ascii="Cambria"/>
          <w:spacing w:val="-5"/>
          <w:sz w:val="28"/>
        </w:rPr>
        <w:t xml:space="preserve"> </w:t>
      </w:r>
      <w:r>
        <w:rPr>
          <w:rFonts w:ascii="Cambria"/>
          <w:sz w:val="28"/>
        </w:rPr>
        <w:t>and</w:t>
      </w:r>
      <w:r>
        <w:rPr>
          <w:rFonts w:ascii="Cambria"/>
          <w:spacing w:val="-3"/>
          <w:sz w:val="28"/>
        </w:rPr>
        <w:t xml:space="preserve"> </w:t>
      </w:r>
      <w:r>
        <w:rPr>
          <w:rFonts w:ascii="Cambria"/>
          <w:sz w:val="28"/>
        </w:rPr>
        <w:t>Supporting</w:t>
      </w:r>
      <w:r>
        <w:rPr>
          <w:rFonts w:ascii="Cambria"/>
          <w:spacing w:val="-5"/>
          <w:sz w:val="28"/>
        </w:rPr>
        <w:t xml:space="preserve"> </w:t>
      </w:r>
      <w:r>
        <w:rPr>
          <w:rFonts w:ascii="Cambria"/>
          <w:sz w:val="28"/>
        </w:rPr>
        <w:t>Authority</w:t>
      </w:r>
      <w:r>
        <w:rPr>
          <w:rFonts w:ascii="Cambria"/>
          <w:spacing w:val="-3"/>
          <w:sz w:val="28"/>
        </w:rPr>
        <w:t xml:space="preserve"> </w:t>
      </w:r>
      <w:r>
        <w:rPr>
          <w:rFonts w:ascii="Cambria"/>
          <w:sz w:val="28"/>
        </w:rPr>
        <w:t>Contained</w:t>
      </w:r>
      <w:r>
        <w:rPr>
          <w:rFonts w:ascii="Cambria"/>
          <w:spacing w:val="-5"/>
          <w:sz w:val="28"/>
        </w:rPr>
        <w:t xml:space="preserve"> </w:t>
      </w:r>
      <w:r>
        <w:rPr>
          <w:rFonts w:ascii="Cambria"/>
          <w:sz w:val="28"/>
        </w:rPr>
        <w:t>in</w:t>
      </w:r>
      <w:r>
        <w:rPr>
          <w:rFonts w:ascii="Cambria"/>
          <w:spacing w:val="-6"/>
          <w:sz w:val="28"/>
        </w:rPr>
        <w:t xml:space="preserve"> </w:t>
      </w:r>
      <w:r>
        <w:rPr>
          <w:rFonts w:ascii="Cambria"/>
          <w:sz w:val="28"/>
        </w:rPr>
        <w:t>Sections 1103 and 10102 of The Patient Protection and Affordability Care Act, Pub. L.</w:t>
      </w:r>
    </w:p>
    <w:p w:rsidR="00FA1A1F" w14:paraId="7D4A41D5" w14:textId="77777777">
      <w:pPr>
        <w:spacing w:before="3"/>
        <w:ind w:right="1097"/>
        <w:jc w:val="center"/>
        <w:rPr>
          <w:rFonts w:ascii="Cambria"/>
          <w:sz w:val="28"/>
        </w:rPr>
      </w:pPr>
      <w:r>
        <w:rPr>
          <w:rFonts w:ascii="Cambria"/>
          <w:sz w:val="28"/>
        </w:rPr>
        <w:t>111-148</w:t>
      </w:r>
      <w:r>
        <w:rPr>
          <w:rFonts w:ascii="Cambria"/>
          <w:spacing w:val="-9"/>
          <w:sz w:val="28"/>
        </w:rPr>
        <w:t xml:space="preserve"> </w:t>
      </w:r>
      <w:r>
        <w:rPr>
          <w:rFonts w:ascii="Cambria"/>
          <w:sz w:val="28"/>
        </w:rPr>
        <w:t>(2010)</w:t>
      </w:r>
      <w:r>
        <w:rPr>
          <w:rFonts w:ascii="Cambria"/>
          <w:spacing w:val="-8"/>
          <w:sz w:val="28"/>
        </w:rPr>
        <w:t xml:space="preserve"> </w:t>
      </w:r>
      <w:r>
        <w:rPr>
          <w:rFonts w:ascii="Cambria"/>
          <w:sz w:val="28"/>
        </w:rPr>
        <w:t>[CMS-10320/OMB</w:t>
      </w:r>
      <w:r>
        <w:rPr>
          <w:rFonts w:ascii="Cambria"/>
          <w:spacing w:val="-9"/>
          <w:sz w:val="28"/>
        </w:rPr>
        <w:t xml:space="preserve"> </w:t>
      </w:r>
      <w:r>
        <w:rPr>
          <w:rFonts w:ascii="Cambria"/>
          <w:sz w:val="28"/>
        </w:rPr>
        <w:t>Control</w:t>
      </w:r>
      <w:r>
        <w:rPr>
          <w:rFonts w:ascii="Cambria"/>
          <w:spacing w:val="-6"/>
          <w:sz w:val="28"/>
        </w:rPr>
        <w:t xml:space="preserve"> </w:t>
      </w:r>
      <w:r>
        <w:rPr>
          <w:rFonts w:ascii="Cambria"/>
          <w:sz w:val="28"/>
        </w:rPr>
        <w:t>Number:</w:t>
      </w:r>
      <w:r>
        <w:rPr>
          <w:rFonts w:ascii="Cambria"/>
          <w:spacing w:val="-9"/>
          <w:sz w:val="28"/>
        </w:rPr>
        <w:t xml:space="preserve"> </w:t>
      </w:r>
      <w:r>
        <w:rPr>
          <w:rFonts w:ascii="Cambria"/>
          <w:sz w:val="28"/>
        </w:rPr>
        <w:t>0938-</w:t>
      </w:r>
      <w:r>
        <w:rPr>
          <w:rFonts w:ascii="Cambria"/>
          <w:spacing w:val="-2"/>
          <w:sz w:val="28"/>
        </w:rPr>
        <w:t>1086]</w:t>
      </w:r>
    </w:p>
    <w:p w:rsidR="00FA1A1F" w14:paraId="24CC8297" w14:textId="77777777">
      <w:pPr>
        <w:pStyle w:val="ListParagraph"/>
        <w:numPr>
          <w:ilvl w:val="0"/>
          <w:numId w:val="1"/>
        </w:numPr>
        <w:tabs>
          <w:tab w:val="left" w:pos="637"/>
        </w:tabs>
        <w:spacing w:before="322"/>
        <w:ind w:left="637" w:hanging="294"/>
        <w:rPr>
          <w:sz w:val="28"/>
        </w:rPr>
      </w:pPr>
      <w:r>
        <w:rPr>
          <w:spacing w:val="-2"/>
          <w:sz w:val="28"/>
        </w:rPr>
        <w:t>Background</w:t>
      </w:r>
    </w:p>
    <w:p w:rsidR="00FA1A1F" w14:paraId="54BA9839" w14:textId="77777777">
      <w:pPr>
        <w:pStyle w:val="BodyText"/>
        <w:spacing w:before="24" w:line="247" w:lineRule="auto"/>
        <w:ind w:left="343" w:right="1496"/>
      </w:pPr>
      <w:r>
        <w:t>In accordance with Sections 1103 and 10102 of The Patient Protection and Affordability Care Act, Pub. L. 111-148 (2010) (Affordable Care Act) the U.S. Department of Health and Human Services (HHS) is tasked with developing and implementing an Internet website portal to assist consumers with</w:t>
      </w:r>
      <w:r>
        <w:rPr>
          <w:spacing w:val="-4"/>
        </w:rPr>
        <w:t xml:space="preserve"> </w:t>
      </w:r>
      <w:r>
        <w:t>identifying</w:t>
      </w:r>
      <w:r>
        <w:rPr>
          <w:spacing w:val="-3"/>
        </w:rPr>
        <w:t xml:space="preserve"> </w:t>
      </w:r>
      <w:r>
        <w:t>affordable</w:t>
      </w:r>
      <w:r>
        <w:rPr>
          <w:spacing w:val="-2"/>
        </w:rPr>
        <w:t xml:space="preserve"> </w:t>
      </w:r>
      <w:r>
        <w:t>and</w:t>
      </w:r>
      <w:r>
        <w:rPr>
          <w:spacing w:val="-4"/>
        </w:rPr>
        <w:t xml:space="preserve"> </w:t>
      </w:r>
      <w:r>
        <w:t>comprehensive</w:t>
      </w:r>
      <w:r>
        <w:rPr>
          <w:spacing w:val="-5"/>
        </w:rPr>
        <w:t xml:space="preserve"> </w:t>
      </w:r>
      <w:r>
        <w:t>health</w:t>
      </w:r>
      <w:r>
        <w:rPr>
          <w:spacing w:val="-4"/>
        </w:rPr>
        <w:t xml:space="preserve"> </w:t>
      </w:r>
      <w:r>
        <w:t>insurance</w:t>
      </w:r>
      <w:r>
        <w:rPr>
          <w:spacing w:val="-5"/>
        </w:rPr>
        <w:t xml:space="preserve"> </w:t>
      </w:r>
      <w:r>
        <w:t>coverage</w:t>
      </w:r>
      <w:r>
        <w:rPr>
          <w:spacing w:val="-5"/>
        </w:rPr>
        <w:t xml:space="preserve"> </w:t>
      </w:r>
      <w:r>
        <w:t>options</w:t>
      </w:r>
      <w:r>
        <w:rPr>
          <w:spacing w:val="-2"/>
        </w:rPr>
        <w:t xml:space="preserve"> </w:t>
      </w:r>
      <w:r>
        <w:t>that</w:t>
      </w:r>
      <w:r>
        <w:rPr>
          <w:spacing w:val="-3"/>
        </w:rPr>
        <w:t xml:space="preserve"> </w:t>
      </w:r>
      <w:r>
        <w:t>are</w:t>
      </w:r>
      <w:r>
        <w:rPr>
          <w:spacing w:val="-2"/>
        </w:rPr>
        <w:t xml:space="preserve"> </w:t>
      </w:r>
      <w:r>
        <w:t>available in their State. Consistent with minimizing burden and providing consistency in data collection, the Centers for Medicare &amp; Medicaid Services (CMS) updates its HealthCare.gov collection requirements as regulatory developments occur. There have been no developments since the last approved collection that require changes to the Paperwork Reduction Act (PRA) package.</w:t>
      </w:r>
    </w:p>
    <w:p w:rsidR="00FA1A1F" w14:paraId="156E937C" w14:textId="77777777">
      <w:pPr>
        <w:pStyle w:val="BodyText"/>
        <w:spacing w:before="24"/>
      </w:pPr>
    </w:p>
    <w:p w:rsidR="00FA1A1F" w14:paraId="4E1CA82E" w14:textId="77777777">
      <w:pPr>
        <w:pStyle w:val="BodyText"/>
        <w:spacing w:line="247" w:lineRule="auto"/>
        <w:ind w:left="355" w:right="1496" w:hanging="12"/>
      </w:pPr>
      <w:r>
        <w:t>The Departments of Health and Human Services, Labor and the Treasury (the Departments) published</w:t>
      </w:r>
      <w:r>
        <w:rPr>
          <w:spacing w:val="-5"/>
        </w:rPr>
        <w:t xml:space="preserve"> </w:t>
      </w:r>
      <w:r>
        <w:t>a</w:t>
      </w:r>
      <w:r>
        <w:rPr>
          <w:spacing w:val="-4"/>
        </w:rPr>
        <w:t xml:space="preserve"> </w:t>
      </w:r>
      <w:r>
        <w:t>final</w:t>
      </w:r>
      <w:r>
        <w:rPr>
          <w:spacing w:val="-4"/>
        </w:rPr>
        <w:t xml:space="preserve"> </w:t>
      </w:r>
      <w:r>
        <w:t>regulation</w:t>
      </w:r>
      <w:r>
        <w:rPr>
          <w:spacing w:val="-5"/>
        </w:rPr>
        <w:t xml:space="preserve"> </w:t>
      </w:r>
      <w:r>
        <w:t>implementing</w:t>
      </w:r>
      <w:r>
        <w:rPr>
          <w:spacing w:val="-4"/>
        </w:rPr>
        <w:t xml:space="preserve"> </w:t>
      </w:r>
      <w:r>
        <w:t>the</w:t>
      </w:r>
      <w:r>
        <w:rPr>
          <w:spacing w:val="-3"/>
        </w:rPr>
        <w:t xml:space="preserve"> </w:t>
      </w:r>
      <w:r>
        <w:t>Section</w:t>
      </w:r>
      <w:r>
        <w:rPr>
          <w:spacing w:val="-5"/>
        </w:rPr>
        <w:t xml:space="preserve"> </w:t>
      </w:r>
      <w:r>
        <w:t>2715</w:t>
      </w:r>
      <w:r>
        <w:rPr>
          <w:spacing w:val="-5"/>
        </w:rPr>
        <w:t xml:space="preserve"> </w:t>
      </w:r>
      <w:r>
        <w:t>consumer</w:t>
      </w:r>
      <w:r>
        <w:rPr>
          <w:spacing w:val="-2"/>
        </w:rPr>
        <w:t xml:space="preserve"> </w:t>
      </w:r>
      <w:r>
        <w:t>disclosure</w:t>
      </w:r>
      <w:r>
        <w:rPr>
          <w:spacing w:val="-3"/>
        </w:rPr>
        <w:t xml:space="preserve"> </w:t>
      </w:r>
      <w:r>
        <w:t>provisions</w:t>
      </w:r>
      <w:r>
        <w:rPr>
          <w:spacing w:val="-5"/>
        </w:rPr>
        <w:t xml:space="preserve"> </w:t>
      </w:r>
      <w:r>
        <w:t>of</w:t>
      </w:r>
      <w:r>
        <w:rPr>
          <w:spacing w:val="-4"/>
        </w:rPr>
        <w:t xml:space="preserve"> </w:t>
      </w:r>
      <w:r>
        <w:t>the ACA. (77 Fed. Reg. 8668 (Feb. 14, 2012), codified at 45 CFR 147.200). These final regulations set forth the requirements for group health plans (plans) and health insurance issuers (issuers) to provide the Summary of Benefits and Coverage (SBC) and the uniform glossary of medical and insurance terms. Under these regulations, plans and issuers must provide in the SBC information about covered services, cost sharing, limitations and exceptions of the coverage, coverage examples, and other disclosures. The final regulation also clarifies the timing and format for providing these documents.</w:t>
      </w:r>
    </w:p>
    <w:p w:rsidR="00FA1A1F" w14:paraId="3C6CC607" w14:textId="77777777">
      <w:pPr>
        <w:pStyle w:val="BodyText"/>
        <w:spacing w:before="15"/>
      </w:pPr>
    </w:p>
    <w:p w:rsidR="00FA1A1F" w14:paraId="33F5C1CD" w14:textId="77777777">
      <w:pPr>
        <w:pStyle w:val="BodyText"/>
        <w:spacing w:line="247" w:lineRule="auto"/>
        <w:ind w:left="355" w:right="1496" w:hanging="12"/>
      </w:pPr>
      <w:r>
        <w:t>CCIIO is requesting approval to implement this provision for the collection of information to assist consumers in making educated decisions on their health care options. This collection was initially approved under Office of Management and Budget (OMB) control number 0938-1086. Various elements discussed within this package have already been through comment periods and have been</w:t>
      </w:r>
      <w:r>
        <w:rPr>
          <w:spacing w:val="-4"/>
        </w:rPr>
        <w:t xml:space="preserve"> </w:t>
      </w:r>
      <w:r>
        <w:t>authorized</w:t>
      </w:r>
      <w:r>
        <w:rPr>
          <w:spacing w:val="-4"/>
        </w:rPr>
        <w:t xml:space="preserve"> </w:t>
      </w:r>
      <w:r>
        <w:t>for</w:t>
      </w:r>
      <w:r>
        <w:rPr>
          <w:spacing w:val="-4"/>
        </w:rPr>
        <w:t xml:space="preserve"> </w:t>
      </w:r>
      <w:r>
        <w:t>collection</w:t>
      </w:r>
      <w:r>
        <w:rPr>
          <w:spacing w:val="-4"/>
        </w:rPr>
        <w:t xml:space="preserve"> </w:t>
      </w:r>
      <w:r>
        <w:t>under</w:t>
      </w:r>
      <w:r>
        <w:rPr>
          <w:spacing w:val="-1"/>
        </w:rPr>
        <w:t xml:space="preserve"> </w:t>
      </w:r>
      <w:r>
        <w:t>OMB</w:t>
      </w:r>
      <w:r>
        <w:rPr>
          <w:spacing w:val="-6"/>
        </w:rPr>
        <w:t xml:space="preserve"> </w:t>
      </w:r>
      <w:r>
        <w:t>control</w:t>
      </w:r>
      <w:r>
        <w:rPr>
          <w:spacing w:val="-3"/>
        </w:rPr>
        <w:t xml:space="preserve"> </w:t>
      </w:r>
      <w:r>
        <w:t>number</w:t>
      </w:r>
      <w:r>
        <w:rPr>
          <w:spacing w:val="-1"/>
        </w:rPr>
        <w:t xml:space="preserve"> </w:t>
      </w:r>
      <w:r>
        <w:t>0938-1156.</w:t>
      </w:r>
      <w:r>
        <w:rPr>
          <w:spacing w:val="-3"/>
        </w:rPr>
        <w:t xml:space="preserve"> </w:t>
      </w:r>
      <w:r>
        <w:t>These</w:t>
      </w:r>
      <w:r>
        <w:rPr>
          <w:spacing w:val="-7"/>
        </w:rPr>
        <w:t xml:space="preserve"> </w:t>
      </w:r>
      <w:r>
        <w:t>elements</w:t>
      </w:r>
      <w:r>
        <w:rPr>
          <w:spacing w:val="-4"/>
        </w:rPr>
        <w:t xml:space="preserve"> </w:t>
      </w:r>
      <w:r>
        <w:t>are</w:t>
      </w:r>
      <w:r>
        <w:rPr>
          <w:spacing w:val="-2"/>
        </w:rPr>
        <w:t xml:space="preserve"> </w:t>
      </w:r>
      <w:r>
        <w:t xml:space="preserve">included here so that the public can identify how the efforts are integrated and get a consistent view of the </w:t>
      </w:r>
      <w:r>
        <w:rPr>
          <w:spacing w:val="-2"/>
        </w:rPr>
        <w:t>collection.</w:t>
      </w:r>
    </w:p>
    <w:p w:rsidR="00FA1A1F" w14:paraId="7618A558" w14:textId="77777777">
      <w:pPr>
        <w:pStyle w:val="BodyText"/>
        <w:spacing w:before="21"/>
      </w:pPr>
    </w:p>
    <w:p w:rsidR="00FA1A1F" w14:paraId="2A8C12F0" w14:textId="77777777">
      <w:pPr>
        <w:pStyle w:val="BodyText"/>
        <w:spacing w:line="247" w:lineRule="auto"/>
        <w:ind w:left="354" w:right="1470" w:hanging="12"/>
      </w:pPr>
      <w:r>
        <w:t>The reinsurance and risk adjustment programs outlined by the Affordable Care Act, detailed in the Standards</w:t>
      </w:r>
      <w:r>
        <w:rPr>
          <w:spacing w:val="-1"/>
        </w:rPr>
        <w:t xml:space="preserve"> </w:t>
      </w:r>
      <w:r>
        <w:t>for</w:t>
      </w:r>
      <w:r>
        <w:rPr>
          <w:spacing w:val="-3"/>
        </w:rPr>
        <w:t xml:space="preserve"> </w:t>
      </w:r>
      <w:r>
        <w:t>Reinsurance,</w:t>
      </w:r>
      <w:r>
        <w:rPr>
          <w:spacing w:val="-2"/>
        </w:rPr>
        <w:t xml:space="preserve"> </w:t>
      </w:r>
      <w:r>
        <w:t>Risk</w:t>
      </w:r>
      <w:r>
        <w:rPr>
          <w:spacing w:val="-1"/>
        </w:rPr>
        <w:t xml:space="preserve"> </w:t>
      </w:r>
      <w:r>
        <w:t>Corridors,</w:t>
      </w:r>
      <w:r>
        <w:rPr>
          <w:spacing w:val="-2"/>
        </w:rPr>
        <w:t xml:space="preserve"> </w:t>
      </w:r>
      <w:r>
        <w:t>and</w:t>
      </w:r>
      <w:r>
        <w:rPr>
          <w:spacing w:val="-3"/>
        </w:rPr>
        <w:t xml:space="preserve"> </w:t>
      </w:r>
      <w:r>
        <w:t>Risk</w:t>
      </w:r>
      <w:r>
        <w:rPr>
          <w:spacing w:val="-3"/>
        </w:rPr>
        <w:t xml:space="preserve"> </w:t>
      </w:r>
      <w:r>
        <w:t>Adjustment</w:t>
      </w:r>
      <w:r>
        <w:rPr>
          <w:spacing w:val="-2"/>
        </w:rPr>
        <w:t xml:space="preserve"> </w:t>
      </w:r>
      <w:r>
        <w:t>Rule</w:t>
      </w:r>
      <w:r>
        <w:rPr>
          <w:spacing w:val="-1"/>
        </w:rPr>
        <w:t xml:space="preserve"> </w:t>
      </w:r>
      <w:r>
        <w:t>(77</w:t>
      </w:r>
      <w:r>
        <w:rPr>
          <w:spacing w:val="-1"/>
        </w:rPr>
        <w:t xml:space="preserve"> </w:t>
      </w:r>
      <w:r>
        <w:t>FR</w:t>
      </w:r>
      <w:r>
        <w:rPr>
          <w:spacing w:val="-4"/>
        </w:rPr>
        <w:t xml:space="preserve"> </w:t>
      </w:r>
      <w:r>
        <w:t>17220,</w:t>
      </w:r>
      <w:r>
        <w:rPr>
          <w:spacing w:val="-2"/>
        </w:rPr>
        <w:t xml:space="preserve"> </w:t>
      </w:r>
      <w:r>
        <w:t>March</w:t>
      </w:r>
      <w:r>
        <w:rPr>
          <w:spacing w:val="-5"/>
        </w:rPr>
        <w:t xml:space="preserve"> </w:t>
      </w:r>
      <w:r>
        <w:t>23,</w:t>
      </w:r>
      <w:r>
        <w:rPr>
          <w:spacing w:val="-4"/>
        </w:rPr>
        <w:t xml:space="preserve"> </w:t>
      </w:r>
      <w:r>
        <w:t>2012), have general information reporting requirements that apply to qualified health plans (QHPs)</w:t>
      </w:r>
      <w:r>
        <w:rPr>
          <w:spacing w:val="40"/>
        </w:rPr>
        <w:t xml:space="preserve"> </w:t>
      </w:r>
      <w:r>
        <w:t>offered through the Exchanges and to non-Exchange plans in the outside market. For the reinsurance program, administrative information will be used to identify all entities – health insurance issuers and self-insured group health plans- required to contribute to the reinsurance program. In addition, non-Exchange plan information such as plan type and location will be used to identify non-grandfathered individual market plans inside and outside the exchange eligible for reinsurance payments. For the risk adjustment program, administrative information will be used to identify all non-grandfathered small group and individual market plans inside and outsidethe</w:t>
      </w:r>
    </w:p>
    <w:p w:rsidR="00FA1A1F" w14:paraId="5ABF3F4D" w14:textId="77777777">
      <w:pPr>
        <w:pStyle w:val="BodyText"/>
        <w:spacing w:line="247" w:lineRule="auto"/>
        <w:sectPr>
          <w:type w:val="continuous"/>
          <w:pgSz w:w="12240" w:h="15840"/>
          <w:pgMar w:top="1360" w:right="0" w:bottom="280" w:left="1080" w:header="720" w:footer="720" w:gutter="0"/>
          <w:cols w:space="720"/>
        </w:sectPr>
      </w:pPr>
    </w:p>
    <w:p w:rsidR="00FA1A1F" w14:paraId="75EC5D10" w14:textId="77777777">
      <w:pPr>
        <w:pStyle w:val="BodyText"/>
        <w:spacing w:before="39" w:line="247" w:lineRule="auto"/>
        <w:ind w:left="355" w:right="1496"/>
      </w:pPr>
      <w:r>
        <w:t>exchange</w:t>
      </w:r>
      <w:r>
        <w:rPr>
          <w:spacing w:val="-4"/>
        </w:rPr>
        <w:t xml:space="preserve"> </w:t>
      </w:r>
      <w:r>
        <w:t>eligible</w:t>
      </w:r>
      <w:r>
        <w:rPr>
          <w:spacing w:val="-1"/>
        </w:rPr>
        <w:t xml:space="preserve"> </w:t>
      </w:r>
      <w:r>
        <w:t>for the</w:t>
      </w:r>
      <w:r>
        <w:rPr>
          <w:spacing w:val="-4"/>
        </w:rPr>
        <w:t xml:space="preserve"> </w:t>
      </w:r>
      <w:r>
        <w:t>program.</w:t>
      </w:r>
      <w:r>
        <w:rPr>
          <w:spacing w:val="-2"/>
        </w:rPr>
        <w:t xml:space="preserve"> </w:t>
      </w:r>
      <w:r>
        <w:t>Risk</w:t>
      </w:r>
      <w:r>
        <w:rPr>
          <w:spacing w:val="-1"/>
        </w:rPr>
        <w:t xml:space="preserve"> </w:t>
      </w:r>
      <w:r>
        <w:t>adjustment</w:t>
      </w:r>
      <w:r>
        <w:rPr>
          <w:spacing w:val="-2"/>
        </w:rPr>
        <w:t xml:space="preserve"> </w:t>
      </w:r>
      <w:r>
        <w:t>also</w:t>
      </w:r>
      <w:r>
        <w:rPr>
          <w:spacing w:val="-3"/>
        </w:rPr>
        <w:t xml:space="preserve"> </w:t>
      </w:r>
      <w:r>
        <w:t>requires</w:t>
      </w:r>
      <w:r>
        <w:rPr>
          <w:spacing w:val="-3"/>
        </w:rPr>
        <w:t xml:space="preserve"> </w:t>
      </w:r>
      <w:r>
        <w:t>select</w:t>
      </w:r>
      <w:r>
        <w:rPr>
          <w:spacing w:val="-5"/>
        </w:rPr>
        <w:t xml:space="preserve"> </w:t>
      </w:r>
      <w:r>
        <w:t>data</w:t>
      </w:r>
      <w:r>
        <w:rPr>
          <w:spacing w:val="-4"/>
        </w:rPr>
        <w:t xml:space="preserve"> </w:t>
      </w:r>
      <w:r>
        <w:t>such</w:t>
      </w:r>
      <w:r>
        <w:rPr>
          <w:spacing w:val="-3"/>
        </w:rPr>
        <w:t xml:space="preserve"> </w:t>
      </w:r>
      <w:r>
        <w:t>as</w:t>
      </w:r>
      <w:r>
        <w:rPr>
          <w:spacing w:val="-3"/>
        </w:rPr>
        <w:t xml:space="preserve"> </w:t>
      </w:r>
      <w:r>
        <w:t>rating</w:t>
      </w:r>
      <w:r>
        <w:rPr>
          <w:spacing w:val="-2"/>
        </w:rPr>
        <w:t xml:space="preserve"> </w:t>
      </w:r>
      <w:r>
        <w:t>area, rating factors and actuarial value (AV) level, to perform calculation of payments and charges.</w:t>
      </w:r>
    </w:p>
    <w:p w:rsidR="00FA1A1F" w14:paraId="07BB24D4" w14:textId="77777777">
      <w:pPr>
        <w:pStyle w:val="BodyText"/>
        <w:spacing w:before="22"/>
      </w:pPr>
    </w:p>
    <w:p w:rsidR="00FA1A1F" w14:paraId="31808FCA" w14:textId="77777777">
      <w:pPr>
        <w:pStyle w:val="Heading3"/>
      </w:pPr>
      <w:bookmarkStart w:id="1" w:name="Non-Exchange_Plan_Information_Collection"/>
      <w:bookmarkEnd w:id="1"/>
      <w:r>
        <w:t>Non-Exchange</w:t>
      </w:r>
      <w:r>
        <w:rPr>
          <w:spacing w:val="-5"/>
        </w:rPr>
        <w:t xml:space="preserve"> </w:t>
      </w:r>
      <w:r>
        <w:t>Plan</w:t>
      </w:r>
      <w:r>
        <w:rPr>
          <w:spacing w:val="-5"/>
        </w:rPr>
        <w:t xml:space="preserve"> </w:t>
      </w:r>
      <w:r>
        <w:t>Information</w:t>
      </w:r>
      <w:r>
        <w:rPr>
          <w:spacing w:val="-5"/>
        </w:rPr>
        <w:t xml:space="preserve"> </w:t>
      </w:r>
      <w:r>
        <w:t>Collection:</w:t>
      </w:r>
      <w:r>
        <w:rPr>
          <w:spacing w:val="-4"/>
        </w:rPr>
        <w:t xml:space="preserve"> </w:t>
      </w:r>
      <w:r>
        <w:t>Reinsurance</w:t>
      </w:r>
      <w:r>
        <w:rPr>
          <w:spacing w:val="-5"/>
        </w:rPr>
        <w:t xml:space="preserve"> </w:t>
      </w:r>
      <w:r>
        <w:t>and</w:t>
      </w:r>
      <w:r>
        <w:rPr>
          <w:spacing w:val="-2"/>
        </w:rPr>
        <w:t xml:space="preserve"> </w:t>
      </w:r>
      <w:r>
        <w:t>Risk</w:t>
      </w:r>
      <w:r>
        <w:rPr>
          <w:spacing w:val="-3"/>
        </w:rPr>
        <w:t xml:space="preserve"> </w:t>
      </w:r>
      <w:r>
        <w:rPr>
          <w:spacing w:val="-2"/>
        </w:rPr>
        <w:t>Adjustment</w:t>
      </w:r>
    </w:p>
    <w:p w:rsidR="00FA1A1F" w14:paraId="2C1909C2" w14:textId="77777777">
      <w:pPr>
        <w:pStyle w:val="BodyText"/>
        <w:spacing w:before="17" w:line="247" w:lineRule="auto"/>
        <w:ind w:left="355" w:right="1496" w:hanging="12"/>
      </w:pPr>
      <w:r>
        <w:t>Section 1341 of the Affordable Care Act provides that each state will establish a transitional reinsurance program to help stabilize premiums for coverage in the individual market from 2014 through 2016. Section 1343 provides that each state will establish a permanent program of risk adjustment for all non-grandfathered plans in the individual and small group markets. If a state chooses not to actively participate in</w:t>
      </w:r>
      <w:r>
        <w:rPr>
          <w:spacing w:val="-1"/>
        </w:rPr>
        <w:t xml:space="preserve"> </w:t>
      </w:r>
      <w:r>
        <w:t>reinsurance and/or risk adjustment, CMS will be responsible for</w:t>
      </w:r>
      <w:r>
        <w:rPr>
          <w:spacing w:val="-1"/>
        </w:rPr>
        <w:t xml:space="preserve"> </w:t>
      </w:r>
      <w:r>
        <w:t>implementation.</w:t>
      </w:r>
      <w:r>
        <w:rPr>
          <w:spacing w:val="-3"/>
        </w:rPr>
        <w:t xml:space="preserve"> </w:t>
      </w:r>
      <w:r>
        <w:t>The</w:t>
      </w:r>
      <w:r>
        <w:rPr>
          <w:spacing w:val="-5"/>
        </w:rPr>
        <w:t xml:space="preserve"> </w:t>
      </w:r>
      <w:r>
        <w:t>requirements</w:t>
      </w:r>
      <w:r>
        <w:rPr>
          <w:spacing w:val="-4"/>
        </w:rPr>
        <w:t xml:space="preserve"> </w:t>
      </w:r>
      <w:r>
        <w:t>for</w:t>
      </w:r>
      <w:r>
        <w:rPr>
          <w:spacing w:val="-4"/>
        </w:rPr>
        <w:t xml:space="preserve"> </w:t>
      </w:r>
      <w:r>
        <w:t>issuers</w:t>
      </w:r>
      <w:r>
        <w:rPr>
          <w:spacing w:val="-4"/>
        </w:rPr>
        <w:t xml:space="preserve"> </w:t>
      </w:r>
      <w:r>
        <w:t>with</w:t>
      </w:r>
      <w:r>
        <w:rPr>
          <w:spacing w:val="-4"/>
        </w:rPr>
        <w:t xml:space="preserve"> </w:t>
      </w:r>
      <w:r>
        <w:t>plan</w:t>
      </w:r>
      <w:r>
        <w:rPr>
          <w:spacing w:val="-4"/>
        </w:rPr>
        <w:t xml:space="preserve"> </w:t>
      </w:r>
      <w:r>
        <w:t>offerings</w:t>
      </w:r>
      <w:r>
        <w:rPr>
          <w:spacing w:val="-2"/>
        </w:rPr>
        <w:t xml:space="preserve"> </w:t>
      </w:r>
      <w:r>
        <w:t>outside</w:t>
      </w:r>
      <w:r>
        <w:rPr>
          <w:spacing w:val="-7"/>
        </w:rPr>
        <w:t xml:space="preserve"> </w:t>
      </w:r>
      <w:r>
        <w:t>of</w:t>
      </w:r>
      <w:r>
        <w:rPr>
          <w:spacing w:val="-3"/>
        </w:rPr>
        <w:t xml:space="preserve"> </w:t>
      </w:r>
      <w:r>
        <w:t>the</w:t>
      </w:r>
      <w:r>
        <w:rPr>
          <w:spacing w:val="-2"/>
        </w:rPr>
        <w:t xml:space="preserve"> </w:t>
      </w:r>
      <w:r>
        <w:t>Exchanges</w:t>
      </w:r>
      <w:r>
        <w:rPr>
          <w:spacing w:val="-2"/>
        </w:rPr>
        <w:t xml:space="preserve"> </w:t>
      </w:r>
      <w:r>
        <w:t>are codified at 45 CFR Part 153.</w:t>
      </w:r>
    </w:p>
    <w:p w:rsidR="00FA1A1F" w14:paraId="579814FE" w14:textId="77777777">
      <w:pPr>
        <w:pStyle w:val="BodyText"/>
        <w:spacing w:before="22"/>
      </w:pPr>
    </w:p>
    <w:p w:rsidR="00FA1A1F" w14:paraId="006A32FD" w14:textId="77777777">
      <w:pPr>
        <w:pStyle w:val="Heading3"/>
        <w:spacing w:before="1"/>
      </w:pPr>
      <w:bookmarkStart w:id="2" w:name="Reinsurance_Reporting_Requirements_for_N"/>
      <w:bookmarkEnd w:id="2"/>
      <w:r>
        <w:t>Reinsurance</w:t>
      </w:r>
      <w:r>
        <w:rPr>
          <w:spacing w:val="-7"/>
        </w:rPr>
        <w:t xml:space="preserve"> </w:t>
      </w:r>
      <w:r>
        <w:t>Reporting</w:t>
      </w:r>
      <w:r>
        <w:rPr>
          <w:spacing w:val="-5"/>
        </w:rPr>
        <w:t xml:space="preserve"> </w:t>
      </w:r>
      <w:r>
        <w:t>Requirements</w:t>
      </w:r>
      <w:r>
        <w:rPr>
          <w:spacing w:val="-4"/>
        </w:rPr>
        <w:t xml:space="preserve"> </w:t>
      </w:r>
      <w:r>
        <w:t>for</w:t>
      </w:r>
      <w:r>
        <w:rPr>
          <w:spacing w:val="-6"/>
        </w:rPr>
        <w:t xml:space="preserve"> </w:t>
      </w:r>
      <w:r>
        <w:t>Non-Exchange</w:t>
      </w:r>
      <w:r>
        <w:rPr>
          <w:spacing w:val="-4"/>
        </w:rPr>
        <w:t xml:space="preserve"> </w:t>
      </w:r>
      <w:r>
        <w:rPr>
          <w:spacing w:val="-2"/>
        </w:rPr>
        <w:t>Plans</w:t>
      </w:r>
    </w:p>
    <w:p w:rsidR="00FA1A1F" w14:paraId="0532B7CE" w14:textId="77777777">
      <w:pPr>
        <w:pStyle w:val="BodyText"/>
        <w:spacing w:before="21" w:line="247" w:lineRule="auto"/>
        <w:ind w:left="354" w:right="1452" w:hanging="12"/>
      </w:pPr>
      <w:r>
        <w:t>The transitional reinsurance program will reduce the uncertainty of insurance risk in the individual market by making payments for high-cost enrollees in non- grandfathered individual market plans. Health</w:t>
      </w:r>
      <w:r>
        <w:rPr>
          <w:spacing w:val="-2"/>
        </w:rPr>
        <w:t xml:space="preserve"> </w:t>
      </w:r>
      <w:r>
        <w:t>insurance</w:t>
      </w:r>
      <w:r>
        <w:rPr>
          <w:spacing w:val="-3"/>
        </w:rPr>
        <w:t xml:space="preserve"> </w:t>
      </w:r>
      <w:r>
        <w:t>issuers and</w:t>
      </w:r>
      <w:r>
        <w:rPr>
          <w:spacing w:val="-2"/>
        </w:rPr>
        <w:t xml:space="preserve"> </w:t>
      </w:r>
      <w:r>
        <w:t>self-insured</w:t>
      </w:r>
      <w:r>
        <w:rPr>
          <w:spacing w:val="-2"/>
        </w:rPr>
        <w:t xml:space="preserve"> </w:t>
      </w:r>
      <w:r>
        <w:t>group</w:t>
      </w:r>
      <w:r>
        <w:rPr>
          <w:spacing w:val="-2"/>
        </w:rPr>
        <w:t xml:space="preserve"> </w:t>
      </w:r>
      <w:r>
        <w:t>plans are</w:t>
      </w:r>
      <w:r>
        <w:rPr>
          <w:spacing w:val="-2"/>
        </w:rPr>
        <w:t xml:space="preserve"> </w:t>
      </w:r>
      <w:r>
        <w:t>required</w:t>
      </w:r>
      <w:r>
        <w:rPr>
          <w:spacing w:val="-2"/>
        </w:rPr>
        <w:t xml:space="preserve"> </w:t>
      </w:r>
      <w:r>
        <w:t>to</w:t>
      </w:r>
      <w:r>
        <w:rPr>
          <w:spacing w:val="-2"/>
        </w:rPr>
        <w:t xml:space="preserve"> </w:t>
      </w:r>
      <w:r>
        <w:t>remit</w:t>
      </w:r>
      <w:r>
        <w:rPr>
          <w:spacing w:val="-4"/>
        </w:rPr>
        <w:t xml:space="preserve"> </w:t>
      </w:r>
      <w:r>
        <w:t>contributions on</w:t>
      </w:r>
      <w:r>
        <w:rPr>
          <w:spacing w:val="-2"/>
        </w:rPr>
        <w:t xml:space="preserve"> </w:t>
      </w:r>
      <w:r>
        <w:t>behalf of enrollees in major medical coverage, and thus are collectively referred to as “contributing entities.”</w:t>
      </w:r>
      <w:r>
        <w:rPr>
          <w:spacing w:val="-3"/>
        </w:rPr>
        <w:t xml:space="preserve"> </w:t>
      </w:r>
      <w:r>
        <w:t>Self-insured</w:t>
      </w:r>
      <w:r>
        <w:rPr>
          <w:spacing w:val="-4"/>
        </w:rPr>
        <w:t xml:space="preserve"> </w:t>
      </w:r>
      <w:r>
        <w:t>group</w:t>
      </w:r>
      <w:r>
        <w:rPr>
          <w:spacing w:val="-4"/>
        </w:rPr>
        <w:t xml:space="preserve"> </w:t>
      </w:r>
      <w:r>
        <w:t>health</w:t>
      </w:r>
      <w:r>
        <w:rPr>
          <w:spacing w:val="-4"/>
        </w:rPr>
        <w:t xml:space="preserve"> </w:t>
      </w:r>
      <w:r>
        <w:t>plans</w:t>
      </w:r>
      <w:r>
        <w:rPr>
          <w:spacing w:val="-2"/>
        </w:rPr>
        <w:t xml:space="preserve"> </w:t>
      </w:r>
      <w:r>
        <w:t>may</w:t>
      </w:r>
      <w:r>
        <w:rPr>
          <w:spacing w:val="-4"/>
        </w:rPr>
        <w:t xml:space="preserve"> </w:t>
      </w:r>
      <w:r>
        <w:t>remit</w:t>
      </w:r>
      <w:r>
        <w:rPr>
          <w:spacing w:val="-5"/>
        </w:rPr>
        <w:t xml:space="preserve"> </w:t>
      </w:r>
      <w:r>
        <w:t>their</w:t>
      </w:r>
      <w:r>
        <w:rPr>
          <w:spacing w:val="-4"/>
        </w:rPr>
        <w:t xml:space="preserve"> </w:t>
      </w:r>
      <w:r>
        <w:t>reinsurance</w:t>
      </w:r>
      <w:r>
        <w:rPr>
          <w:spacing w:val="-5"/>
        </w:rPr>
        <w:t xml:space="preserve"> </w:t>
      </w:r>
      <w:r>
        <w:t>contributions</w:t>
      </w:r>
      <w:r>
        <w:rPr>
          <w:spacing w:val="-2"/>
        </w:rPr>
        <w:t xml:space="preserve"> </w:t>
      </w:r>
      <w:r>
        <w:t>through</w:t>
      </w:r>
      <w:r>
        <w:rPr>
          <w:spacing w:val="-4"/>
        </w:rPr>
        <w:t xml:space="preserve"> </w:t>
      </w:r>
      <w:r>
        <w:t>a</w:t>
      </w:r>
      <w:r>
        <w:rPr>
          <w:spacing w:val="-3"/>
        </w:rPr>
        <w:t xml:space="preserve"> </w:t>
      </w:r>
      <w:r>
        <w:t>third party administrator or an administrative services only contractor. Non-grandfathered individual market plans are eligible to request and receive reinsurance payments.</w:t>
      </w:r>
    </w:p>
    <w:p w:rsidR="00FA1A1F" w14:paraId="05C20D8B" w14:textId="77777777">
      <w:pPr>
        <w:pStyle w:val="BodyText"/>
        <w:spacing w:before="16"/>
      </w:pPr>
    </w:p>
    <w:p w:rsidR="00FA1A1F" w14:paraId="008E32D9" w14:textId="77777777">
      <w:pPr>
        <w:pStyle w:val="BodyText"/>
        <w:spacing w:line="247" w:lineRule="auto"/>
        <w:ind w:left="355" w:right="1496" w:hanging="12"/>
      </w:pPr>
      <w:r>
        <w:t>CMS</w:t>
      </w:r>
      <w:r>
        <w:rPr>
          <w:spacing w:val="-3"/>
        </w:rPr>
        <w:t xml:space="preserve"> </w:t>
      </w:r>
      <w:r>
        <w:t>will</w:t>
      </w:r>
      <w:r>
        <w:rPr>
          <w:spacing w:val="-5"/>
        </w:rPr>
        <w:t xml:space="preserve"> </w:t>
      </w:r>
      <w:r>
        <w:t>collect</w:t>
      </w:r>
      <w:r>
        <w:rPr>
          <w:spacing w:val="-3"/>
        </w:rPr>
        <w:t xml:space="preserve"> </w:t>
      </w:r>
      <w:r>
        <w:t>all</w:t>
      </w:r>
      <w:r>
        <w:rPr>
          <w:spacing w:val="-5"/>
        </w:rPr>
        <w:t xml:space="preserve"> </w:t>
      </w:r>
      <w:r>
        <w:t>contributions</w:t>
      </w:r>
      <w:r>
        <w:rPr>
          <w:spacing w:val="-2"/>
        </w:rPr>
        <w:t xml:space="preserve"> </w:t>
      </w:r>
      <w:r>
        <w:t>under</w:t>
      </w:r>
      <w:r>
        <w:rPr>
          <w:spacing w:val="-1"/>
        </w:rPr>
        <w:t xml:space="preserve"> </w:t>
      </w:r>
      <w:r>
        <w:t>the</w:t>
      </w:r>
      <w:r>
        <w:rPr>
          <w:spacing w:val="-2"/>
        </w:rPr>
        <w:t xml:space="preserve"> </w:t>
      </w:r>
      <w:r>
        <w:t>uniform</w:t>
      </w:r>
      <w:r>
        <w:rPr>
          <w:spacing w:val="-6"/>
        </w:rPr>
        <w:t xml:space="preserve"> </w:t>
      </w:r>
      <w:r>
        <w:t>reinsurance</w:t>
      </w:r>
      <w:r>
        <w:rPr>
          <w:spacing w:val="-5"/>
        </w:rPr>
        <w:t xml:space="preserve"> </w:t>
      </w:r>
      <w:r>
        <w:t>contribution</w:t>
      </w:r>
      <w:r>
        <w:rPr>
          <w:spacing w:val="-4"/>
        </w:rPr>
        <w:t xml:space="preserve"> </w:t>
      </w:r>
      <w:r>
        <w:t>rate,</w:t>
      </w:r>
      <w:r>
        <w:rPr>
          <w:spacing w:val="-3"/>
        </w:rPr>
        <w:t xml:space="preserve"> </w:t>
      </w:r>
      <w:r>
        <w:t>regardless</w:t>
      </w:r>
      <w:r>
        <w:rPr>
          <w:spacing w:val="-4"/>
        </w:rPr>
        <w:t xml:space="preserve"> </w:t>
      </w:r>
      <w:r>
        <w:t>of whether a state is operating a reinsurance program. CMS will operate reinsurance payment functions for a state when the state defers operation of the program to CMS.</w:t>
      </w:r>
    </w:p>
    <w:p w:rsidR="00FA1A1F" w14:paraId="6A415C83" w14:textId="77777777">
      <w:pPr>
        <w:pStyle w:val="BodyText"/>
        <w:spacing w:before="25"/>
      </w:pPr>
    </w:p>
    <w:p w:rsidR="00FA1A1F" w14:paraId="6887065E" w14:textId="77777777">
      <w:pPr>
        <w:pStyle w:val="BodyText"/>
        <w:spacing w:line="247" w:lineRule="auto"/>
        <w:ind w:left="352" w:right="1496" w:hanging="10"/>
      </w:pPr>
      <w:r>
        <w:t>In order to effectively identify and contact “contributing entities” and third party administrators, (and administrative services only contractors) administrative information, such as name, location, and contact for company, is needed. In addition, in order to identify eligible plans for reinsurance payments,</w:t>
      </w:r>
      <w:r>
        <w:rPr>
          <w:spacing w:val="-4"/>
        </w:rPr>
        <w:t xml:space="preserve"> </w:t>
      </w:r>
      <w:r>
        <w:t>plan-level</w:t>
      </w:r>
      <w:r>
        <w:rPr>
          <w:spacing w:val="-4"/>
        </w:rPr>
        <w:t xml:space="preserve"> </w:t>
      </w:r>
      <w:r>
        <w:t>information</w:t>
      </w:r>
      <w:r>
        <w:rPr>
          <w:spacing w:val="-5"/>
        </w:rPr>
        <w:t xml:space="preserve"> </w:t>
      </w:r>
      <w:r>
        <w:t>is</w:t>
      </w:r>
      <w:r>
        <w:rPr>
          <w:spacing w:val="-5"/>
        </w:rPr>
        <w:t xml:space="preserve"> </w:t>
      </w:r>
      <w:r>
        <w:t>needed</w:t>
      </w:r>
      <w:r>
        <w:rPr>
          <w:spacing w:val="-5"/>
        </w:rPr>
        <w:t xml:space="preserve"> </w:t>
      </w:r>
      <w:r>
        <w:t>for</w:t>
      </w:r>
      <w:r>
        <w:rPr>
          <w:spacing w:val="-2"/>
        </w:rPr>
        <w:t xml:space="preserve"> </w:t>
      </w:r>
      <w:r>
        <w:t>non-grandfathered,</w:t>
      </w:r>
      <w:r>
        <w:rPr>
          <w:spacing w:val="-4"/>
        </w:rPr>
        <w:t xml:space="preserve"> </w:t>
      </w:r>
      <w:r>
        <w:t>non-Exchange</w:t>
      </w:r>
      <w:r>
        <w:rPr>
          <w:spacing w:val="-3"/>
        </w:rPr>
        <w:t xml:space="preserve"> </w:t>
      </w:r>
      <w:r>
        <w:t>plan</w:t>
      </w:r>
      <w:r>
        <w:rPr>
          <w:spacing w:val="-5"/>
        </w:rPr>
        <w:t xml:space="preserve"> </w:t>
      </w:r>
      <w:r>
        <w:t>offerings</w:t>
      </w:r>
      <w:r>
        <w:rPr>
          <w:spacing w:val="-3"/>
        </w:rPr>
        <w:t xml:space="preserve"> </w:t>
      </w:r>
      <w:r>
        <w:t>in the individual market as well as QHPs.</w:t>
      </w:r>
    </w:p>
    <w:p w:rsidR="00FA1A1F" w14:paraId="1F0C40C2" w14:textId="77777777">
      <w:pPr>
        <w:pStyle w:val="BodyText"/>
        <w:spacing w:before="18"/>
      </w:pPr>
    </w:p>
    <w:p w:rsidR="00FA1A1F" w14:paraId="341D0893" w14:textId="77777777">
      <w:pPr>
        <w:pStyle w:val="BodyText"/>
        <w:spacing w:line="247" w:lineRule="auto"/>
        <w:ind w:left="352" w:right="1496" w:hanging="10"/>
      </w:pPr>
      <w:r>
        <w:t>Additionally, states operating the transitional reinsurance program will be required to register in HIOS</w:t>
      </w:r>
      <w:r>
        <w:rPr>
          <w:spacing w:val="-3"/>
        </w:rPr>
        <w:t xml:space="preserve"> </w:t>
      </w:r>
      <w:r>
        <w:t>in</w:t>
      </w:r>
      <w:r>
        <w:rPr>
          <w:spacing w:val="-4"/>
        </w:rPr>
        <w:t xml:space="preserve"> </w:t>
      </w:r>
      <w:r>
        <w:t>order</w:t>
      </w:r>
      <w:r>
        <w:rPr>
          <w:spacing w:val="-1"/>
        </w:rPr>
        <w:t xml:space="preserve"> </w:t>
      </w:r>
      <w:r>
        <w:t>for</w:t>
      </w:r>
      <w:r>
        <w:rPr>
          <w:spacing w:val="-1"/>
        </w:rPr>
        <w:t xml:space="preserve"> </w:t>
      </w:r>
      <w:r>
        <w:t>HHS</w:t>
      </w:r>
      <w:r>
        <w:rPr>
          <w:spacing w:val="-3"/>
        </w:rPr>
        <w:t xml:space="preserve"> </w:t>
      </w:r>
      <w:r>
        <w:t>to</w:t>
      </w:r>
      <w:r>
        <w:rPr>
          <w:spacing w:val="-4"/>
        </w:rPr>
        <w:t xml:space="preserve"> </w:t>
      </w:r>
      <w:r>
        <w:t>distribute</w:t>
      </w:r>
      <w:r>
        <w:rPr>
          <w:spacing w:val="-2"/>
        </w:rPr>
        <w:t xml:space="preserve"> </w:t>
      </w:r>
      <w:r>
        <w:t>reinsurance</w:t>
      </w:r>
      <w:r>
        <w:rPr>
          <w:spacing w:val="-2"/>
        </w:rPr>
        <w:t xml:space="preserve"> </w:t>
      </w:r>
      <w:r>
        <w:t>payments</w:t>
      </w:r>
      <w:r>
        <w:rPr>
          <w:spacing w:val="-2"/>
        </w:rPr>
        <w:t xml:space="preserve"> </w:t>
      </w:r>
      <w:r>
        <w:t>to</w:t>
      </w:r>
      <w:r>
        <w:rPr>
          <w:spacing w:val="-2"/>
        </w:rPr>
        <w:t xml:space="preserve"> </w:t>
      </w:r>
      <w:r>
        <w:t>the</w:t>
      </w:r>
      <w:r>
        <w:rPr>
          <w:spacing w:val="-5"/>
        </w:rPr>
        <w:t xml:space="preserve"> </w:t>
      </w:r>
      <w:r>
        <w:t>state.</w:t>
      </w:r>
      <w:r>
        <w:rPr>
          <w:spacing w:val="-3"/>
        </w:rPr>
        <w:t xml:space="preserve"> </w:t>
      </w:r>
      <w:r>
        <w:t>The</w:t>
      </w:r>
      <w:r>
        <w:rPr>
          <w:spacing w:val="-5"/>
        </w:rPr>
        <w:t xml:space="preserve"> </w:t>
      </w:r>
      <w:r>
        <w:t>state</w:t>
      </w:r>
      <w:r>
        <w:rPr>
          <w:spacing w:val="-2"/>
        </w:rPr>
        <w:t xml:space="preserve"> </w:t>
      </w:r>
      <w:r>
        <w:t>will</w:t>
      </w:r>
      <w:r>
        <w:rPr>
          <w:spacing w:val="-3"/>
        </w:rPr>
        <w:t xml:space="preserve"> </w:t>
      </w:r>
      <w:r>
        <w:t>then</w:t>
      </w:r>
      <w:r>
        <w:rPr>
          <w:spacing w:val="-4"/>
        </w:rPr>
        <w:t xml:space="preserve"> </w:t>
      </w:r>
      <w:r>
        <w:t>allocate those reinsurance payments to the issuers in their state.</w:t>
      </w:r>
    </w:p>
    <w:p w:rsidR="00FA1A1F" w14:paraId="58DECEC9" w14:textId="77777777">
      <w:pPr>
        <w:pStyle w:val="BodyText"/>
        <w:spacing w:before="23"/>
      </w:pPr>
    </w:p>
    <w:p w:rsidR="00FA1A1F" w14:paraId="76AFD79F" w14:textId="77777777">
      <w:pPr>
        <w:pStyle w:val="Heading3"/>
      </w:pPr>
      <w:bookmarkStart w:id="3" w:name="Risk_Adjustment_Reporting_Requirements_f"/>
      <w:bookmarkEnd w:id="3"/>
      <w:r>
        <w:t>Risk</w:t>
      </w:r>
      <w:r>
        <w:rPr>
          <w:spacing w:val="-5"/>
        </w:rPr>
        <w:t xml:space="preserve"> </w:t>
      </w:r>
      <w:r>
        <w:t>Adjustment</w:t>
      </w:r>
      <w:r>
        <w:rPr>
          <w:spacing w:val="-4"/>
        </w:rPr>
        <w:t xml:space="preserve"> </w:t>
      </w:r>
      <w:r>
        <w:t>Reporting</w:t>
      </w:r>
      <w:r>
        <w:rPr>
          <w:spacing w:val="-4"/>
        </w:rPr>
        <w:t xml:space="preserve"> </w:t>
      </w:r>
      <w:r>
        <w:t>Requirements</w:t>
      </w:r>
      <w:r>
        <w:rPr>
          <w:spacing w:val="-4"/>
        </w:rPr>
        <w:t xml:space="preserve"> </w:t>
      </w:r>
      <w:r>
        <w:t>for</w:t>
      </w:r>
      <w:r>
        <w:rPr>
          <w:spacing w:val="-6"/>
        </w:rPr>
        <w:t xml:space="preserve"> </w:t>
      </w:r>
      <w:r>
        <w:t>Non-Exchange</w:t>
      </w:r>
      <w:r>
        <w:rPr>
          <w:spacing w:val="-7"/>
        </w:rPr>
        <w:t xml:space="preserve"> </w:t>
      </w:r>
      <w:r>
        <w:rPr>
          <w:spacing w:val="-2"/>
        </w:rPr>
        <w:t>Plans</w:t>
      </w:r>
    </w:p>
    <w:p w:rsidR="00FA1A1F" w14:paraId="52EFF076" w14:textId="77777777">
      <w:pPr>
        <w:pStyle w:val="BodyText"/>
        <w:spacing w:before="22" w:line="247" w:lineRule="auto"/>
        <w:ind w:left="355" w:right="1443" w:hanging="12"/>
      </w:pPr>
      <w:r>
        <w:t>The permanent risk adjustment program provides payments to health insurance issuers that disproportionately attract high-risk populations (such as those with chronic conditions), thereby reducing the incentives for issuers to avoid higher-risk enrollees. Under this program, funds are transferred</w:t>
      </w:r>
      <w:r>
        <w:rPr>
          <w:spacing w:val="-5"/>
        </w:rPr>
        <w:t xml:space="preserve"> </w:t>
      </w:r>
      <w:r>
        <w:t>within</w:t>
      </w:r>
      <w:r>
        <w:rPr>
          <w:spacing w:val="-3"/>
        </w:rPr>
        <w:t xml:space="preserve"> </w:t>
      </w:r>
      <w:r>
        <w:t>a</w:t>
      </w:r>
      <w:r>
        <w:rPr>
          <w:spacing w:val="-2"/>
        </w:rPr>
        <w:t xml:space="preserve"> </w:t>
      </w:r>
      <w:r>
        <w:t>risk</w:t>
      </w:r>
      <w:r>
        <w:rPr>
          <w:spacing w:val="-3"/>
        </w:rPr>
        <w:t xml:space="preserve"> </w:t>
      </w:r>
      <w:r>
        <w:t>pool</w:t>
      </w:r>
      <w:r>
        <w:rPr>
          <w:spacing w:val="-4"/>
        </w:rPr>
        <w:t xml:space="preserve"> </w:t>
      </w:r>
      <w:r>
        <w:t>within</w:t>
      </w:r>
      <w:r>
        <w:rPr>
          <w:spacing w:val="-3"/>
        </w:rPr>
        <w:t xml:space="preserve"> </w:t>
      </w:r>
      <w:r>
        <w:t>a</w:t>
      </w:r>
      <w:r>
        <w:rPr>
          <w:spacing w:val="-2"/>
        </w:rPr>
        <w:t xml:space="preserve"> </w:t>
      </w:r>
      <w:r>
        <w:t>market</w:t>
      </w:r>
      <w:r>
        <w:rPr>
          <w:spacing w:val="-2"/>
        </w:rPr>
        <w:t xml:space="preserve"> </w:t>
      </w:r>
      <w:r>
        <w:t>within</w:t>
      </w:r>
      <w:r>
        <w:rPr>
          <w:spacing w:val="-3"/>
        </w:rPr>
        <w:t xml:space="preserve"> </w:t>
      </w:r>
      <w:r>
        <w:t>a</w:t>
      </w:r>
      <w:r>
        <w:rPr>
          <w:spacing w:val="-2"/>
        </w:rPr>
        <w:t xml:space="preserve"> </w:t>
      </w:r>
      <w:r>
        <w:t>state</w:t>
      </w:r>
      <w:r>
        <w:rPr>
          <w:spacing w:val="-1"/>
        </w:rPr>
        <w:t xml:space="preserve"> </w:t>
      </w:r>
      <w:r>
        <w:t>from</w:t>
      </w:r>
      <w:r>
        <w:rPr>
          <w:spacing w:val="-1"/>
        </w:rPr>
        <w:t xml:space="preserve"> </w:t>
      </w:r>
      <w:r>
        <w:t>issuers</w:t>
      </w:r>
      <w:r>
        <w:rPr>
          <w:spacing w:val="-3"/>
        </w:rPr>
        <w:t xml:space="preserve"> </w:t>
      </w:r>
      <w:r>
        <w:t>with</w:t>
      </w:r>
      <w:r>
        <w:rPr>
          <w:spacing w:val="-3"/>
        </w:rPr>
        <w:t xml:space="preserve"> </w:t>
      </w:r>
      <w:r>
        <w:t>lower</w:t>
      </w:r>
      <w:r>
        <w:rPr>
          <w:spacing w:val="-3"/>
        </w:rPr>
        <w:t xml:space="preserve"> </w:t>
      </w:r>
      <w:r>
        <w:t>risk</w:t>
      </w:r>
      <w:r>
        <w:rPr>
          <w:spacing w:val="-1"/>
        </w:rPr>
        <w:t xml:space="preserve"> </w:t>
      </w:r>
      <w:r>
        <w:t>enrollees</w:t>
      </w:r>
      <w:r>
        <w:rPr>
          <w:spacing w:val="-3"/>
        </w:rPr>
        <w:t xml:space="preserve"> </w:t>
      </w:r>
      <w:r>
        <w:t>to issuers with higher risk enrollees.</w:t>
      </w:r>
    </w:p>
    <w:p w:rsidR="00FA1A1F" w14:paraId="59E8C8E4" w14:textId="77777777">
      <w:pPr>
        <w:pStyle w:val="BodyText"/>
        <w:spacing w:before="20"/>
      </w:pPr>
    </w:p>
    <w:p w:rsidR="00FA1A1F" w14:paraId="526FAD7E" w14:textId="77777777">
      <w:pPr>
        <w:pStyle w:val="BodyText"/>
        <w:spacing w:line="247" w:lineRule="auto"/>
        <w:ind w:left="355" w:right="1496" w:hanging="12"/>
      </w:pPr>
      <w:r>
        <w:t>A</w:t>
      </w:r>
      <w:r>
        <w:rPr>
          <w:spacing w:val="-2"/>
        </w:rPr>
        <w:t xml:space="preserve"> </w:t>
      </w:r>
      <w:r>
        <w:t>“risk</w:t>
      </w:r>
      <w:r>
        <w:rPr>
          <w:spacing w:val="-4"/>
        </w:rPr>
        <w:t xml:space="preserve"> </w:t>
      </w:r>
      <w:r>
        <w:t>adjustment</w:t>
      </w:r>
      <w:r>
        <w:rPr>
          <w:spacing w:val="-5"/>
        </w:rPr>
        <w:t xml:space="preserve"> </w:t>
      </w:r>
      <w:r>
        <w:t>covered</w:t>
      </w:r>
      <w:r>
        <w:rPr>
          <w:spacing w:val="-4"/>
        </w:rPr>
        <w:t xml:space="preserve"> </w:t>
      </w:r>
      <w:r>
        <w:t>plan”</w:t>
      </w:r>
      <w:r>
        <w:rPr>
          <w:spacing w:val="-3"/>
        </w:rPr>
        <w:t xml:space="preserve"> </w:t>
      </w:r>
      <w:r>
        <w:t>includes</w:t>
      </w:r>
      <w:r>
        <w:rPr>
          <w:spacing w:val="-2"/>
        </w:rPr>
        <w:t xml:space="preserve"> </w:t>
      </w:r>
      <w:r>
        <w:t>most</w:t>
      </w:r>
      <w:r>
        <w:rPr>
          <w:spacing w:val="-3"/>
        </w:rPr>
        <w:t xml:space="preserve"> </w:t>
      </w:r>
      <w:r>
        <w:t>health</w:t>
      </w:r>
      <w:r>
        <w:rPr>
          <w:spacing w:val="-4"/>
        </w:rPr>
        <w:t xml:space="preserve"> </w:t>
      </w:r>
      <w:r>
        <w:t>insurance</w:t>
      </w:r>
      <w:r>
        <w:rPr>
          <w:spacing w:val="-2"/>
        </w:rPr>
        <w:t xml:space="preserve"> </w:t>
      </w:r>
      <w:r>
        <w:t>plans</w:t>
      </w:r>
      <w:r>
        <w:rPr>
          <w:spacing w:val="-4"/>
        </w:rPr>
        <w:t xml:space="preserve"> </w:t>
      </w:r>
      <w:r>
        <w:t>offered</w:t>
      </w:r>
      <w:r>
        <w:rPr>
          <w:spacing w:val="-4"/>
        </w:rPr>
        <w:t xml:space="preserve"> </w:t>
      </w:r>
      <w:r>
        <w:t>in</w:t>
      </w:r>
      <w:r>
        <w:rPr>
          <w:spacing w:val="-4"/>
        </w:rPr>
        <w:t xml:space="preserve"> </w:t>
      </w:r>
      <w:r>
        <w:t>the</w:t>
      </w:r>
      <w:r>
        <w:rPr>
          <w:spacing w:val="-2"/>
        </w:rPr>
        <w:t xml:space="preserve"> </w:t>
      </w:r>
      <w:r>
        <w:t>individual</w:t>
      </w:r>
      <w:r>
        <w:rPr>
          <w:spacing w:val="-3"/>
        </w:rPr>
        <w:t xml:space="preserve"> </w:t>
      </w:r>
      <w:r>
        <w:t>or small group market. The exceptions are grandfathered health plans, group health insurance</w:t>
      </w:r>
    </w:p>
    <w:p w:rsidR="00FA1A1F" w14:paraId="215F8C5F" w14:textId="77777777">
      <w:pPr>
        <w:pStyle w:val="BodyText"/>
        <w:spacing w:line="247" w:lineRule="auto"/>
        <w:sectPr>
          <w:pgSz w:w="12240" w:h="15840"/>
          <w:pgMar w:top="1400" w:right="0" w:bottom="280" w:left="1080" w:header="720" w:footer="720" w:gutter="0"/>
          <w:cols w:space="720"/>
        </w:sectPr>
      </w:pPr>
    </w:p>
    <w:p w:rsidR="00FA1A1F" w14:paraId="6998EAEE" w14:textId="77777777">
      <w:pPr>
        <w:pStyle w:val="BodyText"/>
        <w:spacing w:before="39" w:line="247" w:lineRule="auto"/>
        <w:ind w:left="343" w:right="1609" w:firstLine="9"/>
      </w:pPr>
      <w:r>
        <w:t>coverage</w:t>
      </w:r>
      <w:r>
        <w:rPr>
          <w:spacing w:val="-1"/>
        </w:rPr>
        <w:t xml:space="preserve"> </w:t>
      </w:r>
      <w:r>
        <w:t>described</w:t>
      </w:r>
      <w:r>
        <w:rPr>
          <w:spacing w:val="-3"/>
        </w:rPr>
        <w:t xml:space="preserve"> </w:t>
      </w:r>
      <w:r>
        <w:t>in</w:t>
      </w:r>
      <w:r>
        <w:rPr>
          <w:spacing w:val="-3"/>
        </w:rPr>
        <w:t xml:space="preserve"> </w:t>
      </w:r>
      <w:r>
        <w:t>45</w:t>
      </w:r>
      <w:r>
        <w:rPr>
          <w:spacing w:val="-5"/>
        </w:rPr>
        <w:t xml:space="preserve"> </w:t>
      </w:r>
      <w:r>
        <w:t>CFR</w:t>
      </w:r>
      <w:r>
        <w:rPr>
          <w:spacing w:val="-2"/>
        </w:rPr>
        <w:t xml:space="preserve"> </w:t>
      </w:r>
      <w:r>
        <w:t>146.145(c),</w:t>
      </w:r>
      <w:r>
        <w:rPr>
          <w:spacing w:val="-2"/>
        </w:rPr>
        <w:t xml:space="preserve"> </w:t>
      </w:r>
      <w:r>
        <w:t>individual</w:t>
      </w:r>
      <w:r>
        <w:rPr>
          <w:spacing w:val="-2"/>
        </w:rPr>
        <w:t xml:space="preserve"> </w:t>
      </w:r>
      <w:r>
        <w:t>health</w:t>
      </w:r>
      <w:r>
        <w:rPr>
          <w:spacing w:val="-3"/>
        </w:rPr>
        <w:t xml:space="preserve"> </w:t>
      </w:r>
      <w:r>
        <w:t>insurance</w:t>
      </w:r>
      <w:r>
        <w:rPr>
          <w:spacing w:val="-4"/>
        </w:rPr>
        <w:t xml:space="preserve"> </w:t>
      </w:r>
      <w:r>
        <w:t>coverage</w:t>
      </w:r>
      <w:r>
        <w:rPr>
          <w:spacing w:val="-1"/>
        </w:rPr>
        <w:t xml:space="preserve"> </w:t>
      </w:r>
      <w:r>
        <w:t>described</w:t>
      </w:r>
      <w:r>
        <w:rPr>
          <w:spacing w:val="-3"/>
        </w:rPr>
        <w:t xml:space="preserve"> </w:t>
      </w:r>
      <w:r>
        <w:t>in</w:t>
      </w:r>
      <w:r>
        <w:rPr>
          <w:spacing w:val="-4"/>
        </w:rPr>
        <w:t xml:space="preserve"> </w:t>
      </w:r>
      <w:r>
        <w:t>45</w:t>
      </w:r>
      <w:r>
        <w:rPr>
          <w:spacing w:val="-1"/>
        </w:rPr>
        <w:t xml:space="preserve"> </w:t>
      </w:r>
      <w:r>
        <w:t>CFR 148.220,</w:t>
      </w:r>
      <w:r>
        <w:rPr>
          <w:spacing w:val="-4"/>
        </w:rPr>
        <w:t xml:space="preserve"> </w:t>
      </w:r>
      <w:r>
        <w:t>and</w:t>
      </w:r>
      <w:r>
        <w:rPr>
          <w:spacing w:val="-3"/>
        </w:rPr>
        <w:t xml:space="preserve"> </w:t>
      </w:r>
      <w:r>
        <w:t>any</w:t>
      </w:r>
      <w:r>
        <w:rPr>
          <w:spacing w:val="-3"/>
        </w:rPr>
        <w:t xml:space="preserve"> </w:t>
      </w:r>
      <w:r>
        <w:t>other plan</w:t>
      </w:r>
      <w:r>
        <w:rPr>
          <w:spacing w:val="-3"/>
        </w:rPr>
        <w:t xml:space="preserve"> </w:t>
      </w:r>
      <w:r>
        <w:t>determined</w:t>
      </w:r>
      <w:r>
        <w:rPr>
          <w:spacing w:val="-3"/>
        </w:rPr>
        <w:t xml:space="preserve"> </w:t>
      </w:r>
      <w:r>
        <w:t>not</w:t>
      </w:r>
      <w:r>
        <w:rPr>
          <w:spacing w:val="-5"/>
        </w:rPr>
        <w:t xml:space="preserve"> </w:t>
      </w:r>
      <w:r>
        <w:t>to</w:t>
      </w:r>
      <w:r>
        <w:rPr>
          <w:spacing w:val="-1"/>
        </w:rPr>
        <w:t xml:space="preserve"> </w:t>
      </w:r>
      <w:r>
        <w:t>be</w:t>
      </w:r>
      <w:r>
        <w:rPr>
          <w:spacing w:val="-4"/>
        </w:rPr>
        <w:t xml:space="preserve"> </w:t>
      </w:r>
      <w:r>
        <w:t>a</w:t>
      </w:r>
      <w:r>
        <w:rPr>
          <w:spacing w:val="-4"/>
        </w:rPr>
        <w:t xml:space="preserve"> </w:t>
      </w:r>
      <w:r>
        <w:t>risk</w:t>
      </w:r>
      <w:r>
        <w:rPr>
          <w:spacing w:val="-1"/>
        </w:rPr>
        <w:t xml:space="preserve"> </w:t>
      </w:r>
      <w:r>
        <w:t>adjustment</w:t>
      </w:r>
      <w:r>
        <w:rPr>
          <w:spacing w:val="-2"/>
        </w:rPr>
        <w:t xml:space="preserve"> </w:t>
      </w:r>
      <w:r>
        <w:t>covered</w:t>
      </w:r>
      <w:r>
        <w:rPr>
          <w:spacing w:val="-5"/>
        </w:rPr>
        <w:t xml:space="preserve"> </w:t>
      </w:r>
      <w:r>
        <w:t>plan</w:t>
      </w:r>
      <w:r>
        <w:rPr>
          <w:spacing w:val="-3"/>
        </w:rPr>
        <w:t xml:space="preserve"> </w:t>
      </w:r>
      <w:r>
        <w:t>in</w:t>
      </w:r>
      <w:r>
        <w:rPr>
          <w:spacing w:val="-3"/>
        </w:rPr>
        <w:t xml:space="preserve"> </w:t>
      </w:r>
      <w:r>
        <w:t>the</w:t>
      </w:r>
      <w:r>
        <w:rPr>
          <w:spacing w:val="-1"/>
        </w:rPr>
        <w:t xml:space="preserve"> </w:t>
      </w:r>
      <w:r>
        <w:t xml:space="preserve">applicable Federally-certified risk adjustment methodology. States, or CMS on behalf of a state, will require basic identifying information about all risk adjustment covered plans, whether or not they are </w:t>
      </w:r>
      <w:r>
        <w:rPr>
          <w:spacing w:val="-2"/>
        </w:rPr>
        <w:t>QHPs.</w:t>
      </w:r>
    </w:p>
    <w:p w:rsidR="00FA1A1F" w14:paraId="2A79A52C" w14:textId="77777777">
      <w:pPr>
        <w:pStyle w:val="BodyText"/>
      </w:pPr>
    </w:p>
    <w:p w:rsidR="00FA1A1F" w14:paraId="17C2545D" w14:textId="77777777">
      <w:pPr>
        <w:pStyle w:val="BodyText"/>
        <w:spacing w:before="57"/>
      </w:pPr>
    </w:p>
    <w:p w:rsidR="00FA1A1F" w14:paraId="152B4349" w14:textId="77777777">
      <w:pPr>
        <w:pStyle w:val="Heading1"/>
        <w:numPr>
          <w:ilvl w:val="0"/>
          <w:numId w:val="1"/>
        </w:numPr>
        <w:tabs>
          <w:tab w:val="left" w:pos="687"/>
        </w:tabs>
        <w:spacing w:before="1"/>
        <w:ind w:left="687" w:hanging="291"/>
      </w:pPr>
      <w:bookmarkStart w:id="4" w:name="B._Justification"/>
      <w:bookmarkEnd w:id="4"/>
      <w:r>
        <w:rPr>
          <w:spacing w:val="-2"/>
        </w:rPr>
        <w:t>Justification</w:t>
      </w:r>
    </w:p>
    <w:p w:rsidR="00FA1A1F" w14:paraId="37C116A5" w14:textId="77777777">
      <w:pPr>
        <w:pStyle w:val="ListParagraph"/>
        <w:numPr>
          <w:ilvl w:val="1"/>
          <w:numId w:val="1"/>
        </w:numPr>
        <w:tabs>
          <w:tab w:val="left" w:pos="666"/>
        </w:tabs>
        <w:spacing w:before="319"/>
        <w:ind w:left="666" w:hanging="275"/>
        <w:rPr>
          <w:rFonts w:ascii="Calibri"/>
          <w:sz w:val="28"/>
        </w:rPr>
      </w:pPr>
      <w:r>
        <w:rPr>
          <w:rFonts w:ascii="Calibri"/>
          <w:sz w:val="28"/>
        </w:rPr>
        <w:t>Need</w:t>
      </w:r>
      <w:r>
        <w:rPr>
          <w:rFonts w:ascii="Calibri"/>
          <w:spacing w:val="-5"/>
          <w:sz w:val="28"/>
        </w:rPr>
        <w:t xml:space="preserve"> </w:t>
      </w:r>
      <w:r>
        <w:rPr>
          <w:rFonts w:ascii="Calibri"/>
          <w:sz w:val="28"/>
        </w:rPr>
        <w:t>and</w:t>
      </w:r>
      <w:r>
        <w:rPr>
          <w:rFonts w:ascii="Calibri"/>
          <w:spacing w:val="-3"/>
          <w:sz w:val="28"/>
        </w:rPr>
        <w:t xml:space="preserve"> </w:t>
      </w:r>
      <w:r>
        <w:rPr>
          <w:rFonts w:ascii="Calibri"/>
          <w:sz w:val="28"/>
        </w:rPr>
        <w:t>Legal</w:t>
      </w:r>
      <w:r>
        <w:rPr>
          <w:rFonts w:ascii="Calibri"/>
          <w:spacing w:val="-10"/>
          <w:sz w:val="28"/>
        </w:rPr>
        <w:t xml:space="preserve"> </w:t>
      </w:r>
      <w:r>
        <w:rPr>
          <w:rFonts w:ascii="Calibri"/>
          <w:spacing w:val="-4"/>
          <w:sz w:val="28"/>
        </w:rPr>
        <w:t>Basis</w:t>
      </w:r>
    </w:p>
    <w:p w:rsidR="00FA1A1F" w14:paraId="058E8A97" w14:textId="77777777">
      <w:pPr>
        <w:pStyle w:val="BodyText"/>
        <w:spacing w:before="25" w:line="247" w:lineRule="auto"/>
        <w:ind w:left="355" w:right="1443" w:hanging="12"/>
      </w:pPr>
      <w:r>
        <w:t>This information is mandated by Sections 1103 and 10102 of the Affordable Care Act.</w:t>
      </w:r>
      <w:r>
        <w:rPr>
          <w:spacing w:val="-1"/>
        </w:rPr>
        <w:t xml:space="preserve"> </w:t>
      </w:r>
      <w:r>
        <w:t>A copy of this mandate is provided in Appendix B. Additionally, the collection covers information required in Sections</w:t>
      </w:r>
      <w:r>
        <w:rPr>
          <w:spacing w:val="-3"/>
        </w:rPr>
        <w:t xml:space="preserve"> </w:t>
      </w:r>
      <w:r>
        <w:t>1302</w:t>
      </w:r>
      <w:r>
        <w:rPr>
          <w:spacing w:val="-4"/>
        </w:rPr>
        <w:t xml:space="preserve"> </w:t>
      </w:r>
      <w:r>
        <w:t>and</w:t>
      </w:r>
      <w:r>
        <w:rPr>
          <w:spacing w:val="-3"/>
        </w:rPr>
        <w:t xml:space="preserve"> </w:t>
      </w:r>
      <w:r>
        <w:t>2715</w:t>
      </w:r>
      <w:r>
        <w:rPr>
          <w:spacing w:val="-4"/>
        </w:rPr>
        <w:t xml:space="preserve"> </w:t>
      </w:r>
      <w:r>
        <w:t>of</w:t>
      </w:r>
      <w:r>
        <w:rPr>
          <w:spacing w:val="-3"/>
        </w:rPr>
        <w:t xml:space="preserve"> </w:t>
      </w:r>
      <w:r>
        <w:t>the</w:t>
      </w:r>
      <w:r>
        <w:rPr>
          <w:spacing w:val="-2"/>
        </w:rPr>
        <w:t xml:space="preserve"> </w:t>
      </w:r>
      <w:r>
        <w:t>Affordable</w:t>
      </w:r>
      <w:r>
        <w:rPr>
          <w:spacing w:val="-2"/>
        </w:rPr>
        <w:t xml:space="preserve"> </w:t>
      </w:r>
      <w:r>
        <w:t>Care</w:t>
      </w:r>
      <w:r>
        <w:rPr>
          <w:spacing w:val="-4"/>
        </w:rPr>
        <w:t xml:space="preserve"> </w:t>
      </w:r>
      <w:r>
        <w:t>Act</w:t>
      </w:r>
      <w:r>
        <w:rPr>
          <w:spacing w:val="-3"/>
        </w:rPr>
        <w:t xml:space="preserve"> </w:t>
      </w:r>
      <w:r>
        <w:t>regarding</w:t>
      </w:r>
      <w:r>
        <w:rPr>
          <w:spacing w:val="-3"/>
        </w:rPr>
        <w:t xml:space="preserve"> </w:t>
      </w:r>
      <w:r>
        <w:t>transparency</w:t>
      </w:r>
      <w:r>
        <w:rPr>
          <w:spacing w:val="-3"/>
        </w:rPr>
        <w:t xml:space="preserve"> </w:t>
      </w:r>
      <w:r>
        <w:t>and</w:t>
      </w:r>
      <w:r>
        <w:rPr>
          <w:spacing w:val="-4"/>
        </w:rPr>
        <w:t xml:space="preserve"> </w:t>
      </w:r>
      <w:r>
        <w:t>the</w:t>
      </w:r>
      <w:r>
        <w:rPr>
          <w:spacing w:val="-2"/>
        </w:rPr>
        <w:t xml:space="preserve"> </w:t>
      </w:r>
      <w:r>
        <w:t>provision</w:t>
      </w:r>
      <w:r>
        <w:rPr>
          <w:spacing w:val="-3"/>
        </w:rPr>
        <w:t xml:space="preserve"> </w:t>
      </w:r>
      <w:r>
        <w:t>of</w:t>
      </w:r>
      <w:r>
        <w:rPr>
          <w:spacing w:val="-3"/>
        </w:rPr>
        <w:t xml:space="preserve"> </w:t>
      </w:r>
      <w:r>
        <w:t>SBC.</w:t>
      </w:r>
    </w:p>
    <w:p w:rsidR="00FA1A1F" w14:paraId="486783BE" w14:textId="77777777">
      <w:pPr>
        <w:pStyle w:val="BodyText"/>
        <w:spacing w:before="45"/>
      </w:pPr>
    </w:p>
    <w:p w:rsidR="00FA1A1F" w14:paraId="4635F567" w14:textId="77777777">
      <w:pPr>
        <w:pStyle w:val="Heading1"/>
        <w:numPr>
          <w:ilvl w:val="1"/>
          <w:numId w:val="1"/>
        </w:numPr>
        <w:tabs>
          <w:tab w:val="left" w:pos="620"/>
        </w:tabs>
        <w:ind w:left="620"/>
      </w:pPr>
      <w:bookmarkStart w:id="5" w:name="2._Information_Users"/>
      <w:bookmarkEnd w:id="5"/>
      <w:r>
        <w:t>Information</w:t>
      </w:r>
      <w:r>
        <w:rPr>
          <w:spacing w:val="-14"/>
        </w:rPr>
        <w:t xml:space="preserve"> </w:t>
      </w:r>
      <w:r>
        <w:rPr>
          <w:spacing w:val="-4"/>
        </w:rPr>
        <w:t>Users</w:t>
      </w:r>
    </w:p>
    <w:p w:rsidR="00FA1A1F" w14:paraId="1F14410B" w14:textId="77777777">
      <w:pPr>
        <w:pStyle w:val="BodyText"/>
        <w:spacing w:before="21" w:line="247" w:lineRule="auto"/>
        <w:ind w:left="355" w:right="1474" w:hanging="12"/>
      </w:pPr>
      <w:r>
        <w:t>Once all of the information is collected from the States, State health benefits high risk pools, and insurance issuers (hereon referred to as issuers), this information is processed by contractors for display on the HealthCare.gov website. The information that is provided helps the general public make educated decisions about their choice in organizations providing private health care insurance. Information collected quarterly from insurance issuers is used to populate the Plan Finder application to show individuals their options, to provide some profile information, and to coordinate the data collection with Oversight collections to reduce the burden on issuers and the Federal</w:t>
      </w:r>
      <w:r>
        <w:rPr>
          <w:spacing w:val="-5"/>
        </w:rPr>
        <w:t xml:space="preserve"> </w:t>
      </w:r>
      <w:r>
        <w:t>Government.</w:t>
      </w:r>
      <w:r>
        <w:rPr>
          <w:spacing w:val="-3"/>
        </w:rPr>
        <w:t xml:space="preserve"> </w:t>
      </w:r>
      <w:r>
        <w:t>Collecting</w:t>
      </w:r>
      <w:r>
        <w:rPr>
          <w:spacing w:val="-3"/>
        </w:rPr>
        <w:t xml:space="preserve"> </w:t>
      </w:r>
      <w:r>
        <w:t>information</w:t>
      </w:r>
      <w:r>
        <w:rPr>
          <w:spacing w:val="-4"/>
        </w:rPr>
        <w:t xml:space="preserve"> </w:t>
      </w:r>
      <w:r>
        <w:t>consistent</w:t>
      </w:r>
      <w:r>
        <w:rPr>
          <w:spacing w:val="-3"/>
        </w:rPr>
        <w:t xml:space="preserve"> </w:t>
      </w:r>
      <w:r>
        <w:t>with</w:t>
      </w:r>
      <w:r>
        <w:rPr>
          <w:spacing w:val="-4"/>
        </w:rPr>
        <w:t xml:space="preserve"> </w:t>
      </w:r>
      <w:r>
        <w:t>the</w:t>
      </w:r>
      <w:r>
        <w:rPr>
          <w:spacing w:val="-2"/>
        </w:rPr>
        <w:t xml:space="preserve"> </w:t>
      </w:r>
      <w:r>
        <w:t>SBC</w:t>
      </w:r>
      <w:r>
        <w:rPr>
          <w:spacing w:val="-3"/>
        </w:rPr>
        <w:t xml:space="preserve"> </w:t>
      </w:r>
      <w:r>
        <w:t>standards</w:t>
      </w:r>
      <w:r>
        <w:rPr>
          <w:spacing w:val="-2"/>
        </w:rPr>
        <w:t xml:space="preserve"> </w:t>
      </w:r>
      <w:r>
        <w:t>allows</w:t>
      </w:r>
      <w:r>
        <w:rPr>
          <w:spacing w:val="-4"/>
        </w:rPr>
        <w:t xml:space="preserve"> </w:t>
      </w:r>
      <w:r>
        <w:t>consumers</w:t>
      </w:r>
      <w:r>
        <w:rPr>
          <w:spacing w:val="-4"/>
        </w:rPr>
        <w:t xml:space="preserve"> </w:t>
      </w:r>
      <w:r>
        <w:t>to access this information in a consistent manner.</w:t>
      </w:r>
    </w:p>
    <w:p w:rsidR="00FA1A1F" w14:paraId="6710078E" w14:textId="77777777">
      <w:pPr>
        <w:pStyle w:val="BodyText"/>
        <w:spacing w:before="43"/>
      </w:pPr>
    </w:p>
    <w:p w:rsidR="00FA1A1F" w14:paraId="6CFEB424" w14:textId="77777777">
      <w:pPr>
        <w:pStyle w:val="Heading1"/>
        <w:numPr>
          <w:ilvl w:val="1"/>
          <w:numId w:val="1"/>
        </w:numPr>
        <w:tabs>
          <w:tab w:val="left" w:pos="617"/>
        </w:tabs>
        <w:spacing w:before="1"/>
        <w:ind w:left="617" w:hanging="274"/>
      </w:pPr>
      <w:bookmarkStart w:id="6" w:name="3._Use_of_Information_Technology"/>
      <w:bookmarkEnd w:id="6"/>
      <w:r>
        <w:t>Use</w:t>
      </w:r>
      <w:r>
        <w:rPr>
          <w:spacing w:val="-6"/>
        </w:rPr>
        <w:t xml:space="preserve"> </w:t>
      </w:r>
      <w:r>
        <w:t>of</w:t>
      </w:r>
      <w:r>
        <w:rPr>
          <w:spacing w:val="-5"/>
        </w:rPr>
        <w:t xml:space="preserve"> </w:t>
      </w:r>
      <w:r>
        <w:t>Information</w:t>
      </w:r>
      <w:r>
        <w:rPr>
          <w:spacing w:val="-8"/>
        </w:rPr>
        <w:t xml:space="preserve"> </w:t>
      </w:r>
      <w:r>
        <w:rPr>
          <w:spacing w:val="-2"/>
        </w:rPr>
        <w:t>Technology</w:t>
      </w:r>
    </w:p>
    <w:p w:rsidR="00FA1A1F" w14:paraId="0251B5F4" w14:textId="77777777">
      <w:pPr>
        <w:pStyle w:val="BodyText"/>
        <w:spacing w:before="21" w:line="247" w:lineRule="auto"/>
        <w:ind w:left="354" w:right="1452" w:hanging="12"/>
      </w:pPr>
      <w:r>
        <w:t>CCIIO has created a system where insurance issuers and their States log into the web portal using a custom</w:t>
      </w:r>
      <w:r>
        <w:rPr>
          <w:spacing w:val="-2"/>
        </w:rPr>
        <w:t xml:space="preserve"> </w:t>
      </w:r>
      <w:r>
        <w:t>user ID</w:t>
      </w:r>
      <w:r>
        <w:rPr>
          <w:spacing w:val="-1"/>
        </w:rPr>
        <w:t xml:space="preserve"> </w:t>
      </w:r>
      <w:r>
        <w:t>and</w:t>
      </w:r>
      <w:r>
        <w:rPr>
          <w:spacing w:val="-2"/>
        </w:rPr>
        <w:t xml:space="preserve"> </w:t>
      </w:r>
      <w:r>
        <w:t>password</w:t>
      </w:r>
      <w:r>
        <w:rPr>
          <w:spacing w:val="-2"/>
        </w:rPr>
        <w:t xml:space="preserve"> </w:t>
      </w:r>
      <w:r>
        <w:t>validation.</w:t>
      </w:r>
      <w:r>
        <w:rPr>
          <w:spacing w:val="-1"/>
        </w:rPr>
        <w:t xml:space="preserve"> </w:t>
      </w:r>
      <w:r>
        <w:t>The States</w:t>
      </w:r>
      <w:r>
        <w:rPr>
          <w:spacing w:val="-2"/>
        </w:rPr>
        <w:t xml:space="preserve"> </w:t>
      </w:r>
      <w:r>
        <w:t>were asked</w:t>
      </w:r>
      <w:r>
        <w:rPr>
          <w:spacing w:val="-2"/>
        </w:rPr>
        <w:t xml:space="preserve"> </w:t>
      </w:r>
      <w:r>
        <w:t>to provide information</w:t>
      </w:r>
      <w:r>
        <w:rPr>
          <w:spacing w:val="-2"/>
        </w:rPr>
        <w:t xml:space="preserve"> </w:t>
      </w:r>
      <w:r>
        <w:t>on</w:t>
      </w:r>
      <w:r>
        <w:rPr>
          <w:spacing w:val="-2"/>
        </w:rPr>
        <w:t xml:space="preserve"> </w:t>
      </w:r>
      <w:r>
        <w:t>issuers</w:t>
      </w:r>
      <w:r>
        <w:rPr>
          <w:spacing w:val="-2"/>
        </w:rPr>
        <w:t xml:space="preserve"> </w:t>
      </w:r>
      <w:r>
        <w:t>in their State and various websites (see Appendix E). Issuers have been downloading a basic information template to enter data then upload into the portal. Information to be collected on issuers and products can be found in Appendix C. Additionally, for purposes of this collection, we will</w:t>
      </w:r>
      <w:r>
        <w:rPr>
          <w:spacing w:val="-3"/>
        </w:rPr>
        <w:t xml:space="preserve"> </w:t>
      </w:r>
      <w:r>
        <w:t>collect</w:t>
      </w:r>
      <w:r>
        <w:rPr>
          <w:spacing w:val="-3"/>
        </w:rPr>
        <w:t xml:space="preserve"> </w:t>
      </w:r>
      <w:r>
        <w:t>information</w:t>
      </w:r>
      <w:r>
        <w:rPr>
          <w:spacing w:val="-5"/>
        </w:rPr>
        <w:t xml:space="preserve"> </w:t>
      </w:r>
      <w:r>
        <w:t>consistent</w:t>
      </w:r>
      <w:r>
        <w:rPr>
          <w:spacing w:val="-3"/>
        </w:rPr>
        <w:t xml:space="preserve"> </w:t>
      </w:r>
      <w:r>
        <w:t>with</w:t>
      </w:r>
      <w:r>
        <w:rPr>
          <w:spacing w:val="-4"/>
        </w:rPr>
        <w:t xml:space="preserve"> </w:t>
      </w:r>
      <w:r>
        <w:t>both</w:t>
      </w:r>
      <w:r>
        <w:rPr>
          <w:spacing w:val="-5"/>
        </w:rPr>
        <w:t xml:space="preserve"> </w:t>
      </w:r>
      <w:r>
        <w:t>QHPs</w:t>
      </w:r>
      <w:r>
        <w:rPr>
          <w:spacing w:val="-2"/>
        </w:rPr>
        <w:t xml:space="preserve"> </w:t>
      </w:r>
      <w:r>
        <w:t>and</w:t>
      </w:r>
      <w:r>
        <w:rPr>
          <w:spacing w:val="-4"/>
        </w:rPr>
        <w:t xml:space="preserve"> </w:t>
      </w:r>
      <w:r>
        <w:t>the</w:t>
      </w:r>
      <w:r>
        <w:rPr>
          <w:spacing w:val="-2"/>
        </w:rPr>
        <w:t xml:space="preserve"> </w:t>
      </w:r>
      <w:r>
        <w:t>Federally-facilitated</w:t>
      </w:r>
      <w:r>
        <w:rPr>
          <w:spacing w:val="-4"/>
        </w:rPr>
        <w:t xml:space="preserve"> </w:t>
      </w:r>
      <w:r>
        <w:t>Exchange</w:t>
      </w:r>
      <w:r>
        <w:rPr>
          <w:spacing w:val="-5"/>
        </w:rPr>
        <w:t xml:space="preserve"> </w:t>
      </w:r>
      <w:r>
        <w:t>within</w:t>
      </w:r>
      <w:r>
        <w:rPr>
          <w:spacing w:val="-4"/>
        </w:rPr>
        <w:t xml:space="preserve"> </w:t>
      </w:r>
      <w:r>
        <w:t>one consolidated template.</w:t>
      </w:r>
      <w:r>
        <w:rPr>
          <w:spacing w:val="-2"/>
        </w:rPr>
        <w:t xml:space="preserve"> </w:t>
      </w:r>
      <w:r>
        <w:t>The requirements and data</w:t>
      </w:r>
      <w:r>
        <w:rPr>
          <w:spacing w:val="-1"/>
        </w:rPr>
        <w:t xml:space="preserve"> </w:t>
      </w:r>
      <w:r>
        <w:t xml:space="preserve">elements of this collection can be found in </w:t>
      </w:r>
      <w:r>
        <w:rPr>
          <w:rFonts w:ascii="Cambria"/>
        </w:rPr>
        <w:t xml:space="preserve">OMB Control No. 0938-1186. </w:t>
      </w:r>
      <w:r>
        <w:t>Information to be collected can be found in the following Appendices: Plans and Benefits and Service Area Templates can be found in Appendices D and I; Rating Tables and</w:t>
      </w:r>
      <w:r>
        <w:rPr>
          <w:spacing w:val="-5"/>
        </w:rPr>
        <w:t xml:space="preserve"> </w:t>
      </w:r>
      <w:r>
        <w:t>Issuer</w:t>
      </w:r>
      <w:r>
        <w:rPr>
          <w:spacing w:val="-2"/>
        </w:rPr>
        <w:t xml:space="preserve"> </w:t>
      </w:r>
      <w:r>
        <w:t>Business Rules</w:t>
      </w:r>
      <w:r>
        <w:rPr>
          <w:spacing w:val="-7"/>
        </w:rPr>
        <w:t xml:space="preserve"> </w:t>
      </w:r>
      <w:r>
        <w:t>data</w:t>
      </w:r>
      <w:r>
        <w:rPr>
          <w:spacing w:val="-1"/>
        </w:rPr>
        <w:t xml:space="preserve"> </w:t>
      </w:r>
      <w:r>
        <w:t>can</w:t>
      </w:r>
      <w:r>
        <w:rPr>
          <w:spacing w:val="-5"/>
        </w:rPr>
        <w:t xml:space="preserve"> </w:t>
      </w:r>
      <w:r>
        <w:t>be found</w:t>
      </w:r>
      <w:r>
        <w:rPr>
          <w:spacing w:val="-5"/>
        </w:rPr>
        <w:t xml:space="preserve"> </w:t>
      </w:r>
      <w:r>
        <w:t>in</w:t>
      </w:r>
      <w:r>
        <w:rPr>
          <w:spacing w:val="-5"/>
        </w:rPr>
        <w:t xml:space="preserve"> </w:t>
      </w:r>
      <w:r>
        <w:t>Appendices</w:t>
      </w:r>
      <w:r>
        <w:rPr>
          <w:spacing w:val="-3"/>
        </w:rPr>
        <w:t xml:space="preserve"> </w:t>
      </w:r>
      <w:r>
        <w:t>G and</w:t>
      </w:r>
      <w:r>
        <w:rPr>
          <w:spacing w:val="-5"/>
        </w:rPr>
        <w:t xml:space="preserve"> </w:t>
      </w:r>
      <w:r>
        <w:t>H.</w:t>
      </w:r>
      <w:r>
        <w:rPr>
          <w:spacing w:val="-6"/>
        </w:rPr>
        <w:t xml:space="preserve"> </w:t>
      </w:r>
      <w:r>
        <w:t>Additionally,</w:t>
      </w:r>
      <w:r>
        <w:rPr>
          <w:spacing w:val="-1"/>
        </w:rPr>
        <w:t xml:space="preserve"> </w:t>
      </w:r>
      <w:r>
        <w:t>beginning</w:t>
      </w:r>
      <w:r>
        <w:rPr>
          <w:spacing w:val="-2"/>
        </w:rPr>
        <w:t xml:space="preserve"> </w:t>
      </w:r>
      <w:r>
        <w:t>with</w:t>
      </w:r>
      <w:r>
        <w:rPr>
          <w:spacing w:val="-2"/>
        </w:rPr>
        <w:t xml:space="preserve"> </w:t>
      </w:r>
      <w:r>
        <w:t>the Plan Year 2021 collection,</w:t>
      </w:r>
      <w:r>
        <w:rPr>
          <w:spacing w:val="-1"/>
        </w:rPr>
        <w:t xml:space="preserve"> </w:t>
      </w:r>
      <w:r>
        <w:t>Rates and Benefits Information (RBIS) URL</w:t>
      </w:r>
      <w:r>
        <w:rPr>
          <w:spacing w:val="-2"/>
        </w:rPr>
        <w:t xml:space="preserve"> </w:t>
      </w:r>
      <w:r>
        <w:t>collection template was added and can be found in Appendix G of this Information Collection Request.</w:t>
      </w:r>
    </w:p>
    <w:p w:rsidR="00FA1A1F" w14:paraId="13BE0246" w14:textId="77777777">
      <w:pPr>
        <w:pStyle w:val="BodyText"/>
        <w:spacing w:before="17"/>
      </w:pPr>
    </w:p>
    <w:p w:rsidR="00FA1A1F" w14:paraId="7B69E67C" w14:textId="77777777">
      <w:pPr>
        <w:pStyle w:val="BodyText"/>
        <w:spacing w:line="247" w:lineRule="auto"/>
        <w:ind w:left="352" w:right="1496" w:hanging="10"/>
      </w:pPr>
      <w:r>
        <w:t>CCIIO</w:t>
      </w:r>
      <w:r>
        <w:rPr>
          <w:spacing w:val="-2"/>
        </w:rPr>
        <w:t xml:space="preserve"> </w:t>
      </w:r>
      <w:r>
        <w:t>will</w:t>
      </w:r>
      <w:r>
        <w:rPr>
          <w:spacing w:val="-3"/>
        </w:rPr>
        <w:t xml:space="preserve"> </w:t>
      </w:r>
      <w:r>
        <w:t>be</w:t>
      </w:r>
      <w:r>
        <w:rPr>
          <w:spacing w:val="-4"/>
        </w:rPr>
        <w:t xml:space="preserve"> </w:t>
      </w:r>
      <w:r>
        <w:t>using</w:t>
      </w:r>
      <w:r>
        <w:rPr>
          <w:spacing w:val="-3"/>
        </w:rPr>
        <w:t xml:space="preserve"> </w:t>
      </w:r>
      <w:r>
        <w:t>drop</w:t>
      </w:r>
      <w:r>
        <w:rPr>
          <w:spacing w:val="-3"/>
        </w:rPr>
        <w:t xml:space="preserve"> </w:t>
      </w:r>
      <w:r>
        <w:t>down</w:t>
      </w:r>
      <w:r>
        <w:rPr>
          <w:spacing w:val="-3"/>
        </w:rPr>
        <w:t xml:space="preserve"> </w:t>
      </w:r>
      <w:r>
        <w:t>menus</w:t>
      </w:r>
      <w:r>
        <w:rPr>
          <w:spacing w:val="-2"/>
        </w:rPr>
        <w:t xml:space="preserve"> </w:t>
      </w:r>
      <w:r>
        <w:t>and</w:t>
      </w:r>
      <w:r>
        <w:rPr>
          <w:spacing w:val="-3"/>
        </w:rPr>
        <w:t xml:space="preserve"> </w:t>
      </w:r>
      <w:r>
        <w:t>error</w:t>
      </w:r>
      <w:r>
        <w:rPr>
          <w:spacing w:val="-3"/>
        </w:rPr>
        <w:t xml:space="preserve"> </w:t>
      </w:r>
      <w:r>
        <w:t>checks</w:t>
      </w:r>
      <w:r>
        <w:rPr>
          <w:spacing w:val="-3"/>
        </w:rPr>
        <w:t xml:space="preserve"> </w:t>
      </w:r>
      <w:r>
        <w:t>wherever</w:t>
      </w:r>
      <w:r>
        <w:rPr>
          <w:spacing w:val="-1"/>
        </w:rPr>
        <w:t xml:space="preserve"> </w:t>
      </w:r>
      <w:r>
        <w:t>possible</w:t>
      </w:r>
      <w:r>
        <w:rPr>
          <w:spacing w:val="-2"/>
        </w:rPr>
        <w:t xml:space="preserve"> </w:t>
      </w:r>
      <w:r>
        <w:t>to</w:t>
      </w:r>
      <w:r>
        <w:rPr>
          <w:spacing w:val="-3"/>
        </w:rPr>
        <w:t xml:space="preserve"> </w:t>
      </w:r>
      <w:r>
        <w:t>minimize</w:t>
      </w:r>
      <w:r>
        <w:rPr>
          <w:spacing w:val="-2"/>
        </w:rPr>
        <w:t xml:space="preserve"> </w:t>
      </w:r>
      <w:r>
        <w:t>burden</w:t>
      </w:r>
      <w:r>
        <w:rPr>
          <w:spacing w:val="-5"/>
        </w:rPr>
        <w:t xml:space="preserve"> </w:t>
      </w:r>
      <w:r>
        <w:t>on plans and issuers. Once the data is submitted, the plans and issuers can later log in to update information they provided instead of having to re-upload all plan/product information.</w:t>
      </w:r>
    </w:p>
    <w:p w:rsidR="00FA1A1F" w14:paraId="28BC1697" w14:textId="77777777">
      <w:pPr>
        <w:pStyle w:val="BodyText"/>
        <w:spacing w:line="247" w:lineRule="auto"/>
        <w:sectPr>
          <w:pgSz w:w="12240" w:h="15840"/>
          <w:pgMar w:top="1400" w:right="0" w:bottom="280" w:left="1080" w:header="720" w:footer="720" w:gutter="0"/>
          <w:cols w:space="720"/>
        </w:sectPr>
      </w:pPr>
    </w:p>
    <w:p w:rsidR="00FA1A1F" w14:paraId="52BB55ED" w14:textId="77777777">
      <w:pPr>
        <w:pStyle w:val="Heading1"/>
        <w:numPr>
          <w:ilvl w:val="1"/>
          <w:numId w:val="1"/>
        </w:numPr>
        <w:tabs>
          <w:tab w:val="left" w:pos="617"/>
        </w:tabs>
        <w:spacing w:before="84"/>
        <w:ind w:left="617" w:hanging="274"/>
      </w:pPr>
      <w:bookmarkStart w:id="7" w:name="4._Duplication_of_Efforts"/>
      <w:bookmarkEnd w:id="7"/>
      <w:r>
        <w:t>Duplication</w:t>
      </w:r>
      <w:r>
        <w:rPr>
          <w:spacing w:val="-6"/>
        </w:rPr>
        <w:t xml:space="preserve"> </w:t>
      </w:r>
      <w:r>
        <w:t>of</w:t>
      </w:r>
      <w:r>
        <w:rPr>
          <w:spacing w:val="-7"/>
        </w:rPr>
        <w:t xml:space="preserve"> </w:t>
      </w:r>
      <w:r>
        <w:rPr>
          <w:spacing w:val="-2"/>
        </w:rPr>
        <w:t>Efforts</w:t>
      </w:r>
    </w:p>
    <w:p w:rsidR="00FA1A1F" w14:paraId="77DC5257" w14:textId="77777777">
      <w:pPr>
        <w:pStyle w:val="BodyText"/>
        <w:spacing w:before="24" w:line="247" w:lineRule="auto"/>
        <w:ind w:left="343" w:right="1454" w:firstLine="53"/>
      </w:pPr>
      <w:r>
        <w:t>CMS will make every effort to reduce the burden on issuers and reuse the information that is collected under the various provisions of the Affordable Care Act. As such, data obtained under other authorized collections that implement provisions of the Affordable Care Act will be utilized to meet</w:t>
      </w:r>
      <w:r>
        <w:rPr>
          <w:spacing w:val="-5"/>
        </w:rPr>
        <w:t xml:space="preserve"> </w:t>
      </w:r>
      <w:r>
        <w:t>some</w:t>
      </w:r>
      <w:r>
        <w:rPr>
          <w:spacing w:val="-5"/>
        </w:rPr>
        <w:t xml:space="preserve"> </w:t>
      </w:r>
      <w:r>
        <w:t>Exchange</w:t>
      </w:r>
      <w:r>
        <w:rPr>
          <w:spacing w:val="-2"/>
        </w:rPr>
        <w:t xml:space="preserve"> </w:t>
      </w:r>
      <w:r>
        <w:t>requirements,</w:t>
      </w:r>
      <w:r>
        <w:rPr>
          <w:spacing w:val="-5"/>
        </w:rPr>
        <w:t xml:space="preserve"> </w:t>
      </w:r>
      <w:r>
        <w:t>for</w:t>
      </w:r>
      <w:r>
        <w:rPr>
          <w:spacing w:val="-1"/>
        </w:rPr>
        <w:t xml:space="preserve"> </w:t>
      </w:r>
      <w:r>
        <w:t>example</w:t>
      </w:r>
      <w:r>
        <w:rPr>
          <w:spacing w:val="-5"/>
        </w:rPr>
        <w:t xml:space="preserve"> </w:t>
      </w:r>
      <w:r>
        <w:t>Rate</w:t>
      </w:r>
      <w:r>
        <w:rPr>
          <w:spacing w:val="-2"/>
        </w:rPr>
        <w:t xml:space="preserve"> </w:t>
      </w:r>
      <w:r>
        <w:t>Increase</w:t>
      </w:r>
      <w:r>
        <w:rPr>
          <w:spacing w:val="-5"/>
        </w:rPr>
        <w:t xml:space="preserve"> </w:t>
      </w:r>
      <w:r>
        <w:t>Disclosure</w:t>
      </w:r>
      <w:r>
        <w:rPr>
          <w:spacing w:val="-5"/>
        </w:rPr>
        <w:t xml:space="preserve"> </w:t>
      </w:r>
      <w:r>
        <w:t>and</w:t>
      </w:r>
      <w:r>
        <w:rPr>
          <w:spacing w:val="-4"/>
        </w:rPr>
        <w:t xml:space="preserve"> </w:t>
      </w:r>
      <w:r>
        <w:t>Review</w:t>
      </w:r>
      <w:r>
        <w:rPr>
          <w:spacing w:val="-2"/>
        </w:rPr>
        <w:t xml:space="preserve"> </w:t>
      </w:r>
      <w:r>
        <w:t>Requirements (45 CFR Part 154), OMB Control Number 0938-1141. Additionally, the implementation of the Affordable Care Act section 2715 requirements for specific standards for reporting information to consumers, we have aligned our data collection with the structure for a SBC as recommended by</w:t>
      </w:r>
      <w:r>
        <w:rPr>
          <w:spacing w:val="40"/>
        </w:rPr>
        <w:t xml:space="preserve"> </w:t>
      </w:r>
      <w:r>
        <w:t>the National Association of Insurance Commissioners (NAIC).</w:t>
      </w:r>
    </w:p>
    <w:p w:rsidR="00FA1A1F" w14:paraId="5A4FCD5D" w14:textId="77777777">
      <w:pPr>
        <w:pStyle w:val="BodyText"/>
        <w:spacing w:before="22"/>
      </w:pPr>
    </w:p>
    <w:p w:rsidR="00FA1A1F" w14:paraId="42864911" w14:textId="77777777">
      <w:pPr>
        <w:pStyle w:val="Heading1"/>
        <w:numPr>
          <w:ilvl w:val="1"/>
          <w:numId w:val="1"/>
        </w:numPr>
        <w:tabs>
          <w:tab w:val="left" w:pos="617"/>
        </w:tabs>
        <w:ind w:left="617" w:hanging="274"/>
      </w:pPr>
      <w:bookmarkStart w:id="8" w:name="5._Small_Business"/>
      <w:bookmarkEnd w:id="8"/>
      <w:r>
        <w:t>Small</w:t>
      </w:r>
      <w:r>
        <w:rPr>
          <w:spacing w:val="-9"/>
        </w:rPr>
        <w:t xml:space="preserve"> </w:t>
      </w:r>
      <w:r>
        <w:rPr>
          <w:spacing w:val="-2"/>
        </w:rPr>
        <w:t>Business</w:t>
      </w:r>
    </w:p>
    <w:p w:rsidR="00FA1A1F" w14:paraId="34ADFAAD" w14:textId="77777777">
      <w:pPr>
        <w:pStyle w:val="BodyText"/>
        <w:spacing w:before="17"/>
        <w:ind w:left="343"/>
      </w:pPr>
      <w:r>
        <w:t>Small</w:t>
      </w:r>
      <w:r>
        <w:rPr>
          <w:spacing w:val="-7"/>
        </w:rPr>
        <w:t xml:space="preserve"> </w:t>
      </w:r>
      <w:r>
        <w:t>Businesses</w:t>
      </w:r>
      <w:r>
        <w:rPr>
          <w:spacing w:val="-3"/>
        </w:rPr>
        <w:t xml:space="preserve"> </w:t>
      </w:r>
      <w:r>
        <w:t>are</w:t>
      </w:r>
      <w:r>
        <w:rPr>
          <w:spacing w:val="-3"/>
        </w:rPr>
        <w:t xml:space="preserve"> </w:t>
      </w:r>
      <w:r>
        <w:t>not</w:t>
      </w:r>
      <w:r>
        <w:rPr>
          <w:spacing w:val="-7"/>
        </w:rPr>
        <w:t xml:space="preserve"> </w:t>
      </w:r>
      <w:r>
        <w:t>significantly</w:t>
      </w:r>
      <w:r>
        <w:rPr>
          <w:spacing w:val="-5"/>
        </w:rPr>
        <w:t xml:space="preserve"> </w:t>
      </w:r>
      <w:r>
        <w:t>affected</w:t>
      </w:r>
      <w:r>
        <w:rPr>
          <w:spacing w:val="-5"/>
        </w:rPr>
        <w:t xml:space="preserve"> </w:t>
      </w:r>
      <w:r>
        <w:t>by</w:t>
      </w:r>
      <w:r>
        <w:rPr>
          <w:spacing w:val="-5"/>
        </w:rPr>
        <w:t xml:space="preserve"> </w:t>
      </w:r>
      <w:r>
        <w:t>this</w:t>
      </w:r>
      <w:r>
        <w:rPr>
          <w:spacing w:val="-3"/>
        </w:rPr>
        <w:t xml:space="preserve"> </w:t>
      </w:r>
      <w:r>
        <w:rPr>
          <w:spacing w:val="-2"/>
        </w:rPr>
        <w:t>collection.</w:t>
      </w:r>
    </w:p>
    <w:p w:rsidR="00FA1A1F" w14:paraId="11768F19" w14:textId="77777777">
      <w:pPr>
        <w:pStyle w:val="BodyText"/>
        <w:spacing w:before="61"/>
      </w:pPr>
    </w:p>
    <w:p w:rsidR="00FA1A1F" w14:paraId="0C5C7A2B" w14:textId="77777777">
      <w:pPr>
        <w:pStyle w:val="Heading1"/>
        <w:numPr>
          <w:ilvl w:val="1"/>
          <w:numId w:val="1"/>
        </w:numPr>
        <w:tabs>
          <w:tab w:val="left" w:pos="617"/>
        </w:tabs>
        <w:ind w:left="617" w:hanging="274"/>
      </w:pPr>
      <w:bookmarkStart w:id="9" w:name="6._Less_Frequent_Collection"/>
      <w:bookmarkEnd w:id="9"/>
      <w:r>
        <w:t>Less</w:t>
      </w:r>
      <w:r>
        <w:rPr>
          <w:spacing w:val="-8"/>
        </w:rPr>
        <w:t xml:space="preserve"> </w:t>
      </w:r>
      <w:r>
        <w:t>Frequent</w:t>
      </w:r>
      <w:r>
        <w:rPr>
          <w:spacing w:val="-7"/>
        </w:rPr>
        <w:t xml:space="preserve"> </w:t>
      </w:r>
      <w:r>
        <w:rPr>
          <w:spacing w:val="-2"/>
        </w:rPr>
        <w:t>Collection</w:t>
      </w:r>
    </w:p>
    <w:p w:rsidR="00FA1A1F" w14:paraId="52C76D0E" w14:textId="77777777">
      <w:pPr>
        <w:pStyle w:val="BodyText"/>
        <w:spacing w:before="19"/>
        <w:ind w:left="357" w:right="1496"/>
      </w:pPr>
      <w:r>
        <w:t>CCIIO</w:t>
      </w:r>
      <w:r>
        <w:rPr>
          <w:spacing w:val="-1"/>
        </w:rPr>
        <w:t xml:space="preserve"> </w:t>
      </w:r>
      <w:r>
        <w:t>has</w:t>
      </w:r>
      <w:r>
        <w:rPr>
          <w:spacing w:val="-1"/>
        </w:rPr>
        <w:t xml:space="preserve"> </w:t>
      </w:r>
      <w:r>
        <w:t>been</w:t>
      </w:r>
      <w:r>
        <w:rPr>
          <w:spacing w:val="-5"/>
        </w:rPr>
        <w:t xml:space="preserve"> </w:t>
      </w:r>
      <w:r>
        <w:t>operating</w:t>
      </w:r>
      <w:r>
        <w:rPr>
          <w:spacing w:val="-5"/>
        </w:rPr>
        <w:t xml:space="preserve"> </w:t>
      </w:r>
      <w:r>
        <w:t>with</w:t>
      </w:r>
      <w:r>
        <w:rPr>
          <w:spacing w:val="-3"/>
        </w:rPr>
        <w:t xml:space="preserve"> </w:t>
      </w:r>
      <w:r>
        <w:t>an</w:t>
      </w:r>
      <w:r>
        <w:rPr>
          <w:spacing w:val="-3"/>
        </w:rPr>
        <w:t xml:space="preserve"> </w:t>
      </w:r>
      <w:r>
        <w:t>approximately</w:t>
      </w:r>
      <w:r>
        <w:rPr>
          <w:spacing w:val="-3"/>
        </w:rPr>
        <w:t xml:space="preserve"> </w:t>
      </w:r>
      <w:r>
        <w:t>45</w:t>
      </w:r>
      <w:r>
        <w:rPr>
          <w:spacing w:val="-3"/>
        </w:rPr>
        <w:t xml:space="preserve"> </w:t>
      </w:r>
      <w:r>
        <w:t>day</w:t>
      </w:r>
      <w:r>
        <w:rPr>
          <w:spacing w:val="-3"/>
        </w:rPr>
        <w:t xml:space="preserve"> </w:t>
      </w:r>
      <w:r>
        <w:t>refresh</w:t>
      </w:r>
      <w:r>
        <w:rPr>
          <w:spacing w:val="-3"/>
        </w:rPr>
        <w:t xml:space="preserve"> </w:t>
      </w:r>
      <w:r>
        <w:t>schedule</w:t>
      </w:r>
      <w:r>
        <w:rPr>
          <w:spacing w:val="-1"/>
        </w:rPr>
        <w:t xml:space="preserve"> </w:t>
      </w:r>
      <w:r>
        <w:t>to</w:t>
      </w:r>
      <w:r>
        <w:rPr>
          <w:spacing w:val="-3"/>
        </w:rPr>
        <w:t xml:space="preserve"> </w:t>
      </w:r>
      <w:r>
        <w:t>obtain</w:t>
      </w:r>
      <w:r>
        <w:rPr>
          <w:spacing w:val="-3"/>
        </w:rPr>
        <w:t xml:space="preserve"> </w:t>
      </w:r>
      <w:r>
        <w:t>changes</w:t>
      </w:r>
      <w:r>
        <w:rPr>
          <w:spacing w:val="-1"/>
        </w:rPr>
        <w:t xml:space="preserve"> </w:t>
      </w:r>
      <w:r>
        <w:t>in</w:t>
      </w:r>
      <w:r>
        <w:rPr>
          <w:spacing w:val="-3"/>
        </w:rPr>
        <w:t xml:space="preserve"> </w:t>
      </w:r>
      <w:r>
        <w:t>plan benefits and pricing as well as comprehensive lists of products approved within a State for sale to the public. In the event that an issuer enhances its existing plans, proposes new plans, or deactivates</w:t>
      </w:r>
      <w:r>
        <w:rPr>
          <w:spacing w:val="-1"/>
        </w:rPr>
        <w:t xml:space="preserve"> </w:t>
      </w:r>
      <w:r>
        <w:t>plans,</w:t>
      </w:r>
      <w:r>
        <w:rPr>
          <w:spacing w:val="-4"/>
        </w:rPr>
        <w:t xml:space="preserve"> </w:t>
      </w:r>
      <w:r>
        <w:t>the</w:t>
      </w:r>
      <w:r>
        <w:rPr>
          <w:spacing w:val="-1"/>
        </w:rPr>
        <w:t xml:space="preserve"> </w:t>
      </w:r>
      <w:r>
        <w:t>organization</w:t>
      </w:r>
      <w:r>
        <w:rPr>
          <w:spacing w:val="-3"/>
        </w:rPr>
        <w:t xml:space="preserve"> </w:t>
      </w:r>
      <w:r>
        <w:t>would</w:t>
      </w:r>
      <w:r>
        <w:rPr>
          <w:spacing w:val="-3"/>
        </w:rPr>
        <w:t xml:space="preserve"> </w:t>
      </w:r>
      <w:r>
        <w:t>be</w:t>
      </w:r>
      <w:r>
        <w:rPr>
          <w:spacing w:val="-4"/>
        </w:rPr>
        <w:t xml:space="preserve"> </w:t>
      </w:r>
      <w:r>
        <w:t>required</w:t>
      </w:r>
      <w:r>
        <w:rPr>
          <w:spacing w:val="-3"/>
        </w:rPr>
        <w:t xml:space="preserve"> </w:t>
      </w:r>
      <w:r>
        <w:t>to</w:t>
      </w:r>
      <w:r>
        <w:rPr>
          <w:spacing w:val="-1"/>
        </w:rPr>
        <w:t xml:space="preserve"> </w:t>
      </w:r>
      <w:r>
        <w:t>update</w:t>
      </w:r>
      <w:r>
        <w:rPr>
          <w:spacing w:val="-1"/>
        </w:rPr>
        <w:t xml:space="preserve"> </w:t>
      </w:r>
      <w:r>
        <w:t>the</w:t>
      </w:r>
      <w:r>
        <w:rPr>
          <w:spacing w:val="-1"/>
        </w:rPr>
        <w:t xml:space="preserve"> </w:t>
      </w:r>
      <w:r>
        <w:t>information</w:t>
      </w:r>
      <w:r>
        <w:rPr>
          <w:spacing w:val="-3"/>
        </w:rPr>
        <w:t xml:space="preserve"> </w:t>
      </w:r>
      <w:r>
        <w:t>in</w:t>
      </w:r>
      <w:r>
        <w:rPr>
          <w:spacing w:val="-3"/>
        </w:rPr>
        <w:t xml:space="preserve"> </w:t>
      </w:r>
      <w:r>
        <w:t>the</w:t>
      </w:r>
      <w:r>
        <w:rPr>
          <w:spacing w:val="-1"/>
        </w:rPr>
        <w:t xml:space="preserve"> </w:t>
      </w:r>
      <w:r>
        <w:t>web</w:t>
      </w:r>
      <w:r>
        <w:rPr>
          <w:spacing w:val="-3"/>
        </w:rPr>
        <w:t xml:space="preserve"> </w:t>
      </w:r>
      <w:r>
        <w:t>portal using the edit function or uploading an updated template within an open window period. In response to the desire to decrease burden as much as possible, CMS has adjusted the Rates and Benefits System (RBIS) data collection period requirement to an annual collection. CMS will continue to provide four submission</w:t>
      </w:r>
      <w:r>
        <w:rPr>
          <w:spacing w:val="-1"/>
        </w:rPr>
        <w:t xml:space="preserve"> </w:t>
      </w:r>
      <w:r>
        <w:t>windows per year in</w:t>
      </w:r>
      <w:r>
        <w:rPr>
          <w:spacing w:val="-1"/>
        </w:rPr>
        <w:t xml:space="preserve"> </w:t>
      </w:r>
      <w:r>
        <w:t>case changes or updates are required to submitted data. Through the use of effective dates and periodic windows of opportunity for changes, CMS anticipates that we can decrease the overall burden for the data collection significantly. Per current CMS policy, issuers will still be required to provide quarterly product enrollment numbers during each of the four data collection windows.</w:t>
      </w:r>
    </w:p>
    <w:p w:rsidR="00FA1A1F" w14:paraId="47AF9D15" w14:textId="77777777">
      <w:pPr>
        <w:pStyle w:val="BodyText"/>
        <w:spacing w:before="44"/>
      </w:pPr>
    </w:p>
    <w:p w:rsidR="00FA1A1F" w14:paraId="372A1728" w14:textId="77777777">
      <w:pPr>
        <w:pStyle w:val="Heading1"/>
        <w:numPr>
          <w:ilvl w:val="1"/>
          <w:numId w:val="1"/>
        </w:numPr>
        <w:tabs>
          <w:tab w:val="left" w:pos="620"/>
        </w:tabs>
        <w:ind w:left="620"/>
      </w:pPr>
      <w:bookmarkStart w:id="10" w:name="7._Special_Circumstances"/>
      <w:bookmarkEnd w:id="10"/>
      <w:r>
        <w:t>Special</w:t>
      </w:r>
      <w:r>
        <w:rPr>
          <w:spacing w:val="-4"/>
        </w:rPr>
        <w:t xml:space="preserve"> </w:t>
      </w:r>
      <w:r>
        <w:rPr>
          <w:spacing w:val="-2"/>
        </w:rPr>
        <w:t>Circumstances</w:t>
      </w:r>
    </w:p>
    <w:p w:rsidR="00FA1A1F" w14:paraId="64C71BEA" w14:textId="77777777">
      <w:pPr>
        <w:pStyle w:val="BodyText"/>
        <w:spacing w:before="21" w:line="247" w:lineRule="auto"/>
        <w:ind w:left="355" w:right="1496" w:hanging="12"/>
      </w:pPr>
      <w:r>
        <w:t>Dependent</w:t>
      </w:r>
      <w:r>
        <w:rPr>
          <w:spacing w:val="-3"/>
        </w:rPr>
        <w:t xml:space="preserve"> </w:t>
      </w:r>
      <w:r>
        <w:t>on</w:t>
      </w:r>
      <w:r>
        <w:rPr>
          <w:spacing w:val="-4"/>
        </w:rPr>
        <w:t xml:space="preserve"> </w:t>
      </w:r>
      <w:r>
        <w:t>the</w:t>
      </w:r>
      <w:r>
        <w:rPr>
          <w:spacing w:val="-2"/>
        </w:rPr>
        <w:t xml:space="preserve"> </w:t>
      </w:r>
      <w:r>
        <w:t>frequency</w:t>
      </w:r>
      <w:r>
        <w:rPr>
          <w:spacing w:val="-4"/>
        </w:rPr>
        <w:t xml:space="preserve"> </w:t>
      </w:r>
      <w:r>
        <w:t>with</w:t>
      </w:r>
      <w:r>
        <w:rPr>
          <w:spacing w:val="-4"/>
        </w:rPr>
        <w:t xml:space="preserve"> </w:t>
      </w:r>
      <w:r>
        <w:t>which</w:t>
      </w:r>
      <w:r>
        <w:rPr>
          <w:spacing w:val="-4"/>
        </w:rPr>
        <w:t xml:space="preserve"> </w:t>
      </w:r>
      <w:r>
        <w:t>an</w:t>
      </w:r>
      <w:r>
        <w:rPr>
          <w:spacing w:val="-4"/>
        </w:rPr>
        <w:t xml:space="preserve"> </w:t>
      </w:r>
      <w:r>
        <w:t>issuer</w:t>
      </w:r>
      <w:r>
        <w:rPr>
          <w:spacing w:val="-1"/>
        </w:rPr>
        <w:t xml:space="preserve"> </w:t>
      </w:r>
      <w:r>
        <w:t>enhances,</w:t>
      </w:r>
      <w:r>
        <w:rPr>
          <w:spacing w:val="-3"/>
        </w:rPr>
        <w:t xml:space="preserve"> </w:t>
      </w:r>
      <w:r>
        <w:t>eliminates,</w:t>
      </w:r>
      <w:r>
        <w:rPr>
          <w:spacing w:val="-5"/>
        </w:rPr>
        <w:t xml:space="preserve"> </w:t>
      </w:r>
      <w:r>
        <w:t>or</w:t>
      </w:r>
      <w:r>
        <w:rPr>
          <w:spacing w:val="-4"/>
        </w:rPr>
        <w:t xml:space="preserve"> </w:t>
      </w:r>
      <w:r>
        <w:t>adds</w:t>
      </w:r>
      <w:r>
        <w:rPr>
          <w:spacing w:val="-2"/>
        </w:rPr>
        <w:t xml:space="preserve"> </w:t>
      </w:r>
      <w:r>
        <w:t>options</w:t>
      </w:r>
      <w:r>
        <w:rPr>
          <w:spacing w:val="-2"/>
        </w:rPr>
        <w:t xml:space="preserve"> </w:t>
      </w:r>
      <w:r>
        <w:t>to</w:t>
      </w:r>
      <w:r>
        <w:rPr>
          <w:spacing w:val="-2"/>
        </w:rPr>
        <w:t xml:space="preserve"> </w:t>
      </w:r>
      <w:r>
        <w:t>their products, additional submissions may be necessary.</w:t>
      </w:r>
    </w:p>
    <w:p w:rsidR="00FA1A1F" w14:paraId="4586DDAA" w14:textId="77777777">
      <w:pPr>
        <w:pStyle w:val="BodyText"/>
        <w:spacing w:before="24"/>
      </w:pPr>
    </w:p>
    <w:p w:rsidR="00FA1A1F" w14:paraId="61F28DAF" w14:textId="77777777">
      <w:pPr>
        <w:pStyle w:val="BodyText"/>
        <w:spacing w:line="247" w:lineRule="auto"/>
        <w:ind w:left="354" w:right="1477" w:hanging="12"/>
      </w:pPr>
      <w:r>
        <w:t>Information</w:t>
      </w:r>
      <w:r>
        <w:rPr>
          <w:spacing w:val="-3"/>
        </w:rPr>
        <w:t xml:space="preserve"> </w:t>
      </w:r>
      <w:r>
        <w:t>that</w:t>
      </w:r>
      <w:r>
        <w:rPr>
          <w:spacing w:val="-2"/>
        </w:rPr>
        <w:t xml:space="preserve"> </w:t>
      </w:r>
      <w:r>
        <w:t>is</w:t>
      </w:r>
      <w:r>
        <w:rPr>
          <w:spacing w:val="-2"/>
        </w:rPr>
        <w:t xml:space="preserve"> </w:t>
      </w:r>
      <w:r>
        <w:t>to</w:t>
      </w:r>
      <w:r>
        <w:rPr>
          <w:spacing w:val="-3"/>
        </w:rPr>
        <w:t xml:space="preserve"> </w:t>
      </w:r>
      <w:r>
        <w:t>be</w:t>
      </w:r>
      <w:r>
        <w:rPr>
          <w:spacing w:val="-2"/>
        </w:rPr>
        <w:t xml:space="preserve"> </w:t>
      </w:r>
      <w:r>
        <w:t>collected</w:t>
      </w:r>
      <w:r>
        <w:rPr>
          <w:spacing w:val="-3"/>
        </w:rPr>
        <w:t xml:space="preserve"> </w:t>
      </w:r>
      <w:r>
        <w:t>from</w:t>
      </w:r>
      <w:r>
        <w:rPr>
          <w:spacing w:val="-2"/>
        </w:rPr>
        <w:t xml:space="preserve"> </w:t>
      </w:r>
      <w:r>
        <w:t>State</w:t>
      </w:r>
      <w:r>
        <w:rPr>
          <w:spacing w:val="-4"/>
        </w:rPr>
        <w:t xml:space="preserve"> </w:t>
      </w:r>
      <w:r>
        <w:t>health</w:t>
      </w:r>
      <w:r>
        <w:rPr>
          <w:spacing w:val="-3"/>
        </w:rPr>
        <w:t xml:space="preserve"> </w:t>
      </w:r>
      <w:r>
        <w:t>benefits</w:t>
      </w:r>
      <w:r>
        <w:rPr>
          <w:spacing w:val="-2"/>
        </w:rPr>
        <w:t xml:space="preserve"> </w:t>
      </w:r>
      <w:r>
        <w:t>high</w:t>
      </w:r>
      <w:r>
        <w:rPr>
          <w:spacing w:val="-3"/>
        </w:rPr>
        <w:t xml:space="preserve"> </w:t>
      </w:r>
      <w:r>
        <w:t>risk</w:t>
      </w:r>
      <w:r>
        <w:rPr>
          <w:spacing w:val="-2"/>
        </w:rPr>
        <w:t xml:space="preserve"> </w:t>
      </w:r>
      <w:r>
        <w:t>pools</w:t>
      </w:r>
      <w:r>
        <w:rPr>
          <w:spacing w:val="-3"/>
        </w:rPr>
        <w:t xml:space="preserve"> </w:t>
      </w:r>
      <w:r>
        <w:t>(Appendix</w:t>
      </w:r>
      <w:r>
        <w:rPr>
          <w:spacing w:val="-2"/>
        </w:rPr>
        <w:t xml:space="preserve"> </w:t>
      </w:r>
      <w:r>
        <w:t>F)</w:t>
      </w:r>
      <w:r>
        <w:rPr>
          <w:spacing w:val="-2"/>
        </w:rPr>
        <w:t xml:space="preserve"> </w:t>
      </w:r>
      <w:r>
        <w:t>has</w:t>
      </w:r>
      <w:r>
        <w:rPr>
          <w:spacing w:val="-2"/>
        </w:rPr>
        <w:t xml:space="preserve"> </w:t>
      </w:r>
      <w:r>
        <w:t>been collected</w:t>
      </w:r>
      <w:r>
        <w:rPr>
          <w:spacing w:val="-2"/>
        </w:rPr>
        <w:t xml:space="preserve"> </w:t>
      </w:r>
      <w:r>
        <w:t>from the</w:t>
      </w:r>
      <w:r>
        <w:rPr>
          <w:spacing w:val="-3"/>
        </w:rPr>
        <w:t xml:space="preserve"> </w:t>
      </w:r>
      <w:r>
        <w:t>National</w:t>
      </w:r>
      <w:r>
        <w:rPr>
          <w:spacing w:val="-1"/>
        </w:rPr>
        <w:t xml:space="preserve"> </w:t>
      </w:r>
      <w:r>
        <w:t>Association</w:t>
      </w:r>
      <w:r>
        <w:rPr>
          <w:spacing w:val="-4"/>
        </w:rPr>
        <w:t xml:space="preserve"> </w:t>
      </w:r>
      <w:r>
        <w:t>of</w:t>
      </w:r>
      <w:r>
        <w:rPr>
          <w:spacing w:val="-1"/>
        </w:rPr>
        <w:t xml:space="preserve"> </w:t>
      </w:r>
      <w:r>
        <w:t>State Comprehensive</w:t>
      </w:r>
      <w:r>
        <w:rPr>
          <w:spacing w:val="-3"/>
        </w:rPr>
        <w:t xml:space="preserve"> </w:t>
      </w:r>
      <w:r>
        <w:t>Health</w:t>
      </w:r>
      <w:r>
        <w:rPr>
          <w:spacing w:val="-2"/>
        </w:rPr>
        <w:t xml:space="preserve"> </w:t>
      </w:r>
      <w:r>
        <w:t>Insurance Plans (NASCHIP) at</w:t>
      </w:r>
      <w:r>
        <w:rPr>
          <w:spacing w:val="-1"/>
        </w:rPr>
        <w:t xml:space="preserve"> </w:t>
      </w:r>
      <w:r>
        <w:t>this time.</w:t>
      </w:r>
      <w:r>
        <w:rPr>
          <w:spacing w:val="-4"/>
        </w:rPr>
        <w:t xml:space="preserve"> </w:t>
      </w:r>
      <w:r>
        <w:t>Administrators have</w:t>
      </w:r>
      <w:r>
        <w:rPr>
          <w:spacing w:val="-3"/>
        </w:rPr>
        <w:t xml:space="preserve"> </w:t>
      </w:r>
      <w:r>
        <w:t>been</w:t>
      </w:r>
      <w:r>
        <w:rPr>
          <w:spacing w:val="-2"/>
        </w:rPr>
        <w:t xml:space="preserve"> </w:t>
      </w:r>
      <w:r>
        <w:t>voluntarily</w:t>
      </w:r>
      <w:r>
        <w:rPr>
          <w:spacing w:val="-2"/>
        </w:rPr>
        <w:t xml:space="preserve"> </w:t>
      </w:r>
      <w:r>
        <w:t>entering</w:t>
      </w:r>
      <w:r>
        <w:rPr>
          <w:spacing w:val="-2"/>
        </w:rPr>
        <w:t xml:space="preserve"> </w:t>
      </w:r>
      <w:r>
        <w:t>changes as they</w:t>
      </w:r>
      <w:r>
        <w:rPr>
          <w:spacing w:val="-2"/>
        </w:rPr>
        <w:t xml:space="preserve"> </w:t>
      </w:r>
      <w:r>
        <w:t>develop,</w:t>
      </w:r>
      <w:r>
        <w:rPr>
          <w:spacing w:val="-1"/>
        </w:rPr>
        <w:t xml:space="preserve"> </w:t>
      </w:r>
      <w:r>
        <w:t>so no</w:t>
      </w:r>
      <w:r>
        <w:rPr>
          <w:spacing w:val="-2"/>
        </w:rPr>
        <w:t xml:space="preserve"> </w:t>
      </w:r>
      <w:r>
        <w:t>general call</w:t>
      </w:r>
      <w:r>
        <w:rPr>
          <w:spacing w:val="-1"/>
        </w:rPr>
        <w:t xml:space="preserve"> </w:t>
      </w:r>
      <w:r>
        <w:t>for the</w:t>
      </w:r>
      <w:r>
        <w:rPr>
          <w:spacing w:val="-3"/>
        </w:rPr>
        <w:t xml:space="preserve"> </w:t>
      </w:r>
      <w:r>
        <w:t>collection</w:t>
      </w:r>
      <w:r>
        <w:rPr>
          <w:spacing w:val="-4"/>
        </w:rPr>
        <w:t xml:space="preserve"> </w:t>
      </w:r>
      <w:r>
        <w:t>of</w:t>
      </w:r>
      <w:r>
        <w:rPr>
          <w:spacing w:val="-1"/>
        </w:rPr>
        <w:t xml:space="preserve"> </w:t>
      </w:r>
      <w:r>
        <w:t>data</w:t>
      </w:r>
      <w:r>
        <w:rPr>
          <w:spacing w:val="-1"/>
        </w:rPr>
        <w:t xml:space="preserve"> </w:t>
      </w:r>
      <w:r>
        <w:t>from these groups is currently</w:t>
      </w:r>
      <w:r>
        <w:rPr>
          <w:spacing w:val="-2"/>
        </w:rPr>
        <w:t xml:space="preserve"> </w:t>
      </w:r>
      <w:r>
        <w:t>contemplated.</w:t>
      </w:r>
      <w:r>
        <w:rPr>
          <w:spacing w:val="-1"/>
        </w:rPr>
        <w:t xml:space="preserve"> </w:t>
      </w:r>
      <w:r>
        <w:t>Information</w:t>
      </w:r>
      <w:r>
        <w:rPr>
          <w:spacing w:val="-2"/>
        </w:rPr>
        <w:t xml:space="preserve"> </w:t>
      </w:r>
      <w:r>
        <w:t>from State Insurance Commissioners was collected in 2010, and no current plans exist to continue that collection during the period covered by this document. CMS reserves the right to continue to request this information, however, as the nature of these markets is highly changeable.</w:t>
      </w:r>
    </w:p>
    <w:p w:rsidR="00FA1A1F" w14:paraId="313264FE" w14:textId="77777777">
      <w:pPr>
        <w:pStyle w:val="BodyText"/>
        <w:spacing w:before="46"/>
      </w:pPr>
    </w:p>
    <w:p w:rsidR="00FA1A1F" w14:paraId="755925C2" w14:textId="77777777">
      <w:pPr>
        <w:pStyle w:val="Heading1"/>
        <w:numPr>
          <w:ilvl w:val="1"/>
          <w:numId w:val="1"/>
        </w:numPr>
        <w:tabs>
          <w:tab w:val="left" w:pos="620"/>
        </w:tabs>
        <w:ind w:left="620"/>
      </w:pPr>
      <w:bookmarkStart w:id="11" w:name="8._Federal_Register/Outside_Consultation"/>
      <w:bookmarkEnd w:id="11"/>
      <w:r>
        <w:t>Federal</w:t>
      </w:r>
      <w:r>
        <w:rPr>
          <w:spacing w:val="-9"/>
        </w:rPr>
        <w:t xml:space="preserve"> </w:t>
      </w:r>
      <w:r>
        <w:t>Register/Outside</w:t>
      </w:r>
      <w:r>
        <w:rPr>
          <w:spacing w:val="-11"/>
        </w:rPr>
        <w:t xml:space="preserve"> </w:t>
      </w:r>
      <w:r>
        <w:rPr>
          <w:spacing w:val="-2"/>
        </w:rPr>
        <w:t>Consultation</w:t>
      </w:r>
    </w:p>
    <w:p w:rsidR="00FA1A1F" w:rsidP="00B5699A" w14:paraId="45004C41" w14:textId="7A833156">
      <w:pPr>
        <w:spacing w:before="2"/>
        <w:ind w:left="343"/>
        <w:rPr>
          <w:sz w:val="24"/>
        </w:rPr>
      </w:pPr>
      <w:r>
        <w:rPr>
          <w:sz w:val="24"/>
        </w:rPr>
        <w:t>The</w:t>
      </w:r>
      <w:r>
        <w:rPr>
          <w:spacing w:val="-5"/>
          <w:sz w:val="24"/>
        </w:rPr>
        <w:t xml:space="preserve"> </w:t>
      </w:r>
      <w:r>
        <w:rPr>
          <w:sz w:val="24"/>
        </w:rPr>
        <w:t>60-day</w:t>
      </w:r>
      <w:r>
        <w:rPr>
          <w:spacing w:val="-1"/>
          <w:sz w:val="24"/>
        </w:rPr>
        <w:t xml:space="preserve"> </w:t>
      </w:r>
      <w:r>
        <w:rPr>
          <w:sz w:val="24"/>
        </w:rPr>
        <w:t>Federal</w:t>
      </w:r>
      <w:r>
        <w:rPr>
          <w:spacing w:val="-4"/>
          <w:sz w:val="24"/>
        </w:rPr>
        <w:t xml:space="preserve"> </w:t>
      </w:r>
      <w:r>
        <w:rPr>
          <w:sz w:val="24"/>
        </w:rPr>
        <w:t>Register</w:t>
      </w:r>
      <w:r>
        <w:rPr>
          <w:spacing w:val="-3"/>
          <w:sz w:val="24"/>
        </w:rPr>
        <w:t xml:space="preserve"> </w:t>
      </w:r>
      <w:r>
        <w:rPr>
          <w:sz w:val="24"/>
        </w:rPr>
        <w:t>published</w:t>
      </w:r>
      <w:r>
        <w:rPr>
          <w:spacing w:val="1"/>
          <w:sz w:val="24"/>
        </w:rPr>
        <w:t xml:space="preserve"> </w:t>
      </w:r>
      <w:r>
        <w:rPr>
          <w:sz w:val="24"/>
        </w:rPr>
        <w:t>on</w:t>
      </w:r>
      <w:r>
        <w:rPr>
          <w:spacing w:val="-3"/>
          <w:sz w:val="24"/>
        </w:rPr>
        <w:t xml:space="preserve"> </w:t>
      </w:r>
      <w:r>
        <w:rPr>
          <w:sz w:val="24"/>
        </w:rPr>
        <w:t>November</w:t>
      </w:r>
      <w:r>
        <w:rPr>
          <w:spacing w:val="-3"/>
          <w:sz w:val="24"/>
        </w:rPr>
        <w:t xml:space="preserve"> </w:t>
      </w:r>
      <w:r>
        <w:rPr>
          <w:sz w:val="24"/>
        </w:rPr>
        <w:t>20,</w:t>
      </w:r>
      <w:r>
        <w:rPr>
          <w:spacing w:val="-3"/>
          <w:sz w:val="24"/>
        </w:rPr>
        <w:t xml:space="preserve"> </w:t>
      </w:r>
      <w:r>
        <w:rPr>
          <w:sz w:val="24"/>
        </w:rPr>
        <w:t>2024</w:t>
      </w:r>
      <w:r>
        <w:rPr>
          <w:spacing w:val="-1"/>
          <w:sz w:val="24"/>
        </w:rPr>
        <w:t xml:space="preserve"> </w:t>
      </w:r>
      <w:r>
        <w:rPr>
          <w:sz w:val="24"/>
        </w:rPr>
        <w:t>(FR</w:t>
      </w:r>
      <w:r>
        <w:rPr>
          <w:spacing w:val="-1"/>
          <w:sz w:val="24"/>
        </w:rPr>
        <w:t xml:space="preserve"> </w:t>
      </w:r>
      <w:r>
        <w:rPr>
          <w:sz w:val="24"/>
        </w:rPr>
        <w:t>Doc</w:t>
      </w:r>
      <w:r>
        <w:rPr>
          <w:spacing w:val="-4"/>
          <w:sz w:val="24"/>
        </w:rPr>
        <w:t xml:space="preserve"> </w:t>
      </w:r>
      <w:r>
        <w:rPr>
          <w:sz w:val="24"/>
        </w:rPr>
        <w:t>2024-</w:t>
      </w:r>
      <w:r>
        <w:rPr>
          <w:spacing w:val="-2"/>
          <w:sz w:val="24"/>
        </w:rPr>
        <w:t>27052).</w:t>
      </w:r>
      <w:r w:rsidR="00B5699A">
        <w:rPr>
          <w:spacing w:val="-2"/>
          <w:sz w:val="24"/>
        </w:rPr>
        <w:t xml:space="preserve">  </w:t>
      </w:r>
      <w:r>
        <w:rPr>
          <w:sz w:val="24"/>
        </w:rPr>
        <w:t>CMS</w:t>
      </w:r>
      <w:r>
        <w:rPr>
          <w:spacing w:val="-2"/>
          <w:sz w:val="24"/>
        </w:rPr>
        <w:t xml:space="preserve"> </w:t>
      </w:r>
      <w:r>
        <w:rPr>
          <w:sz w:val="24"/>
        </w:rPr>
        <w:t>received</w:t>
      </w:r>
      <w:r>
        <w:rPr>
          <w:spacing w:val="-1"/>
          <w:sz w:val="24"/>
        </w:rPr>
        <w:t xml:space="preserve"> </w:t>
      </w:r>
      <w:r>
        <w:rPr>
          <w:sz w:val="24"/>
        </w:rPr>
        <w:t>one</w:t>
      </w:r>
      <w:r>
        <w:rPr>
          <w:spacing w:val="-2"/>
          <w:sz w:val="24"/>
        </w:rPr>
        <w:t xml:space="preserve"> </w:t>
      </w:r>
      <w:r>
        <w:rPr>
          <w:sz w:val="24"/>
        </w:rPr>
        <w:t>comment</w:t>
      </w:r>
      <w:r>
        <w:rPr>
          <w:spacing w:val="-4"/>
          <w:sz w:val="24"/>
        </w:rPr>
        <w:t xml:space="preserve"> </w:t>
      </w:r>
      <w:r>
        <w:rPr>
          <w:sz w:val="24"/>
        </w:rPr>
        <w:t>during</w:t>
      </w:r>
      <w:r>
        <w:rPr>
          <w:spacing w:val="-5"/>
          <w:sz w:val="24"/>
        </w:rPr>
        <w:t xml:space="preserve"> </w:t>
      </w:r>
      <w:r>
        <w:rPr>
          <w:sz w:val="24"/>
        </w:rPr>
        <w:t>the</w:t>
      </w:r>
      <w:r>
        <w:rPr>
          <w:spacing w:val="-2"/>
          <w:sz w:val="24"/>
        </w:rPr>
        <w:t xml:space="preserve"> </w:t>
      </w:r>
      <w:r>
        <w:rPr>
          <w:sz w:val="24"/>
        </w:rPr>
        <w:t>60-Day</w:t>
      </w:r>
      <w:r>
        <w:rPr>
          <w:spacing w:val="-3"/>
          <w:sz w:val="24"/>
        </w:rPr>
        <w:t xml:space="preserve"> </w:t>
      </w:r>
      <w:r>
        <w:rPr>
          <w:sz w:val="24"/>
        </w:rPr>
        <w:t>comment</w:t>
      </w:r>
      <w:r>
        <w:rPr>
          <w:spacing w:val="-4"/>
          <w:sz w:val="24"/>
        </w:rPr>
        <w:t xml:space="preserve"> </w:t>
      </w:r>
      <w:r>
        <w:rPr>
          <w:sz w:val="24"/>
        </w:rPr>
        <w:t>period.</w:t>
      </w:r>
      <w:r>
        <w:rPr>
          <w:spacing w:val="-6"/>
          <w:sz w:val="24"/>
        </w:rPr>
        <w:t xml:space="preserve"> </w:t>
      </w:r>
      <w:r>
        <w:rPr>
          <w:sz w:val="24"/>
        </w:rPr>
        <w:t>CMS</w:t>
      </w:r>
      <w:r>
        <w:rPr>
          <w:spacing w:val="-2"/>
          <w:sz w:val="24"/>
        </w:rPr>
        <w:t xml:space="preserve"> </w:t>
      </w:r>
      <w:r>
        <w:rPr>
          <w:sz w:val="24"/>
        </w:rPr>
        <w:t>response</w:t>
      </w:r>
      <w:r>
        <w:rPr>
          <w:spacing w:val="-2"/>
          <w:sz w:val="24"/>
        </w:rPr>
        <w:t xml:space="preserve"> </w:t>
      </w:r>
      <w:r>
        <w:rPr>
          <w:sz w:val="24"/>
        </w:rPr>
        <w:t>is</w:t>
      </w:r>
      <w:r>
        <w:rPr>
          <w:spacing w:val="-5"/>
          <w:sz w:val="24"/>
        </w:rPr>
        <w:t xml:space="preserve"> </w:t>
      </w:r>
      <w:r>
        <w:rPr>
          <w:sz w:val="24"/>
        </w:rPr>
        <w:t>included</w:t>
      </w:r>
      <w:r>
        <w:rPr>
          <w:spacing w:val="-4"/>
          <w:sz w:val="24"/>
        </w:rPr>
        <w:t xml:space="preserve"> </w:t>
      </w:r>
      <w:r>
        <w:rPr>
          <w:sz w:val="24"/>
        </w:rPr>
        <w:t>in</w:t>
      </w:r>
      <w:r w:rsidR="00B5699A">
        <w:rPr>
          <w:sz w:val="24"/>
        </w:rPr>
        <w:t xml:space="preserve"> Appendix A. A 30-day notice published on August 21, 2025 (90 FR 40832).  No comments were received.  </w:t>
      </w:r>
    </w:p>
    <w:p w:rsidR="00B5699A" w:rsidP="00B5699A" w14:paraId="62F07EFE" w14:textId="77777777">
      <w:pPr>
        <w:spacing w:before="2"/>
        <w:ind w:left="343"/>
        <w:rPr>
          <w:sz w:val="24"/>
        </w:rPr>
      </w:pPr>
    </w:p>
    <w:p w:rsidR="00B5699A" w:rsidP="00B5699A" w14:paraId="4A9DA944" w14:textId="177069D2">
      <w:pPr>
        <w:spacing w:before="2"/>
        <w:ind w:left="343"/>
        <w:rPr>
          <w:sz w:val="24"/>
        </w:rPr>
      </w:pPr>
      <w:r>
        <w:rPr>
          <w:sz w:val="24"/>
        </w:rPr>
        <w:t>No outside consultations were sought.</w:t>
      </w:r>
    </w:p>
    <w:p w:rsidR="00FA1A1F" w14:paraId="377A2837" w14:textId="77777777">
      <w:pPr>
        <w:spacing w:line="242" w:lineRule="auto"/>
        <w:rPr>
          <w:sz w:val="24"/>
        </w:rPr>
        <w:sectPr>
          <w:pgSz w:w="12240" w:h="15840"/>
          <w:pgMar w:top="1680" w:right="0" w:bottom="280" w:left="1080" w:header="720" w:footer="720" w:gutter="0"/>
          <w:cols w:space="720"/>
        </w:sectPr>
      </w:pPr>
    </w:p>
    <w:p w:rsidR="00FA1A1F" w14:paraId="64658E36" w14:textId="77777777">
      <w:pPr>
        <w:pStyle w:val="Heading1"/>
        <w:numPr>
          <w:ilvl w:val="1"/>
          <w:numId w:val="1"/>
        </w:numPr>
        <w:tabs>
          <w:tab w:val="left" w:pos="620"/>
        </w:tabs>
        <w:spacing w:before="117"/>
        <w:ind w:left="620"/>
      </w:pPr>
      <w:bookmarkStart w:id="12" w:name="9._Payments/Gifts_to_Respondents"/>
      <w:bookmarkEnd w:id="12"/>
      <w:r>
        <w:t>Payments/Gifts</w:t>
      </w:r>
      <w:r>
        <w:rPr>
          <w:spacing w:val="-4"/>
        </w:rPr>
        <w:t xml:space="preserve"> </w:t>
      </w:r>
      <w:r>
        <w:t>to</w:t>
      </w:r>
      <w:r>
        <w:rPr>
          <w:spacing w:val="-13"/>
        </w:rPr>
        <w:t xml:space="preserve"> </w:t>
      </w:r>
      <w:r>
        <w:rPr>
          <w:spacing w:val="-2"/>
        </w:rPr>
        <w:t>Respondents</w:t>
      </w:r>
    </w:p>
    <w:p w:rsidR="00FA1A1F" w14:paraId="270D8B5B" w14:textId="77777777">
      <w:pPr>
        <w:pStyle w:val="BodyText"/>
        <w:spacing w:before="21"/>
        <w:ind w:left="343"/>
      </w:pPr>
      <w:r>
        <w:t>There</w:t>
      </w:r>
      <w:r>
        <w:rPr>
          <w:spacing w:val="-6"/>
        </w:rPr>
        <w:t xml:space="preserve"> </w:t>
      </w:r>
      <w:r>
        <w:t>are</w:t>
      </w:r>
      <w:r>
        <w:rPr>
          <w:spacing w:val="-5"/>
        </w:rPr>
        <w:t xml:space="preserve"> </w:t>
      </w:r>
      <w:r>
        <w:t>no</w:t>
      </w:r>
      <w:r>
        <w:rPr>
          <w:spacing w:val="-2"/>
        </w:rPr>
        <w:t xml:space="preserve"> </w:t>
      </w:r>
      <w:r>
        <w:t>payments/gifts</w:t>
      </w:r>
      <w:r>
        <w:rPr>
          <w:spacing w:val="-2"/>
        </w:rPr>
        <w:t xml:space="preserve"> </w:t>
      </w:r>
      <w:r>
        <w:t>to</w:t>
      </w:r>
      <w:r>
        <w:rPr>
          <w:spacing w:val="-4"/>
        </w:rPr>
        <w:t xml:space="preserve"> </w:t>
      </w:r>
      <w:r>
        <w:rPr>
          <w:spacing w:val="-2"/>
        </w:rPr>
        <w:t>respondents.</w:t>
      </w:r>
    </w:p>
    <w:p w:rsidR="00FA1A1F" w14:paraId="4DA7DE73" w14:textId="77777777">
      <w:pPr>
        <w:pStyle w:val="BodyText"/>
        <w:spacing w:before="56"/>
      </w:pPr>
    </w:p>
    <w:p w:rsidR="00FA1A1F" w14:paraId="3C0DCB0D" w14:textId="77777777">
      <w:pPr>
        <w:pStyle w:val="Heading1"/>
        <w:numPr>
          <w:ilvl w:val="1"/>
          <w:numId w:val="1"/>
        </w:numPr>
        <w:tabs>
          <w:tab w:val="left" w:pos="771"/>
        </w:tabs>
        <w:ind w:left="771" w:hanging="428"/>
      </w:pPr>
      <w:bookmarkStart w:id="13" w:name="10._Confidentiality"/>
      <w:bookmarkEnd w:id="13"/>
      <w:r>
        <w:rPr>
          <w:spacing w:val="-2"/>
        </w:rPr>
        <w:t>Confidentiality</w:t>
      </w:r>
    </w:p>
    <w:p w:rsidR="00FA1A1F" w14:paraId="7833936D" w14:textId="77777777">
      <w:pPr>
        <w:pStyle w:val="BodyText"/>
        <w:spacing w:before="21" w:line="247" w:lineRule="auto"/>
        <w:ind w:left="355" w:right="1496" w:hanging="12"/>
      </w:pPr>
      <w:r>
        <w:t>To</w:t>
      </w:r>
      <w:r>
        <w:rPr>
          <w:spacing w:val="-1"/>
        </w:rPr>
        <w:t xml:space="preserve"> </w:t>
      </w:r>
      <w:r>
        <w:t>the</w:t>
      </w:r>
      <w:r>
        <w:rPr>
          <w:spacing w:val="-4"/>
        </w:rPr>
        <w:t xml:space="preserve"> </w:t>
      </w:r>
      <w:r>
        <w:t>extent</w:t>
      </w:r>
      <w:r>
        <w:rPr>
          <w:spacing w:val="-2"/>
        </w:rPr>
        <w:t xml:space="preserve"> </w:t>
      </w:r>
      <w:r>
        <w:t>provided</w:t>
      </w:r>
      <w:r>
        <w:rPr>
          <w:spacing w:val="-3"/>
        </w:rPr>
        <w:t xml:space="preserve"> </w:t>
      </w:r>
      <w:r>
        <w:t>by</w:t>
      </w:r>
      <w:r>
        <w:rPr>
          <w:spacing w:val="-3"/>
        </w:rPr>
        <w:t xml:space="preserve"> </w:t>
      </w:r>
      <w:r>
        <w:t>law,</w:t>
      </w:r>
      <w:r>
        <w:rPr>
          <w:spacing w:val="-4"/>
        </w:rPr>
        <w:t xml:space="preserve"> </w:t>
      </w:r>
      <w:r>
        <w:t>we</w:t>
      </w:r>
      <w:r>
        <w:rPr>
          <w:spacing w:val="-4"/>
        </w:rPr>
        <w:t xml:space="preserve"> </w:t>
      </w:r>
      <w:r>
        <w:t>will</w:t>
      </w:r>
      <w:r>
        <w:rPr>
          <w:spacing w:val="-4"/>
        </w:rPr>
        <w:t xml:space="preserve"> </w:t>
      </w:r>
      <w:r>
        <w:t>maintain</w:t>
      </w:r>
      <w:r>
        <w:rPr>
          <w:spacing w:val="-3"/>
        </w:rPr>
        <w:t xml:space="preserve"> </w:t>
      </w:r>
      <w:r>
        <w:t>respondent</w:t>
      </w:r>
      <w:r>
        <w:rPr>
          <w:spacing w:val="-2"/>
        </w:rPr>
        <w:t xml:space="preserve"> </w:t>
      </w:r>
      <w:r>
        <w:t>privacy</w:t>
      </w:r>
      <w:r>
        <w:rPr>
          <w:spacing w:val="-3"/>
        </w:rPr>
        <w:t xml:space="preserve"> </w:t>
      </w:r>
      <w:r>
        <w:t>with</w:t>
      </w:r>
      <w:r>
        <w:rPr>
          <w:spacing w:val="-3"/>
        </w:rPr>
        <w:t xml:space="preserve"> </w:t>
      </w:r>
      <w:r>
        <w:t>respect</w:t>
      </w:r>
      <w:r>
        <w:rPr>
          <w:spacing w:val="-2"/>
        </w:rPr>
        <w:t xml:space="preserve"> </w:t>
      </w:r>
      <w:r>
        <w:t>to</w:t>
      </w:r>
      <w:r>
        <w:rPr>
          <w:spacing w:val="-3"/>
        </w:rPr>
        <w:t xml:space="preserve"> </w:t>
      </w:r>
      <w:r>
        <w:t>the</w:t>
      </w:r>
      <w:r>
        <w:rPr>
          <w:spacing w:val="-1"/>
        </w:rPr>
        <w:t xml:space="preserve"> </w:t>
      </w:r>
      <w:r>
        <w:t>information being collected. HealthCare.gov collects issuer opinions regarding confidentiality of any new data elements for review by the Freedom of Information Act (FOIA) office at CMS. Certain fields have been determined as confidential on the basis of this review and are redacted from public files.</w:t>
      </w:r>
    </w:p>
    <w:p w:rsidR="00FA1A1F" w14:paraId="6DABB767" w14:textId="77777777">
      <w:pPr>
        <w:pStyle w:val="BodyText"/>
        <w:spacing w:before="57"/>
      </w:pPr>
    </w:p>
    <w:p w:rsidR="00FA1A1F" w14:paraId="6FA7DF87" w14:textId="77777777">
      <w:pPr>
        <w:pStyle w:val="Heading1"/>
        <w:numPr>
          <w:ilvl w:val="1"/>
          <w:numId w:val="1"/>
        </w:numPr>
        <w:tabs>
          <w:tab w:val="left" w:pos="722"/>
        </w:tabs>
        <w:ind w:left="722" w:hanging="379"/>
        <w:rPr>
          <w:sz w:val="26"/>
        </w:rPr>
      </w:pPr>
      <w:bookmarkStart w:id="14" w:name="11._Sensitive_Questions"/>
      <w:bookmarkEnd w:id="14"/>
      <w:r>
        <w:t>Sensitive</w:t>
      </w:r>
      <w:r>
        <w:rPr>
          <w:spacing w:val="-6"/>
        </w:rPr>
        <w:t xml:space="preserve"> </w:t>
      </w:r>
      <w:r>
        <w:rPr>
          <w:spacing w:val="-2"/>
        </w:rPr>
        <w:t>Questions</w:t>
      </w:r>
    </w:p>
    <w:p w:rsidR="00FA1A1F" w14:paraId="16373AA7" w14:textId="77777777">
      <w:pPr>
        <w:pStyle w:val="BodyText"/>
        <w:spacing w:before="18"/>
        <w:ind w:left="343"/>
      </w:pPr>
      <w:r>
        <w:t>There</w:t>
      </w:r>
      <w:r>
        <w:rPr>
          <w:spacing w:val="-8"/>
        </w:rPr>
        <w:t xml:space="preserve"> </w:t>
      </w:r>
      <w:r>
        <w:t>are</w:t>
      </w:r>
      <w:r>
        <w:rPr>
          <w:spacing w:val="-6"/>
        </w:rPr>
        <w:t xml:space="preserve"> </w:t>
      </w:r>
      <w:r>
        <w:t>no</w:t>
      </w:r>
      <w:r>
        <w:rPr>
          <w:spacing w:val="-5"/>
        </w:rPr>
        <w:t xml:space="preserve"> </w:t>
      </w:r>
      <w:r>
        <w:t>sensitive</w:t>
      </w:r>
      <w:r>
        <w:rPr>
          <w:spacing w:val="-5"/>
        </w:rPr>
        <w:t xml:space="preserve"> </w:t>
      </w:r>
      <w:r>
        <w:t>questions</w:t>
      </w:r>
      <w:r>
        <w:rPr>
          <w:spacing w:val="-5"/>
        </w:rPr>
        <w:t xml:space="preserve"> </w:t>
      </w:r>
      <w:r>
        <w:t>included</w:t>
      </w:r>
      <w:r>
        <w:rPr>
          <w:spacing w:val="-5"/>
        </w:rPr>
        <w:t xml:space="preserve"> </w:t>
      </w:r>
      <w:r>
        <w:t>in</w:t>
      </w:r>
      <w:r>
        <w:rPr>
          <w:spacing w:val="-5"/>
        </w:rPr>
        <w:t xml:space="preserve"> </w:t>
      </w:r>
      <w:r>
        <w:t>this</w:t>
      </w:r>
      <w:r>
        <w:rPr>
          <w:spacing w:val="-3"/>
        </w:rPr>
        <w:t xml:space="preserve"> </w:t>
      </w:r>
      <w:r>
        <w:t>collection</w:t>
      </w:r>
      <w:r>
        <w:rPr>
          <w:spacing w:val="-4"/>
        </w:rPr>
        <w:t xml:space="preserve"> </w:t>
      </w:r>
      <w:r>
        <w:rPr>
          <w:spacing w:val="-2"/>
        </w:rPr>
        <w:t>effort.</w:t>
      </w:r>
    </w:p>
    <w:p w:rsidR="00FA1A1F" w14:paraId="5FD1CED7" w14:textId="77777777">
      <w:pPr>
        <w:pStyle w:val="BodyText"/>
        <w:spacing w:before="59"/>
      </w:pPr>
    </w:p>
    <w:p w:rsidR="00FA1A1F" w14:paraId="0EF8F476" w14:textId="77777777">
      <w:pPr>
        <w:pStyle w:val="Heading1"/>
        <w:numPr>
          <w:ilvl w:val="1"/>
          <w:numId w:val="1"/>
        </w:numPr>
        <w:tabs>
          <w:tab w:val="left" w:pos="722"/>
        </w:tabs>
        <w:ind w:left="722" w:hanging="379"/>
        <w:rPr>
          <w:sz w:val="26"/>
        </w:rPr>
      </w:pPr>
      <w:bookmarkStart w:id="15" w:name="12._Burden_Estimates_(Hours_&amp;_Wages)"/>
      <w:bookmarkEnd w:id="15"/>
      <w:r>
        <w:t>Burden</w:t>
      </w:r>
      <w:r>
        <w:rPr>
          <w:spacing w:val="-6"/>
        </w:rPr>
        <w:t xml:space="preserve"> </w:t>
      </w:r>
      <w:r>
        <w:t>Estimates</w:t>
      </w:r>
      <w:r>
        <w:rPr>
          <w:spacing w:val="-6"/>
        </w:rPr>
        <w:t xml:space="preserve"> </w:t>
      </w:r>
      <w:r>
        <w:t>(Hours</w:t>
      </w:r>
      <w:r>
        <w:rPr>
          <w:spacing w:val="-5"/>
        </w:rPr>
        <w:t xml:space="preserve"> </w:t>
      </w:r>
      <w:r>
        <w:t>&amp;</w:t>
      </w:r>
      <w:r>
        <w:rPr>
          <w:spacing w:val="-7"/>
        </w:rPr>
        <w:t xml:space="preserve"> </w:t>
      </w:r>
      <w:r>
        <w:rPr>
          <w:spacing w:val="-2"/>
        </w:rPr>
        <w:t>Wages)</w:t>
      </w:r>
    </w:p>
    <w:p w:rsidR="00FA1A1F" w14:paraId="7FC70AFC" w14:textId="77777777">
      <w:pPr>
        <w:pStyle w:val="BodyText"/>
        <w:spacing w:before="5"/>
        <w:rPr>
          <w:rFonts w:ascii="Cambria"/>
          <w:sz w:val="28"/>
        </w:rPr>
      </w:pPr>
    </w:p>
    <w:p w:rsidR="00FA1A1F" w14:paraId="11FD67A0" w14:textId="77777777">
      <w:pPr>
        <w:pStyle w:val="Heading2"/>
      </w:pPr>
      <w:bookmarkStart w:id="16" w:name="Table_1:_Wage_Rate_Data"/>
      <w:bookmarkEnd w:id="16"/>
      <w:r>
        <w:t>Table</w:t>
      </w:r>
      <w:r>
        <w:rPr>
          <w:spacing w:val="-4"/>
        </w:rPr>
        <w:t xml:space="preserve"> </w:t>
      </w:r>
      <w:r>
        <w:t>1:</w:t>
      </w:r>
      <w:r>
        <w:rPr>
          <w:spacing w:val="-1"/>
        </w:rPr>
        <w:t xml:space="preserve"> </w:t>
      </w:r>
      <w:r>
        <w:t>Wage</w:t>
      </w:r>
      <w:r>
        <w:rPr>
          <w:spacing w:val="-2"/>
        </w:rPr>
        <w:t xml:space="preserve"> </w:t>
      </w:r>
      <w:r>
        <w:t>Rate</w:t>
      </w:r>
      <w:r>
        <w:rPr>
          <w:spacing w:val="-1"/>
        </w:rPr>
        <w:t xml:space="preserve"> </w:t>
      </w:r>
      <w:r>
        <w:rPr>
          <w:spacing w:val="-4"/>
        </w:rPr>
        <w:t>Data</w:t>
      </w:r>
    </w:p>
    <w:p w:rsidR="00FA1A1F" w14:paraId="417D2530" w14:textId="77777777">
      <w:pPr>
        <w:pStyle w:val="BodyText"/>
        <w:spacing w:before="38"/>
        <w:rPr>
          <w:b/>
          <w:sz w:val="24"/>
        </w:rPr>
      </w:pPr>
    </w:p>
    <w:p w:rsidR="00FA1A1F" w14:paraId="790887E3" w14:textId="77777777">
      <w:pPr>
        <w:spacing w:line="254" w:lineRule="auto"/>
        <w:ind w:left="359" w:right="1496"/>
        <w:rPr>
          <w:rFonts w:ascii="Times New Roman"/>
          <w:sz w:val="24"/>
        </w:rPr>
      </w:pPr>
      <w:r>
        <w:t>Average labor costs (including 100 percent fringe benefits) used to estimate the costs are calculated using</w:t>
      </w:r>
      <w:r>
        <w:rPr>
          <w:spacing w:val="-3"/>
        </w:rPr>
        <w:t xml:space="preserve"> </w:t>
      </w:r>
      <w:r>
        <w:t>data</w:t>
      </w:r>
      <w:r>
        <w:rPr>
          <w:spacing w:val="-2"/>
        </w:rPr>
        <w:t xml:space="preserve"> </w:t>
      </w:r>
      <w:r>
        <w:t>available</w:t>
      </w:r>
      <w:r>
        <w:rPr>
          <w:spacing w:val="-4"/>
        </w:rPr>
        <w:t xml:space="preserve"> </w:t>
      </w:r>
      <w:r>
        <w:t>from</w:t>
      </w:r>
      <w:r>
        <w:rPr>
          <w:spacing w:val="-3"/>
        </w:rPr>
        <w:t xml:space="preserve"> </w:t>
      </w:r>
      <w:r>
        <w:t>the</w:t>
      </w:r>
      <w:r>
        <w:rPr>
          <w:spacing w:val="-2"/>
        </w:rPr>
        <w:t xml:space="preserve"> </w:t>
      </w:r>
      <w:r>
        <w:t>May</w:t>
      </w:r>
      <w:r>
        <w:rPr>
          <w:spacing w:val="-3"/>
        </w:rPr>
        <w:t xml:space="preserve"> </w:t>
      </w:r>
      <w:r>
        <w:t>2023</w:t>
      </w:r>
      <w:r>
        <w:rPr>
          <w:spacing w:val="-2"/>
        </w:rPr>
        <w:t xml:space="preserve"> </w:t>
      </w:r>
      <w:r>
        <w:t>National</w:t>
      </w:r>
      <w:r>
        <w:rPr>
          <w:spacing w:val="-2"/>
        </w:rPr>
        <w:t xml:space="preserve"> </w:t>
      </w:r>
      <w:r>
        <w:t>Industry-Specific</w:t>
      </w:r>
      <w:r>
        <w:rPr>
          <w:spacing w:val="-4"/>
        </w:rPr>
        <w:t xml:space="preserve"> </w:t>
      </w:r>
      <w:r>
        <w:t>Occupational</w:t>
      </w:r>
      <w:r>
        <w:rPr>
          <w:spacing w:val="-5"/>
        </w:rPr>
        <w:t xml:space="preserve"> </w:t>
      </w:r>
      <w:r>
        <w:t>Employment</w:t>
      </w:r>
      <w:r>
        <w:rPr>
          <w:spacing w:val="-4"/>
        </w:rPr>
        <w:t xml:space="preserve"> </w:t>
      </w:r>
      <w:r>
        <w:t>and</w:t>
      </w:r>
      <w:r>
        <w:rPr>
          <w:spacing w:val="-3"/>
        </w:rPr>
        <w:t xml:space="preserve"> </w:t>
      </w:r>
      <w:r>
        <w:t>Wage Estimates (Bureau of Labor Statistics (BLS). Hourly wage rates include the costs of fringe benefits (calculated at 100 percent of salary) and the adjusted hourly wage</w:t>
      </w:r>
      <w:r>
        <w:rPr>
          <w:rFonts w:ascii="Times New Roman"/>
          <w:sz w:val="24"/>
        </w:rPr>
        <w:t xml:space="preserve">. </w:t>
      </w:r>
      <w:hyperlink r:id="rId4">
        <w:r>
          <w:rPr>
            <w:rFonts w:ascii="Times New Roman"/>
            <w:color w:val="0000FF"/>
            <w:spacing w:val="-2"/>
            <w:sz w:val="24"/>
            <w:u w:val="single" w:color="0000FF"/>
          </w:rPr>
          <w:t>https://www.bls.gov/oes/current/oes_113021.htm</w:t>
        </w:r>
      </w:hyperlink>
    </w:p>
    <w:p w:rsidR="00FA1A1F" w14:paraId="57520D6B" w14:textId="77777777">
      <w:pPr>
        <w:pStyle w:val="BodyText"/>
        <w:rPr>
          <w:rFonts w:ascii="Times New Roman"/>
          <w:sz w:val="20"/>
        </w:rPr>
      </w:pPr>
    </w:p>
    <w:p w:rsidR="00FA1A1F" w14:paraId="01D9A8C0" w14:textId="77777777">
      <w:pPr>
        <w:pStyle w:val="BodyText"/>
        <w:spacing w:before="175"/>
        <w:rPr>
          <w:rFonts w:ascii="Times New Roman"/>
          <w:sz w:val="20"/>
        </w:rPr>
      </w:pPr>
    </w:p>
    <w:tbl>
      <w:tblPr>
        <w:tblW w:w="0" w:type="auto"/>
        <w:tblInd w:w="1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1171"/>
        <w:gridCol w:w="1080"/>
        <w:gridCol w:w="1349"/>
        <w:gridCol w:w="1260"/>
      </w:tblGrid>
      <w:tr w14:paraId="426CD6AF" w14:textId="77777777">
        <w:tblPrEx>
          <w:tblW w:w="0" w:type="auto"/>
          <w:tblInd w:w="1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9"/>
        </w:trPr>
        <w:tc>
          <w:tcPr>
            <w:tcW w:w="1795" w:type="dxa"/>
          </w:tcPr>
          <w:p w:rsidR="00FA1A1F" w14:paraId="162B904A" w14:textId="77777777">
            <w:pPr>
              <w:pStyle w:val="TableParagraph"/>
              <w:spacing w:before="1"/>
              <w:ind w:left="90"/>
              <w:rPr>
                <w:sz w:val="20"/>
              </w:rPr>
            </w:pPr>
            <w:r>
              <w:rPr>
                <w:sz w:val="20"/>
              </w:rPr>
              <w:t>Labor</w:t>
            </w:r>
            <w:r>
              <w:rPr>
                <w:spacing w:val="-5"/>
                <w:sz w:val="20"/>
              </w:rPr>
              <w:t xml:space="preserve"> </w:t>
            </w:r>
            <w:r>
              <w:rPr>
                <w:spacing w:val="-2"/>
                <w:sz w:val="20"/>
              </w:rPr>
              <w:t>Category</w:t>
            </w:r>
          </w:p>
        </w:tc>
        <w:tc>
          <w:tcPr>
            <w:tcW w:w="1171" w:type="dxa"/>
          </w:tcPr>
          <w:p w:rsidR="00FA1A1F" w14:paraId="204B25C1" w14:textId="77777777">
            <w:pPr>
              <w:pStyle w:val="TableParagraph"/>
              <w:spacing w:before="1"/>
              <w:ind w:left="381" w:hanging="329"/>
              <w:rPr>
                <w:sz w:val="20"/>
              </w:rPr>
            </w:pPr>
            <w:r>
              <w:rPr>
                <w:spacing w:val="-2"/>
                <w:sz w:val="20"/>
              </w:rPr>
              <w:t xml:space="preserve">Occupational </w:t>
            </w:r>
            <w:r>
              <w:rPr>
                <w:spacing w:val="-4"/>
                <w:sz w:val="20"/>
              </w:rPr>
              <w:t>Code</w:t>
            </w:r>
          </w:p>
        </w:tc>
        <w:tc>
          <w:tcPr>
            <w:tcW w:w="1080" w:type="dxa"/>
          </w:tcPr>
          <w:p w:rsidR="00FA1A1F" w14:paraId="7DF41070" w14:textId="77777777">
            <w:pPr>
              <w:pStyle w:val="TableParagraph"/>
              <w:spacing w:before="1"/>
              <w:ind w:left="14" w:right="-15"/>
              <w:jc w:val="center"/>
              <w:rPr>
                <w:sz w:val="20"/>
              </w:rPr>
            </w:pPr>
            <w:r>
              <w:rPr>
                <w:sz w:val="20"/>
              </w:rPr>
              <w:t>Mean</w:t>
            </w:r>
            <w:r>
              <w:rPr>
                <w:spacing w:val="-5"/>
                <w:sz w:val="20"/>
              </w:rPr>
              <w:t xml:space="preserve"> </w:t>
            </w:r>
            <w:r>
              <w:rPr>
                <w:spacing w:val="-2"/>
                <w:sz w:val="20"/>
              </w:rPr>
              <w:t>Hourly</w:t>
            </w:r>
          </w:p>
          <w:p w:rsidR="00FA1A1F" w14:paraId="172782CA" w14:textId="77777777">
            <w:pPr>
              <w:pStyle w:val="TableParagraph"/>
              <w:spacing w:before="4" w:line="230" w:lineRule="exact"/>
              <w:ind w:left="199" w:right="184" w:firstLine="2"/>
              <w:jc w:val="center"/>
              <w:rPr>
                <w:sz w:val="20"/>
              </w:rPr>
            </w:pPr>
            <w:r>
              <w:rPr>
                <w:spacing w:val="-4"/>
                <w:sz w:val="20"/>
              </w:rPr>
              <w:t xml:space="preserve">Wage </w:t>
            </w:r>
            <w:r>
              <w:rPr>
                <w:spacing w:val="-2"/>
                <w:sz w:val="20"/>
              </w:rPr>
              <w:t>($/hour)</w:t>
            </w:r>
          </w:p>
        </w:tc>
        <w:tc>
          <w:tcPr>
            <w:tcW w:w="1349" w:type="dxa"/>
          </w:tcPr>
          <w:p w:rsidR="00FA1A1F" w14:paraId="61D13AA6" w14:textId="77777777">
            <w:pPr>
              <w:pStyle w:val="TableParagraph"/>
              <w:spacing w:before="1"/>
              <w:ind w:left="170" w:firstLine="9"/>
              <w:rPr>
                <w:sz w:val="20"/>
              </w:rPr>
            </w:pPr>
            <w:r>
              <w:rPr>
                <w:sz w:val="20"/>
              </w:rPr>
              <w:t>100%</w:t>
            </w:r>
            <w:r>
              <w:rPr>
                <w:spacing w:val="-9"/>
                <w:sz w:val="20"/>
              </w:rPr>
              <w:t xml:space="preserve"> </w:t>
            </w:r>
            <w:r>
              <w:rPr>
                <w:spacing w:val="-2"/>
                <w:sz w:val="20"/>
              </w:rPr>
              <w:t>Fringe</w:t>
            </w:r>
          </w:p>
          <w:p w:rsidR="00FA1A1F" w14:paraId="32C3E625" w14:textId="77777777">
            <w:pPr>
              <w:pStyle w:val="TableParagraph"/>
              <w:spacing w:before="4" w:line="230" w:lineRule="exact"/>
              <w:ind w:left="333" w:right="149" w:hanging="164"/>
              <w:rPr>
                <w:sz w:val="20"/>
              </w:rPr>
            </w:pPr>
            <w:r>
              <w:rPr>
                <w:sz w:val="20"/>
              </w:rPr>
              <w:t>Benefits</w:t>
            </w:r>
            <w:r>
              <w:rPr>
                <w:spacing w:val="-12"/>
                <w:sz w:val="20"/>
              </w:rPr>
              <w:t xml:space="preserve"> </w:t>
            </w:r>
            <w:r>
              <w:rPr>
                <w:sz w:val="20"/>
              </w:rPr>
              <w:t xml:space="preserve">and </w:t>
            </w:r>
            <w:r>
              <w:rPr>
                <w:spacing w:val="-2"/>
                <w:sz w:val="20"/>
              </w:rPr>
              <w:t>($/hour)</w:t>
            </w:r>
          </w:p>
        </w:tc>
        <w:tc>
          <w:tcPr>
            <w:tcW w:w="1260" w:type="dxa"/>
          </w:tcPr>
          <w:p w:rsidR="00FA1A1F" w14:paraId="2060EC3D" w14:textId="77777777">
            <w:pPr>
              <w:pStyle w:val="TableParagraph"/>
              <w:spacing w:before="1"/>
              <w:ind w:left="27" w:right="2"/>
              <w:jc w:val="center"/>
              <w:rPr>
                <w:sz w:val="20"/>
              </w:rPr>
            </w:pPr>
            <w:r>
              <w:rPr>
                <w:spacing w:val="-2"/>
                <w:sz w:val="20"/>
              </w:rPr>
              <w:t>Adjusted</w:t>
            </w:r>
          </w:p>
          <w:p w:rsidR="00FA1A1F" w14:paraId="4153AEFC" w14:textId="77777777">
            <w:pPr>
              <w:pStyle w:val="TableParagraph"/>
              <w:spacing w:before="4" w:line="230" w:lineRule="exact"/>
              <w:ind w:left="27"/>
              <w:jc w:val="center"/>
              <w:rPr>
                <w:sz w:val="20"/>
              </w:rPr>
            </w:pPr>
            <w:r>
              <w:rPr>
                <w:sz w:val="20"/>
              </w:rPr>
              <w:t>Hourly</w:t>
            </w:r>
            <w:r>
              <w:rPr>
                <w:spacing w:val="-12"/>
                <w:sz w:val="20"/>
              </w:rPr>
              <w:t xml:space="preserve"> </w:t>
            </w:r>
            <w:r>
              <w:rPr>
                <w:sz w:val="20"/>
              </w:rPr>
              <w:t xml:space="preserve">Wage </w:t>
            </w:r>
            <w:r>
              <w:rPr>
                <w:spacing w:val="-2"/>
                <w:sz w:val="20"/>
              </w:rPr>
              <w:t>($/hour)</w:t>
            </w:r>
          </w:p>
        </w:tc>
      </w:tr>
      <w:tr w14:paraId="429A839F" w14:textId="77777777">
        <w:tblPrEx>
          <w:tblW w:w="0" w:type="auto"/>
          <w:tblInd w:w="1726" w:type="dxa"/>
          <w:tblLayout w:type="fixed"/>
          <w:tblCellMar>
            <w:left w:w="0" w:type="dxa"/>
            <w:right w:w="0" w:type="dxa"/>
          </w:tblCellMar>
          <w:tblLook w:val="01E0"/>
        </w:tblPrEx>
        <w:trPr>
          <w:trHeight w:val="733"/>
        </w:trPr>
        <w:tc>
          <w:tcPr>
            <w:tcW w:w="1795" w:type="dxa"/>
          </w:tcPr>
          <w:p w:rsidR="00FA1A1F" w14:paraId="6474C8F2" w14:textId="77777777">
            <w:pPr>
              <w:pStyle w:val="TableParagraph"/>
              <w:spacing w:before="3"/>
              <w:ind w:left="90" w:right="5"/>
              <w:rPr>
                <w:sz w:val="20"/>
              </w:rPr>
            </w:pPr>
            <w:r>
              <w:rPr>
                <w:sz w:val="20"/>
              </w:rPr>
              <w:t>Computer and Information</w:t>
            </w:r>
            <w:r>
              <w:rPr>
                <w:spacing w:val="-12"/>
                <w:sz w:val="20"/>
              </w:rPr>
              <w:t xml:space="preserve"> </w:t>
            </w:r>
            <w:r>
              <w:rPr>
                <w:sz w:val="20"/>
              </w:rPr>
              <w:t>Systems</w:t>
            </w:r>
          </w:p>
          <w:p w:rsidR="00FA1A1F" w14:paraId="6F4DCFCA" w14:textId="77777777">
            <w:pPr>
              <w:pStyle w:val="TableParagraph"/>
              <w:spacing w:before="0" w:line="222" w:lineRule="exact"/>
              <w:ind w:left="90"/>
              <w:rPr>
                <w:sz w:val="20"/>
              </w:rPr>
            </w:pPr>
            <w:r>
              <w:rPr>
                <w:spacing w:val="-2"/>
                <w:sz w:val="20"/>
              </w:rPr>
              <w:t>Manager</w:t>
            </w:r>
          </w:p>
        </w:tc>
        <w:tc>
          <w:tcPr>
            <w:tcW w:w="1171" w:type="dxa"/>
          </w:tcPr>
          <w:p w:rsidR="00FA1A1F" w14:paraId="17297D75" w14:textId="77777777">
            <w:pPr>
              <w:pStyle w:val="TableParagraph"/>
              <w:spacing w:before="18"/>
              <w:ind w:left="0"/>
              <w:rPr>
                <w:rFonts w:ascii="Times New Roman"/>
                <w:sz w:val="20"/>
              </w:rPr>
            </w:pPr>
          </w:p>
          <w:p w:rsidR="00FA1A1F" w14:paraId="2DBEBBC2" w14:textId="77777777">
            <w:pPr>
              <w:pStyle w:val="TableParagraph"/>
              <w:spacing w:before="0"/>
              <w:ind w:left="249"/>
              <w:rPr>
                <w:sz w:val="20"/>
              </w:rPr>
            </w:pPr>
            <w:r>
              <w:rPr>
                <w:spacing w:val="-4"/>
                <w:sz w:val="20"/>
              </w:rPr>
              <w:t>11-3021</w:t>
            </w:r>
          </w:p>
        </w:tc>
        <w:tc>
          <w:tcPr>
            <w:tcW w:w="1080" w:type="dxa"/>
          </w:tcPr>
          <w:p w:rsidR="00FA1A1F" w14:paraId="0935DB8B" w14:textId="77777777">
            <w:pPr>
              <w:pStyle w:val="TableParagraph"/>
              <w:spacing w:before="18"/>
              <w:ind w:left="0"/>
              <w:rPr>
                <w:rFonts w:ascii="Times New Roman"/>
                <w:sz w:val="20"/>
              </w:rPr>
            </w:pPr>
          </w:p>
          <w:p w:rsidR="00FA1A1F" w14:paraId="723423B5" w14:textId="77777777">
            <w:pPr>
              <w:pStyle w:val="TableParagraph"/>
              <w:spacing w:before="0"/>
              <w:ind w:left="261"/>
              <w:rPr>
                <w:sz w:val="20"/>
              </w:rPr>
            </w:pPr>
            <w:r>
              <w:rPr>
                <w:spacing w:val="-2"/>
                <w:sz w:val="20"/>
              </w:rPr>
              <w:t>$86.88</w:t>
            </w:r>
          </w:p>
        </w:tc>
        <w:tc>
          <w:tcPr>
            <w:tcW w:w="1349" w:type="dxa"/>
          </w:tcPr>
          <w:p w:rsidR="00FA1A1F" w14:paraId="554ACA24" w14:textId="77777777">
            <w:pPr>
              <w:pStyle w:val="TableParagraph"/>
              <w:spacing w:before="18"/>
              <w:ind w:left="0"/>
              <w:rPr>
                <w:rFonts w:ascii="Times New Roman"/>
                <w:sz w:val="20"/>
              </w:rPr>
            </w:pPr>
          </w:p>
          <w:p w:rsidR="00FA1A1F" w14:paraId="3139BCCB" w14:textId="77777777">
            <w:pPr>
              <w:pStyle w:val="TableParagraph"/>
              <w:spacing w:before="0"/>
              <w:ind w:left="396"/>
              <w:rPr>
                <w:sz w:val="20"/>
              </w:rPr>
            </w:pPr>
            <w:r>
              <w:rPr>
                <w:spacing w:val="-2"/>
                <w:sz w:val="20"/>
              </w:rPr>
              <w:t>$86.88</w:t>
            </w:r>
          </w:p>
        </w:tc>
        <w:tc>
          <w:tcPr>
            <w:tcW w:w="1260" w:type="dxa"/>
          </w:tcPr>
          <w:p w:rsidR="00FA1A1F" w14:paraId="0F0C78F0" w14:textId="77777777">
            <w:pPr>
              <w:pStyle w:val="TableParagraph"/>
              <w:spacing w:before="18"/>
              <w:ind w:left="0"/>
              <w:rPr>
                <w:rFonts w:ascii="Times New Roman"/>
                <w:sz w:val="20"/>
              </w:rPr>
            </w:pPr>
          </w:p>
          <w:p w:rsidR="00FA1A1F" w14:paraId="6C8843B6" w14:textId="77777777">
            <w:pPr>
              <w:pStyle w:val="TableParagraph"/>
              <w:spacing w:before="0"/>
              <w:ind w:left="307"/>
              <w:rPr>
                <w:sz w:val="20"/>
              </w:rPr>
            </w:pPr>
            <w:r>
              <w:rPr>
                <w:spacing w:val="-2"/>
                <w:sz w:val="20"/>
              </w:rPr>
              <w:t>$173.76</w:t>
            </w:r>
          </w:p>
        </w:tc>
      </w:tr>
    </w:tbl>
    <w:p w:rsidR="00FA1A1F" w14:paraId="3CB830D2" w14:textId="77777777">
      <w:pPr>
        <w:pStyle w:val="BodyText"/>
        <w:spacing w:before="28"/>
        <w:rPr>
          <w:rFonts w:ascii="Times New Roman"/>
        </w:rPr>
      </w:pPr>
    </w:p>
    <w:p w:rsidR="00FA1A1F" w14:paraId="0135BBC3" w14:textId="77777777">
      <w:pPr>
        <w:ind w:left="343"/>
        <w:rPr>
          <w:b/>
          <w:sz w:val="23"/>
        </w:rPr>
      </w:pPr>
      <w:r>
        <w:rPr>
          <w:b/>
          <w:sz w:val="23"/>
          <w:u w:val="single"/>
        </w:rPr>
        <w:t>Issuer</w:t>
      </w:r>
      <w:r>
        <w:rPr>
          <w:b/>
          <w:spacing w:val="-4"/>
          <w:sz w:val="23"/>
          <w:u w:val="single"/>
        </w:rPr>
        <w:t xml:space="preserve"> </w:t>
      </w:r>
      <w:r>
        <w:rPr>
          <w:b/>
          <w:spacing w:val="-2"/>
          <w:sz w:val="23"/>
          <w:u w:val="single"/>
        </w:rPr>
        <w:t>Burden</w:t>
      </w:r>
    </w:p>
    <w:p w:rsidR="00FA1A1F" w14:paraId="0570E8A8" w14:textId="77777777">
      <w:pPr>
        <w:pStyle w:val="BodyText"/>
        <w:spacing w:before="15" w:line="252" w:lineRule="auto"/>
        <w:ind w:left="360" w:right="1443"/>
      </w:pPr>
      <w:r>
        <w:t>The</w:t>
      </w:r>
      <w:r>
        <w:rPr>
          <w:spacing w:val="-2"/>
        </w:rPr>
        <w:t xml:space="preserve"> </w:t>
      </w:r>
      <w:r>
        <w:t>estimated</w:t>
      </w:r>
      <w:r>
        <w:rPr>
          <w:spacing w:val="-4"/>
        </w:rPr>
        <w:t xml:space="preserve"> </w:t>
      </w:r>
      <w:r>
        <w:t>hour</w:t>
      </w:r>
      <w:r>
        <w:rPr>
          <w:spacing w:val="-4"/>
        </w:rPr>
        <w:t xml:space="preserve"> </w:t>
      </w:r>
      <w:r>
        <w:t>burden</w:t>
      </w:r>
      <w:r>
        <w:rPr>
          <w:spacing w:val="-4"/>
        </w:rPr>
        <w:t xml:space="preserve"> </w:t>
      </w:r>
      <w:r>
        <w:t>on</w:t>
      </w:r>
      <w:r>
        <w:rPr>
          <w:spacing w:val="-4"/>
        </w:rPr>
        <w:t xml:space="preserve"> </w:t>
      </w:r>
      <w:r>
        <w:t>issuers</w:t>
      </w:r>
      <w:r>
        <w:rPr>
          <w:spacing w:val="-2"/>
        </w:rPr>
        <w:t xml:space="preserve"> </w:t>
      </w:r>
      <w:r>
        <w:t>for</w:t>
      </w:r>
      <w:r>
        <w:rPr>
          <w:spacing w:val="-1"/>
        </w:rPr>
        <w:t xml:space="preserve"> </w:t>
      </w:r>
      <w:r>
        <w:t>the</w:t>
      </w:r>
      <w:r>
        <w:rPr>
          <w:spacing w:val="-5"/>
        </w:rPr>
        <w:t xml:space="preserve"> </w:t>
      </w:r>
      <w:r>
        <w:t>PlanFinder</w:t>
      </w:r>
      <w:r>
        <w:rPr>
          <w:spacing w:val="-1"/>
        </w:rPr>
        <w:t xml:space="preserve"> </w:t>
      </w:r>
      <w:r>
        <w:t>data</w:t>
      </w:r>
      <w:r>
        <w:rPr>
          <w:spacing w:val="-3"/>
        </w:rPr>
        <w:t xml:space="preserve"> </w:t>
      </w:r>
      <w:r>
        <w:t>collection</w:t>
      </w:r>
      <w:r>
        <w:rPr>
          <w:spacing w:val="-4"/>
        </w:rPr>
        <w:t xml:space="preserve"> </w:t>
      </w:r>
      <w:r>
        <w:t>is</w:t>
      </w:r>
      <w:r>
        <w:rPr>
          <w:spacing w:val="-4"/>
        </w:rPr>
        <w:t xml:space="preserve"> </w:t>
      </w:r>
      <w:r>
        <w:t>estimated</w:t>
      </w:r>
      <w:r>
        <w:rPr>
          <w:spacing w:val="-4"/>
        </w:rPr>
        <w:t xml:space="preserve"> </w:t>
      </w:r>
      <w:r>
        <w:t>as</w:t>
      </w:r>
      <w:r>
        <w:rPr>
          <w:spacing w:val="-4"/>
        </w:rPr>
        <w:t xml:space="preserve"> </w:t>
      </w:r>
      <w:r>
        <w:t>50,128</w:t>
      </w:r>
      <w:r>
        <w:rPr>
          <w:spacing w:val="-1"/>
        </w:rPr>
        <w:t xml:space="preserve"> </w:t>
      </w:r>
      <w:r>
        <w:t>total burden hours. This estimate is based on an assumed average of 350 individual plan issuers, 150 small group plan issuers (814 issuers offering both individual and small group plans) per each</w:t>
      </w:r>
      <w:r>
        <w:rPr>
          <w:spacing w:val="-2"/>
        </w:rPr>
        <w:t xml:space="preserve"> </w:t>
      </w:r>
      <w:r>
        <w:t>of the four quarterly collection. It includes 30 hours per organization for training and communication.</w:t>
      </w:r>
    </w:p>
    <w:p w:rsidR="00FA1A1F" w14:paraId="579A2D14" w14:textId="77777777">
      <w:pPr>
        <w:pStyle w:val="BodyText"/>
        <w:spacing w:line="252" w:lineRule="auto"/>
        <w:ind w:left="360" w:right="1496"/>
      </w:pPr>
      <w:r>
        <w:t>Additionally,</w:t>
      </w:r>
      <w:r>
        <w:rPr>
          <w:spacing w:val="-2"/>
        </w:rPr>
        <w:t xml:space="preserve"> </w:t>
      </w:r>
      <w:r>
        <w:t>for each</w:t>
      </w:r>
      <w:r>
        <w:rPr>
          <w:spacing w:val="-3"/>
        </w:rPr>
        <w:t xml:space="preserve"> </w:t>
      </w:r>
      <w:r>
        <w:t>of</w:t>
      </w:r>
      <w:r>
        <w:rPr>
          <w:spacing w:val="-5"/>
        </w:rPr>
        <w:t xml:space="preserve"> </w:t>
      </w:r>
      <w:r>
        <w:t>the</w:t>
      </w:r>
      <w:r>
        <w:rPr>
          <w:spacing w:val="-1"/>
        </w:rPr>
        <w:t xml:space="preserve"> </w:t>
      </w:r>
      <w:r>
        <w:t>issuers</w:t>
      </w:r>
      <w:r>
        <w:rPr>
          <w:spacing w:val="-3"/>
        </w:rPr>
        <w:t xml:space="preserve"> </w:t>
      </w:r>
      <w:r>
        <w:t>it</w:t>
      </w:r>
      <w:r>
        <w:rPr>
          <w:spacing w:val="-2"/>
        </w:rPr>
        <w:t xml:space="preserve"> </w:t>
      </w:r>
      <w:r>
        <w:t>includes</w:t>
      </w:r>
      <w:r>
        <w:rPr>
          <w:spacing w:val="-3"/>
        </w:rPr>
        <w:t xml:space="preserve"> </w:t>
      </w:r>
      <w:r>
        <w:t>13</w:t>
      </w:r>
      <w:r>
        <w:rPr>
          <w:spacing w:val="-3"/>
        </w:rPr>
        <w:t xml:space="preserve"> </w:t>
      </w:r>
      <w:r>
        <w:t>hours</w:t>
      </w:r>
      <w:r>
        <w:rPr>
          <w:spacing w:val="-3"/>
        </w:rPr>
        <w:t xml:space="preserve"> </w:t>
      </w:r>
      <w:r>
        <w:t>of</w:t>
      </w:r>
      <w:r>
        <w:rPr>
          <w:spacing w:val="-2"/>
        </w:rPr>
        <w:t xml:space="preserve"> </w:t>
      </w:r>
      <w:r>
        <w:t>preparation</w:t>
      </w:r>
      <w:r>
        <w:rPr>
          <w:spacing w:val="-3"/>
        </w:rPr>
        <w:t xml:space="preserve"> </w:t>
      </w:r>
      <w:r>
        <w:t>time,</w:t>
      </w:r>
      <w:r>
        <w:rPr>
          <w:spacing w:val="-4"/>
        </w:rPr>
        <w:t xml:space="preserve"> </w:t>
      </w:r>
      <w:r>
        <w:t>one</w:t>
      </w:r>
      <w:r>
        <w:rPr>
          <w:spacing w:val="-1"/>
        </w:rPr>
        <w:t xml:space="preserve"> </w:t>
      </w:r>
      <w:r>
        <w:t>hour</w:t>
      </w:r>
      <w:r>
        <w:rPr>
          <w:spacing w:val="-3"/>
        </w:rPr>
        <w:t xml:space="preserve"> </w:t>
      </w:r>
      <w:r>
        <w:t>of</w:t>
      </w:r>
      <w:r>
        <w:rPr>
          <w:spacing w:val="-2"/>
        </w:rPr>
        <w:t xml:space="preserve"> </w:t>
      </w:r>
      <w:r>
        <w:t>login</w:t>
      </w:r>
      <w:r>
        <w:rPr>
          <w:spacing w:val="-3"/>
        </w:rPr>
        <w:t xml:space="preserve"> </w:t>
      </w:r>
      <w:r>
        <w:t xml:space="preserve">and upload time, two hours of troubleshooting and data review, and one half hour for attestation per organization. While the PlanFinder data collection continues to operate on a quarterly basis, RBIS operates on an annual collection with the option to make plan changes during each submission </w:t>
      </w:r>
      <w:r>
        <w:rPr>
          <w:spacing w:val="-2"/>
        </w:rPr>
        <w:t>quarter.</w:t>
      </w:r>
    </w:p>
    <w:p w:rsidR="00FA1A1F" w14:paraId="50C03881" w14:textId="77777777">
      <w:pPr>
        <w:pStyle w:val="BodyText"/>
        <w:spacing w:line="252" w:lineRule="auto"/>
        <w:sectPr>
          <w:pgSz w:w="12240" w:h="15840"/>
          <w:pgMar w:top="1820" w:right="0" w:bottom="280" w:left="1080" w:header="720" w:footer="720" w:gutter="0"/>
          <w:cols w:space="720"/>
        </w:sectPr>
      </w:pPr>
    </w:p>
    <w:p w:rsidR="00FA1A1F" w14:paraId="79449E74" w14:textId="77777777">
      <w:pPr>
        <w:pStyle w:val="BodyText"/>
        <w:rPr>
          <w:sz w:val="24"/>
        </w:rPr>
      </w:pPr>
    </w:p>
    <w:p w:rsidR="00FA1A1F" w14:paraId="587FB011" w14:textId="77777777">
      <w:pPr>
        <w:pStyle w:val="BodyText"/>
        <w:rPr>
          <w:sz w:val="24"/>
        </w:rPr>
      </w:pPr>
    </w:p>
    <w:p w:rsidR="00FA1A1F" w14:paraId="3592539E" w14:textId="77777777">
      <w:pPr>
        <w:pStyle w:val="BodyText"/>
        <w:spacing w:before="250"/>
        <w:rPr>
          <w:sz w:val="24"/>
        </w:rPr>
      </w:pPr>
    </w:p>
    <w:p w:rsidR="00FA1A1F" w14:paraId="499EAD43" w14:textId="77777777">
      <w:pPr>
        <w:pStyle w:val="Heading2"/>
      </w:pPr>
      <w:bookmarkStart w:id="17" w:name="Table_2:_Burden_Hours_for_Insurance_Issu"/>
      <w:bookmarkEnd w:id="17"/>
      <w:r>
        <w:t>Table</w:t>
      </w:r>
      <w:r>
        <w:rPr>
          <w:spacing w:val="-3"/>
        </w:rPr>
        <w:t xml:space="preserve"> </w:t>
      </w:r>
      <w:r>
        <w:t>2:</w:t>
      </w:r>
      <w:r>
        <w:rPr>
          <w:spacing w:val="-1"/>
        </w:rPr>
        <w:t xml:space="preserve"> </w:t>
      </w:r>
      <w:r>
        <w:t>Burden</w:t>
      </w:r>
      <w:r>
        <w:rPr>
          <w:spacing w:val="-2"/>
        </w:rPr>
        <w:t xml:space="preserve"> </w:t>
      </w:r>
      <w:r>
        <w:t>Hours</w:t>
      </w:r>
      <w:r>
        <w:rPr>
          <w:spacing w:val="-1"/>
        </w:rPr>
        <w:t xml:space="preserve"> </w:t>
      </w:r>
      <w:r>
        <w:t>for</w:t>
      </w:r>
      <w:r>
        <w:rPr>
          <w:spacing w:val="-1"/>
        </w:rPr>
        <w:t xml:space="preserve"> </w:t>
      </w:r>
      <w:r>
        <w:t>Insurance</w:t>
      </w:r>
      <w:r>
        <w:rPr>
          <w:spacing w:val="-2"/>
        </w:rPr>
        <w:t xml:space="preserve"> Issuers</w:t>
      </w:r>
    </w:p>
    <w:p w:rsidR="00FA1A1F" w14:paraId="6769CD83" w14:textId="77777777">
      <w:pPr>
        <w:pStyle w:val="BodyText"/>
        <w:spacing w:before="75"/>
        <w:rPr>
          <w:b/>
          <w:sz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2"/>
        <w:gridCol w:w="1169"/>
        <w:gridCol w:w="991"/>
        <w:gridCol w:w="897"/>
        <w:gridCol w:w="899"/>
        <w:gridCol w:w="625"/>
        <w:gridCol w:w="899"/>
        <w:gridCol w:w="1259"/>
        <w:gridCol w:w="2157"/>
      </w:tblGrid>
      <w:tr w14:paraId="283D1492" w14:textId="77777777">
        <w:tblPrEx>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44"/>
        </w:trPr>
        <w:tc>
          <w:tcPr>
            <w:tcW w:w="1632" w:type="dxa"/>
          </w:tcPr>
          <w:p w:rsidR="00FA1A1F" w14:paraId="60FE0330" w14:textId="77777777">
            <w:pPr>
              <w:pStyle w:val="TableParagraph"/>
              <w:rPr>
                <w:sz w:val="18"/>
              </w:rPr>
            </w:pPr>
            <w:r>
              <w:rPr>
                <w:spacing w:val="-2"/>
                <w:sz w:val="18"/>
              </w:rPr>
              <w:t>Explanation</w:t>
            </w:r>
          </w:p>
        </w:tc>
        <w:tc>
          <w:tcPr>
            <w:tcW w:w="1169" w:type="dxa"/>
          </w:tcPr>
          <w:p w:rsidR="00FA1A1F" w14:paraId="0BCD3829" w14:textId="77777777">
            <w:pPr>
              <w:pStyle w:val="TableParagraph"/>
              <w:ind w:left="115"/>
              <w:rPr>
                <w:sz w:val="18"/>
              </w:rPr>
            </w:pPr>
            <w:r>
              <w:rPr>
                <w:spacing w:val="-2"/>
                <w:sz w:val="18"/>
              </w:rPr>
              <w:t>Respondents</w:t>
            </w:r>
          </w:p>
        </w:tc>
        <w:tc>
          <w:tcPr>
            <w:tcW w:w="991" w:type="dxa"/>
          </w:tcPr>
          <w:p w:rsidR="00FA1A1F" w14:paraId="5AF029B3" w14:textId="77777777">
            <w:pPr>
              <w:pStyle w:val="TableParagraph"/>
              <w:ind w:left="110"/>
              <w:rPr>
                <w:sz w:val="18"/>
              </w:rPr>
            </w:pPr>
            <w:r>
              <w:rPr>
                <w:spacing w:val="-2"/>
                <w:sz w:val="18"/>
              </w:rPr>
              <w:t>Responses</w:t>
            </w:r>
          </w:p>
        </w:tc>
        <w:tc>
          <w:tcPr>
            <w:tcW w:w="897" w:type="dxa"/>
          </w:tcPr>
          <w:p w:rsidR="00FA1A1F" w14:paraId="4A7CA9B1" w14:textId="77777777">
            <w:pPr>
              <w:pStyle w:val="TableParagraph"/>
              <w:ind w:right="76"/>
              <w:rPr>
                <w:sz w:val="18"/>
              </w:rPr>
            </w:pPr>
            <w:r>
              <w:rPr>
                <w:spacing w:val="-2"/>
                <w:sz w:val="18"/>
              </w:rPr>
              <w:t>Hours</w:t>
            </w:r>
            <w:r>
              <w:rPr>
                <w:spacing w:val="40"/>
                <w:sz w:val="18"/>
              </w:rPr>
              <w:t xml:space="preserve"> </w:t>
            </w:r>
            <w:r>
              <w:rPr>
                <w:spacing w:val="-4"/>
                <w:sz w:val="18"/>
              </w:rPr>
              <w:t>per</w:t>
            </w:r>
            <w:r>
              <w:rPr>
                <w:sz w:val="18"/>
              </w:rPr>
              <w:t xml:space="preserve"> </w:t>
            </w:r>
            <w:r>
              <w:rPr>
                <w:spacing w:val="-2"/>
                <w:sz w:val="18"/>
              </w:rPr>
              <w:t>Response</w:t>
            </w:r>
          </w:p>
        </w:tc>
        <w:tc>
          <w:tcPr>
            <w:tcW w:w="899" w:type="dxa"/>
          </w:tcPr>
          <w:p w:rsidR="00FA1A1F" w14:paraId="2B86DA32" w14:textId="77777777">
            <w:pPr>
              <w:pStyle w:val="TableParagraph"/>
              <w:ind w:left="115"/>
              <w:rPr>
                <w:sz w:val="18"/>
              </w:rPr>
            </w:pPr>
            <w:r>
              <w:rPr>
                <w:spacing w:val="-2"/>
                <w:sz w:val="18"/>
              </w:rPr>
              <w:t>Total</w:t>
            </w:r>
          </w:p>
        </w:tc>
        <w:tc>
          <w:tcPr>
            <w:tcW w:w="625" w:type="dxa"/>
          </w:tcPr>
          <w:p w:rsidR="00FA1A1F" w14:paraId="6F6D8368" w14:textId="77777777">
            <w:pPr>
              <w:pStyle w:val="TableParagraph"/>
              <w:ind w:left="114"/>
              <w:rPr>
                <w:sz w:val="18"/>
              </w:rPr>
            </w:pPr>
            <w:r>
              <w:rPr>
                <w:spacing w:val="-5"/>
                <w:sz w:val="18"/>
              </w:rPr>
              <w:t>Xs</w:t>
            </w:r>
          </w:p>
        </w:tc>
        <w:tc>
          <w:tcPr>
            <w:tcW w:w="899" w:type="dxa"/>
          </w:tcPr>
          <w:p w:rsidR="00FA1A1F" w14:paraId="5757256A" w14:textId="77777777">
            <w:pPr>
              <w:pStyle w:val="TableParagraph"/>
              <w:ind w:left="122" w:right="243"/>
              <w:rPr>
                <w:sz w:val="18"/>
              </w:rPr>
            </w:pPr>
            <w:r>
              <w:rPr>
                <w:spacing w:val="-2"/>
                <w:sz w:val="18"/>
              </w:rPr>
              <w:t>Annual</w:t>
            </w:r>
            <w:r>
              <w:rPr>
                <w:sz w:val="18"/>
              </w:rPr>
              <w:t xml:space="preserve"> </w:t>
            </w:r>
            <w:r>
              <w:rPr>
                <w:spacing w:val="-2"/>
                <w:sz w:val="18"/>
              </w:rPr>
              <w:t>Hours</w:t>
            </w:r>
          </w:p>
        </w:tc>
        <w:tc>
          <w:tcPr>
            <w:tcW w:w="1259" w:type="dxa"/>
          </w:tcPr>
          <w:p w:rsidR="00FA1A1F" w14:paraId="45433E6E" w14:textId="77777777">
            <w:pPr>
              <w:pStyle w:val="TableParagraph"/>
              <w:ind w:left="121" w:right="151"/>
              <w:jc w:val="both"/>
              <w:rPr>
                <w:sz w:val="18"/>
              </w:rPr>
            </w:pPr>
            <w:r>
              <w:rPr>
                <w:sz w:val="18"/>
              </w:rPr>
              <w:t>Hourly</w:t>
            </w:r>
            <w:r>
              <w:rPr>
                <w:spacing w:val="-6"/>
                <w:sz w:val="18"/>
              </w:rPr>
              <w:t xml:space="preserve"> </w:t>
            </w:r>
            <w:r>
              <w:rPr>
                <w:sz w:val="18"/>
              </w:rPr>
              <w:t>Labor Costs</w:t>
            </w:r>
            <w:r>
              <w:rPr>
                <w:spacing w:val="-11"/>
                <w:sz w:val="18"/>
              </w:rPr>
              <w:t xml:space="preserve"> </w:t>
            </w:r>
            <w:r>
              <w:rPr>
                <w:sz w:val="18"/>
              </w:rPr>
              <w:t>(Hourly Rate + 100%</w:t>
            </w:r>
          </w:p>
          <w:p w:rsidR="00FA1A1F" w14:paraId="3FBEE385" w14:textId="77777777">
            <w:pPr>
              <w:pStyle w:val="TableParagraph"/>
              <w:spacing w:before="6" w:line="206" w:lineRule="exact"/>
              <w:ind w:left="121" w:right="472" w:hanging="1"/>
              <w:rPr>
                <w:sz w:val="18"/>
              </w:rPr>
            </w:pPr>
            <w:r>
              <w:rPr>
                <w:spacing w:val="-2"/>
                <w:sz w:val="18"/>
              </w:rPr>
              <w:t>Fringe</w:t>
            </w:r>
            <w:r>
              <w:rPr>
                <w:sz w:val="18"/>
              </w:rPr>
              <w:t xml:space="preserve"> </w:t>
            </w:r>
            <w:r>
              <w:rPr>
                <w:spacing w:val="-2"/>
                <w:sz w:val="18"/>
              </w:rPr>
              <w:t>Benefits)</w:t>
            </w:r>
          </w:p>
        </w:tc>
        <w:tc>
          <w:tcPr>
            <w:tcW w:w="2157" w:type="dxa"/>
          </w:tcPr>
          <w:p w:rsidR="00FA1A1F" w14:paraId="192B2BD4" w14:textId="77777777">
            <w:pPr>
              <w:pStyle w:val="TableParagraph"/>
              <w:ind w:left="124"/>
              <w:rPr>
                <w:sz w:val="18"/>
              </w:rPr>
            </w:pPr>
            <w:r>
              <w:rPr>
                <w:sz w:val="18"/>
              </w:rPr>
              <w:t>Total</w:t>
            </w:r>
            <w:r>
              <w:rPr>
                <w:spacing w:val="-5"/>
                <w:sz w:val="18"/>
              </w:rPr>
              <w:t xml:space="preserve"> </w:t>
            </w:r>
            <w:r>
              <w:rPr>
                <w:sz w:val="18"/>
              </w:rPr>
              <w:t>Burden</w:t>
            </w:r>
            <w:r>
              <w:rPr>
                <w:spacing w:val="-2"/>
                <w:sz w:val="18"/>
              </w:rPr>
              <w:t xml:space="preserve"> </w:t>
            </w:r>
            <w:r>
              <w:rPr>
                <w:spacing w:val="-4"/>
                <w:sz w:val="18"/>
              </w:rPr>
              <w:t>Cost</w:t>
            </w:r>
          </w:p>
        </w:tc>
      </w:tr>
      <w:tr w14:paraId="66FBF859" w14:textId="77777777">
        <w:tblPrEx>
          <w:tblW w:w="0" w:type="auto"/>
          <w:tblInd w:w="271" w:type="dxa"/>
          <w:tblLayout w:type="fixed"/>
          <w:tblCellMar>
            <w:left w:w="0" w:type="dxa"/>
            <w:right w:w="0" w:type="dxa"/>
          </w:tblCellMar>
          <w:tblLook w:val="01E0"/>
        </w:tblPrEx>
        <w:trPr>
          <w:trHeight w:val="594"/>
        </w:trPr>
        <w:tc>
          <w:tcPr>
            <w:tcW w:w="1632" w:type="dxa"/>
          </w:tcPr>
          <w:p w:rsidR="00FA1A1F" w14:paraId="4A4AF37D" w14:textId="77777777">
            <w:pPr>
              <w:pStyle w:val="TableParagraph"/>
              <w:rPr>
                <w:sz w:val="20"/>
              </w:rPr>
            </w:pPr>
            <w:r>
              <w:rPr>
                <w:sz w:val="20"/>
              </w:rPr>
              <w:t xml:space="preserve">Training and </w:t>
            </w:r>
            <w:r>
              <w:rPr>
                <w:spacing w:val="-2"/>
                <w:w w:val="90"/>
                <w:sz w:val="20"/>
              </w:rPr>
              <w:t>Communication</w:t>
            </w:r>
          </w:p>
        </w:tc>
        <w:tc>
          <w:tcPr>
            <w:tcW w:w="1169" w:type="dxa"/>
          </w:tcPr>
          <w:p w:rsidR="00FA1A1F" w14:paraId="386BE312" w14:textId="77777777">
            <w:pPr>
              <w:pStyle w:val="TableParagraph"/>
              <w:ind w:left="114"/>
              <w:rPr>
                <w:sz w:val="20"/>
              </w:rPr>
            </w:pPr>
            <w:r>
              <w:rPr>
                <w:spacing w:val="-5"/>
                <w:sz w:val="20"/>
              </w:rPr>
              <w:t>814</w:t>
            </w:r>
          </w:p>
        </w:tc>
        <w:tc>
          <w:tcPr>
            <w:tcW w:w="991" w:type="dxa"/>
          </w:tcPr>
          <w:p w:rsidR="00FA1A1F" w14:paraId="1DF2E928" w14:textId="77777777">
            <w:pPr>
              <w:pStyle w:val="TableParagraph"/>
              <w:ind w:left="155"/>
              <w:rPr>
                <w:sz w:val="20"/>
              </w:rPr>
            </w:pPr>
            <w:r>
              <w:rPr>
                <w:spacing w:val="-10"/>
                <w:sz w:val="20"/>
              </w:rPr>
              <w:t>1</w:t>
            </w:r>
          </w:p>
        </w:tc>
        <w:tc>
          <w:tcPr>
            <w:tcW w:w="897" w:type="dxa"/>
          </w:tcPr>
          <w:p w:rsidR="00FA1A1F" w14:paraId="0AE75F2E" w14:textId="77777777">
            <w:pPr>
              <w:pStyle w:val="TableParagraph"/>
              <w:rPr>
                <w:sz w:val="20"/>
              </w:rPr>
            </w:pPr>
            <w:r>
              <w:rPr>
                <w:spacing w:val="-5"/>
                <w:sz w:val="20"/>
              </w:rPr>
              <w:t>30</w:t>
            </w:r>
          </w:p>
        </w:tc>
        <w:tc>
          <w:tcPr>
            <w:tcW w:w="899" w:type="dxa"/>
          </w:tcPr>
          <w:p w:rsidR="00FA1A1F" w14:paraId="693B0B4D" w14:textId="46EDDC0C">
            <w:pPr>
              <w:pStyle w:val="TableParagraph"/>
              <w:ind w:left="115"/>
              <w:rPr>
                <w:sz w:val="20"/>
              </w:rPr>
            </w:pPr>
            <w:r>
              <w:rPr>
                <w:spacing w:val="-2"/>
                <w:sz w:val="20"/>
              </w:rPr>
              <w:t>2</w:t>
            </w:r>
            <w:r w:rsidR="000764EA">
              <w:rPr>
                <w:spacing w:val="-2"/>
                <w:sz w:val="20"/>
              </w:rPr>
              <w:t>4</w:t>
            </w:r>
            <w:r>
              <w:rPr>
                <w:spacing w:val="-2"/>
                <w:sz w:val="20"/>
              </w:rPr>
              <w:t>,</w:t>
            </w:r>
            <w:r w:rsidR="000764EA">
              <w:rPr>
                <w:spacing w:val="-2"/>
                <w:sz w:val="20"/>
              </w:rPr>
              <w:t>4</w:t>
            </w:r>
            <w:r>
              <w:rPr>
                <w:spacing w:val="-2"/>
                <w:sz w:val="20"/>
              </w:rPr>
              <w:t>00</w:t>
            </w:r>
          </w:p>
        </w:tc>
        <w:tc>
          <w:tcPr>
            <w:tcW w:w="625" w:type="dxa"/>
          </w:tcPr>
          <w:p w:rsidR="00FA1A1F" w14:paraId="192D6D87" w14:textId="77777777">
            <w:pPr>
              <w:pStyle w:val="TableParagraph"/>
              <w:ind w:left="114"/>
              <w:rPr>
                <w:sz w:val="20"/>
              </w:rPr>
            </w:pPr>
            <w:r>
              <w:rPr>
                <w:spacing w:val="-10"/>
                <w:sz w:val="20"/>
              </w:rPr>
              <w:t>1</w:t>
            </w:r>
          </w:p>
        </w:tc>
        <w:tc>
          <w:tcPr>
            <w:tcW w:w="899" w:type="dxa"/>
          </w:tcPr>
          <w:p w:rsidR="00FA1A1F" w14:paraId="7ECFA4BD" w14:textId="3E7AE5B2">
            <w:pPr>
              <w:pStyle w:val="TableParagraph"/>
              <w:ind w:left="122"/>
              <w:rPr>
                <w:sz w:val="20"/>
              </w:rPr>
            </w:pPr>
            <w:r>
              <w:rPr>
                <w:spacing w:val="-2"/>
                <w:sz w:val="20"/>
              </w:rPr>
              <w:t>2</w:t>
            </w:r>
            <w:r w:rsidR="000764EA">
              <w:rPr>
                <w:spacing w:val="-2"/>
                <w:sz w:val="20"/>
              </w:rPr>
              <w:t>4</w:t>
            </w:r>
            <w:r>
              <w:rPr>
                <w:spacing w:val="-2"/>
                <w:sz w:val="20"/>
              </w:rPr>
              <w:t>,</w:t>
            </w:r>
            <w:r w:rsidR="000764EA">
              <w:rPr>
                <w:spacing w:val="-2"/>
                <w:sz w:val="20"/>
              </w:rPr>
              <w:t>4</w:t>
            </w:r>
            <w:r>
              <w:rPr>
                <w:spacing w:val="-2"/>
                <w:sz w:val="20"/>
              </w:rPr>
              <w:t>00</w:t>
            </w:r>
          </w:p>
        </w:tc>
        <w:tc>
          <w:tcPr>
            <w:tcW w:w="1259" w:type="dxa"/>
          </w:tcPr>
          <w:p w:rsidR="00FA1A1F" w14:paraId="7EEFD88C" w14:textId="77777777">
            <w:pPr>
              <w:pStyle w:val="TableParagraph"/>
              <w:ind w:left="121"/>
              <w:rPr>
                <w:sz w:val="20"/>
              </w:rPr>
            </w:pPr>
            <w:r>
              <w:rPr>
                <w:spacing w:val="-2"/>
                <w:sz w:val="20"/>
              </w:rPr>
              <w:t>$173.76</w:t>
            </w:r>
          </w:p>
        </w:tc>
        <w:tc>
          <w:tcPr>
            <w:tcW w:w="2157" w:type="dxa"/>
          </w:tcPr>
          <w:p w:rsidR="00FA1A1F" w14:paraId="525376A8" w14:textId="77777777">
            <w:pPr>
              <w:pStyle w:val="TableParagraph"/>
              <w:ind w:left="124"/>
              <w:rPr>
                <w:sz w:val="20"/>
              </w:rPr>
            </w:pPr>
            <w:r>
              <w:rPr>
                <w:sz w:val="20"/>
              </w:rPr>
              <w:t>$</w:t>
            </w:r>
            <w:r>
              <w:rPr>
                <w:spacing w:val="-2"/>
                <w:sz w:val="20"/>
              </w:rPr>
              <w:t xml:space="preserve"> 2,215,440</w:t>
            </w:r>
          </w:p>
        </w:tc>
      </w:tr>
      <w:tr w14:paraId="1CD1E9D3" w14:textId="77777777">
        <w:tblPrEx>
          <w:tblW w:w="0" w:type="auto"/>
          <w:tblInd w:w="271" w:type="dxa"/>
          <w:tblLayout w:type="fixed"/>
          <w:tblCellMar>
            <w:left w:w="0" w:type="dxa"/>
            <w:right w:w="0" w:type="dxa"/>
          </w:tblCellMar>
          <w:tblLook w:val="01E0"/>
        </w:tblPrEx>
        <w:trPr>
          <w:trHeight w:val="858"/>
        </w:trPr>
        <w:tc>
          <w:tcPr>
            <w:tcW w:w="1632" w:type="dxa"/>
          </w:tcPr>
          <w:p w:rsidR="00FA1A1F" w14:paraId="6B736F0E" w14:textId="77777777">
            <w:pPr>
              <w:pStyle w:val="TableParagraph"/>
              <w:ind w:right="586"/>
              <w:jc w:val="both"/>
              <w:rPr>
                <w:sz w:val="20"/>
              </w:rPr>
            </w:pPr>
            <w:r>
              <w:rPr>
                <w:spacing w:val="-2"/>
                <w:sz w:val="20"/>
              </w:rPr>
              <w:t xml:space="preserve">Submission </w:t>
            </w:r>
            <w:r>
              <w:rPr>
                <w:spacing w:val="-2"/>
                <w:w w:val="90"/>
                <w:sz w:val="20"/>
              </w:rPr>
              <w:t>Preparation</w:t>
            </w:r>
            <w:r>
              <w:rPr>
                <w:spacing w:val="-2"/>
                <w:sz w:val="20"/>
              </w:rPr>
              <w:t xml:space="preserve"> Individual</w:t>
            </w:r>
          </w:p>
        </w:tc>
        <w:tc>
          <w:tcPr>
            <w:tcW w:w="1169" w:type="dxa"/>
          </w:tcPr>
          <w:p w:rsidR="00FA1A1F" w14:paraId="46786E89" w14:textId="77777777">
            <w:pPr>
              <w:pStyle w:val="TableParagraph"/>
              <w:ind w:left="115"/>
              <w:rPr>
                <w:sz w:val="20"/>
              </w:rPr>
            </w:pPr>
            <w:r>
              <w:rPr>
                <w:spacing w:val="-5"/>
                <w:sz w:val="20"/>
              </w:rPr>
              <w:t>350</w:t>
            </w:r>
          </w:p>
        </w:tc>
        <w:tc>
          <w:tcPr>
            <w:tcW w:w="991" w:type="dxa"/>
          </w:tcPr>
          <w:p w:rsidR="00FA1A1F" w14:paraId="153560C1" w14:textId="77777777">
            <w:pPr>
              <w:pStyle w:val="TableParagraph"/>
              <w:ind w:left="109"/>
              <w:rPr>
                <w:sz w:val="20"/>
              </w:rPr>
            </w:pPr>
            <w:r>
              <w:rPr>
                <w:spacing w:val="-5"/>
                <w:sz w:val="20"/>
              </w:rPr>
              <w:t>350</w:t>
            </w:r>
          </w:p>
        </w:tc>
        <w:tc>
          <w:tcPr>
            <w:tcW w:w="897" w:type="dxa"/>
          </w:tcPr>
          <w:p w:rsidR="00FA1A1F" w14:paraId="3BCD7D91" w14:textId="77777777">
            <w:pPr>
              <w:pStyle w:val="TableParagraph"/>
              <w:rPr>
                <w:sz w:val="20"/>
              </w:rPr>
            </w:pPr>
            <w:r>
              <w:rPr>
                <w:spacing w:val="-5"/>
                <w:sz w:val="20"/>
              </w:rPr>
              <w:t>13</w:t>
            </w:r>
          </w:p>
        </w:tc>
        <w:tc>
          <w:tcPr>
            <w:tcW w:w="899" w:type="dxa"/>
          </w:tcPr>
          <w:p w:rsidR="00FA1A1F" w14:paraId="5556F905" w14:textId="77777777">
            <w:pPr>
              <w:pStyle w:val="TableParagraph"/>
              <w:ind w:left="115"/>
              <w:rPr>
                <w:sz w:val="20"/>
              </w:rPr>
            </w:pPr>
            <w:r>
              <w:rPr>
                <w:spacing w:val="-4"/>
                <w:sz w:val="20"/>
              </w:rPr>
              <w:t>4550</w:t>
            </w:r>
          </w:p>
        </w:tc>
        <w:tc>
          <w:tcPr>
            <w:tcW w:w="625" w:type="dxa"/>
          </w:tcPr>
          <w:p w:rsidR="00FA1A1F" w14:paraId="049C0A63" w14:textId="77777777">
            <w:pPr>
              <w:pStyle w:val="TableParagraph"/>
              <w:ind w:left="114"/>
              <w:rPr>
                <w:sz w:val="20"/>
              </w:rPr>
            </w:pPr>
            <w:r>
              <w:rPr>
                <w:spacing w:val="-10"/>
                <w:sz w:val="20"/>
              </w:rPr>
              <w:t>4</w:t>
            </w:r>
          </w:p>
        </w:tc>
        <w:tc>
          <w:tcPr>
            <w:tcW w:w="899" w:type="dxa"/>
          </w:tcPr>
          <w:p w:rsidR="00FA1A1F" w14:paraId="71473C12" w14:textId="77777777">
            <w:pPr>
              <w:pStyle w:val="TableParagraph"/>
              <w:ind w:left="122"/>
              <w:rPr>
                <w:sz w:val="20"/>
              </w:rPr>
            </w:pPr>
            <w:r>
              <w:rPr>
                <w:spacing w:val="-2"/>
                <w:sz w:val="20"/>
              </w:rPr>
              <w:t>18,200</w:t>
            </w:r>
          </w:p>
        </w:tc>
        <w:tc>
          <w:tcPr>
            <w:tcW w:w="1259" w:type="dxa"/>
          </w:tcPr>
          <w:p w:rsidR="00FA1A1F" w14:paraId="54D88303" w14:textId="77777777">
            <w:pPr>
              <w:pStyle w:val="TableParagraph"/>
              <w:ind w:left="121"/>
              <w:rPr>
                <w:sz w:val="20"/>
              </w:rPr>
            </w:pPr>
            <w:r>
              <w:rPr>
                <w:spacing w:val="-2"/>
                <w:sz w:val="20"/>
              </w:rPr>
              <w:t>$173.76</w:t>
            </w:r>
          </w:p>
        </w:tc>
        <w:tc>
          <w:tcPr>
            <w:tcW w:w="2157" w:type="dxa"/>
          </w:tcPr>
          <w:p w:rsidR="00FA1A1F" w14:paraId="1126E954" w14:textId="77777777">
            <w:pPr>
              <w:pStyle w:val="TableParagraph"/>
              <w:ind w:left="124"/>
              <w:rPr>
                <w:sz w:val="20"/>
              </w:rPr>
            </w:pPr>
            <w:r>
              <w:rPr>
                <w:sz w:val="20"/>
              </w:rPr>
              <w:t>$</w:t>
            </w:r>
            <w:r>
              <w:rPr>
                <w:spacing w:val="-2"/>
                <w:sz w:val="20"/>
              </w:rPr>
              <w:t xml:space="preserve"> 3,162,432</w:t>
            </w:r>
          </w:p>
        </w:tc>
      </w:tr>
      <w:tr w14:paraId="21B06A6E" w14:textId="77777777">
        <w:tblPrEx>
          <w:tblW w:w="0" w:type="auto"/>
          <w:tblInd w:w="271" w:type="dxa"/>
          <w:tblLayout w:type="fixed"/>
          <w:tblCellMar>
            <w:left w:w="0" w:type="dxa"/>
            <w:right w:w="0" w:type="dxa"/>
          </w:tblCellMar>
          <w:tblLook w:val="01E0"/>
        </w:tblPrEx>
        <w:trPr>
          <w:trHeight w:val="935"/>
        </w:trPr>
        <w:tc>
          <w:tcPr>
            <w:tcW w:w="1632" w:type="dxa"/>
          </w:tcPr>
          <w:p w:rsidR="00FA1A1F" w14:paraId="3C0400DF" w14:textId="77777777">
            <w:pPr>
              <w:pStyle w:val="TableParagraph"/>
              <w:spacing w:before="49"/>
              <w:ind w:right="484"/>
              <w:rPr>
                <w:sz w:val="20"/>
              </w:rPr>
            </w:pPr>
            <w:r>
              <w:rPr>
                <w:spacing w:val="-2"/>
                <w:sz w:val="20"/>
              </w:rPr>
              <w:t xml:space="preserve">Submission Preparation- </w:t>
            </w:r>
            <w:r>
              <w:rPr>
                <w:sz w:val="20"/>
              </w:rPr>
              <w:t>Small</w:t>
            </w:r>
            <w:r>
              <w:rPr>
                <w:spacing w:val="-8"/>
                <w:sz w:val="20"/>
              </w:rPr>
              <w:t xml:space="preserve"> </w:t>
            </w:r>
            <w:r>
              <w:rPr>
                <w:spacing w:val="-2"/>
                <w:sz w:val="20"/>
              </w:rPr>
              <w:t>Group</w:t>
            </w:r>
          </w:p>
        </w:tc>
        <w:tc>
          <w:tcPr>
            <w:tcW w:w="1169" w:type="dxa"/>
          </w:tcPr>
          <w:p w:rsidR="00FA1A1F" w14:paraId="00A22DDA" w14:textId="77777777">
            <w:pPr>
              <w:pStyle w:val="TableParagraph"/>
              <w:spacing w:before="49"/>
              <w:ind w:left="160"/>
              <w:rPr>
                <w:sz w:val="20"/>
              </w:rPr>
            </w:pPr>
            <w:r>
              <w:rPr>
                <w:spacing w:val="-5"/>
                <w:sz w:val="20"/>
              </w:rPr>
              <w:t>150</w:t>
            </w:r>
          </w:p>
        </w:tc>
        <w:tc>
          <w:tcPr>
            <w:tcW w:w="991" w:type="dxa"/>
          </w:tcPr>
          <w:p w:rsidR="00FA1A1F" w14:paraId="68C5B891" w14:textId="77777777">
            <w:pPr>
              <w:pStyle w:val="TableParagraph"/>
              <w:spacing w:before="49"/>
              <w:ind w:left="109"/>
              <w:rPr>
                <w:sz w:val="20"/>
              </w:rPr>
            </w:pPr>
            <w:r>
              <w:rPr>
                <w:spacing w:val="-5"/>
                <w:sz w:val="20"/>
              </w:rPr>
              <w:t>150</w:t>
            </w:r>
          </w:p>
        </w:tc>
        <w:tc>
          <w:tcPr>
            <w:tcW w:w="897" w:type="dxa"/>
          </w:tcPr>
          <w:p w:rsidR="00FA1A1F" w14:paraId="0446919C" w14:textId="77777777">
            <w:pPr>
              <w:pStyle w:val="TableParagraph"/>
              <w:spacing w:before="49"/>
              <w:rPr>
                <w:sz w:val="20"/>
              </w:rPr>
            </w:pPr>
            <w:r>
              <w:rPr>
                <w:spacing w:val="-5"/>
                <w:sz w:val="20"/>
              </w:rPr>
              <w:t>13</w:t>
            </w:r>
          </w:p>
        </w:tc>
        <w:tc>
          <w:tcPr>
            <w:tcW w:w="899" w:type="dxa"/>
          </w:tcPr>
          <w:p w:rsidR="00FA1A1F" w14:paraId="224CC113" w14:textId="77777777">
            <w:pPr>
              <w:pStyle w:val="TableParagraph"/>
              <w:spacing w:before="49"/>
              <w:ind w:left="115"/>
              <w:rPr>
                <w:sz w:val="20"/>
              </w:rPr>
            </w:pPr>
            <w:r>
              <w:rPr>
                <w:spacing w:val="-4"/>
                <w:sz w:val="20"/>
              </w:rPr>
              <w:t>1950</w:t>
            </w:r>
          </w:p>
        </w:tc>
        <w:tc>
          <w:tcPr>
            <w:tcW w:w="625" w:type="dxa"/>
          </w:tcPr>
          <w:p w:rsidR="00FA1A1F" w14:paraId="7597C09A" w14:textId="77777777">
            <w:pPr>
              <w:pStyle w:val="TableParagraph"/>
              <w:spacing w:before="49"/>
              <w:ind w:left="114"/>
              <w:rPr>
                <w:sz w:val="20"/>
              </w:rPr>
            </w:pPr>
            <w:r>
              <w:rPr>
                <w:spacing w:val="-10"/>
                <w:sz w:val="20"/>
              </w:rPr>
              <w:t>4</w:t>
            </w:r>
          </w:p>
        </w:tc>
        <w:tc>
          <w:tcPr>
            <w:tcW w:w="899" w:type="dxa"/>
          </w:tcPr>
          <w:p w:rsidR="00FA1A1F" w14:paraId="59C4D7D1" w14:textId="77777777">
            <w:pPr>
              <w:pStyle w:val="TableParagraph"/>
              <w:spacing w:before="49"/>
              <w:ind w:left="122"/>
              <w:rPr>
                <w:sz w:val="20"/>
              </w:rPr>
            </w:pPr>
            <w:r>
              <w:rPr>
                <w:spacing w:val="-2"/>
                <w:sz w:val="20"/>
              </w:rPr>
              <w:t>7,800</w:t>
            </w:r>
          </w:p>
        </w:tc>
        <w:tc>
          <w:tcPr>
            <w:tcW w:w="1259" w:type="dxa"/>
          </w:tcPr>
          <w:p w:rsidR="00FA1A1F" w14:paraId="6F986123" w14:textId="77777777">
            <w:pPr>
              <w:pStyle w:val="TableParagraph"/>
              <w:spacing w:before="49"/>
              <w:ind w:left="121"/>
              <w:rPr>
                <w:sz w:val="20"/>
              </w:rPr>
            </w:pPr>
            <w:r>
              <w:rPr>
                <w:spacing w:val="-2"/>
                <w:sz w:val="20"/>
              </w:rPr>
              <w:t>$173.76</w:t>
            </w:r>
          </w:p>
        </w:tc>
        <w:tc>
          <w:tcPr>
            <w:tcW w:w="2157" w:type="dxa"/>
          </w:tcPr>
          <w:p w:rsidR="00FA1A1F" w14:paraId="43D3715A" w14:textId="77777777">
            <w:pPr>
              <w:pStyle w:val="TableParagraph"/>
              <w:spacing w:before="49"/>
              <w:ind w:left="124"/>
              <w:rPr>
                <w:sz w:val="20"/>
              </w:rPr>
            </w:pPr>
            <w:r>
              <w:rPr>
                <w:sz w:val="20"/>
              </w:rPr>
              <w:t>$</w:t>
            </w:r>
            <w:r>
              <w:rPr>
                <w:spacing w:val="-2"/>
                <w:sz w:val="20"/>
              </w:rPr>
              <w:t xml:space="preserve"> 1,355,328</w:t>
            </w:r>
          </w:p>
        </w:tc>
      </w:tr>
      <w:tr w14:paraId="03A96881" w14:textId="77777777">
        <w:tblPrEx>
          <w:tblW w:w="0" w:type="auto"/>
          <w:tblInd w:w="271" w:type="dxa"/>
          <w:tblLayout w:type="fixed"/>
          <w:tblCellMar>
            <w:left w:w="0" w:type="dxa"/>
            <w:right w:w="0" w:type="dxa"/>
          </w:tblCellMar>
          <w:tblLook w:val="01E0"/>
        </w:tblPrEx>
        <w:trPr>
          <w:trHeight w:val="640"/>
        </w:trPr>
        <w:tc>
          <w:tcPr>
            <w:tcW w:w="1632" w:type="dxa"/>
          </w:tcPr>
          <w:p w:rsidR="00FA1A1F" w14:paraId="07EFC48C" w14:textId="77777777">
            <w:pPr>
              <w:pStyle w:val="TableParagraph"/>
              <w:ind w:right="583"/>
              <w:rPr>
                <w:sz w:val="20"/>
              </w:rPr>
            </w:pPr>
            <w:r>
              <w:rPr>
                <w:sz w:val="20"/>
              </w:rPr>
              <w:t>Data</w:t>
            </w:r>
            <w:r>
              <w:rPr>
                <w:spacing w:val="-12"/>
                <w:sz w:val="20"/>
              </w:rPr>
              <w:t xml:space="preserve"> </w:t>
            </w:r>
            <w:r>
              <w:rPr>
                <w:sz w:val="20"/>
              </w:rPr>
              <w:t xml:space="preserve">Entry- </w:t>
            </w:r>
            <w:r>
              <w:rPr>
                <w:spacing w:val="-2"/>
                <w:sz w:val="20"/>
              </w:rPr>
              <w:t>Individual</w:t>
            </w:r>
          </w:p>
        </w:tc>
        <w:tc>
          <w:tcPr>
            <w:tcW w:w="1169" w:type="dxa"/>
          </w:tcPr>
          <w:p w:rsidR="00FA1A1F" w14:paraId="1453E662" w14:textId="77777777">
            <w:pPr>
              <w:pStyle w:val="TableParagraph"/>
              <w:ind w:left="160"/>
              <w:rPr>
                <w:sz w:val="20"/>
              </w:rPr>
            </w:pPr>
            <w:r>
              <w:rPr>
                <w:spacing w:val="-5"/>
                <w:sz w:val="20"/>
              </w:rPr>
              <w:t>350</w:t>
            </w:r>
          </w:p>
        </w:tc>
        <w:tc>
          <w:tcPr>
            <w:tcW w:w="991" w:type="dxa"/>
          </w:tcPr>
          <w:p w:rsidR="00FA1A1F" w14:paraId="71BA07ED" w14:textId="77777777">
            <w:pPr>
              <w:pStyle w:val="TableParagraph"/>
              <w:ind w:left="109"/>
              <w:rPr>
                <w:sz w:val="20"/>
              </w:rPr>
            </w:pPr>
            <w:r>
              <w:rPr>
                <w:spacing w:val="-5"/>
                <w:sz w:val="20"/>
              </w:rPr>
              <w:t>350</w:t>
            </w:r>
          </w:p>
        </w:tc>
        <w:tc>
          <w:tcPr>
            <w:tcW w:w="897" w:type="dxa"/>
          </w:tcPr>
          <w:p w:rsidR="00FA1A1F" w14:paraId="08CF167F" w14:textId="77777777">
            <w:pPr>
              <w:pStyle w:val="TableParagraph"/>
              <w:rPr>
                <w:sz w:val="20"/>
              </w:rPr>
            </w:pPr>
            <w:r>
              <w:rPr>
                <w:spacing w:val="-10"/>
                <w:sz w:val="20"/>
              </w:rPr>
              <w:t>1</w:t>
            </w:r>
          </w:p>
        </w:tc>
        <w:tc>
          <w:tcPr>
            <w:tcW w:w="899" w:type="dxa"/>
          </w:tcPr>
          <w:p w:rsidR="00FA1A1F" w14:paraId="0B9EC24F" w14:textId="77777777">
            <w:pPr>
              <w:pStyle w:val="TableParagraph"/>
              <w:ind w:left="115"/>
              <w:rPr>
                <w:sz w:val="20"/>
              </w:rPr>
            </w:pPr>
            <w:r>
              <w:rPr>
                <w:spacing w:val="-5"/>
                <w:sz w:val="20"/>
              </w:rPr>
              <w:t>350</w:t>
            </w:r>
          </w:p>
        </w:tc>
        <w:tc>
          <w:tcPr>
            <w:tcW w:w="625" w:type="dxa"/>
          </w:tcPr>
          <w:p w:rsidR="00FA1A1F" w14:paraId="6490FEB4" w14:textId="77777777">
            <w:pPr>
              <w:pStyle w:val="TableParagraph"/>
              <w:ind w:left="114"/>
              <w:rPr>
                <w:sz w:val="20"/>
              </w:rPr>
            </w:pPr>
            <w:r>
              <w:rPr>
                <w:spacing w:val="-10"/>
                <w:sz w:val="20"/>
              </w:rPr>
              <w:t>4</w:t>
            </w:r>
          </w:p>
        </w:tc>
        <w:tc>
          <w:tcPr>
            <w:tcW w:w="899" w:type="dxa"/>
          </w:tcPr>
          <w:p w:rsidR="00FA1A1F" w14:paraId="29882D76" w14:textId="77777777">
            <w:pPr>
              <w:pStyle w:val="TableParagraph"/>
              <w:ind w:left="168"/>
              <w:rPr>
                <w:sz w:val="20"/>
              </w:rPr>
            </w:pPr>
            <w:r>
              <w:rPr>
                <w:spacing w:val="-4"/>
                <w:sz w:val="20"/>
              </w:rPr>
              <w:t>1400</w:t>
            </w:r>
          </w:p>
        </w:tc>
        <w:tc>
          <w:tcPr>
            <w:tcW w:w="1259" w:type="dxa"/>
          </w:tcPr>
          <w:p w:rsidR="00FA1A1F" w14:paraId="6844DB2F" w14:textId="77777777">
            <w:pPr>
              <w:pStyle w:val="TableParagraph"/>
              <w:ind w:left="121"/>
              <w:rPr>
                <w:sz w:val="20"/>
              </w:rPr>
            </w:pPr>
            <w:r>
              <w:rPr>
                <w:spacing w:val="-2"/>
                <w:sz w:val="20"/>
              </w:rPr>
              <w:t>$173.76</w:t>
            </w:r>
          </w:p>
        </w:tc>
        <w:tc>
          <w:tcPr>
            <w:tcW w:w="2157" w:type="dxa"/>
          </w:tcPr>
          <w:p w:rsidR="00FA1A1F" w14:paraId="349999AE" w14:textId="77777777">
            <w:pPr>
              <w:pStyle w:val="TableParagraph"/>
              <w:ind w:left="124"/>
              <w:rPr>
                <w:sz w:val="20"/>
              </w:rPr>
            </w:pPr>
            <w:r>
              <w:rPr>
                <w:sz w:val="20"/>
              </w:rPr>
              <w:t>$</w:t>
            </w:r>
            <w:r>
              <w:rPr>
                <w:spacing w:val="-2"/>
                <w:sz w:val="20"/>
              </w:rPr>
              <w:t xml:space="preserve"> 243,264</w:t>
            </w:r>
          </w:p>
        </w:tc>
      </w:tr>
      <w:tr w14:paraId="18DB91A6" w14:textId="77777777">
        <w:tblPrEx>
          <w:tblW w:w="0" w:type="auto"/>
          <w:tblInd w:w="271" w:type="dxa"/>
          <w:tblLayout w:type="fixed"/>
          <w:tblCellMar>
            <w:left w:w="0" w:type="dxa"/>
            <w:right w:w="0" w:type="dxa"/>
          </w:tblCellMar>
          <w:tblLook w:val="01E0"/>
        </w:tblPrEx>
        <w:trPr>
          <w:trHeight w:val="645"/>
        </w:trPr>
        <w:tc>
          <w:tcPr>
            <w:tcW w:w="1632" w:type="dxa"/>
          </w:tcPr>
          <w:p w:rsidR="00FA1A1F" w14:paraId="151ACA7F" w14:textId="77777777">
            <w:pPr>
              <w:pStyle w:val="TableParagraph"/>
              <w:rPr>
                <w:sz w:val="20"/>
              </w:rPr>
            </w:pPr>
            <w:r>
              <w:rPr>
                <w:sz w:val="20"/>
              </w:rPr>
              <w:t>Data</w:t>
            </w:r>
            <w:r>
              <w:rPr>
                <w:spacing w:val="-12"/>
                <w:sz w:val="20"/>
              </w:rPr>
              <w:t xml:space="preserve"> </w:t>
            </w:r>
            <w:r>
              <w:rPr>
                <w:sz w:val="20"/>
              </w:rPr>
              <w:t>Entry-</w:t>
            </w:r>
            <w:r>
              <w:rPr>
                <w:spacing w:val="-11"/>
                <w:sz w:val="20"/>
              </w:rPr>
              <w:t xml:space="preserve"> </w:t>
            </w:r>
            <w:r>
              <w:rPr>
                <w:sz w:val="20"/>
              </w:rPr>
              <w:t xml:space="preserve">Small </w:t>
            </w:r>
            <w:r>
              <w:rPr>
                <w:spacing w:val="-2"/>
                <w:sz w:val="20"/>
              </w:rPr>
              <w:t>Group</w:t>
            </w:r>
          </w:p>
        </w:tc>
        <w:tc>
          <w:tcPr>
            <w:tcW w:w="1169" w:type="dxa"/>
          </w:tcPr>
          <w:p w:rsidR="00FA1A1F" w14:paraId="3FD7355D" w14:textId="77777777">
            <w:pPr>
              <w:pStyle w:val="TableParagraph"/>
              <w:ind w:left="115"/>
              <w:rPr>
                <w:sz w:val="20"/>
              </w:rPr>
            </w:pPr>
            <w:r>
              <w:rPr>
                <w:spacing w:val="-5"/>
                <w:sz w:val="20"/>
              </w:rPr>
              <w:t>150</w:t>
            </w:r>
          </w:p>
        </w:tc>
        <w:tc>
          <w:tcPr>
            <w:tcW w:w="991" w:type="dxa"/>
          </w:tcPr>
          <w:p w:rsidR="00FA1A1F" w14:paraId="3E2718B6" w14:textId="77777777">
            <w:pPr>
              <w:pStyle w:val="TableParagraph"/>
              <w:ind w:left="109"/>
              <w:rPr>
                <w:sz w:val="20"/>
              </w:rPr>
            </w:pPr>
            <w:r>
              <w:rPr>
                <w:spacing w:val="-5"/>
                <w:sz w:val="20"/>
              </w:rPr>
              <w:t>150</w:t>
            </w:r>
          </w:p>
        </w:tc>
        <w:tc>
          <w:tcPr>
            <w:tcW w:w="897" w:type="dxa"/>
          </w:tcPr>
          <w:p w:rsidR="00FA1A1F" w14:paraId="7CEBD57B" w14:textId="77777777">
            <w:pPr>
              <w:pStyle w:val="TableParagraph"/>
              <w:rPr>
                <w:sz w:val="20"/>
              </w:rPr>
            </w:pPr>
            <w:r>
              <w:rPr>
                <w:spacing w:val="-10"/>
                <w:sz w:val="20"/>
              </w:rPr>
              <w:t>1</w:t>
            </w:r>
          </w:p>
        </w:tc>
        <w:tc>
          <w:tcPr>
            <w:tcW w:w="899" w:type="dxa"/>
          </w:tcPr>
          <w:p w:rsidR="00FA1A1F" w14:paraId="7E69C7F1" w14:textId="77777777">
            <w:pPr>
              <w:pStyle w:val="TableParagraph"/>
              <w:ind w:left="115"/>
              <w:rPr>
                <w:sz w:val="20"/>
              </w:rPr>
            </w:pPr>
            <w:r>
              <w:rPr>
                <w:spacing w:val="-5"/>
                <w:sz w:val="20"/>
              </w:rPr>
              <w:t>150</w:t>
            </w:r>
          </w:p>
        </w:tc>
        <w:tc>
          <w:tcPr>
            <w:tcW w:w="625" w:type="dxa"/>
          </w:tcPr>
          <w:p w:rsidR="00FA1A1F" w14:paraId="3B2856EC" w14:textId="77777777">
            <w:pPr>
              <w:pStyle w:val="TableParagraph"/>
              <w:ind w:left="114"/>
              <w:rPr>
                <w:sz w:val="20"/>
              </w:rPr>
            </w:pPr>
            <w:r>
              <w:rPr>
                <w:spacing w:val="-10"/>
                <w:sz w:val="20"/>
              </w:rPr>
              <w:t>4</w:t>
            </w:r>
          </w:p>
        </w:tc>
        <w:tc>
          <w:tcPr>
            <w:tcW w:w="899" w:type="dxa"/>
          </w:tcPr>
          <w:p w:rsidR="00FA1A1F" w14:paraId="159B64A4" w14:textId="77777777">
            <w:pPr>
              <w:pStyle w:val="TableParagraph"/>
              <w:ind w:left="168"/>
              <w:rPr>
                <w:sz w:val="20"/>
              </w:rPr>
            </w:pPr>
            <w:r>
              <w:rPr>
                <w:spacing w:val="-5"/>
                <w:sz w:val="20"/>
              </w:rPr>
              <w:t>600</w:t>
            </w:r>
          </w:p>
        </w:tc>
        <w:tc>
          <w:tcPr>
            <w:tcW w:w="1259" w:type="dxa"/>
          </w:tcPr>
          <w:p w:rsidR="00FA1A1F" w14:paraId="0570B74E" w14:textId="77777777">
            <w:pPr>
              <w:pStyle w:val="TableParagraph"/>
              <w:ind w:left="121"/>
              <w:rPr>
                <w:sz w:val="20"/>
              </w:rPr>
            </w:pPr>
            <w:r>
              <w:rPr>
                <w:spacing w:val="-2"/>
                <w:sz w:val="20"/>
              </w:rPr>
              <w:t>$173.76</w:t>
            </w:r>
          </w:p>
        </w:tc>
        <w:tc>
          <w:tcPr>
            <w:tcW w:w="2157" w:type="dxa"/>
          </w:tcPr>
          <w:p w:rsidR="00FA1A1F" w14:paraId="5034E900" w14:textId="77777777">
            <w:pPr>
              <w:pStyle w:val="TableParagraph"/>
              <w:ind w:left="124"/>
              <w:rPr>
                <w:sz w:val="20"/>
              </w:rPr>
            </w:pPr>
            <w:r>
              <w:rPr>
                <w:sz w:val="20"/>
              </w:rPr>
              <w:t>$</w:t>
            </w:r>
            <w:r>
              <w:rPr>
                <w:spacing w:val="-2"/>
                <w:sz w:val="20"/>
              </w:rPr>
              <w:t xml:space="preserve"> 104,256</w:t>
            </w:r>
          </w:p>
        </w:tc>
      </w:tr>
      <w:tr w14:paraId="5810AA8F" w14:textId="77777777">
        <w:tblPrEx>
          <w:tblW w:w="0" w:type="auto"/>
          <w:tblInd w:w="271" w:type="dxa"/>
          <w:tblLayout w:type="fixed"/>
          <w:tblCellMar>
            <w:left w:w="0" w:type="dxa"/>
            <w:right w:w="0" w:type="dxa"/>
          </w:tblCellMar>
          <w:tblLook w:val="01E0"/>
        </w:tblPrEx>
        <w:trPr>
          <w:trHeight w:val="640"/>
        </w:trPr>
        <w:tc>
          <w:tcPr>
            <w:tcW w:w="1632" w:type="dxa"/>
          </w:tcPr>
          <w:p w:rsidR="00FA1A1F" w14:paraId="3A6F4F51" w14:textId="77777777">
            <w:pPr>
              <w:pStyle w:val="TableParagraph"/>
              <w:rPr>
                <w:sz w:val="20"/>
              </w:rPr>
            </w:pPr>
            <w:r>
              <w:rPr>
                <w:spacing w:val="-2"/>
                <w:w w:val="90"/>
                <w:sz w:val="20"/>
              </w:rPr>
              <w:t>Troubleshoot-</w:t>
            </w:r>
            <w:r>
              <w:rPr>
                <w:spacing w:val="-2"/>
                <w:sz w:val="20"/>
              </w:rPr>
              <w:t xml:space="preserve"> Individual</w:t>
            </w:r>
          </w:p>
        </w:tc>
        <w:tc>
          <w:tcPr>
            <w:tcW w:w="1169" w:type="dxa"/>
          </w:tcPr>
          <w:p w:rsidR="00FA1A1F" w14:paraId="5B42B13D" w14:textId="77777777">
            <w:pPr>
              <w:pStyle w:val="TableParagraph"/>
              <w:ind w:left="160"/>
              <w:rPr>
                <w:sz w:val="20"/>
              </w:rPr>
            </w:pPr>
            <w:r>
              <w:rPr>
                <w:spacing w:val="-5"/>
                <w:sz w:val="20"/>
              </w:rPr>
              <w:t>350</w:t>
            </w:r>
          </w:p>
        </w:tc>
        <w:tc>
          <w:tcPr>
            <w:tcW w:w="991" w:type="dxa"/>
          </w:tcPr>
          <w:p w:rsidR="00FA1A1F" w14:paraId="289650B2" w14:textId="77777777">
            <w:pPr>
              <w:pStyle w:val="TableParagraph"/>
              <w:ind w:left="109"/>
              <w:rPr>
                <w:sz w:val="20"/>
              </w:rPr>
            </w:pPr>
            <w:r>
              <w:rPr>
                <w:spacing w:val="-5"/>
                <w:sz w:val="20"/>
              </w:rPr>
              <w:t>350</w:t>
            </w:r>
          </w:p>
        </w:tc>
        <w:tc>
          <w:tcPr>
            <w:tcW w:w="897" w:type="dxa"/>
          </w:tcPr>
          <w:p w:rsidR="00FA1A1F" w14:paraId="29A286D8" w14:textId="77777777">
            <w:pPr>
              <w:pStyle w:val="TableParagraph"/>
              <w:rPr>
                <w:sz w:val="20"/>
              </w:rPr>
            </w:pPr>
            <w:r>
              <w:rPr>
                <w:spacing w:val="-10"/>
                <w:sz w:val="20"/>
              </w:rPr>
              <w:t>2</w:t>
            </w:r>
          </w:p>
        </w:tc>
        <w:tc>
          <w:tcPr>
            <w:tcW w:w="899" w:type="dxa"/>
          </w:tcPr>
          <w:p w:rsidR="00FA1A1F" w14:paraId="5B1BDF90" w14:textId="77777777">
            <w:pPr>
              <w:pStyle w:val="TableParagraph"/>
              <w:ind w:left="115"/>
              <w:rPr>
                <w:sz w:val="20"/>
              </w:rPr>
            </w:pPr>
            <w:r>
              <w:rPr>
                <w:spacing w:val="-5"/>
                <w:sz w:val="20"/>
              </w:rPr>
              <w:t>700</w:t>
            </w:r>
          </w:p>
        </w:tc>
        <w:tc>
          <w:tcPr>
            <w:tcW w:w="625" w:type="dxa"/>
          </w:tcPr>
          <w:p w:rsidR="00FA1A1F" w14:paraId="575C8202" w14:textId="77777777">
            <w:pPr>
              <w:pStyle w:val="TableParagraph"/>
              <w:ind w:left="114"/>
              <w:rPr>
                <w:sz w:val="20"/>
              </w:rPr>
            </w:pPr>
            <w:r>
              <w:rPr>
                <w:spacing w:val="-10"/>
                <w:sz w:val="20"/>
              </w:rPr>
              <w:t>4</w:t>
            </w:r>
          </w:p>
        </w:tc>
        <w:tc>
          <w:tcPr>
            <w:tcW w:w="899" w:type="dxa"/>
          </w:tcPr>
          <w:p w:rsidR="00FA1A1F" w14:paraId="12F479BF" w14:textId="77777777">
            <w:pPr>
              <w:pStyle w:val="TableParagraph"/>
              <w:ind w:left="122"/>
              <w:rPr>
                <w:sz w:val="20"/>
              </w:rPr>
            </w:pPr>
            <w:r>
              <w:rPr>
                <w:spacing w:val="-4"/>
                <w:sz w:val="20"/>
              </w:rPr>
              <w:t>2800</w:t>
            </w:r>
          </w:p>
        </w:tc>
        <w:tc>
          <w:tcPr>
            <w:tcW w:w="1259" w:type="dxa"/>
          </w:tcPr>
          <w:p w:rsidR="00FA1A1F" w14:paraId="47EF40E5" w14:textId="77777777">
            <w:pPr>
              <w:pStyle w:val="TableParagraph"/>
              <w:ind w:left="121"/>
              <w:rPr>
                <w:sz w:val="20"/>
              </w:rPr>
            </w:pPr>
            <w:r>
              <w:rPr>
                <w:spacing w:val="-2"/>
                <w:sz w:val="20"/>
              </w:rPr>
              <w:t>$173.76</w:t>
            </w:r>
          </w:p>
        </w:tc>
        <w:tc>
          <w:tcPr>
            <w:tcW w:w="2157" w:type="dxa"/>
          </w:tcPr>
          <w:p w:rsidR="00FA1A1F" w14:paraId="409966FC" w14:textId="77777777">
            <w:pPr>
              <w:pStyle w:val="TableParagraph"/>
              <w:ind w:left="124"/>
              <w:rPr>
                <w:sz w:val="20"/>
              </w:rPr>
            </w:pPr>
            <w:r>
              <w:rPr>
                <w:sz w:val="20"/>
              </w:rPr>
              <w:t>$</w:t>
            </w:r>
            <w:r>
              <w:rPr>
                <w:spacing w:val="-2"/>
                <w:sz w:val="20"/>
              </w:rPr>
              <w:t xml:space="preserve"> 486,528</w:t>
            </w:r>
          </w:p>
        </w:tc>
      </w:tr>
      <w:tr w14:paraId="15022645" w14:textId="77777777">
        <w:tblPrEx>
          <w:tblW w:w="0" w:type="auto"/>
          <w:tblInd w:w="271" w:type="dxa"/>
          <w:tblLayout w:type="fixed"/>
          <w:tblCellMar>
            <w:left w:w="0" w:type="dxa"/>
            <w:right w:w="0" w:type="dxa"/>
          </w:tblCellMar>
          <w:tblLook w:val="01E0"/>
        </w:tblPrEx>
        <w:trPr>
          <w:trHeight w:val="640"/>
        </w:trPr>
        <w:tc>
          <w:tcPr>
            <w:tcW w:w="1632" w:type="dxa"/>
          </w:tcPr>
          <w:p w:rsidR="00FA1A1F" w14:paraId="126C2810" w14:textId="77777777">
            <w:pPr>
              <w:pStyle w:val="TableParagraph"/>
              <w:ind w:right="81"/>
              <w:rPr>
                <w:sz w:val="20"/>
              </w:rPr>
            </w:pPr>
            <w:r>
              <w:rPr>
                <w:spacing w:val="-2"/>
                <w:w w:val="90"/>
                <w:sz w:val="20"/>
              </w:rPr>
              <w:t>Troubleshoot-</w:t>
            </w:r>
            <w:r>
              <w:rPr>
                <w:w w:val="90"/>
                <w:sz w:val="20"/>
              </w:rPr>
              <w:t xml:space="preserve"> </w:t>
            </w:r>
            <w:r>
              <w:rPr>
                <w:sz w:val="20"/>
              </w:rPr>
              <w:t>Small Group</w:t>
            </w:r>
          </w:p>
        </w:tc>
        <w:tc>
          <w:tcPr>
            <w:tcW w:w="1169" w:type="dxa"/>
          </w:tcPr>
          <w:p w:rsidR="00FA1A1F" w14:paraId="5A49A7CE" w14:textId="77777777">
            <w:pPr>
              <w:pStyle w:val="TableParagraph"/>
              <w:ind w:left="115"/>
              <w:rPr>
                <w:sz w:val="20"/>
              </w:rPr>
            </w:pPr>
            <w:r>
              <w:rPr>
                <w:spacing w:val="-5"/>
                <w:sz w:val="20"/>
              </w:rPr>
              <w:t>150</w:t>
            </w:r>
          </w:p>
        </w:tc>
        <w:tc>
          <w:tcPr>
            <w:tcW w:w="991" w:type="dxa"/>
          </w:tcPr>
          <w:p w:rsidR="00FA1A1F" w14:paraId="56B77A4D" w14:textId="77777777">
            <w:pPr>
              <w:pStyle w:val="TableParagraph"/>
              <w:ind w:left="109"/>
              <w:rPr>
                <w:sz w:val="20"/>
              </w:rPr>
            </w:pPr>
            <w:r>
              <w:rPr>
                <w:spacing w:val="-5"/>
                <w:sz w:val="20"/>
              </w:rPr>
              <w:t>150</w:t>
            </w:r>
          </w:p>
        </w:tc>
        <w:tc>
          <w:tcPr>
            <w:tcW w:w="897" w:type="dxa"/>
          </w:tcPr>
          <w:p w:rsidR="00FA1A1F" w14:paraId="57DBCE76" w14:textId="77777777">
            <w:pPr>
              <w:pStyle w:val="TableParagraph"/>
              <w:rPr>
                <w:sz w:val="20"/>
              </w:rPr>
            </w:pPr>
            <w:r>
              <w:rPr>
                <w:spacing w:val="-10"/>
                <w:sz w:val="20"/>
              </w:rPr>
              <w:t>2</w:t>
            </w:r>
          </w:p>
        </w:tc>
        <w:tc>
          <w:tcPr>
            <w:tcW w:w="899" w:type="dxa"/>
          </w:tcPr>
          <w:p w:rsidR="00FA1A1F" w14:paraId="268C73B0" w14:textId="77777777">
            <w:pPr>
              <w:pStyle w:val="TableParagraph"/>
              <w:ind w:left="115"/>
              <w:rPr>
                <w:sz w:val="20"/>
              </w:rPr>
            </w:pPr>
            <w:r>
              <w:rPr>
                <w:spacing w:val="-5"/>
                <w:sz w:val="20"/>
              </w:rPr>
              <w:t>300</w:t>
            </w:r>
          </w:p>
        </w:tc>
        <w:tc>
          <w:tcPr>
            <w:tcW w:w="625" w:type="dxa"/>
          </w:tcPr>
          <w:p w:rsidR="00FA1A1F" w14:paraId="753EF336" w14:textId="77777777">
            <w:pPr>
              <w:pStyle w:val="TableParagraph"/>
              <w:ind w:left="114"/>
              <w:rPr>
                <w:sz w:val="20"/>
              </w:rPr>
            </w:pPr>
            <w:r>
              <w:rPr>
                <w:spacing w:val="-10"/>
                <w:sz w:val="20"/>
              </w:rPr>
              <w:t>4</w:t>
            </w:r>
          </w:p>
        </w:tc>
        <w:tc>
          <w:tcPr>
            <w:tcW w:w="899" w:type="dxa"/>
          </w:tcPr>
          <w:p w:rsidR="00FA1A1F" w14:paraId="0B055B60" w14:textId="77777777">
            <w:pPr>
              <w:pStyle w:val="TableParagraph"/>
              <w:ind w:left="122"/>
              <w:rPr>
                <w:sz w:val="20"/>
              </w:rPr>
            </w:pPr>
            <w:r>
              <w:rPr>
                <w:spacing w:val="-4"/>
                <w:sz w:val="20"/>
              </w:rPr>
              <w:t>1200</w:t>
            </w:r>
          </w:p>
        </w:tc>
        <w:tc>
          <w:tcPr>
            <w:tcW w:w="1259" w:type="dxa"/>
          </w:tcPr>
          <w:p w:rsidR="00FA1A1F" w14:paraId="678F35FC" w14:textId="77777777">
            <w:pPr>
              <w:pStyle w:val="TableParagraph"/>
              <w:ind w:left="121"/>
              <w:rPr>
                <w:sz w:val="20"/>
              </w:rPr>
            </w:pPr>
            <w:r>
              <w:rPr>
                <w:spacing w:val="-2"/>
                <w:sz w:val="20"/>
              </w:rPr>
              <w:t>$173.76</w:t>
            </w:r>
          </w:p>
        </w:tc>
        <w:tc>
          <w:tcPr>
            <w:tcW w:w="2157" w:type="dxa"/>
          </w:tcPr>
          <w:p w:rsidR="00FA1A1F" w14:paraId="7C16E2A7" w14:textId="77777777">
            <w:pPr>
              <w:pStyle w:val="TableParagraph"/>
              <w:ind w:left="124"/>
              <w:rPr>
                <w:sz w:val="20"/>
              </w:rPr>
            </w:pPr>
            <w:r>
              <w:rPr>
                <w:sz w:val="20"/>
              </w:rPr>
              <w:t>$</w:t>
            </w:r>
            <w:r>
              <w:rPr>
                <w:spacing w:val="-2"/>
                <w:sz w:val="20"/>
              </w:rPr>
              <w:t xml:space="preserve"> 208,512</w:t>
            </w:r>
          </w:p>
        </w:tc>
      </w:tr>
      <w:tr w14:paraId="1E0EFF89" w14:textId="77777777">
        <w:tblPrEx>
          <w:tblW w:w="0" w:type="auto"/>
          <w:tblInd w:w="271" w:type="dxa"/>
          <w:tblLayout w:type="fixed"/>
          <w:tblCellMar>
            <w:left w:w="0" w:type="dxa"/>
            <w:right w:w="0" w:type="dxa"/>
          </w:tblCellMar>
          <w:tblLook w:val="01E0"/>
        </w:tblPrEx>
        <w:trPr>
          <w:trHeight w:val="350"/>
        </w:trPr>
        <w:tc>
          <w:tcPr>
            <w:tcW w:w="1632" w:type="dxa"/>
          </w:tcPr>
          <w:p w:rsidR="00FA1A1F" w14:paraId="0E82D373" w14:textId="77777777">
            <w:pPr>
              <w:pStyle w:val="TableParagraph"/>
              <w:rPr>
                <w:sz w:val="20"/>
              </w:rPr>
            </w:pPr>
            <w:r>
              <w:rPr>
                <w:sz w:val="20"/>
              </w:rPr>
              <w:t>Attest-</w:t>
            </w:r>
            <w:r>
              <w:rPr>
                <w:spacing w:val="-8"/>
                <w:sz w:val="20"/>
              </w:rPr>
              <w:t xml:space="preserve"> </w:t>
            </w:r>
            <w:r>
              <w:rPr>
                <w:spacing w:val="-2"/>
                <w:sz w:val="20"/>
              </w:rPr>
              <w:t>Individual</w:t>
            </w:r>
          </w:p>
        </w:tc>
        <w:tc>
          <w:tcPr>
            <w:tcW w:w="1169" w:type="dxa"/>
          </w:tcPr>
          <w:p w:rsidR="00FA1A1F" w14:paraId="4BF6A6F6" w14:textId="77777777">
            <w:pPr>
              <w:pStyle w:val="TableParagraph"/>
              <w:ind w:left="160"/>
              <w:rPr>
                <w:sz w:val="20"/>
              </w:rPr>
            </w:pPr>
            <w:r>
              <w:rPr>
                <w:spacing w:val="-5"/>
                <w:sz w:val="20"/>
              </w:rPr>
              <w:t>350</w:t>
            </w:r>
          </w:p>
        </w:tc>
        <w:tc>
          <w:tcPr>
            <w:tcW w:w="991" w:type="dxa"/>
          </w:tcPr>
          <w:p w:rsidR="00FA1A1F" w14:paraId="50701072" w14:textId="77777777">
            <w:pPr>
              <w:pStyle w:val="TableParagraph"/>
              <w:ind w:left="109"/>
              <w:rPr>
                <w:sz w:val="20"/>
              </w:rPr>
            </w:pPr>
            <w:r>
              <w:rPr>
                <w:spacing w:val="-5"/>
                <w:sz w:val="20"/>
              </w:rPr>
              <w:t>350</w:t>
            </w:r>
          </w:p>
        </w:tc>
        <w:tc>
          <w:tcPr>
            <w:tcW w:w="897" w:type="dxa"/>
          </w:tcPr>
          <w:p w:rsidR="00FA1A1F" w14:paraId="7633C086" w14:textId="77777777">
            <w:pPr>
              <w:pStyle w:val="TableParagraph"/>
              <w:rPr>
                <w:sz w:val="20"/>
              </w:rPr>
            </w:pPr>
            <w:r>
              <w:rPr>
                <w:spacing w:val="-5"/>
                <w:sz w:val="20"/>
              </w:rPr>
              <w:t>0.5</w:t>
            </w:r>
          </w:p>
        </w:tc>
        <w:tc>
          <w:tcPr>
            <w:tcW w:w="899" w:type="dxa"/>
          </w:tcPr>
          <w:p w:rsidR="00FA1A1F" w14:paraId="3A6DD016" w14:textId="77777777">
            <w:pPr>
              <w:pStyle w:val="TableParagraph"/>
              <w:ind w:left="115"/>
              <w:rPr>
                <w:sz w:val="20"/>
              </w:rPr>
            </w:pPr>
            <w:r>
              <w:rPr>
                <w:spacing w:val="-5"/>
                <w:sz w:val="20"/>
              </w:rPr>
              <w:t>175</w:t>
            </w:r>
          </w:p>
        </w:tc>
        <w:tc>
          <w:tcPr>
            <w:tcW w:w="625" w:type="dxa"/>
          </w:tcPr>
          <w:p w:rsidR="00FA1A1F" w14:paraId="21D4BC21" w14:textId="77777777">
            <w:pPr>
              <w:pStyle w:val="TableParagraph"/>
              <w:ind w:left="114"/>
              <w:rPr>
                <w:sz w:val="20"/>
              </w:rPr>
            </w:pPr>
            <w:r>
              <w:rPr>
                <w:spacing w:val="-10"/>
                <w:sz w:val="20"/>
              </w:rPr>
              <w:t>1</w:t>
            </w:r>
          </w:p>
        </w:tc>
        <w:tc>
          <w:tcPr>
            <w:tcW w:w="899" w:type="dxa"/>
          </w:tcPr>
          <w:p w:rsidR="00FA1A1F" w14:paraId="7941F32F" w14:textId="77777777">
            <w:pPr>
              <w:pStyle w:val="TableParagraph"/>
              <w:ind w:left="122"/>
              <w:rPr>
                <w:sz w:val="20"/>
              </w:rPr>
            </w:pPr>
            <w:r>
              <w:rPr>
                <w:spacing w:val="-5"/>
                <w:sz w:val="20"/>
              </w:rPr>
              <w:t>175</w:t>
            </w:r>
          </w:p>
        </w:tc>
        <w:tc>
          <w:tcPr>
            <w:tcW w:w="1259" w:type="dxa"/>
          </w:tcPr>
          <w:p w:rsidR="00FA1A1F" w14:paraId="721B50ED" w14:textId="77777777">
            <w:pPr>
              <w:pStyle w:val="TableParagraph"/>
              <w:ind w:left="121"/>
              <w:rPr>
                <w:sz w:val="20"/>
              </w:rPr>
            </w:pPr>
            <w:r>
              <w:rPr>
                <w:spacing w:val="-2"/>
                <w:sz w:val="20"/>
              </w:rPr>
              <w:t>$173.76</w:t>
            </w:r>
          </w:p>
        </w:tc>
        <w:tc>
          <w:tcPr>
            <w:tcW w:w="2157" w:type="dxa"/>
          </w:tcPr>
          <w:p w:rsidR="00FA1A1F" w14:paraId="1CFC81DF" w14:textId="77777777">
            <w:pPr>
              <w:pStyle w:val="TableParagraph"/>
              <w:ind w:left="124"/>
              <w:rPr>
                <w:sz w:val="20"/>
              </w:rPr>
            </w:pPr>
            <w:r>
              <w:rPr>
                <w:sz w:val="20"/>
              </w:rPr>
              <w:t>$</w:t>
            </w:r>
            <w:r>
              <w:rPr>
                <w:spacing w:val="-2"/>
                <w:sz w:val="20"/>
              </w:rPr>
              <w:t xml:space="preserve"> 30,408</w:t>
            </w:r>
          </w:p>
        </w:tc>
      </w:tr>
      <w:tr w14:paraId="2E067103" w14:textId="77777777">
        <w:tblPrEx>
          <w:tblW w:w="0" w:type="auto"/>
          <w:tblInd w:w="271" w:type="dxa"/>
          <w:tblLayout w:type="fixed"/>
          <w:tblCellMar>
            <w:left w:w="0" w:type="dxa"/>
            <w:right w:w="0" w:type="dxa"/>
          </w:tblCellMar>
          <w:tblLook w:val="01E0"/>
        </w:tblPrEx>
        <w:trPr>
          <w:trHeight w:val="350"/>
        </w:trPr>
        <w:tc>
          <w:tcPr>
            <w:tcW w:w="1632" w:type="dxa"/>
          </w:tcPr>
          <w:p w:rsidR="00FA1A1F" w14:paraId="406DF519" w14:textId="77777777">
            <w:pPr>
              <w:pStyle w:val="TableParagraph"/>
              <w:rPr>
                <w:sz w:val="20"/>
              </w:rPr>
            </w:pPr>
            <w:r>
              <w:rPr>
                <w:spacing w:val="-2"/>
                <w:sz w:val="20"/>
              </w:rPr>
              <w:t>Attest-Small</w:t>
            </w:r>
            <w:r>
              <w:rPr>
                <w:spacing w:val="12"/>
                <w:sz w:val="20"/>
              </w:rPr>
              <w:t xml:space="preserve"> </w:t>
            </w:r>
            <w:r>
              <w:rPr>
                <w:spacing w:val="-4"/>
                <w:sz w:val="20"/>
              </w:rPr>
              <w:t>Grp.</w:t>
            </w:r>
          </w:p>
        </w:tc>
        <w:tc>
          <w:tcPr>
            <w:tcW w:w="1169" w:type="dxa"/>
          </w:tcPr>
          <w:p w:rsidR="00FA1A1F" w14:paraId="5560A11D" w14:textId="77777777">
            <w:pPr>
              <w:pStyle w:val="TableParagraph"/>
              <w:ind w:left="160"/>
              <w:rPr>
                <w:sz w:val="20"/>
              </w:rPr>
            </w:pPr>
            <w:r>
              <w:rPr>
                <w:spacing w:val="-5"/>
                <w:sz w:val="20"/>
              </w:rPr>
              <w:t>150</w:t>
            </w:r>
          </w:p>
        </w:tc>
        <w:tc>
          <w:tcPr>
            <w:tcW w:w="991" w:type="dxa"/>
          </w:tcPr>
          <w:p w:rsidR="00FA1A1F" w14:paraId="7711B7FD" w14:textId="77777777">
            <w:pPr>
              <w:pStyle w:val="TableParagraph"/>
              <w:ind w:left="109"/>
              <w:rPr>
                <w:sz w:val="20"/>
              </w:rPr>
            </w:pPr>
            <w:r>
              <w:rPr>
                <w:spacing w:val="-5"/>
                <w:sz w:val="20"/>
              </w:rPr>
              <w:t>150</w:t>
            </w:r>
          </w:p>
        </w:tc>
        <w:tc>
          <w:tcPr>
            <w:tcW w:w="897" w:type="dxa"/>
          </w:tcPr>
          <w:p w:rsidR="00FA1A1F" w14:paraId="7DCC58AC" w14:textId="77777777">
            <w:pPr>
              <w:pStyle w:val="TableParagraph"/>
              <w:rPr>
                <w:sz w:val="20"/>
              </w:rPr>
            </w:pPr>
            <w:r>
              <w:rPr>
                <w:spacing w:val="-5"/>
                <w:sz w:val="20"/>
              </w:rPr>
              <w:t>0.5</w:t>
            </w:r>
          </w:p>
        </w:tc>
        <w:tc>
          <w:tcPr>
            <w:tcW w:w="899" w:type="dxa"/>
          </w:tcPr>
          <w:p w:rsidR="00FA1A1F" w14:paraId="2372B0C1" w14:textId="77777777">
            <w:pPr>
              <w:pStyle w:val="TableParagraph"/>
              <w:ind w:left="115"/>
              <w:rPr>
                <w:sz w:val="20"/>
              </w:rPr>
            </w:pPr>
            <w:r>
              <w:rPr>
                <w:spacing w:val="-5"/>
                <w:sz w:val="20"/>
              </w:rPr>
              <w:t>75</w:t>
            </w:r>
          </w:p>
        </w:tc>
        <w:tc>
          <w:tcPr>
            <w:tcW w:w="625" w:type="dxa"/>
          </w:tcPr>
          <w:p w:rsidR="00FA1A1F" w14:paraId="01F38FBE" w14:textId="77777777">
            <w:pPr>
              <w:pStyle w:val="TableParagraph"/>
              <w:ind w:left="114"/>
              <w:rPr>
                <w:sz w:val="20"/>
              </w:rPr>
            </w:pPr>
            <w:r>
              <w:rPr>
                <w:spacing w:val="-10"/>
                <w:sz w:val="20"/>
              </w:rPr>
              <w:t>1</w:t>
            </w:r>
          </w:p>
        </w:tc>
        <w:tc>
          <w:tcPr>
            <w:tcW w:w="899" w:type="dxa"/>
          </w:tcPr>
          <w:p w:rsidR="00FA1A1F" w14:paraId="77DE2544" w14:textId="77777777">
            <w:pPr>
              <w:pStyle w:val="TableParagraph"/>
              <w:ind w:left="168"/>
              <w:rPr>
                <w:sz w:val="20"/>
              </w:rPr>
            </w:pPr>
            <w:r>
              <w:rPr>
                <w:spacing w:val="-5"/>
                <w:sz w:val="20"/>
              </w:rPr>
              <w:t>75</w:t>
            </w:r>
          </w:p>
        </w:tc>
        <w:tc>
          <w:tcPr>
            <w:tcW w:w="1259" w:type="dxa"/>
          </w:tcPr>
          <w:p w:rsidR="00FA1A1F" w14:paraId="20489938" w14:textId="77777777">
            <w:pPr>
              <w:pStyle w:val="TableParagraph"/>
              <w:ind w:left="121"/>
              <w:rPr>
                <w:sz w:val="20"/>
              </w:rPr>
            </w:pPr>
            <w:r>
              <w:rPr>
                <w:spacing w:val="-2"/>
                <w:sz w:val="20"/>
              </w:rPr>
              <w:t>$173.76</w:t>
            </w:r>
          </w:p>
        </w:tc>
        <w:tc>
          <w:tcPr>
            <w:tcW w:w="2157" w:type="dxa"/>
          </w:tcPr>
          <w:p w:rsidR="00FA1A1F" w14:paraId="1C2AB8F6" w14:textId="77777777">
            <w:pPr>
              <w:pStyle w:val="TableParagraph"/>
              <w:ind w:left="124"/>
              <w:rPr>
                <w:sz w:val="20"/>
              </w:rPr>
            </w:pPr>
            <w:r>
              <w:rPr>
                <w:sz w:val="20"/>
              </w:rPr>
              <w:t>$</w:t>
            </w:r>
            <w:r>
              <w:rPr>
                <w:spacing w:val="-2"/>
                <w:sz w:val="20"/>
              </w:rPr>
              <w:t xml:space="preserve"> 13,032</w:t>
            </w:r>
          </w:p>
        </w:tc>
      </w:tr>
      <w:tr w14:paraId="2BE6391A" w14:textId="77777777">
        <w:tblPrEx>
          <w:tblW w:w="0" w:type="auto"/>
          <w:tblInd w:w="271" w:type="dxa"/>
          <w:tblLayout w:type="fixed"/>
          <w:tblCellMar>
            <w:left w:w="0" w:type="dxa"/>
            <w:right w:w="0" w:type="dxa"/>
          </w:tblCellMar>
          <w:tblLook w:val="01E0"/>
        </w:tblPrEx>
        <w:trPr>
          <w:trHeight w:val="347"/>
        </w:trPr>
        <w:tc>
          <w:tcPr>
            <w:tcW w:w="1632" w:type="dxa"/>
          </w:tcPr>
          <w:p w:rsidR="00FA1A1F" w14:paraId="482A4A0B" w14:textId="77777777">
            <w:pPr>
              <w:pStyle w:val="TableParagraph"/>
              <w:rPr>
                <w:sz w:val="20"/>
              </w:rPr>
            </w:pPr>
            <w:r>
              <w:rPr>
                <w:spacing w:val="-2"/>
                <w:sz w:val="20"/>
              </w:rPr>
              <w:t>Total</w:t>
            </w:r>
          </w:p>
        </w:tc>
        <w:tc>
          <w:tcPr>
            <w:tcW w:w="1169" w:type="dxa"/>
          </w:tcPr>
          <w:p w:rsidR="00FA1A1F" w14:paraId="19676C8D" w14:textId="77777777">
            <w:pPr>
              <w:pStyle w:val="TableParagraph"/>
              <w:spacing w:before="0"/>
              <w:ind w:left="0"/>
              <w:rPr>
                <w:rFonts w:ascii="Times New Roman"/>
                <w:sz w:val="20"/>
              </w:rPr>
            </w:pPr>
          </w:p>
        </w:tc>
        <w:tc>
          <w:tcPr>
            <w:tcW w:w="991" w:type="dxa"/>
          </w:tcPr>
          <w:p w:rsidR="00FA1A1F" w14:paraId="2FBC2DEC" w14:textId="77777777">
            <w:pPr>
              <w:pStyle w:val="TableParagraph"/>
              <w:spacing w:before="0"/>
              <w:ind w:left="0"/>
              <w:rPr>
                <w:rFonts w:ascii="Times New Roman"/>
                <w:sz w:val="20"/>
              </w:rPr>
            </w:pPr>
          </w:p>
        </w:tc>
        <w:tc>
          <w:tcPr>
            <w:tcW w:w="897" w:type="dxa"/>
          </w:tcPr>
          <w:p w:rsidR="00FA1A1F" w14:paraId="613A8243" w14:textId="77777777">
            <w:pPr>
              <w:pStyle w:val="TableParagraph"/>
              <w:ind w:left="158"/>
              <w:rPr>
                <w:sz w:val="20"/>
              </w:rPr>
            </w:pPr>
            <w:r>
              <w:rPr>
                <w:spacing w:val="-5"/>
                <w:sz w:val="20"/>
              </w:rPr>
              <w:t>63</w:t>
            </w:r>
          </w:p>
        </w:tc>
        <w:tc>
          <w:tcPr>
            <w:tcW w:w="899" w:type="dxa"/>
          </w:tcPr>
          <w:p w:rsidR="00FA1A1F" w14:paraId="1CA421C7" w14:textId="77777777">
            <w:pPr>
              <w:pStyle w:val="TableParagraph"/>
              <w:spacing w:before="0"/>
              <w:ind w:left="0"/>
              <w:rPr>
                <w:rFonts w:ascii="Times New Roman"/>
                <w:sz w:val="20"/>
              </w:rPr>
            </w:pPr>
          </w:p>
        </w:tc>
        <w:tc>
          <w:tcPr>
            <w:tcW w:w="625" w:type="dxa"/>
          </w:tcPr>
          <w:p w:rsidR="00FA1A1F" w14:paraId="5FB0962C" w14:textId="77777777">
            <w:pPr>
              <w:pStyle w:val="TableParagraph"/>
              <w:spacing w:before="0"/>
              <w:ind w:left="0"/>
              <w:rPr>
                <w:rFonts w:ascii="Times New Roman"/>
                <w:sz w:val="20"/>
              </w:rPr>
            </w:pPr>
          </w:p>
        </w:tc>
        <w:tc>
          <w:tcPr>
            <w:tcW w:w="899" w:type="dxa"/>
          </w:tcPr>
          <w:p w:rsidR="00FA1A1F" w14:paraId="147E0FBF" w14:textId="0CDCD88C">
            <w:pPr>
              <w:pStyle w:val="TableParagraph"/>
              <w:ind w:left="122"/>
              <w:rPr>
                <w:sz w:val="20"/>
              </w:rPr>
            </w:pPr>
            <w:r>
              <w:rPr>
                <w:spacing w:val="-2"/>
                <w:sz w:val="20"/>
              </w:rPr>
              <w:t>5</w:t>
            </w:r>
            <w:r w:rsidR="00A121D5">
              <w:rPr>
                <w:spacing w:val="-2"/>
                <w:sz w:val="20"/>
              </w:rPr>
              <w:t>6</w:t>
            </w:r>
            <w:r>
              <w:rPr>
                <w:spacing w:val="-2"/>
                <w:sz w:val="20"/>
              </w:rPr>
              <w:t>,</w:t>
            </w:r>
            <w:r w:rsidR="00A121D5">
              <w:rPr>
                <w:spacing w:val="-2"/>
                <w:sz w:val="20"/>
              </w:rPr>
              <w:t>670</w:t>
            </w:r>
          </w:p>
        </w:tc>
        <w:tc>
          <w:tcPr>
            <w:tcW w:w="1259" w:type="dxa"/>
          </w:tcPr>
          <w:p w:rsidR="00FA1A1F" w14:paraId="432ECC3B" w14:textId="77777777">
            <w:pPr>
              <w:pStyle w:val="TableParagraph"/>
              <w:spacing w:before="0"/>
              <w:ind w:left="0"/>
              <w:rPr>
                <w:rFonts w:ascii="Times New Roman"/>
                <w:sz w:val="20"/>
              </w:rPr>
            </w:pPr>
          </w:p>
        </w:tc>
        <w:tc>
          <w:tcPr>
            <w:tcW w:w="2157" w:type="dxa"/>
          </w:tcPr>
          <w:p w:rsidR="00FA1A1F" w14:paraId="755DD5F6" w14:textId="77777777">
            <w:pPr>
              <w:pStyle w:val="TableParagraph"/>
              <w:ind w:left="124"/>
              <w:rPr>
                <w:sz w:val="20"/>
              </w:rPr>
            </w:pPr>
            <w:r>
              <w:rPr>
                <w:sz w:val="20"/>
              </w:rPr>
              <w:t>$</w:t>
            </w:r>
            <w:r>
              <w:rPr>
                <w:spacing w:val="-2"/>
                <w:sz w:val="20"/>
              </w:rPr>
              <w:t xml:space="preserve"> 7,819,200</w:t>
            </w:r>
          </w:p>
        </w:tc>
      </w:tr>
    </w:tbl>
    <w:p w:rsidR="00FA1A1F" w14:paraId="3A29624D" w14:textId="77777777">
      <w:pPr>
        <w:pStyle w:val="BodyText"/>
        <w:rPr>
          <w:b/>
          <w:sz w:val="24"/>
        </w:rPr>
      </w:pPr>
    </w:p>
    <w:p w:rsidR="00FA1A1F" w14:paraId="60AD053A" w14:textId="77777777">
      <w:pPr>
        <w:pStyle w:val="BodyText"/>
        <w:spacing w:before="12"/>
        <w:rPr>
          <w:b/>
          <w:sz w:val="24"/>
        </w:rPr>
      </w:pPr>
    </w:p>
    <w:p w:rsidR="00FA1A1F" w14:paraId="68AE796E" w14:textId="77777777">
      <w:pPr>
        <w:pStyle w:val="Heading3"/>
        <w:spacing w:before="1"/>
        <w:ind w:left="379"/>
      </w:pPr>
      <w:bookmarkStart w:id="18" w:name="State_Burden"/>
      <w:bookmarkEnd w:id="18"/>
      <w:r>
        <w:t>State</w:t>
      </w:r>
      <w:r>
        <w:rPr>
          <w:spacing w:val="-7"/>
        </w:rPr>
        <w:t xml:space="preserve"> </w:t>
      </w:r>
      <w:r>
        <w:rPr>
          <w:spacing w:val="-2"/>
        </w:rPr>
        <w:t>Burden</w:t>
      </w:r>
    </w:p>
    <w:p w:rsidR="00FA1A1F" w14:paraId="0875585E" w14:textId="77777777">
      <w:pPr>
        <w:pStyle w:val="BodyText"/>
        <w:spacing w:before="19" w:line="256" w:lineRule="auto"/>
        <w:ind w:left="359" w:right="1496"/>
      </w:pPr>
      <w:r>
        <w:t>The estimated hour burden on the States for the PlanFinder data is informed by the fact that they have</w:t>
      </w:r>
      <w:r>
        <w:rPr>
          <w:spacing w:val="-2"/>
        </w:rPr>
        <w:t xml:space="preserve"> </w:t>
      </w:r>
      <w:r>
        <w:t>already</w:t>
      </w:r>
      <w:r>
        <w:rPr>
          <w:spacing w:val="-4"/>
        </w:rPr>
        <w:t xml:space="preserve"> </w:t>
      </w:r>
      <w:r>
        <w:t>submitted</w:t>
      </w:r>
      <w:r>
        <w:rPr>
          <w:spacing w:val="-4"/>
        </w:rPr>
        <w:t xml:space="preserve"> </w:t>
      </w:r>
      <w:r>
        <w:t>the</w:t>
      </w:r>
      <w:r>
        <w:rPr>
          <w:spacing w:val="-2"/>
        </w:rPr>
        <w:t xml:space="preserve"> </w:t>
      </w:r>
      <w:r>
        <w:t>data</w:t>
      </w:r>
      <w:r>
        <w:rPr>
          <w:spacing w:val="-3"/>
        </w:rPr>
        <w:t xml:space="preserve"> </w:t>
      </w:r>
      <w:r>
        <w:t>once</w:t>
      </w:r>
      <w:r>
        <w:rPr>
          <w:spacing w:val="-2"/>
        </w:rPr>
        <w:t xml:space="preserve"> </w:t>
      </w:r>
      <w:r>
        <w:t>and</w:t>
      </w:r>
      <w:r>
        <w:rPr>
          <w:spacing w:val="-4"/>
        </w:rPr>
        <w:t xml:space="preserve"> </w:t>
      </w:r>
      <w:r>
        <w:t>only</w:t>
      </w:r>
      <w:r>
        <w:rPr>
          <w:spacing w:val="-4"/>
        </w:rPr>
        <w:t xml:space="preserve"> </w:t>
      </w:r>
      <w:r>
        <w:t>need</w:t>
      </w:r>
      <w:r>
        <w:rPr>
          <w:spacing w:val="-4"/>
        </w:rPr>
        <w:t xml:space="preserve"> </w:t>
      </w:r>
      <w:r>
        <w:t>to</w:t>
      </w:r>
      <w:r>
        <w:rPr>
          <w:spacing w:val="-2"/>
        </w:rPr>
        <w:t xml:space="preserve"> </w:t>
      </w:r>
      <w:r>
        <w:t>update</w:t>
      </w:r>
      <w:r>
        <w:rPr>
          <w:spacing w:val="-2"/>
        </w:rPr>
        <w:t xml:space="preserve"> </w:t>
      </w:r>
      <w:r>
        <w:t>their</w:t>
      </w:r>
      <w:r>
        <w:rPr>
          <w:spacing w:val="-4"/>
        </w:rPr>
        <w:t xml:space="preserve"> </w:t>
      </w:r>
      <w:r>
        <w:t>submissions.</w:t>
      </w:r>
      <w:r>
        <w:rPr>
          <w:spacing w:val="-3"/>
        </w:rPr>
        <w:t xml:space="preserve"> </w:t>
      </w:r>
      <w:r>
        <w:t>The</w:t>
      </w:r>
      <w:r>
        <w:rPr>
          <w:spacing w:val="-5"/>
        </w:rPr>
        <w:t xml:space="preserve"> </w:t>
      </w:r>
      <w:r>
        <w:t>overall</w:t>
      </w:r>
      <w:r>
        <w:rPr>
          <w:spacing w:val="-3"/>
        </w:rPr>
        <w:t xml:space="preserve"> </w:t>
      </w:r>
      <w:r>
        <w:t>hours estimate is 525, or 10.5 per Department of Insurance. This is premised on 2 hours of training and communication, 8 hours for data collection, and one half hour for submission.</w:t>
      </w:r>
    </w:p>
    <w:p w:rsidR="00FA1A1F" w14:paraId="18CBB4BD" w14:textId="77777777">
      <w:pPr>
        <w:pStyle w:val="BodyText"/>
        <w:spacing w:line="256" w:lineRule="auto"/>
        <w:sectPr>
          <w:pgSz w:w="12240" w:h="15840"/>
          <w:pgMar w:top="1820" w:right="0" w:bottom="280" w:left="1080" w:header="720" w:footer="720" w:gutter="0"/>
          <w:cols w:space="720"/>
        </w:sectPr>
      </w:pPr>
    </w:p>
    <w:p w:rsidR="00FA1A1F" w14:paraId="59E17F0A" w14:textId="77777777">
      <w:pPr>
        <w:pStyle w:val="BodyText"/>
        <w:rPr>
          <w:sz w:val="22"/>
        </w:rPr>
      </w:pPr>
    </w:p>
    <w:p w:rsidR="00FA1A1F" w14:paraId="3AD38E4E" w14:textId="77777777">
      <w:pPr>
        <w:pStyle w:val="BodyText"/>
        <w:spacing w:before="267"/>
        <w:rPr>
          <w:sz w:val="22"/>
        </w:rPr>
      </w:pPr>
    </w:p>
    <w:p w:rsidR="00FA1A1F" w14:paraId="610720D9" w14:textId="77777777">
      <w:pPr>
        <w:spacing w:before="1"/>
        <w:ind w:left="360"/>
        <w:rPr>
          <w:b/>
        </w:rPr>
      </w:pPr>
      <w:r>
        <w:rPr>
          <w:b/>
        </w:rPr>
        <w:t>Table</w:t>
      </w:r>
      <w:r>
        <w:rPr>
          <w:b/>
          <w:spacing w:val="-3"/>
        </w:rPr>
        <w:t xml:space="preserve"> </w:t>
      </w:r>
      <w:r>
        <w:rPr>
          <w:b/>
        </w:rPr>
        <w:t>3:</w:t>
      </w:r>
      <w:r>
        <w:rPr>
          <w:b/>
          <w:spacing w:val="-4"/>
        </w:rPr>
        <w:t xml:space="preserve"> </w:t>
      </w:r>
      <w:r>
        <w:rPr>
          <w:b/>
        </w:rPr>
        <w:t>Burden</w:t>
      </w:r>
      <w:r>
        <w:rPr>
          <w:b/>
          <w:spacing w:val="-2"/>
        </w:rPr>
        <w:t xml:space="preserve"> </w:t>
      </w:r>
      <w:r>
        <w:rPr>
          <w:b/>
        </w:rPr>
        <w:t>on</w:t>
      </w:r>
      <w:r>
        <w:rPr>
          <w:b/>
          <w:spacing w:val="-2"/>
        </w:rPr>
        <w:t xml:space="preserve"> States</w:t>
      </w:r>
    </w:p>
    <w:p w:rsidR="00FA1A1F" w14:paraId="69840EDA" w14:textId="77777777">
      <w:pPr>
        <w:pStyle w:val="BodyText"/>
        <w:spacing w:before="174"/>
        <w:rPr>
          <w:b/>
          <w:sz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8"/>
        <w:gridCol w:w="1284"/>
        <w:gridCol w:w="1080"/>
        <w:gridCol w:w="900"/>
        <w:gridCol w:w="629"/>
        <w:gridCol w:w="360"/>
        <w:gridCol w:w="811"/>
        <w:gridCol w:w="1080"/>
        <w:gridCol w:w="1620"/>
      </w:tblGrid>
      <w:tr w14:paraId="305BACA2" w14:textId="77777777">
        <w:tblPrEx>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55"/>
        </w:trPr>
        <w:tc>
          <w:tcPr>
            <w:tcW w:w="1428" w:type="dxa"/>
          </w:tcPr>
          <w:p w:rsidR="00FA1A1F" w14:paraId="0A3AC23A" w14:textId="77777777">
            <w:pPr>
              <w:pStyle w:val="TableParagraph"/>
              <w:spacing w:before="6"/>
              <w:rPr>
                <w:sz w:val="20"/>
              </w:rPr>
            </w:pPr>
            <w:r>
              <w:rPr>
                <w:spacing w:val="-2"/>
                <w:sz w:val="20"/>
              </w:rPr>
              <w:t>Explanation</w:t>
            </w:r>
          </w:p>
        </w:tc>
        <w:tc>
          <w:tcPr>
            <w:tcW w:w="1284" w:type="dxa"/>
          </w:tcPr>
          <w:p w:rsidR="00FA1A1F" w14:paraId="0B39D64F" w14:textId="77777777">
            <w:pPr>
              <w:pStyle w:val="TableParagraph"/>
              <w:spacing w:before="6"/>
              <w:ind w:left="114"/>
              <w:rPr>
                <w:sz w:val="20"/>
              </w:rPr>
            </w:pPr>
            <w:r>
              <w:rPr>
                <w:spacing w:val="-2"/>
                <w:sz w:val="20"/>
              </w:rPr>
              <w:t>Respondents</w:t>
            </w:r>
          </w:p>
        </w:tc>
        <w:tc>
          <w:tcPr>
            <w:tcW w:w="1080" w:type="dxa"/>
          </w:tcPr>
          <w:p w:rsidR="00FA1A1F" w14:paraId="44DF40C2" w14:textId="77777777">
            <w:pPr>
              <w:pStyle w:val="TableParagraph"/>
              <w:spacing w:before="6"/>
              <w:rPr>
                <w:sz w:val="20"/>
              </w:rPr>
            </w:pPr>
            <w:r>
              <w:rPr>
                <w:spacing w:val="-2"/>
                <w:sz w:val="20"/>
              </w:rPr>
              <w:t>Responses</w:t>
            </w:r>
          </w:p>
        </w:tc>
        <w:tc>
          <w:tcPr>
            <w:tcW w:w="900" w:type="dxa"/>
          </w:tcPr>
          <w:p w:rsidR="00FA1A1F" w14:paraId="43C424D3" w14:textId="77777777">
            <w:pPr>
              <w:pStyle w:val="TableParagraph"/>
              <w:spacing w:before="6"/>
              <w:ind w:right="79"/>
              <w:rPr>
                <w:sz w:val="18"/>
              </w:rPr>
            </w:pPr>
            <w:r>
              <w:rPr>
                <w:spacing w:val="-2"/>
                <w:sz w:val="18"/>
              </w:rPr>
              <w:t>Hours</w:t>
            </w:r>
            <w:r>
              <w:rPr>
                <w:spacing w:val="80"/>
                <w:sz w:val="18"/>
              </w:rPr>
              <w:t xml:space="preserve"> </w:t>
            </w:r>
            <w:r>
              <w:rPr>
                <w:spacing w:val="-4"/>
                <w:sz w:val="18"/>
              </w:rPr>
              <w:t>Per</w:t>
            </w:r>
            <w:r>
              <w:rPr>
                <w:sz w:val="18"/>
              </w:rPr>
              <w:t xml:space="preserve"> </w:t>
            </w:r>
            <w:r>
              <w:rPr>
                <w:spacing w:val="-2"/>
                <w:sz w:val="18"/>
              </w:rPr>
              <w:t>Response</w:t>
            </w:r>
          </w:p>
        </w:tc>
        <w:tc>
          <w:tcPr>
            <w:tcW w:w="629" w:type="dxa"/>
          </w:tcPr>
          <w:p w:rsidR="00FA1A1F" w14:paraId="56C57E07" w14:textId="77777777">
            <w:pPr>
              <w:pStyle w:val="TableParagraph"/>
              <w:spacing w:before="6"/>
              <w:rPr>
                <w:sz w:val="20"/>
              </w:rPr>
            </w:pPr>
            <w:r>
              <w:rPr>
                <w:spacing w:val="-2"/>
                <w:sz w:val="20"/>
              </w:rPr>
              <w:t>Total</w:t>
            </w:r>
          </w:p>
        </w:tc>
        <w:tc>
          <w:tcPr>
            <w:tcW w:w="360" w:type="dxa"/>
          </w:tcPr>
          <w:p w:rsidR="00FA1A1F" w14:paraId="7180C867" w14:textId="77777777">
            <w:pPr>
              <w:pStyle w:val="TableParagraph"/>
              <w:spacing w:before="6"/>
              <w:ind w:left="55"/>
              <w:jc w:val="center"/>
              <w:rPr>
                <w:sz w:val="20"/>
              </w:rPr>
            </w:pPr>
            <w:r>
              <w:rPr>
                <w:spacing w:val="-5"/>
                <w:sz w:val="20"/>
              </w:rPr>
              <w:t>Xs</w:t>
            </w:r>
          </w:p>
        </w:tc>
        <w:tc>
          <w:tcPr>
            <w:tcW w:w="811" w:type="dxa"/>
          </w:tcPr>
          <w:p w:rsidR="00FA1A1F" w14:paraId="74950CE7" w14:textId="77777777">
            <w:pPr>
              <w:pStyle w:val="TableParagraph"/>
              <w:spacing w:before="6"/>
              <w:ind w:left="114" w:right="106"/>
              <w:rPr>
                <w:sz w:val="20"/>
              </w:rPr>
            </w:pPr>
            <w:r>
              <w:rPr>
                <w:spacing w:val="-2"/>
                <w:sz w:val="20"/>
              </w:rPr>
              <w:t>Annual Hours</w:t>
            </w:r>
          </w:p>
        </w:tc>
        <w:tc>
          <w:tcPr>
            <w:tcW w:w="1080" w:type="dxa"/>
          </w:tcPr>
          <w:p w:rsidR="00FA1A1F" w14:paraId="151CF2EE" w14:textId="77777777">
            <w:pPr>
              <w:pStyle w:val="TableParagraph"/>
              <w:spacing w:before="6"/>
              <w:ind w:left="273" w:right="189" w:firstLine="26"/>
              <w:rPr>
                <w:sz w:val="20"/>
              </w:rPr>
            </w:pPr>
            <w:r>
              <w:rPr>
                <w:spacing w:val="-2"/>
                <w:sz w:val="20"/>
              </w:rPr>
              <w:t xml:space="preserve">Hourly Labor Costs (Hourly </w:t>
            </w:r>
            <w:r>
              <w:rPr>
                <w:sz w:val="20"/>
              </w:rPr>
              <w:t>Rate</w:t>
            </w:r>
            <w:r>
              <w:rPr>
                <w:spacing w:val="50"/>
                <w:sz w:val="20"/>
              </w:rPr>
              <w:t xml:space="preserve"> </w:t>
            </w:r>
            <w:r>
              <w:rPr>
                <w:sz w:val="20"/>
              </w:rPr>
              <w:t xml:space="preserve">+ </w:t>
            </w:r>
            <w:r>
              <w:rPr>
                <w:spacing w:val="-4"/>
                <w:sz w:val="20"/>
              </w:rPr>
              <w:t>100%</w:t>
            </w:r>
          </w:p>
          <w:p w:rsidR="00FA1A1F" w14:paraId="12A0556D" w14:textId="77777777">
            <w:pPr>
              <w:pStyle w:val="TableParagraph"/>
              <w:spacing w:before="12" w:line="226" w:lineRule="exact"/>
              <w:ind w:left="211" w:right="132" w:firstLine="110"/>
              <w:rPr>
                <w:sz w:val="20"/>
              </w:rPr>
            </w:pPr>
            <w:r>
              <w:rPr>
                <w:spacing w:val="-2"/>
                <w:sz w:val="20"/>
              </w:rPr>
              <w:t>Fringe Benefits)</w:t>
            </w:r>
          </w:p>
        </w:tc>
        <w:tc>
          <w:tcPr>
            <w:tcW w:w="1620" w:type="dxa"/>
          </w:tcPr>
          <w:p w:rsidR="00FA1A1F" w14:paraId="2BF9FC95" w14:textId="77777777">
            <w:pPr>
              <w:pStyle w:val="TableParagraph"/>
              <w:spacing w:before="6"/>
              <w:rPr>
                <w:sz w:val="20"/>
              </w:rPr>
            </w:pPr>
            <w:r>
              <w:rPr>
                <w:sz w:val="20"/>
              </w:rPr>
              <w:t>Total</w:t>
            </w:r>
            <w:r>
              <w:rPr>
                <w:spacing w:val="-7"/>
                <w:sz w:val="20"/>
              </w:rPr>
              <w:t xml:space="preserve"> </w:t>
            </w:r>
            <w:r>
              <w:rPr>
                <w:spacing w:val="-4"/>
                <w:sz w:val="20"/>
              </w:rPr>
              <w:t>Cost</w:t>
            </w:r>
          </w:p>
        </w:tc>
      </w:tr>
      <w:tr w14:paraId="2B7E96C6" w14:textId="77777777">
        <w:tblPrEx>
          <w:tblW w:w="0" w:type="auto"/>
          <w:tblInd w:w="271" w:type="dxa"/>
          <w:tblLayout w:type="fixed"/>
          <w:tblCellMar>
            <w:left w:w="0" w:type="dxa"/>
            <w:right w:w="0" w:type="dxa"/>
          </w:tblCellMar>
          <w:tblLook w:val="01E0"/>
        </w:tblPrEx>
        <w:trPr>
          <w:trHeight w:val="301"/>
        </w:trPr>
        <w:tc>
          <w:tcPr>
            <w:tcW w:w="1428" w:type="dxa"/>
          </w:tcPr>
          <w:p w:rsidR="00FA1A1F" w14:paraId="47FA87C9" w14:textId="77777777">
            <w:pPr>
              <w:pStyle w:val="TableParagraph"/>
              <w:spacing w:before="0" w:line="282" w:lineRule="exact"/>
              <w:rPr>
                <w:sz w:val="24"/>
              </w:rPr>
            </w:pPr>
            <w:r>
              <w:rPr>
                <w:spacing w:val="-2"/>
                <w:sz w:val="24"/>
              </w:rPr>
              <w:t>Training</w:t>
            </w:r>
          </w:p>
        </w:tc>
        <w:tc>
          <w:tcPr>
            <w:tcW w:w="1284" w:type="dxa"/>
          </w:tcPr>
          <w:p w:rsidR="00FA1A1F" w14:paraId="7138080D" w14:textId="77777777">
            <w:pPr>
              <w:pStyle w:val="TableParagraph"/>
              <w:spacing w:before="0" w:line="282" w:lineRule="exact"/>
              <w:ind w:left="114"/>
              <w:rPr>
                <w:sz w:val="24"/>
              </w:rPr>
            </w:pPr>
            <w:r>
              <w:rPr>
                <w:spacing w:val="-5"/>
                <w:sz w:val="24"/>
              </w:rPr>
              <w:t>50</w:t>
            </w:r>
          </w:p>
        </w:tc>
        <w:tc>
          <w:tcPr>
            <w:tcW w:w="1080" w:type="dxa"/>
          </w:tcPr>
          <w:p w:rsidR="00FA1A1F" w14:paraId="0D99D95B" w14:textId="77777777">
            <w:pPr>
              <w:pStyle w:val="TableParagraph"/>
              <w:spacing w:before="0"/>
              <w:ind w:left="0"/>
              <w:rPr>
                <w:rFonts w:ascii="Times New Roman"/>
              </w:rPr>
            </w:pPr>
          </w:p>
        </w:tc>
        <w:tc>
          <w:tcPr>
            <w:tcW w:w="900" w:type="dxa"/>
          </w:tcPr>
          <w:p w:rsidR="00FA1A1F" w14:paraId="62342AA2" w14:textId="77777777">
            <w:pPr>
              <w:pStyle w:val="TableParagraph"/>
              <w:spacing w:before="0" w:line="282" w:lineRule="exact"/>
              <w:rPr>
                <w:sz w:val="24"/>
              </w:rPr>
            </w:pPr>
            <w:r>
              <w:rPr>
                <w:spacing w:val="-10"/>
                <w:sz w:val="24"/>
              </w:rPr>
              <w:t>2</w:t>
            </w:r>
          </w:p>
        </w:tc>
        <w:tc>
          <w:tcPr>
            <w:tcW w:w="629" w:type="dxa"/>
          </w:tcPr>
          <w:p w:rsidR="00FA1A1F" w14:paraId="065479FF" w14:textId="77777777">
            <w:pPr>
              <w:pStyle w:val="TableParagraph"/>
              <w:spacing w:before="0" w:line="282" w:lineRule="exact"/>
              <w:rPr>
                <w:sz w:val="24"/>
              </w:rPr>
            </w:pPr>
            <w:r>
              <w:rPr>
                <w:spacing w:val="-5"/>
                <w:sz w:val="24"/>
              </w:rPr>
              <w:t>100</w:t>
            </w:r>
          </w:p>
        </w:tc>
        <w:tc>
          <w:tcPr>
            <w:tcW w:w="360" w:type="dxa"/>
          </w:tcPr>
          <w:p w:rsidR="00FA1A1F" w14:paraId="71D8E9C0" w14:textId="77777777">
            <w:pPr>
              <w:pStyle w:val="TableParagraph"/>
              <w:spacing w:before="0" w:line="282" w:lineRule="exact"/>
              <w:ind w:left="1"/>
              <w:jc w:val="center"/>
              <w:rPr>
                <w:sz w:val="24"/>
              </w:rPr>
            </w:pPr>
            <w:r>
              <w:rPr>
                <w:spacing w:val="-10"/>
                <w:sz w:val="24"/>
              </w:rPr>
              <w:t>4</w:t>
            </w:r>
          </w:p>
        </w:tc>
        <w:tc>
          <w:tcPr>
            <w:tcW w:w="811" w:type="dxa"/>
          </w:tcPr>
          <w:p w:rsidR="00FA1A1F" w14:paraId="298C5AD8" w14:textId="77777777">
            <w:pPr>
              <w:pStyle w:val="TableParagraph"/>
              <w:spacing w:before="0" w:line="282" w:lineRule="exact"/>
              <w:ind w:left="114"/>
              <w:rPr>
                <w:sz w:val="24"/>
              </w:rPr>
            </w:pPr>
            <w:r>
              <w:rPr>
                <w:spacing w:val="-5"/>
                <w:sz w:val="24"/>
              </w:rPr>
              <w:t>100</w:t>
            </w:r>
          </w:p>
        </w:tc>
        <w:tc>
          <w:tcPr>
            <w:tcW w:w="1080" w:type="dxa"/>
          </w:tcPr>
          <w:p w:rsidR="00FA1A1F" w14:paraId="0885E01F" w14:textId="77777777">
            <w:pPr>
              <w:pStyle w:val="TableParagraph"/>
              <w:spacing w:before="9" w:line="273" w:lineRule="exact"/>
              <w:ind w:left="14" w:right="96"/>
              <w:jc w:val="center"/>
              <w:rPr>
                <w:sz w:val="23"/>
              </w:rPr>
            </w:pPr>
            <w:r>
              <w:rPr>
                <w:spacing w:val="-2"/>
                <w:sz w:val="23"/>
              </w:rPr>
              <w:t>$173.76</w:t>
            </w:r>
          </w:p>
        </w:tc>
        <w:tc>
          <w:tcPr>
            <w:tcW w:w="1620" w:type="dxa"/>
          </w:tcPr>
          <w:p w:rsidR="00FA1A1F" w14:paraId="12F3BBF6" w14:textId="77777777">
            <w:pPr>
              <w:pStyle w:val="TableParagraph"/>
              <w:spacing w:before="9" w:line="273" w:lineRule="exact"/>
              <w:rPr>
                <w:sz w:val="23"/>
              </w:rPr>
            </w:pPr>
            <w:r>
              <w:rPr>
                <w:spacing w:val="-2"/>
                <w:sz w:val="23"/>
              </w:rPr>
              <w:t>$17,276</w:t>
            </w:r>
          </w:p>
        </w:tc>
      </w:tr>
      <w:tr w14:paraId="3AE66937" w14:textId="77777777">
        <w:tblPrEx>
          <w:tblW w:w="0" w:type="auto"/>
          <w:tblInd w:w="271" w:type="dxa"/>
          <w:tblLayout w:type="fixed"/>
          <w:tblCellMar>
            <w:left w:w="0" w:type="dxa"/>
            <w:right w:w="0" w:type="dxa"/>
          </w:tblCellMar>
          <w:tblLook w:val="01E0"/>
        </w:tblPrEx>
        <w:trPr>
          <w:trHeight w:val="592"/>
        </w:trPr>
        <w:tc>
          <w:tcPr>
            <w:tcW w:w="1428" w:type="dxa"/>
          </w:tcPr>
          <w:p w:rsidR="00FA1A1F" w14:paraId="326AEB91" w14:textId="77777777">
            <w:pPr>
              <w:pStyle w:val="TableParagraph"/>
              <w:spacing w:before="0" w:line="290" w:lineRule="atLeast"/>
              <w:rPr>
                <w:sz w:val="24"/>
              </w:rPr>
            </w:pPr>
            <w:r>
              <w:rPr>
                <w:spacing w:val="-4"/>
                <w:sz w:val="24"/>
              </w:rPr>
              <w:t xml:space="preserve">Data </w:t>
            </w:r>
            <w:r>
              <w:rPr>
                <w:spacing w:val="-2"/>
                <w:sz w:val="24"/>
              </w:rPr>
              <w:t>Collection</w:t>
            </w:r>
          </w:p>
        </w:tc>
        <w:tc>
          <w:tcPr>
            <w:tcW w:w="1284" w:type="dxa"/>
          </w:tcPr>
          <w:p w:rsidR="00FA1A1F" w14:paraId="4ADBF803" w14:textId="77777777">
            <w:pPr>
              <w:pStyle w:val="TableParagraph"/>
              <w:spacing w:before="0"/>
              <w:ind w:left="0"/>
              <w:rPr>
                <w:rFonts w:ascii="Times New Roman"/>
              </w:rPr>
            </w:pPr>
          </w:p>
        </w:tc>
        <w:tc>
          <w:tcPr>
            <w:tcW w:w="1080" w:type="dxa"/>
          </w:tcPr>
          <w:p w:rsidR="00FA1A1F" w14:paraId="73C658DD" w14:textId="77777777">
            <w:pPr>
              <w:pStyle w:val="TableParagraph"/>
              <w:spacing w:before="6"/>
              <w:rPr>
                <w:sz w:val="24"/>
              </w:rPr>
            </w:pPr>
            <w:r>
              <w:rPr>
                <w:spacing w:val="-5"/>
                <w:sz w:val="24"/>
              </w:rPr>
              <w:t>50</w:t>
            </w:r>
          </w:p>
        </w:tc>
        <w:tc>
          <w:tcPr>
            <w:tcW w:w="900" w:type="dxa"/>
          </w:tcPr>
          <w:p w:rsidR="00FA1A1F" w14:paraId="1B4C04F5" w14:textId="77777777">
            <w:pPr>
              <w:pStyle w:val="TableParagraph"/>
              <w:spacing w:before="6"/>
              <w:rPr>
                <w:sz w:val="24"/>
              </w:rPr>
            </w:pPr>
            <w:r>
              <w:rPr>
                <w:spacing w:val="-10"/>
                <w:sz w:val="24"/>
              </w:rPr>
              <w:t>8</w:t>
            </w:r>
          </w:p>
        </w:tc>
        <w:tc>
          <w:tcPr>
            <w:tcW w:w="629" w:type="dxa"/>
          </w:tcPr>
          <w:p w:rsidR="00FA1A1F" w14:paraId="4E66E96B" w14:textId="77777777">
            <w:pPr>
              <w:pStyle w:val="TableParagraph"/>
              <w:spacing w:before="6"/>
              <w:rPr>
                <w:sz w:val="24"/>
              </w:rPr>
            </w:pPr>
            <w:r>
              <w:rPr>
                <w:spacing w:val="-5"/>
                <w:sz w:val="24"/>
              </w:rPr>
              <w:t>400</w:t>
            </w:r>
          </w:p>
        </w:tc>
        <w:tc>
          <w:tcPr>
            <w:tcW w:w="360" w:type="dxa"/>
          </w:tcPr>
          <w:p w:rsidR="00FA1A1F" w14:paraId="5D159379" w14:textId="77777777">
            <w:pPr>
              <w:pStyle w:val="TableParagraph"/>
              <w:spacing w:before="6"/>
              <w:ind w:left="1"/>
              <w:jc w:val="center"/>
              <w:rPr>
                <w:sz w:val="24"/>
              </w:rPr>
            </w:pPr>
            <w:r>
              <w:rPr>
                <w:spacing w:val="-10"/>
                <w:sz w:val="24"/>
              </w:rPr>
              <w:t>4</w:t>
            </w:r>
          </w:p>
        </w:tc>
        <w:tc>
          <w:tcPr>
            <w:tcW w:w="811" w:type="dxa"/>
          </w:tcPr>
          <w:p w:rsidR="00FA1A1F" w14:paraId="1FC76E7D" w14:textId="77777777">
            <w:pPr>
              <w:pStyle w:val="TableParagraph"/>
              <w:spacing w:before="6"/>
              <w:ind w:left="114"/>
              <w:rPr>
                <w:sz w:val="24"/>
              </w:rPr>
            </w:pPr>
            <w:r>
              <w:rPr>
                <w:spacing w:val="-5"/>
                <w:sz w:val="24"/>
              </w:rPr>
              <w:t>400</w:t>
            </w:r>
          </w:p>
        </w:tc>
        <w:tc>
          <w:tcPr>
            <w:tcW w:w="1080" w:type="dxa"/>
          </w:tcPr>
          <w:p w:rsidR="00FA1A1F" w14:paraId="40E6699B" w14:textId="77777777">
            <w:pPr>
              <w:pStyle w:val="TableParagraph"/>
              <w:spacing w:before="6"/>
              <w:ind w:left="0" w:right="53"/>
              <w:jc w:val="center"/>
              <w:rPr>
                <w:sz w:val="24"/>
              </w:rPr>
            </w:pPr>
            <w:r>
              <w:rPr>
                <w:spacing w:val="-2"/>
                <w:sz w:val="24"/>
              </w:rPr>
              <w:t>$173.76</w:t>
            </w:r>
          </w:p>
        </w:tc>
        <w:tc>
          <w:tcPr>
            <w:tcW w:w="1620" w:type="dxa"/>
          </w:tcPr>
          <w:p w:rsidR="00FA1A1F" w14:paraId="626E41FD" w14:textId="77777777">
            <w:pPr>
              <w:pStyle w:val="TableParagraph"/>
              <w:spacing w:before="6"/>
              <w:rPr>
                <w:sz w:val="24"/>
              </w:rPr>
            </w:pPr>
            <w:r>
              <w:rPr>
                <w:spacing w:val="-2"/>
                <w:sz w:val="24"/>
              </w:rPr>
              <w:t>$69,504</w:t>
            </w:r>
          </w:p>
        </w:tc>
      </w:tr>
      <w:tr w14:paraId="32A1835B" w14:textId="77777777">
        <w:tblPrEx>
          <w:tblW w:w="0" w:type="auto"/>
          <w:tblInd w:w="271" w:type="dxa"/>
          <w:tblLayout w:type="fixed"/>
          <w:tblCellMar>
            <w:left w:w="0" w:type="dxa"/>
            <w:right w:w="0" w:type="dxa"/>
          </w:tblCellMar>
          <w:tblLook w:val="01E0"/>
        </w:tblPrEx>
        <w:trPr>
          <w:trHeight w:val="299"/>
        </w:trPr>
        <w:tc>
          <w:tcPr>
            <w:tcW w:w="1428" w:type="dxa"/>
          </w:tcPr>
          <w:p w:rsidR="00FA1A1F" w14:paraId="345F48CF" w14:textId="77777777">
            <w:pPr>
              <w:pStyle w:val="TableParagraph"/>
              <w:spacing w:before="0" w:line="280" w:lineRule="exact"/>
              <w:rPr>
                <w:sz w:val="24"/>
              </w:rPr>
            </w:pPr>
            <w:r>
              <w:rPr>
                <w:spacing w:val="-2"/>
                <w:sz w:val="24"/>
              </w:rPr>
              <w:t>Submission</w:t>
            </w:r>
          </w:p>
        </w:tc>
        <w:tc>
          <w:tcPr>
            <w:tcW w:w="1284" w:type="dxa"/>
          </w:tcPr>
          <w:p w:rsidR="00FA1A1F" w14:paraId="46790145" w14:textId="77777777">
            <w:pPr>
              <w:pStyle w:val="TableParagraph"/>
              <w:spacing w:before="0"/>
              <w:ind w:left="0"/>
              <w:rPr>
                <w:rFonts w:ascii="Times New Roman"/>
              </w:rPr>
            </w:pPr>
          </w:p>
        </w:tc>
        <w:tc>
          <w:tcPr>
            <w:tcW w:w="1080" w:type="dxa"/>
          </w:tcPr>
          <w:p w:rsidR="00FA1A1F" w14:paraId="2B328644" w14:textId="77777777">
            <w:pPr>
              <w:pStyle w:val="TableParagraph"/>
              <w:spacing w:before="0" w:line="280" w:lineRule="exact"/>
              <w:rPr>
                <w:sz w:val="24"/>
              </w:rPr>
            </w:pPr>
            <w:r>
              <w:rPr>
                <w:spacing w:val="-5"/>
                <w:sz w:val="24"/>
              </w:rPr>
              <w:t>50</w:t>
            </w:r>
          </w:p>
        </w:tc>
        <w:tc>
          <w:tcPr>
            <w:tcW w:w="900" w:type="dxa"/>
          </w:tcPr>
          <w:p w:rsidR="00FA1A1F" w14:paraId="4C559C25" w14:textId="77777777">
            <w:pPr>
              <w:pStyle w:val="TableParagraph"/>
              <w:spacing w:before="0" w:line="280" w:lineRule="exact"/>
              <w:rPr>
                <w:sz w:val="24"/>
              </w:rPr>
            </w:pPr>
            <w:r>
              <w:rPr>
                <w:spacing w:val="-5"/>
                <w:sz w:val="24"/>
              </w:rPr>
              <w:t>0.5</w:t>
            </w:r>
          </w:p>
        </w:tc>
        <w:tc>
          <w:tcPr>
            <w:tcW w:w="629" w:type="dxa"/>
          </w:tcPr>
          <w:p w:rsidR="00FA1A1F" w14:paraId="0B540F30" w14:textId="77777777">
            <w:pPr>
              <w:pStyle w:val="TableParagraph"/>
              <w:spacing w:before="0" w:line="280" w:lineRule="exact"/>
              <w:rPr>
                <w:sz w:val="24"/>
              </w:rPr>
            </w:pPr>
            <w:r>
              <w:rPr>
                <w:spacing w:val="-5"/>
                <w:sz w:val="24"/>
              </w:rPr>
              <w:t>25</w:t>
            </w:r>
          </w:p>
        </w:tc>
        <w:tc>
          <w:tcPr>
            <w:tcW w:w="360" w:type="dxa"/>
          </w:tcPr>
          <w:p w:rsidR="00FA1A1F" w14:paraId="32D74C73" w14:textId="77777777">
            <w:pPr>
              <w:pStyle w:val="TableParagraph"/>
              <w:spacing w:before="0" w:line="280" w:lineRule="exact"/>
              <w:ind w:left="1"/>
              <w:jc w:val="center"/>
              <w:rPr>
                <w:sz w:val="24"/>
              </w:rPr>
            </w:pPr>
            <w:r>
              <w:rPr>
                <w:spacing w:val="-10"/>
                <w:sz w:val="24"/>
              </w:rPr>
              <w:t>4</w:t>
            </w:r>
          </w:p>
        </w:tc>
        <w:tc>
          <w:tcPr>
            <w:tcW w:w="811" w:type="dxa"/>
          </w:tcPr>
          <w:p w:rsidR="00FA1A1F" w14:paraId="089CB178" w14:textId="77777777">
            <w:pPr>
              <w:pStyle w:val="TableParagraph"/>
              <w:spacing w:before="0" w:line="280" w:lineRule="exact"/>
              <w:ind w:left="114"/>
              <w:rPr>
                <w:sz w:val="24"/>
              </w:rPr>
            </w:pPr>
            <w:r>
              <w:rPr>
                <w:spacing w:val="-5"/>
                <w:sz w:val="24"/>
              </w:rPr>
              <w:t>25</w:t>
            </w:r>
          </w:p>
        </w:tc>
        <w:tc>
          <w:tcPr>
            <w:tcW w:w="1080" w:type="dxa"/>
          </w:tcPr>
          <w:p w:rsidR="00FA1A1F" w14:paraId="7E510C53" w14:textId="77777777">
            <w:pPr>
              <w:pStyle w:val="TableParagraph"/>
              <w:spacing w:before="0" w:line="280" w:lineRule="exact"/>
              <w:ind w:left="0" w:right="53"/>
              <w:jc w:val="center"/>
              <w:rPr>
                <w:sz w:val="24"/>
              </w:rPr>
            </w:pPr>
            <w:r>
              <w:rPr>
                <w:spacing w:val="-2"/>
                <w:sz w:val="24"/>
              </w:rPr>
              <w:t>$173.76</w:t>
            </w:r>
          </w:p>
        </w:tc>
        <w:tc>
          <w:tcPr>
            <w:tcW w:w="1620" w:type="dxa"/>
          </w:tcPr>
          <w:p w:rsidR="00FA1A1F" w14:paraId="0652D427" w14:textId="77777777">
            <w:pPr>
              <w:pStyle w:val="TableParagraph"/>
              <w:spacing w:before="0" w:line="280" w:lineRule="exact"/>
              <w:rPr>
                <w:sz w:val="24"/>
              </w:rPr>
            </w:pPr>
            <w:r>
              <w:rPr>
                <w:spacing w:val="-2"/>
                <w:sz w:val="24"/>
              </w:rPr>
              <w:t>$4,344</w:t>
            </w:r>
          </w:p>
        </w:tc>
      </w:tr>
      <w:tr w14:paraId="7150A3FF" w14:textId="77777777">
        <w:tblPrEx>
          <w:tblW w:w="0" w:type="auto"/>
          <w:tblInd w:w="271" w:type="dxa"/>
          <w:tblLayout w:type="fixed"/>
          <w:tblCellMar>
            <w:left w:w="0" w:type="dxa"/>
            <w:right w:w="0" w:type="dxa"/>
          </w:tblCellMar>
          <w:tblLook w:val="01E0"/>
        </w:tblPrEx>
        <w:trPr>
          <w:trHeight w:val="299"/>
        </w:trPr>
        <w:tc>
          <w:tcPr>
            <w:tcW w:w="1428" w:type="dxa"/>
          </w:tcPr>
          <w:p w:rsidR="00FA1A1F" w14:paraId="793913D2" w14:textId="77777777">
            <w:pPr>
              <w:pStyle w:val="TableParagraph"/>
              <w:spacing w:before="0" w:line="280" w:lineRule="exact"/>
              <w:rPr>
                <w:sz w:val="24"/>
              </w:rPr>
            </w:pPr>
            <w:r>
              <w:rPr>
                <w:spacing w:val="-2"/>
                <w:sz w:val="24"/>
              </w:rPr>
              <w:t>Total</w:t>
            </w:r>
          </w:p>
        </w:tc>
        <w:tc>
          <w:tcPr>
            <w:tcW w:w="1284" w:type="dxa"/>
          </w:tcPr>
          <w:p w:rsidR="00FA1A1F" w14:paraId="1DBA505C" w14:textId="77777777">
            <w:pPr>
              <w:pStyle w:val="TableParagraph"/>
              <w:spacing w:before="0"/>
              <w:ind w:left="0"/>
              <w:rPr>
                <w:rFonts w:ascii="Times New Roman"/>
              </w:rPr>
            </w:pPr>
          </w:p>
        </w:tc>
        <w:tc>
          <w:tcPr>
            <w:tcW w:w="1080" w:type="dxa"/>
          </w:tcPr>
          <w:p w:rsidR="00FA1A1F" w14:paraId="0FA990A6" w14:textId="77777777">
            <w:pPr>
              <w:pStyle w:val="TableParagraph"/>
              <w:spacing w:before="0"/>
              <w:ind w:left="0"/>
              <w:rPr>
                <w:rFonts w:ascii="Times New Roman"/>
              </w:rPr>
            </w:pPr>
          </w:p>
        </w:tc>
        <w:tc>
          <w:tcPr>
            <w:tcW w:w="900" w:type="dxa"/>
          </w:tcPr>
          <w:p w:rsidR="00FA1A1F" w14:paraId="771EDEC2" w14:textId="77777777">
            <w:pPr>
              <w:pStyle w:val="TableParagraph"/>
              <w:spacing w:before="0"/>
              <w:ind w:left="0"/>
              <w:rPr>
                <w:rFonts w:ascii="Times New Roman"/>
              </w:rPr>
            </w:pPr>
          </w:p>
        </w:tc>
        <w:tc>
          <w:tcPr>
            <w:tcW w:w="629" w:type="dxa"/>
          </w:tcPr>
          <w:p w:rsidR="00FA1A1F" w14:paraId="7654A9FD" w14:textId="77777777">
            <w:pPr>
              <w:pStyle w:val="TableParagraph"/>
              <w:spacing w:before="0"/>
              <w:ind w:left="0"/>
              <w:rPr>
                <w:rFonts w:ascii="Times New Roman"/>
              </w:rPr>
            </w:pPr>
          </w:p>
        </w:tc>
        <w:tc>
          <w:tcPr>
            <w:tcW w:w="360" w:type="dxa"/>
          </w:tcPr>
          <w:p w:rsidR="00FA1A1F" w14:paraId="290A564F" w14:textId="77777777">
            <w:pPr>
              <w:pStyle w:val="TableParagraph"/>
              <w:spacing w:before="0"/>
              <w:ind w:left="0"/>
              <w:rPr>
                <w:rFonts w:ascii="Times New Roman"/>
              </w:rPr>
            </w:pPr>
          </w:p>
        </w:tc>
        <w:tc>
          <w:tcPr>
            <w:tcW w:w="811" w:type="dxa"/>
          </w:tcPr>
          <w:p w:rsidR="00FA1A1F" w14:paraId="0C9DD0DF" w14:textId="77777777">
            <w:pPr>
              <w:pStyle w:val="TableParagraph"/>
              <w:spacing w:before="0" w:line="280" w:lineRule="exact"/>
              <w:ind w:left="114"/>
              <w:rPr>
                <w:sz w:val="24"/>
              </w:rPr>
            </w:pPr>
            <w:r>
              <w:rPr>
                <w:spacing w:val="-5"/>
                <w:sz w:val="24"/>
              </w:rPr>
              <w:t>525</w:t>
            </w:r>
          </w:p>
        </w:tc>
        <w:tc>
          <w:tcPr>
            <w:tcW w:w="1080" w:type="dxa"/>
          </w:tcPr>
          <w:p w:rsidR="00FA1A1F" w14:paraId="1D62A905" w14:textId="77777777">
            <w:pPr>
              <w:pStyle w:val="TableParagraph"/>
              <w:spacing w:before="0"/>
              <w:ind w:left="0"/>
              <w:rPr>
                <w:rFonts w:ascii="Times New Roman"/>
              </w:rPr>
            </w:pPr>
          </w:p>
        </w:tc>
        <w:tc>
          <w:tcPr>
            <w:tcW w:w="1620" w:type="dxa"/>
          </w:tcPr>
          <w:p w:rsidR="00FA1A1F" w14:paraId="6CFAEC85" w14:textId="77777777">
            <w:pPr>
              <w:pStyle w:val="TableParagraph"/>
              <w:spacing w:before="0" w:line="280" w:lineRule="exact"/>
              <w:rPr>
                <w:sz w:val="24"/>
              </w:rPr>
            </w:pPr>
            <w:r>
              <w:rPr>
                <w:spacing w:val="-2"/>
                <w:sz w:val="24"/>
              </w:rPr>
              <w:t>$91,244</w:t>
            </w:r>
          </w:p>
        </w:tc>
      </w:tr>
    </w:tbl>
    <w:p w:rsidR="00FA1A1F" w14:paraId="3DB06D3D" w14:textId="77777777">
      <w:pPr>
        <w:pStyle w:val="Heading1"/>
        <w:numPr>
          <w:ilvl w:val="1"/>
          <w:numId w:val="1"/>
        </w:numPr>
        <w:tabs>
          <w:tab w:val="left" w:pos="785"/>
        </w:tabs>
        <w:spacing w:before="327"/>
        <w:ind w:left="785" w:hanging="442"/>
      </w:pPr>
      <w:bookmarkStart w:id="19" w:name="13.__Capital_Costs"/>
      <w:bookmarkEnd w:id="19"/>
      <w:r>
        <w:t>Capital</w:t>
      </w:r>
      <w:r>
        <w:rPr>
          <w:spacing w:val="-11"/>
        </w:rPr>
        <w:t xml:space="preserve"> </w:t>
      </w:r>
      <w:r>
        <w:rPr>
          <w:spacing w:val="-4"/>
        </w:rPr>
        <w:t>Costs</w:t>
      </w:r>
    </w:p>
    <w:p w:rsidR="00FA1A1F" w14:paraId="345BA3E3" w14:textId="77777777">
      <w:pPr>
        <w:pStyle w:val="BodyText"/>
        <w:spacing w:before="19"/>
        <w:ind w:left="343"/>
      </w:pPr>
      <w:r>
        <w:t>There</w:t>
      </w:r>
      <w:r>
        <w:rPr>
          <w:spacing w:val="-2"/>
        </w:rPr>
        <w:t xml:space="preserve"> </w:t>
      </w:r>
      <w:r>
        <w:t>is</w:t>
      </w:r>
      <w:r>
        <w:rPr>
          <w:spacing w:val="-2"/>
        </w:rPr>
        <w:t xml:space="preserve"> </w:t>
      </w:r>
      <w:r>
        <w:t>no</w:t>
      </w:r>
      <w:r>
        <w:rPr>
          <w:spacing w:val="-4"/>
        </w:rPr>
        <w:t xml:space="preserve"> </w:t>
      </w:r>
      <w:r>
        <w:t>capital</w:t>
      </w:r>
      <w:r>
        <w:rPr>
          <w:spacing w:val="-5"/>
        </w:rPr>
        <w:t xml:space="preserve"> </w:t>
      </w:r>
      <w:r>
        <w:t>costs</w:t>
      </w:r>
      <w:r>
        <w:rPr>
          <w:spacing w:val="-4"/>
        </w:rPr>
        <w:t xml:space="preserve"> </w:t>
      </w:r>
      <w:r>
        <w:t>needed</w:t>
      </w:r>
      <w:r>
        <w:rPr>
          <w:spacing w:val="-4"/>
        </w:rPr>
        <w:t xml:space="preserve"> </w:t>
      </w:r>
      <w:r>
        <w:t>for</w:t>
      </w:r>
      <w:r>
        <w:rPr>
          <w:spacing w:val="-4"/>
        </w:rPr>
        <w:t xml:space="preserve"> </w:t>
      </w:r>
      <w:r>
        <w:t>this</w:t>
      </w:r>
      <w:r>
        <w:rPr>
          <w:spacing w:val="-4"/>
        </w:rPr>
        <w:t xml:space="preserve"> </w:t>
      </w:r>
      <w:r>
        <w:t>collection</w:t>
      </w:r>
      <w:r>
        <w:rPr>
          <w:spacing w:val="-3"/>
        </w:rPr>
        <w:t xml:space="preserve"> </w:t>
      </w:r>
      <w:r>
        <w:rPr>
          <w:spacing w:val="-2"/>
        </w:rPr>
        <w:t>effort.</w:t>
      </w:r>
    </w:p>
    <w:p w:rsidR="00FA1A1F" w14:paraId="3AAB166E" w14:textId="77777777">
      <w:pPr>
        <w:pStyle w:val="BodyText"/>
        <w:spacing w:before="65"/>
      </w:pPr>
    </w:p>
    <w:p w:rsidR="00FA1A1F" w14:paraId="50884111" w14:textId="77777777">
      <w:pPr>
        <w:pStyle w:val="Heading1"/>
        <w:numPr>
          <w:ilvl w:val="1"/>
          <w:numId w:val="1"/>
        </w:numPr>
        <w:tabs>
          <w:tab w:val="left" w:pos="785"/>
        </w:tabs>
        <w:spacing w:before="1"/>
        <w:ind w:left="785" w:hanging="442"/>
      </w:pPr>
      <w:bookmarkStart w:id="20" w:name="14.__Cost_to_Federal_Government"/>
      <w:bookmarkEnd w:id="20"/>
      <w:r>
        <w:t>Cost</w:t>
      </w:r>
      <w:r>
        <w:rPr>
          <w:spacing w:val="-4"/>
        </w:rPr>
        <w:t xml:space="preserve"> </w:t>
      </w:r>
      <w:r>
        <w:t>to</w:t>
      </w:r>
      <w:r>
        <w:rPr>
          <w:spacing w:val="-4"/>
        </w:rPr>
        <w:t xml:space="preserve"> </w:t>
      </w:r>
      <w:r>
        <w:t>Federal</w:t>
      </w:r>
      <w:r>
        <w:rPr>
          <w:spacing w:val="-8"/>
        </w:rPr>
        <w:t xml:space="preserve"> </w:t>
      </w:r>
      <w:r>
        <w:rPr>
          <w:spacing w:val="-2"/>
        </w:rPr>
        <w:t>Government</w:t>
      </w:r>
    </w:p>
    <w:p w:rsidR="00FA1A1F" w14:paraId="1635117B" w14:textId="77777777">
      <w:pPr>
        <w:spacing w:before="18" w:line="256" w:lineRule="auto"/>
        <w:ind w:left="357" w:right="1660"/>
      </w:pPr>
      <w:r>
        <w:t>We estimate that the operations and maintenance costs for the data collection tool and the data collection</w:t>
      </w:r>
      <w:r>
        <w:rPr>
          <w:spacing w:val="-5"/>
        </w:rPr>
        <w:t xml:space="preserve"> </w:t>
      </w:r>
      <w:r>
        <w:t>support</w:t>
      </w:r>
      <w:r>
        <w:rPr>
          <w:spacing w:val="-1"/>
        </w:rPr>
        <w:t xml:space="preserve"> </w:t>
      </w:r>
      <w:r>
        <w:t>for</w:t>
      </w:r>
      <w:r>
        <w:rPr>
          <w:spacing w:val="-2"/>
        </w:rPr>
        <w:t xml:space="preserve"> </w:t>
      </w:r>
      <w:r>
        <w:t>a</w:t>
      </w:r>
      <w:r>
        <w:rPr>
          <w:spacing w:val="-4"/>
        </w:rPr>
        <w:t xml:space="preserve"> </w:t>
      </w:r>
      <w:r>
        <w:t>total</w:t>
      </w:r>
      <w:r>
        <w:rPr>
          <w:spacing w:val="-2"/>
        </w:rPr>
        <w:t xml:space="preserve"> </w:t>
      </w:r>
      <w:r>
        <w:t>cost</w:t>
      </w:r>
      <w:r>
        <w:rPr>
          <w:spacing w:val="-4"/>
        </w:rPr>
        <w:t xml:space="preserve"> </w:t>
      </w:r>
      <w:r>
        <w:t>of</w:t>
      </w:r>
      <w:r>
        <w:rPr>
          <w:spacing w:val="-2"/>
        </w:rPr>
        <w:t xml:space="preserve"> </w:t>
      </w:r>
      <w:r>
        <w:t>$3,264,080</w:t>
      </w:r>
      <w:r>
        <w:rPr>
          <w:spacing w:val="-3"/>
        </w:rPr>
        <w:t xml:space="preserve"> </w:t>
      </w:r>
      <w:r>
        <w:t>per</w:t>
      </w:r>
      <w:r>
        <w:rPr>
          <w:spacing w:val="-4"/>
        </w:rPr>
        <w:t xml:space="preserve"> </w:t>
      </w:r>
      <w:r>
        <w:t>year.</w:t>
      </w:r>
      <w:r>
        <w:rPr>
          <w:spacing w:val="-2"/>
        </w:rPr>
        <w:t xml:space="preserve"> </w:t>
      </w:r>
      <w:r>
        <w:t>The</w:t>
      </w:r>
      <w:r>
        <w:rPr>
          <w:spacing w:val="-4"/>
        </w:rPr>
        <w:t xml:space="preserve"> </w:t>
      </w:r>
      <w:r>
        <w:t>calculations</w:t>
      </w:r>
      <w:r>
        <w:rPr>
          <w:spacing w:val="-2"/>
        </w:rPr>
        <w:t xml:space="preserve"> </w:t>
      </w:r>
      <w:r>
        <w:t>for</w:t>
      </w:r>
      <w:r>
        <w:rPr>
          <w:spacing w:val="-2"/>
        </w:rPr>
        <w:t xml:space="preserve"> </w:t>
      </w:r>
      <w:r>
        <w:t>CCIIO</w:t>
      </w:r>
      <w:r>
        <w:rPr>
          <w:spacing w:val="-2"/>
        </w:rPr>
        <w:t xml:space="preserve"> </w:t>
      </w:r>
      <w:r>
        <w:t>employees’</w:t>
      </w:r>
      <w:r>
        <w:rPr>
          <w:spacing w:val="-2"/>
        </w:rPr>
        <w:t xml:space="preserve"> </w:t>
      </w:r>
      <w:r>
        <w:t xml:space="preserve">hourly salary was obtained from the OPM website: </w:t>
      </w:r>
      <w:hyperlink r:id="rId5">
        <w:r>
          <w:rPr>
            <w:color w:val="0000FF"/>
            <w:u w:val="single" w:color="0000FF"/>
          </w:rPr>
          <w:t>https://www.opm.gov/policy-data-oversight/pay-</w:t>
        </w:r>
      </w:hyperlink>
      <w:r>
        <w:rPr>
          <w:color w:val="0000FF"/>
        </w:rPr>
        <w:t xml:space="preserve"> </w:t>
      </w:r>
      <w:hyperlink r:id="rId5">
        <w:r>
          <w:rPr>
            <w:color w:val="0000FF"/>
            <w:spacing w:val="-2"/>
            <w:u w:val="single" w:color="0000FF"/>
          </w:rPr>
          <w:t>leave/salaries-wages/salary-tables/pdf/2024/DCB.pdf</w:t>
        </w:r>
      </w:hyperlink>
    </w:p>
    <w:p w:rsidR="00FA1A1F" w14:paraId="0CEC492B" w14:textId="77777777">
      <w:pPr>
        <w:pStyle w:val="BodyText"/>
        <w:rPr>
          <w:sz w:val="20"/>
        </w:rPr>
      </w:pPr>
    </w:p>
    <w:p w:rsidR="00FA1A1F" w14:paraId="5FBFB3E9" w14:textId="77777777">
      <w:pPr>
        <w:pStyle w:val="BodyText"/>
        <w:rPr>
          <w:sz w:val="20"/>
        </w:rPr>
      </w:pPr>
    </w:p>
    <w:p w:rsidR="00FA1A1F" w14:paraId="5865E1D0" w14:textId="77777777">
      <w:pPr>
        <w:pStyle w:val="BodyText"/>
        <w:rPr>
          <w:sz w:val="20"/>
        </w:rPr>
      </w:pPr>
    </w:p>
    <w:p w:rsidR="00FA1A1F" w14:paraId="5794BF2E" w14:textId="77777777">
      <w:pPr>
        <w:pStyle w:val="BodyText"/>
        <w:spacing w:before="195" w:after="1"/>
        <w:rPr>
          <w:sz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88"/>
      </w:tblGrid>
      <w:tr w14:paraId="450906E5" w14:textId="77777777">
        <w:tblPrEx>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4788" w:type="dxa"/>
          </w:tcPr>
          <w:p w:rsidR="00FA1A1F" w14:paraId="007720A8" w14:textId="77777777">
            <w:pPr>
              <w:pStyle w:val="TableParagraph"/>
              <w:spacing w:before="42" w:line="288" w:lineRule="exact"/>
              <w:rPr>
                <w:sz w:val="24"/>
              </w:rPr>
            </w:pPr>
            <w:r>
              <w:rPr>
                <w:sz w:val="24"/>
              </w:rPr>
              <w:t>Software</w:t>
            </w:r>
            <w:r>
              <w:rPr>
                <w:spacing w:val="-5"/>
                <w:sz w:val="24"/>
              </w:rPr>
              <w:t xml:space="preserve"> </w:t>
            </w:r>
            <w:r>
              <w:rPr>
                <w:sz w:val="24"/>
              </w:rPr>
              <w:t>Development</w:t>
            </w:r>
            <w:r>
              <w:rPr>
                <w:spacing w:val="-1"/>
                <w:sz w:val="24"/>
              </w:rPr>
              <w:t xml:space="preserve"> </w:t>
            </w:r>
            <w:r>
              <w:rPr>
                <w:sz w:val="24"/>
              </w:rPr>
              <w:t>and</w:t>
            </w:r>
            <w:r>
              <w:rPr>
                <w:spacing w:val="-1"/>
                <w:sz w:val="24"/>
              </w:rPr>
              <w:t xml:space="preserve"> </w:t>
            </w:r>
            <w:r>
              <w:rPr>
                <w:spacing w:val="-2"/>
                <w:sz w:val="24"/>
              </w:rPr>
              <w:t>Hosting</w:t>
            </w:r>
          </w:p>
        </w:tc>
        <w:tc>
          <w:tcPr>
            <w:tcW w:w="4788" w:type="dxa"/>
          </w:tcPr>
          <w:p w:rsidR="00FA1A1F" w14:paraId="752C7172" w14:textId="77777777">
            <w:pPr>
              <w:pStyle w:val="TableParagraph"/>
              <w:spacing w:before="45"/>
              <w:rPr>
                <w:sz w:val="23"/>
              </w:rPr>
            </w:pPr>
            <w:r>
              <w:rPr>
                <w:sz w:val="23"/>
              </w:rPr>
              <w:t>$</w:t>
            </w:r>
            <w:r>
              <w:rPr>
                <w:spacing w:val="1"/>
                <w:sz w:val="23"/>
              </w:rPr>
              <w:t xml:space="preserve"> </w:t>
            </w:r>
            <w:r>
              <w:rPr>
                <w:spacing w:val="-4"/>
                <w:sz w:val="23"/>
              </w:rPr>
              <w:t>3.1M</w:t>
            </w:r>
          </w:p>
        </w:tc>
      </w:tr>
      <w:tr w14:paraId="42F68AB7" w14:textId="77777777">
        <w:tblPrEx>
          <w:tblW w:w="0" w:type="auto"/>
          <w:tblInd w:w="271" w:type="dxa"/>
          <w:tblLayout w:type="fixed"/>
          <w:tblCellMar>
            <w:left w:w="0" w:type="dxa"/>
            <w:right w:w="0" w:type="dxa"/>
          </w:tblCellMar>
          <w:tblLook w:val="01E0"/>
        </w:tblPrEx>
        <w:trPr>
          <w:trHeight w:val="628"/>
        </w:trPr>
        <w:tc>
          <w:tcPr>
            <w:tcW w:w="4788" w:type="dxa"/>
          </w:tcPr>
          <w:p w:rsidR="00FA1A1F" w14:paraId="065A548A" w14:textId="77777777">
            <w:pPr>
              <w:pStyle w:val="TableParagraph"/>
              <w:rPr>
                <w:sz w:val="24"/>
              </w:rPr>
            </w:pPr>
            <w:r>
              <w:rPr>
                <w:sz w:val="24"/>
              </w:rPr>
              <w:t>Managing</w:t>
            </w:r>
            <w:r>
              <w:rPr>
                <w:spacing w:val="-3"/>
                <w:sz w:val="24"/>
              </w:rPr>
              <w:t xml:space="preserve"> </w:t>
            </w:r>
            <w:r>
              <w:rPr>
                <w:sz w:val="24"/>
              </w:rPr>
              <w:t>and</w:t>
            </w:r>
            <w:r>
              <w:rPr>
                <w:spacing w:val="-1"/>
                <w:sz w:val="24"/>
              </w:rPr>
              <w:t xml:space="preserve"> </w:t>
            </w:r>
            <w:r>
              <w:rPr>
                <w:sz w:val="24"/>
              </w:rPr>
              <w:t>Coordinating</w:t>
            </w:r>
            <w:r>
              <w:rPr>
                <w:spacing w:val="-2"/>
                <w:sz w:val="24"/>
              </w:rPr>
              <w:t xml:space="preserve"> Contracts</w:t>
            </w:r>
          </w:p>
        </w:tc>
        <w:tc>
          <w:tcPr>
            <w:tcW w:w="4788" w:type="dxa"/>
          </w:tcPr>
          <w:p w:rsidR="00FA1A1F" w14:paraId="5269E156" w14:textId="77777777">
            <w:pPr>
              <w:pStyle w:val="TableParagraph"/>
              <w:spacing w:before="0"/>
              <w:ind w:left="0"/>
              <w:rPr>
                <w:rFonts w:ascii="Times New Roman"/>
              </w:rPr>
            </w:pPr>
          </w:p>
        </w:tc>
      </w:tr>
      <w:tr w14:paraId="2BDA9307" w14:textId="77777777">
        <w:tblPrEx>
          <w:tblW w:w="0" w:type="auto"/>
          <w:tblInd w:w="271" w:type="dxa"/>
          <w:tblLayout w:type="fixed"/>
          <w:tblCellMar>
            <w:left w:w="0" w:type="dxa"/>
            <w:right w:w="0" w:type="dxa"/>
          </w:tblCellMar>
          <w:tblLook w:val="01E0"/>
        </w:tblPrEx>
        <w:trPr>
          <w:trHeight w:val="616"/>
        </w:trPr>
        <w:tc>
          <w:tcPr>
            <w:tcW w:w="4788" w:type="dxa"/>
          </w:tcPr>
          <w:p w:rsidR="00FA1A1F" w14:paraId="07346C98" w14:textId="77777777">
            <w:pPr>
              <w:pStyle w:val="TableParagraph"/>
              <w:spacing w:before="49"/>
              <w:ind w:left="0" w:right="33"/>
              <w:jc w:val="right"/>
            </w:pPr>
            <w:r>
              <w:t>GS-13(Step</w:t>
            </w:r>
            <w:r>
              <w:rPr>
                <w:spacing w:val="-3"/>
              </w:rPr>
              <w:t xml:space="preserve"> </w:t>
            </w:r>
            <w:r>
              <w:t>2)</w:t>
            </w:r>
            <w:r>
              <w:rPr>
                <w:spacing w:val="-2"/>
              </w:rPr>
              <w:t xml:space="preserve"> </w:t>
            </w:r>
            <w:r>
              <w:t>:</w:t>
            </w:r>
            <w:r>
              <w:rPr>
                <w:spacing w:val="-3"/>
              </w:rPr>
              <w:t xml:space="preserve"> </w:t>
            </w:r>
            <w:r>
              <w:t>3</w:t>
            </w:r>
            <w:r>
              <w:rPr>
                <w:spacing w:val="-3"/>
              </w:rPr>
              <w:t xml:space="preserve"> </w:t>
            </w:r>
            <w:r>
              <w:t>x</w:t>
            </w:r>
            <w:r>
              <w:rPr>
                <w:spacing w:val="-4"/>
              </w:rPr>
              <w:t xml:space="preserve"> </w:t>
            </w:r>
            <w:r>
              <w:t>$58.60</w:t>
            </w:r>
            <w:r>
              <w:rPr>
                <w:spacing w:val="-1"/>
              </w:rPr>
              <w:t xml:space="preserve"> </w:t>
            </w:r>
            <w:r>
              <w:t>x</w:t>
            </w:r>
            <w:r>
              <w:rPr>
                <w:spacing w:val="-4"/>
              </w:rPr>
              <w:t xml:space="preserve"> </w:t>
            </w:r>
            <w:r>
              <w:t xml:space="preserve">400 </w:t>
            </w:r>
            <w:r>
              <w:rPr>
                <w:spacing w:val="-4"/>
              </w:rPr>
              <w:t>hours</w:t>
            </w:r>
          </w:p>
        </w:tc>
        <w:tc>
          <w:tcPr>
            <w:tcW w:w="4788" w:type="dxa"/>
          </w:tcPr>
          <w:p w:rsidR="00FA1A1F" w14:paraId="0136BC18" w14:textId="77777777">
            <w:pPr>
              <w:pStyle w:val="TableParagraph"/>
              <w:rPr>
                <w:sz w:val="23"/>
              </w:rPr>
            </w:pPr>
            <w:r>
              <w:rPr>
                <w:spacing w:val="-2"/>
                <w:sz w:val="23"/>
              </w:rPr>
              <w:t>$70,320</w:t>
            </w:r>
          </w:p>
        </w:tc>
      </w:tr>
      <w:tr w14:paraId="5FB6E2C5" w14:textId="77777777">
        <w:tblPrEx>
          <w:tblW w:w="0" w:type="auto"/>
          <w:tblInd w:w="271" w:type="dxa"/>
          <w:tblLayout w:type="fixed"/>
          <w:tblCellMar>
            <w:left w:w="0" w:type="dxa"/>
            <w:right w:w="0" w:type="dxa"/>
          </w:tblCellMar>
          <w:tblLook w:val="01E0"/>
        </w:tblPrEx>
        <w:trPr>
          <w:trHeight w:val="340"/>
        </w:trPr>
        <w:tc>
          <w:tcPr>
            <w:tcW w:w="4788" w:type="dxa"/>
          </w:tcPr>
          <w:p w:rsidR="00FA1A1F" w14:paraId="7B4730C2" w14:textId="77777777">
            <w:pPr>
              <w:pStyle w:val="TableParagraph"/>
              <w:spacing w:before="45" w:line="276" w:lineRule="exact"/>
              <w:rPr>
                <w:sz w:val="23"/>
              </w:rPr>
            </w:pPr>
            <w:r>
              <w:rPr>
                <w:sz w:val="23"/>
              </w:rPr>
              <w:t>Analysis</w:t>
            </w:r>
            <w:r>
              <w:rPr>
                <w:spacing w:val="-3"/>
                <w:sz w:val="23"/>
              </w:rPr>
              <w:t xml:space="preserve"> </w:t>
            </w:r>
            <w:r>
              <w:rPr>
                <w:sz w:val="23"/>
              </w:rPr>
              <w:t>and</w:t>
            </w:r>
            <w:r>
              <w:rPr>
                <w:spacing w:val="-5"/>
                <w:sz w:val="23"/>
              </w:rPr>
              <w:t xml:space="preserve"> Q&amp;A</w:t>
            </w:r>
          </w:p>
        </w:tc>
        <w:tc>
          <w:tcPr>
            <w:tcW w:w="4788" w:type="dxa"/>
          </w:tcPr>
          <w:p w:rsidR="00FA1A1F" w14:paraId="7526772D" w14:textId="77777777">
            <w:pPr>
              <w:pStyle w:val="TableParagraph"/>
              <w:spacing w:before="0"/>
              <w:ind w:left="0"/>
              <w:rPr>
                <w:rFonts w:ascii="Times New Roman"/>
              </w:rPr>
            </w:pPr>
          </w:p>
        </w:tc>
      </w:tr>
      <w:tr w14:paraId="76946F9A" w14:textId="77777777">
        <w:tblPrEx>
          <w:tblW w:w="0" w:type="auto"/>
          <w:tblInd w:w="271" w:type="dxa"/>
          <w:tblLayout w:type="fixed"/>
          <w:tblCellMar>
            <w:left w:w="0" w:type="dxa"/>
            <w:right w:w="0" w:type="dxa"/>
          </w:tblCellMar>
          <w:tblLook w:val="01E0"/>
        </w:tblPrEx>
        <w:trPr>
          <w:trHeight w:val="340"/>
        </w:trPr>
        <w:tc>
          <w:tcPr>
            <w:tcW w:w="4788" w:type="dxa"/>
          </w:tcPr>
          <w:p w:rsidR="00FA1A1F" w14:paraId="06268F4A" w14:textId="77777777">
            <w:pPr>
              <w:pStyle w:val="TableParagraph"/>
              <w:spacing w:before="45" w:line="276" w:lineRule="exact"/>
              <w:ind w:left="0" w:right="37"/>
              <w:jc w:val="right"/>
              <w:rPr>
                <w:sz w:val="23"/>
              </w:rPr>
            </w:pPr>
            <w:r>
              <w:rPr>
                <w:sz w:val="23"/>
              </w:rPr>
              <w:t>GS-13(Step</w:t>
            </w:r>
            <w:r>
              <w:rPr>
                <w:spacing w:val="-5"/>
                <w:sz w:val="23"/>
              </w:rPr>
              <w:t xml:space="preserve"> </w:t>
            </w:r>
            <w:r>
              <w:rPr>
                <w:sz w:val="23"/>
              </w:rPr>
              <w:t>2):</w:t>
            </w:r>
            <w:r>
              <w:rPr>
                <w:spacing w:val="-3"/>
                <w:sz w:val="23"/>
              </w:rPr>
              <w:t xml:space="preserve"> </w:t>
            </w:r>
            <w:r>
              <w:rPr>
                <w:sz w:val="23"/>
              </w:rPr>
              <w:t>4</w:t>
            </w:r>
            <w:r>
              <w:rPr>
                <w:spacing w:val="-1"/>
                <w:sz w:val="23"/>
              </w:rPr>
              <w:t xml:space="preserve"> </w:t>
            </w:r>
            <w:r>
              <w:rPr>
                <w:sz w:val="23"/>
              </w:rPr>
              <w:t>x</w:t>
            </w:r>
            <w:r>
              <w:rPr>
                <w:spacing w:val="-2"/>
                <w:sz w:val="23"/>
              </w:rPr>
              <w:t xml:space="preserve"> </w:t>
            </w:r>
            <w:r>
              <w:rPr>
                <w:sz w:val="23"/>
              </w:rPr>
              <w:t>$58.60</w:t>
            </w:r>
            <w:r>
              <w:rPr>
                <w:spacing w:val="-3"/>
                <w:sz w:val="23"/>
              </w:rPr>
              <w:t xml:space="preserve"> </w:t>
            </w:r>
            <w:r>
              <w:rPr>
                <w:sz w:val="23"/>
              </w:rPr>
              <w:t>x</w:t>
            </w:r>
            <w:r>
              <w:rPr>
                <w:spacing w:val="-1"/>
                <w:sz w:val="23"/>
              </w:rPr>
              <w:t xml:space="preserve"> </w:t>
            </w:r>
            <w:r>
              <w:rPr>
                <w:sz w:val="23"/>
              </w:rPr>
              <w:t xml:space="preserve">400 </w:t>
            </w:r>
            <w:r>
              <w:rPr>
                <w:spacing w:val="-4"/>
                <w:sz w:val="23"/>
              </w:rPr>
              <w:t>hours</w:t>
            </w:r>
          </w:p>
        </w:tc>
        <w:tc>
          <w:tcPr>
            <w:tcW w:w="4788" w:type="dxa"/>
          </w:tcPr>
          <w:p w:rsidR="00FA1A1F" w14:paraId="1053B6B1" w14:textId="77777777">
            <w:pPr>
              <w:pStyle w:val="TableParagraph"/>
              <w:spacing w:before="44"/>
            </w:pPr>
            <w:r>
              <w:rPr>
                <w:spacing w:val="-2"/>
              </w:rPr>
              <w:t>$93,760</w:t>
            </w:r>
          </w:p>
        </w:tc>
      </w:tr>
      <w:tr w14:paraId="51770AF7" w14:textId="77777777">
        <w:tblPrEx>
          <w:tblW w:w="0" w:type="auto"/>
          <w:tblInd w:w="271" w:type="dxa"/>
          <w:tblLayout w:type="fixed"/>
          <w:tblCellMar>
            <w:left w:w="0" w:type="dxa"/>
            <w:right w:w="0" w:type="dxa"/>
          </w:tblCellMar>
          <w:tblLook w:val="01E0"/>
        </w:tblPrEx>
        <w:trPr>
          <w:trHeight w:val="342"/>
        </w:trPr>
        <w:tc>
          <w:tcPr>
            <w:tcW w:w="4788" w:type="dxa"/>
          </w:tcPr>
          <w:p w:rsidR="00FA1A1F" w14:paraId="378A55D7" w14:textId="77777777">
            <w:pPr>
              <w:pStyle w:val="TableParagraph"/>
              <w:spacing w:before="49" w:line="273" w:lineRule="exact"/>
              <w:rPr>
                <w:sz w:val="23"/>
              </w:rPr>
            </w:pPr>
            <w:r>
              <w:rPr>
                <w:sz w:val="23"/>
              </w:rPr>
              <w:t>Overhead</w:t>
            </w:r>
            <w:r>
              <w:rPr>
                <w:spacing w:val="-4"/>
                <w:sz w:val="23"/>
              </w:rPr>
              <w:t xml:space="preserve"> Costs</w:t>
            </w:r>
          </w:p>
        </w:tc>
        <w:tc>
          <w:tcPr>
            <w:tcW w:w="4788" w:type="dxa"/>
          </w:tcPr>
          <w:p w:rsidR="00FA1A1F" w14:paraId="510BEC5A" w14:textId="77777777">
            <w:pPr>
              <w:pStyle w:val="TableParagraph"/>
              <w:spacing w:before="0"/>
              <w:ind w:left="0"/>
              <w:rPr>
                <w:rFonts w:ascii="Times New Roman"/>
              </w:rPr>
            </w:pPr>
          </w:p>
        </w:tc>
      </w:tr>
      <w:tr w14:paraId="59CAFBCC" w14:textId="77777777">
        <w:tblPrEx>
          <w:tblW w:w="0" w:type="auto"/>
          <w:tblInd w:w="271" w:type="dxa"/>
          <w:tblLayout w:type="fixed"/>
          <w:tblCellMar>
            <w:left w:w="0" w:type="dxa"/>
            <w:right w:w="0" w:type="dxa"/>
          </w:tblCellMar>
          <w:tblLook w:val="01E0"/>
        </w:tblPrEx>
        <w:trPr>
          <w:trHeight w:val="338"/>
        </w:trPr>
        <w:tc>
          <w:tcPr>
            <w:tcW w:w="4788" w:type="dxa"/>
          </w:tcPr>
          <w:p w:rsidR="00FA1A1F" w14:paraId="5EEC9080" w14:textId="77777777">
            <w:pPr>
              <w:pStyle w:val="TableParagraph"/>
              <w:spacing w:before="0"/>
              <w:ind w:left="0"/>
              <w:rPr>
                <w:rFonts w:ascii="Times New Roman"/>
              </w:rPr>
            </w:pPr>
          </w:p>
        </w:tc>
        <w:tc>
          <w:tcPr>
            <w:tcW w:w="4788" w:type="dxa"/>
          </w:tcPr>
          <w:p w:rsidR="00FA1A1F" w14:paraId="3470787C" w14:textId="77777777">
            <w:pPr>
              <w:pStyle w:val="TableParagraph"/>
              <w:spacing w:before="44"/>
            </w:pPr>
            <w:r>
              <w:rPr>
                <w:spacing w:val="-5"/>
              </w:rPr>
              <w:t>N/A</w:t>
            </w:r>
          </w:p>
        </w:tc>
      </w:tr>
      <w:tr w14:paraId="1D805807" w14:textId="77777777">
        <w:tblPrEx>
          <w:tblW w:w="0" w:type="auto"/>
          <w:tblInd w:w="271" w:type="dxa"/>
          <w:tblLayout w:type="fixed"/>
          <w:tblCellMar>
            <w:left w:w="0" w:type="dxa"/>
            <w:right w:w="0" w:type="dxa"/>
          </w:tblCellMar>
          <w:tblLook w:val="01E0"/>
        </w:tblPrEx>
        <w:trPr>
          <w:trHeight w:val="340"/>
        </w:trPr>
        <w:tc>
          <w:tcPr>
            <w:tcW w:w="4788" w:type="dxa"/>
          </w:tcPr>
          <w:p w:rsidR="00FA1A1F" w14:paraId="5B2A9747" w14:textId="77777777">
            <w:pPr>
              <w:pStyle w:val="TableParagraph"/>
              <w:spacing w:before="0"/>
              <w:ind w:left="0"/>
              <w:rPr>
                <w:rFonts w:ascii="Times New Roman"/>
              </w:rPr>
            </w:pPr>
          </w:p>
        </w:tc>
        <w:tc>
          <w:tcPr>
            <w:tcW w:w="4788" w:type="dxa"/>
          </w:tcPr>
          <w:p w:rsidR="00FA1A1F" w14:paraId="0BFA544A" w14:textId="77777777">
            <w:pPr>
              <w:pStyle w:val="TableParagraph"/>
              <w:spacing w:before="0"/>
              <w:ind w:left="0"/>
              <w:rPr>
                <w:rFonts w:ascii="Times New Roman"/>
              </w:rPr>
            </w:pPr>
          </w:p>
        </w:tc>
      </w:tr>
      <w:tr w14:paraId="362F0D8E" w14:textId="77777777">
        <w:tblPrEx>
          <w:tblW w:w="0" w:type="auto"/>
          <w:tblInd w:w="271" w:type="dxa"/>
          <w:tblLayout w:type="fixed"/>
          <w:tblCellMar>
            <w:left w:w="0" w:type="dxa"/>
            <w:right w:w="0" w:type="dxa"/>
          </w:tblCellMar>
          <w:tblLook w:val="01E0"/>
        </w:tblPrEx>
        <w:trPr>
          <w:trHeight w:val="342"/>
        </w:trPr>
        <w:tc>
          <w:tcPr>
            <w:tcW w:w="4788" w:type="dxa"/>
          </w:tcPr>
          <w:p w:rsidR="00FA1A1F" w14:paraId="5FBDC069" w14:textId="77777777">
            <w:pPr>
              <w:pStyle w:val="TableParagraph"/>
              <w:spacing w:before="49" w:line="273" w:lineRule="exact"/>
              <w:rPr>
                <w:b/>
                <w:sz w:val="23"/>
              </w:rPr>
            </w:pPr>
            <w:r>
              <w:rPr>
                <w:b/>
                <w:sz w:val="23"/>
              </w:rPr>
              <w:t>Total</w:t>
            </w:r>
            <w:r>
              <w:rPr>
                <w:b/>
                <w:spacing w:val="-2"/>
                <w:sz w:val="23"/>
              </w:rPr>
              <w:t xml:space="preserve"> </w:t>
            </w:r>
            <w:r>
              <w:rPr>
                <w:b/>
                <w:sz w:val="23"/>
              </w:rPr>
              <w:t>Cost</w:t>
            </w:r>
            <w:r>
              <w:rPr>
                <w:b/>
                <w:spacing w:val="-1"/>
                <w:sz w:val="23"/>
              </w:rPr>
              <w:t xml:space="preserve"> </w:t>
            </w:r>
            <w:r>
              <w:rPr>
                <w:b/>
                <w:sz w:val="23"/>
              </w:rPr>
              <w:t xml:space="preserve">to </w:t>
            </w:r>
            <w:r>
              <w:rPr>
                <w:b/>
                <w:spacing w:val="-2"/>
                <w:sz w:val="23"/>
              </w:rPr>
              <w:t>Government</w:t>
            </w:r>
          </w:p>
        </w:tc>
        <w:tc>
          <w:tcPr>
            <w:tcW w:w="4788" w:type="dxa"/>
          </w:tcPr>
          <w:p w:rsidR="00FA1A1F" w14:paraId="0D8B5B02" w14:textId="77777777">
            <w:pPr>
              <w:pStyle w:val="TableParagraph"/>
              <w:spacing w:before="49" w:line="273" w:lineRule="exact"/>
              <w:rPr>
                <w:sz w:val="23"/>
              </w:rPr>
            </w:pPr>
            <w:r>
              <w:rPr>
                <w:spacing w:val="-2"/>
                <w:sz w:val="23"/>
              </w:rPr>
              <w:t>$3,264,080.00</w:t>
            </w:r>
          </w:p>
        </w:tc>
      </w:tr>
    </w:tbl>
    <w:p w:rsidR="00FA1A1F" w14:paraId="4627D268" w14:textId="77777777">
      <w:pPr>
        <w:pStyle w:val="TableParagraph"/>
        <w:spacing w:line="273" w:lineRule="exact"/>
        <w:rPr>
          <w:sz w:val="23"/>
        </w:rPr>
        <w:sectPr>
          <w:pgSz w:w="12240" w:h="15840"/>
          <w:pgMar w:top="1820" w:right="0" w:bottom="280" w:left="1080" w:header="720" w:footer="720" w:gutter="0"/>
          <w:cols w:space="720"/>
        </w:sectPr>
      </w:pPr>
    </w:p>
    <w:p w:rsidR="00FA1A1F" w14:paraId="00BFC71D" w14:textId="77777777">
      <w:pPr>
        <w:pStyle w:val="Heading1"/>
        <w:numPr>
          <w:ilvl w:val="1"/>
          <w:numId w:val="1"/>
        </w:numPr>
        <w:tabs>
          <w:tab w:val="left" w:pos="785"/>
        </w:tabs>
        <w:spacing w:before="244"/>
        <w:ind w:left="785" w:hanging="442"/>
      </w:pPr>
      <w:bookmarkStart w:id="21" w:name="15.__Changes_to_Burden"/>
      <w:bookmarkEnd w:id="21"/>
      <w:r>
        <w:t>Changes</w:t>
      </w:r>
      <w:r>
        <w:rPr>
          <w:spacing w:val="-3"/>
        </w:rPr>
        <w:t xml:space="preserve"> </w:t>
      </w:r>
      <w:r>
        <w:t>to</w:t>
      </w:r>
      <w:r>
        <w:rPr>
          <w:spacing w:val="-9"/>
        </w:rPr>
        <w:t xml:space="preserve"> </w:t>
      </w:r>
      <w:r>
        <w:rPr>
          <w:spacing w:val="-2"/>
        </w:rPr>
        <w:t>Burden</w:t>
      </w:r>
    </w:p>
    <w:p w:rsidR="00FA1A1F" w14:paraId="58464327" w14:textId="4F6C0F5D">
      <w:pPr>
        <w:pStyle w:val="BodyText"/>
        <w:spacing w:before="24" w:line="247" w:lineRule="auto"/>
        <w:ind w:left="354" w:right="1443" w:hanging="12"/>
      </w:pPr>
      <w:r>
        <w:t>Based on historical data of collection activity, the number of respondents (issuer submissions) has increased from 700 to 814. Although PlanFinder submissions are required 4x per year to capture quarterly product enrollment changes, with the RBIS annual model, submissions 4x per year are no longer required. CMS will continue to provide four submission windows per year in case of changes or</w:t>
      </w:r>
      <w:r>
        <w:rPr>
          <w:spacing w:val="-1"/>
        </w:rPr>
        <w:t xml:space="preserve"> </w:t>
      </w:r>
      <w:r>
        <w:t>updates</w:t>
      </w:r>
      <w:r>
        <w:rPr>
          <w:spacing w:val="-2"/>
        </w:rPr>
        <w:t xml:space="preserve"> </w:t>
      </w:r>
      <w:r>
        <w:t>to</w:t>
      </w:r>
      <w:r>
        <w:rPr>
          <w:spacing w:val="-3"/>
        </w:rPr>
        <w:t xml:space="preserve"> </w:t>
      </w:r>
      <w:r>
        <w:t>submitted</w:t>
      </w:r>
      <w:r>
        <w:rPr>
          <w:spacing w:val="-3"/>
        </w:rPr>
        <w:t xml:space="preserve"> </w:t>
      </w:r>
      <w:r>
        <w:t>data,</w:t>
      </w:r>
      <w:r>
        <w:rPr>
          <w:spacing w:val="-3"/>
        </w:rPr>
        <w:t xml:space="preserve"> </w:t>
      </w:r>
      <w:r>
        <w:t>but</w:t>
      </w:r>
      <w:r>
        <w:rPr>
          <w:spacing w:val="-3"/>
        </w:rPr>
        <w:t xml:space="preserve"> </w:t>
      </w:r>
      <w:r>
        <w:t>some</w:t>
      </w:r>
      <w:r>
        <w:rPr>
          <w:spacing w:val="-2"/>
        </w:rPr>
        <w:t xml:space="preserve"> </w:t>
      </w:r>
      <w:r>
        <w:t>issuers</w:t>
      </w:r>
      <w:r>
        <w:rPr>
          <w:spacing w:val="-3"/>
        </w:rPr>
        <w:t xml:space="preserve"> </w:t>
      </w:r>
      <w:r>
        <w:t>may</w:t>
      </w:r>
      <w:r>
        <w:rPr>
          <w:spacing w:val="-5"/>
        </w:rPr>
        <w:t xml:space="preserve"> </w:t>
      </w:r>
      <w:r>
        <w:t>be</w:t>
      </w:r>
      <w:r>
        <w:rPr>
          <w:spacing w:val="-2"/>
        </w:rPr>
        <w:t xml:space="preserve"> </w:t>
      </w:r>
      <w:r>
        <w:t>able</w:t>
      </w:r>
      <w:r>
        <w:rPr>
          <w:spacing w:val="-2"/>
        </w:rPr>
        <w:t xml:space="preserve"> </w:t>
      </w:r>
      <w:r>
        <w:t>to</w:t>
      </w:r>
      <w:r>
        <w:rPr>
          <w:spacing w:val="-3"/>
        </w:rPr>
        <w:t xml:space="preserve"> </w:t>
      </w:r>
      <w:r>
        <w:t>provide</w:t>
      </w:r>
      <w:r>
        <w:rPr>
          <w:spacing w:val="-2"/>
        </w:rPr>
        <w:t xml:space="preserve"> </w:t>
      </w:r>
      <w:r>
        <w:t>data</w:t>
      </w:r>
      <w:r>
        <w:rPr>
          <w:spacing w:val="-4"/>
        </w:rPr>
        <w:t xml:space="preserve"> </w:t>
      </w:r>
      <w:r>
        <w:t>only</w:t>
      </w:r>
      <w:r>
        <w:rPr>
          <w:spacing w:val="-3"/>
        </w:rPr>
        <w:t xml:space="preserve"> </w:t>
      </w:r>
      <w:r>
        <w:t>once</w:t>
      </w:r>
      <w:r>
        <w:rPr>
          <w:spacing w:val="-2"/>
        </w:rPr>
        <w:t xml:space="preserve"> </w:t>
      </w:r>
      <w:r>
        <w:t>for</w:t>
      </w:r>
      <w:r>
        <w:rPr>
          <w:spacing w:val="-1"/>
        </w:rPr>
        <w:t xml:space="preserve"> </w:t>
      </w:r>
      <w:r>
        <w:t>the</w:t>
      </w:r>
      <w:r>
        <w:rPr>
          <w:spacing w:val="-2"/>
        </w:rPr>
        <w:t xml:space="preserve"> </w:t>
      </w:r>
      <w:r>
        <w:t>entire plan</w:t>
      </w:r>
      <w:r>
        <w:rPr>
          <w:spacing w:val="-3"/>
        </w:rPr>
        <w:t xml:space="preserve"> </w:t>
      </w:r>
      <w:r>
        <w:t>year.</w:t>
      </w:r>
      <w:r>
        <w:rPr>
          <w:spacing w:val="-2"/>
        </w:rPr>
        <w:t xml:space="preserve"> </w:t>
      </w:r>
    </w:p>
    <w:p w:rsidR="00FA1A1F" w14:paraId="1A8B2209" w14:textId="77777777">
      <w:pPr>
        <w:pStyle w:val="BodyText"/>
        <w:spacing w:before="51"/>
      </w:pPr>
    </w:p>
    <w:p w:rsidR="00FA1A1F" w14:paraId="66A583AA" w14:textId="77777777">
      <w:pPr>
        <w:pStyle w:val="Heading1"/>
        <w:numPr>
          <w:ilvl w:val="1"/>
          <w:numId w:val="1"/>
        </w:numPr>
        <w:tabs>
          <w:tab w:val="left" w:pos="785"/>
        </w:tabs>
        <w:ind w:left="785" w:hanging="442"/>
      </w:pPr>
      <w:bookmarkStart w:id="22" w:name="16.__Publication/Tabulation_Dates"/>
      <w:bookmarkEnd w:id="22"/>
      <w:r>
        <w:rPr>
          <w:spacing w:val="-2"/>
        </w:rPr>
        <w:t>Publication/Tabulation</w:t>
      </w:r>
      <w:r>
        <w:rPr>
          <w:spacing w:val="27"/>
        </w:rPr>
        <w:t xml:space="preserve"> </w:t>
      </w:r>
      <w:r>
        <w:rPr>
          <w:spacing w:val="-4"/>
        </w:rPr>
        <w:t>Dates</w:t>
      </w:r>
    </w:p>
    <w:p w:rsidR="00FA1A1F" w14:paraId="76B90D23" w14:textId="77777777">
      <w:pPr>
        <w:pStyle w:val="BodyText"/>
        <w:spacing w:before="21" w:line="247" w:lineRule="auto"/>
        <w:ind w:left="355" w:right="1496" w:hanging="12"/>
      </w:pPr>
      <w:r>
        <w:t>The</w:t>
      </w:r>
      <w:r>
        <w:rPr>
          <w:spacing w:val="-2"/>
        </w:rPr>
        <w:t xml:space="preserve"> </w:t>
      </w:r>
      <w:r>
        <w:t>collection</w:t>
      </w:r>
      <w:r>
        <w:rPr>
          <w:spacing w:val="-4"/>
        </w:rPr>
        <w:t xml:space="preserve"> </w:t>
      </w:r>
      <w:r>
        <w:t>of</w:t>
      </w:r>
      <w:r>
        <w:rPr>
          <w:spacing w:val="-3"/>
        </w:rPr>
        <w:t xml:space="preserve"> </w:t>
      </w:r>
      <w:r>
        <w:t>detailed</w:t>
      </w:r>
      <w:r>
        <w:rPr>
          <w:spacing w:val="-6"/>
        </w:rPr>
        <w:t xml:space="preserve"> </w:t>
      </w:r>
      <w:r>
        <w:t>information</w:t>
      </w:r>
      <w:r>
        <w:rPr>
          <w:spacing w:val="-4"/>
        </w:rPr>
        <w:t xml:space="preserve"> </w:t>
      </w:r>
      <w:r>
        <w:t>from</w:t>
      </w:r>
      <w:r>
        <w:rPr>
          <w:spacing w:val="-2"/>
        </w:rPr>
        <w:t xml:space="preserve"> </w:t>
      </w:r>
      <w:r>
        <w:t>issuers</w:t>
      </w:r>
      <w:r>
        <w:rPr>
          <w:spacing w:val="-2"/>
        </w:rPr>
        <w:t xml:space="preserve"> </w:t>
      </w:r>
      <w:r>
        <w:t>to</w:t>
      </w:r>
      <w:r>
        <w:rPr>
          <w:spacing w:val="-2"/>
        </w:rPr>
        <w:t xml:space="preserve"> </w:t>
      </w:r>
      <w:r>
        <w:t>post</w:t>
      </w:r>
      <w:r>
        <w:rPr>
          <w:spacing w:val="-6"/>
        </w:rPr>
        <w:t xml:space="preserve"> </w:t>
      </w:r>
      <w:r>
        <w:t>on</w:t>
      </w:r>
      <w:r>
        <w:rPr>
          <w:spacing w:val="-4"/>
        </w:rPr>
        <w:t xml:space="preserve"> </w:t>
      </w:r>
      <w:r>
        <w:t>Finder.healthcare.gov</w:t>
      </w:r>
      <w:r>
        <w:rPr>
          <w:spacing w:val="-4"/>
        </w:rPr>
        <w:t xml:space="preserve"> </w:t>
      </w:r>
      <w:r>
        <w:t>is</w:t>
      </w:r>
      <w:r>
        <w:rPr>
          <w:spacing w:val="-2"/>
        </w:rPr>
        <w:t xml:space="preserve"> </w:t>
      </w:r>
      <w:r>
        <w:t>anticipated under this request for collection in March 2025.</w:t>
      </w:r>
    </w:p>
    <w:p w:rsidR="00FA1A1F" w14:paraId="3439E5A3" w14:textId="77777777">
      <w:pPr>
        <w:pStyle w:val="BodyText"/>
        <w:spacing w:before="49"/>
      </w:pPr>
    </w:p>
    <w:p w:rsidR="00FA1A1F" w14:paraId="2C2B63AD" w14:textId="77777777">
      <w:pPr>
        <w:pStyle w:val="Heading1"/>
        <w:numPr>
          <w:ilvl w:val="1"/>
          <w:numId w:val="1"/>
        </w:numPr>
        <w:tabs>
          <w:tab w:val="left" w:pos="785"/>
        </w:tabs>
        <w:ind w:left="785" w:hanging="442"/>
      </w:pPr>
      <w:bookmarkStart w:id="23" w:name="17.__Expiration_Date"/>
      <w:bookmarkEnd w:id="23"/>
      <w:r>
        <w:t>Expiration</w:t>
      </w:r>
      <w:r>
        <w:rPr>
          <w:spacing w:val="-8"/>
        </w:rPr>
        <w:t xml:space="preserve"> </w:t>
      </w:r>
      <w:r>
        <w:rPr>
          <w:spacing w:val="-4"/>
        </w:rPr>
        <w:t>Date</w:t>
      </w:r>
    </w:p>
    <w:p w:rsidR="00FA1A1F" w14:paraId="179BA5F0" w14:textId="77777777">
      <w:pPr>
        <w:pStyle w:val="BodyText"/>
        <w:spacing w:before="19"/>
        <w:ind w:left="357"/>
      </w:pPr>
      <w:r>
        <w:t>The</w:t>
      </w:r>
      <w:r>
        <w:rPr>
          <w:spacing w:val="-5"/>
        </w:rPr>
        <w:t xml:space="preserve"> </w:t>
      </w:r>
      <w:r>
        <w:t>expiration</w:t>
      </w:r>
      <w:r>
        <w:rPr>
          <w:spacing w:val="-4"/>
        </w:rPr>
        <w:t xml:space="preserve"> </w:t>
      </w:r>
      <w:r>
        <w:t>date</w:t>
      </w:r>
      <w:r>
        <w:rPr>
          <w:spacing w:val="-3"/>
        </w:rPr>
        <w:t xml:space="preserve"> </w:t>
      </w:r>
      <w:r>
        <w:t>and</w:t>
      </w:r>
      <w:r>
        <w:rPr>
          <w:spacing w:val="-6"/>
        </w:rPr>
        <w:t xml:space="preserve"> </w:t>
      </w:r>
      <w:r>
        <w:t>OMB</w:t>
      </w:r>
      <w:r>
        <w:rPr>
          <w:spacing w:val="-3"/>
        </w:rPr>
        <w:t xml:space="preserve"> </w:t>
      </w:r>
      <w:r>
        <w:t>control</w:t>
      </w:r>
      <w:r>
        <w:rPr>
          <w:spacing w:val="-4"/>
        </w:rPr>
        <w:t xml:space="preserve"> </w:t>
      </w:r>
      <w:r>
        <w:t>number</w:t>
      </w:r>
      <w:r>
        <w:rPr>
          <w:spacing w:val="-4"/>
        </w:rPr>
        <w:t xml:space="preserve"> </w:t>
      </w:r>
      <w:r>
        <w:t>will</w:t>
      </w:r>
      <w:r>
        <w:rPr>
          <w:spacing w:val="-5"/>
        </w:rPr>
        <w:t xml:space="preserve"> </w:t>
      </w:r>
      <w:r>
        <w:t>be</w:t>
      </w:r>
      <w:r>
        <w:rPr>
          <w:spacing w:val="-3"/>
        </w:rPr>
        <w:t xml:space="preserve"> </w:t>
      </w:r>
      <w:r>
        <w:t>displayed</w:t>
      </w:r>
      <w:r>
        <w:rPr>
          <w:spacing w:val="-4"/>
        </w:rPr>
        <w:t xml:space="preserve"> </w:t>
      </w:r>
      <w:r>
        <w:t>on</w:t>
      </w:r>
      <w:r>
        <w:rPr>
          <w:spacing w:val="-4"/>
        </w:rPr>
        <w:t xml:space="preserve"> </w:t>
      </w:r>
      <w:r>
        <w:t>each</w:t>
      </w:r>
      <w:r>
        <w:rPr>
          <w:spacing w:val="-4"/>
        </w:rPr>
        <w:t xml:space="preserve"> </w:t>
      </w:r>
      <w:r>
        <w:rPr>
          <w:spacing w:val="-2"/>
        </w:rPr>
        <w:t>instrument.</w:t>
      </w:r>
    </w:p>
    <w:p w:rsidR="00B5699A" w14:paraId="43BE481E" w14:textId="671A6412">
      <w:pPr>
        <w:pStyle w:val="BodyText"/>
        <w:spacing w:before="213"/>
      </w:pPr>
    </w:p>
    <w:p w:rsidR="00B5699A" w:rsidP="00B5699A" w14:paraId="4E8807B2" w14:textId="191957A3">
      <w:pPr>
        <w:pStyle w:val="BodyText"/>
        <w:numPr>
          <w:ilvl w:val="1"/>
          <w:numId w:val="1"/>
        </w:numPr>
        <w:spacing w:before="213"/>
      </w:pPr>
      <w:r>
        <w:t>Certification Statement</w:t>
      </w:r>
    </w:p>
    <w:p w:rsidR="00FA1A1F" w:rsidP="00B5699A" w14:paraId="43464CB9" w14:textId="64C75DF3">
      <w:pPr>
        <w:pStyle w:val="BodyText"/>
        <w:spacing w:before="213"/>
        <w:ind w:left="390"/>
        <w:rPr>
          <w:sz w:val="16"/>
        </w:rPr>
      </w:pPr>
      <w:r>
        <w:t>There is no objection to the certification.</w:t>
      </w:r>
    </w:p>
    <w:sectPr>
      <w:pgSz w:w="12240" w:h="15840"/>
      <w:pgMar w:top="182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663949"/>
    <w:multiLevelType w:val="hybridMultilevel"/>
    <w:tmpl w:val="EE32A90A"/>
    <w:lvl w:ilvl="0">
      <w:start w:val="1"/>
      <w:numFmt w:val="upperLetter"/>
      <w:lvlText w:val="%1."/>
      <w:lvlJc w:val="left"/>
      <w:pPr>
        <w:ind w:left="638" w:hanging="296"/>
      </w:pPr>
      <w:rPr>
        <w:rFonts w:ascii="Cambria" w:eastAsia="Cambria" w:hAnsi="Cambria" w:cs="Cambria" w:hint="default"/>
        <w:b w:val="0"/>
        <w:bCs w:val="0"/>
        <w:i w:val="0"/>
        <w:iCs w:val="0"/>
        <w:spacing w:val="0"/>
        <w:w w:val="100"/>
        <w:sz w:val="28"/>
        <w:szCs w:val="28"/>
        <w:lang w:val="en-US" w:eastAsia="en-US" w:bidi="ar-SA"/>
      </w:rPr>
    </w:lvl>
    <w:lvl w:ilvl="1">
      <w:start w:val="1"/>
      <w:numFmt w:val="decimal"/>
      <w:lvlText w:val="%2."/>
      <w:lvlJc w:val="left"/>
      <w:pPr>
        <w:ind w:left="667" w:hanging="277"/>
      </w:pPr>
      <w:rPr>
        <w:rFonts w:hint="default"/>
        <w:spacing w:val="-1"/>
        <w:w w:val="98"/>
        <w:lang w:val="en-US" w:eastAsia="en-US" w:bidi="ar-SA"/>
      </w:rPr>
    </w:lvl>
    <w:lvl w:ilvl="2">
      <w:start w:val="0"/>
      <w:numFmt w:val="bullet"/>
      <w:lvlText w:val="•"/>
      <w:lvlJc w:val="left"/>
      <w:pPr>
        <w:ind w:left="1826" w:hanging="277"/>
      </w:pPr>
      <w:rPr>
        <w:rFonts w:hint="default"/>
        <w:lang w:val="en-US" w:eastAsia="en-US" w:bidi="ar-SA"/>
      </w:rPr>
    </w:lvl>
    <w:lvl w:ilvl="3">
      <w:start w:val="0"/>
      <w:numFmt w:val="bullet"/>
      <w:lvlText w:val="•"/>
      <w:lvlJc w:val="left"/>
      <w:pPr>
        <w:ind w:left="2993" w:hanging="277"/>
      </w:pPr>
      <w:rPr>
        <w:rFonts w:hint="default"/>
        <w:lang w:val="en-US" w:eastAsia="en-US" w:bidi="ar-SA"/>
      </w:rPr>
    </w:lvl>
    <w:lvl w:ilvl="4">
      <w:start w:val="0"/>
      <w:numFmt w:val="bullet"/>
      <w:lvlText w:val="•"/>
      <w:lvlJc w:val="left"/>
      <w:pPr>
        <w:ind w:left="4160" w:hanging="277"/>
      </w:pPr>
      <w:rPr>
        <w:rFonts w:hint="default"/>
        <w:lang w:val="en-US" w:eastAsia="en-US" w:bidi="ar-SA"/>
      </w:rPr>
    </w:lvl>
    <w:lvl w:ilvl="5">
      <w:start w:val="0"/>
      <w:numFmt w:val="bullet"/>
      <w:lvlText w:val="•"/>
      <w:lvlJc w:val="left"/>
      <w:pPr>
        <w:ind w:left="5326" w:hanging="277"/>
      </w:pPr>
      <w:rPr>
        <w:rFonts w:hint="default"/>
        <w:lang w:val="en-US" w:eastAsia="en-US" w:bidi="ar-SA"/>
      </w:rPr>
    </w:lvl>
    <w:lvl w:ilvl="6">
      <w:start w:val="0"/>
      <w:numFmt w:val="bullet"/>
      <w:lvlText w:val="•"/>
      <w:lvlJc w:val="left"/>
      <w:pPr>
        <w:ind w:left="6493" w:hanging="277"/>
      </w:pPr>
      <w:rPr>
        <w:rFonts w:hint="default"/>
        <w:lang w:val="en-US" w:eastAsia="en-US" w:bidi="ar-SA"/>
      </w:rPr>
    </w:lvl>
    <w:lvl w:ilvl="7">
      <w:start w:val="0"/>
      <w:numFmt w:val="bullet"/>
      <w:lvlText w:val="•"/>
      <w:lvlJc w:val="left"/>
      <w:pPr>
        <w:ind w:left="7660" w:hanging="277"/>
      </w:pPr>
      <w:rPr>
        <w:rFonts w:hint="default"/>
        <w:lang w:val="en-US" w:eastAsia="en-US" w:bidi="ar-SA"/>
      </w:rPr>
    </w:lvl>
    <w:lvl w:ilvl="8">
      <w:start w:val="0"/>
      <w:numFmt w:val="bullet"/>
      <w:lvlText w:val="•"/>
      <w:lvlJc w:val="left"/>
      <w:pPr>
        <w:ind w:left="8826" w:hanging="277"/>
      </w:pPr>
      <w:rPr>
        <w:rFonts w:hint="default"/>
        <w:lang w:val="en-US" w:eastAsia="en-US" w:bidi="ar-SA"/>
      </w:rPr>
    </w:lvl>
  </w:abstractNum>
  <w:num w:numId="1" w16cid:durableId="114243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1F"/>
    <w:rsid w:val="000764EA"/>
    <w:rsid w:val="00777D27"/>
    <w:rsid w:val="00A121D5"/>
    <w:rsid w:val="00B5699A"/>
    <w:rsid w:val="00F12D7F"/>
    <w:rsid w:val="00F21ECB"/>
    <w:rsid w:val="00FA1A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B5D36"/>
  <w15:docId w15:val="{28BA1964-A238-4E60-99E4-C3A4E73A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85" w:hanging="442"/>
      <w:outlineLvl w:val="0"/>
    </w:pPr>
    <w:rPr>
      <w:rFonts w:ascii="Cambria" w:eastAsia="Cambria" w:hAnsi="Cambria" w:cs="Cambria"/>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43"/>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785" w:hanging="442"/>
    </w:pPr>
    <w:rPr>
      <w:rFonts w:ascii="Cambria" w:eastAsia="Cambria" w:hAnsi="Cambria" w:cs="Cambria"/>
    </w:rPr>
  </w:style>
  <w:style w:type="paragraph" w:customStyle="1" w:styleId="TableParagraph">
    <w:name w:val="Table Paragraph"/>
    <w:basedOn w:val="Normal"/>
    <w:uiPriority w:val="1"/>
    <w:qFormat/>
    <w:pPr>
      <w:spacing w:before="47"/>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113021.htm" TargetMode="External" /><Relationship Id="rId5" Type="http://schemas.openxmlformats.org/officeDocument/2006/relationships/hyperlink" Target="https://www.opm.gov/policy-data-oversight/pay-leave/salaries-wages/salary-tables/pdf/2024/DCB.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CMS 10320 Supporting Statement A 2020</vt:lpstr>
    </vt:vector>
  </TitlesOfParts>
  <Company>CMS</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10320 Supporting Statement A 2020</dc:title>
  <dc:creator>CMS</dc:creator>
  <cp:lastModifiedBy>Hill, Jamaa (CMS/OSORA)</cp:lastModifiedBy>
  <cp:revision>3</cp:revision>
  <dcterms:created xsi:type="dcterms:W3CDTF">2025-10-01T11:44:00Z</dcterms:created>
  <dcterms:modified xsi:type="dcterms:W3CDTF">2025-11-03T18:20:00Z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Created">
    <vt:filetime>2025-01-22T00:00:00Z</vt:filetime>
  </property>
  <property fmtid="{D5CDD505-2E9C-101B-9397-08002B2CF9AE}" pid="4" name="Creator">
    <vt:lpwstr>Acrobat PDFMaker 24 for Word</vt:lpwstr>
  </property>
  <property fmtid="{D5CDD505-2E9C-101B-9397-08002B2CF9AE}" pid="5" name="LastSaved">
    <vt:filetime>2025-10-01T00:00:00Z</vt:filetime>
  </property>
  <property fmtid="{D5CDD505-2E9C-101B-9397-08002B2CF9AE}" pid="6" name="Producer">
    <vt:lpwstr>Adobe PDF Library 24.4.48</vt:lpwstr>
  </property>
  <property fmtid="{D5CDD505-2E9C-101B-9397-08002B2CF9AE}" pid="7" name="SourceModified">
    <vt:lpwstr>D:20250122200716</vt:lpwstr>
  </property>
</Properties>
</file>