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2F67" w:rsidRPr="00182F67" w:rsidP="00182F67" w14:paraId="0AE8FA97" w14:textId="1700EEA2">
      <w:pPr>
        <w:jc w:val="center"/>
        <w:textAlignment w:val="baseline"/>
        <w:rPr>
          <w:rFonts w:ascii="Segoe UI" w:eastAsia="Times New Roman" w:hAnsi="Segoe UI" w:cs="Segoe UI"/>
          <w:sz w:val="18"/>
          <w:szCs w:val="18"/>
        </w:rPr>
      </w:pPr>
      <w:r w:rsidRPr="00182F67">
        <w:rPr>
          <w:rFonts w:eastAsia="Times New Roman"/>
        </w:rPr>
        <w:t>United States Food and Drug Administration </w:t>
      </w:r>
    </w:p>
    <w:p w:rsidR="00182F67" w:rsidRPr="00182F67" w:rsidP="00182F67" w14:paraId="26E21CD1" w14:textId="77777777">
      <w:pPr>
        <w:jc w:val="center"/>
        <w:textAlignment w:val="baseline"/>
        <w:rPr>
          <w:rFonts w:ascii="Segoe UI" w:eastAsia="Times New Roman" w:hAnsi="Segoe UI" w:cs="Segoe UI"/>
          <w:sz w:val="18"/>
          <w:szCs w:val="18"/>
        </w:rPr>
      </w:pPr>
      <w:r w:rsidRPr="00182F67">
        <w:rPr>
          <w:rFonts w:eastAsia="Times New Roman"/>
        </w:rPr>
        <w:t> </w:t>
      </w:r>
    </w:p>
    <w:p w:rsidR="00182F67" w:rsidRPr="00182F67" w:rsidP="00182F67" w14:paraId="4B784CFA" w14:textId="77777777">
      <w:pPr>
        <w:jc w:val="center"/>
        <w:textAlignment w:val="baseline"/>
        <w:rPr>
          <w:rFonts w:ascii="Segoe UI" w:eastAsia="Times New Roman" w:hAnsi="Segoe UI" w:cs="Segoe UI"/>
          <w:sz w:val="18"/>
          <w:szCs w:val="18"/>
        </w:rPr>
      </w:pPr>
      <w:r w:rsidRPr="00182F67">
        <w:rPr>
          <w:rFonts w:eastAsia="Times New Roman"/>
        </w:rPr>
        <w:t>Center for Tobacco Products </w:t>
      </w:r>
    </w:p>
    <w:p w:rsidR="00182F67" w:rsidRPr="00182F67" w:rsidP="00182F67" w14:paraId="612DDE7F" w14:textId="77777777">
      <w:pPr>
        <w:jc w:val="center"/>
        <w:textAlignment w:val="baseline"/>
        <w:rPr>
          <w:rFonts w:ascii="Segoe UI" w:eastAsia="Times New Roman" w:hAnsi="Segoe UI" w:cs="Segoe UI"/>
          <w:sz w:val="18"/>
          <w:szCs w:val="18"/>
        </w:rPr>
      </w:pPr>
      <w:r w:rsidRPr="00182F67">
        <w:rPr>
          <w:rFonts w:eastAsia="Times New Roman"/>
        </w:rPr>
        <w:t> </w:t>
      </w:r>
    </w:p>
    <w:p w:rsidR="00182F67" w:rsidRPr="00182F67" w:rsidP="00182F67" w14:paraId="37BD9983" w14:textId="77777777">
      <w:pPr>
        <w:jc w:val="center"/>
        <w:textAlignment w:val="baseline"/>
        <w:rPr>
          <w:rFonts w:ascii="Segoe UI" w:eastAsia="Times New Roman" w:hAnsi="Segoe UI" w:cs="Segoe UI"/>
          <w:sz w:val="18"/>
          <w:szCs w:val="18"/>
        </w:rPr>
      </w:pPr>
      <w:r w:rsidRPr="00182F67">
        <w:rPr>
          <w:rFonts w:eastAsia="Times New Roman"/>
        </w:rPr>
        <w:t>NATIONAL YOUTH TOBACCO SURVEY, 2024 - 2026 </w:t>
      </w:r>
    </w:p>
    <w:p w:rsidR="00182F67" w:rsidRPr="00182F67" w:rsidP="00182F67" w14:paraId="7FB6F53A" w14:textId="77777777">
      <w:pPr>
        <w:jc w:val="center"/>
        <w:textAlignment w:val="baseline"/>
        <w:rPr>
          <w:rFonts w:ascii="Segoe UI" w:eastAsia="Times New Roman" w:hAnsi="Segoe UI" w:cs="Segoe UI"/>
          <w:sz w:val="18"/>
          <w:szCs w:val="18"/>
        </w:rPr>
      </w:pPr>
      <w:r w:rsidRPr="00182F67">
        <w:rPr>
          <w:rFonts w:eastAsia="Times New Roman"/>
        </w:rPr>
        <w:t> </w:t>
      </w:r>
    </w:p>
    <w:p w:rsidR="00182F67" w:rsidRPr="00182F67" w:rsidP="00182F67" w14:paraId="28EAAC94" w14:textId="77777777">
      <w:pPr>
        <w:jc w:val="center"/>
        <w:textAlignment w:val="baseline"/>
        <w:rPr>
          <w:rFonts w:ascii="Segoe UI" w:eastAsia="Times New Roman" w:hAnsi="Segoe UI" w:cs="Segoe UI"/>
          <w:sz w:val="18"/>
          <w:szCs w:val="18"/>
        </w:rPr>
      </w:pPr>
      <w:r w:rsidRPr="00182F67">
        <w:rPr>
          <w:rFonts w:eastAsia="Times New Roman"/>
        </w:rPr>
        <w:t>OMB Control No. 0910-0932 </w:t>
      </w:r>
    </w:p>
    <w:p w:rsidR="00182F67" w:rsidRPr="00182F67" w:rsidP="00182F67" w14:paraId="4DEB8301" w14:textId="77777777">
      <w:pPr>
        <w:jc w:val="center"/>
        <w:textAlignment w:val="baseline"/>
        <w:rPr>
          <w:rFonts w:ascii="Segoe UI" w:eastAsia="Times New Roman" w:hAnsi="Segoe UI" w:cs="Segoe UI"/>
          <w:sz w:val="18"/>
          <w:szCs w:val="18"/>
        </w:rPr>
      </w:pPr>
      <w:r w:rsidRPr="00182F67">
        <w:rPr>
          <w:rFonts w:eastAsia="Times New Roman"/>
        </w:rPr>
        <w:t> </w:t>
      </w:r>
    </w:p>
    <w:p w:rsidR="00182F67" w:rsidRPr="00182F67" w:rsidP="00182F67" w14:paraId="5F0DA403" w14:textId="77777777">
      <w:pPr>
        <w:jc w:val="center"/>
        <w:textAlignment w:val="baseline"/>
        <w:rPr>
          <w:rFonts w:ascii="Segoe UI" w:eastAsia="Times New Roman" w:hAnsi="Segoe UI" w:cs="Segoe UI"/>
          <w:sz w:val="18"/>
          <w:szCs w:val="18"/>
        </w:rPr>
      </w:pPr>
      <w:r w:rsidRPr="00182F67">
        <w:rPr>
          <w:rFonts w:eastAsia="Times New Roman"/>
        </w:rPr>
        <w:t>SUPPORTING STATEMENT PART A </w:t>
      </w:r>
    </w:p>
    <w:p w:rsidR="004962EB" w:rsidP="004962EB" w14:paraId="6619D098" w14:textId="7F9F8D44">
      <w:pPr>
        <w:pStyle w:val="BodyText"/>
        <w:spacing w:after="0"/>
        <w:ind w:firstLine="0"/>
      </w:pPr>
      <w:r w:rsidRPr="00185D69">
        <w:rPr>
          <w:b/>
          <w:bCs/>
        </w:rPr>
        <w:br w:type="page"/>
      </w:r>
      <w:bookmarkStart w:id="0" w:name="_Hlk130554647"/>
    </w:p>
    <w:bookmarkEnd w:id="0"/>
    <w:p w:rsidR="00DB5DEC" w:rsidRPr="004962EB" w:rsidP="004962EB" w14:paraId="076441EC" w14:textId="77777777">
      <w:pPr>
        <w:pStyle w:val="BodyText"/>
        <w:spacing w:after="0"/>
        <w:ind w:firstLine="0"/>
        <w:rPr>
          <w:bCs/>
        </w:rPr>
      </w:pPr>
      <w:r w:rsidRPr="00185D69">
        <w:rPr>
          <w:noProof/>
        </w:rPr>
        <mc:AlternateContent>
          <mc:Choice Requires="wps">
            <w:drawing>
              <wp:anchor distT="45720" distB="45720" distL="114300" distR="114300" simplePos="0" relativeHeight="251658240" behindDoc="0" locked="0" layoutInCell="1" allowOverlap="1">
                <wp:simplePos x="0" y="0"/>
                <wp:positionH relativeFrom="column">
                  <wp:posOffset>-85725</wp:posOffset>
                </wp:positionH>
                <wp:positionV relativeFrom="paragraph">
                  <wp:posOffset>125730</wp:posOffset>
                </wp:positionV>
                <wp:extent cx="6124575" cy="1625600"/>
                <wp:effectExtent l="9525" t="11430" r="9525" b="889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4575" cy="1625600"/>
                        </a:xfrm>
                        <a:prstGeom prst="rect">
                          <a:avLst/>
                        </a:prstGeom>
                        <a:solidFill>
                          <a:srgbClr val="FFFFFF"/>
                        </a:solidFill>
                        <a:ln w="9525">
                          <a:solidFill>
                            <a:srgbClr val="000000"/>
                          </a:solidFill>
                          <a:miter lim="800000"/>
                          <a:headEnd/>
                          <a:tailEnd/>
                        </a:ln>
                      </wps:spPr>
                      <wps:txbx>
                        <w:txbxContent>
                          <w:p w:rsidR="001601A0" w:rsidRPr="00CD6431" w:rsidP="00E765EA" w14:textId="77777777">
                            <w:pPr>
                              <w:numPr>
                                <w:ilvl w:val="0"/>
                                <w:numId w:val="42"/>
                              </w:numPr>
                              <w:rPr>
                                <w:b/>
                              </w:rPr>
                            </w:pPr>
                            <w:r w:rsidRPr="00CD6431">
                              <w:rPr>
                                <w:b/>
                              </w:rPr>
                              <w:t>Goal of the study</w:t>
                            </w:r>
                            <w:r w:rsidRPr="00CD6431">
                              <w:rPr>
                                <w:b/>
                              </w:rPr>
                              <w:br/>
                            </w:r>
                          </w:p>
                          <w:p w:rsidR="001601A0" w:rsidP="00994202" w14:textId="77777777">
                            <w:pPr>
                              <w:ind w:left="360"/>
                            </w:pPr>
                            <w:r>
                              <w:t xml:space="preserve">The </w:t>
                            </w:r>
                            <w:r w:rsidR="000D6A73">
                              <w:t xml:space="preserve">goal of the </w:t>
                            </w:r>
                            <w:r>
                              <w:t xml:space="preserve">National Youth Tobacco Survey (NYTS) </w:t>
                            </w:r>
                            <w:r w:rsidR="00221C59">
                              <w:t xml:space="preserve">is to collect tobacco use behavioral data </w:t>
                            </w:r>
                            <w:r>
                              <w:t xml:space="preserve">among 6th through 12th grade students </w:t>
                            </w:r>
                            <w:r w:rsidRPr="009701AC">
                              <w:t>in 202</w:t>
                            </w:r>
                            <w:r w:rsidRPr="009701AC" w:rsidR="006075B4">
                              <w:t>4</w:t>
                            </w:r>
                            <w:r w:rsidRPr="009701AC">
                              <w:t>, 202</w:t>
                            </w:r>
                            <w:r w:rsidRPr="009701AC" w:rsidR="006075B4">
                              <w:t>5</w:t>
                            </w:r>
                            <w:r w:rsidRPr="009701AC">
                              <w:t>, and 202</w:t>
                            </w:r>
                            <w:r w:rsidRPr="009701AC" w:rsidR="006075B4">
                              <w:t>6</w:t>
                            </w:r>
                            <w:r>
                              <w:t xml:space="preserve">. The purpose of the survey is to assess </w:t>
                            </w:r>
                            <w:r w:rsidR="00221C59">
                              <w:t xml:space="preserve">use of tobacco products and the </w:t>
                            </w:r>
                            <w:r w:rsidR="00FE2123">
                              <w:rPr>
                                <w:iCs/>
                              </w:rPr>
                              <w:t>associated correlates.</w:t>
                            </w:r>
                            <w:r>
                              <w:t xml:space="preserve"> </w:t>
                            </w:r>
                          </w:p>
                          <w:p w:rsidR="001601A0" w:rsidP="00376039" w14:textId="77777777">
                            <w:pPr>
                              <w:ind w:left="360"/>
                            </w:pPr>
                          </w:p>
                          <w:p w:rsidR="001601A0" w:rsidRPr="00CD6431" w:rsidP="00E765EA" w14:textId="77777777">
                            <w:pPr>
                              <w:numPr>
                                <w:ilvl w:val="0"/>
                                <w:numId w:val="42"/>
                              </w:numPr>
                              <w:rPr>
                                <w:b/>
                              </w:rPr>
                            </w:pPr>
                            <w:r w:rsidRPr="00CD6431">
                              <w:rPr>
                                <w:b/>
                              </w:rPr>
                              <w:t>Intended use of the resulting data</w:t>
                            </w:r>
                            <w:r w:rsidRPr="00CD6431">
                              <w:rPr>
                                <w:b/>
                              </w:rPr>
                              <w:br/>
                            </w:r>
                          </w:p>
                          <w:p w:rsidR="001601A0" w:rsidP="00E865A2" w14:textId="77777777">
                            <w:pPr>
                              <w:ind w:left="360"/>
                              <w:rPr>
                                <w:bCs/>
                              </w:rPr>
                            </w:pPr>
                            <w:r w:rsidRPr="00E865A2">
                              <w:rPr>
                                <w:bCs/>
                              </w:rPr>
                              <w:t>The NYTS data will be used to</w:t>
                            </w:r>
                            <w:r w:rsidR="008958CF">
                              <w:rPr>
                                <w:bCs/>
                              </w:rPr>
                              <w:t xml:space="preserve"> i</w:t>
                            </w:r>
                            <w:r w:rsidR="00FE2123">
                              <w:rPr>
                                <w:bCs/>
                              </w:rPr>
                              <w:t>nform policy decision</w:t>
                            </w:r>
                            <w:r w:rsidR="008958CF">
                              <w:rPr>
                                <w:bCs/>
                              </w:rPr>
                              <w:t>-</w:t>
                            </w:r>
                            <w:r w:rsidR="00FE2123">
                              <w:rPr>
                                <w:bCs/>
                              </w:rPr>
                              <w:t>making and</w:t>
                            </w:r>
                            <w:r w:rsidR="00397456">
                              <w:rPr>
                                <w:bCs/>
                              </w:rPr>
                              <w:t xml:space="preserve"> </w:t>
                            </w:r>
                            <w:r w:rsidR="00FE2123">
                              <w:rPr>
                                <w:bCs/>
                              </w:rPr>
                              <w:t>regulatory action</w:t>
                            </w:r>
                            <w:r w:rsidR="00427FFA">
                              <w:rPr>
                                <w:bCs/>
                              </w:rPr>
                              <w:t xml:space="preserve">s regarding </w:t>
                            </w:r>
                            <w:r w:rsidR="008F6468">
                              <w:rPr>
                                <w:bCs/>
                              </w:rPr>
                              <w:t>youth</w:t>
                            </w:r>
                            <w:r w:rsidR="00C1041A">
                              <w:rPr>
                                <w:bCs/>
                              </w:rPr>
                              <w:t xml:space="preserve"> access</w:t>
                            </w:r>
                            <w:r w:rsidR="008F6468">
                              <w:rPr>
                                <w:bCs/>
                              </w:rPr>
                              <w:t xml:space="preserve"> to tobacco products</w:t>
                            </w:r>
                            <w:r w:rsidR="00C1041A">
                              <w:rPr>
                                <w:bCs/>
                              </w:rPr>
                              <w:t>,</w:t>
                            </w:r>
                            <w:r w:rsidR="005A7EE0">
                              <w:rPr>
                                <w:bCs/>
                              </w:rPr>
                              <w:t xml:space="preserve"> exposure to tobacco marketing, </w:t>
                            </w:r>
                            <w:r w:rsidR="00727773">
                              <w:rPr>
                                <w:bCs/>
                              </w:rPr>
                              <w:t xml:space="preserve">and </w:t>
                            </w:r>
                            <w:r w:rsidR="00C1041A">
                              <w:rPr>
                                <w:bCs/>
                              </w:rPr>
                              <w:t xml:space="preserve">use </w:t>
                            </w:r>
                            <w:r w:rsidR="000520B0">
                              <w:rPr>
                                <w:bCs/>
                              </w:rPr>
                              <w:t>of tobacco product</w:t>
                            </w:r>
                            <w:r w:rsidR="00727773">
                              <w:rPr>
                                <w:bCs/>
                              </w:rPr>
                              <w:t xml:space="preserve">s. </w:t>
                            </w:r>
                            <w:r w:rsidR="00BC17AC">
                              <w:rPr>
                                <w:bCs/>
                              </w:rPr>
                              <w:t>Additionally, t</w:t>
                            </w:r>
                            <w:r w:rsidR="00176ABA">
                              <w:rPr>
                                <w:bCs/>
                              </w:rPr>
                              <w:t>he NYTS will</w:t>
                            </w:r>
                            <w:r w:rsidR="00BC17AC">
                              <w:rPr>
                                <w:bCs/>
                              </w:rPr>
                              <w:t xml:space="preserve"> </w:t>
                            </w:r>
                            <w:r w:rsidR="00176ABA">
                              <w:rPr>
                                <w:bCs/>
                              </w:rPr>
                              <w:t xml:space="preserve">be used </w:t>
                            </w:r>
                            <w:r w:rsidR="00752EAE">
                              <w:rPr>
                                <w:bCs/>
                              </w:rPr>
                              <w:t xml:space="preserve">as a benchmark </w:t>
                            </w:r>
                            <w:r w:rsidR="00B448CD">
                              <w:rPr>
                                <w:bCs/>
                              </w:rPr>
                              <w:t>for state-level trends</w:t>
                            </w:r>
                            <w:r w:rsidR="0037288B">
                              <w:rPr>
                                <w:bCs/>
                              </w:rPr>
                              <w:t>,</w:t>
                            </w:r>
                            <w:r w:rsidR="00227341">
                              <w:rPr>
                                <w:bCs/>
                              </w:rPr>
                              <w:t xml:space="preserve"> to measure progress </w:t>
                            </w:r>
                            <w:r w:rsidRPr="00E865A2">
                              <w:rPr>
                                <w:bCs/>
                              </w:rPr>
                              <w:t xml:space="preserve">towards achieving </w:t>
                            </w:r>
                            <w:r w:rsidRPr="009701AC">
                              <w:t>Healthy People 2030</w:t>
                            </w:r>
                            <w:r w:rsidRPr="00E865A2">
                              <w:rPr>
                                <w:bCs/>
                              </w:rPr>
                              <w:t xml:space="preserve"> </w:t>
                            </w:r>
                            <w:r w:rsidR="00E66FCD">
                              <w:rPr>
                                <w:bCs/>
                              </w:rPr>
                              <w:t xml:space="preserve">tobacco </w:t>
                            </w:r>
                            <w:r w:rsidRPr="00E865A2">
                              <w:rPr>
                                <w:bCs/>
                              </w:rPr>
                              <w:t>objectives</w:t>
                            </w:r>
                            <w:r w:rsidR="0037288B">
                              <w:rPr>
                                <w:bCs/>
                              </w:rPr>
                              <w:t>,</w:t>
                            </w:r>
                            <w:r w:rsidR="00E66FCD">
                              <w:rPr>
                                <w:bCs/>
                              </w:rPr>
                              <w:t xml:space="preserve"> </w:t>
                            </w:r>
                            <w:r w:rsidR="00AD510A">
                              <w:rPr>
                                <w:bCs/>
                              </w:rPr>
                              <w:t>and to</w:t>
                            </w:r>
                            <w:r w:rsidR="00227341">
                              <w:rPr>
                                <w:bCs/>
                              </w:rPr>
                              <w:t xml:space="preserve"> inform </w:t>
                            </w:r>
                            <w:r w:rsidR="00A97F37">
                              <w:rPr>
                                <w:bCs/>
                              </w:rPr>
                              <w:t xml:space="preserve">comprehensive </w:t>
                            </w:r>
                            <w:r w:rsidR="009A1296">
                              <w:rPr>
                                <w:bCs/>
                              </w:rPr>
                              <w:t>evidence</w:t>
                            </w:r>
                            <w:r w:rsidR="00227341">
                              <w:rPr>
                                <w:bCs/>
                              </w:rPr>
                              <w:t>-</w:t>
                            </w:r>
                            <w:r w:rsidR="009A1296">
                              <w:rPr>
                                <w:bCs/>
                              </w:rPr>
                              <w:t>based interventions</w:t>
                            </w:r>
                            <w:r w:rsidR="00227341">
                              <w:rPr>
                                <w:bCs/>
                              </w:rPr>
                              <w:t>.</w:t>
                            </w:r>
                          </w:p>
                          <w:p w:rsidR="001601A0" w:rsidP="00376039" w14:textId="77777777">
                            <w:pPr>
                              <w:ind w:left="720"/>
                            </w:pPr>
                          </w:p>
                          <w:p w:rsidR="001601A0" w:rsidRPr="00CD6431" w:rsidP="00E765EA" w14:textId="77777777">
                            <w:pPr>
                              <w:numPr>
                                <w:ilvl w:val="0"/>
                                <w:numId w:val="42"/>
                              </w:numPr>
                              <w:rPr>
                                <w:b/>
                              </w:rPr>
                            </w:pPr>
                            <w:r w:rsidRPr="00CD6431">
                              <w:rPr>
                                <w:b/>
                              </w:rPr>
                              <w:t>Methods to be used to collect</w:t>
                            </w:r>
                            <w:r w:rsidRPr="00CD6431">
                              <w:rPr>
                                <w:b/>
                              </w:rPr>
                              <w:br/>
                            </w:r>
                          </w:p>
                          <w:p w:rsidR="001601A0" w:rsidRPr="000175A6" w:rsidP="00376039" w14:textId="77777777">
                            <w:pPr>
                              <w:ind w:left="360"/>
                            </w:pPr>
                            <w:r>
                              <w:t xml:space="preserve">Teachers </w:t>
                            </w:r>
                            <w:r w:rsidR="00FE2123">
                              <w:t xml:space="preserve">will be </w:t>
                            </w:r>
                            <w:r w:rsidR="00EA0413">
                              <w:t xml:space="preserve">provided a URL to the </w:t>
                            </w:r>
                            <w:r w:rsidR="00E506E8">
                              <w:t>web</w:t>
                            </w:r>
                            <w:r>
                              <w:t xml:space="preserve"> </w:t>
                            </w:r>
                            <w:r w:rsidR="00E506E8">
                              <w:t xml:space="preserve">based </w:t>
                            </w:r>
                            <w:r w:rsidRPr="00B6198F">
                              <w:t>NYTS</w:t>
                            </w:r>
                            <w:r w:rsidR="00EA0413">
                              <w:t xml:space="preserve"> that will be active for a designated period of time (e.g.</w:t>
                            </w:r>
                            <w:r w:rsidR="00F85DF7">
                              <w:t>,</w:t>
                            </w:r>
                            <w:r w:rsidR="00EA0413">
                              <w:t xml:space="preserve"> week (s)). The survey can be administered during a class period and the students will be allowed to take the survey in any location where they are receiving educational instruction (e.g. school, home or some other place)</w:t>
                            </w:r>
                            <w:r>
                              <w:t>.</w:t>
                            </w:r>
                          </w:p>
                          <w:p w:rsidR="001601A0" w:rsidP="00376039" w14:textId="77777777">
                            <w:pPr>
                              <w:ind w:left="360"/>
                            </w:pPr>
                          </w:p>
                          <w:p w:rsidR="001601A0" w:rsidRPr="00CD6431" w:rsidP="00E765EA" w14:textId="77777777">
                            <w:pPr>
                              <w:numPr>
                                <w:ilvl w:val="0"/>
                                <w:numId w:val="42"/>
                              </w:numPr>
                              <w:rPr>
                                <w:b/>
                              </w:rPr>
                            </w:pPr>
                            <w:r w:rsidRPr="00CD6431">
                              <w:rPr>
                                <w:b/>
                              </w:rPr>
                              <w:t>The subpopulation to be studied</w:t>
                            </w:r>
                            <w:r w:rsidRPr="00CD6431">
                              <w:rPr>
                                <w:b/>
                              </w:rPr>
                              <w:br/>
                            </w:r>
                          </w:p>
                          <w:p w:rsidR="001601A0" w:rsidRPr="000175A6" w:rsidP="004962EB" w14:textId="73FA6A01">
                            <w:pPr>
                              <w:pStyle w:val="CommentText"/>
                              <w:ind w:left="360"/>
                              <w:rPr>
                                <w:sz w:val="24"/>
                                <w:szCs w:val="24"/>
                              </w:rPr>
                            </w:pPr>
                            <w:r>
                              <w:rPr>
                                <w:sz w:val="24"/>
                                <w:szCs w:val="24"/>
                              </w:rPr>
                              <w:t xml:space="preserve">Contingent upon final analytic sample size, </w:t>
                            </w:r>
                            <w:r w:rsidRPr="000175A6">
                              <w:rPr>
                                <w:sz w:val="24"/>
                                <w:szCs w:val="24"/>
                              </w:rPr>
                              <w:t>NYTS will provide data among subpopulations of youth, by race</w:t>
                            </w:r>
                            <w:r w:rsidR="00637514">
                              <w:rPr>
                                <w:sz w:val="24"/>
                                <w:szCs w:val="24"/>
                              </w:rPr>
                              <w:t xml:space="preserve"> and </w:t>
                            </w:r>
                            <w:r w:rsidRPr="000175A6">
                              <w:rPr>
                                <w:sz w:val="24"/>
                                <w:szCs w:val="24"/>
                              </w:rPr>
                              <w:t xml:space="preserve">ethnicity, sexual orientation, mental health </w:t>
                            </w:r>
                            <w:r w:rsidR="00B37511">
                              <w:rPr>
                                <w:sz w:val="24"/>
                                <w:szCs w:val="24"/>
                              </w:rPr>
                              <w:t>status</w:t>
                            </w:r>
                            <w:r w:rsidR="00B61D5F">
                              <w:rPr>
                                <w:sz w:val="24"/>
                                <w:szCs w:val="24"/>
                              </w:rPr>
                              <w:t xml:space="preserve"> (</w:t>
                            </w:r>
                            <w:r w:rsidRPr="000175A6">
                              <w:rPr>
                                <w:sz w:val="24"/>
                                <w:szCs w:val="24"/>
                              </w:rPr>
                              <w:t>depression/anxiety</w:t>
                            </w:r>
                            <w:r w:rsidR="00B61D5F">
                              <w:rPr>
                                <w:sz w:val="24"/>
                                <w:szCs w:val="24"/>
                              </w:rPr>
                              <w:t>)</w:t>
                            </w:r>
                            <w:r w:rsidR="00B61127">
                              <w:rPr>
                                <w:sz w:val="24"/>
                                <w:szCs w:val="24"/>
                              </w:rPr>
                              <w:t>,</w:t>
                            </w:r>
                            <w:r w:rsidR="0088244A">
                              <w:rPr>
                                <w:sz w:val="24"/>
                                <w:szCs w:val="24"/>
                              </w:rPr>
                              <w:t xml:space="preserve"> </w:t>
                            </w:r>
                            <w:r w:rsidR="00EA0413">
                              <w:rPr>
                                <w:sz w:val="24"/>
                                <w:szCs w:val="24"/>
                              </w:rPr>
                              <w:t>and academic achievement.</w:t>
                            </w:r>
                          </w:p>
                          <w:p w:rsidR="001601A0" w:rsidP="00376039" w14:textId="77777777">
                            <w:pPr>
                              <w:ind w:left="360"/>
                            </w:pPr>
                          </w:p>
                          <w:p w:rsidR="001601A0" w:rsidRPr="00CD6431" w:rsidP="00E765EA" w14:textId="77777777">
                            <w:pPr>
                              <w:numPr>
                                <w:ilvl w:val="0"/>
                                <w:numId w:val="42"/>
                              </w:numPr>
                              <w:rPr>
                                <w:b/>
                              </w:rPr>
                            </w:pPr>
                            <w:r w:rsidRPr="00CD6431">
                              <w:rPr>
                                <w:b/>
                              </w:rPr>
                              <w:t>How data will be analyzed</w:t>
                            </w:r>
                          </w:p>
                          <w:p w:rsidR="001601A0" w:rsidP="00376039" w14:textId="77777777">
                            <w:pPr>
                              <w:ind w:left="360"/>
                            </w:pPr>
                          </w:p>
                          <w:p w:rsidR="001601A0" w:rsidP="00376039" w14:textId="68C190D0">
                            <w:pPr>
                              <w:ind w:left="360"/>
                            </w:pPr>
                            <w:r>
                              <w:t xml:space="preserve">The NYTS data will be weighted to provide nationally representative estimates. </w:t>
                            </w:r>
                            <w:r w:rsidRPr="00355152">
                              <w:t xml:space="preserve">Data sets and documentation for the </w:t>
                            </w:r>
                            <w:r>
                              <w:t xml:space="preserve">NYTS </w:t>
                            </w:r>
                            <w:r w:rsidR="00D21BC9">
                              <w:t xml:space="preserve">are </w:t>
                            </w:r>
                            <w:r>
                              <w:t>available online</w:t>
                            </w:r>
                            <w:r w:rsidR="00EA0413">
                              <w:t xml:space="preserve"> </w:t>
                            </w:r>
                            <w:r w:rsidRPr="009701AC" w:rsidR="00EA0413">
                              <w:t>(</w:t>
                            </w:r>
                            <w:hyperlink r:id="rId9" w:history="1">
                              <w:r w:rsidRPr="009701AC" w:rsidR="00EA0413">
                                <w:rPr>
                                  <w:rStyle w:val="Hyperlink"/>
                                </w:rPr>
                                <w:t>National Youth Tobacco Survey (NYTS) | CDC</w:t>
                              </w:r>
                            </w:hyperlink>
                            <w:r w:rsidRPr="009701AC" w:rsidR="00EA0413">
                              <w:t>)</w:t>
                            </w:r>
                            <w:r w:rsidRPr="009701AC">
                              <w:t>.</w:t>
                            </w:r>
                            <w:r>
                              <w:t xml:space="preserve"> </w:t>
                            </w:r>
                            <w:r w:rsidR="002F0078">
                              <w:t xml:space="preserve">The data will be analyzed using </w:t>
                            </w:r>
                            <w:r w:rsidR="001B63D9">
                              <w:t>statistical packages, such as SAS, SAS-Callable SUD</w:t>
                            </w:r>
                            <w:r w:rsidR="004E0771">
                              <w:t>A</w:t>
                            </w:r>
                            <w:r w:rsidR="001B63D9">
                              <w:t>AN</w:t>
                            </w:r>
                            <w:r w:rsidR="00FC19B6">
                              <w:t xml:space="preserve">, R </w:t>
                            </w:r>
                            <w:r w:rsidR="00F85DF7">
                              <w:t xml:space="preserve">or </w:t>
                            </w:r>
                            <w:r w:rsidR="00FC19B6">
                              <w:t>STATA to produce descriptive</w:t>
                            </w:r>
                            <w:r w:rsidR="003141FA">
                              <w:t xml:space="preserve"> results of national </w:t>
                            </w:r>
                            <w:r>
                              <w:t xml:space="preserve">patterns </w:t>
                            </w:r>
                            <w:r w:rsidRPr="005E6DC7">
                              <w:t xml:space="preserve">of tobacco </w:t>
                            </w:r>
                            <w:r>
                              <w:rPr>
                                <w:iCs/>
                              </w:rPr>
                              <w:t>product</w:t>
                            </w:r>
                            <w:r w:rsidRPr="005E6DC7">
                              <w:t xml:space="preserve"> use behaviors </w:t>
                            </w:r>
                            <w:r w:rsidR="00D87F1D">
                              <w:t xml:space="preserve">and correlates </w:t>
                            </w:r>
                            <w:r w:rsidRPr="005E6DC7">
                              <w:t>among youth</w:t>
                            </w:r>
                            <w:r w:rsidR="00D87F1D">
                              <w:t xml:space="preserve">. </w:t>
                            </w:r>
                          </w:p>
                          <w:p w:rsidR="001601A0" w:rsidP="00251E47" w14:textId="7777777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2.25pt;height:128pt;margin-top:9.9pt;margin-left:-6.7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1601A0" w:rsidRPr="00CD6431" w:rsidP="00E765EA" w14:paraId="0DD4B84C" w14:textId="77777777">
                      <w:pPr>
                        <w:numPr>
                          <w:ilvl w:val="0"/>
                          <w:numId w:val="42"/>
                        </w:numPr>
                        <w:rPr>
                          <w:b/>
                        </w:rPr>
                      </w:pPr>
                      <w:r w:rsidRPr="00CD6431">
                        <w:rPr>
                          <w:b/>
                        </w:rPr>
                        <w:t>Goal of the study</w:t>
                      </w:r>
                      <w:r w:rsidRPr="00CD6431">
                        <w:rPr>
                          <w:b/>
                        </w:rPr>
                        <w:br/>
                      </w:r>
                    </w:p>
                    <w:p w:rsidR="001601A0" w:rsidP="00994202" w14:paraId="34AEF155" w14:textId="77777777">
                      <w:pPr>
                        <w:ind w:left="360"/>
                      </w:pPr>
                      <w:r>
                        <w:t xml:space="preserve">The </w:t>
                      </w:r>
                      <w:r w:rsidR="000D6A73">
                        <w:t xml:space="preserve">goal of the </w:t>
                      </w:r>
                      <w:r>
                        <w:t xml:space="preserve">National Youth Tobacco Survey (NYTS) </w:t>
                      </w:r>
                      <w:r w:rsidR="00221C59">
                        <w:t xml:space="preserve">is to collect tobacco use behavioral data </w:t>
                      </w:r>
                      <w:r>
                        <w:t xml:space="preserve">among 6th through 12th grade students </w:t>
                      </w:r>
                      <w:r w:rsidRPr="009701AC">
                        <w:t>in 202</w:t>
                      </w:r>
                      <w:r w:rsidRPr="009701AC" w:rsidR="006075B4">
                        <w:t>4</w:t>
                      </w:r>
                      <w:r w:rsidRPr="009701AC">
                        <w:t>, 202</w:t>
                      </w:r>
                      <w:r w:rsidRPr="009701AC" w:rsidR="006075B4">
                        <w:t>5</w:t>
                      </w:r>
                      <w:r w:rsidRPr="009701AC">
                        <w:t>, and 202</w:t>
                      </w:r>
                      <w:r w:rsidRPr="009701AC" w:rsidR="006075B4">
                        <w:t>6</w:t>
                      </w:r>
                      <w:r>
                        <w:t xml:space="preserve">. The purpose of the survey is to assess </w:t>
                      </w:r>
                      <w:r w:rsidR="00221C59">
                        <w:t xml:space="preserve">use of tobacco products and the </w:t>
                      </w:r>
                      <w:r w:rsidR="00FE2123">
                        <w:rPr>
                          <w:iCs/>
                        </w:rPr>
                        <w:t>associated correlates.</w:t>
                      </w:r>
                      <w:r>
                        <w:t xml:space="preserve"> </w:t>
                      </w:r>
                    </w:p>
                    <w:p w:rsidR="001601A0" w:rsidP="00376039" w14:paraId="366D2CC9" w14:textId="77777777">
                      <w:pPr>
                        <w:ind w:left="360"/>
                      </w:pPr>
                    </w:p>
                    <w:p w:rsidR="001601A0" w:rsidRPr="00CD6431" w:rsidP="00E765EA" w14:paraId="155BEBDF" w14:textId="77777777">
                      <w:pPr>
                        <w:numPr>
                          <w:ilvl w:val="0"/>
                          <w:numId w:val="42"/>
                        </w:numPr>
                        <w:rPr>
                          <w:b/>
                        </w:rPr>
                      </w:pPr>
                      <w:r w:rsidRPr="00CD6431">
                        <w:rPr>
                          <w:b/>
                        </w:rPr>
                        <w:t>Intended use of the resulting data</w:t>
                      </w:r>
                      <w:r w:rsidRPr="00CD6431">
                        <w:rPr>
                          <w:b/>
                        </w:rPr>
                        <w:br/>
                      </w:r>
                    </w:p>
                    <w:p w:rsidR="001601A0" w:rsidP="00E865A2" w14:paraId="02747D1E" w14:textId="77777777">
                      <w:pPr>
                        <w:ind w:left="360"/>
                        <w:rPr>
                          <w:bCs/>
                        </w:rPr>
                      </w:pPr>
                      <w:r w:rsidRPr="00E865A2">
                        <w:rPr>
                          <w:bCs/>
                        </w:rPr>
                        <w:t>The NYTS data will be used to</w:t>
                      </w:r>
                      <w:r w:rsidR="008958CF">
                        <w:rPr>
                          <w:bCs/>
                        </w:rPr>
                        <w:t xml:space="preserve"> i</w:t>
                      </w:r>
                      <w:r w:rsidR="00FE2123">
                        <w:rPr>
                          <w:bCs/>
                        </w:rPr>
                        <w:t>nform policy decision</w:t>
                      </w:r>
                      <w:r w:rsidR="008958CF">
                        <w:rPr>
                          <w:bCs/>
                        </w:rPr>
                        <w:t>-</w:t>
                      </w:r>
                      <w:r w:rsidR="00FE2123">
                        <w:rPr>
                          <w:bCs/>
                        </w:rPr>
                        <w:t>making and</w:t>
                      </w:r>
                      <w:r w:rsidR="00397456">
                        <w:rPr>
                          <w:bCs/>
                        </w:rPr>
                        <w:t xml:space="preserve"> </w:t>
                      </w:r>
                      <w:r w:rsidR="00FE2123">
                        <w:rPr>
                          <w:bCs/>
                        </w:rPr>
                        <w:t>regulatory action</w:t>
                      </w:r>
                      <w:r w:rsidR="00427FFA">
                        <w:rPr>
                          <w:bCs/>
                        </w:rPr>
                        <w:t xml:space="preserve">s regarding </w:t>
                      </w:r>
                      <w:r w:rsidR="008F6468">
                        <w:rPr>
                          <w:bCs/>
                        </w:rPr>
                        <w:t>youth</w:t>
                      </w:r>
                      <w:r w:rsidR="00C1041A">
                        <w:rPr>
                          <w:bCs/>
                        </w:rPr>
                        <w:t xml:space="preserve"> access</w:t>
                      </w:r>
                      <w:r w:rsidR="008F6468">
                        <w:rPr>
                          <w:bCs/>
                        </w:rPr>
                        <w:t xml:space="preserve"> to tobacco products</w:t>
                      </w:r>
                      <w:r w:rsidR="00C1041A">
                        <w:rPr>
                          <w:bCs/>
                        </w:rPr>
                        <w:t>,</w:t>
                      </w:r>
                      <w:r w:rsidR="005A7EE0">
                        <w:rPr>
                          <w:bCs/>
                        </w:rPr>
                        <w:t xml:space="preserve"> exposure to tobacco marketing, </w:t>
                      </w:r>
                      <w:r w:rsidR="00727773">
                        <w:rPr>
                          <w:bCs/>
                        </w:rPr>
                        <w:t xml:space="preserve">and </w:t>
                      </w:r>
                      <w:r w:rsidR="00C1041A">
                        <w:rPr>
                          <w:bCs/>
                        </w:rPr>
                        <w:t xml:space="preserve">use </w:t>
                      </w:r>
                      <w:r w:rsidR="000520B0">
                        <w:rPr>
                          <w:bCs/>
                        </w:rPr>
                        <w:t>of tobacco product</w:t>
                      </w:r>
                      <w:r w:rsidR="00727773">
                        <w:rPr>
                          <w:bCs/>
                        </w:rPr>
                        <w:t xml:space="preserve">s. </w:t>
                      </w:r>
                      <w:r w:rsidR="00BC17AC">
                        <w:rPr>
                          <w:bCs/>
                        </w:rPr>
                        <w:t>Additionally, t</w:t>
                      </w:r>
                      <w:r w:rsidR="00176ABA">
                        <w:rPr>
                          <w:bCs/>
                        </w:rPr>
                        <w:t>he NYTS will</w:t>
                      </w:r>
                      <w:r w:rsidR="00BC17AC">
                        <w:rPr>
                          <w:bCs/>
                        </w:rPr>
                        <w:t xml:space="preserve"> </w:t>
                      </w:r>
                      <w:r w:rsidR="00176ABA">
                        <w:rPr>
                          <w:bCs/>
                        </w:rPr>
                        <w:t xml:space="preserve">be used </w:t>
                      </w:r>
                      <w:r w:rsidR="00752EAE">
                        <w:rPr>
                          <w:bCs/>
                        </w:rPr>
                        <w:t xml:space="preserve">as a benchmark </w:t>
                      </w:r>
                      <w:r w:rsidR="00B448CD">
                        <w:rPr>
                          <w:bCs/>
                        </w:rPr>
                        <w:t>for state-level trends</w:t>
                      </w:r>
                      <w:r w:rsidR="0037288B">
                        <w:rPr>
                          <w:bCs/>
                        </w:rPr>
                        <w:t>,</w:t>
                      </w:r>
                      <w:r w:rsidR="00227341">
                        <w:rPr>
                          <w:bCs/>
                        </w:rPr>
                        <w:t xml:space="preserve"> to measure progress </w:t>
                      </w:r>
                      <w:r w:rsidRPr="00E865A2">
                        <w:rPr>
                          <w:bCs/>
                        </w:rPr>
                        <w:t xml:space="preserve">towards achieving </w:t>
                      </w:r>
                      <w:r w:rsidRPr="009701AC">
                        <w:t>Healthy People 2030</w:t>
                      </w:r>
                      <w:r w:rsidRPr="00E865A2">
                        <w:rPr>
                          <w:bCs/>
                        </w:rPr>
                        <w:t xml:space="preserve"> </w:t>
                      </w:r>
                      <w:r w:rsidR="00E66FCD">
                        <w:rPr>
                          <w:bCs/>
                        </w:rPr>
                        <w:t xml:space="preserve">tobacco </w:t>
                      </w:r>
                      <w:r w:rsidRPr="00E865A2">
                        <w:rPr>
                          <w:bCs/>
                        </w:rPr>
                        <w:t>objectives</w:t>
                      </w:r>
                      <w:r w:rsidR="0037288B">
                        <w:rPr>
                          <w:bCs/>
                        </w:rPr>
                        <w:t>,</w:t>
                      </w:r>
                      <w:r w:rsidR="00E66FCD">
                        <w:rPr>
                          <w:bCs/>
                        </w:rPr>
                        <w:t xml:space="preserve"> </w:t>
                      </w:r>
                      <w:r w:rsidR="00AD510A">
                        <w:rPr>
                          <w:bCs/>
                        </w:rPr>
                        <w:t>and to</w:t>
                      </w:r>
                      <w:r w:rsidR="00227341">
                        <w:rPr>
                          <w:bCs/>
                        </w:rPr>
                        <w:t xml:space="preserve"> inform </w:t>
                      </w:r>
                      <w:r w:rsidR="00A97F37">
                        <w:rPr>
                          <w:bCs/>
                        </w:rPr>
                        <w:t xml:space="preserve">comprehensive </w:t>
                      </w:r>
                      <w:r w:rsidR="009A1296">
                        <w:rPr>
                          <w:bCs/>
                        </w:rPr>
                        <w:t>evidence</w:t>
                      </w:r>
                      <w:r w:rsidR="00227341">
                        <w:rPr>
                          <w:bCs/>
                        </w:rPr>
                        <w:t>-</w:t>
                      </w:r>
                      <w:r w:rsidR="009A1296">
                        <w:rPr>
                          <w:bCs/>
                        </w:rPr>
                        <w:t>based interventions</w:t>
                      </w:r>
                      <w:r w:rsidR="00227341">
                        <w:rPr>
                          <w:bCs/>
                        </w:rPr>
                        <w:t>.</w:t>
                      </w:r>
                    </w:p>
                    <w:p w:rsidR="001601A0" w:rsidP="00376039" w14:paraId="49F096BA" w14:textId="77777777">
                      <w:pPr>
                        <w:ind w:left="720"/>
                      </w:pPr>
                    </w:p>
                    <w:p w:rsidR="001601A0" w:rsidRPr="00CD6431" w:rsidP="00E765EA" w14:paraId="2DD34B92" w14:textId="77777777">
                      <w:pPr>
                        <w:numPr>
                          <w:ilvl w:val="0"/>
                          <w:numId w:val="42"/>
                        </w:numPr>
                        <w:rPr>
                          <w:b/>
                        </w:rPr>
                      </w:pPr>
                      <w:r w:rsidRPr="00CD6431">
                        <w:rPr>
                          <w:b/>
                        </w:rPr>
                        <w:t>Methods to be used to collect</w:t>
                      </w:r>
                      <w:r w:rsidRPr="00CD6431">
                        <w:rPr>
                          <w:b/>
                        </w:rPr>
                        <w:br/>
                      </w:r>
                    </w:p>
                    <w:p w:rsidR="001601A0" w:rsidRPr="000175A6" w:rsidP="00376039" w14:paraId="1E06DD08" w14:textId="77777777">
                      <w:pPr>
                        <w:ind w:left="360"/>
                      </w:pPr>
                      <w:r>
                        <w:t xml:space="preserve">Teachers </w:t>
                      </w:r>
                      <w:r w:rsidR="00FE2123">
                        <w:t xml:space="preserve">will be </w:t>
                      </w:r>
                      <w:r w:rsidR="00EA0413">
                        <w:t xml:space="preserve">provided a URL to the </w:t>
                      </w:r>
                      <w:r w:rsidR="00E506E8">
                        <w:t>web</w:t>
                      </w:r>
                      <w:r>
                        <w:t xml:space="preserve"> </w:t>
                      </w:r>
                      <w:r w:rsidR="00E506E8">
                        <w:t xml:space="preserve">based </w:t>
                      </w:r>
                      <w:r w:rsidRPr="00B6198F">
                        <w:t>NYTS</w:t>
                      </w:r>
                      <w:r w:rsidR="00EA0413">
                        <w:t xml:space="preserve"> that will be active for a designated period of time (e.g.</w:t>
                      </w:r>
                      <w:r w:rsidR="00F85DF7">
                        <w:t>,</w:t>
                      </w:r>
                      <w:r w:rsidR="00EA0413">
                        <w:t xml:space="preserve"> week (s)). The survey can be administered during a class period and the students will be allowed to take the survey in any location where they are receiving educational instruction (e.g. school, home or some other place)</w:t>
                      </w:r>
                      <w:r>
                        <w:t>.</w:t>
                      </w:r>
                    </w:p>
                    <w:p w:rsidR="001601A0" w:rsidP="00376039" w14:paraId="085A5034" w14:textId="77777777">
                      <w:pPr>
                        <w:ind w:left="360"/>
                      </w:pPr>
                    </w:p>
                    <w:p w:rsidR="001601A0" w:rsidRPr="00CD6431" w:rsidP="00E765EA" w14:paraId="0BC39BA2" w14:textId="77777777">
                      <w:pPr>
                        <w:numPr>
                          <w:ilvl w:val="0"/>
                          <w:numId w:val="42"/>
                        </w:numPr>
                        <w:rPr>
                          <w:b/>
                        </w:rPr>
                      </w:pPr>
                      <w:r w:rsidRPr="00CD6431">
                        <w:rPr>
                          <w:b/>
                        </w:rPr>
                        <w:t>The subpopulation to be studied</w:t>
                      </w:r>
                      <w:r w:rsidRPr="00CD6431">
                        <w:rPr>
                          <w:b/>
                        </w:rPr>
                        <w:br/>
                      </w:r>
                    </w:p>
                    <w:p w:rsidR="001601A0" w:rsidRPr="000175A6" w:rsidP="004962EB" w14:paraId="6A3646ED" w14:textId="73FA6A01">
                      <w:pPr>
                        <w:pStyle w:val="CommentText"/>
                        <w:ind w:left="360"/>
                        <w:rPr>
                          <w:sz w:val="24"/>
                          <w:szCs w:val="24"/>
                        </w:rPr>
                      </w:pPr>
                      <w:r>
                        <w:rPr>
                          <w:sz w:val="24"/>
                          <w:szCs w:val="24"/>
                        </w:rPr>
                        <w:t xml:space="preserve">Contingent upon final analytic sample size, </w:t>
                      </w:r>
                      <w:r w:rsidRPr="000175A6">
                        <w:rPr>
                          <w:sz w:val="24"/>
                          <w:szCs w:val="24"/>
                        </w:rPr>
                        <w:t>NYTS will provide data among subpopulations of youth, by race</w:t>
                      </w:r>
                      <w:r w:rsidR="00637514">
                        <w:rPr>
                          <w:sz w:val="24"/>
                          <w:szCs w:val="24"/>
                        </w:rPr>
                        <w:t xml:space="preserve"> and </w:t>
                      </w:r>
                      <w:r w:rsidRPr="000175A6">
                        <w:rPr>
                          <w:sz w:val="24"/>
                          <w:szCs w:val="24"/>
                        </w:rPr>
                        <w:t xml:space="preserve">ethnicity, sexual orientation, mental health </w:t>
                      </w:r>
                      <w:r w:rsidR="00B37511">
                        <w:rPr>
                          <w:sz w:val="24"/>
                          <w:szCs w:val="24"/>
                        </w:rPr>
                        <w:t>status</w:t>
                      </w:r>
                      <w:r w:rsidR="00B61D5F">
                        <w:rPr>
                          <w:sz w:val="24"/>
                          <w:szCs w:val="24"/>
                        </w:rPr>
                        <w:t xml:space="preserve"> (</w:t>
                      </w:r>
                      <w:r w:rsidRPr="000175A6">
                        <w:rPr>
                          <w:sz w:val="24"/>
                          <w:szCs w:val="24"/>
                        </w:rPr>
                        <w:t>depression/anxiety</w:t>
                      </w:r>
                      <w:r w:rsidR="00B61D5F">
                        <w:rPr>
                          <w:sz w:val="24"/>
                          <w:szCs w:val="24"/>
                        </w:rPr>
                        <w:t>)</w:t>
                      </w:r>
                      <w:r w:rsidR="00B61127">
                        <w:rPr>
                          <w:sz w:val="24"/>
                          <w:szCs w:val="24"/>
                        </w:rPr>
                        <w:t>,</w:t>
                      </w:r>
                      <w:r w:rsidR="0088244A">
                        <w:rPr>
                          <w:sz w:val="24"/>
                          <w:szCs w:val="24"/>
                        </w:rPr>
                        <w:t xml:space="preserve"> </w:t>
                      </w:r>
                      <w:r w:rsidR="00EA0413">
                        <w:rPr>
                          <w:sz w:val="24"/>
                          <w:szCs w:val="24"/>
                        </w:rPr>
                        <w:t>and academic achievement.</w:t>
                      </w:r>
                    </w:p>
                    <w:p w:rsidR="001601A0" w:rsidP="00376039" w14:paraId="3F4BF154" w14:textId="77777777">
                      <w:pPr>
                        <w:ind w:left="360"/>
                      </w:pPr>
                    </w:p>
                    <w:p w:rsidR="001601A0" w:rsidRPr="00CD6431" w:rsidP="00E765EA" w14:paraId="5F75E753" w14:textId="77777777">
                      <w:pPr>
                        <w:numPr>
                          <w:ilvl w:val="0"/>
                          <w:numId w:val="42"/>
                        </w:numPr>
                        <w:rPr>
                          <w:b/>
                        </w:rPr>
                      </w:pPr>
                      <w:r w:rsidRPr="00CD6431">
                        <w:rPr>
                          <w:b/>
                        </w:rPr>
                        <w:t>How data will be analyzed</w:t>
                      </w:r>
                    </w:p>
                    <w:p w:rsidR="001601A0" w:rsidP="00376039" w14:paraId="493843C1" w14:textId="77777777">
                      <w:pPr>
                        <w:ind w:left="360"/>
                      </w:pPr>
                    </w:p>
                    <w:p w:rsidR="001601A0" w:rsidP="00376039" w14:paraId="0E8C0C79" w14:textId="68C190D0">
                      <w:pPr>
                        <w:ind w:left="360"/>
                      </w:pPr>
                      <w:r>
                        <w:t xml:space="preserve">The NYTS data will be weighted to provide nationally representative estimates. </w:t>
                      </w:r>
                      <w:r w:rsidRPr="00355152">
                        <w:t xml:space="preserve">Data sets and documentation for the </w:t>
                      </w:r>
                      <w:r>
                        <w:t xml:space="preserve">NYTS </w:t>
                      </w:r>
                      <w:r w:rsidR="00D21BC9">
                        <w:t xml:space="preserve">are </w:t>
                      </w:r>
                      <w:r>
                        <w:t>available online</w:t>
                      </w:r>
                      <w:r w:rsidR="00EA0413">
                        <w:t xml:space="preserve"> </w:t>
                      </w:r>
                      <w:r w:rsidRPr="009701AC" w:rsidR="00EA0413">
                        <w:t>(</w:t>
                      </w:r>
                      <w:hyperlink r:id="rId9" w:history="1">
                        <w:r w:rsidRPr="009701AC" w:rsidR="00EA0413">
                          <w:rPr>
                            <w:rStyle w:val="Hyperlink"/>
                          </w:rPr>
                          <w:t>National Youth Tobacco Survey (NYTS) | CDC</w:t>
                        </w:r>
                      </w:hyperlink>
                      <w:r w:rsidRPr="009701AC" w:rsidR="00EA0413">
                        <w:t>)</w:t>
                      </w:r>
                      <w:r w:rsidRPr="009701AC">
                        <w:t>.</w:t>
                      </w:r>
                      <w:r>
                        <w:t xml:space="preserve"> </w:t>
                      </w:r>
                      <w:r w:rsidR="002F0078">
                        <w:t xml:space="preserve">The data will be analyzed using </w:t>
                      </w:r>
                      <w:r w:rsidR="001B63D9">
                        <w:t>statistical packages, such as SAS, SAS-Callable SUD</w:t>
                      </w:r>
                      <w:r w:rsidR="004E0771">
                        <w:t>A</w:t>
                      </w:r>
                      <w:r w:rsidR="001B63D9">
                        <w:t>AN</w:t>
                      </w:r>
                      <w:r w:rsidR="00FC19B6">
                        <w:t xml:space="preserve">, R </w:t>
                      </w:r>
                      <w:r w:rsidR="00F85DF7">
                        <w:t xml:space="preserve">or </w:t>
                      </w:r>
                      <w:r w:rsidR="00FC19B6">
                        <w:t>STATA to produce descriptive</w:t>
                      </w:r>
                      <w:r w:rsidR="003141FA">
                        <w:t xml:space="preserve"> results of national </w:t>
                      </w:r>
                      <w:r>
                        <w:t xml:space="preserve">patterns </w:t>
                      </w:r>
                      <w:r w:rsidRPr="005E6DC7">
                        <w:t xml:space="preserve">of tobacco </w:t>
                      </w:r>
                      <w:r>
                        <w:rPr>
                          <w:iCs/>
                        </w:rPr>
                        <w:t>product</w:t>
                      </w:r>
                      <w:r w:rsidRPr="005E6DC7">
                        <w:t xml:space="preserve"> use behaviors </w:t>
                      </w:r>
                      <w:r w:rsidR="00D87F1D">
                        <w:t xml:space="preserve">and correlates </w:t>
                      </w:r>
                      <w:r w:rsidRPr="005E6DC7">
                        <w:t>among youth</w:t>
                      </w:r>
                      <w:r w:rsidR="00D87F1D">
                        <w:t xml:space="preserve">. </w:t>
                      </w:r>
                    </w:p>
                    <w:p w:rsidR="001601A0" w:rsidP="00251E47" w14:paraId="2DC72AC4" w14:textId="77777777"/>
                  </w:txbxContent>
                </v:textbox>
                <w10:wrap type="square"/>
              </v:shape>
            </w:pict>
          </mc:Fallback>
        </mc:AlternateContent>
      </w:r>
    </w:p>
    <w:p w:rsidR="00B15E7D" w14:paraId="2C41A106" w14:textId="704F2AFE">
      <w:pPr>
        <w:rPr>
          <w:b/>
        </w:rPr>
      </w:pPr>
      <w:r>
        <w:br w:type="page"/>
      </w:r>
    </w:p>
    <w:p w:rsidR="000E2750" w:rsidRPr="00357C8A" w:rsidP="000E2750" w14:paraId="225CC789" w14:textId="77777777">
      <w:pPr>
        <w:rPr>
          <w:rFonts w:eastAsia="Calibri"/>
        </w:rPr>
      </w:pPr>
      <w:r w:rsidRPr="009122AE">
        <w:rPr>
          <w:rFonts w:eastAsia="Calibri"/>
          <w:u w:val="single"/>
        </w:rPr>
        <w:t>Terms of Clearance</w:t>
      </w:r>
      <w:r>
        <w:rPr>
          <w:rFonts w:eastAsia="Calibri"/>
        </w:rPr>
        <w:t xml:space="preserve">: If terms of clearance exist, please summarize and address here. Otherwise, no mention is necessary.  </w:t>
      </w:r>
      <w:r w:rsidRPr="009B4DF2">
        <w:rPr>
          <w:rFonts w:eastAsia="Calibri"/>
          <w:u w:val="single"/>
        </w:rPr>
        <w:t>Example</w:t>
      </w:r>
      <w:r>
        <w:rPr>
          <w:rFonts w:eastAsia="Calibri"/>
        </w:rPr>
        <w:t xml:space="preserve">: </w:t>
      </w:r>
      <w:r w:rsidRPr="009B4DF2">
        <w:t xml:space="preserve">In its last approval OMB instructed FDA to report findings regarding the deployment of the collection instrument “electronic Form FDA 3978.”  We have discussed this under </w:t>
      </w:r>
      <w:r w:rsidRPr="00C479BF">
        <w:t>Section 8</w:t>
      </w:r>
      <w:r w:rsidRPr="009B4DF2">
        <w:t>, below.</w:t>
      </w:r>
    </w:p>
    <w:p w:rsidR="000E2750" w:rsidRPr="00357C8A" w:rsidP="000E2750" w14:paraId="5C5FA8B6" w14:textId="77777777">
      <w:pPr>
        <w:rPr>
          <w:rFonts w:eastAsia="Calibri"/>
          <w:b/>
        </w:rPr>
      </w:pPr>
    </w:p>
    <w:p w:rsidR="00A6666D" w:rsidP="00A6666D" w14:paraId="3D6DDA37" w14:textId="77777777">
      <w:pPr>
        <w:rPr>
          <w:rFonts w:eastAsia="Calibri"/>
        </w:rPr>
      </w:pPr>
      <w:r w:rsidRPr="00357C8A">
        <w:rPr>
          <w:rFonts w:eastAsia="Calibri"/>
          <w:b/>
        </w:rPr>
        <w:t>Part A:  Justification</w:t>
      </w:r>
      <w:r w:rsidRPr="00357C8A">
        <w:rPr>
          <w:rFonts w:eastAsia="Calibri"/>
        </w:rPr>
        <w:t>:</w:t>
      </w:r>
    </w:p>
    <w:p w:rsidR="00A6666D" w:rsidRPr="00357C8A" w:rsidP="00A6666D" w14:paraId="3A5956EF" w14:textId="77777777">
      <w:pPr>
        <w:rPr>
          <w:rFonts w:eastAsia="Calibri"/>
        </w:rPr>
      </w:pPr>
    </w:p>
    <w:p w:rsidR="00A6666D" w:rsidRPr="00357C8A" w:rsidP="00A6666D" w14:paraId="1068D855" w14:textId="77777777">
      <w:pPr>
        <w:numPr>
          <w:ilvl w:val="0"/>
          <w:numId w:val="57"/>
        </w:numPr>
        <w:spacing w:after="200" w:line="276" w:lineRule="auto"/>
        <w:rPr>
          <w:rFonts w:eastAsia="Calibri"/>
        </w:rPr>
      </w:pPr>
      <w:r w:rsidRPr="00357C8A">
        <w:rPr>
          <w:rFonts w:eastAsia="Calibri"/>
          <w:u w:val="single"/>
        </w:rPr>
        <w:t>Circumstances Making the Collection of Information Necessary</w:t>
      </w:r>
    </w:p>
    <w:p w:rsidR="00A6666D" w:rsidP="00A6666D" w14:paraId="553CA799" w14:textId="77777777">
      <w:r w:rsidRPr="00185D69">
        <w:t>The justification for the</w:t>
      </w:r>
      <w:r>
        <w:t xml:space="preserve"> </w:t>
      </w:r>
      <w:r w:rsidRPr="00185D69">
        <w:t xml:space="preserve">implementation of the NYTS is based on three factors: (1) public health implications of tobacco </w:t>
      </w:r>
      <w:r>
        <w:rPr>
          <w:iCs/>
        </w:rPr>
        <w:t>product</w:t>
      </w:r>
      <w:r w:rsidRPr="00185D69">
        <w:t xml:space="preserve"> use; (2) </w:t>
      </w:r>
      <w:r>
        <w:t xml:space="preserve">the </w:t>
      </w:r>
      <w:r w:rsidRPr="00185D69">
        <w:t xml:space="preserve">burden of tobacco </w:t>
      </w:r>
      <w:r>
        <w:rPr>
          <w:iCs/>
        </w:rPr>
        <w:t>product</w:t>
      </w:r>
      <w:r w:rsidRPr="00185D69">
        <w:t xml:space="preserve"> use; and (3) mandates to monitor, reduce, and alter attitudes toward tobacco </w:t>
      </w:r>
      <w:r>
        <w:rPr>
          <w:iCs/>
        </w:rPr>
        <w:t>product</w:t>
      </w:r>
      <w:r w:rsidRPr="00185D69">
        <w:t xml:space="preserve"> use and reduce exposure to pro-tobacco influences found in Section 301 of the Public Health Service Act (42 USC 241) (Attachment A</w:t>
      </w:r>
      <w:r>
        <w:t>1</w:t>
      </w:r>
      <w:r w:rsidRPr="00185D69">
        <w:t>).</w:t>
      </w:r>
      <w:r>
        <w:t xml:space="preserve"> Specifically, the following factors make it necessary for FDA to conduct the NYTS:</w:t>
      </w:r>
    </w:p>
    <w:p w:rsidR="00A6666D" w:rsidP="00A6666D" w14:paraId="12F6695C" w14:textId="77777777"/>
    <w:p w:rsidR="00A6666D" w:rsidRPr="00675EDF" w:rsidP="00A6666D" w14:paraId="12349A8F" w14:textId="77777777">
      <w:pPr>
        <w:numPr>
          <w:ilvl w:val="0"/>
          <w:numId w:val="45"/>
        </w:numPr>
      </w:pPr>
      <w:r w:rsidRPr="001245E8">
        <w:t xml:space="preserve">The NYTS provides data to support several strategic planning priorities for the U.S. </w:t>
      </w:r>
      <w:r w:rsidRPr="00492649">
        <w:t xml:space="preserve">Department of Health and Human Services (DHHS), </w:t>
      </w:r>
      <w:r w:rsidRPr="00AD2385">
        <w:t xml:space="preserve">including </w:t>
      </w:r>
      <w:r w:rsidRPr="00492649">
        <w:t>activities mandated by the Family Smoking Prevention and Tobacco Control Ac</w:t>
      </w:r>
      <w:r>
        <w:t>t</w:t>
      </w:r>
      <w:r w:rsidRPr="00AD2385">
        <w:t xml:space="preserve"> </w:t>
      </w:r>
      <w:r>
        <w:t xml:space="preserve">and </w:t>
      </w:r>
      <w:r w:rsidRPr="00492649">
        <w:t xml:space="preserve">DHHS’s Tobacco Control Strategic Action Plan (USDHHS, 2012). </w:t>
      </w:r>
      <w:r w:rsidRPr="001245E8">
        <w:t xml:space="preserve">The NYTS </w:t>
      </w:r>
      <w:r>
        <w:t xml:space="preserve">is </w:t>
      </w:r>
      <w:r w:rsidRPr="001245E8">
        <w:t xml:space="preserve">also the data source for </w:t>
      </w:r>
      <w:r>
        <w:t>seven</w:t>
      </w:r>
      <w:r w:rsidRPr="001245E8">
        <w:t xml:space="preserve"> Healthy People 2030 objectives related to reducing adolescent</w:t>
      </w:r>
      <w:r w:rsidRPr="009D69D8">
        <w:t xml:space="preserve"> prevalence of: </w:t>
      </w:r>
      <w:r w:rsidRPr="00415D04">
        <w:t xml:space="preserve">current use of any tobacco products; current use of e-cigarettes; current use of cigarettes; current use of cigars, cigarillos, and little cigars; </w:t>
      </w:r>
      <w:r w:rsidRPr="00BD7D6D">
        <w:t>current use of flavore</w:t>
      </w:r>
      <w:r w:rsidRPr="00953C7D">
        <w:t>d tobacco products; current use of smokeless tobacco products; and exposure to tobacco product marketing.</w:t>
      </w:r>
    </w:p>
    <w:p w:rsidR="00A6666D" w:rsidRPr="00492649" w:rsidP="00A6666D" w14:paraId="071A12E7" w14:textId="77777777">
      <w:pPr>
        <w:ind w:left="720"/>
      </w:pPr>
    </w:p>
    <w:p w:rsidR="00A6666D" w:rsidP="00A6666D" w14:paraId="0E53EF2E" w14:textId="77777777">
      <w:pPr>
        <w:pStyle w:val="ListParagraph"/>
        <w:numPr>
          <w:ilvl w:val="0"/>
          <w:numId w:val="45"/>
        </w:numPr>
      </w:pPr>
      <w:r w:rsidRPr="00695A22">
        <w:t>Publications based on past cycles of the NYTS are listed in Attachment C.</w:t>
      </w:r>
    </w:p>
    <w:p w:rsidR="00A6666D" w:rsidP="00A6666D" w14:paraId="450B6139" w14:textId="77777777">
      <w:pPr>
        <w:ind w:left="720"/>
      </w:pPr>
    </w:p>
    <w:p w:rsidR="00C53019" w:rsidRPr="00185D69" w:rsidP="00A6666D" w14:paraId="2D98FF81" w14:textId="515B3816">
      <w:pPr>
        <w:pStyle w:val="Level9"/>
        <w:widowControl/>
        <w:ind w:right="-270"/>
        <w:rPr>
          <w:szCs w:val="24"/>
        </w:rPr>
      </w:pPr>
      <w:r w:rsidRPr="00046F62">
        <w:rPr>
          <w:rFonts w:eastAsia="TimesNewRomanPSMT"/>
        </w:rPr>
        <w:t xml:space="preserve">The NYTS serves as a national benchmark against which states can measure their progress in tobacco control and prevention. Many states conduct a Youth Tobacco Survey (YTS) using comparable methodology to the NYTS. </w:t>
      </w:r>
      <w:r w:rsidRPr="00046F62">
        <w:t xml:space="preserve">States therefore can measure their program’s progress relative to national trends. </w:t>
      </w:r>
    </w:p>
    <w:p w:rsidR="00FB5898" w:rsidRPr="00185D69" w:rsidP="00A27367" w14:paraId="4AE56684" w14:textId="77777777">
      <w:pPr>
        <w:pStyle w:val="Level9"/>
        <w:widowControl/>
        <w:ind w:right="-270"/>
        <w:rPr>
          <w:szCs w:val="24"/>
        </w:rPr>
      </w:pPr>
    </w:p>
    <w:p w:rsidR="001E27E9" w:rsidP="00271CD3" w14:paraId="3BEB6A65" w14:textId="5A9E54A3">
      <w:r>
        <w:rPr>
          <w:color w:val="000000"/>
        </w:rPr>
        <w:t>FDA</w:t>
      </w:r>
      <w:r w:rsidRPr="000175A6">
        <w:rPr>
          <w:color w:val="000000"/>
        </w:rPr>
        <w:t xml:space="preserve"> </w:t>
      </w:r>
      <w:r w:rsidRPr="000175A6" w:rsidR="00C70D43">
        <w:rPr>
          <w:color w:val="000000"/>
        </w:rPr>
        <w:t>requests OMB approval to conduct</w:t>
      </w:r>
      <w:r w:rsidR="000175A6">
        <w:rPr>
          <w:color w:val="000000"/>
        </w:rPr>
        <w:t xml:space="preserve"> </w:t>
      </w:r>
      <w:r w:rsidRPr="000175A6" w:rsidR="00C70D43">
        <w:rPr>
          <w:color w:val="000000"/>
        </w:rPr>
        <w:t xml:space="preserve">the </w:t>
      </w:r>
      <w:r w:rsidRPr="00BD0082" w:rsidR="00C70D43">
        <w:rPr>
          <w:color w:val="000000"/>
        </w:rPr>
        <w:t xml:space="preserve">NYTS in </w:t>
      </w:r>
      <w:r w:rsidRPr="00BD0082" w:rsidR="00552FF6">
        <w:rPr>
          <w:color w:val="000000"/>
        </w:rPr>
        <w:t>202</w:t>
      </w:r>
      <w:r w:rsidRPr="00BD0082" w:rsidR="00D21BC9">
        <w:rPr>
          <w:color w:val="000000"/>
        </w:rPr>
        <w:t>6</w:t>
      </w:r>
      <w:r w:rsidRPr="000175A6" w:rsidR="00552FF6">
        <w:rPr>
          <w:color w:val="000000"/>
        </w:rPr>
        <w:t xml:space="preserve"> </w:t>
      </w:r>
      <w:r w:rsidRPr="000175A6" w:rsidR="00DE5F0A">
        <w:t>(OMB No. 09</w:t>
      </w:r>
      <w:r>
        <w:t>1</w:t>
      </w:r>
      <w:r w:rsidRPr="000175A6" w:rsidR="00DE5F0A">
        <w:t>0-</w:t>
      </w:r>
      <w:r w:rsidRPr="00634103" w:rsidR="00DE5F0A">
        <w:t>0</w:t>
      </w:r>
      <w:r>
        <w:t>932</w:t>
      </w:r>
      <w:r w:rsidRPr="00634103" w:rsidR="00DE5F0A">
        <w:t xml:space="preserve">; exp. </w:t>
      </w:r>
      <w:r>
        <w:t>5</w:t>
      </w:r>
      <w:r w:rsidRPr="00634103" w:rsidR="00DE5F0A">
        <w:t>/</w:t>
      </w:r>
      <w:r w:rsidRPr="00634103" w:rsidR="009B6C6B">
        <w:t>3</w:t>
      </w:r>
      <w:r w:rsidRPr="00634103" w:rsidR="00634103">
        <w:t>1</w:t>
      </w:r>
      <w:r w:rsidRPr="00634103" w:rsidR="00DE5F0A">
        <w:t>/</w:t>
      </w:r>
      <w:r w:rsidRPr="00634103" w:rsidR="00552FF6">
        <w:t>202</w:t>
      </w:r>
      <w:r>
        <w:t>7</w:t>
      </w:r>
      <w:r w:rsidRPr="00634103" w:rsidR="00DE5F0A">
        <w:t>).</w:t>
      </w:r>
      <w:r w:rsidRPr="00634103" w:rsidR="005F37D0">
        <w:t xml:space="preserve"> </w:t>
      </w:r>
      <w:r w:rsidRPr="00634103" w:rsidR="00E73A7E">
        <w:t xml:space="preserve">The survey instrument </w:t>
      </w:r>
      <w:r w:rsidRPr="00634103" w:rsidR="000175A6">
        <w:t>has been developed</w:t>
      </w:r>
      <w:r w:rsidRPr="00634103" w:rsidR="00E73A7E">
        <w:t xml:space="preserve"> </w:t>
      </w:r>
      <w:r w:rsidRPr="00634103" w:rsidR="000175A6">
        <w:t>to include items t</w:t>
      </w:r>
      <w:r w:rsidRPr="00634103" w:rsidR="00E73A7E">
        <w:t>hat are</w:t>
      </w:r>
      <w:r w:rsidRPr="00D01605" w:rsidR="00E73A7E">
        <w:t xml:space="preserve"> relevant to </w:t>
      </w:r>
      <w:r w:rsidR="00FC3AC8">
        <w:t>t</w:t>
      </w:r>
      <w:r w:rsidRPr="00D01605" w:rsidR="00E73A7E">
        <w:t>obacco prevention and control efforts among youth.</w:t>
      </w:r>
      <w:r w:rsidR="00E73A7E">
        <w:t xml:space="preserve"> </w:t>
      </w:r>
      <w:r w:rsidRPr="000175A6" w:rsidR="007B17B3">
        <w:t>B</w:t>
      </w:r>
      <w:r w:rsidRPr="000175A6" w:rsidR="00124952">
        <w:t xml:space="preserve">urden allocation for instrument development and testing </w:t>
      </w:r>
      <w:r w:rsidRPr="000175A6" w:rsidR="007B17B3">
        <w:t xml:space="preserve">has </w:t>
      </w:r>
      <w:r w:rsidR="00726730">
        <w:t xml:space="preserve">been </w:t>
      </w:r>
      <w:r w:rsidR="000175A6">
        <w:t xml:space="preserve">calculated </w:t>
      </w:r>
      <w:r w:rsidRPr="000175A6" w:rsidR="007B17B3">
        <w:t>to allow for</w:t>
      </w:r>
      <w:r w:rsidR="000175A6">
        <w:t xml:space="preserve"> </w:t>
      </w:r>
      <w:r w:rsidR="00EA0413">
        <w:t xml:space="preserve">psychometric </w:t>
      </w:r>
      <w:r w:rsidRPr="000175A6" w:rsidR="009B6C6B">
        <w:t>testing related to</w:t>
      </w:r>
      <w:r w:rsidRPr="000175A6" w:rsidR="00124952">
        <w:t xml:space="preserve"> potential </w:t>
      </w:r>
      <w:r w:rsidRPr="000175A6" w:rsidR="007B17B3">
        <w:t xml:space="preserve">questionnaire </w:t>
      </w:r>
      <w:r w:rsidR="00EA0413">
        <w:t>updates</w:t>
      </w:r>
      <w:r w:rsidRPr="000175A6" w:rsidR="00124952">
        <w:t xml:space="preserve"> that might occur after </w:t>
      </w:r>
      <w:r w:rsidRPr="000175A6" w:rsidR="00B66956">
        <w:t>202</w:t>
      </w:r>
      <w:r w:rsidR="003752ED">
        <w:t>6</w:t>
      </w:r>
      <w:r w:rsidRPr="000175A6" w:rsidR="00124952">
        <w:t>.</w:t>
      </w:r>
      <w:r w:rsidR="00C844E7">
        <w:t xml:space="preserve"> T</w:t>
      </w:r>
      <w:r w:rsidRPr="000175A6" w:rsidR="00CC2D4B">
        <w:t>he est</w:t>
      </w:r>
      <w:r w:rsidRPr="000175A6" w:rsidR="00C70D43">
        <w:t xml:space="preserve">imated burden per response </w:t>
      </w:r>
      <w:r w:rsidR="00267359">
        <w:t>to complete the actual survey</w:t>
      </w:r>
      <w:r w:rsidRPr="000175A6" w:rsidR="00267359">
        <w:t xml:space="preserve"> </w:t>
      </w:r>
      <w:r w:rsidRPr="000175A6" w:rsidR="00C70D43">
        <w:t xml:space="preserve">has not </w:t>
      </w:r>
      <w:r w:rsidRPr="000175A6" w:rsidR="00CC2D4B">
        <w:t xml:space="preserve">changed. </w:t>
      </w:r>
    </w:p>
    <w:p w:rsidR="00B4418B" w:rsidP="003B07A0" w14:paraId="515D65CE" w14:textId="77777777"/>
    <w:p w:rsidR="00977CEE" w:rsidRPr="00357C8A" w:rsidP="00977CEE" w14:paraId="655A591C" w14:textId="77777777">
      <w:pPr>
        <w:numPr>
          <w:ilvl w:val="0"/>
          <w:numId w:val="57"/>
        </w:numPr>
        <w:spacing w:after="200" w:line="276" w:lineRule="auto"/>
        <w:rPr>
          <w:rFonts w:eastAsia="Calibri"/>
          <w:u w:val="single"/>
        </w:rPr>
      </w:pPr>
      <w:r w:rsidRPr="00357C8A">
        <w:rPr>
          <w:rFonts w:eastAsia="Calibri"/>
          <w:u w:val="single"/>
        </w:rPr>
        <w:t xml:space="preserve">Purpose and Use of the Information Collection </w:t>
      </w:r>
    </w:p>
    <w:p w:rsidR="004145BF" w:rsidRPr="004145BF" w:rsidP="004145BF" w14:paraId="275ACDBD" w14:textId="77777777">
      <w:pPr>
        <w:autoSpaceDE w:val="0"/>
        <w:autoSpaceDN w:val="0"/>
        <w:adjustRightInd w:val="0"/>
      </w:pPr>
      <w:bookmarkStart w:id="1" w:name="OLE_LINK3"/>
      <w:r w:rsidRPr="00F074FA">
        <w:rPr>
          <w:iCs/>
        </w:rPr>
        <w:t xml:space="preserve">Tobacco product use among youth is a serious public health concern. </w:t>
      </w:r>
      <w:r>
        <w:rPr>
          <w:rStyle w:val="normaltextrun"/>
        </w:rPr>
        <w:t xml:space="preserve">Youth use of tobacco products in any form - including e-cigarettes - is unsafe. Such products contain </w:t>
      </w:r>
      <w:r>
        <w:rPr>
          <w:rStyle w:val="contextualspellingandgrammarerror"/>
        </w:rPr>
        <w:t>nicotine, </w:t>
      </w:r>
      <w:r>
        <w:rPr>
          <w:rStyle w:val="contextualspellingandgrammarerror"/>
          <w:color w:val="000000"/>
          <w:shd w:val="clear" w:color="auto" w:fill="FFFFFF"/>
        </w:rPr>
        <w:t>and</w:t>
      </w:r>
      <w:r>
        <w:rPr>
          <w:rStyle w:val="normaltextrun"/>
          <w:color w:val="000000"/>
          <w:shd w:val="clear" w:color="auto" w:fill="FFFFFF"/>
        </w:rPr>
        <w:t xml:space="preserve"> nicotine exposure during adolescence can lead to long-term addiction and harm the parts of the brain that control attention, learning, mood, and impulse control. Additionally, e-cigarette aerosol is not harmless. It can contain harmful and potentially harmful substances, including nicotine, heavy metals like lead, volatile organic compounds, and cancer-causing agents.</w:t>
      </w:r>
    </w:p>
    <w:p w:rsidR="004C6581" w:rsidP="004C6581" w14:paraId="51972F57" w14:textId="79531733">
      <w:pPr>
        <w:pStyle w:val="paragraph0"/>
        <w:textAlignment w:val="baseline"/>
      </w:pPr>
      <w:r>
        <w:t>Our surveillance shows that every day, almost 1</w:t>
      </w:r>
      <w:r w:rsidR="00F655BF">
        <w:t>,</w:t>
      </w:r>
      <w:r>
        <w:t xml:space="preserve">600 youth smoke their first cigarette and nearly 200 youth start smoking every day.  Over 90% of adults who smoke cigarettes daily started smoking before age 18 years. </w:t>
      </w:r>
      <w:r>
        <w:rPr>
          <w:iCs/>
        </w:rPr>
        <w:t>In 2022, 3.08 million youth reported current use of any tobacco product, including 2.55 million who reported current use of e-cigarettes. Of those who used e-cigarettes, 42% used them on 20 days or more of the past 30 days and 28% used them daily.  Among high school e-cigarette users, 11% reported that they also smoke cigarettes (dual use)</w:t>
      </w:r>
      <w:r w:rsidR="00637514">
        <w:rPr>
          <w:iCs/>
        </w:rPr>
        <w:t>;</w:t>
      </w:r>
      <w:r>
        <w:rPr>
          <w:iCs/>
        </w:rPr>
        <w:t xml:space="preserve"> 17% of middle school e-cigarette</w:t>
      </w:r>
      <w:r w:rsidR="00637514">
        <w:rPr>
          <w:iCs/>
        </w:rPr>
        <w:t xml:space="preserve"> user</w:t>
      </w:r>
      <w:r>
        <w:rPr>
          <w:iCs/>
        </w:rPr>
        <w:t xml:space="preserve">s also reported </w:t>
      </w:r>
      <w:r w:rsidR="00637514">
        <w:rPr>
          <w:iCs/>
        </w:rPr>
        <w:t xml:space="preserve">cigarette </w:t>
      </w:r>
      <w:r>
        <w:rPr>
          <w:iCs/>
        </w:rPr>
        <w:t xml:space="preserve">dual use. </w:t>
      </w:r>
      <w:r>
        <w:rPr>
          <w:rFonts w:eastAsia="TimesNewRomanPSMT"/>
        </w:rPr>
        <w:t>From 202</w:t>
      </w:r>
      <w:r w:rsidR="00DF4FF6">
        <w:rPr>
          <w:rFonts w:eastAsia="TimesNewRomanPSMT"/>
        </w:rPr>
        <w:t>3</w:t>
      </w:r>
      <w:r>
        <w:rPr>
          <w:rFonts w:eastAsia="TimesNewRomanPSMT"/>
        </w:rPr>
        <w:t xml:space="preserve"> to 202</w:t>
      </w:r>
      <w:r w:rsidR="00DF4FF6">
        <w:rPr>
          <w:rFonts w:eastAsia="TimesNewRomanPSMT"/>
        </w:rPr>
        <w:t>4</w:t>
      </w:r>
      <w:r>
        <w:rPr>
          <w:rFonts w:eastAsia="TimesNewRomanPSMT"/>
        </w:rPr>
        <w:t xml:space="preserve">, NYTS findings showed declines in e-cigarette use among </w:t>
      </w:r>
      <w:r w:rsidR="00331997">
        <w:rPr>
          <w:rFonts w:eastAsia="TimesNewRomanPSMT"/>
        </w:rPr>
        <w:t xml:space="preserve">middle and </w:t>
      </w:r>
      <w:r>
        <w:rPr>
          <w:rFonts w:eastAsia="TimesNewRomanPSMT"/>
        </w:rPr>
        <w:t xml:space="preserve">high school students (from </w:t>
      </w:r>
      <w:r w:rsidR="00331997">
        <w:rPr>
          <w:rFonts w:eastAsia="TimesNewRomanPSMT"/>
        </w:rPr>
        <w:t>7.7</w:t>
      </w:r>
      <w:r>
        <w:rPr>
          <w:rFonts w:eastAsia="TimesNewRomanPSMT"/>
        </w:rPr>
        <w:t xml:space="preserve">% to </w:t>
      </w:r>
      <w:r w:rsidR="00331997">
        <w:rPr>
          <w:rFonts w:eastAsia="TimesNewRomanPSMT"/>
        </w:rPr>
        <w:t>5.9</w:t>
      </w:r>
      <w:r>
        <w:rPr>
          <w:rFonts w:eastAsia="TimesNewRomanPSMT"/>
        </w:rPr>
        <w:t xml:space="preserve">%). </w:t>
      </w:r>
      <w:r w:rsidR="00DF4FF6">
        <w:rPr>
          <w:rFonts w:eastAsia="TimesNewRomanPSMT"/>
        </w:rPr>
        <w:t>In 2024,</w:t>
      </w:r>
      <w:r w:rsidR="006D6903">
        <w:rPr>
          <w:rFonts w:eastAsia="TimesNewRomanPSMT"/>
        </w:rPr>
        <w:t xml:space="preserve"> among all students,</w:t>
      </w:r>
      <w:r w:rsidR="00DF4FF6">
        <w:rPr>
          <w:rFonts w:eastAsia="TimesNewRomanPSMT"/>
        </w:rPr>
        <w:t xml:space="preserve"> </w:t>
      </w:r>
      <w:r w:rsidR="00331997">
        <w:rPr>
          <w:rFonts w:eastAsia="TimesNewRomanPSMT"/>
        </w:rPr>
        <w:t>e</w:t>
      </w:r>
      <w:r>
        <w:rPr>
          <w:rFonts w:eastAsia="TimesNewRomanPSMT"/>
        </w:rPr>
        <w:t xml:space="preserve">-cigarettes remained as the </w:t>
      </w:r>
      <w:r>
        <w:rPr>
          <w:rFonts w:eastAsia="TimesNewRomanPSMT"/>
        </w:rPr>
        <w:t>most commonly used</w:t>
      </w:r>
      <w:r>
        <w:rPr>
          <w:rFonts w:eastAsia="TimesNewRomanPSMT"/>
        </w:rPr>
        <w:t xml:space="preserve"> tobacco product</w:t>
      </w:r>
      <w:r w:rsidR="008153D0">
        <w:rPr>
          <w:rFonts w:eastAsia="TimesNewRomanPSMT"/>
        </w:rPr>
        <w:t xml:space="preserve"> (5.9%)</w:t>
      </w:r>
      <w:r w:rsidR="00CA2356">
        <w:rPr>
          <w:rFonts w:eastAsia="TimesNewRomanPSMT"/>
        </w:rPr>
        <w:t>, followed by</w:t>
      </w:r>
      <w:r w:rsidR="00F10417">
        <w:rPr>
          <w:rFonts w:eastAsia="TimesNewRomanPSMT"/>
        </w:rPr>
        <w:t xml:space="preserve"> nicotine pouches (</w:t>
      </w:r>
      <w:r w:rsidR="00276F96">
        <w:rPr>
          <w:rFonts w:eastAsia="TimesNewRomanPSMT"/>
        </w:rPr>
        <w:t xml:space="preserve">1.8%), cigarettes (1.4%), cigars (1.2%), smokeless tobacco (1.2%), other oral nicotine products (1.2%), heated tobacco products (0.8%), hookahs (0.7%), </w:t>
      </w:r>
      <w:r w:rsidR="006D6903">
        <w:rPr>
          <w:rFonts w:eastAsia="TimesNewRomanPSMT"/>
        </w:rPr>
        <w:t>and pipe tobacco (0.5%)</w:t>
      </w:r>
      <w:r>
        <w:rPr>
          <w:rFonts w:eastAsia="TimesNewRomanPSMT"/>
        </w:rPr>
        <w:t xml:space="preserve">. </w:t>
      </w:r>
      <w:r w:rsidR="009D49B7">
        <w:rPr>
          <w:rFonts w:eastAsia="TimesNewRomanPSMT"/>
        </w:rPr>
        <w:t>A</w:t>
      </w:r>
      <w:r>
        <w:rPr>
          <w:rFonts w:eastAsia="TimesNewRomanPSMT"/>
        </w:rPr>
        <w:t>pproximately 10.0% (2.8 million) of all students reported current</w:t>
      </w:r>
      <w:r w:rsidR="009D49B7">
        <w:rPr>
          <w:rFonts w:eastAsia="TimesNewRomanPSMT"/>
        </w:rPr>
        <w:t>ly using any t</w:t>
      </w:r>
      <w:r>
        <w:rPr>
          <w:rFonts w:eastAsia="TimesNewRomanPSMT"/>
        </w:rPr>
        <w:t>obacco product</w:t>
      </w:r>
      <w:r w:rsidR="009D49B7">
        <w:rPr>
          <w:rFonts w:eastAsia="TimesNewRomanPSMT"/>
        </w:rPr>
        <w:t xml:space="preserve"> in 2024</w:t>
      </w:r>
      <w:r>
        <w:rPr>
          <w:rFonts w:eastAsia="TimesNewRomanPSMT"/>
        </w:rPr>
        <w:t xml:space="preserve">. </w:t>
      </w:r>
    </w:p>
    <w:p w:rsidR="00A500A9" w:rsidP="00A500A9" w14:paraId="753BB3F5" w14:textId="77777777">
      <w:pPr>
        <w:pStyle w:val="paragraph0"/>
        <w:textAlignment w:val="baseline"/>
      </w:pPr>
      <w:r w:rsidRPr="00F074FA">
        <w:rPr>
          <w:iCs/>
        </w:rPr>
        <w:t xml:space="preserve">It is important to </w:t>
      </w:r>
      <w:r w:rsidRPr="00F074FA">
        <w:rPr>
          <w:rStyle w:val="normaltextrun"/>
        </w:rPr>
        <w:t>maintain surveillance among youth</w:t>
      </w:r>
      <w:r>
        <w:rPr>
          <w:rStyle w:val="normaltextrun"/>
        </w:rPr>
        <w:t xml:space="preserve"> </w:t>
      </w:r>
      <w:r w:rsidRPr="00F074FA">
        <w:rPr>
          <w:rStyle w:val="normaltextrun"/>
        </w:rPr>
        <w:t>for all forms of tobacco product use and associated factors to inform the development of public health policy and action at the national, state, and community levels</w:t>
      </w:r>
      <w:r>
        <w:rPr>
          <w:rStyle w:val="normaltextrun"/>
          <w:rFonts w:ascii="Calibri" w:hAnsi="Calibri" w:cs="Calibri"/>
          <w:sz w:val="22"/>
          <w:szCs w:val="22"/>
        </w:rPr>
        <w:t>. </w:t>
      </w:r>
      <w:r>
        <w:rPr>
          <w:rStyle w:val="eop"/>
          <w:rFonts w:ascii="Calibri" w:hAnsi="Calibri" w:cs="Calibri"/>
          <w:sz w:val="22"/>
          <w:szCs w:val="22"/>
        </w:rPr>
        <w:t> </w:t>
      </w:r>
      <w:r w:rsidRPr="00F074FA">
        <w:rPr>
          <w:color w:val="000000"/>
        </w:rPr>
        <w:t xml:space="preserve">The NYTS is the </w:t>
      </w:r>
      <w:r>
        <w:rPr>
          <w:color w:val="000000"/>
        </w:rPr>
        <w:t xml:space="preserve">only </w:t>
      </w:r>
      <w:r w:rsidRPr="00F074FA">
        <w:rPr>
          <w:color w:val="000000"/>
        </w:rPr>
        <w:t xml:space="preserve">nationally representative survey of </w:t>
      </w:r>
      <w:r w:rsidR="00F85DF7">
        <w:rPr>
          <w:color w:val="000000"/>
        </w:rPr>
        <w:t xml:space="preserve">U.S. </w:t>
      </w:r>
      <w:r w:rsidRPr="00F074FA">
        <w:rPr>
          <w:color w:val="000000"/>
        </w:rPr>
        <w:t xml:space="preserve">middle and high school students to assess tobacco </w:t>
      </w:r>
      <w:r w:rsidRPr="00F074FA">
        <w:rPr>
          <w:iCs/>
        </w:rPr>
        <w:t>product</w:t>
      </w:r>
      <w:r w:rsidRPr="00F074FA">
        <w:rPr>
          <w:color w:val="000000"/>
        </w:rPr>
        <w:t xml:space="preserve"> use patterns and associated factors. </w:t>
      </w:r>
    </w:p>
    <w:p w:rsidR="008E604A" w:rsidP="00236CFF" w14:paraId="0E73B9CA" w14:textId="427C21DA">
      <w:pPr>
        <w:autoSpaceDE w:val="0"/>
        <w:autoSpaceDN w:val="0"/>
        <w:adjustRightInd w:val="0"/>
      </w:pPr>
      <w:r w:rsidRPr="00185D69">
        <w:t>NYTS collect</w:t>
      </w:r>
      <w:r>
        <w:t>s</w:t>
      </w:r>
      <w:r w:rsidRPr="00185D69">
        <w:t xml:space="preserve"> information on the use of tobacco products; knowledge of and attitudes toward tobacco; exposure to secondhand smoke; and exposure to pro- and anti-tobacco influences such as portrayals of tobacco </w:t>
      </w:r>
      <w:r w:rsidR="009D6E6A">
        <w:rPr>
          <w:iCs/>
        </w:rPr>
        <w:t>products</w:t>
      </w:r>
      <w:r w:rsidRPr="00185D69" w:rsidR="009D6E6A">
        <w:t xml:space="preserve"> </w:t>
      </w:r>
      <w:r w:rsidRPr="00185D69">
        <w:t xml:space="preserve">in advertising and mass media, </w:t>
      </w:r>
      <w:r w:rsidR="00637514">
        <w:t xml:space="preserve">social determinants of health such as </w:t>
      </w:r>
      <w:r w:rsidRPr="00D405D8" w:rsidR="00637514">
        <w:t>family/household affluence</w:t>
      </w:r>
      <w:r w:rsidR="00637514">
        <w:t>,</w:t>
      </w:r>
      <w:r w:rsidRPr="00185D69" w:rsidR="00637514">
        <w:t xml:space="preserve"> </w:t>
      </w:r>
      <w:r w:rsidRPr="00185D69">
        <w:t xml:space="preserve">provision of school- and community-based interventions, </w:t>
      </w:r>
      <w:r w:rsidR="00765EA5">
        <w:t xml:space="preserve">and </w:t>
      </w:r>
      <w:r w:rsidRPr="00185D69">
        <w:t xml:space="preserve">enforcement of minors’ access laws. Data collected through the NYTS can: (1) inform the development of health policy and guidelines that protect nonsmokers from secondhand smoke; (2) help researchers and policy makers to better understand youth exposure to pro-tobacco influences; (3) provide comprehensive tobacco </w:t>
      </w:r>
      <w:r w:rsidR="009D6E6A">
        <w:rPr>
          <w:iCs/>
        </w:rPr>
        <w:t>product</w:t>
      </w:r>
      <w:r w:rsidRPr="00185D69" w:rsidR="009D6E6A">
        <w:t xml:space="preserve"> </w:t>
      </w:r>
      <w:r w:rsidRPr="00185D69">
        <w:t xml:space="preserve">use data to support tobacco control programs; </w:t>
      </w:r>
      <w:r w:rsidR="00415D04">
        <w:t xml:space="preserve">and </w:t>
      </w:r>
      <w:r w:rsidRPr="00185D69">
        <w:t xml:space="preserve">(4) inform the implementation of other key evidence-based policies that will </w:t>
      </w:r>
      <w:r w:rsidR="00415D04">
        <w:t xml:space="preserve">prevent youth initiation, </w:t>
      </w:r>
      <w:r w:rsidRPr="00185D69">
        <w:t xml:space="preserve">decrease the number of </w:t>
      </w:r>
      <w:r w:rsidR="00415D04">
        <w:t xml:space="preserve">tobacco product users, </w:t>
      </w:r>
      <w:r w:rsidRPr="00185D69">
        <w:t xml:space="preserve">and save lives. </w:t>
      </w:r>
    </w:p>
    <w:p w:rsidR="008E604A" w:rsidRPr="00185D69" w:rsidP="00236CFF" w14:paraId="08AB308F" w14:textId="77777777">
      <w:pPr>
        <w:autoSpaceDE w:val="0"/>
        <w:autoSpaceDN w:val="0"/>
        <w:adjustRightInd w:val="0"/>
      </w:pPr>
    </w:p>
    <w:p w:rsidR="008469A3" w:rsidP="00EA51DF" w14:paraId="2A729DF1" w14:textId="45B157B0">
      <w:pPr>
        <w:pStyle w:val="BodyText"/>
        <w:ind w:firstLine="0"/>
      </w:pPr>
      <w:r w:rsidRPr="00B6198F">
        <w:rPr>
          <w:iCs/>
        </w:rPr>
        <w:t xml:space="preserve">Annually, </w:t>
      </w:r>
      <w:r w:rsidRPr="00B6198F" w:rsidR="00B30268">
        <w:t xml:space="preserve">NYTS data </w:t>
      </w:r>
      <w:r w:rsidRPr="00B6198F">
        <w:t>will be used</w:t>
      </w:r>
      <w:r w:rsidRPr="00B6198F" w:rsidR="00852497">
        <w:t>,</w:t>
      </w:r>
      <w:r w:rsidRPr="00B6198F">
        <w:t xml:space="preserve"> </w:t>
      </w:r>
      <w:r w:rsidRPr="00B6198F" w:rsidR="00E57C0C">
        <w:t xml:space="preserve">not only by </w:t>
      </w:r>
      <w:r w:rsidR="00CE70A9">
        <w:t>FDA</w:t>
      </w:r>
      <w:r w:rsidRPr="00B6198F" w:rsidR="009A7C82">
        <w:t>,</w:t>
      </w:r>
      <w:r w:rsidRPr="00B6198F" w:rsidR="00E57C0C">
        <w:t xml:space="preserve"> </w:t>
      </w:r>
      <w:r w:rsidRPr="00B6198F" w:rsidR="00590646">
        <w:t>but also</w:t>
      </w:r>
      <w:r w:rsidRPr="00B6198F" w:rsidR="00E57C0C">
        <w:t xml:space="preserve"> </w:t>
      </w:r>
      <w:r w:rsidRPr="00B6198F">
        <w:t xml:space="preserve">by several </w:t>
      </w:r>
      <w:r w:rsidRPr="00B6198F" w:rsidR="00E57C0C">
        <w:t xml:space="preserve">other </w:t>
      </w:r>
      <w:r w:rsidR="007A5585">
        <w:t>f</w:t>
      </w:r>
      <w:r w:rsidRPr="00B6198F" w:rsidR="007A5585">
        <w:t xml:space="preserve">ederal </w:t>
      </w:r>
      <w:r w:rsidRPr="00B6198F">
        <w:t>agencies</w:t>
      </w:r>
      <w:r w:rsidRPr="00B6198F" w:rsidR="00094189">
        <w:t xml:space="preserve">, including </w:t>
      </w:r>
      <w:r w:rsidR="0084201F">
        <w:t xml:space="preserve">the </w:t>
      </w:r>
      <w:r w:rsidR="0001057F">
        <w:t>CDC</w:t>
      </w:r>
      <w:r w:rsidR="0084201F">
        <w:t>, Health Resources and Services Administration (HRSA)</w:t>
      </w:r>
      <w:r w:rsidR="00A20D06">
        <w:t>, National Cancer Institute (NCI), and the Office of the Surgeon General</w:t>
      </w:r>
      <w:r w:rsidRPr="00B6198F">
        <w:t>.</w:t>
      </w:r>
      <w:r w:rsidRPr="00185D69" w:rsidR="00077574">
        <w:t xml:space="preserve"> </w:t>
      </w:r>
      <w:r w:rsidRPr="00185D69" w:rsidR="009A7C82">
        <w:t>Additionally, t</w:t>
      </w:r>
      <w:r w:rsidRPr="00185D69">
        <w:t xml:space="preserve">he </w:t>
      </w:r>
      <w:r w:rsidR="00415D04">
        <w:t xml:space="preserve">NYTS data can be used </w:t>
      </w:r>
      <w:r w:rsidRPr="00185D69">
        <w:t xml:space="preserve">by state and local governments, nongovernmental organizations, </w:t>
      </w:r>
      <w:r w:rsidR="00415D04">
        <w:t xml:space="preserve">academic institutions, </w:t>
      </w:r>
      <w:r w:rsidRPr="00185D69">
        <w:t>and others in the private sector.</w:t>
      </w:r>
    </w:p>
    <w:p w:rsidR="0001057F" w:rsidRPr="00F435F1" w:rsidP="0001057F" w14:paraId="4FADAE3D" w14:textId="604C794B">
      <w:pPr>
        <w:pStyle w:val="BodyText"/>
        <w:numPr>
          <w:ilvl w:val="0"/>
          <w:numId w:val="25"/>
        </w:numPr>
        <w:rPr>
          <w:b/>
        </w:rPr>
      </w:pPr>
      <w:r w:rsidRPr="00F435F1">
        <w:rPr>
          <w:u w:val="single"/>
        </w:rPr>
        <w:t>FDA</w:t>
      </w:r>
      <w:r w:rsidRPr="003F50A6">
        <w:t>:</w:t>
      </w:r>
      <w:r w:rsidRPr="00185D69">
        <w:t xml:space="preserve"> use</w:t>
      </w:r>
      <w:r>
        <w:t>s</w:t>
      </w:r>
      <w:r w:rsidRPr="00185D69">
        <w:t xml:space="preserve"> NYTS data </w:t>
      </w:r>
      <w:r>
        <w:t xml:space="preserve">to track trends </w:t>
      </w:r>
      <w:r w:rsidRPr="00185D69">
        <w:t xml:space="preserve">over time to inform </w:t>
      </w:r>
      <w:r>
        <w:t xml:space="preserve">and monitor </w:t>
      </w:r>
      <w:r w:rsidRPr="00185D69">
        <w:t>its regulatory authority over the manufacture, distribution, and marketing of tobacco produc</w:t>
      </w:r>
      <w:r>
        <w:t>ts.</w:t>
      </w:r>
    </w:p>
    <w:p w:rsidR="00F435F1" w:rsidRPr="00236CFF" w:rsidP="00236CFF" w14:paraId="0A21DEAD" w14:textId="79B84EC1">
      <w:pPr>
        <w:pStyle w:val="BodyText"/>
        <w:numPr>
          <w:ilvl w:val="0"/>
          <w:numId w:val="25"/>
        </w:numPr>
        <w:rPr>
          <w:b/>
        </w:rPr>
      </w:pPr>
      <w:r w:rsidRPr="00852497">
        <w:rPr>
          <w:u w:val="single"/>
        </w:rPr>
        <w:t>CDC</w:t>
      </w:r>
      <w:r w:rsidRPr="003F50A6">
        <w:t>:</w:t>
      </w:r>
      <w:r>
        <w:t xml:space="preserve"> </w:t>
      </w:r>
      <w:r w:rsidR="00765EA5">
        <w:t xml:space="preserve">uses NYTS data </w:t>
      </w:r>
      <w:r>
        <w:t>for e</w:t>
      </w:r>
      <w:r w:rsidRPr="00185D69">
        <w:t>valuation</w:t>
      </w:r>
      <w:r>
        <w:t xml:space="preserve"> of comprehensive tobacco control policies; measuring progress in reaching national objectives (e.g., </w:t>
      </w:r>
      <w:r w:rsidR="00AE0A72">
        <w:t>H</w:t>
      </w:r>
      <w:r w:rsidR="008515C0">
        <w:t xml:space="preserve">ealthy People </w:t>
      </w:r>
      <w:r w:rsidR="00AE0A72">
        <w:t xml:space="preserve">2030 </w:t>
      </w:r>
      <w:r>
        <w:t xml:space="preserve">objectives); </w:t>
      </w:r>
      <w:r w:rsidR="00AE0A72">
        <w:t>p</w:t>
      </w:r>
      <w:r w:rsidR="009844C0">
        <w:t>o</w:t>
      </w:r>
      <w:r w:rsidRPr="00185D69" w:rsidR="00AE0A72">
        <w:t xml:space="preserve">licy </w:t>
      </w:r>
      <w:r w:rsidRPr="00185D69">
        <w:t xml:space="preserve">and </w:t>
      </w:r>
      <w:r w:rsidR="00AE0A72">
        <w:t>p</w:t>
      </w:r>
      <w:r w:rsidRPr="00185D69" w:rsidR="00AE0A72">
        <w:t xml:space="preserve">rogram </w:t>
      </w:r>
      <w:r w:rsidR="00AE0A72">
        <w:t>d</w:t>
      </w:r>
      <w:r w:rsidRPr="00185D69" w:rsidR="00AE0A72">
        <w:t>evelopment</w:t>
      </w:r>
      <w:r>
        <w:t xml:space="preserve">; and technical assistance to state, local, and other partners. </w:t>
      </w:r>
    </w:p>
    <w:p w:rsidR="008E604A" w:rsidRPr="00185D69" w:rsidP="008E604A" w14:paraId="4BA68C97" w14:textId="77777777">
      <w:pPr>
        <w:numPr>
          <w:ilvl w:val="0"/>
          <w:numId w:val="9"/>
        </w:numPr>
        <w:tabs>
          <w:tab w:val="num" w:pos="-720"/>
          <w:tab w:val="clear" w:pos="720"/>
        </w:tabs>
        <w:spacing w:after="240"/>
        <w:rPr>
          <w:i/>
          <w:iCs/>
        </w:rPr>
      </w:pPr>
      <w:r w:rsidRPr="00185D69">
        <w:rPr>
          <w:u w:val="single"/>
        </w:rPr>
        <w:t>Health Resources and Services Administration (HRSA)</w:t>
      </w:r>
      <w:r>
        <w:t xml:space="preserve">: </w:t>
      </w:r>
      <w:r w:rsidR="00765EA5">
        <w:t xml:space="preserve">uses </w:t>
      </w:r>
      <w:r w:rsidRPr="00185D69">
        <w:t xml:space="preserve">NYTS data </w:t>
      </w:r>
      <w:r w:rsidR="00765EA5">
        <w:t xml:space="preserve">to </w:t>
      </w:r>
      <w:r w:rsidRPr="00185D69">
        <w:t>support HRSA, M</w:t>
      </w:r>
      <w:r w:rsidR="00492649">
        <w:t xml:space="preserve">aternal and </w:t>
      </w:r>
      <w:r w:rsidRPr="00185D69">
        <w:t>C</w:t>
      </w:r>
      <w:r w:rsidR="00492649">
        <w:t xml:space="preserve">hild </w:t>
      </w:r>
      <w:r w:rsidRPr="00185D69">
        <w:t>H</w:t>
      </w:r>
      <w:r w:rsidR="00492649">
        <w:t xml:space="preserve">ealth </w:t>
      </w:r>
      <w:r w:rsidRPr="00185D69">
        <w:t>B</w:t>
      </w:r>
      <w:r w:rsidR="00492649">
        <w:t>ureau (MCHB)</w:t>
      </w:r>
      <w:r w:rsidRPr="00185D69">
        <w:t xml:space="preserve">, and the American Academy of Pediatrics’ </w:t>
      </w:r>
      <w:r w:rsidRPr="00185D69">
        <w:rPr>
          <w:i/>
          <w:iCs/>
        </w:rPr>
        <w:t xml:space="preserve">Bright Futures Health Supervision Guidelines </w:t>
      </w:r>
      <w:r w:rsidRPr="00BF03CE" w:rsidR="00637514">
        <w:t>which</w:t>
      </w:r>
      <w:r w:rsidR="00637514">
        <w:rPr>
          <w:i/>
          <w:iCs/>
        </w:rPr>
        <w:t xml:space="preserve"> </w:t>
      </w:r>
      <w:r w:rsidRPr="00185D69">
        <w:t>formulate</w:t>
      </w:r>
      <w:r w:rsidR="00637514">
        <w:t>s</w:t>
      </w:r>
      <w:r w:rsidRPr="00185D69">
        <w:t xml:space="preserve"> specific risk-</w:t>
      </w:r>
      <w:r w:rsidRPr="00185D69">
        <w:t xml:space="preserve">reduction recommendations to prevent and assess tobacco </w:t>
      </w:r>
      <w:r w:rsidR="00D83F71">
        <w:rPr>
          <w:iCs/>
        </w:rPr>
        <w:t>product</w:t>
      </w:r>
      <w:r w:rsidRPr="00185D69" w:rsidR="00D83F71">
        <w:t xml:space="preserve"> </w:t>
      </w:r>
      <w:r w:rsidRPr="00185D69">
        <w:t xml:space="preserve">use and exposure for children, and adolescents. </w:t>
      </w:r>
    </w:p>
    <w:p w:rsidR="008E604A" w:rsidRPr="00185D69" w:rsidP="008E604A" w14:paraId="4F6C624F" w14:textId="77777777">
      <w:pPr>
        <w:numPr>
          <w:ilvl w:val="0"/>
          <w:numId w:val="9"/>
        </w:numPr>
        <w:tabs>
          <w:tab w:val="num" w:pos="-720"/>
          <w:tab w:val="clear" w:pos="720"/>
        </w:tabs>
        <w:spacing w:after="240"/>
      </w:pPr>
      <w:r w:rsidRPr="00185D69">
        <w:rPr>
          <w:u w:val="single"/>
        </w:rPr>
        <w:t>National Cancer Institute (NCI)</w:t>
      </w:r>
      <w:r w:rsidRPr="003B07A0" w:rsidR="00852497">
        <w:t>:</w:t>
      </w:r>
      <w:r w:rsidRPr="00185D69">
        <w:rPr>
          <w:i/>
          <w:iCs/>
        </w:rPr>
        <w:t xml:space="preserve"> </w:t>
      </w:r>
      <w:r w:rsidRPr="00185D69">
        <w:t xml:space="preserve">uses </w:t>
      </w:r>
      <w:r w:rsidR="00161B86">
        <w:t>NYTS</w:t>
      </w:r>
      <w:r w:rsidRPr="00185D69" w:rsidR="00161B86">
        <w:t xml:space="preserve"> </w:t>
      </w:r>
      <w:r w:rsidRPr="00185D69">
        <w:t xml:space="preserve">data to help inform its educational efforts, demonstration projects focused on youth tobacco </w:t>
      </w:r>
      <w:r w:rsidR="00D83F71">
        <w:rPr>
          <w:iCs/>
        </w:rPr>
        <w:t>product</w:t>
      </w:r>
      <w:r w:rsidRPr="00185D69" w:rsidR="00D83F71">
        <w:t xml:space="preserve"> </w:t>
      </w:r>
      <w:r w:rsidRPr="00185D69">
        <w:t>use prevention</w:t>
      </w:r>
      <w:r w:rsidR="00140187">
        <w:t>,</w:t>
      </w:r>
      <w:r w:rsidRPr="00185D69">
        <w:t xml:space="preserve"> and the determinants of cessation. </w:t>
      </w:r>
    </w:p>
    <w:p w:rsidR="008E604A" w:rsidP="008E604A" w14:paraId="0C04484B" w14:textId="77777777">
      <w:pPr>
        <w:numPr>
          <w:ilvl w:val="0"/>
          <w:numId w:val="9"/>
        </w:numPr>
        <w:tabs>
          <w:tab w:val="num" w:pos="-720"/>
          <w:tab w:val="clear" w:pos="720"/>
        </w:tabs>
      </w:pPr>
      <w:r w:rsidRPr="00185D69">
        <w:rPr>
          <w:u w:val="single"/>
        </w:rPr>
        <w:t>Office of the Surgeon General</w:t>
      </w:r>
      <w:r w:rsidR="000B6F85">
        <w:rPr>
          <w:u w:val="single"/>
        </w:rPr>
        <w:t xml:space="preserve"> (OSG)</w:t>
      </w:r>
      <w:r w:rsidRPr="003F50A6" w:rsidR="00852497">
        <w:t>:</w:t>
      </w:r>
      <w:r w:rsidRPr="00185D69">
        <w:t xml:space="preserve"> uses and reference</w:t>
      </w:r>
      <w:r w:rsidR="00413022">
        <w:t>s</w:t>
      </w:r>
      <w:r w:rsidRPr="00185D69">
        <w:t xml:space="preserve"> the NYTS results to assess the need for focused use of resources for tobacco prevention and control efforts targeting youth</w:t>
      </w:r>
      <w:r>
        <w:t xml:space="preserve">. </w:t>
      </w:r>
      <w:r w:rsidRPr="00185D69">
        <w:t xml:space="preserve">NYTS data </w:t>
      </w:r>
      <w:r>
        <w:t xml:space="preserve">have </w:t>
      </w:r>
      <w:r w:rsidRPr="00185D69">
        <w:t xml:space="preserve">figured prominently </w:t>
      </w:r>
      <w:r>
        <w:t xml:space="preserve">in recently released </w:t>
      </w:r>
      <w:r w:rsidRPr="00185D69">
        <w:t>reports.</w:t>
      </w:r>
      <w:r w:rsidR="008E091F">
        <w:t xml:space="preserve"> </w:t>
      </w:r>
      <w:r w:rsidR="007E32D3">
        <w:t>Based on findings from the 201</w:t>
      </w:r>
      <w:r w:rsidR="00415D04">
        <w:t>8</w:t>
      </w:r>
      <w:r w:rsidR="007E32D3">
        <w:t xml:space="preserve"> NYTS (FDA</w:t>
      </w:r>
      <w:r w:rsidR="00400D29">
        <w:t>,</w:t>
      </w:r>
      <w:r w:rsidR="007E32D3">
        <w:t xml:space="preserve"> 2018; CDC</w:t>
      </w:r>
      <w:r w:rsidR="00400D29">
        <w:t>,</w:t>
      </w:r>
      <w:r w:rsidR="007E32D3">
        <w:t xml:space="preserve"> 2019), th</w:t>
      </w:r>
      <w:r w:rsidR="008E091F">
        <w:t xml:space="preserve">e </w:t>
      </w:r>
      <w:r w:rsidR="00415D04">
        <w:t xml:space="preserve">U.S. </w:t>
      </w:r>
      <w:r w:rsidR="008E091F">
        <w:t>Surgeon General issued an advisory</w:t>
      </w:r>
      <w:r w:rsidR="007E32D3">
        <w:t xml:space="preserve"> on e-cigarette use among youth, declaring the increased use as </w:t>
      </w:r>
      <w:r w:rsidR="00BE1186">
        <w:t xml:space="preserve">an </w:t>
      </w:r>
      <w:r w:rsidR="007E32D3">
        <w:t>epidemic. (OSG</w:t>
      </w:r>
      <w:r w:rsidR="00400D29">
        <w:t>,</w:t>
      </w:r>
      <w:r w:rsidR="007E32D3">
        <w:t xml:space="preserve"> 2018).</w:t>
      </w:r>
      <w:r w:rsidR="008E091F">
        <w:t xml:space="preserve"> </w:t>
      </w:r>
    </w:p>
    <w:p w:rsidR="00161B03" w:rsidP="00C9141B" w14:paraId="1B5625B0" w14:textId="77777777">
      <w:pPr>
        <w:ind w:left="720"/>
      </w:pPr>
    </w:p>
    <w:p w:rsidR="00161B03" w:rsidRPr="00185D69" w:rsidP="00161B03" w14:paraId="52F08C81" w14:textId="77777777">
      <w:pPr>
        <w:pStyle w:val="Bullet"/>
        <w:numPr>
          <w:ilvl w:val="0"/>
          <w:numId w:val="9"/>
        </w:numPr>
      </w:pPr>
      <w:r w:rsidRPr="00852497">
        <w:rPr>
          <w:u w:val="single"/>
        </w:rPr>
        <w:t>State</w:t>
      </w:r>
      <w:r w:rsidRPr="00852497" w:rsidR="001A3E83">
        <w:rPr>
          <w:u w:val="single"/>
        </w:rPr>
        <w:t xml:space="preserve"> and local governments</w:t>
      </w:r>
      <w:r>
        <w:t xml:space="preserve">: </w:t>
      </w:r>
      <w:r w:rsidR="00765EA5">
        <w:t xml:space="preserve">use </w:t>
      </w:r>
      <w:r w:rsidRPr="00185D69">
        <w:t xml:space="preserve">NYTS </w:t>
      </w:r>
      <w:r w:rsidR="00765EA5">
        <w:t xml:space="preserve">data as </w:t>
      </w:r>
      <w:r w:rsidRPr="00185D69">
        <w:t xml:space="preserve">an index against which state and local health and education agencies can compare their state YTS results. Attachment </w:t>
      </w:r>
      <w:r w:rsidR="00204B9A">
        <w:t>B</w:t>
      </w:r>
      <w:r w:rsidRPr="00185D69">
        <w:t xml:space="preserve"> </w:t>
      </w:r>
      <w:r w:rsidR="00765EA5">
        <w:t xml:space="preserve">lists </w:t>
      </w:r>
      <w:r w:rsidRPr="00185D69">
        <w:t>state tobacco control reports that cite NYTS data.</w:t>
      </w:r>
      <w:r>
        <w:t xml:space="preserve"> </w:t>
      </w:r>
      <w:r w:rsidRPr="00185D69">
        <w:t>State and local law enforcement officials</w:t>
      </w:r>
      <w:r w:rsidR="00BC17AC">
        <w:t xml:space="preserve"> also</w:t>
      </w:r>
      <w:r w:rsidRPr="00185D69">
        <w:t xml:space="preserve"> </w:t>
      </w:r>
      <w:r w:rsidR="00195AD4">
        <w:t xml:space="preserve">can </w:t>
      </w:r>
      <w:r w:rsidRPr="00185D69">
        <w:t xml:space="preserve">use findings from the NYTS to determine national compliance with the Synar Amendment, which bans the sale of tobacco products to youth aged &lt;18 years. </w:t>
      </w:r>
    </w:p>
    <w:p w:rsidR="00161B03" w:rsidRPr="00185D69" w:rsidP="00161B03" w14:paraId="714B1A36" w14:textId="77777777">
      <w:pPr>
        <w:numPr>
          <w:ilvl w:val="0"/>
          <w:numId w:val="9"/>
        </w:numPr>
      </w:pPr>
      <w:r w:rsidRPr="00852497">
        <w:rPr>
          <w:u w:val="single"/>
        </w:rPr>
        <w:t>N</w:t>
      </w:r>
      <w:r w:rsidRPr="00852497" w:rsidR="001A3E83">
        <w:rPr>
          <w:u w:val="single"/>
        </w:rPr>
        <w:t>ongovernmental organizations, foundations, and academic institutions</w:t>
      </w:r>
      <w:r w:rsidRPr="003F50A6" w:rsidR="00F93A6B">
        <w:t xml:space="preserve"> (e.g.</w:t>
      </w:r>
      <w:r w:rsidRPr="003F50A6" w:rsidR="003F50A6">
        <w:t>,</w:t>
      </w:r>
      <w:r w:rsidRPr="003F50A6" w:rsidR="00F93A6B">
        <w:t xml:space="preserve"> </w:t>
      </w:r>
      <w:r w:rsidRPr="003F50A6">
        <w:t>A</w:t>
      </w:r>
      <w:r w:rsidRPr="00185D69">
        <w:t>merican Cancer Society</w:t>
      </w:r>
      <w:r>
        <w:t xml:space="preserve">; </w:t>
      </w:r>
      <w:r w:rsidRPr="00185D69">
        <w:t>The Robert Wood Johnson Foundation</w:t>
      </w:r>
      <w:r>
        <w:t xml:space="preserve">; </w:t>
      </w:r>
      <w:r w:rsidRPr="00185D69">
        <w:t>The California Cancer Research Fund for the University of California</w:t>
      </w:r>
      <w:r>
        <w:t xml:space="preserve">; </w:t>
      </w:r>
      <w:r w:rsidRPr="00185D69">
        <w:t>the Truth Initiative</w:t>
      </w:r>
      <w:r>
        <w:t xml:space="preserve">; </w:t>
      </w:r>
      <w:r w:rsidRPr="00185D69">
        <w:rPr>
          <w:rFonts w:eastAsia="Calibri"/>
        </w:rPr>
        <w:t>the American Medical Association</w:t>
      </w:r>
      <w:r>
        <w:rPr>
          <w:rFonts w:eastAsia="Calibri"/>
        </w:rPr>
        <w:t xml:space="preserve">; and </w:t>
      </w:r>
      <w:r w:rsidRPr="00185D69">
        <w:t xml:space="preserve">The </w:t>
      </w:r>
      <w:r w:rsidR="00637514">
        <w:t xml:space="preserve">National Academy </w:t>
      </w:r>
      <w:r w:rsidRPr="00185D69">
        <w:t>of Medicine</w:t>
      </w:r>
      <w:r w:rsidR="00F93A6B">
        <w:t>):</w:t>
      </w:r>
      <w:r w:rsidR="00415D04">
        <w:t xml:space="preserve"> </w:t>
      </w:r>
      <w:r>
        <w:t>have extensively used NYTS data in official reports</w:t>
      </w:r>
      <w:r w:rsidR="00415D04">
        <w:t xml:space="preserve">, </w:t>
      </w:r>
      <w:r>
        <w:t xml:space="preserve">white papers, and fact sheets. </w:t>
      </w:r>
      <w:r w:rsidR="00415D04">
        <w:t>Additionally, a</w:t>
      </w:r>
      <w:r>
        <w:t>cademic researchers use data from NYTS for research and surveillance.</w:t>
      </w:r>
    </w:p>
    <w:bookmarkEnd w:id="1"/>
    <w:p w:rsidR="00A10D3E" w:rsidP="005A4089" w14:paraId="6939724A" w14:textId="77777777">
      <w:pPr>
        <w:autoSpaceDE w:val="0"/>
        <w:autoSpaceDN w:val="0"/>
        <w:adjustRightInd w:val="0"/>
        <w:ind w:firstLine="720"/>
        <w:rPr>
          <w:iCs/>
        </w:rPr>
      </w:pPr>
    </w:p>
    <w:p w:rsidR="00866801" w:rsidP="00271CD3" w14:paraId="1A14CAF6" w14:textId="4A8FEB8D">
      <w:pPr>
        <w:autoSpaceDE w:val="0"/>
        <w:autoSpaceDN w:val="0"/>
        <w:adjustRightInd w:val="0"/>
        <w:rPr>
          <w:iCs/>
        </w:rPr>
      </w:pPr>
      <w:r w:rsidRPr="00B6198F">
        <w:rPr>
          <w:iCs/>
        </w:rPr>
        <w:t xml:space="preserve">Thus, to maintain NYTS data collection for use by </w:t>
      </w:r>
      <w:r w:rsidR="002B4198">
        <w:rPr>
          <w:iCs/>
        </w:rPr>
        <w:t>FDA</w:t>
      </w:r>
      <w:r w:rsidRPr="00B6198F">
        <w:rPr>
          <w:iCs/>
        </w:rPr>
        <w:t xml:space="preserve"> and other federal partners, </w:t>
      </w:r>
      <w:r w:rsidRPr="00B6198F">
        <w:t xml:space="preserve">state and local governments, nongovernmental organizations, academic institutions, and others, </w:t>
      </w:r>
      <w:r w:rsidR="002B4198">
        <w:t>FDA</w:t>
      </w:r>
      <w:r w:rsidRPr="00B6198F">
        <w:rPr>
          <w:iCs/>
        </w:rPr>
        <w:t xml:space="preserve"> </w:t>
      </w:r>
      <w:r w:rsidR="00F41F19">
        <w:rPr>
          <w:iCs/>
        </w:rPr>
        <w:t xml:space="preserve">submits this Information Collection Request to administer </w:t>
      </w:r>
      <w:r w:rsidRPr="00B6198F">
        <w:rPr>
          <w:iCs/>
        </w:rPr>
        <w:t>the</w:t>
      </w:r>
      <w:r w:rsidR="00C416D4">
        <w:rPr>
          <w:iCs/>
        </w:rPr>
        <w:t xml:space="preserve"> NYTS in 2026. </w:t>
      </w:r>
    </w:p>
    <w:p w:rsidR="006B1DBE" w:rsidRPr="00185D69" w:rsidP="00866801" w14:paraId="2ABB06ED" w14:textId="77777777">
      <w:pPr>
        <w:autoSpaceDE w:val="0"/>
        <w:autoSpaceDN w:val="0"/>
        <w:adjustRightInd w:val="0"/>
        <w:ind w:firstLine="720"/>
        <w:rPr>
          <w:iCs/>
        </w:rPr>
      </w:pPr>
    </w:p>
    <w:p w:rsidR="004533A6" w:rsidRPr="00357C8A" w:rsidP="004533A6" w14:paraId="47DC1751" w14:textId="77777777">
      <w:pPr>
        <w:numPr>
          <w:ilvl w:val="0"/>
          <w:numId w:val="57"/>
        </w:numPr>
        <w:spacing w:after="200" w:line="276" w:lineRule="auto"/>
        <w:rPr>
          <w:rFonts w:eastAsia="Calibri"/>
          <w:u w:val="single"/>
        </w:rPr>
      </w:pPr>
      <w:r w:rsidRPr="00357C8A">
        <w:rPr>
          <w:rFonts w:eastAsia="Calibri"/>
          <w:u w:val="single"/>
        </w:rPr>
        <w:t>Use of Improved Information Technology and Burden Reduction</w:t>
      </w:r>
    </w:p>
    <w:p w:rsidR="001E6E99" w:rsidP="00994202" w14:paraId="40C58B2A" w14:textId="38AAD92A">
      <w:r>
        <w:t>Th</w:t>
      </w:r>
      <w:r w:rsidR="00A315AC">
        <w:t>e NYTS</w:t>
      </w:r>
      <w:r>
        <w:t xml:space="preserve"> transition</w:t>
      </w:r>
      <w:r w:rsidR="00A315AC">
        <w:t xml:space="preserve">ed from a paper and pencil survey to an electronic </w:t>
      </w:r>
      <w:r w:rsidR="001F21FA">
        <w:t xml:space="preserve">survey in 2019. This transition </w:t>
      </w:r>
      <w:r>
        <w:t xml:space="preserve">allowed for the programming of skip </w:t>
      </w:r>
      <w:r w:rsidR="001F21FA">
        <w:t>logic</w:t>
      </w:r>
      <w:r>
        <w:t xml:space="preserve"> </w:t>
      </w:r>
      <w:r w:rsidR="001F21FA">
        <w:t>so that respondents only need to answer items that pertain to their</w:t>
      </w:r>
      <w:r>
        <w:t xml:space="preserve"> individual </w:t>
      </w:r>
      <w:r w:rsidR="0008055E">
        <w:t>behaviors and characteristics</w:t>
      </w:r>
      <w:r>
        <w:t xml:space="preserve">. In addition to improving both the overall validity </w:t>
      </w:r>
      <w:r w:rsidR="0008055E">
        <w:t>and reliabil</w:t>
      </w:r>
      <w:r w:rsidR="003B672D">
        <w:t>ity,</w:t>
      </w:r>
      <w:r>
        <w:t xml:space="preserve"> the</w:t>
      </w:r>
      <w:r w:rsidR="00454BB2">
        <w:t xml:space="preserve"> transition </w:t>
      </w:r>
      <w:r>
        <w:t>result</w:t>
      </w:r>
      <w:r w:rsidR="0083237E">
        <w:t>ed</w:t>
      </w:r>
      <w:r>
        <w:t xml:space="preserve"> in reduced </w:t>
      </w:r>
      <w:r w:rsidR="006C260F">
        <w:t>time to complete the survey.</w:t>
      </w:r>
      <w:r w:rsidR="003B672D">
        <w:t xml:space="preserve"> Es</w:t>
      </w:r>
      <w:r w:rsidR="00454BB2">
        <w:t xml:space="preserve">timates of </w:t>
      </w:r>
      <w:r w:rsidR="006C260F">
        <w:t xml:space="preserve">overall </w:t>
      </w:r>
      <w:r w:rsidR="00A26A4B">
        <w:t>time to complete the survey</w:t>
      </w:r>
      <w:r w:rsidR="00454BB2">
        <w:t xml:space="preserve"> </w:t>
      </w:r>
      <w:r w:rsidR="00123641">
        <w:t>was reduced</w:t>
      </w:r>
      <w:r w:rsidR="0016687F">
        <w:t xml:space="preserve"> from one class period (~45 mins.) </w:t>
      </w:r>
      <w:r w:rsidR="00123641">
        <w:t xml:space="preserve">to an average </w:t>
      </w:r>
      <w:r w:rsidR="0031519F">
        <w:t xml:space="preserve">of </w:t>
      </w:r>
      <w:r w:rsidR="00454BB2">
        <w:t>1</w:t>
      </w:r>
      <w:r w:rsidR="00887CEF">
        <w:t>2.5</w:t>
      </w:r>
      <w:r w:rsidR="0031519F">
        <w:t xml:space="preserve"> to 15 minutes</w:t>
      </w:r>
      <w:r w:rsidR="00A26A4B">
        <w:t>, although each student is allowed one class period to complete</w:t>
      </w:r>
      <w:r w:rsidR="002C5518">
        <w:t>.</w:t>
      </w:r>
    </w:p>
    <w:p w:rsidR="00E226B8" w:rsidP="00994202" w14:paraId="5C64E25D" w14:textId="77777777"/>
    <w:p w:rsidR="00E226B8" w:rsidRPr="00357C8A" w:rsidP="00E226B8" w14:paraId="60BED9BC" w14:textId="77777777">
      <w:pPr>
        <w:numPr>
          <w:ilvl w:val="0"/>
          <w:numId w:val="57"/>
        </w:numPr>
        <w:spacing w:after="200" w:line="276" w:lineRule="auto"/>
        <w:rPr>
          <w:rFonts w:eastAsia="Calibri"/>
        </w:rPr>
      </w:pPr>
      <w:r w:rsidRPr="00357C8A">
        <w:rPr>
          <w:rFonts w:eastAsia="Calibri"/>
          <w:u w:val="single"/>
        </w:rPr>
        <w:t xml:space="preserve">Efforts to Identify Duplication and Use of Similar Information </w:t>
      </w:r>
    </w:p>
    <w:p w:rsidR="00686F31" w:rsidP="00994202" w14:paraId="68A371F9" w14:textId="7203793F">
      <w:r>
        <w:t xml:space="preserve">To </w:t>
      </w:r>
      <w:r w:rsidRPr="00185D69" w:rsidR="00DE5F0A">
        <w:t xml:space="preserve">minimize duplication of data collection and the burden on survey participants, </w:t>
      </w:r>
      <w:r w:rsidR="001642A3">
        <w:t>FDA and CDC’s Office on Smoking and Health</w:t>
      </w:r>
      <w:r w:rsidR="00BA748B">
        <w:t xml:space="preserve"> (OSH)</w:t>
      </w:r>
      <w:r w:rsidR="001642A3">
        <w:t xml:space="preserve"> collaborated in the past. </w:t>
      </w:r>
      <w:r w:rsidR="00DD35ED">
        <w:t xml:space="preserve">Now that OSH has been eliminated, </w:t>
      </w:r>
      <w:r w:rsidR="001642A3">
        <w:t>FDA plans</w:t>
      </w:r>
      <w:r w:rsidR="00BA748B">
        <w:t xml:space="preserve"> </w:t>
      </w:r>
      <w:r w:rsidR="00327AB3">
        <w:t xml:space="preserve">to continue </w:t>
      </w:r>
      <w:r w:rsidRPr="00185D69" w:rsidR="00DE5F0A">
        <w:t xml:space="preserve">to leverage the NYTS as a single data source to inform national objectives for tobacco </w:t>
      </w:r>
      <w:r w:rsidR="00D83F71">
        <w:rPr>
          <w:iCs/>
        </w:rPr>
        <w:t>product</w:t>
      </w:r>
      <w:r w:rsidRPr="00185D69" w:rsidR="00D83F71">
        <w:t xml:space="preserve"> </w:t>
      </w:r>
      <w:r w:rsidRPr="00185D69" w:rsidR="00DE5F0A">
        <w:t>use prevention and control among youth.</w:t>
      </w:r>
      <w:r w:rsidR="00161B03">
        <w:t xml:space="preserve"> </w:t>
      </w:r>
    </w:p>
    <w:p w:rsidR="00686F31" w:rsidP="00994202" w14:paraId="6158489A" w14:textId="77777777"/>
    <w:p w:rsidR="00686F31" w:rsidP="00994202" w14:paraId="12E63269" w14:textId="77777777">
      <w:r w:rsidRPr="00185D69">
        <w:t>The</w:t>
      </w:r>
      <w:r w:rsidR="00B936B6">
        <w:t xml:space="preserve"> </w:t>
      </w:r>
      <w:r w:rsidRPr="00185D69">
        <w:t>NYTS</w:t>
      </w:r>
      <w:r w:rsidR="0079364C">
        <w:t xml:space="preserve"> population, which is students enrolled in grades 6-12, is </w:t>
      </w:r>
      <w:r w:rsidRPr="00185D69">
        <w:t>distinct from other</w:t>
      </w:r>
      <w:r w:rsidR="0079364C">
        <w:t xml:space="preserve"> </w:t>
      </w:r>
      <w:r w:rsidR="00637514">
        <w:t xml:space="preserve">youth </w:t>
      </w:r>
      <w:r w:rsidR="0079364C">
        <w:t>s</w:t>
      </w:r>
      <w:r w:rsidRPr="00185D69">
        <w:t xml:space="preserve">urveys </w:t>
      </w:r>
      <w:r w:rsidR="008515C0">
        <w:t>s</w:t>
      </w:r>
      <w:r w:rsidR="00B936B6">
        <w:t>uch as</w:t>
      </w:r>
      <w:r w:rsidR="008515C0">
        <w:t xml:space="preserve"> the</w:t>
      </w:r>
      <w:r w:rsidR="00B936B6">
        <w:t xml:space="preserve"> </w:t>
      </w:r>
      <w:r w:rsidR="00620BC8">
        <w:t xml:space="preserve">National </w:t>
      </w:r>
      <w:r w:rsidRPr="00185D69" w:rsidR="00B936B6">
        <w:t>Youth Risk Behavior Survey</w:t>
      </w:r>
      <w:r w:rsidR="00B936B6">
        <w:t xml:space="preserve"> (grades 9-12); and </w:t>
      </w:r>
      <w:r w:rsidRPr="00185D69" w:rsidR="00B936B6">
        <w:t xml:space="preserve">Monitoring </w:t>
      </w:r>
      <w:r w:rsidRPr="00185D69" w:rsidR="00D50B62">
        <w:t>the</w:t>
      </w:r>
      <w:r w:rsidRPr="00185D69" w:rsidR="00B936B6">
        <w:t xml:space="preserve"> Future</w:t>
      </w:r>
      <w:r w:rsidR="00B936B6">
        <w:t xml:space="preserve"> (grades 8, 10, and 12). While other </w:t>
      </w:r>
      <w:r w:rsidRPr="00185D69" w:rsidR="00B936B6">
        <w:t xml:space="preserve">multi-purpose </w:t>
      </w:r>
      <w:r w:rsidR="00B936B6">
        <w:t xml:space="preserve">household surveys also sample youth such as </w:t>
      </w:r>
      <w:r w:rsidR="008515C0">
        <w:t xml:space="preserve">the </w:t>
      </w:r>
      <w:r w:rsidR="00437672">
        <w:t xml:space="preserve">National Survey on Drug Use and Health (NSDUH) and the </w:t>
      </w:r>
      <w:r w:rsidR="008515C0">
        <w:t>National Health and Nutrition Examination Survey (</w:t>
      </w:r>
      <w:r w:rsidR="00B936B6">
        <w:t>NHANES</w:t>
      </w:r>
      <w:r w:rsidR="00437672">
        <w:t xml:space="preserve">) and contain </w:t>
      </w:r>
      <w:r w:rsidR="00B936B6">
        <w:t>some tobacco</w:t>
      </w:r>
      <w:r w:rsidR="008E5DE3">
        <w:t>-related content</w:t>
      </w:r>
      <w:r w:rsidR="00B936B6">
        <w:t>, the scope of these tobacco</w:t>
      </w:r>
      <w:r w:rsidR="00437672">
        <w:t xml:space="preserve">-specific </w:t>
      </w:r>
      <w:r w:rsidR="00B936B6">
        <w:t>questions</w:t>
      </w:r>
      <w:r w:rsidRPr="00185D69" w:rsidR="00B936B6">
        <w:t xml:space="preserve"> cannot meet the needs specific to the evaluation of </w:t>
      </w:r>
      <w:r w:rsidR="00637514">
        <w:t xml:space="preserve">national </w:t>
      </w:r>
      <w:r w:rsidRPr="00185D69" w:rsidR="00B936B6">
        <w:t>tobacco prevention and control activities.</w:t>
      </w:r>
    </w:p>
    <w:p w:rsidR="00686F31" w:rsidP="00994202" w14:paraId="2428A04A" w14:textId="77777777"/>
    <w:p w:rsidR="000C4869" w:rsidP="00271CD3" w14:paraId="423B5DFC" w14:textId="334DA3BF">
      <w:r>
        <w:t>E</w:t>
      </w:r>
      <w:r w:rsidRPr="00185D69" w:rsidR="005843EE">
        <w:t>nhanced</w:t>
      </w:r>
      <w:r w:rsidRPr="00185D69" w:rsidR="00C70D43">
        <w:t xml:space="preserve"> review procedures </w:t>
      </w:r>
      <w:r w:rsidR="00620BC8">
        <w:t xml:space="preserve">for the NYTS </w:t>
      </w:r>
      <w:r w:rsidRPr="00185D69" w:rsidR="00C70D43">
        <w:t>were instituted in 2013 to promote overall efficiency and quality in federally</w:t>
      </w:r>
      <w:r w:rsidR="00D50B62">
        <w:t xml:space="preserve"> </w:t>
      </w:r>
      <w:r w:rsidRPr="00185D69" w:rsidR="00C70D43">
        <w:t>sponsored data collection</w:t>
      </w:r>
      <w:r w:rsidR="00D50B62">
        <w:t>.</w:t>
      </w:r>
      <w:r w:rsidRPr="00185D69" w:rsidR="00C70D43">
        <w:t xml:space="preserve"> An interagency workgroup was established under the HHS Data Council with representatives from HHS OPDIVS and programs collecting tobacco related data.</w:t>
      </w:r>
      <w:r w:rsidR="009E10AD">
        <w:t xml:space="preserve"> </w:t>
      </w:r>
      <w:r w:rsidRPr="00185D69" w:rsidR="00C70D43">
        <w:t xml:space="preserve">The role of the group is to build infrastructure and connections to facilitate coordination and communication during the developmental stage of survey design to reduce duplication, improve response rates, reduce respondent burden, and promote standardization of estimates, where feasible. </w:t>
      </w:r>
      <w:r w:rsidR="00686F31">
        <w:t>F</w:t>
      </w:r>
      <w:r w:rsidRPr="00185D69" w:rsidR="00C70D43">
        <w:t xml:space="preserve">ederal agencies consulted through this process include </w:t>
      </w:r>
      <w:r w:rsidRPr="00185D69" w:rsidR="001B7808">
        <w:t xml:space="preserve">NCHS, </w:t>
      </w:r>
      <w:r w:rsidRPr="00185D69" w:rsidR="00C70D43">
        <w:t>NIH</w:t>
      </w:r>
      <w:r w:rsidRPr="00185D69" w:rsidR="001B7808">
        <w:t>/NCI, NIH/NIDA</w:t>
      </w:r>
      <w:r w:rsidRPr="00185D69" w:rsidR="00C70D43">
        <w:t xml:space="preserve">, </w:t>
      </w:r>
      <w:r w:rsidRPr="00185D69" w:rsidR="001B7808">
        <w:t xml:space="preserve">and </w:t>
      </w:r>
      <w:r w:rsidRPr="00185D69" w:rsidR="00C70D43">
        <w:t>SAMSHA</w:t>
      </w:r>
      <w:r w:rsidRPr="00185D69" w:rsidR="001B7808">
        <w:t>.</w:t>
      </w:r>
    </w:p>
    <w:p w:rsidR="00B824B8" w:rsidRPr="00185D69" w:rsidP="00A26958" w14:paraId="7A9155C0" w14:textId="77777777">
      <w:pPr>
        <w:pStyle w:val="BodyText"/>
        <w:spacing w:after="0"/>
        <w:ind w:left="720" w:firstLine="0"/>
      </w:pPr>
    </w:p>
    <w:p w:rsidR="002F7B84" w:rsidRPr="00357C8A" w:rsidP="002F7B84" w14:paraId="06E9CD97" w14:textId="77777777">
      <w:pPr>
        <w:numPr>
          <w:ilvl w:val="0"/>
          <w:numId w:val="57"/>
        </w:numPr>
        <w:spacing w:after="200" w:line="276" w:lineRule="auto"/>
        <w:rPr>
          <w:rFonts w:eastAsia="Calibri"/>
        </w:rPr>
      </w:pPr>
      <w:r w:rsidRPr="00357C8A">
        <w:rPr>
          <w:rFonts w:eastAsia="Calibri"/>
          <w:u w:val="single"/>
        </w:rPr>
        <w:t>Impact on Small Businesses or Other Small Entities</w:t>
      </w:r>
    </w:p>
    <w:p w:rsidR="00B824B8" w:rsidP="00271CD3" w14:paraId="7E6D0684" w14:textId="74B338ED">
      <w:r w:rsidRPr="00185D69">
        <w:t>The planned data collection does not involve small businesses or other small entities.</w:t>
      </w:r>
    </w:p>
    <w:p w:rsidR="00B824B8" w:rsidRPr="00185D69" w:rsidP="00A26958" w14:paraId="379FF69B" w14:textId="77777777">
      <w:pPr>
        <w:pStyle w:val="BodyText"/>
        <w:spacing w:after="0"/>
      </w:pPr>
    </w:p>
    <w:p w:rsidR="00DA089D" w:rsidRPr="00357C8A" w:rsidP="00DA089D" w14:paraId="068E7D8C" w14:textId="77777777">
      <w:pPr>
        <w:numPr>
          <w:ilvl w:val="0"/>
          <w:numId w:val="57"/>
        </w:numPr>
        <w:spacing w:after="200" w:line="276" w:lineRule="auto"/>
        <w:rPr>
          <w:rFonts w:eastAsia="Calibri"/>
          <w:u w:val="single"/>
        </w:rPr>
      </w:pPr>
      <w:r w:rsidRPr="00357C8A">
        <w:rPr>
          <w:rFonts w:eastAsia="Calibri"/>
          <w:u w:val="single"/>
        </w:rPr>
        <w:t>Consequences of Collecting the Information Less Frequently</w:t>
      </w:r>
    </w:p>
    <w:p w:rsidR="00C45B9E" w:rsidP="0075201C" w14:paraId="593DA45C" w14:textId="5C0B8FB9">
      <w:r>
        <w:t xml:space="preserve">NYTS is conducted annually. Conducting it less than annually will adversely impact the ability to assess </w:t>
      </w:r>
      <w:r w:rsidR="00686F31">
        <w:t xml:space="preserve">emerging </w:t>
      </w:r>
      <w:r>
        <w:t xml:space="preserve">trends. This </w:t>
      </w:r>
      <w:r w:rsidR="00F93A6B">
        <w:t xml:space="preserve">will be </w:t>
      </w:r>
      <w:r>
        <w:t xml:space="preserve">particularly important </w:t>
      </w:r>
      <w:r w:rsidR="00F93A6B">
        <w:t xml:space="preserve">for assessing progress toward reaching Healthy People 2030 national targets </w:t>
      </w:r>
      <w:r>
        <w:t>for tobacco control. Th</w:t>
      </w:r>
      <w:r w:rsidR="00437672">
        <w:t xml:space="preserve">e tobacco product environment </w:t>
      </w:r>
      <w:r w:rsidR="00637514">
        <w:t xml:space="preserve">evolves </w:t>
      </w:r>
      <w:r w:rsidR="00317CCC">
        <w:t>rapidly.</w:t>
      </w:r>
      <w:r w:rsidR="00437672">
        <w:t xml:space="preserve"> </w:t>
      </w:r>
      <w:r w:rsidR="00DB7F4E">
        <w:t>FDA</w:t>
      </w:r>
      <w:r w:rsidR="008E5DE3">
        <w:t xml:space="preserve"> and other public health agencies need annual data to identify and track emerging products and issues</w:t>
      </w:r>
      <w:r w:rsidR="00317CCC">
        <w:t xml:space="preserve">, such as new e-cigarette devices and flavors that are attractive to youth. </w:t>
      </w:r>
      <w:r w:rsidR="00885AC8">
        <w:t>For example, after increasing from 2017-2019 (FDA, 2018; CDC, 2019a), (FDA-CDC, 2019; CDC, 2019b), e-cigarette use decreased among high school students between 2022 and 2024 (CDC, 2023; CDC 2024; FDA-CDC, 2024)</w:t>
      </w:r>
      <w:r w:rsidR="00885AC8">
        <w:rPr>
          <w:rFonts w:eastAsia="TimesNewRomanPSMT"/>
        </w:rPr>
        <w:t xml:space="preserve">. </w:t>
      </w:r>
      <w:r w:rsidR="00885AC8">
        <w:t>Current use of any tobacco also declined b</w:t>
      </w:r>
      <w:r w:rsidR="00885AC8">
        <w:rPr>
          <w:rFonts w:eastAsia="TimesNewRomanPSMT"/>
        </w:rPr>
        <w:t>etween 2023 and 2024 among middle and high school students (CDC, 2023; CDC, 2024). At the same time, in 2024, for the first</w:t>
      </w:r>
      <w:r w:rsidR="007D610D">
        <w:rPr>
          <w:rFonts w:eastAsia="TimesNewRomanPSMT"/>
        </w:rPr>
        <w:t xml:space="preserve"> time</w:t>
      </w:r>
      <w:r w:rsidR="00885AC8">
        <w:rPr>
          <w:rFonts w:eastAsia="TimesNewRomanPSMT"/>
        </w:rPr>
        <w:t xml:space="preserve">, nicotine pouches were the second </w:t>
      </w:r>
      <w:r w:rsidR="00885AC8">
        <w:rPr>
          <w:rFonts w:eastAsia="TimesNewRomanPSMT"/>
        </w:rPr>
        <w:t>most commonly used</w:t>
      </w:r>
      <w:r w:rsidR="00885AC8">
        <w:rPr>
          <w:rFonts w:eastAsia="TimesNewRomanPSMT"/>
        </w:rPr>
        <w:t xml:space="preserve"> tobacco product among middle and high school students in the NYTS (CDC, 2024), suggesting the need for continued monitoring of this and other emerging products. </w:t>
      </w:r>
      <w:r w:rsidR="00637514">
        <w:t>L</w:t>
      </w:r>
      <w:r w:rsidR="00BB58AA">
        <w:t>ess frequent NYTS administration would not have been able to track these nuanced changes in e-cigarette use</w:t>
      </w:r>
      <w:r w:rsidR="0070707B">
        <w:t xml:space="preserve"> </w:t>
      </w:r>
      <w:r w:rsidR="00BB58AA">
        <w:t xml:space="preserve">and resulting changes in overall tobacco product use among youth. </w:t>
      </w:r>
      <w:r w:rsidR="000D6EBD">
        <w:t xml:space="preserve">The NYTS assists the </w:t>
      </w:r>
      <w:r w:rsidR="00BB58AA">
        <w:t>F</w:t>
      </w:r>
      <w:r w:rsidR="00E97999">
        <w:t xml:space="preserve">DA </w:t>
      </w:r>
      <w:r w:rsidR="000D6EBD">
        <w:t>with</w:t>
      </w:r>
      <w:r w:rsidR="002946A6">
        <w:t xml:space="preserve"> its requirement to conduct</w:t>
      </w:r>
      <w:r w:rsidR="00E97999">
        <w:t xml:space="preserve"> annual monitoring of youth tobacco </w:t>
      </w:r>
      <w:r w:rsidR="00D83F71">
        <w:rPr>
          <w:iCs/>
        </w:rPr>
        <w:t>product</w:t>
      </w:r>
      <w:r w:rsidR="00D83F71">
        <w:t xml:space="preserve"> </w:t>
      </w:r>
      <w:r w:rsidR="00E97999">
        <w:t xml:space="preserve">use behavior to inform and evaluate tobacco regulatory policies. </w:t>
      </w:r>
      <w:r w:rsidR="00E440F7">
        <w:t>For example</w:t>
      </w:r>
      <w:r w:rsidR="00F926BC">
        <w:t>, in July 2024, FDA sent warning letters to five online retailers who were selling unauthorized disposable e-cigarettes (FDA, 2024). FDA took this action after noticing an increase in youth use of these products (FDA, 2024)</w:t>
      </w:r>
      <w:r w:rsidRPr="0083237E" w:rsidR="00CE2D29">
        <w:t xml:space="preserve">. </w:t>
      </w:r>
    </w:p>
    <w:p w:rsidR="009301A0" w:rsidP="0075201C" w14:paraId="056EA0D9" w14:textId="77777777"/>
    <w:p w:rsidR="0075201C" w:rsidP="0075201C" w14:paraId="00788462" w14:textId="698BBAEB">
      <w:r>
        <w:rPr>
          <w:color w:val="000000"/>
        </w:rPr>
        <w:t>A</w:t>
      </w:r>
      <w:r w:rsidRPr="006431A9" w:rsidR="007162EE">
        <w:rPr>
          <w:color w:val="000000"/>
        </w:rPr>
        <w:t xml:space="preserve">dministering the NYTS </w:t>
      </w:r>
      <w:r>
        <w:rPr>
          <w:color w:val="000000"/>
        </w:rPr>
        <w:t xml:space="preserve">on an annual basis </w:t>
      </w:r>
      <w:r w:rsidRPr="006431A9" w:rsidR="007162EE">
        <w:rPr>
          <w:color w:val="000000"/>
        </w:rPr>
        <w:t xml:space="preserve">will help </w:t>
      </w:r>
      <w:r w:rsidR="00A06441">
        <w:rPr>
          <w:color w:val="000000"/>
        </w:rPr>
        <w:t>f</w:t>
      </w:r>
      <w:r w:rsidRPr="006431A9" w:rsidR="007162EE">
        <w:rPr>
          <w:color w:val="000000"/>
        </w:rPr>
        <w:t>ederal agencies, as well as other stakeholders</w:t>
      </w:r>
      <w:r w:rsidR="00A06441">
        <w:rPr>
          <w:color w:val="000000"/>
        </w:rPr>
        <w:t xml:space="preserve">, </w:t>
      </w:r>
      <w:r w:rsidRPr="006431A9" w:rsidR="007162EE">
        <w:rPr>
          <w:color w:val="000000"/>
        </w:rPr>
        <w:t>to</w:t>
      </w:r>
      <w:r w:rsidR="00112162">
        <w:rPr>
          <w:color w:val="000000"/>
        </w:rPr>
        <w:t xml:space="preserve"> obtain important information about changes in youth tobacco use behaviors that </w:t>
      </w:r>
      <w:r w:rsidR="00112162">
        <w:rPr>
          <w:color w:val="000000"/>
        </w:rPr>
        <w:t>will inform strate</w:t>
      </w:r>
      <w:r w:rsidR="000E0256">
        <w:rPr>
          <w:color w:val="000000"/>
        </w:rPr>
        <w:t xml:space="preserve">gies that are </w:t>
      </w:r>
      <w:r w:rsidR="00747F5A">
        <w:rPr>
          <w:color w:val="000000"/>
        </w:rPr>
        <w:t xml:space="preserve">appropriately targeted </w:t>
      </w:r>
      <w:r w:rsidR="002A0E54">
        <w:rPr>
          <w:color w:val="000000"/>
        </w:rPr>
        <w:t>to</w:t>
      </w:r>
      <w:r w:rsidR="00AA0ABD">
        <w:rPr>
          <w:color w:val="000000"/>
        </w:rPr>
        <w:t xml:space="preserve"> what the youth are exposed to, have access to and </w:t>
      </w:r>
      <w:r w:rsidR="00B85B21">
        <w:rPr>
          <w:color w:val="000000"/>
        </w:rPr>
        <w:t xml:space="preserve">their use of </w:t>
      </w:r>
      <w:r w:rsidR="00AA0ABD">
        <w:rPr>
          <w:color w:val="000000"/>
        </w:rPr>
        <w:t>specific products</w:t>
      </w:r>
      <w:r w:rsidRPr="006431A9" w:rsidR="007162EE">
        <w:rPr>
          <w:color w:val="000000"/>
        </w:rPr>
        <w:t>.</w:t>
      </w:r>
      <w:r w:rsidR="00A94656">
        <w:rPr>
          <w:color w:val="000000"/>
        </w:rPr>
        <w:t xml:space="preserve"> </w:t>
      </w:r>
    </w:p>
    <w:p w:rsidR="00E97999" w:rsidP="0075201C" w14:paraId="2A7B634B" w14:textId="77777777"/>
    <w:p w:rsidR="00445CC0" w:rsidRPr="00357C8A" w:rsidP="00445CC0" w14:paraId="7C823C71" w14:textId="77777777">
      <w:pPr>
        <w:numPr>
          <w:ilvl w:val="0"/>
          <w:numId w:val="57"/>
        </w:numPr>
        <w:spacing w:after="200" w:line="276" w:lineRule="auto"/>
        <w:rPr>
          <w:rFonts w:eastAsia="Calibri"/>
        </w:rPr>
      </w:pPr>
      <w:r w:rsidRPr="00357C8A">
        <w:rPr>
          <w:rFonts w:eastAsia="Calibri"/>
          <w:u w:val="single"/>
        </w:rPr>
        <w:t xml:space="preserve">Special Circumstances Relating to the Guidelines of </w:t>
      </w:r>
      <w:bookmarkStart w:id="2" w:name="_Hlk66189747"/>
      <w:r w:rsidRPr="00357C8A">
        <w:rPr>
          <w:rFonts w:eastAsia="Calibri"/>
          <w:u w:val="single"/>
        </w:rPr>
        <w:t>5 CFR 1320.5</w:t>
      </w:r>
      <w:bookmarkEnd w:id="2"/>
    </w:p>
    <w:p w:rsidR="00F93F08" w:rsidRPr="005013B2" w:rsidP="00F93F08" w14:paraId="72E66B5E" w14:textId="6FF1020A">
      <w:pPr>
        <w:pStyle w:val="BodyText"/>
        <w:spacing w:after="0"/>
        <w:ind w:firstLine="0"/>
        <w:rPr>
          <w:i/>
          <w:iCs/>
        </w:rPr>
      </w:pPr>
      <w:r w:rsidRPr="00185D69">
        <w:t>The data collection will be implemented in a manner consistent with 5 CFR 1320.</w:t>
      </w:r>
      <w:r w:rsidRPr="00185D69" w:rsidR="00D01BEB">
        <w:t>5</w:t>
      </w:r>
      <w:r w:rsidRPr="00185D69">
        <w:t>.</w:t>
      </w:r>
      <w:r w:rsidRPr="00185D69" w:rsidR="00077574">
        <w:t xml:space="preserve"> </w:t>
      </w:r>
      <w:r>
        <w:t>The 2024 questionnaire, previously approved by OMB, included a question that align</w:t>
      </w:r>
      <w:r w:rsidR="002F2E91">
        <w:rPr>
          <w:rFonts w:hint="eastAsia"/>
          <w:lang w:eastAsia="ko-KR"/>
        </w:rPr>
        <w:t>s</w:t>
      </w:r>
      <w:r>
        <w:t xml:space="preserve"> with the</w:t>
      </w:r>
      <w:r w:rsidRPr="00F93F08">
        <w:rPr>
          <w:i/>
          <w:iCs/>
        </w:rPr>
        <w:t xml:space="preserve"> </w:t>
      </w:r>
      <w:r w:rsidRPr="005013B2">
        <w:rPr>
          <w:i/>
          <w:iCs/>
        </w:rPr>
        <w:t>Revisions to OMB’s Statistical Policy Directive No. 15: Standards for Maintaining,</w:t>
      </w:r>
    </w:p>
    <w:p w:rsidR="00D26E95" w:rsidP="00FF7AA7" w14:paraId="09958047" w14:textId="63BD6179">
      <w:pPr>
        <w:pStyle w:val="BodyText"/>
        <w:spacing w:after="0"/>
        <w:ind w:firstLine="0"/>
      </w:pPr>
      <w:r w:rsidRPr="005013B2">
        <w:rPr>
          <w:i/>
          <w:iCs/>
        </w:rPr>
        <w:t>Collecting, and Presenting Federal Data on Race and Ethnicity</w:t>
      </w:r>
      <w:r>
        <w:rPr>
          <w:i/>
          <w:iCs/>
        </w:rPr>
        <w:t xml:space="preserve"> (SPD-15). </w:t>
      </w:r>
      <w:r w:rsidR="002F2E91">
        <w:rPr>
          <w:rFonts w:hint="eastAsia"/>
          <w:i/>
          <w:iCs/>
          <w:lang w:eastAsia="ko-KR"/>
        </w:rPr>
        <w:t>T</w:t>
      </w:r>
      <w:r>
        <w:rPr>
          <w:i/>
          <w:iCs/>
        </w:rPr>
        <w:t xml:space="preserve">he race and ethnicity question in the 2024 questionnaire used the item in </w:t>
      </w:r>
      <w:r w:rsidRPr="005013B2">
        <w:t>“Figure 2. Race and Ethnicity Question with Minimum Categories Only and Examples</w:t>
      </w:r>
      <w:r>
        <w:t>.</w:t>
      </w:r>
      <w:r w:rsidRPr="005013B2">
        <w:t>”</w:t>
      </w:r>
      <w:r>
        <w:t xml:space="preserve">  </w:t>
      </w:r>
    </w:p>
    <w:p w:rsidR="00B824B8" w:rsidRPr="00185D69" w:rsidP="00A26958" w14:paraId="4CEA82AA" w14:textId="77777777">
      <w:pPr>
        <w:ind w:left="720"/>
      </w:pPr>
    </w:p>
    <w:p w:rsidR="005B60B3" w:rsidRPr="00357C8A" w:rsidP="005B60B3" w14:paraId="093E910E" w14:textId="77777777">
      <w:pPr>
        <w:numPr>
          <w:ilvl w:val="0"/>
          <w:numId w:val="57"/>
        </w:numPr>
        <w:spacing w:after="200" w:line="276" w:lineRule="auto"/>
        <w:rPr>
          <w:rFonts w:eastAsia="Calibri"/>
        </w:rPr>
      </w:pPr>
      <w:r w:rsidRPr="00357C8A">
        <w:rPr>
          <w:rFonts w:eastAsia="Calibri"/>
          <w:u w:val="single"/>
        </w:rPr>
        <w:t>Comments in Response to the Federal Register Notice and Efforts to Consult Outside the Agency</w:t>
      </w:r>
    </w:p>
    <w:p w:rsidR="008469A3" w:rsidRPr="00185D69" w:rsidP="00F11FFB" w14:paraId="2C64F94A" w14:textId="77777777">
      <w:pPr>
        <w:pStyle w:val="Heading3"/>
        <w:ind w:left="0"/>
        <w:rPr>
          <w:szCs w:val="24"/>
        </w:rPr>
      </w:pPr>
      <w:r w:rsidRPr="00185D69">
        <w:rPr>
          <w:szCs w:val="24"/>
          <w:u w:val="single"/>
        </w:rPr>
        <w:t>Federal Register Announcement</w:t>
      </w:r>
    </w:p>
    <w:p w:rsidR="00D26C0A" w:rsidRPr="00A70D42" w:rsidP="0075201C" w14:paraId="38BC5FE1" w14:textId="77777777">
      <w:pPr>
        <w:pStyle w:val="BodyText"/>
        <w:ind w:firstLine="0"/>
      </w:pPr>
      <w:r>
        <w:t>A 60-day Federal Register Notice (</w:t>
      </w:r>
      <w:r w:rsidR="00063FA2">
        <w:t>A</w:t>
      </w:r>
      <w:r>
        <w:t xml:space="preserve">ttachment </w:t>
      </w:r>
      <w:r w:rsidR="005A30BA">
        <w:t>A2</w:t>
      </w:r>
      <w:r>
        <w:t>) was published in the Federal Register on</w:t>
      </w:r>
      <w:r w:rsidR="006E1FC2">
        <w:t xml:space="preserve"> </w:t>
      </w:r>
      <w:r w:rsidRPr="00BF03CE" w:rsidR="00A70D42">
        <w:t>June 5</w:t>
      </w:r>
      <w:r w:rsidRPr="00BF03CE" w:rsidR="009D3E7D">
        <w:t>,</w:t>
      </w:r>
      <w:r w:rsidRPr="00A70D42" w:rsidR="009D3E7D">
        <w:t xml:space="preserve"> 202</w:t>
      </w:r>
      <w:r w:rsidRPr="00A70D42" w:rsidR="006E1FC2">
        <w:t>3</w:t>
      </w:r>
      <w:r w:rsidRPr="00A70D42">
        <w:t>, Docket no. CDC-</w:t>
      </w:r>
      <w:r w:rsidRPr="00BF03CE" w:rsidR="009D3E7D">
        <w:t>20</w:t>
      </w:r>
      <w:r w:rsidR="008E4178">
        <w:t>23</w:t>
      </w:r>
      <w:r w:rsidRPr="00BF03CE" w:rsidR="009D3E7D">
        <w:t>-0</w:t>
      </w:r>
      <w:r w:rsidR="008E4178">
        <w:t>043</w:t>
      </w:r>
      <w:r w:rsidRPr="00BF03CE" w:rsidR="00416230">
        <w:t xml:space="preserve">, </w:t>
      </w:r>
      <w:r w:rsidRPr="00BF03CE">
        <w:t xml:space="preserve">volume </w:t>
      </w:r>
      <w:r w:rsidRPr="00BF03CE" w:rsidR="00575B08">
        <w:t>8</w:t>
      </w:r>
      <w:r w:rsidR="008E4178">
        <w:t>8</w:t>
      </w:r>
      <w:r w:rsidRPr="00BF03CE">
        <w:t xml:space="preserve">, no </w:t>
      </w:r>
      <w:r w:rsidR="008E4178">
        <w:t>107</w:t>
      </w:r>
      <w:r w:rsidRPr="00BF03CE">
        <w:t xml:space="preserve">, </w:t>
      </w:r>
      <w:r w:rsidRPr="00BF03CE" w:rsidR="00416230">
        <w:t>document no. 202</w:t>
      </w:r>
      <w:r w:rsidR="008E4178">
        <w:t>3</w:t>
      </w:r>
      <w:r w:rsidRPr="00BF03CE" w:rsidR="00416230">
        <w:t>-</w:t>
      </w:r>
      <w:r w:rsidR="008E4178">
        <w:t>11858</w:t>
      </w:r>
      <w:r w:rsidRPr="00BF03CE" w:rsidR="00416230">
        <w:t xml:space="preserve">, </w:t>
      </w:r>
      <w:r w:rsidRPr="00BF03CE">
        <w:t xml:space="preserve">pages </w:t>
      </w:r>
      <w:r w:rsidR="008E4178">
        <w:t>36585</w:t>
      </w:r>
      <w:r w:rsidRPr="00BF03CE" w:rsidR="009D3E7D">
        <w:t>-</w:t>
      </w:r>
      <w:r w:rsidR="008E4178">
        <w:t>36586</w:t>
      </w:r>
      <w:r w:rsidRPr="00A70D42" w:rsidR="003E733C">
        <w:t>.</w:t>
      </w:r>
    </w:p>
    <w:p w:rsidR="003C1F22" w:rsidP="0075201C" w14:paraId="2DB705F8" w14:textId="77777777">
      <w:pPr>
        <w:pStyle w:val="BodyText"/>
        <w:ind w:firstLine="0"/>
      </w:pPr>
      <w:r>
        <w:t xml:space="preserve">Five comments were received through the </w:t>
      </w:r>
      <w:r w:rsidR="0012009D">
        <w:t>60-day</w:t>
      </w:r>
      <w:r>
        <w:t xml:space="preserve"> FRN.  CDC’s responses to these comments are</w:t>
      </w:r>
      <w:r w:rsidR="00F70575">
        <w:t xml:space="preserve"> provided in Attachment A3.</w:t>
      </w:r>
    </w:p>
    <w:p w:rsidR="00B15555" w:rsidRPr="002F3753" w:rsidP="002F3753" w14:paraId="616CBCA7" w14:textId="77777777">
      <w:pPr>
        <w:pStyle w:val="Heading3"/>
        <w:ind w:left="0"/>
        <w:rPr>
          <w:szCs w:val="24"/>
          <w:u w:val="single"/>
        </w:rPr>
      </w:pPr>
      <w:r w:rsidRPr="002F3753">
        <w:rPr>
          <w:szCs w:val="24"/>
          <w:u w:val="single"/>
        </w:rPr>
        <w:t xml:space="preserve">Consultations </w:t>
      </w:r>
    </w:p>
    <w:p w:rsidR="00E97999" w:rsidP="00F11FFB" w14:paraId="238E5066" w14:textId="1753BFA1">
      <w:r w:rsidRPr="00185D69">
        <w:t xml:space="preserve">FDA established a working group to obtain guidance and suggestions for new items on the </w:t>
      </w:r>
      <w:r w:rsidR="00637514">
        <w:t xml:space="preserve">NYTS </w:t>
      </w:r>
      <w:r w:rsidRPr="00185D69">
        <w:t xml:space="preserve">questionnaire that would help facilitate the measurement of key data needed to address </w:t>
      </w:r>
      <w:r w:rsidR="006F09F5">
        <w:t>the agency</w:t>
      </w:r>
      <w:r w:rsidR="002C1618">
        <w:t>’s</w:t>
      </w:r>
      <w:r w:rsidRPr="00185D69">
        <w:t xml:space="preserve"> mission. </w:t>
      </w:r>
    </w:p>
    <w:p w:rsidR="00D4602E" w:rsidRPr="00185D69" w:rsidP="00F11FFB" w14:paraId="25AF2AF4" w14:textId="6DD84995"/>
    <w:p w:rsidR="00D01BEB" w:rsidRPr="00185D69" w:rsidP="00F11FFB" w14:paraId="4C0F9A92" w14:textId="02EB44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85D69">
        <w:t xml:space="preserve">Consultations on the design, instrumentation, products, and statistical aspects of the NYTS have </w:t>
      </w:r>
      <w:r w:rsidR="00E97999">
        <w:t xml:space="preserve">been made with these experts </w:t>
      </w:r>
      <w:r w:rsidRPr="00185D69">
        <w:t xml:space="preserve">to ensure the technical soundness and user relevance of survey results; to verify the importance, relevance, and accessibility of the information sought in the survey; to assess the clarity of instructions; and to minimize respondent burden. </w:t>
      </w:r>
      <w:r w:rsidR="00E97999">
        <w:t xml:space="preserve">Some of these experts are shown </w:t>
      </w:r>
      <w:r w:rsidR="0070707B">
        <w:t xml:space="preserve">in Table </w:t>
      </w:r>
      <w:r w:rsidR="00961ADD">
        <w:t>1</w:t>
      </w:r>
      <w:r w:rsidR="0070707B">
        <w:t xml:space="preserve"> below.</w:t>
      </w:r>
    </w:p>
    <w:p w:rsidR="00B15E7D" w14:paraId="6A5DD18A" w14:textId="29A4CF19">
      <w:pPr>
        <w:rPr>
          <w:b/>
        </w:rPr>
      </w:pPr>
      <w:bookmarkStart w:id="3" w:name="_Hlk123806528"/>
    </w:p>
    <w:p w:rsidR="0070707B" w:rsidRPr="000D0498" w:rsidP="0070707B" w14:paraId="2C3C8AED" w14:textId="16B67BBD">
      <w:pPr>
        <w:ind w:firstLine="360"/>
        <w:rPr>
          <w:b/>
        </w:rPr>
      </w:pPr>
      <w:r w:rsidRPr="000D0498">
        <w:rPr>
          <w:b/>
        </w:rPr>
        <w:t xml:space="preserve">Table </w:t>
      </w:r>
      <w:r w:rsidR="00961ADD">
        <w:rPr>
          <w:b/>
        </w:rPr>
        <w:t>1</w:t>
      </w:r>
      <w:r w:rsidRPr="000D0498">
        <w:rPr>
          <w:b/>
        </w:rPr>
        <w:t>: Consultants for 202</w:t>
      </w:r>
      <w:r w:rsidR="00D4602E">
        <w:rPr>
          <w:b/>
        </w:rPr>
        <w:t>4</w:t>
      </w:r>
      <w:r w:rsidRPr="000D0498">
        <w:rPr>
          <w:b/>
        </w:rPr>
        <w:t>-202</w:t>
      </w:r>
      <w:r w:rsidR="00D4602E">
        <w:rPr>
          <w:b/>
        </w:rPr>
        <w:t>6</w:t>
      </w:r>
      <w:r w:rsidRPr="000D0498">
        <w:rPr>
          <w:b/>
        </w:rPr>
        <w:t xml:space="preserve"> NYTS</w:t>
      </w:r>
    </w:p>
    <w:p w:rsidR="0070707B" w:rsidRPr="00185D69" w:rsidP="00D01BEB" w14:paraId="29AA803D"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45"/>
        <w:gridCol w:w="4546"/>
      </w:tblGrid>
      <w:tr w14:paraId="328FB7A9" w14:textId="77777777" w:rsidTr="00563C4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8591" w:type="dxa"/>
            <w:gridSpan w:val="2"/>
          </w:tcPr>
          <w:p w:rsidR="00573280" w:rsidRPr="00185D69" w:rsidP="00573280" w14:paraId="3D0C4E61" w14:textId="77777777">
            <w:pPr>
              <w:jc w:val="center"/>
              <w:rPr>
                <w:b/>
              </w:rPr>
            </w:pPr>
            <w:r w:rsidRPr="00185D69">
              <w:rPr>
                <w:b/>
              </w:rPr>
              <w:t>Center for Tobacco Products,</w:t>
            </w:r>
          </w:p>
          <w:p w:rsidR="00573280" w:rsidRPr="00185D69" w:rsidP="00573280" w14:paraId="1C27C13F" w14:textId="77777777">
            <w:pPr>
              <w:jc w:val="center"/>
              <w:rPr>
                <w:b/>
              </w:rPr>
            </w:pPr>
            <w:r w:rsidRPr="00185D69">
              <w:rPr>
                <w:b/>
              </w:rPr>
              <w:t xml:space="preserve">Food and Drug Administration </w:t>
            </w:r>
          </w:p>
          <w:p w:rsidR="00573280" w:rsidRPr="00185D69" w:rsidP="00573280" w14:paraId="3C2D57D7" w14:textId="77777777">
            <w:pPr>
              <w:jc w:val="center"/>
              <w:rPr>
                <w:bCs/>
                <w:sz w:val="22"/>
                <w:szCs w:val="22"/>
              </w:rPr>
            </w:pPr>
            <w:r w:rsidRPr="00185D69">
              <w:rPr>
                <w:b/>
              </w:rPr>
              <w:t>10903 New Hampshire Avenue, Silver Spring, MD 20993</w:t>
            </w:r>
          </w:p>
        </w:tc>
      </w:tr>
      <w:tr w14:paraId="4D2F7952" w14:textId="77777777" w:rsidTr="00BA634D">
        <w:tblPrEx>
          <w:tblW w:w="0" w:type="auto"/>
          <w:jc w:val="center"/>
          <w:tblLayout w:type="fixed"/>
          <w:tblLook w:val="04A0"/>
        </w:tblPrEx>
        <w:trPr>
          <w:cantSplit/>
          <w:jc w:val="center"/>
        </w:trPr>
        <w:tc>
          <w:tcPr>
            <w:tcW w:w="4045" w:type="dxa"/>
            <w:tcBorders>
              <w:top w:val="nil"/>
              <w:left w:val="single" w:sz="8" w:space="0" w:color="auto"/>
              <w:bottom w:val="single" w:sz="8" w:space="0" w:color="auto"/>
              <w:right w:val="single" w:sz="8" w:space="0" w:color="auto"/>
            </w:tcBorders>
          </w:tcPr>
          <w:p w:rsidR="00573280" w:rsidRPr="00243661" w:rsidP="00573280" w14:paraId="4E859F17" w14:textId="77777777">
            <w:pPr>
              <w:rPr>
                <w:rFonts w:ascii="Calibri" w:eastAsia="Calibri" w:hAnsi="Calibri"/>
                <w:sz w:val="22"/>
                <w:szCs w:val="22"/>
              </w:rPr>
            </w:pPr>
          </w:p>
        </w:tc>
        <w:tc>
          <w:tcPr>
            <w:tcW w:w="4546" w:type="dxa"/>
            <w:tcBorders>
              <w:top w:val="nil"/>
              <w:left w:val="nil"/>
              <w:bottom w:val="single" w:sz="8" w:space="0" w:color="auto"/>
              <w:right w:val="single" w:sz="8" w:space="0" w:color="auto"/>
            </w:tcBorders>
          </w:tcPr>
          <w:p w:rsidR="00573280" w:rsidRPr="00243661" w:rsidP="00573280" w14:paraId="7735273E" w14:textId="77777777">
            <w:pPr>
              <w:rPr>
                <w:rFonts w:ascii="Calibri" w:eastAsia="Calibri" w:hAnsi="Calibri"/>
                <w:sz w:val="22"/>
                <w:szCs w:val="22"/>
              </w:rPr>
            </w:pPr>
          </w:p>
        </w:tc>
      </w:tr>
      <w:tr w14:paraId="52EAC34E" w14:textId="77777777" w:rsidTr="00BA634D">
        <w:tblPrEx>
          <w:tblW w:w="0" w:type="auto"/>
          <w:jc w:val="center"/>
          <w:tblLayout w:type="fixed"/>
          <w:tblLook w:val="04A0"/>
        </w:tblPrEx>
        <w:trPr>
          <w:cantSplit/>
          <w:jc w:val="center"/>
        </w:trPr>
        <w:tc>
          <w:tcPr>
            <w:tcW w:w="4045" w:type="dxa"/>
            <w:tcBorders>
              <w:top w:val="nil"/>
              <w:left w:val="single" w:sz="8" w:space="0" w:color="auto"/>
              <w:bottom w:val="single" w:sz="8" w:space="0" w:color="auto"/>
              <w:right w:val="single" w:sz="8" w:space="0" w:color="auto"/>
            </w:tcBorders>
          </w:tcPr>
          <w:p w:rsidR="00573280" w:rsidRPr="00A56296" w:rsidP="00573280" w14:paraId="314E2C1C" w14:textId="77777777">
            <w:pPr>
              <w:rPr>
                <w:sz w:val="22"/>
                <w:szCs w:val="22"/>
              </w:rPr>
            </w:pPr>
            <w:r w:rsidRPr="00A56296">
              <w:rPr>
                <w:sz w:val="22"/>
                <w:szCs w:val="22"/>
              </w:rPr>
              <w:t>Karen Cullen, Ph.D., M.P.H.</w:t>
            </w:r>
          </w:p>
          <w:p w:rsidR="00573280" w:rsidP="00573280" w14:paraId="1EFF088A" w14:textId="77777777">
            <w:pPr>
              <w:rPr>
                <w:sz w:val="22"/>
                <w:szCs w:val="22"/>
              </w:rPr>
            </w:pPr>
            <w:r w:rsidRPr="00A56296">
              <w:rPr>
                <w:sz w:val="22"/>
                <w:szCs w:val="22"/>
              </w:rPr>
              <w:t>Chief, Epidemiology Branch 2</w:t>
            </w:r>
          </w:p>
          <w:p w:rsidR="00BA634D" w:rsidRPr="00A56296" w:rsidP="00573280" w14:paraId="60BADC57" w14:textId="6C4590C9">
            <w:pPr>
              <w:rPr>
                <w:rFonts w:ascii="Calibri" w:hAnsi="Calibri" w:cs="Calibri"/>
                <w:sz w:val="22"/>
                <w:szCs w:val="22"/>
              </w:rPr>
            </w:pPr>
            <w:r>
              <w:rPr>
                <w:sz w:val="22"/>
                <w:szCs w:val="22"/>
              </w:rPr>
              <w:t>Division of Population Health Science</w:t>
            </w:r>
          </w:p>
          <w:p w:rsidR="00573280" w:rsidRPr="00A56296" w:rsidP="00573280" w14:paraId="38F74BDB" w14:textId="77777777">
            <w:pPr>
              <w:rPr>
                <w:sz w:val="22"/>
                <w:szCs w:val="22"/>
              </w:rPr>
            </w:pPr>
            <w:r w:rsidRPr="00A56296">
              <w:rPr>
                <w:sz w:val="22"/>
                <w:szCs w:val="22"/>
              </w:rPr>
              <w:t>Phone: 240-402-4513</w:t>
            </w:r>
          </w:p>
          <w:p w:rsidR="00573280" w:rsidRPr="00243661" w:rsidP="00573280" w14:paraId="0225F378" w14:textId="77777777">
            <w:pPr>
              <w:rPr>
                <w:rFonts w:ascii="Calibri" w:eastAsia="Calibri" w:hAnsi="Calibri"/>
                <w:sz w:val="22"/>
                <w:szCs w:val="22"/>
                <w:u w:val="single"/>
              </w:rPr>
            </w:pPr>
            <w:r w:rsidRPr="00A56296">
              <w:rPr>
                <w:sz w:val="22"/>
                <w:szCs w:val="22"/>
              </w:rPr>
              <w:t xml:space="preserve">E-mail: </w:t>
            </w:r>
            <w:hyperlink r:id="rId10" w:history="1">
              <w:r w:rsidRPr="00243661">
                <w:rPr>
                  <w:rStyle w:val="Hyperlink"/>
                  <w:sz w:val="22"/>
                  <w:szCs w:val="22"/>
                </w:rPr>
                <w:t>Karen.Cullen@fda.hhs.gov</w:t>
              </w:r>
            </w:hyperlink>
          </w:p>
        </w:tc>
        <w:tc>
          <w:tcPr>
            <w:tcW w:w="4546" w:type="dxa"/>
            <w:tcBorders>
              <w:top w:val="nil"/>
              <w:left w:val="nil"/>
              <w:bottom w:val="single" w:sz="8" w:space="0" w:color="auto"/>
              <w:right w:val="single" w:sz="8" w:space="0" w:color="auto"/>
            </w:tcBorders>
          </w:tcPr>
          <w:p w:rsidR="00573280" w:rsidRPr="0083237E" w:rsidP="00573280" w14:paraId="04F9ED15" w14:textId="77777777">
            <w:pPr>
              <w:rPr>
                <w:sz w:val="22"/>
                <w:szCs w:val="22"/>
              </w:rPr>
            </w:pPr>
            <w:r w:rsidRPr="0083237E">
              <w:rPr>
                <w:sz w:val="22"/>
                <w:szCs w:val="22"/>
              </w:rPr>
              <w:t>Eunice Park-Lee, Ph.D., M.S.</w:t>
            </w:r>
          </w:p>
          <w:p w:rsidR="00BA634D" w:rsidP="00573280" w14:paraId="2634F2D7" w14:textId="027C82CD">
            <w:pPr>
              <w:rPr>
                <w:sz w:val="22"/>
                <w:szCs w:val="22"/>
              </w:rPr>
            </w:pPr>
            <w:r w:rsidRPr="0083237E">
              <w:rPr>
                <w:sz w:val="22"/>
                <w:szCs w:val="22"/>
              </w:rPr>
              <w:t xml:space="preserve">Survey Statistician, </w:t>
            </w:r>
            <w:r>
              <w:rPr>
                <w:sz w:val="22"/>
                <w:szCs w:val="22"/>
              </w:rPr>
              <w:t>Epidemiology Branch 2</w:t>
            </w:r>
          </w:p>
          <w:p w:rsidR="00573280" w:rsidRPr="0083237E" w:rsidP="00573280" w14:paraId="0308F1BD" w14:textId="1E14FCDA">
            <w:pPr>
              <w:rPr>
                <w:sz w:val="22"/>
                <w:szCs w:val="22"/>
              </w:rPr>
            </w:pPr>
            <w:r w:rsidRPr="0083237E">
              <w:rPr>
                <w:sz w:val="22"/>
                <w:szCs w:val="22"/>
              </w:rPr>
              <w:t>Division of Population Health Science</w:t>
            </w:r>
          </w:p>
          <w:p w:rsidR="00573280" w:rsidRPr="0083237E" w:rsidP="00573280" w14:paraId="092E7F20" w14:textId="77777777">
            <w:pPr>
              <w:rPr>
                <w:sz w:val="22"/>
                <w:szCs w:val="22"/>
              </w:rPr>
            </w:pPr>
            <w:r w:rsidRPr="0083237E">
              <w:rPr>
                <w:sz w:val="22"/>
                <w:szCs w:val="22"/>
              </w:rPr>
              <w:t>Phone: 301-837-7342</w:t>
            </w:r>
          </w:p>
          <w:p w:rsidR="00573280" w:rsidRPr="00243661" w:rsidP="00573280" w14:paraId="57CF9DEF" w14:textId="77777777">
            <w:pPr>
              <w:rPr>
                <w:rFonts w:ascii="Calibri" w:eastAsia="Calibri" w:hAnsi="Calibri"/>
                <w:sz w:val="22"/>
                <w:szCs w:val="22"/>
              </w:rPr>
            </w:pPr>
            <w:r w:rsidRPr="0083237E">
              <w:rPr>
                <w:sz w:val="22"/>
                <w:szCs w:val="22"/>
              </w:rPr>
              <w:t xml:space="preserve">E-mail: </w:t>
            </w:r>
            <w:hyperlink r:id="rId11" w:history="1">
              <w:r w:rsidRPr="0083237E">
                <w:rPr>
                  <w:rStyle w:val="Hyperlink"/>
                  <w:sz w:val="22"/>
                  <w:szCs w:val="22"/>
                </w:rPr>
                <w:t>Eunice.Park-Lee@fda.hhs.gov</w:t>
              </w:r>
            </w:hyperlink>
          </w:p>
        </w:tc>
      </w:tr>
      <w:tr w14:paraId="32930F49" w14:textId="77777777" w:rsidTr="00BA634D">
        <w:tblPrEx>
          <w:tblW w:w="0" w:type="auto"/>
          <w:jc w:val="center"/>
          <w:tblLayout w:type="fixed"/>
          <w:tblLook w:val="04A0"/>
        </w:tblPrEx>
        <w:trPr>
          <w:cantSplit/>
          <w:jc w:val="center"/>
        </w:trPr>
        <w:tc>
          <w:tcPr>
            <w:tcW w:w="4045" w:type="dxa"/>
            <w:tcBorders>
              <w:top w:val="single" w:sz="8" w:space="0" w:color="auto"/>
              <w:left w:val="single" w:sz="8" w:space="0" w:color="auto"/>
              <w:bottom w:val="single" w:sz="8" w:space="0" w:color="auto"/>
              <w:right w:val="single" w:sz="8" w:space="0" w:color="auto"/>
            </w:tcBorders>
          </w:tcPr>
          <w:p w:rsidR="00573280" w:rsidRPr="00A56296" w:rsidP="00573280" w14:paraId="13535F74" w14:textId="77777777">
            <w:pPr>
              <w:rPr>
                <w:sz w:val="22"/>
                <w:szCs w:val="22"/>
              </w:rPr>
            </w:pPr>
            <w:r w:rsidRPr="00A56296">
              <w:rPr>
                <w:sz w:val="22"/>
                <w:szCs w:val="22"/>
              </w:rPr>
              <w:t>Michael Sawdey, Ph.D., M.P.H.</w:t>
            </w:r>
          </w:p>
          <w:p w:rsidR="00573280" w:rsidP="00573280" w14:paraId="0081B000" w14:textId="77777777">
            <w:pPr>
              <w:rPr>
                <w:sz w:val="22"/>
                <w:szCs w:val="22"/>
              </w:rPr>
            </w:pPr>
            <w:r w:rsidRPr="00A56296">
              <w:rPr>
                <w:sz w:val="22"/>
                <w:szCs w:val="22"/>
              </w:rPr>
              <w:t>Epidemiologist, Epidemiology Branch 2</w:t>
            </w:r>
          </w:p>
          <w:p w:rsidR="00BA634D" w:rsidRPr="00420639" w:rsidP="00573280" w14:paraId="63BADEF8" w14:textId="12668744">
            <w:pPr>
              <w:rPr>
                <w:rFonts w:ascii="Calibri" w:hAnsi="Calibri" w:cs="Calibri"/>
                <w:sz w:val="22"/>
                <w:szCs w:val="22"/>
              </w:rPr>
            </w:pPr>
            <w:r>
              <w:rPr>
                <w:sz w:val="22"/>
                <w:szCs w:val="22"/>
              </w:rPr>
              <w:t>Division of Population Health Science</w:t>
            </w:r>
          </w:p>
          <w:p w:rsidR="00573280" w:rsidRPr="00A56296" w:rsidP="00573280" w14:paraId="0A498EB9" w14:textId="77777777">
            <w:pPr>
              <w:rPr>
                <w:sz w:val="22"/>
                <w:szCs w:val="22"/>
              </w:rPr>
            </w:pPr>
            <w:r w:rsidRPr="00A56296">
              <w:rPr>
                <w:sz w:val="22"/>
                <w:szCs w:val="22"/>
              </w:rPr>
              <w:t>Phone: 301-796-3452</w:t>
            </w:r>
          </w:p>
          <w:p w:rsidR="00573280" w:rsidRPr="00243661" w:rsidP="00573280" w14:paraId="42F514D1" w14:textId="77777777">
            <w:pPr>
              <w:rPr>
                <w:rFonts w:ascii="Calibri" w:eastAsia="Calibri" w:hAnsi="Calibri"/>
                <w:sz w:val="22"/>
                <w:szCs w:val="22"/>
              </w:rPr>
            </w:pPr>
            <w:r w:rsidRPr="00A56296">
              <w:rPr>
                <w:sz w:val="22"/>
                <w:szCs w:val="22"/>
              </w:rPr>
              <w:t xml:space="preserve">Email: </w:t>
            </w:r>
            <w:hyperlink r:id="rId12" w:history="1">
              <w:r w:rsidRPr="00243661">
                <w:rPr>
                  <w:rStyle w:val="Hyperlink"/>
                  <w:sz w:val="22"/>
                  <w:szCs w:val="22"/>
                </w:rPr>
                <w:t>Michael.Sawdey@fda.hhs.gov</w:t>
              </w:r>
            </w:hyperlink>
          </w:p>
        </w:tc>
        <w:tc>
          <w:tcPr>
            <w:tcW w:w="4546" w:type="dxa"/>
            <w:tcBorders>
              <w:top w:val="single" w:sz="8" w:space="0" w:color="auto"/>
              <w:left w:val="nil"/>
              <w:bottom w:val="single" w:sz="8" w:space="0" w:color="auto"/>
              <w:right w:val="single" w:sz="8" w:space="0" w:color="auto"/>
            </w:tcBorders>
          </w:tcPr>
          <w:p w:rsidR="00573280" w:rsidRPr="00A56296" w:rsidP="00573280" w14:paraId="4F2C7173" w14:textId="77777777">
            <w:pPr>
              <w:rPr>
                <w:sz w:val="22"/>
                <w:szCs w:val="22"/>
              </w:rPr>
            </w:pPr>
            <w:r w:rsidRPr="00A56296">
              <w:rPr>
                <w:sz w:val="22"/>
                <w:szCs w:val="22"/>
              </w:rPr>
              <w:t>Kimberly Snyder, M.P.H.</w:t>
            </w:r>
          </w:p>
          <w:p w:rsidR="00573280" w:rsidP="00573280" w14:paraId="770930ED" w14:textId="21D03EDD">
            <w:pPr>
              <w:rPr>
                <w:sz w:val="22"/>
                <w:szCs w:val="22"/>
              </w:rPr>
            </w:pPr>
            <w:r w:rsidRPr="00A56296">
              <w:rPr>
                <w:sz w:val="22"/>
                <w:szCs w:val="22"/>
              </w:rPr>
              <w:t>Social Scientist, Evaluation Branch</w:t>
            </w:r>
          </w:p>
          <w:p w:rsidR="00BA634D" w:rsidRPr="00A56296" w:rsidP="00573280" w14:paraId="389908F5" w14:textId="30B6FD43">
            <w:pPr>
              <w:rPr>
                <w:rFonts w:ascii="Calibri" w:hAnsi="Calibri" w:cs="Calibri"/>
                <w:sz w:val="22"/>
                <w:szCs w:val="22"/>
              </w:rPr>
            </w:pPr>
            <w:r w:rsidRPr="0083237E">
              <w:rPr>
                <w:sz w:val="22"/>
                <w:szCs w:val="22"/>
              </w:rPr>
              <w:t xml:space="preserve">Division of </w:t>
            </w:r>
            <w:r>
              <w:rPr>
                <w:sz w:val="22"/>
                <w:szCs w:val="22"/>
              </w:rPr>
              <w:t>Research and Knowledge Integration</w:t>
            </w:r>
          </w:p>
          <w:p w:rsidR="00573280" w:rsidRPr="00A56296" w:rsidP="00573280" w14:paraId="36A6E05F" w14:textId="77777777">
            <w:pPr>
              <w:rPr>
                <w:sz w:val="22"/>
                <w:szCs w:val="22"/>
              </w:rPr>
            </w:pPr>
            <w:r w:rsidRPr="00A56296">
              <w:rPr>
                <w:sz w:val="22"/>
                <w:szCs w:val="22"/>
              </w:rPr>
              <w:t>Phone: 240-402-2216</w:t>
            </w:r>
          </w:p>
          <w:p w:rsidR="00573280" w:rsidRPr="00243661" w:rsidP="00573280" w14:paraId="3AFA621F" w14:textId="77777777">
            <w:pPr>
              <w:rPr>
                <w:rFonts w:ascii="Calibri" w:eastAsia="Calibri" w:hAnsi="Calibri"/>
                <w:sz w:val="22"/>
                <w:szCs w:val="22"/>
              </w:rPr>
            </w:pPr>
            <w:r w:rsidRPr="00A56296">
              <w:rPr>
                <w:sz w:val="22"/>
                <w:szCs w:val="22"/>
              </w:rPr>
              <w:t xml:space="preserve">E-mail: </w:t>
            </w:r>
            <w:hyperlink r:id="rId13" w:history="1">
              <w:r w:rsidRPr="00243661">
                <w:rPr>
                  <w:rStyle w:val="Hyperlink"/>
                  <w:sz w:val="22"/>
                  <w:szCs w:val="22"/>
                </w:rPr>
                <w:t>Kimberly.Snyder@fda.hhs.gov</w:t>
              </w:r>
            </w:hyperlink>
          </w:p>
        </w:tc>
      </w:tr>
      <w:tr w14:paraId="5DA0132C" w14:textId="77777777" w:rsidTr="00BA634D">
        <w:tblPrEx>
          <w:tblW w:w="0" w:type="auto"/>
          <w:jc w:val="center"/>
          <w:tblLayout w:type="fixed"/>
          <w:tblLook w:val="04A0"/>
        </w:tblPrEx>
        <w:trPr>
          <w:cantSplit/>
          <w:jc w:val="center"/>
        </w:trPr>
        <w:tc>
          <w:tcPr>
            <w:tcW w:w="4045" w:type="dxa"/>
            <w:tcBorders>
              <w:top w:val="single" w:sz="8" w:space="0" w:color="auto"/>
              <w:left w:val="single" w:sz="8" w:space="0" w:color="auto"/>
              <w:bottom w:val="single" w:sz="8" w:space="0" w:color="auto"/>
              <w:right w:val="single" w:sz="8" w:space="0" w:color="auto"/>
            </w:tcBorders>
          </w:tcPr>
          <w:p w:rsidR="00573280" w:rsidRPr="00E20290" w:rsidP="00573280" w14:paraId="4EBE3D0F" w14:textId="06B5F9ED">
            <w:pPr>
              <w:tabs>
                <w:tab w:val="left" w:pos="1530"/>
              </w:tabs>
              <w:rPr>
                <w:sz w:val="22"/>
                <w:szCs w:val="22"/>
              </w:rPr>
            </w:pPr>
            <w:r w:rsidRPr="00E20290">
              <w:rPr>
                <w:sz w:val="22"/>
                <w:szCs w:val="22"/>
              </w:rPr>
              <w:t>Maria Cooper, Ph</w:t>
            </w:r>
            <w:r w:rsidR="00CC1281">
              <w:rPr>
                <w:sz w:val="22"/>
                <w:szCs w:val="22"/>
              </w:rPr>
              <w:t>.</w:t>
            </w:r>
            <w:r w:rsidRPr="00E20290">
              <w:rPr>
                <w:sz w:val="22"/>
                <w:szCs w:val="22"/>
              </w:rPr>
              <w:t>D</w:t>
            </w:r>
            <w:r w:rsidR="00CC1281">
              <w:rPr>
                <w:sz w:val="22"/>
                <w:szCs w:val="22"/>
              </w:rPr>
              <w:t>.</w:t>
            </w:r>
          </w:p>
          <w:p w:rsidR="00573280" w:rsidRPr="00E20290" w:rsidP="00573280" w14:paraId="7339449C" w14:textId="581C72C7">
            <w:pPr>
              <w:tabs>
                <w:tab w:val="left" w:pos="1530"/>
              </w:tabs>
              <w:rPr>
                <w:sz w:val="22"/>
                <w:szCs w:val="22"/>
              </w:rPr>
            </w:pPr>
            <w:r w:rsidRPr="00E20290">
              <w:rPr>
                <w:sz w:val="22"/>
                <w:szCs w:val="22"/>
              </w:rPr>
              <w:t xml:space="preserve">Health Scientist, Epidemiology Branch 1 Division of Population Health Science     </w:t>
            </w:r>
          </w:p>
          <w:p w:rsidR="00573280" w:rsidRPr="00E20290" w:rsidP="00573280" w14:paraId="55C29150" w14:textId="77777777">
            <w:pPr>
              <w:tabs>
                <w:tab w:val="left" w:pos="1530"/>
              </w:tabs>
              <w:rPr>
                <w:sz w:val="22"/>
                <w:szCs w:val="22"/>
              </w:rPr>
            </w:pPr>
            <w:r w:rsidRPr="00E20290">
              <w:rPr>
                <w:sz w:val="22"/>
                <w:szCs w:val="22"/>
              </w:rPr>
              <w:t>Tel: 240-402-5726</w:t>
            </w:r>
          </w:p>
          <w:p w:rsidR="00573280" w:rsidRPr="00A56296" w:rsidP="00573280" w14:paraId="244D7FB5" w14:textId="77777777">
            <w:pPr>
              <w:tabs>
                <w:tab w:val="left" w:pos="1530"/>
              </w:tabs>
              <w:rPr>
                <w:sz w:val="22"/>
                <w:szCs w:val="22"/>
              </w:rPr>
            </w:pPr>
            <w:hyperlink r:id="rId14" w:history="1">
              <w:r w:rsidRPr="00482D0D">
                <w:rPr>
                  <w:rStyle w:val="Hyperlink"/>
                  <w:sz w:val="22"/>
                  <w:szCs w:val="22"/>
                </w:rPr>
                <w:t>Maria.Cooper1@fda.hhs.gov</w:t>
              </w:r>
            </w:hyperlink>
            <w:r>
              <w:rPr>
                <w:sz w:val="22"/>
                <w:szCs w:val="22"/>
              </w:rPr>
              <w:t xml:space="preserve"> </w:t>
            </w:r>
          </w:p>
        </w:tc>
        <w:tc>
          <w:tcPr>
            <w:tcW w:w="4546" w:type="dxa"/>
            <w:tcBorders>
              <w:top w:val="single" w:sz="8" w:space="0" w:color="auto"/>
              <w:left w:val="nil"/>
              <w:bottom w:val="single" w:sz="8" w:space="0" w:color="auto"/>
              <w:right w:val="single" w:sz="8" w:space="0" w:color="auto"/>
            </w:tcBorders>
          </w:tcPr>
          <w:p w:rsidR="00F85DF7" w:rsidRPr="0083237E" w:rsidP="00F85DF7" w14:paraId="4C290DD5" w14:textId="1468330A">
            <w:pPr>
              <w:rPr>
                <w:sz w:val="22"/>
                <w:szCs w:val="22"/>
              </w:rPr>
            </w:pPr>
            <w:r w:rsidRPr="00F85DF7">
              <w:rPr>
                <w:sz w:val="22"/>
                <w:szCs w:val="22"/>
              </w:rPr>
              <w:t>Roberto Valverde</w:t>
            </w:r>
            <w:r w:rsidR="00086863">
              <w:rPr>
                <w:sz w:val="22"/>
                <w:szCs w:val="22"/>
              </w:rPr>
              <w:t>, M.P.H.</w:t>
            </w:r>
          </w:p>
          <w:p w:rsidR="00BA634D" w:rsidP="00F85DF7" w14:paraId="4407B988" w14:textId="2A68D0E1">
            <w:pPr>
              <w:rPr>
                <w:sz w:val="22"/>
                <w:szCs w:val="22"/>
              </w:rPr>
            </w:pPr>
            <w:r w:rsidRPr="0083237E">
              <w:rPr>
                <w:sz w:val="22"/>
                <w:szCs w:val="22"/>
              </w:rPr>
              <w:t xml:space="preserve">Statistician, </w:t>
            </w:r>
            <w:r>
              <w:rPr>
                <w:sz w:val="22"/>
                <w:szCs w:val="22"/>
              </w:rPr>
              <w:t>PATH Branch</w:t>
            </w:r>
          </w:p>
          <w:p w:rsidR="00F85DF7" w:rsidRPr="0083237E" w:rsidP="00F85DF7" w14:paraId="5E047E5E" w14:textId="5BE96A74">
            <w:pPr>
              <w:rPr>
                <w:sz w:val="22"/>
                <w:szCs w:val="22"/>
              </w:rPr>
            </w:pPr>
            <w:r w:rsidRPr="0083237E">
              <w:rPr>
                <w:sz w:val="22"/>
                <w:szCs w:val="22"/>
              </w:rPr>
              <w:t xml:space="preserve">Division of </w:t>
            </w:r>
            <w:r w:rsidR="00C7051E">
              <w:rPr>
                <w:sz w:val="22"/>
                <w:szCs w:val="22"/>
              </w:rPr>
              <w:t>Research and Knowledge Integration</w:t>
            </w:r>
          </w:p>
          <w:p w:rsidR="00F85DF7" w:rsidRPr="0083237E" w:rsidP="00F85DF7" w14:paraId="6D70BBC1" w14:textId="77777777">
            <w:pPr>
              <w:rPr>
                <w:sz w:val="22"/>
                <w:szCs w:val="22"/>
              </w:rPr>
            </w:pPr>
            <w:r w:rsidRPr="0083237E">
              <w:rPr>
                <w:sz w:val="22"/>
                <w:szCs w:val="22"/>
              </w:rPr>
              <w:t xml:space="preserve">Phone: </w:t>
            </w:r>
            <w:r w:rsidRPr="00F85DF7">
              <w:rPr>
                <w:sz w:val="22"/>
                <w:szCs w:val="22"/>
              </w:rPr>
              <w:t>240-402-3055</w:t>
            </w:r>
          </w:p>
          <w:p w:rsidR="00573280" w:rsidRPr="00A56296" w:rsidP="00F85DF7" w14:paraId="18DFD2A0" w14:textId="77777777">
            <w:pPr>
              <w:rPr>
                <w:sz w:val="22"/>
                <w:szCs w:val="22"/>
              </w:rPr>
            </w:pPr>
            <w:r w:rsidRPr="0083237E">
              <w:rPr>
                <w:sz w:val="22"/>
                <w:szCs w:val="22"/>
              </w:rPr>
              <w:t xml:space="preserve">E-mail: </w:t>
            </w:r>
            <w:hyperlink r:id="rId15" w:history="1">
              <w:r w:rsidRPr="00F85DF7">
                <w:rPr>
                  <w:rStyle w:val="Hyperlink"/>
                  <w:sz w:val="22"/>
                  <w:szCs w:val="22"/>
                </w:rPr>
                <w:t>Roberto.Valverde@fda.hhs.gov</w:t>
              </w:r>
            </w:hyperlink>
          </w:p>
        </w:tc>
      </w:tr>
      <w:tr w14:paraId="61D417E1" w14:textId="77777777" w:rsidTr="00BA634D">
        <w:tblPrEx>
          <w:tblW w:w="0" w:type="auto"/>
          <w:jc w:val="center"/>
          <w:tblLayout w:type="fixed"/>
          <w:tblLook w:val="04A0"/>
        </w:tblPrEx>
        <w:trPr>
          <w:cantSplit/>
          <w:jc w:val="center"/>
        </w:trPr>
        <w:tc>
          <w:tcPr>
            <w:tcW w:w="4045" w:type="dxa"/>
            <w:tcBorders>
              <w:top w:val="single" w:sz="8" w:space="0" w:color="auto"/>
              <w:left w:val="single" w:sz="8" w:space="0" w:color="auto"/>
              <w:bottom w:val="single" w:sz="8" w:space="0" w:color="auto"/>
              <w:right w:val="single" w:sz="8" w:space="0" w:color="auto"/>
            </w:tcBorders>
          </w:tcPr>
          <w:p w:rsidR="00BA634D" w:rsidP="00573280" w14:paraId="4792628F" w14:textId="47BA02AD">
            <w:pPr>
              <w:tabs>
                <w:tab w:val="left" w:pos="1530"/>
              </w:tabs>
              <w:rPr>
                <w:sz w:val="22"/>
                <w:szCs w:val="22"/>
              </w:rPr>
            </w:pPr>
            <w:r>
              <w:rPr>
                <w:sz w:val="22"/>
                <w:szCs w:val="22"/>
              </w:rPr>
              <w:t>Hannah Cowan, M.P.H</w:t>
            </w:r>
          </w:p>
          <w:p w:rsidR="00030B2E" w:rsidRPr="00E20290" w:rsidP="00030B2E" w14:paraId="5137AE82" w14:textId="62B230D1">
            <w:pPr>
              <w:tabs>
                <w:tab w:val="left" w:pos="1530"/>
              </w:tabs>
              <w:rPr>
                <w:sz w:val="22"/>
                <w:szCs w:val="22"/>
              </w:rPr>
            </w:pPr>
            <w:r>
              <w:rPr>
                <w:sz w:val="22"/>
                <w:szCs w:val="22"/>
              </w:rPr>
              <w:t>Epidemiologist</w:t>
            </w:r>
            <w:r w:rsidRPr="00E20290">
              <w:rPr>
                <w:sz w:val="22"/>
                <w:szCs w:val="22"/>
              </w:rPr>
              <w:t xml:space="preserve">, Epidemiology Branch </w:t>
            </w:r>
            <w:r>
              <w:rPr>
                <w:sz w:val="22"/>
                <w:szCs w:val="22"/>
              </w:rPr>
              <w:t>2</w:t>
            </w:r>
            <w:r w:rsidRPr="00E20290">
              <w:rPr>
                <w:sz w:val="22"/>
                <w:szCs w:val="22"/>
              </w:rPr>
              <w:t xml:space="preserve"> Division of Population Health Science     </w:t>
            </w:r>
          </w:p>
          <w:p w:rsidR="00030B2E" w:rsidRPr="00E20290" w:rsidP="00030B2E" w14:paraId="602E9268" w14:textId="33C7BDA5">
            <w:pPr>
              <w:tabs>
                <w:tab w:val="left" w:pos="1530"/>
              </w:tabs>
              <w:rPr>
                <w:sz w:val="22"/>
                <w:szCs w:val="22"/>
              </w:rPr>
            </w:pPr>
            <w:r w:rsidRPr="00E20290">
              <w:rPr>
                <w:sz w:val="22"/>
                <w:szCs w:val="22"/>
              </w:rPr>
              <w:t>Tel: 240-402-</w:t>
            </w:r>
            <w:r w:rsidR="002F56CE">
              <w:rPr>
                <w:sz w:val="22"/>
                <w:szCs w:val="22"/>
              </w:rPr>
              <w:t>4794</w:t>
            </w:r>
          </w:p>
          <w:p w:rsidR="00BA634D" w:rsidRPr="00E20290" w:rsidP="00573280" w14:paraId="5823302E" w14:textId="5F9C2669">
            <w:pPr>
              <w:tabs>
                <w:tab w:val="left" w:pos="1530"/>
              </w:tabs>
              <w:rPr>
                <w:sz w:val="22"/>
                <w:szCs w:val="22"/>
              </w:rPr>
            </w:pPr>
            <w:r>
              <w:t>Hannah.Cowan@fda.hhs.gov</w:t>
            </w:r>
          </w:p>
        </w:tc>
        <w:tc>
          <w:tcPr>
            <w:tcW w:w="4546" w:type="dxa"/>
            <w:tcBorders>
              <w:top w:val="single" w:sz="8" w:space="0" w:color="auto"/>
              <w:left w:val="nil"/>
              <w:bottom w:val="single" w:sz="8" w:space="0" w:color="auto"/>
              <w:right w:val="single" w:sz="8" w:space="0" w:color="auto"/>
            </w:tcBorders>
          </w:tcPr>
          <w:p w:rsidR="00BA634D" w:rsidP="00F85DF7" w14:paraId="48F2E3D0" w14:textId="77777777">
            <w:pPr>
              <w:rPr>
                <w:sz w:val="22"/>
                <w:szCs w:val="22"/>
              </w:rPr>
            </w:pPr>
            <w:r>
              <w:rPr>
                <w:sz w:val="22"/>
                <w:szCs w:val="22"/>
              </w:rPr>
              <w:t xml:space="preserve">Brittany Merson, </w:t>
            </w:r>
            <w:r w:rsidR="00207CB8">
              <w:rPr>
                <w:sz w:val="22"/>
                <w:szCs w:val="22"/>
              </w:rPr>
              <w:t>Ph.D.</w:t>
            </w:r>
          </w:p>
          <w:p w:rsidR="00207CB8" w:rsidP="00F85DF7" w14:paraId="6EC2B6F6" w14:textId="5175AA0A">
            <w:pPr>
              <w:rPr>
                <w:sz w:val="22"/>
                <w:szCs w:val="22"/>
              </w:rPr>
            </w:pPr>
            <w:r>
              <w:rPr>
                <w:sz w:val="22"/>
                <w:szCs w:val="22"/>
              </w:rPr>
              <w:t>Social Scientist, Social Science Branch</w:t>
            </w:r>
            <w:r w:rsidR="00805DB6">
              <w:rPr>
                <w:sz w:val="22"/>
                <w:szCs w:val="22"/>
              </w:rPr>
              <w:t xml:space="preserve"> 1</w:t>
            </w:r>
          </w:p>
          <w:p w:rsidR="004D4151" w:rsidP="00F85DF7" w14:paraId="0DAE08DE" w14:textId="77777777">
            <w:pPr>
              <w:rPr>
                <w:sz w:val="22"/>
                <w:szCs w:val="22"/>
              </w:rPr>
            </w:pPr>
            <w:r>
              <w:rPr>
                <w:sz w:val="22"/>
                <w:szCs w:val="22"/>
              </w:rPr>
              <w:t>Division of Population Health Science</w:t>
            </w:r>
          </w:p>
          <w:p w:rsidR="004D4151" w:rsidP="00F85DF7" w14:paraId="079BAF38" w14:textId="0818434E">
            <w:pPr>
              <w:rPr>
                <w:sz w:val="22"/>
                <w:szCs w:val="22"/>
              </w:rPr>
            </w:pPr>
            <w:r>
              <w:rPr>
                <w:sz w:val="22"/>
                <w:szCs w:val="22"/>
              </w:rPr>
              <w:t xml:space="preserve">Tel: </w:t>
            </w:r>
            <w:r w:rsidR="00DA7918">
              <w:rPr>
                <w:sz w:val="22"/>
                <w:szCs w:val="22"/>
              </w:rPr>
              <w:t>301-</w:t>
            </w:r>
            <w:r w:rsidR="007E6F1B">
              <w:rPr>
                <w:sz w:val="22"/>
                <w:szCs w:val="22"/>
              </w:rPr>
              <w:t>796-8519</w:t>
            </w:r>
          </w:p>
          <w:p w:rsidR="004D4151" w:rsidRPr="00F85DF7" w:rsidP="00F85DF7" w14:paraId="58FC4AF2" w14:textId="127A7B18">
            <w:pPr>
              <w:rPr>
                <w:sz w:val="22"/>
                <w:szCs w:val="22"/>
              </w:rPr>
            </w:pPr>
            <w:r>
              <w:rPr>
                <w:sz w:val="22"/>
                <w:szCs w:val="22"/>
              </w:rPr>
              <w:t>Brittany.Merson@fda.hhs.gov</w:t>
            </w:r>
          </w:p>
        </w:tc>
      </w:tr>
      <w:tr w14:paraId="11CDFAAF" w14:textId="77777777" w:rsidTr="00BA634D">
        <w:tblPrEx>
          <w:tblW w:w="0" w:type="auto"/>
          <w:jc w:val="center"/>
          <w:tblLayout w:type="fixed"/>
          <w:tblLook w:val="04A0"/>
        </w:tblPrEx>
        <w:trPr>
          <w:cantSplit/>
          <w:jc w:val="center"/>
        </w:trPr>
        <w:tc>
          <w:tcPr>
            <w:tcW w:w="4045" w:type="dxa"/>
            <w:tcBorders>
              <w:top w:val="single" w:sz="8" w:space="0" w:color="auto"/>
              <w:left w:val="single" w:sz="8" w:space="0" w:color="auto"/>
              <w:bottom w:val="single" w:sz="8" w:space="0" w:color="auto"/>
              <w:right w:val="single" w:sz="8" w:space="0" w:color="auto"/>
            </w:tcBorders>
          </w:tcPr>
          <w:p w:rsidR="004D4151" w:rsidP="00573280" w14:paraId="19C52DCC" w14:textId="7F2D3492">
            <w:pPr>
              <w:tabs>
                <w:tab w:val="left" w:pos="1530"/>
              </w:tabs>
              <w:rPr>
                <w:sz w:val="22"/>
                <w:szCs w:val="22"/>
              </w:rPr>
            </w:pPr>
            <w:r>
              <w:rPr>
                <w:sz w:val="22"/>
                <w:szCs w:val="22"/>
              </w:rPr>
              <w:t xml:space="preserve">Samantha E. DiMisa, </w:t>
            </w:r>
            <w:r w:rsidR="00CC1281">
              <w:rPr>
                <w:sz w:val="22"/>
                <w:szCs w:val="22"/>
              </w:rPr>
              <w:t>Ph.D.</w:t>
            </w:r>
          </w:p>
          <w:p w:rsidR="00086863" w:rsidP="00573280" w14:paraId="4D640867" w14:textId="0A436D2A">
            <w:pPr>
              <w:tabs>
                <w:tab w:val="left" w:pos="1530"/>
              </w:tabs>
              <w:rPr>
                <w:sz w:val="22"/>
                <w:szCs w:val="22"/>
              </w:rPr>
            </w:pPr>
            <w:r>
              <w:rPr>
                <w:sz w:val="22"/>
                <w:szCs w:val="22"/>
              </w:rPr>
              <w:t>Social</w:t>
            </w:r>
            <w:r>
              <w:rPr>
                <w:sz w:val="22"/>
                <w:szCs w:val="22"/>
              </w:rPr>
              <w:t xml:space="preserve"> Scientist, Social Science Branch</w:t>
            </w:r>
            <w:r w:rsidR="00805DB6">
              <w:rPr>
                <w:sz w:val="22"/>
                <w:szCs w:val="22"/>
              </w:rPr>
              <w:t xml:space="preserve"> 1</w:t>
            </w:r>
          </w:p>
          <w:p w:rsidR="00086863" w:rsidP="00573280" w14:paraId="35ECFAE0" w14:textId="77777777">
            <w:pPr>
              <w:tabs>
                <w:tab w:val="left" w:pos="1530"/>
              </w:tabs>
              <w:rPr>
                <w:sz w:val="22"/>
                <w:szCs w:val="22"/>
              </w:rPr>
            </w:pPr>
            <w:r>
              <w:rPr>
                <w:sz w:val="22"/>
                <w:szCs w:val="22"/>
              </w:rPr>
              <w:t xml:space="preserve">Division of </w:t>
            </w:r>
            <w:r w:rsidR="00EC7A26">
              <w:rPr>
                <w:sz w:val="22"/>
                <w:szCs w:val="22"/>
              </w:rPr>
              <w:t>Population Health Science</w:t>
            </w:r>
          </w:p>
          <w:p w:rsidR="00EC7A26" w:rsidP="00573280" w14:paraId="1620EDDE" w14:textId="77777777">
            <w:pPr>
              <w:tabs>
                <w:tab w:val="left" w:pos="1530"/>
              </w:tabs>
              <w:rPr>
                <w:sz w:val="22"/>
                <w:szCs w:val="22"/>
              </w:rPr>
            </w:pPr>
            <w:r>
              <w:rPr>
                <w:sz w:val="22"/>
                <w:szCs w:val="22"/>
              </w:rPr>
              <w:t>Tel: 240-402-2694</w:t>
            </w:r>
          </w:p>
          <w:p w:rsidR="00EC7A26" w:rsidP="00573280" w14:paraId="3934E033" w14:textId="1CFB58E1">
            <w:pPr>
              <w:tabs>
                <w:tab w:val="left" w:pos="1530"/>
              </w:tabs>
              <w:rPr>
                <w:sz w:val="22"/>
                <w:szCs w:val="22"/>
              </w:rPr>
            </w:pPr>
            <w:r>
              <w:rPr>
                <w:sz w:val="22"/>
                <w:szCs w:val="22"/>
              </w:rPr>
              <w:t>Samantha.DiMisa@fda.hhs.gov</w:t>
            </w:r>
          </w:p>
        </w:tc>
        <w:tc>
          <w:tcPr>
            <w:tcW w:w="4546" w:type="dxa"/>
            <w:tcBorders>
              <w:top w:val="single" w:sz="8" w:space="0" w:color="auto"/>
              <w:left w:val="nil"/>
              <w:bottom w:val="single" w:sz="8" w:space="0" w:color="auto"/>
              <w:right w:val="single" w:sz="8" w:space="0" w:color="auto"/>
            </w:tcBorders>
          </w:tcPr>
          <w:p w:rsidR="004D4151" w:rsidP="00F85DF7" w14:paraId="3C89E975" w14:textId="77777777">
            <w:pPr>
              <w:rPr>
                <w:sz w:val="22"/>
                <w:szCs w:val="22"/>
              </w:rPr>
            </w:pPr>
          </w:p>
        </w:tc>
      </w:tr>
      <w:bookmarkEnd w:id="3"/>
    </w:tbl>
    <w:p w:rsidR="003E1B15" w:rsidRPr="00185D69" w:rsidP="007F4B4C" w14:paraId="3558DE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bCs/>
        </w:rPr>
      </w:pPr>
    </w:p>
    <w:p w:rsidR="007649F4" w:rsidRPr="00357C8A" w:rsidP="007649F4" w14:paraId="78A16368" w14:textId="77777777">
      <w:pPr>
        <w:numPr>
          <w:ilvl w:val="0"/>
          <w:numId w:val="57"/>
        </w:numPr>
        <w:spacing w:after="200" w:line="276" w:lineRule="auto"/>
        <w:rPr>
          <w:rFonts w:eastAsia="Calibri"/>
        </w:rPr>
      </w:pPr>
      <w:r w:rsidRPr="00357C8A">
        <w:rPr>
          <w:rFonts w:eastAsia="Calibri"/>
          <w:u w:val="single"/>
        </w:rPr>
        <w:t>Explanation of Any Payment or Gift to Respondents</w:t>
      </w:r>
    </w:p>
    <w:p w:rsidR="008469A3" w:rsidP="00A26958" w14:paraId="24020138" w14:textId="6A9CFF30">
      <w:pPr>
        <w:pStyle w:val="BodyText"/>
        <w:spacing w:after="0"/>
        <w:ind w:firstLine="0"/>
      </w:pPr>
      <w:r w:rsidRPr="00185D69">
        <w:t xml:space="preserve">Schools will be given </w:t>
      </w:r>
      <w:r w:rsidR="00BF0F24">
        <w:t xml:space="preserve">$750 </w:t>
      </w:r>
      <w:r w:rsidRPr="00185D69">
        <w:t>in appreciation for their participation in NYTS</w:t>
      </w:r>
      <w:r w:rsidR="00B85B21">
        <w:t xml:space="preserve">. </w:t>
      </w:r>
      <w:r w:rsidR="00B6368B">
        <w:t>This was increased from $500 because</w:t>
      </w:r>
      <w:r w:rsidR="003673E2">
        <w:t xml:space="preserve"> of</w:t>
      </w:r>
      <w:r w:rsidR="00B6368B">
        <w:t xml:space="preserve"> inflation</w:t>
      </w:r>
      <w:r w:rsidR="00A26A4B">
        <w:t>; the incentive has not increased since at least 2009</w:t>
      </w:r>
      <w:r w:rsidR="00B6368B">
        <w:t xml:space="preserve">. </w:t>
      </w:r>
      <w:r w:rsidRPr="00185D69">
        <w:t>No payments will be offered or made to student respondents</w:t>
      </w:r>
      <w:r w:rsidR="00237C83">
        <w:t xml:space="preserve"> on the NYTS survey</w:t>
      </w:r>
      <w:r w:rsidRPr="00185D69">
        <w:t>.</w:t>
      </w:r>
      <w:r w:rsidRPr="00185D69" w:rsidR="00077574">
        <w:t xml:space="preserve"> </w:t>
      </w:r>
      <w:r w:rsidRPr="00185D69">
        <w:t xml:space="preserve">OMB first suggested that CDC offer school incentives </w:t>
      </w:r>
      <w:r w:rsidRPr="00185D69" w:rsidR="00C80097">
        <w:t xml:space="preserve">on surveys </w:t>
      </w:r>
      <w:r w:rsidRPr="00185D69">
        <w:t>as a means of improving school response rates and, thereby, improving the generalizability of results.</w:t>
      </w:r>
      <w:r w:rsidR="00B85B21">
        <w:t xml:space="preserve"> </w:t>
      </w:r>
      <w:r w:rsidR="0023665D">
        <w:t>FDA</w:t>
      </w:r>
      <w:r w:rsidRPr="00185D69">
        <w:t xml:space="preserve"> believes that offering school incentives </w:t>
      </w:r>
      <w:r w:rsidRPr="00185D69" w:rsidR="00C80097">
        <w:t>helps</w:t>
      </w:r>
      <w:r w:rsidRPr="00185D69">
        <w:t xml:space="preserve"> maintain</w:t>
      </w:r>
      <w:r w:rsidRPr="00185D69" w:rsidR="00C0513E">
        <w:t>,</w:t>
      </w:r>
      <w:r w:rsidRPr="00185D69">
        <w:t xml:space="preserve"> or increase</w:t>
      </w:r>
      <w:r w:rsidRPr="00185D69" w:rsidR="00C0513E">
        <w:t>,</w:t>
      </w:r>
      <w:r w:rsidRPr="00185D69">
        <w:t xml:space="preserve"> school participation rates despite the growing number of competing, non-instructional demands placed on schools, including standardized testing.</w:t>
      </w:r>
      <w:r w:rsidRPr="00185D69" w:rsidR="00077574">
        <w:t xml:space="preserve"> </w:t>
      </w:r>
      <w:r w:rsidR="00237C83">
        <w:t>Students participating in cognitive testing interviews will be provided with $50 in appreciation for their participation; each student participating in cognitive testing will participate in 2 separate one-hour interviews and will be given $50 for each interview.</w:t>
      </w:r>
    </w:p>
    <w:p w:rsidR="00B824B8" w:rsidRPr="00185D69" w:rsidP="00A26958" w14:paraId="12758F21" w14:textId="77777777">
      <w:pPr>
        <w:pStyle w:val="BodyText"/>
        <w:spacing w:after="0"/>
        <w:ind w:firstLine="0"/>
      </w:pPr>
    </w:p>
    <w:p w:rsidR="00612477" w:rsidRPr="00357C8A" w:rsidP="00612477" w14:paraId="6E8B6325" w14:textId="77777777">
      <w:pPr>
        <w:numPr>
          <w:ilvl w:val="0"/>
          <w:numId w:val="57"/>
        </w:numPr>
        <w:spacing w:after="200" w:line="276" w:lineRule="auto"/>
        <w:rPr>
          <w:rFonts w:eastAsia="Calibri"/>
        </w:rPr>
      </w:pPr>
      <w:r w:rsidRPr="00357C8A">
        <w:rPr>
          <w:rFonts w:eastAsia="Calibri"/>
          <w:u w:val="single"/>
        </w:rPr>
        <w:t>Assurance of Confidentiality Provided to Respondents</w:t>
      </w:r>
    </w:p>
    <w:p w:rsidR="008E6543" w:rsidRPr="008E6543" w:rsidP="008E6543" w14:paraId="08A6A1C0" w14:textId="0755CB2F">
      <w:pPr>
        <w:tabs>
          <w:tab w:val="left" w:pos="360"/>
          <w:tab w:val="left" w:pos="720"/>
          <w:tab w:val="left" w:pos="1166"/>
        </w:tabs>
        <w:rPr>
          <w:bCs/>
          <w:color w:val="000000"/>
        </w:rPr>
      </w:pPr>
      <w:bookmarkStart w:id="4" w:name="_Hlk205563025"/>
      <w:r w:rsidRPr="1B309F73">
        <w:rPr>
          <w:color w:val="000000" w:themeColor="text1"/>
        </w:rPr>
        <w:t xml:space="preserve">The Privacy Act does not apply to this submission </w:t>
      </w:r>
      <w:r w:rsidRPr="1B309F73" w:rsidR="00412408">
        <w:rPr>
          <w:color w:val="000000" w:themeColor="text1"/>
        </w:rPr>
        <w:t>because</w:t>
      </w:r>
      <w:r w:rsidRPr="1B309F73" w:rsidR="00166E3F">
        <w:rPr>
          <w:color w:val="000000" w:themeColor="text1"/>
        </w:rPr>
        <w:t xml:space="preserve"> </w:t>
      </w:r>
      <w:r w:rsidRPr="1B309F73" w:rsidR="00C70D43">
        <w:rPr>
          <w:color w:val="000000" w:themeColor="text1"/>
        </w:rPr>
        <w:t>NYTS is not considered a “record” as defined by the Privacy Act</w:t>
      </w:r>
      <w:bookmarkEnd w:id="4"/>
      <w:r w:rsidRPr="1B309F73" w:rsidR="00C70D43">
        <w:rPr>
          <w:color w:val="000000" w:themeColor="text1"/>
        </w:rPr>
        <w:t xml:space="preserve">: </w:t>
      </w:r>
      <w:r w:rsidRPr="1B309F73" w:rsidR="00637514">
        <w:rPr>
          <w:color w:val="000000" w:themeColor="text1"/>
        </w:rPr>
        <w:t xml:space="preserve">the collected data </w:t>
      </w:r>
      <w:r w:rsidRPr="1B309F73" w:rsidR="00C70D43">
        <w:rPr>
          <w:color w:val="000000" w:themeColor="text1"/>
        </w:rPr>
        <w:t xml:space="preserve">will not include individuals’ financial transactions, medical history, criminal or employment history, name, or the identifying number, symbol, or other identifier assigned to any individual, such as a finger or voice print or a photograph. No individually identifiable information is collected on the NYTS survey; therefore, there is no way to connect students’ names to their response data. Participation in the NYTS should pose little or no effect on the respondent’s privacy. Participation is voluntary and respondents will be assured that there is no penalty if they decide not to respond, either to the information collection as a whole or to any </w:t>
      </w:r>
      <w:r w:rsidRPr="1B309F73" w:rsidR="00C70D43">
        <w:rPr>
          <w:color w:val="000000" w:themeColor="text1"/>
        </w:rPr>
        <w:t>particular question</w:t>
      </w:r>
      <w:r w:rsidRPr="1B309F73" w:rsidR="00C70D43">
        <w:rPr>
          <w:color w:val="000000" w:themeColor="text1"/>
        </w:rPr>
        <w:t xml:space="preserve">. Participants can choose to leave the study at any point. Participants also can choose to skip any questions they find uncomfortable. </w:t>
      </w:r>
    </w:p>
    <w:p w:rsidR="008E6543" w:rsidRPr="008E6543" w:rsidP="008E6543" w14:paraId="7B9803B6" w14:textId="77777777">
      <w:pPr>
        <w:tabs>
          <w:tab w:val="left" w:pos="360"/>
          <w:tab w:val="left" w:pos="720"/>
          <w:tab w:val="left" w:pos="1166"/>
        </w:tabs>
        <w:rPr>
          <w:bCs/>
          <w:color w:val="000000"/>
        </w:rPr>
      </w:pPr>
    </w:p>
    <w:p w:rsidR="008E6543" w:rsidRPr="008E6543" w:rsidP="008E6543" w14:paraId="11D34977" w14:textId="7F565426">
      <w:pPr>
        <w:tabs>
          <w:tab w:val="left" w:pos="360"/>
          <w:tab w:val="left" w:pos="720"/>
          <w:tab w:val="left" w:pos="1166"/>
        </w:tabs>
        <w:rPr>
          <w:color w:val="000000"/>
        </w:rPr>
      </w:pPr>
      <w:r w:rsidRPr="008C4E7A">
        <w:rPr>
          <w:color w:val="000000"/>
        </w:rPr>
        <w:t xml:space="preserve">Data will be </w:t>
      </w:r>
      <w:r>
        <w:rPr>
          <w:color w:val="000000"/>
        </w:rPr>
        <w:t>k</w:t>
      </w:r>
      <w:r w:rsidRPr="008C4E7A">
        <w:rPr>
          <w:color w:val="000000"/>
        </w:rPr>
        <w:t>ept private to the extent allowed by law</w:t>
      </w:r>
      <w:r>
        <w:rPr>
          <w:color w:val="000000"/>
        </w:rPr>
        <w:t xml:space="preserve">. </w:t>
      </w:r>
      <w:r w:rsidRPr="008E6543">
        <w:rPr>
          <w:color w:val="000000"/>
        </w:rPr>
        <w:t xml:space="preserve">The NYTS does not collect any student-level personal identifiers. </w:t>
      </w:r>
      <w:r w:rsidR="00412408">
        <w:rPr>
          <w:color w:val="000000"/>
        </w:rPr>
        <w:t>Sc</w:t>
      </w:r>
      <w:r w:rsidRPr="008E6543">
        <w:rPr>
          <w:color w:val="000000"/>
        </w:rPr>
        <w:t>hool-level identifiers and sub-national level identifiers (e.g., state code, month and date of survey) are not included in the final analytic dataset to protect the privacy and confidentiality of individual respondents. The sampling variables in the dataset, required for use in analysis using complex sampling procedures, have been modified so that users cannot identify locations based on these variables.</w:t>
      </w:r>
      <w:r w:rsidR="00BF03CE">
        <w:rPr>
          <w:color w:val="000000"/>
        </w:rPr>
        <w:t xml:space="preserve"> </w:t>
      </w:r>
      <w:r w:rsidRPr="00FD1E53" w:rsidR="00FD1E53">
        <w:rPr>
          <w:color w:val="000000"/>
        </w:rPr>
        <w:t>To reduce disclosure risk, primary sampling units (PSUs) with only one school will be collapsed with another PSU in the same stratum to create the PSUs used in the analysis. The variable on the analytic dataset that identifies the PSUs will be devoid of any information that can be used to identify the characteristics of the PSU</w:t>
      </w:r>
      <w:r w:rsidRPr="008E6543">
        <w:rPr>
          <w:color w:val="000000"/>
        </w:rPr>
        <w:t xml:space="preserve">. </w:t>
      </w:r>
    </w:p>
    <w:p w:rsidR="008E6543" w:rsidRPr="008E6543" w:rsidP="008E6543" w14:paraId="71B626E1" w14:textId="77777777">
      <w:pPr>
        <w:tabs>
          <w:tab w:val="left" w:pos="360"/>
          <w:tab w:val="left" w:pos="720"/>
          <w:tab w:val="left" w:pos="1166"/>
        </w:tabs>
        <w:rPr>
          <w:bCs/>
          <w:color w:val="000000"/>
        </w:rPr>
      </w:pPr>
    </w:p>
    <w:p w:rsidR="008E6543" w:rsidRPr="008E6543" w:rsidP="008E6543" w14:paraId="73FE7EF8" w14:textId="405C0DDD">
      <w:pPr>
        <w:tabs>
          <w:tab w:val="left" w:pos="360"/>
          <w:tab w:val="left" w:pos="720"/>
          <w:tab w:val="left" w:pos="1166"/>
        </w:tabs>
        <w:rPr>
          <w:bCs/>
          <w:color w:val="000000"/>
        </w:rPr>
      </w:pPr>
      <w:r w:rsidRPr="008E6543">
        <w:rPr>
          <w:bCs/>
          <w:color w:val="000000"/>
        </w:rPr>
        <w:t xml:space="preserve">All selected schools, students, and their parents will be informed that anonymity will be maintained throughout data collection, that all data will be safeguarded closely, and that no institutional or individual identifiers will be used in study reports. Anonymity and protection of privacy are promised to students on parental permission forms (Attachments </w:t>
      </w:r>
      <w:r w:rsidR="004227CE">
        <w:rPr>
          <w:bCs/>
          <w:color w:val="000000"/>
        </w:rPr>
        <w:t xml:space="preserve">H2, </w:t>
      </w:r>
      <w:r w:rsidRPr="008E6543">
        <w:rPr>
          <w:bCs/>
          <w:color w:val="000000"/>
        </w:rPr>
        <w:t>H3, H4, H5</w:t>
      </w:r>
      <w:r w:rsidR="005C3F9D">
        <w:rPr>
          <w:bCs/>
          <w:color w:val="000000"/>
        </w:rPr>
        <w:t>)</w:t>
      </w:r>
      <w:r w:rsidRPr="008E6543">
        <w:rPr>
          <w:bCs/>
          <w:color w:val="000000"/>
        </w:rPr>
        <w:t xml:space="preserve">. Students will be reminded </w:t>
      </w:r>
      <w:r w:rsidR="00280918">
        <w:rPr>
          <w:bCs/>
          <w:color w:val="000000"/>
        </w:rPr>
        <w:t xml:space="preserve">by the teacher </w:t>
      </w:r>
      <w:r w:rsidRPr="008E6543">
        <w:rPr>
          <w:bCs/>
          <w:color w:val="000000"/>
        </w:rPr>
        <w:t>that their responses are anonymous at the start of the survey administration session</w:t>
      </w:r>
      <w:r w:rsidR="00280918">
        <w:rPr>
          <w:bCs/>
          <w:color w:val="000000"/>
        </w:rPr>
        <w:t xml:space="preserve"> and </w:t>
      </w:r>
      <w:r w:rsidRPr="00280918" w:rsidR="00280918">
        <w:rPr>
          <w:bCs/>
          <w:color w:val="000000"/>
        </w:rPr>
        <w:t xml:space="preserve">the teacher will distribute a 5-digit classroom access code to all students </w:t>
      </w:r>
      <w:r w:rsidRPr="00280918" w:rsidR="00280918">
        <w:rPr>
          <w:bCs/>
          <w:color w:val="000000"/>
        </w:rPr>
        <w:t>in a given</w:t>
      </w:r>
      <w:r w:rsidRPr="00280918" w:rsidR="00280918">
        <w:rPr>
          <w:bCs/>
          <w:color w:val="000000"/>
        </w:rPr>
        <w:t xml:space="preserve"> classroom</w:t>
      </w:r>
      <w:r w:rsidRPr="008E6543">
        <w:rPr>
          <w:bCs/>
          <w:color w:val="000000"/>
        </w:rPr>
        <w:t xml:space="preserve">. </w:t>
      </w:r>
      <w:r w:rsidRPr="00912775" w:rsidR="00912775">
        <w:rPr>
          <w:bCs/>
          <w:color w:val="000000"/>
        </w:rPr>
        <w:t>Teachers read verbatim to eligible students a prepared script (Attachment I2) that emphasizes anonymity and the voluntary nature of the survey</w:t>
      </w:r>
      <w:r w:rsidR="00912775">
        <w:rPr>
          <w:bCs/>
          <w:color w:val="000000"/>
        </w:rPr>
        <w:t xml:space="preserve">. </w:t>
      </w:r>
      <w:r w:rsidRPr="008E6543">
        <w:rPr>
          <w:bCs/>
          <w:color w:val="000000"/>
        </w:rPr>
        <w:t>Access controls used to secure and protect collected data are listed in Table 2.</w:t>
      </w:r>
    </w:p>
    <w:p w:rsidR="008E6543" w:rsidRPr="008E6543" w:rsidP="008E6543" w14:paraId="0559EC67" w14:textId="77777777">
      <w:pPr>
        <w:tabs>
          <w:tab w:val="left" w:pos="360"/>
          <w:tab w:val="left" w:pos="720"/>
          <w:tab w:val="left" w:pos="1166"/>
        </w:tabs>
        <w:rPr>
          <w:bCs/>
          <w:color w:val="000000"/>
        </w:rPr>
      </w:pPr>
    </w:p>
    <w:p w:rsidR="008E6543" w:rsidRPr="008E6543" w:rsidP="008E6543" w14:paraId="65CEEC14" w14:textId="7D125A33">
      <w:pPr>
        <w:tabs>
          <w:tab w:val="left" w:pos="360"/>
          <w:tab w:val="left" w:pos="720"/>
          <w:tab w:val="left" w:pos="1166"/>
        </w:tabs>
        <w:rPr>
          <w:bCs/>
          <w:color w:val="000000"/>
        </w:rPr>
      </w:pPr>
      <w:r w:rsidRPr="008E6543">
        <w:rPr>
          <w:bCs/>
          <w:color w:val="000000"/>
        </w:rPr>
        <w:t xml:space="preserve">In the 2024-2026 administration, </w:t>
      </w:r>
      <w:bookmarkStart w:id="5" w:name="_Hlk58847629"/>
      <w:r w:rsidRPr="008E6543">
        <w:rPr>
          <w:bCs/>
          <w:color w:val="000000"/>
        </w:rPr>
        <w:t>protection of participant confidential</w:t>
      </w:r>
      <w:r w:rsidR="00B22AA6">
        <w:rPr>
          <w:bCs/>
          <w:color w:val="000000"/>
        </w:rPr>
        <w:t>it</w:t>
      </w:r>
      <w:r w:rsidRPr="008E6543">
        <w:rPr>
          <w:bCs/>
          <w:color w:val="000000"/>
        </w:rPr>
        <w:t xml:space="preserve">y and privacy will be maintained </w:t>
      </w:r>
      <w:r w:rsidR="00637514">
        <w:rPr>
          <w:bCs/>
          <w:color w:val="000000"/>
        </w:rPr>
        <w:t>during and after</w:t>
      </w:r>
      <w:r w:rsidRPr="008E6543" w:rsidR="00637514">
        <w:rPr>
          <w:bCs/>
          <w:color w:val="000000"/>
        </w:rPr>
        <w:t xml:space="preserve"> </w:t>
      </w:r>
      <w:r w:rsidRPr="008E6543">
        <w:rPr>
          <w:bCs/>
          <w:color w:val="000000"/>
        </w:rPr>
        <w:t>virtual administration of the survey. On the day of scheduled survey administration, the teacher will provide students with the survey URL and a unique classroom-specific access code. Students will use the classroom code to access the survey. Students are informed that, once they complete the survey or are inactive, the results are not stored in the browser they are using. Classroom access codes cannot be linked back to individuals. Use of the classroom-level access code avoids linking survey responses to individual students. If a student loses internet access during the survey or if they need to step away from the survey prior to submitting their responses, they can re-enter their classroom code on the same computer to resume the survey. Responses are locked after submission of the survey or after 30 minutes of inactivity. This procedure ensures that the student’s responses remain private and that they can resume the survey where they left off. Access controls are outlined in Table 2.</w:t>
      </w:r>
    </w:p>
    <w:bookmarkEnd w:id="5"/>
    <w:p w:rsidR="00E30CE2" w:rsidP="000F301B" w14:paraId="4E43B21A" w14:textId="77777777">
      <w:pPr>
        <w:tabs>
          <w:tab w:val="left" w:pos="360"/>
          <w:tab w:val="left" w:pos="720"/>
          <w:tab w:val="left" w:pos="1166"/>
        </w:tabs>
        <w:rPr>
          <w:b/>
        </w:rPr>
      </w:pPr>
    </w:p>
    <w:p w:rsidR="001636B3" w:rsidRPr="00A26958" w:rsidP="00092EC6" w14:paraId="16146C6F" w14:textId="1ADD2E3B">
      <w:pPr>
        <w:keepNext/>
        <w:tabs>
          <w:tab w:val="left" w:pos="360"/>
          <w:tab w:val="left" w:pos="720"/>
          <w:tab w:val="left" w:pos="1166"/>
        </w:tabs>
        <w:rPr>
          <w:b/>
        </w:rPr>
      </w:pPr>
      <w:r w:rsidRPr="00A26958">
        <w:rPr>
          <w:b/>
        </w:rPr>
        <w:t xml:space="preserve">Table </w:t>
      </w:r>
      <w:r w:rsidR="007F46C8">
        <w:rPr>
          <w:b/>
        </w:rPr>
        <w:t>2</w:t>
      </w:r>
      <w:r w:rsidR="00427F5C">
        <w:rPr>
          <w:b/>
        </w:rPr>
        <w:t>:</w:t>
      </w:r>
      <w:r w:rsidRPr="00A26958">
        <w:rPr>
          <w:b/>
        </w:rPr>
        <w:t xml:space="preserve"> Access Controls</w:t>
      </w:r>
    </w:p>
    <w:p w:rsidR="000A2689" w:rsidRPr="00C9141B" w:rsidP="00092EC6" w14:paraId="2890A1C3" w14:textId="77777777">
      <w:pPr>
        <w:keepNext/>
        <w:spacing w:line="276" w:lineRule="auto"/>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3060"/>
        <w:gridCol w:w="4320"/>
      </w:tblGrid>
      <w:tr w14:paraId="44F803BB" w14:textId="77777777" w:rsidTr="005843EE">
        <w:tblPrEx>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1"/>
        </w:trPr>
        <w:tc>
          <w:tcPr>
            <w:tcW w:w="2785" w:type="dxa"/>
          </w:tcPr>
          <w:p w:rsidR="008E6543" w:rsidRPr="008E6543" w:rsidP="00092EC6" w14:paraId="4F9A7B99" w14:textId="77777777">
            <w:pPr>
              <w:keepNext/>
              <w:autoSpaceDE w:val="0"/>
              <w:autoSpaceDN w:val="0"/>
              <w:adjustRightInd w:val="0"/>
              <w:rPr>
                <w:b/>
              </w:rPr>
            </w:pPr>
            <w:r w:rsidRPr="008E6543">
              <w:rPr>
                <w:b/>
              </w:rPr>
              <w:t>Technical Controls</w:t>
            </w:r>
          </w:p>
        </w:tc>
        <w:tc>
          <w:tcPr>
            <w:tcW w:w="3060" w:type="dxa"/>
          </w:tcPr>
          <w:p w:rsidR="008E6543" w:rsidRPr="008E6543" w:rsidP="00092EC6" w14:paraId="74847A8A" w14:textId="77777777">
            <w:pPr>
              <w:keepNext/>
              <w:autoSpaceDE w:val="0"/>
              <w:autoSpaceDN w:val="0"/>
              <w:adjustRightInd w:val="0"/>
              <w:rPr>
                <w:b/>
              </w:rPr>
            </w:pPr>
            <w:r w:rsidRPr="008E6543">
              <w:rPr>
                <w:b/>
              </w:rPr>
              <w:t>Physical Controls</w:t>
            </w:r>
          </w:p>
        </w:tc>
        <w:tc>
          <w:tcPr>
            <w:tcW w:w="4320" w:type="dxa"/>
          </w:tcPr>
          <w:p w:rsidR="008E6543" w:rsidRPr="008E6543" w:rsidP="00092EC6" w14:paraId="195DF7CC" w14:textId="77777777">
            <w:pPr>
              <w:keepNext/>
              <w:autoSpaceDE w:val="0"/>
              <w:autoSpaceDN w:val="0"/>
              <w:adjustRightInd w:val="0"/>
              <w:rPr>
                <w:b/>
              </w:rPr>
            </w:pPr>
            <w:r w:rsidRPr="008E6543">
              <w:rPr>
                <w:b/>
              </w:rPr>
              <w:t>Administrative Controls</w:t>
            </w:r>
          </w:p>
        </w:tc>
      </w:tr>
      <w:tr w14:paraId="01C3B442" w14:textId="77777777" w:rsidTr="005843EE">
        <w:tblPrEx>
          <w:tblW w:w="10165" w:type="dxa"/>
          <w:tblLook w:val="04A0"/>
        </w:tblPrEx>
        <w:trPr>
          <w:trHeight w:val="3050"/>
        </w:trPr>
        <w:tc>
          <w:tcPr>
            <w:tcW w:w="2785" w:type="dxa"/>
          </w:tcPr>
          <w:p w:rsidR="008E6543" w:rsidRPr="008E6543" w:rsidP="00092EC6" w14:paraId="79B406BB" w14:textId="77777777">
            <w:pPr>
              <w:keepNext/>
              <w:numPr>
                <w:ilvl w:val="0"/>
                <w:numId w:val="50"/>
              </w:numPr>
              <w:autoSpaceDE w:val="0"/>
              <w:autoSpaceDN w:val="0"/>
              <w:adjustRightInd w:val="0"/>
            </w:pPr>
            <w:r w:rsidRPr="008E6543">
              <w:t>User identification</w:t>
            </w:r>
          </w:p>
          <w:p w:rsidR="008E6543" w:rsidRPr="008E6543" w:rsidP="00092EC6" w14:paraId="0A73200F" w14:textId="77777777">
            <w:pPr>
              <w:keepNext/>
              <w:numPr>
                <w:ilvl w:val="0"/>
                <w:numId w:val="50"/>
              </w:numPr>
              <w:autoSpaceDE w:val="0"/>
              <w:autoSpaceDN w:val="0"/>
              <w:adjustRightInd w:val="0"/>
            </w:pPr>
            <w:r w:rsidRPr="008E6543">
              <w:t>Passwords</w:t>
            </w:r>
          </w:p>
          <w:p w:rsidR="008E6543" w:rsidRPr="008E6543" w:rsidP="00092EC6" w14:paraId="7DA1971E" w14:textId="77777777">
            <w:pPr>
              <w:keepNext/>
              <w:numPr>
                <w:ilvl w:val="0"/>
                <w:numId w:val="50"/>
              </w:numPr>
              <w:autoSpaceDE w:val="0"/>
              <w:autoSpaceDN w:val="0"/>
              <w:adjustRightInd w:val="0"/>
            </w:pPr>
            <w:r w:rsidRPr="008E6543">
              <w:t>Multiple Factor Authentication</w:t>
            </w:r>
          </w:p>
          <w:p w:rsidR="008E6543" w:rsidRPr="008E6543" w:rsidP="00092EC6" w14:paraId="3B2F5887" w14:textId="77777777">
            <w:pPr>
              <w:keepNext/>
              <w:numPr>
                <w:ilvl w:val="0"/>
                <w:numId w:val="50"/>
              </w:numPr>
              <w:autoSpaceDE w:val="0"/>
              <w:autoSpaceDN w:val="0"/>
              <w:adjustRightInd w:val="0"/>
            </w:pPr>
            <w:r w:rsidRPr="008E6543">
              <w:t>Firewall</w:t>
            </w:r>
          </w:p>
          <w:p w:rsidR="008E6543" w:rsidRPr="008E6543" w:rsidP="00092EC6" w14:paraId="22640BFC" w14:textId="77777777">
            <w:pPr>
              <w:keepNext/>
              <w:numPr>
                <w:ilvl w:val="0"/>
                <w:numId w:val="50"/>
              </w:numPr>
              <w:autoSpaceDE w:val="0"/>
              <w:autoSpaceDN w:val="0"/>
              <w:adjustRightInd w:val="0"/>
            </w:pPr>
            <w:r w:rsidRPr="008E6543">
              <w:t xml:space="preserve">FedRAMP approved Encryption of data at rest and in transit </w:t>
            </w:r>
          </w:p>
        </w:tc>
        <w:tc>
          <w:tcPr>
            <w:tcW w:w="3060" w:type="dxa"/>
          </w:tcPr>
          <w:p w:rsidR="008E6543" w:rsidRPr="008E6543" w:rsidP="00092EC6" w14:paraId="732C8D53" w14:textId="77777777">
            <w:pPr>
              <w:keepNext/>
              <w:numPr>
                <w:ilvl w:val="0"/>
                <w:numId w:val="50"/>
              </w:numPr>
              <w:autoSpaceDE w:val="0"/>
              <w:autoSpaceDN w:val="0"/>
              <w:adjustRightInd w:val="0"/>
            </w:pPr>
            <w:r w:rsidRPr="008E6543">
              <w:t>Guards/Security Officers</w:t>
            </w:r>
          </w:p>
          <w:p w:rsidR="008E6543" w:rsidRPr="008E6543" w:rsidP="00092EC6" w14:paraId="0F368DA2" w14:textId="77777777">
            <w:pPr>
              <w:keepNext/>
              <w:numPr>
                <w:ilvl w:val="0"/>
                <w:numId w:val="50"/>
              </w:numPr>
              <w:autoSpaceDE w:val="0"/>
              <w:autoSpaceDN w:val="0"/>
              <w:adjustRightInd w:val="0"/>
            </w:pPr>
            <w:r w:rsidRPr="008E6543">
              <w:t>24-hour maintenance of Video/Audio of all data centers and all offices</w:t>
            </w:r>
          </w:p>
          <w:p w:rsidR="008E6543" w:rsidRPr="008E6543" w:rsidP="00092EC6" w14:paraId="3AE449A8" w14:textId="77777777">
            <w:pPr>
              <w:keepNext/>
              <w:numPr>
                <w:ilvl w:val="0"/>
                <w:numId w:val="50"/>
              </w:numPr>
              <w:autoSpaceDE w:val="0"/>
              <w:autoSpaceDN w:val="0"/>
              <w:adjustRightInd w:val="0"/>
            </w:pPr>
            <w:r w:rsidRPr="008E6543">
              <w:t>Identification badges</w:t>
            </w:r>
          </w:p>
          <w:p w:rsidR="008E6543" w:rsidRPr="008E6543" w:rsidP="00092EC6" w14:paraId="62EA88A6" w14:textId="77777777">
            <w:pPr>
              <w:keepNext/>
              <w:numPr>
                <w:ilvl w:val="0"/>
                <w:numId w:val="50"/>
              </w:numPr>
              <w:autoSpaceDE w:val="0"/>
              <w:autoSpaceDN w:val="0"/>
              <w:adjustRightInd w:val="0"/>
            </w:pPr>
            <w:r w:rsidRPr="008E6543">
              <w:t>Key Cards</w:t>
            </w:r>
          </w:p>
          <w:p w:rsidR="008E6543" w:rsidRPr="008E6543" w:rsidP="00092EC6" w14:paraId="5A89213E" w14:textId="77777777">
            <w:pPr>
              <w:keepNext/>
              <w:numPr>
                <w:ilvl w:val="0"/>
                <w:numId w:val="50"/>
              </w:numPr>
              <w:autoSpaceDE w:val="0"/>
              <w:autoSpaceDN w:val="0"/>
              <w:adjustRightInd w:val="0"/>
            </w:pPr>
            <w:r w:rsidRPr="008E6543">
              <w:t xml:space="preserve">Least privilege access to data centers </w:t>
            </w:r>
          </w:p>
          <w:p w:rsidR="008E6543" w:rsidRPr="008E6543" w:rsidP="00092EC6" w14:paraId="59CD38AA" w14:textId="77777777">
            <w:pPr>
              <w:keepNext/>
              <w:numPr>
                <w:ilvl w:val="0"/>
                <w:numId w:val="50"/>
              </w:numPr>
              <w:autoSpaceDE w:val="0"/>
              <w:autoSpaceDN w:val="0"/>
              <w:adjustRightInd w:val="0"/>
            </w:pPr>
            <w:r w:rsidRPr="008E6543">
              <w:t xml:space="preserve">Security logs of access and appointments </w:t>
            </w:r>
          </w:p>
          <w:p w:rsidR="008E6543" w:rsidRPr="008E6543" w:rsidP="00092EC6" w14:paraId="3103B63D" w14:textId="77777777">
            <w:pPr>
              <w:keepNext/>
              <w:numPr>
                <w:ilvl w:val="0"/>
                <w:numId w:val="50"/>
              </w:numPr>
              <w:autoSpaceDE w:val="0"/>
              <w:autoSpaceDN w:val="0"/>
              <w:adjustRightInd w:val="0"/>
            </w:pPr>
            <w:r w:rsidRPr="008E6543">
              <w:t xml:space="preserve">CCTV surveillance at physical access points </w:t>
            </w:r>
          </w:p>
        </w:tc>
        <w:tc>
          <w:tcPr>
            <w:tcW w:w="4320" w:type="dxa"/>
          </w:tcPr>
          <w:p w:rsidR="008E6543" w:rsidRPr="008E6543" w:rsidP="00092EC6" w14:paraId="76730BE3" w14:textId="77777777">
            <w:pPr>
              <w:keepNext/>
              <w:numPr>
                <w:ilvl w:val="0"/>
                <w:numId w:val="51"/>
              </w:numPr>
              <w:autoSpaceDE w:val="0"/>
              <w:autoSpaceDN w:val="0"/>
              <w:adjustRightInd w:val="0"/>
            </w:pPr>
            <w:r w:rsidRPr="008E6543">
              <w:t>No directly identifying information will be collected (thus, the Privacy Act does not apply).</w:t>
            </w:r>
          </w:p>
          <w:p w:rsidR="008E6543" w:rsidRPr="008E6543" w:rsidP="00092EC6" w14:paraId="369BF97A" w14:textId="77777777">
            <w:pPr>
              <w:keepNext/>
              <w:numPr>
                <w:ilvl w:val="0"/>
                <w:numId w:val="51"/>
              </w:numPr>
              <w:autoSpaceDE w:val="0"/>
              <w:autoSpaceDN w:val="0"/>
              <w:adjustRightInd w:val="0"/>
            </w:pPr>
            <w:r w:rsidRPr="008E6543">
              <w:t>Methods will be in place to ensure least privilege</w:t>
            </w:r>
            <w:r w:rsidR="00637514">
              <w:t xml:space="preserve"> access</w:t>
            </w:r>
            <w:r w:rsidRPr="008E6543">
              <w:t>. Data and all identifying information about respondents will be handled in ways that prevent unauthorized access at any point during the study.</w:t>
            </w:r>
          </w:p>
          <w:p w:rsidR="008E6543" w:rsidRPr="008E6543" w:rsidP="00092EC6" w14:paraId="18BE9A75" w14:textId="77777777">
            <w:pPr>
              <w:keepNext/>
              <w:numPr>
                <w:ilvl w:val="0"/>
                <w:numId w:val="51"/>
              </w:numPr>
              <w:autoSpaceDE w:val="0"/>
              <w:autoSpaceDN w:val="0"/>
              <w:adjustRightInd w:val="0"/>
            </w:pPr>
            <w:r w:rsidRPr="008E6543">
              <w:t>All contractor staff involved with the project are required to take trainings on protection of information and privacy required by the government and contractor organizations.</w:t>
            </w:r>
          </w:p>
          <w:p w:rsidR="008E6543" w:rsidRPr="008E6543" w:rsidP="00092EC6" w14:paraId="63384BE0" w14:textId="76846466">
            <w:pPr>
              <w:keepNext/>
              <w:numPr>
                <w:ilvl w:val="0"/>
                <w:numId w:val="51"/>
              </w:numPr>
              <w:autoSpaceDE w:val="0"/>
              <w:autoSpaceDN w:val="0"/>
              <w:adjustRightInd w:val="0"/>
            </w:pPr>
            <w:r w:rsidRPr="008E6543">
              <w:t xml:space="preserve">NYTS data are currently stored on the </w:t>
            </w:r>
            <w:r w:rsidR="002C63E7">
              <w:t>FDA</w:t>
            </w:r>
            <w:r w:rsidRPr="008E6543">
              <w:t xml:space="preserve"> network in an access-restricted </w:t>
            </w:r>
            <w:r w:rsidR="002C63E7">
              <w:t>FDA</w:t>
            </w:r>
            <w:r w:rsidRPr="008E6543">
              <w:t xml:space="preserve"> shared directory folder</w:t>
            </w:r>
            <w:r w:rsidRPr="008E6543" w:rsidR="005843EE">
              <w:t>.</w:t>
            </w:r>
            <w:r w:rsidRPr="008E6543">
              <w:t xml:space="preserve"> Two versions of this shared directory have been created, one version providing read-only access to files and the other version providing full access. The NYTS project leader, Dr. </w:t>
            </w:r>
            <w:r w:rsidR="0073666B">
              <w:t>Karen Cullen</w:t>
            </w:r>
            <w:r w:rsidRPr="008E6543">
              <w:t>, manages access to the shared directory. Currently, the files containing the raw and final data for each year of the NYTS are only accessible to the NYTS implementation team members.</w:t>
            </w:r>
          </w:p>
        </w:tc>
      </w:tr>
    </w:tbl>
    <w:p w:rsidR="000F301B" w:rsidP="00582CF9" w14:paraId="4BE70052" w14:textId="77777777">
      <w:pPr>
        <w:autoSpaceDE w:val="0"/>
        <w:autoSpaceDN w:val="0"/>
        <w:adjustRightInd w:val="0"/>
      </w:pPr>
    </w:p>
    <w:p w:rsidR="00187A5E" w:rsidRPr="00357C8A" w:rsidP="00271CD3" w14:paraId="2B1D9740" w14:textId="77777777">
      <w:pPr>
        <w:numPr>
          <w:ilvl w:val="0"/>
          <w:numId w:val="58"/>
        </w:numPr>
        <w:spacing w:after="200" w:line="276" w:lineRule="auto"/>
        <w:rPr>
          <w:rFonts w:eastAsia="Calibri"/>
        </w:rPr>
      </w:pPr>
      <w:r w:rsidRPr="00357C8A">
        <w:rPr>
          <w:rFonts w:eastAsia="Calibri"/>
          <w:u w:val="single"/>
        </w:rPr>
        <w:t>Justification for Sensitive Questions</w:t>
      </w:r>
    </w:p>
    <w:p w:rsidR="001636B3" w:rsidRPr="00C9141B" w:rsidP="00892DA8" w14:paraId="50919A6B" w14:textId="1FB8C5BB">
      <w:r w:rsidRPr="00C9141B">
        <w:t xml:space="preserve">All procedures have been developed in accordance with federal, state, and local guidelines to ensure that the rights and privacy of participants are protected and maintained. </w:t>
      </w:r>
      <w:r w:rsidR="00F85DF7">
        <w:t>T</w:t>
      </w:r>
      <w:r w:rsidRPr="00C9141B" w:rsidR="00F85DF7">
        <w:t xml:space="preserve">he </w:t>
      </w:r>
      <w:r w:rsidRPr="00C9141B">
        <w:t>C</w:t>
      </w:r>
      <w:r w:rsidR="006F2849">
        <w:rPr>
          <w:rFonts w:hint="eastAsia"/>
          <w:lang w:eastAsia="ko-KR"/>
        </w:rPr>
        <w:t xml:space="preserve">TP Research Involving Human Subjects </w:t>
      </w:r>
      <w:r w:rsidR="006F2849">
        <w:rPr>
          <w:lang w:eastAsia="ko-KR"/>
        </w:rPr>
        <w:t>Committee’</w:t>
      </w:r>
      <w:r w:rsidR="006F2849">
        <w:rPr>
          <w:rFonts w:hint="eastAsia"/>
          <w:lang w:eastAsia="ko-KR"/>
        </w:rPr>
        <w:t xml:space="preserve">s (RIHSC) </w:t>
      </w:r>
      <w:r w:rsidR="00F85DF7">
        <w:t xml:space="preserve">has determined </w:t>
      </w:r>
      <w:r w:rsidR="00892DA8">
        <w:t>that the National Youth Tobacco Survey (NYTS) meets the definition of “</w:t>
      </w:r>
      <w:r w:rsidR="00892DA8">
        <w:rPr>
          <w:color w:val="000000"/>
          <w:shd w:val="clear" w:color="auto" w:fill="FFFFFF"/>
        </w:rPr>
        <w:t>Public health surveillance</w:t>
      </w:r>
      <w:r w:rsidR="00FC0A60">
        <w:rPr>
          <w:rFonts w:hint="eastAsia"/>
          <w:color w:val="000000"/>
          <w:shd w:val="clear" w:color="auto" w:fill="FFFFFF"/>
          <w:lang w:eastAsia="ko-KR"/>
        </w:rPr>
        <w:t xml:space="preserve"> activities</w:t>
      </w:r>
      <w:r w:rsidR="00892DA8">
        <w:rPr>
          <w:color w:val="000000"/>
          <w:shd w:val="clear" w:color="auto" w:fill="FFFFFF"/>
        </w:rPr>
        <w:t xml:space="preserve">” and therefore it does not constitute research as defined by the 2018 Common Rule (Attachment J). As such, the NYTS is </w:t>
      </w:r>
      <w:r w:rsidR="008F7502">
        <w:rPr>
          <w:color w:val="000000"/>
          <w:shd w:val="clear" w:color="auto" w:fill="FFFFFF"/>
        </w:rPr>
        <w:t xml:space="preserve">not </w:t>
      </w:r>
      <w:r w:rsidR="00892DA8">
        <w:rPr>
          <w:color w:val="000000"/>
          <w:shd w:val="clear" w:color="auto" w:fill="FFFFFF"/>
        </w:rPr>
        <w:t xml:space="preserve">subject to </w:t>
      </w:r>
      <w:r w:rsidR="00637514">
        <w:rPr>
          <w:color w:val="000000"/>
          <w:shd w:val="clear" w:color="auto" w:fill="FFFFFF"/>
        </w:rPr>
        <w:t xml:space="preserve">review by </w:t>
      </w:r>
      <w:r w:rsidR="00FC0A60">
        <w:rPr>
          <w:rFonts w:hint="eastAsia"/>
          <w:color w:val="000000"/>
          <w:shd w:val="clear" w:color="auto" w:fill="FFFFFF"/>
          <w:lang w:eastAsia="ko-KR"/>
        </w:rPr>
        <w:t>FDA</w:t>
      </w:r>
      <w:r w:rsidR="00892DA8">
        <w:rPr>
          <w:color w:val="000000"/>
          <w:shd w:val="clear" w:color="auto" w:fill="FFFFFF"/>
        </w:rPr>
        <w:t xml:space="preserve"> IRB</w:t>
      </w:r>
      <w:r w:rsidR="008F7502">
        <w:rPr>
          <w:color w:val="000000"/>
          <w:shd w:val="clear" w:color="auto" w:fill="FFFFFF"/>
        </w:rPr>
        <w:t>.</w:t>
      </w:r>
      <w:r w:rsidR="00892DA8">
        <w:rPr>
          <w:color w:val="000000"/>
          <w:shd w:val="clear" w:color="auto" w:fill="FFFFFF"/>
        </w:rPr>
        <w:t xml:space="preserve"> </w:t>
      </w:r>
    </w:p>
    <w:p w:rsidR="00F435F1" w:rsidRPr="00C9141B" w:rsidP="00F435F1" w14:paraId="7CDDCFB0" w14:textId="77777777"/>
    <w:p w:rsidR="00F435F1" w:rsidRPr="00A26958" w:rsidP="00092EC6" w14:paraId="64758474" w14:textId="353FCE24">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Style w:val="Footer1"/>
          <w:b/>
          <w:bCs/>
          <w:u w:val="single"/>
        </w:rPr>
      </w:pPr>
      <w:r w:rsidRPr="00A26958">
        <w:rPr>
          <w:rStyle w:val="Footer1"/>
          <w:b/>
          <w:bCs/>
          <w:u w:val="single"/>
        </w:rPr>
        <w:t>Sensitive Questions</w:t>
      </w:r>
    </w:p>
    <w:p w:rsidR="00427F5C" w:rsidRPr="00C9141B" w:rsidP="00092EC6" w14:paraId="0B67372D" w14:textId="77777777">
      <w:pPr>
        <w:keepNext/>
        <w:rPr>
          <w:b/>
        </w:rPr>
      </w:pPr>
    </w:p>
    <w:p w:rsidR="00B24B17" w:rsidP="00092EC6" w14:paraId="1BCD374B" w14:textId="6134288F">
      <w:pPr>
        <w:keepNext/>
      </w:pPr>
      <w:r>
        <w:t>C</w:t>
      </w:r>
      <w:r w:rsidRPr="00C9141B">
        <w:t>ertain q</w:t>
      </w:r>
      <w:r w:rsidRPr="00C9141B">
        <w:rPr>
          <w:rFonts w:eastAsia="MS Mincho"/>
          <w:kern w:val="2"/>
          <w:lang w:eastAsia="ja-JP"/>
        </w:rPr>
        <w:t xml:space="preserve">uestions asked during the survey about tobacco </w:t>
      </w:r>
      <w:r>
        <w:rPr>
          <w:iCs/>
        </w:rPr>
        <w:t>product</w:t>
      </w:r>
      <w:r w:rsidRPr="00C9141B">
        <w:rPr>
          <w:rFonts w:eastAsia="MS Mincho"/>
          <w:kern w:val="2"/>
          <w:lang w:eastAsia="ja-JP"/>
        </w:rPr>
        <w:t xml:space="preserve"> use could be considered by some individuals to be sensitive</w:t>
      </w:r>
      <w:r>
        <w:rPr>
          <w:rFonts w:eastAsia="MS Mincho"/>
          <w:kern w:val="2"/>
          <w:lang w:eastAsia="ja-JP"/>
        </w:rPr>
        <w:t>.</w:t>
      </w:r>
      <w:r>
        <w:t xml:space="preserve"> The survey instrument, previously approved by OMB for use in the 2024-2026 NYTS, includes questions about sexual orientation and gender identity, depression and anxiety, discrimination, and family/household affluence, all of which are associated with higher tobacco product use. The survey also captures information about neighborhood safety. </w:t>
      </w:r>
      <w:r w:rsidR="00823771">
        <w:t>In order to comply with the Executive Order</w:t>
      </w:r>
      <w:r w:rsidR="00BA3416">
        <w:t xml:space="preserve"> 14168</w:t>
      </w:r>
      <w:r w:rsidR="00823771">
        <w:t xml:space="preserve"> </w:t>
      </w:r>
      <w:r w:rsidR="00A1008F">
        <w:t>(</w:t>
      </w:r>
      <w:r w:rsidR="00823771">
        <w:t>issued on January 20, 2025</w:t>
      </w:r>
      <w:r w:rsidR="00A1008F">
        <w:t>), titled “</w:t>
      </w:r>
      <w:r w:rsidRPr="00A1008F" w:rsidR="00A1008F">
        <w:rPr>
          <w:i/>
          <w:iCs/>
        </w:rPr>
        <w:t>Defending Women from Gender Ideology Extremism and Restoring Biological Truth to the Federal Government,”</w:t>
      </w:r>
      <w:r w:rsidR="00A1008F">
        <w:t xml:space="preserve"> </w:t>
      </w:r>
      <w:r w:rsidR="000027D8">
        <w:t xml:space="preserve">we propose to make the following updates to </w:t>
      </w:r>
      <w:r w:rsidR="00B206E9">
        <w:t xml:space="preserve">the </w:t>
      </w:r>
      <w:r w:rsidR="000027D8">
        <w:t xml:space="preserve">sexual orientation and </w:t>
      </w:r>
      <w:r w:rsidR="00112D74">
        <w:t>gender identity questions in</w:t>
      </w:r>
      <w:r w:rsidR="00646714">
        <w:t xml:space="preserve"> t</w:t>
      </w:r>
      <w:r w:rsidR="000027D8">
        <w:t xml:space="preserve">he survey </w:t>
      </w:r>
      <w:r w:rsidR="00823771">
        <w:t>instrument</w:t>
      </w:r>
      <w:r w:rsidR="002A541B">
        <w:t xml:space="preserve"> for use in the 202</w:t>
      </w:r>
      <w:r w:rsidR="000027D8">
        <w:t>6</w:t>
      </w:r>
      <w:r w:rsidR="002A541B">
        <w:t xml:space="preserve"> NYTS</w:t>
      </w:r>
      <w:r w:rsidR="000027D8">
        <w:t xml:space="preserve">: 1) </w:t>
      </w:r>
      <w:r w:rsidR="00575FDB">
        <w:t xml:space="preserve">combine </w:t>
      </w:r>
      <w:r w:rsidR="00646714">
        <w:t xml:space="preserve">response options </w:t>
      </w:r>
      <w:r w:rsidR="000027D8">
        <w:t>for sexual orientation question</w:t>
      </w:r>
      <w:r w:rsidR="00646714">
        <w:t xml:space="preserve"> to include “Straight</w:t>
      </w:r>
      <w:r w:rsidR="00AF5031">
        <w:t xml:space="preserve"> or</w:t>
      </w:r>
      <w:r w:rsidR="00646714">
        <w:t xml:space="preserve"> heterosexual,” “Not</w:t>
      </w:r>
      <w:r w:rsidR="00AF5031">
        <w:t xml:space="preserve"> </w:t>
      </w:r>
      <w:r w:rsidR="00646714">
        <w:t>heterosexual,” and “Don’t know/Decline to answer”</w:t>
      </w:r>
      <w:r w:rsidR="000027D8">
        <w:t xml:space="preserve">; 2) remove </w:t>
      </w:r>
      <w:r w:rsidR="00AF5031">
        <w:t xml:space="preserve">questions </w:t>
      </w:r>
      <w:r w:rsidR="00B636B9">
        <w:t>on</w:t>
      </w:r>
      <w:r w:rsidR="002A541B">
        <w:t xml:space="preserve"> gender identity</w:t>
      </w:r>
      <w:r w:rsidR="0068561E">
        <w:t xml:space="preserve">. </w:t>
      </w:r>
      <w:r w:rsidR="00145225">
        <w:t>Participants may choose to skip any question they are not comfortable answering. Furthermore, n</w:t>
      </w:r>
      <w:r w:rsidRPr="00C9141B" w:rsidR="00145225">
        <w:t>o protected personal information is being collected in this study</w:t>
      </w:r>
      <w:r w:rsidR="00145225">
        <w:t xml:space="preserve"> that could trace responses back to individual students</w:t>
      </w:r>
      <w:r w:rsidRPr="00C9141B" w:rsidR="00145225">
        <w:t xml:space="preserve">. </w:t>
      </w:r>
      <w:r>
        <w:t>Furthermore, n</w:t>
      </w:r>
      <w:r w:rsidRPr="00C9141B">
        <w:t>o protected personal information is being collected in this study</w:t>
      </w:r>
      <w:r>
        <w:t xml:space="preserve"> that could trace responses back to individual students</w:t>
      </w:r>
      <w:r w:rsidRPr="00C9141B">
        <w:t xml:space="preserve">. </w:t>
      </w:r>
    </w:p>
    <w:p w:rsidR="0045200F" w:rsidP="0045200F" w14:paraId="7D4BE971" w14:textId="77777777"/>
    <w:p w:rsidR="00F435F1" w:rsidRPr="00185D69" w:rsidP="00D34B7C" w14:paraId="3112CB65" w14:textId="245897D1">
      <w:r>
        <w:t xml:space="preserve">The </w:t>
      </w:r>
      <w:r w:rsidR="00FF6FB7">
        <w:t xml:space="preserve">2024 </w:t>
      </w:r>
      <w:r w:rsidR="00806EFD">
        <w:t xml:space="preserve">psychometric testing plan </w:t>
      </w:r>
      <w:r w:rsidR="00FE36D3">
        <w:t>(attachment M)</w:t>
      </w:r>
      <w:r>
        <w:t xml:space="preserve">, previously approved by OMB, </w:t>
      </w:r>
      <w:r w:rsidR="00A24371">
        <w:t>propose</w:t>
      </w:r>
      <w:r w:rsidR="00B206E9">
        <w:t>d</w:t>
      </w:r>
      <w:r w:rsidR="001651EE">
        <w:t xml:space="preserve"> </w:t>
      </w:r>
      <w:r w:rsidR="00E23218">
        <w:t>to</w:t>
      </w:r>
      <w:r w:rsidR="00855E67">
        <w:t xml:space="preserve"> examine fo</w:t>
      </w:r>
      <w:r w:rsidR="004E5714">
        <w:t xml:space="preserve">ur </w:t>
      </w:r>
      <w:r w:rsidR="00855E67">
        <w:t xml:space="preserve">specific constructs: e-cigarettes, </w:t>
      </w:r>
      <w:r w:rsidR="000A6086">
        <w:t>sexual orientation</w:t>
      </w:r>
      <w:r w:rsidR="00B2576A">
        <w:t>,</w:t>
      </w:r>
      <w:r w:rsidR="000A6086">
        <w:t xml:space="preserve"> and gender identity (SOGI)</w:t>
      </w:r>
      <w:r w:rsidR="00855E67">
        <w:t xml:space="preserve">, socio-economic status (family affluence, parental education level), and social determinants of health or health equity (neighborhood environment, discrimination). </w:t>
      </w:r>
      <w:r w:rsidR="00B07999">
        <w:t xml:space="preserve">However, </w:t>
      </w:r>
      <w:r w:rsidR="00BC114D">
        <w:t xml:space="preserve">given that we propose to </w:t>
      </w:r>
      <w:r w:rsidR="004F664D">
        <w:t>revise</w:t>
      </w:r>
      <w:r w:rsidR="00B206E9">
        <w:t xml:space="preserve"> the</w:t>
      </w:r>
      <w:r w:rsidR="001403E8">
        <w:t xml:space="preserve"> </w:t>
      </w:r>
      <w:r w:rsidR="004F664D">
        <w:t xml:space="preserve">sexual orientation question and </w:t>
      </w:r>
      <w:r w:rsidR="00BC114D">
        <w:t xml:space="preserve">remove </w:t>
      </w:r>
      <w:r w:rsidR="004E5714">
        <w:t>questions</w:t>
      </w:r>
      <w:r w:rsidR="004878A3">
        <w:t xml:space="preserve"> </w:t>
      </w:r>
      <w:r w:rsidR="00904B7D">
        <w:t>on gender identity</w:t>
      </w:r>
      <w:r w:rsidR="00BC114D">
        <w:t xml:space="preserve"> from</w:t>
      </w:r>
      <w:r w:rsidR="00F17A78">
        <w:t xml:space="preserve"> the 2026 survey instrument</w:t>
      </w:r>
      <w:r w:rsidR="00BC114D">
        <w:t xml:space="preserve"> to comply with the Executive Order</w:t>
      </w:r>
      <w:r w:rsidR="00D11473">
        <w:t xml:space="preserve"> 14168</w:t>
      </w:r>
      <w:r w:rsidR="00F17A78">
        <w:t xml:space="preserve">, </w:t>
      </w:r>
      <w:r w:rsidR="00C641B6">
        <w:t>we will remove</w:t>
      </w:r>
      <w:r w:rsidR="009F00A1">
        <w:t xml:space="preserve"> comparable questions </w:t>
      </w:r>
      <w:r w:rsidR="007C0E1E">
        <w:t xml:space="preserve">from </w:t>
      </w:r>
      <w:r w:rsidR="00975261">
        <w:t xml:space="preserve">the cognitive testing screener (attachment N4) and cognitive interview </w:t>
      </w:r>
      <w:r w:rsidR="001324BA">
        <w:t>questionnaire (attachment N5)</w:t>
      </w:r>
      <w:r w:rsidR="00874D57">
        <w:t xml:space="preserve"> </w:t>
      </w:r>
      <w:r w:rsidR="003139DC">
        <w:t>and re</w:t>
      </w:r>
      <w:r w:rsidR="00924F46">
        <w:t xml:space="preserve">move </w:t>
      </w:r>
      <w:r w:rsidR="008E7D6D">
        <w:t xml:space="preserve">a </w:t>
      </w:r>
      <w:r w:rsidR="008571A7">
        <w:t xml:space="preserve">population segment </w:t>
      </w:r>
      <w:r w:rsidR="003139DC">
        <w:t xml:space="preserve">for recruitment </w:t>
      </w:r>
      <w:r w:rsidR="008571A7">
        <w:t>(</w:t>
      </w:r>
      <w:r w:rsidR="002961A6">
        <w:t xml:space="preserve">20% </w:t>
      </w:r>
      <w:r w:rsidR="008571A7">
        <w:t xml:space="preserve">of study participants to be </w:t>
      </w:r>
      <w:r w:rsidR="002961A6">
        <w:t>individuals id</w:t>
      </w:r>
      <w:r w:rsidR="00CF04E5">
        <w:t xml:space="preserve">entifying </w:t>
      </w:r>
      <w:r w:rsidR="00F77635">
        <w:t>as</w:t>
      </w:r>
      <w:r w:rsidR="00DE4941">
        <w:t xml:space="preserve"> SOGI</w:t>
      </w:r>
      <w:r w:rsidR="008571A7">
        <w:t>)</w:t>
      </w:r>
      <w:r w:rsidR="00E90AC8">
        <w:t>.</w:t>
      </w:r>
      <w:r w:rsidR="002870C1">
        <w:t xml:space="preserve"> </w:t>
      </w:r>
    </w:p>
    <w:p w:rsidR="00852497" w:rsidRPr="00185D69" w14:paraId="3911B6BC" w14:textId="77777777">
      <w:pPr>
        <w:autoSpaceDE w:val="0"/>
        <w:autoSpaceDN w:val="0"/>
        <w:adjustRightInd w:val="0"/>
      </w:pPr>
    </w:p>
    <w:p w:rsidR="006C60CC" w:rsidRPr="00357C8A" w:rsidP="00DA3247" w14:paraId="6694F680" w14:textId="77777777">
      <w:pPr>
        <w:numPr>
          <w:ilvl w:val="0"/>
          <w:numId w:val="60"/>
        </w:numPr>
        <w:spacing w:after="200" w:line="276" w:lineRule="auto"/>
        <w:rPr>
          <w:rFonts w:eastAsia="Calibri"/>
          <w:u w:val="single"/>
        </w:rPr>
      </w:pPr>
      <w:r w:rsidRPr="00357C8A">
        <w:rPr>
          <w:rFonts w:eastAsia="Calibri"/>
          <w:u w:val="single"/>
        </w:rPr>
        <w:t>Estimates of Annualized Burden Hours and Cost</w:t>
      </w:r>
    </w:p>
    <w:p w:rsidR="00142D22" w:rsidRPr="00185D69" w:rsidP="00DE68C9" w14:paraId="0BA421CB" w14:textId="51F4E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rsidRPr="00185D69">
        <w:t>Federal tobacco control and surveillance activities must adapt to a dynamic product environment.</w:t>
      </w:r>
      <w:r w:rsidR="009E10AD">
        <w:t xml:space="preserve"> </w:t>
      </w:r>
      <w:r w:rsidRPr="00185D69">
        <w:t xml:space="preserve">From time to time, </w:t>
      </w:r>
      <w:r w:rsidR="00AF0592">
        <w:t>FDA</w:t>
      </w:r>
      <w:r w:rsidRPr="00185D69">
        <w:t xml:space="preserve"> may modify instrument content to reflect changes in the federal government’s need for information to inform public health and regulatory activities.</w:t>
      </w:r>
      <w:r w:rsidR="009E10AD">
        <w:t xml:space="preserve"> </w:t>
      </w:r>
      <w:r w:rsidRPr="00185D69">
        <w:t>These modifications will be submitted to OMB through the Change Request mechanism.</w:t>
      </w:r>
    </w:p>
    <w:p w:rsidR="008B2295" w:rsidRPr="00185D69" w:rsidP="00DE68C9" w14:paraId="32B11E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Style w:val="Footer1"/>
          <w:b/>
          <w:bCs/>
          <w:u w:val="single"/>
        </w:rPr>
      </w:pPr>
    </w:p>
    <w:p w:rsidR="00460CF6" w:rsidRPr="005C71CA" w:rsidP="00092EC6" w14:paraId="60630EA2" w14:textId="77777777">
      <w:pPr>
        <w:keepNext/>
        <w:spacing w:after="200"/>
        <w:ind w:left="360"/>
        <w:rPr>
          <w:rFonts w:eastAsia="Calibri"/>
        </w:rPr>
      </w:pPr>
      <w:r w:rsidRPr="005C71CA">
        <w:rPr>
          <w:rFonts w:eastAsia="Calibri"/>
        </w:rPr>
        <w:t>12a.  Annualized Hour Burden Estimate</w:t>
      </w:r>
    </w:p>
    <w:p w:rsidR="00CB2BD1" w:rsidRPr="00A26958" w:rsidP="00092EC6" w14:paraId="75155E7D" w14:textId="08D74002">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Style w:val="Footer1"/>
          <w:bCs/>
        </w:rPr>
      </w:pPr>
    </w:p>
    <w:tbl>
      <w:tblPr>
        <w:tblStyle w:val="TableGrid"/>
        <w:tblpPr w:leftFromText="180" w:rightFromText="180" w:vertAnchor="text" w:horzAnchor="margin" w:tblpXSpec="center" w:tblpY="278"/>
        <w:tblW w:w="11155" w:type="dxa"/>
        <w:tblLayout w:type="fixed"/>
        <w:tblLook w:val="04A0"/>
      </w:tblPr>
      <w:tblGrid>
        <w:gridCol w:w="1615"/>
        <w:gridCol w:w="2610"/>
        <w:gridCol w:w="1350"/>
        <w:gridCol w:w="1350"/>
        <w:gridCol w:w="1620"/>
        <w:gridCol w:w="1620"/>
        <w:gridCol w:w="990"/>
      </w:tblGrid>
      <w:tr w14:paraId="73C485DF" w14:textId="77777777" w:rsidTr="00C54E97">
        <w:tblPrEx>
          <w:tblW w:w="11155" w:type="dxa"/>
          <w:tblLayout w:type="fixed"/>
          <w:tblLook w:val="04A0"/>
        </w:tblPrEx>
        <w:trPr>
          <w:tblHeader/>
        </w:trPr>
        <w:tc>
          <w:tcPr>
            <w:tcW w:w="1615" w:type="dxa"/>
          </w:tcPr>
          <w:p w:rsidR="00C54E97" w:rsidP="00C54E97" w14:paraId="2BC6403D" w14:textId="77777777">
            <w:pPr>
              <w:keepNext/>
              <w:autoSpaceDE w:val="0"/>
              <w:autoSpaceDN w:val="0"/>
              <w:adjustRightInd w:val="0"/>
              <w:rPr>
                <w:sz w:val="22"/>
                <w:szCs w:val="22"/>
                <w:lang w:eastAsia="ja-JP"/>
              </w:rPr>
            </w:pPr>
            <w:r>
              <w:rPr>
                <w:sz w:val="22"/>
                <w:szCs w:val="22"/>
                <w:lang w:eastAsia="ja-JP"/>
              </w:rPr>
              <w:t>Type of respondent</w:t>
            </w:r>
          </w:p>
        </w:tc>
        <w:tc>
          <w:tcPr>
            <w:tcW w:w="2610" w:type="dxa"/>
          </w:tcPr>
          <w:p w:rsidR="00C54E97" w:rsidRPr="00127F1D" w:rsidP="00C54E97" w14:paraId="6F9B360E" w14:textId="77777777">
            <w:pPr>
              <w:keepNext/>
              <w:autoSpaceDE w:val="0"/>
              <w:autoSpaceDN w:val="0"/>
              <w:adjustRightInd w:val="0"/>
              <w:rPr>
                <w:sz w:val="22"/>
                <w:szCs w:val="22"/>
                <w:highlight w:val="yellow"/>
                <w:lang w:eastAsia="ja-JP"/>
              </w:rPr>
            </w:pPr>
            <w:r w:rsidRPr="00127F1D">
              <w:rPr>
                <w:sz w:val="22"/>
                <w:szCs w:val="22"/>
                <w:lang w:eastAsia="ja-JP"/>
              </w:rPr>
              <w:t>Form name</w:t>
            </w:r>
          </w:p>
        </w:tc>
        <w:tc>
          <w:tcPr>
            <w:tcW w:w="1350" w:type="dxa"/>
          </w:tcPr>
          <w:p w:rsidR="00C54E97" w:rsidP="00C54E97" w14:paraId="3075A562" w14:textId="77777777">
            <w:pPr>
              <w:keepNext/>
              <w:autoSpaceDE w:val="0"/>
              <w:autoSpaceDN w:val="0"/>
              <w:adjustRightInd w:val="0"/>
              <w:rPr>
                <w:sz w:val="22"/>
                <w:szCs w:val="22"/>
                <w:lang w:eastAsia="ja-JP"/>
              </w:rPr>
            </w:pPr>
            <w:r>
              <w:rPr>
                <w:sz w:val="22"/>
                <w:szCs w:val="22"/>
                <w:lang w:eastAsia="ja-JP"/>
              </w:rPr>
              <w:t>Number of respondents</w:t>
            </w:r>
          </w:p>
        </w:tc>
        <w:tc>
          <w:tcPr>
            <w:tcW w:w="1350" w:type="dxa"/>
          </w:tcPr>
          <w:p w:rsidR="00C54E97" w:rsidP="00C54E97" w14:paraId="2C566277" w14:textId="77777777">
            <w:pPr>
              <w:keepNext/>
              <w:autoSpaceDE w:val="0"/>
              <w:autoSpaceDN w:val="0"/>
              <w:adjustRightInd w:val="0"/>
              <w:rPr>
                <w:sz w:val="22"/>
                <w:szCs w:val="22"/>
                <w:lang w:eastAsia="ja-JP"/>
              </w:rPr>
            </w:pPr>
            <w:r>
              <w:rPr>
                <w:sz w:val="22"/>
                <w:szCs w:val="22"/>
                <w:lang w:eastAsia="ja-JP"/>
              </w:rPr>
              <w:t>Number of responses per respondent</w:t>
            </w:r>
          </w:p>
        </w:tc>
        <w:tc>
          <w:tcPr>
            <w:tcW w:w="1620" w:type="dxa"/>
          </w:tcPr>
          <w:p w:rsidR="00C54E97" w:rsidP="00C54E97" w14:paraId="090C3C1C" w14:textId="77777777">
            <w:pPr>
              <w:keepNext/>
              <w:autoSpaceDE w:val="0"/>
              <w:autoSpaceDN w:val="0"/>
              <w:adjustRightInd w:val="0"/>
              <w:rPr>
                <w:sz w:val="22"/>
                <w:szCs w:val="22"/>
                <w:lang w:eastAsia="ja-JP"/>
              </w:rPr>
            </w:pPr>
            <w:r w:rsidRPr="004826E9">
              <w:rPr>
                <w:bCs/>
                <w:sz w:val="22"/>
                <w:szCs w:val="22"/>
                <w:lang w:eastAsia="ja-JP"/>
              </w:rPr>
              <w:t>Total Annual Responses</w:t>
            </w:r>
          </w:p>
        </w:tc>
        <w:tc>
          <w:tcPr>
            <w:tcW w:w="1620" w:type="dxa"/>
          </w:tcPr>
          <w:p w:rsidR="00C54E97" w:rsidP="00C54E97" w14:paraId="356ABF96" w14:textId="77777777">
            <w:pPr>
              <w:keepNext/>
              <w:autoSpaceDE w:val="0"/>
              <w:autoSpaceDN w:val="0"/>
              <w:adjustRightInd w:val="0"/>
              <w:rPr>
                <w:sz w:val="22"/>
                <w:szCs w:val="22"/>
                <w:lang w:eastAsia="ja-JP"/>
              </w:rPr>
            </w:pPr>
            <w:r>
              <w:rPr>
                <w:sz w:val="22"/>
                <w:szCs w:val="22"/>
                <w:lang w:eastAsia="ja-JP"/>
              </w:rPr>
              <w:t xml:space="preserve">Average burden per response </w:t>
            </w:r>
          </w:p>
        </w:tc>
        <w:tc>
          <w:tcPr>
            <w:tcW w:w="990" w:type="dxa"/>
          </w:tcPr>
          <w:p w:rsidR="00C54E97" w:rsidP="00C54E97" w14:paraId="5B44A6EC" w14:textId="77777777">
            <w:pPr>
              <w:keepNext/>
              <w:autoSpaceDE w:val="0"/>
              <w:autoSpaceDN w:val="0"/>
              <w:adjustRightInd w:val="0"/>
              <w:rPr>
                <w:sz w:val="22"/>
                <w:szCs w:val="22"/>
                <w:lang w:eastAsia="ja-JP"/>
              </w:rPr>
            </w:pPr>
            <w:r>
              <w:rPr>
                <w:sz w:val="22"/>
                <w:szCs w:val="22"/>
                <w:lang w:eastAsia="ja-JP"/>
              </w:rPr>
              <w:t>Total Hours</w:t>
            </w:r>
          </w:p>
        </w:tc>
      </w:tr>
      <w:tr w14:paraId="30826134" w14:textId="77777777" w:rsidTr="00C54E97">
        <w:tblPrEx>
          <w:tblW w:w="11155" w:type="dxa"/>
          <w:tblLayout w:type="fixed"/>
          <w:tblLook w:val="04A0"/>
        </w:tblPrEx>
        <w:tc>
          <w:tcPr>
            <w:tcW w:w="1615" w:type="dxa"/>
          </w:tcPr>
          <w:p w:rsidR="00C54E97" w:rsidP="00C54E97" w14:paraId="5550A98E" w14:textId="77777777">
            <w:pPr>
              <w:autoSpaceDE w:val="0"/>
              <w:autoSpaceDN w:val="0"/>
              <w:adjustRightInd w:val="0"/>
              <w:rPr>
                <w:sz w:val="22"/>
                <w:szCs w:val="22"/>
                <w:lang w:eastAsia="ja-JP"/>
              </w:rPr>
            </w:pPr>
            <w:r>
              <w:rPr>
                <w:sz w:val="22"/>
                <w:szCs w:val="22"/>
                <w:lang w:eastAsia="ja-JP"/>
              </w:rPr>
              <w:t>State administrators</w:t>
            </w:r>
          </w:p>
        </w:tc>
        <w:tc>
          <w:tcPr>
            <w:tcW w:w="2610" w:type="dxa"/>
          </w:tcPr>
          <w:p w:rsidR="00C54E97" w:rsidRPr="00074EF6" w:rsidP="00C54E97" w14:paraId="12859C02" w14:textId="77777777">
            <w:pPr>
              <w:autoSpaceDE w:val="0"/>
              <w:autoSpaceDN w:val="0"/>
              <w:adjustRightInd w:val="0"/>
              <w:rPr>
                <w:sz w:val="22"/>
                <w:szCs w:val="22"/>
                <w:lang w:eastAsia="ja-JP"/>
              </w:rPr>
            </w:pPr>
            <w:r w:rsidRPr="00074EF6">
              <w:rPr>
                <w:sz w:val="22"/>
                <w:szCs w:val="22"/>
                <w:lang w:eastAsia="ja-JP"/>
              </w:rPr>
              <w:t xml:space="preserve">State-level Recruitment Script </w:t>
            </w:r>
          </w:p>
        </w:tc>
        <w:tc>
          <w:tcPr>
            <w:tcW w:w="1350" w:type="dxa"/>
            <w:vAlign w:val="bottom"/>
          </w:tcPr>
          <w:p w:rsidR="00C54E97" w:rsidP="00C54E97" w14:paraId="2ABEB006" w14:textId="77777777">
            <w:pPr>
              <w:autoSpaceDE w:val="0"/>
              <w:autoSpaceDN w:val="0"/>
              <w:adjustRightInd w:val="0"/>
              <w:jc w:val="right"/>
              <w:rPr>
                <w:sz w:val="22"/>
                <w:szCs w:val="22"/>
                <w:lang w:eastAsia="ja-JP"/>
              </w:rPr>
            </w:pPr>
            <w:r>
              <w:rPr>
                <w:sz w:val="22"/>
                <w:szCs w:val="22"/>
                <w:lang w:eastAsia="ja-JP"/>
              </w:rPr>
              <w:t>42</w:t>
            </w:r>
          </w:p>
        </w:tc>
        <w:tc>
          <w:tcPr>
            <w:tcW w:w="1350" w:type="dxa"/>
            <w:vAlign w:val="bottom"/>
          </w:tcPr>
          <w:p w:rsidR="00C54E97" w:rsidP="00C54E97" w14:paraId="7073B1F7" w14:textId="77777777">
            <w:pPr>
              <w:autoSpaceDE w:val="0"/>
              <w:autoSpaceDN w:val="0"/>
              <w:adjustRightInd w:val="0"/>
              <w:jc w:val="right"/>
              <w:rPr>
                <w:sz w:val="22"/>
                <w:szCs w:val="22"/>
                <w:lang w:eastAsia="ja-JP"/>
              </w:rPr>
            </w:pPr>
            <w:r>
              <w:rPr>
                <w:sz w:val="22"/>
                <w:szCs w:val="22"/>
                <w:lang w:eastAsia="ja-JP"/>
              </w:rPr>
              <w:t>1</w:t>
            </w:r>
          </w:p>
        </w:tc>
        <w:tc>
          <w:tcPr>
            <w:tcW w:w="1620" w:type="dxa"/>
          </w:tcPr>
          <w:p w:rsidR="00C54E97" w:rsidP="00C54E97" w14:paraId="217F3E21" w14:textId="77777777">
            <w:pPr>
              <w:autoSpaceDE w:val="0"/>
              <w:autoSpaceDN w:val="0"/>
              <w:adjustRightInd w:val="0"/>
              <w:jc w:val="right"/>
              <w:rPr>
                <w:sz w:val="22"/>
                <w:szCs w:val="22"/>
                <w:lang w:eastAsia="ja-JP"/>
              </w:rPr>
            </w:pPr>
            <w:r>
              <w:rPr>
                <w:sz w:val="22"/>
                <w:szCs w:val="22"/>
                <w:lang w:eastAsia="ja-JP"/>
              </w:rPr>
              <w:t>42</w:t>
            </w:r>
          </w:p>
        </w:tc>
        <w:tc>
          <w:tcPr>
            <w:tcW w:w="1620" w:type="dxa"/>
            <w:vAlign w:val="bottom"/>
          </w:tcPr>
          <w:p w:rsidR="00C54E97" w:rsidP="00C54E97" w14:paraId="297F32F5" w14:textId="77777777">
            <w:pPr>
              <w:autoSpaceDE w:val="0"/>
              <w:autoSpaceDN w:val="0"/>
              <w:adjustRightInd w:val="0"/>
              <w:jc w:val="right"/>
              <w:rPr>
                <w:sz w:val="22"/>
                <w:szCs w:val="22"/>
                <w:lang w:eastAsia="ja-JP"/>
              </w:rPr>
            </w:pPr>
            <w:r>
              <w:rPr>
                <w:sz w:val="22"/>
                <w:szCs w:val="22"/>
                <w:lang w:eastAsia="ja-JP"/>
              </w:rPr>
              <w:t xml:space="preserve">0.5 </w:t>
            </w:r>
          </w:p>
          <w:p w:rsidR="00C54E97" w:rsidP="00C54E97" w14:paraId="0FD2B8F9" w14:textId="77777777">
            <w:pPr>
              <w:autoSpaceDE w:val="0"/>
              <w:autoSpaceDN w:val="0"/>
              <w:adjustRightInd w:val="0"/>
              <w:jc w:val="right"/>
              <w:rPr>
                <w:sz w:val="22"/>
                <w:szCs w:val="22"/>
                <w:lang w:eastAsia="ja-JP"/>
              </w:rPr>
            </w:pPr>
            <w:r>
              <w:rPr>
                <w:sz w:val="22"/>
                <w:szCs w:val="22"/>
                <w:lang w:eastAsia="ja-JP"/>
              </w:rPr>
              <w:t>(30 min)</w:t>
            </w:r>
          </w:p>
        </w:tc>
        <w:tc>
          <w:tcPr>
            <w:tcW w:w="990" w:type="dxa"/>
            <w:vAlign w:val="bottom"/>
          </w:tcPr>
          <w:p w:rsidR="00C54E97" w:rsidP="00C54E97" w14:paraId="220EE560" w14:textId="77777777">
            <w:pPr>
              <w:autoSpaceDE w:val="0"/>
              <w:autoSpaceDN w:val="0"/>
              <w:adjustRightInd w:val="0"/>
              <w:jc w:val="right"/>
              <w:rPr>
                <w:sz w:val="22"/>
                <w:szCs w:val="22"/>
                <w:lang w:eastAsia="ja-JP"/>
              </w:rPr>
            </w:pPr>
            <w:r>
              <w:rPr>
                <w:sz w:val="22"/>
                <w:szCs w:val="22"/>
                <w:lang w:eastAsia="ja-JP"/>
              </w:rPr>
              <w:t>21</w:t>
            </w:r>
          </w:p>
        </w:tc>
      </w:tr>
      <w:tr w14:paraId="29B00B83" w14:textId="77777777" w:rsidTr="00C54E97">
        <w:tblPrEx>
          <w:tblW w:w="11155" w:type="dxa"/>
          <w:tblLayout w:type="fixed"/>
          <w:tblLook w:val="04A0"/>
        </w:tblPrEx>
        <w:tc>
          <w:tcPr>
            <w:tcW w:w="1615" w:type="dxa"/>
          </w:tcPr>
          <w:p w:rsidR="00C54E97" w:rsidP="00C54E97" w14:paraId="14D7CCC1" w14:textId="77777777">
            <w:pPr>
              <w:autoSpaceDE w:val="0"/>
              <w:autoSpaceDN w:val="0"/>
              <w:adjustRightInd w:val="0"/>
              <w:rPr>
                <w:sz w:val="22"/>
                <w:szCs w:val="22"/>
                <w:lang w:eastAsia="ja-JP"/>
              </w:rPr>
            </w:pPr>
            <w:r>
              <w:rPr>
                <w:sz w:val="22"/>
                <w:szCs w:val="22"/>
                <w:lang w:eastAsia="ja-JP"/>
              </w:rPr>
              <w:t>District administrators</w:t>
            </w:r>
          </w:p>
        </w:tc>
        <w:tc>
          <w:tcPr>
            <w:tcW w:w="2610" w:type="dxa"/>
          </w:tcPr>
          <w:p w:rsidR="00C54E97" w:rsidRPr="00074EF6" w:rsidP="00C54E97" w14:paraId="35D6B8D1" w14:textId="77777777">
            <w:pPr>
              <w:autoSpaceDE w:val="0"/>
              <w:autoSpaceDN w:val="0"/>
              <w:adjustRightInd w:val="0"/>
              <w:rPr>
                <w:sz w:val="22"/>
                <w:szCs w:val="22"/>
                <w:lang w:eastAsia="ja-JP"/>
              </w:rPr>
            </w:pPr>
            <w:r w:rsidRPr="00074EF6">
              <w:rPr>
                <w:sz w:val="22"/>
                <w:szCs w:val="22"/>
                <w:lang w:eastAsia="ja-JP"/>
              </w:rPr>
              <w:t xml:space="preserve">District-level Recruitment Script </w:t>
            </w:r>
          </w:p>
        </w:tc>
        <w:tc>
          <w:tcPr>
            <w:tcW w:w="1350" w:type="dxa"/>
            <w:vAlign w:val="bottom"/>
          </w:tcPr>
          <w:p w:rsidR="00C54E97" w:rsidP="00C54E97" w14:paraId="097D0651" w14:textId="77777777">
            <w:pPr>
              <w:autoSpaceDE w:val="0"/>
              <w:autoSpaceDN w:val="0"/>
              <w:adjustRightInd w:val="0"/>
              <w:jc w:val="right"/>
              <w:rPr>
                <w:sz w:val="22"/>
                <w:szCs w:val="22"/>
                <w:lang w:eastAsia="ja-JP"/>
              </w:rPr>
            </w:pPr>
            <w:r>
              <w:rPr>
                <w:sz w:val="22"/>
                <w:szCs w:val="22"/>
                <w:lang w:eastAsia="ja-JP"/>
              </w:rPr>
              <w:t>384</w:t>
            </w:r>
          </w:p>
        </w:tc>
        <w:tc>
          <w:tcPr>
            <w:tcW w:w="1350" w:type="dxa"/>
            <w:vAlign w:val="bottom"/>
          </w:tcPr>
          <w:p w:rsidR="00C54E97" w:rsidP="00C54E97" w14:paraId="1C68037B" w14:textId="77777777">
            <w:pPr>
              <w:autoSpaceDE w:val="0"/>
              <w:autoSpaceDN w:val="0"/>
              <w:adjustRightInd w:val="0"/>
              <w:jc w:val="right"/>
              <w:rPr>
                <w:sz w:val="22"/>
                <w:szCs w:val="22"/>
                <w:lang w:eastAsia="ja-JP"/>
              </w:rPr>
            </w:pPr>
            <w:r>
              <w:rPr>
                <w:sz w:val="22"/>
                <w:szCs w:val="22"/>
                <w:lang w:eastAsia="ja-JP"/>
              </w:rPr>
              <w:t>1</w:t>
            </w:r>
          </w:p>
        </w:tc>
        <w:tc>
          <w:tcPr>
            <w:tcW w:w="1620" w:type="dxa"/>
          </w:tcPr>
          <w:p w:rsidR="00C54E97" w:rsidP="00C54E97" w14:paraId="5D5A460C" w14:textId="77777777">
            <w:pPr>
              <w:autoSpaceDE w:val="0"/>
              <w:autoSpaceDN w:val="0"/>
              <w:adjustRightInd w:val="0"/>
              <w:jc w:val="right"/>
              <w:rPr>
                <w:sz w:val="22"/>
                <w:szCs w:val="22"/>
                <w:lang w:eastAsia="ja-JP"/>
              </w:rPr>
            </w:pPr>
            <w:r>
              <w:rPr>
                <w:sz w:val="22"/>
                <w:szCs w:val="22"/>
                <w:lang w:eastAsia="ja-JP"/>
              </w:rPr>
              <w:t>384</w:t>
            </w:r>
          </w:p>
        </w:tc>
        <w:tc>
          <w:tcPr>
            <w:tcW w:w="1620" w:type="dxa"/>
            <w:vAlign w:val="bottom"/>
          </w:tcPr>
          <w:p w:rsidR="00C54E97" w:rsidP="00C54E97" w14:paraId="6B3E1552" w14:textId="77777777">
            <w:pPr>
              <w:autoSpaceDE w:val="0"/>
              <w:autoSpaceDN w:val="0"/>
              <w:adjustRightInd w:val="0"/>
              <w:jc w:val="right"/>
              <w:rPr>
                <w:sz w:val="22"/>
                <w:szCs w:val="22"/>
                <w:lang w:eastAsia="ja-JP"/>
              </w:rPr>
            </w:pPr>
            <w:r>
              <w:rPr>
                <w:sz w:val="22"/>
                <w:szCs w:val="22"/>
                <w:lang w:eastAsia="ja-JP"/>
              </w:rPr>
              <w:t>0.5</w:t>
            </w:r>
          </w:p>
          <w:p w:rsidR="00C54E97" w:rsidP="00C54E97" w14:paraId="47C4D842" w14:textId="77777777">
            <w:pPr>
              <w:autoSpaceDE w:val="0"/>
              <w:autoSpaceDN w:val="0"/>
              <w:adjustRightInd w:val="0"/>
              <w:jc w:val="right"/>
              <w:rPr>
                <w:sz w:val="22"/>
                <w:szCs w:val="22"/>
                <w:lang w:eastAsia="ja-JP"/>
              </w:rPr>
            </w:pPr>
            <w:r>
              <w:rPr>
                <w:sz w:val="22"/>
                <w:szCs w:val="22"/>
                <w:lang w:eastAsia="ja-JP"/>
              </w:rPr>
              <w:t>(30 min)</w:t>
            </w:r>
          </w:p>
        </w:tc>
        <w:tc>
          <w:tcPr>
            <w:tcW w:w="990" w:type="dxa"/>
            <w:vAlign w:val="bottom"/>
          </w:tcPr>
          <w:p w:rsidR="00C54E97" w:rsidP="00C54E97" w14:paraId="65A9445A" w14:textId="77777777">
            <w:pPr>
              <w:autoSpaceDE w:val="0"/>
              <w:autoSpaceDN w:val="0"/>
              <w:adjustRightInd w:val="0"/>
              <w:jc w:val="right"/>
              <w:rPr>
                <w:sz w:val="22"/>
                <w:szCs w:val="22"/>
                <w:lang w:eastAsia="ja-JP"/>
              </w:rPr>
            </w:pPr>
            <w:r>
              <w:rPr>
                <w:sz w:val="22"/>
                <w:szCs w:val="22"/>
                <w:lang w:eastAsia="ja-JP"/>
              </w:rPr>
              <w:t>192</w:t>
            </w:r>
          </w:p>
        </w:tc>
      </w:tr>
      <w:tr w14:paraId="3D2133C0" w14:textId="77777777" w:rsidTr="00C54E97">
        <w:tblPrEx>
          <w:tblW w:w="11155" w:type="dxa"/>
          <w:tblLayout w:type="fixed"/>
          <w:tblLook w:val="04A0"/>
        </w:tblPrEx>
        <w:tc>
          <w:tcPr>
            <w:tcW w:w="1615" w:type="dxa"/>
          </w:tcPr>
          <w:p w:rsidR="00C54E97" w:rsidP="00C54E97" w14:paraId="61B659C2" w14:textId="77777777">
            <w:pPr>
              <w:autoSpaceDE w:val="0"/>
              <w:autoSpaceDN w:val="0"/>
              <w:adjustRightInd w:val="0"/>
              <w:rPr>
                <w:sz w:val="22"/>
                <w:szCs w:val="22"/>
                <w:lang w:eastAsia="ja-JP"/>
              </w:rPr>
            </w:pPr>
            <w:r>
              <w:rPr>
                <w:sz w:val="22"/>
                <w:szCs w:val="22"/>
                <w:lang w:eastAsia="ja-JP"/>
              </w:rPr>
              <w:t>School administrators</w:t>
            </w:r>
          </w:p>
        </w:tc>
        <w:tc>
          <w:tcPr>
            <w:tcW w:w="2610" w:type="dxa"/>
          </w:tcPr>
          <w:p w:rsidR="00C54E97" w:rsidRPr="00074EF6" w:rsidP="00C54E97" w14:paraId="2B9E5805" w14:textId="77777777">
            <w:pPr>
              <w:autoSpaceDE w:val="0"/>
              <w:autoSpaceDN w:val="0"/>
              <w:adjustRightInd w:val="0"/>
              <w:rPr>
                <w:sz w:val="22"/>
                <w:szCs w:val="22"/>
                <w:lang w:eastAsia="ja-JP"/>
              </w:rPr>
            </w:pPr>
            <w:r w:rsidRPr="00074EF6">
              <w:rPr>
                <w:sz w:val="22"/>
                <w:szCs w:val="22"/>
                <w:lang w:eastAsia="ja-JP"/>
              </w:rPr>
              <w:t xml:space="preserve">School-level Recruitment Script </w:t>
            </w:r>
          </w:p>
        </w:tc>
        <w:tc>
          <w:tcPr>
            <w:tcW w:w="1350" w:type="dxa"/>
            <w:vAlign w:val="bottom"/>
          </w:tcPr>
          <w:p w:rsidR="00C54E97" w:rsidP="00C54E97" w14:paraId="74A38AE9" w14:textId="77777777">
            <w:pPr>
              <w:autoSpaceDE w:val="0"/>
              <w:autoSpaceDN w:val="0"/>
              <w:adjustRightInd w:val="0"/>
              <w:jc w:val="right"/>
              <w:rPr>
                <w:sz w:val="22"/>
                <w:szCs w:val="22"/>
                <w:lang w:eastAsia="ja-JP"/>
              </w:rPr>
            </w:pPr>
            <w:r>
              <w:rPr>
                <w:sz w:val="22"/>
                <w:szCs w:val="22"/>
                <w:lang w:eastAsia="ja-JP"/>
              </w:rPr>
              <w:t>546</w:t>
            </w:r>
          </w:p>
        </w:tc>
        <w:tc>
          <w:tcPr>
            <w:tcW w:w="1350" w:type="dxa"/>
            <w:vAlign w:val="bottom"/>
          </w:tcPr>
          <w:p w:rsidR="00C54E97" w:rsidP="00C54E97" w14:paraId="4114F758" w14:textId="77777777">
            <w:pPr>
              <w:autoSpaceDE w:val="0"/>
              <w:autoSpaceDN w:val="0"/>
              <w:adjustRightInd w:val="0"/>
              <w:jc w:val="right"/>
              <w:rPr>
                <w:sz w:val="22"/>
                <w:szCs w:val="22"/>
                <w:lang w:eastAsia="ja-JP"/>
              </w:rPr>
            </w:pPr>
            <w:r>
              <w:rPr>
                <w:sz w:val="22"/>
                <w:szCs w:val="22"/>
                <w:lang w:eastAsia="ja-JP"/>
              </w:rPr>
              <w:t>1</w:t>
            </w:r>
          </w:p>
        </w:tc>
        <w:tc>
          <w:tcPr>
            <w:tcW w:w="1620" w:type="dxa"/>
          </w:tcPr>
          <w:p w:rsidR="00C54E97" w:rsidP="00C54E97" w14:paraId="5C61B79E" w14:textId="77777777">
            <w:pPr>
              <w:autoSpaceDE w:val="0"/>
              <w:autoSpaceDN w:val="0"/>
              <w:adjustRightInd w:val="0"/>
              <w:jc w:val="right"/>
              <w:rPr>
                <w:sz w:val="22"/>
                <w:szCs w:val="22"/>
                <w:lang w:eastAsia="ja-JP"/>
              </w:rPr>
            </w:pPr>
            <w:r>
              <w:rPr>
                <w:sz w:val="22"/>
                <w:szCs w:val="22"/>
                <w:lang w:eastAsia="ja-JP"/>
              </w:rPr>
              <w:t>546</w:t>
            </w:r>
          </w:p>
        </w:tc>
        <w:tc>
          <w:tcPr>
            <w:tcW w:w="1620" w:type="dxa"/>
            <w:vAlign w:val="bottom"/>
          </w:tcPr>
          <w:p w:rsidR="00C54E97" w:rsidP="00C54E97" w14:paraId="2BCE21A2" w14:textId="77777777">
            <w:pPr>
              <w:autoSpaceDE w:val="0"/>
              <w:autoSpaceDN w:val="0"/>
              <w:adjustRightInd w:val="0"/>
              <w:jc w:val="right"/>
              <w:rPr>
                <w:sz w:val="22"/>
                <w:szCs w:val="22"/>
                <w:lang w:eastAsia="ja-JP"/>
              </w:rPr>
            </w:pPr>
            <w:r>
              <w:rPr>
                <w:sz w:val="22"/>
                <w:szCs w:val="22"/>
                <w:lang w:eastAsia="ja-JP"/>
              </w:rPr>
              <w:t xml:space="preserve">0.5 </w:t>
            </w:r>
          </w:p>
          <w:p w:rsidR="00C54E97" w:rsidP="00C54E97" w14:paraId="1DED19A6" w14:textId="77777777">
            <w:pPr>
              <w:autoSpaceDE w:val="0"/>
              <w:autoSpaceDN w:val="0"/>
              <w:adjustRightInd w:val="0"/>
              <w:jc w:val="right"/>
              <w:rPr>
                <w:sz w:val="22"/>
                <w:szCs w:val="22"/>
                <w:lang w:eastAsia="ja-JP"/>
              </w:rPr>
            </w:pPr>
            <w:r>
              <w:rPr>
                <w:sz w:val="22"/>
                <w:szCs w:val="22"/>
                <w:lang w:eastAsia="ja-JP"/>
              </w:rPr>
              <w:t>(30 min)</w:t>
            </w:r>
          </w:p>
        </w:tc>
        <w:tc>
          <w:tcPr>
            <w:tcW w:w="990" w:type="dxa"/>
            <w:vAlign w:val="bottom"/>
          </w:tcPr>
          <w:p w:rsidR="00C54E97" w:rsidP="00C54E97" w14:paraId="2BFDA7F5" w14:textId="77777777">
            <w:pPr>
              <w:autoSpaceDE w:val="0"/>
              <w:autoSpaceDN w:val="0"/>
              <w:adjustRightInd w:val="0"/>
              <w:jc w:val="right"/>
              <w:rPr>
                <w:sz w:val="22"/>
                <w:szCs w:val="22"/>
                <w:lang w:eastAsia="ja-JP"/>
              </w:rPr>
            </w:pPr>
            <w:r>
              <w:rPr>
                <w:sz w:val="22"/>
                <w:szCs w:val="22"/>
                <w:lang w:eastAsia="ja-JP"/>
              </w:rPr>
              <w:t>273</w:t>
            </w:r>
          </w:p>
        </w:tc>
      </w:tr>
      <w:tr w14:paraId="2E6E89E0" w14:textId="77777777" w:rsidTr="00C54E97">
        <w:tblPrEx>
          <w:tblW w:w="11155" w:type="dxa"/>
          <w:tblLayout w:type="fixed"/>
          <w:tblLook w:val="04A0"/>
        </w:tblPrEx>
        <w:tc>
          <w:tcPr>
            <w:tcW w:w="1615" w:type="dxa"/>
            <w:tcBorders>
              <w:bottom w:val="single" w:sz="4" w:space="0" w:color="auto"/>
            </w:tcBorders>
          </w:tcPr>
          <w:p w:rsidR="00C54E97" w:rsidRPr="00A30B52" w:rsidP="00C54E97" w14:paraId="3DCB2D1C" w14:textId="77777777">
            <w:pPr>
              <w:autoSpaceDE w:val="0"/>
              <w:autoSpaceDN w:val="0"/>
              <w:adjustRightInd w:val="0"/>
              <w:rPr>
                <w:sz w:val="22"/>
                <w:szCs w:val="22"/>
                <w:lang w:eastAsia="ja-JP"/>
              </w:rPr>
            </w:pPr>
            <w:r w:rsidRPr="00A30B52">
              <w:rPr>
                <w:sz w:val="22"/>
                <w:szCs w:val="22"/>
                <w:lang w:eastAsia="ja-JP"/>
              </w:rPr>
              <w:t>Teachers</w:t>
            </w:r>
          </w:p>
        </w:tc>
        <w:tc>
          <w:tcPr>
            <w:tcW w:w="2610" w:type="dxa"/>
          </w:tcPr>
          <w:p w:rsidR="00C54E97" w:rsidRPr="00074EF6" w:rsidP="00C54E97" w14:paraId="368E5547" w14:textId="77777777">
            <w:pPr>
              <w:autoSpaceDE w:val="0"/>
              <w:autoSpaceDN w:val="0"/>
              <w:adjustRightInd w:val="0"/>
              <w:rPr>
                <w:sz w:val="22"/>
                <w:szCs w:val="22"/>
                <w:lang w:eastAsia="ja-JP"/>
              </w:rPr>
            </w:pPr>
            <w:r w:rsidRPr="00074EF6">
              <w:rPr>
                <w:sz w:val="22"/>
                <w:szCs w:val="22"/>
                <w:lang w:eastAsia="ja-JP"/>
              </w:rPr>
              <w:t xml:space="preserve">Data Collection </w:t>
            </w:r>
            <w:r w:rsidRPr="00744EDF">
              <w:rPr>
                <w:sz w:val="22"/>
                <w:szCs w:val="22"/>
                <w:lang w:eastAsia="ja-JP"/>
              </w:rPr>
              <w:t>Administration</w:t>
            </w:r>
            <w:r w:rsidRPr="00074EF6">
              <w:rPr>
                <w:sz w:val="22"/>
                <w:szCs w:val="22"/>
                <w:lang w:eastAsia="ja-JP"/>
              </w:rPr>
              <w:t xml:space="preserve"> Script</w:t>
            </w:r>
          </w:p>
        </w:tc>
        <w:tc>
          <w:tcPr>
            <w:tcW w:w="1350" w:type="dxa"/>
            <w:vAlign w:val="bottom"/>
          </w:tcPr>
          <w:p w:rsidR="00C54E97" w:rsidRPr="00A30B52" w:rsidP="00C54E97" w14:paraId="0D6A50EC" w14:textId="77777777">
            <w:pPr>
              <w:autoSpaceDE w:val="0"/>
              <w:autoSpaceDN w:val="0"/>
              <w:adjustRightInd w:val="0"/>
              <w:jc w:val="right"/>
              <w:rPr>
                <w:sz w:val="22"/>
                <w:szCs w:val="22"/>
                <w:lang w:eastAsia="ja-JP"/>
              </w:rPr>
            </w:pPr>
            <w:r>
              <w:rPr>
                <w:sz w:val="22"/>
                <w:szCs w:val="22"/>
                <w:lang w:eastAsia="ja-JP"/>
              </w:rPr>
              <w:t>1,365</w:t>
            </w:r>
          </w:p>
        </w:tc>
        <w:tc>
          <w:tcPr>
            <w:tcW w:w="1350" w:type="dxa"/>
            <w:vAlign w:val="bottom"/>
          </w:tcPr>
          <w:p w:rsidR="00C54E97" w:rsidRPr="00A30B52" w:rsidP="00C54E97" w14:paraId="42AF3631" w14:textId="77777777">
            <w:pPr>
              <w:autoSpaceDE w:val="0"/>
              <w:autoSpaceDN w:val="0"/>
              <w:adjustRightInd w:val="0"/>
              <w:jc w:val="right"/>
              <w:rPr>
                <w:sz w:val="22"/>
                <w:szCs w:val="22"/>
                <w:lang w:eastAsia="ja-JP"/>
              </w:rPr>
            </w:pPr>
            <w:r w:rsidRPr="00917EAC">
              <w:rPr>
                <w:sz w:val="22"/>
                <w:szCs w:val="22"/>
                <w:lang w:eastAsia="ja-JP"/>
              </w:rPr>
              <w:t>1</w:t>
            </w:r>
          </w:p>
        </w:tc>
        <w:tc>
          <w:tcPr>
            <w:tcW w:w="1620" w:type="dxa"/>
          </w:tcPr>
          <w:p w:rsidR="00C54E97" w:rsidP="00C54E97" w14:paraId="56BEC214" w14:textId="77777777">
            <w:pPr>
              <w:autoSpaceDE w:val="0"/>
              <w:autoSpaceDN w:val="0"/>
              <w:adjustRightInd w:val="0"/>
              <w:jc w:val="right"/>
              <w:rPr>
                <w:sz w:val="22"/>
                <w:szCs w:val="22"/>
                <w:lang w:eastAsia="ja-JP"/>
              </w:rPr>
            </w:pPr>
            <w:r>
              <w:rPr>
                <w:sz w:val="22"/>
                <w:szCs w:val="22"/>
                <w:lang w:eastAsia="ja-JP"/>
              </w:rPr>
              <w:t>1,365</w:t>
            </w:r>
          </w:p>
        </w:tc>
        <w:tc>
          <w:tcPr>
            <w:tcW w:w="1620" w:type="dxa"/>
            <w:vAlign w:val="bottom"/>
          </w:tcPr>
          <w:p w:rsidR="00C54E97" w:rsidP="00C54E97" w14:paraId="6F284FA8" w14:textId="77777777">
            <w:pPr>
              <w:autoSpaceDE w:val="0"/>
              <w:autoSpaceDN w:val="0"/>
              <w:adjustRightInd w:val="0"/>
              <w:jc w:val="right"/>
              <w:rPr>
                <w:sz w:val="22"/>
                <w:szCs w:val="22"/>
                <w:lang w:eastAsia="ja-JP"/>
              </w:rPr>
            </w:pPr>
            <w:r>
              <w:rPr>
                <w:sz w:val="22"/>
                <w:szCs w:val="22"/>
                <w:lang w:eastAsia="ja-JP"/>
              </w:rPr>
              <w:t xml:space="preserve">0.25 </w:t>
            </w:r>
          </w:p>
          <w:p w:rsidR="00C54E97" w:rsidRPr="00A30B52" w:rsidP="00C54E97" w14:paraId="7884CA6D" w14:textId="77777777">
            <w:pPr>
              <w:autoSpaceDE w:val="0"/>
              <w:autoSpaceDN w:val="0"/>
              <w:adjustRightInd w:val="0"/>
              <w:jc w:val="right"/>
              <w:rPr>
                <w:sz w:val="22"/>
                <w:szCs w:val="22"/>
                <w:lang w:eastAsia="ja-JP"/>
              </w:rPr>
            </w:pPr>
            <w:r>
              <w:rPr>
                <w:sz w:val="22"/>
                <w:szCs w:val="22"/>
                <w:lang w:eastAsia="ja-JP"/>
              </w:rPr>
              <w:t>(15 min)</w:t>
            </w:r>
          </w:p>
        </w:tc>
        <w:tc>
          <w:tcPr>
            <w:tcW w:w="990" w:type="dxa"/>
            <w:vAlign w:val="bottom"/>
          </w:tcPr>
          <w:p w:rsidR="00C54E97" w:rsidRPr="00A30B52" w:rsidP="00C54E97" w14:paraId="1956B51B" w14:textId="77777777">
            <w:pPr>
              <w:autoSpaceDE w:val="0"/>
              <w:autoSpaceDN w:val="0"/>
              <w:adjustRightInd w:val="0"/>
              <w:jc w:val="right"/>
              <w:rPr>
                <w:sz w:val="22"/>
                <w:szCs w:val="22"/>
                <w:lang w:eastAsia="ja-JP"/>
              </w:rPr>
            </w:pPr>
            <w:r>
              <w:rPr>
                <w:sz w:val="22"/>
                <w:szCs w:val="22"/>
                <w:lang w:eastAsia="ja-JP"/>
              </w:rPr>
              <w:t>341</w:t>
            </w:r>
          </w:p>
        </w:tc>
      </w:tr>
      <w:tr w14:paraId="4D4DF710" w14:textId="77777777" w:rsidTr="00C54E97">
        <w:tblPrEx>
          <w:tblW w:w="11155" w:type="dxa"/>
          <w:tblLayout w:type="fixed"/>
          <w:tblLook w:val="04A0"/>
        </w:tblPrEx>
        <w:tc>
          <w:tcPr>
            <w:tcW w:w="1615" w:type="dxa"/>
            <w:tcBorders>
              <w:bottom w:val="nil"/>
            </w:tcBorders>
          </w:tcPr>
          <w:p w:rsidR="00C54E97" w:rsidP="00C54E97" w14:paraId="61AC31A3" w14:textId="77777777">
            <w:pPr>
              <w:autoSpaceDE w:val="0"/>
              <w:autoSpaceDN w:val="0"/>
              <w:adjustRightInd w:val="0"/>
              <w:rPr>
                <w:sz w:val="22"/>
                <w:szCs w:val="22"/>
                <w:lang w:eastAsia="ja-JP"/>
              </w:rPr>
            </w:pPr>
            <w:r>
              <w:rPr>
                <w:sz w:val="22"/>
                <w:szCs w:val="22"/>
                <w:lang w:eastAsia="ja-JP"/>
              </w:rPr>
              <w:t>Students</w:t>
            </w:r>
          </w:p>
        </w:tc>
        <w:tc>
          <w:tcPr>
            <w:tcW w:w="2610" w:type="dxa"/>
          </w:tcPr>
          <w:p w:rsidR="00C54E97" w:rsidP="00C54E97" w14:paraId="25F91D32" w14:textId="77777777">
            <w:pPr>
              <w:autoSpaceDE w:val="0"/>
              <w:autoSpaceDN w:val="0"/>
              <w:adjustRightInd w:val="0"/>
              <w:rPr>
                <w:sz w:val="22"/>
                <w:szCs w:val="22"/>
                <w:lang w:eastAsia="ja-JP"/>
              </w:rPr>
            </w:pPr>
            <w:r>
              <w:rPr>
                <w:sz w:val="22"/>
                <w:szCs w:val="22"/>
                <w:lang w:eastAsia="ja-JP"/>
              </w:rPr>
              <w:t>National Youth Tobacco Survey</w:t>
            </w:r>
          </w:p>
        </w:tc>
        <w:tc>
          <w:tcPr>
            <w:tcW w:w="1350" w:type="dxa"/>
            <w:vAlign w:val="bottom"/>
          </w:tcPr>
          <w:p w:rsidR="00C54E97" w:rsidP="00C54E97" w14:paraId="60E1DEFA" w14:textId="77777777">
            <w:pPr>
              <w:autoSpaceDE w:val="0"/>
              <w:autoSpaceDN w:val="0"/>
              <w:adjustRightInd w:val="0"/>
              <w:jc w:val="right"/>
              <w:rPr>
                <w:sz w:val="22"/>
                <w:szCs w:val="22"/>
                <w:lang w:eastAsia="ja-JP"/>
              </w:rPr>
            </w:pPr>
            <w:r>
              <w:rPr>
                <w:sz w:val="22"/>
                <w:szCs w:val="22"/>
              </w:rPr>
              <w:t>28,704</w:t>
            </w:r>
          </w:p>
        </w:tc>
        <w:tc>
          <w:tcPr>
            <w:tcW w:w="1350" w:type="dxa"/>
            <w:vAlign w:val="bottom"/>
          </w:tcPr>
          <w:p w:rsidR="00C54E97" w:rsidP="00C54E97" w14:paraId="54341887" w14:textId="77777777">
            <w:pPr>
              <w:autoSpaceDE w:val="0"/>
              <w:autoSpaceDN w:val="0"/>
              <w:adjustRightInd w:val="0"/>
              <w:jc w:val="right"/>
              <w:rPr>
                <w:sz w:val="22"/>
                <w:szCs w:val="22"/>
                <w:lang w:eastAsia="ja-JP"/>
              </w:rPr>
            </w:pPr>
            <w:r>
              <w:rPr>
                <w:sz w:val="22"/>
                <w:szCs w:val="22"/>
                <w:lang w:eastAsia="ja-JP"/>
              </w:rPr>
              <w:t>1</w:t>
            </w:r>
          </w:p>
        </w:tc>
        <w:tc>
          <w:tcPr>
            <w:tcW w:w="1620" w:type="dxa"/>
          </w:tcPr>
          <w:p w:rsidR="00C54E97" w:rsidP="00C54E97" w14:paraId="6D9DC89C" w14:textId="77777777">
            <w:pPr>
              <w:autoSpaceDE w:val="0"/>
              <w:autoSpaceDN w:val="0"/>
              <w:adjustRightInd w:val="0"/>
              <w:jc w:val="right"/>
              <w:rPr>
                <w:sz w:val="22"/>
                <w:szCs w:val="22"/>
                <w:lang w:eastAsia="ja-JP"/>
              </w:rPr>
            </w:pPr>
            <w:r>
              <w:rPr>
                <w:sz w:val="22"/>
                <w:szCs w:val="22"/>
                <w:lang w:eastAsia="ja-JP"/>
              </w:rPr>
              <w:t>28,704</w:t>
            </w:r>
          </w:p>
        </w:tc>
        <w:tc>
          <w:tcPr>
            <w:tcW w:w="1620" w:type="dxa"/>
            <w:vAlign w:val="bottom"/>
          </w:tcPr>
          <w:p w:rsidR="00C54E97" w:rsidP="00C54E97" w14:paraId="5925F325" w14:textId="77777777">
            <w:pPr>
              <w:autoSpaceDE w:val="0"/>
              <w:autoSpaceDN w:val="0"/>
              <w:adjustRightInd w:val="0"/>
              <w:jc w:val="right"/>
              <w:rPr>
                <w:sz w:val="22"/>
                <w:szCs w:val="22"/>
                <w:lang w:eastAsia="ja-JP"/>
              </w:rPr>
            </w:pPr>
            <w:r>
              <w:rPr>
                <w:sz w:val="22"/>
                <w:szCs w:val="22"/>
                <w:lang w:eastAsia="ja-JP"/>
              </w:rPr>
              <w:t xml:space="preserve">0.75 </w:t>
            </w:r>
          </w:p>
          <w:p w:rsidR="00C54E97" w:rsidP="00C54E97" w14:paraId="1FEDB0A1" w14:textId="77777777">
            <w:pPr>
              <w:autoSpaceDE w:val="0"/>
              <w:autoSpaceDN w:val="0"/>
              <w:adjustRightInd w:val="0"/>
              <w:jc w:val="right"/>
              <w:rPr>
                <w:sz w:val="22"/>
                <w:szCs w:val="22"/>
                <w:lang w:eastAsia="ja-JP"/>
              </w:rPr>
            </w:pPr>
            <w:r>
              <w:rPr>
                <w:sz w:val="22"/>
                <w:szCs w:val="22"/>
                <w:lang w:eastAsia="ja-JP"/>
              </w:rPr>
              <w:t>(45 min)</w:t>
            </w:r>
          </w:p>
        </w:tc>
        <w:tc>
          <w:tcPr>
            <w:tcW w:w="990" w:type="dxa"/>
            <w:vAlign w:val="bottom"/>
          </w:tcPr>
          <w:p w:rsidR="00C54E97" w:rsidP="00C54E97" w14:paraId="7C9DD053" w14:textId="77777777">
            <w:pPr>
              <w:autoSpaceDE w:val="0"/>
              <w:autoSpaceDN w:val="0"/>
              <w:adjustRightInd w:val="0"/>
              <w:jc w:val="right"/>
              <w:rPr>
                <w:sz w:val="22"/>
                <w:szCs w:val="22"/>
                <w:lang w:eastAsia="ja-JP"/>
              </w:rPr>
            </w:pPr>
            <w:r>
              <w:rPr>
                <w:sz w:val="22"/>
                <w:szCs w:val="22"/>
                <w:lang w:eastAsia="ja-JP"/>
              </w:rPr>
              <w:t>21,528</w:t>
            </w:r>
          </w:p>
        </w:tc>
      </w:tr>
      <w:tr w14:paraId="027C43D5" w14:textId="77777777" w:rsidTr="00C54E97">
        <w:tblPrEx>
          <w:tblW w:w="11155" w:type="dxa"/>
          <w:tblLayout w:type="fixed"/>
          <w:tblLook w:val="04A0"/>
        </w:tblPrEx>
        <w:tc>
          <w:tcPr>
            <w:tcW w:w="1615" w:type="dxa"/>
            <w:tcBorders>
              <w:top w:val="nil"/>
              <w:bottom w:val="nil"/>
            </w:tcBorders>
          </w:tcPr>
          <w:p w:rsidR="00C54E97" w:rsidP="00C54E97" w14:paraId="430C04D8" w14:textId="77777777">
            <w:pPr>
              <w:autoSpaceDE w:val="0"/>
              <w:autoSpaceDN w:val="0"/>
              <w:adjustRightInd w:val="0"/>
              <w:rPr>
                <w:sz w:val="22"/>
                <w:szCs w:val="22"/>
                <w:lang w:eastAsia="ja-JP"/>
              </w:rPr>
            </w:pPr>
          </w:p>
        </w:tc>
        <w:tc>
          <w:tcPr>
            <w:tcW w:w="2610" w:type="dxa"/>
          </w:tcPr>
          <w:p w:rsidR="00C54E97" w:rsidP="00C54E97" w14:paraId="3F2298C0" w14:textId="77777777">
            <w:pPr>
              <w:autoSpaceDE w:val="0"/>
              <w:autoSpaceDN w:val="0"/>
              <w:adjustRightInd w:val="0"/>
              <w:rPr>
                <w:sz w:val="22"/>
                <w:szCs w:val="22"/>
                <w:lang w:eastAsia="ja-JP"/>
              </w:rPr>
            </w:pPr>
            <w:r>
              <w:rPr>
                <w:sz w:val="22"/>
                <w:szCs w:val="22"/>
                <w:lang w:eastAsia="ja-JP"/>
              </w:rPr>
              <w:t xml:space="preserve">Screening for Cognitive Interviews </w:t>
            </w:r>
          </w:p>
        </w:tc>
        <w:tc>
          <w:tcPr>
            <w:tcW w:w="1350" w:type="dxa"/>
            <w:vAlign w:val="bottom"/>
          </w:tcPr>
          <w:p w:rsidR="00C54E97" w:rsidP="00C54E97" w14:paraId="2D4AE620" w14:textId="77777777">
            <w:pPr>
              <w:autoSpaceDE w:val="0"/>
              <w:autoSpaceDN w:val="0"/>
              <w:adjustRightInd w:val="0"/>
              <w:jc w:val="right"/>
              <w:rPr>
                <w:sz w:val="22"/>
                <w:szCs w:val="22"/>
                <w:lang w:eastAsia="ja-JP"/>
              </w:rPr>
            </w:pPr>
            <w:r>
              <w:rPr>
                <w:sz w:val="22"/>
                <w:szCs w:val="22"/>
                <w:lang w:eastAsia="ja-JP"/>
              </w:rPr>
              <w:t>300</w:t>
            </w:r>
          </w:p>
        </w:tc>
        <w:tc>
          <w:tcPr>
            <w:tcW w:w="1350" w:type="dxa"/>
            <w:vAlign w:val="bottom"/>
          </w:tcPr>
          <w:p w:rsidR="00C54E97" w:rsidP="00C54E97" w14:paraId="2D6B3471" w14:textId="77777777">
            <w:pPr>
              <w:autoSpaceDE w:val="0"/>
              <w:autoSpaceDN w:val="0"/>
              <w:adjustRightInd w:val="0"/>
              <w:jc w:val="right"/>
              <w:rPr>
                <w:sz w:val="22"/>
                <w:szCs w:val="22"/>
                <w:lang w:eastAsia="ja-JP"/>
              </w:rPr>
            </w:pPr>
            <w:r>
              <w:rPr>
                <w:sz w:val="22"/>
                <w:szCs w:val="22"/>
                <w:lang w:eastAsia="ja-JP"/>
              </w:rPr>
              <w:t>1</w:t>
            </w:r>
          </w:p>
        </w:tc>
        <w:tc>
          <w:tcPr>
            <w:tcW w:w="1620" w:type="dxa"/>
          </w:tcPr>
          <w:p w:rsidR="00C54E97" w:rsidP="00C54E97" w14:paraId="04C78C3A" w14:textId="77777777">
            <w:pPr>
              <w:autoSpaceDE w:val="0"/>
              <w:autoSpaceDN w:val="0"/>
              <w:adjustRightInd w:val="0"/>
              <w:jc w:val="right"/>
              <w:rPr>
                <w:sz w:val="22"/>
                <w:szCs w:val="22"/>
                <w:lang w:eastAsia="ja-JP"/>
              </w:rPr>
            </w:pPr>
            <w:r>
              <w:rPr>
                <w:sz w:val="22"/>
                <w:szCs w:val="22"/>
                <w:lang w:eastAsia="ja-JP"/>
              </w:rPr>
              <w:t>300</w:t>
            </w:r>
          </w:p>
        </w:tc>
        <w:tc>
          <w:tcPr>
            <w:tcW w:w="1620" w:type="dxa"/>
            <w:vAlign w:val="bottom"/>
          </w:tcPr>
          <w:p w:rsidR="00C54E97" w:rsidP="00C54E97" w14:paraId="765B30E2" w14:textId="77777777">
            <w:pPr>
              <w:autoSpaceDE w:val="0"/>
              <w:autoSpaceDN w:val="0"/>
              <w:adjustRightInd w:val="0"/>
              <w:jc w:val="right"/>
              <w:rPr>
                <w:sz w:val="22"/>
                <w:szCs w:val="22"/>
                <w:lang w:eastAsia="ja-JP"/>
              </w:rPr>
            </w:pPr>
            <w:r>
              <w:rPr>
                <w:sz w:val="22"/>
                <w:szCs w:val="22"/>
                <w:lang w:eastAsia="ja-JP"/>
              </w:rPr>
              <w:t xml:space="preserve">0.17 </w:t>
            </w:r>
          </w:p>
          <w:p w:rsidR="00C54E97" w:rsidP="00C54E97" w14:paraId="236F4790" w14:textId="77777777">
            <w:pPr>
              <w:autoSpaceDE w:val="0"/>
              <w:autoSpaceDN w:val="0"/>
              <w:adjustRightInd w:val="0"/>
              <w:jc w:val="right"/>
              <w:rPr>
                <w:sz w:val="22"/>
                <w:szCs w:val="22"/>
                <w:lang w:eastAsia="ja-JP"/>
              </w:rPr>
            </w:pPr>
            <w:r>
              <w:rPr>
                <w:sz w:val="22"/>
                <w:szCs w:val="22"/>
                <w:lang w:eastAsia="ja-JP"/>
              </w:rPr>
              <w:t>(10min)</w:t>
            </w:r>
          </w:p>
        </w:tc>
        <w:tc>
          <w:tcPr>
            <w:tcW w:w="990" w:type="dxa"/>
            <w:vAlign w:val="bottom"/>
          </w:tcPr>
          <w:p w:rsidR="00C54E97" w:rsidP="00C54E97" w14:paraId="7F1923B8" w14:textId="77777777">
            <w:pPr>
              <w:autoSpaceDE w:val="0"/>
              <w:autoSpaceDN w:val="0"/>
              <w:adjustRightInd w:val="0"/>
              <w:jc w:val="right"/>
              <w:rPr>
                <w:sz w:val="22"/>
                <w:szCs w:val="22"/>
                <w:lang w:eastAsia="ja-JP"/>
              </w:rPr>
            </w:pPr>
            <w:r>
              <w:rPr>
                <w:sz w:val="22"/>
                <w:szCs w:val="22"/>
                <w:lang w:eastAsia="ja-JP"/>
              </w:rPr>
              <w:t>50</w:t>
            </w:r>
          </w:p>
        </w:tc>
      </w:tr>
      <w:tr w14:paraId="7D81AEE6" w14:textId="77777777" w:rsidTr="00C54E97">
        <w:tblPrEx>
          <w:tblW w:w="11155" w:type="dxa"/>
          <w:tblLayout w:type="fixed"/>
          <w:tblLook w:val="04A0"/>
        </w:tblPrEx>
        <w:tc>
          <w:tcPr>
            <w:tcW w:w="1615" w:type="dxa"/>
            <w:tcBorders>
              <w:top w:val="nil"/>
              <w:bottom w:val="nil"/>
            </w:tcBorders>
          </w:tcPr>
          <w:p w:rsidR="00C54E97" w:rsidP="00C54E97" w14:paraId="7442EAC3" w14:textId="77777777">
            <w:pPr>
              <w:autoSpaceDE w:val="0"/>
              <w:autoSpaceDN w:val="0"/>
              <w:adjustRightInd w:val="0"/>
              <w:rPr>
                <w:sz w:val="22"/>
                <w:szCs w:val="22"/>
                <w:lang w:eastAsia="ja-JP"/>
              </w:rPr>
            </w:pPr>
          </w:p>
        </w:tc>
        <w:tc>
          <w:tcPr>
            <w:tcW w:w="2610" w:type="dxa"/>
          </w:tcPr>
          <w:p w:rsidR="00C54E97" w:rsidP="00C54E97" w14:paraId="4635375F" w14:textId="77777777">
            <w:pPr>
              <w:autoSpaceDE w:val="0"/>
              <w:autoSpaceDN w:val="0"/>
              <w:adjustRightInd w:val="0"/>
              <w:rPr>
                <w:sz w:val="22"/>
                <w:szCs w:val="22"/>
                <w:lang w:eastAsia="ja-JP"/>
              </w:rPr>
            </w:pPr>
            <w:r>
              <w:rPr>
                <w:sz w:val="22"/>
                <w:szCs w:val="22"/>
                <w:lang w:eastAsia="ja-JP"/>
              </w:rPr>
              <w:t>Cognitive Interviews</w:t>
            </w:r>
          </w:p>
        </w:tc>
        <w:tc>
          <w:tcPr>
            <w:tcW w:w="1350" w:type="dxa"/>
            <w:vAlign w:val="bottom"/>
          </w:tcPr>
          <w:p w:rsidR="00C54E97" w:rsidP="00C54E97" w14:paraId="029A2416" w14:textId="77777777">
            <w:pPr>
              <w:autoSpaceDE w:val="0"/>
              <w:autoSpaceDN w:val="0"/>
              <w:adjustRightInd w:val="0"/>
              <w:jc w:val="right"/>
              <w:rPr>
                <w:sz w:val="22"/>
                <w:szCs w:val="22"/>
                <w:lang w:eastAsia="ja-JP"/>
              </w:rPr>
            </w:pPr>
            <w:r>
              <w:rPr>
                <w:sz w:val="22"/>
                <w:szCs w:val="22"/>
                <w:lang w:eastAsia="ja-JP"/>
              </w:rPr>
              <w:t>30</w:t>
            </w:r>
          </w:p>
        </w:tc>
        <w:tc>
          <w:tcPr>
            <w:tcW w:w="1350" w:type="dxa"/>
            <w:vAlign w:val="bottom"/>
          </w:tcPr>
          <w:p w:rsidR="00C54E97" w:rsidP="00C54E97" w14:paraId="6E671B08" w14:textId="77777777">
            <w:pPr>
              <w:autoSpaceDE w:val="0"/>
              <w:autoSpaceDN w:val="0"/>
              <w:adjustRightInd w:val="0"/>
              <w:jc w:val="right"/>
              <w:rPr>
                <w:sz w:val="22"/>
                <w:szCs w:val="22"/>
                <w:lang w:eastAsia="ja-JP"/>
              </w:rPr>
            </w:pPr>
            <w:r>
              <w:rPr>
                <w:sz w:val="22"/>
                <w:szCs w:val="22"/>
                <w:lang w:eastAsia="ja-JP"/>
              </w:rPr>
              <w:t>2</w:t>
            </w:r>
          </w:p>
        </w:tc>
        <w:tc>
          <w:tcPr>
            <w:tcW w:w="1620" w:type="dxa"/>
          </w:tcPr>
          <w:p w:rsidR="00C54E97" w:rsidP="00C54E97" w14:paraId="04850736" w14:textId="77777777">
            <w:pPr>
              <w:autoSpaceDE w:val="0"/>
              <w:autoSpaceDN w:val="0"/>
              <w:adjustRightInd w:val="0"/>
              <w:jc w:val="right"/>
              <w:rPr>
                <w:sz w:val="22"/>
                <w:szCs w:val="22"/>
                <w:lang w:eastAsia="ja-JP"/>
              </w:rPr>
            </w:pPr>
            <w:r>
              <w:rPr>
                <w:sz w:val="22"/>
                <w:szCs w:val="22"/>
                <w:lang w:eastAsia="ja-JP"/>
              </w:rPr>
              <w:t>60</w:t>
            </w:r>
          </w:p>
        </w:tc>
        <w:tc>
          <w:tcPr>
            <w:tcW w:w="1620" w:type="dxa"/>
            <w:vAlign w:val="bottom"/>
          </w:tcPr>
          <w:p w:rsidR="00C54E97" w:rsidP="00C54E97" w14:paraId="7E724C0D" w14:textId="77777777">
            <w:pPr>
              <w:autoSpaceDE w:val="0"/>
              <w:autoSpaceDN w:val="0"/>
              <w:adjustRightInd w:val="0"/>
              <w:jc w:val="right"/>
              <w:rPr>
                <w:sz w:val="22"/>
                <w:szCs w:val="22"/>
                <w:lang w:eastAsia="ja-JP"/>
              </w:rPr>
            </w:pPr>
            <w:r>
              <w:rPr>
                <w:sz w:val="22"/>
                <w:szCs w:val="22"/>
                <w:lang w:eastAsia="ja-JP"/>
              </w:rPr>
              <w:t>2</w:t>
            </w:r>
          </w:p>
          <w:p w:rsidR="00C54E97" w:rsidP="00C54E97" w14:paraId="01DC79B9" w14:textId="77777777">
            <w:pPr>
              <w:autoSpaceDE w:val="0"/>
              <w:autoSpaceDN w:val="0"/>
              <w:adjustRightInd w:val="0"/>
              <w:jc w:val="right"/>
              <w:rPr>
                <w:sz w:val="22"/>
                <w:szCs w:val="22"/>
                <w:lang w:eastAsia="ja-JP"/>
              </w:rPr>
            </w:pPr>
            <w:r>
              <w:rPr>
                <w:sz w:val="22"/>
                <w:szCs w:val="22"/>
                <w:lang w:eastAsia="ja-JP"/>
              </w:rPr>
              <w:t>(120 min)</w:t>
            </w:r>
          </w:p>
        </w:tc>
        <w:tc>
          <w:tcPr>
            <w:tcW w:w="990" w:type="dxa"/>
            <w:vAlign w:val="bottom"/>
          </w:tcPr>
          <w:p w:rsidR="00C54E97" w:rsidP="00C54E97" w14:paraId="0236705F" w14:textId="77777777">
            <w:pPr>
              <w:autoSpaceDE w:val="0"/>
              <w:autoSpaceDN w:val="0"/>
              <w:adjustRightInd w:val="0"/>
              <w:jc w:val="right"/>
              <w:rPr>
                <w:sz w:val="22"/>
                <w:szCs w:val="22"/>
                <w:lang w:eastAsia="ja-JP"/>
              </w:rPr>
            </w:pPr>
            <w:r>
              <w:rPr>
                <w:sz w:val="22"/>
                <w:szCs w:val="22"/>
                <w:lang w:eastAsia="ja-JP"/>
              </w:rPr>
              <w:t>120</w:t>
            </w:r>
          </w:p>
        </w:tc>
      </w:tr>
      <w:tr w14:paraId="45EB1951" w14:textId="77777777" w:rsidTr="00C54E97">
        <w:tblPrEx>
          <w:tblW w:w="11155" w:type="dxa"/>
          <w:tblLayout w:type="fixed"/>
          <w:tblLook w:val="04A0"/>
        </w:tblPrEx>
        <w:tc>
          <w:tcPr>
            <w:tcW w:w="1615" w:type="dxa"/>
            <w:tcBorders>
              <w:top w:val="nil"/>
            </w:tcBorders>
          </w:tcPr>
          <w:p w:rsidR="00C54E97" w:rsidP="00C54E97" w14:paraId="731F9BD7" w14:textId="77777777">
            <w:pPr>
              <w:autoSpaceDE w:val="0"/>
              <w:autoSpaceDN w:val="0"/>
              <w:adjustRightInd w:val="0"/>
              <w:rPr>
                <w:sz w:val="22"/>
                <w:szCs w:val="22"/>
                <w:lang w:eastAsia="ja-JP"/>
              </w:rPr>
            </w:pPr>
          </w:p>
        </w:tc>
        <w:tc>
          <w:tcPr>
            <w:tcW w:w="2610" w:type="dxa"/>
          </w:tcPr>
          <w:p w:rsidR="00C54E97" w:rsidP="00C54E97" w14:paraId="1EAA8E34" w14:textId="77777777">
            <w:pPr>
              <w:autoSpaceDE w:val="0"/>
              <w:autoSpaceDN w:val="0"/>
              <w:adjustRightInd w:val="0"/>
              <w:rPr>
                <w:sz w:val="22"/>
                <w:szCs w:val="22"/>
                <w:lang w:eastAsia="ja-JP"/>
              </w:rPr>
            </w:pPr>
            <w:r>
              <w:rPr>
                <w:sz w:val="22"/>
                <w:szCs w:val="22"/>
                <w:lang w:eastAsia="ja-JP"/>
              </w:rPr>
              <w:t xml:space="preserve">Pilot Testing </w:t>
            </w:r>
          </w:p>
        </w:tc>
        <w:tc>
          <w:tcPr>
            <w:tcW w:w="1350" w:type="dxa"/>
            <w:vAlign w:val="bottom"/>
          </w:tcPr>
          <w:p w:rsidR="00C54E97" w:rsidP="00C54E97" w14:paraId="101E278D" w14:textId="77777777">
            <w:pPr>
              <w:autoSpaceDE w:val="0"/>
              <w:autoSpaceDN w:val="0"/>
              <w:adjustRightInd w:val="0"/>
              <w:jc w:val="right"/>
              <w:rPr>
                <w:sz w:val="22"/>
                <w:szCs w:val="22"/>
                <w:lang w:eastAsia="ja-JP"/>
              </w:rPr>
            </w:pPr>
            <w:r>
              <w:rPr>
                <w:sz w:val="22"/>
                <w:szCs w:val="22"/>
                <w:lang w:eastAsia="ja-JP"/>
              </w:rPr>
              <w:t>100</w:t>
            </w:r>
          </w:p>
        </w:tc>
        <w:tc>
          <w:tcPr>
            <w:tcW w:w="1350" w:type="dxa"/>
            <w:vAlign w:val="bottom"/>
          </w:tcPr>
          <w:p w:rsidR="00C54E97" w:rsidP="00C54E97" w14:paraId="6FE00AB6" w14:textId="77777777">
            <w:pPr>
              <w:autoSpaceDE w:val="0"/>
              <w:autoSpaceDN w:val="0"/>
              <w:adjustRightInd w:val="0"/>
              <w:jc w:val="right"/>
              <w:rPr>
                <w:sz w:val="22"/>
                <w:szCs w:val="22"/>
                <w:lang w:eastAsia="ja-JP"/>
              </w:rPr>
            </w:pPr>
            <w:r w:rsidRPr="00917EAC">
              <w:rPr>
                <w:sz w:val="22"/>
                <w:szCs w:val="22"/>
                <w:lang w:eastAsia="ja-JP"/>
              </w:rPr>
              <w:t>1</w:t>
            </w:r>
          </w:p>
        </w:tc>
        <w:tc>
          <w:tcPr>
            <w:tcW w:w="1620" w:type="dxa"/>
          </w:tcPr>
          <w:p w:rsidR="00C54E97" w:rsidP="00C54E97" w14:paraId="0107D4B1" w14:textId="77777777">
            <w:pPr>
              <w:autoSpaceDE w:val="0"/>
              <w:autoSpaceDN w:val="0"/>
              <w:adjustRightInd w:val="0"/>
              <w:jc w:val="right"/>
              <w:rPr>
                <w:sz w:val="22"/>
                <w:szCs w:val="22"/>
                <w:lang w:eastAsia="ja-JP"/>
              </w:rPr>
            </w:pPr>
            <w:r>
              <w:rPr>
                <w:sz w:val="22"/>
                <w:szCs w:val="22"/>
                <w:lang w:eastAsia="ja-JP"/>
              </w:rPr>
              <w:t>100</w:t>
            </w:r>
          </w:p>
        </w:tc>
        <w:tc>
          <w:tcPr>
            <w:tcW w:w="1620" w:type="dxa"/>
            <w:vAlign w:val="bottom"/>
          </w:tcPr>
          <w:p w:rsidR="00C54E97" w:rsidP="00C54E97" w14:paraId="2477456C" w14:textId="77777777">
            <w:pPr>
              <w:autoSpaceDE w:val="0"/>
              <w:autoSpaceDN w:val="0"/>
              <w:adjustRightInd w:val="0"/>
              <w:jc w:val="right"/>
              <w:rPr>
                <w:sz w:val="22"/>
                <w:szCs w:val="22"/>
                <w:lang w:eastAsia="ja-JP"/>
              </w:rPr>
            </w:pPr>
            <w:r>
              <w:rPr>
                <w:sz w:val="22"/>
                <w:szCs w:val="22"/>
                <w:lang w:eastAsia="ja-JP"/>
              </w:rPr>
              <w:t xml:space="preserve">0.75 </w:t>
            </w:r>
          </w:p>
          <w:p w:rsidR="00C54E97" w:rsidP="00C54E97" w14:paraId="0EAEFFC7" w14:textId="77777777">
            <w:pPr>
              <w:autoSpaceDE w:val="0"/>
              <w:autoSpaceDN w:val="0"/>
              <w:adjustRightInd w:val="0"/>
              <w:jc w:val="right"/>
              <w:rPr>
                <w:sz w:val="22"/>
                <w:szCs w:val="22"/>
                <w:lang w:eastAsia="ja-JP"/>
              </w:rPr>
            </w:pPr>
            <w:r>
              <w:rPr>
                <w:sz w:val="22"/>
                <w:szCs w:val="22"/>
                <w:lang w:eastAsia="ja-JP"/>
              </w:rPr>
              <w:t>(45 min)</w:t>
            </w:r>
          </w:p>
        </w:tc>
        <w:tc>
          <w:tcPr>
            <w:tcW w:w="990" w:type="dxa"/>
            <w:vAlign w:val="bottom"/>
          </w:tcPr>
          <w:p w:rsidR="00C54E97" w:rsidP="00C54E97" w14:paraId="6A973577" w14:textId="77777777">
            <w:pPr>
              <w:autoSpaceDE w:val="0"/>
              <w:autoSpaceDN w:val="0"/>
              <w:adjustRightInd w:val="0"/>
              <w:jc w:val="right"/>
              <w:rPr>
                <w:sz w:val="22"/>
                <w:szCs w:val="22"/>
                <w:lang w:eastAsia="ja-JP"/>
              </w:rPr>
            </w:pPr>
            <w:r>
              <w:rPr>
                <w:sz w:val="22"/>
                <w:szCs w:val="22"/>
                <w:lang w:eastAsia="ja-JP"/>
              </w:rPr>
              <w:t>75</w:t>
            </w:r>
          </w:p>
        </w:tc>
      </w:tr>
      <w:tr w14:paraId="206614EC" w14:textId="77777777" w:rsidTr="00C54E97">
        <w:tblPrEx>
          <w:tblW w:w="11155" w:type="dxa"/>
          <w:tblLayout w:type="fixed"/>
          <w:tblLook w:val="04A0"/>
        </w:tblPrEx>
        <w:tc>
          <w:tcPr>
            <w:tcW w:w="1615" w:type="dxa"/>
          </w:tcPr>
          <w:p w:rsidR="00C54E97" w:rsidP="00C54E97" w14:paraId="67371CFA" w14:textId="77777777">
            <w:pPr>
              <w:autoSpaceDE w:val="0"/>
              <w:autoSpaceDN w:val="0"/>
              <w:adjustRightInd w:val="0"/>
              <w:rPr>
                <w:sz w:val="22"/>
                <w:szCs w:val="22"/>
                <w:lang w:eastAsia="ja-JP"/>
              </w:rPr>
            </w:pPr>
            <w:r>
              <w:rPr>
                <w:sz w:val="22"/>
                <w:szCs w:val="22"/>
                <w:lang w:eastAsia="ja-JP"/>
              </w:rPr>
              <w:t>Total</w:t>
            </w:r>
          </w:p>
        </w:tc>
        <w:tc>
          <w:tcPr>
            <w:tcW w:w="2610" w:type="dxa"/>
          </w:tcPr>
          <w:p w:rsidR="00C54E97" w:rsidP="00C54E97" w14:paraId="485F99E2" w14:textId="77777777">
            <w:pPr>
              <w:autoSpaceDE w:val="0"/>
              <w:autoSpaceDN w:val="0"/>
              <w:adjustRightInd w:val="0"/>
              <w:rPr>
                <w:sz w:val="22"/>
                <w:szCs w:val="22"/>
                <w:lang w:eastAsia="ja-JP"/>
              </w:rPr>
            </w:pPr>
          </w:p>
        </w:tc>
        <w:tc>
          <w:tcPr>
            <w:tcW w:w="1350" w:type="dxa"/>
            <w:vAlign w:val="bottom"/>
          </w:tcPr>
          <w:p w:rsidR="00C54E97" w:rsidP="00C54E97" w14:paraId="169F3EA2" w14:textId="77777777">
            <w:pPr>
              <w:autoSpaceDE w:val="0"/>
              <w:autoSpaceDN w:val="0"/>
              <w:adjustRightInd w:val="0"/>
              <w:jc w:val="right"/>
              <w:rPr>
                <w:sz w:val="22"/>
                <w:szCs w:val="22"/>
                <w:lang w:eastAsia="ja-JP"/>
              </w:rPr>
            </w:pPr>
            <w:r>
              <w:rPr>
                <w:sz w:val="22"/>
                <w:szCs w:val="22"/>
                <w:lang w:eastAsia="ja-JP"/>
              </w:rPr>
              <w:t>31,471</w:t>
            </w:r>
          </w:p>
        </w:tc>
        <w:tc>
          <w:tcPr>
            <w:tcW w:w="1350" w:type="dxa"/>
            <w:vAlign w:val="bottom"/>
          </w:tcPr>
          <w:p w:rsidR="00C54E97" w:rsidP="00C54E97" w14:paraId="763283EC" w14:textId="77777777">
            <w:pPr>
              <w:autoSpaceDE w:val="0"/>
              <w:autoSpaceDN w:val="0"/>
              <w:adjustRightInd w:val="0"/>
              <w:jc w:val="right"/>
              <w:rPr>
                <w:sz w:val="22"/>
                <w:szCs w:val="22"/>
                <w:lang w:eastAsia="ja-JP"/>
              </w:rPr>
            </w:pPr>
          </w:p>
        </w:tc>
        <w:tc>
          <w:tcPr>
            <w:tcW w:w="1620" w:type="dxa"/>
          </w:tcPr>
          <w:p w:rsidR="00C54E97" w:rsidP="00C54E97" w14:paraId="0AFBE1FC" w14:textId="77777777">
            <w:pPr>
              <w:autoSpaceDE w:val="0"/>
              <w:autoSpaceDN w:val="0"/>
              <w:adjustRightInd w:val="0"/>
              <w:jc w:val="right"/>
              <w:rPr>
                <w:sz w:val="22"/>
                <w:szCs w:val="22"/>
                <w:lang w:eastAsia="ja-JP"/>
              </w:rPr>
            </w:pPr>
            <w:r>
              <w:rPr>
                <w:sz w:val="22"/>
                <w:szCs w:val="22"/>
                <w:lang w:eastAsia="ja-JP"/>
              </w:rPr>
              <w:t>31,501</w:t>
            </w:r>
          </w:p>
        </w:tc>
        <w:tc>
          <w:tcPr>
            <w:tcW w:w="1620" w:type="dxa"/>
            <w:vAlign w:val="bottom"/>
          </w:tcPr>
          <w:p w:rsidR="00C54E97" w:rsidP="00C54E97" w14:paraId="7C192DBA" w14:textId="77777777">
            <w:pPr>
              <w:autoSpaceDE w:val="0"/>
              <w:autoSpaceDN w:val="0"/>
              <w:adjustRightInd w:val="0"/>
              <w:jc w:val="right"/>
              <w:rPr>
                <w:sz w:val="22"/>
                <w:szCs w:val="22"/>
                <w:lang w:eastAsia="ja-JP"/>
              </w:rPr>
            </w:pPr>
          </w:p>
        </w:tc>
        <w:tc>
          <w:tcPr>
            <w:tcW w:w="990" w:type="dxa"/>
            <w:vAlign w:val="bottom"/>
          </w:tcPr>
          <w:p w:rsidR="00C54E97" w:rsidP="00C54E97" w14:paraId="6CFC26B6" w14:textId="77777777">
            <w:pPr>
              <w:autoSpaceDE w:val="0"/>
              <w:autoSpaceDN w:val="0"/>
              <w:adjustRightInd w:val="0"/>
              <w:jc w:val="right"/>
              <w:rPr>
                <w:sz w:val="22"/>
                <w:szCs w:val="22"/>
                <w:lang w:eastAsia="ja-JP"/>
              </w:rPr>
            </w:pPr>
            <w:r>
              <w:rPr>
                <w:sz w:val="22"/>
                <w:szCs w:val="22"/>
                <w:lang w:eastAsia="ja-JP"/>
              </w:rPr>
              <w:t>22,600</w:t>
            </w:r>
          </w:p>
        </w:tc>
      </w:tr>
    </w:tbl>
    <w:p w:rsidR="00EF29CB" w:rsidP="00092EC6" w14:paraId="3738F7DB" w14:textId="136CE05C">
      <w:pPr>
        <w:keepNext/>
        <w:ind w:firstLine="720"/>
        <w:jc w:val="center"/>
        <w:rPr>
          <w:b/>
          <w:bCs/>
        </w:rPr>
      </w:pPr>
      <w:r w:rsidRPr="00271CD3">
        <w:rPr>
          <w:b/>
          <w:bCs/>
        </w:rPr>
        <w:t xml:space="preserve">Table </w:t>
      </w:r>
      <w:r w:rsidRPr="00271CD3" w:rsidR="00DA6184">
        <w:rPr>
          <w:b/>
          <w:bCs/>
        </w:rPr>
        <w:t>3a</w:t>
      </w:r>
      <w:r w:rsidRPr="00271CD3">
        <w:rPr>
          <w:b/>
          <w:bCs/>
        </w:rPr>
        <w:t>.--Estimated Annual Reporting Burden</w:t>
      </w:r>
    </w:p>
    <w:p w:rsidR="000F5D3C" w:rsidRPr="000F5D3C" w:rsidP="00092EC6" w14:paraId="56CE0310" w14:textId="77777777">
      <w:pPr>
        <w:keepNext/>
        <w:ind w:firstLine="720"/>
        <w:jc w:val="center"/>
        <w:rPr>
          <w:rStyle w:val="Footer1"/>
          <w:b/>
          <w:bCs/>
        </w:rPr>
      </w:pPr>
    </w:p>
    <w:p w:rsidR="00F44CD4" w:rsidRPr="00185D69" w:rsidP="00F44CD4" w14:paraId="23E144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b/>
          <w:u w:val="single"/>
        </w:rPr>
      </w:pPr>
    </w:p>
    <w:p w:rsidR="001636B3" w:rsidP="001636B3" w14:paraId="141947D0" w14:textId="05F35F39">
      <w:r w:rsidRPr="00185D69">
        <w:t>The planned information collection involves administration of the NYTS questionnaire (</w:t>
      </w:r>
      <w:r w:rsidRPr="00185D69" w:rsidR="00D93FF2">
        <w:t>Attachment</w:t>
      </w:r>
      <w:r w:rsidRPr="00185D69" w:rsidR="004B7B3D">
        <w:t xml:space="preserve"> </w:t>
      </w:r>
      <w:r w:rsidR="00D166A4">
        <w:t>H</w:t>
      </w:r>
      <w:r w:rsidRPr="00185D69" w:rsidR="004B7B3D">
        <w:t>1</w:t>
      </w:r>
      <w:r w:rsidRPr="00185D69">
        <w:t xml:space="preserve">) to independent samples of students </w:t>
      </w:r>
      <w:r w:rsidR="0051534E">
        <w:t>during the spring semester</w:t>
      </w:r>
      <w:r w:rsidRPr="00185D69">
        <w:t>.</w:t>
      </w:r>
      <w:r w:rsidRPr="00185D69" w:rsidR="00077574">
        <w:t xml:space="preserve"> </w:t>
      </w:r>
      <w:r w:rsidRPr="00185D69">
        <w:t xml:space="preserve">Respondents include </w:t>
      </w:r>
      <w:r w:rsidRPr="00185D69" w:rsidR="00844C78">
        <w:t xml:space="preserve">state-level, district-level, and school-level </w:t>
      </w:r>
      <w:r w:rsidRPr="00185D69">
        <w:t xml:space="preserve">administrators who provide information </w:t>
      </w:r>
      <w:r w:rsidR="00637514">
        <w:t xml:space="preserve">asked </w:t>
      </w:r>
      <w:r w:rsidRPr="00185D69">
        <w:t>in the Recruitment Script</w:t>
      </w:r>
      <w:r w:rsidRPr="00185D69" w:rsidR="008B2295">
        <w:t>s</w:t>
      </w:r>
      <w:r w:rsidRPr="00185D69">
        <w:t xml:space="preserve"> for the NYTS (A</w:t>
      </w:r>
      <w:r w:rsidRPr="00185D69" w:rsidR="00C32A2D">
        <w:t>ttachments</w:t>
      </w:r>
      <w:r w:rsidRPr="00185D69">
        <w:t xml:space="preserve"> </w:t>
      </w:r>
      <w:r w:rsidR="00D16A49">
        <w:t>D</w:t>
      </w:r>
      <w:r w:rsidR="00892DA8">
        <w:t>2</w:t>
      </w:r>
      <w:r w:rsidRPr="00185D69" w:rsidR="004B7B3D">
        <w:t xml:space="preserve">, </w:t>
      </w:r>
      <w:r w:rsidR="00D16A49">
        <w:t>E</w:t>
      </w:r>
      <w:r w:rsidR="00892DA8">
        <w:t>2</w:t>
      </w:r>
      <w:r w:rsidRPr="00185D69" w:rsidR="004B7B3D">
        <w:t xml:space="preserve">, and </w:t>
      </w:r>
      <w:r w:rsidR="00D16A49">
        <w:t>F</w:t>
      </w:r>
      <w:r w:rsidR="00EF513D">
        <w:t>3</w:t>
      </w:r>
      <w:r w:rsidRPr="00185D69">
        <w:t xml:space="preserve">), teachers who </w:t>
      </w:r>
      <w:r w:rsidR="00080D46">
        <w:t xml:space="preserve">use the script to launch the </w:t>
      </w:r>
      <w:r w:rsidR="00637514">
        <w:t xml:space="preserve">web-based </w:t>
      </w:r>
      <w:r w:rsidR="00080D46">
        <w:t>student survey (Attachment I2)</w:t>
      </w:r>
      <w:r w:rsidRPr="00185D69" w:rsidR="008B2295">
        <w:t>.</w:t>
      </w:r>
      <w:r>
        <w:t xml:space="preserve"> </w:t>
      </w:r>
      <w:r w:rsidR="00313271">
        <w:t xml:space="preserve">Historically, an initial sample size of 420 </w:t>
      </w:r>
      <w:r w:rsidR="000B59CA">
        <w:t xml:space="preserve">schools </w:t>
      </w:r>
      <w:r w:rsidR="00313271">
        <w:t xml:space="preserve">was sufficient for recruiting the targeted number of schools and students. However, overall response rates have decreased </w:t>
      </w:r>
      <w:r w:rsidR="00213920">
        <w:t xml:space="preserve">drastically </w:t>
      </w:r>
      <w:r w:rsidR="00034D2E">
        <w:t>since the COVID-19 pandemic</w:t>
      </w:r>
      <w:r w:rsidR="00B80BE0">
        <w:t xml:space="preserve">, ranging from </w:t>
      </w:r>
      <w:r w:rsidR="00891E95">
        <w:t>30.5% to 45.2%</w:t>
      </w:r>
      <w:r w:rsidR="00F523BF">
        <w:t xml:space="preserve"> </w:t>
      </w:r>
      <w:r w:rsidR="00B80BE0">
        <w:t xml:space="preserve">during 2020-2024 </w:t>
      </w:r>
      <w:r w:rsidR="00F523BF">
        <w:t xml:space="preserve">compared with </w:t>
      </w:r>
      <w:r w:rsidR="00B80BE0">
        <w:t xml:space="preserve">pre-pandemic </w:t>
      </w:r>
      <w:r w:rsidR="00342105">
        <w:t xml:space="preserve">response rates </w:t>
      </w:r>
      <w:r w:rsidR="00B80BE0">
        <w:t>of 6</w:t>
      </w:r>
      <w:r w:rsidR="00342105">
        <w:t>3.4% to 84.8%</w:t>
      </w:r>
      <w:r w:rsidR="00B80BE0">
        <w:t xml:space="preserve"> during 1999-2019</w:t>
      </w:r>
      <w:r w:rsidR="00342105">
        <w:t xml:space="preserve">. </w:t>
      </w:r>
      <w:r w:rsidR="00B80BE0">
        <w:t xml:space="preserve">Consequently, </w:t>
      </w:r>
      <w:r w:rsidR="00EF6847">
        <w:t xml:space="preserve">additional </w:t>
      </w:r>
      <w:r w:rsidR="00B75CEC">
        <w:t xml:space="preserve">schools </w:t>
      </w:r>
      <w:r w:rsidR="004E63E1">
        <w:t xml:space="preserve">need to be recruited </w:t>
      </w:r>
      <w:r w:rsidR="00B80BE0">
        <w:t>for</w:t>
      </w:r>
      <w:r w:rsidR="000403AC">
        <w:t xml:space="preserve"> the 2026 NYTS to reach </w:t>
      </w:r>
      <w:r w:rsidR="00DD1A9B">
        <w:t>the goal of obtaining at least 250 participating schools</w:t>
      </w:r>
      <w:r w:rsidR="002017E6">
        <w:t xml:space="preserve"> and produce nationally representative estimates</w:t>
      </w:r>
      <w:r w:rsidR="00342105">
        <w:t xml:space="preserve">. </w:t>
      </w:r>
      <w:r w:rsidRPr="009C113D">
        <w:t>For th</w:t>
      </w:r>
      <w:r>
        <w:t xml:space="preserve">e </w:t>
      </w:r>
      <w:r w:rsidR="00CE2D28">
        <w:t>20</w:t>
      </w:r>
      <w:r w:rsidR="00692DA8">
        <w:t>2</w:t>
      </w:r>
      <w:r w:rsidR="00F43A74">
        <w:t>6</w:t>
      </w:r>
      <w:r w:rsidRPr="009C113D">
        <w:t xml:space="preserve"> cycle of data collection, the total </w:t>
      </w:r>
      <w:r>
        <w:t xml:space="preserve">estimated </w:t>
      </w:r>
      <w:r w:rsidRPr="009C113D">
        <w:t xml:space="preserve">number of respondents, by type, will include: state-level </w:t>
      </w:r>
      <w:r w:rsidRPr="00F51A12">
        <w:t>administrators (n=</w:t>
      </w:r>
      <w:r w:rsidRPr="00F51A12" w:rsidR="00F51A12">
        <w:t>42</w:t>
      </w:r>
      <w:r w:rsidRPr="00F51A12">
        <w:t>), district-level administrators (n=</w:t>
      </w:r>
      <w:r w:rsidRPr="00F51A12" w:rsidR="008B5F23">
        <w:t>3</w:t>
      </w:r>
      <w:r w:rsidR="00F43A74">
        <w:t>84</w:t>
      </w:r>
      <w:r w:rsidRPr="00F51A12">
        <w:t>), and school-level administrators (n=</w:t>
      </w:r>
      <w:r w:rsidR="00F43A74">
        <w:t>546</w:t>
      </w:r>
      <w:r w:rsidRPr="00F51A12">
        <w:t xml:space="preserve">) who provide information in </w:t>
      </w:r>
      <w:r w:rsidRPr="00080D46">
        <w:t xml:space="preserve">the </w:t>
      </w:r>
      <w:r w:rsidRPr="00074EF6">
        <w:t xml:space="preserve">Recruitment Script for the NYTS; </w:t>
      </w:r>
      <w:r w:rsidRPr="00080D46">
        <w:t>teachers</w:t>
      </w:r>
      <w:r w:rsidRPr="00F51A12">
        <w:t xml:space="preserve"> (n=</w:t>
      </w:r>
      <w:r w:rsidRPr="00F51A12" w:rsidR="00692DA8">
        <w:t>1,</w:t>
      </w:r>
      <w:r w:rsidR="00F43A74">
        <w:t>365</w:t>
      </w:r>
      <w:r w:rsidRPr="00F51A12">
        <w:t xml:space="preserve">) who </w:t>
      </w:r>
      <w:r w:rsidR="00080D46">
        <w:t xml:space="preserve">deliver the teacher </w:t>
      </w:r>
      <w:r w:rsidRPr="00074EF6" w:rsidR="00080D46">
        <w:t>script</w:t>
      </w:r>
      <w:r w:rsidRPr="00074EF6">
        <w:t>; and</w:t>
      </w:r>
      <w:r w:rsidRPr="00F51A12">
        <w:t xml:space="preserve"> students (n=</w:t>
      </w:r>
      <w:r w:rsidR="000F5548">
        <w:t>28,</w:t>
      </w:r>
      <w:r w:rsidR="00F43A74">
        <w:t>704</w:t>
      </w:r>
      <w:r w:rsidRPr="00F51A12">
        <w:t>) who receive instructions for and complete the NYTS questionnaire. There are no costs</w:t>
      </w:r>
      <w:r w:rsidRPr="009C113D">
        <w:t xml:space="preserve"> to respondents except their time. </w:t>
      </w:r>
    </w:p>
    <w:p w:rsidR="00D023C0" w:rsidRPr="00185D69" w:rsidP="00852497" w14:paraId="28E4BA26" w14:textId="77777777"/>
    <w:p w:rsidR="00C8484F" w:rsidP="00FE2354" w14:paraId="69C6177F" w14:textId="07EDC8EA">
      <w:bookmarkStart w:id="6" w:name="_Hlk123824686"/>
      <w:r w:rsidRPr="00185D69">
        <w:t xml:space="preserve">Burden estimates are </w:t>
      </w:r>
      <w:r w:rsidRPr="00185D69" w:rsidR="00153D24">
        <w:t xml:space="preserve">based on expected sample sizes and budget under the current contract for </w:t>
      </w:r>
      <w:r w:rsidR="00692DA8">
        <w:t xml:space="preserve">conducting </w:t>
      </w:r>
      <w:r w:rsidRPr="00185D69" w:rsidR="00153D24">
        <w:t xml:space="preserve">the </w:t>
      </w:r>
      <w:r w:rsidRPr="00185D69" w:rsidR="00692DA8">
        <w:t>20</w:t>
      </w:r>
      <w:r w:rsidR="00692DA8">
        <w:t>2</w:t>
      </w:r>
      <w:r w:rsidR="003025F3">
        <w:t>6</w:t>
      </w:r>
      <w:r w:rsidRPr="00185D69" w:rsidR="00692DA8">
        <w:t xml:space="preserve"> </w:t>
      </w:r>
      <w:r w:rsidRPr="00185D69">
        <w:t>NYTS cycle</w:t>
      </w:r>
      <w:r w:rsidRPr="00185D69" w:rsidR="00153D24">
        <w:t>.</w:t>
      </w:r>
      <w:r w:rsidR="00852497">
        <w:t xml:space="preserve"> </w:t>
      </w:r>
      <w:r w:rsidR="00FE2354">
        <w:t xml:space="preserve">Due to changes in the relevant product environment, patterns of </w:t>
      </w:r>
      <w:r>
        <w:t xml:space="preserve">tobacco product use, </w:t>
      </w:r>
      <w:r w:rsidR="00FE2354">
        <w:t xml:space="preserve">or other factors, testing may be needed to assess new questions, changes in the wording of existing questions, or the response options associated with individual questions. </w:t>
      </w:r>
      <w:r w:rsidRPr="00DA1A12" w:rsidR="005842AA">
        <w:t xml:space="preserve">The burden table includes an allocation </w:t>
      </w:r>
      <w:r w:rsidRPr="00DE6ED5" w:rsidR="005842AA">
        <w:t xml:space="preserve">of </w:t>
      </w:r>
      <w:r w:rsidRPr="00DE6ED5" w:rsidR="00DA1A12">
        <w:t>2</w:t>
      </w:r>
      <w:r w:rsidR="0039551A">
        <w:t>4</w:t>
      </w:r>
      <w:r w:rsidRPr="00DE6ED5" w:rsidR="00DA1A12">
        <w:t xml:space="preserve">5 </w:t>
      </w:r>
      <w:r w:rsidRPr="00DE6ED5" w:rsidR="005842AA">
        <w:t>annualized</w:t>
      </w:r>
      <w:r w:rsidRPr="00DA1A12" w:rsidR="005842AA">
        <w:t xml:space="preserve"> burden hours for instrument testing </w:t>
      </w:r>
      <w:r w:rsidRPr="00080D46" w:rsidR="005842AA">
        <w:t>activities</w:t>
      </w:r>
      <w:r w:rsidRPr="00080D46" w:rsidR="00FE2354">
        <w:t>.</w:t>
      </w:r>
      <w:r w:rsidRPr="00080D46" w:rsidR="009E10AD">
        <w:t xml:space="preserve"> </w:t>
      </w:r>
      <w:r w:rsidRPr="00080D46" w:rsidR="00FE2354">
        <w:t xml:space="preserve">Cognitive testing of questionnaire content will typically be conducted in semi-structured interviews of </w:t>
      </w:r>
      <w:r w:rsidRPr="00080D46" w:rsidR="002C049B">
        <w:t xml:space="preserve">two </w:t>
      </w:r>
      <w:r w:rsidRPr="00080D46" w:rsidR="00FE2354">
        <w:t>hour</w:t>
      </w:r>
      <w:r w:rsidRPr="00080D46" w:rsidR="002C049B">
        <w:t>s</w:t>
      </w:r>
      <w:r w:rsidRPr="00080D46" w:rsidR="00FE2354">
        <w:t xml:space="preserve"> or less (</w:t>
      </w:r>
      <w:r w:rsidR="00AC77BA">
        <w:t>30</w:t>
      </w:r>
      <w:r w:rsidR="00C052B9">
        <w:t xml:space="preserve"> </w:t>
      </w:r>
      <w:r w:rsidRPr="00080D46" w:rsidR="00FE2354">
        <w:t xml:space="preserve">interviews per year @ </w:t>
      </w:r>
      <w:r w:rsidRPr="00080D46" w:rsidR="002C049B">
        <w:t xml:space="preserve">two </w:t>
      </w:r>
      <w:r w:rsidRPr="00080D46" w:rsidR="00FE2354">
        <w:t>hour</w:t>
      </w:r>
      <w:r w:rsidRPr="00080D46" w:rsidR="00BA5F95">
        <w:t>s</w:t>
      </w:r>
      <w:r w:rsidRPr="00080D46" w:rsidR="00FE2354">
        <w:t xml:space="preserve"> per </w:t>
      </w:r>
      <w:r w:rsidRPr="00080D46" w:rsidR="00731A1B">
        <w:t xml:space="preserve">each of two </w:t>
      </w:r>
      <w:r w:rsidRPr="00080D46" w:rsidR="00FE2354">
        <w:t>interview</w:t>
      </w:r>
      <w:r w:rsidRPr="00080D46" w:rsidR="00731A1B">
        <w:t>s</w:t>
      </w:r>
      <w:r w:rsidRPr="00080D46" w:rsidR="00FE2354">
        <w:t xml:space="preserve"> </w:t>
      </w:r>
      <w:r w:rsidR="00637514">
        <w:t xml:space="preserve">with the same respondent </w:t>
      </w:r>
      <w:r w:rsidRPr="00080D46" w:rsidR="00FE2354">
        <w:t xml:space="preserve">= </w:t>
      </w:r>
      <w:r w:rsidR="00AC77BA">
        <w:t>120</w:t>
      </w:r>
      <w:r w:rsidRPr="00080D46" w:rsidR="00E20290">
        <w:t xml:space="preserve"> </w:t>
      </w:r>
      <w:r w:rsidRPr="00080D46" w:rsidR="00FE2354">
        <w:t>burden hours).</w:t>
      </w:r>
      <w:r w:rsidRPr="00080D46" w:rsidR="009E10AD">
        <w:t xml:space="preserve"> </w:t>
      </w:r>
      <w:r w:rsidRPr="00074EF6" w:rsidR="00FE2354">
        <w:t xml:space="preserve">In addition, </w:t>
      </w:r>
      <w:r w:rsidR="00F43A74">
        <w:t>FDA</w:t>
      </w:r>
      <w:r w:rsidRPr="00074EF6" w:rsidR="00FE2354">
        <w:t xml:space="preserve"> may conduct </w:t>
      </w:r>
      <w:r w:rsidRPr="00074EF6" w:rsidR="00F769FE">
        <w:t xml:space="preserve">pilot tests </w:t>
      </w:r>
      <w:r w:rsidRPr="00074EF6" w:rsidR="00FE2354">
        <w:t>to ensure that each year’s NYTS questionnaire can be completed within one class period (</w:t>
      </w:r>
      <w:r w:rsidRPr="00074EF6" w:rsidR="00F769FE">
        <w:t>10</w:t>
      </w:r>
      <w:r w:rsidRPr="00074EF6" w:rsidR="00FE2354">
        <w:t>0 tests per year @ 45 minutes</w:t>
      </w:r>
      <w:r w:rsidR="00DE6ED5">
        <w:t xml:space="preserve"> each</w:t>
      </w:r>
      <w:r w:rsidRPr="00074EF6" w:rsidR="00FE2354">
        <w:t xml:space="preserve"> = </w:t>
      </w:r>
      <w:r w:rsidRPr="00074EF6" w:rsidR="00F769FE">
        <w:t>75</w:t>
      </w:r>
      <w:r w:rsidRPr="00074EF6" w:rsidR="00FE2354">
        <w:t xml:space="preserve"> hours).</w:t>
      </w:r>
      <w:r w:rsidRPr="00074EF6" w:rsidR="009E10AD">
        <w:t xml:space="preserve"> </w:t>
      </w:r>
      <w:r w:rsidRPr="00080D46" w:rsidR="00FE2354">
        <w:t xml:space="preserve">Finally, the allocation for testing includes screening of up to </w:t>
      </w:r>
      <w:r w:rsidRPr="00080D46" w:rsidR="0028593C">
        <w:t xml:space="preserve">300 </w:t>
      </w:r>
      <w:r w:rsidRPr="00080D46" w:rsidR="00FE2354">
        <w:t xml:space="preserve">youth prior to participation in </w:t>
      </w:r>
      <w:r w:rsidRPr="00080D46">
        <w:t xml:space="preserve">these </w:t>
      </w:r>
      <w:r w:rsidRPr="00080D46" w:rsidR="00FE2354">
        <w:t>testing activities (</w:t>
      </w:r>
      <w:r w:rsidRPr="00080D46" w:rsidR="0028593C">
        <w:t xml:space="preserve">300 </w:t>
      </w:r>
      <w:r w:rsidRPr="00080D46" w:rsidR="00FE2354">
        <w:t xml:space="preserve">youth @ 10 </w:t>
      </w:r>
      <w:r w:rsidRPr="00080D46" w:rsidR="00FE2354">
        <w:t xml:space="preserve">minutes/response = </w:t>
      </w:r>
      <w:r w:rsidRPr="00080D46" w:rsidR="0028593C">
        <w:t xml:space="preserve">50 </w:t>
      </w:r>
      <w:r w:rsidRPr="00080D46" w:rsidR="00FE2354">
        <w:t xml:space="preserve">hours). </w:t>
      </w:r>
      <w:r w:rsidRPr="00080D46">
        <w:t>Such r</w:t>
      </w:r>
      <w:r w:rsidRPr="00080D46" w:rsidR="00FE2354">
        <w:t>espondent screening</w:t>
      </w:r>
      <w:r w:rsidRPr="00080D46">
        <w:t xml:space="preserve"> is</w:t>
      </w:r>
      <w:r w:rsidRPr="00080D46" w:rsidR="00FE2354">
        <w:t xml:space="preserve"> needed</w:t>
      </w:r>
      <w:r w:rsidRPr="00DA1A12" w:rsidR="00FE2354">
        <w:t xml:space="preserve"> to ensure that testing is conducted with individuals whose characteristics are </w:t>
      </w:r>
      <w:r w:rsidRPr="00DA1A12" w:rsidR="00FE2354">
        <w:t>similar to</w:t>
      </w:r>
      <w:r w:rsidRPr="00DA1A12" w:rsidR="00FE2354">
        <w:t xml:space="preserve"> the NYTS target population of youth in grades 6-12.</w:t>
      </w:r>
      <w:r w:rsidRPr="00DA1A12" w:rsidR="009E10AD">
        <w:t xml:space="preserve"> </w:t>
      </w:r>
      <w:r w:rsidRPr="00DA1A12" w:rsidR="00FE2354">
        <w:t xml:space="preserve">The configuration of testing activities may </w:t>
      </w:r>
      <w:r w:rsidRPr="00DE6ED5" w:rsidR="00FE2354">
        <w:t xml:space="preserve">vary from year to year. </w:t>
      </w:r>
      <w:r w:rsidRPr="00DE6ED5" w:rsidR="003C51D6">
        <w:t xml:space="preserve">Of those 300 </w:t>
      </w:r>
      <w:r w:rsidRPr="00DE6ED5" w:rsidR="00DE6ED5">
        <w:t xml:space="preserve">screening </w:t>
      </w:r>
      <w:r w:rsidRPr="00DE6ED5" w:rsidR="003C51D6">
        <w:t xml:space="preserve">respondents, no more than </w:t>
      </w:r>
      <w:r w:rsidR="00AC77BA">
        <w:t xml:space="preserve">30 </w:t>
      </w:r>
      <w:r w:rsidRPr="00DE6ED5" w:rsidR="003C51D6">
        <w:t>may participate in cognitive testing (</w:t>
      </w:r>
      <w:r w:rsidRPr="00DE6ED5" w:rsidR="00731A1B">
        <w:t xml:space="preserve">two responses @ two hours per </w:t>
      </w:r>
      <w:r w:rsidRPr="00DE6ED5" w:rsidR="003C51D6">
        <w:t xml:space="preserve">response) and no more than </w:t>
      </w:r>
      <w:r w:rsidRPr="00DE6ED5" w:rsidR="00074EF6">
        <w:t>10</w:t>
      </w:r>
      <w:r w:rsidRPr="00DE6ED5" w:rsidR="003C51D6">
        <w:t>0 may participate in survey pretesting activities (</w:t>
      </w:r>
      <w:r w:rsidRPr="00DE6ED5" w:rsidR="00DE6ED5">
        <w:t xml:space="preserve">@ </w:t>
      </w:r>
      <w:r w:rsidRPr="00DE6ED5" w:rsidR="003C51D6">
        <w:t>45 minutes a response).</w:t>
      </w:r>
      <w:r w:rsidRPr="00DE6ED5" w:rsidR="009E10AD">
        <w:t xml:space="preserve"> </w:t>
      </w:r>
      <w:r w:rsidRPr="00DE6ED5" w:rsidR="00FE2354">
        <w:t>Each testing activity wil</w:t>
      </w:r>
      <w:r w:rsidR="00FE2354">
        <w:t>l be submitted to OMB as a Change Request.</w:t>
      </w:r>
      <w:r w:rsidR="00852497">
        <w:t xml:space="preserve"> </w:t>
      </w:r>
    </w:p>
    <w:p w:rsidR="003F0B3A" w:rsidP="00695A22" w14:paraId="6F805F37" w14:textId="77777777">
      <w:bookmarkStart w:id="7" w:name="_Hlk59028785"/>
      <w:bookmarkEnd w:id="6"/>
    </w:p>
    <w:bookmarkEnd w:id="7"/>
    <w:p w:rsidR="00540C81" w:rsidP="00540C81" w14:paraId="2AD1B964" w14:textId="77777777">
      <w:r>
        <w:t>Estimated b</w:t>
      </w:r>
      <w:r w:rsidR="00AC77BA">
        <w:t>u</w:t>
      </w:r>
      <w:r w:rsidRPr="000055AA">
        <w:t>rden for teachers and student</w:t>
      </w:r>
      <w:r w:rsidR="00AC77BA">
        <w:t>s</w:t>
      </w:r>
      <w:r w:rsidRPr="000055AA">
        <w:t xml:space="preserve"> remains the same</w:t>
      </w:r>
      <w:r w:rsidR="00AC77BA">
        <w:t xml:space="preserve"> per participant, with an increased number of each participant type</w:t>
      </w:r>
      <w:r w:rsidRPr="000055AA">
        <w:t>. Students still have up to one 45-minute class period to complete the survey.</w:t>
      </w:r>
      <w:r>
        <w:t xml:space="preserve"> </w:t>
      </w:r>
    </w:p>
    <w:p w:rsidR="00FA3E86" w:rsidP="003F0B3A" w14:paraId="4AC20745" w14:textId="77777777"/>
    <w:p w:rsidR="00FE2354" w:rsidP="003F0B3A" w14:paraId="109DC905" w14:textId="3B1D0B25">
      <w:r w:rsidRPr="009C113D">
        <w:t xml:space="preserve">The total burden estimated for the </w:t>
      </w:r>
      <w:r w:rsidRPr="009C113D">
        <w:t>NYTS</w:t>
      </w:r>
      <w:r w:rsidRPr="009C113D">
        <w:t xml:space="preserve"> and associated support activities is </w:t>
      </w:r>
      <w:r w:rsidR="006F09F5">
        <w:t>22,600</w:t>
      </w:r>
      <w:r w:rsidR="0047301A">
        <w:t xml:space="preserve"> </w:t>
      </w:r>
      <w:r w:rsidRPr="00F51A12">
        <w:t xml:space="preserve">hours. </w:t>
      </w:r>
      <w:r w:rsidRPr="00F51A12" w:rsidR="003025F3">
        <w:t>T</w:t>
      </w:r>
      <w:r w:rsidRPr="00F51A12">
        <w:t>otals</w:t>
      </w:r>
      <w:r w:rsidRPr="009C113D">
        <w:t xml:space="preserve"> for this cycle are provided in Table </w:t>
      </w:r>
      <w:r w:rsidR="007F46C8">
        <w:t>3</w:t>
      </w:r>
      <w:r>
        <w:t>a</w:t>
      </w:r>
      <w:r w:rsidRPr="009C113D">
        <w:t>.</w:t>
      </w:r>
      <w:r w:rsidR="00FA3E86">
        <w:t xml:space="preserve"> </w:t>
      </w:r>
    </w:p>
    <w:p w:rsidR="00FE2354" w:rsidP="003F0B3A" w14:paraId="10358E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Style w:val="Footer1"/>
          <w:b/>
          <w:bCs/>
          <w:u w:val="single"/>
        </w:rPr>
      </w:pPr>
    </w:p>
    <w:p w:rsidR="009E3349" w:rsidRPr="005C71CA" w:rsidP="009E3349" w14:paraId="6F839759" w14:textId="77777777">
      <w:pPr>
        <w:spacing w:after="200"/>
        <w:ind w:left="360"/>
        <w:rPr>
          <w:rFonts w:eastAsia="Calibri"/>
        </w:rPr>
      </w:pPr>
      <w:r w:rsidRPr="005C71CA">
        <w:rPr>
          <w:rFonts w:eastAsia="Calibri"/>
        </w:rPr>
        <w:t>12b.  Annualized Cost Burden Estimate</w:t>
      </w:r>
    </w:p>
    <w:p w:rsidR="00FE2354" w:rsidP="003F0B3A" w14:paraId="60A848C0" w14:textId="57618708">
      <w:r>
        <w:rPr>
          <w:rStyle w:val="Footer1"/>
        </w:rPr>
        <w:t>T</w:t>
      </w:r>
      <w:r w:rsidRPr="00D03279">
        <w:rPr>
          <w:rStyle w:val="Footer1"/>
        </w:rPr>
        <w:t>here are no direct costs to the respondents themselves or to participating schools. However, the cost for administrators, teachers, and students can be ca</w:t>
      </w:r>
      <w:r>
        <w:rPr>
          <w:rStyle w:val="Footer1"/>
        </w:rPr>
        <w:t xml:space="preserve">lculated in terms of their time. </w:t>
      </w:r>
      <w:r w:rsidRPr="00D03279">
        <w:t xml:space="preserve">In each category, the estimated respondent burden </w:t>
      </w:r>
      <w:r w:rsidRPr="00074EF6">
        <w:t>hours have been multiplied by an estimated average hourly salary for persons in that category.</w:t>
      </w:r>
      <w:r w:rsidRPr="00074EF6" w:rsidR="00B90DEC">
        <w:t xml:space="preserve"> Wages are based on </w:t>
      </w:r>
      <w:r w:rsidRPr="00074EF6" w:rsidR="009333B7">
        <w:t xml:space="preserve">May </w:t>
      </w:r>
      <w:r w:rsidR="006F09F5">
        <w:t>2023</w:t>
      </w:r>
      <w:r w:rsidRPr="00074EF6" w:rsidR="009333B7">
        <w:t xml:space="preserve"> national data on </w:t>
      </w:r>
      <w:r w:rsidRPr="00074EF6" w:rsidR="00B90DEC">
        <w:t xml:space="preserve">occupational </w:t>
      </w:r>
      <w:r w:rsidRPr="00074EF6" w:rsidR="009333B7">
        <w:t xml:space="preserve">employment and </w:t>
      </w:r>
      <w:r w:rsidRPr="00074EF6" w:rsidR="00B90DEC">
        <w:t xml:space="preserve">wages </w:t>
      </w:r>
      <w:r w:rsidRPr="00074EF6" w:rsidR="009333B7">
        <w:t>published</w:t>
      </w:r>
      <w:r w:rsidRPr="00074EF6" w:rsidR="00B90DEC">
        <w:t xml:space="preserve"> by the </w:t>
      </w:r>
      <w:r w:rsidRPr="00074EF6">
        <w:t xml:space="preserve">U.S. Bureau of </w:t>
      </w:r>
      <w:r w:rsidRPr="00AD54EE">
        <w:t>Labor Statistics (</w:t>
      </w:r>
      <w:r w:rsidRPr="00AD54EE" w:rsidR="00B90DEC">
        <w:t xml:space="preserve">USBLS </w:t>
      </w:r>
      <w:r w:rsidR="006F09F5">
        <w:t>2023</w:t>
      </w:r>
      <w:r w:rsidRPr="00AD54EE">
        <w:t>). The estimated burden cost in terms of the value of time students spe</w:t>
      </w:r>
      <w:r w:rsidRPr="00E81737">
        <w:t xml:space="preserve">nd in responding are based on a minimum wage for students aged less than </w:t>
      </w:r>
      <w:r w:rsidRPr="00074EF6">
        <w:t>20 years of $4.25/hour. The total</w:t>
      </w:r>
      <w:r w:rsidRPr="00F51A12">
        <w:t xml:space="preserve"> estimated respondent burden cost for conducting the </w:t>
      </w:r>
      <w:r w:rsidR="006F09F5">
        <w:t>2026</w:t>
      </w:r>
      <w:r w:rsidRPr="00F51A12" w:rsidR="00B90DEC">
        <w:t xml:space="preserve"> </w:t>
      </w:r>
      <w:r w:rsidRPr="00DE6ED5">
        <w:t xml:space="preserve">NYTS is </w:t>
      </w:r>
      <w:r w:rsidRPr="00DE6ED5" w:rsidR="009333B7">
        <w:t>$</w:t>
      </w:r>
      <w:r w:rsidR="00B206E9">
        <w:t>131,811</w:t>
      </w:r>
      <w:r w:rsidRPr="00DE6ED5" w:rsidR="00A35E75">
        <w:t xml:space="preserve"> </w:t>
      </w:r>
      <w:r w:rsidRPr="00DE6ED5" w:rsidR="00427F5C">
        <w:t xml:space="preserve">(Table </w:t>
      </w:r>
      <w:r w:rsidR="007F46C8">
        <w:t>3</w:t>
      </w:r>
      <w:r w:rsidRPr="00F51A12" w:rsidR="00427F5C">
        <w:t>b)</w:t>
      </w:r>
      <w:r w:rsidRPr="00F51A12" w:rsidR="00AB2ACE">
        <w:t>.</w:t>
      </w:r>
      <w:r w:rsidR="008B5F23">
        <w:t xml:space="preserve"> </w:t>
      </w:r>
    </w:p>
    <w:p w:rsidR="00780837" w:rsidP="00FE2354" w14:paraId="32FBE749" w14:textId="77777777">
      <w:pPr>
        <w:ind w:firstLine="720"/>
        <w:jc w:val="center"/>
        <w:rPr>
          <w:b/>
        </w:rPr>
      </w:pPr>
    </w:p>
    <w:p w:rsidR="00D253F3" w14:paraId="04E4A6D4" w14:textId="77777777">
      <w:pPr>
        <w:rPr>
          <w:b/>
        </w:rPr>
      </w:pPr>
      <w:r>
        <w:rPr>
          <w:b/>
        </w:rPr>
        <w:br w:type="page"/>
      </w:r>
    </w:p>
    <w:p w:rsidR="00CE2D28" w:rsidP="00CE2D28" w14:paraId="7E3333E4" w14:textId="77777777">
      <w:pPr>
        <w:rPr>
          <w:b/>
        </w:rPr>
      </w:pPr>
    </w:p>
    <w:p w:rsidR="00780837" w:rsidP="00780837" w14:paraId="53E0C4B6" w14:textId="37D84366"/>
    <w:p w:rsidR="00727B63" w:rsidP="0073552C" w14:paraId="70E74FFB" w14:textId="7E9E6E0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F46FDD" w:rsidRPr="00A26958" w14:paraId="33B008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Style w:val="Footer1"/>
          <w:bCs/>
        </w:rPr>
      </w:pPr>
    </w:p>
    <w:p w:rsidR="00F46FDD" w:rsidP="73C720E6" w14:paraId="0348FCE3" w14:textId="7CE2A5B3">
      <w:pPr>
        <w:ind w:firstLine="720"/>
        <w:jc w:val="center"/>
        <w:rPr>
          <w:rStyle w:val="Footer1"/>
          <w:b/>
          <w:bCs/>
        </w:rPr>
      </w:pPr>
      <w:r w:rsidRPr="73C720E6">
        <w:rPr>
          <w:sz w:val="20"/>
          <w:szCs w:val="20"/>
        </w:rPr>
        <w:t>Table</w:t>
      </w:r>
      <w:r w:rsidRPr="73C720E6" w:rsidR="00DA6184">
        <w:rPr>
          <w:sz w:val="20"/>
          <w:szCs w:val="20"/>
        </w:rPr>
        <w:t xml:space="preserve"> 3b</w:t>
      </w:r>
      <w:r w:rsidRPr="73C720E6">
        <w:rPr>
          <w:sz w:val="20"/>
          <w:szCs w:val="20"/>
        </w:rPr>
        <w:t>—Annualized Estimated Cost to Respondents</w:t>
      </w:r>
    </w:p>
    <w:tbl>
      <w:tblPr>
        <w:tblStyle w:val="TableGrid"/>
        <w:tblW w:w="10165" w:type="dxa"/>
        <w:tblLayout w:type="fixed"/>
        <w:tblLook w:val="04A0"/>
      </w:tblPr>
      <w:tblGrid>
        <w:gridCol w:w="1615"/>
        <w:gridCol w:w="1710"/>
        <w:gridCol w:w="1350"/>
        <w:gridCol w:w="1437"/>
        <w:gridCol w:w="1713"/>
        <w:gridCol w:w="990"/>
        <w:gridCol w:w="1350"/>
      </w:tblGrid>
      <w:tr w14:paraId="7F62B71D" w14:textId="77777777" w:rsidTr="00127F1D">
        <w:tblPrEx>
          <w:tblW w:w="10165" w:type="dxa"/>
          <w:tblLayout w:type="fixed"/>
          <w:tblLook w:val="04A0"/>
        </w:tblPrEx>
        <w:trPr>
          <w:tblHeader/>
        </w:trPr>
        <w:tc>
          <w:tcPr>
            <w:tcW w:w="1615" w:type="dxa"/>
          </w:tcPr>
          <w:p w:rsidR="00127F1D" w:rsidP="00794591" w14:paraId="5CA86D1B" w14:textId="1AA199AA">
            <w:pPr>
              <w:autoSpaceDE w:val="0"/>
              <w:autoSpaceDN w:val="0"/>
              <w:adjustRightInd w:val="0"/>
              <w:rPr>
                <w:sz w:val="22"/>
                <w:szCs w:val="22"/>
                <w:lang w:eastAsia="ja-JP"/>
              </w:rPr>
            </w:pPr>
            <w:r>
              <w:rPr>
                <w:sz w:val="22"/>
                <w:szCs w:val="22"/>
                <w:lang w:eastAsia="ja-JP"/>
              </w:rPr>
              <w:t>Type of respondent</w:t>
            </w:r>
          </w:p>
        </w:tc>
        <w:tc>
          <w:tcPr>
            <w:tcW w:w="1710" w:type="dxa"/>
          </w:tcPr>
          <w:p w:rsidR="00127F1D" w:rsidRPr="00127F1D" w:rsidP="00794591" w14:paraId="446E8C96" w14:textId="04102017">
            <w:pPr>
              <w:autoSpaceDE w:val="0"/>
              <w:autoSpaceDN w:val="0"/>
              <w:adjustRightInd w:val="0"/>
              <w:rPr>
                <w:sz w:val="22"/>
                <w:szCs w:val="22"/>
                <w:highlight w:val="yellow"/>
                <w:lang w:eastAsia="ja-JP"/>
              </w:rPr>
            </w:pPr>
            <w:r w:rsidRPr="00127F1D">
              <w:rPr>
                <w:sz w:val="22"/>
                <w:szCs w:val="22"/>
                <w:lang w:eastAsia="ja-JP"/>
              </w:rPr>
              <w:t>Form name</w:t>
            </w:r>
          </w:p>
        </w:tc>
        <w:tc>
          <w:tcPr>
            <w:tcW w:w="1350" w:type="dxa"/>
          </w:tcPr>
          <w:p w:rsidR="00127F1D" w:rsidP="00794591" w14:paraId="60141FEC" w14:textId="27363BC3">
            <w:pPr>
              <w:autoSpaceDE w:val="0"/>
              <w:autoSpaceDN w:val="0"/>
              <w:adjustRightInd w:val="0"/>
              <w:rPr>
                <w:sz w:val="22"/>
                <w:szCs w:val="22"/>
                <w:lang w:eastAsia="ja-JP"/>
              </w:rPr>
            </w:pPr>
            <w:r>
              <w:rPr>
                <w:sz w:val="22"/>
                <w:szCs w:val="22"/>
                <w:lang w:eastAsia="ja-JP"/>
              </w:rPr>
              <w:t>Number of respondents</w:t>
            </w:r>
          </w:p>
        </w:tc>
        <w:tc>
          <w:tcPr>
            <w:tcW w:w="1437" w:type="dxa"/>
          </w:tcPr>
          <w:p w:rsidR="00127F1D" w:rsidP="00794591" w14:paraId="7F197ADF" w14:textId="0EE2F189">
            <w:pPr>
              <w:autoSpaceDE w:val="0"/>
              <w:autoSpaceDN w:val="0"/>
              <w:adjustRightInd w:val="0"/>
              <w:rPr>
                <w:sz w:val="22"/>
                <w:szCs w:val="22"/>
                <w:lang w:eastAsia="ja-JP"/>
              </w:rPr>
            </w:pPr>
            <w:r>
              <w:rPr>
                <w:sz w:val="22"/>
                <w:szCs w:val="22"/>
                <w:lang w:eastAsia="ja-JP"/>
              </w:rPr>
              <w:t>Number of responses per respondent</w:t>
            </w:r>
          </w:p>
        </w:tc>
        <w:tc>
          <w:tcPr>
            <w:tcW w:w="1713" w:type="dxa"/>
          </w:tcPr>
          <w:p w:rsidR="00127F1D" w:rsidP="00794591" w14:paraId="0F8BAA8F" w14:textId="6FF2CB76">
            <w:pPr>
              <w:autoSpaceDE w:val="0"/>
              <w:autoSpaceDN w:val="0"/>
              <w:adjustRightInd w:val="0"/>
              <w:rPr>
                <w:sz w:val="22"/>
                <w:szCs w:val="22"/>
                <w:lang w:eastAsia="ja-JP"/>
              </w:rPr>
            </w:pPr>
            <w:r>
              <w:rPr>
                <w:sz w:val="22"/>
                <w:szCs w:val="22"/>
                <w:lang w:eastAsia="ja-JP"/>
              </w:rPr>
              <w:t xml:space="preserve">Average burden per response (in </w:t>
            </w:r>
            <w:r>
              <w:rPr>
                <w:sz w:val="22"/>
                <w:szCs w:val="22"/>
                <w:lang w:eastAsia="ja-JP"/>
              </w:rPr>
              <w:t>hrs</w:t>
            </w:r>
            <w:r>
              <w:rPr>
                <w:sz w:val="22"/>
                <w:szCs w:val="22"/>
                <w:lang w:eastAsia="ja-JP"/>
              </w:rPr>
              <w:t>)</w:t>
            </w:r>
          </w:p>
        </w:tc>
        <w:tc>
          <w:tcPr>
            <w:tcW w:w="990" w:type="dxa"/>
          </w:tcPr>
          <w:p w:rsidR="00127F1D" w:rsidP="00794591" w14:paraId="7C1AF900" w14:textId="1C312B90">
            <w:pPr>
              <w:autoSpaceDE w:val="0"/>
              <w:autoSpaceDN w:val="0"/>
              <w:adjustRightInd w:val="0"/>
              <w:rPr>
                <w:sz w:val="22"/>
                <w:szCs w:val="22"/>
                <w:lang w:eastAsia="ja-JP"/>
              </w:rPr>
            </w:pPr>
            <w:r>
              <w:rPr>
                <w:sz w:val="22"/>
                <w:szCs w:val="22"/>
                <w:lang w:eastAsia="ja-JP"/>
              </w:rPr>
              <w:t>Hourly Wage Rate</w:t>
            </w:r>
          </w:p>
        </w:tc>
        <w:tc>
          <w:tcPr>
            <w:tcW w:w="1350" w:type="dxa"/>
          </w:tcPr>
          <w:p w:rsidR="00127F1D" w:rsidP="00794591" w14:paraId="31CF7906" w14:textId="152E9AC5">
            <w:pPr>
              <w:autoSpaceDE w:val="0"/>
              <w:autoSpaceDN w:val="0"/>
              <w:adjustRightInd w:val="0"/>
              <w:rPr>
                <w:sz w:val="22"/>
                <w:szCs w:val="22"/>
                <w:lang w:eastAsia="ja-JP"/>
              </w:rPr>
            </w:pPr>
            <w:r>
              <w:rPr>
                <w:sz w:val="22"/>
                <w:szCs w:val="22"/>
                <w:lang w:eastAsia="ja-JP"/>
              </w:rPr>
              <w:t>Total Respondent Costs</w:t>
            </w:r>
          </w:p>
        </w:tc>
      </w:tr>
      <w:tr w14:paraId="0B2C25F5" w14:textId="77777777" w:rsidTr="009E1C77">
        <w:tblPrEx>
          <w:tblW w:w="10165" w:type="dxa"/>
          <w:tblLayout w:type="fixed"/>
          <w:tblLook w:val="04A0"/>
        </w:tblPrEx>
        <w:tc>
          <w:tcPr>
            <w:tcW w:w="1615" w:type="dxa"/>
          </w:tcPr>
          <w:p w:rsidR="009E1C77" w:rsidP="009E1C77" w14:paraId="0917CEDF" w14:textId="46FF1946">
            <w:pPr>
              <w:autoSpaceDE w:val="0"/>
              <w:autoSpaceDN w:val="0"/>
              <w:adjustRightInd w:val="0"/>
              <w:rPr>
                <w:sz w:val="22"/>
                <w:szCs w:val="22"/>
                <w:lang w:eastAsia="ja-JP"/>
              </w:rPr>
            </w:pPr>
            <w:r>
              <w:rPr>
                <w:sz w:val="22"/>
                <w:szCs w:val="22"/>
                <w:lang w:eastAsia="ja-JP"/>
              </w:rPr>
              <w:t>State administrators</w:t>
            </w:r>
          </w:p>
        </w:tc>
        <w:tc>
          <w:tcPr>
            <w:tcW w:w="1710" w:type="dxa"/>
          </w:tcPr>
          <w:p w:rsidR="009E1C77" w:rsidRPr="00074EF6" w:rsidP="009E1C77" w14:paraId="7167F3E3" w14:textId="2441247B">
            <w:pPr>
              <w:autoSpaceDE w:val="0"/>
              <w:autoSpaceDN w:val="0"/>
              <w:adjustRightInd w:val="0"/>
              <w:rPr>
                <w:sz w:val="22"/>
                <w:szCs w:val="22"/>
                <w:lang w:eastAsia="ja-JP"/>
              </w:rPr>
            </w:pPr>
            <w:r w:rsidRPr="00074EF6">
              <w:rPr>
                <w:sz w:val="22"/>
                <w:szCs w:val="22"/>
                <w:lang w:eastAsia="ja-JP"/>
              </w:rPr>
              <w:t xml:space="preserve">State-level Recruitment Script </w:t>
            </w:r>
          </w:p>
        </w:tc>
        <w:tc>
          <w:tcPr>
            <w:tcW w:w="1350" w:type="dxa"/>
            <w:vAlign w:val="bottom"/>
          </w:tcPr>
          <w:p w:rsidR="009E1C77" w:rsidP="009E1C77" w14:paraId="3C04321E" w14:textId="0399E15B">
            <w:pPr>
              <w:autoSpaceDE w:val="0"/>
              <w:autoSpaceDN w:val="0"/>
              <w:adjustRightInd w:val="0"/>
              <w:jc w:val="right"/>
              <w:rPr>
                <w:sz w:val="22"/>
                <w:szCs w:val="22"/>
                <w:lang w:eastAsia="ja-JP"/>
              </w:rPr>
            </w:pPr>
            <w:r>
              <w:rPr>
                <w:sz w:val="22"/>
                <w:szCs w:val="22"/>
                <w:lang w:eastAsia="ja-JP"/>
              </w:rPr>
              <w:t>42</w:t>
            </w:r>
          </w:p>
        </w:tc>
        <w:tc>
          <w:tcPr>
            <w:tcW w:w="1437" w:type="dxa"/>
            <w:vAlign w:val="bottom"/>
          </w:tcPr>
          <w:p w:rsidR="009E1C77" w:rsidP="009E1C77" w14:paraId="08037D0C" w14:textId="2D002270">
            <w:pPr>
              <w:autoSpaceDE w:val="0"/>
              <w:autoSpaceDN w:val="0"/>
              <w:adjustRightInd w:val="0"/>
              <w:jc w:val="right"/>
              <w:rPr>
                <w:sz w:val="22"/>
                <w:szCs w:val="22"/>
                <w:lang w:eastAsia="ja-JP"/>
              </w:rPr>
            </w:pPr>
            <w:r>
              <w:rPr>
                <w:sz w:val="22"/>
                <w:szCs w:val="22"/>
                <w:lang w:eastAsia="ja-JP"/>
              </w:rPr>
              <w:t>1</w:t>
            </w:r>
          </w:p>
        </w:tc>
        <w:tc>
          <w:tcPr>
            <w:tcW w:w="1713" w:type="dxa"/>
            <w:vAlign w:val="bottom"/>
          </w:tcPr>
          <w:p w:rsidR="00F46FDD" w:rsidP="00F46FDD" w14:paraId="7051AB71" w14:textId="77777777">
            <w:pPr>
              <w:autoSpaceDE w:val="0"/>
              <w:autoSpaceDN w:val="0"/>
              <w:adjustRightInd w:val="0"/>
              <w:jc w:val="right"/>
              <w:rPr>
                <w:sz w:val="22"/>
                <w:szCs w:val="22"/>
                <w:lang w:eastAsia="ja-JP"/>
              </w:rPr>
            </w:pPr>
            <w:r>
              <w:rPr>
                <w:sz w:val="22"/>
                <w:szCs w:val="22"/>
                <w:lang w:eastAsia="ja-JP"/>
              </w:rPr>
              <w:t xml:space="preserve">0.5 </w:t>
            </w:r>
          </w:p>
          <w:p w:rsidR="009E1C77" w:rsidP="00F46FDD" w14:paraId="08E0E82A" w14:textId="03171BA3">
            <w:pPr>
              <w:autoSpaceDE w:val="0"/>
              <w:autoSpaceDN w:val="0"/>
              <w:adjustRightInd w:val="0"/>
              <w:jc w:val="right"/>
              <w:rPr>
                <w:sz w:val="22"/>
                <w:szCs w:val="22"/>
                <w:lang w:eastAsia="ja-JP"/>
              </w:rPr>
            </w:pPr>
            <w:r>
              <w:rPr>
                <w:sz w:val="22"/>
                <w:szCs w:val="22"/>
                <w:lang w:eastAsia="ja-JP"/>
              </w:rPr>
              <w:t>(30 min)</w:t>
            </w:r>
          </w:p>
        </w:tc>
        <w:tc>
          <w:tcPr>
            <w:tcW w:w="990" w:type="dxa"/>
            <w:vAlign w:val="bottom"/>
          </w:tcPr>
          <w:p w:rsidR="009E1C77" w:rsidP="009E1C77" w14:paraId="37374C94" w14:textId="288BE25B">
            <w:pPr>
              <w:autoSpaceDE w:val="0"/>
              <w:autoSpaceDN w:val="0"/>
              <w:adjustRightInd w:val="0"/>
              <w:jc w:val="right"/>
              <w:rPr>
                <w:sz w:val="22"/>
                <w:szCs w:val="22"/>
                <w:lang w:eastAsia="ja-JP"/>
              </w:rPr>
            </w:pPr>
            <w:r w:rsidRPr="008F255A">
              <w:rPr>
                <w:color w:val="000000"/>
                <w:sz w:val="22"/>
                <w:szCs w:val="22"/>
              </w:rPr>
              <w:t>$</w:t>
            </w:r>
            <w:r w:rsidR="002C1A28">
              <w:rPr>
                <w:color w:val="000000"/>
                <w:sz w:val="22"/>
                <w:szCs w:val="22"/>
              </w:rPr>
              <w:t>58.65</w:t>
            </w:r>
          </w:p>
        </w:tc>
        <w:tc>
          <w:tcPr>
            <w:tcW w:w="1350" w:type="dxa"/>
            <w:vAlign w:val="bottom"/>
          </w:tcPr>
          <w:p w:rsidR="009E1C77" w:rsidRPr="00DB76B7" w:rsidP="009E1C77" w14:paraId="5F81A1E1" w14:textId="197781FF">
            <w:pPr>
              <w:autoSpaceDE w:val="0"/>
              <w:autoSpaceDN w:val="0"/>
              <w:adjustRightInd w:val="0"/>
              <w:jc w:val="right"/>
              <w:rPr>
                <w:color w:val="0070C0"/>
                <w:sz w:val="22"/>
                <w:szCs w:val="22"/>
                <w:lang w:eastAsia="ja-JP"/>
              </w:rPr>
            </w:pPr>
            <w:r w:rsidRPr="00730335">
              <w:rPr>
                <w:sz w:val="22"/>
                <w:szCs w:val="22"/>
                <w:lang w:eastAsia="ja-JP"/>
              </w:rPr>
              <w:t>$</w:t>
            </w:r>
            <w:r w:rsidR="002E7C95">
              <w:rPr>
                <w:sz w:val="22"/>
                <w:szCs w:val="22"/>
                <w:lang w:eastAsia="ja-JP"/>
              </w:rPr>
              <w:t>1,232</w:t>
            </w:r>
          </w:p>
        </w:tc>
      </w:tr>
      <w:tr w14:paraId="530530A0" w14:textId="77777777" w:rsidTr="009E1C77">
        <w:tblPrEx>
          <w:tblW w:w="10165" w:type="dxa"/>
          <w:tblLayout w:type="fixed"/>
          <w:tblLook w:val="04A0"/>
        </w:tblPrEx>
        <w:tc>
          <w:tcPr>
            <w:tcW w:w="1615" w:type="dxa"/>
          </w:tcPr>
          <w:p w:rsidR="009E1C77" w:rsidP="009E1C77" w14:paraId="37B8ED17" w14:textId="1656029B">
            <w:pPr>
              <w:autoSpaceDE w:val="0"/>
              <w:autoSpaceDN w:val="0"/>
              <w:adjustRightInd w:val="0"/>
              <w:rPr>
                <w:sz w:val="22"/>
                <w:szCs w:val="22"/>
                <w:lang w:eastAsia="ja-JP"/>
              </w:rPr>
            </w:pPr>
            <w:r>
              <w:rPr>
                <w:sz w:val="22"/>
                <w:szCs w:val="22"/>
                <w:lang w:eastAsia="ja-JP"/>
              </w:rPr>
              <w:t>District administrators</w:t>
            </w:r>
          </w:p>
        </w:tc>
        <w:tc>
          <w:tcPr>
            <w:tcW w:w="1710" w:type="dxa"/>
          </w:tcPr>
          <w:p w:rsidR="009E1C77" w:rsidRPr="00074EF6" w:rsidP="009E1C77" w14:paraId="4C6C50F7" w14:textId="5502A932">
            <w:pPr>
              <w:autoSpaceDE w:val="0"/>
              <w:autoSpaceDN w:val="0"/>
              <w:adjustRightInd w:val="0"/>
              <w:rPr>
                <w:sz w:val="22"/>
                <w:szCs w:val="22"/>
                <w:lang w:eastAsia="ja-JP"/>
              </w:rPr>
            </w:pPr>
            <w:r w:rsidRPr="00074EF6">
              <w:rPr>
                <w:sz w:val="22"/>
                <w:szCs w:val="22"/>
                <w:lang w:eastAsia="ja-JP"/>
              </w:rPr>
              <w:t xml:space="preserve">District-level Recruitment Script </w:t>
            </w:r>
          </w:p>
        </w:tc>
        <w:tc>
          <w:tcPr>
            <w:tcW w:w="1350" w:type="dxa"/>
            <w:vAlign w:val="bottom"/>
          </w:tcPr>
          <w:p w:rsidR="009E1C77" w:rsidP="009E1C77" w14:paraId="726AE3C0" w14:textId="18C2E250">
            <w:pPr>
              <w:autoSpaceDE w:val="0"/>
              <w:autoSpaceDN w:val="0"/>
              <w:adjustRightInd w:val="0"/>
              <w:jc w:val="right"/>
              <w:rPr>
                <w:sz w:val="22"/>
                <w:szCs w:val="22"/>
                <w:lang w:eastAsia="ja-JP"/>
              </w:rPr>
            </w:pPr>
            <w:r>
              <w:rPr>
                <w:sz w:val="22"/>
                <w:szCs w:val="22"/>
                <w:lang w:eastAsia="ja-JP"/>
              </w:rPr>
              <w:t>384</w:t>
            </w:r>
          </w:p>
        </w:tc>
        <w:tc>
          <w:tcPr>
            <w:tcW w:w="1437" w:type="dxa"/>
            <w:vAlign w:val="bottom"/>
          </w:tcPr>
          <w:p w:rsidR="009E1C77" w:rsidP="009E1C77" w14:paraId="09B03CA8" w14:textId="164E95EA">
            <w:pPr>
              <w:autoSpaceDE w:val="0"/>
              <w:autoSpaceDN w:val="0"/>
              <w:adjustRightInd w:val="0"/>
              <w:jc w:val="right"/>
              <w:rPr>
                <w:sz w:val="22"/>
                <w:szCs w:val="22"/>
                <w:lang w:eastAsia="ja-JP"/>
              </w:rPr>
            </w:pPr>
            <w:r>
              <w:rPr>
                <w:sz w:val="22"/>
                <w:szCs w:val="22"/>
                <w:lang w:eastAsia="ja-JP"/>
              </w:rPr>
              <w:t>1</w:t>
            </w:r>
          </w:p>
        </w:tc>
        <w:tc>
          <w:tcPr>
            <w:tcW w:w="1713" w:type="dxa"/>
            <w:vAlign w:val="bottom"/>
          </w:tcPr>
          <w:p w:rsidR="00F46FDD" w:rsidP="00F46FDD" w14:paraId="1A0B4D11" w14:textId="77777777">
            <w:pPr>
              <w:autoSpaceDE w:val="0"/>
              <w:autoSpaceDN w:val="0"/>
              <w:adjustRightInd w:val="0"/>
              <w:jc w:val="right"/>
              <w:rPr>
                <w:sz w:val="22"/>
                <w:szCs w:val="22"/>
                <w:lang w:eastAsia="ja-JP"/>
              </w:rPr>
            </w:pPr>
            <w:r>
              <w:rPr>
                <w:sz w:val="22"/>
                <w:szCs w:val="22"/>
                <w:lang w:eastAsia="ja-JP"/>
              </w:rPr>
              <w:t xml:space="preserve">0.5 </w:t>
            </w:r>
          </w:p>
          <w:p w:rsidR="009E1C77" w:rsidP="00F46FDD" w14:paraId="4913AEE8" w14:textId="0770E644">
            <w:pPr>
              <w:autoSpaceDE w:val="0"/>
              <w:autoSpaceDN w:val="0"/>
              <w:adjustRightInd w:val="0"/>
              <w:jc w:val="right"/>
              <w:rPr>
                <w:sz w:val="22"/>
                <w:szCs w:val="22"/>
                <w:lang w:eastAsia="ja-JP"/>
              </w:rPr>
            </w:pPr>
            <w:r>
              <w:rPr>
                <w:sz w:val="22"/>
                <w:szCs w:val="22"/>
                <w:lang w:eastAsia="ja-JP"/>
              </w:rPr>
              <w:t>(30 min)</w:t>
            </w:r>
          </w:p>
        </w:tc>
        <w:tc>
          <w:tcPr>
            <w:tcW w:w="990" w:type="dxa"/>
            <w:vAlign w:val="bottom"/>
          </w:tcPr>
          <w:p w:rsidR="009E1C77" w:rsidP="009E1C77" w14:paraId="1329C4C3" w14:textId="113E71F5">
            <w:pPr>
              <w:autoSpaceDE w:val="0"/>
              <w:autoSpaceDN w:val="0"/>
              <w:adjustRightInd w:val="0"/>
              <w:jc w:val="right"/>
              <w:rPr>
                <w:sz w:val="22"/>
                <w:szCs w:val="22"/>
                <w:lang w:eastAsia="ja-JP"/>
              </w:rPr>
            </w:pPr>
            <w:r w:rsidRPr="008F255A">
              <w:rPr>
                <w:color w:val="000000"/>
                <w:sz w:val="22"/>
                <w:szCs w:val="22"/>
              </w:rPr>
              <w:t>$</w:t>
            </w:r>
            <w:r w:rsidR="002E7C95">
              <w:rPr>
                <w:color w:val="000000"/>
                <w:sz w:val="22"/>
                <w:szCs w:val="22"/>
              </w:rPr>
              <w:t>58.65</w:t>
            </w:r>
          </w:p>
        </w:tc>
        <w:tc>
          <w:tcPr>
            <w:tcW w:w="1350" w:type="dxa"/>
            <w:vAlign w:val="bottom"/>
          </w:tcPr>
          <w:p w:rsidR="009E1C77" w:rsidRPr="00730335" w:rsidP="009E1C77" w14:paraId="446E3572" w14:textId="23A680C6">
            <w:pPr>
              <w:autoSpaceDE w:val="0"/>
              <w:autoSpaceDN w:val="0"/>
              <w:adjustRightInd w:val="0"/>
              <w:jc w:val="right"/>
              <w:rPr>
                <w:sz w:val="22"/>
                <w:szCs w:val="22"/>
                <w:lang w:eastAsia="ja-JP"/>
              </w:rPr>
            </w:pPr>
            <w:r w:rsidRPr="00730335">
              <w:rPr>
                <w:sz w:val="22"/>
                <w:szCs w:val="22"/>
                <w:lang w:eastAsia="ja-JP"/>
              </w:rPr>
              <w:t>$</w:t>
            </w:r>
            <w:r w:rsidR="002E7C95">
              <w:rPr>
                <w:sz w:val="22"/>
                <w:szCs w:val="22"/>
                <w:lang w:eastAsia="ja-JP"/>
              </w:rPr>
              <w:t>11,261</w:t>
            </w:r>
          </w:p>
        </w:tc>
      </w:tr>
      <w:tr w14:paraId="246E724B" w14:textId="77777777" w:rsidTr="009E1C77">
        <w:tblPrEx>
          <w:tblW w:w="10165" w:type="dxa"/>
          <w:tblLayout w:type="fixed"/>
          <w:tblLook w:val="04A0"/>
        </w:tblPrEx>
        <w:tc>
          <w:tcPr>
            <w:tcW w:w="1615" w:type="dxa"/>
          </w:tcPr>
          <w:p w:rsidR="009E1C77" w:rsidP="009E1C77" w14:paraId="09275EA4" w14:textId="06DC8278">
            <w:pPr>
              <w:autoSpaceDE w:val="0"/>
              <w:autoSpaceDN w:val="0"/>
              <w:adjustRightInd w:val="0"/>
              <w:rPr>
                <w:sz w:val="22"/>
                <w:szCs w:val="22"/>
                <w:lang w:eastAsia="ja-JP"/>
              </w:rPr>
            </w:pPr>
            <w:r>
              <w:rPr>
                <w:sz w:val="22"/>
                <w:szCs w:val="22"/>
                <w:lang w:eastAsia="ja-JP"/>
              </w:rPr>
              <w:t>School administrators</w:t>
            </w:r>
          </w:p>
        </w:tc>
        <w:tc>
          <w:tcPr>
            <w:tcW w:w="1710" w:type="dxa"/>
          </w:tcPr>
          <w:p w:rsidR="009E1C77" w:rsidRPr="00074EF6" w:rsidP="009E1C77" w14:paraId="46667E5D" w14:textId="2F3FD53D">
            <w:pPr>
              <w:autoSpaceDE w:val="0"/>
              <w:autoSpaceDN w:val="0"/>
              <w:adjustRightInd w:val="0"/>
              <w:rPr>
                <w:sz w:val="22"/>
                <w:szCs w:val="22"/>
                <w:lang w:eastAsia="ja-JP"/>
              </w:rPr>
            </w:pPr>
            <w:r w:rsidRPr="00074EF6">
              <w:rPr>
                <w:sz w:val="22"/>
                <w:szCs w:val="22"/>
                <w:lang w:eastAsia="ja-JP"/>
              </w:rPr>
              <w:t xml:space="preserve">School-level Recruitment Script </w:t>
            </w:r>
          </w:p>
        </w:tc>
        <w:tc>
          <w:tcPr>
            <w:tcW w:w="1350" w:type="dxa"/>
            <w:vAlign w:val="bottom"/>
          </w:tcPr>
          <w:p w:rsidR="009E1C77" w:rsidP="009E1C77" w14:paraId="650A85E2" w14:textId="45A6EB52">
            <w:pPr>
              <w:autoSpaceDE w:val="0"/>
              <w:autoSpaceDN w:val="0"/>
              <w:adjustRightInd w:val="0"/>
              <w:jc w:val="right"/>
              <w:rPr>
                <w:sz w:val="22"/>
                <w:szCs w:val="22"/>
                <w:lang w:eastAsia="ja-JP"/>
              </w:rPr>
            </w:pPr>
            <w:r>
              <w:rPr>
                <w:sz w:val="22"/>
                <w:szCs w:val="22"/>
                <w:lang w:eastAsia="ja-JP"/>
              </w:rPr>
              <w:t>546</w:t>
            </w:r>
          </w:p>
        </w:tc>
        <w:tc>
          <w:tcPr>
            <w:tcW w:w="1437" w:type="dxa"/>
            <w:vAlign w:val="bottom"/>
          </w:tcPr>
          <w:p w:rsidR="009E1C77" w:rsidP="009E1C77" w14:paraId="5FBF0F9C" w14:textId="2393A45F">
            <w:pPr>
              <w:autoSpaceDE w:val="0"/>
              <w:autoSpaceDN w:val="0"/>
              <w:adjustRightInd w:val="0"/>
              <w:jc w:val="right"/>
              <w:rPr>
                <w:sz w:val="22"/>
                <w:szCs w:val="22"/>
                <w:lang w:eastAsia="ja-JP"/>
              </w:rPr>
            </w:pPr>
            <w:r>
              <w:rPr>
                <w:sz w:val="22"/>
                <w:szCs w:val="22"/>
                <w:lang w:eastAsia="ja-JP"/>
              </w:rPr>
              <w:t>1</w:t>
            </w:r>
          </w:p>
        </w:tc>
        <w:tc>
          <w:tcPr>
            <w:tcW w:w="1713" w:type="dxa"/>
            <w:vAlign w:val="bottom"/>
          </w:tcPr>
          <w:p w:rsidR="00F46FDD" w:rsidP="00F46FDD" w14:paraId="600420C1" w14:textId="77777777">
            <w:pPr>
              <w:autoSpaceDE w:val="0"/>
              <w:autoSpaceDN w:val="0"/>
              <w:adjustRightInd w:val="0"/>
              <w:jc w:val="right"/>
              <w:rPr>
                <w:sz w:val="22"/>
                <w:szCs w:val="22"/>
                <w:lang w:eastAsia="ja-JP"/>
              </w:rPr>
            </w:pPr>
            <w:r>
              <w:rPr>
                <w:sz w:val="22"/>
                <w:szCs w:val="22"/>
                <w:lang w:eastAsia="ja-JP"/>
              </w:rPr>
              <w:t xml:space="preserve">0.5 </w:t>
            </w:r>
          </w:p>
          <w:p w:rsidR="009E1C77" w:rsidP="00F46FDD" w14:paraId="3FC6ABB7" w14:textId="2F9E75E4">
            <w:pPr>
              <w:autoSpaceDE w:val="0"/>
              <w:autoSpaceDN w:val="0"/>
              <w:adjustRightInd w:val="0"/>
              <w:jc w:val="right"/>
              <w:rPr>
                <w:sz w:val="22"/>
                <w:szCs w:val="22"/>
                <w:lang w:eastAsia="ja-JP"/>
              </w:rPr>
            </w:pPr>
            <w:r>
              <w:rPr>
                <w:sz w:val="22"/>
                <w:szCs w:val="22"/>
                <w:lang w:eastAsia="ja-JP"/>
              </w:rPr>
              <w:t>(30 min)</w:t>
            </w:r>
          </w:p>
        </w:tc>
        <w:tc>
          <w:tcPr>
            <w:tcW w:w="990" w:type="dxa"/>
            <w:vAlign w:val="bottom"/>
          </w:tcPr>
          <w:p w:rsidR="009E1C77" w:rsidP="009E1C77" w14:paraId="43B64F5E" w14:textId="6D1D8225">
            <w:pPr>
              <w:autoSpaceDE w:val="0"/>
              <w:autoSpaceDN w:val="0"/>
              <w:adjustRightInd w:val="0"/>
              <w:jc w:val="right"/>
              <w:rPr>
                <w:sz w:val="22"/>
                <w:szCs w:val="22"/>
                <w:lang w:eastAsia="ja-JP"/>
              </w:rPr>
            </w:pPr>
            <w:r w:rsidRPr="008F255A">
              <w:rPr>
                <w:color w:val="000000"/>
                <w:sz w:val="22"/>
                <w:szCs w:val="22"/>
              </w:rPr>
              <w:t>$</w:t>
            </w:r>
            <w:r w:rsidR="002E7C95">
              <w:rPr>
                <w:color w:val="000000"/>
                <w:sz w:val="22"/>
                <w:szCs w:val="22"/>
              </w:rPr>
              <w:t>53.75</w:t>
            </w:r>
          </w:p>
        </w:tc>
        <w:tc>
          <w:tcPr>
            <w:tcW w:w="1350" w:type="dxa"/>
            <w:vAlign w:val="bottom"/>
          </w:tcPr>
          <w:p w:rsidR="009E1C77" w:rsidRPr="00DB76B7" w:rsidP="009E1C77" w14:paraId="440F925A" w14:textId="2016A8E0">
            <w:pPr>
              <w:autoSpaceDE w:val="0"/>
              <w:autoSpaceDN w:val="0"/>
              <w:adjustRightInd w:val="0"/>
              <w:jc w:val="right"/>
              <w:rPr>
                <w:color w:val="0070C0"/>
                <w:sz w:val="22"/>
                <w:szCs w:val="22"/>
                <w:lang w:eastAsia="ja-JP"/>
              </w:rPr>
            </w:pPr>
            <w:r w:rsidRPr="00730335">
              <w:rPr>
                <w:sz w:val="22"/>
                <w:szCs w:val="22"/>
                <w:lang w:eastAsia="ja-JP"/>
              </w:rPr>
              <w:t>$</w:t>
            </w:r>
            <w:r w:rsidR="002E7C95">
              <w:rPr>
                <w:sz w:val="22"/>
                <w:szCs w:val="22"/>
                <w:lang w:eastAsia="ja-JP"/>
              </w:rPr>
              <w:t>14,674</w:t>
            </w:r>
          </w:p>
        </w:tc>
      </w:tr>
      <w:tr w14:paraId="2D8AD0AC" w14:textId="77777777" w:rsidTr="00730335">
        <w:tblPrEx>
          <w:tblW w:w="10165" w:type="dxa"/>
          <w:tblLayout w:type="fixed"/>
          <w:tblLook w:val="04A0"/>
        </w:tblPrEx>
        <w:tc>
          <w:tcPr>
            <w:tcW w:w="1615" w:type="dxa"/>
            <w:tcBorders>
              <w:bottom w:val="single" w:sz="4" w:space="0" w:color="auto"/>
            </w:tcBorders>
          </w:tcPr>
          <w:p w:rsidR="009E1C77" w:rsidRPr="00A30B52" w:rsidP="009E1C77" w14:paraId="3C237ACB" w14:textId="60F29418">
            <w:pPr>
              <w:autoSpaceDE w:val="0"/>
              <w:autoSpaceDN w:val="0"/>
              <w:adjustRightInd w:val="0"/>
              <w:rPr>
                <w:sz w:val="22"/>
                <w:szCs w:val="22"/>
                <w:lang w:eastAsia="ja-JP"/>
              </w:rPr>
            </w:pPr>
            <w:r w:rsidRPr="00A30B52">
              <w:rPr>
                <w:sz w:val="22"/>
                <w:szCs w:val="22"/>
                <w:lang w:eastAsia="ja-JP"/>
              </w:rPr>
              <w:t>Teachers</w:t>
            </w:r>
          </w:p>
        </w:tc>
        <w:tc>
          <w:tcPr>
            <w:tcW w:w="1710" w:type="dxa"/>
          </w:tcPr>
          <w:p w:rsidR="009E1C77" w:rsidRPr="00074EF6" w:rsidP="009E1C77" w14:paraId="382A8587" w14:textId="4A17E81A">
            <w:pPr>
              <w:autoSpaceDE w:val="0"/>
              <w:autoSpaceDN w:val="0"/>
              <w:adjustRightInd w:val="0"/>
              <w:rPr>
                <w:sz w:val="22"/>
                <w:szCs w:val="22"/>
                <w:lang w:eastAsia="ja-JP"/>
              </w:rPr>
            </w:pPr>
            <w:r w:rsidRPr="00074EF6">
              <w:rPr>
                <w:sz w:val="22"/>
                <w:szCs w:val="22"/>
                <w:lang w:eastAsia="ja-JP"/>
              </w:rPr>
              <w:t>Data Collection</w:t>
            </w:r>
            <w:r w:rsidRPr="00074EF6" w:rsidR="00744EDF">
              <w:rPr>
                <w:sz w:val="22"/>
                <w:szCs w:val="22"/>
                <w:lang w:eastAsia="ja-JP"/>
              </w:rPr>
              <w:t xml:space="preserve"> Administration Script</w:t>
            </w:r>
          </w:p>
        </w:tc>
        <w:tc>
          <w:tcPr>
            <w:tcW w:w="1350" w:type="dxa"/>
            <w:vAlign w:val="bottom"/>
          </w:tcPr>
          <w:p w:rsidR="009E1C77" w:rsidRPr="00A30B52" w:rsidP="009E1C77" w14:paraId="52516655" w14:textId="5FD51BD9">
            <w:pPr>
              <w:autoSpaceDE w:val="0"/>
              <w:autoSpaceDN w:val="0"/>
              <w:adjustRightInd w:val="0"/>
              <w:jc w:val="right"/>
              <w:rPr>
                <w:sz w:val="22"/>
                <w:szCs w:val="22"/>
                <w:lang w:eastAsia="ja-JP"/>
              </w:rPr>
            </w:pPr>
            <w:r>
              <w:rPr>
                <w:sz w:val="22"/>
                <w:szCs w:val="22"/>
                <w:lang w:eastAsia="ja-JP"/>
              </w:rPr>
              <w:t>1,365</w:t>
            </w:r>
          </w:p>
        </w:tc>
        <w:tc>
          <w:tcPr>
            <w:tcW w:w="1437" w:type="dxa"/>
            <w:vAlign w:val="bottom"/>
          </w:tcPr>
          <w:p w:rsidR="009E1C77" w:rsidRPr="00A30B52" w:rsidP="009E1C77" w14:paraId="17CFA000" w14:textId="515D1E00">
            <w:pPr>
              <w:autoSpaceDE w:val="0"/>
              <w:autoSpaceDN w:val="0"/>
              <w:adjustRightInd w:val="0"/>
              <w:jc w:val="right"/>
              <w:rPr>
                <w:sz w:val="22"/>
                <w:szCs w:val="22"/>
                <w:lang w:eastAsia="ja-JP"/>
              </w:rPr>
            </w:pPr>
            <w:r w:rsidRPr="00917EAC">
              <w:rPr>
                <w:sz w:val="22"/>
                <w:szCs w:val="22"/>
                <w:lang w:eastAsia="ja-JP"/>
              </w:rPr>
              <w:t>1</w:t>
            </w:r>
          </w:p>
        </w:tc>
        <w:tc>
          <w:tcPr>
            <w:tcW w:w="1713" w:type="dxa"/>
            <w:vAlign w:val="bottom"/>
          </w:tcPr>
          <w:p w:rsidR="00F46FDD" w:rsidP="00F46FDD" w14:paraId="49846D1B" w14:textId="77777777">
            <w:pPr>
              <w:autoSpaceDE w:val="0"/>
              <w:autoSpaceDN w:val="0"/>
              <w:adjustRightInd w:val="0"/>
              <w:jc w:val="right"/>
              <w:rPr>
                <w:sz w:val="22"/>
                <w:szCs w:val="22"/>
                <w:lang w:eastAsia="ja-JP"/>
              </w:rPr>
            </w:pPr>
            <w:r>
              <w:rPr>
                <w:sz w:val="22"/>
                <w:szCs w:val="22"/>
                <w:lang w:eastAsia="ja-JP"/>
              </w:rPr>
              <w:t xml:space="preserve">0.25 </w:t>
            </w:r>
          </w:p>
          <w:p w:rsidR="009E1C77" w:rsidRPr="00A30B52" w:rsidP="00F46FDD" w14:paraId="1339E0AB" w14:textId="0D9A4FEB">
            <w:pPr>
              <w:autoSpaceDE w:val="0"/>
              <w:autoSpaceDN w:val="0"/>
              <w:adjustRightInd w:val="0"/>
              <w:jc w:val="right"/>
              <w:rPr>
                <w:sz w:val="22"/>
                <w:szCs w:val="22"/>
                <w:lang w:eastAsia="ja-JP"/>
              </w:rPr>
            </w:pPr>
            <w:r>
              <w:rPr>
                <w:sz w:val="22"/>
                <w:szCs w:val="22"/>
                <w:lang w:eastAsia="ja-JP"/>
              </w:rPr>
              <w:t>(15 min)</w:t>
            </w:r>
          </w:p>
        </w:tc>
        <w:tc>
          <w:tcPr>
            <w:tcW w:w="990" w:type="dxa"/>
            <w:vAlign w:val="bottom"/>
          </w:tcPr>
          <w:p w:rsidR="009E1C77" w:rsidRPr="00A30B52" w:rsidP="00730335" w14:paraId="2E6CAA3B" w14:textId="73F8960D">
            <w:pPr>
              <w:autoSpaceDE w:val="0"/>
              <w:autoSpaceDN w:val="0"/>
              <w:adjustRightInd w:val="0"/>
              <w:jc w:val="right"/>
              <w:rPr>
                <w:sz w:val="22"/>
                <w:szCs w:val="22"/>
                <w:lang w:eastAsia="ja-JP"/>
              </w:rPr>
            </w:pPr>
            <w:r w:rsidRPr="008B5F23">
              <w:rPr>
                <w:color w:val="000000"/>
                <w:sz w:val="22"/>
                <w:szCs w:val="22"/>
              </w:rPr>
              <w:t>$</w:t>
            </w:r>
            <w:r w:rsidR="005F33BA">
              <w:rPr>
                <w:color w:val="000000"/>
                <w:sz w:val="22"/>
                <w:szCs w:val="22"/>
              </w:rPr>
              <w:t>35.48</w:t>
            </w:r>
            <w:r w:rsidRPr="008B5F23">
              <w:rPr>
                <w:color w:val="000000"/>
                <w:sz w:val="22"/>
                <w:szCs w:val="22"/>
              </w:rPr>
              <w:t xml:space="preserve"> </w:t>
            </w:r>
          </w:p>
        </w:tc>
        <w:tc>
          <w:tcPr>
            <w:tcW w:w="1350" w:type="dxa"/>
            <w:vAlign w:val="bottom"/>
          </w:tcPr>
          <w:p w:rsidR="009E1C77" w:rsidRPr="00DB76B7" w:rsidP="009E1C77" w14:paraId="19CB766C" w14:textId="00A4D145">
            <w:pPr>
              <w:autoSpaceDE w:val="0"/>
              <w:autoSpaceDN w:val="0"/>
              <w:adjustRightInd w:val="0"/>
              <w:jc w:val="right"/>
              <w:rPr>
                <w:color w:val="0070C0"/>
                <w:sz w:val="22"/>
                <w:szCs w:val="22"/>
                <w:lang w:eastAsia="ja-JP"/>
              </w:rPr>
            </w:pPr>
            <w:r w:rsidRPr="00730335">
              <w:rPr>
                <w:sz w:val="22"/>
                <w:szCs w:val="22"/>
                <w:lang w:eastAsia="ja-JP"/>
              </w:rPr>
              <w:t>$</w:t>
            </w:r>
            <w:r w:rsidR="005F33BA">
              <w:rPr>
                <w:sz w:val="22"/>
                <w:szCs w:val="22"/>
                <w:lang w:eastAsia="ja-JP"/>
              </w:rPr>
              <w:t>12,108</w:t>
            </w:r>
          </w:p>
        </w:tc>
      </w:tr>
      <w:tr w14:paraId="7378B9D2" w14:textId="77777777" w:rsidTr="005843EE">
        <w:tblPrEx>
          <w:tblW w:w="10165" w:type="dxa"/>
          <w:tblLayout w:type="fixed"/>
          <w:tblLook w:val="04A0"/>
        </w:tblPrEx>
        <w:tc>
          <w:tcPr>
            <w:tcW w:w="1615" w:type="dxa"/>
            <w:tcBorders>
              <w:bottom w:val="nil"/>
            </w:tcBorders>
          </w:tcPr>
          <w:p w:rsidR="009E1C77" w:rsidP="009E1C77" w14:paraId="41741C3E" w14:textId="26747CE8">
            <w:pPr>
              <w:autoSpaceDE w:val="0"/>
              <w:autoSpaceDN w:val="0"/>
              <w:adjustRightInd w:val="0"/>
              <w:rPr>
                <w:sz w:val="22"/>
                <w:szCs w:val="22"/>
                <w:lang w:eastAsia="ja-JP"/>
              </w:rPr>
            </w:pPr>
            <w:r>
              <w:rPr>
                <w:sz w:val="22"/>
                <w:szCs w:val="22"/>
                <w:lang w:eastAsia="ja-JP"/>
              </w:rPr>
              <w:t>Students</w:t>
            </w:r>
          </w:p>
        </w:tc>
        <w:tc>
          <w:tcPr>
            <w:tcW w:w="1710" w:type="dxa"/>
          </w:tcPr>
          <w:p w:rsidR="009E1C77" w:rsidP="009E1C77" w14:paraId="1E6C547C" w14:textId="693AEAF5">
            <w:pPr>
              <w:autoSpaceDE w:val="0"/>
              <w:autoSpaceDN w:val="0"/>
              <w:adjustRightInd w:val="0"/>
              <w:rPr>
                <w:sz w:val="22"/>
                <w:szCs w:val="22"/>
                <w:lang w:eastAsia="ja-JP"/>
              </w:rPr>
            </w:pPr>
            <w:r>
              <w:rPr>
                <w:sz w:val="22"/>
                <w:szCs w:val="22"/>
                <w:lang w:eastAsia="ja-JP"/>
              </w:rPr>
              <w:t>National Youth Tobacco Survey</w:t>
            </w:r>
          </w:p>
        </w:tc>
        <w:tc>
          <w:tcPr>
            <w:tcW w:w="1350" w:type="dxa"/>
            <w:vAlign w:val="bottom"/>
          </w:tcPr>
          <w:p w:rsidR="009E1C77" w:rsidP="009E1C77" w14:paraId="3CF1EA58" w14:textId="79EB611C">
            <w:pPr>
              <w:autoSpaceDE w:val="0"/>
              <w:autoSpaceDN w:val="0"/>
              <w:adjustRightInd w:val="0"/>
              <w:jc w:val="right"/>
              <w:rPr>
                <w:sz w:val="22"/>
                <w:szCs w:val="22"/>
                <w:lang w:eastAsia="ja-JP"/>
              </w:rPr>
            </w:pPr>
            <w:r>
              <w:rPr>
                <w:sz w:val="22"/>
                <w:szCs w:val="22"/>
                <w:lang w:eastAsia="ja-JP"/>
              </w:rPr>
              <w:t>28,704</w:t>
            </w:r>
          </w:p>
        </w:tc>
        <w:tc>
          <w:tcPr>
            <w:tcW w:w="1437" w:type="dxa"/>
            <w:vAlign w:val="bottom"/>
          </w:tcPr>
          <w:p w:rsidR="009E1C77" w:rsidP="009E1C77" w14:paraId="27B80EE2" w14:textId="6C1FA919">
            <w:pPr>
              <w:autoSpaceDE w:val="0"/>
              <w:autoSpaceDN w:val="0"/>
              <w:adjustRightInd w:val="0"/>
              <w:jc w:val="right"/>
              <w:rPr>
                <w:sz w:val="22"/>
                <w:szCs w:val="22"/>
                <w:lang w:eastAsia="ja-JP"/>
              </w:rPr>
            </w:pPr>
            <w:r>
              <w:rPr>
                <w:sz w:val="22"/>
                <w:szCs w:val="22"/>
                <w:lang w:eastAsia="ja-JP"/>
              </w:rPr>
              <w:t>1</w:t>
            </w:r>
          </w:p>
        </w:tc>
        <w:tc>
          <w:tcPr>
            <w:tcW w:w="1713" w:type="dxa"/>
            <w:vAlign w:val="bottom"/>
          </w:tcPr>
          <w:p w:rsidR="00F46FDD" w:rsidP="00F46FDD" w14:paraId="35ED9923" w14:textId="77777777">
            <w:pPr>
              <w:autoSpaceDE w:val="0"/>
              <w:autoSpaceDN w:val="0"/>
              <w:adjustRightInd w:val="0"/>
              <w:jc w:val="right"/>
              <w:rPr>
                <w:sz w:val="22"/>
                <w:szCs w:val="22"/>
                <w:lang w:eastAsia="ja-JP"/>
              </w:rPr>
            </w:pPr>
            <w:r>
              <w:rPr>
                <w:sz w:val="22"/>
                <w:szCs w:val="22"/>
                <w:lang w:eastAsia="ja-JP"/>
              </w:rPr>
              <w:t xml:space="preserve">0.75 </w:t>
            </w:r>
          </w:p>
          <w:p w:rsidR="009E1C77" w:rsidP="00F46FDD" w14:paraId="5B1FB091" w14:textId="55F9687B">
            <w:pPr>
              <w:autoSpaceDE w:val="0"/>
              <w:autoSpaceDN w:val="0"/>
              <w:adjustRightInd w:val="0"/>
              <w:jc w:val="right"/>
              <w:rPr>
                <w:sz w:val="22"/>
                <w:szCs w:val="22"/>
                <w:lang w:eastAsia="ja-JP"/>
              </w:rPr>
            </w:pPr>
            <w:r>
              <w:rPr>
                <w:sz w:val="22"/>
                <w:szCs w:val="22"/>
                <w:lang w:eastAsia="ja-JP"/>
              </w:rPr>
              <w:t>(45 min)</w:t>
            </w:r>
          </w:p>
        </w:tc>
        <w:tc>
          <w:tcPr>
            <w:tcW w:w="990" w:type="dxa"/>
            <w:vAlign w:val="bottom"/>
          </w:tcPr>
          <w:p w:rsidR="009E1C77" w:rsidP="009E1C77" w14:paraId="69C59AEB" w14:textId="2F0C7A81">
            <w:pPr>
              <w:autoSpaceDE w:val="0"/>
              <w:autoSpaceDN w:val="0"/>
              <w:adjustRightInd w:val="0"/>
              <w:jc w:val="right"/>
              <w:rPr>
                <w:sz w:val="22"/>
                <w:szCs w:val="22"/>
                <w:lang w:eastAsia="ja-JP"/>
              </w:rPr>
            </w:pPr>
            <w:r>
              <w:rPr>
                <w:sz w:val="22"/>
                <w:szCs w:val="22"/>
                <w:lang w:eastAsia="ja-JP"/>
              </w:rPr>
              <w:t>$4.25</w:t>
            </w:r>
          </w:p>
        </w:tc>
        <w:tc>
          <w:tcPr>
            <w:tcW w:w="1350" w:type="dxa"/>
            <w:vAlign w:val="bottom"/>
          </w:tcPr>
          <w:p w:rsidR="009E1C77" w:rsidRPr="00DB76B7" w:rsidP="009E1C77" w14:paraId="5CD506F5" w14:textId="5C2A1385">
            <w:pPr>
              <w:autoSpaceDE w:val="0"/>
              <w:autoSpaceDN w:val="0"/>
              <w:adjustRightInd w:val="0"/>
              <w:jc w:val="right"/>
              <w:rPr>
                <w:color w:val="0070C0"/>
                <w:sz w:val="22"/>
                <w:szCs w:val="22"/>
                <w:lang w:eastAsia="ja-JP"/>
              </w:rPr>
            </w:pPr>
            <w:r w:rsidRPr="009E1C77">
              <w:rPr>
                <w:sz w:val="22"/>
                <w:szCs w:val="22"/>
                <w:lang w:eastAsia="ja-JP"/>
              </w:rPr>
              <w:t>$</w:t>
            </w:r>
            <w:r w:rsidR="005F33BA">
              <w:rPr>
                <w:sz w:val="22"/>
                <w:szCs w:val="22"/>
                <w:lang w:eastAsia="ja-JP"/>
              </w:rPr>
              <w:t>91,494</w:t>
            </w:r>
          </w:p>
        </w:tc>
      </w:tr>
      <w:tr w14:paraId="58E24905" w14:textId="77777777" w:rsidTr="005843EE">
        <w:tblPrEx>
          <w:tblW w:w="10165" w:type="dxa"/>
          <w:tblLayout w:type="fixed"/>
          <w:tblLook w:val="04A0"/>
        </w:tblPrEx>
        <w:tc>
          <w:tcPr>
            <w:tcW w:w="1615" w:type="dxa"/>
            <w:tcBorders>
              <w:top w:val="nil"/>
              <w:bottom w:val="nil"/>
            </w:tcBorders>
          </w:tcPr>
          <w:p w:rsidR="009E1C77" w:rsidP="009E1C77" w14:paraId="797D9ECD" w14:textId="084ACCEA">
            <w:pPr>
              <w:autoSpaceDE w:val="0"/>
              <w:autoSpaceDN w:val="0"/>
              <w:adjustRightInd w:val="0"/>
              <w:rPr>
                <w:sz w:val="22"/>
                <w:szCs w:val="22"/>
                <w:lang w:eastAsia="ja-JP"/>
              </w:rPr>
            </w:pPr>
          </w:p>
        </w:tc>
        <w:tc>
          <w:tcPr>
            <w:tcW w:w="1710" w:type="dxa"/>
          </w:tcPr>
          <w:p w:rsidR="009E1C77" w:rsidP="009E1C77" w14:paraId="634225DE" w14:textId="02C7FCA3">
            <w:pPr>
              <w:autoSpaceDE w:val="0"/>
              <w:autoSpaceDN w:val="0"/>
              <w:adjustRightInd w:val="0"/>
              <w:rPr>
                <w:sz w:val="22"/>
                <w:szCs w:val="22"/>
                <w:lang w:eastAsia="ja-JP"/>
              </w:rPr>
            </w:pPr>
            <w:r>
              <w:rPr>
                <w:sz w:val="22"/>
                <w:szCs w:val="22"/>
                <w:lang w:eastAsia="ja-JP"/>
              </w:rPr>
              <w:t xml:space="preserve">Screening for Cognitive Interviews </w:t>
            </w:r>
          </w:p>
        </w:tc>
        <w:tc>
          <w:tcPr>
            <w:tcW w:w="1350" w:type="dxa"/>
            <w:vAlign w:val="bottom"/>
          </w:tcPr>
          <w:p w:rsidR="009E1C77" w:rsidP="009E1C77" w14:paraId="7BB3982D" w14:textId="5035EDD7">
            <w:pPr>
              <w:autoSpaceDE w:val="0"/>
              <w:autoSpaceDN w:val="0"/>
              <w:adjustRightInd w:val="0"/>
              <w:jc w:val="right"/>
              <w:rPr>
                <w:sz w:val="22"/>
                <w:szCs w:val="22"/>
                <w:lang w:eastAsia="ja-JP"/>
              </w:rPr>
            </w:pPr>
            <w:r>
              <w:rPr>
                <w:sz w:val="22"/>
                <w:szCs w:val="22"/>
                <w:lang w:eastAsia="ja-JP"/>
              </w:rPr>
              <w:t>300</w:t>
            </w:r>
          </w:p>
        </w:tc>
        <w:tc>
          <w:tcPr>
            <w:tcW w:w="1437" w:type="dxa"/>
            <w:vAlign w:val="bottom"/>
          </w:tcPr>
          <w:p w:rsidR="009E1C77" w:rsidP="009E1C77" w14:paraId="33E1F115" w14:textId="48D0B2CD">
            <w:pPr>
              <w:autoSpaceDE w:val="0"/>
              <w:autoSpaceDN w:val="0"/>
              <w:adjustRightInd w:val="0"/>
              <w:jc w:val="right"/>
              <w:rPr>
                <w:sz w:val="22"/>
                <w:szCs w:val="22"/>
                <w:lang w:eastAsia="ja-JP"/>
              </w:rPr>
            </w:pPr>
            <w:r>
              <w:rPr>
                <w:sz w:val="22"/>
                <w:szCs w:val="22"/>
                <w:lang w:eastAsia="ja-JP"/>
              </w:rPr>
              <w:t>1</w:t>
            </w:r>
          </w:p>
        </w:tc>
        <w:tc>
          <w:tcPr>
            <w:tcW w:w="1713" w:type="dxa"/>
            <w:vAlign w:val="bottom"/>
          </w:tcPr>
          <w:p w:rsidR="00F46FDD" w:rsidP="00F46FDD" w14:paraId="3513E639" w14:textId="77777777">
            <w:pPr>
              <w:autoSpaceDE w:val="0"/>
              <w:autoSpaceDN w:val="0"/>
              <w:adjustRightInd w:val="0"/>
              <w:jc w:val="right"/>
              <w:rPr>
                <w:sz w:val="22"/>
                <w:szCs w:val="22"/>
                <w:lang w:eastAsia="ja-JP"/>
              </w:rPr>
            </w:pPr>
            <w:r>
              <w:rPr>
                <w:sz w:val="22"/>
                <w:szCs w:val="22"/>
                <w:lang w:eastAsia="ja-JP"/>
              </w:rPr>
              <w:t xml:space="preserve">0.17 </w:t>
            </w:r>
          </w:p>
          <w:p w:rsidR="009E1C77" w:rsidP="00F46FDD" w14:paraId="7DEA7A7B" w14:textId="553BB12D">
            <w:pPr>
              <w:autoSpaceDE w:val="0"/>
              <w:autoSpaceDN w:val="0"/>
              <w:adjustRightInd w:val="0"/>
              <w:jc w:val="right"/>
              <w:rPr>
                <w:sz w:val="22"/>
                <w:szCs w:val="22"/>
                <w:lang w:eastAsia="ja-JP"/>
              </w:rPr>
            </w:pPr>
            <w:r>
              <w:rPr>
                <w:sz w:val="22"/>
                <w:szCs w:val="22"/>
                <w:lang w:eastAsia="ja-JP"/>
              </w:rPr>
              <w:t>(10min)</w:t>
            </w:r>
          </w:p>
        </w:tc>
        <w:tc>
          <w:tcPr>
            <w:tcW w:w="990" w:type="dxa"/>
            <w:vAlign w:val="bottom"/>
          </w:tcPr>
          <w:p w:rsidR="009E1C77" w:rsidP="009E1C77" w14:paraId="2769C84E" w14:textId="015B1A96">
            <w:pPr>
              <w:autoSpaceDE w:val="0"/>
              <w:autoSpaceDN w:val="0"/>
              <w:adjustRightInd w:val="0"/>
              <w:jc w:val="right"/>
              <w:rPr>
                <w:sz w:val="22"/>
                <w:szCs w:val="22"/>
                <w:lang w:eastAsia="ja-JP"/>
              </w:rPr>
            </w:pPr>
            <w:r>
              <w:rPr>
                <w:sz w:val="22"/>
                <w:szCs w:val="22"/>
                <w:lang w:eastAsia="ja-JP"/>
              </w:rPr>
              <w:t>$4.25</w:t>
            </w:r>
          </w:p>
        </w:tc>
        <w:tc>
          <w:tcPr>
            <w:tcW w:w="1350" w:type="dxa"/>
            <w:vAlign w:val="bottom"/>
          </w:tcPr>
          <w:p w:rsidR="009E1C77" w:rsidRPr="00DB76B7" w:rsidP="009E1C77" w14:paraId="2036297C" w14:textId="68525F69">
            <w:pPr>
              <w:autoSpaceDE w:val="0"/>
              <w:autoSpaceDN w:val="0"/>
              <w:adjustRightInd w:val="0"/>
              <w:jc w:val="right"/>
              <w:rPr>
                <w:color w:val="0070C0"/>
                <w:sz w:val="22"/>
                <w:szCs w:val="22"/>
                <w:lang w:eastAsia="ja-JP"/>
              </w:rPr>
            </w:pPr>
            <w:r w:rsidRPr="009E1C77">
              <w:rPr>
                <w:sz w:val="22"/>
                <w:szCs w:val="22"/>
                <w:lang w:eastAsia="ja-JP"/>
              </w:rPr>
              <w:t>$213</w:t>
            </w:r>
          </w:p>
        </w:tc>
      </w:tr>
      <w:tr w14:paraId="2575FC80" w14:textId="77777777" w:rsidTr="005843EE">
        <w:tblPrEx>
          <w:tblW w:w="10165" w:type="dxa"/>
          <w:tblLayout w:type="fixed"/>
          <w:tblLook w:val="04A0"/>
        </w:tblPrEx>
        <w:tc>
          <w:tcPr>
            <w:tcW w:w="1615" w:type="dxa"/>
            <w:tcBorders>
              <w:top w:val="nil"/>
              <w:bottom w:val="nil"/>
            </w:tcBorders>
          </w:tcPr>
          <w:p w:rsidR="009E1C77" w:rsidP="009E1C77" w14:paraId="7C182FE3" w14:textId="5140C68A">
            <w:pPr>
              <w:autoSpaceDE w:val="0"/>
              <w:autoSpaceDN w:val="0"/>
              <w:adjustRightInd w:val="0"/>
              <w:rPr>
                <w:sz w:val="22"/>
                <w:szCs w:val="22"/>
                <w:lang w:eastAsia="ja-JP"/>
              </w:rPr>
            </w:pPr>
          </w:p>
        </w:tc>
        <w:tc>
          <w:tcPr>
            <w:tcW w:w="1710" w:type="dxa"/>
          </w:tcPr>
          <w:p w:rsidR="009E1C77" w:rsidP="009E1C77" w14:paraId="46F206F5" w14:textId="4B64C13F">
            <w:pPr>
              <w:autoSpaceDE w:val="0"/>
              <w:autoSpaceDN w:val="0"/>
              <w:adjustRightInd w:val="0"/>
              <w:rPr>
                <w:sz w:val="22"/>
                <w:szCs w:val="22"/>
                <w:lang w:eastAsia="ja-JP"/>
              </w:rPr>
            </w:pPr>
            <w:r>
              <w:rPr>
                <w:sz w:val="22"/>
                <w:szCs w:val="22"/>
                <w:lang w:eastAsia="ja-JP"/>
              </w:rPr>
              <w:t>Cognitive Interviews</w:t>
            </w:r>
          </w:p>
        </w:tc>
        <w:tc>
          <w:tcPr>
            <w:tcW w:w="1350" w:type="dxa"/>
            <w:vAlign w:val="bottom"/>
          </w:tcPr>
          <w:p w:rsidR="009E1C77" w:rsidRPr="00F51A12" w:rsidP="009E1C77" w14:paraId="4E01C9A2" w14:textId="53F02696">
            <w:pPr>
              <w:autoSpaceDE w:val="0"/>
              <w:autoSpaceDN w:val="0"/>
              <w:adjustRightInd w:val="0"/>
              <w:jc w:val="right"/>
              <w:rPr>
                <w:sz w:val="22"/>
                <w:szCs w:val="22"/>
                <w:lang w:eastAsia="ja-JP"/>
              </w:rPr>
            </w:pPr>
            <w:r>
              <w:rPr>
                <w:sz w:val="22"/>
                <w:szCs w:val="22"/>
                <w:lang w:eastAsia="ja-JP"/>
              </w:rPr>
              <w:t>30</w:t>
            </w:r>
          </w:p>
        </w:tc>
        <w:tc>
          <w:tcPr>
            <w:tcW w:w="1437" w:type="dxa"/>
            <w:vAlign w:val="bottom"/>
          </w:tcPr>
          <w:p w:rsidR="009E1C77" w:rsidRPr="00F51A12" w:rsidP="009E1C77" w14:paraId="35A12385" w14:textId="466141C1">
            <w:pPr>
              <w:autoSpaceDE w:val="0"/>
              <w:autoSpaceDN w:val="0"/>
              <w:adjustRightInd w:val="0"/>
              <w:jc w:val="right"/>
              <w:rPr>
                <w:sz w:val="22"/>
                <w:szCs w:val="22"/>
                <w:lang w:eastAsia="ja-JP"/>
              </w:rPr>
            </w:pPr>
            <w:r w:rsidRPr="00F51A12">
              <w:rPr>
                <w:sz w:val="22"/>
                <w:szCs w:val="22"/>
                <w:lang w:eastAsia="ja-JP"/>
              </w:rPr>
              <w:t>2</w:t>
            </w:r>
          </w:p>
        </w:tc>
        <w:tc>
          <w:tcPr>
            <w:tcW w:w="1713" w:type="dxa"/>
            <w:vAlign w:val="bottom"/>
          </w:tcPr>
          <w:p w:rsidR="00F46FDD" w:rsidP="00F46FDD" w14:paraId="00F0A4DF" w14:textId="77777777">
            <w:pPr>
              <w:autoSpaceDE w:val="0"/>
              <w:autoSpaceDN w:val="0"/>
              <w:adjustRightInd w:val="0"/>
              <w:jc w:val="right"/>
              <w:rPr>
                <w:sz w:val="22"/>
                <w:szCs w:val="22"/>
                <w:lang w:eastAsia="ja-JP"/>
              </w:rPr>
            </w:pPr>
            <w:r>
              <w:rPr>
                <w:sz w:val="22"/>
                <w:szCs w:val="22"/>
                <w:lang w:eastAsia="ja-JP"/>
              </w:rPr>
              <w:t>2</w:t>
            </w:r>
          </w:p>
          <w:p w:rsidR="009E1C77" w:rsidP="00F46FDD" w14:paraId="01DC6CBA" w14:textId="6E08FFB5">
            <w:pPr>
              <w:autoSpaceDE w:val="0"/>
              <w:autoSpaceDN w:val="0"/>
              <w:adjustRightInd w:val="0"/>
              <w:jc w:val="right"/>
              <w:rPr>
                <w:sz w:val="22"/>
                <w:szCs w:val="22"/>
                <w:lang w:eastAsia="ja-JP"/>
              </w:rPr>
            </w:pPr>
            <w:r>
              <w:rPr>
                <w:sz w:val="22"/>
                <w:szCs w:val="22"/>
                <w:lang w:eastAsia="ja-JP"/>
              </w:rPr>
              <w:t>(120 min)</w:t>
            </w:r>
          </w:p>
        </w:tc>
        <w:tc>
          <w:tcPr>
            <w:tcW w:w="990" w:type="dxa"/>
            <w:vAlign w:val="bottom"/>
          </w:tcPr>
          <w:p w:rsidR="009E1C77" w:rsidP="009E1C77" w14:paraId="0043D305" w14:textId="3CEF91A1">
            <w:pPr>
              <w:autoSpaceDE w:val="0"/>
              <w:autoSpaceDN w:val="0"/>
              <w:adjustRightInd w:val="0"/>
              <w:jc w:val="right"/>
              <w:rPr>
                <w:sz w:val="22"/>
                <w:szCs w:val="22"/>
                <w:lang w:eastAsia="ja-JP"/>
              </w:rPr>
            </w:pPr>
            <w:r>
              <w:rPr>
                <w:sz w:val="22"/>
                <w:szCs w:val="22"/>
                <w:lang w:eastAsia="ja-JP"/>
              </w:rPr>
              <w:t>$4.25</w:t>
            </w:r>
          </w:p>
        </w:tc>
        <w:tc>
          <w:tcPr>
            <w:tcW w:w="1350" w:type="dxa"/>
            <w:vAlign w:val="bottom"/>
          </w:tcPr>
          <w:p w:rsidR="009E1C77" w:rsidRPr="00DB76B7" w:rsidP="009E1C77" w14:paraId="45032A2E" w14:textId="2CA75F3B">
            <w:pPr>
              <w:autoSpaceDE w:val="0"/>
              <w:autoSpaceDN w:val="0"/>
              <w:adjustRightInd w:val="0"/>
              <w:jc w:val="right"/>
              <w:rPr>
                <w:color w:val="0070C0"/>
                <w:sz w:val="22"/>
                <w:szCs w:val="22"/>
                <w:lang w:eastAsia="ja-JP"/>
              </w:rPr>
            </w:pPr>
            <w:r w:rsidRPr="009E1C77">
              <w:rPr>
                <w:sz w:val="22"/>
                <w:szCs w:val="22"/>
                <w:lang w:eastAsia="ja-JP"/>
              </w:rPr>
              <w:t>$</w:t>
            </w:r>
            <w:r w:rsidR="00DE191D">
              <w:rPr>
                <w:sz w:val="22"/>
                <w:szCs w:val="22"/>
                <w:lang w:eastAsia="ja-JP"/>
              </w:rPr>
              <w:t>510</w:t>
            </w:r>
          </w:p>
        </w:tc>
      </w:tr>
      <w:tr w14:paraId="5CC798F7" w14:textId="77777777" w:rsidTr="005843EE">
        <w:tblPrEx>
          <w:tblW w:w="10165" w:type="dxa"/>
          <w:tblLayout w:type="fixed"/>
          <w:tblLook w:val="04A0"/>
        </w:tblPrEx>
        <w:tc>
          <w:tcPr>
            <w:tcW w:w="1615" w:type="dxa"/>
            <w:tcBorders>
              <w:top w:val="nil"/>
            </w:tcBorders>
          </w:tcPr>
          <w:p w:rsidR="009E1C77" w:rsidP="009E1C77" w14:paraId="3A648342" w14:textId="2AF95C8B">
            <w:pPr>
              <w:autoSpaceDE w:val="0"/>
              <w:autoSpaceDN w:val="0"/>
              <w:adjustRightInd w:val="0"/>
              <w:rPr>
                <w:sz w:val="22"/>
                <w:szCs w:val="22"/>
                <w:lang w:eastAsia="ja-JP"/>
              </w:rPr>
            </w:pPr>
          </w:p>
        </w:tc>
        <w:tc>
          <w:tcPr>
            <w:tcW w:w="1710" w:type="dxa"/>
          </w:tcPr>
          <w:p w:rsidR="009E1C77" w:rsidP="009E1C77" w14:paraId="3D0C3CC4" w14:textId="6FE5122A">
            <w:pPr>
              <w:autoSpaceDE w:val="0"/>
              <w:autoSpaceDN w:val="0"/>
              <w:adjustRightInd w:val="0"/>
              <w:rPr>
                <w:sz w:val="22"/>
                <w:szCs w:val="22"/>
                <w:lang w:eastAsia="ja-JP"/>
              </w:rPr>
            </w:pPr>
            <w:r>
              <w:rPr>
                <w:sz w:val="22"/>
                <w:szCs w:val="22"/>
                <w:lang w:eastAsia="ja-JP"/>
              </w:rPr>
              <w:t xml:space="preserve">Pilot Testing </w:t>
            </w:r>
          </w:p>
        </w:tc>
        <w:tc>
          <w:tcPr>
            <w:tcW w:w="1350" w:type="dxa"/>
            <w:vAlign w:val="bottom"/>
          </w:tcPr>
          <w:p w:rsidR="009E1C77" w:rsidP="009E1C77" w14:paraId="1983F11D" w14:textId="3193ADCA">
            <w:pPr>
              <w:autoSpaceDE w:val="0"/>
              <w:autoSpaceDN w:val="0"/>
              <w:adjustRightInd w:val="0"/>
              <w:jc w:val="right"/>
              <w:rPr>
                <w:sz w:val="22"/>
                <w:szCs w:val="22"/>
                <w:lang w:eastAsia="ja-JP"/>
              </w:rPr>
            </w:pPr>
            <w:r>
              <w:rPr>
                <w:sz w:val="22"/>
                <w:szCs w:val="22"/>
                <w:lang w:eastAsia="ja-JP"/>
              </w:rPr>
              <w:t>100</w:t>
            </w:r>
          </w:p>
        </w:tc>
        <w:tc>
          <w:tcPr>
            <w:tcW w:w="1437" w:type="dxa"/>
            <w:vAlign w:val="bottom"/>
          </w:tcPr>
          <w:p w:rsidR="009E1C77" w:rsidP="009E1C77" w14:paraId="75C5AB11" w14:textId="66EB958A">
            <w:pPr>
              <w:autoSpaceDE w:val="0"/>
              <w:autoSpaceDN w:val="0"/>
              <w:adjustRightInd w:val="0"/>
              <w:jc w:val="right"/>
              <w:rPr>
                <w:sz w:val="22"/>
                <w:szCs w:val="22"/>
                <w:lang w:eastAsia="ja-JP"/>
              </w:rPr>
            </w:pPr>
            <w:r w:rsidRPr="00917EAC">
              <w:rPr>
                <w:sz w:val="22"/>
                <w:szCs w:val="22"/>
                <w:lang w:eastAsia="ja-JP"/>
              </w:rPr>
              <w:t>1</w:t>
            </w:r>
          </w:p>
        </w:tc>
        <w:tc>
          <w:tcPr>
            <w:tcW w:w="1713" w:type="dxa"/>
            <w:vAlign w:val="bottom"/>
          </w:tcPr>
          <w:p w:rsidR="00F46FDD" w:rsidP="00F46FDD" w14:paraId="3BA8E8B9" w14:textId="77777777">
            <w:pPr>
              <w:autoSpaceDE w:val="0"/>
              <w:autoSpaceDN w:val="0"/>
              <w:adjustRightInd w:val="0"/>
              <w:jc w:val="right"/>
              <w:rPr>
                <w:sz w:val="22"/>
                <w:szCs w:val="22"/>
                <w:lang w:eastAsia="ja-JP"/>
              </w:rPr>
            </w:pPr>
            <w:r>
              <w:rPr>
                <w:sz w:val="22"/>
                <w:szCs w:val="22"/>
                <w:lang w:eastAsia="ja-JP"/>
              </w:rPr>
              <w:t xml:space="preserve">0.75 </w:t>
            </w:r>
          </w:p>
          <w:p w:rsidR="009E1C77" w:rsidP="00F46FDD" w14:paraId="3B409A98" w14:textId="6A46C653">
            <w:pPr>
              <w:autoSpaceDE w:val="0"/>
              <w:autoSpaceDN w:val="0"/>
              <w:adjustRightInd w:val="0"/>
              <w:jc w:val="right"/>
              <w:rPr>
                <w:sz w:val="22"/>
                <w:szCs w:val="22"/>
                <w:lang w:eastAsia="ja-JP"/>
              </w:rPr>
            </w:pPr>
            <w:r>
              <w:rPr>
                <w:sz w:val="22"/>
                <w:szCs w:val="22"/>
                <w:lang w:eastAsia="ja-JP"/>
              </w:rPr>
              <w:t>(45 min)</w:t>
            </w:r>
          </w:p>
        </w:tc>
        <w:tc>
          <w:tcPr>
            <w:tcW w:w="990" w:type="dxa"/>
            <w:vAlign w:val="bottom"/>
          </w:tcPr>
          <w:p w:rsidR="009E1C77" w:rsidP="009E1C77" w14:paraId="387796F4" w14:textId="0A5A237E">
            <w:pPr>
              <w:autoSpaceDE w:val="0"/>
              <w:autoSpaceDN w:val="0"/>
              <w:adjustRightInd w:val="0"/>
              <w:jc w:val="right"/>
              <w:rPr>
                <w:sz w:val="22"/>
                <w:szCs w:val="22"/>
                <w:lang w:eastAsia="ja-JP"/>
              </w:rPr>
            </w:pPr>
            <w:r>
              <w:rPr>
                <w:sz w:val="22"/>
                <w:szCs w:val="22"/>
                <w:lang w:eastAsia="ja-JP"/>
              </w:rPr>
              <w:t>$4.25</w:t>
            </w:r>
          </w:p>
        </w:tc>
        <w:tc>
          <w:tcPr>
            <w:tcW w:w="1350" w:type="dxa"/>
            <w:vAlign w:val="bottom"/>
          </w:tcPr>
          <w:p w:rsidR="009E1C77" w:rsidRPr="009E1C77" w:rsidP="009E1C77" w14:paraId="5EE6F165" w14:textId="6D335CF9">
            <w:pPr>
              <w:autoSpaceDE w:val="0"/>
              <w:autoSpaceDN w:val="0"/>
              <w:adjustRightInd w:val="0"/>
              <w:jc w:val="right"/>
              <w:rPr>
                <w:sz w:val="22"/>
                <w:szCs w:val="22"/>
                <w:lang w:eastAsia="ja-JP"/>
              </w:rPr>
            </w:pPr>
            <w:r w:rsidRPr="009E1C77">
              <w:rPr>
                <w:sz w:val="22"/>
                <w:szCs w:val="22"/>
                <w:lang w:eastAsia="ja-JP"/>
              </w:rPr>
              <w:t>$319</w:t>
            </w:r>
          </w:p>
        </w:tc>
      </w:tr>
      <w:tr w14:paraId="483E5725" w14:textId="77777777" w:rsidTr="00127F1D">
        <w:tblPrEx>
          <w:tblW w:w="10165" w:type="dxa"/>
          <w:tblLayout w:type="fixed"/>
          <w:tblLook w:val="04A0"/>
        </w:tblPrEx>
        <w:tc>
          <w:tcPr>
            <w:tcW w:w="1615" w:type="dxa"/>
          </w:tcPr>
          <w:p w:rsidR="009E1C77" w:rsidRPr="00730335" w:rsidP="009E1C77" w14:paraId="70441D6F" w14:textId="1EEB598D">
            <w:pPr>
              <w:autoSpaceDE w:val="0"/>
              <w:autoSpaceDN w:val="0"/>
              <w:adjustRightInd w:val="0"/>
              <w:rPr>
                <w:b/>
                <w:bCs/>
                <w:sz w:val="22"/>
                <w:szCs w:val="22"/>
                <w:lang w:eastAsia="ja-JP"/>
              </w:rPr>
            </w:pPr>
            <w:r w:rsidRPr="00730335">
              <w:rPr>
                <w:b/>
                <w:bCs/>
                <w:sz w:val="22"/>
                <w:szCs w:val="22"/>
                <w:lang w:eastAsia="ja-JP"/>
              </w:rPr>
              <w:t>Tota</w:t>
            </w:r>
            <w:r w:rsidRPr="00730335" w:rsidR="00730335">
              <w:rPr>
                <w:b/>
                <w:bCs/>
                <w:sz w:val="22"/>
                <w:szCs w:val="22"/>
                <w:lang w:eastAsia="ja-JP"/>
              </w:rPr>
              <w:t>l</w:t>
            </w:r>
          </w:p>
        </w:tc>
        <w:tc>
          <w:tcPr>
            <w:tcW w:w="1710" w:type="dxa"/>
          </w:tcPr>
          <w:p w:rsidR="009E1C77" w:rsidP="009E1C77" w14:paraId="002A2623" w14:textId="45D72DF9">
            <w:pPr>
              <w:autoSpaceDE w:val="0"/>
              <w:autoSpaceDN w:val="0"/>
              <w:adjustRightInd w:val="0"/>
              <w:rPr>
                <w:sz w:val="22"/>
                <w:szCs w:val="22"/>
                <w:lang w:eastAsia="ja-JP"/>
              </w:rPr>
            </w:pPr>
          </w:p>
        </w:tc>
        <w:tc>
          <w:tcPr>
            <w:tcW w:w="1350" w:type="dxa"/>
            <w:vAlign w:val="bottom"/>
          </w:tcPr>
          <w:p w:rsidR="009E1C77" w:rsidP="009E1C77" w14:paraId="6C05B519" w14:textId="38335CDB">
            <w:pPr>
              <w:autoSpaceDE w:val="0"/>
              <w:autoSpaceDN w:val="0"/>
              <w:adjustRightInd w:val="0"/>
              <w:jc w:val="right"/>
              <w:rPr>
                <w:sz w:val="22"/>
                <w:szCs w:val="22"/>
                <w:lang w:eastAsia="ja-JP"/>
              </w:rPr>
            </w:pPr>
            <w:r>
              <w:rPr>
                <w:sz w:val="22"/>
                <w:szCs w:val="22"/>
                <w:lang w:eastAsia="ja-JP"/>
              </w:rPr>
              <w:t>31,471</w:t>
            </w:r>
          </w:p>
        </w:tc>
        <w:tc>
          <w:tcPr>
            <w:tcW w:w="1437" w:type="dxa"/>
            <w:vAlign w:val="bottom"/>
          </w:tcPr>
          <w:p w:rsidR="009E1C77" w:rsidP="009E1C77" w14:paraId="32017C9E" w14:textId="08ECBC2B">
            <w:pPr>
              <w:autoSpaceDE w:val="0"/>
              <w:autoSpaceDN w:val="0"/>
              <w:adjustRightInd w:val="0"/>
              <w:jc w:val="right"/>
              <w:rPr>
                <w:sz w:val="22"/>
                <w:szCs w:val="22"/>
                <w:lang w:eastAsia="ja-JP"/>
              </w:rPr>
            </w:pPr>
          </w:p>
        </w:tc>
        <w:tc>
          <w:tcPr>
            <w:tcW w:w="1713" w:type="dxa"/>
            <w:vAlign w:val="bottom"/>
          </w:tcPr>
          <w:p w:rsidR="009E1C77" w:rsidP="009E1C77" w14:paraId="7E1676E9" w14:textId="7CFB60FC">
            <w:pPr>
              <w:autoSpaceDE w:val="0"/>
              <w:autoSpaceDN w:val="0"/>
              <w:adjustRightInd w:val="0"/>
              <w:jc w:val="right"/>
              <w:rPr>
                <w:sz w:val="22"/>
                <w:szCs w:val="22"/>
                <w:lang w:eastAsia="ja-JP"/>
              </w:rPr>
            </w:pPr>
          </w:p>
        </w:tc>
        <w:tc>
          <w:tcPr>
            <w:tcW w:w="990" w:type="dxa"/>
            <w:vAlign w:val="bottom"/>
          </w:tcPr>
          <w:p w:rsidR="009E1C77" w:rsidP="009E1C77" w14:paraId="3EDCCDB8" w14:textId="52C4998F">
            <w:pPr>
              <w:autoSpaceDE w:val="0"/>
              <w:autoSpaceDN w:val="0"/>
              <w:adjustRightInd w:val="0"/>
              <w:jc w:val="right"/>
              <w:rPr>
                <w:sz w:val="22"/>
                <w:szCs w:val="22"/>
                <w:lang w:eastAsia="ja-JP"/>
              </w:rPr>
            </w:pPr>
          </w:p>
        </w:tc>
        <w:tc>
          <w:tcPr>
            <w:tcW w:w="1350" w:type="dxa"/>
          </w:tcPr>
          <w:p w:rsidR="009E1C77" w:rsidP="009E1C77" w14:paraId="37CCD619" w14:textId="257E1D52">
            <w:pPr>
              <w:autoSpaceDE w:val="0"/>
              <w:autoSpaceDN w:val="0"/>
              <w:adjustRightInd w:val="0"/>
              <w:jc w:val="right"/>
              <w:rPr>
                <w:sz w:val="22"/>
                <w:szCs w:val="22"/>
                <w:lang w:eastAsia="ja-JP"/>
              </w:rPr>
            </w:pPr>
            <w:r>
              <w:rPr>
                <w:sz w:val="22"/>
                <w:szCs w:val="22"/>
                <w:lang w:eastAsia="ja-JP"/>
              </w:rPr>
              <w:t>$</w:t>
            </w:r>
            <w:r w:rsidR="003868CC">
              <w:rPr>
                <w:sz w:val="22"/>
                <w:szCs w:val="22"/>
                <w:lang w:eastAsia="ja-JP"/>
              </w:rPr>
              <w:t>131,811</w:t>
            </w:r>
          </w:p>
        </w:tc>
      </w:tr>
    </w:tbl>
    <w:p w:rsidR="00127F1D" w:rsidP="00127F1D" w14:paraId="1AA20D05" w14:textId="0275D9DA">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27F1D" w:rsidP="0073552C" w14:paraId="55DA45D7"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D25BD2" w:rsidRPr="00357C8A" w:rsidP="00C54E97" w14:paraId="013748B4" w14:textId="77777777">
      <w:pPr>
        <w:numPr>
          <w:ilvl w:val="0"/>
          <w:numId w:val="59"/>
        </w:numPr>
        <w:spacing w:after="200" w:line="276" w:lineRule="auto"/>
        <w:rPr>
          <w:rFonts w:eastAsia="Calibri"/>
        </w:rPr>
      </w:pPr>
      <w:r w:rsidRPr="00357C8A">
        <w:rPr>
          <w:rFonts w:eastAsia="Calibri"/>
          <w:u w:val="single"/>
        </w:rPr>
        <w:t xml:space="preserve">Estimates of Other Total Annual Costs </w:t>
      </w:r>
      <w:r>
        <w:rPr>
          <w:rFonts w:eastAsia="Calibri"/>
          <w:u w:val="single"/>
        </w:rPr>
        <w:t xml:space="preserve">to Respondents/Recordkeepers or </w:t>
      </w:r>
      <w:r w:rsidRPr="00357C8A">
        <w:rPr>
          <w:rFonts w:eastAsia="Calibri"/>
          <w:u w:val="single"/>
        </w:rPr>
        <w:t xml:space="preserve">Capital Costs </w:t>
      </w:r>
    </w:p>
    <w:p w:rsidR="00CC7638" w:rsidRPr="00092EC6" w:rsidP="00092EC6" w14:paraId="60828635" w14:textId="1C262B32">
      <w:pPr>
        <w:pStyle w:val="Heading2"/>
        <w:ind w:left="0" w:firstLine="0"/>
        <w:rPr>
          <w:b w:val="0"/>
          <w:bCs/>
        </w:rPr>
      </w:pPr>
      <w:r w:rsidRPr="00185D69">
        <w:rPr>
          <w:b w:val="0"/>
          <w:bCs/>
        </w:rPr>
        <w:t>There will be no respondent capital and maintenance costs.</w:t>
      </w:r>
    </w:p>
    <w:p w:rsidR="00397B4E" w:rsidRPr="00357C8A" w:rsidP="00C54E97" w14:paraId="132EB14C" w14:textId="77777777">
      <w:pPr>
        <w:numPr>
          <w:ilvl w:val="0"/>
          <w:numId w:val="59"/>
        </w:numPr>
        <w:spacing w:after="200" w:line="276" w:lineRule="auto"/>
        <w:rPr>
          <w:rFonts w:eastAsia="Calibri"/>
          <w:u w:val="single"/>
        </w:rPr>
      </w:pPr>
      <w:r w:rsidRPr="00357C8A">
        <w:rPr>
          <w:rFonts w:eastAsia="Calibri"/>
          <w:u w:val="single"/>
        </w:rPr>
        <w:t>Annualized Cost to the Federal Government</w:t>
      </w:r>
    </w:p>
    <w:p w:rsidR="00C9661B" w:rsidRPr="00185D69" w:rsidP="00C9661B" w14:paraId="270F2989" w14:textId="10E49E2A">
      <w:pPr>
        <w:rPr>
          <w:rStyle w:val="Footer1"/>
        </w:rPr>
      </w:pPr>
      <w:r w:rsidRPr="00185D69">
        <w:t>The</w:t>
      </w:r>
      <w:r>
        <w:t xml:space="preserve"> NYTS</w:t>
      </w:r>
      <w:r w:rsidRPr="00185D69">
        <w:t xml:space="preserve"> </w:t>
      </w:r>
      <w:r>
        <w:t xml:space="preserve">currently </w:t>
      </w:r>
      <w:r w:rsidRPr="00185D69">
        <w:t xml:space="preserve">is funded </w:t>
      </w:r>
      <w:r>
        <w:t xml:space="preserve">through 2027 </w:t>
      </w:r>
      <w:r w:rsidRPr="00185D69">
        <w:t xml:space="preserve">under Contract No. </w:t>
      </w:r>
      <w:r w:rsidR="002F1AEC">
        <w:t>75F40120A0017</w:t>
      </w:r>
      <w:r w:rsidRPr="001C70FE">
        <w:t>.</w:t>
      </w:r>
      <w:r w:rsidRPr="00185D69">
        <w:t xml:space="preserve"> </w:t>
      </w:r>
      <w:r>
        <w:t xml:space="preserve">The current OMB application covers the 2024, 2025, and 2026 administrations of the NYTS. </w:t>
      </w:r>
      <w:r w:rsidRPr="00185D69">
        <w:t xml:space="preserve">The total contract award to </w:t>
      </w:r>
      <w:r>
        <w:t>RTI International (Research Triangle Park, NC)</w:t>
      </w:r>
      <w:r w:rsidRPr="00185D69">
        <w:t xml:space="preserve"> to conduct the </w:t>
      </w:r>
      <w:r>
        <w:t xml:space="preserve">2026 </w:t>
      </w:r>
      <w:r w:rsidR="00802E80">
        <w:t>and 2027</w:t>
      </w:r>
      <w:r>
        <w:t xml:space="preserve"> </w:t>
      </w:r>
      <w:r w:rsidRPr="00185D69">
        <w:t>NYTS is</w:t>
      </w:r>
      <w:r>
        <w:t xml:space="preserve"> $</w:t>
      </w:r>
      <w:r w:rsidR="0072678E">
        <w:t>4,996,564</w:t>
      </w:r>
      <w:r w:rsidRPr="001C70FE">
        <w:t>. The</w:t>
      </w:r>
      <w:r w:rsidRPr="00185D69">
        <w:rPr>
          <w:rStyle w:val="Footer1"/>
        </w:rPr>
        <w:t xml:space="preserve"> estimated cost of the contract, annualized over the t</w:t>
      </w:r>
      <w:r w:rsidR="0072678E">
        <w:rPr>
          <w:rStyle w:val="Footer1"/>
        </w:rPr>
        <w:t>wo</w:t>
      </w:r>
      <w:r w:rsidRPr="00185D69">
        <w:rPr>
          <w:rStyle w:val="Footer1"/>
        </w:rPr>
        <w:t xml:space="preserve"> years of this clearance request, is</w:t>
      </w:r>
      <w:r>
        <w:rPr>
          <w:rStyle w:val="Footer1"/>
        </w:rPr>
        <w:t xml:space="preserve"> </w:t>
      </w:r>
      <w:r w:rsidRPr="00B6198F">
        <w:rPr>
          <w:rStyle w:val="Footer1"/>
        </w:rPr>
        <w:t>$</w:t>
      </w:r>
      <w:r w:rsidRPr="6FC1DC53">
        <w:rPr>
          <w:color w:val="000000" w:themeColor="text1"/>
        </w:rPr>
        <w:t>2,</w:t>
      </w:r>
      <w:r w:rsidRPr="6FC1DC53" w:rsidR="00291CBB">
        <w:rPr>
          <w:color w:val="000000" w:themeColor="text1"/>
        </w:rPr>
        <w:t>498,282</w:t>
      </w:r>
      <w:r w:rsidRPr="00185D69">
        <w:rPr>
          <w:rStyle w:val="Footer1"/>
        </w:rPr>
        <w:t xml:space="preserve">. These costs cover the activities in Table </w:t>
      </w:r>
      <w:r w:rsidR="007F46C8">
        <w:rPr>
          <w:rStyle w:val="Footer1"/>
        </w:rPr>
        <w:t>4</w:t>
      </w:r>
      <w:r w:rsidRPr="00185D69">
        <w:rPr>
          <w:rStyle w:val="Footer1"/>
        </w:rPr>
        <w:t xml:space="preserve"> below.</w:t>
      </w:r>
      <w:r>
        <w:rPr>
          <w:rStyle w:val="Footer1"/>
        </w:rPr>
        <w:t xml:space="preserve"> </w:t>
      </w:r>
    </w:p>
    <w:p w:rsidR="00C9661B" w:rsidRPr="00185D69" w:rsidP="00C9661B" w14:paraId="0BB9403E" w14:textId="77777777">
      <w:pPr>
        <w:rPr>
          <w:rStyle w:val="Footer1"/>
        </w:rPr>
      </w:pPr>
    </w:p>
    <w:p w:rsidR="00C9661B" w:rsidRPr="00185D69" w:rsidP="00C9661B" w14:paraId="5CE24B56" w14:textId="0B20A94F">
      <w:pPr>
        <w:rPr>
          <w:rStyle w:val="Footer1"/>
        </w:rPr>
      </w:pPr>
      <w:r w:rsidRPr="00185D69">
        <w:rPr>
          <w:rStyle w:val="Footer1"/>
        </w:rPr>
        <w:t xml:space="preserve">Additional costs will be incurred indirectly by the government in personnel costs of staff involved in oversight of the study and in conducting data analysis. It is estimated that </w:t>
      </w:r>
      <w:r w:rsidR="002C078A">
        <w:rPr>
          <w:rStyle w:val="Footer1"/>
        </w:rPr>
        <w:t>six</w:t>
      </w:r>
      <w:r>
        <w:rPr>
          <w:rStyle w:val="Footer1"/>
        </w:rPr>
        <w:t xml:space="preserve"> </w:t>
      </w:r>
      <w:r w:rsidR="004A6ADD">
        <w:rPr>
          <w:rStyle w:val="Footer1"/>
        </w:rPr>
        <w:t>FDA</w:t>
      </w:r>
      <w:r w:rsidR="00A81343">
        <w:rPr>
          <w:rStyle w:val="Footer1"/>
        </w:rPr>
        <w:t>’s CTP</w:t>
      </w:r>
      <w:r w:rsidR="004A6ADD">
        <w:rPr>
          <w:rStyle w:val="Footer1"/>
        </w:rPr>
        <w:t xml:space="preserve"> </w:t>
      </w:r>
      <w:r w:rsidRPr="00185D69">
        <w:rPr>
          <w:rStyle w:val="Footer1"/>
        </w:rPr>
        <w:t>employees will be involved</w:t>
      </w:r>
      <w:r w:rsidR="002C078A">
        <w:rPr>
          <w:rStyle w:val="Footer1"/>
        </w:rPr>
        <w:t xml:space="preserve">: </w:t>
      </w:r>
      <w:r w:rsidR="006E4128">
        <w:rPr>
          <w:rStyle w:val="Footer1"/>
        </w:rPr>
        <w:t>two</w:t>
      </w:r>
      <w:r w:rsidR="001E071F">
        <w:rPr>
          <w:rStyle w:val="Footer1"/>
        </w:rPr>
        <w:t xml:space="preserve"> employees</w:t>
      </w:r>
      <w:r w:rsidR="00062F45">
        <w:rPr>
          <w:rStyle w:val="Footer1"/>
        </w:rPr>
        <w:t xml:space="preserve"> </w:t>
      </w:r>
      <w:r w:rsidRPr="00185D69">
        <w:rPr>
          <w:rStyle w:val="Footer1"/>
        </w:rPr>
        <w:t xml:space="preserve">for approximately </w:t>
      </w:r>
      <w:r w:rsidR="006E4128">
        <w:rPr>
          <w:rStyle w:val="Footer1"/>
        </w:rPr>
        <w:t>20% of time (</w:t>
      </w:r>
      <w:r w:rsidR="00406F83">
        <w:rPr>
          <w:rStyle w:val="Footer1"/>
        </w:rPr>
        <w:t xml:space="preserve">one at a salary of </w:t>
      </w:r>
      <w:r w:rsidR="00062F45">
        <w:rPr>
          <w:rStyle w:val="Footer1"/>
        </w:rPr>
        <w:t>$5</w:t>
      </w:r>
      <w:r w:rsidR="00BB5310">
        <w:rPr>
          <w:rStyle w:val="Footer1"/>
        </w:rPr>
        <w:t>3.66</w:t>
      </w:r>
      <w:r w:rsidR="00062F45">
        <w:rPr>
          <w:rStyle w:val="Footer1"/>
        </w:rPr>
        <w:t xml:space="preserve">, another at a salary of $71.54 per hour), two </w:t>
      </w:r>
      <w:r w:rsidR="001E071F">
        <w:rPr>
          <w:rStyle w:val="Footer1"/>
        </w:rPr>
        <w:t xml:space="preserve">employees </w:t>
      </w:r>
      <w:r w:rsidR="00F55830">
        <w:rPr>
          <w:rStyle w:val="Footer1"/>
        </w:rPr>
        <w:t>10</w:t>
      </w:r>
      <w:r w:rsidRPr="00185D69">
        <w:rPr>
          <w:rStyle w:val="Footer1"/>
        </w:rPr>
        <w:t xml:space="preserve">% </w:t>
      </w:r>
      <w:r>
        <w:rPr>
          <w:rStyle w:val="Footer1"/>
        </w:rPr>
        <w:t>of time (</w:t>
      </w:r>
      <w:r w:rsidR="007D3875">
        <w:rPr>
          <w:rStyle w:val="Footer1"/>
        </w:rPr>
        <w:t>both</w:t>
      </w:r>
      <w:r>
        <w:rPr>
          <w:rStyle w:val="Footer1"/>
        </w:rPr>
        <w:t xml:space="preserve"> at salaries of $</w:t>
      </w:r>
      <w:r w:rsidR="00190A56">
        <w:rPr>
          <w:rStyle w:val="Footer1"/>
        </w:rPr>
        <w:t>77.38</w:t>
      </w:r>
      <w:r>
        <w:rPr>
          <w:rStyle w:val="Footer1"/>
        </w:rPr>
        <w:t xml:space="preserve"> per hour)</w:t>
      </w:r>
      <w:r w:rsidR="00190A56">
        <w:rPr>
          <w:rStyle w:val="Footer1"/>
        </w:rPr>
        <w:t xml:space="preserve">, </w:t>
      </w:r>
      <w:r w:rsidR="00854954">
        <w:rPr>
          <w:rStyle w:val="Footer1"/>
        </w:rPr>
        <w:t xml:space="preserve">one </w:t>
      </w:r>
      <w:r w:rsidR="001E071F">
        <w:rPr>
          <w:rStyle w:val="Footer1"/>
        </w:rPr>
        <w:t xml:space="preserve">employee </w:t>
      </w:r>
      <w:r w:rsidR="00854954">
        <w:rPr>
          <w:rStyle w:val="Footer1"/>
        </w:rPr>
        <w:t xml:space="preserve">15% of time at a salary of $93.53 per hour, </w:t>
      </w:r>
      <w:r w:rsidRPr="00185D69">
        <w:rPr>
          <w:rStyle w:val="Footer1"/>
        </w:rPr>
        <w:t>and</w:t>
      </w:r>
      <w:r>
        <w:rPr>
          <w:rStyle w:val="Footer1"/>
        </w:rPr>
        <w:t xml:space="preserve"> one employee </w:t>
      </w:r>
      <w:r w:rsidR="00BB68EC">
        <w:rPr>
          <w:rStyle w:val="Footer1"/>
        </w:rPr>
        <w:t>6</w:t>
      </w:r>
      <w:r w:rsidR="00DD490E">
        <w:rPr>
          <w:rStyle w:val="Footer1"/>
        </w:rPr>
        <w:t>0</w:t>
      </w:r>
      <w:r w:rsidRPr="00185D69">
        <w:rPr>
          <w:rStyle w:val="Footer1"/>
        </w:rPr>
        <w:t xml:space="preserve">% of time </w:t>
      </w:r>
      <w:r>
        <w:rPr>
          <w:rStyle w:val="Footer1"/>
        </w:rPr>
        <w:t>at a salary of $</w:t>
      </w:r>
      <w:r w:rsidR="005810F2">
        <w:rPr>
          <w:rStyle w:val="Footer1"/>
        </w:rPr>
        <w:t>79.65</w:t>
      </w:r>
      <w:r>
        <w:rPr>
          <w:rStyle w:val="Footer1"/>
        </w:rPr>
        <w:t xml:space="preserve"> </w:t>
      </w:r>
      <w:r w:rsidRPr="00185D69">
        <w:rPr>
          <w:rStyle w:val="Footer1"/>
        </w:rPr>
        <w:t>(</w:t>
      </w:r>
      <w:r>
        <w:rPr>
          <w:rStyle w:val="Footer1"/>
        </w:rPr>
        <w:t>based on 202</w:t>
      </w:r>
      <w:r w:rsidR="005E2987">
        <w:rPr>
          <w:rStyle w:val="Footer1"/>
        </w:rPr>
        <w:t>5</w:t>
      </w:r>
      <w:r>
        <w:rPr>
          <w:rStyle w:val="Footer1"/>
        </w:rPr>
        <w:t xml:space="preserve"> General Schedule Locality Pay Tables </w:t>
      </w:r>
      <w:r w:rsidR="007E6CC8">
        <w:rPr>
          <w:rStyle w:val="Footer1"/>
        </w:rPr>
        <w:t>[</w:t>
      </w:r>
      <w:r w:rsidR="001A0382">
        <w:rPr>
          <w:rStyle w:val="Footer1"/>
        </w:rPr>
        <w:t xml:space="preserve">Denver, CO; San Francisco, CA; </w:t>
      </w:r>
      <w:r w:rsidR="005E2987">
        <w:rPr>
          <w:rStyle w:val="Footer1"/>
        </w:rPr>
        <w:t>Washington, DC</w:t>
      </w:r>
      <w:r w:rsidR="007E6CC8">
        <w:rPr>
          <w:rStyle w:val="Footer1"/>
        </w:rPr>
        <w:t>]</w:t>
      </w:r>
      <w:r>
        <w:rPr>
          <w:rStyle w:val="Footer1"/>
        </w:rPr>
        <w:t xml:space="preserve">; </w:t>
      </w:r>
      <w:r w:rsidRPr="00185D69">
        <w:rPr>
          <w:rStyle w:val="Footer1"/>
        </w:rPr>
        <w:t>for federal personnel</w:t>
      </w:r>
      <w:r>
        <w:rPr>
          <w:rStyle w:val="Footer1"/>
        </w:rPr>
        <w:t>,</w:t>
      </w:r>
      <w:r w:rsidRPr="00185D69">
        <w:rPr>
          <w:rStyle w:val="Footer1"/>
        </w:rPr>
        <w:t xml:space="preserve"> 100% time = 2,08</w:t>
      </w:r>
      <w:r>
        <w:rPr>
          <w:rStyle w:val="Footer1"/>
        </w:rPr>
        <w:t>0</w:t>
      </w:r>
      <w:r w:rsidRPr="00185D69">
        <w:rPr>
          <w:rStyle w:val="Footer1"/>
        </w:rPr>
        <w:t xml:space="preserve"> hours annually). The direct annual costs in </w:t>
      </w:r>
      <w:r w:rsidR="00BC2561">
        <w:rPr>
          <w:rStyle w:val="Footer1"/>
        </w:rPr>
        <w:t>FDA</w:t>
      </w:r>
      <w:r w:rsidRPr="00185D69">
        <w:rPr>
          <w:rStyle w:val="Footer1"/>
        </w:rPr>
        <w:t xml:space="preserve"> staff time will be approximately </w:t>
      </w:r>
      <w:r>
        <w:rPr>
          <w:rStyle w:val="Footer1"/>
        </w:rPr>
        <w:t>$</w:t>
      </w:r>
      <w:r w:rsidR="00B71DDC">
        <w:rPr>
          <w:rStyle w:val="Footer1"/>
        </w:rPr>
        <w:t>52,083</w:t>
      </w:r>
      <w:r w:rsidRPr="00185D69">
        <w:rPr>
          <w:rStyle w:val="Footer1"/>
        </w:rPr>
        <w:t xml:space="preserve"> + </w:t>
      </w:r>
      <w:r>
        <w:rPr>
          <w:rStyle w:val="Footer1"/>
        </w:rPr>
        <w:t>$</w:t>
      </w:r>
      <w:r w:rsidR="00B71DDC">
        <w:rPr>
          <w:rStyle w:val="Footer1"/>
        </w:rPr>
        <w:t>32,190 + $29</w:t>
      </w:r>
      <w:r w:rsidR="00523514">
        <w:rPr>
          <w:rStyle w:val="Footer1"/>
        </w:rPr>
        <w:t>,181 + $99,403</w:t>
      </w:r>
      <w:r w:rsidRPr="00185D69">
        <w:rPr>
          <w:rStyle w:val="Footer1"/>
        </w:rPr>
        <w:t xml:space="preserve"> = </w:t>
      </w:r>
      <w:r>
        <w:rPr>
          <w:rStyle w:val="Footer1"/>
        </w:rPr>
        <w:t>$</w:t>
      </w:r>
      <w:r w:rsidR="00523514">
        <w:rPr>
          <w:rStyle w:val="Footer1"/>
        </w:rPr>
        <w:t>212,858</w:t>
      </w:r>
      <w:r w:rsidRPr="00185D69">
        <w:rPr>
          <w:rStyle w:val="Footer1"/>
        </w:rPr>
        <w:t xml:space="preserve"> annually. The total estimated annualized cost for the study, including the contract cost and federal government personnel cost, </w:t>
      </w:r>
      <w:r w:rsidRPr="00CD45B8">
        <w:rPr>
          <w:rStyle w:val="Footer1"/>
        </w:rPr>
        <w:t>is $</w:t>
      </w:r>
      <w:r w:rsidR="00256C37">
        <w:rPr>
          <w:rStyle w:val="Footer1"/>
        </w:rPr>
        <w:t>2,711,139</w:t>
      </w:r>
      <w:r w:rsidRPr="00CD45B8">
        <w:rPr>
          <w:rStyle w:val="Footer1"/>
        </w:rPr>
        <w:t>‬</w:t>
      </w:r>
      <w:r w:rsidRPr="00CD45B8">
        <w:rPr>
          <w:rStyle w:val="Footer1"/>
        </w:rPr>
        <w:t>.</w:t>
      </w:r>
    </w:p>
    <w:p w:rsidR="00C9661B" w:rsidRPr="00185D69" w:rsidP="00C9661B" w14:paraId="707100A6" w14:textId="77777777">
      <w:pPr>
        <w:rPr>
          <w:rStyle w:val="Footer1"/>
          <w:b/>
        </w:rPr>
      </w:pPr>
    </w:p>
    <w:p w:rsidR="00C9661B" w:rsidRPr="00185D69" w:rsidP="00C9661B" w14:paraId="3A32DB6A" w14:textId="7F0BE522">
      <w:pPr>
        <w:jc w:val="center"/>
        <w:rPr>
          <w:rStyle w:val="Footer1"/>
          <w:b/>
        </w:rPr>
      </w:pPr>
      <w:r w:rsidRPr="00185D69">
        <w:rPr>
          <w:rStyle w:val="Footer1"/>
          <w:b/>
        </w:rPr>
        <w:t xml:space="preserve">Table </w:t>
      </w:r>
      <w:r w:rsidR="007F46C8">
        <w:rPr>
          <w:rStyle w:val="Footer1"/>
          <w:b/>
        </w:rPr>
        <w:t>4</w:t>
      </w:r>
      <w:r>
        <w:rPr>
          <w:rStyle w:val="Footer1"/>
          <w:b/>
        </w:rPr>
        <w:t xml:space="preserve">: </w:t>
      </w:r>
      <w:r w:rsidRPr="00185D69">
        <w:rPr>
          <w:rStyle w:val="Footer1"/>
          <w:b/>
        </w:rPr>
        <w:t>Estimated Annualized Study Cost</w:t>
      </w:r>
      <w:r w:rsidRPr="00185D69">
        <w:rPr>
          <w:rStyle w:val="Footer1"/>
          <w:b/>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3"/>
        <w:gridCol w:w="3367"/>
      </w:tblGrid>
      <w:tr w14:paraId="69B84A3D" w14:textId="77777777" w:rsidTr="00271CD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663" w:type="dxa"/>
          </w:tcPr>
          <w:p w:rsidR="00C9661B" w:rsidRPr="00185D69" w:rsidP="00FF24C3" w14:paraId="4C1835C4" w14:textId="77777777">
            <w:pPr>
              <w:rPr>
                <w:rStyle w:val="Footer1"/>
                <w:b/>
              </w:rPr>
            </w:pPr>
            <w:r w:rsidRPr="00185D69">
              <w:rPr>
                <w:rStyle w:val="Footer1"/>
                <w:b/>
              </w:rPr>
              <w:t>Activity</w:t>
            </w:r>
          </w:p>
        </w:tc>
        <w:tc>
          <w:tcPr>
            <w:tcW w:w="3687" w:type="dxa"/>
            <w:tcBorders>
              <w:bottom w:val="single" w:sz="4" w:space="0" w:color="auto"/>
            </w:tcBorders>
          </w:tcPr>
          <w:p w:rsidR="00C9661B" w:rsidRPr="00185D69" w:rsidP="00FF24C3" w14:paraId="57D38C40" w14:textId="77777777">
            <w:pPr>
              <w:jc w:val="center"/>
              <w:rPr>
                <w:rStyle w:val="Footer1"/>
                <w:b/>
              </w:rPr>
            </w:pPr>
            <w:r w:rsidRPr="00185D69">
              <w:rPr>
                <w:rStyle w:val="Footer1"/>
                <w:b/>
              </w:rPr>
              <w:t>Cost</w:t>
            </w:r>
          </w:p>
        </w:tc>
      </w:tr>
      <w:tr w14:paraId="03A1CD59" w14:textId="77777777" w:rsidTr="00271CD3">
        <w:tblPrEx>
          <w:tblW w:w="0" w:type="auto"/>
          <w:jc w:val="center"/>
          <w:tblLook w:val="01E0"/>
        </w:tblPrEx>
        <w:trPr>
          <w:jc w:val="center"/>
        </w:trPr>
        <w:tc>
          <w:tcPr>
            <w:tcW w:w="5663" w:type="dxa"/>
          </w:tcPr>
          <w:p w:rsidR="00C9661B" w:rsidRPr="00185D69" w:rsidP="00FF24C3" w14:paraId="5E0501F1" w14:textId="77777777">
            <w:pPr>
              <w:rPr>
                <w:rStyle w:val="Footer1"/>
                <w:i/>
              </w:rPr>
            </w:pPr>
            <w:r w:rsidRPr="00185D69">
              <w:rPr>
                <w:rStyle w:val="Footer1"/>
                <w:i/>
              </w:rPr>
              <w:t>Contract Costs</w:t>
            </w:r>
          </w:p>
        </w:tc>
        <w:tc>
          <w:tcPr>
            <w:tcW w:w="3687" w:type="dxa"/>
          </w:tcPr>
          <w:p w:rsidR="00C9661B" w:rsidRPr="00185D69" w:rsidP="00FF24C3" w14:paraId="01285717" w14:textId="77777777">
            <w:pPr>
              <w:jc w:val="center"/>
              <w:rPr>
                <w:rStyle w:val="Footer1"/>
              </w:rPr>
            </w:pPr>
          </w:p>
        </w:tc>
      </w:tr>
      <w:tr w14:paraId="5B0CC7CD" w14:textId="77777777" w:rsidTr="000B12B5">
        <w:tblPrEx>
          <w:tblW w:w="0" w:type="auto"/>
          <w:jc w:val="center"/>
          <w:tblLook w:val="01E0"/>
        </w:tblPrEx>
        <w:trPr>
          <w:jc w:val="center"/>
        </w:trPr>
        <w:tc>
          <w:tcPr>
            <w:tcW w:w="6660" w:type="dxa"/>
          </w:tcPr>
          <w:p w:rsidR="00C9661B" w:rsidRPr="0013398A" w:rsidP="00FF24C3" w14:paraId="714F8774" w14:textId="15638BF6">
            <w:pPr>
              <w:rPr>
                <w:rStyle w:val="Footer1"/>
              </w:rPr>
            </w:pPr>
            <w:bookmarkStart w:id="8" w:name="_Hlk187150227"/>
            <w:r w:rsidRPr="0013398A">
              <w:rPr>
                <w:rStyle w:val="Footer1"/>
              </w:rPr>
              <w:t xml:space="preserve">Design and plan </w:t>
            </w:r>
          </w:p>
        </w:tc>
        <w:tc>
          <w:tcPr>
            <w:tcW w:w="1800" w:type="dxa"/>
            <w:tcBorders>
              <w:top w:val="nil"/>
              <w:left w:val="nil"/>
              <w:bottom w:val="single" w:sz="8" w:space="0" w:color="auto"/>
              <w:right w:val="single" w:sz="8" w:space="0" w:color="auto"/>
            </w:tcBorders>
            <w:vAlign w:val="center"/>
          </w:tcPr>
          <w:p w:rsidR="00C9661B" w:rsidRPr="00B6198F" w:rsidP="00FF24C3" w14:paraId="130C545A" w14:textId="0662345A">
            <w:pPr>
              <w:jc w:val="center"/>
              <w:rPr>
                <w:color w:val="000000"/>
              </w:rPr>
            </w:pPr>
            <w:r w:rsidRPr="00B6198F">
              <w:rPr>
                <w:color w:val="000000"/>
              </w:rPr>
              <w:t>$</w:t>
            </w:r>
            <w:r w:rsidR="000B12B5">
              <w:rPr>
                <w:color w:val="000000"/>
              </w:rPr>
              <w:t>27</w:t>
            </w:r>
            <w:r w:rsidR="000E637B">
              <w:rPr>
                <w:color w:val="000000"/>
              </w:rPr>
              <w:t>,679</w:t>
            </w:r>
          </w:p>
        </w:tc>
      </w:tr>
      <w:tr w14:paraId="7A8D3595" w14:textId="77777777" w:rsidTr="00271CD3">
        <w:tblPrEx>
          <w:tblW w:w="0" w:type="auto"/>
          <w:jc w:val="center"/>
          <w:tblLook w:val="01E0"/>
        </w:tblPrEx>
        <w:trPr>
          <w:jc w:val="center"/>
        </w:trPr>
        <w:tc>
          <w:tcPr>
            <w:tcW w:w="5663" w:type="dxa"/>
          </w:tcPr>
          <w:p w:rsidR="00C9661B" w:rsidRPr="0013398A" w:rsidP="00FF24C3" w14:paraId="1459EBC7" w14:textId="20757376">
            <w:pPr>
              <w:rPr>
                <w:rStyle w:val="Footer1"/>
              </w:rPr>
            </w:pPr>
            <w:r w:rsidRPr="0013398A">
              <w:rPr>
                <w:rStyle w:val="Footer1"/>
              </w:rPr>
              <w:t xml:space="preserve">Programming and developing </w:t>
            </w:r>
          </w:p>
        </w:tc>
        <w:tc>
          <w:tcPr>
            <w:tcW w:w="3687" w:type="dxa"/>
            <w:tcBorders>
              <w:top w:val="nil"/>
              <w:left w:val="nil"/>
              <w:bottom w:val="single" w:sz="8" w:space="0" w:color="auto"/>
              <w:right w:val="single" w:sz="8" w:space="0" w:color="auto"/>
            </w:tcBorders>
            <w:vAlign w:val="center"/>
          </w:tcPr>
          <w:p w:rsidR="00C9661B" w:rsidRPr="00B6198F" w:rsidP="00FF24C3" w14:paraId="58B6DEC6" w14:textId="007F22DC">
            <w:pPr>
              <w:jc w:val="center"/>
              <w:rPr>
                <w:color w:val="000000"/>
              </w:rPr>
            </w:pPr>
            <w:r w:rsidRPr="00B6198F">
              <w:rPr>
                <w:color w:val="000000"/>
              </w:rPr>
              <w:t>$</w:t>
            </w:r>
            <w:r w:rsidR="000E637B">
              <w:rPr>
                <w:color w:val="000000"/>
              </w:rPr>
              <w:t>153,677</w:t>
            </w:r>
          </w:p>
        </w:tc>
      </w:tr>
      <w:tr w14:paraId="048FE8E3" w14:textId="77777777" w:rsidTr="00271CD3">
        <w:tblPrEx>
          <w:tblW w:w="0" w:type="auto"/>
          <w:jc w:val="center"/>
          <w:tblLook w:val="01E0"/>
        </w:tblPrEx>
        <w:trPr>
          <w:jc w:val="center"/>
        </w:trPr>
        <w:tc>
          <w:tcPr>
            <w:tcW w:w="5663" w:type="dxa"/>
          </w:tcPr>
          <w:p w:rsidR="00C9661B" w:rsidRPr="0013398A" w:rsidP="00FF24C3" w14:paraId="164D854D" w14:textId="50B408CB">
            <w:pPr>
              <w:rPr>
                <w:rStyle w:val="Footer1"/>
              </w:rPr>
            </w:pPr>
            <w:r w:rsidRPr="0013398A">
              <w:rPr>
                <w:rStyle w:val="Footer1"/>
              </w:rPr>
              <w:t>Recruitment and preparation</w:t>
            </w:r>
          </w:p>
        </w:tc>
        <w:tc>
          <w:tcPr>
            <w:tcW w:w="3687" w:type="dxa"/>
            <w:tcBorders>
              <w:top w:val="nil"/>
              <w:left w:val="nil"/>
              <w:bottom w:val="single" w:sz="8" w:space="0" w:color="auto"/>
              <w:right w:val="single" w:sz="8" w:space="0" w:color="auto"/>
            </w:tcBorders>
            <w:vAlign w:val="center"/>
          </w:tcPr>
          <w:p w:rsidR="00C9661B" w:rsidRPr="00B6198F" w:rsidP="00FF24C3" w14:paraId="36FF8B4D" w14:textId="2869144F">
            <w:pPr>
              <w:jc w:val="center"/>
              <w:rPr>
                <w:color w:val="000000"/>
              </w:rPr>
            </w:pPr>
            <w:r w:rsidRPr="00B6198F">
              <w:rPr>
                <w:color w:val="000000"/>
              </w:rPr>
              <w:t>$</w:t>
            </w:r>
            <w:r w:rsidR="00BD2612">
              <w:rPr>
                <w:color w:val="000000"/>
              </w:rPr>
              <w:t>360,091</w:t>
            </w:r>
          </w:p>
        </w:tc>
      </w:tr>
      <w:tr w14:paraId="12C48A17" w14:textId="77777777" w:rsidTr="00271CD3">
        <w:tblPrEx>
          <w:tblW w:w="0" w:type="auto"/>
          <w:jc w:val="center"/>
          <w:tblLook w:val="01E0"/>
        </w:tblPrEx>
        <w:trPr>
          <w:jc w:val="center"/>
        </w:trPr>
        <w:tc>
          <w:tcPr>
            <w:tcW w:w="5663" w:type="dxa"/>
          </w:tcPr>
          <w:p w:rsidR="00C9661B" w:rsidRPr="0013398A" w:rsidP="00FF24C3" w14:paraId="1FE5ECC3" w14:textId="1C612B9D">
            <w:pPr>
              <w:rPr>
                <w:rStyle w:val="Footer1"/>
              </w:rPr>
            </w:pPr>
            <w:r w:rsidRPr="0013398A">
              <w:rPr>
                <w:rStyle w:val="Footer1"/>
              </w:rPr>
              <w:t>Printing and distribution</w:t>
            </w:r>
          </w:p>
        </w:tc>
        <w:tc>
          <w:tcPr>
            <w:tcW w:w="3687" w:type="dxa"/>
            <w:tcBorders>
              <w:top w:val="nil"/>
              <w:left w:val="nil"/>
              <w:bottom w:val="single" w:sz="8" w:space="0" w:color="auto"/>
              <w:right w:val="single" w:sz="8" w:space="0" w:color="auto"/>
            </w:tcBorders>
            <w:vAlign w:val="center"/>
          </w:tcPr>
          <w:p w:rsidR="00C9661B" w:rsidRPr="00B6198F" w:rsidP="00FF24C3" w14:paraId="52B8B354" w14:textId="53B49288">
            <w:pPr>
              <w:jc w:val="center"/>
              <w:rPr>
                <w:color w:val="000000"/>
              </w:rPr>
            </w:pPr>
            <w:r w:rsidRPr="00B6198F">
              <w:rPr>
                <w:color w:val="000000"/>
              </w:rPr>
              <w:t>$0</w:t>
            </w:r>
          </w:p>
        </w:tc>
      </w:tr>
      <w:tr w14:paraId="0DC9FB13" w14:textId="77777777" w:rsidTr="00271CD3">
        <w:tblPrEx>
          <w:tblW w:w="0" w:type="auto"/>
          <w:jc w:val="center"/>
          <w:tblLook w:val="01E0"/>
        </w:tblPrEx>
        <w:trPr>
          <w:jc w:val="center"/>
        </w:trPr>
        <w:tc>
          <w:tcPr>
            <w:tcW w:w="5663" w:type="dxa"/>
          </w:tcPr>
          <w:p w:rsidR="00C9661B" w:rsidRPr="0013398A" w:rsidP="00FF24C3" w14:paraId="18F24F67" w14:textId="77971D01">
            <w:pPr>
              <w:rPr>
                <w:rStyle w:val="Footer1"/>
              </w:rPr>
            </w:pPr>
            <w:r w:rsidRPr="0013398A">
              <w:rPr>
                <w:rStyle w:val="Footer1"/>
              </w:rPr>
              <w:t xml:space="preserve">Recruiting and training </w:t>
            </w:r>
          </w:p>
        </w:tc>
        <w:tc>
          <w:tcPr>
            <w:tcW w:w="3687" w:type="dxa"/>
            <w:tcBorders>
              <w:top w:val="nil"/>
              <w:left w:val="nil"/>
              <w:bottom w:val="single" w:sz="8" w:space="0" w:color="auto"/>
              <w:right w:val="single" w:sz="8" w:space="0" w:color="auto"/>
            </w:tcBorders>
            <w:vAlign w:val="center"/>
          </w:tcPr>
          <w:p w:rsidR="00C9661B" w:rsidRPr="00B6198F" w:rsidP="00FF24C3" w14:paraId="22DCDAFE" w14:textId="623CF1FD">
            <w:pPr>
              <w:jc w:val="center"/>
              <w:rPr>
                <w:color w:val="000000"/>
              </w:rPr>
            </w:pPr>
            <w:r w:rsidRPr="00B6198F">
              <w:rPr>
                <w:color w:val="000000"/>
              </w:rPr>
              <w:t>$</w:t>
            </w:r>
            <w:r w:rsidR="00BD2612">
              <w:rPr>
                <w:color w:val="000000"/>
              </w:rPr>
              <w:t>689,91</w:t>
            </w:r>
            <w:r w:rsidR="008C24B1">
              <w:rPr>
                <w:color w:val="000000"/>
              </w:rPr>
              <w:t>5</w:t>
            </w:r>
          </w:p>
        </w:tc>
      </w:tr>
      <w:tr w14:paraId="5A8746BF" w14:textId="77777777" w:rsidTr="00271CD3">
        <w:tblPrEx>
          <w:tblW w:w="0" w:type="auto"/>
          <w:jc w:val="center"/>
          <w:tblLook w:val="01E0"/>
        </w:tblPrEx>
        <w:trPr>
          <w:jc w:val="center"/>
        </w:trPr>
        <w:tc>
          <w:tcPr>
            <w:tcW w:w="5663" w:type="dxa"/>
          </w:tcPr>
          <w:p w:rsidR="00C9661B" w:rsidRPr="0013398A" w:rsidP="00FF24C3" w14:paraId="18B1AF3E" w14:textId="77777777">
            <w:pPr>
              <w:rPr>
                <w:rStyle w:val="Footer1"/>
              </w:rPr>
            </w:pPr>
            <w:r w:rsidRPr="0013398A">
              <w:rPr>
                <w:rStyle w:val="Footer1"/>
              </w:rPr>
              <w:t>Collection of data</w:t>
            </w:r>
          </w:p>
        </w:tc>
        <w:tc>
          <w:tcPr>
            <w:tcW w:w="3687" w:type="dxa"/>
            <w:tcBorders>
              <w:top w:val="nil"/>
              <w:left w:val="nil"/>
              <w:bottom w:val="single" w:sz="8" w:space="0" w:color="auto"/>
              <w:right w:val="single" w:sz="8" w:space="0" w:color="auto"/>
            </w:tcBorders>
            <w:vAlign w:val="center"/>
          </w:tcPr>
          <w:p w:rsidR="00C9661B" w:rsidRPr="00B6198F" w:rsidP="00FF24C3" w14:paraId="739C9EDC" w14:textId="571C73B4">
            <w:pPr>
              <w:jc w:val="center"/>
              <w:rPr>
                <w:color w:val="000000"/>
              </w:rPr>
            </w:pPr>
            <w:r w:rsidRPr="00B6198F">
              <w:t xml:space="preserve"> $</w:t>
            </w:r>
            <w:r w:rsidR="00996F37">
              <w:t>794,865</w:t>
            </w:r>
          </w:p>
        </w:tc>
      </w:tr>
      <w:tr w14:paraId="59FFBCDA" w14:textId="77777777" w:rsidTr="00271CD3">
        <w:tblPrEx>
          <w:tblW w:w="0" w:type="auto"/>
          <w:jc w:val="center"/>
          <w:tblLook w:val="01E0"/>
        </w:tblPrEx>
        <w:trPr>
          <w:jc w:val="center"/>
        </w:trPr>
        <w:tc>
          <w:tcPr>
            <w:tcW w:w="5663" w:type="dxa"/>
          </w:tcPr>
          <w:p w:rsidR="00C9661B" w:rsidRPr="0013398A" w:rsidP="00FF24C3" w14:paraId="12B1EBB9" w14:textId="77777777">
            <w:pPr>
              <w:rPr>
                <w:rStyle w:val="Footer1"/>
              </w:rPr>
            </w:pPr>
            <w:r w:rsidRPr="0013398A">
              <w:rPr>
                <w:rStyle w:val="Footer1"/>
              </w:rPr>
              <w:t>Processing, cleaning, weigh</w:t>
            </w:r>
            <w:r>
              <w:rPr>
                <w:rStyle w:val="Footer1"/>
              </w:rPr>
              <w:t>t</w:t>
            </w:r>
            <w:r w:rsidRPr="0013398A">
              <w:rPr>
                <w:rStyle w:val="Footer1"/>
              </w:rPr>
              <w:t xml:space="preserve">ing and developing data files </w:t>
            </w:r>
          </w:p>
        </w:tc>
        <w:tc>
          <w:tcPr>
            <w:tcW w:w="3687" w:type="dxa"/>
            <w:tcBorders>
              <w:top w:val="nil"/>
              <w:left w:val="nil"/>
              <w:bottom w:val="single" w:sz="8" w:space="0" w:color="auto"/>
              <w:right w:val="single" w:sz="8" w:space="0" w:color="auto"/>
            </w:tcBorders>
            <w:vAlign w:val="center"/>
          </w:tcPr>
          <w:p w:rsidR="00C9661B" w:rsidRPr="00B6198F" w:rsidP="00FF24C3" w14:paraId="4EACE5FB" w14:textId="798F9B0D">
            <w:pPr>
              <w:jc w:val="center"/>
              <w:rPr>
                <w:color w:val="000000"/>
              </w:rPr>
            </w:pPr>
            <w:r w:rsidRPr="00B6198F">
              <w:rPr>
                <w:color w:val="000000"/>
              </w:rPr>
              <w:t>$</w:t>
            </w:r>
            <w:r w:rsidR="00996F37">
              <w:rPr>
                <w:color w:val="000000"/>
              </w:rPr>
              <w:t>117,775</w:t>
            </w:r>
          </w:p>
        </w:tc>
      </w:tr>
      <w:tr w14:paraId="2D414C16" w14:textId="77777777" w:rsidTr="00271CD3">
        <w:tblPrEx>
          <w:tblW w:w="0" w:type="auto"/>
          <w:jc w:val="center"/>
          <w:tblLook w:val="01E0"/>
        </w:tblPrEx>
        <w:trPr>
          <w:jc w:val="center"/>
        </w:trPr>
        <w:tc>
          <w:tcPr>
            <w:tcW w:w="5663" w:type="dxa"/>
          </w:tcPr>
          <w:p w:rsidR="00C9661B" w:rsidRPr="0013398A" w:rsidP="00FF24C3" w14:paraId="42FCDBE6" w14:textId="77777777">
            <w:pPr>
              <w:rPr>
                <w:rStyle w:val="Footer1"/>
              </w:rPr>
            </w:pPr>
            <w:r w:rsidRPr="0013398A">
              <w:rPr>
                <w:rStyle w:val="Footer1"/>
              </w:rPr>
              <w:t>Dissemination and reporting of results</w:t>
            </w:r>
          </w:p>
        </w:tc>
        <w:tc>
          <w:tcPr>
            <w:tcW w:w="3687" w:type="dxa"/>
            <w:tcBorders>
              <w:top w:val="nil"/>
              <w:left w:val="nil"/>
              <w:bottom w:val="single" w:sz="8" w:space="0" w:color="auto"/>
              <w:right w:val="single" w:sz="8" w:space="0" w:color="auto"/>
            </w:tcBorders>
            <w:vAlign w:val="center"/>
          </w:tcPr>
          <w:p w:rsidR="00C9661B" w:rsidRPr="00B6198F" w:rsidP="00FF24C3" w14:paraId="798CE530" w14:textId="6D64A8DA">
            <w:pPr>
              <w:jc w:val="center"/>
              <w:rPr>
                <w:color w:val="000000"/>
              </w:rPr>
            </w:pPr>
            <w:r w:rsidRPr="00B6198F">
              <w:rPr>
                <w:color w:val="000000"/>
              </w:rPr>
              <w:t>$</w:t>
            </w:r>
            <w:r w:rsidR="00996F37">
              <w:rPr>
                <w:color w:val="000000"/>
              </w:rPr>
              <w:t>354</w:t>
            </w:r>
            <w:r w:rsidR="00580CBE">
              <w:rPr>
                <w:color w:val="000000"/>
              </w:rPr>
              <w:t>,280</w:t>
            </w:r>
          </w:p>
        </w:tc>
      </w:tr>
      <w:tr w14:paraId="4682CF8D" w14:textId="77777777" w:rsidTr="00271CD3">
        <w:tblPrEx>
          <w:tblW w:w="0" w:type="auto"/>
          <w:jc w:val="center"/>
          <w:tblLook w:val="01E0"/>
        </w:tblPrEx>
        <w:trPr>
          <w:jc w:val="center"/>
        </w:trPr>
        <w:tc>
          <w:tcPr>
            <w:tcW w:w="5663" w:type="dxa"/>
          </w:tcPr>
          <w:p w:rsidR="00C9661B" w:rsidRPr="00185D69" w:rsidP="00FF24C3" w14:paraId="3D10C654" w14:textId="77777777">
            <w:pPr>
              <w:jc w:val="right"/>
              <w:rPr>
                <w:rStyle w:val="Footer1"/>
              </w:rPr>
            </w:pPr>
            <w:r w:rsidRPr="00185D69">
              <w:rPr>
                <w:rStyle w:val="Footer1"/>
              </w:rPr>
              <w:t>Subtotal</w:t>
            </w:r>
          </w:p>
        </w:tc>
        <w:tc>
          <w:tcPr>
            <w:tcW w:w="3687" w:type="dxa"/>
            <w:tcBorders>
              <w:top w:val="nil"/>
              <w:left w:val="nil"/>
              <w:bottom w:val="single" w:sz="8" w:space="0" w:color="auto"/>
              <w:right w:val="single" w:sz="8" w:space="0" w:color="auto"/>
            </w:tcBorders>
            <w:vAlign w:val="bottom"/>
          </w:tcPr>
          <w:p w:rsidR="00C9661B" w:rsidRPr="00B6198F" w:rsidP="00FF24C3" w14:paraId="4795524B" w14:textId="4B5C41E0">
            <w:pPr>
              <w:jc w:val="center"/>
              <w:rPr>
                <w:color w:val="000000"/>
              </w:rPr>
            </w:pPr>
            <w:r w:rsidRPr="00B6198F">
              <w:rPr>
                <w:color w:val="000000"/>
              </w:rPr>
              <w:t>$</w:t>
            </w:r>
            <w:r w:rsidR="00580CBE">
              <w:rPr>
                <w:color w:val="000000"/>
              </w:rPr>
              <w:t>2,498,282</w:t>
            </w:r>
          </w:p>
        </w:tc>
      </w:tr>
      <w:bookmarkEnd w:id="8"/>
      <w:tr w14:paraId="7FF58194" w14:textId="77777777" w:rsidTr="00271CD3">
        <w:tblPrEx>
          <w:tblW w:w="0" w:type="auto"/>
          <w:jc w:val="center"/>
          <w:tblLook w:val="01E0"/>
        </w:tblPrEx>
        <w:trPr>
          <w:jc w:val="center"/>
        </w:trPr>
        <w:tc>
          <w:tcPr>
            <w:tcW w:w="5663" w:type="dxa"/>
          </w:tcPr>
          <w:p w:rsidR="00C9661B" w:rsidRPr="00185D69" w:rsidP="00FF24C3" w14:paraId="236138EE" w14:textId="77777777">
            <w:pPr>
              <w:rPr>
                <w:rStyle w:val="Footer1"/>
                <w:i/>
              </w:rPr>
            </w:pPr>
            <w:r w:rsidRPr="00185D69">
              <w:rPr>
                <w:rStyle w:val="Footer1"/>
                <w:i/>
              </w:rPr>
              <w:t>Federal Employee Time Cost</w:t>
            </w:r>
          </w:p>
        </w:tc>
        <w:tc>
          <w:tcPr>
            <w:tcW w:w="3687" w:type="dxa"/>
          </w:tcPr>
          <w:p w:rsidR="00C9661B" w:rsidRPr="00B6198F" w:rsidP="00FF24C3" w14:paraId="63D1BABB" w14:textId="77777777">
            <w:pPr>
              <w:jc w:val="center"/>
              <w:rPr>
                <w:rStyle w:val="Footer1"/>
              </w:rPr>
            </w:pPr>
          </w:p>
        </w:tc>
      </w:tr>
      <w:tr w14:paraId="04E3661B" w14:textId="77777777" w:rsidTr="00271CD3">
        <w:tblPrEx>
          <w:tblW w:w="0" w:type="auto"/>
          <w:jc w:val="center"/>
          <w:tblLook w:val="01E0"/>
        </w:tblPrEx>
        <w:trPr>
          <w:jc w:val="center"/>
        </w:trPr>
        <w:tc>
          <w:tcPr>
            <w:tcW w:w="5663" w:type="dxa"/>
          </w:tcPr>
          <w:p w:rsidR="00513581" w:rsidP="00FF24C3" w14:paraId="34C5C9A8" w14:textId="42F0DB2B">
            <w:pPr>
              <w:rPr>
                <w:rStyle w:val="Footer1"/>
              </w:rPr>
            </w:pPr>
            <w:r>
              <w:rPr>
                <w:rStyle w:val="Footer1"/>
              </w:rPr>
              <w:t>20% time for two FTEs</w:t>
            </w:r>
          </w:p>
        </w:tc>
        <w:tc>
          <w:tcPr>
            <w:tcW w:w="3687" w:type="dxa"/>
          </w:tcPr>
          <w:p w:rsidR="00513581" w:rsidRPr="00B6198F" w:rsidP="00FF24C3" w14:paraId="22D5F34C" w14:textId="65D791D1">
            <w:pPr>
              <w:jc w:val="center"/>
              <w:rPr>
                <w:rStyle w:val="Footer1"/>
              </w:rPr>
            </w:pPr>
            <w:r>
              <w:rPr>
                <w:rStyle w:val="Footer1"/>
              </w:rPr>
              <w:t>$52,083</w:t>
            </w:r>
          </w:p>
        </w:tc>
      </w:tr>
      <w:tr w14:paraId="182A92D3" w14:textId="77777777" w:rsidTr="00271CD3">
        <w:tblPrEx>
          <w:tblW w:w="0" w:type="auto"/>
          <w:jc w:val="center"/>
          <w:tblLook w:val="01E0"/>
        </w:tblPrEx>
        <w:trPr>
          <w:jc w:val="center"/>
        </w:trPr>
        <w:tc>
          <w:tcPr>
            <w:tcW w:w="5663" w:type="dxa"/>
          </w:tcPr>
          <w:p w:rsidR="00513581" w:rsidP="00FF24C3" w14:paraId="0761C951" w14:textId="6F5FCA42">
            <w:pPr>
              <w:rPr>
                <w:rStyle w:val="Footer1"/>
              </w:rPr>
            </w:pPr>
            <w:r>
              <w:rPr>
                <w:rStyle w:val="Footer1"/>
              </w:rPr>
              <w:t>10% time for two FTEs</w:t>
            </w:r>
          </w:p>
        </w:tc>
        <w:tc>
          <w:tcPr>
            <w:tcW w:w="3687" w:type="dxa"/>
          </w:tcPr>
          <w:p w:rsidR="00513581" w:rsidRPr="00B6198F" w:rsidP="00FF24C3" w14:paraId="4D74E2B8" w14:textId="6F86AEDC">
            <w:pPr>
              <w:jc w:val="center"/>
              <w:rPr>
                <w:rStyle w:val="Footer1"/>
              </w:rPr>
            </w:pPr>
            <w:r>
              <w:rPr>
                <w:rStyle w:val="Footer1"/>
              </w:rPr>
              <w:t>$32,190</w:t>
            </w:r>
          </w:p>
        </w:tc>
      </w:tr>
      <w:tr w14:paraId="5CF61F1F" w14:textId="77777777" w:rsidTr="00271CD3">
        <w:tblPrEx>
          <w:tblW w:w="0" w:type="auto"/>
          <w:jc w:val="center"/>
          <w:tblLook w:val="01E0"/>
        </w:tblPrEx>
        <w:trPr>
          <w:jc w:val="center"/>
        </w:trPr>
        <w:tc>
          <w:tcPr>
            <w:tcW w:w="5663" w:type="dxa"/>
          </w:tcPr>
          <w:p w:rsidR="00C9661B" w:rsidRPr="00185D69" w:rsidP="00FF24C3" w14:paraId="08790F51" w14:textId="15CEB6A3">
            <w:pPr>
              <w:rPr>
                <w:rStyle w:val="Footer1"/>
              </w:rPr>
            </w:pPr>
            <w:r>
              <w:rPr>
                <w:rStyle w:val="Footer1"/>
              </w:rPr>
              <w:t>15</w:t>
            </w:r>
            <w:r w:rsidRPr="00185D69" w:rsidR="00C70D43">
              <w:rPr>
                <w:rStyle w:val="Footer1"/>
              </w:rPr>
              <w:t xml:space="preserve">% time for </w:t>
            </w:r>
            <w:r>
              <w:rPr>
                <w:rStyle w:val="Footer1"/>
              </w:rPr>
              <w:t>one</w:t>
            </w:r>
            <w:r w:rsidRPr="00185D69" w:rsidR="00C70D43">
              <w:rPr>
                <w:rStyle w:val="Footer1"/>
              </w:rPr>
              <w:t xml:space="preserve"> FTE</w:t>
            </w:r>
          </w:p>
        </w:tc>
        <w:tc>
          <w:tcPr>
            <w:tcW w:w="3687" w:type="dxa"/>
          </w:tcPr>
          <w:p w:rsidR="00C9661B" w:rsidRPr="00B6198F" w:rsidP="00FF24C3" w14:paraId="274D5657" w14:textId="36414D61">
            <w:pPr>
              <w:jc w:val="center"/>
              <w:rPr>
                <w:rStyle w:val="Footer1"/>
              </w:rPr>
            </w:pPr>
            <w:r w:rsidRPr="00B6198F">
              <w:rPr>
                <w:rStyle w:val="Footer1"/>
              </w:rPr>
              <w:t>$</w:t>
            </w:r>
            <w:r w:rsidR="00B94F1C">
              <w:rPr>
                <w:rStyle w:val="Footer1"/>
              </w:rPr>
              <w:t>29,181</w:t>
            </w:r>
          </w:p>
        </w:tc>
      </w:tr>
      <w:tr w14:paraId="73D53C8A" w14:textId="77777777" w:rsidTr="00271CD3">
        <w:tblPrEx>
          <w:tblW w:w="0" w:type="auto"/>
          <w:jc w:val="center"/>
          <w:tblLook w:val="01E0"/>
        </w:tblPrEx>
        <w:trPr>
          <w:jc w:val="center"/>
        </w:trPr>
        <w:tc>
          <w:tcPr>
            <w:tcW w:w="5663" w:type="dxa"/>
          </w:tcPr>
          <w:p w:rsidR="00C9661B" w:rsidRPr="00185D69" w:rsidP="00FF24C3" w14:paraId="6914C818" w14:textId="024244A1">
            <w:pPr>
              <w:rPr>
                <w:rStyle w:val="Footer1"/>
              </w:rPr>
            </w:pPr>
            <w:r>
              <w:rPr>
                <w:rStyle w:val="Footer1"/>
              </w:rPr>
              <w:t>7</w:t>
            </w:r>
            <w:r w:rsidR="00C70D43">
              <w:rPr>
                <w:rStyle w:val="Footer1"/>
              </w:rPr>
              <w:t>0</w:t>
            </w:r>
            <w:r w:rsidRPr="00185D69" w:rsidR="00C70D43">
              <w:rPr>
                <w:rStyle w:val="Footer1"/>
              </w:rPr>
              <w:t>% time for one FTE</w:t>
            </w:r>
          </w:p>
        </w:tc>
        <w:tc>
          <w:tcPr>
            <w:tcW w:w="3687" w:type="dxa"/>
          </w:tcPr>
          <w:p w:rsidR="00C9661B" w:rsidRPr="00B6198F" w:rsidP="00FF24C3" w14:paraId="5D4D26C5" w14:textId="434F856B">
            <w:pPr>
              <w:jc w:val="center"/>
              <w:rPr>
                <w:rStyle w:val="Footer1"/>
              </w:rPr>
            </w:pPr>
            <w:r w:rsidRPr="00B6198F">
              <w:rPr>
                <w:rStyle w:val="Footer1"/>
              </w:rPr>
              <w:t>$</w:t>
            </w:r>
            <w:r w:rsidR="00BB68EC">
              <w:rPr>
                <w:rStyle w:val="Footer1"/>
              </w:rPr>
              <w:t>99</w:t>
            </w:r>
            <w:r w:rsidR="00B94F1C">
              <w:rPr>
                <w:rStyle w:val="Footer1"/>
              </w:rPr>
              <w:t>,</w:t>
            </w:r>
            <w:r w:rsidR="00BB68EC">
              <w:rPr>
                <w:rStyle w:val="Footer1"/>
              </w:rPr>
              <w:t>403</w:t>
            </w:r>
          </w:p>
        </w:tc>
      </w:tr>
      <w:tr w14:paraId="0BBFA798" w14:textId="77777777" w:rsidTr="00271CD3">
        <w:tblPrEx>
          <w:tblW w:w="0" w:type="auto"/>
          <w:jc w:val="center"/>
          <w:tblLook w:val="01E0"/>
        </w:tblPrEx>
        <w:trPr>
          <w:jc w:val="center"/>
        </w:trPr>
        <w:tc>
          <w:tcPr>
            <w:tcW w:w="5663" w:type="dxa"/>
          </w:tcPr>
          <w:p w:rsidR="00C9661B" w:rsidRPr="00185D69" w:rsidP="00FF24C3" w14:paraId="56806654" w14:textId="77777777">
            <w:pPr>
              <w:jc w:val="right"/>
              <w:rPr>
                <w:rStyle w:val="Footer1"/>
              </w:rPr>
            </w:pPr>
            <w:r w:rsidRPr="00185D69">
              <w:rPr>
                <w:rStyle w:val="Footer1"/>
              </w:rPr>
              <w:t>Subtotal</w:t>
            </w:r>
          </w:p>
        </w:tc>
        <w:tc>
          <w:tcPr>
            <w:tcW w:w="3687" w:type="dxa"/>
          </w:tcPr>
          <w:p w:rsidR="00C9661B" w:rsidRPr="00B6198F" w:rsidP="00FF24C3" w14:paraId="16E28972" w14:textId="5CBE24CD">
            <w:pPr>
              <w:jc w:val="center"/>
              <w:rPr>
                <w:rStyle w:val="Footer1"/>
              </w:rPr>
            </w:pPr>
            <w:r w:rsidRPr="00B6198F">
              <w:rPr>
                <w:rStyle w:val="Footer1"/>
              </w:rPr>
              <w:t>$</w:t>
            </w:r>
            <w:r w:rsidR="00F17732">
              <w:rPr>
                <w:rStyle w:val="Footer1"/>
              </w:rPr>
              <w:t>212,85</w:t>
            </w:r>
            <w:r w:rsidR="00DD27F7">
              <w:rPr>
                <w:rStyle w:val="Footer1"/>
              </w:rPr>
              <w:t>8</w:t>
            </w:r>
          </w:p>
        </w:tc>
      </w:tr>
      <w:tr w14:paraId="45F0969A" w14:textId="77777777" w:rsidTr="00D66F2F">
        <w:tblPrEx>
          <w:tblW w:w="0" w:type="auto"/>
          <w:jc w:val="center"/>
          <w:tblLook w:val="01E0"/>
        </w:tblPrEx>
        <w:trPr>
          <w:jc w:val="center"/>
        </w:trPr>
        <w:tc>
          <w:tcPr>
            <w:tcW w:w="6660" w:type="dxa"/>
          </w:tcPr>
          <w:p w:rsidR="00C9661B" w:rsidRPr="00185D69" w:rsidP="00FF24C3" w14:paraId="528D2924" w14:textId="77777777">
            <w:pPr>
              <w:jc w:val="right"/>
              <w:rPr>
                <w:rStyle w:val="Footer1"/>
              </w:rPr>
            </w:pPr>
            <w:r w:rsidRPr="00185D69">
              <w:rPr>
                <w:rStyle w:val="Footer1"/>
              </w:rPr>
              <w:t>Total</w:t>
            </w:r>
            <w:r w:rsidR="00844E4D">
              <w:rPr>
                <w:rStyle w:val="Footer1"/>
              </w:rPr>
              <w:t>*</w:t>
            </w:r>
            <w:r w:rsidRPr="00185D69">
              <w:rPr>
                <w:rStyle w:val="Footer1"/>
              </w:rPr>
              <w:t xml:space="preserve"> Estimated Annualized Cost to the Federal Government</w:t>
            </w:r>
          </w:p>
        </w:tc>
        <w:tc>
          <w:tcPr>
            <w:tcW w:w="1800" w:type="dxa"/>
          </w:tcPr>
          <w:p w:rsidR="00C9661B" w:rsidRPr="00B6198F" w:rsidP="00FF24C3" w14:paraId="0C702964" w14:textId="00D8ACD5">
            <w:pPr>
              <w:jc w:val="center"/>
              <w:rPr>
                <w:rStyle w:val="Footer1"/>
              </w:rPr>
            </w:pPr>
            <w:r w:rsidRPr="00B6198F">
              <w:rPr>
                <w:rStyle w:val="Footer1"/>
              </w:rPr>
              <w:t>$</w:t>
            </w:r>
            <w:r w:rsidR="00D66F2F">
              <w:rPr>
                <w:rStyle w:val="Footer1"/>
              </w:rPr>
              <w:t>2,711,139</w:t>
            </w:r>
          </w:p>
        </w:tc>
      </w:tr>
    </w:tbl>
    <w:p w:rsidR="00EC5EB0" w:rsidRPr="0025506E" w:rsidP="00EC5EB0" w14:paraId="39CE7168" w14:textId="0B82B6B8">
      <w:pPr>
        <w:rPr>
          <w:i/>
          <w:sz w:val="20"/>
          <w:szCs w:val="20"/>
        </w:rPr>
      </w:pPr>
      <w:r w:rsidRPr="00185D69">
        <w:rPr>
          <w:sz w:val="20"/>
          <w:szCs w:val="20"/>
        </w:rPr>
        <w:t>*</w:t>
      </w:r>
      <w:r w:rsidRPr="00185D69">
        <w:rPr>
          <w:i/>
          <w:sz w:val="20"/>
          <w:szCs w:val="20"/>
        </w:rPr>
        <w:t xml:space="preserve">Components may not sum to this figure due to </w:t>
      </w:r>
      <w:r w:rsidRPr="00A81343">
        <w:rPr>
          <w:i/>
          <w:sz w:val="20"/>
          <w:szCs w:val="20"/>
        </w:rPr>
        <w:t>rounding</w:t>
      </w:r>
      <w:r w:rsidRPr="00A81343" w:rsidR="00DD27F7">
        <w:rPr>
          <w:i/>
          <w:sz w:val="20"/>
          <w:szCs w:val="20"/>
        </w:rPr>
        <w:t xml:space="preserve">; </w:t>
      </w:r>
      <w:r w:rsidRPr="00A81343" w:rsidR="00A81343">
        <w:rPr>
          <w:i/>
          <w:sz w:val="20"/>
          <w:szCs w:val="20"/>
        </w:rPr>
        <w:t xml:space="preserve">FDA’s </w:t>
      </w:r>
      <w:r w:rsidRPr="0025506E" w:rsidR="00A81343">
        <w:rPr>
          <w:i/>
          <w:sz w:val="20"/>
          <w:szCs w:val="20"/>
        </w:rPr>
        <w:t>CTP funds are from user fees, not from appropriations</w:t>
      </w:r>
      <w:r w:rsidRPr="0025506E">
        <w:rPr>
          <w:i/>
          <w:sz w:val="20"/>
          <w:szCs w:val="20"/>
        </w:rPr>
        <w:t xml:space="preserve">. </w:t>
      </w:r>
    </w:p>
    <w:p w:rsidR="00CC7638" w:rsidRPr="00185D69" w:rsidP="00EC5EB0" w14:paraId="4512987D" w14:textId="77777777"/>
    <w:p w:rsidR="00C82CB3" w:rsidP="00C54E97" w14:paraId="0C8D7A03" w14:textId="3019E807">
      <w:pPr>
        <w:numPr>
          <w:ilvl w:val="0"/>
          <w:numId w:val="59"/>
        </w:numPr>
        <w:spacing w:after="200" w:line="276" w:lineRule="auto"/>
        <w:rPr>
          <w:rFonts w:eastAsia="Calibri"/>
          <w:u w:val="single"/>
        </w:rPr>
      </w:pPr>
      <w:r w:rsidRPr="00357C8A">
        <w:rPr>
          <w:rFonts w:eastAsia="Calibri"/>
          <w:u w:val="single"/>
        </w:rPr>
        <w:t>Explanation for Program Changes or Adjustments</w:t>
      </w:r>
    </w:p>
    <w:p w:rsidR="00775DB8" w:rsidRPr="00185D69" w:rsidP="00994202" w14:paraId="05F74579" w14:textId="06CAFBF4">
      <w:r>
        <w:t xml:space="preserve">The content of the </w:t>
      </w:r>
      <w:r w:rsidR="00CE2D28">
        <w:t>202</w:t>
      </w:r>
      <w:r w:rsidR="009E4B4F">
        <w:t>6</w:t>
      </w:r>
      <w:r>
        <w:t xml:space="preserve"> instrument remains </w:t>
      </w:r>
      <w:r w:rsidR="00C8484F">
        <w:t xml:space="preserve">largely </w:t>
      </w:r>
      <w:r>
        <w:t xml:space="preserve">consistent with </w:t>
      </w:r>
      <w:r w:rsidR="00C8484F">
        <w:t>the past NYTS surveys</w:t>
      </w:r>
      <w:r>
        <w:t xml:space="preserve">. For </w:t>
      </w:r>
      <w:r w:rsidRPr="005408D2">
        <w:t>202</w:t>
      </w:r>
      <w:r w:rsidRPr="005408D2" w:rsidR="00C9661B">
        <w:t>4</w:t>
      </w:r>
      <w:r w:rsidRPr="005408D2">
        <w:t>-202</w:t>
      </w:r>
      <w:r w:rsidRPr="005408D2" w:rsidR="00C9661B">
        <w:t>6</w:t>
      </w:r>
      <w:r>
        <w:t>,</w:t>
      </w:r>
      <w:r w:rsidRPr="00185D69" w:rsidR="00DC410D">
        <w:t xml:space="preserve"> there are no changes to the estimated burden per respons</w:t>
      </w:r>
      <w:r w:rsidR="006045CD">
        <w:t>e</w:t>
      </w:r>
      <w:r>
        <w:t>, the</w:t>
      </w:r>
      <w:r w:rsidRPr="00185D69" w:rsidR="00DC410D">
        <w:t xml:space="preserve"> frequency of data collection for the survey instrument, the recruitment scripts, or the checklist used by teachers. </w:t>
      </w:r>
    </w:p>
    <w:p w:rsidR="00775DB8" w:rsidRPr="00185D69" w:rsidP="00994202" w14:paraId="7A30F437" w14:textId="77777777"/>
    <w:p w:rsidR="0024526D" w:rsidP="00994202" w14:paraId="4315EA33" w14:textId="6663FF0C">
      <w:r>
        <w:t>Th</w:t>
      </w:r>
      <w:r w:rsidR="00F769FE">
        <w:t>e</w:t>
      </w:r>
      <w:r>
        <w:t xml:space="preserve"> overall burden </w:t>
      </w:r>
      <w:r w:rsidR="00C9661B">
        <w:t xml:space="preserve">is </w:t>
      </w:r>
      <w:r w:rsidR="00F769FE">
        <w:t xml:space="preserve">somewhat higher than the </w:t>
      </w:r>
      <w:r>
        <w:t>previous cycle</w:t>
      </w:r>
      <w:r w:rsidR="00F769FE">
        <w:t xml:space="preserve"> due to the increased sample size </w:t>
      </w:r>
      <w:r w:rsidR="00826437">
        <w:t>because of</w:t>
      </w:r>
      <w:r w:rsidR="007B0E15">
        <w:t xml:space="preserve"> declining response rates</w:t>
      </w:r>
      <w:r>
        <w:t xml:space="preserve">. </w:t>
      </w:r>
      <w:r w:rsidRPr="00185D69" w:rsidR="00EF0E2A">
        <w:t xml:space="preserve">The </w:t>
      </w:r>
      <w:r w:rsidR="00CB27C4">
        <w:t>2024-2026</w:t>
      </w:r>
      <w:r w:rsidRPr="00185D69" w:rsidR="008C0C86">
        <w:t xml:space="preserve"> </w:t>
      </w:r>
      <w:r w:rsidRPr="00185D69" w:rsidR="00EF0E2A">
        <w:t xml:space="preserve">NYTS approval was based on </w:t>
      </w:r>
      <w:r w:rsidR="009E4B4F">
        <w:t>30,806</w:t>
      </w:r>
      <w:r w:rsidRPr="00185D69" w:rsidR="003C51D6">
        <w:t xml:space="preserve"> </w:t>
      </w:r>
      <w:r w:rsidRPr="00185D69" w:rsidR="00EF0E2A">
        <w:t xml:space="preserve">annualized responses and </w:t>
      </w:r>
      <w:r w:rsidR="009135EE">
        <w:t>22,086</w:t>
      </w:r>
      <w:r w:rsidRPr="00185D69" w:rsidR="00FC7CB8">
        <w:t xml:space="preserve"> </w:t>
      </w:r>
      <w:r w:rsidRPr="00185D69" w:rsidR="00EF0E2A">
        <w:t xml:space="preserve">annualized burden hours for </w:t>
      </w:r>
      <w:r w:rsidR="00CB27C4">
        <w:t>2024</w:t>
      </w:r>
      <w:r w:rsidRPr="00B6198F" w:rsidR="00EF0E2A">
        <w:t xml:space="preserve">. </w:t>
      </w:r>
      <w:r w:rsidR="00F769FE">
        <w:t xml:space="preserve">The 2026 NYTS is estimated to </w:t>
      </w:r>
      <w:r w:rsidRPr="00825F01" w:rsidR="00F769FE">
        <w:t xml:space="preserve">include </w:t>
      </w:r>
      <w:r w:rsidR="00CB27C4">
        <w:t>31,47</w:t>
      </w:r>
      <w:r w:rsidR="002F2E91">
        <w:rPr>
          <w:rFonts w:hint="eastAsia"/>
          <w:lang w:eastAsia="ko-KR"/>
        </w:rPr>
        <w:t>1</w:t>
      </w:r>
      <w:r w:rsidRPr="00825F01" w:rsidR="00F769FE">
        <w:t xml:space="preserve"> responses</w:t>
      </w:r>
      <w:r w:rsidR="00F769FE">
        <w:t xml:space="preserve"> and </w:t>
      </w:r>
      <w:r w:rsidR="00CB27C4">
        <w:t>22,600</w:t>
      </w:r>
      <w:r w:rsidR="00F769FE">
        <w:t xml:space="preserve"> annualized burden hours.</w:t>
      </w:r>
    </w:p>
    <w:p w:rsidR="00F8378F" w14:paraId="3AC6890F" w14:textId="77777777">
      <w:pPr>
        <w:rPr>
          <w:b/>
        </w:rPr>
      </w:pPr>
    </w:p>
    <w:p w:rsidR="0024526D" w:rsidP="0024526D" w14:paraId="6D84D8D1" w14:textId="66299861">
      <w:pPr>
        <w:keepNext/>
        <w:keepLines/>
        <w:rPr>
          <w:b/>
        </w:rPr>
      </w:pPr>
      <w:r w:rsidRPr="00AD7871">
        <w:rPr>
          <w:b/>
        </w:rPr>
        <w:t xml:space="preserve">Table </w:t>
      </w:r>
      <w:r w:rsidR="007F46C8">
        <w:rPr>
          <w:b/>
        </w:rPr>
        <w:t>5</w:t>
      </w:r>
      <w:r w:rsidR="00427F5C">
        <w:rPr>
          <w:b/>
        </w:rPr>
        <w:t>:</w:t>
      </w:r>
      <w:r>
        <w:rPr>
          <w:b/>
        </w:rPr>
        <w:t xml:space="preserve"> </w:t>
      </w:r>
      <w:r w:rsidRPr="00AD7871">
        <w:rPr>
          <w:b/>
        </w:rPr>
        <w:t xml:space="preserve">Annualized Estimates </w:t>
      </w:r>
      <w:r>
        <w:rPr>
          <w:b/>
        </w:rPr>
        <w:t xml:space="preserve">of Respondents and Burden, </w:t>
      </w:r>
      <w:r w:rsidR="00CC69B7">
        <w:rPr>
          <w:b/>
        </w:rPr>
        <w:t>2026</w:t>
      </w:r>
      <w:r>
        <w:rPr>
          <w:b/>
        </w:rPr>
        <w:t xml:space="preserve"> </w:t>
      </w:r>
      <w:r w:rsidRPr="00AD7871">
        <w:rPr>
          <w:b/>
        </w:rPr>
        <w:t>NYTS</w:t>
      </w:r>
      <w:r w:rsidR="008E4178">
        <w:rPr>
          <w:b/>
        </w:rPr>
        <w:t xml:space="preserve">, with changes from </w:t>
      </w:r>
      <w:r w:rsidR="00731B5B">
        <w:rPr>
          <w:b/>
        </w:rPr>
        <w:t>202</w:t>
      </w:r>
      <w:r w:rsidR="00D43CE1">
        <w:rPr>
          <w:b/>
        </w:rPr>
        <w:t>4</w:t>
      </w:r>
      <w:r w:rsidR="00731B5B">
        <w:rPr>
          <w:b/>
        </w:rPr>
        <w:t>-202</w:t>
      </w:r>
      <w:r w:rsidR="00D43CE1">
        <w:rPr>
          <w:b/>
        </w:rPr>
        <w:t>6</w:t>
      </w:r>
      <w:r w:rsidR="008E4178">
        <w:rPr>
          <w:b/>
        </w:rPr>
        <w:t xml:space="preserve"> OMB approval</w:t>
      </w:r>
    </w:p>
    <w:p w:rsidR="00F8378F" w:rsidRPr="00AD7871" w:rsidP="0024526D" w14:paraId="1C7EB7FF" w14:textId="77777777">
      <w:pPr>
        <w:keepNext/>
        <w:keepLines/>
        <w:rPr>
          <w:b/>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1440"/>
        <w:gridCol w:w="1317"/>
        <w:gridCol w:w="922"/>
        <w:gridCol w:w="1239"/>
        <w:gridCol w:w="1144"/>
        <w:gridCol w:w="965"/>
        <w:gridCol w:w="975"/>
      </w:tblGrid>
      <w:tr w14:paraId="7801DCEC" w14:textId="77777777" w:rsidTr="007056D3">
        <w:tblPrEx>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82"/>
          <w:jc w:val="center"/>
        </w:trPr>
        <w:tc>
          <w:tcPr>
            <w:tcW w:w="1428" w:type="dxa"/>
            <w:vAlign w:val="center"/>
          </w:tcPr>
          <w:p w:rsidR="00E93B1F" w:rsidRPr="008B5F23" w:rsidP="00E93B1F" w14:paraId="44658508" w14:textId="77777777">
            <w:pPr>
              <w:keepNext/>
              <w:keepLines/>
              <w:jc w:val="center"/>
              <w:rPr>
                <w:b/>
                <w:sz w:val="20"/>
                <w:szCs w:val="20"/>
              </w:rPr>
            </w:pPr>
            <w:r w:rsidRPr="008B5F23">
              <w:rPr>
                <w:b/>
                <w:sz w:val="20"/>
                <w:szCs w:val="20"/>
              </w:rPr>
              <w:t>Type of Respondent</w:t>
            </w:r>
          </w:p>
        </w:tc>
        <w:tc>
          <w:tcPr>
            <w:tcW w:w="1440" w:type="dxa"/>
            <w:vAlign w:val="center"/>
          </w:tcPr>
          <w:p w:rsidR="00E93B1F" w:rsidRPr="00D253F3" w:rsidP="00E93B1F" w14:paraId="05AD641E" w14:textId="77777777">
            <w:pPr>
              <w:keepNext/>
              <w:keepLines/>
              <w:jc w:val="center"/>
              <w:rPr>
                <w:b/>
                <w:sz w:val="20"/>
                <w:szCs w:val="20"/>
              </w:rPr>
            </w:pPr>
            <w:r w:rsidRPr="00D253F3">
              <w:rPr>
                <w:b/>
                <w:sz w:val="20"/>
                <w:szCs w:val="20"/>
              </w:rPr>
              <w:t>Form Name</w:t>
            </w:r>
          </w:p>
        </w:tc>
        <w:tc>
          <w:tcPr>
            <w:tcW w:w="1317" w:type="dxa"/>
            <w:vAlign w:val="center"/>
          </w:tcPr>
          <w:p w:rsidR="00E93B1F" w:rsidRPr="00D253F3" w:rsidP="00E93B1F" w14:paraId="67E68F10" w14:textId="77777777">
            <w:pPr>
              <w:keepNext/>
              <w:keepLines/>
              <w:jc w:val="center"/>
              <w:rPr>
                <w:b/>
                <w:sz w:val="20"/>
                <w:szCs w:val="20"/>
              </w:rPr>
            </w:pPr>
            <w:r w:rsidRPr="00D253F3">
              <w:rPr>
                <w:b/>
                <w:sz w:val="20"/>
                <w:szCs w:val="20"/>
              </w:rPr>
              <w:t>No. of Respondents</w:t>
            </w:r>
          </w:p>
        </w:tc>
        <w:tc>
          <w:tcPr>
            <w:tcW w:w="922" w:type="dxa"/>
            <w:vAlign w:val="center"/>
          </w:tcPr>
          <w:p w:rsidR="00E93B1F" w:rsidRPr="00D253F3" w:rsidP="00E93B1F" w14:paraId="130B538C" w14:textId="77777777">
            <w:pPr>
              <w:keepNext/>
              <w:keepLines/>
              <w:jc w:val="center"/>
              <w:rPr>
                <w:b/>
                <w:sz w:val="20"/>
                <w:szCs w:val="20"/>
              </w:rPr>
            </w:pPr>
            <w:r w:rsidRPr="00D253F3">
              <w:rPr>
                <w:b/>
                <w:sz w:val="20"/>
                <w:szCs w:val="20"/>
              </w:rPr>
              <w:t>Change</w:t>
            </w:r>
          </w:p>
          <w:p w:rsidR="00E93B1F" w:rsidRPr="00D253F3" w:rsidP="00E93B1F" w14:paraId="3490E991" w14:textId="77777777">
            <w:pPr>
              <w:keepNext/>
              <w:keepLines/>
              <w:jc w:val="center"/>
              <w:rPr>
                <w:b/>
                <w:sz w:val="20"/>
                <w:szCs w:val="20"/>
              </w:rPr>
            </w:pPr>
            <w:r w:rsidRPr="00D253F3">
              <w:rPr>
                <w:b/>
                <w:sz w:val="20"/>
                <w:szCs w:val="20"/>
              </w:rPr>
              <w:t>from</w:t>
            </w:r>
          </w:p>
          <w:p w:rsidR="00E93B1F" w:rsidRPr="00D253F3" w:rsidP="00E93B1F" w14:paraId="365D32FF" w14:textId="64C7A843">
            <w:pPr>
              <w:keepNext/>
              <w:keepLines/>
              <w:jc w:val="center"/>
              <w:rPr>
                <w:b/>
                <w:sz w:val="20"/>
                <w:szCs w:val="20"/>
              </w:rPr>
            </w:pPr>
            <w:r w:rsidRPr="00D253F3">
              <w:rPr>
                <w:b/>
                <w:sz w:val="20"/>
                <w:szCs w:val="20"/>
              </w:rPr>
              <w:t>20</w:t>
            </w:r>
            <w:r w:rsidRPr="00D253F3" w:rsidR="00D253F3">
              <w:rPr>
                <w:b/>
                <w:sz w:val="20"/>
                <w:szCs w:val="20"/>
              </w:rPr>
              <w:t>2</w:t>
            </w:r>
            <w:r w:rsidR="006046B6">
              <w:rPr>
                <w:b/>
                <w:sz w:val="20"/>
                <w:szCs w:val="20"/>
              </w:rPr>
              <w:t>4</w:t>
            </w:r>
          </w:p>
        </w:tc>
        <w:tc>
          <w:tcPr>
            <w:tcW w:w="1239" w:type="dxa"/>
            <w:vAlign w:val="center"/>
          </w:tcPr>
          <w:p w:rsidR="00E93B1F" w:rsidRPr="00D253F3" w:rsidP="00E93B1F" w14:paraId="307A39E1" w14:textId="77777777">
            <w:pPr>
              <w:keepNext/>
              <w:keepLines/>
              <w:jc w:val="center"/>
              <w:rPr>
                <w:b/>
                <w:sz w:val="20"/>
                <w:szCs w:val="20"/>
              </w:rPr>
            </w:pPr>
            <w:r w:rsidRPr="00D253F3">
              <w:rPr>
                <w:b/>
                <w:sz w:val="20"/>
                <w:szCs w:val="20"/>
              </w:rPr>
              <w:t>No. of Responses per Respondent</w:t>
            </w:r>
          </w:p>
        </w:tc>
        <w:tc>
          <w:tcPr>
            <w:tcW w:w="1144" w:type="dxa"/>
            <w:vAlign w:val="center"/>
          </w:tcPr>
          <w:p w:rsidR="00E93B1F" w:rsidRPr="00D253F3" w:rsidP="00E93B1F" w14:paraId="5C0B2D06" w14:textId="77777777">
            <w:pPr>
              <w:keepNext/>
              <w:keepLines/>
              <w:jc w:val="center"/>
              <w:rPr>
                <w:b/>
                <w:sz w:val="20"/>
                <w:szCs w:val="20"/>
              </w:rPr>
            </w:pPr>
            <w:r w:rsidRPr="00D253F3">
              <w:rPr>
                <w:b/>
                <w:sz w:val="20"/>
                <w:szCs w:val="20"/>
              </w:rPr>
              <w:t>Average Burden Per Response (In Hours)</w:t>
            </w:r>
          </w:p>
        </w:tc>
        <w:tc>
          <w:tcPr>
            <w:tcW w:w="965" w:type="dxa"/>
            <w:vAlign w:val="center"/>
          </w:tcPr>
          <w:p w:rsidR="00E93B1F" w:rsidRPr="00D253F3" w:rsidP="00E93B1F" w14:paraId="33CB398A" w14:textId="77777777">
            <w:pPr>
              <w:keepNext/>
              <w:keepLines/>
              <w:jc w:val="center"/>
              <w:rPr>
                <w:b/>
                <w:sz w:val="20"/>
                <w:szCs w:val="20"/>
              </w:rPr>
            </w:pPr>
            <w:r w:rsidRPr="00D253F3">
              <w:rPr>
                <w:b/>
                <w:sz w:val="20"/>
                <w:szCs w:val="20"/>
              </w:rPr>
              <w:t>Total Burden (In Hours)</w:t>
            </w:r>
          </w:p>
        </w:tc>
        <w:tc>
          <w:tcPr>
            <w:tcW w:w="975" w:type="dxa"/>
            <w:vAlign w:val="center"/>
          </w:tcPr>
          <w:p w:rsidR="00E93B1F" w:rsidRPr="00D253F3" w:rsidP="00E93B1F" w14:paraId="166B2E5D" w14:textId="77777777">
            <w:pPr>
              <w:keepNext/>
              <w:keepLines/>
              <w:jc w:val="center"/>
              <w:rPr>
                <w:b/>
                <w:sz w:val="20"/>
                <w:szCs w:val="20"/>
              </w:rPr>
            </w:pPr>
            <w:r w:rsidRPr="00D253F3">
              <w:rPr>
                <w:b/>
                <w:sz w:val="20"/>
                <w:szCs w:val="20"/>
              </w:rPr>
              <w:t>Change</w:t>
            </w:r>
          </w:p>
          <w:p w:rsidR="00E93B1F" w:rsidRPr="00D253F3" w:rsidP="00E93B1F" w14:paraId="28DE6759" w14:textId="77777777">
            <w:pPr>
              <w:keepNext/>
              <w:keepLines/>
              <w:jc w:val="center"/>
              <w:rPr>
                <w:b/>
                <w:sz w:val="20"/>
                <w:szCs w:val="20"/>
              </w:rPr>
            </w:pPr>
            <w:r w:rsidRPr="00D253F3">
              <w:rPr>
                <w:b/>
                <w:sz w:val="20"/>
                <w:szCs w:val="20"/>
              </w:rPr>
              <w:t>from</w:t>
            </w:r>
          </w:p>
          <w:p w:rsidR="00E93B1F" w:rsidRPr="00D253F3" w:rsidP="00E93B1F" w14:paraId="772F98B2" w14:textId="5A8F092D">
            <w:pPr>
              <w:keepNext/>
              <w:keepLines/>
              <w:jc w:val="center"/>
              <w:rPr>
                <w:b/>
                <w:sz w:val="20"/>
                <w:szCs w:val="20"/>
              </w:rPr>
            </w:pPr>
            <w:r>
              <w:rPr>
                <w:b/>
                <w:sz w:val="20"/>
                <w:szCs w:val="20"/>
              </w:rPr>
              <w:t>202</w:t>
            </w:r>
            <w:r w:rsidR="00335CFF">
              <w:rPr>
                <w:b/>
                <w:sz w:val="20"/>
                <w:szCs w:val="20"/>
              </w:rPr>
              <w:t>4</w:t>
            </w:r>
          </w:p>
        </w:tc>
      </w:tr>
      <w:tr w14:paraId="56778D8E" w14:textId="77777777" w:rsidTr="007056D3">
        <w:tblPrEx>
          <w:tblW w:w="9430" w:type="dxa"/>
          <w:jc w:val="center"/>
          <w:tblLook w:val="01E0"/>
        </w:tblPrEx>
        <w:trPr>
          <w:trHeight w:val="702"/>
          <w:jc w:val="center"/>
        </w:trPr>
        <w:tc>
          <w:tcPr>
            <w:tcW w:w="1428" w:type="dxa"/>
            <w:vAlign w:val="center"/>
          </w:tcPr>
          <w:p w:rsidR="00727B63" w:rsidRPr="008B5F23" w:rsidP="00727B63" w14:paraId="7A85381A" w14:textId="77777777">
            <w:pPr>
              <w:keepNext/>
              <w:keepLines/>
              <w:jc w:val="center"/>
              <w:rPr>
                <w:sz w:val="20"/>
                <w:szCs w:val="20"/>
              </w:rPr>
            </w:pPr>
            <w:r w:rsidRPr="008B5F23">
              <w:rPr>
                <w:sz w:val="20"/>
                <w:szCs w:val="20"/>
              </w:rPr>
              <w:t>State Administrators</w:t>
            </w:r>
          </w:p>
        </w:tc>
        <w:tc>
          <w:tcPr>
            <w:tcW w:w="1440" w:type="dxa"/>
            <w:vAlign w:val="center"/>
          </w:tcPr>
          <w:p w:rsidR="00727B63" w:rsidRPr="00727B63" w:rsidP="00727B63" w14:paraId="63C62CB6" w14:textId="77777777">
            <w:pPr>
              <w:keepNext/>
              <w:keepLines/>
              <w:jc w:val="center"/>
              <w:rPr>
                <w:sz w:val="20"/>
                <w:szCs w:val="20"/>
              </w:rPr>
            </w:pPr>
            <w:r w:rsidRPr="00727B63">
              <w:rPr>
                <w:sz w:val="20"/>
                <w:szCs w:val="20"/>
              </w:rPr>
              <w:t xml:space="preserve">State-level Recruitment Script </w:t>
            </w:r>
          </w:p>
        </w:tc>
        <w:tc>
          <w:tcPr>
            <w:tcW w:w="1317" w:type="dxa"/>
            <w:vAlign w:val="bottom"/>
          </w:tcPr>
          <w:p w:rsidR="00727B63" w:rsidRPr="00F769FE" w:rsidP="00727B63" w14:paraId="44AE3847" w14:textId="77777777">
            <w:pPr>
              <w:keepNext/>
              <w:keepLines/>
              <w:jc w:val="right"/>
              <w:rPr>
                <w:sz w:val="20"/>
                <w:szCs w:val="20"/>
                <w:highlight w:val="yellow"/>
              </w:rPr>
            </w:pPr>
            <w:r>
              <w:rPr>
                <w:sz w:val="22"/>
                <w:szCs w:val="22"/>
                <w:lang w:eastAsia="ja-JP"/>
              </w:rPr>
              <w:t>42</w:t>
            </w:r>
          </w:p>
        </w:tc>
        <w:tc>
          <w:tcPr>
            <w:tcW w:w="922" w:type="dxa"/>
            <w:vAlign w:val="bottom"/>
          </w:tcPr>
          <w:p w:rsidR="00727B63" w:rsidRPr="00DF3E60" w:rsidP="00727B63" w14:paraId="6AB1E6CA" w14:textId="452E06AD">
            <w:pPr>
              <w:keepNext/>
              <w:keepLines/>
              <w:jc w:val="right"/>
              <w:rPr>
                <w:sz w:val="20"/>
                <w:szCs w:val="20"/>
              </w:rPr>
            </w:pPr>
            <w:r>
              <w:rPr>
                <w:sz w:val="20"/>
                <w:szCs w:val="20"/>
              </w:rPr>
              <w:t>0</w:t>
            </w:r>
          </w:p>
        </w:tc>
        <w:tc>
          <w:tcPr>
            <w:tcW w:w="1239" w:type="dxa"/>
            <w:vAlign w:val="bottom"/>
          </w:tcPr>
          <w:p w:rsidR="00727B63" w:rsidRPr="00F769FE" w:rsidP="00727B63" w14:paraId="45EFBBE8" w14:textId="77777777">
            <w:pPr>
              <w:keepNext/>
              <w:keepLines/>
              <w:jc w:val="right"/>
              <w:rPr>
                <w:sz w:val="20"/>
                <w:szCs w:val="20"/>
                <w:highlight w:val="yellow"/>
              </w:rPr>
            </w:pPr>
            <w:r>
              <w:rPr>
                <w:sz w:val="22"/>
                <w:szCs w:val="22"/>
                <w:lang w:eastAsia="ja-JP"/>
              </w:rPr>
              <w:t>1</w:t>
            </w:r>
          </w:p>
        </w:tc>
        <w:tc>
          <w:tcPr>
            <w:tcW w:w="1144" w:type="dxa"/>
            <w:vAlign w:val="bottom"/>
          </w:tcPr>
          <w:p w:rsidR="004633DC" w:rsidP="004633DC" w14:paraId="5425A1EF" w14:textId="77777777">
            <w:pPr>
              <w:autoSpaceDE w:val="0"/>
              <w:autoSpaceDN w:val="0"/>
              <w:adjustRightInd w:val="0"/>
              <w:jc w:val="right"/>
              <w:rPr>
                <w:sz w:val="22"/>
                <w:szCs w:val="22"/>
                <w:lang w:eastAsia="ja-JP"/>
              </w:rPr>
            </w:pPr>
            <w:r>
              <w:rPr>
                <w:sz w:val="22"/>
                <w:szCs w:val="22"/>
                <w:lang w:eastAsia="ja-JP"/>
              </w:rPr>
              <w:t xml:space="preserve">0.5 </w:t>
            </w:r>
          </w:p>
          <w:p w:rsidR="00727B63" w:rsidRPr="00D253F3" w:rsidP="004633DC" w14:paraId="19089C09" w14:textId="11C306F9">
            <w:pPr>
              <w:keepNext/>
              <w:keepLines/>
              <w:jc w:val="right"/>
              <w:rPr>
                <w:sz w:val="20"/>
                <w:szCs w:val="20"/>
              </w:rPr>
            </w:pPr>
            <w:r>
              <w:rPr>
                <w:sz w:val="22"/>
                <w:szCs w:val="22"/>
                <w:lang w:eastAsia="ja-JP"/>
              </w:rPr>
              <w:t>(30 min)</w:t>
            </w:r>
          </w:p>
        </w:tc>
        <w:tc>
          <w:tcPr>
            <w:tcW w:w="965" w:type="dxa"/>
            <w:vAlign w:val="bottom"/>
          </w:tcPr>
          <w:p w:rsidR="00727B63" w:rsidRPr="00F769FE" w:rsidP="00727B63" w14:paraId="7A56B632" w14:textId="77777777">
            <w:pPr>
              <w:keepNext/>
              <w:keepLines/>
              <w:jc w:val="right"/>
              <w:rPr>
                <w:sz w:val="20"/>
                <w:szCs w:val="20"/>
                <w:highlight w:val="yellow"/>
              </w:rPr>
            </w:pPr>
            <w:r>
              <w:rPr>
                <w:sz w:val="22"/>
                <w:szCs w:val="22"/>
                <w:lang w:eastAsia="ja-JP"/>
              </w:rPr>
              <w:t>21</w:t>
            </w:r>
          </w:p>
        </w:tc>
        <w:tc>
          <w:tcPr>
            <w:tcW w:w="975" w:type="dxa"/>
            <w:vAlign w:val="bottom"/>
          </w:tcPr>
          <w:p w:rsidR="00727B63" w:rsidRPr="00F24794" w:rsidP="00727B63" w14:paraId="6B988D74" w14:textId="50F98862">
            <w:pPr>
              <w:keepNext/>
              <w:keepLines/>
              <w:jc w:val="right"/>
              <w:rPr>
                <w:sz w:val="20"/>
                <w:szCs w:val="20"/>
              </w:rPr>
            </w:pPr>
            <w:r>
              <w:rPr>
                <w:sz w:val="20"/>
                <w:szCs w:val="20"/>
              </w:rPr>
              <w:t>0</w:t>
            </w:r>
          </w:p>
        </w:tc>
      </w:tr>
      <w:tr w14:paraId="073D6CEA" w14:textId="77777777" w:rsidTr="007056D3">
        <w:tblPrEx>
          <w:tblW w:w="9430" w:type="dxa"/>
          <w:jc w:val="center"/>
          <w:tblLook w:val="01E0"/>
        </w:tblPrEx>
        <w:trPr>
          <w:trHeight w:val="702"/>
          <w:jc w:val="center"/>
        </w:trPr>
        <w:tc>
          <w:tcPr>
            <w:tcW w:w="1428" w:type="dxa"/>
            <w:vAlign w:val="center"/>
          </w:tcPr>
          <w:p w:rsidR="00727B63" w:rsidRPr="008B5F23" w:rsidP="00727B63" w14:paraId="437E6883" w14:textId="77777777">
            <w:pPr>
              <w:keepNext/>
              <w:keepLines/>
              <w:jc w:val="center"/>
              <w:rPr>
                <w:sz w:val="20"/>
                <w:szCs w:val="20"/>
              </w:rPr>
            </w:pPr>
            <w:r w:rsidRPr="008B5F23">
              <w:rPr>
                <w:sz w:val="20"/>
                <w:szCs w:val="20"/>
              </w:rPr>
              <w:t>District Administrators</w:t>
            </w:r>
          </w:p>
        </w:tc>
        <w:tc>
          <w:tcPr>
            <w:tcW w:w="1440" w:type="dxa"/>
            <w:vAlign w:val="center"/>
          </w:tcPr>
          <w:p w:rsidR="00727B63" w:rsidRPr="00727B63" w:rsidP="00727B63" w14:paraId="637C40F4" w14:textId="77777777">
            <w:pPr>
              <w:keepNext/>
              <w:keepLines/>
              <w:jc w:val="center"/>
              <w:rPr>
                <w:sz w:val="20"/>
                <w:szCs w:val="20"/>
              </w:rPr>
            </w:pPr>
            <w:r w:rsidRPr="00727B63">
              <w:rPr>
                <w:sz w:val="20"/>
                <w:szCs w:val="20"/>
              </w:rPr>
              <w:t xml:space="preserve">District-level Recruitment Script </w:t>
            </w:r>
          </w:p>
        </w:tc>
        <w:tc>
          <w:tcPr>
            <w:tcW w:w="1317" w:type="dxa"/>
            <w:vAlign w:val="bottom"/>
          </w:tcPr>
          <w:p w:rsidR="00727B63" w:rsidRPr="00F769FE" w:rsidP="00727B63" w14:paraId="30D4C8E7" w14:textId="0FF1F485">
            <w:pPr>
              <w:keepNext/>
              <w:keepLines/>
              <w:jc w:val="right"/>
              <w:rPr>
                <w:sz w:val="20"/>
                <w:szCs w:val="20"/>
                <w:highlight w:val="yellow"/>
              </w:rPr>
            </w:pPr>
            <w:r>
              <w:rPr>
                <w:sz w:val="22"/>
                <w:szCs w:val="22"/>
                <w:lang w:eastAsia="ja-JP"/>
              </w:rPr>
              <w:t>384</w:t>
            </w:r>
          </w:p>
        </w:tc>
        <w:tc>
          <w:tcPr>
            <w:tcW w:w="922" w:type="dxa"/>
            <w:vAlign w:val="bottom"/>
          </w:tcPr>
          <w:p w:rsidR="00727B63" w:rsidRPr="00DF3E60" w:rsidP="00727B63" w14:paraId="6E2C0DD9" w14:textId="503E3F6C">
            <w:pPr>
              <w:keepNext/>
              <w:keepLines/>
              <w:jc w:val="right"/>
              <w:rPr>
                <w:sz w:val="20"/>
                <w:szCs w:val="20"/>
              </w:rPr>
            </w:pPr>
            <w:r w:rsidRPr="00DF3E60">
              <w:rPr>
                <w:sz w:val="20"/>
                <w:szCs w:val="20"/>
              </w:rPr>
              <w:t>+</w:t>
            </w:r>
            <w:r w:rsidR="00D43CE1">
              <w:rPr>
                <w:sz w:val="20"/>
                <w:szCs w:val="20"/>
              </w:rPr>
              <w:t>76</w:t>
            </w:r>
          </w:p>
        </w:tc>
        <w:tc>
          <w:tcPr>
            <w:tcW w:w="1239" w:type="dxa"/>
            <w:vAlign w:val="bottom"/>
          </w:tcPr>
          <w:p w:rsidR="00727B63" w:rsidRPr="00F769FE" w:rsidP="00727B63" w14:paraId="2B1C260F" w14:textId="77777777">
            <w:pPr>
              <w:keepNext/>
              <w:keepLines/>
              <w:jc w:val="right"/>
              <w:rPr>
                <w:sz w:val="20"/>
                <w:szCs w:val="20"/>
                <w:highlight w:val="yellow"/>
              </w:rPr>
            </w:pPr>
            <w:r>
              <w:rPr>
                <w:sz w:val="22"/>
                <w:szCs w:val="22"/>
                <w:lang w:eastAsia="ja-JP"/>
              </w:rPr>
              <w:t>1</w:t>
            </w:r>
          </w:p>
        </w:tc>
        <w:tc>
          <w:tcPr>
            <w:tcW w:w="1144" w:type="dxa"/>
            <w:vAlign w:val="bottom"/>
          </w:tcPr>
          <w:p w:rsidR="004633DC" w:rsidP="004633DC" w14:paraId="30C4A55E" w14:textId="77777777">
            <w:pPr>
              <w:autoSpaceDE w:val="0"/>
              <w:autoSpaceDN w:val="0"/>
              <w:adjustRightInd w:val="0"/>
              <w:jc w:val="right"/>
              <w:rPr>
                <w:sz w:val="22"/>
                <w:szCs w:val="22"/>
                <w:lang w:eastAsia="ja-JP"/>
              </w:rPr>
            </w:pPr>
            <w:r>
              <w:rPr>
                <w:sz w:val="22"/>
                <w:szCs w:val="22"/>
                <w:lang w:eastAsia="ja-JP"/>
              </w:rPr>
              <w:t xml:space="preserve">0.5 </w:t>
            </w:r>
          </w:p>
          <w:p w:rsidR="00727B63" w:rsidRPr="00D253F3" w:rsidP="004633DC" w14:paraId="71ECDA66" w14:textId="7F13F968">
            <w:pPr>
              <w:keepNext/>
              <w:keepLines/>
              <w:jc w:val="right"/>
              <w:rPr>
                <w:sz w:val="20"/>
                <w:szCs w:val="20"/>
              </w:rPr>
            </w:pPr>
            <w:r>
              <w:rPr>
                <w:sz w:val="22"/>
                <w:szCs w:val="22"/>
                <w:lang w:eastAsia="ja-JP"/>
              </w:rPr>
              <w:t>(30 min)</w:t>
            </w:r>
          </w:p>
        </w:tc>
        <w:tc>
          <w:tcPr>
            <w:tcW w:w="965" w:type="dxa"/>
            <w:vAlign w:val="bottom"/>
          </w:tcPr>
          <w:p w:rsidR="00727B63" w:rsidRPr="00F769FE" w:rsidP="00727B63" w14:paraId="268369CD" w14:textId="3C540F8E">
            <w:pPr>
              <w:keepNext/>
              <w:keepLines/>
              <w:jc w:val="right"/>
              <w:rPr>
                <w:sz w:val="20"/>
                <w:szCs w:val="20"/>
                <w:highlight w:val="yellow"/>
              </w:rPr>
            </w:pPr>
            <w:r>
              <w:rPr>
                <w:sz w:val="22"/>
                <w:szCs w:val="22"/>
                <w:lang w:eastAsia="ja-JP"/>
              </w:rPr>
              <w:t>192</w:t>
            </w:r>
          </w:p>
        </w:tc>
        <w:tc>
          <w:tcPr>
            <w:tcW w:w="975" w:type="dxa"/>
            <w:vAlign w:val="bottom"/>
          </w:tcPr>
          <w:p w:rsidR="00727B63" w:rsidRPr="00F24794" w:rsidP="00727B63" w14:paraId="1A7EA2EF" w14:textId="24B87411">
            <w:pPr>
              <w:keepNext/>
              <w:keepLines/>
              <w:jc w:val="right"/>
              <w:rPr>
                <w:sz w:val="20"/>
                <w:szCs w:val="20"/>
              </w:rPr>
            </w:pPr>
            <w:r w:rsidRPr="00F24794">
              <w:rPr>
                <w:sz w:val="20"/>
                <w:szCs w:val="20"/>
              </w:rPr>
              <w:t>+</w:t>
            </w:r>
            <w:r w:rsidR="00D43CE1">
              <w:rPr>
                <w:sz w:val="20"/>
                <w:szCs w:val="20"/>
              </w:rPr>
              <w:t>38</w:t>
            </w:r>
          </w:p>
        </w:tc>
      </w:tr>
      <w:tr w14:paraId="55219312" w14:textId="77777777" w:rsidTr="007056D3">
        <w:tblPrEx>
          <w:tblW w:w="9430" w:type="dxa"/>
          <w:jc w:val="center"/>
          <w:tblLook w:val="01E0"/>
        </w:tblPrEx>
        <w:trPr>
          <w:trHeight w:val="714"/>
          <w:jc w:val="center"/>
        </w:trPr>
        <w:tc>
          <w:tcPr>
            <w:tcW w:w="1428" w:type="dxa"/>
            <w:vAlign w:val="center"/>
          </w:tcPr>
          <w:p w:rsidR="00727B63" w:rsidRPr="008B5F23" w:rsidP="00727B63" w14:paraId="5A88086D" w14:textId="77777777">
            <w:pPr>
              <w:keepNext/>
              <w:keepLines/>
              <w:jc w:val="center"/>
              <w:rPr>
                <w:sz w:val="20"/>
                <w:szCs w:val="20"/>
              </w:rPr>
            </w:pPr>
            <w:r w:rsidRPr="008B5F23">
              <w:rPr>
                <w:sz w:val="20"/>
                <w:szCs w:val="20"/>
              </w:rPr>
              <w:t>School Administrators</w:t>
            </w:r>
          </w:p>
        </w:tc>
        <w:tc>
          <w:tcPr>
            <w:tcW w:w="1440" w:type="dxa"/>
            <w:vAlign w:val="center"/>
          </w:tcPr>
          <w:p w:rsidR="00727B63" w:rsidRPr="00727B63" w:rsidP="00727B63" w14:paraId="2FB81903" w14:textId="77777777">
            <w:pPr>
              <w:keepNext/>
              <w:keepLines/>
              <w:jc w:val="center"/>
              <w:rPr>
                <w:sz w:val="20"/>
                <w:szCs w:val="20"/>
              </w:rPr>
            </w:pPr>
            <w:r w:rsidRPr="00727B63">
              <w:rPr>
                <w:sz w:val="20"/>
                <w:szCs w:val="20"/>
              </w:rPr>
              <w:t xml:space="preserve">School-level Recruitment Script </w:t>
            </w:r>
          </w:p>
        </w:tc>
        <w:tc>
          <w:tcPr>
            <w:tcW w:w="1317" w:type="dxa"/>
            <w:vAlign w:val="bottom"/>
          </w:tcPr>
          <w:p w:rsidR="00727B63" w:rsidRPr="003D32B4" w:rsidP="00727B63" w14:paraId="44A452A5" w14:textId="53496F0A">
            <w:pPr>
              <w:keepNext/>
              <w:keepLines/>
              <w:jc w:val="right"/>
              <w:rPr>
                <w:sz w:val="20"/>
                <w:szCs w:val="20"/>
              </w:rPr>
            </w:pPr>
            <w:r>
              <w:rPr>
                <w:sz w:val="22"/>
                <w:szCs w:val="22"/>
                <w:lang w:eastAsia="ja-JP"/>
              </w:rPr>
              <w:t>546</w:t>
            </w:r>
          </w:p>
        </w:tc>
        <w:tc>
          <w:tcPr>
            <w:tcW w:w="922" w:type="dxa"/>
            <w:vAlign w:val="bottom"/>
          </w:tcPr>
          <w:p w:rsidR="00727B63" w:rsidRPr="003D32B4" w:rsidP="00727B63" w14:paraId="6F035383" w14:textId="4335BBAF">
            <w:pPr>
              <w:keepNext/>
              <w:keepLines/>
              <w:jc w:val="right"/>
              <w:rPr>
                <w:sz w:val="20"/>
                <w:szCs w:val="20"/>
              </w:rPr>
            </w:pPr>
            <w:r>
              <w:rPr>
                <w:sz w:val="20"/>
                <w:szCs w:val="20"/>
              </w:rPr>
              <w:t>+</w:t>
            </w:r>
            <w:r w:rsidR="00D43CE1">
              <w:rPr>
                <w:sz w:val="20"/>
                <w:szCs w:val="20"/>
              </w:rPr>
              <w:t>126</w:t>
            </w:r>
          </w:p>
        </w:tc>
        <w:tc>
          <w:tcPr>
            <w:tcW w:w="1239" w:type="dxa"/>
            <w:vAlign w:val="bottom"/>
          </w:tcPr>
          <w:p w:rsidR="00727B63" w:rsidRPr="003D32B4" w:rsidP="00727B63" w14:paraId="6DA7C50B" w14:textId="77777777">
            <w:pPr>
              <w:keepNext/>
              <w:keepLines/>
              <w:jc w:val="right"/>
              <w:rPr>
                <w:sz w:val="20"/>
                <w:szCs w:val="20"/>
              </w:rPr>
            </w:pPr>
            <w:r w:rsidRPr="003D32B4">
              <w:rPr>
                <w:sz w:val="22"/>
                <w:szCs w:val="22"/>
                <w:lang w:eastAsia="ja-JP"/>
              </w:rPr>
              <w:t>1</w:t>
            </w:r>
          </w:p>
        </w:tc>
        <w:tc>
          <w:tcPr>
            <w:tcW w:w="1144" w:type="dxa"/>
            <w:vAlign w:val="bottom"/>
          </w:tcPr>
          <w:p w:rsidR="004633DC" w:rsidP="004633DC" w14:paraId="16FE8F18" w14:textId="77777777">
            <w:pPr>
              <w:autoSpaceDE w:val="0"/>
              <w:autoSpaceDN w:val="0"/>
              <w:adjustRightInd w:val="0"/>
              <w:jc w:val="right"/>
              <w:rPr>
                <w:sz w:val="22"/>
                <w:szCs w:val="22"/>
                <w:lang w:eastAsia="ja-JP"/>
              </w:rPr>
            </w:pPr>
            <w:r>
              <w:rPr>
                <w:sz w:val="22"/>
                <w:szCs w:val="22"/>
                <w:lang w:eastAsia="ja-JP"/>
              </w:rPr>
              <w:t xml:space="preserve">0.5 </w:t>
            </w:r>
          </w:p>
          <w:p w:rsidR="00727B63" w:rsidRPr="003D32B4" w:rsidP="004633DC" w14:paraId="583F2BF5" w14:textId="7F6DF55F">
            <w:pPr>
              <w:keepNext/>
              <w:keepLines/>
              <w:jc w:val="right"/>
              <w:rPr>
                <w:sz w:val="20"/>
                <w:szCs w:val="20"/>
              </w:rPr>
            </w:pPr>
            <w:r>
              <w:rPr>
                <w:sz w:val="22"/>
                <w:szCs w:val="22"/>
                <w:lang w:eastAsia="ja-JP"/>
              </w:rPr>
              <w:t>(30 min)</w:t>
            </w:r>
          </w:p>
        </w:tc>
        <w:tc>
          <w:tcPr>
            <w:tcW w:w="965" w:type="dxa"/>
            <w:vAlign w:val="bottom"/>
          </w:tcPr>
          <w:p w:rsidR="00727B63" w:rsidRPr="003D32B4" w:rsidP="00727B63" w14:paraId="0A8644AD" w14:textId="386B44AF">
            <w:pPr>
              <w:keepNext/>
              <w:keepLines/>
              <w:jc w:val="right"/>
              <w:rPr>
                <w:sz w:val="20"/>
                <w:szCs w:val="20"/>
              </w:rPr>
            </w:pPr>
            <w:r>
              <w:rPr>
                <w:sz w:val="22"/>
                <w:szCs w:val="22"/>
                <w:lang w:eastAsia="ja-JP"/>
              </w:rPr>
              <w:t>273</w:t>
            </w:r>
          </w:p>
        </w:tc>
        <w:tc>
          <w:tcPr>
            <w:tcW w:w="975" w:type="dxa"/>
            <w:vAlign w:val="bottom"/>
          </w:tcPr>
          <w:p w:rsidR="00727B63" w:rsidRPr="003D32B4" w:rsidP="00727B63" w14:paraId="5C055F30" w14:textId="0636BB21">
            <w:pPr>
              <w:keepNext/>
              <w:keepLines/>
              <w:jc w:val="right"/>
              <w:rPr>
                <w:sz w:val="20"/>
                <w:szCs w:val="20"/>
              </w:rPr>
            </w:pPr>
            <w:r>
              <w:rPr>
                <w:sz w:val="20"/>
                <w:szCs w:val="20"/>
              </w:rPr>
              <w:t>+</w:t>
            </w:r>
            <w:r w:rsidR="00D43CE1">
              <w:rPr>
                <w:sz w:val="20"/>
                <w:szCs w:val="20"/>
              </w:rPr>
              <w:t>63</w:t>
            </w:r>
          </w:p>
        </w:tc>
      </w:tr>
      <w:tr w14:paraId="443B13D8" w14:textId="77777777" w:rsidTr="007056D3">
        <w:tblPrEx>
          <w:tblW w:w="9430" w:type="dxa"/>
          <w:jc w:val="center"/>
          <w:tblLook w:val="01E0"/>
        </w:tblPrEx>
        <w:trPr>
          <w:trHeight w:val="936"/>
          <w:jc w:val="center"/>
        </w:trPr>
        <w:tc>
          <w:tcPr>
            <w:tcW w:w="1428" w:type="dxa"/>
            <w:vAlign w:val="center"/>
          </w:tcPr>
          <w:p w:rsidR="00727B63" w:rsidRPr="008B5F23" w:rsidP="00727B63" w14:paraId="04140331" w14:textId="77777777">
            <w:pPr>
              <w:keepNext/>
              <w:keepLines/>
              <w:jc w:val="center"/>
              <w:rPr>
                <w:sz w:val="20"/>
                <w:szCs w:val="20"/>
              </w:rPr>
            </w:pPr>
            <w:r w:rsidRPr="008B5F23">
              <w:rPr>
                <w:sz w:val="20"/>
                <w:szCs w:val="20"/>
              </w:rPr>
              <w:t>Teachers</w:t>
            </w:r>
          </w:p>
        </w:tc>
        <w:tc>
          <w:tcPr>
            <w:tcW w:w="1440" w:type="dxa"/>
            <w:vAlign w:val="center"/>
          </w:tcPr>
          <w:p w:rsidR="00727B63" w:rsidRPr="00727B63" w:rsidP="00727B63" w14:paraId="0ECB26A0" w14:textId="77777777">
            <w:pPr>
              <w:keepNext/>
              <w:keepLines/>
              <w:jc w:val="center"/>
              <w:rPr>
                <w:sz w:val="20"/>
                <w:szCs w:val="20"/>
              </w:rPr>
            </w:pPr>
            <w:r w:rsidRPr="00727B63">
              <w:rPr>
                <w:sz w:val="20"/>
                <w:szCs w:val="20"/>
              </w:rPr>
              <w:t xml:space="preserve">Data Collection Administration Script </w:t>
            </w:r>
          </w:p>
        </w:tc>
        <w:tc>
          <w:tcPr>
            <w:tcW w:w="1317" w:type="dxa"/>
            <w:vAlign w:val="bottom"/>
          </w:tcPr>
          <w:p w:rsidR="00727B63" w:rsidRPr="00F24794" w:rsidP="00727B63" w14:paraId="229587F7" w14:textId="78848F7D">
            <w:pPr>
              <w:keepNext/>
              <w:keepLines/>
              <w:jc w:val="right"/>
              <w:rPr>
                <w:sz w:val="20"/>
                <w:szCs w:val="20"/>
                <w:highlight w:val="yellow"/>
              </w:rPr>
            </w:pPr>
            <w:r>
              <w:rPr>
                <w:sz w:val="22"/>
                <w:szCs w:val="22"/>
                <w:lang w:eastAsia="ja-JP"/>
              </w:rPr>
              <w:t>1,365</w:t>
            </w:r>
          </w:p>
        </w:tc>
        <w:tc>
          <w:tcPr>
            <w:tcW w:w="922" w:type="dxa"/>
            <w:vAlign w:val="bottom"/>
          </w:tcPr>
          <w:p w:rsidR="00727B63" w:rsidRPr="00F24794" w:rsidP="00727B63" w14:paraId="5D8DDF47" w14:textId="5953F75F">
            <w:pPr>
              <w:keepNext/>
              <w:keepLines/>
              <w:jc w:val="right"/>
              <w:rPr>
                <w:sz w:val="20"/>
                <w:szCs w:val="20"/>
                <w:highlight w:val="yellow"/>
              </w:rPr>
            </w:pPr>
            <w:r>
              <w:rPr>
                <w:sz w:val="20"/>
                <w:szCs w:val="20"/>
              </w:rPr>
              <w:t>-132</w:t>
            </w:r>
          </w:p>
        </w:tc>
        <w:tc>
          <w:tcPr>
            <w:tcW w:w="1239" w:type="dxa"/>
            <w:vAlign w:val="bottom"/>
          </w:tcPr>
          <w:p w:rsidR="00727B63" w:rsidRPr="00F24794" w:rsidP="00727B63" w14:paraId="26BB8AC0" w14:textId="77777777">
            <w:pPr>
              <w:keepNext/>
              <w:keepLines/>
              <w:jc w:val="right"/>
              <w:rPr>
                <w:sz w:val="20"/>
                <w:szCs w:val="20"/>
              </w:rPr>
            </w:pPr>
            <w:r w:rsidRPr="00F24794">
              <w:rPr>
                <w:sz w:val="22"/>
                <w:szCs w:val="22"/>
                <w:lang w:eastAsia="ja-JP"/>
              </w:rPr>
              <w:t>1</w:t>
            </w:r>
          </w:p>
        </w:tc>
        <w:tc>
          <w:tcPr>
            <w:tcW w:w="1144" w:type="dxa"/>
            <w:vAlign w:val="bottom"/>
          </w:tcPr>
          <w:p w:rsidR="004633DC" w:rsidP="004633DC" w14:paraId="4B1869DA" w14:textId="77777777">
            <w:pPr>
              <w:autoSpaceDE w:val="0"/>
              <w:autoSpaceDN w:val="0"/>
              <w:adjustRightInd w:val="0"/>
              <w:jc w:val="right"/>
              <w:rPr>
                <w:sz w:val="22"/>
                <w:szCs w:val="22"/>
                <w:lang w:eastAsia="ja-JP"/>
              </w:rPr>
            </w:pPr>
            <w:r>
              <w:rPr>
                <w:sz w:val="22"/>
                <w:szCs w:val="22"/>
                <w:lang w:eastAsia="ja-JP"/>
              </w:rPr>
              <w:t xml:space="preserve">0.25 </w:t>
            </w:r>
          </w:p>
          <w:p w:rsidR="00727B63" w:rsidRPr="00F24794" w:rsidP="004633DC" w14:paraId="03C6A712" w14:textId="0545D879">
            <w:pPr>
              <w:keepNext/>
              <w:keepLines/>
              <w:jc w:val="right"/>
              <w:rPr>
                <w:sz w:val="20"/>
                <w:szCs w:val="20"/>
              </w:rPr>
            </w:pPr>
            <w:r>
              <w:rPr>
                <w:sz w:val="22"/>
                <w:szCs w:val="22"/>
                <w:lang w:eastAsia="ja-JP"/>
              </w:rPr>
              <w:t>(15 min)</w:t>
            </w:r>
          </w:p>
        </w:tc>
        <w:tc>
          <w:tcPr>
            <w:tcW w:w="965" w:type="dxa"/>
            <w:vAlign w:val="bottom"/>
          </w:tcPr>
          <w:p w:rsidR="00727B63" w:rsidRPr="00F24794" w:rsidP="00727B63" w14:paraId="7703FD4E" w14:textId="7A98659E">
            <w:pPr>
              <w:keepNext/>
              <w:keepLines/>
              <w:jc w:val="right"/>
              <w:rPr>
                <w:sz w:val="20"/>
                <w:szCs w:val="20"/>
                <w:highlight w:val="yellow"/>
              </w:rPr>
            </w:pPr>
            <w:r>
              <w:rPr>
                <w:sz w:val="22"/>
                <w:szCs w:val="22"/>
                <w:lang w:eastAsia="ja-JP"/>
              </w:rPr>
              <w:t>341</w:t>
            </w:r>
          </w:p>
        </w:tc>
        <w:tc>
          <w:tcPr>
            <w:tcW w:w="975" w:type="dxa"/>
            <w:vAlign w:val="bottom"/>
          </w:tcPr>
          <w:p w:rsidR="00727B63" w:rsidRPr="00F24794" w:rsidP="00727B63" w14:paraId="6F199A23" w14:textId="1238A874">
            <w:pPr>
              <w:keepNext/>
              <w:keepLines/>
              <w:jc w:val="right"/>
              <w:rPr>
                <w:sz w:val="20"/>
                <w:szCs w:val="20"/>
                <w:highlight w:val="yellow"/>
              </w:rPr>
            </w:pPr>
            <w:r>
              <w:rPr>
                <w:sz w:val="20"/>
                <w:szCs w:val="20"/>
              </w:rPr>
              <w:t>-33</w:t>
            </w:r>
          </w:p>
        </w:tc>
      </w:tr>
      <w:tr w14:paraId="00A4BCC4" w14:textId="77777777" w:rsidTr="007056D3">
        <w:tblPrEx>
          <w:tblW w:w="9430" w:type="dxa"/>
          <w:jc w:val="center"/>
          <w:tblLook w:val="01E0"/>
        </w:tblPrEx>
        <w:trPr>
          <w:trHeight w:val="948"/>
          <w:jc w:val="center"/>
        </w:trPr>
        <w:tc>
          <w:tcPr>
            <w:tcW w:w="1428" w:type="dxa"/>
            <w:vMerge w:val="restart"/>
            <w:vAlign w:val="center"/>
          </w:tcPr>
          <w:p w:rsidR="00727B63" w:rsidRPr="008B5F23" w:rsidP="00727B63" w14:paraId="29752B4C" w14:textId="77777777">
            <w:pPr>
              <w:keepNext/>
              <w:keepLines/>
              <w:jc w:val="center"/>
              <w:rPr>
                <w:sz w:val="20"/>
                <w:szCs w:val="20"/>
              </w:rPr>
            </w:pPr>
            <w:r w:rsidRPr="008B5F23">
              <w:rPr>
                <w:sz w:val="20"/>
                <w:szCs w:val="20"/>
              </w:rPr>
              <w:t>Students</w:t>
            </w:r>
          </w:p>
        </w:tc>
        <w:tc>
          <w:tcPr>
            <w:tcW w:w="1440" w:type="dxa"/>
            <w:vAlign w:val="center"/>
          </w:tcPr>
          <w:p w:rsidR="00727B63" w:rsidRPr="008B5F23" w:rsidP="00727B63" w14:paraId="0F0AD6AF" w14:textId="77777777">
            <w:pPr>
              <w:keepNext/>
              <w:keepLines/>
              <w:jc w:val="center"/>
              <w:rPr>
                <w:sz w:val="20"/>
                <w:szCs w:val="20"/>
              </w:rPr>
            </w:pPr>
            <w:r w:rsidRPr="008B5F23">
              <w:rPr>
                <w:sz w:val="20"/>
                <w:szCs w:val="20"/>
              </w:rPr>
              <w:t>National Youth Tobacco Survey</w:t>
            </w:r>
          </w:p>
        </w:tc>
        <w:tc>
          <w:tcPr>
            <w:tcW w:w="1317" w:type="dxa"/>
            <w:vAlign w:val="bottom"/>
          </w:tcPr>
          <w:p w:rsidR="00727B63" w:rsidRPr="00F769FE" w:rsidP="00727B63" w14:paraId="2DDAA369" w14:textId="66F34539">
            <w:pPr>
              <w:keepNext/>
              <w:keepLines/>
              <w:jc w:val="right"/>
              <w:rPr>
                <w:sz w:val="20"/>
                <w:szCs w:val="20"/>
                <w:highlight w:val="yellow"/>
              </w:rPr>
            </w:pPr>
            <w:r>
              <w:rPr>
                <w:sz w:val="22"/>
                <w:szCs w:val="22"/>
                <w:lang w:eastAsia="ja-JP"/>
              </w:rPr>
              <w:t>28,704</w:t>
            </w:r>
          </w:p>
        </w:tc>
        <w:tc>
          <w:tcPr>
            <w:tcW w:w="922" w:type="dxa"/>
            <w:vAlign w:val="bottom"/>
          </w:tcPr>
          <w:p w:rsidR="00727B63" w:rsidRPr="00DF3E60" w:rsidP="00727B63" w14:paraId="37BBB096" w14:textId="0C492427">
            <w:pPr>
              <w:keepNext/>
              <w:keepLines/>
              <w:jc w:val="right"/>
              <w:rPr>
                <w:sz w:val="20"/>
                <w:szCs w:val="20"/>
              </w:rPr>
            </w:pPr>
            <w:r>
              <w:rPr>
                <w:sz w:val="20"/>
                <w:szCs w:val="20"/>
              </w:rPr>
              <w:t>+595</w:t>
            </w:r>
          </w:p>
        </w:tc>
        <w:tc>
          <w:tcPr>
            <w:tcW w:w="1239" w:type="dxa"/>
            <w:vAlign w:val="bottom"/>
          </w:tcPr>
          <w:p w:rsidR="00727B63" w:rsidRPr="00F24794" w:rsidP="00727B63" w14:paraId="3672423C" w14:textId="77777777">
            <w:pPr>
              <w:keepNext/>
              <w:keepLines/>
              <w:jc w:val="right"/>
              <w:rPr>
                <w:sz w:val="20"/>
                <w:szCs w:val="20"/>
              </w:rPr>
            </w:pPr>
            <w:r w:rsidRPr="00F24794">
              <w:rPr>
                <w:sz w:val="22"/>
                <w:szCs w:val="22"/>
                <w:lang w:eastAsia="ja-JP"/>
              </w:rPr>
              <w:t>1</w:t>
            </w:r>
          </w:p>
        </w:tc>
        <w:tc>
          <w:tcPr>
            <w:tcW w:w="1144" w:type="dxa"/>
            <w:vAlign w:val="bottom"/>
          </w:tcPr>
          <w:p w:rsidR="00BA024D" w:rsidP="00BA024D" w14:paraId="1835CC6A" w14:textId="77777777">
            <w:pPr>
              <w:autoSpaceDE w:val="0"/>
              <w:autoSpaceDN w:val="0"/>
              <w:adjustRightInd w:val="0"/>
              <w:jc w:val="right"/>
              <w:rPr>
                <w:sz w:val="22"/>
                <w:szCs w:val="22"/>
                <w:lang w:eastAsia="ja-JP"/>
              </w:rPr>
            </w:pPr>
            <w:r>
              <w:rPr>
                <w:sz w:val="22"/>
                <w:szCs w:val="22"/>
                <w:lang w:eastAsia="ja-JP"/>
              </w:rPr>
              <w:t xml:space="preserve">0.75 </w:t>
            </w:r>
          </w:p>
          <w:p w:rsidR="00727B63" w:rsidRPr="00F24794" w:rsidP="00BA024D" w14:paraId="5863C62C" w14:textId="6CFC90CE">
            <w:pPr>
              <w:keepNext/>
              <w:keepLines/>
              <w:jc w:val="right"/>
              <w:rPr>
                <w:sz w:val="20"/>
                <w:szCs w:val="20"/>
              </w:rPr>
            </w:pPr>
            <w:r>
              <w:rPr>
                <w:sz w:val="22"/>
                <w:szCs w:val="22"/>
                <w:lang w:eastAsia="ja-JP"/>
              </w:rPr>
              <w:t>(45 min)</w:t>
            </w:r>
          </w:p>
        </w:tc>
        <w:tc>
          <w:tcPr>
            <w:tcW w:w="965" w:type="dxa"/>
            <w:vAlign w:val="bottom"/>
          </w:tcPr>
          <w:p w:rsidR="00727B63" w:rsidRPr="00F769FE" w:rsidP="00727B63" w14:paraId="06B65FAD" w14:textId="74AFD012">
            <w:pPr>
              <w:keepNext/>
              <w:keepLines/>
              <w:jc w:val="right"/>
              <w:rPr>
                <w:sz w:val="20"/>
                <w:szCs w:val="20"/>
                <w:highlight w:val="yellow"/>
              </w:rPr>
            </w:pPr>
            <w:r>
              <w:rPr>
                <w:sz w:val="22"/>
                <w:szCs w:val="22"/>
                <w:lang w:eastAsia="ja-JP"/>
              </w:rPr>
              <w:t>21,528</w:t>
            </w:r>
          </w:p>
        </w:tc>
        <w:tc>
          <w:tcPr>
            <w:tcW w:w="975" w:type="dxa"/>
            <w:vAlign w:val="bottom"/>
          </w:tcPr>
          <w:p w:rsidR="00727B63" w:rsidRPr="00F24794" w:rsidP="00727B63" w14:paraId="1D813396" w14:textId="5D87747E">
            <w:pPr>
              <w:keepNext/>
              <w:keepLines/>
              <w:jc w:val="right"/>
              <w:rPr>
                <w:sz w:val="20"/>
                <w:szCs w:val="20"/>
              </w:rPr>
            </w:pPr>
            <w:r w:rsidRPr="00F24794">
              <w:rPr>
                <w:sz w:val="20"/>
                <w:szCs w:val="20"/>
              </w:rPr>
              <w:t>+</w:t>
            </w:r>
            <w:r w:rsidR="00D43CE1">
              <w:rPr>
                <w:sz w:val="20"/>
                <w:szCs w:val="20"/>
              </w:rPr>
              <w:t>446</w:t>
            </w:r>
          </w:p>
        </w:tc>
      </w:tr>
      <w:tr w14:paraId="26A42B0C" w14:textId="77777777" w:rsidTr="007056D3">
        <w:tblPrEx>
          <w:tblW w:w="9430" w:type="dxa"/>
          <w:jc w:val="center"/>
          <w:tblLook w:val="01E0"/>
        </w:tblPrEx>
        <w:trPr>
          <w:trHeight w:val="147"/>
          <w:jc w:val="center"/>
        </w:trPr>
        <w:tc>
          <w:tcPr>
            <w:tcW w:w="1428" w:type="dxa"/>
            <w:vMerge/>
            <w:vAlign w:val="center"/>
          </w:tcPr>
          <w:p w:rsidR="00727B63" w:rsidRPr="008B5F23" w:rsidP="00727B63" w14:paraId="4AEA5251" w14:textId="77777777">
            <w:pPr>
              <w:keepNext/>
              <w:keepLines/>
              <w:jc w:val="center"/>
              <w:rPr>
                <w:sz w:val="20"/>
                <w:szCs w:val="20"/>
              </w:rPr>
            </w:pPr>
          </w:p>
        </w:tc>
        <w:tc>
          <w:tcPr>
            <w:tcW w:w="1440" w:type="dxa"/>
            <w:vAlign w:val="center"/>
          </w:tcPr>
          <w:p w:rsidR="00727B63" w:rsidRPr="00D253F3" w:rsidP="00727B63" w14:paraId="1A64C03A" w14:textId="77777777">
            <w:pPr>
              <w:keepNext/>
              <w:keepLines/>
              <w:jc w:val="center"/>
              <w:rPr>
                <w:sz w:val="20"/>
                <w:szCs w:val="20"/>
              </w:rPr>
            </w:pPr>
            <w:r w:rsidRPr="00D253F3">
              <w:rPr>
                <w:sz w:val="20"/>
                <w:szCs w:val="20"/>
              </w:rPr>
              <w:t>Screening for Cognitive Interviews</w:t>
            </w:r>
          </w:p>
        </w:tc>
        <w:tc>
          <w:tcPr>
            <w:tcW w:w="1317" w:type="dxa"/>
            <w:vAlign w:val="bottom"/>
          </w:tcPr>
          <w:p w:rsidR="00727B63" w:rsidRPr="00F769FE" w:rsidP="00727B63" w14:paraId="262F24FF" w14:textId="77777777">
            <w:pPr>
              <w:keepNext/>
              <w:keepLines/>
              <w:jc w:val="right"/>
              <w:rPr>
                <w:sz w:val="20"/>
                <w:szCs w:val="20"/>
                <w:highlight w:val="yellow"/>
              </w:rPr>
            </w:pPr>
            <w:r>
              <w:rPr>
                <w:sz w:val="22"/>
                <w:szCs w:val="22"/>
                <w:lang w:eastAsia="ja-JP"/>
              </w:rPr>
              <w:t>300</w:t>
            </w:r>
          </w:p>
        </w:tc>
        <w:tc>
          <w:tcPr>
            <w:tcW w:w="922" w:type="dxa"/>
            <w:vAlign w:val="bottom"/>
          </w:tcPr>
          <w:p w:rsidR="00727B63" w:rsidRPr="00DF3E60" w:rsidP="00727B63" w14:paraId="79AB1FC1" w14:textId="77777777">
            <w:pPr>
              <w:keepNext/>
              <w:keepLines/>
              <w:jc w:val="right"/>
              <w:rPr>
                <w:sz w:val="20"/>
                <w:szCs w:val="20"/>
              </w:rPr>
            </w:pPr>
            <w:r w:rsidRPr="00DF3E60">
              <w:rPr>
                <w:sz w:val="20"/>
                <w:szCs w:val="20"/>
              </w:rPr>
              <w:t>0</w:t>
            </w:r>
          </w:p>
        </w:tc>
        <w:tc>
          <w:tcPr>
            <w:tcW w:w="1239" w:type="dxa"/>
            <w:vAlign w:val="bottom"/>
          </w:tcPr>
          <w:p w:rsidR="00727B63" w:rsidRPr="00F24794" w:rsidP="00727B63" w14:paraId="34EE1624" w14:textId="77777777">
            <w:pPr>
              <w:keepNext/>
              <w:keepLines/>
              <w:jc w:val="right"/>
              <w:rPr>
                <w:sz w:val="20"/>
                <w:szCs w:val="20"/>
              </w:rPr>
            </w:pPr>
            <w:r w:rsidRPr="00F24794">
              <w:rPr>
                <w:sz w:val="22"/>
                <w:szCs w:val="22"/>
                <w:lang w:eastAsia="ja-JP"/>
              </w:rPr>
              <w:t>1</w:t>
            </w:r>
          </w:p>
        </w:tc>
        <w:tc>
          <w:tcPr>
            <w:tcW w:w="1144" w:type="dxa"/>
            <w:vAlign w:val="bottom"/>
          </w:tcPr>
          <w:p w:rsidR="00BA024D" w:rsidP="00BA024D" w14:paraId="42E2C0B8" w14:textId="77777777">
            <w:pPr>
              <w:autoSpaceDE w:val="0"/>
              <w:autoSpaceDN w:val="0"/>
              <w:adjustRightInd w:val="0"/>
              <w:jc w:val="right"/>
              <w:rPr>
                <w:sz w:val="22"/>
                <w:szCs w:val="22"/>
                <w:lang w:eastAsia="ja-JP"/>
              </w:rPr>
            </w:pPr>
            <w:r>
              <w:rPr>
                <w:sz w:val="22"/>
                <w:szCs w:val="22"/>
                <w:lang w:eastAsia="ja-JP"/>
              </w:rPr>
              <w:t xml:space="preserve">0.17 </w:t>
            </w:r>
          </w:p>
          <w:p w:rsidR="00727B63" w:rsidRPr="00F24794" w:rsidP="00BA024D" w14:paraId="2CD433A1" w14:textId="308CED07">
            <w:pPr>
              <w:keepNext/>
              <w:keepLines/>
              <w:jc w:val="right"/>
              <w:rPr>
                <w:sz w:val="20"/>
                <w:szCs w:val="20"/>
              </w:rPr>
            </w:pPr>
            <w:r>
              <w:rPr>
                <w:sz w:val="22"/>
                <w:szCs w:val="22"/>
                <w:lang w:eastAsia="ja-JP"/>
              </w:rPr>
              <w:t>(10min)</w:t>
            </w:r>
          </w:p>
        </w:tc>
        <w:tc>
          <w:tcPr>
            <w:tcW w:w="965" w:type="dxa"/>
            <w:vAlign w:val="bottom"/>
          </w:tcPr>
          <w:p w:rsidR="00727B63" w:rsidRPr="00F769FE" w:rsidP="00727B63" w14:paraId="63CD6514" w14:textId="77777777">
            <w:pPr>
              <w:keepNext/>
              <w:keepLines/>
              <w:jc w:val="right"/>
              <w:rPr>
                <w:sz w:val="20"/>
                <w:szCs w:val="20"/>
                <w:highlight w:val="yellow"/>
              </w:rPr>
            </w:pPr>
            <w:r>
              <w:rPr>
                <w:sz w:val="22"/>
                <w:szCs w:val="22"/>
                <w:lang w:eastAsia="ja-JP"/>
              </w:rPr>
              <w:t>50</w:t>
            </w:r>
          </w:p>
        </w:tc>
        <w:tc>
          <w:tcPr>
            <w:tcW w:w="975" w:type="dxa"/>
            <w:vAlign w:val="bottom"/>
          </w:tcPr>
          <w:p w:rsidR="00727B63" w:rsidRPr="00F24794" w:rsidP="00727B63" w14:paraId="59AB95F1" w14:textId="77777777">
            <w:pPr>
              <w:keepNext/>
              <w:keepLines/>
              <w:jc w:val="right"/>
              <w:rPr>
                <w:sz w:val="20"/>
                <w:szCs w:val="20"/>
              </w:rPr>
            </w:pPr>
            <w:r w:rsidRPr="00F24794">
              <w:rPr>
                <w:sz w:val="20"/>
                <w:szCs w:val="20"/>
              </w:rPr>
              <w:t>0</w:t>
            </w:r>
          </w:p>
        </w:tc>
      </w:tr>
      <w:tr w14:paraId="4971BC29" w14:textId="77777777" w:rsidTr="007056D3">
        <w:tblPrEx>
          <w:tblW w:w="9430" w:type="dxa"/>
          <w:jc w:val="center"/>
          <w:tblLook w:val="01E0"/>
        </w:tblPrEx>
        <w:trPr>
          <w:trHeight w:val="147"/>
          <w:jc w:val="center"/>
        </w:trPr>
        <w:tc>
          <w:tcPr>
            <w:tcW w:w="1428" w:type="dxa"/>
            <w:vMerge/>
            <w:vAlign w:val="center"/>
          </w:tcPr>
          <w:p w:rsidR="00727B63" w:rsidRPr="008B5F23" w:rsidP="00727B63" w14:paraId="031445CD" w14:textId="77777777">
            <w:pPr>
              <w:keepNext/>
              <w:keepLines/>
              <w:jc w:val="center"/>
              <w:rPr>
                <w:sz w:val="20"/>
                <w:szCs w:val="20"/>
              </w:rPr>
            </w:pPr>
          </w:p>
        </w:tc>
        <w:tc>
          <w:tcPr>
            <w:tcW w:w="1440" w:type="dxa"/>
            <w:vAlign w:val="center"/>
          </w:tcPr>
          <w:p w:rsidR="00727B63" w:rsidRPr="00D253F3" w:rsidP="00727B63" w14:paraId="3BC6862A" w14:textId="77777777">
            <w:pPr>
              <w:keepNext/>
              <w:keepLines/>
              <w:jc w:val="center"/>
              <w:rPr>
                <w:sz w:val="20"/>
                <w:szCs w:val="20"/>
              </w:rPr>
            </w:pPr>
            <w:r w:rsidRPr="00D253F3">
              <w:rPr>
                <w:sz w:val="20"/>
                <w:szCs w:val="20"/>
              </w:rPr>
              <w:t>Cognitive Interviews</w:t>
            </w:r>
          </w:p>
        </w:tc>
        <w:tc>
          <w:tcPr>
            <w:tcW w:w="1317" w:type="dxa"/>
            <w:vAlign w:val="bottom"/>
          </w:tcPr>
          <w:p w:rsidR="00727B63" w:rsidRPr="00F769FE" w:rsidP="00727B63" w14:paraId="4A15D80B" w14:textId="77777777">
            <w:pPr>
              <w:keepNext/>
              <w:keepLines/>
              <w:jc w:val="right"/>
              <w:rPr>
                <w:sz w:val="20"/>
                <w:szCs w:val="20"/>
                <w:highlight w:val="yellow"/>
              </w:rPr>
            </w:pPr>
            <w:r>
              <w:rPr>
                <w:sz w:val="22"/>
                <w:szCs w:val="22"/>
                <w:lang w:eastAsia="ja-JP"/>
              </w:rPr>
              <w:t>30</w:t>
            </w:r>
          </w:p>
        </w:tc>
        <w:tc>
          <w:tcPr>
            <w:tcW w:w="922" w:type="dxa"/>
            <w:vAlign w:val="bottom"/>
          </w:tcPr>
          <w:p w:rsidR="00727B63" w:rsidRPr="00DF3E60" w:rsidP="00727B63" w14:paraId="430E0639" w14:textId="296DE48F">
            <w:pPr>
              <w:keepNext/>
              <w:keepLines/>
              <w:jc w:val="right"/>
              <w:rPr>
                <w:sz w:val="20"/>
                <w:szCs w:val="20"/>
              </w:rPr>
            </w:pPr>
            <w:r>
              <w:rPr>
                <w:sz w:val="20"/>
                <w:szCs w:val="20"/>
              </w:rPr>
              <w:t>0</w:t>
            </w:r>
          </w:p>
        </w:tc>
        <w:tc>
          <w:tcPr>
            <w:tcW w:w="1239" w:type="dxa"/>
            <w:vAlign w:val="bottom"/>
          </w:tcPr>
          <w:p w:rsidR="00727B63" w:rsidRPr="00F24794" w:rsidP="00727B63" w14:paraId="0C118596" w14:textId="77777777">
            <w:pPr>
              <w:keepNext/>
              <w:keepLines/>
              <w:jc w:val="right"/>
              <w:rPr>
                <w:sz w:val="20"/>
                <w:szCs w:val="20"/>
              </w:rPr>
            </w:pPr>
            <w:r w:rsidRPr="00F24794">
              <w:rPr>
                <w:sz w:val="22"/>
                <w:szCs w:val="22"/>
                <w:lang w:eastAsia="ja-JP"/>
              </w:rPr>
              <w:t>2</w:t>
            </w:r>
          </w:p>
        </w:tc>
        <w:tc>
          <w:tcPr>
            <w:tcW w:w="1144" w:type="dxa"/>
            <w:vAlign w:val="bottom"/>
          </w:tcPr>
          <w:p w:rsidR="00BA024D" w:rsidP="00BA024D" w14:paraId="6AF1F9DD" w14:textId="77777777">
            <w:pPr>
              <w:autoSpaceDE w:val="0"/>
              <w:autoSpaceDN w:val="0"/>
              <w:adjustRightInd w:val="0"/>
              <w:jc w:val="right"/>
              <w:rPr>
                <w:sz w:val="22"/>
                <w:szCs w:val="22"/>
                <w:lang w:eastAsia="ja-JP"/>
              </w:rPr>
            </w:pPr>
            <w:r>
              <w:rPr>
                <w:sz w:val="22"/>
                <w:szCs w:val="22"/>
                <w:lang w:eastAsia="ja-JP"/>
              </w:rPr>
              <w:t>2</w:t>
            </w:r>
          </w:p>
          <w:p w:rsidR="00727B63" w:rsidRPr="00F24794" w:rsidP="00BA024D" w14:paraId="173E8CE8" w14:textId="77E61292">
            <w:pPr>
              <w:keepNext/>
              <w:keepLines/>
              <w:jc w:val="right"/>
              <w:rPr>
                <w:sz w:val="20"/>
                <w:szCs w:val="20"/>
              </w:rPr>
            </w:pPr>
            <w:r>
              <w:rPr>
                <w:sz w:val="22"/>
                <w:szCs w:val="22"/>
                <w:lang w:eastAsia="ja-JP"/>
              </w:rPr>
              <w:t>(120 min)</w:t>
            </w:r>
          </w:p>
        </w:tc>
        <w:tc>
          <w:tcPr>
            <w:tcW w:w="965" w:type="dxa"/>
            <w:vAlign w:val="bottom"/>
          </w:tcPr>
          <w:p w:rsidR="00727B63" w:rsidRPr="00F769FE" w:rsidP="00727B63" w14:paraId="55B069B6" w14:textId="77777777">
            <w:pPr>
              <w:keepNext/>
              <w:keepLines/>
              <w:jc w:val="right"/>
              <w:rPr>
                <w:sz w:val="20"/>
                <w:szCs w:val="20"/>
                <w:highlight w:val="yellow"/>
              </w:rPr>
            </w:pPr>
            <w:r>
              <w:rPr>
                <w:sz w:val="22"/>
                <w:szCs w:val="22"/>
                <w:lang w:eastAsia="ja-JP"/>
              </w:rPr>
              <w:t>120</w:t>
            </w:r>
          </w:p>
        </w:tc>
        <w:tc>
          <w:tcPr>
            <w:tcW w:w="975" w:type="dxa"/>
            <w:vAlign w:val="bottom"/>
          </w:tcPr>
          <w:p w:rsidR="00727B63" w:rsidRPr="00F24794" w:rsidP="00727B63" w14:paraId="6BD44541" w14:textId="0DE5A001">
            <w:pPr>
              <w:keepNext/>
              <w:keepLines/>
              <w:jc w:val="right"/>
              <w:rPr>
                <w:sz w:val="20"/>
                <w:szCs w:val="20"/>
              </w:rPr>
            </w:pPr>
            <w:r>
              <w:rPr>
                <w:sz w:val="20"/>
                <w:szCs w:val="20"/>
              </w:rPr>
              <w:t>0</w:t>
            </w:r>
          </w:p>
        </w:tc>
      </w:tr>
      <w:tr w14:paraId="762751F1" w14:textId="77777777" w:rsidTr="007056D3">
        <w:tblPrEx>
          <w:tblW w:w="9430" w:type="dxa"/>
          <w:jc w:val="center"/>
          <w:tblLook w:val="01E0"/>
        </w:tblPrEx>
        <w:trPr>
          <w:trHeight w:val="331"/>
          <w:jc w:val="center"/>
        </w:trPr>
        <w:tc>
          <w:tcPr>
            <w:tcW w:w="1428" w:type="dxa"/>
            <w:vMerge/>
            <w:vAlign w:val="center"/>
          </w:tcPr>
          <w:p w:rsidR="00727B63" w:rsidRPr="008B5F23" w:rsidP="00727B63" w14:paraId="2B4C39F4" w14:textId="77777777">
            <w:pPr>
              <w:keepNext/>
              <w:keepLines/>
              <w:jc w:val="center"/>
              <w:rPr>
                <w:sz w:val="20"/>
                <w:szCs w:val="20"/>
              </w:rPr>
            </w:pPr>
          </w:p>
        </w:tc>
        <w:tc>
          <w:tcPr>
            <w:tcW w:w="1440" w:type="dxa"/>
            <w:vAlign w:val="center"/>
          </w:tcPr>
          <w:p w:rsidR="00727B63" w:rsidRPr="00CB27C4" w:rsidP="00727B63" w14:paraId="2657FCF1" w14:textId="77777777">
            <w:pPr>
              <w:keepNext/>
              <w:keepLines/>
              <w:jc w:val="center"/>
              <w:rPr>
                <w:sz w:val="20"/>
                <w:szCs w:val="20"/>
              </w:rPr>
            </w:pPr>
            <w:r w:rsidRPr="00CB27C4">
              <w:rPr>
                <w:sz w:val="20"/>
                <w:szCs w:val="20"/>
              </w:rPr>
              <w:t>Pilot Testing</w:t>
            </w:r>
          </w:p>
        </w:tc>
        <w:tc>
          <w:tcPr>
            <w:tcW w:w="1317" w:type="dxa"/>
            <w:vAlign w:val="bottom"/>
          </w:tcPr>
          <w:p w:rsidR="00727B63" w:rsidRPr="00CB27C4" w:rsidP="00727B63" w14:paraId="188F5EFA" w14:textId="77777777">
            <w:pPr>
              <w:keepNext/>
              <w:keepLines/>
              <w:jc w:val="right"/>
              <w:rPr>
                <w:sz w:val="20"/>
                <w:szCs w:val="20"/>
              </w:rPr>
            </w:pPr>
            <w:r w:rsidRPr="00CB27C4">
              <w:rPr>
                <w:sz w:val="22"/>
                <w:szCs w:val="22"/>
                <w:lang w:eastAsia="ja-JP"/>
              </w:rPr>
              <w:t>100</w:t>
            </w:r>
          </w:p>
        </w:tc>
        <w:tc>
          <w:tcPr>
            <w:tcW w:w="922" w:type="dxa"/>
            <w:vAlign w:val="bottom"/>
          </w:tcPr>
          <w:p w:rsidR="00727B63" w:rsidRPr="00CB27C4" w:rsidP="00727B63" w14:paraId="4F3B63DA" w14:textId="3D37ED7A">
            <w:pPr>
              <w:keepNext/>
              <w:keepLines/>
              <w:jc w:val="right"/>
              <w:rPr>
                <w:sz w:val="20"/>
                <w:szCs w:val="20"/>
              </w:rPr>
            </w:pPr>
            <w:r>
              <w:rPr>
                <w:sz w:val="20"/>
                <w:szCs w:val="20"/>
              </w:rPr>
              <w:t>0</w:t>
            </w:r>
          </w:p>
        </w:tc>
        <w:tc>
          <w:tcPr>
            <w:tcW w:w="1239" w:type="dxa"/>
            <w:vAlign w:val="bottom"/>
          </w:tcPr>
          <w:p w:rsidR="00727B63" w:rsidRPr="00CB27C4" w:rsidP="00727B63" w14:paraId="34728387" w14:textId="77777777">
            <w:pPr>
              <w:keepNext/>
              <w:keepLines/>
              <w:jc w:val="right"/>
              <w:rPr>
                <w:sz w:val="20"/>
                <w:szCs w:val="20"/>
              </w:rPr>
            </w:pPr>
            <w:r w:rsidRPr="00CB27C4">
              <w:rPr>
                <w:sz w:val="22"/>
                <w:szCs w:val="22"/>
                <w:lang w:eastAsia="ja-JP"/>
              </w:rPr>
              <w:t>1</w:t>
            </w:r>
          </w:p>
        </w:tc>
        <w:tc>
          <w:tcPr>
            <w:tcW w:w="1144" w:type="dxa"/>
            <w:vAlign w:val="bottom"/>
          </w:tcPr>
          <w:p w:rsidR="00BA024D" w:rsidP="00BA024D" w14:paraId="20C54F98" w14:textId="77777777">
            <w:pPr>
              <w:autoSpaceDE w:val="0"/>
              <w:autoSpaceDN w:val="0"/>
              <w:adjustRightInd w:val="0"/>
              <w:jc w:val="right"/>
              <w:rPr>
                <w:sz w:val="22"/>
                <w:szCs w:val="22"/>
                <w:lang w:eastAsia="ja-JP"/>
              </w:rPr>
            </w:pPr>
            <w:r>
              <w:rPr>
                <w:sz w:val="22"/>
                <w:szCs w:val="22"/>
                <w:lang w:eastAsia="ja-JP"/>
              </w:rPr>
              <w:t xml:space="preserve">0.75 </w:t>
            </w:r>
          </w:p>
          <w:p w:rsidR="00727B63" w:rsidRPr="00CB27C4" w:rsidP="00BA024D" w14:paraId="282CAA03" w14:textId="259E341E">
            <w:pPr>
              <w:keepNext/>
              <w:keepLines/>
              <w:jc w:val="right"/>
              <w:rPr>
                <w:sz w:val="20"/>
                <w:szCs w:val="20"/>
              </w:rPr>
            </w:pPr>
            <w:r>
              <w:rPr>
                <w:sz w:val="22"/>
                <w:szCs w:val="22"/>
                <w:lang w:eastAsia="ja-JP"/>
              </w:rPr>
              <w:t>(45 min)</w:t>
            </w:r>
          </w:p>
        </w:tc>
        <w:tc>
          <w:tcPr>
            <w:tcW w:w="965" w:type="dxa"/>
            <w:vAlign w:val="bottom"/>
          </w:tcPr>
          <w:p w:rsidR="00727B63" w:rsidRPr="00CB27C4" w:rsidP="00727B63" w14:paraId="5482F201" w14:textId="77777777">
            <w:pPr>
              <w:keepNext/>
              <w:keepLines/>
              <w:jc w:val="right"/>
              <w:rPr>
                <w:sz w:val="20"/>
                <w:szCs w:val="20"/>
              </w:rPr>
            </w:pPr>
            <w:r w:rsidRPr="00CB27C4">
              <w:rPr>
                <w:sz w:val="22"/>
                <w:szCs w:val="22"/>
                <w:lang w:eastAsia="ja-JP"/>
              </w:rPr>
              <w:t>75</w:t>
            </w:r>
          </w:p>
        </w:tc>
        <w:tc>
          <w:tcPr>
            <w:tcW w:w="975" w:type="dxa"/>
            <w:vAlign w:val="bottom"/>
          </w:tcPr>
          <w:p w:rsidR="00727B63" w:rsidRPr="00CB27C4" w:rsidP="00727B63" w14:paraId="3E8B040E" w14:textId="237A6358">
            <w:pPr>
              <w:keepNext/>
              <w:keepLines/>
              <w:jc w:val="right"/>
              <w:rPr>
                <w:sz w:val="20"/>
                <w:szCs w:val="20"/>
              </w:rPr>
            </w:pPr>
            <w:r>
              <w:rPr>
                <w:sz w:val="20"/>
                <w:szCs w:val="20"/>
              </w:rPr>
              <w:t>0</w:t>
            </w:r>
          </w:p>
        </w:tc>
      </w:tr>
      <w:tr w14:paraId="40398F7E" w14:textId="77777777" w:rsidTr="007056D3">
        <w:tblPrEx>
          <w:tblW w:w="9430" w:type="dxa"/>
          <w:jc w:val="center"/>
          <w:tblLook w:val="01E0"/>
        </w:tblPrEx>
        <w:trPr>
          <w:trHeight w:val="562"/>
          <w:jc w:val="center"/>
        </w:trPr>
        <w:tc>
          <w:tcPr>
            <w:tcW w:w="1428" w:type="dxa"/>
            <w:vAlign w:val="center"/>
          </w:tcPr>
          <w:p w:rsidR="00727B63" w:rsidRPr="008B5F23" w:rsidP="00727B63" w14:paraId="5D7F87FB" w14:textId="77777777">
            <w:pPr>
              <w:keepNext/>
              <w:keepLines/>
              <w:jc w:val="center"/>
              <w:rPr>
                <w:sz w:val="20"/>
                <w:szCs w:val="20"/>
              </w:rPr>
            </w:pPr>
          </w:p>
        </w:tc>
        <w:tc>
          <w:tcPr>
            <w:tcW w:w="1440" w:type="dxa"/>
            <w:vAlign w:val="bottom"/>
          </w:tcPr>
          <w:p w:rsidR="00727B63" w:rsidRPr="00727B63" w:rsidP="00727B63" w14:paraId="009084B9" w14:textId="77777777">
            <w:pPr>
              <w:keepNext/>
              <w:keepLines/>
              <w:jc w:val="center"/>
              <w:rPr>
                <w:b/>
                <w:bCs/>
                <w:sz w:val="20"/>
                <w:szCs w:val="20"/>
              </w:rPr>
            </w:pPr>
            <w:r w:rsidRPr="00727B63">
              <w:rPr>
                <w:b/>
                <w:bCs/>
                <w:sz w:val="20"/>
                <w:szCs w:val="20"/>
              </w:rPr>
              <w:t>Total</w:t>
            </w:r>
          </w:p>
        </w:tc>
        <w:tc>
          <w:tcPr>
            <w:tcW w:w="1317" w:type="dxa"/>
            <w:vAlign w:val="bottom"/>
          </w:tcPr>
          <w:p w:rsidR="00727B63" w:rsidRPr="00727B63" w:rsidP="00727B63" w14:paraId="43406D32" w14:textId="2941F858">
            <w:pPr>
              <w:keepNext/>
              <w:keepLines/>
              <w:jc w:val="right"/>
              <w:rPr>
                <w:b/>
                <w:bCs/>
                <w:sz w:val="20"/>
                <w:szCs w:val="20"/>
                <w:highlight w:val="yellow"/>
              </w:rPr>
            </w:pPr>
            <w:r>
              <w:rPr>
                <w:b/>
                <w:bCs/>
                <w:sz w:val="22"/>
                <w:szCs w:val="22"/>
                <w:lang w:eastAsia="ja-JP"/>
              </w:rPr>
              <w:t>31,471</w:t>
            </w:r>
          </w:p>
        </w:tc>
        <w:tc>
          <w:tcPr>
            <w:tcW w:w="922" w:type="dxa"/>
            <w:vAlign w:val="bottom"/>
          </w:tcPr>
          <w:p w:rsidR="00727B63" w:rsidRPr="00727B63" w:rsidP="00727B63" w14:paraId="19A9F5A7" w14:textId="6D9C44C1">
            <w:pPr>
              <w:keepNext/>
              <w:keepLines/>
              <w:jc w:val="right"/>
              <w:rPr>
                <w:b/>
                <w:bCs/>
                <w:sz w:val="20"/>
                <w:szCs w:val="20"/>
                <w:highlight w:val="yellow"/>
              </w:rPr>
            </w:pPr>
            <w:r>
              <w:rPr>
                <w:b/>
                <w:bCs/>
                <w:sz w:val="20"/>
                <w:szCs w:val="20"/>
              </w:rPr>
              <w:t>+665</w:t>
            </w:r>
          </w:p>
        </w:tc>
        <w:tc>
          <w:tcPr>
            <w:tcW w:w="2383" w:type="dxa"/>
            <w:gridSpan w:val="2"/>
            <w:vAlign w:val="bottom"/>
          </w:tcPr>
          <w:p w:rsidR="00727B63" w:rsidRPr="00727B63" w:rsidP="00727B63" w14:paraId="2841C87C" w14:textId="77777777">
            <w:pPr>
              <w:keepNext/>
              <w:keepLines/>
              <w:jc w:val="right"/>
              <w:rPr>
                <w:b/>
                <w:bCs/>
                <w:sz w:val="20"/>
                <w:szCs w:val="20"/>
              </w:rPr>
            </w:pPr>
          </w:p>
        </w:tc>
        <w:tc>
          <w:tcPr>
            <w:tcW w:w="965" w:type="dxa"/>
            <w:vAlign w:val="bottom"/>
          </w:tcPr>
          <w:p w:rsidR="00727B63" w:rsidRPr="00727B63" w:rsidP="00727B63" w14:paraId="7EB4F517" w14:textId="59EB3012">
            <w:pPr>
              <w:keepNext/>
              <w:keepLines/>
              <w:jc w:val="right"/>
              <w:rPr>
                <w:b/>
                <w:bCs/>
                <w:sz w:val="20"/>
                <w:szCs w:val="20"/>
              </w:rPr>
            </w:pPr>
            <w:r>
              <w:rPr>
                <w:b/>
                <w:bCs/>
                <w:sz w:val="20"/>
                <w:szCs w:val="20"/>
              </w:rPr>
              <w:t>22,600</w:t>
            </w:r>
            <w:r w:rsidR="009309EE">
              <w:rPr>
                <w:b/>
                <w:bCs/>
                <w:sz w:val="20"/>
                <w:szCs w:val="20"/>
              </w:rPr>
              <w:t xml:space="preserve"> </w:t>
            </w:r>
          </w:p>
        </w:tc>
        <w:tc>
          <w:tcPr>
            <w:tcW w:w="975" w:type="dxa"/>
            <w:vAlign w:val="bottom"/>
          </w:tcPr>
          <w:p w:rsidR="00727B63" w:rsidRPr="00727B63" w:rsidP="00727B63" w14:paraId="7F2B6E76" w14:textId="4D95E4E6">
            <w:pPr>
              <w:keepNext/>
              <w:keepLines/>
              <w:jc w:val="right"/>
              <w:rPr>
                <w:b/>
                <w:bCs/>
                <w:sz w:val="20"/>
                <w:szCs w:val="20"/>
              </w:rPr>
            </w:pPr>
            <w:r>
              <w:rPr>
                <w:b/>
                <w:bCs/>
                <w:sz w:val="20"/>
                <w:szCs w:val="20"/>
              </w:rPr>
              <w:t>+5</w:t>
            </w:r>
            <w:r w:rsidR="00A1008F">
              <w:rPr>
                <w:b/>
                <w:bCs/>
                <w:sz w:val="20"/>
                <w:szCs w:val="20"/>
              </w:rPr>
              <w:t>14</w:t>
            </w:r>
          </w:p>
        </w:tc>
      </w:tr>
    </w:tbl>
    <w:p w:rsidR="004823B3" w:rsidRPr="00185D69" w:rsidP="00D5545E" w14:paraId="7B429A87" w14:textId="77777777"/>
    <w:p w:rsidR="00D5545E" w:rsidRPr="00185D69" w:rsidP="007056D3" w14:paraId="0690B07D" w14:textId="77777777"/>
    <w:p w:rsidR="00FA083D" w:rsidRPr="00357C8A" w:rsidP="00C54E97" w14:paraId="6FE81400" w14:textId="77777777">
      <w:pPr>
        <w:numPr>
          <w:ilvl w:val="0"/>
          <w:numId w:val="59"/>
        </w:numPr>
        <w:spacing w:after="200" w:line="276" w:lineRule="auto"/>
        <w:rPr>
          <w:rFonts w:eastAsia="Calibri"/>
          <w:u w:val="single"/>
        </w:rPr>
      </w:pPr>
      <w:r w:rsidRPr="00357C8A">
        <w:rPr>
          <w:rFonts w:eastAsia="Calibri"/>
          <w:u w:val="single"/>
        </w:rPr>
        <w:t>Plans for Tabulation and Publication and Project Time Schedule</w:t>
      </w:r>
    </w:p>
    <w:p w:rsidR="00C72986" w:rsidRPr="00E95AEB" w:rsidP="00E95AEB" w14:paraId="3E85B499" w14:textId="77777777">
      <w:pPr>
        <w:pStyle w:val="Heading3"/>
        <w:ind w:left="0"/>
        <w:rPr>
          <w:szCs w:val="24"/>
          <w:u w:val="single"/>
        </w:rPr>
      </w:pPr>
      <w:r>
        <w:rPr>
          <w:szCs w:val="24"/>
          <w:u w:val="single"/>
        </w:rPr>
        <w:t>T</w:t>
      </w:r>
      <w:r w:rsidRPr="00185D69" w:rsidR="008469A3">
        <w:rPr>
          <w:szCs w:val="24"/>
          <w:u w:val="single"/>
        </w:rPr>
        <w:t>abulation Plans</w:t>
      </w:r>
      <w:bookmarkStart w:id="9" w:name="_Hlk61440594"/>
    </w:p>
    <w:bookmarkEnd w:id="9"/>
    <w:p w:rsidR="001636B3" w:rsidRPr="0080640B" w:rsidP="00137A86" w14:paraId="2A6E1611" w14:textId="1337E658">
      <w:pPr>
        <w:pStyle w:val="Tbodytext"/>
      </w:pPr>
      <w:r w:rsidRPr="00185D69">
        <w:t xml:space="preserve">Data will be tabulated in ways that will address the purposes outlined in </w:t>
      </w:r>
      <w:r w:rsidR="003279AA">
        <w:t>section</w:t>
      </w:r>
      <w:r w:rsidR="004F7B6E">
        <w:t xml:space="preserve"> </w:t>
      </w:r>
      <w:r w:rsidRPr="00185D69">
        <w:t>2.</w:t>
      </w:r>
      <w:r w:rsidRPr="00185D69" w:rsidR="00077574">
        <w:t xml:space="preserve"> </w:t>
      </w:r>
      <w:r w:rsidRPr="0080640B">
        <w:t>Data will be summarized using descriptive analyses, including percentages, means, and interquartile ranges</w:t>
      </w:r>
      <w:r w:rsidR="0008078F">
        <w:t xml:space="preserve"> (see Attachment K)</w:t>
      </w:r>
      <w:r w:rsidRPr="0080640B">
        <w:t xml:space="preserve">. Within-group comparisons will be made using chi-squared tests, ANOVA, and F-statistic, as appropriate. Multivariable analyses will be done using regression models. </w:t>
      </w:r>
    </w:p>
    <w:p w:rsidR="00DF6383" w:rsidRPr="00185D69" w:rsidP="008B47FC" w14:paraId="5C5164C3" w14:textId="77777777">
      <w:pPr>
        <w:widowControl w:val="0"/>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233" w:lineRule="auto"/>
      </w:pPr>
      <w:r w:rsidRPr="00185D69">
        <w:rPr>
          <w:i/>
        </w:rPr>
        <w:t>Estimate the</w:t>
      </w:r>
      <w:r w:rsidRPr="00185D69" w:rsidR="00012DC1">
        <w:rPr>
          <w:i/>
        </w:rPr>
        <w:t xml:space="preserve"> prevalence of</w:t>
      </w:r>
      <w:r w:rsidRPr="00185D69">
        <w:rPr>
          <w:i/>
        </w:rPr>
        <w:t xml:space="preserve"> tobacco </w:t>
      </w:r>
      <w:r w:rsidRPr="001A66DA" w:rsidR="00527D38">
        <w:rPr>
          <w:i/>
        </w:rPr>
        <w:t>product</w:t>
      </w:r>
      <w:r w:rsidRPr="00185D69" w:rsidR="00527D38">
        <w:rPr>
          <w:i/>
        </w:rPr>
        <w:t xml:space="preserve"> </w:t>
      </w:r>
      <w:r w:rsidRPr="00185D69">
        <w:rPr>
          <w:i/>
        </w:rPr>
        <w:t xml:space="preserve">use behaviors and </w:t>
      </w:r>
      <w:r w:rsidRPr="00185D69" w:rsidR="00012DC1">
        <w:rPr>
          <w:i/>
        </w:rPr>
        <w:t xml:space="preserve">behavioral determinants among middle and high school students overall and by </w:t>
      </w:r>
      <w:r w:rsidRPr="00185D69" w:rsidR="007B79C1">
        <w:rPr>
          <w:i/>
        </w:rPr>
        <w:t>sex</w:t>
      </w:r>
      <w:r w:rsidRPr="00185D69" w:rsidR="00012DC1">
        <w:rPr>
          <w:i/>
        </w:rPr>
        <w:t>, grade in school, and race/ethnicity</w:t>
      </w:r>
      <w:r w:rsidRPr="00185D69">
        <w:rPr>
          <w:i/>
        </w:rPr>
        <w:t>--</w:t>
      </w:r>
      <w:r w:rsidRPr="00185D69">
        <w:t xml:space="preserve">Descriptive statistics (percentages and confidence intervals) will be calculated to address this objective. </w:t>
      </w:r>
    </w:p>
    <w:p w:rsidR="00DF6383" w:rsidRPr="00185D69" w:rsidP="00DF6383" w14:paraId="39937D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ind w:left="720"/>
      </w:pPr>
      <w:r w:rsidRPr="00185D69">
        <w:tab/>
      </w:r>
    </w:p>
    <w:p w:rsidR="00DF6383" w:rsidRPr="00185D69" w:rsidP="00DF6383" w14:paraId="6A4F2AEB" w14:textId="77777777">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85D69">
        <w:rPr>
          <w:i/>
          <w:iCs/>
        </w:rPr>
        <w:t xml:space="preserve">Assess </w:t>
      </w:r>
      <w:r w:rsidRPr="00185D69" w:rsidR="00012DC1">
        <w:rPr>
          <w:i/>
          <w:iCs/>
        </w:rPr>
        <w:t xml:space="preserve">whether tobacco </w:t>
      </w:r>
      <w:r w:rsidRPr="001A66DA" w:rsidR="00527D38">
        <w:rPr>
          <w:i/>
        </w:rPr>
        <w:t>product</w:t>
      </w:r>
      <w:r w:rsidRPr="00185D69" w:rsidR="00527D38">
        <w:rPr>
          <w:i/>
          <w:iCs/>
        </w:rPr>
        <w:t xml:space="preserve"> </w:t>
      </w:r>
      <w:r w:rsidRPr="00185D69" w:rsidR="00012DC1">
        <w:rPr>
          <w:i/>
          <w:iCs/>
        </w:rPr>
        <w:t>use behaviors and behavioral determinants</w:t>
      </w:r>
      <w:r w:rsidRPr="00185D69">
        <w:rPr>
          <w:i/>
          <w:iCs/>
        </w:rPr>
        <w:t xml:space="preserve"> </w:t>
      </w:r>
      <w:r w:rsidRPr="00185D69" w:rsidR="00012DC1">
        <w:rPr>
          <w:i/>
          <w:iCs/>
        </w:rPr>
        <w:t>vary</w:t>
      </w:r>
      <w:r w:rsidRPr="00185D69">
        <w:rPr>
          <w:i/>
          <w:iCs/>
        </w:rPr>
        <w:t xml:space="preserve"> by </w:t>
      </w:r>
      <w:r w:rsidRPr="00185D69" w:rsidR="007B79C1">
        <w:rPr>
          <w:i/>
        </w:rPr>
        <w:t>sex</w:t>
      </w:r>
      <w:r w:rsidRPr="00185D69">
        <w:rPr>
          <w:i/>
          <w:iCs/>
        </w:rPr>
        <w:t>, grade in school, and race/ethnicity</w:t>
      </w:r>
      <w:r w:rsidRPr="00185D69">
        <w:t xml:space="preserve">--Cross tabulations, </w:t>
      </w:r>
      <w:r w:rsidR="006045CD">
        <w:t>c</w:t>
      </w:r>
      <w:r w:rsidRPr="00185D69" w:rsidR="006045CD">
        <w:t>hi</w:t>
      </w:r>
      <w:r w:rsidRPr="00185D69">
        <w:t>-square</w:t>
      </w:r>
      <w:r w:rsidRPr="00185D69" w:rsidR="002D798E">
        <w:t>d</w:t>
      </w:r>
      <w:r w:rsidRPr="00185D69">
        <w:t xml:space="preserve"> analyses, and regression analysis initially will be conducted to address this objective</w:t>
      </w:r>
      <w:r w:rsidRPr="00185D69" w:rsidR="00012DC1">
        <w:t>.</w:t>
      </w:r>
    </w:p>
    <w:p w:rsidR="00DF6383" w:rsidRPr="00185D69" w:rsidP="00265C62" w14:paraId="7A2E71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rsidR="00265C62" w:rsidRPr="00185D69" w:rsidP="00265C62" w14:paraId="62CCFBA7" w14:textId="77777777">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85D69">
        <w:rPr>
          <w:i/>
          <w:iCs/>
        </w:rPr>
        <w:t xml:space="preserve">Describe trends in tobacco </w:t>
      </w:r>
      <w:r w:rsidRPr="001A66DA" w:rsidR="00527D38">
        <w:rPr>
          <w:i/>
        </w:rPr>
        <w:t>product</w:t>
      </w:r>
      <w:r w:rsidRPr="00185D69" w:rsidR="00527D38">
        <w:rPr>
          <w:i/>
          <w:iCs/>
        </w:rPr>
        <w:t xml:space="preserve"> </w:t>
      </w:r>
      <w:r w:rsidRPr="00185D69">
        <w:rPr>
          <w:i/>
          <w:iCs/>
        </w:rPr>
        <w:t xml:space="preserve">use behaviors and </w:t>
      </w:r>
      <w:r w:rsidR="00E95AEB">
        <w:rPr>
          <w:i/>
          <w:iCs/>
        </w:rPr>
        <w:t>correlates</w:t>
      </w:r>
      <w:r w:rsidRPr="00185D69">
        <w:rPr>
          <w:i/>
          <w:iCs/>
        </w:rPr>
        <w:t xml:space="preserve"> among middle and high school students overall and by </w:t>
      </w:r>
      <w:r w:rsidRPr="00185D69" w:rsidR="007B79C1">
        <w:rPr>
          <w:i/>
        </w:rPr>
        <w:t>sex</w:t>
      </w:r>
      <w:r w:rsidRPr="00185D69">
        <w:rPr>
          <w:i/>
          <w:iCs/>
        </w:rPr>
        <w:t>, grade in school, and race/ethnicity--</w:t>
      </w:r>
      <w:r w:rsidRPr="00185D69">
        <w:t xml:space="preserve">Multiple regression analyses that control for </w:t>
      </w:r>
      <w:r w:rsidRPr="00185D69" w:rsidR="007B79C1">
        <w:rPr>
          <w:i/>
        </w:rPr>
        <w:t>sex</w:t>
      </w:r>
      <w:r w:rsidRPr="00185D69">
        <w:t>, grade in school, and race/ethnicity and that simultaneously assesses linear and higher order time effects will be used.</w:t>
      </w:r>
    </w:p>
    <w:p w:rsidR="0008078F" w:rsidP="00092EC6" w14:paraId="45EF6E0D" w14:textId="77777777"/>
    <w:p w:rsidR="0008078F" w:rsidRPr="00185D69" w:rsidP="0008078F" w14:paraId="0D5DC8DC" w14:textId="77777777">
      <w:pPr>
        <w:spacing w:line="228" w:lineRule="auto"/>
      </w:pPr>
      <w:r>
        <w:t>Attachment K provides example tables demonstrating the analyses listed above.</w:t>
      </w:r>
    </w:p>
    <w:p w:rsidR="00265C62" w:rsidRPr="00185D69" w:rsidP="00265C62" w14:paraId="61EF55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rsidR="008469A3" w:rsidRPr="00A26958" w:rsidP="00A26958" w14:paraId="35A15EC1" w14:textId="77777777">
      <w:pPr>
        <w:pStyle w:val="Heading3"/>
        <w:ind w:left="0"/>
        <w:rPr>
          <w:szCs w:val="24"/>
          <w:u w:val="single"/>
        </w:rPr>
      </w:pPr>
      <w:r w:rsidRPr="00185D69">
        <w:rPr>
          <w:szCs w:val="24"/>
          <w:u w:val="single"/>
        </w:rPr>
        <w:t>Publication Plans</w:t>
      </w:r>
    </w:p>
    <w:p w:rsidR="001636B3" w:rsidRPr="00092EC6" w:rsidP="00994202" w14:paraId="09EEC142" w14:textId="484F0879">
      <w:pPr>
        <w:pStyle w:val="Tbodytext"/>
      </w:pPr>
      <w:r w:rsidRPr="00FA55ED">
        <w:t xml:space="preserve">This information will be used to inform the development of policy briefs, official reports, and peer reviewed scientific papers for publication in journals. </w:t>
      </w:r>
      <w:r w:rsidR="00AA38E8">
        <w:t xml:space="preserve">Annually, the official estimates of national youth tobacco product use </w:t>
      </w:r>
      <w:r w:rsidR="00590646">
        <w:t xml:space="preserve">typically </w:t>
      </w:r>
      <w:r w:rsidR="00AA38E8">
        <w:t xml:space="preserve">are featured </w:t>
      </w:r>
      <w:r w:rsidRPr="00FA55ED">
        <w:t xml:space="preserve">in </w:t>
      </w:r>
      <w:r w:rsidR="00750904">
        <w:t xml:space="preserve">CDC’s </w:t>
      </w:r>
      <w:r w:rsidRPr="00750904" w:rsidR="00750904">
        <w:rPr>
          <w:i/>
          <w:iCs/>
        </w:rPr>
        <w:t xml:space="preserve">Morbidity and Mortality Weekly Report </w:t>
      </w:r>
      <w:r w:rsidR="00750904">
        <w:t>(</w:t>
      </w:r>
      <w:r w:rsidRPr="006260DE">
        <w:rPr>
          <w:i/>
        </w:rPr>
        <w:t>MMWR</w:t>
      </w:r>
      <w:r w:rsidR="00750904">
        <w:rPr>
          <w:i/>
        </w:rPr>
        <w:t>)</w:t>
      </w:r>
      <w:r w:rsidR="00AA38E8">
        <w:t xml:space="preserve">. However, other NYTS findings have been published in high profile </w:t>
      </w:r>
      <w:r w:rsidR="006045CD">
        <w:t>peer review</w:t>
      </w:r>
      <w:r w:rsidRPr="00FA55ED" w:rsidR="006045CD">
        <w:t xml:space="preserve"> </w:t>
      </w:r>
      <w:r w:rsidRPr="00FA55ED">
        <w:t xml:space="preserve">journals such as </w:t>
      </w:r>
      <w:r w:rsidR="006045CD">
        <w:t xml:space="preserve">the </w:t>
      </w:r>
      <w:r w:rsidRPr="006260DE" w:rsidR="002A3770">
        <w:rPr>
          <w:i/>
        </w:rPr>
        <w:t>Journal of the American Medical Association (JAMA)</w:t>
      </w:r>
      <w:r w:rsidR="002A3770">
        <w:t xml:space="preserve">, </w:t>
      </w:r>
      <w:r w:rsidRPr="00A56296" w:rsidR="00AA38E8">
        <w:rPr>
          <w:i/>
        </w:rPr>
        <w:t>American Journal of Public Health</w:t>
      </w:r>
      <w:r w:rsidR="00AA38E8">
        <w:t xml:space="preserve">, the </w:t>
      </w:r>
      <w:r w:rsidRPr="00A56296">
        <w:rPr>
          <w:i/>
        </w:rPr>
        <w:t>American Journal of Preventive</w:t>
      </w:r>
      <w:r w:rsidRPr="00A56296" w:rsidR="008C0C86">
        <w:rPr>
          <w:i/>
        </w:rPr>
        <w:t xml:space="preserve"> Medicine</w:t>
      </w:r>
      <w:r w:rsidR="00AA38E8">
        <w:t xml:space="preserve">, </w:t>
      </w:r>
      <w:r w:rsidR="008C0C86">
        <w:t xml:space="preserve">and </w:t>
      </w:r>
      <w:r w:rsidRPr="00FA55ED">
        <w:rPr>
          <w:i/>
        </w:rPr>
        <w:t xml:space="preserve">JAMA Pediatrics. </w:t>
      </w:r>
      <w:r w:rsidRPr="00FA55ED">
        <w:t>Additionally, NYTS results and public</w:t>
      </w:r>
      <w:r w:rsidR="00D43085">
        <w:t>-</w:t>
      </w:r>
      <w:r w:rsidRPr="00FA55ED">
        <w:t>use data set</w:t>
      </w:r>
      <w:r w:rsidR="007E7ADA">
        <w:t>s</w:t>
      </w:r>
      <w:r w:rsidRPr="00FA55ED">
        <w:t xml:space="preserve"> </w:t>
      </w:r>
      <w:r w:rsidR="000A08BC">
        <w:t xml:space="preserve">from 1999-2019 </w:t>
      </w:r>
      <w:r w:rsidRPr="00FA55ED">
        <w:t xml:space="preserve">are </w:t>
      </w:r>
      <w:r w:rsidR="000A08BC">
        <w:t xml:space="preserve">currently </w:t>
      </w:r>
      <w:r w:rsidRPr="00FA55ED">
        <w:t>available on the CDC web site at:</w:t>
      </w:r>
      <w:r w:rsidR="000A08BC">
        <w:t xml:space="preserve"> </w:t>
      </w:r>
      <w:hyperlink r:id="rId16" w:history="1">
        <w:r w:rsidRPr="00E2099E" w:rsidR="00455B78">
          <w:rPr>
            <w:rStyle w:val="Hyperlink"/>
          </w:rPr>
          <w:t>https://www.cdc.gov/tobacco/about-data/surveys/historical-nyts-data-and-documentation.html</w:t>
        </w:r>
      </w:hyperlink>
      <w:r w:rsidR="00455B78">
        <w:t xml:space="preserve"> </w:t>
      </w:r>
      <w:r w:rsidRPr="00FA55ED" w:rsidR="00CE2D28">
        <w:t>.</w:t>
      </w:r>
      <w:r w:rsidR="00913B9E">
        <w:t xml:space="preserve"> </w:t>
      </w:r>
      <w:r w:rsidR="000A08BC">
        <w:t xml:space="preserve">FDA and CDC’s Office on Smoking and Health (OSH) collaborated in the past. </w:t>
      </w:r>
      <w:r w:rsidR="00A1008F">
        <w:t xml:space="preserve">As </w:t>
      </w:r>
      <w:r w:rsidR="000A08BC">
        <w:t>FDA plan</w:t>
      </w:r>
      <w:r w:rsidR="00A1008F">
        <w:t>s</w:t>
      </w:r>
      <w:r w:rsidR="000A08BC">
        <w:t xml:space="preserve"> to continue th</w:t>
      </w:r>
      <w:r w:rsidR="00A1008F">
        <w:t>e</w:t>
      </w:r>
      <w:r w:rsidR="000A08BC">
        <w:t xml:space="preserve">se collaborations </w:t>
      </w:r>
      <w:r w:rsidR="00A1008F">
        <w:t xml:space="preserve">following </w:t>
      </w:r>
      <w:r w:rsidR="000A08BC">
        <w:t>OSH</w:t>
      </w:r>
      <w:r w:rsidR="00A1008F">
        <w:t xml:space="preserve">’s </w:t>
      </w:r>
      <w:r w:rsidR="000A08BC">
        <w:t>eliminat</w:t>
      </w:r>
      <w:r w:rsidR="00A1008F">
        <w:t>ion, the agency</w:t>
      </w:r>
      <w:r w:rsidRPr="00CB27C4" w:rsidR="00CB27C4">
        <w:t xml:space="preserve"> is pursuing alternative dissemination channels to ensure public access to NYTS results and public-use datasets from both completed and upcoming survey cycles.</w:t>
      </w:r>
      <w:r w:rsidR="00CB27C4">
        <w:t xml:space="preserve"> </w:t>
      </w:r>
      <w:r w:rsidR="005B0BD2">
        <w:t>To</w:t>
      </w:r>
      <w:r w:rsidR="00D43085">
        <w:t xml:space="preserve"> </w:t>
      </w:r>
      <w:r w:rsidR="004B580E">
        <w:t xml:space="preserve">comply with </w:t>
      </w:r>
      <w:r w:rsidR="00CA39FE">
        <w:t>the Executive Order</w:t>
      </w:r>
      <w:r w:rsidR="00BA3416">
        <w:t xml:space="preserve"> 14303</w:t>
      </w:r>
      <w:r w:rsidR="00CA39FE">
        <w:t xml:space="preserve"> </w:t>
      </w:r>
      <w:r w:rsidR="00A1008F">
        <w:t>(</w:t>
      </w:r>
      <w:r w:rsidR="00CA39FE">
        <w:t xml:space="preserve">issued </w:t>
      </w:r>
      <w:r w:rsidR="004B580E">
        <w:t>o</w:t>
      </w:r>
      <w:r w:rsidR="00CA39FE">
        <w:t>n May</w:t>
      </w:r>
      <w:r w:rsidR="000D4C67">
        <w:t xml:space="preserve"> 23,</w:t>
      </w:r>
      <w:r w:rsidR="00CA39FE">
        <w:t xml:space="preserve"> 2025</w:t>
      </w:r>
      <w:r w:rsidR="00A1008F">
        <w:t>), titled “</w:t>
      </w:r>
      <w:r w:rsidRPr="00A1008F" w:rsidR="00A1008F">
        <w:rPr>
          <w:i/>
          <w:iCs/>
        </w:rPr>
        <w:t>Restoring Gold Standard Science</w:t>
      </w:r>
      <w:r w:rsidRPr="00A1008F" w:rsidR="00D43085">
        <w:rPr>
          <w:i/>
          <w:iCs/>
        </w:rPr>
        <w:t>,</w:t>
      </w:r>
      <w:r w:rsidRPr="00A1008F" w:rsidR="00A1008F">
        <w:rPr>
          <w:i/>
          <w:iCs/>
        </w:rPr>
        <w:t>”</w:t>
      </w:r>
      <w:r w:rsidR="00D43085">
        <w:t xml:space="preserve"> </w:t>
      </w:r>
      <w:r w:rsidR="00913B9E">
        <w:t xml:space="preserve">FDA </w:t>
      </w:r>
      <w:r w:rsidR="00CD10CF">
        <w:t>p</w:t>
      </w:r>
      <w:r w:rsidR="00913B9E">
        <w:t xml:space="preserve">lans to </w:t>
      </w:r>
      <w:r w:rsidR="005B0BD2">
        <w:t xml:space="preserve">simultaneously </w:t>
      </w:r>
      <w:r w:rsidR="00CD10CF">
        <w:t xml:space="preserve">release </w:t>
      </w:r>
      <w:r w:rsidR="0079701C">
        <w:t xml:space="preserve">the </w:t>
      </w:r>
      <w:r w:rsidR="00E57E46">
        <w:t xml:space="preserve">public-use dataset on the same date as the </w:t>
      </w:r>
      <w:r w:rsidR="0079701C">
        <w:t xml:space="preserve">first </w:t>
      </w:r>
      <w:r w:rsidR="00F72F32">
        <w:t>publication</w:t>
      </w:r>
      <w:r w:rsidR="005B0BD2">
        <w:t xml:space="preserve"> </w:t>
      </w:r>
      <w:r w:rsidR="00E57E46">
        <w:t>for that year of</w:t>
      </w:r>
      <w:r w:rsidR="005B0BD2">
        <w:t xml:space="preserve"> NYTS</w:t>
      </w:r>
      <w:r w:rsidR="005944BC">
        <w:t xml:space="preserve">. </w:t>
      </w:r>
    </w:p>
    <w:p w:rsidR="003E13DB" w:rsidRPr="009B2722" w:rsidP="00994202" w14:paraId="2778C876" w14:textId="77777777">
      <w:pPr>
        <w:pStyle w:val="Tbodytext"/>
        <w:rPr>
          <w:rFonts w:ascii="Arial" w:hAnsi="Arial" w:cs="Arial"/>
        </w:rPr>
      </w:pPr>
    </w:p>
    <w:p w:rsidR="00051D76" w:rsidRPr="00185D69" w:rsidP="00A26958" w14:paraId="5FAF1548" w14:textId="77777777">
      <w:pPr>
        <w:pStyle w:val="Heading3"/>
        <w:ind w:left="0"/>
        <w:rPr>
          <w:szCs w:val="24"/>
          <w:u w:val="single"/>
        </w:rPr>
      </w:pPr>
      <w:r w:rsidRPr="00185D69">
        <w:rPr>
          <w:szCs w:val="24"/>
          <w:u w:val="single"/>
        </w:rPr>
        <w:t>Time Schedule for the Project</w:t>
      </w:r>
    </w:p>
    <w:p w:rsidR="007C3B04" w:rsidRPr="00A26958" w:rsidP="00994202" w14:paraId="5AD050C2" w14:textId="50BF37EC">
      <w:pPr>
        <w:pStyle w:val="Heading3"/>
        <w:ind w:left="0"/>
        <w:rPr>
          <w:b w:val="0"/>
        </w:rPr>
      </w:pPr>
      <w:r w:rsidRPr="00A26958">
        <w:rPr>
          <w:b w:val="0"/>
        </w:rPr>
        <w:t xml:space="preserve">The following represents our proposed schedule of activities for the </w:t>
      </w:r>
      <w:r w:rsidRPr="00A26958" w:rsidR="00151B55">
        <w:rPr>
          <w:b w:val="0"/>
        </w:rPr>
        <w:t>NYTS</w:t>
      </w:r>
      <w:r w:rsidR="00CF00F2">
        <w:rPr>
          <w:b w:val="0"/>
        </w:rPr>
        <w:t>.</w:t>
      </w:r>
      <w:r w:rsidRPr="00A26958" w:rsidR="00077574">
        <w:rPr>
          <w:b w:val="0"/>
        </w:rPr>
        <w:t xml:space="preserve"> </w:t>
      </w:r>
      <w:r w:rsidRPr="00A26958">
        <w:rPr>
          <w:b w:val="0"/>
        </w:rPr>
        <w:t>The end date for data collection is constrained by the dates on which schools close for the summer.</w:t>
      </w:r>
      <w:r w:rsidRPr="00A26958" w:rsidR="00077574">
        <w:rPr>
          <w:b w:val="0"/>
        </w:rPr>
        <w:t xml:space="preserve"> </w:t>
      </w:r>
      <w:r w:rsidRPr="00A26958">
        <w:rPr>
          <w:b w:val="0"/>
        </w:rPr>
        <w:t xml:space="preserve">In addition, given that some </w:t>
      </w:r>
      <w:r w:rsidRPr="00A26958" w:rsidR="0012009D">
        <w:rPr>
          <w:b w:val="0"/>
        </w:rPr>
        <w:t>twelfth-grade</w:t>
      </w:r>
      <w:r w:rsidRPr="00A26958">
        <w:rPr>
          <w:b w:val="0"/>
        </w:rPr>
        <w:t xml:space="preserve"> students may be absent during the final weeks of the school year, it is highly desirable to complete data collection </w:t>
      </w:r>
      <w:r w:rsidR="00EA1A12">
        <w:rPr>
          <w:b w:val="0"/>
        </w:rPr>
        <w:t xml:space="preserve">at least </w:t>
      </w:r>
      <w:r w:rsidRPr="00A26958" w:rsidR="00A112CD">
        <w:rPr>
          <w:b w:val="0"/>
        </w:rPr>
        <w:t xml:space="preserve">one </w:t>
      </w:r>
      <w:r w:rsidRPr="00A26958">
        <w:rPr>
          <w:b w:val="0"/>
        </w:rPr>
        <w:t>month before schools close for the summer.</w:t>
      </w:r>
    </w:p>
    <w:p w:rsidR="005360EC" w:rsidP="005360EC" w14:paraId="7CBAECEB" w14:textId="4F2A52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Pr>
          <w:b/>
          <w:bCs/>
        </w:rPr>
        <w:t xml:space="preserve">Table </w:t>
      </w:r>
      <w:r w:rsidR="007F46C8">
        <w:rPr>
          <w:b/>
          <w:bCs/>
        </w:rPr>
        <w:t>6</w:t>
      </w:r>
      <w:r>
        <w:rPr>
          <w:b/>
          <w:bCs/>
        </w:rPr>
        <w:t xml:space="preserve">: </w:t>
      </w:r>
      <w:r w:rsidR="000C4670">
        <w:rPr>
          <w:b/>
          <w:bCs/>
        </w:rPr>
        <w:t xml:space="preserve">Proposed </w:t>
      </w:r>
      <w:r>
        <w:rPr>
          <w:b/>
          <w:bCs/>
        </w:rPr>
        <w:t>Schedule of Activities for 202</w:t>
      </w:r>
      <w:r w:rsidR="0039628A">
        <w:rPr>
          <w:b/>
          <w:bCs/>
        </w:rPr>
        <w:t>6</w:t>
      </w:r>
      <w:r>
        <w:rPr>
          <w:b/>
          <w:bCs/>
        </w:rPr>
        <w:t xml:space="preserve"> NYTS</w:t>
      </w:r>
    </w:p>
    <w:p w:rsidR="009B410C" w:rsidRPr="00185D69" w:rsidP="007C3B04" w14:paraId="2A1FFC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tbl>
      <w:tblPr>
        <w:tblW w:w="9576" w:type="dxa"/>
        <w:tblLayout w:type="fixed"/>
        <w:tblCellMar>
          <w:left w:w="120" w:type="dxa"/>
          <w:right w:w="120" w:type="dxa"/>
        </w:tblCellMar>
        <w:tblLook w:val="0000"/>
      </w:tblPr>
      <w:tblGrid>
        <w:gridCol w:w="4896"/>
        <w:gridCol w:w="4680"/>
      </w:tblGrid>
      <w:tr w14:paraId="1A80F64C" w14:textId="77777777" w:rsidTr="005E6BD7">
        <w:tblPrEx>
          <w:tblW w:w="9576" w:type="dxa"/>
          <w:tblLayout w:type="fixed"/>
          <w:tblCellMar>
            <w:left w:w="120" w:type="dxa"/>
            <w:right w:w="120" w:type="dxa"/>
          </w:tblCellMar>
          <w:tblLook w:val="0000"/>
        </w:tblPrEx>
        <w:tc>
          <w:tcPr>
            <w:tcW w:w="4896" w:type="dxa"/>
            <w:tcBorders>
              <w:top w:val="single" w:sz="7" w:space="0" w:color="000000"/>
              <w:left w:val="single" w:sz="7" w:space="0" w:color="000000"/>
              <w:bottom w:val="single" w:sz="7" w:space="0" w:color="000000"/>
              <w:right w:val="single" w:sz="7" w:space="0" w:color="000000"/>
            </w:tcBorders>
          </w:tcPr>
          <w:p w:rsidR="007C3B04" w:rsidRPr="00185D69" w:rsidP="00BC3FA0" w14:paraId="282350E4" w14:textId="77777777">
            <w:pPr>
              <w:spacing w:line="120" w:lineRule="exact"/>
              <w:rPr>
                <w:b/>
                <w:bCs/>
              </w:rPr>
            </w:pPr>
          </w:p>
          <w:p w:rsidR="007C3B04" w:rsidRPr="00185D69" w:rsidP="00BC3FA0" w14:paraId="6DE301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b/>
                <w:bCs/>
              </w:rPr>
            </w:pPr>
            <w:r w:rsidRPr="00185D69">
              <w:rPr>
                <w:b/>
                <w:bCs/>
                <w:u w:val="single"/>
              </w:rPr>
              <w:t>Activity</w:t>
            </w:r>
          </w:p>
        </w:tc>
        <w:tc>
          <w:tcPr>
            <w:tcW w:w="4680" w:type="dxa"/>
            <w:tcBorders>
              <w:top w:val="single" w:sz="7" w:space="0" w:color="000000"/>
              <w:left w:val="single" w:sz="7" w:space="0" w:color="000000"/>
              <w:bottom w:val="single" w:sz="7" w:space="0" w:color="000000"/>
              <w:right w:val="single" w:sz="7" w:space="0" w:color="000000"/>
            </w:tcBorders>
          </w:tcPr>
          <w:p w:rsidR="007C3B04" w:rsidRPr="00185D69" w:rsidP="00BC3FA0" w14:paraId="38B4374A" w14:textId="77777777">
            <w:pPr>
              <w:spacing w:line="120" w:lineRule="exact"/>
              <w:rPr>
                <w:b/>
                <w:bCs/>
              </w:rPr>
            </w:pPr>
          </w:p>
          <w:p w:rsidR="007C3B04" w:rsidRPr="00185D69" w:rsidP="00BC3FA0" w14:paraId="74B9E4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b/>
                <w:bCs/>
              </w:rPr>
            </w:pPr>
            <w:r w:rsidRPr="00185D69">
              <w:rPr>
                <w:b/>
                <w:bCs/>
                <w:u w:val="single"/>
              </w:rPr>
              <w:t>Time Period</w:t>
            </w:r>
          </w:p>
        </w:tc>
      </w:tr>
      <w:tr w14:paraId="355A47C7" w14:textId="77777777" w:rsidTr="005E6BD7">
        <w:tblPrEx>
          <w:tblW w:w="9576" w:type="dxa"/>
          <w:tblLayout w:type="fixed"/>
          <w:tblCellMar>
            <w:left w:w="120" w:type="dxa"/>
            <w:right w:w="120" w:type="dxa"/>
          </w:tblCellMar>
          <w:tblLook w:val="0000"/>
        </w:tblPrEx>
        <w:tc>
          <w:tcPr>
            <w:tcW w:w="4896"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607580C6" w14:textId="77777777">
            <w:pPr>
              <w:spacing w:line="120" w:lineRule="exact"/>
            </w:pPr>
          </w:p>
          <w:p w:rsidR="007C3B04" w:rsidRPr="00185D69" w:rsidP="00BC3FA0" w14:paraId="16DA0A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Recruit and schedule schools</w:t>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45D14017" w14:textId="77777777">
            <w:pPr>
              <w:spacing w:line="120" w:lineRule="exact"/>
            </w:pPr>
          </w:p>
          <w:p w:rsidR="007C3B04" w:rsidRPr="00185D69" w:rsidP="00271CD3" w14:paraId="6A17FD38" w14:textId="518D8A92">
            <w:pPr>
              <w:jc w:val="center"/>
            </w:pPr>
            <w:r>
              <w:t>Late Summer-</w:t>
            </w:r>
            <w:r w:rsidR="00F97FD7">
              <w:t>Fall 202</w:t>
            </w:r>
            <w:r w:rsidR="00AD150C">
              <w:t>5</w:t>
            </w:r>
            <w:r w:rsidR="00F97FD7">
              <w:t xml:space="preserve"> under current </w:t>
            </w:r>
            <w:r w:rsidRPr="00185D69">
              <w:t xml:space="preserve">OMB No. </w:t>
            </w:r>
            <w:r w:rsidRPr="00185D69" w:rsidR="00CE2D28">
              <w:t>09</w:t>
            </w:r>
            <w:r w:rsidR="005A48A9">
              <w:t>1</w:t>
            </w:r>
            <w:r w:rsidRPr="00185D69" w:rsidR="00CE2D28">
              <w:t>0-</w:t>
            </w:r>
            <w:r w:rsidRPr="00F4170B" w:rsidR="00CE2D28">
              <w:t>0</w:t>
            </w:r>
            <w:r w:rsidR="005A48A9">
              <w:t>932</w:t>
            </w:r>
            <w:r w:rsidRPr="00F4170B">
              <w:t xml:space="preserve">, </w:t>
            </w:r>
            <w:r w:rsidRPr="000B353C">
              <w:t>expires 0</w:t>
            </w:r>
            <w:r w:rsidR="00AD150C">
              <w:t>5</w:t>
            </w:r>
            <w:r w:rsidRPr="000B353C">
              <w:t>/31/</w:t>
            </w:r>
            <w:r w:rsidRPr="000B353C" w:rsidR="00CE2D28">
              <w:t>202</w:t>
            </w:r>
            <w:r w:rsidR="00AD150C">
              <w:t>7</w:t>
            </w:r>
          </w:p>
        </w:tc>
      </w:tr>
      <w:tr w14:paraId="1D602A96" w14:textId="77777777" w:rsidTr="005E6BD7">
        <w:tblPrEx>
          <w:tblW w:w="9576" w:type="dxa"/>
          <w:tblLayout w:type="fixed"/>
          <w:tblCellMar>
            <w:left w:w="120" w:type="dxa"/>
            <w:right w:w="120" w:type="dxa"/>
          </w:tblCellMar>
          <w:tblLook w:val="0000"/>
        </w:tblPrEx>
        <w:tc>
          <w:tcPr>
            <w:tcW w:w="4896" w:type="dxa"/>
            <w:tcBorders>
              <w:top w:val="single" w:sz="7" w:space="0" w:color="000000"/>
              <w:left w:val="single" w:sz="7" w:space="0" w:color="000000"/>
              <w:bottom w:val="single" w:sz="7" w:space="0" w:color="000000"/>
              <w:right w:val="single" w:sz="7" w:space="0" w:color="000000"/>
            </w:tcBorders>
            <w:vAlign w:val="center"/>
          </w:tcPr>
          <w:p w:rsidR="007C3B04" w:rsidRPr="00185D69" w:rsidP="00647779" w14:paraId="63806F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t>Program digital survey</w:t>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69F5FF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t>&lt;</w:t>
            </w:r>
            <w:r w:rsidRPr="00185D69">
              <w:t xml:space="preserve">1 to 2 months </w:t>
            </w:r>
          </w:p>
        </w:tc>
      </w:tr>
      <w:tr w14:paraId="4AF737C9" w14:textId="77777777" w:rsidTr="005E6BD7">
        <w:tblPrEx>
          <w:tblW w:w="9576" w:type="dxa"/>
          <w:tblLayout w:type="fixed"/>
          <w:tblCellMar>
            <w:left w:w="120" w:type="dxa"/>
            <w:right w:w="120" w:type="dxa"/>
          </w:tblCellMar>
          <w:tblLook w:val="0000"/>
        </w:tblPrEx>
        <w:tc>
          <w:tcPr>
            <w:tcW w:w="4896"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0D4E6FD2" w14:textId="77777777">
            <w:pPr>
              <w:spacing w:line="120" w:lineRule="exact"/>
            </w:pPr>
          </w:p>
          <w:p w:rsidR="007C3B04" w:rsidRPr="00185D69" w:rsidP="00BC3FA0" w14:paraId="15248F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Train field data collectors</w:t>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368FBAD0" w14:textId="77777777">
            <w:pPr>
              <w:spacing w:line="120" w:lineRule="exact"/>
            </w:pPr>
          </w:p>
          <w:p w:rsidR="007C3B04" w:rsidRPr="00185D69" w:rsidP="00271CD3" w14:paraId="3A28D16E" w14:textId="358343B3">
            <w:pPr>
              <w:jc w:val="center"/>
            </w:pPr>
            <w:r>
              <w:t>January</w:t>
            </w:r>
            <w:r w:rsidR="00DF4435">
              <w:t xml:space="preserve"> 202</w:t>
            </w:r>
            <w:r w:rsidR="005A48A9">
              <w:t>6</w:t>
            </w:r>
            <w:r>
              <w:t xml:space="preserve"> under current </w:t>
            </w:r>
            <w:r w:rsidRPr="00185D69">
              <w:t xml:space="preserve">OMB No. </w:t>
            </w:r>
            <w:r w:rsidR="00DC3630">
              <w:t>0910-0932</w:t>
            </w:r>
            <w:r w:rsidRPr="00F4170B">
              <w:t xml:space="preserve">, </w:t>
            </w:r>
            <w:r w:rsidRPr="000B353C">
              <w:t>expires 0</w:t>
            </w:r>
            <w:r w:rsidR="005A48A9">
              <w:t>5</w:t>
            </w:r>
            <w:r w:rsidRPr="000B353C">
              <w:t>/31/</w:t>
            </w:r>
            <w:r w:rsidRPr="000B353C" w:rsidR="00CE2D28">
              <w:t>202</w:t>
            </w:r>
            <w:r w:rsidR="005A48A9">
              <w:t>7</w:t>
            </w:r>
          </w:p>
        </w:tc>
      </w:tr>
      <w:tr w14:paraId="3AF0ED8B" w14:textId="77777777" w:rsidTr="005E6BD7">
        <w:tblPrEx>
          <w:tblW w:w="9576" w:type="dxa"/>
          <w:tblLayout w:type="fixed"/>
          <w:tblCellMar>
            <w:left w:w="120" w:type="dxa"/>
            <w:right w:w="120" w:type="dxa"/>
          </w:tblCellMar>
          <w:tblLook w:val="0000"/>
        </w:tblPrEx>
        <w:tc>
          <w:tcPr>
            <w:tcW w:w="4896"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0923F729" w14:textId="77777777">
            <w:pPr>
              <w:spacing w:line="120" w:lineRule="exact"/>
            </w:pPr>
            <w:bookmarkStart w:id="10" w:name="_Hlk131674896"/>
          </w:p>
          <w:p w:rsidR="007C3B04" w:rsidRPr="00185D69" w:rsidP="00BC3FA0" w14:paraId="43CD8A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Collect data</w:t>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3F56A3CC" w14:textId="77777777">
            <w:pPr>
              <w:spacing w:line="120" w:lineRule="exact"/>
            </w:pPr>
          </w:p>
          <w:p w:rsidR="007C3B04" w:rsidRPr="00185D69" w:rsidP="00BC3FA0" w14:paraId="79D6A7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t>1</w:t>
            </w:r>
            <w:r w:rsidRPr="00185D69">
              <w:t xml:space="preserve"> to </w:t>
            </w:r>
            <w:r w:rsidR="00096E81">
              <w:t>4</w:t>
            </w:r>
            <w:r w:rsidRPr="00185D69">
              <w:t xml:space="preserve"> months</w:t>
            </w:r>
            <w:r w:rsidR="005C7A10">
              <w:t xml:space="preserve"> (January to May)</w:t>
            </w:r>
          </w:p>
        </w:tc>
      </w:tr>
      <w:bookmarkEnd w:id="10"/>
      <w:tr w14:paraId="311C34F6" w14:textId="77777777" w:rsidTr="005E6BD7">
        <w:tblPrEx>
          <w:tblW w:w="9576" w:type="dxa"/>
          <w:tblLayout w:type="fixed"/>
          <w:tblCellMar>
            <w:left w:w="120" w:type="dxa"/>
            <w:right w:w="120" w:type="dxa"/>
          </w:tblCellMar>
          <w:tblLook w:val="0000"/>
        </w:tblPrEx>
        <w:trPr>
          <w:trHeight w:val="433"/>
        </w:trPr>
        <w:tc>
          <w:tcPr>
            <w:tcW w:w="4896"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47D5C7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Process data</w:t>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6F587F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t>3 weeks post end of data collection</w:t>
            </w:r>
          </w:p>
        </w:tc>
      </w:tr>
      <w:tr w14:paraId="5ADC9C85" w14:textId="77777777" w:rsidTr="005E6BD7">
        <w:tblPrEx>
          <w:tblW w:w="9576" w:type="dxa"/>
          <w:tblLayout w:type="fixed"/>
          <w:tblCellMar>
            <w:left w:w="120" w:type="dxa"/>
            <w:right w:w="120" w:type="dxa"/>
          </w:tblCellMar>
          <w:tblLook w:val="0000"/>
        </w:tblPrEx>
        <w:tc>
          <w:tcPr>
            <w:tcW w:w="4896"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2228912B" w14:textId="77777777">
            <w:pPr>
              <w:spacing w:line="120" w:lineRule="exact"/>
            </w:pPr>
          </w:p>
          <w:p w:rsidR="007C3B04" w:rsidRPr="00185D69" w:rsidP="00BC3FA0" w14:paraId="0955E3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Weight/clean data</w:t>
            </w:r>
            <w:r w:rsidRPr="00185D69">
              <w:tab/>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3EFC1D23" w14:textId="77777777">
            <w:pPr>
              <w:spacing w:line="120" w:lineRule="exact"/>
            </w:pPr>
          </w:p>
          <w:p w:rsidR="007C3B04" w:rsidRPr="00185D69" w:rsidP="00BC3FA0" w14:paraId="68F6B0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t>3-4 weeks post end of data collection</w:t>
            </w:r>
          </w:p>
        </w:tc>
      </w:tr>
      <w:tr w14:paraId="4C55CFFF" w14:textId="77777777" w:rsidTr="005E6BD7">
        <w:tblPrEx>
          <w:tblW w:w="9576" w:type="dxa"/>
          <w:tblLayout w:type="fixed"/>
          <w:tblCellMar>
            <w:left w:w="120" w:type="dxa"/>
            <w:right w:w="120" w:type="dxa"/>
          </w:tblCellMar>
          <w:tblLook w:val="0000"/>
        </w:tblPrEx>
        <w:tc>
          <w:tcPr>
            <w:tcW w:w="4896"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5C6D8B9B" w14:textId="77777777">
            <w:pPr>
              <w:spacing w:line="120" w:lineRule="exact"/>
            </w:pPr>
          </w:p>
          <w:p w:rsidR="007C3B04" w:rsidRPr="00185D69" w:rsidP="00BC3FA0" w14:paraId="7191AB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Produce data file with documentation</w:t>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7C75C0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t>4 weeks post end of data collection</w:t>
            </w:r>
          </w:p>
        </w:tc>
      </w:tr>
      <w:tr w14:paraId="03CCE57D" w14:textId="77777777" w:rsidTr="005E6BD7">
        <w:tblPrEx>
          <w:tblW w:w="9576" w:type="dxa"/>
          <w:tblLayout w:type="fixed"/>
          <w:tblCellMar>
            <w:left w:w="120" w:type="dxa"/>
            <w:right w:w="120" w:type="dxa"/>
          </w:tblCellMar>
          <w:tblLook w:val="0000"/>
        </w:tblPrEx>
        <w:tc>
          <w:tcPr>
            <w:tcW w:w="4896"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13194DAB" w14:textId="77777777">
            <w:pPr>
              <w:spacing w:line="120" w:lineRule="exact"/>
            </w:pPr>
          </w:p>
          <w:p w:rsidR="007C3B04" w:rsidRPr="00185D69" w:rsidP="00BC3FA0" w14:paraId="4CC55F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t xml:space="preserve">Analyze data </w:t>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4AE9DACB" w14:textId="77777777">
            <w:pPr>
              <w:spacing w:line="120" w:lineRule="exact"/>
            </w:pPr>
          </w:p>
          <w:p w:rsidR="007C3B04" w:rsidRPr="00185D69" w:rsidP="00BC3FA0" w14:paraId="087B78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t>4-</w:t>
            </w:r>
            <w:r w:rsidR="0076238F">
              <w:t>7</w:t>
            </w:r>
            <w:r>
              <w:t xml:space="preserve"> weeks post end of data collection</w:t>
            </w:r>
          </w:p>
        </w:tc>
      </w:tr>
      <w:tr w14:paraId="6EA138A7" w14:textId="77777777" w:rsidTr="005E6BD7">
        <w:tblPrEx>
          <w:tblW w:w="9576" w:type="dxa"/>
          <w:tblLayout w:type="fixed"/>
          <w:tblCellMar>
            <w:left w:w="120" w:type="dxa"/>
            <w:right w:w="120" w:type="dxa"/>
          </w:tblCellMar>
          <w:tblLook w:val="0000"/>
        </w:tblPrEx>
        <w:trPr>
          <w:trHeight w:val="406"/>
        </w:trPr>
        <w:tc>
          <w:tcPr>
            <w:tcW w:w="4896"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668C90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bookmarkStart w:id="11" w:name="_Hlk131674995"/>
            <w:r>
              <w:t>Publish findings</w:t>
            </w:r>
          </w:p>
        </w:tc>
        <w:tc>
          <w:tcPr>
            <w:tcW w:w="4680" w:type="dxa"/>
            <w:tcBorders>
              <w:top w:val="single" w:sz="7" w:space="0" w:color="000000"/>
              <w:left w:val="single" w:sz="7" w:space="0" w:color="000000"/>
              <w:bottom w:val="single" w:sz="7" w:space="0" w:color="000000"/>
              <w:right w:val="single" w:sz="7" w:space="0" w:color="000000"/>
            </w:tcBorders>
            <w:vAlign w:val="center"/>
          </w:tcPr>
          <w:p w:rsidR="007C3B04" w:rsidRPr="00185D69" w:rsidP="00BC3FA0" w14:paraId="3985D42B" w14:textId="77777777">
            <w:pPr>
              <w:spacing w:line="120" w:lineRule="exact"/>
            </w:pPr>
          </w:p>
          <w:p w:rsidR="007C3B04" w:rsidRPr="00185D69" w:rsidP="00BC3FA0" w14:paraId="5E2939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t>8-10 weeks post end of data collection (pending agency clearance</w:t>
            </w:r>
            <w:r w:rsidR="00F172B5">
              <w:t>s)</w:t>
            </w:r>
          </w:p>
        </w:tc>
      </w:tr>
      <w:bookmarkEnd w:id="11"/>
      <w:tr w14:paraId="6A7AF4DF" w14:textId="77777777" w:rsidTr="00067106">
        <w:tblPrEx>
          <w:tblW w:w="9576" w:type="dxa"/>
          <w:tblLayout w:type="fixed"/>
          <w:tblCellMar>
            <w:left w:w="120" w:type="dxa"/>
            <w:right w:w="120" w:type="dxa"/>
          </w:tblCellMar>
          <w:tblLook w:val="0000"/>
        </w:tblPrEx>
        <w:trPr>
          <w:trHeight w:val="406"/>
        </w:trPr>
        <w:tc>
          <w:tcPr>
            <w:tcW w:w="4896" w:type="dxa"/>
            <w:tcBorders>
              <w:top w:val="single" w:sz="7" w:space="0" w:color="000000"/>
              <w:left w:val="single" w:sz="7" w:space="0" w:color="000000"/>
              <w:bottom w:val="single" w:sz="7" w:space="0" w:color="000000"/>
              <w:right w:val="single" w:sz="7" w:space="0" w:color="000000"/>
            </w:tcBorders>
            <w:vAlign w:val="center"/>
          </w:tcPr>
          <w:p w:rsidR="001E6CEF" w:rsidRPr="00185D69" w:rsidP="00067106" w14:paraId="3A0757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t>Release public data file</w:t>
            </w:r>
          </w:p>
        </w:tc>
        <w:tc>
          <w:tcPr>
            <w:tcW w:w="4680" w:type="dxa"/>
            <w:tcBorders>
              <w:top w:val="single" w:sz="7" w:space="0" w:color="000000"/>
              <w:left w:val="single" w:sz="7" w:space="0" w:color="000000"/>
              <w:bottom w:val="single" w:sz="7" w:space="0" w:color="000000"/>
              <w:right w:val="single" w:sz="7" w:space="0" w:color="000000"/>
            </w:tcBorders>
            <w:vAlign w:val="center"/>
          </w:tcPr>
          <w:p w:rsidR="001E6CEF" w:rsidRPr="00185D69" w:rsidP="00067106" w14:paraId="46C40E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t>&lt; 12 months post end of data collection</w:t>
            </w:r>
          </w:p>
        </w:tc>
      </w:tr>
    </w:tbl>
    <w:p w:rsidR="007C3B04" w:rsidRPr="00185D69" w:rsidP="007C3B04" w14:paraId="0A10FE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C3B04" w:rsidRPr="00185D69" w:rsidP="00994202" w14:paraId="490EDED8" w14:textId="4B30B9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rsidRPr="00185D69">
        <w:t xml:space="preserve">Data collection is currently scheduled to occur during </w:t>
      </w:r>
      <w:r w:rsidR="00405DAE">
        <w:t>January</w:t>
      </w:r>
      <w:r w:rsidRPr="00185D69" w:rsidR="00BD6FA0">
        <w:t xml:space="preserve"> </w:t>
      </w:r>
      <w:r w:rsidRPr="00185D69">
        <w:t>through</w:t>
      </w:r>
      <w:r w:rsidRPr="00185D69" w:rsidR="00E755B0">
        <w:t xml:space="preserve"> </w:t>
      </w:r>
      <w:r w:rsidR="00AA38E8">
        <w:t>May</w:t>
      </w:r>
      <w:r w:rsidRPr="00185D69">
        <w:t xml:space="preserve"> </w:t>
      </w:r>
      <w:r w:rsidR="006045CD">
        <w:t>202</w:t>
      </w:r>
      <w:r w:rsidR="005A48A9">
        <w:t>6</w:t>
      </w:r>
      <w:r w:rsidRPr="00185D69" w:rsidR="00CE2D28">
        <w:t>.</w:t>
      </w:r>
      <w:r w:rsidRPr="00185D69" w:rsidR="00077574">
        <w:t xml:space="preserve"> </w:t>
      </w:r>
      <w:r w:rsidRPr="00185D69">
        <w:t xml:space="preserve">Results will be published </w:t>
      </w:r>
      <w:r w:rsidR="00AA38E8">
        <w:t>by</w:t>
      </w:r>
      <w:r w:rsidRPr="00185D69">
        <w:t xml:space="preserve"> </w:t>
      </w:r>
      <w:r w:rsidR="00405DAE">
        <w:t>Fall 202</w:t>
      </w:r>
      <w:r w:rsidR="00DF2FF8">
        <w:t>6</w:t>
      </w:r>
      <w:r w:rsidRPr="00185D69" w:rsidR="00405DAE">
        <w:t xml:space="preserve"> </w:t>
      </w:r>
      <w:r w:rsidRPr="00185D69" w:rsidR="00C410BA">
        <w:t>in</w:t>
      </w:r>
      <w:r w:rsidRPr="00185D69">
        <w:t xml:space="preserve">itially and subsequently in </w:t>
      </w:r>
      <w:r w:rsidR="0070160C">
        <w:t>peer-reviewed journals</w:t>
      </w:r>
      <w:r w:rsidRPr="00185D69">
        <w:t xml:space="preserve">. </w:t>
      </w:r>
    </w:p>
    <w:p w:rsidR="009B410C" w:rsidRPr="00647779" w:rsidP="00A26958" w14:paraId="2BBE3379" w14:textId="77777777"/>
    <w:p w:rsidR="00813CEC" w:rsidRPr="00357C8A" w:rsidP="00C54E97" w14:paraId="6C6C4272" w14:textId="77777777">
      <w:pPr>
        <w:numPr>
          <w:ilvl w:val="0"/>
          <w:numId w:val="59"/>
        </w:numPr>
        <w:spacing w:after="200" w:line="276" w:lineRule="auto"/>
        <w:rPr>
          <w:rFonts w:eastAsia="Calibri"/>
          <w:u w:val="single"/>
        </w:rPr>
      </w:pPr>
      <w:r w:rsidRPr="00357C8A">
        <w:rPr>
          <w:rFonts w:eastAsia="Calibri"/>
          <w:u w:val="single"/>
        </w:rPr>
        <w:t>Reason(s) Display of OMB Expiration Date is Inappropriate</w:t>
      </w:r>
    </w:p>
    <w:p w:rsidR="008469A3" w:rsidP="00994202" w14:paraId="5DA07551" w14:textId="77777777">
      <w:pPr>
        <w:pStyle w:val="BodyText"/>
        <w:spacing w:after="0"/>
        <w:ind w:firstLine="0"/>
      </w:pPr>
      <w:r w:rsidRPr="00185D69">
        <w:t>The expiration date of OMB approval of the data collection will be displayed.</w:t>
      </w:r>
    </w:p>
    <w:p w:rsidR="009B410C" w:rsidRPr="00185D69" w:rsidP="00A26958" w14:paraId="702F24AE" w14:textId="77777777">
      <w:pPr>
        <w:pStyle w:val="BodyText"/>
        <w:spacing w:after="0"/>
      </w:pPr>
    </w:p>
    <w:p w:rsidR="00AC20AD" w:rsidRPr="00357C8A" w:rsidP="00C54E97" w14:paraId="479CB1EB" w14:textId="77777777">
      <w:pPr>
        <w:numPr>
          <w:ilvl w:val="0"/>
          <w:numId w:val="59"/>
        </w:numPr>
        <w:spacing w:after="200" w:line="276" w:lineRule="auto"/>
        <w:rPr>
          <w:rFonts w:eastAsia="Calibri"/>
          <w:u w:val="single"/>
        </w:rPr>
      </w:pPr>
      <w:r w:rsidRPr="00357C8A">
        <w:rPr>
          <w:rFonts w:eastAsia="Calibri"/>
          <w:u w:val="single"/>
        </w:rPr>
        <w:t>Exceptions to Certification for Paperwork Reduction Act Submissions</w:t>
      </w:r>
    </w:p>
    <w:p w:rsidR="00EE7A6E" w:rsidRPr="00185D69" w:rsidP="00994202" w14:paraId="7FF20AB4" w14:textId="77777777">
      <w:pPr>
        <w:pStyle w:val="BodyText"/>
        <w:ind w:firstLine="0"/>
      </w:pPr>
      <w:r>
        <w:t>There are no exceptions to the certificate</w:t>
      </w:r>
      <w:r w:rsidRPr="00185D69">
        <w:t>.</w:t>
      </w:r>
    </w:p>
    <w:p w:rsidR="00EE7A6E" w:rsidRPr="00185D69" w:rsidP="00A26958" w14:paraId="0391A5B6" w14:textId="77777777">
      <w:pPr>
        <w:widowControl w:val="0"/>
        <w:tabs>
          <w:tab w:val="center" w:pos="4680"/>
        </w:tabs>
        <w:spacing w:line="227" w:lineRule="auto"/>
        <w:rPr>
          <w:b/>
        </w:rPr>
      </w:pPr>
      <w:r w:rsidRPr="00185D69">
        <w:br w:type="page"/>
      </w:r>
      <w:r w:rsidRPr="00185D69">
        <w:rPr>
          <w:b/>
        </w:rPr>
        <w:t>REFERENCES</w:t>
      </w:r>
    </w:p>
    <w:p w:rsidR="00EE7A6E" w:rsidP="00B775C3" w14:paraId="058EF696" w14:textId="77777777">
      <w:pPr>
        <w:pStyle w:val="REF"/>
        <w:tabs>
          <w:tab w:val="clear" w:pos="720"/>
        </w:tabs>
        <w:spacing w:after="0"/>
        <w:ind w:left="0" w:firstLine="0"/>
        <w:rPr>
          <w:color w:val="auto"/>
        </w:rPr>
      </w:pPr>
    </w:p>
    <w:p w:rsidR="00904757" w:rsidRPr="00185D69" w:rsidP="00B775C3" w14:paraId="58968633" w14:textId="77777777">
      <w:pPr>
        <w:pStyle w:val="HTMLPreformatted"/>
        <w:rPr>
          <w:rFonts w:ascii="Times New Roman" w:eastAsia="Calibri" w:hAnsi="Times New Roman" w:cs="Times New Roman"/>
          <w:sz w:val="24"/>
          <w:szCs w:val="24"/>
        </w:rPr>
      </w:pPr>
      <w:r w:rsidRPr="00185D69">
        <w:rPr>
          <w:rFonts w:ascii="Times New Roman" w:eastAsia="Calibri" w:hAnsi="Times New Roman" w:cs="Times New Roman"/>
          <w:sz w:val="24"/>
          <w:szCs w:val="24"/>
        </w:rPr>
        <w:t>CDC (2001). Youth Tobacco Surveillance–United States, 2000.</w:t>
      </w:r>
      <w:r w:rsidRPr="00185D69" w:rsidR="00077574">
        <w:rPr>
          <w:rFonts w:ascii="Times New Roman" w:eastAsia="Calibri" w:hAnsi="Times New Roman" w:cs="Times New Roman"/>
          <w:sz w:val="24"/>
          <w:szCs w:val="24"/>
        </w:rPr>
        <w:t xml:space="preserve"> </w:t>
      </w:r>
      <w:r w:rsidRPr="00185D69">
        <w:rPr>
          <w:rFonts w:ascii="Times New Roman" w:eastAsia="Calibri" w:hAnsi="Times New Roman" w:cs="Times New Roman"/>
          <w:i/>
          <w:sz w:val="24"/>
          <w:szCs w:val="24"/>
        </w:rPr>
        <w:t>MMWR</w:t>
      </w:r>
      <w:r w:rsidRPr="00185D69">
        <w:rPr>
          <w:rFonts w:ascii="Times New Roman" w:eastAsia="Calibri" w:hAnsi="Times New Roman" w:cs="Times New Roman"/>
          <w:sz w:val="24"/>
          <w:szCs w:val="24"/>
        </w:rPr>
        <w:t>; 50(SS-4).</w:t>
      </w:r>
    </w:p>
    <w:p w:rsidR="00D039B7" w:rsidRPr="00185D69" w:rsidP="00B775C3" w14:paraId="21A724BA" w14:textId="77777777">
      <w:pPr>
        <w:pStyle w:val="HTMLPreformatted"/>
        <w:rPr>
          <w:rFonts w:ascii="Times New Roman" w:eastAsia="Calibri" w:hAnsi="Times New Roman" w:cs="Times New Roman"/>
          <w:sz w:val="24"/>
          <w:szCs w:val="24"/>
        </w:rPr>
      </w:pPr>
    </w:p>
    <w:p w:rsidR="00904757" w:rsidRPr="00185D69" w:rsidP="00B775C3" w14:paraId="2438B103" w14:textId="77777777">
      <w:pPr>
        <w:spacing w:after="200"/>
        <w:ind w:left="720" w:hanging="720"/>
        <w:rPr>
          <w:rFonts w:eastAsia="Calibri"/>
        </w:rPr>
      </w:pPr>
      <w:r w:rsidRPr="00185D69">
        <w:rPr>
          <w:rFonts w:eastAsia="Calibri"/>
        </w:rPr>
        <w:t>CDC (2012). National Youth Tobacco Survey. Atlanta, GA: US Department of Health and Human Services, Centers for Disease Control and Prevention. Available at http://www.cdc.gov/tobacco/data_statistics/surveys/nyts.</w:t>
      </w:r>
    </w:p>
    <w:p w:rsidR="00904757" w:rsidRPr="00185D69" w:rsidP="00B775C3" w14:paraId="2DEB97D5" w14:textId="77777777">
      <w:pPr>
        <w:spacing w:after="200"/>
        <w:ind w:left="720" w:hanging="720"/>
        <w:rPr>
          <w:rFonts w:eastAsia="Calibri"/>
        </w:rPr>
      </w:pPr>
      <w:r w:rsidRPr="00185D69">
        <w:rPr>
          <w:rFonts w:eastAsia="Calibri"/>
        </w:rPr>
        <w:t>CDC (2013).</w:t>
      </w:r>
      <w:r w:rsidRPr="00185D69" w:rsidR="003D06BA">
        <w:t xml:space="preserve"> </w:t>
      </w:r>
      <w:r w:rsidRPr="00185D69" w:rsidR="003D06BA">
        <w:rPr>
          <w:rFonts w:eastAsia="Calibri"/>
        </w:rPr>
        <w:t xml:space="preserve">Arrazola RA, Singh T, Corey CG, </w:t>
      </w:r>
      <w:r w:rsidR="00236B6B">
        <w:rPr>
          <w:rFonts w:eastAsia="Calibri"/>
        </w:rPr>
        <w:t>et al</w:t>
      </w:r>
      <w:r w:rsidRPr="00185D69" w:rsidR="003D06BA">
        <w:rPr>
          <w:rFonts w:eastAsia="Calibri"/>
        </w:rPr>
        <w:t xml:space="preserve">. Tobacco Use Among Middle and High School Students — United States, 2011–2014. MMWR </w:t>
      </w:r>
      <w:r w:rsidRPr="00185D69" w:rsidR="003D06BA">
        <w:rPr>
          <w:rFonts w:eastAsia="Calibri"/>
        </w:rPr>
        <w:t>Morb</w:t>
      </w:r>
      <w:r w:rsidRPr="00185D69" w:rsidR="003D06BA">
        <w:rPr>
          <w:rFonts w:eastAsia="Calibri"/>
        </w:rPr>
        <w:t xml:space="preserve"> Mortal </w:t>
      </w:r>
      <w:r w:rsidRPr="00185D69" w:rsidR="003D06BA">
        <w:rPr>
          <w:rFonts w:eastAsia="Calibri"/>
        </w:rPr>
        <w:t>Wkly</w:t>
      </w:r>
      <w:r w:rsidRPr="00185D69" w:rsidR="003D06BA">
        <w:rPr>
          <w:rFonts w:eastAsia="Calibri"/>
        </w:rPr>
        <w:t xml:space="preserve"> Rep 2015 / 64(14);381-385</w:t>
      </w:r>
      <w:r w:rsidRPr="00185D69">
        <w:rPr>
          <w:rFonts w:eastAsia="Calibri"/>
        </w:rPr>
        <w:t>.</w:t>
      </w:r>
    </w:p>
    <w:p w:rsidR="00904757" w:rsidRPr="00185D69" w:rsidP="00B775C3" w14:paraId="422C94C1" w14:textId="77777777">
      <w:pPr>
        <w:spacing w:after="200"/>
        <w:ind w:left="720" w:hanging="720"/>
        <w:rPr>
          <w:rFonts w:eastAsia="Calibri"/>
        </w:rPr>
      </w:pPr>
      <w:r w:rsidRPr="00185D69">
        <w:rPr>
          <w:rFonts w:eastAsia="Calibri"/>
        </w:rPr>
        <w:t xml:space="preserve">CDC (2014). </w:t>
      </w:r>
      <w:r w:rsidRPr="00185D69">
        <w:rPr>
          <w:rFonts w:eastAsia="Calibri"/>
          <w:i/>
        </w:rPr>
        <w:t>Best Practices for Comprehensive Tobacco Control Programs – 2014</w:t>
      </w:r>
      <w:r w:rsidRPr="00185D69">
        <w:rPr>
          <w:rFonts w:eastAsia="Calibri"/>
        </w:rPr>
        <w:t>.</w:t>
      </w:r>
      <w:r w:rsidRPr="00185D69" w:rsidR="00077574">
        <w:rPr>
          <w:rFonts w:eastAsia="Calibri"/>
        </w:rPr>
        <w:t xml:space="preserve"> </w:t>
      </w:r>
      <w:r w:rsidRPr="00185D69">
        <w:rPr>
          <w:rFonts w:eastAsia="Calibri"/>
        </w:rPr>
        <w:t>Atlanta, GA: U.S. Department of Health and Human Services, CDC, National Center for Chronic Disease Prevention and Health Promotion, Office on Smoking and Health.</w:t>
      </w:r>
    </w:p>
    <w:p w:rsidR="00461F6E" w:rsidP="00B775C3" w14:paraId="435389CD" w14:textId="77777777">
      <w:pPr>
        <w:spacing w:after="200"/>
        <w:ind w:left="720" w:hanging="720"/>
        <w:rPr>
          <w:rStyle w:val="Strong"/>
          <w:b w:val="0"/>
          <w:lang w:val="en"/>
        </w:rPr>
      </w:pPr>
      <w:r w:rsidRPr="00185D69">
        <w:rPr>
          <w:rFonts w:eastAsia="Calibri"/>
        </w:rPr>
        <w:t xml:space="preserve">CDC (2015). </w:t>
      </w:r>
      <w:r w:rsidRPr="00185D69" w:rsidR="00E168E4">
        <w:rPr>
          <w:rFonts w:eastAsia="Calibri"/>
        </w:rPr>
        <w:t>Arrazola RA, Singh T, Corey CG, et al.</w:t>
      </w:r>
      <w:r w:rsidR="009E10AD">
        <w:rPr>
          <w:rFonts w:eastAsia="Calibri"/>
        </w:rPr>
        <w:t xml:space="preserve"> </w:t>
      </w:r>
      <w:r w:rsidRPr="00185D69" w:rsidR="00E168E4">
        <w:rPr>
          <w:lang w:val="en"/>
        </w:rPr>
        <w:t>Tobacco Use Among Middle and High School Students — United States, 2011–2014.</w:t>
      </w:r>
      <w:r w:rsidR="009E10AD">
        <w:rPr>
          <w:lang w:val="en"/>
        </w:rPr>
        <w:t xml:space="preserve"> </w:t>
      </w:r>
      <w:r w:rsidRPr="00185D69" w:rsidR="00E168E4">
        <w:rPr>
          <w:rFonts w:eastAsia="Calibri"/>
        </w:rPr>
        <w:t xml:space="preserve">MMWR </w:t>
      </w:r>
      <w:r w:rsidRPr="00185D69" w:rsidR="00E168E4">
        <w:rPr>
          <w:rFonts w:eastAsia="Calibri"/>
        </w:rPr>
        <w:t>Morb</w:t>
      </w:r>
      <w:r w:rsidRPr="00185D69" w:rsidR="00E168E4">
        <w:rPr>
          <w:rFonts w:eastAsia="Calibri"/>
        </w:rPr>
        <w:t xml:space="preserve"> Mortal </w:t>
      </w:r>
      <w:r w:rsidRPr="00185D69" w:rsidR="00E168E4">
        <w:rPr>
          <w:rFonts w:eastAsia="Calibri"/>
        </w:rPr>
        <w:t>Wkly</w:t>
      </w:r>
      <w:r w:rsidRPr="00185D69" w:rsidR="00E168E4">
        <w:rPr>
          <w:rFonts w:eastAsia="Calibri"/>
        </w:rPr>
        <w:t xml:space="preserve"> Rep</w:t>
      </w:r>
      <w:r w:rsidRPr="00185D69" w:rsidR="00E168E4">
        <w:rPr>
          <w:rStyle w:val="Strong"/>
          <w:b w:val="0"/>
          <w:lang w:val="en"/>
        </w:rPr>
        <w:t>, 2015: 64(14);381-385.</w:t>
      </w:r>
    </w:p>
    <w:p w:rsidR="00826333" w:rsidP="00B775C3" w14:paraId="76DA6791" w14:textId="77777777">
      <w:pPr>
        <w:spacing w:after="200"/>
        <w:ind w:left="720" w:hanging="720"/>
        <w:rPr>
          <w:rStyle w:val="Strong"/>
          <w:b w:val="0"/>
          <w:lang w:val="en"/>
        </w:rPr>
      </w:pPr>
      <w:r>
        <w:rPr>
          <w:rFonts w:eastAsia="Calibri"/>
        </w:rPr>
        <w:t>CDC (2016)</w:t>
      </w:r>
      <w:r w:rsidR="007B17B3">
        <w:rPr>
          <w:rFonts w:eastAsia="Calibri"/>
        </w:rPr>
        <w:t>.</w:t>
      </w:r>
      <w:r w:rsidR="009E10AD">
        <w:rPr>
          <w:rFonts w:eastAsia="Calibri"/>
        </w:rPr>
        <w:t xml:space="preserve"> </w:t>
      </w:r>
      <w:r w:rsidR="007B17B3">
        <w:rPr>
          <w:rFonts w:eastAsia="Calibri"/>
        </w:rPr>
        <w:t>Centers for Disease Control and Prevention.</w:t>
      </w:r>
      <w:r w:rsidR="009E10AD">
        <w:rPr>
          <w:rFonts w:eastAsia="Calibri"/>
        </w:rPr>
        <w:t xml:space="preserve"> </w:t>
      </w:r>
      <w:r w:rsidR="007B17B3">
        <w:rPr>
          <w:rFonts w:eastAsia="Calibri"/>
        </w:rPr>
        <w:t xml:space="preserve">CDC Winnable Battles: final report. Available at </w:t>
      </w:r>
      <w:hyperlink r:id="rId17" w:history="1">
        <w:r w:rsidRPr="001A47B9" w:rsidR="007B17B3">
          <w:rPr>
            <w:rStyle w:val="Hyperlink"/>
            <w:rFonts w:eastAsia="Calibri"/>
          </w:rPr>
          <w:t>https://www.cdc.gov/winnablebattles/report/index.html</w:t>
        </w:r>
      </w:hyperlink>
      <w:r w:rsidR="007B17B3">
        <w:rPr>
          <w:rFonts w:eastAsia="Calibri"/>
        </w:rPr>
        <w:t xml:space="preserve">. </w:t>
      </w:r>
    </w:p>
    <w:p w:rsidR="00826333" w:rsidP="00B775C3" w14:paraId="33C42DAC" w14:textId="77777777">
      <w:pPr>
        <w:spacing w:after="200"/>
        <w:ind w:left="720" w:hanging="720"/>
      </w:pPr>
      <w:r>
        <w:t>CDC (2018</w:t>
      </w:r>
      <w:r w:rsidR="0012009D">
        <w:t>). Centers</w:t>
      </w:r>
      <w:r w:rsidR="0029134D">
        <w:t xml:space="preserve"> for Disease Control and Prevention.</w:t>
      </w:r>
      <w:r w:rsidR="009E10AD">
        <w:t xml:space="preserve"> </w:t>
      </w:r>
      <w:hyperlink r:id="rId18" w:history="1">
        <w:r w:rsidR="0029134D">
          <w:rPr>
            <w:rStyle w:val="Hyperlink"/>
          </w:rPr>
          <w:t>CDC's 6|18 initiative: accelerating evidence into action</w:t>
        </w:r>
      </w:hyperlink>
      <w:r w:rsidR="0029134D">
        <w:t xml:space="preserve">. Available at </w:t>
      </w:r>
      <w:hyperlink r:id="rId18" w:history="1">
        <w:r w:rsidRPr="001A47B9" w:rsidR="00E86294">
          <w:rPr>
            <w:rStyle w:val="Hyperlink"/>
          </w:rPr>
          <w:t>https://www.cdc.gov/sixeighteen/index.html</w:t>
        </w:r>
      </w:hyperlink>
      <w:r w:rsidR="0029134D">
        <w:t>.</w:t>
      </w:r>
    </w:p>
    <w:p w:rsidR="00536E51" w:rsidP="00B775C3" w14:paraId="0818ED0A" w14:textId="77777777">
      <w:pPr>
        <w:spacing w:after="200"/>
        <w:ind w:left="720" w:hanging="720"/>
      </w:pPr>
      <w:r w:rsidRPr="00A542DF">
        <w:rPr>
          <w:rFonts w:eastAsia="Calibri"/>
        </w:rPr>
        <w:t>CDC (2019</w:t>
      </w:r>
      <w:r w:rsidRPr="00A542DF" w:rsidR="00236B6B">
        <w:rPr>
          <w:rFonts w:eastAsia="Calibri"/>
        </w:rPr>
        <w:t>a</w:t>
      </w:r>
      <w:r w:rsidRPr="00A542DF">
        <w:rPr>
          <w:rFonts w:eastAsia="Calibri"/>
        </w:rPr>
        <w:t>).</w:t>
      </w:r>
      <w:r w:rsidRPr="00A542DF">
        <w:rPr>
          <w:rFonts w:eastAsia="Calibri"/>
          <w:b/>
        </w:rPr>
        <w:t xml:space="preserve"> </w:t>
      </w:r>
      <w:r w:rsidR="008E091F">
        <w:t>Gentzke</w:t>
      </w:r>
      <w:r w:rsidR="008E091F">
        <w:t xml:space="preserve"> AS, Creamer M, Cullen KA, et al. </w:t>
      </w:r>
      <w:r w:rsidR="008E091F">
        <w:rPr>
          <w:i/>
          <w:iCs/>
        </w:rPr>
        <w:t>Vital Signs:</w:t>
      </w:r>
      <w:r w:rsidR="008E091F">
        <w:t xml:space="preserve"> Tobacco product use among middle and high school students — United States, 2011–2018. MMWR </w:t>
      </w:r>
      <w:r w:rsidR="008E091F">
        <w:t>Morb</w:t>
      </w:r>
      <w:r w:rsidR="008E091F">
        <w:t xml:space="preserve"> Mortal </w:t>
      </w:r>
      <w:r w:rsidR="008E091F">
        <w:t>Wkly</w:t>
      </w:r>
      <w:r w:rsidR="008E091F">
        <w:t xml:space="preserve"> Rep </w:t>
      </w:r>
      <w:r w:rsidR="008E091F">
        <w:t>2019;68:157</w:t>
      </w:r>
      <w:r w:rsidR="008E091F">
        <w:t xml:space="preserve">–164. DOI: </w:t>
      </w:r>
      <w:hyperlink r:id="rId19" w:tgtFrame="_blank" w:history="1">
        <w:r w:rsidR="008E091F">
          <w:rPr>
            <w:rStyle w:val="Hyperlink"/>
          </w:rPr>
          <w:t>http://dx.doi.org/10.15585/mmwr.mm6806e1</w:t>
        </w:r>
      </w:hyperlink>
    </w:p>
    <w:p w:rsidR="00C77C96" w:rsidP="00C77C96" w14:paraId="3F4A4C09" w14:textId="77777777">
      <w:pPr>
        <w:spacing w:after="200"/>
        <w:ind w:left="720" w:hanging="720"/>
        <w:rPr>
          <w:rStyle w:val="Hyperlink"/>
          <w:rFonts w:eastAsia="Calibri"/>
        </w:rPr>
      </w:pPr>
      <w:r w:rsidRPr="00B2472F">
        <w:rPr>
          <w:rFonts w:eastAsia="Calibri"/>
        </w:rPr>
        <w:t>CDC (2019</w:t>
      </w:r>
      <w:r w:rsidRPr="00B2472F" w:rsidR="00236B6B">
        <w:rPr>
          <w:rFonts w:eastAsia="Calibri"/>
        </w:rPr>
        <w:t>b</w:t>
      </w:r>
      <w:r w:rsidRPr="00B2472F">
        <w:rPr>
          <w:rFonts w:eastAsia="Calibri"/>
        </w:rPr>
        <w:t xml:space="preserve">). </w:t>
      </w:r>
      <w:r w:rsidRPr="00843C17" w:rsidR="00843C17">
        <w:rPr>
          <w:rFonts w:eastAsia="Calibri"/>
        </w:rPr>
        <w:t xml:space="preserve">Wang TW, </w:t>
      </w:r>
      <w:r w:rsidRPr="00843C17" w:rsidR="00843C17">
        <w:rPr>
          <w:rFonts w:eastAsia="Calibri"/>
        </w:rPr>
        <w:t>Gentzke</w:t>
      </w:r>
      <w:r w:rsidRPr="00843C17" w:rsidR="00843C17">
        <w:rPr>
          <w:rFonts w:eastAsia="Calibri"/>
        </w:rPr>
        <w:t xml:space="preserve"> AS, Creamer MR, et al. Tobacco Product Use and Associated Factors Among Middle and High School Students — United States, 2019. MMWR </w:t>
      </w:r>
      <w:r w:rsidRPr="00843C17" w:rsidR="00843C17">
        <w:rPr>
          <w:rFonts w:eastAsia="Calibri"/>
        </w:rPr>
        <w:t>Surveill</w:t>
      </w:r>
      <w:r w:rsidRPr="00843C17" w:rsidR="00843C17">
        <w:rPr>
          <w:rFonts w:eastAsia="Calibri"/>
        </w:rPr>
        <w:t xml:space="preserve"> </w:t>
      </w:r>
      <w:r w:rsidRPr="00843C17" w:rsidR="00843C17">
        <w:rPr>
          <w:rFonts w:eastAsia="Calibri"/>
        </w:rPr>
        <w:t>Summ</w:t>
      </w:r>
      <w:r w:rsidRPr="00843C17" w:rsidR="00843C17">
        <w:rPr>
          <w:rFonts w:eastAsia="Calibri"/>
        </w:rPr>
        <w:t xml:space="preserve"> 2019;68(No. SS-12):1–22. DOI: </w:t>
      </w:r>
      <w:hyperlink r:id="rId20" w:tgtFrame="_blank" w:history="1">
        <w:r w:rsidRPr="00843C17" w:rsidR="00843C17">
          <w:rPr>
            <w:rStyle w:val="Hyperlink"/>
            <w:rFonts w:eastAsia="Calibri"/>
          </w:rPr>
          <w:t>http://dx.doi.org/10.15585/mmwr.ss6812a1</w:t>
        </w:r>
      </w:hyperlink>
    </w:p>
    <w:p w:rsidR="002D7A04" w:rsidRPr="00B2472F" w:rsidP="00C77C96" w14:paraId="2053BFFA" w14:textId="77777777">
      <w:pPr>
        <w:spacing w:after="200"/>
        <w:ind w:left="720" w:hanging="720"/>
        <w:rPr>
          <w:rFonts w:eastAsia="Calibri"/>
        </w:rPr>
      </w:pPr>
      <w:r w:rsidRPr="00B6198F">
        <w:rPr>
          <w:rFonts w:eastAsia="Calibri"/>
        </w:rPr>
        <w:t xml:space="preserve">CDC (2020). Wang TW, Neff LJ, Park-Lee E, </w:t>
      </w:r>
      <w:r w:rsidRPr="00B6198F" w:rsidR="000673A9">
        <w:rPr>
          <w:rFonts w:eastAsia="Calibri"/>
        </w:rPr>
        <w:t>et al</w:t>
      </w:r>
      <w:r w:rsidRPr="00B6198F">
        <w:rPr>
          <w:rFonts w:eastAsia="Calibri"/>
        </w:rPr>
        <w:t xml:space="preserve">. E-cigarette Use Among Middle and High School Students – United States, 2020. MMWR </w:t>
      </w:r>
      <w:r w:rsidRPr="00B6198F">
        <w:rPr>
          <w:rFonts w:eastAsia="Calibri"/>
        </w:rPr>
        <w:t>M</w:t>
      </w:r>
      <w:r w:rsidRPr="00B6198F" w:rsidR="00371680">
        <w:rPr>
          <w:rFonts w:eastAsia="Calibri"/>
        </w:rPr>
        <w:t>orb</w:t>
      </w:r>
      <w:r w:rsidRPr="00B6198F" w:rsidR="00371680">
        <w:rPr>
          <w:rFonts w:eastAsia="Calibri"/>
        </w:rPr>
        <w:t xml:space="preserve"> Mortal </w:t>
      </w:r>
      <w:r w:rsidRPr="00B6198F" w:rsidR="00371680">
        <w:rPr>
          <w:rFonts w:eastAsia="Calibri"/>
        </w:rPr>
        <w:t>Wkly</w:t>
      </w:r>
      <w:r w:rsidRPr="00B6198F" w:rsidR="00371680">
        <w:rPr>
          <w:rFonts w:eastAsia="Calibri"/>
        </w:rPr>
        <w:t xml:space="preserve"> Rep </w:t>
      </w:r>
      <w:r w:rsidRPr="00B6198F" w:rsidR="00371680">
        <w:rPr>
          <w:rFonts w:eastAsia="Calibri"/>
        </w:rPr>
        <w:t>2020;69:1310</w:t>
      </w:r>
      <w:r w:rsidRPr="00B6198F" w:rsidR="00371680">
        <w:rPr>
          <w:rFonts w:eastAsia="Calibri"/>
        </w:rPr>
        <w:t xml:space="preserve">-1312. DOI: </w:t>
      </w:r>
      <w:hyperlink r:id="rId21" w:tgtFrame="_blank" w:history="1">
        <w:r w:rsidRPr="00B6198F" w:rsidR="00371680">
          <w:rPr>
            <w:rStyle w:val="Hyperlink"/>
          </w:rPr>
          <w:t>http://dx.doi.org/10.15585/mmwr.mm6937e1</w:t>
        </w:r>
      </w:hyperlink>
      <w:r w:rsidR="00371680">
        <w:t xml:space="preserve"> </w:t>
      </w:r>
    </w:p>
    <w:p w:rsidR="00FA18E3" w:rsidP="00FA18E3" w14:paraId="47F890F8" w14:textId="77777777">
      <w:pPr>
        <w:spacing w:after="200"/>
        <w:ind w:left="720" w:hanging="720"/>
      </w:pPr>
      <w:r>
        <w:t xml:space="preserve">CDC (2022a). Centers for Disease Control and Prevention. Fiscal year 2023: </w:t>
      </w:r>
      <w:r w:rsidRPr="00E86294">
        <w:t xml:space="preserve">Justification of </w:t>
      </w:r>
      <w:r>
        <w:t>e</w:t>
      </w:r>
      <w:r w:rsidRPr="00E86294">
        <w:t xml:space="preserve">stimates for </w:t>
      </w:r>
      <w:r>
        <w:t>a</w:t>
      </w:r>
      <w:r w:rsidRPr="00E86294">
        <w:t xml:space="preserve">ppropriation </w:t>
      </w:r>
      <w:r>
        <w:t>c</w:t>
      </w:r>
      <w:r w:rsidRPr="00E86294">
        <w:t>ommittees</w:t>
      </w:r>
      <w:r>
        <w:t xml:space="preserve">. Available at </w:t>
      </w:r>
      <w:hyperlink r:id="rId22" w:history="1">
        <w:r w:rsidRPr="00724FA7">
          <w:rPr>
            <w:rStyle w:val="Hyperlink"/>
          </w:rPr>
          <w:t>https://www.cdc.gov/budget/documents/fy2023/FY-2023-CDC-congressional-justification.pdf</w:t>
        </w:r>
      </w:hyperlink>
      <w:r>
        <w:t>.</w:t>
      </w:r>
    </w:p>
    <w:p w:rsidR="00FA18E3" w:rsidP="00FA18E3" w14:paraId="25DE47F2" w14:textId="77777777">
      <w:pPr>
        <w:spacing w:after="200"/>
        <w:ind w:left="720" w:hanging="720"/>
        <w:rPr>
          <w:rStyle w:val="Hyperlink"/>
        </w:rPr>
      </w:pPr>
      <w:r w:rsidRPr="00734ECA">
        <w:rPr>
          <w:rStyle w:val="Strong"/>
          <w:b w:val="0"/>
        </w:rPr>
        <w:t xml:space="preserve">CDC (2022b). Park-Lee E, Ren C, Cooper M, et al. </w:t>
      </w:r>
      <w:r w:rsidRPr="00A542DF">
        <w:rPr>
          <w:rStyle w:val="Strong"/>
          <w:b w:val="0"/>
          <w:i/>
          <w:iCs/>
        </w:rPr>
        <w:t xml:space="preserve">Vital Signs: </w:t>
      </w:r>
      <w:r>
        <w:t xml:space="preserve">Tobacco product use among middle and high school students — United States, 2022. MMWR </w:t>
      </w:r>
      <w:r>
        <w:t>Morb</w:t>
      </w:r>
      <w:r>
        <w:t xml:space="preserve"> Mortal </w:t>
      </w:r>
      <w:r>
        <w:t>Wkly</w:t>
      </w:r>
      <w:r>
        <w:t xml:space="preserve"> Rep </w:t>
      </w:r>
      <w:r>
        <w:t>2022;71:1429</w:t>
      </w:r>
      <w:r>
        <w:t xml:space="preserve">-1435. </w:t>
      </w:r>
      <w:hyperlink r:id="rId23" w:history="1">
        <w:r w:rsidRPr="00724FA7">
          <w:rPr>
            <w:rStyle w:val="Hyperlink"/>
          </w:rPr>
          <w:t>http://dx.doi.org/10.15585/mmwr.mm7145a1</w:t>
        </w:r>
      </w:hyperlink>
    </w:p>
    <w:p w:rsidR="00F86A8B" w:rsidP="00F86A8B" w14:paraId="01DB43C1" w14:textId="29ACF221">
      <w:pPr>
        <w:spacing w:after="200"/>
        <w:ind w:left="720" w:hanging="720"/>
      </w:pPr>
      <w:r>
        <w:t xml:space="preserve">CDC (2023). </w:t>
      </w:r>
      <w:r w:rsidRPr="009824FC">
        <w:t xml:space="preserve">Birdsey J, Cornelius M, Jamal A, et al. Tobacco Product Use Among U.S. Middle and High School Students — National Youth Tobacco Survey, 2023. MMWR </w:t>
      </w:r>
      <w:r w:rsidRPr="009824FC">
        <w:t>Morb</w:t>
      </w:r>
      <w:r w:rsidRPr="009824FC">
        <w:t xml:space="preserve"> Mortal </w:t>
      </w:r>
      <w:r w:rsidRPr="009824FC">
        <w:t>Wkly</w:t>
      </w:r>
      <w:r w:rsidRPr="009824FC">
        <w:t xml:space="preserve"> Rep </w:t>
      </w:r>
      <w:r w:rsidRPr="009824FC">
        <w:t>2023;72:1173</w:t>
      </w:r>
      <w:r w:rsidRPr="009824FC">
        <w:t xml:space="preserve">–1182. </w:t>
      </w:r>
      <w:hyperlink r:id="rId24" w:history="1">
        <w:r w:rsidRPr="0070160C" w:rsidR="0070160C">
          <w:rPr>
            <w:rStyle w:val="Hyperlink"/>
          </w:rPr>
          <w:t>http://dx.doi.org/10.15585/mmwr.mm7244a1</w:t>
        </w:r>
      </w:hyperlink>
    </w:p>
    <w:p w:rsidR="00F86A8B" w:rsidP="00F86A8B" w14:paraId="53C2F4F1" w14:textId="6AD1B29A">
      <w:pPr>
        <w:spacing w:after="200"/>
        <w:ind w:left="720" w:hanging="720"/>
      </w:pPr>
      <w:r>
        <w:t xml:space="preserve">CDC (2024). </w:t>
      </w:r>
      <w:r w:rsidRPr="009824FC">
        <w:t xml:space="preserve">Jamal A, Park-Lee E, Birdsey J, et al. Tobacco Product Use Among Middle and High School Students — National Youth Tobacco Survey, United States, 2024. MMWR </w:t>
      </w:r>
      <w:r w:rsidRPr="009824FC">
        <w:t>Morb</w:t>
      </w:r>
      <w:r w:rsidRPr="009824FC">
        <w:t xml:space="preserve"> Mortal </w:t>
      </w:r>
      <w:r w:rsidRPr="009824FC">
        <w:t>Wkly</w:t>
      </w:r>
      <w:r w:rsidRPr="009824FC">
        <w:t xml:space="preserve"> Rep </w:t>
      </w:r>
      <w:r w:rsidRPr="009824FC">
        <w:t>2024;73:917</w:t>
      </w:r>
      <w:r w:rsidRPr="009824FC">
        <w:t xml:space="preserve">–924. </w:t>
      </w:r>
      <w:hyperlink r:id="rId25" w:tgtFrame="_blank" w:history="1">
        <w:r w:rsidRPr="009824FC">
          <w:rPr>
            <w:rStyle w:val="Hyperlink"/>
          </w:rPr>
          <w:t>http://dx.doi.org/10.15585/mmwr.mm7341a2</w:t>
        </w:r>
      </w:hyperlink>
    </w:p>
    <w:p w:rsidR="008A21DA" w:rsidRPr="00185D69" w:rsidP="00B775C3" w14:paraId="5B7ADE30" w14:textId="77777777">
      <w:pPr>
        <w:spacing w:after="200"/>
        <w:ind w:left="720" w:hanging="720"/>
        <w:rPr>
          <w:rFonts w:eastAsia="Calibri"/>
        </w:rPr>
      </w:pPr>
      <w:r w:rsidRPr="00185D69">
        <w:rPr>
          <w:rFonts w:eastAsia="Calibri"/>
        </w:rPr>
        <w:t xml:space="preserve">FDA (2014). </w:t>
      </w:r>
      <w:r w:rsidRPr="00185D69" w:rsidR="005C6CDC">
        <w:rPr>
          <w:rFonts w:eastAsia="Calibri"/>
          <w:i/>
        </w:rPr>
        <w:t xml:space="preserve">FDA Proposes to Extend Its Tobacco Authority to Additional Tobacco Products, including e-cigarettes. FDA NEWS RELEASE. </w:t>
      </w:r>
      <w:r w:rsidRPr="00185D69" w:rsidR="005C6CDC">
        <w:rPr>
          <w:rFonts w:eastAsia="Calibri"/>
        </w:rPr>
        <w:t>N.p.</w:t>
      </w:r>
      <w:r w:rsidRPr="00185D69" w:rsidR="005C6CDC">
        <w:rPr>
          <w:rFonts w:eastAsia="Calibri"/>
        </w:rPr>
        <w:t>, 24 Apr. 2014. Web. 9 May 2014.</w:t>
      </w:r>
      <w:r w:rsidRPr="00185D69" w:rsidR="005C6CDC">
        <w:rPr>
          <w:rFonts w:eastAsia="Calibri"/>
          <w:i/>
        </w:rPr>
        <w:t xml:space="preserve"> </w:t>
      </w:r>
      <w:r w:rsidRPr="00185D69">
        <w:rPr>
          <w:rFonts w:eastAsia="Calibri"/>
        </w:rPr>
        <w:t>http://www.fda.gov/newsevents/newsroom/pressannouncements/ucm394667.htm</w:t>
      </w:r>
    </w:p>
    <w:p w:rsidR="007E32D3" w:rsidP="00B775C3" w14:paraId="13AAB806" w14:textId="77777777">
      <w:pPr>
        <w:spacing w:after="200"/>
        <w:ind w:left="720" w:hanging="720"/>
      </w:pPr>
      <w:r>
        <w:rPr>
          <w:rFonts w:eastAsia="Calibri"/>
        </w:rPr>
        <w:t xml:space="preserve">FDA (2018). </w:t>
      </w:r>
      <w:r>
        <w:t xml:space="preserve">Cullen KA, Ambrose BK, </w:t>
      </w:r>
      <w:r>
        <w:t>Gentzke</w:t>
      </w:r>
      <w:r>
        <w:t xml:space="preserve"> AS, </w:t>
      </w:r>
      <w:r w:rsidR="00236B6B">
        <w:t>et al</w:t>
      </w:r>
      <w:r>
        <w:t xml:space="preserve">. </w:t>
      </w:r>
      <w:r>
        <w:rPr>
          <w:i/>
          <w:iCs/>
        </w:rPr>
        <w:t>Notes from the Field:</w:t>
      </w:r>
      <w:r>
        <w:t xml:space="preserve"> Use of Electronic Cigarettes and Any Tobacco Product Among Middle and High School Students — United States, 2011–2018. MMWR </w:t>
      </w:r>
      <w:r>
        <w:t>Morb</w:t>
      </w:r>
      <w:r>
        <w:t xml:space="preserve"> Mortal </w:t>
      </w:r>
      <w:r>
        <w:t>Wkly</w:t>
      </w:r>
      <w:r>
        <w:t xml:space="preserve"> Rep </w:t>
      </w:r>
      <w:r>
        <w:t>2018;67:1276</w:t>
      </w:r>
      <w:r>
        <w:t xml:space="preserve">–1277. DOI: </w:t>
      </w:r>
      <w:hyperlink r:id="rId26" w:tgtFrame="_blank" w:history="1">
        <w:r>
          <w:rPr>
            <w:rStyle w:val="Hyperlink"/>
          </w:rPr>
          <w:t>http://dx.doi.org/10.15585/mmwr.mm6745a5</w:t>
        </w:r>
      </w:hyperlink>
    </w:p>
    <w:p w:rsidR="00CE2D29" w:rsidP="00CE2D29" w14:paraId="176276D4" w14:textId="77777777">
      <w:pPr>
        <w:spacing w:after="200"/>
        <w:ind w:left="720" w:hanging="720"/>
        <w:rPr>
          <w:rFonts w:eastAsia="Calibri"/>
        </w:rPr>
      </w:pPr>
      <w:bookmarkStart w:id="12" w:name="_Hlk44506575"/>
      <w:r w:rsidRPr="00B6198F">
        <w:rPr>
          <w:rFonts w:eastAsia="Calibri"/>
        </w:rPr>
        <w:t xml:space="preserve">FDA (2019). Food and Drug Administration. newly signed legislation raises federal minimum age of sale of tobacco products to 21. Silver Spring, MD: US Department of Health and Human Services, Food and Drug Administration; 2019. </w:t>
      </w:r>
      <w:hyperlink r:id="rId27" w:history="1">
        <w:r w:rsidRPr="00B6198F">
          <w:rPr>
            <w:rStyle w:val="Hyperlink"/>
            <w:rFonts w:eastAsia="Calibri"/>
          </w:rPr>
          <w:t>https://www.fda.gov/tobacco-products/ctp-newsroom/newly-signed-legislation-raises-federal-minimum-age-sale-tobacco-products-21</w:t>
        </w:r>
      </w:hyperlink>
      <w:r w:rsidRPr="00B6198F">
        <w:rPr>
          <w:rFonts w:eastAsia="Calibri"/>
        </w:rPr>
        <w:t>.</w:t>
      </w:r>
      <w:r>
        <w:rPr>
          <w:rFonts w:eastAsia="Calibri"/>
        </w:rPr>
        <w:t xml:space="preserve"> </w:t>
      </w:r>
    </w:p>
    <w:p w:rsidR="009D6983" w:rsidP="009D6983" w14:paraId="3830E824" w14:textId="7CA6CE80">
      <w:pPr>
        <w:spacing w:after="200"/>
        <w:ind w:left="720" w:hanging="720"/>
      </w:pPr>
      <w:r>
        <w:t xml:space="preserve">FDA (2024). FDA warns online retailers selling unauthorized youth appealing e-cigarettes: Violative products include Geek Bar, Lost Mary, and Bang. </w:t>
      </w:r>
      <w:hyperlink r:id="rId28" w:anchor=":~:text=On%20July%2031%2C%20FDA%20issued,particularly%20those%20popular%20with%20youth" w:history="1">
        <w:r w:rsidRPr="00DE6166">
          <w:rPr>
            <w:rStyle w:val="Hyperlink"/>
          </w:rPr>
          <w:t>https://www.fda.gov/tobacco-products/ctp-newsroom/fda-warns-online-retailers-selling-unauthorized-youth-appealing-e-cigarettes#:~:text=On%20July%2031%2C%20FDA%20issued,particularly%20those%20popular%20with%20youth</w:t>
        </w:r>
      </w:hyperlink>
      <w:r w:rsidRPr="00BD055D">
        <w:t>.</w:t>
      </w:r>
      <w:r>
        <w:t xml:space="preserve"> Last updated 1 August 2024. Accessed 20 December 2024.  </w:t>
      </w:r>
    </w:p>
    <w:p w:rsidR="009D6983" w:rsidP="009D6983" w14:paraId="47468EEF" w14:textId="0B7449CE">
      <w:pPr>
        <w:spacing w:after="200"/>
        <w:ind w:left="720" w:hanging="720"/>
      </w:pPr>
      <w:r>
        <w:t xml:space="preserve">FDA- CDC (2024). </w:t>
      </w:r>
      <w:r w:rsidRPr="0085494C">
        <w:t>Park-Lee E, Jamal A, Cowan H, et al. </w:t>
      </w:r>
      <w:r w:rsidRPr="0085494C">
        <w:rPr>
          <w:i/>
          <w:iCs/>
        </w:rPr>
        <w:t>Notes from the Field:</w:t>
      </w:r>
      <w:r w:rsidRPr="0085494C">
        <w:t xml:space="preserve"> E-Cigarette and Nicotine Pouch Use Among Middle and High School Students — United States, 2024. MMWR </w:t>
      </w:r>
      <w:r w:rsidRPr="0085494C">
        <w:t>Morb</w:t>
      </w:r>
      <w:r w:rsidRPr="0085494C">
        <w:t xml:space="preserve"> Mortal </w:t>
      </w:r>
      <w:r w:rsidRPr="0085494C">
        <w:t>Wkly</w:t>
      </w:r>
      <w:r w:rsidRPr="0085494C">
        <w:t xml:space="preserve"> Rep </w:t>
      </w:r>
      <w:r w:rsidRPr="0085494C">
        <w:t>2024;73:774</w:t>
      </w:r>
      <w:r w:rsidRPr="0085494C">
        <w:t xml:space="preserve">–778. </w:t>
      </w:r>
      <w:hyperlink r:id="rId29" w:tgtFrame="_blank" w:history="1">
        <w:r w:rsidRPr="0085494C">
          <w:rPr>
            <w:rStyle w:val="Hyperlink"/>
          </w:rPr>
          <w:t>http://dx.doi.org/10.15585/mmwr.mm7335a3</w:t>
        </w:r>
      </w:hyperlink>
    </w:p>
    <w:bookmarkEnd w:id="12"/>
    <w:p w:rsidR="00FA2399" w:rsidP="00FA2399" w14:paraId="0337A8C7" w14:textId="77777777">
      <w:pPr>
        <w:rPr>
          <w:rFonts w:eastAsia="Calibri"/>
          <w14:ligatures w14:val="standardContextual"/>
        </w:rPr>
      </w:pPr>
      <w:r w:rsidRPr="000E5F98">
        <w:rPr>
          <w:rFonts w:eastAsia="Calibri"/>
          <w14:ligatures w14:val="standardContextual"/>
        </w:rPr>
        <w:t xml:space="preserve">Flores, D., McKinney, R., Arscott, J., Barroso, J. (2018). Obtaining waivers of parental consent: </w:t>
      </w:r>
    </w:p>
    <w:p w:rsidR="00FA2399" w:rsidP="00FA2399" w14:paraId="09529D0F" w14:textId="77777777">
      <w:pPr>
        <w:ind w:firstLine="720"/>
        <w:rPr>
          <w:rFonts w:eastAsia="Calibri"/>
          <w14:ligatures w14:val="standardContextual"/>
        </w:rPr>
      </w:pPr>
      <w:r w:rsidRPr="000E5F98">
        <w:rPr>
          <w:rFonts w:eastAsia="Calibri"/>
          <w14:ligatures w14:val="standardContextual"/>
        </w:rPr>
        <w:t xml:space="preserve">A strategy endorsed by gay, bisexual, and queer adolescent males for health prevention </w:t>
      </w:r>
    </w:p>
    <w:p w:rsidR="00FA2399" w:rsidRPr="000E5F98" w:rsidP="00FA2399" w14:paraId="4160015B" w14:textId="77777777">
      <w:pPr>
        <w:ind w:firstLine="720"/>
        <w:rPr>
          <w:rFonts w:eastAsia="Calibri"/>
          <w14:ligatures w14:val="standardContextual"/>
        </w:rPr>
      </w:pPr>
      <w:r w:rsidRPr="000E5F98">
        <w:rPr>
          <w:rFonts w:eastAsia="Calibri"/>
          <w14:ligatures w14:val="standardContextual"/>
        </w:rPr>
        <w:t xml:space="preserve">research. </w:t>
      </w:r>
      <w:r w:rsidRPr="00BA59FA">
        <w:rPr>
          <w:rFonts w:eastAsia="Calibri"/>
          <w14:ligatures w14:val="standardContextual"/>
        </w:rPr>
        <w:t>Nursing Outlook, 66</w:t>
      </w:r>
      <w:r w:rsidRPr="003D14D9">
        <w:rPr>
          <w:rFonts w:eastAsia="Calibri"/>
          <w14:ligatures w14:val="standardContextual"/>
        </w:rPr>
        <w:t>(2),</w:t>
      </w:r>
      <w:r w:rsidRPr="000E5F98">
        <w:rPr>
          <w:rFonts w:eastAsia="Calibri"/>
          <w14:ligatures w14:val="standardContextual"/>
        </w:rPr>
        <w:t xml:space="preserve"> 138-148. </w:t>
      </w:r>
      <w:hyperlink r:id="rId30" w:history="1">
        <w:r w:rsidRPr="000E5F98">
          <w:rPr>
            <w:rFonts w:eastAsia="Calibri"/>
            <w:u w:val="single"/>
            <w14:ligatures w14:val="standardContextual"/>
          </w:rPr>
          <w:t>https://doi.org/10.1016/j.outlook.2017.09.001</w:t>
        </w:r>
      </w:hyperlink>
    </w:p>
    <w:p w:rsidR="0070160C" w:rsidP="0070160C" w14:paraId="0D26AFBD" w14:textId="77777777">
      <w:pPr>
        <w:widowControl w:val="0"/>
        <w:autoSpaceDE w:val="0"/>
        <w:autoSpaceDN w:val="0"/>
        <w:adjustRightInd w:val="0"/>
        <w:ind w:left="720" w:hanging="720"/>
        <w:rPr>
          <w:lang w:val="es-MX"/>
        </w:rPr>
      </w:pPr>
    </w:p>
    <w:p w:rsidR="000673A9" w:rsidP="0070160C" w14:paraId="24EE51E0" w14:textId="2BC27061">
      <w:pPr>
        <w:widowControl w:val="0"/>
        <w:autoSpaceDE w:val="0"/>
        <w:autoSpaceDN w:val="0"/>
        <w:adjustRightInd w:val="0"/>
        <w:ind w:left="720" w:hanging="720"/>
      </w:pPr>
      <w:r w:rsidRPr="00251E47">
        <w:rPr>
          <w:lang w:val="es-MX"/>
        </w:rPr>
        <w:t>Hu</w:t>
      </w:r>
      <w:r w:rsidRPr="00251E47">
        <w:rPr>
          <w:lang w:val="es-MX"/>
        </w:rPr>
        <w:t xml:space="preserve"> SS, </w:t>
      </w:r>
      <w:r w:rsidRPr="00251E47">
        <w:rPr>
          <w:lang w:val="es-MX"/>
        </w:rPr>
        <w:t>Gentzke</w:t>
      </w:r>
      <w:r w:rsidRPr="00251E47">
        <w:rPr>
          <w:lang w:val="es-MX"/>
        </w:rPr>
        <w:t xml:space="preserve"> A, Jamal A, et al. </w:t>
      </w:r>
      <w:r w:rsidRPr="00B6198F">
        <w:t xml:space="preserve">Feasibility of Administering </w:t>
      </w:r>
      <w:r w:rsidRPr="00B6198F">
        <w:t>an Electronic</w:t>
      </w:r>
      <w:r w:rsidRPr="00B6198F">
        <w:t xml:space="preserve"> Version of the National Youth Tobacco Survey in a Classroom Setting. Prev Chronic Dis </w:t>
      </w:r>
      <w:r w:rsidRPr="00B6198F">
        <w:t>2020;17:190294</w:t>
      </w:r>
      <w:r w:rsidRPr="00B6198F">
        <w:t xml:space="preserve">. </w:t>
      </w:r>
      <w:hyperlink r:id="rId31" w:history="1">
        <w:r w:rsidRPr="009940CB" w:rsidR="0070160C">
          <w:rPr>
            <w:rStyle w:val="Hyperlink"/>
          </w:rPr>
          <w:t>https://doi.org/10.5888/pcd17.190294</w:t>
        </w:r>
      </w:hyperlink>
      <w:r w:rsidRPr="00B6198F">
        <w:t>.</w:t>
      </w:r>
    </w:p>
    <w:p w:rsidR="0070160C" w:rsidRPr="008C661E" w:rsidP="0070160C" w14:paraId="77BC1F0D" w14:textId="77777777">
      <w:pPr>
        <w:widowControl w:val="0"/>
        <w:autoSpaceDE w:val="0"/>
        <w:autoSpaceDN w:val="0"/>
        <w:adjustRightInd w:val="0"/>
        <w:ind w:left="720" w:hanging="720"/>
        <w:rPr>
          <w:sz w:val="20"/>
          <w:szCs w:val="20"/>
        </w:rPr>
      </w:pPr>
    </w:p>
    <w:p w:rsidR="00904757" w:rsidP="00B775C3" w14:paraId="65C7BD50" w14:textId="77777777">
      <w:pPr>
        <w:spacing w:after="200"/>
        <w:ind w:left="720" w:hanging="720"/>
        <w:rPr>
          <w:rFonts w:eastAsia="Calibri"/>
        </w:rPr>
      </w:pPr>
      <w:r w:rsidRPr="00185D69">
        <w:rPr>
          <w:rFonts w:eastAsia="Calibri"/>
        </w:rPr>
        <w:t xml:space="preserve">National Institute on Drug Abuse (2014). </w:t>
      </w:r>
      <w:r w:rsidRPr="00185D69">
        <w:rPr>
          <w:rFonts w:eastAsia="Calibri"/>
          <w:i/>
        </w:rPr>
        <w:t>Monitoring the Future national results on drug use: 1975-2013: Overview, Key Findings on Adolescent Drug Use</w:t>
      </w:r>
      <w:r w:rsidRPr="00185D69">
        <w:rPr>
          <w:rFonts w:eastAsia="Calibri"/>
        </w:rPr>
        <w:t>. National Institute on Drug Abuse, National Institutes of Health. Ann Arbor, MI: Institute for Social Research, The University of Michigan.</w:t>
      </w:r>
    </w:p>
    <w:p w:rsidR="007E32D3" w:rsidRPr="007C3EFB" w:rsidP="00B775C3" w14:paraId="3AB69615" w14:textId="77777777">
      <w:pPr>
        <w:spacing w:after="200"/>
        <w:ind w:left="720" w:hanging="720"/>
        <w:rPr>
          <w:rFonts w:eastAsia="Calibri"/>
        </w:rPr>
      </w:pPr>
      <w:r w:rsidRPr="007C3EFB">
        <w:rPr>
          <w:rFonts w:eastAsia="Calibri"/>
        </w:rPr>
        <w:t xml:space="preserve">OSG (2018). </w:t>
      </w:r>
      <w:r w:rsidRPr="007C3EFB" w:rsidR="008477E8">
        <w:rPr>
          <w:rFonts w:eastAsia="Calibri"/>
        </w:rPr>
        <w:t xml:space="preserve">Office of the Surgeon General. </w:t>
      </w:r>
      <w:r w:rsidRPr="008477E8" w:rsidR="008477E8">
        <w:rPr>
          <w:rFonts w:eastAsia="Calibri"/>
        </w:rPr>
        <w:t xml:space="preserve">Surgeon General’s </w:t>
      </w:r>
      <w:r w:rsidRPr="007C3EFB" w:rsidR="008477E8">
        <w:rPr>
          <w:rFonts w:eastAsia="Calibri"/>
        </w:rPr>
        <w:t>a</w:t>
      </w:r>
      <w:r w:rsidRPr="008477E8" w:rsidR="008477E8">
        <w:rPr>
          <w:rFonts w:eastAsia="Calibri"/>
        </w:rPr>
        <w:t xml:space="preserve">dvisory on </w:t>
      </w:r>
      <w:r w:rsidRPr="007C3EFB" w:rsidR="008477E8">
        <w:rPr>
          <w:rFonts w:eastAsia="Calibri"/>
        </w:rPr>
        <w:t>e</w:t>
      </w:r>
      <w:r w:rsidRPr="008477E8" w:rsidR="008477E8">
        <w:rPr>
          <w:rFonts w:eastAsia="Calibri"/>
        </w:rPr>
        <w:t xml:space="preserve">-cigarette </w:t>
      </w:r>
      <w:r w:rsidRPr="007C3EFB" w:rsidR="008477E8">
        <w:rPr>
          <w:rFonts w:eastAsia="Calibri"/>
        </w:rPr>
        <w:t>u</w:t>
      </w:r>
      <w:r w:rsidRPr="008477E8" w:rsidR="008477E8">
        <w:rPr>
          <w:rFonts w:eastAsia="Calibri"/>
        </w:rPr>
        <w:t>se</w:t>
      </w:r>
      <w:r w:rsidRPr="008477E8" w:rsidR="008477E8">
        <w:rPr>
          <w:rFonts w:eastAsia="Calibri"/>
        </w:rPr>
        <w:t xml:space="preserve"> </w:t>
      </w:r>
      <w:r w:rsidRPr="007C3EFB" w:rsidR="008477E8">
        <w:rPr>
          <w:rFonts w:eastAsia="Calibri"/>
        </w:rPr>
        <w:t>a</w:t>
      </w:r>
      <w:r w:rsidRPr="008477E8" w:rsidR="008477E8">
        <w:rPr>
          <w:rFonts w:eastAsia="Calibri"/>
        </w:rPr>
        <w:t xml:space="preserve">mong </w:t>
      </w:r>
      <w:r w:rsidRPr="007C3EFB" w:rsidR="008477E8">
        <w:rPr>
          <w:rFonts w:eastAsia="Calibri"/>
        </w:rPr>
        <w:t>y</w:t>
      </w:r>
      <w:r w:rsidRPr="008477E8" w:rsidR="008477E8">
        <w:rPr>
          <w:rFonts w:eastAsia="Calibri"/>
        </w:rPr>
        <w:t>outh</w:t>
      </w:r>
      <w:r w:rsidRPr="007C3EFB" w:rsidR="008477E8">
        <w:rPr>
          <w:rFonts w:eastAsia="Calibri"/>
        </w:rPr>
        <w:t>. December 18, 2018.</w:t>
      </w:r>
      <w:r w:rsidR="009E10AD">
        <w:rPr>
          <w:rFonts w:eastAsia="Calibri"/>
        </w:rPr>
        <w:t xml:space="preserve"> </w:t>
      </w:r>
      <w:r w:rsidRPr="007C3EFB" w:rsidR="008477E8">
        <w:rPr>
          <w:rFonts w:eastAsia="Calibri"/>
        </w:rPr>
        <w:t xml:space="preserve">Available at </w:t>
      </w:r>
      <w:hyperlink r:id="rId32" w:history="1">
        <w:r w:rsidRPr="00A56296" w:rsidR="008477E8">
          <w:t>https://e-cigarettes.surgeongeneral.gov/documents/surgeon-generals-advisory-on-e-cigarette-use-among-youth-2018.pdf</w:t>
        </w:r>
      </w:hyperlink>
      <w:r w:rsidRPr="007C3EFB" w:rsidR="008477E8">
        <w:rPr>
          <w:rFonts w:eastAsia="Calibri"/>
        </w:rPr>
        <w:t xml:space="preserve">. </w:t>
      </w:r>
    </w:p>
    <w:p w:rsidR="00D47931" w:rsidP="00D47931" w14:paraId="777F2F45" w14:textId="77777777">
      <w:pPr>
        <w:rPr>
          <w:rFonts w:eastAsia="Calibri"/>
          <w14:ligatures w14:val="standardContextual"/>
        </w:rPr>
      </w:pPr>
      <w:r w:rsidRPr="000E5F98">
        <w:rPr>
          <w:rFonts w:eastAsia="Calibri"/>
          <w14:ligatures w14:val="standardContextual"/>
        </w:rPr>
        <w:t>Schelbe</w:t>
      </w:r>
      <w:r w:rsidRPr="000E5F98">
        <w:rPr>
          <w:rFonts w:eastAsia="Calibri"/>
          <w14:ligatures w14:val="standardContextual"/>
        </w:rPr>
        <w:t xml:space="preserve">, L., </w:t>
      </w:r>
      <w:r w:rsidRPr="000E5F98">
        <w:rPr>
          <w:rFonts w:eastAsia="Calibri"/>
          <w14:ligatures w14:val="standardContextual"/>
        </w:rPr>
        <w:t>Chanmugam</w:t>
      </w:r>
      <w:r w:rsidRPr="000E5F98">
        <w:rPr>
          <w:rFonts w:eastAsia="Calibri"/>
          <w14:ligatures w14:val="standardContextual"/>
        </w:rPr>
        <w:t>, A., Moses, T., Saltzburg, S., Williams, L. R., &amp; Letendre, J. (2014).</w:t>
      </w:r>
    </w:p>
    <w:p w:rsidR="00D47931" w:rsidRPr="00BA59FA" w:rsidP="00D47931" w14:paraId="654560FA" w14:textId="77777777">
      <w:pPr>
        <w:ind w:firstLine="720"/>
        <w:rPr>
          <w:rFonts w:eastAsia="Calibri"/>
          <w14:ligatures w14:val="standardContextual"/>
        </w:rPr>
      </w:pPr>
      <w:r w:rsidRPr="000E5F98">
        <w:rPr>
          <w:rFonts w:eastAsia="Calibri"/>
          <w14:ligatures w14:val="standardContextual"/>
        </w:rPr>
        <w:t xml:space="preserve"> Youth participation in qualitative research: Challenges and possibilities. </w:t>
      </w:r>
      <w:r w:rsidRPr="00BA59FA">
        <w:rPr>
          <w:rFonts w:eastAsia="Calibri"/>
          <w14:ligatures w14:val="standardContextual"/>
        </w:rPr>
        <w:t xml:space="preserve">Qualitative </w:t>
      </w:r>
    </w:p>
    <w:p w:rsidR="00D47931" w:rsidRPr="000E5F98" w:rsidP="00D47931" w14:paraId="31A63ADA" w14:textId="77777777">
      <w:pPr>
        <w:ind w:left="720"/>
        <w:rPr>
          <w:rFonts w:eastAsia="Calibri"/>
          <w14:ligatures w14:val="standardContextual"/>
        </w:rPr>
      </w:pPr>
      <w:r w:rsidRPr="00BA59FA">
        <w:rPr>
          <w:rFonts w:eastAsia="Calibri"/>
          <w14:ligatures w14:val="standardContextual"/>
        </w:rPr>
        <w:t>Social Work</w:t>
      </w:r>
      <w:r w:rsidRPr="003D14D9">
        <w:rPr>
          <w:rFonts w:eastAsia="Calibri"/>
          <w14:ligatures w14:val="standardContextual"/>
        </w:rPr>
        <w:t>,</w:t>
      </w:r>
      <w:r w:rsidRPr="000E5F98">
        <w:rPr>
          <w:rFonts w:eastAsia="Calibri"/>
          <w14:ligatures w14:val="standardContextual"/>
        </w:rPr>
        <w:t xml:space="preserve"> </w:t>
      </w:r>
      <w:r w:rsidRPr="000E5F98">
        <w:rPr>
          <w:rFonts w:eastAsia="Calibri"/>
          <w:i/>
          <w:iCs/>
          <w14:ligatures w14:val="standardContextual"/>
        </w:rPr>
        <w:t>14</w:t>
      </w:r>
      <w:r w:rsidRPr="000E5F98">
        <w:rPr>
          <w:rFonts w:eastAsia="Calibri"/>
          <w14:ligatures w14:val="standardContextual"/>
        </w:rPr>
        <w:t xml:space="preserve">(4), 504–521. </w:t>
      </w:r>
      <w:hyperlink r:id="rId33" w:history="1">
        <w:r w:rsidRPr="000E5F98">
          <w:rPr>
            <w:rFonts w:eastAsia="Calibri"/>
            <w:u w:val="single"/>
            <w14:ligatures w14:val="standardContextual"/>
          </w:rPr>
          <w:t>https://doi.org/10.1177/1473325014556792</w:t>
        </w:r>
      </w:hyperlink>
    </w:p>
    <w:p w:rsidR="00D47931" w:rsidRPr="007C3EFB" w:rsidP="00C066F1" w14:paraId="68A14D9E" w14:textId="77777777">
      <w:pPr>
        <w:spacing w:after="200"/>
        <w:ind w:left="720" w:hanging="720"/>
        <w:rPr>
          <w:rFonts w:eastAsia="Calibri"/>
        </w:rPr>
      </w:pPr>
    </w:p>
    <w:p w:rsidR="00CC34A3" w:rsidRPr="00185D69" w:rsidP="00CC34A3" w14:paraId="6D06F2F8" w14:textId="77777777">
      <w:pPr>
        <w:spacing w:after="200"/>
        <w:ind w:left="720" w:hanging="720"/>
        <w:rPr>
          <w:rFonts w:eastAsia="Calibri"/>
        </w:rPr>
      </w:pPr>
      <w:r>
        <w:rPr>
          <w:rFonts w:eastAsia="Calibri"/>
        </w:rPr>
        <w:t xml:space="preserve">USBLS2023. </w:t>
      </w:r>
      <w:r w:rsidRPr="00185D69">
        <w:rPr>
          <w:rFonts w:eastAsia="Calibri"/>
        </w:rPr>
        <w:t xml:space="preserve">U.S. Bureau of Labor Statistics </w:t>
      </w:r>
      <w:r w:rsidRPr="00AD54EE">
        <w:rPr>
          <w:rFonts w:eastAsia="Calibri"/>
        </w:rPr>
        <w:t>(</w:t>
      </w:r>
      <w:r>
        <w:rPr>
          <w:rFonts w:eastAsia="Calibri"/>
        </w:rPr>
        <w:t>2024</w:t>
      </w:r>
      <w:r w:rsidRPr="00185D69">
        <w:rPr>
          <w:rFonts w:eastAsia="Calibri"/>
        </w:rPr>
        <w:t xml:space="preserve">). </w:t>
      </w:r>
      <w:r w:rsidRPr="00185D69">
        <w:rPr>
          <w:rFonts w:eastAsia="Calibri"/>
          <w:i/>
        </w:rPr>
        <w:t xml:space="preserve">May </w:t>
      </w:r>
      <w:r>
        <w:rPr>
          <w:rFonts w:eastAsia="Calibri"/>
          <w:i/>
        </w:rPr>
        <w:t xml:space="preserve">2023 </w:t>
      </w:r>
      <w:r w:rsidRPr="00185D69">
        <w:rPr>
          <w:rFonts w:eastAsia="Calibri"/>
          <w:i/>
        </w:rPr>
        <w:t>National Occupational Employment and Wage Estimates, United States.</w:t>
      </w:r>
      <w:r w:rsidRPr="00185D69">
        <w:rPr>
          <w:rFonts w:eastAsia="Calibri"/>
          <w:kern w:val="36"/>
        </w:rPr>
        <w:t xml:space="preserve"> </w:t>
      </w:r>
      <w:r>
        <w:rPr>
          <w:rFonts w:eastAsia="Calibri"/>
        </w:rPr>
        <w:t xml:space="preserve">Available at </w:t>
      </w:r>
      <w:hyperlink r:id="rId34" w:history="1">
        <w:r w:rsidRPr="00185D69">
          <w:rPr>
            <w:rStyle w:val="Hyperlink"/>
          </w:rPr>
          <w:t>http://www.bls.gov/oes/current/oes_nat.htm</w:t>
        </w:r>
      </w:hyperlink>
    </w:p>
    <w:p w:rsidR="00904757" w:rsidRPr="00185D69" w:rsidP="00B775C3" w14:paraId="1D4FF3E2" w14:textId="77777777">
      <w:pPr>
        <w:spacing w:after="200"/>
        <w:ind w:left="720" w:hanging="720"/>
        <w:rPr>
          <w:rFonts w:eastAsia="Calibri"/>
        </w:rPr>
      </w:pPr>
      <w:r w:rsidRPr="00185D69">
        <w:rPr>
          <w:rFonts w:eastAsia="Calibri"/>
        </w:rPr>
        <w:t xml:space="preserve">USDHHS (2010). </w:t>
      </w:r>
      <w:r w:rsidRPr="00185D69" w:rsidR="00C27BEE">
        <w:rPr>
          <w:rFonts w:eastAsia="Calibri"/>
        </w:rPr>
        <w:t>U.S. Department of Health and Human Services.</w:t>
      </w:r>
      <w:r w:rsidR="009E10AD">
        <w:rPr>
          <w:rFonts w:eastAsia="Calibri"/>
        </w:rPr>
        <w:t xml:space="preserve"> </w:t>
      </w:r>
      <w:r w:rsidRPr="00185D69">
        <w:rPr>
          <w:rFonts w:eastAsia="Calibri"/>
          <w:i/>
        </w:rPr>
        <w:t xml:space="preserve">Healthy People 2020. </w:t>
      </w:r>
      <w:r w:rsidRPr="00185D69">
        <w:rPr>
          <w:rFonts w:eastAsia="Calibri"/>
        </w:rPr>
        <w:t>Washington, D.C.: Available at: http://healthypeople.gov/2020/default.aspx</w:t>
      </w:r>
    </w:p>
    <w:p w:rsidR="003627E3" w:rsidP="00B775C3" w14:paraId="1F4BEF22" w14:textId="77777777">
      <w:pPr>
        <w:spacing w:after="200"/>
        <w:ind w:left="720" w:hanging="720"/>
        <w:rPr>
          <w:rFonts w:eastAsia="Calibri"/>
        </w:rPr>
      </w:pPr>
      <w:r w:rsidRPr="00185D69">
        <w:rPr>
          <w:rFonts w:eastAsia="Calibri"/>
        </w:rPr>
        <w:t xml:space="preserve">USDHHS (2012). </w:t>
      </w:r>
      <w:r w:rsidRPr="00185D69" w:rsidR="00C27BEE">
        <w:rPr>
          <w:rFonts w:eastAsia="Calibri"/>
        </w:rPr>
        <w:t xml:space="preserve">US Department of Health and Human Services, </w:t>
      </w:r>
      <w:r w:rsidRPr="00185D69">
        <w:rPr>
          <w:rFonts w:eastAsia="Calibri"/>
          <w:i/>
        </w:rPr>
        <w:t xml:space="preserve">Ending the Tobacco Epidemic: Progress toward a Healthier Nation. </w:t>
      </w:r>
      <w:r w:rsidRPr="00185D69">
        <w:rPr>
          <w:rFonts w:eastAsia="Calibri"/>
        </w:rPr>
        <w:t>Washington, DC: Office of the Assistant Secretary for Health.</w:t>
      </w:r>
    </w:p>
    <w:p w:rsidR="000216D9" w:rsidRPr="00A56296" w:rsidP="00B775C3" w14:paraId="3F21B083" w14:textId="77777777">
      <w:pPr>
        <w:spacing w:after="200"/>
        <w:ind w:left="720" w:hanging="720"/>
        <w:rPr>
          <w:rFonts w:eastAsia="Calibri"/>
        </w:rPr>
      </w:pPr>
      <w:r>
        <w:rPr>
          <w:rFonts w:eastAsia="Calibri"/>
        </w:rPr>
        <w:t>USDHHS (2019).</w:t>
      </w:r>
      <w:r w:rsidR="00C27BEE">
        <w:rPr>
          <w:rFonts w:eastAsia="Calibri"/>
        </w:rPr>
        <w:t xml:space="preserve"> </w:t>
      </w:r>
      <w:r w:rsidRPr="00185D69" w:rsidR="00C27BEE">
        <w:rPr>
          <w:rFonts w:eastAsia="Calibri"/>
        </w:rPr>
        <w:t>U.S. Department of Health and Human Services.</w:t>
      </w:r>
      <w:r w:rsidR="009E10AD">
        <w:rPr>
          <w:rFonts w:eastAsia="Calibri"/>
        </w:rPr>
        <w:t xml:space="preserve"> </w:t>
      </w:r>
      <w:r w:rsidRPr="00A56296" w:rsidR="00C27BEE">
        <w:rPr>
          <w:rFonts w:eastAsia="Calibri"/>
        </w:rPr>
        <w:t xml:space="preserve">Development of the </w:t>
      </w:r>
      <w:r w:rsidR="00C27BEE">
        <w:rPr>
          <w:rFonts w:eastAsia="Calibri"/>
        </w:rPr>
        <w:t>n</w:t>
      </w:r>
      <w:r w:rsidRPr="00A56296" w:rsidR="00C27BEE">
        <w:rPr>
          <w:rFonts w:eastAsia="Calibri"/>
        </w:rPr>
        <w:t xml:space="preserve">ational </w:t>
      </w:r>
      <w:r w:rsidR="00C27BEE">
        <w:rPr>
          <w:rFonts w:eastAsia="Calibri"/>
        </w:rPr>
        <w:t>h</w:t>
      </w:r>
      <w:r w:rsidRPr="00A56296" w:rsidR="00C27BEE">
        <w:rPr>
          <w:rFonts w:eastAsia="Calibri"/>
        </w:rPr>
        <w:t xml:space="preserve">ealth </w:t>
      </w:r>
      <w:r w:rsidR="00C27BEE">
        <w:rPr>
          <w:rFonts w:eastAsia="Calibri"/>
        </w:rPr>
        <w:t>p</w:t>
      </w:r>
      <w:r w:rsidRPr="00A56296" w:rsidR="00C27BEE">
        <w:rPr>
          <w:rFonts w:eastAsia="Calibri"/>
        </w:rPr>
        <w:t xml:space="preserve">romotion and </w:t>
      </w:r>
      <w:r w:rsidR="00C27BEE">
        <w:rPr>
          <w:rFonts w:eastAsia="Calibri"/>
        </w:rPr>
        <w:t>d</w:t>
      </w:r>
      <w:r w:rsidRPr="00A56296" w:rsidR="00C27BEE">
        <w:rPr>
          <w:rFonts w:eastAsia="Calibri"/>
        </w:rPr>
        <w:t xml:space="preserve">isease </w:t>
      </w:r>
      <w:r w:rsidR="00C27BEE">
        <w:rPr>
          <w:rFonts w:eastAsia="Calibri"/>
        </w:rPr>
        <w:t>p</w:t>
      </w:r>
      <w:r w:rsidRPr="00A56296" w:rsidR="00C27BEE">
        <w:rPr>
          <w:rFonts w:eastAsia="Calibri"/>
        </w:rPr>
        <w:t xml:space="preserve">revention </w:t>
      </w:r>
      <w:r w:rsidR="00C27BEE">
        <w:rPr>
          <w:rFonts w:eastAsia="Calibri"/>
        </w:rPr>
        <w:t>o</w:t>
      </w:r>
      <w:r w:rsidRPr="00A56296" w:rsidR="00C27BEE">
        <w:rPr>
          <w:rFonts w:eastAsia="Calibri"/>
        </w:rPr>
        <w:t>bjectives for 2030</w:t>
      </w:r>
      <w:r w:rsidR="00C27BEE">
        <w:rPr>
          <w:rFonts w:eastAsia="Calibri"/>
        </w:rPr>
        <w:t>.</w:t>
      </w:r>
      <w:r w:rsidR="009E10AD">
        <w:rPr>
          <w:rFonts w:eastAsia="Calibri"/>
        </w:rPr>
        <w:t xml:space="preserve"> </w:t>
      </w:r>
      <w:r w:rsidR="00C27BEE">
        <w:rPr>
          <w:rFonts w:eastAsia="Calibri"/>
        </w:rPr>
        <w:t xml:space="preserve">Available at </w:t>
      </w:r>
      <w:r w:rsidRPr="00C27BEE" w:rsidR="00C27BEE">
        <w:rPr>
          <w:rFonts w:eastAsia="Calibri"/>
        </w:rPr>
        <w:t>https://www.healthypeople.gov/2020/About-Healthy-People/Development-Healthy-People-2030</w:t>
      </w:r>
      <w:r w:rsidR="00C27BEE">
        <w:rPr>
          <w:rFonts w:eastAsia="Calibri"/>
        </w:rPr>
        <w:t>.</w:t>
      </w:r>
    </w:p>
    <w:sectPr w:rsidSect="008E7352">
      <w:headerReference w:type="even" r:id="rId35"/>
      <w:headerReference w:type="default" r:id="rId36"/>
      <w:footerReference w:type="even" r:id="rId37"/>
      <w:footerReference w:type="default" r:id="rId38"/>
      <w:headerReference w:type="first" r:id="rId39"/>
      <w:footerReference w:type="first" r:id="rId40"/>
      <w:type w:val="continuous"/>
      <w:pgSz w:w="12240" w:h="15840"/>
      <w:pgMar w:top="1440" w:right="1440" w:bottom="1440" w:left="1440" w:header="1080" w:footer="5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IFTYRA+Palatino-Roman">
    <w:altName w:val="Book 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BookCondensed">
    <w:altName w:val="Cambria"/>
    <w:panose1 w:val="00000000000000000000"/>
    <w:charset w:val="00"/>
    <w:family w:val="roman"/>
    <w:notTrueType/>
    <w:pitch w:val="default"/>
    <w:sig w:usb0="00000003" w:usb1="00000000" w:usb2="00000000" w:usb3="00000000" w:csb0="00000001" w:csb1="00000000"/>
  </w:font>
  <w:font w:name="Trajan Pro">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1A0" w14:paraId="6634A0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1A0" w14:paraId="7677DBE5" w14:textId="77777777">
    <w:pPr>
      <w:pStyle w:val="Footer"/>
      <w:jc w:val="center"/>
    </w:pPr>
    <w:r>
      <w:fldChar w:fldCharType="begin"/>
    </w:r>
    <w:r>
      <w:instrText xml:space="preserve"> PAGE   \* MERGEFORMAT </w:instrText>
    </w:r>
    <w:r>
      <w:fldChar w:fldCharType="separate"/>
    </w:r>
    <w:r>
      <w:rPr>
        <w:noProof/>
      </w:rPr>
      <w:t>11</w:t>
    </w:r>
    <w:r>
      <w:rPr>
        <w:noProof/>
      </w:rPr>
      <w:fldChar w:fldCharType="end"/>
    </w:r>
  </w:p>
  <w:p w:rsidR="001601A0" w:rsidP="007E62C2" w14:paraId="6F3BC797"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1A0" w14:paraId="1AEF16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1A0" w14:paraId="06F02A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1A0" w14:paraId="35CA379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1A0" w14:paraId="2FD263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6668E"/>
    <w:multiLevelType w:val="hybridMultilevel"/>
    <w:tmpl w:val="05748D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83991"/>
    <w:multiLevelType w:val="multilevel"/>
    <w:tmpl w:val="B436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17FC4"/>
    <w:multiLevelType w:val="hybridMultilevel"/>
    <w:tmpl w:val="D3449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7C1C83"/>
    <w:multiLevelType w:val="hybridMultilevel"/>
    <w:tmpl w:val="42309C12"/>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08C50CF0"/>
    <w:multiLevelType w:val="hybridMultilevel"/>
    <w:tmpl w:val="E4ECEB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2E24B5"/>
    <w:multiLevelType w:val="hybridMultilevel"/>
    <w:tmpl w:val="EDD49C4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7">
    <w:nsid w:val="14E25AAF"/>
    <w:multiLevelType w:val="hybridMultilevel"/>
    <w:tmpl w:val="67B4C4F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54C2B48"/>
    <w:multiLevelType w:val="hybridMultilevel"/>
    <w:tmpl w:val="2916AC7E"/>
    <w:lvl w:ilvl="0">
      <w:start w:val="0"/>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AB30DFE"/>
    <w:multiLevelType w:val="hybridMultilevel"/>
    <w:tmpl w:val="03204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B71033"/>
    <w:multiLevelType w:val="hybridMultilevel"/>
    <w:tmpl w:val="AB6C0112"/>
    <w:lvl w:ilvl="0">
      <w:start w:val="1"/>
      <w:numFmt w:val="bullet"/>
      <w:pStyle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1ABF39DC"/>
    <w:multiLevelType w:val="hybridMultilevel"/>
    <w:tmpl w:val="F88A482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19D4D8B"/>
    <w:multiLevelType w:val="hybridMultilevel"/>
    <w:tmpl w:val="06C28B28"/>
    <w:lvl w:ilvl="0">
      <w:start w:val="1"/>
      <w:numFmt w:val="bullet"/>
      <w:lvlText w:val=""/>
      <w:lvlJc w:val="left"/>
      <w:pPr>
        <w:tabs>
          <w:tab w:val="num" w:pos="720"/>
        </w:tabs>
        <w:ind w:left="720" w:hanging="360"/>
      </w:pPr>
      <w:rPr>
        <w:rFonts w:ascii="Symbol" w:hAnsi="Symbol" w:hint="default"/>
        <w:color w:val="auto"/>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206028D"/>
    <w:multiLevelType w:val="hybridMultilevel"/>
    <w:tmpl w:val="2D6E5A6A"/>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5960B2"/>
    <w:multiLevelType w:val="hybridMultilevel"/>
    <w:tmpl w:val="D01C5A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C5380A"/>
    <w:multiLevelType w:val="hybridMultilevel"/>
    <w:tmpl w:val="96E41C1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681531D"/>
    <w:multiLevelType w:val="multilevel"/>
    <w:tmpl w:val="8F80884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ind w:left="2880" w:hanging="360"/>
      </w:pPr>
      <w:rPr>
        <w:rFonts w:hint="default"/>
        <w:u w:val="none"/>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nsid w:val="26CF1446"/>
    <w:multiLevelType w:val="hybridMultilevel"/>
    <w:tmpl w:val="C980C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DD0990"/>
    <w:multiLevelType w:val="hybridMultilevel"/>
    <w:tmpl w:val="3E080860"/>
    <w:lvl w:ilvl="0">
      <w:start w:val="1"/>
      <w:numFmt w:val="bullet"/>
      <w:lvlText w:val=""/>
      <w:lvlJc w:val="left"/>
      <w:pPr>
        <w:ind w:left="1440" w:hanging="360"/>
      </w:pPr>
      <w:rPr>
        <w:rFonts w:ascii="Symbol" w:hAnsi="Symbol" w:hint="default"/>
        <w:b w:val="0"/>
        <w:sz w:val="16"/>
        <w:szCs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8B44C10"/>
    <w:multiLevelType w:val="hybridMultilevel"/>
    <w:tmpl w:val="9D9AB37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91B1D2A"/>
    <w:multiLevelType w:val="hybridMultilevel"/>
    <w:tmpl w:val="0F64D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93B7C4F"/>
    <w:multiLevelType w:val="hybridMultilevel"/>
    <w:tmpl w:val="8138E960"/>
    <w:lvl w:ilvl="0">
      <w:start w:val="0"/>
      <w:numFmt w:val="bullet"/>
      <w:lvlText w:val=""/>
      <w:lvlJc w:val="left"/>
      <w:pPr>
        <w:tabs>
          <w:tab w:val="num" w:pos="1080"/>
        </w:tabs>
        <w:ind w:left="1080" w:hanging="360"/>
      </w:pPr>
      <w:rPr>
        <w:rFonts w:ascii="Symbol" w:hAnsi="Symbol" w:hint="default"/>
        <w:sz w:val="16"/>
        <w:szCs w:val="16"/>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2CC361D4"/>
    <w:multiLevelType w:val="hybridMultilevel"/>
    <w:tmpl w:val="A91AE7CC"/>
    <w:lvl w:ilvl="0">
      <w:start w:val="1"/>
      <w:numFmt w:val="bullet"/>
      <w:lvlText w:val=""/>
      <w:lvlJc w:val="left"/>
      <w:pPr>
        <w:tabs>
          <w:tab w:val="num" w:pos="720"/>
        </w:tabs>
        <w:ind w:left="720" w:hanging="360"/>
      </w:pPr>
      <w:rPr>
        <w:rFonts w:ascii="Symbol" w:hAnsi="Symbol" w:hint="default"/>
        <w:color w:val="auto"/>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D3802E8"/>
    <w:multiLevelType w:val="hybridMultilevel"/>
    <w:tmpl w:val="5566B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D20E6F"/>
    <w:multiLevelType w:val="hybridMultilevel"/>
    <w:tmpl w:val="61D81FF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2EA2E702"/>
    <w:multiLevelType w:val="hybridMultilevel"/>
    <w:tmpl w:val="4FEB5F33"/>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311C4DD5"/>
    <w:multiLevelType w:val="hybridMultilevel"/>
    <w:tmpl w:val="311082F8"/>
    <w:lvl w:ilvl="0">
      <w:start w:val="1"/>
      <w:numFmt w:val="lowerLetter"/>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5540E2F"/>
    <w:multiLevelType w:val="hybridMultilevel"/>
    <w:tmpl w:val="9E1C1904"/>
    <w:lvl w:ilvl="0">
      <w:start w:val="0"/>
      <w:numFmt w:val="bullet"/>
      <w:lvlText w:val=""/>
      <w:lvlJc w:val="left"/>
      <w:pPr>
        <w:tabs>
          <w:tab w:val="num" w:pos="1152"/>
        </w:tabs>
        <w:ind w:left="1152" w:hanging="432"/>
      </w:pPr>
      <w:rPr>
        <w:rFonts w:ascii="Symbol" w:hAnsi="Symbol" w:hint="default"/>
        <w:sz w:val="16"/>
        <w:szCs w:val="16"/>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37F60D59"/>
    <w:multiLevelType w:val="hybridMultilevel"/>
    <w:tmpl w:val="A49A4A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9">
    <w:nsid w:val="38473804"/>
    <w:multiLevelType w:val="hybridMultilevel"/>
    <w:tmpl w:val="7C346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8746C7C"/>
    <w:multiLevelType w:val="hybridMultilevel"/>
    <w:tmpl w:val="3BA6ACF4"/>
    <w:lvl w:ilvl="0">
      <w:start w:val="0"/>
      <w:numFmt w:val="bullet"/>
      <w:lvlText w:val=""/>
      <w:lvlJc w:val="left"/>
      <w:pPr>
        <w:tabs>
          <w:tab w:val="num" w:pos="792"/>
        </w:tabs>
        <w:ind w:left="792" w:hanging="432"/>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38B53528"/>
    <w:multiLevelType w:val="hybridMultilevel"/>
    <w:tmpl w:val="E8B87E48"/>
    <w:lvl w:ilvl="0">
      <w:start w:val="1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95C4070"/>
    <w:multiLevelType w:val="hybridMultilevel"/>
    <w:tmpl w:val="85F0C87A"/>
    <w:lvl w:ilvl="0">
      <w:start w:val="1"/>
      <w:numFmt w:val="bullet"/>
      <w:lvlText w:val=""/>
      <w:lvlJc w:val="left"/>
      <w:pPr>
        <w:ind w:left="1368" w:hanging="360"/>
      </w:pPr>
      <w:rPr>
        <w:rFonts w:ascii="Symbol" w:hAnsi="Symbol" w:hint="default"/>
      </w:rPr>
    </w:lvl>
    <w:lvl w:ilvl="1" w:tentative="1">
      <w:start w:val="1"/>
      <w:numFmt w:val="bullet"/>
      <w:lvlText w:val="o"/>
      <w:lvlJc w:val="left"/>
      <w:pPr>
        <w:ind w:left="2088" w:hanging="360"/>
      </w:pPr>
      <w:rPr>
        <w:rFonts w:ascii="Courier New" w:hAnsi="Courier New" w:cs="Courier New" w:hint="default"/>
      </w:rPr>
    </w:lvl>
    <w:lvl w:ilvl="2" w:tentative="1">
      <w:start w:val="1"/>
      <w:numFmt w:val="bullet"/>
      <w:lvlText w:val=""/>
      <w:lvlJc w:val="left"/>
      <w:pPr>
        <w:ind w:left="2808" w:hanging="360"/>
      </w:pPr>
      <w:rPr>
        <w:rFonts w:ascii="Wingdings" w:hAnsi="Wingdings" w:hint="default"/>
      </w:rPr>
    </w:lvl>
    <w:lvl w:ilvl="3" w:tentative="1">
      <w:start w:val="1"/>
      <w:numFmt w:val="bullet"/>
      <w:lvlText w:val=""/>
      <w:lvlJc w:val="left"/>
      <w:pPr>
        <w:ind w:left="3528" w:hanging="360"/>
      </w:pPr>
      <w:rPr>
        <w:rFonts w:ascii="Symbol" w:hAnsi="Symbol" w:hint="default"/>
      </w:rPr>
    </w:lvl>
    <w:lvl w:ilvl="4" w:tentative="1">
      <w:start w:val="1"/>
      <w:numFmt w:val="bullet"/>
      <w:lvlText w:val="o"/>
      <w:lvlJc w:val="left"/>
      <w:pPr>
        <w:ind w:left="4248" w:hanging="360"/>
      </w:pPr>
      <w:rPr>
        <w:rFonts w:ascii="Courier New" w:hAnsi="Courier New" w:cs="Courier New" w:hint="default"/>
      </w:rPr>
    </w:lvl>
    <w:lvl w:ilvl="5" w:tentative="1">
      <w:start w:val="1"/>
      <w:numFmt w:val="bullet"/>
      <w:lvlText w:val=""/>
      <w:lvlJc w:val="left"/>
      <w:pPr>
        <w:ind w:left="4968" w:hanging="360"/>
      </w:pPr>
      <w:rPr>
        <w:rFonts w:ascii="Wingdings" w:hAnsi="Wingdings" w:hint="default"/>
      </w:rPr>
    </w:lvl>
    <w:lvl w:ilvl="6" w:tentative="1">
      <w:start w:val="1"/>
      <w:numFmt w:val="bullet"/>
      <w:lvlText w:val=""/>
      <w:lvlJc w:val="left"/>
      <w:pPr>
        <w:ind w:left="5688" w:hanging="360"/>
      </w:pPr>
      <w:rPr>
        <w:rFonts w:ascii="Symbol" w:hAnsi="Symbol" w:hint="default"/>
      </w:rPr>
    </w:lvl>
    <w:lvl w:ilvl="7" w:tentative="1">
      <w:start w:val="1"/>
      <w:numFmt w:val="bullet"/>
      <w:lvlText w:val="o"/>
      <w:lvlJc w:val="left"/>
      <w:pPr>
        <w:ind w:left="6408" w:hanging="360"/>
      </w:pPr>
      <w:rPr>
        <w:rFonts w:ascii="Courier New" w:hAnsi="Courier New" w:cs="Courier New" w:hint="default"/>
      </w:rPr>
    </w:lvl>
    <w:lvl w:ilvl="8" w:tentative="1">
      <w:start w:val="1"/>
      <w:numFmt w:val="bullet"/>
      <w:lvlText w:val=""/>
      <w:lvlJc w:val="left"/>
      <w:pPr>
        <w:ind w:left="7128" w:hanging="360"/>
      </w:pPr>
      <w:rPr>
        <w:rFonts w:ascii="Wingdings" w:hAnsi="Wingdings" w:hint="default"/>
      </w:rPr>
    </w:lvl>
  </w:abstractNum>
  <w:abstractNum w:abstractNumId="33">
    <w:nsid w:val="3AB16A28"/>
    <w:multiLevelType w:val="hybridMultilevel"/>
    <w:tmpl w:val="33E8A29C"/>
    <w:lvl w:ilvl="0">
      <w:start w:val="1"/>
      <w:numFmt w:val="upperLetter"/>
      <w:lvlText w:val="%1."/>
      <w:lvlJc w:val="left"/>
      <w:pPr>
        <w:tabs>
          <w:tab w:val="num" w:pos="1080"/>
        </w:tabs>
        <w:ind w:left="1080" w:hanging="360"/>
      </w:pPr>
      <w:rPr>
        <w:rFonts w:cs="Times New Roman" w:hint="default"/>
        <w:color w:val="auto"/>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3BE20B47"/>
    <w:multiLevelType w:val="multilevel"/>
    <w:tmpl w:val="A464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D7D2BF5"/>
    <w:multiLevelType w:val="hybridMultilevel"/>
    <w:tmpl w:val="AAF4F3BA"/>
    <w:lvl w:ilvl="0">
      <w:start w:val="0"/>
      <w:numFmt w:val="bullet"/>
      <w:lvlText w:val=""/>
      <w:lvlJc w:val="left"/>
      <w:pPr>
        <w:tabs>
          <w:tab w:val="num" w:pos="792"/>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3EC603EC"/>
    <w:multiLevelType w:val="hybridMultilevel"/>
    <w:tmpl w:val="2E6E7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74A208B"/>
    <w:multiLevelType w:val="hybridMultilevel"/>
    <w:tmpl w:val="812E289E"/>
    <w:lvl w:ilvl="0">
      <w:start w:val="0"/>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474D18AC"/>
    <w:multiLevelType w:val="multilevel"/>
    <w:tmpl w:val="7BAE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811093D"/>
    <w:multiLevelType w:val="hybridMultilevel"/>
    <w:tmpl w:val="2B6C5658"/>
    <w:lvl w:ilvl="0">
      <w:start w:val="1"/>
      <w:numFmt w:val="bullet"/>
      <w:lvlText w:val=""/>
      <w:lvlJc w:val="left"/>
      <w:pPr>
        <w:ind w:left="1080" w:hanging="360"/>
      </w:pPr>
      <w:rPr>
        <w:rFonts w:ascii="Symbol" w:hAnsi="Symbol"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4AD643EB"/>
    <w:multiLevelType w:val="hybridMultilevel"/>
    <w:tmpl w:val="ABCEA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CB46B90"/>
    <w:multiLevelType w:val="hybridMultilevel"/>
    <w:tmpl w:val="DAB29DAA"/>
    <w:lvl w:ilvl="0">
      <w:start w:val="1"/>
      <w:numFmt w:val="decimal"/>
      <w:lvlText w:val="%1)"/>
      <w:lvlJc w:val="left"/>
      <w:pPr>
        <w:ind w:left="1704" w:hanging="984"/>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503425AA"/>
    <w:multiLevelType w:val="hybridMultilevel"/>
    <w:tmpl w:val="7AD0ECF8"/>
    <w:lvl w:ilvl="0">
      <w:start w:val="1"/>
      <w:numFmt w:val="lowerLetter"/>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51707736"/>
    <w:multiLevelType w:val="hybridMultilevel"/>
    <w:tmpl w:val="4B52E6E0"/>
    <w:lvl w:ilvl="0">
      <w:start w:val="0"/>
      <w:numFmt w:val="bullet"/>
      <w:lvlText w:val=""/>
      <w:lvlJc w:val="left"/>
      <w:pPr>
        <w:tabs>
          <w:tab w:val="num" w:pos="1080"/>
        </w:tabs>
        <w:ind w:left="1080" w:hanging="360"/>
      </w:pPr>
      <w:rPr>
        <w:rFonts w:ascii="Symbol" w:hAnsi="Symbol" w:hint="default"/>
        <w:sz w:val="16"/>
        <w:szCs w:val="16"/>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nsid w:val="54CF5682"/>
    <w:multiLevelType w:val="hybridMultilevel"/>
    <w:tmpl w:val="B774953A"/>
    <w:lvl w:ilvl="0">
      <w:start w:val="1"/>
      <w:numFmt w:val="bullet"/>
      <w:pStyle w:val="Bullet-Square"/>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nsid w:val="5511310E"/>
    <w:multiLevelType w:val="hybridMultilevel"/>
    <w:tmpl w:val="3858119E"/>
    <w:lvl w:ilvl="0">
      <w:start w:val="0"/>
      <w:numFmt w:val="bullet"/>
      <w:lvlText w:val=""/>
      <w:lvlJc w:val="left"/>
      <w:pPr>
        <w:tabs>
          <w:tab w:val="num" w:pos="1080"/>
        </w:tabs>
        <w:ind w:left="1080" w:hanging="360"/>
      </w:pPr>
      <w:rPr>
        <w:rFonts w:ascii="Symbol" w:hAnsi="Symbol" w:hint="default"/>
        <w:sz w:val="16"/>
        <w:szCs w:val="16"/>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nsid w:val="565D6DBD"/>
    <w:multiLevelType w:val="hybridMultilevel"/>
    <w:tmpl w:val="8D50A652"/>
    <w:lvl w:ilvl="0">
      <w:start w:val="1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E536765"/>
    <w:multiLevelType w:val="hybridMultilevel"/>
    <w:tmpl w:val="6D6C4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43040D4"/>
    <w:multiLevelType w:val="hybridMultilevel"/>
    <w:tmpl w:val="8056F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5996B7B"/>
    <w:multiLevelType w:val="hybridMultilevel"/>
    <w:tmpl w:val="3C8E6894"/>
    <w:lvl w:ilvl="0">
      <w:start w:val="0"/>
      <w:numFmt w:val="bullet"/>
      <w:lvlText w:val=""/>
      <w:lvlJc w:val="left"/>
      <w:pPr>
        <w:ind w:left="1260" w:hanging="360"/>
      </w:pPr>
      <w:rPr>
        <w:rFonts w:ascii="Symbol" w:hAnsi="Symbol" w:hint="default"/>
        <w:sz w:val="16"/>
        <w:szCs w:val="16"/>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0">
    <w:nsid w:val="67D80BA8"/>
    <w:multiLevelType w:val="hybridMultilevel"/>
    <w:tmpl w:val="EBA0DCEC"/>
    <w:lvl w:ilvl="0">
      <w:start w:val="0"/>
      <w:numFmt w:val="bullet"/>
      <w:lvlText w:val=""/>
      <w:lvlJc w:val="left"/>
      <w:pPr>
        <w:tabs>
          <w:tab w:val="num" w:pos="1080"/>
        </w:tabs>
        <w:ind w:left="1080" w:hanging="360"/>
      </w:pPr>
      <w:rPr>
        <w:rFonts w:ascii="Symbol" w:hAnsi="Symbol" w:hint="default"/>
        <w:sz w:val="16"/>
        <w:szCs w:val="16"/>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1">
    <w:nsid w:val="698273FF"/>
    <w:multiLevelType w:val="hybridMultilevel"/>
    <w:tmpl w:val="7C80BB1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6F751E51"/>
    <w:multiLevelType w:val="hybridMultilevel"/>
    <w:tmpl w:val="35DEFC68"/>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1D01A18"/>
    <w:multiLevelType w:val="multilevel"/>
    <w:tmpl w:val="742C27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4">
    <w:nsid w:val="73037CA2"/>
    <w:multiLevelType w:val="hybridMultilevel"/>
    <w:tmpl w:val="55806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78250568"/>
    <w:multiLevelType w:val="multilevel"/>
    <w:tmpl w:val="1BF0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C855299"/>
    <w:multiLevelType w:val="hybridMultilevel"/>
    <w:tmpl w:val="DE5E673C"/>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FA410AF"/>
    <w:multiLevelType w:val="hybridMultilevel"/>
    <w:tmpl w:val="9F5C2518"/>
    <w:lvl w:ilvl="0">
      <w:start w:val="0"/>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nsid w:val="7FA946EE"/>
    <w:multiLevelType w:val="hybridMultilevel"/>
    <w:tmpl w:val="C65AF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071311">
    <w:abstractNumId w:val="10"/>
  </w:num>
  <w:num w:numId="2" w16cid:durableId="1410035355">
    <w:abstractNumId w:val="27"/>
  </w:num>
  <w:num w:numId="3" w16cid:durableId="68112512">
    <w:abstractNumId w:val="30"/>
  </w:num>
  <w:num w:numId="4" w16cid:durableId="1345355701">
    <w:abstractNumId w:val="35"/>
  </w:num>
  <w:num w:numId="5" w16cid:durableId="2014718212">
    <w:abstractNumId w:val="43"/>
  </w:num>
  <w:num w:numId="6" w16cid:durableId="184834103">
    <w:abstractNumId w:val="45"/>
  </w:num>
  <w:num w:numId="7" w16cid:durableId="1277105250">
    <w:abstractNumId w:val="21"/>
  </w:num>
  <w:num w:numId="8" w16cid:durableId="311831464">
    <w:abstractNumId w:val="50"/>
  </w:num>
  <w:num w:numId="9" w16cid:durableId="434641913">
    <w:abstractNumId w:val="8"/>
  </w:num>
  <w:num w:numId="10" w16cid:durableId="382413986">
    <w:abstractNumId w:val="57"/>
  </w:num>
  <w:num w:numId="11" w16cid:durableId="279729708">
    <w:abstractNumId w:val="24"/>
  </w:num>
  <w:num w:numId="12" w16cid:durableId="2005812428">
    <w:abstractNumId w:val="54"/>
  </w:num>
  <w:num w:numId="13" w16cid:durableId="64111202">
    <w:abstractNumId w:val="51"/>
  </w:num>
  <w:num w:numId="14" w16cid:durableId="2112047168">
    <w:abstractNumId w:val="22"/>
  </w:num>
  <w:num w:numId="15" w16cid:durableId="472524300">
    <w:abstractNumId w:val="12"/>
  </w:num>
  <w:num w:numId="16" w16cid:durableId="371467241">
    <w:abstractNumId w:val="33"/>
  </w:num>
  <w:num w:numId="17" w16cid:durableId="682170764">
    <w:abstractNumId w:val="23"/>
  </w:num>
  <w:num w:numId="18" w16cid:durableId="793257137">
    <w:abstractNumId w:val="18"/>
  </w:num>
  <w:num w:numId="19" w16cid:durableId="168376052">
    <w:abstractNumId w:val="14"/>
  </w:num>
  <w:num w:numId="20" w16cid:durableId="1352221317">
    <w:abstractNumId w:val="25"/>
  </w:num>
  <w:num w:numId="21" w16cid:durableId="580993751">
    <w:abstractNumId w:val="1"/>
  </w:num>
  <w:num w:numId="22" w16cid:durableId="1326206136">
    <w:abstractNumId w:val="56"/>
  </w:num>
  <w:num w:numId="23" w16cid:durableId="712002348">
    <w:abstractNumId w:val="3"/>
  </w:num>
  <w:num w:numId="24" w16cid:durableId="2900174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9779659">
    <w:abstractNumId w:val="52"/>
  </w:num>
  <w:num w:numId="26" w16cid:durableId="27795700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2573728">
    <w:abstractNumId w:val="42"/>
  </w:num>
  <w:num w:numId="28" w16cid:durableId="1177421852">
    <w:abstractNumId w:val="26"/>
  </w:num>
  <w:num w:numId="29" w16cid:durableId="159720777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862029">
    <w:abstractNumId w:val="16"/>
  </w:num>
  <w:num w:numId="31" w16cid:durableId="351300418">
    <w:abstractNumId w:val="53"/>
  </w:num>
  <w:num w:numId="32" w16cid:durableId="1246763031">
    <w:abstractNumId w:val="7"/>
  </w:num>
  <w:num w:numId="33" w16cid:durableId="1718772785">
    <w:abstractNumId w:val="19"/>
  </w:num>
  <w:num w:numId="34" w16cid:durableId="9424169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9772717">
    <w:abstractNumId w:val="28"/>
  </w:num>
  <w:num w:numId="36" w16cid:durableId="308826139">
    <w:abstractNumId w:val="49"/>
  </w:num>
  <w:num w:numId="37" w16cid:durableId="1586303893">
    <w:abstractNumId w:val="38"/>
  </w:num>
  <w:num w:numId="38" w16cid:durableId="1578204918">
    <w:abstractNumId w:val="37"/>
  </w:num>
  <w:num w:numId="39" w16cid:durableId="346716931">
    <w:abstractNumId w:val="6"/>
  </w:num>
  <w:num w:numId="40" w16cid:durableId="1133058410">
    <w:abstractNumId w:val="41"/>
  </w:num>
  <w:num w:numId="41" w16cid:durableId="793182228">
    <w:abstractNumId w:val="44"/>
  </w:num>
  <w:num w:numId="42" w16cid:durableId="413403752">
    <w:abstractNumId w:val="36"/>
  </w:num>
  <w:num w:numId="43" w16cid:durableId="1760635774">
    <w:abstractNumId w:val="17"/>
  </w:num>
  <w:num w:numId="44" w16cid:durableId="311107069">
    <w:abstractNumId w:val="40"/>
  </w:num>
  <w:num w:numId="45" w16cid:durableId="81073268">
    <w:abstractNumId w:val="47"/>
  </w:num>
  <w:num w:numId="46" w16cid:durableId="1171290419">
    <w:abstractNumId w:val="9"/>
  </w:num>
  <w:num w:numId="47" w16cid:durableId="704909598">
    <w:abstractNumId w:val="32"/>
  </w:num>
  <w:num w:numId="48" w16cid:durableId="2140493386">
    <w:abstractNumId w:val="20"/>
  </w:num>
  <w:num w:numId="49" w16cid:durableId="32385115">
    <w:abstractNumId w:val="29"/>
  </w:num>
  <w:num w:numId="50" w16cid:durableId="1604995863">
    <w:abstractNumId w:val="58"/>
  </w:num>
  <w:num w:numId="51" w16cid:durableId="299578521">
    <w:abstractNumId w:val="0"/>
  </w:num>
  <w:num w:numId="52" w16cid:durableId="728504688">
    <w:abstractNumId w:val="48"/>
  </w:num>
  <w:num w:numId="53" w16cid:durableId="548881256">
    <w:abstractNumId w:val="15"/>
  </w:num>
  <w:num w:numId="54" w16cid:durableId="977881482">
    <w:abstractNumId w:val="2"/>
  </w:num>
  <w:num w:numId="55" w16cid:durableId="796026903">
    <w:abstractNumId w:val="4"/>
  </w:num>
  <w:num w:numId="56" w16cid:durableId="1217745479">
    <w:abstractNumId w:val="55"/>
  </w:num>
  <w:num w:numId="57" w16cid:durableId="291445154">
    <w:abstractNumId w:val="5"/>
  </w:num>
  <w:num w:numId="58" w16cid:durableId="1101218807">
    <w:abstractNumId w:val="13"/>
  </w:num>
  <w:num w:numId="59" w16cid:durableId="1253390925">
    <w:abstractNumId w:val="46"/>
  </w:num>
  <w:num w:numId="60" w16cid:durableId="62529936">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17B"/>
    <w:rsid w:val="00000779"/>
    <w:rsid w:val="00001C4E"/>
    <w:rsid w:val="00001D0B"/>
    <w:rsid w:val="0000204E"/>
    <w:rsid w:val="0000226C"/>
    <w:rsid w:val="00002327"/>
    <w:rsid w:val="000027D8"/>
    <w:rsid w:val="000031A7"/>
    <w:rsid w:val="000055AA"/>
    <w:rsid w:val="00005CC6"/>
    <w:rsid w:val="00005DD1"/>
    <w:rsid w:val="00007814"/>
    <w:rsid w:val="00007AA3"/>
    <w:rsid w:val="00007DE4"/>
    <w:rsid w:val="0001035A"/>
    <w:rsid w:val="0001057F"/>
    <w:rsid w:val="0001108B"/>
    <w:rsid w:val="00012BB8"/>
    <w:rsid w:val="00012DC1"/>
    <w:rsid w:val="00012DC4"/>
    <w:rsid w:val="000134B0"/>
    <w:rsid w:val="00013786"/>
    <w:rsid w:val="00014A4A"/>
    <w:rsid w:val="00014DA3"/>
    <w:rsid w:val="00014EA7"/>
    <w:rsid w:val="00015A43"/>
    <w:rsid w:val="000161F6"/>
    <w:rsid w:val="000163DA"/>
    <w:rsid w:val="000175A6"/>
    <w:rsid w:val="000176E0"/>
    <w:rsid w:val="00020351"/>
    <w:rsid w:val="0002041E"/>
    <w:rsid w:val="000216D9"/>
    <w:rsid w:val="00023438"/>
    <w:rsid w:val="000241FE"/>
    <w:rsid w:val="00024D74"/>
    <w:rsid w:val="00024FBA"/>
    <w:rsid w:val="0002743F"/>
    <w:rsid w:val="00030247"/>
    <w:rsid w:val="00030B2E"/>
    <w:rsid w:val="00030C48"/>
    <w:rsid w:val="00031CE6"/>
    <w:rsid w:val="000331A0"/>
    <w:rsid w:val="000335BF"/>
    <w:rsid w:val="00033F46"/>
    <w:rsid w:val="00034060"/>
    <w:rsid w:val="00034D2E"/>
    <w:rsid w:val="00035F7F"/>
    <w:rsid w:val="0003646A"/>
    <w:rsid w:val="000368C4"/>
    <w:rsid w:val="00037DE4"/>
    <w:rsid w:val="00040176"/>
    <w:rsid w:val="000403AC"/>
    <w:rsid w:val="000408BC"/>
    <w:rsid w:val="000409A8"/>
    <w:rsid w:val="00040DFA"/>
    <w:rsid w:val="000415B4"/>
    <w:rsid w:val="00041E1C"/>
    <w:rsid w:val="00042104"/>
    <w:rsid w:val="00042131"/>
    <w:rsid w:val="00042303"/>
    <w:rsid w:val="00042834"/>
    <w:rsid w:val="0004502A"/>
    <w:rsid w:val="0004576F"/>
    <w:rsid w:val="00045F34"/>
    <w:rsid w:val="00046840"/>
    <w:rsid w:val="00046F62"/>
    <w:rsid w:val="00047E40"/>
    <w:rsid w:val="000504BD"/>
    <w:rsid w:val="00050D02"/>
    <w:rsid w:val="00051307"/>
    <w:rsid w:val="00051D76"/>
    <w:rsid w:val="000520B0"/>
    <w:rsid w:val="0005259A"/>
    <w:rsid w:val="00052661"/>
    <w:rsid w:val="00053A0A"/>
    <w:rsid w:val="00053D00"/>
    <w:rsid w:val="00054C18"/>
    <w:rsid w:val="00055E6A"/>
    <w:rsid w:val="0005631A"/>
    <w:rsid w:val="00057285"/>
    <w:rsid w:val="0005754A"/>
    <w:rsid w:val="00057926"/>
    <w:rsid w:val="0006100D"/>
    <w:rsid w:val="00061BEF"/>
    <w:rsid w:val="00062B28"/>
    <w:rsid w:val="00062D85"/>
    <w:rsid w:val="00062F45"/>
    <w:rsid w:val="00063275"/>
    <w:rsid w:val="00063FA2"/>
    <w:rsid w:val="0006474B"/>
    <w:rsid w:val="000650D1"/>
    <w:rsid w:val="000654F1"/>
    <w:rsid w:val="000659C9"/>
    <w:rsid w:val="00066FE9"/>
    <w:rsid w:val="00067106"/>
    <w:rsid w:val="00067181"/>
    <w:rsid w:val="000673A9"/>
    <w:rsid w:val="00067B67"/>
    <w:rsid w:val="00067C32"/>
    <w:rsid w:val="0007006D"/>
    <w:rsid w:val="000714D0"/>
    <w:rsid w:val="00071640"/>
    <w:rsid w:val="0007262A"/>
    <w:rsid w:val="00074785"/>
    <w:rsid w:val="000748AF"/>
    <w:rsid w:val="00074BD5"/>
    <w:rsid w:val="00074EF6"/>
    <w:rsid w:val="00075034"/>
    <w:rsid w:val="0007503F"/>
    <w:rsid w:val="00075382"/>
    <w:rsid w:val="000756AF"/>
    <w:rsid w:val="000757ED"/>
    <w:rsid w:val="00075DBD"/>
    <w:rsid w:val="000762C8"/>
    <w:rsid w:val="00076A1C"/>
    <w:rsid w:val="00077574"/>
    <w:rsid w:val="000777D2"/>
    <w:rsid w:val="00077BBA"/>
    <w:rsid w:val="00080249"/>
    <w:rsid w:val="0008039F"/>
    <w:rsid w:val="0008055E"/>
    <w:rsid w:val="0008078F"/>
    <w:rsid w:val="0008090A"/>
    <w:rsid w:val="00080D46"/>
    <w:rsid w:val="00080E93"/>
    <w:rsid w:val="00080F8A"/>
    <w:rsid w:val="00081E7F"/>
    <w:rsid w:val="00082259"/>
    <w:rsid w:val="0008305A"/>
    <w:rsid w:val="000831C4"/>
    <w:rsid w:val="00085DB3"/>
    <w:rsid w:val="0008603D"/>
    <w:rsid w:val="00086863"/>
    <w:rsid w:val="00086925"/>
    <w:rsid w:val="00086ECD"/>
    <w:rsid w:val="000872C6"/>
    <w:rsid w:val="00087445"/>
    <w:rsid w:val="000875BF"/>
    <w:rsid w:val="000879B5"/>
    <w:rsid w:val="00087FF1"/>
    <w:rsid w:val="00090124"/>
    <w:rsid w:val="00091093"/>
    <w:rsid w:val="00091445"/>
    <w:rsid w:val="00091D04"/>
    <w:rsid w:val="00092EC6"/>
    <w:rsid w:val="000933B7"/>
    <w:rsid w:val="00093C0F"/>
    <w:rsid w:val="00094189"/>
    <w:rsid w:val="00094776"/>
    <w:rsid w:val="00096E81"/>
    <w:rsid w:val="00097086"/>
    <w:rsid w:val="00097312"/>
    <w:rsid w:val="0009737B"/>
    <w:rsid w:val="00097673"/>
    <w:rsid w:val="000976AD"/>
    <w:rsid w:val="000A08BC"/>
    <w:rsid w:val="000A0AC7"/>
    <w:rsid w:val="000A142B"/>
    <w:rsid w:val="000A1B2E"/>
    <w:rsid w:val="000A1CE9"/>
    <w:rsid w:val="000A1D39"/>
    <w:rsid w:val="000A22BE"/>
    <w:rsid w:val="000A22F3"/>
    <w:rsid w:val="000A2689"/>
    <w:rsid w:val="000A30D1"/>
    <w:rsid w:val="000A3335"/>
    <w:rsid w:val="000A4246"/>
    <w:rsid w:val="000A5A58"/>
    <w:rsid w:val="000A6086"/>
    <w:rsid w:val="000A7138"/>
    <w:rsid w:val="000A7DFF"/>
    <w:rsid w:val="000B043A"/>
    <w:rsid w:val="000B0A2E"/>
    <w:rsid w:val="000B12B5"/>
    <w:rsid w:val="000B15DA"/>
    <w:rsid w:val="000B1B9A"/>
    <w:rsid w:val="000B1EFF"/>
    <w:rsid w:val="000B2B2A"/>
    <w:rsid w:val="000B3356"/>
    <w:rsid w:val="000B353C"/>
    <w:rsid w:val="000B3E5A"/>
    <w:rsid w:val="000B4CB2"/>
    <w:rsid w:val="000B4DB4"/>
    <w:rsid w:val="000B516B"/>
    <w:rsid w:val="000B59CA"/>
    <w:rsid w:val="000B5E9B"/>
    <w:rsid w:val="000B6F85"/>
    <w:rsid w:val="000B7AC9"/>
    <w:rsid w:val="000C0EA8"/>
    <w:rsid w:val="000C0FB1"/>
    <w:rsid w:val="000C10D2"/>
    <w:rsid w:val="000C12BA"/>
    <w:rsid w:val="000C17E4"/>
    <w:rsid w:val="000C1B0C"/>
    <w:rsid w:val="000C1BB5"/>
    <w:rsid w:val="000C24D5"/>
    <w:rsid w:val="000C263F"/>
    <w:rsid w:val="000C279F"/>
    <w:rsid w:val="000C358E"/>
    <w:rsid w:val="000C3BD2"/>
    <w:rsid w:val="000C3D57"/>
    <w:rsid w:val="000C4670"/>
    <w:rsid w:val="000C4869"/>
    <w:rsid w:val="000C648C"/>
    <w:rsid w:val="000C666B"/>
    <w:rsid w:val="000C698C"/>
    <w:rsid w:val="000D0498"/>
    <w:rsid w:val="000D0615"/>
    <w:rsid w:val="000D0683"/>
    <w:rsid w:val="000D1455"/>
    <w:rsid w:val="000D1D7A"/>
    <w:rsid w:val="000D4C67"/>
    <w:rsid w:val="000D4F1D"/>
    <w:rsid w:val="000D51B4"/>
    <w:rsid w:val="000D5869"/>
    <w:rsid w:val="000D6633"/>
    <w:rsid w:val="000D6A73"/>
    <w:rsid w:val="000D6EBD"/>
    <w:rsid w:val="000D7067"/>
    <w:rsid w:val="000E0256"/>
    <w:rsid w:val="000E0762"/>
    <w:rsid w:val="000E0867"/>
    <w:rsid w:val="000E08F7"/>
    <w:rsid w:val="000E0D02"/>
    <w:rsid w:val="000E1D56"/>
    <w:rsid w:val="000E2750"/>
    <w:rsid w:val="000E317E"/>
    <w:rsid w:val="000E3BF2"/>
    <w:rsid w:val="000E5F98"/>
    <w:rsid w:val="000E637B"/>
    <w:rsid w:val="000E6B02"/>
    <w:rsid w:val="000E6C52"/>
    <w:rsid w:val="000F0068"/>
    <w:rsid w:val="000F08C3"/>
    <w:rsid w:val="000F294E"/>
    <w:rsid w:val="000F301B"/>
    <w:rsid w:val="000F3BC8"/>
    <w:rsid w:val="000F3CDF"/>
    <w:rsid w:val="000F3FEF"/>
    <w:rsid w:val="000F5548"/>
    <w:rsid w:val="000F5D3C"/>
    <w:rsid w:val="000F67DA"/>
    <w:rsid w:val="000F6A40"/>
    <w:rsid w:val="000F71F9"/>
    <w:rsid w:val="000F7B48"/>
    <w:rsid w:val="0010131A"/>
    <w:rsid w:val="0010184E"/>
    <w:rsid w:val="00101A86"/>
    <w:rsid w:val="00101C13"/>
    <w:rsid w:val="00102955"/>
    <w:rsid w:val="00102ADC"/>
    <w:rsid w:val="00102B21"/>
    <w:rsid w:val="00102F85"/>
    <w:rsid w:val="001042D4"/>
    <w:rsid w:val="001045C5"/>
    <w:rsid w:val="001049DF"/>
    <w:rsid w:val="00104D61"/>
    <w:rsid w:val="00105B67"/>
    <w:rsid w:val="001061DE"/>
    <w:rsid w:val="00106531"/>
    <w:rsid w:val="00106EF7"/>
    <w:rsid w:val="00107A9D"/>
    <w:rsid w:val="00107AF6"/>
    <w:rsid w:val="001103F9"/>
    <w:rsid w:val="001105B8"/>
    <w:rsid w:val="00111575"/>
    <w:rsid w:val="00112162"/>
    <w:rsid w:val="00112528"/>
    <w:rsid w:val="001125C0"/>
    <w:rsid w:val="00112D74"/>
    <w:rsid w:val="001162CE"/>
    <w:rsid w:val="001164F0"/>
    <w:rsid w:val="001169D1"/>
    <w:rsid w:val="00116D7F"/>
    <w:rsid w:val="00116E3B"/>
    <w:rsid w:val="00117279"/>
    <w:rsid w:val="00117A27"/>
    <w:rsid w:val="00117A32"/>
    <w:rsid w:val="0012009D"/>
    <w:rsid w:val="001206C5"/>
    <w:rsid w:val="00121024"/>
    <w:rsid w:val="0012157B"/>
    <w:rsid w:val="00121896"/>
    <w:rsid w:val="001219DE"/>
    <w:rsid w:val="00121B86"/>
    <w:rsid w:val="00121F24"/>
    <w:rsid w:val="001227C4"/>
    <w:rsid w:val="001228AB"/>
    <w:rsid w:val="001228FA"/>
    <w:rsid w:val="00122B00"/>
    <w:rsid w:val="001230BA"/>
    <w:rsid w:val="001231DB"/>
    <w:rsid w:val="00123641"/>
    <w:rsid w:val="001245E8"/>
    <w:rsid w:val="00124952"/>
    <w:rsid w:val="00125FCA"/>
    <w:rsid w:val="00126142"/>
    <w:rsid w:val="00126B7D"/>
    <w:rsid w:val="00127F1D"/>
    <w:rsid w:val="0013020D"/>
    <w:rsid w:val="0013064E"/>
    <w:rsid w:val="00130E7B"/>
    <w:rsid w:val="001318E9"/>
    <w:rsid w:val="00131A82"/>
    <w:rsid w:val="00131B89"/>
    <w:rsid w:val="001324BA"/>
    <w:rsid w:val="00133342"/>
    <w:rsid w:val="0013398A"/>
    <w:rsid w:val="00133A11"/>
    <w:rsid w:val="00133A7C"/>
    <w:rsid w:val="00133CE7"/>
    <w:rsid w:val="00134619"/>
    <w:rsid w:val="001348B1"/>
    <w:rsid w:val="00134C4A"/>
    <w:rsid w:val="001356FC"/>
    <w:rsid w:val="00136043"/>
    <w:rsid w:val="0013778A"/>
    <w:rsid w:val="001378FB"/>
    <w:rsid w:val="00137A86"/>
    <w:rsid w:val="001400DB"/>
    <w:rsid w:val="00140187"/>
    <w:rsid w:val="00140259"/>
    <w:rsid w:val="001403E8"/>
    <w:rsid w:val="001406B5"/>
    <w:rsid w:val="00141E0E"/>
    <w:rsid w:val="00141EB2"/>
    <w:rsid w:val="00142D22"/>
    <w:rsid w:val="0014335C"/>
    <w:rsid w:val="00143640"/>
    <w:rsid w:val="00144B5C"/>
    <w:rsid w:val="00144DFA"/>
    <w:rsid w:val="00145103"/>
    <w:rsid w:val="001451C6"/>
    <w:rsid w:val="00145225"/>
    <w:rsid w:val="001455DA"/>
    <w:rsid w:val="00145A1C"/>
    <w:rsid w:val="00146096"/>
    <w:rsid w:val="001464A3"/>
    <w:rsid w:val="00146A0A"/>
    <w:rsid w:val="00146E06"/>
    <w:rsid w:val="00150DB2"/>
    <w:rsid w:val="00151425"/>
    <w:rsid w:val="00151B55"/>
    <w:rsid w:val="00151C57"/>
    <w:rsid w:val="00152119"/>
    <w:rsid w:val="001521EE"/>
    <w:rsid w:val="001527C5"/>
    <w:rsid w:val="0015311D"/>
    <w:rsid w:val="00153590"/>
    <w:rsid w:val="00153D24"/>
    <w:rsid w:val="0015488A"/>
    <w:rsid w:val="00154BFB"/>
    <w:rsid w:val="001550B0"/>
    <w:rsid w:val="00156758"/>
    <w:rsid w:val="00156BDF"/>
    <w:rsid w:val="00156CD3"/>
    <w:rsid w:val="001573BB"/>
    <w:rsid w:val="001574D2"/>
    <w:rsid w:val="00157953"/>
    <w:rsid w:val="001601A0"/>
    <w:rsid w:val="00160E7E"/>
    <w:rsid w:val="0016198B"/>
    <w:rsid w:val="00161B03"/>
    <w:rsid w:val="00161B86"/>
    <w:rsid w:val="00162C81"/>
    <w:rsid w:val="001636B3"/>
    <w:rsid w:val="00164040"/>
    <w:rsid w:val="00164266"/>
    <w:rsid w:val="001642A3"/>
    <w:rsid w:val="001642E3"/>
    <w:rsid w:val="00164518"/>
    <w:rsid w:val="001645E3"/>
    <w:rsid w:val="001648DE"/>
    <w:rsid w:val="00164CA6"/>
    <w:rsid w:val="001651EE"/>
    <w:rsid w:val="0016687F"/>
    <w:rsid w:val="00166E3F"/>
    <w:rsid w:val="00167352"/>
    <w:rsid w:val="00167CA4"/>
    <w:rsid w:val="00170319"/>
    <w:rsid w:val="001706CC"/>
    <w:rsid w:val="001706D3"/>
    <w:rsid w:val="00170A23"/>
    <w:rsid w:val="00171172"/>
    <w:rsid w:val="001721E8"/>
    <w:rsid w:val="001722BA"/>
    <w:rsid w:val="00172A1D"/>
    <w:rsid w:val="00173FCF"/>
    <w:rsid w:val="001743FA"/>
    <w:rsid w:val="00175A8F"/>
    <w:rsid w:val="001762EF"/>
    <w:rsid w:val="00176927"/>
    <w:rsid w:val="00176ABA"/>
    <w:rsid w:val="0018005B"/>
    <w:rsid w:val="00180655"/>
    <w:rsid w:val="0018074E"/>
    <w:rsid w:val="00180EB4"/>
    <w:rsid w:val="00181DB1"/>
    <w:rsid w:val="00181FB9"/>
    <w:rsid w:val="00182623"/>
    <w:rsid w:val="00182F67"/>
    <w:rsid w:val="00183099"/>
    <w:rsid w:val="001830BF"/>
    <w:rsid w:val="001835C7"/>
    <w:rsid w:val="001836A6"/>
    <w:rsid w:val="001837F8"/>
    <w:rsid w:val="00183B9E"/>
    <w:rsid w:val="00183F21"/>
    <w:rsid w:val="00184A4D"/>
    <w:rsid w:val="00185344"/>
    <w:rsid w:val="00185521"/>
    <w:rsid w:val="00185D69"/>
    <w:rsid w:val="00186C07"/>
    <w:rsid w:val="00186D55"/>
    <w:rsid w:val="0018727A"/>
    <w:rsid w:val="00187A5E"/>
    <w:rsid w:val="00187C0A"/>
    <w:rsid w:val="00187E40"/>
    <w:rsid w:val="00190305"/>
    <w:rsid w:val="00190A56"/>
    <w:rsid w:val="0019217B"/>
    <w:rsid w:val="00192373"/>
    <w:rsid w:val="00192A22"/>
    <w:rsid w:val="00193C0E"/>
    <w:rsid w:val="00194061"/>
    <w:rsid w:val="00195100"/>
    <w:rsid w:val="00195A2B"/>
    <w:rsid w:val="00195AD4"/>
    <w:rsid w:val="00195F54"/>
    <w:rsid w:val="001970E8"/>
    <w:rsid w:val="00197386"/>
    <w:rsid w:val="001975FC"/>
    <w:rsid w:val="00197D27"/>
    <w:rsid w:val="001A0382"/>
    <w:rsid w:val="001A061B"/>
    <w:rsid w:val="001A0625"/>
    <w:rsid w:val="001A132E"/>
    <w:rsid w:val="001A1549"/>
    <w:rsid w:val="001A179F"/>
    <w:rsid w:val="001A1EEA"/>
    <w:rsid w:val="001A2312"/>
    <w:rsid w:val="001A273D"/>
    <w:rsid w:val="001A27FE"/>
    <w:rsid w:val="001A3691"/>
    <w:rsid w:val="001A3B80"/>
    <w:rsid w:val="001A3E83"/>
    <w:rsid w:val="001A4014"/>
    <w:rsid w:val="001A4116"/>
    <w:rsid w:val="001A469B"/>
    <w:rsid w:val="001A47B9"/>
    <w:rsid w:val="001A511B"/>
    <w:rsid w:val="001A66DA"/>
    <w:rsid w:val="001A6B4F"/>
    <w:rsid w:val="001A7086"/>
    <w:rsid w:val="001A73AD"/>
    <w:rsid w:val="001A7D9F"/>
    <w:rsid w:val="001B1062"/>
    <w:rsid w:val="001B13BF"/>
    <w:rsid w:val="001B1D77"/>
    <w:rsid w:val="001B2439"/>
    <w:rsid w:val="001B2A2B"/>
    <w:rsid w:val="001B2A80"/>
    <w:rsid w:val="001B2FB4"/>
    <w:rsid w:val="001B3787"/>
    <w:rsid w:val="001B3840"/>
    <w:rsid w:val="001B3B16"/>
    <w:rsid w:val="001B3BD0"/>
    <w:rsid w:val="001B40D9"/>
    <w:rsid w:val="001B4D2A"/>
    <w:rsid w:val="001B63D9"/>
    <w:rsid w:val="001B7075"/>
    <w:rsid w:val="001B7808"/>
    <w:rsid w:val="001B7B89"/>
    <w:rsid w:val="001B7D1A"/>
    <w:rsid w:val="001C04D3"/>
    <w:rsid w:val="001C1043"/>
    <w:rsid w:val="001C1D35"/>
    <w:rsid w:val="001C1E75"/>
    <w:rsid w:val="001C2165"/>
    <w:rsid w:val="001C2E86"/>
    <w:rsid w:val="001C46D7"/>
    <w:rsid w:val="001C527B"/>
    <w:rsid w:val="001C5B56"/>
    <w:rsid w:val="001C5C67"/>
    <w:rsid w:val="001C5EC8"/>
    <w:rsid w:val="001C66C0"/>
    <w:rsid w:val="001C6CD0"/>
    <w:rsid w:val="001C70FE"/>
    <w:rsid w:val="001C714D"/>
    <w:rsid w:val="001C754D"/>
    <w:rsid w:val="001D02DD"/>
    <w:rsid w:val="001D0319"/>
    <w:rsid w:val="001D07E3"/>
    <w:rsid w:val="001D0ACA"/>
    <w:rsid w:val="001D0BF7"/>
    <w:rsid w:val="001D2890"/>
    <w:rsid w:val="001D3D7F"/>
    <w:rsid w:val="001D3DDF"/>
    <w:rsid w:val="001D3FCD"/>
    <w:rsid w:val="001D4A43"/>
    <w:rsid w:val="001D5195"/>
    <w:rsid w:val="001D569D"/>
    <w:rsid w:val="001D5705"/>
    <w:rsid w:val="001D6660"/>
    <w:rsid w:val="001D6EF7"/>
    <w:rsid w:val="001D7284"/>
    <w:rsid w:val="001D7763"/>
    <w:rsid w:val="001D78E2"/>
    <w:rsid w:val="001D795B"/>
    <w:rsid w:val="001E04FA"/>
    <w:rsid w:val="001E071F"/>
    <w:rsid w:val="001E0AAF"/>
    <w:rsid w:val="001E1B36"/>
    <w:rsid w:val="001E1E62"/>
    <w:rsid w:val="001E21FA"/>
    <w:rsid w:val="001E27E9"/>
    <w:rsid w:val="001E2AB0"/>
    <w:rsid w:val="001E38A7"/>
    <w:rsid w:val="001E3F3B"/>
    <w:rsid w:val="001E42F4"/>
    <w:rsid w:val="001E46FD"/>
    <w:rsid w:val="001E4B9C"/>
    <w:rsid w:val="001E4D8C"/>
    <w:rsid w:val="001E5536"/>
    <w:rsid w:val="001E5D03"/>
    <w:rsid w:val="001E6CEF"/>
    <w:rsid w:val="001E6DCE"/>
    <w:rsid w:val="001E6E99"/>
    <w:rsid w:val="001F0EAB"/>
    <w:rsid w:val="001F21FA"/>
    <w:rsid w:val="001F2405"/>
    <w:rsid w:val="001F2886"/>
    <w:rsid w:val="001F2AC4"/>
    <w:rsid w:val="001F4916"/>
    <w:rsid w:val="001F4A3E"/>
    <w:rsid w:val="001F5158"/>
    <w:rsid w:val="001F59FD"/>
    <w:rsid w:val="001F5A18"/>
    <w:rsid w:val="001F69BB"/>
    <w:rsid w:val="002009F4"/>
    <w:rsid w:val="00200CF5"/>
    <w:rsid w:val="002017E6"/>
    <w:rsid w:val="00201D83"/>
    <w:rsid w:val="00203858"/>
    <w:rsid w:val="00203D29"/>
    <w:rsid w:val="00204B9A"/>
    <w:rsid w:val="00204E56"/>
    <w:rsid w:val="00204ECA"/>
    <w:rsid w:val="00204FC7"/>
    <w:rsid w:val="002053A4"/>
    <w:rsid w:val="00205739"/>
    <w:rsid w:val="00205D20"/>
    <w:rsid w:val="00205E1C"/>
    <w:rsid w:val="0020650C"/>
    <w:rsid w:val="002067C1"/>
    <w:rsid w:val="00207CB8"/>
    <w:rsid w:val="002102FF"/>
    <w:rsid w:val="002110DA"/>
    <w:rsid w:val="002118D8"/>
    <w:rsid w:val="00211B01"/>
    <w:rsid w:val="00211D6A"/>
    <w:rsid w:val="00211FC2"/>
    <w:rsid w:val="002128C9"/>
    <w:rsid w:val="002129DB"/>
    <w:rsid w:val="00212AB9"/>
    <w:rsid w:val="00213920"/>
    <w:rsid w:val="002141FA"/>
    <w:rsid w:val="0021479B"/>
    <w:rsid w:val="002147BA"/>
    <w:rsid w:val="002152F8"/>
    <w:rsid w:val="002169B4"/>
    <w:rsid w:val="00216A76"/>
    <w:rsid w:val="00220069"/>
    <w:rsid w:val="00220577"/>
    <w:rsid w:val="00221308"/>
    <w:rsid w:val="00221C59"/>
    <w:rsid w:val="00221D1D"/>
    <w:rsid w:val="0022200A"/>
    <w:rsid w:val="0022219C"/>
    <w:rsid w:val="00222316"/>
    <w:rsid w:val="0022246E"/>
    <w:rsid w:val="0022332D"/>
    <w:rsid w:val="0022477C"/>
    <w:rsid w:val="0022546E"/>
    <w:rsid w:val="00225AD0"/>
    <w:rsid w:val="00225C3B"/>
    <w:rsid w:val="002271B7"/>
    <w:rsid w:val="00227341"/>
    <w:rsid w:val="002274E3"/>
    <w:rsid w:val="00230080"/>
    <w:rsid w:val="002305B4"/>
    <w:rsid w:val="00231DE3"/>
    <w:rsid w:val="0023206A"/>
    <w:rsid w:val="002320F4"/>
    <w:rsid w:val="00232727"/>
    <w:rsid w:val="002330CA"/>
    <w:rsid w:val="002333F2"/>
    <w:rsid w:val="00233A5D"/>
    <w:rsid w:val="002340DE"/>
    <w:rsid w:val="00234CE2"/>
    <w:rsid w:val="00235162"/>
    <w:rsid w:val="002358EC"/>
    <w:rsid w:val="00236240"/>
    <w:rsid w:val="00236313"/>
    <w:rsid w:val="0023665D"/>
    <w:rsid w:val="00236B6B"/>
    <w:rsid w:val="00236CFF"/>
    <w:rsid w:val="00237C83"/>
    <w:rsid w:val="002409DC"/>
    <w:rsid w:val="00240AE6"/>
    <w:rsid w:val="00241591"/>
    <w:rsid w:val="0024346F"/>
    <w:rsid w:val="00243661"/>
    <w:rsid w:val="002445D4"/>
    <w:rsid w:val="00244727"/>
    <w:rsid w:val="0024526D"/>
    <w:rsid w:val="002458DC"/>
    <w:rsid w:val="0024699E"/>
    <w:rsid w:val="00246BA3"/>
    <w:rsid w:val="00246BE5"/>
    <w:rsid w:val="00247862"/>
    <w:rsid w:val="00247C34"/>
    <w:rsid w:val="00250153"/>
    <w:rsid w:val="00250892"/>
    <w:rsid w:val="00251E47"/>
    <w:rsid w:val="002522A4"/>
    <w:rsid w:val="00253774"/>
    <w:rsid w:val="00253FC5"/>
    <w:rsid w:val="0025506E"/>
    <w:rsid w:val="00255212"/>
    <w:rsid w:val="00255EEB"/>
    <w:rsid w:val="00256219"/>
    <w:rsid w:val="0025647A"/>
    <w:rsid w:val="00256ABA"/>
    <w:rsid w:val="00256B69"/>
    <w:rsid w:val="00256C37"/>
    <w:rsid w:val="00257E92"/>
    <w:rsid w:val="002608DD"/>
    <w:rsid w:val="002614CF"/>
    <w:rsid w:val="002618C3"/>
    <w:rsid w:val="00262270"/>
    <w:rsid w:val="002654B7"/>
    <w:rsid w:val="002658E5"/>
    <w:rsid w:val="00265C62"/>
    <w:rsid w:val="00265C78"/>
    <w:rsid w:val="00267278"/>
    <w:rsid w:val="00267359"/>
    <w:rsid w:val="00270100"/>
    <w:rsid w:val="00271237"/>
    <w:rsid w:val="00271CD3"/>
    <w:rsid w:val="002720DE"/>
    <w:rsid w:val="00273336"/>
    <w:rsid w:val="0027444D"/>
    <w:rsid w:val="00274789"/>
    <w:rsid w:val="002758DD"/>
    <w:rsid w:val="00276F96"/>
    <w:rsid w:val="00277D54"/>
    <w:rsid w:val="0028006B"/>
    <w:rsid w:val="00280918"/>
    <w:rsid w:val="0028133D"/>
    <w:rsid w:val="00281D0D"/>
    <w:rsid w:val="00281E47"/>
    <w:rsid w:val="0028340E"/>
    <w:rsid w:val="002858A8"/>
    <w:rsid w:val="0028593C"/>
    <w:rsid w:val="00285EC8"/>
    <w:rsid w:val="00286DE1"/>
    <w:rsid w:val="002870C1"/>
    <w:rsid w:val="002912EA"/>
    <w:rsid w:val="0029134D"/>
    <w:rsid w:val="002918EB"/>
    <w:rsid w:val="002919CC"/>
    <w:rsid w:val="00291CBB"/>
    <w:rsid w:val="00291E54"/>
    <w:rsid w:val="00291F5E"/>
    <w:rsid w:val="00292D36"/>
    <w:rsid w:val="0029309B"/>
    <w:rsid w:val="00294544"/>
    <w:rsid w:val="002945AB"/>
    <w:rsid w:val="002946A6"/>
    <w:rsid w:val="00295235"/>
    <w:rsid w:val="002961A6"/>
    <w:rsid w:val="002965C8"/>
    <w:rsid w:val="0029685A"/>
    <w:rsid w:val="002A0B60"/>
    <w:rsid w:val="002A0D91"/>
    <w:rsid w:val="002A0E54"/>
    <w:rsid w:val="002A1DE4"/>
    <w:rsid w:val="002A32A9"/>
    <w:rsid w:val="002A3770"/>
    <w:rsid w:val="002A53E3"/>
    <w:rsid w:val="002A541B"/>
    <w:rsid w:val="002A55DD"/>
    <w:rsid w:val="002A6005"/>
    <w:rsid w:val="002A68FD"/>
    <w:rsid w:val="002A75E0"/>
    <w:rsid w:val="002B0BEF"/>
    <w:rsid w:val="002B1A7D"/>
    <w:rsid w:val="002B20D3"/>
    <w:rsid w:val="002B3358"/>
    <w:rsid w:val="002B3A68"/>
    <w:rsid w:val="002B3ED5"/>
    <w:rsid w:val="002B4198"/>
    <w:rsid w:val="002B4818"/>
    <w:rsid w:val="002B513A"/>
    <w:rsid w:val="002B541A"/>
    <w:rsid w:val="002B5E99"/>
    <w:rsid w:val="002B5F4C"/>
    <w:rsid w:val="002B6D68"/>
    <w:rsid w:val="002B713B"/>
    <w:rsid w:val="002C049B"/>
    <w:rsid w:val="002C078A"/>
    <w:rsid w:val="002C0930"/>
    <w:rsid w:val="002C1618"/>
    <w:rsid w:val="002C1A28"/>
    <w:rsid w:val="002C22A2"/>
    <w:rsid w:val="002C2498"/>
    <w:rsid w:val="002C2DF7"/>
    <w:rsid w:val="002C2EB3"/>
    <w:rsid w:val="002C2EEF"/>
    <w:rsid w:val="002C3069"/>
    <w:rsid w:val="002C4A29"/>
    <w:rsid w:val="002C5518"/>
    <w:rsid w:val="002C63E7"/>
    <w:rsid w:val="002C76BD"/>
    <w:rsid w:val="002C76C1"/>
    <w:rsid w:val="002C7759"/>
    <w:rsid w:val="002C78AA"/>
    <w:rsid w:val="002C78AF"/>
    <w:rsid w:val="002C7A11"/>
    <w:rsid w:val="002C7DB6"/>
    <w:rsid w:val="002D0257"/>
    <w:rsid w:val="002D093B"/>
    <w:rsid w:val="002D0C71"/>
    <w:rsid w:val="002D1593"/>
    <w:rsid w:val="002D19F3"/>
    <w:rsid w:val="002D1C4D"/>
    <w:rsid w:val="002D1D21"/>
    <w:rsid w:val="002D2D64"/>
    <w:rsid w:val="002D371A"/>
    <w:rsid w:val="002D3725"/>
    <w:rsid w:val="002D3BBC"/>
    <w:rsid w:val="002D3CC6"/>
    <w:rsid w:val="002D45BB"/>
    <w:rsid w:val="002D4890"/>
    <w:rsid w:val="002D4A06"/>
    <w:rsid w:val="002D4B69"/>
    <w:rsid w:val="002D53C8"/>
    <w:rsid w:val="002D5B95"/>
    <w:rsid w:val="002D5C94"/>
    <w:rsid w:val="002D6469"/>
    <w:rsid w:val="002D65D3"/>
    <w:rsid w:val="002D69FA"/>
    <w:rsid w:val="002D6F97"/>
    <w:rsid w:val="002D798E"/>
    <w:rsid w:val="002D7A04"/>
    <w:rsid w:val="002E0EB1"/>
    <w:rsid w:val="002E1734"/>
    <w:rsid w:val="002E1DCA"/>
    <w:rsid w:val="002E21F8"/>
    <w:rsid w:val="002E2CD8"/>
    <w:rsid w:val="002E3271"/>
    <w:rsid w:val="002E3A6C"/>
    <w:rsid w:val="002E3F10"/>
    <w:rsid w:val="002E50A0"/>
    <w:rsid w:val="002E5BF3"/>
    <w:rsid w:val="002E65C2"/>
    <w:rsid w:val="002E6912"/>
    <w:rsid w:val="002E6A92"/>
    <w:rsid w:val="002E6C10"/>
    <w:rsid w:val="002E7C95"/>
    <w:rsid w:val="002F0078"/>
    <w:rsid w:val="002F042B"/>
    <w:rsid w:val="002F0C7B"/>
    <w:rsid w:val="002F0E58"/>
    <w:rsid w:val="002F0F65"/>
    <w:rsid w:val="002F11FE"/>
    <w:rsid w:val="002F185F"/>
    <w:rsid w:val="002F1AEC"/>
    <w:rsid w:val="002F1D51"/>
    <w:rsid w:val="002F2D31"/>
    <w:rsid w:val="002F2E91"/>
    <w:rsid w:val="002F3753"/>
    <w:rsid w:val="002F3980"/>
    <w:rsid w:val="002F3997"/>
    <w:rsid w:val="002F3F74"/>
    <w:rsid w:val="002F43F9"/>
    <w:rsid w:val="002F4712"/>
    <w:rsid w:val="002F5097"/>
    <w:rsid w:val="002F55E7"/>
    <w:rsid w:val="002F56CE"/>
    <w:rsid w:val="002F5B92"/>
    <w:rsid w:val="002F5CD1"/>
    <w:rsid w:val="002F5D42"/>
    <w:rsid w:val="002F5EAE"/>
    <w:rsid w:val="002F6163"/>
    <w:rsid w:val="002F66DB"/>
    <w:rsid w:val="002F6768"/>
    <w:rsid w:val="002F71D1"/>
    <w:rsid w:val="002F7B84"/>
    <w:rsid w:val="002F7D61"/>
    <w:rsid w:val="00300F17"/>
    <w:rsid w:val="003025F3"/>
    <w:rsid w:val="0030282B"/>
    <w:rsid w:val="0030286A"/>
    <w:rsid w:val="00303A82"/>
    <w:rsid w:val="00303EB2"/>
    <w:rsid w:val="00304443"/>
    <w:rsid w:val="00304DC8"/>
    <w:rsid w:val="00305523"/>
    <w:rsid w:val="0030622C"/>
    <w:rsid w:val="00306397"/>
    <w:rsid w:val="003077C2"/>
    <w:rsid w:val="00310DC5"/>
    <w:rsid w:val="00310FA2"/>
    <w:rsid w:val="0031176E"/>
    <w:rsid w:val="00311E33"/>
    <w:rsid w:val="00312D14"/>
    <w:rsid w:val="00313271"/>
    <w:rsid w:val="003139DC"/>
    <w:rsid w:val="003141FA"/>
    <w:rsid w:val="0031519F"/>
    <w:rsid w:val="00315986"/>
    <w:rsid w:val="00315BD0"/>
    <w:rsid w:val="00315CC5"/>
    <w:rsid w:val="00316061"/>
    <w:rsid w:val="00316630"/>
    <w:rsid w:val="00317BA7"/>
    <w:rsid w:val="00317CCC"/>
    <w:rsid w:val="00317EBC"/>
    <w:rsid w:val="00320359"/>
    <w:rsid w:val="003206C4"/>
    <w:rsid w:val="00321AEC"/>
    <w:rsid w:val="00321B1F"/>
    <w:rsid w:val="00322581"/>
    <w:rsid w:val="00322795"/>
    <w:rsid w:val="00322FD3"/>
    <w:rsid w:val="00323257"/>
    <w:rsid w:val="00324270"/>
    <w:rsid w:val="00325871"/>
    <w:rsid w:val="003259D8"/>
    <w:rsid w:val="00326701"/>
    <w:rsid w:val="00327050"/>
    <w:rsid w:val="003279AA"/>
    <w:rsid w:val="00327AB3"/>
    <w:rsid w:val="0033059A"/>
    <w:rsid w:val="00330AD7"/>
    <w:rsid w:val="0033107E"/>
    <w:rsid w:val="00331478"/>
    <w:rsid w:val="00331587"/>
    <w:rsid w:val="00331997"/>
    <w:rsid w:val="00331D5B"/>
    <w:rsid w:val="00332E43"/>
    <w:rsid w:val="00333327"/>
    <w:rsid w:val="00333396"/>
    <w:rsid w:val="00333807"/>
    <w:rsid w:val="00333A38"/>
    <w:rsid w:val="00334056"/>
    <w:rsid w:val="003342C9"/>
    <w:rsid w:val="00334C25"/>
    <w:rsid w:val="00334F2A"/>
    <w:rsid w:val="00335976"/>
    <w:rsid w:val="00335CFF"/>
    <w:rsid w:val="00335DD3"/>
    <w:rsid w:val="00336167"/>
    <w:rsid w:val="00337609"/>
    <w:rsid w:val="00337695"/>
    <w:rsid w:val="00337BFE"/>
    <w:rsid w:val="00340E49"/>
    <w:rsid w:val="0034176B"/>
    <w:rsid w:val="00342105"/>
    <w:rsid w:val="00342391"/>
    <w:rsid w:val="0034319D"/>
    <w:rsid w:val="00343571"/>
    <w:rsid w:val="00343929"/>
    <w:rsid w:val="00343FB3"/>
    <w:rsid w:val="003443D0"/>
    <w:rsid w:val="003445F4"/>
    <w:rsid w:val="00345449"/>
    <w:rsid w:val="00345641"/>
    <w:rsid w:val="003456B0"/>
    <w:rsid w:val="00345AF6"/>
    <w:rsid w:val="003464A7"/>
    <w:rsid w:val="00346B20"/>
    <w:rsid w:val="00346BB8"/>
    <w:rsid w:val="00347136"/>
    <w:rsid w:val="00347E13"/>
    <w:rsid w:val="00350E88"/>
    <w:rsid w:val="00350F54"/>
    <w:rsid w:val="00351054"/>
    <w:rsid w:val="00351C76"/>
    <w:rsid w:val="00352933"/>
    <w:rsid w:val="00354804"/>
    <w:rsid w:val="00354CEA"/>
    <w:rsid w:val="00355152"/>
    <w:rsid w:val="003553B6"/>
    <w:rsid w:val="003557AE"/>
    <w:rsid w:val="00355DBD"/>
    <w:rsid w:val="003563AC"/>
    <w:rsid w:val="00356596"/>
    <w:rsid w:val="00357C8A"/>
    <w:rsid w:val="003606EC"/>
    <w:rsid w:val="00360D33"/>
    <w:rsid w:val="00361321"/>
    <w:rsid w:val="00362693"/>
    <w:rsid w:val="003627E3"/>
    <w:rsid w:val="00362B20"/>
    <w:rsid w:val="00362C7D"/>
    <w:rsid w:val="00363699"/>
    <w:rsid w:val="0036439B"/>
    <w:rsid w:val="0036471A"/>
    <w:rsid w:val="00364BFD"/>
    <w:rsid w:val="00365696"/>
    <w:rsid w:val="003657CF"/>
    <w:rsid w:val="003673E2"/>
    <w:rsid w:val="00367476"/>
    <w:rsid w:val="003704F5"/>
    <w:rsid w:val="003709AA"/>
    <w:rsid w:val="00370F3D"/>
    <w:rsid w:val="00371680"/>
    <w:rsid w:val="00371812"/>
    <w:rsid w:val="00371B43"/>
    <w:rsid w:val="00371C68"/>
    <w:rsid w:val="0037288B"/>
    <w:rsid w:val="00373095"/>
    <w:rsid w:val="003735A6"/>
    <w:rsid w:val="0037362C"/>
    <w:rsid w:val="0037404F"/>
    <w:rsid w:val="00374557"/>
    <w:rsid w:val="00374C03"/>
    <w:rsid w:val="003752ED"/>
    <w:rsid w:val="0037593E"/>
    <w:rsid w:val="00376039"/>
    <w:rsid w:val="00376674"/>
    <w:rsid w:val="00377607"/>
    <w:rsid w:val="00377634"/>
    <w:rsid w:val="00377C4F"/>
    <w:rsid w:val="00380AFD"/>
    <w:rsid w:val="0038431E"/>
    <w:rsid w:val="00384FCD"/>
    <w:rsid w:val="003868CC"/>
    <w:rsid w:val="00386E14"/>
    <w:rsid w:val="0038727A"/>
    <w:rsid w:val="0038776F"/>
    <w:rsid w:val="003909D4"/>
    <w:rsid w:val="0039132A"/>
    <w:rsid w:val="00391384"/>
    <w:rsid w:val="0039326F"/>
    <w:rsid w:val="00393727"/>
    <w:rsid w:val="00394212"/>
    <w:rsid w:val="003945C5"/>
    <w:rsid w:val="0039551A"/>
    <w:rsid w:val="0039593E"/>
    <w:rsid w:val="0039628A"/>
    <w:rsid w:val="00397238"/>
    <w:rsid w:val="00397456"/>
    <w:rsid w:val="00397B4E"/>
    <w:rsid w:val="00397CB6"/>
    <w:rsid w:val="00397F84"/>
    <w:rsid w:val="003A0960"/>
    <w:rsid w:val="003A0DCC"/>
    <w:rsid w:val="003A14C2"/>
    <w:rsid w:val="003A168B"/>
    <w:rsid w:val="003A2611"/>
    <w:rsid w:val="003A2688"/>
    <w:rsid w:val="003A3717"/>
    <w:rsid w:val="003A3BCA"/>
    <w:rsid w:val="003A3F0B"/>
    <w:rsid w:val="003A3F44"/>
    <w:rsid w:val="003A4383"/>
    <w:rsid w:val="003A4690"/>
    <w:rsid w:val="003A50F6"/>
    <w:rsid w:val="003A5A0E"/>
    <w:rsid w:val="003A5C47"/>
    <w:rsid w:val="003A6F3A"/>
    <w:rsid w:val="003A7397"/>
    <w:rsid w:val="003A74E1"/>
    <w:rsid w:val="003A7860"/>
    <w:rsid w:val="003B07A0"/>
    <w:rsid w:val="003B07C0"/>
    <w:rsid w:val="003B5EC9"/>
    <w:rsid w:val="003B6491"/>
    <w:rsid w:val="003B64DC"/>
    <w:rsid w:val="003B672D"/>
    <w:rsid w:val="003B6E77"/>
    <w:rsid w:val="003B73B3"/>
    <w:rsid w:val="003C092E"/>
    <w:rsid w:val="003C1F22"/>
    <w:rsid w:val="003C20CB"/>
    <w:rsid w:val="003C299A"/>
    <w:rsid w:val="003C33B3"/>
    <w:rsid w:val="003C38CB"/>
    <w:rsid w:val="003C3B77"/>
    <w:rsid w:val="003C3E93"/>
    <w:rsid w:val="003C488D"/>
    <w:rsid w:val="003C51D5"/>
    <w:rsid w:val="003C51D6"/>
    <w:rsid w:val="003C58B1"/>
    <w:rsid w:val="003C6B5E"/>
    <w:rsid w:val="003C6DF2"/>
    <w:rsid w:val="003C7C9C"/>
    <w:rsid w:val="003D06BA"/>
    <w:rsid w:val="003D0A14"/>
    <w:rsid w:val="003D0FCE"/>
    <w:rsid w:val="003D14D9"/>
    <w:rsid w:val="003D2153"/>
    <w:rsid w:val="003D2634"/>
    <w:rsid w:val="003D32B4"/>
    <w:rsid w:val="003D343C"/>
    <w:rsid w:val="003D3A42"/>
    <w:rsid w:val="003D42DD"/>
    <w:rsid w:val="003D458C"/>
    <w:rsid w:val="003D4A24"/>
    <w:rsid w:val="003D4D2E"/>
    <w:rsid w:val="003D50F0"/>
    <w:rsid w:val="003D53D8"/>
    <w:rsid w:val="003D5C57"/>
    <w:rsid w:val="003D604E"/>
    <w:rsid w:val="003D62DB"/>
    <w:rsid w:val="003D63C9"/>
    <w:rsid w:val="003E06A4"/>
    <w:rsid w:val="003E13DB"/>
    <w:rsid w:val="003E15EF"/>
    <w:rsid w:val="003E1B15"/>
    <w:rsid w:val="003E1B85"/>
    <w:rsid w:val="003E25A9"/>
    <w:rsid w:val="003E359F"/>
    <w:rsid w:val="003E3870"/>
    <w:rsid w:val="003E47BE"/>
    <w:rsid w:val="003E4B69"/>
    <w:rsid w:val="003E733C"/>
    <w:rsid w:val="003F00A7"/>
    <w:rsid w:val="003F01E9"/>
    <w:rsid w:val="003F0B3A"/>
    <w:rsid w:val="003F0B3E"/>
    <w:rsid w:val="003F1374"/>
    <w:rsid w:val="003F1897"/>
    <w:rsid w:val="003F243C"/>
    <w:rsid w:val="003F2A45"/>
    <w:rsid w:val="003F2BDB"/>
    <w:rsid w:val="003F4A8A"/>
    <w:rsid w:val="003F4DB9"/>
    <w:rsid w:val="003F4F1C"/>
    <w:rsid w:val="003F50A6"/>
    <w:rsid w:val="003F62F6"/>
    <w:rsid w:val="003F6CCD"/>
    <w:rsid w:val="003F707A"/>
    <w:rsid w:val="003F76B6"/>
    <w:rsid w:val="003F7877"/>
    <w:rsid w:val="00400D29"/>
    <w:rsid w:val="004012C5"/>
    <w:rsid w:val="004019A9"/>
    <w:rsid w:val="004019B2"/>
    <w:rsid w:val="00401BF2"/>
    <w:rsid w:val="00402B58"/>
    <w:rsid w:val="00402D65"/>
    <w:rsid w:val="004035FF"/>
    <w:rsid w:val="0040401D"/>
    <w:rsid w:val="0040496E"/>
    <w:rsid w:val="00405DAE"/>
    <w:rsid w:val="004061BE"/>
    <w:rsid w:val="00406223"/>
    <w:rsid w:val="00406AEB"/>
    <w:rsid w:val="00406F83"/>
    <w:rsid w:val="00407B40"/>
    <w:rsid w:val="004111B8"/>
    <w:rsid w:val="00412408"/>
    <w:rsid w:val="00412411"/>
    <w:rsid w:val="00412C66"/>
    <w:rsid w:val="00412CEC"/>
    <w:rsid w:val="00412DC2"/>
    <w:rsid w:val="00413022"/>
    <w:rsid w:val="00413E43"/>
    <w:rsid w:val="0041402E"/>
    <w:rsid w:val="00414279"/>
    <w:rsid w:val="004145BF"/>
    <w:rsid w:val="00415371"/>
    <w:rsid w:val="00415CB6"/>
    <w:rsid w:val="00415D04"/>
    <w:rsid w:val="00416230"/>
    <w:rsid w:val="00416EEA"/>
    <w:rsid w:val="00417295"/>
    <w:rsid w:val="0041785E"/>
    <w:rsid w:val="00420639"/>
    <w:rsid w:val="004206CC"/>
    <w:rsid w:val="00420848"/>
    <w:rsid w:val="00420A15"/>
    <w:rsid w:val="00420BA7"/>
    <w:rsid w:val="00420C0C"/>
    <w:rsid w:val="00420E05"/>
    <w:rsid w:val="0042100B"/>
    <w:rsid w:val="004227CE"/>
    <w:rsid w:val="00422F89"/>
    <w:rsid w:val="00423DF9"/>
    <w:rsid w:val="004240FA"/>
    <w:rsid w:val="00424F90"/>
    <w:rsid w:val="004250EE"/>
    <w:rsid w:val="00425586"/>
    <w:rsid w:val="0042560C"/>
    <w:rsid w:val="004263D3"/>
    <w:rsid w:val="00426C06"/>
    <w:rsid w:val="004271A7"/>
    <w:rsid w:val="00427E97"/>
    <w:rsid w:val="00427F21"/>
    <w:rsid w:val="00427F5C"/>
    <w:rsid w:val="00427FFA"/>
    <w:rsid w:val="0043090F"/>
    <w:rsid w:val="00431743"/>
    <w:rsid w:val="00431A6C"/>
    <w:rsid w:val="00432D38"/>
    <w:rsid w:val="00432EAA"/>
    <w:rsid w:val="0043338E"/>
    <w:rsid w:val="00433FF4"/>
    <w:rsid w:val="004342A7"/>
    <w:rsid w:val="00434A31"/>
    <w:rsid w:val="0043516F"/>
    <w:rsid w:val="004356C4"/>
    <w:rsid w:val="00435E52"/>
    <w:rsid w:val="004360D9"/>
    <w:rsid w:val="00436A33"/>
    <w:rsid w:val="00437672"/>
    <w:rsid w:val="0044022C"/>
    <w:rsid w:val="00440361"/>
    <w:rsid w:val="00441395"/>
    <w:rsid w:val="0044178B"/>
    <w:rsid w:val="00441BF7"/>
    <w:rsid w:val="00441DAF"/>
    <w:rsid w:val="00442384"/>
    <w:rsid w:val="00442709"/>
    <w:rsid w:val="00442AEB"/>
    <w:rsid w:val="00443074"/>
    <w:rsid w:val="004431FE"/>
    <w:rsid w:val="004438FA"/>
    <w:rsid w:val="00443AAC"/>
    <w:rsid w:val="004449C0"/>
    <w:rsid w:val="00445502"/>
    <w:rsid w:val="00445CC0"/>
    <w:rsid w:val="0044611B"/>
    <w:rsid w:val="00446FE2"/>
    <w:rsid w:val="00450088"/>
    <w:rsid w:val="00451B0A"/>
    <w:rsid w:val="00451B5C"/>
    <w:rsid w:val="0045200F"/>
    <w:rsid w:val="004533A6"/>
    <w:rsid w:val="00454478"/>
    <w:rsid w:val="00454BB2"/>
    <w:rsid w:val="00454EC1"/>
    <w:rsid w:val="00455449"/>
    <w:rsid w:val="00455B78"/>
    <w:rsid w:val="00456278"/>
    <w:rsid w:val="0045665D"/>
    <w:rsid w:val="004567CC"/>
    <w:rsid w:val="00456A92"/>
    <w:rsid w:val="0045730A"/>
    <w:rsid w:val="004573F6"/>
    <w:rsid w:val="004575B3"/>
    <w:rsid w:val="00460CCC"/>
    <w:rsid w:val="00460CF6"/>
    <w:rsid w:val="00461102"/>
    <w:rsid w:val="00461D27"/>
    <w:rsid w:val="00461F6E"/>
    <w:rsid w:val="004633DC"/>
    <w:rsid w:val="0046352C"/>
    <w:rsid w:val="0046366B"/>
    <w:rsid w:val="004641BF"/>
    <w:rsid w:val="0046447B"/>
    <w:rsid w:val="0046505C"/>
    <w:rsid w:val="0046520C"/>
    <w:rsid w:val="0046566B"/>
    <w:rsid w:val="00465E8F"/>
    <w:rsid w:val="00466873"/>
    <w:rsid w:val="00466A02"/>
    <w:rsid w:val="00467534"/>
    <w:rsid w:val="00467A3C"/>
    <w:rsid w:val="00467C21"/>
    <w:rsid w:val="00467CF6"/>
    <w:rsid w:val="004704DE"/>
    <w:rsid w:val="004705CB"/>
    <w:rsid w:val="00470B6E"/>
    <w:rsid w:val="004722CB"/>
    <w:rsid w:val="00472CDB"/>
    <w:rsid w:val="00472F09"/>
    <w:rsid w:val="0047301A"/>
    <w:rsid w:val="0047340F"/>
    <w:rsid w:val="00473AF7"/>
    <w:rsid w:val="00473C0C"/>
    <w:rsid w:val="004769C4"/>
    <w:rsid w:val="0047705E"/>
    <w:rsid w:val="00477145"/>
    <w:rsid w:val="00477AC0"/>
    <w:rsid w:val="0048187E"/>
    <w:rsid w:val="00481A09"/>
    <w:rsid w:val="004823B3"/>
    <w:rsid w:val="004826E9"/>
    <w:rsid w:val="00482D0D"/>
    <w:rsid w:val="00482E87"/>
    <w:rsid w:val="00482F14"/>
    <w:rsid w:val="00483199"/>
    <w:rsid w:val="00483C48"/>
    <w:rsid w:val="00484962"/>
    <w:rsid w:val="0048569D"/>
    <w:rsid w:val="004856C7"/>
    <w:rsid w:val="0048595B"/>
    <w:rsid w:val="00485E44"/>
    <w:rsid w:val="0048626F"/>
    <w:rsid w:val="004863ED"/>
    <w:rsid w:val="0048670B"/>
    <w:rsid w:val="004867B5"/>
    <w:rsid w:val="004873F4"/>
    <w:rsid w:val="004878A3"/>
    <w:rsid w:val="00490B3D"/>
    <w:rsid w:val="00491D39"/>
    <w:rsid w:val="00492649"/>
    <w:rsid w:val="00492AA4"/>
    <w:rsid w:val="00492EAA"/>
    <w:rsid w:val="0049342B"/>
    <w:rsid w:val="004943AF"/>
    <w:rsid w:val="004945DA"/>
    <w:rsid w:val="0049473B"/>
    <w:rsid w:val="00495660"/>
    <w:rsid w:val="00495665"/>
    <w:rsid w:val="0049567E"/>
    <w:rsid w:val="004962EB"/>
    <w:rsid w:val="004974B4"/>
    <w:rsid w:val="004A09C7"/>
    <w:rsid w:val="004A10F2"/>
    <w:rsid w:val="004A13ED"/>
    <w:rsid w:val="004A20E6"/>
    <w:rsid w:val="004A26A4"/>
    <w:rsid w:val="004A296D"/>
    <w:rsid w:val="004A325B"/>
    <w:rsid w:val="004A394D"/>
    <w:rsid w:val="004A5F62"/>
    <w:rsid w:val="004A61B6"/>
    <w:rsid w:val="004A6ADD"/>
    <w:rsid w:val="004A7176"/>
    <w:rsid w:val="004A7910"/>
    <w:rsid w:val="004A7C75"/>
    <w:rsid w:val="004A7DE4"/>
    <w:rsid w:val="004A7E64"/>
    <w:rsid w:val="004B01B4"/>
    <w:rsid w:val="004B02BF"/>
    <w:rsid w:val="004B064B"/>
    <w:rsid w:val="004B0668"/>
    <w:rsid w:val="004B1A22"/>
    <w:rsid w:val="004B2DB4"/>
    <w:rsid w:val="004B2ECA"/>
    <w:rsid w:val="004B3006"/>
    <w:rsid w:val="004B3415"/>
    <w:rsid w:val="004B3935"/>
    <w:rsid w:val="004B405F"/>
    <w:rsid w:val="004B4362"/>
    <w:rsid w:val="004B4AF0"/>
    <w:rsid w:val="004B4EB2"/>
    <w:rsid w:val="004B52FF"/>
    <w:rsid w:val="004B580E"/>
    <w:rsid w:val="004B62E0"/>
    <w:rsid w:val="004B65E8"/>
    <w:rsid w:val="004B66C8"/>
    <w:rsid w:val="004B6E93"/>
    <w:rsid w:val="004B742B"/>
    <w:rsid w:val="004B753F"/>
    <w:rsid w:val="004B77EA"/>
    <w:rsid w:val="004B7B3D"/>
    <w:rsid w:val="004B7F69"/>
    <w:rsid w:val="004C0665"/>
    <w:rsid w:val="004C072F"/>
    <w:rsid w:val="004C0B60"/>
    <w:rsid w:val="004C1961"/>
    <w:rsid w:val="004C2B95"/>
    <w:rsid w:val="004C30B4"/>
    <w:rsid w:val="004C315F"/>
    <w:rsid w:val="004C3728"/>
    <w:rsid w:val="004C39AC"/>
    <w:rsid w:val="004C5C64"/>
    <w:rsid w:val="004C6581"/>
    <w:rsid w:val="004C6D27"/>
    <w:rsid w:val="004C7142"/>
    <w:rsid w:val="004D0F30"/>
    <w:rsid w:val="004D10F1"/>
    <w:rsid w:val="004D16BD"/>
    <w:rsid w:val="004D1A00"/>
    <w:rsid w:val="004D2FA4"/>
    <w:rsid w:val="004D4151"/>
    <w:rsid w:val="004D4802"/>
    <w:rsid w:val="004D4B34"/>
    <w:rsid w:val="004D5E8A"/>
    <w:rsid w:val="004D6059"/>
    <w:rsid w:val="004D628A"/>
    <w:rsid w:val="004D63FA"/>
    <w:rsid w:val="004D66BD"/>
    <w:rsid w:val="004D6810"/>
    <w:rsid w:val="004D72A5"/>
    <w:rsid w:val="004E0486"/>
    <w:rsid w:val="004E0771"/>
    <w:rsid w:val="004E1450"/>
    <w:rsid w:val="004E1475"/>
    <w:rsid w:val="004E219A"/>
    <w:rsid w:val="004E26B5"/>
    <w:rsid w:val="004E3563"/>
    <w:rsid w:val="004E37AD"/>
    <w:rsid w:val="004E3B3E"/>
    <w:rsid w:val="004E3EE1"/>
    <w:rsid w:val="004E3F75"/>
    <w:rsid w:val="004E40B4"/>
    <w:rsid w:val="004E5714"/>
    <w:rsid w:val="004E5C0B"/>
    <w:rsid w:val="004E5EC7"/>
    <w:rsid w:val="004E63E1"/>
    <w:rsid w:val="004E6B3F"/>
    <w:rsid w:val="004F05A6"/>
    <w:rsid w:val="004F081F"/>
    <w:rsid w:val="004F0849"/>
    <w:rsid w:val="004F0AE8"/>
    <w:rsid w:val="004F0D97"/>
    <w:rsid w:val="004F13CE"/>
    <w:rsid w:val="004F1A5E"/>
    <w:rsid w:val="004F1DF6"/>
    <w:rsid w:val="004F238C"/>
    <w:rsid w:val="004F2C7F"/>
    <w:rsid w:val="004F502E"/>
    <w:rsid w:val="004F51DC"/>
    <w:rsid w:val="004F52A2"/>
    <w:rsid w:val="004F5EB6"/>
    <w:rsid w:val="004F664D"/>
    <w:rsid w:val="004F66D6"/>
    <w:rsid w:val="004F77FF"/>
    <w:rsid w:val="004F79B7"/>
    <w:rsid w:val="004F7B6E"/>
    <w:rsid w:val="0050029F"/>
    <w:rsid w:val="00500349"/>
    <w:rsid w:val="005012B8"/>
    <w:rsid w:val="005013B2"/>
    <w:rsid w:val="005015ED"/>
    <w:rsid w:val="0050160C"/>
    <w:rsid w:val="00501990"/>
    <w:rsid w:val="00501D12"/>
    <w:rsid w:val="00502983"/>
    <w:rsid w:val="00502E61"/>
    <w:rsid w:val="00503422"/>
    <w:rsid w:val="00503694"/>
    <w:rsid w:val="005038DF"/>
    <w:rsid w:val="00503BF7"/>
    <w:rsid w:val="00503F90"/>
    <w:rsid w:val="005041E7"/>
    <w:rsid w:val="0050517A"/>
    <w:rsid w:val="005059D7"/>
    <w:rsid w:val="00505B9C"/>
    <w:rsid w:val="00506419"/>
    <w:rsid w:val="005105A3"/>
    <w:rsid w:val="00510C17"/>
    <w:rsid w:val="0051141F"/>
    <w:rsid w:val="00511547"/>
    <w:rsid w:val="00511B21"/>
    <w:rsid w:val="00511F49"/>
    <w:rsid w:val="00511FB5"/>
    <w:rsid w:val="00512A43"/>
    <w:rsid w:val="00512C2B"/>
    <w:rsid w:val="00513581"/>
    <w:rsid w:val="005135FC"/>
    <w:rsid w:val="00513696"/>
    <w:rsid w:val="00513A99"/>
    <w:rsid w:val="00513F6A"/>
    <w:rsid w:val="00514BFB"/>
    <w:rsid w:val="00515012"/>
    <w:rsid w:val="0051534E"/>
    <w:rsid w:val="00516220"/>
    <w:rsid w:val="005163C9"/>
    <w:rsid w:val="00516C2A"/>
    <w:rsid w:val="00516DAD"/>
    <w:rsid w:val="0051787A"/>
    <w:rsid w:val="00520A1A"/>
    <w:rsid w:val="00520C1A"/>
    <w:rsid w:val="00520EEF"/>
    <w:rsid w:val="0052110B"/>
    <w:rsid w:val="00521683"/>
    <w:rsid w:val="0052191A"/>
    <w:rsid w:val="00523514"/>
    <w:rsid w:val="00523958"/>
    <w:rsid w:val="0052442C"/>
    <w:rsid w:val="0052448E"/>
    <w:rsid w:val="00524F9F"/>
    <w:rsid w:val="00525661"/>
    <w:rsid w:val="00526244"/>
    <w:rsid w:val="005267C4"/>
    <w:rsid w:val="00527347"/>
    <w:rsid w:val="00527D38"/>
    <w:rsid w:val="00530854"/>
    <w:rsid w:val="00532D4C"/>
    <w:rsid w:val="0053340E"/>
    <w:rsid w:val="00533A21"/>
    <w:rsid w:val="0053403F"/>
    <w:rsid w:val="005348B0"/>
    <w:rsid w:val="005359E1"/>
    <w:rsid w:val="00535D21"/>
    <w:rsid w:val="00535F6F"/>
    <w:rsid w:val="005360EC"/>
    <w:rsid w:val="0053690D"/>
    <w:rsid w:val="00536990"/>
    <w:rsid w:val="00536E51"/>
    <w:rsid w:val="00537382"/>
    <w:rsid w:val="0053790C"/>
    <w:rsid w:val="00540063"/>
    <w:rsid w:val="005406CA"/>
    <w:rsid w:val="005408D2"/>
    <w:rsid w:val="00540AC0"/>
    <w:rsid w:val="00540C81"/>
    <w:rsid w:val="00542EAB"/>
    <w:rsid w:val="005435D8"/>
    <w:rsid w:val="00544634"/>
    <w:rsid w:val="0054471E"/>
    <w:rsid w:val="005447F7"/>
    <w:rsid w:val="005451F3"/>
    <w:rsid w:val="00545427"/>
    <w:rsid w:val="005466A3"/>
    <w:rsid w:val="00546D82"/>
    <w:rsid w:val="0054760A"/>
    <w:rsid w:val="0055028F"/>
    <w:rsid w:val="005503B5"/>
    <w:rsid w:val="00550E80"/>
    <w:rsid w:val="00552789"/>
    <w:rsid w:val="00552FF6"/>
    <w:rsid w:val="0055433C"/>
    <w:rsid w:val="00554626"/>
    <w:rsid w:val="0055466E"/>
    <w:rsid w:val="00554B50"/>
    <w:rsid w:val="00555BA8"/>
    <w:rsid w:val="00556CFA"/>
    <w:rsid w:val="005572B7"/>
    <w:rsid w:val="005603D4"/>
    <w:rsid w:val="00560FD2"/>
    <w:rsid w:val="00561679"/>
    <w:rsid w:val="00561938"/>
    <w:rsid w:val="00561A4E"/>
    <w:rsid w:val="00561F15"/>
    <w:rsid w:val="0056264B"/>
    <w:rsid w:val="00562C07"/>
    <w:rsid w:val="00562E4D"/>
    <w:rsid w:val="00562F41"/>
    <w:rsid w:val="00563549"/>
    <w:rsid w:val="00563705"/>
    <w:rsid w:val="00563C45"/>
    <w:rsid w:val="0056583F"/>
    <w:rsid w:val="00565F90"/>
    <w:rsid w:val="005664E9"/>
    <w:rsid w:val="00566B2B"/>
    <w:rsid w:val="0056701E"/>
    <w:rsid w:val="00567BCE"/>
    <w:rsid w:val="00570873"/>
    <w:rsid w:val="0057205D"/>
    <w:rsid w:val="00572227"/>
    <w:rsid w:val="00572D08"/>
    <w:rsid w:val="00572F59"/>
    <w:rsid w:val="00572FAC"/>
    <w:rsid w:val="0057304B"/>
    <w:rsid w:val="00573280"/>
    <w:rsid w:val="005733B7"/>
    <w:rsid w:val="0057343D"/>
    <w:rsid w:val="00573655"/>
    <w:rsid w:val="00573C4F"/>
    <w:rsid w:val="00574DA4"/>
    <w:rsid w:val="00575B08"/>
    <w:rsid w:val="00575B10"/>
    <w:rsid w:val="00575D8E"/>
    <w:rsid w:val="00575FDB"/>
    <w:rsid w:val="00577171"/>
    <w:rsid w:val="00577A65"/>
    <w:rsid w:val="00577DA0"/>
    <w:rsid w:val="00580129"/>
    <w:rsid w:val="005805D8"/>
    <w:rsid w:val="00580CBE"/>
    <w:rsid w:val="005810F2"/>
    <w:rsid w:val="005812F8"/>
    <w:rsid w:val="0058136A"/>
    <w:rsid w:val="00581C8E"/>
    <w:rsid w:val="0058256B"/>
    <w:rsid w:val="00582CF9"/>
    <w:rsid w:val="00582E2A"/>
    <w:rsid w:val="0058377F"/>
    <w:rsid w:val="005838D8"/>
    <w:rsid w:val="005842AA"/>
    <w:rsid w:val="005843EE"/>
    <w:rsid w:val="005846DE"/>
    <w:rsid w:val="00584E40"/>
    <w:rsid w:val="00585E5A"/>
    <w:rsid w:val="0058626D"/>
    <w:rsid w:val="00587216"/>
    <w:rsid w:val="00590049"/>
    <w:rsid w:val="0059054C"/>
    <w:rsid w:val="00590646"/>
    <w:rsid w:val="00590BB8"/>
    <w:rsid w:val="0059153E"/>
    <w:rsid w:val="005925FB"/>
    <w:rsid w:val="00592B45"/>
    <w:rsid w:val="00593595"/>
    <w:rsid w:val="00593CAB"/>
    <w:rsid w:val="00594135"/>
    <w:rsid w:val="005944BC"/>
    <w:rsid w:val="005965B9"/>
    <w:rsid w:val="00596BAC"/>
    <w:rsid w:val="00596CAF"/>
    <w:rsid w:val="005974F1"/>
    <w:rsid w:val="005A02C0"/>
    <w:rsid w:val="005A0C93"/>
    <w:rsid w:val="005A2850"/>
    <w:rsid w:val="005A2907"/>
    <w:rsid w:val="005A2995"/>
    <w:rsid w:val="005A2E99"/>
    <w:rsid w:val="005A30BA"/>
    <w:rsid w:val="005A33B7"/>
    <w:rsid w:val="005A342B"/>
    <w:rsid w:val="005A3567"/>
    <w:rsid w:val="005A3AD5"/>
    <w:rsid w:val="005A3B06"/>
    <w:rsid w:val="005A4089"/>
    <w:rsid w:val="005A4345"/>
    <w:rsid w:val="005A48A9"/>
    <w:rsid w:val="005A51AC"/>
    <w:rsid w:val="005A6537"/>
    <w:rsid w:val="005A67C0"/>
    <w:rsid w:val="005A7EE0"/>
    <w:rsid w:val="005B014F"/>
    <w:rsid w:val="005B0234"/>
    <w:rsid w:val="005B0663"/>
    <w:rsid w:val="005B0BAD"/>
    <w:rsid w:val="005B0BD2"/>
    <w:rsid w:val="005B0EAF"/>
    <w:rsid w:val="005B16AB"/>
    <w:rsid w:val="005B1B82"/>
    <w:rsid w:val="005B1BC6"/>
    <w:rsid w:val="005B228B"/>
    <w:rsid w:val="005B2CA0"/>
    <w:rsid w:val="005B3FC0"/>
    <w:rsid w:val="005B41A1"/>
    <w:rsid w:val="005B4380"/>
    <w:rsid w:val="005B45E4"/>
    <w:rsid w:val="005B4AFB"/>
    <w:rsid w:val="005B60B3"/>
    <w:rsid w:val="005B60D6"/>
    <w:rsid w:val="005B6EDC"/>
    <w:rsid w:val="005B7177"/>
    <w:rsid w:val="005B7AF1"/>
    <w:rsid w:val="005B7E86"/>
    <w:rsid w:val="005C01F7"/>
    <w:rsid w:val="005C091B"/>
    <w:rsid w:val="005C14D3"/>
    <w:rsid w:val="005C3F9D"/>
    <w:rsid w:val="005C471E"/>
    <w:rsid w:val="005C58D0"/>
    <w:rsid w:val="005C5FC7"/>
    <w:rsid w:val="005C6827"/>
    <w:rsid w:val="005C6919"/>
    <w:rsid w:val="005C6CDC"/>
    <w:rsid w:val="005C71CA"/>
    <w:rsid w:val="005C76EF"/>
    <w:rsid w:val="005C78F1"/>
    <w:rsid w:val="005C7A10"/>
    <w:rsid w:val="005C7BE6"/>
    <w:rsid w:val="005D2610"/>
    <w:rsid w:val="005D2CEC"/>
    <w:rsid w:val="005D34C7"/>
    <w:rsid w:val="005D363B"/>
    <w:rsid w:val="005D3EC2"/>
    <w:rsid w:val="005D52A6"/>
    <w:rsid w:val="005D52CC"/>
    <w:rsid w:val="005D5926"/>
    <w:rsid w:val="005D6193"/>
    <w:rsid w:val="005D61FB"/>
    <w:rsid w:val="005D63FE"/>
    <w:rsid w:val="005D76F2"/>
    <w:rsid w:val="005D79B2"/>
    <w:rsid w:val="005D7CFA"/>
    <w:rsid w:val="005E04D8"/>
    <w:rsid w:val="005E1165"/>
    <w:rsid w:val="005E11E8"/>
    <w:rsid w:val="005E127F"/>
    <w:rsid w:val="005E1FDC"/>
    <w:rsid w:val="005E2043"/>
    <w:rsid w:val="005E23A0"/>
    <w:rsid w:val="005E2987"/>
    <w:rsid w:val="005E4BC7"/>
    <w:rsid w:val="005E4C31"/>
    <w:rsid w:val="005E4CC7"/>
    <w:rsid w:val="005E577E"/>
    <w:rsid w:val="005E679D"/>
    <w:rsid w:val="005E6B0E"/>
    <w:rsid w:val="005E6BD7"/>
    <w:rsid w:val="005E6DC7"/>
    <w:rsid w:val="005E7877"/>
    <w:rsid w:val="005F0031"/>
    <w:rsid w:val="005F0CC7"/>
    <w:rsid w:val="005F0FA5"/>
    <w:rsid w:val="005F169A"/>
    <w:rsid w:val="005F1732"/>
    <w:rsid w:val="005F1850"/>
    <w:rsid w:val="005F2281"/>
    <w:rsid w:val="005F2A80"/>
    <w:rsid w:val="005F33BA"/>
    <w:rsid w:val="005F3422"/>
    <w:rsid w:val="005F37D0"/>
    <w:rsid w:val="005F3F41"/>
    <w:rsid w:val="005F437D"/>
    <w:rsid w:val="005F529C"/>
    <w:rsid w:val="005F6778"/>
    <w:rsid w:val="005F6B66"/>
    <w:rsid w:val="005F74E9"/>
    <w:rsid w:val="005F7C68"/>
    <w:rsid w:val="0060020D"/>
    <w:rsid w:val="00600977"/>
    <w:rsid w:val="00601629"/>
    <w:rsid w:val="00602E54"/>
    <w:rsid w:val="00603A4A"/>
    <w:rsid w:val="00603C13"/>
    <w:rsid w:val="00604414"/>
    <w:rsid w:val="006045CD"/>
    <w:rsid w:val="006046B6"/>
    <w:rsid w:val="0060482E"/>
    <w:rsid w:val="006049B2"/>
    <w:rsid w:val="0060755B"/>
    <w:rsid w:val="006075B4"/>
    <w:rsid w:val="00607C59"/>
    <w:rsid w:val="006106E9"/>
    <w:rsid w:val="00611AB5"/>
    <w:rsid w:val="00612477"/>
    <w:rsid w:val="0061418B"/>
    <w:rsid w:val="00614820"/>
    <w:rsid w:val="00615511"/>
    <w:rsid w:val="00615870"/>
    <w:rsid w:val="0061595C"/>
    <w:rsid w:val="0061653C"/>
    <w:rsid w:val="0061732D"/>
    <w:rsid w:val="00620BC8"/>
    <w:rsid w:val="00621764"/>
    <w:rsid w:val="00621CE9"/>
    <w:rsid w:val="00622726"/>
    <w:rsid w:val="006229E2"/>
    <w:rsid w:val="00622E28"/>
    <w:rsid w:val="006249FE"/>
    <w:rsid w:val="00624A30"/>
    <w:rsid w:val="00624AA2"/>
    <w:rsid w:val="00624D52"/>
    <w:rsid w:val="0062550B"/>
    <w:rsid w:val="00625600"/>
    <w:rsid w:val="00625AD0"/>
    <w:rsid w:val="006260DE"/>
    <w:rsid w:val="00626BDE"/>
    <w:rsid w:val="00627154"/>
    <w:rsid w:val="00627344"/>
    <w:rsid w:val="00627AB4"/>
    <w:rsid w:val="00627B67"/>
    <w:rsid w:val="00630267"/>
    <w:rsid w:val="00630ABD"/>
    <w:rsid w:val="006328F2"/>
    <w:rsid w:val="00632B50"/>
    <w:rsid w:val="00632BA6"/>
    <w:rsid w:val="00634103"/>
    <w:rsid w:val="00634222"/>
    <w:rsid w:val="00634BFC"/>
    <w:rsid w:val="006354C4"/>
    <w:rsid w:val="00635891"/>
    <w:rsid w:val="00635B8D"/>
    <w:rsid w:val="00635F92"/>
    <w:rsid w:val="006361B3"/>
    <w:rsid w:val="00636553"/>
    <w:rsid w:val="006368EE"/>
    <w:rsid w:val="00637126"/>
    <w:rsid w:val="006372FC"/>
    <w:rsid w:val="00637514"/>
    <w:rsid w:val="0063758C"/>
    <w:rsid w:val="00637A27"/>
    <w:rsid w:val="00637AE5"/>
    <w:rsid w:val="00640753"/>
    <w:rsid w:val="00641697"/>
    <w:rsid w:val="00641E63"/>
    <w:rsid w:val="00642F8E"/>
    <w:rsid w:val="006431A9"/>
    <w:rsid w:val="00644280"/>
    <w:rsid w:val="0064451D"/>
    <w:rsid w:val="00644AFD"/>
    <w:rsid w:val="00645CB2"/>
    <w:rsid w:val="00646714"/>
    <w:rsid w:val="006467B9"/>
    <w:rsid w:val="00647779"/>
    <w:rsid w:val="00650D8E"/>
    <w:rsid w:val="006511BA"/>
    <w:rsid w:val="00651336"/>
    <w:rsid w:val="00651402"/>
    <w:rsid w:val="006517E1"/>
    <w:rsid w:val="00652DEE"/>
    <w:rsid w:val="00652E4F"/>
    <w:rsid w:val="006532FC"/>
    <w:rsid w:val="00654A8F"/>
    <w:rsid w:val="00654E15"/>
    <w:rsid w:val="00655484"/>
    <w:rsid w:val="006554BC"/>
    <w:rsid w:val="00656C42"/>
    <w:rsid w:val="00656E02"/>
    <w:rsid w:val="006570A5"/>
    <w:rsid w:val="00657609"/>
    <w:rsid w:val="00657E3A"/>
    <w:rsid w:val="00660163"/>
    <w:rsid w:val="00661619"/>
    <w:rsid w:val="006616B7"/>
    <w:rsid w:val="00662648"/>
    <w:rsid w:val="00662F72"/>
    <w:rsid w:val="00663B37"/>
    <w:rsid w:val="00663B3C"/>
    <w:rsid w:val="006641B5"/>
    <w:rsid w:val="00664724"/>
    <w:rsid w:val="00664F34"/>
    <w:rsid w:val="00666089"/>
    <w:rsid w:val="0066749A"/>
    <w:rsid w:val="006676F3"/>
    <w:rsid w:val="00667DCF"/>
    <w:rsid w:val="00670E11"/>
    <w:rsid w:val="006722AD"/>
    <w:rsid w:val="00672467"/>
    <w:rsid w:val="00672902"/>
    <w:rsid w:val="00672BCA"/>
    <w:rsid w:val="006732D3"/>
    <w:rsid w:val="00673315"/>
    <w:rsid w:val="0067374C"/>
    <w:rsid w:val="0067498F"/>
    <w:rsid w:val="006749D7"/>
    <w:rsid w:val="00674DE1"/>
    <w:rsid w:val="00674FF3"/>
    <w:rsid w:val="00675498"/>
    <w:rsid w:val="006757E6"/>
    <w:rsid w:val="00675EDF"/>
    <w:rsid w:val="00675FA7"/>
    <w:rsid w:val="00676CC9"/>
    <w:rsid w:val="00676D3D"/>
    <w:rsid w:val="006770C3"/>
    <w:rsid w:val="006810C9"/>
    <w:rsid w:val="006817F3"/>
    <w:rsid w:val="00681DC8"/>
    <w:rsid w:val="00683E7E"/>
    <w:rsid w:val="00684776"/>
    <w:rsid w:val="00684E50"/>
    <w:rsid w:val="0068545E"/>
    <w:rsid w:val="0068561E"/>
    <w:rsid w:val="00685649"/>
    <w:rsid w:val="0068566B"/>
    <w:rsid w:val="00685D84"/>
    <w:rsid w:val="0068676C"/>
    <w:rsid w:val="006867DB"/>
    <w:rsid w:val="00686DE4"/>
    <w:rsid w:val="00686F31"/>
    <w:rsid w:val="0068759B"/>
    <w:rsid w:val="006876BA"/>
    <w:rsid w:val="006877CD"/>
    <w:rsid w:val="00687CEA"/>
    <w:rsid w:val="006918EF"/>
    <w:rsid w:val="00691AEA"/>
    <w:rsid w:val="00691D6C"/>
    <w:rsid w:val="00691EED"/>
    <w:rsid w:val="00692DA8"/>
    <w:rsid w:val="00693084"/>
    <w:rsid w:val="006939C1"/>
    <w:rsid w:val="006954C0"/>
    <w:rsid w:val="00695893"/>
    <w:rsid w:val="00695A22"/>
    <w:rsid w:val="00695EBC"/>
    <w:rsid w:val="00696B37"/>
    <w:rsid w:val="0069727A"/>
    <w:rsid w:val="006A0387"/>
    <w:rsid w:val="006A05E1"/>
    <w:rsid w:val="006A07F6"/>
    <w:rsid w:val="006A0F6F"/>
    <w:rsid w:val="006A11C7"/>
    <w:rsid w:val="006A1300"/>
    <w:rsid w:val="006A3222"/>
    <w:rsid w:val="006A3382"/>
    <w:rsid w:val="006A34C8"/>
    <w:rsid w:val="006A374B"/>
    <w:rsid w:val="006A3FCC"/>
    <w:rsid w:val="006A5797"/>
    <w:rsid w:val="006A5CFE"/>
    <w:rsid w:val="006A5FC1"/>
    <w:rsid w:val="006A6800"/>
    <w:rsid w:val="006A6C24"/>
    <w:rsid w:val="006A7025"/>
    <w:rsid w:val="006A7C50"/>
    <w:rsid w:val="006A7DB9"/>
    <w:rsid w:val="006B0FF1"/>
    <w:rsid w:val="006B102E"/>
    <w:rsid w:val="006B1DBE"/>
    <w:rsid w:val="006B2265"/>
    <w:rsid w:val="006B2722"/>
    <w:rsid w:val="006B2C09"/>
    <w:rsid w:val="006B2FC1"/>
    <w:rsid w:val="006B398B"/>
    <w:rsid w:val="006B425F"/>
    <w:rsid w:val="006B4AC3"/>
    <w:rsid w:val="006B4F52"/>
    <w:rsid w:val="006B510A"/>
    <w:rsid w:val="006B65B6"/>
    <w:rsid w:val="006B6683"/>
    <w:rsid w:val="006B70EE"/>
    <w:rsid w:val="006B71AC"/>
    <w:rsid w:val="006B7834"/>
    <w:rsid w:val="006C0EBC"/>
    <w:rsid w:val="006C1259"/>
    <w:rsid w:val="006C14B4"/>
    <w:rsid w:val="006C1F46"/>
    <w:rsid w:val="006C260F"/>
    <w:rsid w:val="006C28C6"/>
    <w:rsid w:val="006C3A54"/>
    <w:rsid w:val="006C3FDB"/>
    <w:rsid w:val="006C49F2"/>
    <w:rsid w:val="006C4A0F"/>
    <w:rsid w:val="006C60CC"/>
    <w:rsid w:val="006C614B"/>
    <w:rsid w:val="006C7445"/>
    <w:rsid w:val="006C764A"/>
    <w:rsid w:val="006C7AB1"/>
    <w:rsid w:val="006D028B"/>
    <w:rsid w:val="006D06BA"/>
    <w:rsid w:val="006D10B9"/>
    <w:rsid w:val="006D113F"/>
    <w:rsid w:val="006D12D6"/>
    <w:rsid w:val="006D1376"/>
    <w:rsid w:val="006D205D"/>
    <w:rsid w:val="006D2460"/>
    <w:rsid w:val="006D285F"/>
    <w:rsid w:val="006D46D0"/>
    <w:rsid w:val="006D47EE"/>
    <w:rsid w:val="006D4C74"/>
    <w:rsid w:val="006D4D97"/>
    <w:rsid w:val="006D4DC9"/>
    <w:rsid w:val="006D4DCC"/>
    <w:rsid w:val="006D50AF"/>
    <w:rsid w:val="006D5534"/>
    <w:rsid w:val="006D56E1"/>
    <w:rsid w:val="006D5E26"/>
    <w:rsid w:val="006D636A"/>
    <w:rsid w:val="006D6651"/>
    <w:rsid w:val="006D6762"/>
    <w:rsid w:val="006D6903"/>
    <w:rsid w:val="006D714F"/>
    <w:rsid w:val="006D7E14"/>
    <w:rsid w:val="006E0C74"/>
    <w:rsid w:val="006E0E0C"/>
    <w:rsid w:val="006E136D"/>
    <w:rsid w:val="006E1FC2"/>
    <w:rsid w:val="006E27E2"/>
    <w:rsid w:val="006E4128"/>
    <w:rsid w:val="006E46DF"/>
    <w:rsid w:val="006E4D0E"/>
    <w:rsid w:val="006E4DF0"/>
    <w:rsid w:val="006E52B5"/>
    <w:rsid w:val="006E5AF3"/>
    <w:rsid w:val="006E6682"/>
    <w:rsid w:val="006E6F73"/>
    <w:rsid w:val="006E71A4"/>
    <w:rsid w:val="006F09F5"/>
    <w:rsid w:val="006F110F"/>
    <w:rsid w:val="006F177A"/>
    <w:rsid w:val="006F1844"/>
    <w:rsid w:val="006F1C27"/>
    <w:rsid w:val="006F1DDB"/>
    <w:rsid w:val="006F245B"/>
    <w:rsid w:val="006F27EE"/>
    <w:rsid w:val="006F2849"/>
    <w:rsid w:val="006F319B"/>
    <w:rsid w:val="006F38EE"/>
    <w:rsid w:val="006F4CA0"/>
    <w:rsid w:val="006F4E4C"/>
    <w:rsid w:val="006F5BEE"/>
    <w:rsid w:val="006F5E3D"/>
    <w:rsid w:val="006F6155"/>
    <w:rsid w:val="006F6E7E"/>
    <w:rsid w:val="006F7CB7"/>
    <w:rsid w:val="0070113B"/>
    <w:rsid w:val="007011C9"/>
    <w:rsid w:val="0070124A"/>
    <w:rsid w:val="00701402"/>
    <w:rsid w:val="0070160C"/>
    <w:rsid w:val="007038F7"/>
    <w:rsid w:val="00703A8E"/>
    <w:rsid w:val="00705620"/>
    <w:rsid w:val="007056D3"/>
    <w:rsid w:val="00705E0E"/>
    <w:rsid w:val="00705EEF"/>
    <w:rsid w:val="00705FCC"/>
    <w:rsid w:val="007060A9"/>
    <w:rsid w:val="00706229"/>
    <w:rsid w:val="00706BEC"/>
    <w:rsid w:val="0070707B"/>
    <w:rsid w:val="0070713D"/>
    <w:rsid w:val="007103FE"/>
    <w:rsid w:val="00710643"/>
    <w:rsid w:val="00710876"/>
    <w:rsid w:val="0071101B"/>
    <w:rsid w:val="0071115E"/>
    <w:rsid w:val="00711E4E"/>
    <w:rsid w:val="00711F79"/>
    <w:rsid w:val="007129AD"/>
    <w:rsid w:val="0071364A"/>
    <w:rsid w:val="00713DCB"/>
    <w:rsid w:val="00713F9D"/>
    <w:rsid w:val="0071401A"/>
    <w:rsid w:val="00714509"/>
    <w:rsid w:val="00714938"/>
    <w:rsid w:val="00714A7E"/>
    <w:rsid w:val="00714C21"/>
    <w:rsid w:val="00714ED3"/>
    <w:rsid w:val="007162EE"/>
    <w:rsid w:val="00716753"/>
    <w:rsid w:val="00717D23"/>
    <w:rsid w:val="00720CB6"/>
    <w:rsid w:val="00720E67"/>
    <w:rsid w:val="00721205"/>
    <w:rsid w:val="00721C22"/>
    <w:rsid w:val="007221EC"/>
    <w:rsid w:val="007232DE"/>
    <w:rsid w:val="00723C32"/>
    <w:rsid w:val="0072442F"/>
    <w:rsid w:val="00724902"/>
    <w:rsid w:val="00724FA7"/>
    <w:rsid w:val="0072546E"/>
    <w:rsid w:val="00725C45"/>
    <w:rsid w:val="00725D65"/>
    <w:rsid w:val="00726730"/>
    <w:rsid w:val="0072678E"/>
    <w:rsid w:val="00726C0D"/>
    <w:rsid w:val="007274EF"/>
    <w:rsid w:val="00727773"/>
    <w:rsid w:val="00727B63"/>
    <w:rsid w:val="00730100"/>
    <w:rsid w:val="00730335"/>
    <w:rsid w:val="00731A1B"/>
    <w:rsid w:val="00731B5B"/>
    <w:rsid w:val="00731E17"/>
    <w:rsid w:val="00732410"/>
    <w:rsid w:val="00732AE1"/>
    <w:rsid w:val="00732D16"/>
    <w:rsid w:val="007334AE"/>
    <w:rsid w:val="0073431C"/>
    <w:rsid w:val="0073485D"/>
    <w:rsid w:val="00734ECA"/>
    <w:rsid w:val="007350EA"/>
    <w:rsid w:val="0073552C"/>
    <w:rsid w:val="00735A5F"/>
    <w:rsid w:val="00735C40"/>
    <w:rsid w:val="00735FB6"/>
    <w:rsid w:val="007364DC"/>
    <w:rsid w:val="0073666B"/>
    <w:rsid w:val="007369D1"/>
    <w:rsid w:val="007373E0"/>
    <w:rsid w:val="0073751B"/>
    <w:rsid w:val="0073768A"/>
    <w:rsid w:val="00737E95"/>
    <w:rsid w:val="00742A40"/>
    <w:rsid w:val="00742C0F"/>
    <w:rsid w:val="00743B64"/>
    <w:rsid w:val="007443E8"/>
    <w:rsid w:val="00744BFC"/>
    <w:rsid w:val="00744EDF"/>
    <w:rsid w:val="007454A1"/>
    <w:rsid w:val="007457C5"/>
    <w:rsid w:val="00746B43"/>
    <w:rsid w:val="00747E86"/>
    <w:rsid w:val="00747F5A"/>
    <w:rsid w:val="0075012E"/>
    <w:rsid w:val="00750698"/>
    <w:rsid w:val="00750904"/>
    <w:rsid w:val="00751C4B"/>
    <w:rsid w:val="0075201C"/>
    <w:rsid w:val="007525B6"/>
    <w:rsid w:val="007527BF"/>
    <w:rsid w:val="00752A69"/>
    <w:rsid w:val="00752BA1"/>
    <w:rsid w:val="00752EAE"/>
    <w:rsid w:val="00753478"/>
    <w:rsid w:val="00753FB5"/>
    <w:rsid w:val="007541FC"/>
    <w:rsid w:val="00754C5C"/>
    <w:rsid w:val="00755010"/>
    <w:rsid w:val="00755091"/>
    <w:rsid w:val="007552C0"/>
    <w:rsid w:val="00755A57"/>
    <w:rsid w:val="00755C1C"/>
    <w:rsid w:val="00756060"/>
    <w:rsid w:val="0075748F"/>
    <w:rsid w:val="007574E5"/>
    <w:rsid w:val="00760566"/>
    <w:rsid w:val="00760678"/>
    <w:rsid w:val="00760F2A"/>
    <w:rsid w:val="00760F80"/>
    <w:rsid w:val="0076123C"/>
    <w:rsid w:val="0076238F"/>
    <w:rsid w:val="0076257A"/>
    <w:rsid w:val="00762EE9"/>
    <w:rsid w:val="0076329D"/>
    <w:rsid w:val="007638E9"/>
    <w:rsid w:val="0076410A"/>
    <w:rsid w:val="007642B9"/>
    <w:rsid w:val="007648F3"/>
    <w:rsid w:val="007649F4"/>
    <w:rsid w:val="00764D96"/>
    <w:rsid w:val="00764EE8"/>
    <w:rsid w:val="007653C9"/>
    <w:rsid w:val="00765EA5"/>
    <w:rsid w:val="007661FA"/>
    <w:rsid w:val="00766565"/>
    <w:rsid w:val="00766722"/>
    <w:rsid w:val="007668AB"/>
    <w:rsid w:val="0076755D"/>
    <w:rsid w:val="007675D2"/>
    <w:rsid w:val="00767623"/>
    <w:rsid w:val="00770411"/>
    <w:rsid w:val="00770493"/>
    <w:rsid w:val="00770576"/>
    <w:rsid w:val="00770F4C"/>
    <w:rsid w:val="007713FE"/>
    <w:rsid w:val="007718E7"/>
    <w:rsid w:val="0077199B"/>
    <w:rsid w:val="00771E7E"/>
    <w:rsid w:val="007723CB"/>
    <w:rsid w:val="007724CF"/>
    <w:rsid w:val="00772922"/>
    <w:rsid w:val="00773103"/>
    <w:rsid w:val="00773546"/>
    <w:rsid w:val="00773842"/>
    <w:rsid w:val="00773E6D"/>
    <w:rsid w:val="00774231"/>
    <w:rsid w:val="007743CB"/>
    <w:rsid w:val="00774749"/>
    <w:rsid w:val="0077490C"/>
    <w:rsid w:val="00775AAA"/>
    <w:rsid w:val="00775AF8"/>
    <w:rsid w:val="00775DB7"/>
    <w:rsid w:val="00775DB8"/>
    <w:rsid w:val="007760F4"/>
    <w:rsid w:val="00776833"/>
    <w:rsid w:val="00777838"/>
    <w:rsid w:val="00780837"/>
    <w:rsid w:val="00781460"/>
    <w:rsid w:val="0078155C"/>
    <w:rsid w:val="00782383"/>
    <w:rsid w:val="007826F3"/>
    <w:rsid w:val="00782F7D"/>
    <w:rsid w:val="00784624"/>
    <w:rsid w:val="00784862"/>
    <w:rsid w:val="00786758"/>
    <w:rsid w:val="007869FA"/>
    <w:rsid w:val="00790E06"/>
    <w:rsid w:val="00792806"/>
    <w:rsid w:val="0079364C"/>
    <w:rsid w:val="00794591"/>
    <w:rsid w:val="00794B5F"/>
    <w:rsid w:val="00794B79"/>
    <w:rsid w:val="0079525A"/>
    <w:rsid w:val="00795295"/>
    <w:rsid w:val="0079563D"/>
    <w:rsid w:val="0079701C"/>
    <w:rsid w:val="0079706D"/>
    <w:rsid w:val="00797417"/>
    <w:rsid w:val="007974F1"/>
    <w:rsid w:val="007A0369"/>
    <w:rsid w:val="007A04CC"/>
    <w:rsid w:val="007A193B"/>
    <w:rsid w:val="007A25B9"/>
    <w:rsid w:val="007A3329"/>
    <w:rsid w:val="007A3796"/>
    <w:rsid w:val="007A3BC5"/>
    <w:rsid w:val="007A415F"/>
    <w:rsid w:val="007A444A"/>
    <w:rsid w:val="007A5585"/>
    <w:rsid w:val="007A585A"/>
    <w:rsid w:val="007A7E7E"/>
    <w:rsid w:val="007B08C4"/>
    <w:rsid w:val="007B0E15"/>
    <w:rsid w:val="007B17B3"/>
    <w:rsid w:val="007B1CDA"/>
    <w:rsid w:val="007B25A7"/>
    <w:rsid w:val="007B2BD1"/>
    <w:rsid w:val="007B2E9B"/>
    <w:rsid w:val="007B309E"/>
    <w:rsid w:val="007B31C9"/>
    <w:rsid w:val="007B3702"/>
    <w:rsid w:val="007B5103"/>
    <w:rsid w:val="007B53CC"/>
    <w:rsid w:val="007B6E56"/>
    <w:rsid w:val="007B6F24"/>
    <w:rsid w:val="007B705F"/>
    <w:rsid w:val="007B79C1"/>
    <w:rsid w:val="007B7D0F"/>
    <w:rsid w:val="007C04C1"/>
    <w:rsid w:val="007C0E1E"/>
    <w:rsid w:val="007C121F"/>
    <w:rsid w:val="007C22A1"/>
    <w:rsid w:val="007C2711"/>
    <w:rsid w:val="007C2BC9"/>
    <w:rsid w:val="007C3560"/>
    <w:rsid w:val="007C3B04"/>
    <w:rsid w:val="007C3EFB"/>
    <w:rsid w:val="007C5983"/>
    <w:rsid w:val="007C59AA"/>
    <w:rsid w:val="007C5C4E"/>
    <w:rsid w:val="007C6997"/>
    <w:rsid w:val="007C75E8"/>
    <w:rsid w:val="007C7BA7"/>
    <w:rsid w:val="007D07AB"/>
    <w:rsid w:val="007D07E6"/>
    <w:rsid w:val="007D07EF"/>
    <w:rsid w:val="007D09A6"/>
    <w:rsid w:val="007D0A5B"/>
    <w:rsid w:val="007D0A5C"/>
    <w:rsid w:val="007D107C"/>
    <w:rsid w:val="007D2038"/>
    <w:rsid w:val="007D21E0"/>
    <w:rsid w:val="007D279B"/>
    <w:rsid w:val="007D305D"/>
    <w:rsid w:val="007D3875"/>
    <w:rsid w:val="007D4171"/>
    <w:rsid w:val="007D43A8"/>
    <w:rsid w:val="007D46C6"/>
    <w:rsid w:val="007D4C43"/>
    <w:rsid w:val="007D5793"/>
    <w:rsid w:val="007D58E6"/>
    <w:rsid w:val="007D5F72"/>
    <w:rsid w:val="007D610D"/>
    <w:rsid w:val="007D61E5"/>
    <w:rsid w:val="007D6633"/>
    <w:rsid w:val="007D690E"/>
    <w:rsid w:val="007D7698"/>
    <w:rsid w:val="007D7B1A"/>
    <w:rsid w:val="007E070C"/>
    <w:rsid w:val="007E0D54"/>
    <w:rsid w:val="007E295A"/>
    <w:rsid w:val="007E32D3"/>
    <w:rsid w:val="007E33DA"/>
    <w:rsid w:val="007E341A"/>
    <w:rsid w:val="007E50C7"/>
    <w:rsid w:val="007E5D1D"/>
    <w:rsid w:val="007E62C2"/>
    <w:rsid w:val="007E65A3"/>
    <w:rsid w:val="007E680C"/>
    <w:rsid w:val="007E68AF"/>
    <w:rsid w:val="007E69DC"/>
    <w:rsid w:val="007E6CC8"/>
    <w:rsid w:val="007E6F1B"/>
    <w:rsid w:val="007E7ADA"/>
    <w:rsid w:val="007E7B16"/>
    <w:rsid w:val="007E7CDF"/>
    <w:rsid w:val="007F01B2"/>
    <w:rsid w:val="007F0A5E"/>
    <w:rsid w:val="007F0C4E"/>
    <w:rsid w:val="007F0FC4"/>
    <w:rsid w:val="007F1A0C"/>
    <w:rsid w:val="007F1B29"/>
    <w:rsid w:val="007F1F38"/>
    <w:rsid w:val="007F380E"/>
    <w:rsid w:val="007F46C8"/>
    <w:rsid w:val="007F47C1"/>
    <w:rsid w:val="007F49E9"/>
    <w:rsid w:val="007F4B4C"/>
    <w:rsid w:val="007F4B57"/>
    <w:rsid w:val="007F4E89"/>
    <w:rsid w:val="007F57A2"/>
    <w:rsid w:val="007F5F88"/>
    <w:rsid w:val="007F6803"/>
    <w:rsid w:val="007F75B9"/>
    <w:rsid w:val="00800FC9"/>
    <w:rsid w:val="00801245"/>
    <w:rsid w:val="00801C3E"/>
    <w:rsid w:val="0080241A"/>
    <w:rsid w:val="00802978"/>
    <w:rsid w:val="00802DE9"/>
    <w:rsid w:val="00802E80"/>
    <w:rsid w:val="00803432"/>
    <w:rsid w:val="0080370D"/>
    <w:rsid w:val="00803F3D"/>
    <w:rsid w:val="00803FAF"/>
    <w:rsid w:val="00804C9A"/>
    <w:rsid w:val="00805C1E"/>
    <w:rsid w:val="00805DB6"/>
    <w:rsid w:val="0080640B"/>
    <w:rsid w:val="00806616"/>
    <w:rsid w:val="00806EFD"/>
    <w:rsid w:val="00807C99"/>
    <w:rsid w:val="00810A4F"/>
    <w:rsid w:val="00813A85"/>
    <w:rsid w:val="00813CEC"/>
    <w:rsid w:val="008141B2"/>
    <w:rsid w:val="008153D0"/>
    <w:rsid w:val="00815838"/>
    <w:rsid w:val="0081616C"/>
    <w:rsid w:val="0081642F"/>
    <w:rsid w:val="008166BF"/>
    <w:rsid w:val="008171B9"/>
    <w:rsid w:val="00817354"/>
    <w:rsid w:val="00817545"/>
    <w:rsid w:val="00817B78"/>
    <w:rsid w:val="00820FFC"/>
    <w:rsid w:val="00821CDD"/>
    <w:rsid w:val="00823771"/>
    <w:rsid w:val="00823D0A"/>
    <w:rsid w:val="008243BA"/>
    <w:rsid w:val="00824A07"/>
    <w:rsid w:val="00824A0E"/>
    <w:rsid w:val="00824B7F"/>
    <w:rsid w:val="00824C8B"/>
    <w:rsid w:val="00825F01"/>
    <w:rsid w:val="00825FDA"/>
    <w:rsid w:val="00826062"/>
    <w:rsid w:val="00826333"/>
    <w:rsid w:val="00826437"/>
    <w:rsid w:val="008269DD"/>
    <w:rsid w:val="00827E2C"/>
    <w:rsid w:val="00830DE8"/>
    <w:rsid w:val="00831460"/>
    <w:rsid w:val="008320BC"/>
    <w:rsid w:val="0083237E"/>
    <w:rsid w:val="00832D37"/>
    <w:rsid w:val="0083371D"/>
    <w:rsid w:val="0083380B"/>
    <w:rsid w:val="00834042"/>
    <w:rsid w:val="0083568B"/>
    <w:rsid w:val="008358CD"/>
    <w:rsid w:val="0083594E"/>
    <w:rsid w:val="00835FCE"/>
    <w:rsid w:val="0083627B"/>
    <w:rsid w:val="00836379"/>
    <w:rsid w:val="00840CF5"/>
    <w:rsid w:val="0084201F"/>
    <w:rsid w:val="008424B5"/>
    <w:rsid w:val="00842666"/>
    <w:rsid w:val="00842A3F"/>
    <w:rsid w:val="0084335D"/>
    <w:rsid w:val="00843649"/>
    <w:rsid w:val="00843762"/>
    <w:rsid w:val="00843C17"/>
    <w:rsid w:val="0084456E"/>
    <w:rsid w:val="00844C78"/>
    <w:rsid w:val="00844E4D"/>
    <w:rsid w:val="00845492"/>
    <w:rsid w:val="00845CAE"/>
    <w:rsid w:val="008469A3"/>
    <w:rsid w:val="008477E8"/>
    <w:rsid w:val="0085022F"/>
    <w:rsid w:val="00850452"/>
    <w:rsid w:val="00850A66"/>
    <w:rsid w:val="008515C0"/>
    <w:rsid w:val="00851649"/>
    <w:rsid w:val="008516B4"/>
    <w:rsid w:val="00851B5F"/>
    <w:rsid w:val="00851CD5"/>
    <w:rsid w:val="00852497"/>
    <w:rsid w:val="0085494C"/>
    <w:rsid w:val="00854954"/>
    <w:rsid w:val="008553EF"/>
    <w:rsid w:val="008559A7"/>
    <w:rsid w:val="00855E67"/>
    <w:rsid w:val="00855E6B"/>
    <w:rsid w:val="008567D0"/>
    <w:rsid w:val="008571A7"/>
    <w:rsid w:val="008578E3"/>
    <w:rsid w:val="00857B3A"/>
    <w:rsid w:val="00857EEE"/>
    <w:rsid w:val="008616CA"/>
    <w:rsid w:val="0086217F"/>
    <w:rsid w:val="00862315"/>
    <w:rsid w:val="00862941"/>
    <w:rsid w:val="008635AA"/>
    <w:rsid w:val="0086379B"/>
    <w:rsid w:val="00863B85"/>
    <w:rsid w:val="00864B1A"/>
    <w:rsid w:val="00864BCB"/>
    <w:rsid w:val="00865307"/>
    <w:rsid w:val="00866048"/>
    <w:rsid w:val="008660C0"/>
    <w:rsid w:val="0086671D"/>
    <w:rsid w:val="00866801"/>
    <w:rsid w:val="00866BE3"/>
    <w:rsid w:val="0086792E"/>
    <w:rsid w:val="00867D3C"/>
    <w:rsid w:val="00870C7F"/>
    <w:rsid w:val="0087330D"/>
    <w:rsid w:val="008745BC"/>
    <w:rsid w:val="00874BB2"/>
    <w:rsid w:val="00874D57"/>
    <w:rsid w:val="0087568D"/>
    <w:rsid w:val="00875916"/>
    <w:rsid w:val="00875A24"/>
    <w:rsid w:val="008760BB"/>
    <w:rsid w:val="00876308"/>
    <w:rsid w:val="0087632F"/>
    <w:rsid w:val="00876BFA"/>
    <w:rsid w:val="0087710C"/>
    <w:rsid w:val="008801E7"/>
    <w:rsid w:val="00880F41"/>
    <w:rsid w:val="0088118D"/>
    <w:rsid w:val="00881CAA"/>
    <w:rsid w:val="0088244A"/>
    <w:rsid w:val="008831C7"/>
    <w:rsid w:val="00883F1B"/>
    <w:rsid w:val="00883F26"/>
    <w:rsid w:val="00884627"/>
    <w:rsid w:val="00885AC8"/>
    <w:rsid w:val="008871A6"/>
    <w:rsid w:val="008872AA"/>
    <w:rsid w:val="008873FB"/>
    <w:rsid w:val="00887620"/>
    <w:rsid w:val="00887A84"/>
    <w:rsid w:val="00887CEF"/>
    <w:rsid w:val="00887FD0"/>
    <w:rsid w:val="00891E95"/>
    <w:rsid w:val="00892185"/>
    <w:rsid w:val="0089228C"/>
    <w:rsid w:val="00892CBE"/>
    <w:rsid w:val="00892CE4"/>
    <w:rsid w:val="00892DA8"/>
    <w:rsid w:val="008948A6"/>
    <w:rsid w:val="0089562F"/>
    <w:rsid w:val="008958CF"/>
    <w:rsid w:val="00895FE0"/>
    <w:rsid w:val="008960D2"/>
    <w:rsid w:val="0089613E"/>
    <w:rsid w:val="008A0739"/>
    <w:rsid w:val="008A0B54"/>
    <w:rsid w:val="008A0DEB"/>
    <w:rsid w:val="008A17A6"/>
    <w:rsid w:val="008A21DA"/>
    <w:rsid w:val="008A2574"/>
    <w:rsid w:val="008A2C72"/>
    <w:rsid w:val="008A3314"/>
    <w:rsid w:val="008A41BD"/>
    <w:rsid w:val="008A4EDA"/>
    <w:rsid w:val="008A5373"/>
    <w:rsid w:val="008A56E2"/>
    <w:rsid w:val="008A586A"/>
    <w:rsid w:val="008A5A51"/>
    <w:rsid w:val="008A5B4D"/>
    <w:rsid w:val="008A6286"/>
    <w:rsid w:val="008A71E6"/>
    <w:rsid w:val="008A7C53"/>
    <w:rsid w:val="008B01EA"/>
    <w:rsid w:val="008B0477"/>
    <w:rsid w:val="008B08C6"/>
    <w:rsid w:val="008B0E56"/>
    <w:rsid w:val="008B2295"/>
    <w:rsid w:val="008B2315"/>
    <w:rsid w:val="008B47FC"/>
    <w:rsid w:val="008B484F"/>
    <w:rsid w:val="008B4B86"/>
    <w:rsid w:val="008B510F"/>
    <w:rsid w:val="008B5F04"/>
    <w:rsid w:val="008B5F23"/>
    <w:rsid w:val="008B664B"/>
    <w:rsid w:val="008B6DF3"/>
    <w:rsid w:val="008B72DF"/>
    <w:rsid w:val="008B737B"/>
    <w:rsid w:val="008B7EB7"/>
    <w:rsid w:val="008C039A"/>
    <w:rsid w:val="008C0C86"/>
    <w:rsid w:val="008C0D61"/>
    <w:rsid w:val="008C1079"/>
    <w:rsid w:val="008C16BA"/>
    <w:rsid w:val="008C16DE"/>
    <w:rsid w:val="008C17AC"/>
    <w:rsid w:val="008C1A73"/>
    <w:rsid w:val="008C24B1"/>
    <w:rsid w:val="008C2781"/>
    <w:rsid w:val="008C278F"/>
    <w:rsid w:val="008C33B4"/>
    <w:rsid w:val="008C43D1"/>
    <w:rsid w:val="008C4E7A"/>
    <w:rsid w:val="008C56BA"/>
    <w:rsid w:val="008C5E5F"/>
    <w:rsid w:val="008C661E"/>
    <w:rsid w:val="008C7E72"/>
    <w:rsid w:val="008D2171"/>
    <w:rsid w:val="008D3602"/>
    <w:rsid w:val="008D3C8C"/>
    <w:rsid w:val="008D481C"/>
    <w:rsid w:val="008D4C3C"/>
    <w:rsid w:val="008D4E48"/>
    <w:rsid w:val="008D64FF"/>
    <w:rsid w:val="008D6BA0"/>
    <w:rsid w:val="008D6ECB"/>
    <w:rsid w:val="008D771B"/>
    <w:rsid w:val="008D7A07"/>
    <w:rsid w:val="008E0693"/>
    <w:rsid w:val="008E091F"/>
    <w:rsid w:val="008E1333"/>
    <w:rsid w:val="008E31FD"/>
    <w:rsid w:val="008E3A64"/>
    <w:rsid w:val="008E3A75"/>
    <w:rsid w:val="008E4178"/>
    <w:rsid w:val="008E422B"/>
    <w:rsid w:val="008E473D"/>
    <w:rsid w:val="008E4E81"/>
    <w:rsid w:val="008E52F0"/>
    <w:rsid w:val="008E55FE"/>
    <w:rsid w:val="008E5DE3"/>
    <w:rsid w:val="008E604A"/>
    <w:rsid w:val="008E6543"/>
    <w:rsid w:val="008E6871"/>
    <w:rsid w:val="008E7352"/>
    <w:rsid w:val="008E7D6D"/>
    <w:rsid w:val="008F143D"/>
    <w:rsid w:val="008F152E"/>
    <w:rsid w:val="008F1B5D"/>
    <w:rsid w:val="008F1F91"/>
    <w:rsid w:val="008F255A"/>
    <w:rsid w:val="008F5E9D"/>
    <w:rsid w:val="008F6468"/>
    <w:rsid w:val="008F65C9"/>
    <w:rsid w:val="008F6D6B"/>
    <w:rsid w:val="008F7502"/>
    <w:rsid w:val="008F7983"/>
    <w:rsid w:val="008F7E36"/>
    <w:rsid w:val="0090336B"/>
    <w:rsid w:val="00904757"/>
    <w:rsid w:val="00904B7D"/>
    <w:rsid w:val="009061AE"/>
    <w:rsid w:val="00906BF7"/>
    <w:rsid w:val="00907894"/>
    <w:rsid w:val="009102E5"/>
    <w:rsid w:val="00910347"/>
    <w:rsid w:val="00910B09"/>
    <w:rsid w:val="00910CE9"/>
    <w:rsid w:val="00910D7B"/>
    <w:rsid w:val="009122AE"/>
    <w:rsid w:val="0091231E"/>
    <w:rsid w:val="00912775"/>
    <w:rsid w:val="00912ED3"/>
    <w:rsid w:val="00913440"/>
    <w:rsid w:val="009135EE"/>
    <w:rsid w:val="00913A78"/>
    <w:rsid w:val="00913B9E"/>
    <w:rsid w:val="00913F21"/>
    <w:rsid w:val="00914045"/>
    <w:rsid w:val="0091546C"/>
    <w:rsid w:val="00915DFC"/>
    <w:rsid w:val="0091704D"/>
    <w:rsid w:val="00917EAC"/>
    <w:rsid w:val="00917F6C"/>
    <w:rsid w:val="00921491"/>
    <w:rsid w:val="00921746"/>
    <w:rsid w:val="00921BBC"/>
    <w:rsid w:val="00924162"/>
    <w:rsid w:val="009241CC"/>
    <w:rsid w:val="009249F0"/>
    <w:rsid w:val="00924A27"/>
    <w:rsid w:val="00924A9A"/>
    <w:rsid w:val="00924F46"/>
    <w:rsid w:val="009256C6"/>
    <w:rsid w:val="00925E7B"/>
    <w:rsid w:val="00926689"/>
    <w:rsid w:val="0092744F"/>
    <w:rsid w:val="00927616"/>
    <w:rsid w:val="00927DD9"/>
    <w:rsid w:val="00927F0A"/>
    <w:rsid w:val="009301A0"/>
    <w:rsid w:val="009309EE"/>
    <w:rsid w:val="00931D3F"/>
    <w:rsid w:val="00931EDA"/>
    <w:rsid w:val="0093272B"/>
    <w:rsid w:val="00932D9D"/>
    <w:rsid w:val="00933356"/>
    <w:rsid w:val="009333B7"/>
    <w:rsid w:val="00933EBF"/>
    <w:rsid w:val="00934C2D"/>
    <w:rsid w:val="00934FEE"/>
    <w:rsid w:val="0093572B"/>
    <w:rsid w:val="00936337"/>
    <w:rsid w:val="009400A2"/>
    <w:rsid w:val="0094040A"/>
    <w:rsid w:val="0094177F"/>
    <w:rsid w:val="009417BC"/>
    <w:rsid w:val="00941F49"/>
    <w:rsid w:val="00943DBF"/>
    <w:rsid w:val="00944848"/>
    <w:rsid w:val="00944A34"/>
    <w:rsid w:val="00944B38"/>
    <w:rsid w:val="00945BED"/>
    <w:rsid w:val="00945C83"/>
    <w:rsid w:val="00945DB2"/>
    <w:rsid w:val="009464F0"/>
    <w:rsid w:val="00947578"/>
    <w:rsid w:val="00947727"/>
    <w:rsid w:val="0094799E"/>
    <w:rsid w:val="00950085"/>
    <w:rsid w:val="00950611"/>
    <w:rsid w:val="009515ED"/>
    <w:rsid w:val="00951DAF"/>
    <w:rsid w:val="0095364C"/>
    <w:rsid w:val="00953919"/>
    <w:rsid w:val="00953C76"/>
    <w:rsid w:val="00953C7D"/>
    <w:rsid w:val="00954710"/>
    <w:rsid w:val="00954AB3"/>
    <w:rsid w:val="009577AA"/>
    <w:rsid w:val="00957841"/>
    <w:rsid w:val="009608B0"/>
    <w:rsid w:val="00960951"/>
    <w:rsid w:val="00961891"/>
    <w:rsid w:val="0096196D"/>
    <w:rsid w:val="00961ADD"/>
    <w:rsid w:val="00961B17"/>
    <w:rsid w:val="00961E96"/>
    <w:rsid w:val="00961F84"/>
    <w:rsid w:val="0096276B"/>
    <w:rsid w:val="00962C6C"/>
    <w:rsid w:val="00962E55"/>
    <w:rsid w:val="00963849"/>
    <w:rsid w:val="00964798"/>
    <w:rsid w:val="0096522D"/>
    <w:rsid w:val="00966255"/>
    <w:rsid w:val="0096676D"/>
    <w:rsid w:val="00966DFE"/>
    <w:rsid w:val="009700BB"/>
    <w:rsid w:val="009701AC"/>
    <w:rsid w:val="00970811"/>
    <w:rsid w:val="00970EA3"/>
    <w:rsid w:val="00972D2F"/>
    <w:rsid w:val="0097366C"/>
    <w:rsid w:val="009742EE"/>
    <w:rsid w:val="00974897"/>
    <w:rsid w:val="00974B9F"/>
    <w:rsid w:val="00975261"/>
    <w:rsid w:val="009761C9"/>
    <w:rsid w:val="00977CEE"/>
    <w:rsid w:val="00977D3F"/>
    <w:rsid w:val="00980365"/>
    <w:rsid w:val="009809EC"/>
    <w:rsid w:val="0098194E"/>
    <w:rsid w:val="00982233"/>
    <w:rsid w:val="009824FC"/>
    <w:rsid w:val="00982DF2"/>
    <w:rsid w:val="009839FB"/>
    <w:rsid w:val="009844C0"/>
    <w:rsid w:val="0098518F"/>
    <w:rsid w:val="009859B2"/>
    <w:rsid w:val="009863AF"/>
    <w:rsid w:val="009867AA"/>
    <w:rsid w:val="00987A9A"/>
    <w:rsid w:val="00990118"/>
    <w:rsid w:val="00990262"/>
    <w:rsid w:val="0099042B"/>
    <w:rsid w:val="00990E07"/>
    <w:rsid w:val="0099179C"/>
    <w:rsid w:val="00991F35"/>
    <w:rsid w:val="0099239F"/>
    <w:rsid w:val="00992630"/>
    <w:rsid w:val="009940CB"/>
    <w:rsid w:val="00994202"/>
    <w:rsid w:val="009942C4"/>
    <w:rsid w:val="00994F36"/>
    <w:rsid w:val="0099570D"/>
    <w:rsid w:val="00995B62"/>
    <w:rsid w:val="00995E78"/>
    <w:rsid w:val="00996F37"/>
    <w:rsid w:val="0099736E"/>
    <w:rsid w:val="009973AE"/>
    <w:rsid w:val="009A1296"/>
    <w:rsid w:val="009A2E71"/>
    <w:rsid w:val="009A39B7"/>
    <w:rsid w:val="009A3BCC"/>
    <w:rsid w:val="009A41BA"/>
    <w:rsid w:val="009A427E"/>
    <w:rsid w:val="009A44F2"/>
    <w:rsid w:val="009A50E0"/>
    <w:rsid w:val="009A54C2"/>
    <w:rsid w:val="009A5841"/>
    <w:rsid w:val="009A6C18"/>
    <w:rsid w:val="009A6D03"/>
    <w:rsid w:val="009A7299"/>
    <w:rsid w:val="009A7C82"/>
    <w:rsid w:val="009A7DF7"/>
    <w:rsid w:val="009B11BB"/>
    <w:rsid w:val="009B1235"/>
    <w:rsid w:val="009B171B"/>
    <w:rsid w:val="009B1AAF"/>
    <w:rsid w:val="009B23C1"/>
    <w:rsid w:val="009B2722"/>
    <w:rsid w:val="009B324D"/>
    <w:rsid w:val="009B36A0"/>
    <w:rsid w:val="009B410C"/>
    <w:rsid w:val="009B4CB6"/>
    <w:rsid w:val="009B4DF2"/>
    <w:rsid w:val="009B5AF9"/>
    <w:rsid w:val="009B61C9"/>
    <w:rsid w:val="009B636F"/>
    <w:rsid w:val="009B6479"/>
    <w:rsid w:val="009B684A"/>
    <w:rsid w:val="009B6C6B"/>
    <w:rsid w:val="009B6DE8"/>
    <w:rsid w:val="009B7079"/>
    <w:rsid w:val="009C05A3"/>
    <w:rsid w:val="009C113D"/>
    <w:rsid w:val="009C250C"/>
    <w:rsid w:val="009C283C"/>
    <w:rsid w:val="009C2F02"/>
    <w:rsid w:val="009C328E"/>
    <w:rsid w:val="009C4496"/>
    <w:rsid w:val="009C45C5"/>
    <w:rsid w:val="009C4CD6"/>
    <w:rsid w:val="009C4F74"/>
    <w:rsid w:val="009C56F8"/>
    <w:rsid w:val="009C5D74"/>
    <w:rsid w:val="009C5F12"/>
    <w:rsid w:val="009C6349"/>
    <w:rsid w:val="009C6D8C"/>
    <w:rsid w:val="009C773F"/>
    <w:rsid w:val="009C7E97"/>
    <w:rsid w:val="009C7F70"/>
    <w:rsid w:val="009D0E01"/>
    <w:rsid w:val="009D1D15"/>
    <w:rsid w:val="009D3E7D"/>
    <w:rsid w:val="009D49B7"/>
    <w:rsid w:val="009D4E42"/>
    <w:rsid w:val="009D546D"/>
    <w:rsid w:val="009D5D49"/>
    <w:rsid w:val="009D6983"/>
    <w:rsid w:val="009D69D8"/>
    <w:rsid w:val="009D6E6A"/>
    <w:rsid w:val="009D6ECD"/>
    <w:rsid w:val="009D6F93"/>
    <w:rsid w:val="009E0271"/>
    <w:rsid w:val="009E03CC"/>
    <w:rsid w:val="009E0E5D"/>
    <w:rsid w:val="009E10AD"/>
    <w:rsid w:val="009E1C77"/>
    <w:rsid w:val="009E1F17"/>
    <w:rsid w:val="009E1F84"/>
    <w:rsid w:val="009E2782"/>
    <w:rsid w:val="009E2F4A"/>
    <w:rsid w:val="009E3349"/>
    <w:rsid w:val="009E350A"/>
    <w:rsid w:val="009E38BD"/>
    <w:rsid w:val="009E3C27"/>
    <w:rsid w:val="009E47D1"/>
    <w:rsid w:val="009E4B4F"/>
    <w:rsid w:val="009E4F8C"/>
    <w:rsid w:val="009E5AF5"/>
    <w:rsid w:val="009E5FDF"/>
    <w:rsid w:val="009E6648"/>
    <w:rsid w:val="009E69CC"/>
    <w:rsid w:val="009E781B"/>
    <w:rsid w:val="009E7E01"/>
    <w:rsid w:val="009F00A1"/>
    <w:rsid w:val="009F1DFE"/>
    <w:rsid w:val="009F274B"/>
    <w:rsid w:val="009F3C67"/>
    <w:rsid w:val="009F4D16"/>
    <w:rsid w:val="009F5042"/>
    <w:rsid w:val="009F504D"/>
    <w:rsid w:val="009F5449"/>
    <w:rsid w:val="009F686B"/>
    <w:rsid w:val="009F6EF6"/>
    <w:rsid w:val="009F7577"/>
    <w:rsid w:val="009F7F41"/>
    <w:rsid w:val="00A00320"/>
    <w:rsid w:val="00A0116C"/>
    <w:rsid w:val="00A0190C"/>
    <w:rsid w:val="00A02372"/>
    <w:rsid w:val="00A02422"/>
    <w:rsid w:val="00A02746"/>
    <w:rsid w:val="00A030AD"/>
    <w:rsid w:val="00A03941"/>
    <w:rsid w:val="00A04908"/>
    <w:rsid w:val="00A05D96"/>
    <w:rsid w:val="00A05F17"/>
    <w:rsid w:val="00A06441"/>
    <w:rsid w:val="00A06AD2"/>
    <w:rsid w:val="00A06D49"/>
    <w:rsid w:val="00A071AA"/>
    <w:rsid w:val="00A0774B"/>
    <w:rsid w:val="00A07BA7"/>
    <w:rsid w:val="00A1008F"/>
    <w:rsid w:val="00A107C3"/>
    <w:rsid w:val="00A10D3E"/>
    <w:rsid w:val="00A10DDD"/>
    <w:rsid w:val="00A1102F"/>
    <w:rsid w:val="00A112CD"/>
    <w:rsid w:val="00A11A13"/>
    <w:rsid w:val="00A132AE"/>
    <w:rsid w:val="00A138C3"/>
    <w:rsid w:val="00A13C52"/>
    <w:rsid w:val="00A14819"/>
    <w:rsid w:val="00A14E10"/>
    <w:rsid w:val="00A16249"/>
    <w:rsid w:val="00A1667D"/>
    <w:rsid w:val="00A168B6"/>
    <w:rsid w:val="00A16D11"/>
    <w:rsid w:val="00A17A1D"/>
    <w:rsid w:val="00A17E8F"/>
    <w:rsid w:val="00A206A0"/>
    <w:rsid w:val="00A20D06"/>
    <w:rsid w:val="00A21A50"/>
    <w:rsid w:val="00A220A1"/>
    <w:rsid w:val="00A224B0"/>
    <w:rsid w:val="00A22AA2"/>
    <w:rsid w:val="00A23165"/>
    <w:rsid w:val="00A23BED"/>
    <w:rsid w:val="00A23C8E"/>
    <w:rsid w:val="00A24371"/>
    <w:rsid w:val="00A247A9"/>
    <w:rsid w:val="00A24E85"/>
    <w:rsid w:val="00A25DF5"/>
    <w:rsid w:val="00A25F0B"/>
    <w:rsid w:val="00A26544"/>
    <w:rsid w:val="00A26958"/>
    <w:rsid w:val="00A26A4B"/>
    <w:rsid w:val="00A26BB8"/>
    <w:rsid w:val="00A26D79"/>
    <w:rsid w:val="00A27367"/>
    <w:rsid w:val="00A30059"/>
    <w:rsid w:val="00A30B52"/>
    <w:rsid w:val="00A315AC"/>
    <w:rsid w:val="00A31821"/>
    <w:rsid w:val="00A32179"/>
    <w:rsid w:val="00A34606"/>
    <w:rsid w:val="00A35586"/>
    <w:rsid w:val="00A35E75"/>
    <w:rsid w:val="00A35FBE"/>
    <w:rsid w:val="00A360EC"/>
    <w:rsid w:val="00A36431"/>
    <w:rsid w:val="00A366B5"/>
    <w:rsid w:val="00A41353"/>
    <w:rsid w:val="00A43AAC"/>
    <w:rsid w:val="00A43CC7"/>
    <w:rsid w:val="00A43F88"/>
    <w:rsid w:val="00A440F9"/>
    <w:rsid w:val="00A4416A"/>
    <w:rsid w:val="00A44B6D"/>
    <w:rsid w:val="00A450BD"/>
    <w:rsid w:val="00A4575E"/>
    <w:rsid w:val="00A45937"/>
    <w:rsid w:val="00A460A2"/>
    <w:rsid w:val="00A461CA"/>
    <w:rsid w:val="00A46922"/>
    <w:rsid w:val="00A46A8D"/>
    <w:rsid w:val="00A46F2B"/>
    <w:rsid w:val="00A5007F"/>
    <w:rsid w:val="00A500A9"/>
    <w:rsid w:val="00A526A8"/>
    <w:rsid w:val="00A5407C"/>
    <w:rsid w:val="00A542DF"/>
    <w:rsid w:val="00A54418"/>
    <w:rsid w:val="00A54A21"/>
    <w:rsid w:val="00A54B95"/>
    <w:rsid w:val="00A557BB"/>
    <w:rsid w:val="00A5599C"/>
    <w:rsid w:val="00A55EF6"/>
    <w:rsid w:val="00A55F93"/>
    <w:rsid w:val="00A56013"/>
    <w:rsid w:val="00A56296"/>
    <w:rsid w:val="00A56FCB"/>
    <w:rsid w:val="00A57BD6"/>
    <w:rsid w:val="00A603CF"/>
    <w:rsid w:val="00A60914"/>
    <w:rsid w:val="00A60DFA"/>
    <w:rsid w:val="00A61AC8"/>
    <w:rsid w:val="00A61BD5"/>
    <w:rsid w:val="00A62B45"/>
    <w:rsid w:val="00A63029"/>
    <w:rsid w:val="00A63192"/>
    <w:rsid w:val="00A6409E"/>
    <w:rsid w:val="00A649D2"/>
    <w:rsid w:val="00A64A9F"/>
    <w:rsid w:val="00A65DB0"/>
    <w:rsid w:val="00A66410"/>
    <w:rsid w:val="00A6666D"/>
    <w:rsid w:val="00A66942"/>
    <w:rsid w:val="00A70C4B"/>
    <w:rsid w:val="00A70D42"/>
    <w:rsid w:val="00A70DA1"/>
    <w:rsid w:val="00A71F45"/>
    <w:rsid w:val="00A726E5"/>
    <w:rsid w:val="00A72E93"/>
    <w:rsid w:val="00A73BD9"/>
    <w:rsid w:val="00A73DDE"/>
    <w:rsid w:val="00A73E9A"/>
    <w:rsid w:val="00A7455D"/>
    <w:rsid w:val="00A74DED"/>
    <w:rsid w:val="00A751A3"/>
    <w:rsid w:val="00A757C1"/>
    <w:rsid w:val="00A75A13"/>
    <w:rsid w:val="00A75A5D"/>
    <w:rsid w:val="00A76015"/>
    <w:rsid w:val="00A765E9"/>
    <w:rsid w:val="00A7661B"/>
    <w:rsid w:val="00A76BB1"/>
    <w:rsid w:val="00A76F01"/>
    <w:rsid w:val="00A80796"/>
    <w:rsid w:val="00A81258"/>
    <w:rsid w:val="00A81343"/>
    <w:rsid w:val="00A816EB"/>
    <w:rsid w:val="00A8202B"/>
    <w:rsid w:val="00A82B74"/>
    <w:rsid w:val="00A82C6C"/>
    <w:rsid w:val="00A844DF"/>
    <w:rsid w:val="00A84BF8"/>
    <w:rsid w:val="00A84D95"/>
    <w:rsid w:val="00A851CA"/>
    <w:rsid w:val="00A85203"/>
    <w:rsid w:val="00A85904"/>
    <w:rsid w:val="00A86BF0"/>
    <w:rsid w:val="00A86E54"/>
    <w:rsid w:val="00A87147"/>
    <w:rsid w:val="00A87A19"/>
    <w:rsid w:val="00A87CC6"/>
    <w:rsid w:val="00A87E78"/>
    <w:rsid w:val="00A87EC1"/>
    <w:rsid w:val="00A900D3"/>
    <w:rsid w:val="00A91B80"/>
    <w:rsid w:val="00A93175"/>
    <w:rsid w:val="00A93C8D"/>
    <w:rsid w:val="00A93D59"/>
    <w:rsid w:val="00A94310"/>
    <w:rsid w:val="00A943C3"/>
    <w:rsid w:val="00A94656"/>
    <w:rsid w:val="00A956FA"/>
    <w:rsid w:val="00A9587F"/>
    <w:rsid w:val="00A95912"/>
    <w:rsid w:val="00A95DB1"/>
    <w:rsid w:val="00A961EA"/>
    <w:rsid w:val="00A97265"/>
    <w:rsid w:val="00A97735"/>
    <w:rsid w:val="00A97F37"/>
    <w:rsid w:val="00AA06A2"/>
    <w:rsid w:val="00AA0ABD"/>
    <w:rsid w:val="00AA1881"/>
    <w:rsid w:val="00AA2520"/>
    <w:rsid w:val="00AA2857"/>
    <w:rsid w:val="00AA3619"/>
    <w:rsid w:val="00AA38E8"/>
    <w:rsid w:val="00AA601C"/>
    <w:rsid w:val="00AA62B6"/>
    <w:rsid w:val="00AA7095"/>
    <w:rsid w:val="00AA74D7"/>
    <w:rsid w:val="00AA753A"/>
    <w:rsid w:val="00AA7729"/>
    <w:rsid w:val="00AA7A6D"/>
    <w:rsid w:val="00AB0D97"/>
    <w:rsid w:val="00AB1394"/>
    <w:rsid w:val="00AB1669"/>
    <w:rsid w:val="00AB1A64"/>
    <w:rsid w:val="00AB1DC2"/>
    <w:rsid w:val="00AB27F3"/>
    <w:rsid w:val="00AB2ACE"/>
    <w:rsid w:val="00AB3774"/>
    <w:rsid w:val="00AB402B"/>
    <w:rsid w:val="00AB4E69"/>
    <w:rsid w:val="00AB5237"/>
    <w:rsid w:val="00AB5809"/>
    <w:rsid w:val="00AB59EE"/>
    <w:rsid w:val="00AB5B2C"/>
    <w:rsid w:val="00AB675D"/>
    <w:rsid w:val="00AB6EB6"/>
    <w:rsid w:val="00AB725A"/>
    <w:rsid w:val="00AB7E93"/>
    <w:rsid w:val="00AC069C"/>
    <w:rsid w:val="00AC1353"/>
    <w:rsid w:val="00AC193F"/>
    <w:rsid w:val="00AC20AD"/>
    <w:rsid w:val="00AC289C"/>
    <w:rsid w:val="00AC3524"/>
    <w:rsid w:val="00AC4109"/>
    <w:rsid w:val="00AC4C06"/>
    <w:rsid w:val="00AC4CC2"/>
    <w:rsid w:val="00AC4D28"/>
    <w:rsid w:val="00AC50AD"/>
    <w:rsid w:val="00AC52E7"/>
    <w:rsid w:val="00AC58AA"/>
    <w:rsid w:val="00AC5E1B"/>
    <w:rsid w:val="00AC695B"/>
    <w:rsid w:val="00AC77BA"/>
    <w:rsid w:val="00AD009E"/>
    <w:rsid w:val="00AD043A"/>
    <w:rsid w:val="00AD0AF3"/>
    <w:rsid w:val="00AD0F9D"/>
    <w:rsid w:val="00AD150C"/>
    <w:rsid w:val="00AD2385"/>
    <w:rsid w:val="00AD2D61"/>
    <w:rsid w:val="00AD3363"/>
    <w:rsid w:val="00AD510A"/>
    <w:rsid w:val="00AD54EE"/>
    <w:rsid w:val="00AD6DA2"/>
    <w:rsid w:val="00AD7871"/>
    <w:rsid w:val="00AD7C5D"/>
    <w:rsid w:val="00AE0600"/>
    <w:rsid w:val="00AE07C4"/>
    <w:rsid w:val="00AE0A72"/>
    <w:rsid w:val="00AE0BC9"/>
    <w:rsid w:val="00AE0FC9"/>
    <w:rsid w:val="00AE1E62"/>
    <w:rsid w:val="00AE3509"/>
    <w:rsid w:val="00AE3CDC"/>
    <w:rsid w:val="00AE41CE"/>
    <w:rsid w:val="00AE4347"/>
    <w:rsid w:val="00AE4A1C"/>
    <w:rsid w:val="00AE600B"/>
    <w:rsid w:val="00AE63DF"/>
    <w:rsid w:val="00AE7293"/>
    <w:rsid w:val="00AE7674"/>
    <w:rsid w:val="00AF0592"/>
    <w:rsid w:val="00AF08B7"/>
    <w:rsid w:val="00AF0C38"/>
    <w:rsid w:val="00AF24B4"/>
    <w:rsid w:val="00AF2BA1"/>
    <w:rsid w:val="00AF4351"/>
    <w:rsid w:val="00AF5031"/>
    <w:rsid w:val="00AF51D2"/>
    <w:rsid w:val="00AF6342"/>
    <w:rsid w:val="00AF6D20"/>
    <w:rsid w:val="00AF77B3"/>
    <w:rsid w:val="00B001BA"/>
    <w:rsid w:val="00B0058D"/>
    <w:rsid w:val="00B00B50"/>
    <w:rsid w:val="00B00EC5"/>
    <w:rsid w:val="00B01ED2"/>
    <w:rsid w:val="00B02210"/>
    <w:rsid w:val="00B03613"/>
    <w:rsid w:val="00B04F5D"/>
    <w:rsid w:val="00B051E4"/>
    <w:rsid w:val="00B0533F"/>
    <w:rsid w:val="00B0558A"/>
    <w:rsid w:val="00B062F6"/>
    <w:rsid w:val="00B067C9"/>
    <w:rsid w:val="00B068EB"/>
    <w:rsid w:val="00B06BF9"/>
    <w:rsid w:val="00B06E9E"/>
    <w:rsid w:val="00B07999"/>
    <w:rsid w:val="00B07A87"/>
    <w:rsid w:val="00B07CDC"/>
    <w:rsid w:val="00B1097A"/>
    <w:rsid w:val="00B10B00"/>
    <w:rsid w:val="00B119A4"/>
    <w:rsid w:val="00B11D9E"/>
    <w:rsid w:val="00B123C9"/>
    <w:rsid w:val="00B142FD"/>
    <w:rsid w:val="00B14D33"/>
    <w:rsid w:val="00B152B7"/>
    <w:rsid w:val="00B15457"/>
    <w:rsid w:val="00B15555"/>
    <w:rsid w:val="00B15618"/>
    <w:rsid w:val="00B15E7D"/>
    <w:rsid w:val="00B168DD"/>
    <w:rsid w:val="00B16AD8"/>
    <w:rsid w:val="00B171F1"/>
    <w:rsid w:val="00B17B75"/>
    <w:rsid w:val="00B2049E"/>
    <w:rsid w:val="00B206E9"/>
    <w:rsid w:val="00B20743"/>
    <w:rsid w:val="00B2158F"/>
    <w:rsid w:val="00B21BD6"/>
    <w:rsid w:val="00B22AA6"/>
    <w:rsid w:val="00B24506"/>
    <w:rsid w:val="00B2472F"/>
    <w:rsid w:val="00B2488C"/>
    <w:rsid w:val="00B24B17"/>
    <w:rsid w:val="00B24E87"/>
    <w:rsid w:val="00B25268"/>
    <w:rsid w:val="00B2576A"/>
    <w:rsid w:val="00B25B32"/>
    <w:rsid w:val="00B25C7E"/>
    <w:rsid w:val="00B26647"/>
    <w:rsid w:val="00B27004"/>
    <w:rsid w:val="00B272D6"/>
    <w:rsid w:val="00B30268"/>
    <w:rsid w:val="00B30464"/>
    <w:rsid w:val="00B30BC1"/>
    <w:rsid w:val="00B312CF"/>
    <w:rsid w:val="00B314E4"/>
    <w:rsid w:val="00B316E8"/>
    <w:rsid w:val="00B31712"/>
    <w:rsid w:val="00B34C56"/>
    <w:rsid w:val="00B35397"/>
    <w:rsid w:val="00B35E6B"/>
    <w:rsid w:val="00B36B25"/>
    <w:rsid w:val="00B3708C"/>
    <w:rsid w:val="00B3709B"/>
    <w:rsid w:val="00B372B6"/>
    <w:rsid w:val="00B37511"/>
    <w:rsid w:val="00B37F3B"/>
    <w:rsid w:val="00B40551"/>
    <w:rsid w:val="00B40B60"/>
    <w:rsid w:val="00B41270"/>
    <w:rsid w:val="00B41479"/>
    <w:rsid w:val="00B415DC"/>
    <w:rsid w:val="00B429C9"/>
    <w:rsid w:val="00B42B21"/>
    <w:rsid w:val="00B4418B"/>
    <w:rsid w:val="00B44429"/>
    <w:rsid w:val="00B448CD"/>
    <w:rsid w:val="00B459D2"/>
    <w:rsid w:val="00B45C7C"/>
    <w:rsid w:val="00B50305"/>
    <w:rsid w:val="00B503F5"/>
    <w:rsid w:val="00B50BE8"/>
    <w:rsid w:val="00B51F44"/>
    <w:rsid w:val="00B53080"/>
    <w:rsid w:val="00B550ED"/>
    <w:rsid w:val="00B5548A"/>
    <w:rsid w:val="00B55812"/>
    <w:rsid w:val="00B5617B"/>
    <w:rsid w:val="00B569CD"/>
    <w:rsid w:val="00B57441"/>
    <w:rsid w:val="00B60270"/>
    <w:rsid w:val="00B60AB5"/>
    <w:rsid w:val="00B61127"/>
    <w:rsid w:val="00B6198F"/>
    <w:rsid w:val="00B61D5F"/>
    <w:rsid w:val="00B61FF5"/>
    <w:rsid w:val="00B631E3"/>
    <w:rsid w:val="00B631F4"/>
    <w:rsid w:val="00B6368B"/>
    <w:rsid w:val="00B636B9"/>
    <w:rsid w:val="00B6385A"/>
    <w:rsid w:val="00B64066"/>
    <w:rsid w:val="00B6414D"/>
    <w:rsid w:val="00B65874"/>
    <w:rsid w:val="00B658D6"/>
    <w:rsid w:val="00B65A5D"/>
    <w:rsid w:val="00B65D15"/>
    <w:rsid w:val="00B65EF6"/>
    <w:rsid w:val="00B661B6"/>
    <w:rsid w:val="00B66956"/>
    <w:rsid w:val="00B67355"/>
    <w:rsid w:val="00B67551"/>
    <w:rsid w:val="00B67D4A"/>
    <w:rsid w:val="00B7066D"/>
    <w:rsid w:val="00B70EC0"/>
    <w:rsid w:val="00B719D7"/>
    <w:rsid w:val="00B71DDC"/>
    <w:rsid w:val="00B727D0"/>
    <w:rsid w:val="00B727EC"/>
    <w:rsid w:val="00B73A98"/>
    <w:rsid w:val="00B75B08"/>
    <w:rsid w:val="00B75CEC"/>
    <w:rsid w:val="00B75E68"/>
    <w:rsid w:val="00B76D51"/>
    <w:rsid w:val="00B775C3"/>
    <w:rsid w:val="00B809DF"/>
    <w:rsid w:val="00B80A99"/>
    <w:rsid w:val="00B80BE0"/>
    <w:rsid w:val="00B824B8"/>
    <w:rsid w:val="00B82F04"/>
    <w:rsid w:val="00B832F8"/>
    <w:rsid w:val="00B83D76"/>
    <w:rsid w:val="00B83F3D"/>
    <w:rsid w:val="00B8478D"/>
    <w:rsid w:val="00B849C5"/>
    <w:rsid w:val="00B84C77"/>
    <w:rsid w:val="00B84FF8"/>
    <w:rsid w:val="00B85196"/>
    <w:rsid w:val="00B85B21"/>
    <w:rsid w:val="00B86595"/>
    <w:rsid w:val="00B8667B"/>
    <w:rsid w:val="00B86A84"/>
    <w:rsid w:val="00B873B1"/>
    <w:rsid w:val="00B9049B"/>
    <w:rsid w:val="00B90655"/>
    <w:rsid w:val="00B90929"/>
    <w:rsid w:val="00B90DEC"/>
    <w:rsid w:val="00B9182E"/>
    <w:rsid w:val="00B91C1F"/>
    <w:rsid w:val="00B92879"/>
    <w:rsid w:val="00B92CD2"/>
    <w:rsid w:val="00B936B6"/>
    <w:rsid w:val="00B93789"/>
    <w:rsid w:val="00B93CC1"/>
    <w:rsid w:val="00B94023"/>
    <w:rsid w:val="00B945BC"/>
    <w:rsid w:val="00B94C8C"/>
    <w:rsid w:val="00B94F1C"/>
    <w:rsid w:val="00B95B4B"/>
    <w:rsid w:val="00B96341"/>
    <w:rsid w:val="00B96D8E"/>
    <w:rsid w:val="00B9780E"/>
    <w:rsid w:val="00BA0227"/>
    <w:rsid w:val="00BA024D"/>
    <w:rsid w:val="00BA26E3"/>
    <w:rsid w:val="00BA32D2"/>
    <w:rsid w:val="00BA3416"/>
    <w:rsid w:val="00BA3A99"/>
    <w:rsid w:val="00BA3B48"/>
    <w:rsid w:val="00BA4DC7"/>
    <w:rsid w:val="00BA522B"/>
    <w:rsid w:val="00BA57F7"/>
    <w:rsid w:val="00BA5813"/>
    <w:rsid w:val="00BA59FA"/>
    <w:rsid w:val="00BA5B59"/>
    <w:rsid w:val="00BA5F95"/>
    <w:rsid w:val="00BA634D"/>
    <w:rsid w:val="00BA6877"/>
    <w:rsid w:val="00BA748B"/>
    <w:rsid w:val="00BB044D"/>
    <w:rsid w:val="00BB04FE"/>
    <w:rsid w:val="00BB0CD4"/>
    <w:rsid w:val="00BB189C"/>
    <w:rsid w:val="00BB26E8"/>
    <w:rsid w:val="00BB31B2"/>
    <w:rsid w:val="00BB41D5"/>
    <w:rsid w:val="00BB44C1"/>
    <w:rsid w:val="00BB4F89"/>
    <w:rsid w:val="00BB5310"/>
    <w:rsid w:val="00BB5400"/>
    <w:rsid w:val="00BB58AA"/>
    <w:rsid w:val="00BB5F1E"/>
    <w:rsid w:val="00BB612E"/>
    <w:rsid w:val="00BB6440"/>
    <w:rsid w:val="00BB64E1"/>
    <w:rsid w:val="00BB68EC"/>
    <w:rsid w:val="00BB7D9B"/>
    <w:rsid w:val="00BC01A3"/>
    <w:rsid w:val="00BC0D39"/>
    <w:rsid w:val="00BC1035"/>
    <w:rsid w:val="00BC114D"/>
    <w:rsid w:val="00BC11DF"/>
    <w:rsid w:val="00BC162F"/>
    <w:rsid w:val="00BC17AC"/>
    <w:rsid w:val="00BC20AF"/>
    <w:rsid w:val="00BC2561"/>
    <w:rsid w:val="00BC27C6"/>
    <w:rsid w:val="00BC2A67"/>
    <w:rsid w:val="00BC3412"/>
    <w:rsid w:val="00BC3FA0"/>
    <w:rsid w:val="00BC4D06"/>
    <w:rsid w:val="00BC5A77"/>
    <w:rsid w:val="00BC5F99"/>
    <w:rsid w:val="00BC60D7"/>
    <w:rsid w:val="00BC610B"/>
    <w:rsid w:val="00BC6282"/>
    <w:rsid w:val="00BC737D"/>
    <w:rsid w:val="00BC7B22"/>
    <w:rsid w:val="00BC7E72"/>
    <w:rsid w:val="00BD0082"/>
    <w:rsid w:val="00BD055D"/>
    <w:rsid w:val="00BD0E00"/>
    <w:rsid w:val="00BD1BD3"/>
    <w:rsid w:val="00BD2612"/>
    <w:rsid w:val="00BD2D3C"/>
    <w:rsid w:val="00BD2E60"/>
    <w:rsid w:val="00BD3951"/>
    <w:rsid w:val="00BD3964"/>
    <w:rsid w:val="00BD5139"/>
    <w:rsid w:val="00BD5360"/>
    <w:rsid w:val="00BD57BB"/>
    <w:rsid w:val="00BD5A7C"/>
    <w:rsid w:val="00BD5B27"/>
    <w:rsid w:val="00BD6279"/>
    <w:rsid w:val="00BD6F87"/>
    <w:rsid w:val="00BD6FA0"/>
    <w:rsid w:val="00BD734E"/>
    <w:rsid w:val="00BD7974"/>
    <w:rsid w:val="00BD7D6D"/>
    <w:rsid w:val="00BD7EC7"/>
    <w:rsid w:val="00BE038D"/>
    <w:rsid w:val="00BE1186"/>
    <w:rsid w:val="00BE1732"/>
    <w:rsid w:val="00BE1C11"/>
    <w:rsid w:val="00BE1E12"/>
    <w:rsid w:val="00BE226A"/>
    <w:rsid w:val="00BE2F25"/>
    <w:rsid w:val="00BE37B6"/>
    <w:rsid w:val="00BE37D6"/>
    <w:rsid w:val="00BE3E6A"/>
    <w:rsid w:val="00BE3F6A"/>
    <w:rsid w:val="00BE4161"/>
    <w:rsid w:val="00BE4835"/>
    <w:rsid w:val="00BE5660"/>
    <w:rsid w:val="00BE5CC4"/>
    <w:rsid w:val="00BE5ECA"/>
    <w:rsid w:val="00BE654A"/>
    <w:rsid w:val="00BE65CB"/>
    <w:rsid w:val="00BE66DA"/>
    <w:rsid w:val="00BE69EE"/>
    <w:rsid w:val="00BF0397"/>
    <w:rsid w:val="00BF03CE"/>
    <w:rsid w:val="00BF0D0F"/>
    <w:rsid w:val="00BF0F24"/>
    <w:rsid w:val="00BF0FF3"/>
    <w:rsid w:val="00BF10A1"/>
    <w:rsid w:val="00BF142D"/>
    <w:rsid w:val="00BF1766"/>
    <w:rsid w:val="00BF1AD9"/>
    <w:rsid w:val="00BF2119"/>
    <w:rsid w:val="00BF31E6"/>
    <w:rsid w:val="00BF3C45"/>
    <w:rsid w:val="00BF4736"/>
    <w:rsid w:val="00BF4D40"/>
    <w:rsid w:val="00BF5B9D"/>
    <w:rsid w:val="00BF5BAC"/>
    <w:rsid w:val="00BF5BE6"/>
    <w:rsid w:val="00BF6237"/>
    <w:rsid w:val="00BF652E"/>
    <w:rsid w:val="00BF658F"/>
    <w:rsid w:val="00C0101A"/>
    <w:rsid w:val="00C011EA"/>
    <w:rsid w:val="00C01580"/>
    <w:rsid w:val="00C028E9"/>
    <w:rsid w:val="00C02969"/>
    <w:rsid w:val="00C043E2"/>
    <w:rsid w:val="00C0513E"/>
    <w:rsid w:val="00C052B9"/>
    <w:rsid w:val="00C058E3"/>
    <w:rsid w:val="00C05D82"/>
    <w:rsid w:val="00C060C9"/>
    <w:rsid w:val="00C0637D"/>
    <w:rsid w:val="00C0640F"/>
    <w:rsid w:val="00C06539"/>
    <w:rsid w:val="00C066F1"/>
    <w:rsid w:val="00C06808"/>
    <w:rsid w:val="00C06AF1"/>
    <w:rsid w:val="00C07B12"/>
    <w:rsid w:val="00C1034A"/>
    <w:rsid w:val="00C1041A"/>
    <w:rsid w:val="00C1198B"/>
    <w:rsid w:val="00C119F2"/>
    <w:rsid w:val="00C123D9"/>
    <w:rsid w:val="00C12A0D"/>
    <w:rsid w:val="00C1308A"/>
    <w:rsid w:val="00C144A3"/>
    <w:rsid w:val="00C14A98"/>
    <w:rsid w:val="00C155F8"/>
    <w:rsid w:val="00C15A97"/>
    <w:rsid w:val="00C15E39"/>
    <w:rsid w:val="00C17614"/>
    <w:rsid w:val="00C20319"/>
    <w:rsid w:val="00C210C2"/>
    <w:rsid w:val="00C23CDE"/>
    <w:rsid w:val="00C25460"/>
    <w:rsid w:val="00C25F39"/>
    <w:rsid w:val="00C25F78"/>
    <w:rsid w:val="00C2662B"/>
    <w:rsid w:val="00C26820"/>
    <w:rsid w:val="00C270FB"/>
    <w:rsid w:val="00C27265"/>
    <w:rsid w:val="00C2760A"/>
    <w:rsid w:val="00C279AE"/>
    <w:rsid w:val="00C27BEE"/>
    <w:rsid w:val="00C30968"/>
    <w:rsid w:val="00C31E81"/>
    <w:rsid w:val="00C32030"/>
    <w:rsid w:val="00C32A2D"/>
    <w:rsid w:val="00C32B53"/>
    <w:rsid w:val="00C32CE8"/>
    <w:rsid w:val="00C33918"/>
    <w:rsid w:val="00C346D3"/>
    <w:rsid w:val="00C35DA8"/>
    <w:rsid w:val="00C3617C"/>
    <w:rsid w:val="00C36581"/>
    <w:rsid w:val="00C3664A"/>
    <w:rsid w:val="00C36AC8"/>
    <w:rsid w:val="00C404DA"/>
    <w:rsid w:val="00C40596"/>
    <w:rsid w:val="00C40AD9"/>
    <w:rsid w:val="00C410BA"/>
    <w:rsid w:val="00C416D4"/>
    <w:rsid w:val="00C41829"/>
    <w:rsid w:val="00C41BE6"/>
    <w:rsid w:val="00C4369D"/>
    <w:rsid w:val="00C448D8"/>
    <w:rsid w:val="00C44DFE"/>
    <w:rsid w:val="00C4509A"/>
    <w:rsid w:val="00C4540A"/>
    <w:rsid w:val="00C45652"/>
    <w:rsid w:val="00C45B9E"/>
    <w:rsid w:val="00C46E9D"/>
    <w:rsid w:val="00C46FB3"/>
    <w:rsid w:val="00C47179"/>
    <w:rsid w:val="00C472B3"/>
    <w:rsid w:val="00C479BF"/>
    <w:rsid w:val="00C47DA0"/>
    <w:rsid w:val="00C50F06"/>
    <w:rsid w:val="00C51047"/>
    <w:rsid w:val="00C5113B"/>
    <w:rsid w:val="00C51CBE"/>
    <w:rsid w:val="00C51D1A"/>
    <w:rsid w:val="00C524A3"/>
    <w:rsid w:val="00C5262A"/>
    <w:rsid w:val="00C53019"/>
    <w:rsid w:val="00C53BD2"/>
    <w:rsid w:val="00C53BE2"/>
    <w:rsid w:val="00C542B2"/>
    <w:rsid w:val="00C54634"/>
    <w:rsid w:val="00C54E97"/>
    <w:rsid w:val="00C54F27"/>
    <w:rsid w:val="00C550D2"/>
    <w:rsid w:val="00C55BA0"/>
    <w:rsid w:val="00C55D58"/>
    <w:rsid w:val="00C560D8"/>
    <w:rsid w:val="00C56D10"/>
    <w:rsid w:val="00C57B7B"/>
    <w:rsid w:val="00C60528"/>
    <w:rsid w:val="00C6071B"/>
    <w:rsid w:val="00C6098F"/>
    <w:rsid w:val="00C609DA"/>
    <w:rsid w:val="00C611E4"/>
    <w:rsid w:val="00C6122E"/>
    <w:rsid w:val="00C618C2"/>
    <w:rsid w:val="00C61A0D"/>
    <w:rsid w:val="00C6316E"/>
    <w:rsid w:val="00C6391A"/>
    <w:rsid w:val="00C63A47"/>
    <w:rsid w:val="00C63D13"/>
    <w:rsid w:val="00C641B6"/>
    <w:rsid w:val="00C654C7"/>
    <w:rsid w:val="00C6663A"/>
    <w:rsid w:val="00C6754D"/>
    <w:rsid w:val="00C6764F"/>
    <w:rsid w:val="00C67C06"/>
    <w:rsid w:val="00C7051E"/>
    <w:rsid w:val="00C70A03"/>
    <w:rsid w:val="00C70A0A"/>
    <w:rsid w:val="00C70D43"/>
    <w:rsid w:val="00C721E8"/>
    <w:rsid w:val="00C72986"/>
    <w:rsid w:val="00C72BF3"/>
    <w:rsid w:val="00C74266"/>
    <w:rsid w:val="00C74BC5"/>
    <w:rsid w:val="00C75A06"/>
    <w:rsid w:val="00C76055"/>
    <w:rsid w:val="00C76D78"/>
    <w:rsid w:val="00C770BD"/>
    <w:rsid w:val="00C77C96"/>
    <w:rsid w:val="00C80097"/>
    <w:rsid w:val="00C80E1F"/>
    <w:rsid w:val="00C810A0"/>
    <w:rsid w:val="00C8140D"/>
    <w:rsid w:val="00C81E1C"/>
    <w:rsid w:val="00C8283B"/>
    <w:rsid w:val="00C8283F"/>
    <w:rsid w:val="00C82CB3"/>
    <w:rsid w:val="00C840CD"/>
    <w:rsid w:val="00C844E7"/>
    <w:rsid w:val="00C8484F"/>
    <w:rsid w:val="00C84E3E"/>
    <w:rsid w:val="00C85785"/>
    <w:rsid w:val="00C85EDE"/>
    <w:rsid w:val="00C86038"/>
    <w:rsid w:val="00C86300"/>
    <w:rsid w:val="00C87EB6"/>
    <w:rsid w:val="00C9023D"/>
    <w:rsid w:val="00C90403"/>
    <w:rsid w:val="00C90764"/>
    <w:rsid w:val="00C90A13"/>
    <w:rsid w:val="00C90A6A"/>
    <w:rsid w:val="00C9141B"/>
    <w:rsid w:val="00C9143E"/>
    <w:rsid w:val="00C91D55"/>
    <w:rsid w:val="00C91DF1"/>
    <w:rsid w:val="00C91FE4"/>
    <w:rsid w:val="00C924EC"/>
    <w:rsid w:val="00C935A1"/>
    <w:rsid w:val="00C936F9"/>
    <w:rsid w:val="00C93817"/>
    <w:rsid w:val="00C9394C"/>
    <w:rsid w:val="00C94B6E"/>
    <w:rsid w:val="00C9512B"/>
    <w:rsid w:val="00C95F79"/>
    <w:rsid w:val="00C96188"/>
    <w:rsid w:val="00C9661B"/>
    <w:rsid w:val="00C96C6E"/>
    <w:rsid w:val="00C970F1"/>
    <w:rsid w:val="00CA1048"/>
    <w:rsid w:val="00CA2356"/>
    <w:rsid w:val="00CA28DC"/>
    <w:rsid w:val="00CA2A8C"/>
    <w:rsid w:val="00CA3091"/>
    <w:rsid w:val="00CA36E7"/>
    <w:rsid w:val="00CA39FE"/>
    <w:rsid w:val="00CA436E"/>
    <w:rsid w:val="00CA5298"/>
    <w:rsid w:val="00CA592B"/>
    <w:rsid w:val="00CA6424"/>
    <w:rsid w:val="00CA6C29"/>
    <w:rsid w:val="00CA6F78"/>
    <w:rsid w:val="00CA73F6"/>
    <w:rsid w:val="00CA7C5D"/>
    <w:rsid w:val="00CA7D40"/>
    <w:rsid w:val="00CB09FD"/>
    <w:rsid w:val="00CB13DE"/>
    <w:rsid w:val="00CB19DB"/>
    <w:rsid w:val="00CB1B69"/>
    <w:rsid w:val="00CB1EF1"/>
    <w:rsid w:val="00CB27C4"/>
    <w:rsid w:val="00CB2BD1"/>
    <w:rsid w:val="00CB3084"/>
    <w:rsid w:val="00CB4673"/>
    <w:rsid w:val="00CB52B6"/>
    <w:rsid w:val="00CB65EF"/>
    <w:rsid w:val="00CB696A"/>
    <w:rsid w:val="00CB734A"/>
    <w:rsid w:val="00CC1281"/>
    <w:rsid w:val="00CC2C4B"/>
    <w:rsid w:val="00CC2D4B"/>
    <w:rsid w:val="00CC31E7"/>
    <w:rsid w:val="00CC3352"/>
    <w:rsid w:val="00CC34A3"/>
    <w:rsid w:val="00CC3D40"/>
    <w:rsid w:val="00CC486D"/>
    <w:rsid w:val="00CC4B8C"/>
    <w:rsid w:val="00CC53FA"/>
    <w:rsid w:val="00CC56A7"/>
    <w:rsid w:val="00CC5708"/>
    <w:rsid w:val="00CC5B4C"/>
    <w:rsid w:val="00CC69B7"/>
    <w:rsid w:val="00CC6E5E"/>
    <w:rsid w:val="00CC7638"/>
    <w:rsid w:val="00CD0D2F"/>
    <w:rsid w:val="00CD10CF"/>
    <w:rsid w:val="00CD1914"/>
    <w:rsid w:val="00CD1F8E"/>
    <w:rsid w:val="00CD2A07"/>
    <w:rsid w:val="00CD2C3D"/>
    <w:rsid w:val="00CD3AB8"/>
    <w:rsid w:val="00CD420A"/>
    <w:rsid w:val="00CD45B8"/>
    <w:rsid w:val="00CD4FAA"/>
    <w:rsid w:val="00CD4FC9"/>
    <w:rsid w:val="00CD6431"/>
    <w:rsid w:val="00CD7782"/>
    <w:rsid w:val="00CD7EB9"/>
    <w:rsid w:val="00CE00B5"/>
    <w:rsid w:val="00CE2D28"/>
    <w:rsid w:val="00CE2D29"/>
    <w:rsid w:val="00CE3159"/>
    <w:rsid w:val="00CE32B5"/>
    <w:rsid w:val="00CE392A"/>
    <w:rsid w:val="00CE4D08"/>
    <w:rsid w:val="00CE4F4E"/>
    <w:rsid w:val="00CE4F61"/>
    <w:rsid w:val="00CE55EA"/>
    <w:rsid w:val="00CE70A9"/>
    <w:rsid w:val="00CE77D2"/>
    <w:rsid w:val="00CF00F2"/>
    <w:rsid w:val="00CF04E5"/>
    <w:rsid w:val="00CF0C42"/>
    <w:rsid w:val="00CF105B"/>
    <w:rsid w:val="00CF1F1F"/>
    <w:rsid w:val="00CF29E7"/>
    <w:rsid w:val="00CF3133"/>
    <w:rsid w:val="00CF334B"/>
    <w:rsid w:val="00CF33A8"/>
    <w:rsid w:val="00CF3A42"/>
    <w:rsid w:val="00CF4549"/>
    <w:rsid w:val="00CF4C64"/>
    <w:rsid w:val="00CF552B"/>
    <w:rsid w:val="00CF5925"/>
    <w:rsid w:val="00CF6079"/>
    <w:rsid w:val="00CF70D1"/>
    <w:rsid w:val="00CF7251"/>
    <w:rsid w:val="00CF7377"/>
    <w:rsid w:val="00D000F9"/>
    <w:rsid w:val="00D00A69"/>
    <w:rsid w:val="00D00BB5"/>
    <w:rsid w:val="00D01605"/>
    <w:rsid w:val="00D01BEB"/>
    <w:rsid w:val="00D01DA3"/>
    <w:rsid w:val="00D020A0"/>
    <w:rsid w:val="00D0236D"/>
    <w:rsid w:val="00D023C0"/>
    <w:rsid w:val="00D025E8"/>
    <w:rsid w:val="00D028B9"/>
    <w:rsid w:val="00D02FB1"/>
    <w:rsid w:val="00D03167"/>
    <w:rsid w:val="00D03279"/>
    <w:rsid w:val="00D038BF"/>
    <w:rsid w:val="00D039B7"/>
    <w:rsid w:val="00D04187"/>
    <w:rsid w:val="00D04C35"/>
    <w:rsid w:val="00D05E22"/>
    <w:rsid w:val="00D06137"/>
    <w:rsid w:val="00D06CD4"/>
    <w:rsid w:val="00D075CF"/>
    <w:rsid w:val="00D1011A"/>
    <w:rsid w:val="00D11199"/>
    <w:rsid w:val="00D11473"/>
    <w:rsid w:val="00D138CA"/>
    <w:rsid w:val="00D13BFD"/>
    <w:rsid w:val="00D142DB"/>
    <w:rsid w:val="00D145AE"/>
    <w:rsid w:val="00D14D05"/>
    <w:rsid w:val="00D15770"/>
    <w:rsid w:val="00D1615B"/>
    <w:rsid w:val="00D166A4"/>
    <w:rsid w:val="00D166AD"/>
    <w:rsid w:val="00D16A49"/>
    <w:rsid w:val="00D2050E"/>
    <w:rsid w:val="00D20EB2"/>
    <w:rsid w:val="00D2138A"/>
    <w:rsid w:val="00D21BC9"/>
    <w:rsid w:val="00D21D6E"/>
    <w:rsid w:val="00D24517"/>
    <w:rsid w:val="00D252B5"/>
    <w:rsid w:val="00D253F3"/>
    <w:rsid w:val="00D256E0"/>
    <w:rsid w:val="00D25BD2"/>
    <w:rsid w:val="00D2620E"/>
    <w:rsid w:val="00D26C0A"/>
    <w:rsid w:val="00D26CBE"/>
    <w:rsid w:val="00D26DFF"/>
    <w:rsid w:val="00D26E95"/>
    <w:rsid w:val="00D278F0"/>
    <w:rsid w:val="00D30C4E"/>
    <w:rsid w:val="00D31520"/>
    <w:rsid w:val="00D31BB4"/>
    <w:rsid w:val="00D31EFA"/>
    <w:rsid w:val="00D32BEF"/>
    <w:rsid w:val="00D33762"/>
    <w:rsid w:val="00D34230"/>
    <w:rsid w:val="00D34AEA"/>
    <w:rsid w:val="00D34B7C"/>
    <w:rsid w:val="00D357B5"/>
    <w:rsid w:val="00D36C9E"/>
    <w:rsid w:val="00D370E6"/>
    <w:rsid w:val="00D371CD"/>
    <w:rsid w:val="00D3733F"/>
    <w:rsid w:val="00D405D8"/>
    <w:rsid w:val="00D40A60"/>
    <w:rsid w:val="00D40AE5"/>
    <w:rsid w:val="00D41E04"/>
    <w:rsid w:val="00D42550"/>
    <w:rsid w:val="00D4272F"/>
    <w:rsid w:val="00D43085"/>
    <w:rsid w:val="00D439FC"/>
    <w:rsid w:val="00D43CE1"/>
    <w:rsid w:val="00D4454A"/>
    <w:rsid w:val="00D4602E"/>
    <w:rsid w:val="00D46629"/>
    <w:rsid w:val="00D46811"/>
    <w:rsid w:val="00D478E4"/>
    <w:rsid w:val="00D47931"/>
    <w:rsid w:val="00D50B62"/>
    <w:rsid w:val="00D51666"/>
    <w:rsid w:val="00D52151"/>
    <w:rsid w:val="00D521ED"/>
    <w:rsid w:val="00D52371"/>
    <w:rsid w:val="00D52561"/>
    <w:rsid w:val="00D52DE7"/>
    <w:rsid w:val="00D53184"/>
    <w:rsid w:val="00D53327"/>
    <w:rsid w:val="00D548DD"/>
    <w:rsid w:val="00D55213"/>
    <w:rsid w:val="00D5545E"/>
    <w:rsid w:val="00D55BA4"/>
    <w:rsid w:val="00D6087A"/>
    <w:rsid w:val="00D60E91"/>
    <w:rsid w:val="00D60EB4"/>
    <w:rsid w:val="00D6204C"/>
    <w:rsid w:val="00D6394D"/>
    <w:rsid w:val="00D6463E"/>
    <w:rsid w:val="00D6479F"/>
    <w:rsid w:val="00D647EF"/>
    <w:rsid w:val="00D654A6"/>
    <w:rsid w:val="00D656F8"/>
    <w:rsid w:val="00D66180"/>
    <w:rsid w:val="00D66E1B"/>
    <w:rsid w:val="00D66F2F"/>
    <w:rsid w:val="00D6729B"/>
    <w:rsid w:val="00D67E04"/>
    <w:rsid w:val="00D70091"/>
    <w:rsid w:val="00D70AE5"/>
    <w:rsid w:val="00D7335B"/>
    <w:rsid w:val="00D74AA3"/>
    <w:rsid w:val="00D7667D"/>
    <w:rsid w:val="00D770C6"/>
    <w:rsid w:val="00D778E5"/>
    <w:rsid w:val="00D80066"/>
    <w:rsid w:val="00D80879"/>
    <w:rsid w:val="00D8160B"/>
    <w:rsid w:val="00D81721"/>
    <w:rsid w:val="00D821B7"/>
    <w:rsid w:val="00D8265E"/>
    <w:rsid w:val="00D83C27"/>
    <w:rsid w:val="00D83F71"/>
    <w:rsid w:val="00D845F7"/>
    <w:rsid w:val="00D84CC7"/>
    <w:rsid w:val="00D8666A"/>
    <w:rsid w:val="00D873D7"/>
    <w:rsid w:val="00D874B4"/>
    <w:rsid w:val="00D87642"/>
    <w:rsid w:val="00D877FA"/>
    <w:rsid w:val="00D8787A"/>
    <w:rsid w:val="00D878E4"/>
    <w:rsid w:val="00D87E59"/>
    <w:rsid w:val="00D87F1D"/>
    <w:rsid w:val="00D91163"/>
    <w:rsid w:val="00D91413"/>
    <w:rsid w:val="00D937EF"/>
    <w:rsid w:val="00D93C63"/>
    <w:rsid w:val="00D93FF2"/>
    <w:rsid w:val="00D94C0C"/>
    <w:rsid w:val="00D957B9"/>
    <w:rsid w:val="00D958EC"/>
    <w:rsid w:val="00D95E1E"/>
    <w:rsid w:val="00D95EE4"/>
    <w:rsid w:val="00D9629D"/>
    <w:rsid w:val="00D962FC"/>
    <w:rsid w:val="00D976E5"/>
    <w:rsid w:val="00D97C4B"/>
    <w:rsid w:val="00D97CAA"/>
    <w:rsid w:val="00D97EA9"/>
    <w:rsid w:val="00DA089D"/>
    <w:rsid w:val="00DA1A12"/>
    <w:rsid w:val="00DA1E4E"/>
    <w:rsid w:val="00DA21C7"/>
    <w:rsid w:val="00DA28D4"/>
    <w:rsid w:val="00DA2F74"/>
    <w:rsid w:val="00DA3010"/>
    <w:rsid w:val="00DA3247"/>
    <w:rsid w:val="00DA335A"/>
    <w:rsid w:val="00DA345C"/>
    <w:rsid w:val="00DA3859"/>
    <w:rsid w:val="00DA4502"/>
    <w:rsid w:val="00DA4C64"/>
    <w:rsid w:val="00DA547C"/>
    <w:rsid w:val="00DA610D"/>
    <w:rsid w:val="00DA616B"/>
    <w:rsid w:val="00DA6184"/>
    <w:rsid w:val="00DA64F2"/>
    <w:rsid w:val="00DA671C"/>
    <w:rsid w:val="00DA6837"/>
    <w:rsid w:val="00DA6C26"/>
    <w:rsid w:val="00DA7918"/>
    <w:rsid w:val="00DB11BB"/>
    <w:rsid w:val="00DB1B55"/>
    <w:rsid w:val="00DB26B8"/>
    <w:rsid w:val="00DB279D"/>
    <w:rsid w:val="00DB417F"/>
    <w:rsid w:val="00DB43CD"/>
    <w:rsid w:val="00DB445B"/>
    <w:rsid w:val="00DB4A3B"/>
    <w:rsid w:val="00DB4C02"/>
    <w:rsid w:val="00DB4C3E"/>
    <w:rsid w:val="00DB56B4"/>
    <w:rsid w:val="00DB5DB4"/>
    <w:rsid w:val="00DB5DEC"/>
    <w:rsid w:val="00DB7454"/>
    <w:rsid w:val="00DB76B7"/>
    <w:rsid w:val="00DB79B9"/>
    <w:rsid w:val="00DB7F4E"/>
    <w:rsid w:val="00DC175F"/>
    <w:rsid w:val="00DC2551"/>
    <w:rsid w:val="00DC3267"/>
    <w:rsid w:val="00DC3630"/>
    <w:rsid w:val="00DC36C9"/>
    <w:rsid w:val="00DC38E7"/>
    <w:rsid w:val="00DC410D"/>
    <w:rsid w:val="00DC4C81"/>
    <w:rsid w:val="00DC57BB"/>
    <w:rsid w:val="00DC584B"/>
    <w:rsid w:val="00DC594D"/>
    <w:rsid w:val="00DC5DBB"/>
    <w:rsid w:val="00DC6547"/>
    <w:rsid w:val="00DC69EB"/>
    <w:rsid w:val="00DD020D"/>
    <w:rsid w:val="00DD1A9B"/>
    <w:rsid w:val="00DD2191"/>
    <w:rsid w:val="00DD21C4"/>
    <w:rsid w:val="00DD21D1"/>
    <w:rsid w:val="00DD27F7"/>
    <w:rsid w:val="00DD35ED"/>
    <w:rsid w:val="00DD36C5"/>
    <w:rsid w:val="00DD3916"/>
    <w:rsid w:val="00DD41F1"/>
    <w:rsid w:val="00DD490E"/>
    <w:rsid w:val="00DD4B20"/>
    <w:rsid w:val="00DD4C04"/>
    <w:rsid w:val="00DD6778"/>
    <w:rsid w:val="00DD6922"/>
    <w:rsid w:val="00DD704B"/>
    <w:rsid w:val="00DD704C"/>
    <w:rsid w:val="00DD7A52"/>
    <w:rsid w:val="00DE0392"/>
    <w:rsid w:val="00DE071B"/>
    <w:rsid w:val="00DE07A8"/>
    <w:rsid w:val="00DE0923"/>
    <w:rsid w:val="00DE17DD"/>
    <w:rsid w:val="00DE17FE"/>
    <w:rsid w:val="00DE191D"/>
    <w:rsid w:val="00DE293F"/>
    <w:rsid w:val="00DE2AED"/>
    <w:rsid w:val="00DE41C8"/>
    <w:rsid w:val="00DE4941"/>
    <w:rsid w:val="00DE52D0"/>
    <w:rsid w:val="00DE55B2"/>
    <w:rsid w:val="00DE5A44"/>
    <w:rsid w:val="00DE5CD1"/>
    <w:rsid w:val="00DE5CE3"/>
    <w:rsid w:val="00DE5F0A"/>
    <w:rsid w:val="00DE6166"/>
    <w:rsid w:val="00DE628D"/>
    <w:rsid w:val="00DE68C9"/>
    <w:rsid w:val="00DE69CC"/>
    <w:rsid w:val="00DE6D89"/>
    <w:rsid w:val="00DE6ED5"/>
    <w:rsid w:val="00DE711A"/>
    <w:rsid w:val="00DF0191"/>
    <w:rsid w:val="00DF01A3"/>
    <w:rsid w:val="00DF16D7"/>
    <w:rsid w:val="00DF2270"/>
    <w:rsid w:val="00DF2C9B"/>
    <w:rsid w:val="00DF2F1B"/>
    <w:rsid w:val="00DF2FF8"/>
    <w:rsid w:val="00DF3E60"/>
    <w:rsid w:val="00DF4435"/>
    <w:rsid w:val="00DF4CEF"/>
    <w:rsid w:val="00DF4FF6"/>
    <w:rsid w:val="00DF51DB"/>
    <w:rsid w:val="00DF6383"/>
    <w:rsid w:val="00DF64BB"/>
    <w:rsid w:val="00DF6678"/>
    <w:rsid w:val="00DF6B38"/>
    <w:rsid w:val="00DF7C00"/>
    <w:rsid w:val="00E001E8"/>
    <w:rsid w:val="00E00580"/>
    <w:rsid w:val="00E007E5"/>
    <w:rsid w:val="00E00A51"/>
    <w:rsid w:val="00E00F60"/>
    <w:rsid w:val="00E01977"/>
    <w:rsid w:val="00E01B81"/>
    <w:rsid w:val="00E02CB3"/>
    <w:rsid w:val="00E03136"/>
    <w:rsid w:val="00E03BED"/>
    <w:rsid w:val="00E04269"/>
    <w:rsid w:val="00E04721"/>
    <w:rsid w:val="00E04D06"/>
    <w:rsid w:val="00E0502C"/>
    <w:rsid w:val="00E053FA"/>
    <w:rsid w:val="00E05F85"/>
    <w:rsid w:val="00E066D4"/>
    <w:rsid w:val="00E06C67"/>
    <w:rsid w:val="00E07725"/>
    <w:rsid w:val="00E07BCD"/>
    <w:rsid w:val="00E07CA0"/>
    <w:rsid w:val="00E10BE0"/>
    <w:rsid w:val="00E1135B"/>
    <w:rsid w:val="00E12919"/>
    <w:rsid w:val="00E13840"/>
    <w:rsid w:val="00E13B2E"/>
    <w:rsid w:val="00E13F1B"/>
    <w:rsid w:val="00E15D93"/>
    <w:rsid w:val="00E168E4"/>
    <w:rsid w:val="00E16D60"/>
    <w:rsid w:val="00E17755"/>
    <w:rsid w:val="00E1795B"/>
    <w:rsid w:val="00E17D73"/>
    <w:rsid w:val="00E20290"/>
    <w:rsid w:val="00E2099E"/>
    <w:rsid w:val="00E20F2F"/>
    <w:rsid w:val="00E20F64"/>
    <w:rsid w:val="00E213F4"/>
    <w:rsid w:val="00E214FC"/>
    <w:rsid w:val="00E21B11"/>
    <w:rsid w:val="00E226B8"/>
    <w:rsid w:val="00E22806"/>
    <w:rsid w:val="00E23218"/>
    <w:rsid w:val="00E23222"/>
    <w:rsid w:val="00E232D4"/>
    <w:rsid w:val="00E24356"/>
    <w:rsid w:val="00E248B8"/>
    <w:rsid w:val="00E24A99"/>
    <w:rsid w:val="00E24C7A"/>
    <w:rsid w:val="00E2549C"/>
    <w:rsid w:val="00E264F4"/>
    <w:rsid w:val="00E26794"/>
    <w:rsid w:val="00E2693F"/>
    <w:rsid w:val="00E27139"/>
    <w:rsid w:val="00E27236"/>
    <w:rsid w:val="00E27E18"/>
    <w:rsid w:val="00E305D4"/>
    <w:rsid w:val="00E3061A"/>
    <w:rsid w:val="00E30CE2"/>
    <w:rsid w:val="00E31F84"/>
    <w:rsid w:val="00E32CD2"/>
    <w:rsid w:val="00E33C32"/>
    <w:rsid w:val="00E340C3"/>
    <w:rsid w:val="00E3420C"/>
    <w:rsid w:val="00E34AC1"/>
    <w:rsid w:val="00E34AE8"/>
    <w:rsid w:val="00E3534D"/>
    <w:rsid w:val="00E35D5C"/>
    <w:rsid w:val="00E35F04"/>
    <w:rsid w:val="00E368CE"/>
    <w:rsid w:val="00E37EF1"/>
    <w:rsid w:val="00E40108"/>
    <w:rsid w:val="00E406D3"/>
    <w:rsid w:val="00E410EB"/>
    <w:rsid w:val="00E4183E"/>
    <w:rsid w:val="00E41909"/>
    <w:rsid w:val="00E42455"/>
    <w:rsid w:val="00E42A3C"/>
    <w:rsid w:val="00E42C85"/>
    <w:rsid w:val="00E42E86"/>
    <w:rsid w:val="00E4311D"/>
    <w:rsid w:val="00E431A4"/>
    <w:rsid w:val="00E43259"/>
    <w:rsid w:val="00E4378B"/>
    <w:rsid w:val="00E440F7"/>
    <w:rsid w:val="00E44514"/>
    <w:rsid w:val="00E446D7"/>
    <w:rsid w:val="00E453D5"/>
    <w:rsid w:val="00E4616F"/>
    <w:rsid w:val="00E46B46"/>
    <w:rsid w:val="00E506E8"/>
    <w:rsid w:val="00E51838"/>
    <w:rsid w:val="00E518B4"/>
    <w:rsid w:val="00E51E97"/>
    <w:rsid w:val="00E52A68"/>
    <w:rsid w:val="00E52F31"/>
    <w:rsid w:val="00E535C9"/>
    <w:rsid w:val="00E53BB6"/>
    <w:rsid w:val="00E53C02"/>
    <w:rsid w:val="00E54352"/>
    <w:rsid w:val="00E54B7E"/>
    <w:rsid w:val="00E54BB2"/>
    <w:rsid w:val="00E54EED"/>
    <w:rsid w:val="00E555F3"/>
    <w:rsid w:val="00E5678B"/>
    <w:rsid w:val="00E56FDF"/>
    <w:rsid w:val="00E57A22"/>
    <w:rsid w:val="00E57BD7"/>
    <w:rsid w:val="00E57C0C"/>
    <w:rsid w:val="00E57E46"/>
    <w:rsid w:val="00E6055C"/>
    <w:rsid w:val="00E6079B"/>
    <w:rsid w:val="00E61BEA"/>
    <w:rsid w:val="00E61DC3"/>
    <w:rsid w:val="00E6253C"/>
    <w:rsid w:val="00E635CA"/>
    <w:rsid w:val="00E64161"/>
    <w:rsid w:val="00E6418C"/>
    <w:rsid w:val="00E6448A"/>
    <w:rsid w:val="00E64F70"/>
    <w:rsid w:val="00E650A1"/>
    <w:rsid w:val="00E65AA3"/>
    <w:rsid w:val="00E66D3E"/>
    <w:rsid w:val="00E66F67"/>
    <w:rsid w:val="00E66FCD"/>
    <w:rsid w:val="00E675CB"/>
    <w:rsid w:val="00E6773D"/>
    <w:rsid w:val="00E67AE5"/>
    <w:rsid w:val="00E70F79"/>
    <w:rsid w:val="00E710D2"/>
    <w:rsid w:val="00E71474"/>
    <w:rsid w:val="00E716C0"/>
    <w:rsid w:val="00E71A28"/>
    <w:rsid w:val="00E7292E"/>
    <w:rsid w:val="00E73228"/>
    <w:rsid w:val="00E73967"/>
    <w:rsid w:val="00E73A7E"/>
    <w:rsid w:val="00E74C39"/>
    <w:rsid w:val="00E755B0"/>
    <w:rsid w:val="00E7656A"/>
    <w:rsid w:val="00E765EA"/>
    <w:rsid w:val="00E76A28"/>
    <w:rsid w:val="00E77206"/>
    <w:rsid w:val="00E774C5"/>
    <w:rsid w:val="00E77FFD"/>
    <w:rsid w:val="00E80185"/>
    <w:rsid w:val="00E80BDA"/>
    <w:rsid w:val="00E8133F"/>
    <w:rsid w:val="00E81737"/>
    <w:rsid w:val="00E81F1D"/>
    <w:rsid w:val="00E82593"/>
    <w:rsid w:val="00E8430E"/>
    <w:rsid w:val="00E84CF0"/>
    <w:rsid w:val="00E852ED"/>
    <w:rsid w:val="00E855B3"/>
    <w:rsid w:val="00E86294"/>
    <w:rsid w:val="00E865A2"/>
    <w:rsid w:val="00E86792"/>
    <w:rsid w:val="00E86E8E"/>
    <w:rsid w:val="00E90250"/>
    <w:rsid w:val="00E90AC8"/>
    <w:rsid w:val="00E9187D"/>
    <w:rsid w:val="00E92472"/>
    <w:rsid w:val="00E924B7"/>
    <w:rsid w:val="00E92CB0"/>
    <w:rsid w:val="00E92FA5"/>
    <w:rsid w:val="00E93B1F"/>
    <w:rsid w:val="00E940DE"/>
    <w:rsid w:val="00E941F0"/>
    <w:rsid w:val="00E94D29"/>
    <w:rsid w:val="00E959DF"/>
    <w:rsid w:val="00E95AEB"/>
    <w:rsid w:val="00E95BA7"/>
    <w:rsid w:val="00E9634E"/>
    <w:rsid w:val="00E9708B"/>
    <w:rsid w:val="00E97999"/>
    <w:rsid w:val="00EA02D9"/>
    <w:rsid w:val="00EA0413"/>
    <w:rsid w:val="00EA0A79"/>
    <w:rsid w:val="00EA0C5D"/>
    <w:rsid w:val="00EA18E3"/>
    <w:rsid w:val="00EA1972"/>
    <w:rsid w:val="00EA1A12"/>
    <w:rsid w:val="00EA24F6"/>
    <w:rsid w:val="00EA2B4D"/>
    <w:rsid w:val="00EA30D6"/>
    <w:rsid w:val="00EA372F"/>
    <w:rsid w:val="00EA3FBC"/>
    <w:rsid w:val="00EA51DF"/>
    <w:rsid w:val="00EA569A"/>
    <w:rsid w:val="00EA5980"/>
    <w:rsid w:val="00EA7FA4"/>
    <w:rsid w:val="00EB0089"/>
    <w:rsid w:val="00EB106F"/>
    <w:rsid w:val="00EB11FA"/>
    <w:rsid w:val="00EB2220"/>
    <w:rsid w:val="00EB2652"/>
    <w:rsid w:val="00EB450D"/>
    <w:rsid w:val="00EB4E37"/>
    <w:rsid w:val="00EB72DC"/>
    <w:rsid w:val="00EB7537"/>
    <w:rsid w:val="00EC1234"/>
    <w:rsid w:val="00EC1B85"/>
    <w:rsid w:val="00EC43E3"/>
    <w:rsid w:val="00EC562F"/>
    <w:rsid w:val="00EC5A7B"/>
    <w:rsid w:val="00EC5EB0"/>
    <w:rsid w:val="00EC6B82"/>
    <w:rsid w:val="00EC7A26"/>
    <w:rsid w:val="00EC7C4E"/>
    <w:rsid w:val="00ED1043"/>
    <w:rsid w:val="00ED12EF"/>
    <w:rsid w:val="00ED1A84"/>
    <w:rsid w:val="00ED1B45"/>
    <w:rsid w:val="00ED1E6E"/>
    <w:rsid w:val="00ED2205"/>
    <w:rsid w:val="00ED2F06"/>
    <w:rsid w:val="00ED3253"/>
    <w:rsid w:val="00ED43BF"/>
    <w:rsid w:val="00ED4778"/>
    <w:rsid w:val="00ED51A2"/>
    <w:rsid w:val="00ED51D7"/>
    <w:rsid w:val="00ED61D7"/>
    <w:rsid w:val="00ED7A2F"/>
    <w:rsid w:val="00EE0C0A"/>
    <w:rsid w:val="00EE17FE"/>
    <w:rsid w:val="00EE254C"/>
    <w:rsid w:val="00EE2AEB"/>
    <w:rsid w:val="00EE2D59"/>
    <w:rsid w:val="00EE3AA1"/>
    <w:rsid w:val="00EE44F5"/>
    <w:rsid w:val="00EE4FB7"/>
    <w:rsid w:val="00EE585E"/>
    <w:rsid w:val="00EE5C92"/>
    <w:rsid w:val="00EE65FB"/>
    <w:rsid w:val="00EE712B"/>
    <w:rsid w:val="00EE7A6E"/>
    <w:rsid w:val="00EE7B5C"/>
    <w:rsid w:val="00EE7FE2"/>
    <w:rsid w:val="00EF0E2A"/>
    <w:rsid w:val="00EF13B1"/>
    <w:rsid w:val="00EF29CB"/>
    <w:rsid w:val="00EF45B2"/>
    <w:rsid w:val="00EF4D4C"/>
    <w:rsid w:val="00EF4F32"/>
    <w:rsid w:val="00EF513D"/>
    <w:rsid w:val="00EF5608"/>
    <w:rsid w:val="00EF5876"/>
    <w:rsid w:val="00EF5B1B"/>
    <w:rsid w:val="00EF654C"/>
    <w:rsid w:val="00EF6847"/>
    <w:rsid w:val="00EF7412"/>
    <w:rsid w:val="00F004A9"/>
    <w:rsid w:val="00F00C68"/>
    <w:rsid w:val="00F01361"/>
    <w:rsid w:val="00F014EA"/>
    <w:rsid w:val="00F01BDD"/>
    <w:rsid w:val="00F02BE5"/>
    <w:rsid w:val="00F0306D"/>
    <w:rsid w:val="00F04178"/>
    <w:rsid w:val="00F05A44"/>
    <w:rsid w:val="00F05D11"/>
    <w:rsid w:val="00F062C8"/>
    <w:rsid w:val="00F074FA"/>
    <w:rsid w:val="00F076E8"/>
    <w:rsid w:val="00F10393"/>
    <w:rsid w:val="00F10417"/>
    <w:rsid w:val="00F10A09"/>
    <w:rsid w:val="00F11F1E"/>
    <w:rsid w:val="00F11FFB"/>
    <w:rsid w:val="00F12F3D"/>
    <w:rsid w:val="00F13188"/>
    <w:rsid w:val="00F142CD"/>
    <w:rsid w:val="00F1445B"/>
    <w:rsid w:val="00F14987"/>
    <w:rsid w:val="00F14B39"/>
    <w:rsid w:val="00F15778"/>
    <w:rsid w:val="00F15C08"/>
    <w:rsid w:val="00F172B5"/>
    <w:rsid w:val="00F17732"/>
    <w:rsid w:val="00F17A78"/>
    <w:rsid w:val="00F17DDB"/>
    <w:rsid w:val="00F17E72"/>
    <w:rsid w:val="00F204CB"/>
    <w:rsid w:val="00F20B6C"/>
    <w:rsid w:val="00F214D7"/>
    <w:rsid w:val="00F216F6"/>
    <w:rsid w:val="00F21B30"/>
    <w:rsid w:val="00F21DD3"/>
    <w:rsid w:val="00F2250C"/>
    <w:rsid w:val="00F233F1"/>
    <w:rsid w:val="00F238CF"/>
    <w:rsid w:val="00F23B8C"/>
    <w:rsid w:val="00F2448C"/>
    <w:rsid w:val="00F24794"/>
    <w:rsid w:val="00F251AC"/>
    <w:rsid w:val="00F25AC9"/>
    <w:rsid w:val="00F25D87"/>
    <w:rsid w:val="00F25F44"/>
    <w:rsid w:val="00F26A2A"/>
    <w:rsid w:val="00F26F32"/>
    <w:rsid w:val="00F27083"/>
    <w:rsid w:val="00F277CB"/>
    <w:rsid w:val="00F30236"/>
    <w:rsid w:val="00F306D2"/>
    <w:rsid w:val="00F30ABB"/>
    <w:rsid w:val="00F3163B"/>
    <w:rsid w:val="00F3213E"/>
    <w:rsid w:val="00F321AB"/>
    <w:rsid w:val="00F32E45"/>
    <w:rsid w:val="00F3440E"/>
    <w:rsid w:val="00F34643"/>
    <w:rsid w:val="00F34F22"/>
    <w:rsid w:val="00F35CD4"/>
    <w:rsid w:val="00F36482"/>
    <w:rsid w:val="00F369A1"/>
    <w:rsid w:val="00F36A73"/>
    <w:rsid w:val="00F36F98"/>
    <w:rsid w:val="00F414A1"/>
    <w:rsid w:val="00F415AF"/>
    <w:rsid w:val="00F416EF"/>
    <w:rsid w:val="00F4170B"/>
    <w:rsid w:val="00F41C10"/>
    <w:rsid w:val="00F41F19"/>
    <w:rsid w:val="00F4283C"/>
    <w:rsid w:val="00F435F1"/>
    <w:rsid w:val="00F43A74"/>
    <w:rsid w:val="00F43CB5"/>
    <w:rsid w:val="00F4470D"/>
    <w:rsid w:val="00F44CD4"/>
    <w:rsid w:val="00F45257"/>
    <w:rsid w:val="00F45F9D"/>
    <w:rsid w:val="00F46FDD"/>
    <w:rsid w:val="00F4702A"/>
    <w:rsid w:val="00F475B4"/>
    <w:rsid w:val="00F47BA4"/>
    <w:rsid w:val="00F51A12"/>
    <w:rsid w:val="00F523BF"/>
    <w:rsid w:val="00F54072"/>
    <w:rsid w:val="00F547C6"/>
    <w:rsid w:val="00F54FCC"/>
    <w:rsid w:val="00F55258"/>
    <w:rsid w:val="00F55418"/>
    <w:rsid w:val="00F5563F"/>
    <w:rsid w:val="00F55655"/>
    <w:rsid w:val="00F55830"/>
    <w:rsid w:val="00F55CF7"/>
    <w:rsid w:val="00F564DF"/>
    <w:rsid w:val="00F567CE"/>
    <w:rsid w:val="00F56881"/>
    <w:rsid w:val="00F57122"/>
    <w:rsid w:val="00F60040"/>
    <w:rsid w:val="00F61E2B"/>
    <w:rsid w:val="00F62171"/>
    <w:rsid w:val="00F627DA"/>
    <w:rsid w:val="00F62E76"/>
    <w:rsid w:val="00F63364"/>
    <w:rsid w:val="00F639C2"/>
    <w:rsid w:val="00F648BE"/>
    <w:rsid w:val="00F64F57"/>
    <w:rsid w:val="00F655BF"/>
    <w:rsid w:val="00F65680"/>
    <w:rsid w:val="00F65768"/>
    <w:rsid w:val="00F65F8F"/>
    <w:rsid w:val="00F67058"/>
    <w:rsid w:val="00F70047"/>
    <w:rsid w:val="00F70575"/>
    <w:rsid w:val="00F7102F"/>
    <w:rsid w:val="00F71559"/>
    <w:rsid w:val="00F71944"/>
    <w:rsid w:val="00F71A74"/>
    <w:rsid w:val="00F7279B"/>
    <w:rsid w:val="00F72891"/>
    <w:rsid w:val="00F72F32"/>
    <w:rsid w:val="00F731D6"/>
    <w:rsid w:val="00F73285"/>
    <w:rsid w:val="00F735A9"/>
    <w:rsid w:val="00F735AA"/>
    <w:rsid w:val="00F7492C"/>
    <w:rsid w:val="00F74A00"/>
    <w:rsid w:val="00F769FE"/>
    <w:rsid w:val="00F76CA2"/>
    <w:rsid w:val="00F775B8"/>
    <w:rsid w:val="00F77635"/>
    <w:rsid w:val="00F778C1"/>
    <w:rsid w:val="00F8162E"/>
    <w:rsid w:val="00F82517"/>
    <w:rsid w:val="00F83347"/>
    <w:rsid w:val="00F83725"/>
    <w:rsid w:val="00F8378F"/>
    <w:rsid w:val="00F84BEF"/>
    <w:rsid w:val="00F85203"/>
    <w:rsid w:val="00F85864"/>
    <w:rsid w:val="00F85DF7"/>
    <w:rsid w:val="00F85F47"/>
    <w:rsid w:val="00F862B2"/>
    <w:rsid w:val="00F869E5"/>
    <w:rsid w:val="00F86A8B"/>
    <w:rsid w:val="00F87214"/>
    <w:rsid w:val="00F87B16"/>
    <w:rsid w:val="00F90218"/>
    <w:rsid w:val="00F90C86"/>
    <w:rsid w:val="00F926BC"/>
    <w:rsid w:val="00F92942"/>
    <w:rsid w:val="00F93922"/>
    <w:rsid w:val="00F93A6B"/>
    <w:rsid w:val="00F93F08"/>
    <w:rsid w:val="00F94710"/>
    <w:rsid w:val="00F94CD2"/>
    <w:rsid w:val="00F94DCE"/>
    <w:rsid w:val="00F95387"/>
    <w:rsid w:val="00F95851"/>
    <w:rsid w:val="00F96881"/>
    <w:rsid w:val="00F969F3"/>
    <w:rsid w:val="00F96AB9"/>
    <w:rsid w:val="00F97CCE"/>
    <w:rsid w:val="00F97DC1"/>
    <w:rsid w:val="00F97FD7"/>
    <w:rsid w:val="00FA0204"/>
    <w:rsid w:val="00FA083D"/>
    <w:rsid w:val="00FA09F1"/>
    <w:rsid w:val="00FA10AC"/>
    <w:rsid w:val="00FA1429"/>
    <w:rsid w:val="00FA15DF"/>
    <w:rsid w:val="00FA18E3"/>
    <w:rsid w:val="00FA2399"/>
    <w:rsid w:val="00FA3E86"/>
    <w:rsid w:val="00FA55ED"/>
    <w:rsid w:val="00FA5C1F"/>
    <w:rsid w:val="00FA5D85"/>
    <w:rsid w:val="00FA60D8"/>
    <w:rsid w:val="00FA6FDB"/>
    <w:rsid w:val="00FA74A4"/>
    <w:rsid w:val="00FA7620"/>
    <w:rsid w:val="00FA778C"/>
    <w:rsid w:val="00FB058B"/>
    <w:rsid w:val="00FB1B73"/>
    <w:rsid w:val="00FB1D61"/>
    <w:rsid w:val="00FB2619"/>
    <w:rsid w:val="00FB308C"/>
    <w:rsid w:val="00FB30AA"/>
    <w:rsid w:val="00FB4115"/>
    <w:rsid w:val="00FB4195"/>
    <w:rsid w:val="00FB53F1"/>
    <w:rsid w:val="00FB5898"/>
    <w:rsid w:val="00FB6D9E"/>
    <w:rsid w:val="00FB72C1"/>
    <w:rsid w:val="00FC0A60"/>
    <w:rsid w:val="00FC13AA"/>
    <w:rsid w:val="00FC19B6"/>
    <w:rsid w:val="00FC1CF0"/>
    <w:rsid w:val="00FC25E9"/>
    <w:rsid w:val="00FC3AC8"/>
    <w:rsid w:val="00FC42D5"/>
    <w:rsid w:val="00FC55AB"/>
    <w:rsid w:val="00FC63A5"/>
    <w:rsid w:val="00FC6ED7"/>
    <w:rsid w:val="00FC72A0"/>
    <w:rsid w:val="00FC74A7"/>
    <w:rsid w:val="00FC7CB8"/>
    <w:rsid w:val="00FD0477"/>
    <w:rsid w:val="00FD09E8"/>
    <w:rsid w:val="00FD0F4A"/>
    <w:rsid w:val="00FD11F3"/>
    <w:rsid w:val="00FD1416"/>
    <w:rsid w:val="00FD16A0"/>
    <w:rsid w:val="00FD1949"/>
    <w:rsid w:val="00FD1E53"/>
    <w:rsid w:val="00FD2367"/>
    <w:rsid w:val="00FD2BD0"/>
    <w:rsid w:val="00FD32E9"/>
    <w:rsid w:val="00FD3464"/>
    <w:rsid w:val="00FD34B4"/>
    <w:rsid w:val="00FD3741"/>
    <w:rsid w:val="00FD3C93"/>
    <w:rsid w:val="00FD47B6"/>
    <w:rsid w:val="00FD4A0E"/>
    <w:rsid w:val="00FD52F9"/>
    <w:rsid w:val="00FD57DF"/>
    <w:rsid w:val="00FD686D"/>
    <w:rsid w:val="00FD6C6F"/>
    <w:rsid w:val="00FE1743"/>
    <w:rsid w:val="00FE1F91"/>
    <w:rsid w:val="00FE2123"/>
    <w:rsid w:val="00FE2354"/>
    <w:rsid w:val="00FE36D3"/>
    <w:rsid w:val="00FE41F4"/>
    <w:rsid w:val="00FE4235"/>
    <w:rsid w:val="00FE4575"/>
    <w:rsid w:val="00FE4CB8"/>
    <w:rsid w:val="00FE4EC4"/>
    <w:rsid w:val="00FE557A"/>
    <w:rsid w:val="00FE6B73"/>
    <w:rsid w:val="00FE7044"/>
    <w:rsid w:val="00FE7171"/>
    <w:rsid w:val="00FE7277"/>
    <w:rsid w:val="00FF01E1"/>
    <w:rsid w:val="00FF064F"/>
    <w:rsid w:val="00FF18BF"/>
    <w:rsid w:val="00FF1B64"/>
    <w:rsid w:val="00FF1D84"/>
    <w:rsid w:val="00FF1E9F"/>
    <w:rsid w:val="00FF24C3"/>
    <w:rsid w:val="00FF2862"/>
    <w:rsid w:val="00FF2B04"/>
    <w:rsid w:val="00FF2B4B"/>
    <w:rsid w:val="00FF3149"/>
    <w:rsid w:val="00FF40E3"/>
    <w:rsid w:val="00FF43E0"/>
    <w:rsid w:val="00FF4FB5"/>
    <w:rsid w:val="00FF6868"/>
    <w:rsid w:val="00FF6F9A"/>
    <w:rsid w:val="00FF6FB7"/>
    <w:rsid w:val="00FF76C4"/>
    <w:rsid w:val="00FF79E1"/>
    <w:rsid w:val="00FF7AA7"/>
    <w:rsid w:val="168DF530"/>
    <w:rsid w:val="1B309F73"/>
    <w:rsid w:val="1F21DA14"/>
    <w:rsid w:val="3251941A"/>
    <w:rsid w:val="5F2B51C6"/>
    <w:rsid w:val="5F3DDEF7"/>
    <w:rsid w:val="6A379D57"/>
    <w:rsid w:val="6FC1DC53"/>
    <w:rsid w:val="73C720E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F77137C"/>
  <w15:chartTrackingRefBased/>
  <w15:docId w15:val="{D4D0C64B-C542-40AA-9ACA-1140B2A7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FDD"/>
    <w:rPr>
      <w:sz w:val="24"/>
      <w:szCs w:val="24"/>
    </w:rPr>
  </w:style>
  <w:style w:type="paragraph" w:styleId="Heading1">
    <w:name w:val="heading 1"/>
    <w:basedOn w:val="Normal"/>
    <w:next w:val="Normal"/>
    <w:qFormat/>
    <w:rsid w:val="00F83347"/>
    <w:pPr>
      <w:keepNext/>
      <w:tabs>
        <w:tab w:val="left" w:pos="720"/>
      </w:tabs>
      <w:spacing w:after="240"/>
      <w:ind w:left="720" w:hanging="720"/>
      <w:jc w:val="center"/>
      <w:outlineLvl w:val="0"/>
    </w:pPr>
    <w:rPr>
      <w:b/>
      <w:bCs/>
      <w:caps/>
    </w:rPr>
  </w:style>
  <w:style w:type="paragraph" w:styleId="Heading2">
    <w:name w:val="heading 2"/>
    <w:basedOn w:val="Normal"/>
    <w:next w:val="Normal"/>
    <w:qFormat/>
    <w:rsid w:val="00F83347"/>
    <w:pPr>
      <w:keepNext/>
      <w:spacing w:after="240"/>
      <w:ind w:left="720" w:hanging="720"/>
      <w:outlineLvl w:val="1"/>
    </w:pPr>
    <w:rPr>
      <w:b/>
    </w:rPr>
  </w:style>
  <w:style w:type="paragraph" w:styleId="Heading3">
    <w:name w:val="heading 3"/>
    <w:basedOn w:val="Normal"/>
    <w:next w:val="Normal"/>
    <w:link w:val="Heading3Char"/>
    <w:qFormat/>
    <w:rsid w:val="00F83347"/>
    <w:pPr>
      <w:keepNext/>
      <w:spacing w:after="240"/>
      <w:ind w:left="720"/>
      <w:outlineLvl w:val="2"/>
    </w:pPr>
    <w:rPr>
      <w:b/>
      <w:szCs w:val="26"/>
    </w:rPr>
  </w:style>
  <w:style w:type="paragraph" w:styleId="Heading4">
    <w:name w:val="heading 4"/>
    <w:basedOn w:val="Normal"/>
    <w:next w:val="Normal"/>
    <w:qFormat/>
    <w:rsid w:val="00F83347"/>
    <w:pPr>
      <w:keepNext/>
      <w:tabs>
        <w:tab w:val="left" w:pos="2160"/>
      </w:tabs>
      <w:spacing w:after="240"/>
      <w:outlineLvl w:val="3"/>
    </w:pPr>
    <w:rPr>
      <w:rFonts w:ascii="Gill Sans MT" w:hAnsi="Gill Sans MT"/>
      <w:bCs/>
      <w:i/>
      <w:sz w:val="28"/>
      <w:szCs w:val="28"/>
    </w:rPr>
  </w:style>
  <w:style w:type="paragraph" w:styleId="Heading5">
    <w:name w:val="heading 5"/>
    <w:basedOn w:val="Normal"/>
    <w:next w:val="Normal"/>
    <w:qFormat/>
    <w:rsid w:val="00F83347"/>
    <w:pPr>
      <w:keepNext/>
      <w:spacing w:line="232" w:lineRule="auto"/>
      <w:ind w:left="720" w:hanging="720"/>
      <w:outlineLvl w:val="4"/>
    </w:pPr>
    <w:rPr>
      <w:b/>
    </w:rPr>
  </w:style>
  <w:style w:type="paragraph" w:styleId="Heading6">
    <w:name w:val="heading 6"/>
    <w:basedOn w:val="Normal"/>
    <w:next w:val="Normal"/>
    <w:qFormat/>
    <w:rsid w:val="00F8334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5"/>
    </w:pPr>
    <w:rPr>
      <w:u w:val="single"/>
    </w:rPr>
  </w:style>
  <w:style w:type="paragraph" w:styleId="Heading7">
    <w:name w:val="heading 7"/>
    <w:basedOn w:val="Normal"/>
    <w:next w:val="Normal"/>
    <w:qFormat/>
    <w:rsid w:val="00F83347"/>
    <w:pPr>
      <w:keepNext/>
      <w:spacing w:line="232" w:lineRule="auto"/>
      <w:ind w:left="1080" w:hanging="1080"/>
      <w:outlineLvl w:val="6"/>
    </w:pPr>
    <w:rPr>
      <w:b/>
    </w:rPr>
  </w:style>
  <w:style w:type="paragraph" w:styleId="Heading8">
    <w:name w:val="heading 8"/>
    <w:basedOn w:val="Normal"/>
    <w:next w:val="Normal"/>
    <w:qFormat/>
    <w:rsid w:val="00F83347"/>
    <w:pPr>
      <w:keepNext/>
      <w:spacing w:line="232" w:lineRule="auto"/>
      <w:jc w:val="right"/>
      <w:outlineLvl w:val="7"/>
    </w:pPr>
    <w:rPr>
      <w:b/>
      <w:u w:val="single"/>
    </w:rPr>
  </w:style>
  <w:style w:type="paragraph" w:styleId="Heading9">
    <w:name w:val="heading 9"/>
    <w:basedOn w:val="Normal"/>
    <w:next w:val="Normal"/>
    <w:qFormat/>
    <w:rsid w:val="00F83347"/>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F83347"/>
    <w:pPr>
      <w:numPr>
        <w:numId w:val="1"/>
      </w:numPr>
      <w:tabs>
        <w:tab w:val="clear" w:pos="1080"/>
      </w:tabs>
      <w:spacing w:after="240"/>
      <w:ind w:left="720" w:hanging="720"/>
    </w:pPr>
  </w:style>
  <w:style w:type="paragraph" w:styleId="BodyText">
    <w:name w:val="Body Text"/>
    <w:basedOn w:val="Normal"/>
    <w:link w:val="BodyTextChar"/>
    <w:rsid w:val="00F83347"/>
    <w:pPr>
      <w:spacing w:after="240"/>
      <w:ind w:firstLine="720"/>
    </w:pPr>
  </w:style>
  <w:style w:type="paragraph" w:styleId="Footer">
    <w:name w:val="footer"/>
    <w:basedOn w:val="Normal"/>
    <w:link w:val="FooterChar"/>
    <w:uiPriority w:val="99"/>
    <w:rsid w:val="00F83347"/>
    <w:pPr>
      <w:tabs>
        <w:tab w:val="center" w:pos="4320"/>
        <w:tab w:val="right" w:pos="8640"/>
      </w:tabs>
    </w:pPr>
  </w:style>
  <w:style w:type="character" w:styleId="PageNumber">
    <w:name w:val="page number"/>
    <w:basedOn w:val="DefaultParagraphFont"/>
    <w:rsid w:val="00F83347"/>
  </w:style>
  <w:style w:type="paragraph" w:styleId="TOC2">
    <w:name w:val="toc 2"/>
    <w:basedOn w:val="Normal"/>
    <w:next w:val="Normal"/>
    <w:autoRedefine/>
    <w:semiHidden/>
    <w:rsid w:val="00F83347"/>
    <w:pPr>
      <w:ind w:left="240"/>
    </w:pPr>
  </w:style>
  <w:style w:type="paragraph" w:customStyle="1" w:styleId="REF">
    <w:name w:val="REF"/>
    <w:basedOn w:val="Normal"/>
    <w:rsid w:val="00F83347"/>
    <w:pPr>
      <w:widowControl w:val="0"/>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28" w:lineRule="auto"/>
      <w:ind w:left="720" w:hanging="720"/>
    </w:pPr>
    <w:rPr>
      <w:color w:val="000000"/>
    </w:rPr>
  </w:style>
  <w:style w:type="paragraph" w:styleId="TOC1">
    <w:name w:val="toc 1"/>
    <w:basedOn w:val="Normal"/>
    <w:next w:val="Normal"/>
    <w:autoRedefine/>
    <w:semiHidden/>
    <w:rsid w:val="00F83347"/>
    <w:rPr>
      <w:b/>
    </w:rPr>
  </w:style>
  <w:style w:type="paragraph" w:styleId="TOC3">
    <w:name w:val="toc 3"/>
    <w:basedOn w:val="Normal"/>
    <w:next w:val="Normal"/>
    <w:autoRedefine/>
    <w:semiHidden/>
    <w:rsid w:val="00F83347"/>
    <w:pPr>
      <w:ind w:left="480"/>
    </w:pPr>
  </w:style>
  <w:style w:type="paragraph" w:styleId="TOC4">
    <w:name w:val="toc 4"/>
    <w:basedOn w:val="Normal"/>
    <w:next w:val="Normal"/>
    <w:autoRedefine/>
    <w:semiHidden/>
    <w:rsid w:val="00F83347"/>
    <w:pPr>
      <w:ind w:left="720"/>
    </w:pPr>
  </w:style>
  <w:style w:type="paragraph" w:styleId="TOC5">
    <w:name w:val="toc 5"/>
    <w:basedOn w:val="Normal"/>
    <w:next w:val="Normal"/>
    <w:autoRedefine/>
    <w:semiHidden/>
    <w:rsid w:val="00F83347"/>
    <w:pPr>
      <w:ind w:left="960"/>
    </w:pPr>
  </w:style>
  <w:style w:type="paragraph" w:styleId="TOC6">
    <w:name w:val="toc 6"/>
    <w:basedOn w:val="Normal"/>
    <w:next w:val="Normal"/>
    <w:autoRedefine/>
    <w:semiHidden/>
    <w:rsid w:val="00F83347"/>
    <w:pPr>
      <w:ind w:left="1200"/>
    </w:pPr>
  </w:style>
  <w:style w:type="paragraph" w:styleId="TOC7">
    <w:name w:val="toc 7"/>
    <w:basedOn w:val="Normal"/>
    <w:next w:val="Normal"/>
    <w:autoRedefine/>
    <w:semiHidden/>
    <w:rsid w:val="00F83347"/>
    <w:pPr>
      <w:ind w:left="1440"/>
    </w:pPr>
  </w:style>
  <w:style w:type="paragraph" w:styleId="TOC8">
    <w:name w:val="toc 8"/>
    <w:basedOn w:val="Normal"/>
    <w:next w:val="Normal"/>
    <w:autoRedefine/>
    <w:semiHidden/>
    <w:rsid w:val="00F83347"/>
    <w:pPr>
      <w:ind w:left="1680"/>
    </w:pPr>
  </w:style>
  <w:style w:type="paragraph" w:styleId="TOC9">
    <w:name w:val="toc 9"/>
    <w:basedOn w:val="Normal"/>
    <w:next w:val="Normal"/>
    <w:autoRedefine/>
    <w:semiHidden/>
    <w:rsid w:val="00F83347"/>
    <w:pPr>
      <w:ind w:left="1920"/>
    </w:pPr>
  </w:style>
  <w:style w:type="character" w:styleId="Hyperlink">
    <w:name w:val="Hyperlink"/>
    <w:uiPriority w:val="99"/>
    <w:rsid w:val="00F83347"/>
    <w:rPr>
      <w:color w:val="0000FF"/>
      <w:u w:val="single"/>
    </w:rPr>
  </w:style>
  <w:style w:type="paragraph" w:customStyle="1" w:styleId="Level1">
    <w:name w:val="Level 1"/>
    <w:basedOn w:val="Normal"/>
    <w:rsid w:val="00F83347"/>
    <w:pPr>
      <w:widowControl w:val="0"/>
    </w:pPr>
    <w:rPr>
      <w:szCs w:val="20"/>
    </w:rPr>
  </w:style>
  <w:style w:type="paragraph" w:customStyle="1" w:styleId="Level2">
    <w:name w:val="Level 2"/>
    <w:basedOn w:val="Normal"/>
    <w:rsid w:val="00F83347"/>
    <w:pPr>
      <w:widowControl w:val="0"/>
    </w:pPr>
    <w:rPr>
      <w:szCs w:val="20"/>
    </w:rPr>
  </w:style>
  <w:style w:type="paragraph" w:styleId="BodyTextIndent">
    <w:name w:val="Body Text Indent"/>
    <w:basedOn w:val="Normal"/>
    <w:rsid w:val="00F83347"/>
    <w:pPr>
      <w:spacing w:line="232" w:lineRule="auto"/>
      <w:ind w:left="2160" w:hanging="720"/>
    </w:pPr>
    <w:rPr>
      <w:b/>
    </w:rPr>
  </w:style>
  <w:style w:type="paragraph" w:styleId="BodyTextIndent2">
    <w:name w:val="Body Text Indent 2"/>
    <w:basedOn w:val="Normal"/>
    <w:rsid w:val="00F83347"/>
    <w:pPr>
      <w:spacing w:line="232" w:lineRule="auto"/>
      <w:ind w:left="2880" w:hanging="720"/>
    </w:pPr>
    <w:rPr>
      <w:b/>
    </w:rPr>
  </w:style>
  <w:style w:type="paragraph" w:styleId="Header">
    <w:name w:val="header"/>
    <w:basedOn w:val="Normal"/>
    <w:link w:val="HeaderChar"/>
    <w:uiPriority w:val="99"/>
    <w:rsid w:val="00F83347"/>
    <w:pPr>
      <w:tabs>
        <w:tab w:val="center" w:pos="4320"/>
        <w:tab w:val="right" w:pos="8640"/>
      </w:tabs>
    </w:pPr>
  </w:style>
  <w:style w:type="paragraph" w:styleId="BodyTextIndent3">
    <w:name w:val="Body Text Indent 3"/>
    <w:basedOn w:val="Normal"/>
    <w:rsid w:val="00F83347"/>
    <w:pPr>
      <w:spacing w:line="233" w:lineRule="auto"/>
      <w:ind w:left="1440" w:hanging="360"/>
    </w:pPr>
    <w:rPr>
      <w:b/>
    </w:rPr>
  </w:style>
  <w:style w:type="character" w:styleId="FollowedHyperlink">
    <w:name w:val="FollowedHyperlink"/>
    <w:rsid w:val="00F83347"/>
    <w:rPr>
      <w:color w:val="800080"/>
      <w:u w:val="single"/>
    </w:rPr>
  </w:style>
  <w:style w:type="paragraph" w:styleId="BalloonText">
    <w:name w:val="Balloon Text"/>
    <w:basedOn w:val="Normal"/>
    <w:semiHidden/>
    <w:rsid w:val="0019217B"/>
    <w:rPr>
      <w:rFonts w:ascii="Tahoma" w:hAnsi="Tahoma" w:cs="Tahoma"/>
      <w:sz w:val="16"/>
      <w:szCs w:val="16"/>
    </w:rPr>
  </w:style>
  <w:style w:type="paragraph" w:customStyle="1" w:styleId="CM310">
    <w:name w:val="CM310"/>
    <w:basedOn w:val="Normal"/>
    <w:next w:val="Normal"/>
    <w:rsid w:val="00BF6237"/>
    <w:pPr>
      <w:autoSpaceDE w:val="0"/>
      <w:autoSpaceDN w:val="0"/>
      <w:adjustRightInd w:val="0"/>
      <w:spacing w:after="248"/>
    </w:pPr>
    <w:rPr>
      <w:rFonts w:ascii="IFTYRA+Palatino-Roman" w:hAnsi="IFTYRA+Palatino-Roman"/>
    </w:rPr>
  </w:style>
  <w:style w:type="table" w:styleId="TableGrid">
    <w:name w:val="Table Grid"/>
    <w:basedOn w:val="TableNormal"/>
    <w:rsid w:val="007A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1">
    <w:name w:val="Heading 31"/>
    <w:rsid w:val="00954AB3"/>
    <w:rPr>
      <w:b/>
    </w:rPr>
  </w:style>
  <w:style w:type="character" w:customStyle="1" w:styleId="Footer1">
    <w:name w:val="Footer1"/>
    <w:basedOn w:val="DefaultParagraphFont"/>
    <w:rsid w:val="00954AB3"/>
  </w:style>
  <w:style w:type="paragraph" w:customStyle="1" w:styleId="Level9">
    <w:name w:val="Level 9"/>
    <w:basedOn w:val="Normal"/>
    <w:rsid w:val="00954AB3"/>
    <w:pPr>
      <w:widowControl w:val="0"/>
    </w:pPr>
    <w:rPr>
      <w:b/>
      <w:szCs w:val="20"/>
    </w:rPr>
  </w:style>
  <w:style w:type="paragraph" w:styleId="Title">
    <w:name w:val="Title"/>
    <w:basedOn w:val="Normal"/>
    <w:link w:val="TitleChar"/>
    <w:qFormat/>
    <w:rsid w:val="00954AB3"/>
    <w:pPr>
      <w:jc w:val="center"/>
    </w:pPr>
    <w:rPr>
      <w:b/>
      <w:sz w:val="20"/>
    </w:rPr>
  </w:style>
  <w:style w:type="character" w:customStyle="1" w:styleId="TitleChar">
    <w:name w:val="Title Char"/>
    <w:link w:val="Title"/>
    <w:rsid w:val="00954AB3"/>
    <w:rPr>
      <w:b/>
      <w:szCs w:val="24"/>
    </w:rPr>
  </w:style>
  <w:style w:type="character" w:styleId="Strong">
    <w:name w:val="Strong"/>
    <w:uiPriority w:val="22"/>
    <w:qFormat/>
    <w:rsid w:val="004F66D6"/>
    <w:rPr>
      <w:b/>
      <w:bCs/>
    </w:rPr>
  </w:style>
  <w:style w:type="character" w:customStyle="1" w:styleId="Heading11">
    <w:name w:val="Heading 11"/>
    <w:rsid w:val="007C3B04"/>
    <w:rPr>
      <w:b/>
    </w:rPr>
  </w:style>
  <w:style w:type="paragraph" w:styleId="ListParagraph">
    <w:name w:val="List Paragraph"/>
    <w:basedOn w:val="Normal"/>
    <w:link w:val="ListParagraphChar"/>
    <w:uiPriority w:val="34"/>
    <w:qFormat/>
    <w:rsid w:val="00961B17"/>
    <w:pPr>
      <w:ind w:left="720"/>
    </w:pPr>
  </w:style>
  <w:style w:type="character" w:styleId="CommentReference">
    <w:name w:val="annotation reference"/>
    <w:uiPriority w:val="99"/>
    <w:semiHidden/>
    <w:rsid w:val="00D01DA3"/>
    <w:rPr>
      <w:sz w:val="16"/>
      <w:szCs w:val="16"/>
    </w:rPr>
  </w:style>
  <w:style w:type="paragraph" w:styleId="CommentText">
    <w:name w:val="annotation text"/>
    <w:basedOn w:val="Normal"/>
    <w:link w:val="CommentTextChar"/>
    <w:uiPriority w:val="99"/>
    <w:semiHidden/>
    <w:rsid w:val="00D01DA3"/>
    <w:rPr>
      <w:sz w:val="20"/>
      <w:szCs w:val="20"/>
    </w:rPr>
  </w:style>
  <w:style w:type="paragraph" w:styleId="CommentSubject">
    <w:name w:val="annotation subject"/>
    <w:basedOn w:val="CommentText"/>
    <w:next w:val="CommentText"/>
    <w:semiHidden/>
    <w:rsid w:val="00D01DA3"/>
    <w:rPr>
      <w:b/>
      <w:bCs/>
    </w:rPr>
  </w:style>
  <w:style w:type="character" w:styleId="Emphasis">
    <w:name w:val="Emphasis"/>
    <w:uiPriority w:val="20"/>
    <w:qFormat/>
    <w:rsid w:val="00042834"/>
    <w:rPr>
      <w:i/>
      <w:iCs/>
    </w:rPr>
  </w:style>
  <w:style w:type="paragraph" w:styleId="BodyText3">
    <w:name w:val="Body Text 3"/>
    <w:basedOn w:val="Normal"/>
    <w:link w:val="BodyText3Char"/>
    <w:uiPriority w:val="99"/>
    <w:semiHidden/>
    <w:unhideWhenUsed/>
    <w:rsid w:val="0006100D"/>
    <w:pPr>
      <w:spacing w:after="120"/>
    </w:pPr>
    <w:rPr>
      <w:sz w:val="16"/>
      <w:szCs w:val="16"/>
    </w:rPr>
  </w:style>
  <w:style w:type="character" w:customStyle="1" w:styleId="BodyText3Char">
    <w:name w:val="Body Text 3 Char"/>
    <w:link w:val="BodyText3"/>
    <w:uiPriority w:val="99"/>
    <w:semiHidden/>
    <w:rsid w:val="0006100D"/>
    <w:rPr>
      <w:sz w:val="16"/>
      <w:szCs w:val="16"/>
    </w:rPr>
  </w:style>
  <w:style w:type="paragraph" w:customStyle="1" w:styleId="Default">
    <w:name w:val="Default"/>
    <w:rsid w:val="00BE65CB"/>
    <w:pPr>
      <w:autoSpaceDE w:val="0"/>
      <w:autoSpaceDN w:val="0"/>
      <w:adjustRightInd w:val="0"/>
    </w:pPr>
    <w:rPr>
      <w:rFonts w:ascii="Arial" w:eastAsia="Calibri" w:hAnsi="Arial" w:cs="Arial"/>
      <w:b/>
      <w:snapToGrid w:val="0"/>
      <w:color w:val="000000"/>
      <w:sz w:val="24"/>
      <w:szCs w:val="24"/>
    </w:rPr>
  </w:style>
  <w:style w:type="character" w:customStyle="1" w:styleId="Heading3Char">
    <w:name w:val="Heading 3 Char"/>
    <w:link w:val="Heading3"/>
    <w:rsid w:val="008269DD"/>
    <w:rPr>
      <w:b/>
      <w:sz w:val="24"/>
      <w:szCs w:val="26"/>
    </w:rPr>
  </w:style>
  <w:style w:type="character" w:customStyle="1" w:styleId="BodyTextChar">
    <w:name w:val="Body Text Char"/>
    <w:link w:val="BodyText"/>
    <w:rsid w:val="008269DD"/>
    <w:rPr>
      <w:sz w:val="24"/>
      <w:szCs w:val="24"/>
    </w:rPr>
  </w:style>
  <w:style w:type="character" w:customStyle="1" w:styleId="CommentTextChar">
    <w:name w:val="Comment Text Char"/>
    <w:basedOn w:val="DefaultParagraphFont"/>
    <w:link w:val="CommentText"/>
    <w:uiPriority w:val="99"/>
    <w:semiHidden/>
    <w:rsid w:val="008269DD"/>
  </w:style>
  <w:style w:type="character" w:customStyle="1" w:styleId="A21">
    <w:name w:val="A2+1"/>
    <w:uiPriority w:val="99"/>
    <w:rsid w:val="00160E7E"/>
    <w:rPr>
      <w:rFonts w:cs="Garamond BookCondensed"/>
      <w:color w:val="000000"/>
      <w:sz w:val="30"/>
      <w:szCs w:val="30"/>
    </w:rPr>
  </w:style>
  <w:style w:type="character" w:customStyle="1" w:styleId="A1">
    <w:name w:val="A1"/>
    <w:uiPriority w:val="99"/>
    <w:rsid w:val="002F43F9"/>
    <w:rPr>
      <w:rFonts w:cs="Trajan Pro"/>
      <w:color w:val="000000"/>
      <w:sz w:val="40"/>
      <w:szCs w:val="40"/>
    </w:rPr>
  </w:style>
  <w:style w:type="paragraph" w:customStyle="1" w:styleId="Pa29">
    <w:name w:val="Pa29"/>
    <w:basedOn w:val="Default"/>
    <w:next w:val="Default"/>
    <w:uiPriority w:val="99"/>
    <w:rsid w:val="009E47D1"/>
    <w:pPr>
      <w:spacing w:line="241" w:lineRule="atLeast"/>
    </w:pPr>
    <w:rPr>
      <w:rFonts w:ascii="Times New Roman" w:eastAsia="Times New Roman" w:hAnsi="Times New Roman" w:cs="Times New Roman"/>
      <w:b w:val="0"/>
      <w:snapToGrid/>
      <w:color w:val="auto"/>
    </w:rPr>
  </w:style>
  <w:style w:type="character" w:customStyle="1" w:styleId="A6">
    <w:name w:val="A6"/>
    <w:uiPriority w:val="99"/>
    <w:rsid w:val="009E47D1"/>
    <w:rPr>
      <w:color w:val="000000"/>
      <w:sz w:val="22"/>
      <w:szCs w:val="22"/>
    </w:rPr>
  </w:style>
  <w:style w:type="character" w:customStyle="1" w:styleId="A8">
    <w:name w:val="A8"/>
    <w:uiPriority w:val="99"/>
    <w:rsid w:val="009E47D1"/>
    <w:rPr>
      <w:rFonts w:ascii="Symbol" w:hAnsi="Symbol" w:cs="Symbol"/>
      <w:color w:val="000000"/>
      <w:sz w:val="22"/>
      <w:szCs w:val="22"/>
    </w:rPr>
  </w:style>
  <w:style w:type="character" w:customStyle="1" w:styleId="A3">
    <w:name w:val="A3"/>
    <w:uiPriority w:val="99"/>
    <w:rsid w:val="009E47D1"/>
    <w:rPr>
      <w:color w:val="000000"/>
      <w:sz w:val="20"/>
      <w:szCs w:val="20"/>
    </w:rPr>
  </w:style>
  <w:style w:type="paragraph" w:customStyle="1" w:styleId="Pa24">
    <w:name w:val="Pa24"/>
    <w:basedOn w:val="Default"/>
    <w:next w:val="Default"/>
    <w:uiPriority w:val="99"/>
    <w:rsid w:val="009E47D1"/>
    <w:pPr>
      <w:spacing w:line="201" w:lineRule="atLeast"/>
    </w:pPr>
    <w:rPr>
      <w:rFonts w:ascii="Times New Roman" w:eastAsia="Times New Roman" w:hAnsi="Times New Roman" w:cs="Times New Roman"/>
      <w:b w:val="0"/>
      <w:snapToGrid/>
      <w:color w:val="auto"/>
    </w:rPr>
  </w:style>
  <w:style w:type="character" w:customStyle="1" w:styleId="A11">
    <w:name w:val="A11"/>
    <w:uiPriority w:val="99"/>
    <w:rsid w:val="00C36581"/>
    <w:rPr>
      <w:color w:val="000000"/>
      <w:sz w:val="20"/>
      <w:szCs w:val="20"/>
      <w:u w:val="single"/>
    </w:rPr>
  </w:style>
  <w:style w:type="paragraph" w:customStyle="1" w:styleId="Pa1">
    <w:name w:val="Pa1"/>
    <w:basedOn w:val="Default"/>
    <w:next w:val="Default"/>
    <w:uiPriority w:val="99"/>
    <w:rsid w:val="00C36581"/>
    <w:pPr>
      <w:spacing w:line="201" w:lineRule="atLeast"/>
    </w:pPr>
    <w:rPr>
      <w:rFonts w:ascii="Times New Roman" w:eastAsia="Times New Roman" w:hAnsi="Times New Roman" w:cs="Times New Roman"/>
      <w:b w:val="0"/>
      <w:snapToGrid/>
      <w:color w:val="auto"/>
    </w:rPr>
  </w:style>
  <w:style w:type="paragraph" w:styleId="NormalWeb">
    <w:name w:val="Normal (Web)"/>
    <w:basedOn w:val="Normal"/>
    <w:unhideWhenUsed/>
    <w:rsid w:val="00661619"/>
    <w:pPr>
      <w:spacing w:before="100" w:beforeAutospacing="1" w:after="100" w:afterAutospacing="1"/>
    </w:pPr>
  </w:style>
  <w:style w:type="paragraph" w:styleId="PlainText">
    <w:name w:val="Plain Text"/>
    <w:basedOn w:val="Normal"/>
    <w:link w:val="PlainTextChar"/>
    <w:uiPriority w:val="99"/>
    <w:unhideWhenUsed/>
    <w:rsid w:val="00DA345C"/>
    <w:rPr>
      <w:rFonts w:ascii="Consolas" w:eastAsia="Calibri" w:hAnsi="Consolas"/>
      <w:sz w:val="21"/>
      <w:szCs w:val="21"/>
    </w:rPr>
  </w:style>
  <w:style w:type="character" w:customStyle="1" w:styleId="PlainTextChar">
    <w:name w:val="Plain Text Char"/>
    <w:link w:val="PlainText"/>
    <w:uiPriority w:val="99"/>
    <w:rsid w:val="00DA345C"/>
    <w:rPr>
      <w:rFonts w:ascii="Consolas" w:eastAsia="Calibri" w:hAnsi="Consolas" w:cs="Times New Roman"/>
      <w:sz w:val="21"/>
      <w:szCs w:val="21"/>
    </w:rPr>
  </w:style>
  <w:style w:type="paragraph" w:customStyle="1" w:styleId="Pa5">
    <w:name w:val="Pa5"/>
    <w:basedOn w:val="Default"/>
    <w:next w:val="Default"/>
    <w:uiPriority w:val="99"/>
    <w:rsid w:val="0098518F"/>
    <w:pPr>
      <w:spacing w:line="221" w:lineRule="atLeast"/>
    </w:pPr>
    <w:rPr>
      <w:rFonts w:ascii="Adobe Garamond Pro" w:eastAsia="Times New Roman" w:hAnsi="Adobe Garamond Pro" w:cs="Times New Roman"/>
      <w:b w:val="0"/>
      <w:snapToGrid/>
      <w:color w:val="auto"/>
    </w:rPr>
  </w:style>
  <w:style w:type="character" w:customStyle="1" w:styleId="FooterChar">
    <w:name w:val="Footer Char"/>
    <w:link w:val="Footer"/>
    <w:uiPriority w:val="99"/>
    <w:rsid w:val="007D07E6"/>
    <w:rPr>
      <w:sz w:val="24"/>
      <w:szCs w:val="24"/>
    </w:rPr>
  </w:style>
  <w:style w:type="character" w:customStyle="1" w:styleId="HeaderChar">
    <w:name w:val="Header Char"/>
    <w:link w:val="Header"/>
    <w:uiPriority w:val="99"/>
    <w:rsid w:val="002F5097"/>
    <w:rPr>
      <w:sz w:val="24"/>
      <w:szCs w:val="24"/>
    </w:rPr>
  </w:style>
  <w:style w:type="paragraph" w:customStyle="1" w:styleId="L1-FlLSp12">
    <w:name w:val="L1-FlL Sp&amp;1/2"/>
    <w:basedOn w:val="Normal"/>
    <w:link w:val="L1-FlLSp12Char"/>
    <w:rsid w:val="004F13CE"/>
    <w:pPr>
      <w:tabs>
        <w:tab w:val="left" w:pos="1152"/>
      </w:tabs>
      <w:spacing w:line="360" w:lineRule="atLeast"/>
    </w:pPr>
    <w:rPr>
      <w:rFonts w:ascii="Garamond" w:hAnsi="Garamond"/>
      <w:szCs w:val="20"/>
      <w:lang w:val="x-none" w:eastAsia="x-none"/>
    </w:rPr>
  </w:style>
  <w:style w:type="character" w:customStyle="1" w:styleId="L1-FlLSp12Char">
    <w:name w:val="L1-FlL Sp&amp;1/2 Char"/>
    <w:link w:val="L1-FlLSp12"/>
    <w:rsid w:val="004F13CE"/>
    <w:rPr>
      <w:rFonts w:ascii="Garamond" w:hAnsi="Garamond"/>
      <w:sz w:val="24"/>
      <w:lang w:val="x-none" w:eastAsia="x-none"/>
    </w:rPr>
  </w:style>
  <w:style w:type="paragraph" w:styleId="HTMLPreformatted">
    <w:name w:val="HTML Preformatted"/>
    <w:basedOn w:val="Normal"/>
    <w:link w:val="HTMLPreformattedChar"/>
    <w:uiPriority w:val="99"/>
    <w:unhideWhenUsed/>
    <w:rsid w:val="00D94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D94C0C"/>
    <w:rPr>
      <w:rFonts w:ascii="Courier New" w:hAnsi="Courier New" w:cs="Courier New"/>
    </w:rPr>
  </w:style>
  <w:style w:type="paragraph" w:customStyle="1" w:styleId="Bullet-Square">
    <w:name w:val="Bullet - Square"/>
    <w:basedOn w:val="BodyText"/>
    <w:rsid w:val="003563AC"/>
    <w:pPr>
      <w:numPr>
        <w:numId w:val="41"/>
      </w:numPr>
      <w:tabs>
        <w:tab w:val="num" w:pos="360"/>
        <w:tab w:val="clear" w:pos="1080"/>
      </w:tabs>
      <w:ind w:left="0" w:firstLine="0"/>
      <w:jc w:val="both"/>
    </w:pPr>
    <w:rPr>
      <w:szCs w:val="20"/>
    </w:rPr>
  </w:style>
  <w:style w:type="paragraph" w:customStyle="1" w:styleId="ParagraphStyle2">
    <w:name w:val="Paragraph Style 2"/>
    <w:basedOn w:val="BodyTextIndent"/>
    <w:link w:val="ParagraphStyle2Char"/>
    <w:qFormat/>
    <w:rsid w:val="003563AC"/>
    <w:pPr>
      <w:suppressAutoHyphens/>
      <w:spacing w:after="240" w:line="240" w:lineRule="auto"/>
      <w:ind w:left="720" w:firstLine="0"/>
    </w:pPr>
    <w:rPr>
      <w:b w:val="0"/>
      <w:spacing w:val="-2"/>
    </w:rPr>
  </w:style>
  <w:style w:type="character" w:customStyle="1" w:styleId="ParagraphStyle2Char">
    <w:name w:val="Paragraph Style 2 Char"/>
    <w:link w:val="ParagraphStyle2"/>
    <w:rsid w:val="003563AC"/>
    <w:rPr>
      <w:spacing w:val="-2"/>
      <w:sz w:val="24"/>
      <w:szCs w:val="24"/>
    </w:rPr>
  </w:style>
  <w:style w:type="paragraph" w:customStyle="1" w:styleId="bodytextpsg">
    <w:name w:val="body text_psg"/>
    <w:basedOn w:val="Normal"/>
    <w:link w:val="bodytextpsgCharChar"/>
    <w:rsid w:val="001636B3"/>
    <w:pPr>
      <w:spacing w:after="160"/>
      <w:ind w:firstLine="547"/>
    </w:pPr>
    <w:rPr>
      <w:szCs w:val="20"/>
    </w:rPr>
  </w:style>
  <w:style w:type="character" w:customStyle="1" w:styleId="bodytextpsgCharChar">
    <w:name w:val="body text_psg Char Char"/>
    <w:link w:val="bodytextpsg"/>
    <w:rsid w:val="001636B3"/>
    <w:rPr>
      <w:sz w:val="24"/>
    </w:rPr>
  </w:style>
  <w:style w:type="character" w:customStyle="1" w:styleId="ListParagraphChar">
    <w:name w:val="List Paragraph Char"/>
    <w:link w:val="ListParagraph"/>
    <w:uiPriority w:val="34"/>
    <w:locked/>
    <w:rsid w:val="001636B3"/>
    <w:rPr>
      <w:sz w:val="24"/>
      <w:szCs w:val="24"/>
    </w:rPr>
  </w:style>
  <w:style w:type="paragraph" w:customStyle="1" w:styleId="Tbodytext">
    <w:name w:val="T body text"/>
    <w:basedOn w:val="ListParagraph"/>
    <w:qFormat/>
    <w:rsid w:val="001636B3"/>
    <w:pPr>
      <w:ind w:left="0"/>
      <w:contextualSpacing/>
    </w:pPr>
    <w:rPr>
      <w:rFonts w:eastAsia="Calibri"/>
    </w:rPr>
  </w:style>
  <w:style w:type="character" w:customStyle="1" w:styleId="sr-only">
    <w:name w:val="sr-only"/>
    <w:rsid w:val="008E091F"/>
  </w:style>
  <w:style w:type="character" w:styleId="UnresolvedMention">
    <w:name w:val="Unresolved Mention"/>
    <w:uiPriority w:val="99"/>
    <w:unhideWhenUsed/>
    <w:rsid w:val="00A56296"/>
    <w:rPr>
      <w:color w:val="605E5C"/>
      <w:shd w:val="clear" w:color="auto" w:fill="E1DFDD"/>
    </w:rPr>
  </w:style>
  <w:style w:type="character" w:customStyle="1" w:styleId="ParagraphChar">
    <w:name w:val="Paragraph Char"/>
    <w:link w:val="Paragraph"/>
    <w:locked/>
    <w:rsid w:val="00AA06A2"/>
    <w:rPr>
      <w:rFonts w:ascii="Garamond" w:hAnsi="Garamond"/>
    </w:rPr>
  </w:style>
  <w:style w:type="paragraph" w:customStyle="1" w:styleId="Paragraph">
    <w:name w:val="Paragraph"/>
    <w:basedOn w:val="Normal"/>
    <w:link w:val="ParagraphChar"/>
    <w:rsid w:val="00AA06A2"/>
    <w:pPr>
      <w:spacing w:after="120" w:line="260" w:lineRule="exact"/>
      <w:ind w:firstLine="180"/>
      <w:jc w:val="both"/>
    </w:pPr>
    <w:rPr>
      <w:rFonts w:ascii="Garamond" w:hAnsi="Garamond"/>
      <w:sz w:val="20"/>
      <w:szCs w:val="20"/>
    </w:rPr>
  </w:style>
  <w:style w:type="character" w:customStyle="1" w:styleId="citebib">
    <w:name w:val="cite_bib"/>
    <w:rsid w:val="00AA06A2"/>
    <w:rPr>
      <w:sz w:val="22"/>
      <w:bdr w:val="none" w:sz="0" w:space="0" w:color="auto" w:frame="1"/>
      <w:shd w:val="clear" w:color="auto" w:fill="97FFFF"/>
    </w:rPr>
  </w:style>
  <w:style w:type="character" w:customStyle="1" w:styleId="citefn">
    <w:name w:val="cite_fn"/>
    <w:rsid w:val="00AA06A2"/>
    <w:rPr>
      <w:sz w:val="22"/>
      <w:bdr w:val="none" w:sz="0" w:space="0" w:color="auto" w:frame="1"/>
      <w:shd w:val="clear" w:color="auto" w:fill="FF99CC"/>
    </w:rPr>
  </w:style>
  <w:style w:type="paragraph" w:styleId="Revision">
    <w:name w:val="Revision"/>
    <w:hidden/>
    <w:uiPriority w:val="99"/>
    <w:semiHidden/>
    <w:rsid w:val="005C5FC7"/>
    <w:rPr>
      <w:sz w:val="24"/>
      <w:szCs w:val="24"/>
    </w:rPr>
  </w:style>
  <w:style w:type="paragraph" w:customStyle="1" w:styleId="paragraph0">
    <w:name w:val="paragraph"/>
    <w:basedOn w:val="Normal"/>
    <w:rsid w:val="009C56F8"/>
    <w:pPr>
      <w:spacing w:before="100" w:beforeAutospacing="1" w:after="100" w:afterAutospacing="1"/>
    </w:pPr>
  </w:style>
  <w:style w:type="character" w:customStyle="1" w:styleId="normaltextrun">
    <w:name w:val="normaltextrun"/>
    <w:basedOn w:val="DefaultParagraphFont"/>
    <w:rsid w:val="009C56F8"/>
  </w:style>
  <w:style w:type="character" w:customStyle="1" w:styleId="eop">
    <w:name w:val="eop"/>
    <w:basedOn w:val="DefaultParagraphFont"/>
    <w:rsid w:val="009C56F8"/>
  </w:style>
  <w:style w:type="character" w:customStyle="1" w:styleId="contextualspellingandgrammarerror">
    <w:name w:val="contextualspellingandgrammarerror"/>
    <w:basedOn w:val="DefaultParagraphFont"/>
    <w:rsid w:val="009102E5"/>
  </w:style>
  <w:style w:type="character" w:styleId="Mention">
    <w:name w:val="Mention"/>
    <w:basedOn w:val="DefaultParagraphFont"/>
    <w:uiPriority w:val="99"/>
    <w:unhideWhenUsed/>
    <w:rsid w:val="006F17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aren.Cullen@fda.hhs.gov" TargetMode="External" /><Relationship Id="rId11" Type="http://schemas.openxmlformats.org/officeDocument/2006/relationships/hyperlink" Target="mailto:Eunice.Park-Lee@fda.hhs.gov" TargetMode="External" /><Relationship Id="rId12" Type="http://schemas.openxmlformats.org/officeDocument/2006/relationships/hyperlink" Target="mailto:Michael.Sawdey@fda.hhs.gov" TargetMode="External" /><Relationship Id="rId13" Type="http://schemas.openxmlformats.org/officeDocument/2006/relationships/hyperlink" Target="mailto:Kimberly.Snyder@fda.hhs.gov" TargetMode="External" /><Relationship Id="rId14" Type="http://schemas.openxmlformats.org/officeDocument/2006/relationships/hyperlink" Target="mailto:Maria.Cooper1@fda.hhs.gov" TargetMode="External" /><Relationship Id="rId15" Type="http://schemas.openxmlformats.org/officeDocument/2006/relationships/hyperlink" Target="mailto:Roberto.Valverde@fda.hhs.gov" TargetMode="External" /><Relationship Id="rId16" Type="http://schemas.openxmlformats.org/officeDocument/2006/relationships/hyperlink" Target="https://www.cdc.gov/tobacco/about-data/surveys/historical-nyts-data-and-documentation.html" TargetMode="External" /><Relationship Id="rId17" Type="http://schemas.openxmlformats.org/officeDocument/2006/relationships/hyperlink" Target="https://www.cdc.gov/winnablebattles/report/index.html" TargetMode="External" /><Relationship Id="rId18" Type="http://schemas.openxmlformats.org/officeDocument/2006/relationships/hyperlink" Target="https://www.cdc.gov/sixeighteen/index.html" TargetMode="External" /><Relationship Id="rId19" Type="http://schemas.openxmlformats.org/officeDocument/2006/relationships/hyperlink" Target="http://dx.doi.org/10.15585/mmwr.mm6806e1" TargetMode="External" /><Relationship Id="rId2" Type="http://schemas.openxmlformats.org/officeDocument/2006/relationships/webSettings" Target="webSettings.xml" /><Relationship Id="rId20" Type="http://schemas.openxmlformats.org/officeDocument/2006/relationships/hyperlink" Target="http://dx.doi.org/10.15585/mmwr.ss6812a1" TargetMode="External" /><Relationship Id="rId21" Type="http://schemas.openxmlformats.org/officeDocument/2006/relationships/hyperlink" Target="http://dx.doi.org/10.15585/mmwr.mm6937e1" TargetMode="External" /><Relationship Id="rId22" Type="http://schemas.openxmlformats.org/officeDocument/2006/relationships/hyperlink" Target="https://www.cdc.gov/budget/documents/fy2023/FY-2023-CDC-congressional-justification.pdf" TargetMode="External" /><Relationship Id="rId23" Type="http://schemas.openxmlformats.org/officeDocument/2006/relationships/hyperlink" Target="http://dx.doi.org/10.15585/mmwr.mm7145a1" TargetMode="External" /><Relationship Id="rId24" Type="http://schemas.openxmlformats.org/officeDocument/2006/relationships/hyperlink" Target="http://dx.doi.org/10.15585/mmwr.mm7244a1" TargetMode="External" /><Relationship Id="rId25" Type="http://schemas.openxmlformats.org/officeDocument/2006/relationships/hyperlink" Target="http://dx.doi.org/10.15585/mmwr.mm7341a2" TargetMode="External" /><Relationship Id="rId26" Type="http://schemas.openxmlformats.org/officeDocument/2006/relationships/hyperlink" Target="http://dx.doi.org/10.15585/mmwr.mm6745a5" TargetMode="External" /><Relationship Id="rId27" Type="http://schemas.openxmlformats.org/officeDocument/2006/relationships/hyperlink" Target="https://www.fda.gov/tobacco-products/ctp-newsroom/newly-signed-legislation-raises-federal-minimum-age-sale-tobacco-products-21" TargetMode="External" /><Relationship Id="rId28" Type="http://schemas.openxmlformats.org/officeDocument/2006/relationships/hyperlink" Target="https://www.fda.gov/tobacco-products/ctp-newsroom/fda-warns-online-retailers-selling-unauthorized-youth-appealing-e-cigarettes" TargetMode="External" /><Relationship Id="rId29" Type="http://schemas.openxmlformats.org/officeDocument/2006/relationships/hyperlink" Target="http://dx.doi.org/10.15585/mmwr.mm7335a3" TargetMode="External" /><Relationship Id="rId3" Type="http://schemas.openxmlformats.org/officeDocument/2006/relationships/fontTable" Target="fontTable.xml" /><Relationship Id="rId30" Type="http://schemas.openxmlformats.org/officeDocument/2006/relationships/hyperlink" Target="https://doi.org/10.1016/j.outlook.2017.09.001" TargetMode="External" /><Relationship Id="rId31" Type="http://schemas.openxmlformats.org/officeDocument/2006/relationships/hyperlink" Target="https://doi.org/10.5888/pcd17.190294" TargetMode="External" /><Relationship Id="rId32" Type="http://schemas.openxmlformats.org/officeDocument/2006/relationships/hyperlink" Target="https://e-cigarettes.surgeongeneral.gov/documents/surgeon-generals-advisory-on-e-cigarette-use-among-youth-2018.pdf" TargetMode="External" /><Relationship Id="rId33" Type="http://schemas.openxmlformats.org/officeDocument/2006/relationships/hyperlink" Target="https://secure-web.cisco.com/1cMhPKNksiYy-gA5MiHZ_0ocdKNkgcGYu7ofkmMsVkBK6GE9HPPr37oMP9cEIu2Z3pFav4gj0Lo3NnP6G8hA8aejpxvBtLJYayGaIIWQd_u0Eh_nDskGzvNVPVdBFUboqWNfWYloee9bny3uKGp7Mvv_WIZ9gd7RTlYu3JKCSe7HhTFovpExoj4h212uPj0Y5JQen3LW7dYHIL4eBB1hJnFVWwrnFRofJeKhI-pUPgnMIJssFvbikbJg1hzEdSg61yywRGzqyhTFXtK8ALiRibz2Y5lx-F1Ted_wyhfmty3G0SAtvOwGWg8U8HCaJqC9zbIZCWqyOwmbNfN-LofsBh3-sPWRG8JYdhCr3wfJE-dpEKJ0HiN83gGfbZUjFhoupzKtgqRy7Hf6JhsuTXpzRUyJwxKcGG-21si6QAPbSYySFlZI3eOYoWSyvIXJ9RH1fOFCKRfLe2lRJw5wsijwL4gvAP0y0Pl7zRIlImRkVzBC3xZXvHYsUfSWfWsAOuZj-2qdJb8ZZMG7GusOFehpBbw/https%3A%2F%2Fdoi.org%2F10.1177%2F1473325014556792" TargetMode="External" /><Relationship Id="rId34" Type="http://schemas.openxmlformats.org/officeDocument/2006/relationships/hyperlink" Target="http://www.bls.gov/oes/current/oes_nat.htm" TargetMode="Externa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footer" Target="footer1.xml" /><Relationship Id="rId38" Type="http://schemas.openxmlformats.org/officeDocument/2006/relationships/footer" Target="footer2.xml" /><Relationship Id="rId39" Type="http://schemas.openxmlformats.org/officeDocument/2006/relationships/header" Target="header3.xml" /><Relationship Id="rId4" Type="http://schemas.openxmlformats.org/officeDocument/2006/relationships/customXml" Target="../customXml/item1.xml" /><Relationship Id="rId40" Type="http://schemas.openxmlformats.org/officeDocument/2006/relationships/footer" Target="footer3.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dc.gov/tobacco/data_statistics/surveys/nyts/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67B20-18A9-4340-8B6F-720DDA0217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84DF52-A3E2-4DFC-977C-01EB52AD3F0E}">
  <ds:schemaRefs>
    <ds:schemaRef ds:uri="http://schemas.microsoft.com/office/2006/metadata/longProperties"/>
  </ds:schemaRefs>
</ds:datastoreItem>
</file>

<file path=customXml/itemProps3.xml><?xml version="1.0" encoding="utf-8"?>
<ds:datastoreItem xmlns:ds="http://schemas.openxmlformats.org/officeDocument/2006/customXml" ds:itemID="{585E53F3-EF13-479B-B907-9A9C36F9C87C}">
  <ds:schemaRefs>
    <ds:schemaRef ds:uri="http://schemas.openxmlformats.org/officeDocument/2006/bibliography"/>
  </ds:schemaRefs>
</ds:datastoreItem>
</file>

<file path=customXml/itemProps4.xml><?xml version="1.0" encoding="utf-8"?>
<ds:datastoreItem xmlns:ds="http://schemas.openxmlformats.org/officeDocument/2006/customXml" ds:itemID="{53D41E5E-0C5C-4918-814B-55F52CE39701}">
  <ds:schemaRefs>
    <ds:schemaRef ds:uri="http://schemas.microsoft.com/sharepoint/v3/contenttype/forms"/>
  </ds:schemaRefs>
</ds:datastoreItem>
</file>

<file path=customXml/itemProps5.xml><?xml version="1.0" encoding="utf-8"?>
<ds:datastoreItem xmlns:ds="http://schemas.openxmlformats.org/officeDocument/2006/customXml" ds:itemID="{AA0F1CF2-C69E-465F-8882-3CFEA1F00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6704</Words>
  <Characters>42131</Characters>
  <Application>Microsoft Office Word</Application>
  <DocSecurity>0</DocSecurity>
  <Lines>3009</Lines>
  <Paragraphs>827</Paragraphs>
  <ScaleCrop>false</ScaleCrop>
  <Company>CDC</Company>
  <LinksUpToDate>false</LinksUpToDate>
  <CharactersWithSpaces>48008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Part A</dc:title>
  <dc:creator>Katherine.H.Flint</dc:creator>
  <cp:lastModifiedBy>Sanford, Amber</cp:lastModifiedBy>
  <cp:revision>2</cp:revision>
  <cp:lastPrinted>2019-11-04T20:47:00Z</cp:lastPrinted>
  <dcterms:created xsi:type="dcterms:W3CDTF">2025-10-29T14:35:00Z</dcterms:created>
  <dcterms:modified xsi:type="dcterms:W3CDTF">2025-10-29T14:35:00Z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4065b7b4-05b2-42b0-b2d1-726bea861a4e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2024-01-12T14:12:57Z</vt:lpwstr>
  </property>
  <property fmtid="{D5CDD505-2E9C-101B-9397-08002B2CF9AE}" pid="9" name="MSIP_Label_7b94a7b8-f06c-4dfe-bdcc-9b548fd58c31_SiteId">
    <vt:lpwstr>9ce70869-60db-44fd-abe8-d2767077fc8f</vt:lpwstr>
  </property>
  <property fmtid="{D5CDD505-2E9C-101B-9397-08002B2CF9AE}" pid="10" name="_dlc_DocId">
    <vt:lpwstr>ECW2UC57Z33M-137871154-3</vt:lpwstr>
  </property>
  <property fmtid="{D5CDD505-2E9C-101B-9397-08002B2CF9AE}" pid="11" name="_dlc_DocIdItemGuid">
    <vt:lpwstr>d22c3821-21fc-4ecd-9dc9-b85cb674ad4f</vt:lpwstr>
  </property>
  <property fmtid="{D5CDD505-2E9C-101B-9397-08002B2CF9AE}" pid="12" name="_dlc_DocIdUrl">
    <vt:lpwstr>http://sharepoint.fda.gov/orgs/CTP-OS/PopHealthSci/epi/_layouts/DocIdRedir.aspx?ID=ECW2UC57Z33M-137871154-3, ECW2UC57Z33M-137871154-3</vt:lpwstr>
  </property>
</Properties>
</file>