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736F" w:rsidRPr="00D67B85" w:rsidP="00B8736F" w14:paraId="5D766353"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United States Food and Drug Administration </w:t>
      </w:r>
      <w:r w:rsidRPr="00D67B85">
        <w:rPr>
          <w:rStyle w:val="eop"/>
          <w:color w:val="000000" w:themeColor="text1"/>
        </w:rPr>
        <w:t> </w:t>
      </w:r>
    </w:p>
    <w:p w:rsidR="00B8736F" w:rsidRPr="00D67B85" w:rsidP="00B8736F" w14:paraId="21CD427E"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 </w:t>
      </w:r>
      <w:r w:rsidRPr="00D67B85">
        <w:rPr>
          <w:rStyle w:val="eop"/>
          <w:color w:val="000000" w:themeColor="text1"/>
        </w:rPr>
        <w:t> </w:t>
      </w:r>
    </w:p>
    <w:p w:rsidR="00B8736F" w:rsidRPr="00D67B85" w:rsidP="00B8736F" w14:paraId="5A7C9F5C"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Center for Tobacco Products </w:t>
      </w:r>
      <w:r w:rsidRPr="00D67B85">
        <w:rPr>
          <w:rStyle w:val="eop"/>
          <w:color w:val="000000" w:themeColor="text1"/>
        </w:rPr>
        <w:t> </w:t>
      </w:r>
    </w:p>
    <w:p w:rsidR="00B8736F" w:rsidRPr="00D67B85" w:rsidP="00B8736F" w14:paraId="79FA601D"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 </w:t>
      </w:r>
      <w:r w:rsidRPr="00D67B85">
        <w:rPr>
          <w:rStyle w:val="eop"/>
          <w:color w:val="000000" w:themeColor="text1"/>
        </w:rPr>
        <w:t> </w:t>
      </w:r>
    </w:p>
    <w:p w:rsidR="00B8736F" w:rsidRPr="00D67B85" w:rsidP="00B8736F" w14:paraId="1546349F"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NATIONAL YOUTH TOBACCO SURVEY, 2024 - 2026 </w:t>
      </w:r>
      <w:r w:rsidRPr="00D67B85">
        <w:rPr>
          <w:rStyle w:val="eop"/>
          <w:color w:val="000000" w:themeColor="text1"/>
        </w:rPr>
        <w:t> </w:t>
      </w:r>
    </w:p>
    <w:p w:rsidR="00B8736F" w:rsidRPr="00D67B85" w:rsidP="00B8736F" w14:paraId="415D6372"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 </w:t>
      </w:r>
      <w:r w:rsidRPr="00D67B85">
        <w:rPr>
          <w:rStyle w:val="eop"/>
          <w:color w:val="000000" w:themeColor="text1"/>
        </w:rPr>
        <w:t> </w:t>
      </w:r>
    </w:p>
    <w:p w:rsidR="00B8736F" w:rsidRPr="00D67B85" w:rsidP="00B8736F" w14:paraId="36BCE248"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OMB Control No. 0910-0932 </w:t>
      </w:r>
      <w:r w:rsidRPr="00D67B85">
        <w:rPr>
          <w:rStyle w:val="eop"/>
          <w:color w:val="000000" w:themeColor="text1"/>
        </w:rPr>
        <w:t> </w:t>
      </w:r>
    </w:p>
    <w:p w:rsidR="00B8736F" w:rsidRPr="00D67B85" w:rsidP="00B8736F" w14:paraId="0741C425" w14:textId="77777777">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 </w:t>
      </w:r>
      <w:r w:rsidRPr="00D67B85">
        <w:rPr>
          <w:rStyle w:val="eop"/>
          <w:color w:val="000000" w:themeColor="text1"/>
        </w:rPr>
        <w:t> </w:t>
      </w:r>
    </w:p>
    <w:p w:rsidR="00B8736F" w:rsidRPr="00D67B85" w:rsidP="00B8736F" w14:paraId="010E66B5" w14:textId="0CDBCF0C">
      <w:pPr>
        <w:pStyle w:val="paragraph"/>
        <w:spacing w:before="0" w:beforeAutospacing="0" w:after="0" w:afterAutospacing="0"/>
        <w:jc w:val="center"/>
        <w:textAlignment w:val="baseline"/>
        <w:rPr>
          <w:rFonts w:ascii="Segoe UI" w:hAnsi="Segoe UI" w:cs="Segoe UI"/>
          <w:color w:val="000000" w:themeColor="text1"/>
          <w:sz w:val="18"/>
          <w:szCs w:val="18"/>
        </w:rPr>
      </w:pPr>
      <w:r w:rsidRPr="00D67B85">
        <w:rPr>
          <w:rStyle w:val="normaltextrun"/>
          <w:color w:val="000000" w:themeColor="text1"/>
          <w:u w:val="single"/>
        </w:rPr>
        <w:t>SUPPORTING STATEMENT PART B</w:t>
      </w:r>
      <w:r w:rsidRPr="00D67B85">
        <w:rPr>
          <w:rStyle w:val="eop"/>
          <w:color w:val="000000" w:themeColor="text1"/>
        </w:rPr>
        <w:t> </w:t>
      </w:r>
    </w:p>
    <w:p w:rsidR="00D8666A" w:rsidRPr="00D8666A" w:rsidP="00D8666A" w14:paraId="733B26BD" w14:textId="77777777">
      <w:pPr>
        <w:keepNext/>
        <w:widowControl/>
        <w:tabs>
          <w:tab w:val="left" w:pos="1890"/>
        </w:tabs>
        <w:autoSpaceDE/>
        <w:autoSpaceDN/>
        <w:adjustRightInd/>
        <w:spacing w:line="232" w:lineRule="auto"/>
        <w:ind w:left="1080" w:hanging="1080"/>
        <w:jc w:val="center"/>
        <w:outlineLvl w:val="6"/>
      </w:pPr>
    </w:p>
    <w:p w:rsidR="00D8666A" w:rsidRPr="00D8666A" w:rsidP="00D8666A" w14:paraId="3F4A0896" w14:textId="77777777">
      <w:pPr>
        <w:keepNext/>
        <w:widowControl/>
        <w:tabs>
          <w:tab w:val="left" w:pos="1890"/>
        </w:tabs>
        <w:autoSpaceDE/>
        <w:autoSpaceDN/>
        <w:adjustRightInd/>
        <w:spacing w:line="232" w:lineRule="auto"/>
        <w:ind w:left="1080" w:hanging="1080"/>
        <w:jc w:val="center"/>
        <w:outlineLvl w:val="6"/>
      </w:pPr>
    </w:p>
    <w:p w:rsidR="00B919F4" w:rsidRPr="00ED54CE" w:rsidP="00DE3975" w14:paraId="2DA48331" w14:textId="799BD286">
      <w:pPr>
        <w:pStyle w:val="Level9"/>
        <w:widowControl/>
        <w:ind w:right="-270"/>
        <w:rPr>
          <w:szCs w:val="24"/>
        </w:rPr>
      </w:pPr>
      <w:r w:rsidRPr="00FC2010">
        <w:rPr>
          <w:rStyle w:val="normaltextrun"/>
          <w:color w:val="000000"/>
          <w:shd w:val="clear" w:color="auto" w:fill="FFFFFF"/>
        </w:rPr>
        <w:t>Part B</w:t>
      </w:r>
      <w:r w:rsidRPr="00B919F4">
        <w:rPr>
          <w:rStyle w:val="normaltextrun"/>
          <w:color w:val="000000"/>
          <w:shd w:val="clear" w:color="auto" w:fill="FFFFFF"/>
        </w:rPr>
        <w:t>:</w:t>
      </w:r>
      <w:r>
        <w:rPr>
          <w:rStyle w:val="tabchar"/>
          <w:rFonts w:ascii="Calibri" w:hAnsi="Calibri" w:cs="Calibri"/>
          <w:b w:val="0"/>
          <w:bCs/>
          <w:color w:val="000000"/>
          <w:shd w:val="clear" w:color="auto" w:fill="FFFFFF"/>
        </w:rPr>
        <w:t xml:space="preserve"> </w:t>
      </w:r>
      <w:r w:rsidRPr="00B919F4">
        <w:rPr>
          <w:rStyle w:val="normaltextrun"/>
          <w:b w:val="0"/>
          <w:bCs/>
          <w:color w:val="000000"/>
          <w:shd w:val="clear" w:color="auto" w:fill="FFFFFF"/>
        </w:rPr>
        <w:t>Statistical Methods</w:t>
      </w:r>
      <w:r>
        <w:rPr>
          <w:rStyle w:val="normaltextrun"/>
          <w:color w:val="000000"/>
          <w:shd w:val="clear" w:color="auto" w:fill="FFFFFF"/>
        </w:rPr>
        <w:t> </w:t>
      </w:r>
      <w:r>
        <w:rPr>
          <w:rStyle w:val="eop"/>
          <w:color w:val="000000"/>
          <w:shd w:val="clear" w:color="auto" w:fill="FFFFFF"/>
        </w:rPr>
        <w:t> </w:t>
      </w:r>
    </w:p>
    <w:p w:rsidR="000C5AF3" w:rsidRPr="00ED54CE" w:rsidP="00DE3975" w14:paraId="6D085E91" w14:textId="77777777">
      <w:pPr>
        <w:pStyle w:val="Level9"/>
        <w:widowControl/>
        <w:ind w:right="-270"/>
        <w:rPr>
          <w:szCs w:val="24"/>
        </w:rPr>
      </w:pPr>
    </w:p>
    <w:p w:rsidR="0002210B" w:rsidRPr="00ED54CE" w:rsidP="009E56BE" w14:paraId="7520CD18" w14:textId="6D498787">
      <w:pPr>
        <w:pStyle w:val="BodyText"/>
        <w:ind w:firstLine="0"/>
        <w:rPr>
          <w:color w:val="000000"/>
          <w:lang w:val="en-US"/>
        </w:rPr>
      </w:pPr>
      <w:bookmarkStart w:id="0" w:name="OLE_LINK1"/>
      <w:bookmarkStart w:id="1" w:name="OLE_LINK2"/>
      <w:r w:rsidRPr="00D41E4E">
        <w:rPr>
          <w:color w:val="000000"/>
          <w:lang w:val="en-US"/>
        </w:rPr>
        <w:t xml:space="preserve">Since 2021, the NYTS has been administered electronically using a pre-programmed web-based survey. </w:t>
      </w:r>
      <w:r w:rsidRPr="00D41E4E">
        <w:t xml:space="preserve">Participating students access the survey through a URL. </w:t>
      </w:r>
      <w:r w:rsidRPr="00D41E4E" w:rsidR="005F172C">
        <w:rPr>
          <w:color w:val="000000"/>
          <w:lang w:val="en-US"/>
        </w:rPr>
        <w:t>The questionnaire incorporates skip logic to tailor the questionnaire based</w:t>
      </w:r>
      <w:r w:rsidRPr="00ED54CE" w:rsidR="005F172C">
        <w:rPr>
          <w:color w:val="000000"/>
          <w:lang w:val="en-US"/>
        </w:rPr>
        <w:t xml:space="preserve"> on respondents’ tobacco product use behaviors. Thus, respondents are not asked to respond to questions that do not apply to them, reducing overall respondent burden. Non-branded product images are included in the electronic questionnaire to improve product recognition and recall. Overall, these changes improve validity of response and enhance data quality. </w:t>
      </w:r>
    </w:p>
    <w:p w:rsidR="00BC0914" w:rsidRPr="00ED54CE" w:rsidP="00BF2BF3" w14:paraId="651DB9BB" w14:textId="04822765">
      <w:pPr>
        <w:pStyle w:val="BodyText"/>
        <w:spacing w:after="0"/>
        <w:ind w:firstLine="0"/>
        <w:rPr>
          <w:color w:val="000000"/>
          <w:lang w:val="en-US"/>
        </w:rPr>
      </w:pPr>
    </w:p>
    <w:p w:rsidR="00E7009C" w:rsidRPr="00ED54CE" w:rsidP="0036110B" w14:paraId="06EFE759" w14:textId="2C619006">
      <w:pPr>
        <w:pStyle w:val="BodyText"/>
        <w:ind w:firstLine="0"/>
      </w:pPr>
      <w:r w:rsidRPr="00ED54CE">
        <w:rPr>
          <w:color w:val="000000"/>
          <w:lang w:val="en-US"/>
        </w:rPr>
        <w:t xml:space="preserve">There were no changes of mode of administration between 2021 and the 2024-2026 NYTS. </w:t>
      </w:r>
      <w:r w:rsidRPr="00ED54CE" w:rsidR="009C6094">
        <w:rPr>
          <w:color w:val="000000"/>
          <w:lang w:val="en-US"/>
        </w:rPr>
        <w:t xml:space="preserve">The </w:t>
      </w:r>
      <w:r w:rsidRPr="00ED54CE" w:rsidR="00B861D4">
        <w:rPr>
          <w:color w:val="000000"/>
          <w:lang w:val="en-US"/>
        </w:rPr>
        <w:t>202</w:t>
      </w:r>
      <w:r w:rsidRPr="00ED54CE">
        <w:rPr>
          <w:color w:val="000000"/>
          <w:lang w:val="en-US"/>
        </w:rPr>
        <w:t>6</w:t>
      </w:r>
      <w:r w:rsidRPr="00ED54CE" w:rsidR="00B861D4">
        <w:rPr>
          <w:color w:val="000000"/>
          <w:lang w:val="en-US"/>
        </w:rPr>
        <w:t xml:space="preserve"> NYTS will</w:t>
      </w:r>
      <w:r w:rsidRPr="00ED54CE" w:rsidR="00E16B22">
        <w:rPr>
          <w:color w:val="000000"/>
          <w:lang w:val="en-US"/>
        </w:rPr>
        <w:t xml:space="preserve"> use</w:t>
      </w:r>
      <w:r w:rsidRPr="00ED54CE" w:rsidR="007C74AA">
        <w:rPr>
          <w:color w:val="000000"/>
          <w:lang w:val="en-US"/>
        </w:rPr>
        <w:t xml:space="preserve"> </w:t>
      </w:r>
      <w:r w:rsidRPr="00ED54CE" w:rsidR="00B861D4">
        <w:rPr>
          <w:color w:val="000000"/>
          <w:lang w:val="en-US"/>
        </w:rPr>
        <w:t xml:space="preserve">the </w:t>
      </w:r>
      <w:r w:rsidRPr="0096055C" w:rsidR="00B861D4">
        <w:rPr>
          <w:color w:val="000000"/>
          <w:lang w:val="en-US"/>
        </w:rPr>
        <w:t>general sampling design framework used in the previous cycles</w:t>
      </w:r>
      <w:r w:rsidRPr="0096055C">
        <w:rPr>
          <w:color w:val="000000"/>
          <w:lang w:val="en-US"/>
        </w:rPr>
        <w:t>.</w:t>
      </w:r>
      <w:r w:rsidRPr="00ED54CE" w:rsidR="00B861D4">
        <w:rPr>
          <w:color w:val="000000"/>
          <w:lang w:val="en-US"/>
        </w:rPr>
        <w:t xml:space="preserve"> </w:t>
      </w:r>
      <w:r w:rsidRPr="00ED54CE" w:rsidR="00727DC0">
        <w:rPr>
          <w:color w:val="000000"/>
          <w:lang w:val="en-US"/>
        </w:rPr>
        <w:t>T</w:t>
      </w:r>
      <w:r w:rsidRPr="00ED54CE" w:rsidR="00263938">
        <w:t>his</w:t>
      </w:r>
      <w:r w:rsidRPr="00ED54CE" w:rsidR="00263938">
        <w:t xml:space="preserve"> </w:t>
      </w:r>
      <w:r w:rsidRPr="00ED54CE" w:rsidR="00727DC0">
        <w:rPr>
          <w:lang w:val="en-US"/>
        </w:rPr>
        <w:t>survey</w:t>
      </w:r>
      <w:r w:rsidRPr="00ED54CE" w:rsidR="00263938">
        <w:t xml:space="preserve"> will </w:t>
      </w:r>
      <w:r w:rsidRPr="00ED54CE" w:rsidR="00E16B22">
        <w:rPr>
          <w:lang w:val="en-US"/>
        </w:rPr>
        <w:t xml:space="preserve">be </w:t>
      </w:r>
      <w:r w:rsidRPr="00ED54CE" w:rsidR="00263938">
        <w:t xml:space="preserve">a repeat cross-sectional design to develop </w:t>
      </w:r>
      <w:r w:rsidR="00394C6A">
        <w:rPr>
          <w:lang w:val="en-US"/>
        </w:rPr>
        <w:t xml:space="preserve">annual </w:t>
      </w:r>
      <w:r w:rsidRPr="00ED54CE" w:rsidR="00263938">
        <w:t xml:space="preserve">national estimates of tobacco </w:t>
      </w:r>
      <w:r w:rsidRPr="00ED54CE" w:rsidR="004630F9">
        <w:rPr>
          <w:lang w:val="en-US"/>
        </w:rPr>
        <w:t xml:space="preserve">product </w:t>
      </w:r>
      <w:r w:rsidRPr="00ED54CE" w:rsidR="00263938">
        <w:t xml:space="preserve">use behaviors and </w:t>
      </w:r>
      <w:r w:rsidRPr="00ED54CE" w:rsidR="00E16B22">
        <w:rPr>
          <w:lang w:val="en-US"/>
        </w:rPr>
        <w:t xml:space="preserve">correlates </w:t>
      </w:r>
      <w:r w:rsidRPr="00ED54CE" w:rsidR="00263938">
        <w:t xml:space="preserve">among </w:t>
      </w:r>
      <w:r w:rsidRPr="00ED54CE" w:rsidR="00F733BF">
        <w:rPr>
          <w:lang w:val="en-US"/>
        </w:rPr>
        <w:t xml:space="preserve">U.S. </w:t>
      </w:r>
      <w:r w:rsidRPr="00ED54CE" w:rsidR="00263938">
        <w:t xml:space="preserve">students enrolled in grades 6-12. </w:t>
      </w:r>
    </w:p>
    <w:p w:rsidR="001B2F1A" w:rsidRPr="00E00EA0" w:rsidP="001B2F1A" w14:paraId="6D230E7B" w14:textId="77777777">
      <w:pPr>
        <w:widowControl/>
        <w:numPr>
          <w:ilvl w:val="0"/>
          <w:numId w:val="30"/>
        </w:numPr>
        <w:autoSpaceDE/>
        <w:autoSpaceDN/>
        <w:adjustRightInd/>
        <w:spacing w:before="100" w:beforeAutospacing="1" w:after="100" w:afterAutospacing="1"/>
        <w:rPr>
          <w:u w:val="single"/>
        </w:rPr>
      </w:pPr>
      <w:r w:rsidRPr="00E00EA0">
        <w:rPr>
          <w:u w:val="single"/>
        </w:rPr>
        <w:t>Respondent Universe and Sampling Methods</w:t>
      </w:r>
    </w:p>
    <w:bookmarkEnd w:id="0"/>
    <w:bookmarkEnd w:id="1"/>
    <w:p w:rsidR="00392111" w:rsidRPr="00ED54CE" w:rsidP="007E6CC4" w14:paraId="5545BFB7" w14:textId="77777777"/>
    <w:p w:rsidR="00EB7614" w:rsidRPr="00ED54CE" w:rsidP="00EB7614" w14:paraId="24445AD9" w14:textId="5A70E82F">
      <w:pPr>
        <w:pStyle w:val="BodyText"/>
        <w:ind w:firstLine="0"/>
      </w:pPr>
      <w:r w:rsidRPr="00ED54CE">
        <w:t xml:space="preserve">The universe for the study will consist of </w:t>
      </w:r>
      <w:r w:rsidRPr="00ED54CE">
        <w:rPr>
          <w:lang w:val="en-US"/>
        </w:rPr>
        <w:t>students in 6</w:t>
      </w:r>
      <w:r w:rsidRPr="00ED54CE">
        <w:rPr>
          <w:vertAlign w:val="superscript"/>
          <w:lang w:val="en-US"/>
        </w:rPr>
        <w:t>th</w:t>
      </w:r>
      <w:r w:rsidRPr="00ED54CE">
        <w:rPr>
          <w:lang w:val="en-US"/>
        </w:rPr>
        <w:t xml:space="preserve"> through 12</w:t>
      </w:r>
      <w:r w:rsidRPr="00ED54CE">
        <w:rPr>
          <w:vertAlign w:val="superscript"/>
          <w:lang w:val="en-US"/>
        </w:rPr>
        <w:t>th</w:t>
      </w:r>
      <w:r w:rsidRPr="00ED54CE">
        <w:rPr>
          <w:lang w:val="en-US"/>
        </w:rPr>
        <w:t xml:space="preserve"> grade that attend </w:t>
      </w:r>
      <w:r w:rsidRPr="00ED54CE">
        <w:t xml:space="preserve">public and </w:t>
      </w:r>
      <w:r w:rsidRPr="00ED54CE">
        <w:rPr>
          <w:lang w:val="en-US"/>
        </w:rPr>
        <w:t>private</w:t>
      </w:r>
      <w:r w:rsidRPr="00ED54CE">
        <w:t xml:space="preserve"> school</w:t>
      </w:r>
      <w:r w:rsidRPr="00ED54CE">
        <w:rPr>
          <w:lang w:val="en-US"/>
        </w:rPr>
        <w:t>s</w:t>
      </w:r>
      <w:r w:rsidRPr="00ED54CE">
        <w:t xml:space="preserve"> in the 50 </w:t>
      </w:r>
      <w:r w:rsidRPr="00ED54CE">
        <w:rPr>
          <w:lang w:val="en-US"/>
        </w:rPr>
        <w:t xml:space="preserve">U.S. </w:t>
      </w:r>
      <w:r w:rsidRPr="00ED54CE">
        <w:t xml:space="preserve">States and the District of Columbia. </w:t>
      </w:r>
      <w:r w:rsidRPr="00ED54CE">
        <w:rPr>
          <w:lang w:val="en-US"/>
        </w:rPr>
        <w:t xml:space="preserve">Private schools will include </w:t>
      </w:r>
      <w:r w:rsidRPr="0096055C">
        <w:rPr>
          <w:lang w:val="en-US"/>
        </w:rPr>
        <w:t>both religious and non-religious schools</w:t>
      </w:r>
      <w:r w:rsidRPr="00ED54CE">
        <w:t xml:space="preserve">. </w:t>
      </w:r>
    </w:p>
    <w:p w:rsidR="00EB7614" w:rsidRPr="00ED54CE" w:rsidP="00E7206A" w14:paraId="47C760CD" w14:textId="083278DF">
      <w:r w:rsidRPr="00ED54CE">
        <w:t xml:space="preserve">The sampling frame combines the Common Core of </w:t>
      </w:r>
      <w:r w:rsidRPr="00ED54CE" w:rsidR="00245E68">
        <w:t>Data</w:t>
      </w:r>
      <w:r w:rsidRPr="00ED54CE">
        <w:t xml:space="preserve"> </w:t>
      </w:r>
      <w:r w:rsidR="002F28DB">
        <w:t xml:space="preserve">and </w:t>
      </w:r>
      <w:r w:rsidR="00C4584E">
        <w:t xml:space="preserve">the Private School Survey (PSS) </w:t>
      </w:r>
      <w:r w:rsidRPr="00ED54CE">
        <w:t xml:space="preserve">from the </w:t>
      </w:r>
      <w:r w:rsidRPr="00ED54CE">
        <w:rPr>
          <w:sz w:val="23"/>
          <w:szCs w:val="23"/>
        </w:rPr>
        <w:t>National Center for Education Statistics</w:t>
      </w:r>
      <w:r w:rsidRPr="00ED54CE">
        <w:t xml:space="preserve"> (NCES) with school data from Market Data Retrieval Inc. The frame will be subset to schools that are “regular schools.” The following schools are not defined as “regular” schools, are considered ineligible, and will be removed from the sampling frame: special education schools, </w:t>
      </w:r>
      <w:r w:rsidRPr="00360FA9" w:rsidR="00294D91">
        <w:rPr>
          <w:szCs w:val="22"/>
        </w:rPr>
        <w:t xml:space="preserve">Department of Defense-operated schools, Bureau of Indian Affairs schools, adult education schools, </w:t>
      </w:r>
      <w:r w:rsidRPr="002A37FC" w:rsidR="00B463A3">
        <w:t>vocational</w:t>
      </w:r>
      <w:r w:rsidRPr="002A37FC" w:rsidR="00B463A3">
        <w:rPr>
          <w:spacing w:val="-11"/>
        </w:rPr>
        <w:t xml:space="preserve"> </w:t>
      </w:r>
      <w:r w:rsidRPr="002A37FC" w:rsidR="00B463A3">
        <w:t>schoo</w:t>
      </w:r>
      <w:r w:rsidRPr="002A37FC" w:rsidR="00B463A3">
        <w:rPr>
          <w:spacing w:val="-1"/>
        </w:rPr>
        <w:t>l</w:t>
      </w:r>
      <w:r w:rsidRPr="002A37FC" w:rsidR="00B463A3">
        <w:t>s</w:t>
      </w:r>
      <w:r w:rsidRPr="00ED54CE">
        <w:t xml:space="preserve">, and alternative schools. </w:t>
      </w:r>
    </w:p>
    <w:p w:rsidR="006479EF" w:rsidRPr="00E00EA0" w:rsidP="006479EF" w14:paraId="0A9DEA1D" w14:textId="77777777">
      <w:pPr>
        <w:widowControl/>
        <w:numPr>
          <w:ilvl w:val="0"/>
          <w:numId w:val="30"/>
        </w:numPr>
        <w:autoSpaceDE/>
        <w:autoSpaceDN/>
        <w:adjustRightInd/>
        <w:spacing w:before="100" w:beforeAutospacing="1" w:after="100" w:afterAutospacing="1"/>
        <w:rPr>
          <w:u w:val="single"/>
        </w:rPr>
      </w:pPr>
      <w:r w:rsidRPr="00E00EA0">
        <w:rPr>
          <w:u w:val="single"/>
        </w:rPr>
        <w:t>Procedures for the Collection of Information</w:t>
      </w:r>
    </w:p>
    <w:p w:rsidR="00EB7614" w:rsidRPr="00E7206A" w:rsidP="00E7206A" w14:paraId="7724A37F" w14:textId="11D283FD">
      <w:pPr>
        <w:pStyle w:val="paragraph"/>
      </w:pPr>
      <w:r w:rsidRPr="00E7206A">
        <w:rPr>
          <w:b/>
        </w:rPr>
        <w:t>Statistical Methodology for Stratification and Sample Selection</w:t>
      </w:r>
    </w:p>
    <w:p w:rsidR="00EB7614" w:rsidRPr="00ED54CE" w:rsidP="00EB7614" w14:paraId="53A13B38" w14:textId="77777777">
      <w:pPr>
        <w:rPr>
          <w:color w:val="000000"/>
        </w:rPr>
      </w:pPr>
    </w:p>
    <w:p w:rsidR="00EB7614" w:rsidRPr="00ED54CE" w:rsidP="00EB7614" w14:paraId="6B69A563" w14:textId="3DCFAED6">
      <w:pPr>
        <w:pStyle w:val="BodyText"/>
        <w:spacing w:after="0"/>
        <w:ind w:firstLine="0"/>
      </w:pPr>
      <w:r w:rsidRPr="00ED54CE">
        <w:t xml:space="preserve">A national probability sample will be selected </w:t>
      </w:r>
      <w:r w:rsidR="00CC43CF">
        <w:rPr>
          <w:lang w:val="en-US"/>
        </w:rPr>
        <w:t xml:space="preserve">for </w:t>
      </w:r>
      <w:r w:rsidRPr="002A37FC" w:rsidR="00811934">
        <w:t>es</w:t>
      </w:r>
      <w:r w:rsidRPr="002A37FC" w:rsidR="00811934">
        <w:rPr>
          <w:spacing w:val="-2"/>
        </w:rPr>
        <w:t>t</w:t>
      </w:r>
      <w:r w:rsidRPr="002A37FC" w:rsidR="00811934">
        <w:rPr>
          <w:spacing w:val="-1"/>
        </w:rPr>
        <w:t>i</w:t>
      </w:r>
      <w:r w:rsidRPr="002A37FC" w:rsidR="00811934">
        <w:t>mation</w:t>
      </w:r>
      <w:r w:rsidRPr="002A37FC" w:rsidR="00811934">
        <w:rPr>
          <w:spacing w:val="-19"/>
        </w:rPr>
        <w:t xml:space="preserve"> </w:t>
      </w:r>
      <w:r w:rsidRPr="002A37FC" w:rsidR="00811934">
        <w:t>of</w:t>
      </w:r>
      <w:r w:rsidRPr="002A37FC" w:rsidR="00811934">
        <w:rPr>
          <w:spacing w:val="-19"/>
        </w:rPr>
        <w:t xml:space="preserve"> </w:t>
      </w:r>
      <w:r w:rsidRPr="002A37FC" w:rsidR="00811934">
        <w:t>t</w:t>
      </w:r>
      <w:r w:rsidRPr="002A37FC" w:rsidR="00811934">
        <w:rPr>
          <w:spacing w:val="-1"/>
        </w:rPr>
        <w:t>o</w:t>
      </w:r>
      <w:r w:rsidRPr="002A37FC" w:rsidR="00811934">
        <w:t>bacc</w:t>
      </w:r>
      <w:r w:rsidRPr="002A37FC" w:rsidR="00811934">
        <w:rPr>
          <w:spacing w:val="4"/>
        </w:rPr>
        <w:t>o</w:t>
      </w:r>
      <w:r w:rsidRPr="002A37FC" w:rsidR="00811934">
        <w:t>-related</w:t>
      </w:r>
      <w:r w:rsidRPr="002A37FC" w:rsidR="00811934">
        <w:rPr>
          <w:spacing w:val="-19"/>
        </w:rPr>
        <w:t xml:space="preserve"> </w:t>
      </w:r>
      <w:r w:rsidRPr="002A37FC" w:rsidR="00811934">
        <w:t>knowledge,</w:t>
      </w:r>
      <w:r w:rsidRPr="002A37FC" w:rsidR="00811934">
        <w:rPr>
          <w:w w:val="99"/>
        </w:rPr>
        <w:t xml:space="preserve"> </w:t>
      </w:r>
      <w:r w:rsidRPr="002A37FC" w:rsidR="00811934">
        <w:t>attitudes,</w:t>
      </w:r>
      <w:r w:rsidRPr="002A37FC" w:rsidR="00811934">
        <w:rPr>
          <w:spacing w:val="-6"/>
        </w:rPr>
        <w:t xml:space="preserve"> </w:t>
      </w:r>
      <w:r w:rsidRPr="002A37FC" w:rsidR="00811934">
        <w:t>a</w:t>
      </w:r>
      <w:r w:rsidRPr="002A37FC" w:rsidR="00811934">
        <w:rPr>
          <w:spacing w:val="-2"/>
        </w:rPr>
        <w:t>n</w:t>
      </w:r>
      <w:r w:rsidRPr="002A37FC" w:rsidR="00811934">
        <w:t>d</w:t>
      </w:r>
      <w:r w:rsidRPr="002A37FC" w:rsidR="00811934">
        <w:rPr>
          <w:spacing w:val="-5"/>
        </w:rPr>
        <w:t xml:space="preserve"> </w:t>
      </w:r>
      <w:r w:rsidRPr="002A37FC" w:rsidR="00811934">
        <w:t>behaviors</w:t>
      </w:r>
      <w:r w:rsidRPr="002A37FC" w:rsidR="00811934">
        <w:rPr>
          <w:spacing w:val="-6"/>
        </w:rPr>
        <w:t xml:space="preserve"> </w:t>
      </w:r>
      <w:r w:rsidRPr="002A37FC" w:rsidR="00811934">
        <w:t>in</w:t>
      </w:r>
      <w:r w:rsidRPr="002A37FC" w:rsidR="00811934">
        <w:rPr>
          <w:spacing w:val="-5"/>
        </w:rPr>
        <w:t xml:space="preserve"> </w:t>
      </w:r>
      <w:r w:rsidRPr="002A37FC" w:rsidR="00811934">
        <w:t>a</w:t>
      </w:r>
      <w:r w:rsidRPr="002A37FC" w:rsidR="00811934">
        <w:rPr>
          <w:spacing w:val="-7"/>
        </w:rPr>
        <w:t xml:space="preserve"> </w:t>
      </w:r>
      <w:r w:rsidRPr="002A37FC" w:rsidR="00811934">
        <w:t>national</w:t>
      </w:r>
      <w:r w:rsidRPr="002A37FC" w:rsidR="00811934">
        <w:rPr>
          <w:spacing w:val="-6"/>
        </w:rPr>
        <w:t xml:space="preserve"> </w:t>
      </w:r>
      <w:r w:rsidRPr="002A37FC" w:rsidR="00811934">
        <w:t>population</w:t>
      </w:r>
      <w:r w:rsidRPr="002A37FC" w:rsidR="00811934">
        <w:rPr>
          <w:spacing w:val="-7"/>
        </w:rPr>
        <w:t xml:space="preserve"> </w:t>
      </w:r>
      <w:r w:rsidRPr="002A37FC" w:rsidR="00811934">
        <w:t>of</w:t>
      </w:r>
      <w:r w:rsidRPr="002A37FC" w:rsidR="00811934">
        <w:rPr>
          <w:spacing w:val="-6"/>
        </w:rPr>
        <w:t xml:space="preserve"> </w:t>
      </w:r>
      <w:r w:rsidRPr="002A37FC" w:rsidR="00811934">
        <w:t>public</w:t>
      </w:r>
      <w:r w:rsidRPr="002A37FC" w:rsidR="00811934">
        <w:rPr>
          <w:spacing w:val="-5"/>
        </w:rPr>
        <w:t xml:space="preserve"> </w:t>
      </w:r>
      <w:r w:rsidRPr="002A37FC" w:rsidR="00811934">
        <w:t>and</w:t>
      </w:r>
      <w:r w:rsidRPr="002A37FC" w:rsidR="00811934">
        <w:rPr>
          <w:spacing w:val="-7"/>
        </w:rPr>
        <w:t xml:space="preserve"> </w:t>
      </w:r>
      <w:r w:rsidRPr="002A37FC" w:rsidR="00811934">
        <w:t>private</w:t>
      </w:r>
      <w:r w:rsidRPr="002A37FC" w:rsidR="00811934">
        <w:rPr>
          <w:spacing w:val="-6"/>
        </w:rPr>
        <w:t xml:space="preserve"> </w:t>
      </w:r>
      <w:r w:rsidRPr="002A37FC" w:rsidR="00811934">
        <w:t>school</w:t>
      </w:r>
      <w:r w:rsidRPr="002A37FC" w:rsidR="00811934">
        <w:rPr>
          <w:spacing w:val="-6"/>
        </w:rPr>
        <w:t xml:space="preserve"> </w:t>
      </w:r>
      <w:r w:rsidRPr="002A37FC" w:rsidR="00811934">
        <w:t>students</w:t>
      </w:r>
      <w:r w:rsidRPr="002A37FC" w:rsidR="00811934">
        <w:rPr>
          <w:spacing w:val="-6"/>
        </w:rPr>
        <w:t xml:space="preserve"> </w:t>
      </w:r>
      <w:r w:rsidRPr="002A37FC" w:rsidR="00811934">
        <w:t>enrolled</w:t>
      </w:r>
      <w:r w:rsidRPr="002A37FC" w:rsidR="00811934">
        <w:rPr>
          <w:spacing w:val="-6"/>
        </w:rPr>
        <w:t xml:space="preserve"> </w:t>
      </w:r>
      <w:r w:rsidRPr="002A37FC" w:rsidR="00811934">
        <w:t>in</w:t>
      </w:r>
      <w:r w:rsidRPr="002A37FC" w:rsidR="00811934">
        <w:rPr>
          <w:w w:val="99"/>
        </w:rPr>
        <w:t xml:space="preserve"> </w:t>
      </w:r>
      <w:r w:rsidRPr="002A37FC" w:rsidR="00811934">
        <w:t>grades</w:t>
      </w:r>
      <w:r w:rsidRPr="002A37FC" w:rsidR="00811934">
        <w:rPr>
          <w:spacing w:val="10"/>
        </w:rPr>
        <w:t xml:space="preserve"> </w:t>
      </w:r>
      <w:r w:rsidRPr="002A37FC" w:rsidR="00811934">
        <w:t>6</w:t>
      </w:r>
      <w:r w:rsidRPr="002A37FC" w:rsidR="00811934">
        <w:rPr>
          <w:spacing w:val="8"/>
        </w:rPr>
        <w:t xml:space="preserve"> </w:t>
      </w:r>
      <w:r w:rsidRPr="002A37FC" w:rsidR="00811934">
        <w:t>through</w:t>
      </w:r>
      <w:r w:rsidRPr="002A37FC" w:rsidR="00811934">
        <w:rPr>
          <w:spacing w:val="9"/>
        </w:rPr>
        <w:t xml:space="preserve"> </w:t>
      </w:r>
      <w:r w:rsidRPr="002A37FC" w:rsidR="00811934">
        <w:t>12</w:t>
      </w:r>
      <w:r w:rsidRPr="002A37FC" w:rsidR="00811934">
        <w:rPr>
          <w:spacing w:val="9"/>
        </w:rPr>
        <w:t xml:space="preserve"> </w:t>
      </w:r>
      <w:r w:rsidRPr="002A37FC" w:rsidR="00811934">
        <w:t>in</w:t>
      </w:r>
      <w:r w:rsidRPr="002A37FC" w:rsidR="00811934">
        <w:rPr>
          <w:spacing w:val="9"/>
        </w:rPr>
        <w:t xml:space="preserve"> </w:t>
      </w:r>
      <w:r w:rsidRPr="002A37FC" w:rsidR="00811934">
        <w:t>the</w:t>
      </w:r>
      <w:r w:rsidRPr="002A37FC" w:rsidR="00811934">
        <w:rPr>
          <w:spacing w:val="9"/>
        </w:rPr>
        <w:t xml:space="preserve"> </w:t>
      </w:r>
      <w:r w:rsidRPr="002A37FC" w:rsidR="00811934">
        <w:t>United</w:t>
      </w:r>
      <w:r w:rsidRPr="002A37FC" w:rsidR="00811934">
        <w:rPr>
          <w:spacing w:val="11"/>
        </w:rPr>
        <w:t xml:space="preserve"> </w:t>
      </w:r>
      <w:r w:rsidRPr="002A37FC" w:rsidR="00811934">
        <w:t>States.</w:t>
      </w:r>
      <w:r w:rsidRPr="002A37FC" w:rsidR="00811934">
        <w:rPr>
          <w:spacing w:val="9"/>
        </w:rPr>
        <w:t xml:space="preserve"> </w:t>
      </w:r>
      <w:r w:rsidRPr="002A37FC" w:rsidR="00811934">
        <w:rPr>
          <w:spacing w:val="-1"/>
        </w:rPr>
        <w:t>M</w:t>
      </w:r>
      <w:r w:rsidRPr="002A37FC" w:rsidR="00811934">
        <w:t>o</w:t>
      </w:r>
      <w:r w:rsidRPr="002A37FC" w:rsidR="00811934">
        <w:rPr>
          <w:spacing w:val="1"/>
        </w:rPr>
        <w:t>r</w:t>
      </w:r>
      <w:r w:rsidRPr="002A37FC" w:rsidR="00811934">
        <w:t>e</w:t>
      </w:r>
      <w:r w:rsidRPr="002A37FC" w:rsidR="00811934">
        <w:rPr>
          <w:spacing w:val="9"/>
        </w:rPr>
        <w:t xml:space="preserve"> </w:t>
      </w:r>
      <w:r w:rsidRPr="002A37FC" w:rsidR="00811934">
        <w:t>specific</w:t>
      </w:r>
      <w:r w:rsidRPr="002A37FC" w:rsidR="00811934">
        <w:rPr>
          <w:spacing w:val="-1"/>
        </w:rPr>
        <w:t>a</w:t>
      </w:r>
      <w:r w:rsidRPr="002A37FC" w:rsidR="00811934">
        <w:t>ll</w:t>
      </w:r>
      <w:r w:rsidRPr="002A37FC" w:rsidR="00811934">
        <w:rPr>
          <w:spacing w:val="-2"/>
        </w:rPr>
        <w:t>y</w:t>
      </w:r>
      <w:r w:rsidRPr="002A37FC" w:rsidR="00811934">
        <w:t>,</w:t>
      </w:r>
      <w:r w:rsidRPr="002A37FC" w:rsidR="00811934">
        <w:rPr>
          <w:spacing w:val="9"/>
        </w:rPr>
        <w:t xml:space="preserve"> </w:t>
      </w:r>
      <w:r w:rsidRPr="002A37FC" w:rsidR="00811934">
        <w:t>the</w:t>
      </w:r>
      <w:r w:rsidRPr="002A37FC" w:rsidR="00811934">
        <w:rPr>
          <w:spacing w:val="9"/>
        </w:rPr>
        <w:t xml:space="preserve"> </w:t>
      </w:r>
      <w:r w:rsidRPr="002A37FC" w:rsidR="00811934">
        <w:t>study</w:t>
      </w:r>
      <w:r w:rsidRPr="002A37FC" w:rsidR="00811934">
        <w:rPr>
          <w:spacing w:val="9"/>
        </w:rPr>
        <w:t xml:space="preserve"> </w:t>
      </w:r>
      <w:r w:rsidRPr="002A37FC" w:rsidR="00811934">
        <w:t>is</w:t>
      </w:r>
      <w:r w:rsidRPr="002A37FC" w:rsidR="00811934">
        <w:rPr>
          <w:spacing w:val="9"/>
        </w:rPr>
        <w:t xml:space="preserve"> </w:t>
      </w:r>
      <w:r w:rsidRPr="002A37FC" w:rsidR="00811934">
        <w:t>designed</w:t>
      </w:r>
      <w:r w:rsidRPr="002A37FC" w:rsidR="00811934">
        <w:rPr>
          <w:spacing w:val="8"/>
        </w:rPr>
        <w:t xml:space="preserve"> </w:t>
      </w:r>
      <w:r w:rsidRPr="002A37FC" w:rsidR="00811934">
        <w:t>to</w:t>
      </w:r>
      <w:r w:rsidRPr="002A37FC" w:rsidR="00811934">
        <w:rPr>
          <w:spacing w:val="9"/>
        </w:rPr>
        <w:t xml:space="preserve"> </w:t>
      </w:r>
      <w:r w:rsidRPr="002A37FC" w:rsidR="00811934">
        <w:t>produ</w:t>
      </w:r>
      <w:r w:rsidRPr="002A37FC" w:rsidR="00811934">
        <w:rPr>
          <w:spacing w:val="2"/>
        </w:rPr>
        <w:t>c</w:t>
      </w:r>
      <w:r w:rsidRPr="002A37FC" w:rsidR="00811934">
        <w:t>e</w:t>
      </w:r>
      <w:r w:rsidR="00811934">
        <w:t xml:space="preserve"> precise</w:t>
      </w:r>
      <w:r w:rsidRPr="002A37FC" w:rsidR="00811934">
        <w:rPr>
          <w:w w:val="99"/>
        </w:rPr>
        <w:t xml:space="preserve"> </w:t>
      </w:r>
      <w:r w:rsidRPr="002A37FC" w:rsidR="00811934">
        <w:t>national</w:t>
      </w:r>
      <w:r w:rsidRPr="002A37FC" w:rsidR="00811934">
        <w:rPr>
          <w:spacing w:val="-1"/>
        </w:rPr>
        <w:t xml:space="preserve"> </w:t>
      </w:r>
      <w:r w:rsidRPr="002A37FC" w:rsidR="00811934">
        <w:t>est</w:t>
      </w:r>
      <w:r w:rsidRPr="002A37FC" w:rsidR="00811934">
        <w:rPr>
          <w:spacing w:val="-1"/>
        </w:rPr>
        <w:t>im</w:t>
      </w:r>
      <w:r w:rsidRPr="002A37FC" w:rsidR="00811934">
        <w:t>ates by</w:t>
      </w:r>
      <w:r w:rsidRPr="002A37FC" w:rsidR="00811934">
        <w:rPr>
          <w:spacing w:val="-1"/>
        </w:rPr>
        <w:t xml:space="preserve"> </w:t>
      </w:r>
      <w:r w:rsidRPr="002A37FC" w:rsidR="00811934">
        <w:rPr>
          <w:spacing w:val="1"/>
        </w:rPr>
        <w:t>s</w:t>
      </w:r>
      <w:r w:rsidRPr="002A37FC" w:rsidR="00811934">
        <w:t>chool le</w:t>
      </w:r>
      <w:r w:rsidRPr="002A37FC" w:rsidR="00811934">
        <w:rPr>
          <w:spacing w:val="-1"/>
        </w:rPr>
        <w:t>v</w:t>
      </w:r>
      <w:r w:rsidRPr="002A37FC" w:rsidR="00811934">
        <w:t>el (</w:t>
      </w:r>
      <w:r w:rsidRPr="002A37FC" w:rsidR="00811934">
        <w:rPr>
          <w:spacing w:val="-1"/>
        </w:rPr>
        <w:t>m</w:t>
      </w:r>
      <w:r w:rsidRPr="002A37FC" w:rsidR="00811934">
        <w:t>iddle and</w:t>
      </w:r>
      <w:r w:rsidRPr="002A37FC" w:rsidR="00811934">
        <w:rPr>
          <w:spacing w:val="-1"/>
        </w:rPr>
        <w:t xml:space="preserve"> </w:t>
      </w:r>
      <w:r w:rsidRPr="002A37FC" w:rsidR="00811934">
        <w:rPr>
          <w:spacing w:val="3"/>
        </w:rPr>
        <w:t>h</w:t>
      </w:r>
      <w:r w:rsidRPr="002A37FC" w:rsidR="00811934">
        <w:t>igh</w:t>
      </w:r>
      <w:r w:rsidRPr="002A37FC" w:rsidR="00811934">
        <w:rPr>
          <w:spacing w:val="-1"/>
        </w:rPr>
        <w:t xml:space="preserve"> </w:t>
      </w:r>
      <w:r w:rsidRPr="002A37FC" w:rsidR="00811934">
        <w:t>school</w:t>
      </w:r>
      <w:r w:rsidRPr="002A37FC" w:rsidR="00811934">
        <w:rPr>
          <w:spacing w:val="-1"/>
        </w:rPr>
        <w:t>)</w:t>
      </w:r>
      <w:r w:rsidRPr="002A37FC" w:rsidR="00811934">
        <w:t>,</w:t>
      </w:r>
      <w:r w:rsidRPr="002A37FC" w:rsidR="00811934">
        <w:rPr>
          <w:spacing w:val="-1"/>
        </w:rPr>
        <w:t xml:space="preserve"> </w:t>
      </w:r>
      <w:r w:rsidRPr="002A37FC" w:rsidR="00811934">
        <w:t>by</w:t>
      </w:r>
      <w:r w:rsidRPr="002A37FC" w:rsidR="00811934">
        <w:rPr>
          <w:spacing w:val="-1"/>
        </w:rPr>
        <w:t xml:space="preserve"> </w:t>
      </w:r>
      <w:r w:rsidRPr="002A37FC" w:rsidR="00811934">
        <w:t>grade</w:t>
      </w:r>
      <w:r w:rsidRPr="002A37FC" w:rsidR="00811934">
        <w:rPr>
          <w:w w:val="99"/>
        </w:rPr>
        <w:t xml:space="preserve"> </w:t>
      </w:r>
      <w:r w:rsidRPr="002A37FC" w:rsidR="00811934">
        <w:t>(6,</w:t>
      </w:r>
      <w:r w:rsidRPr="002A37FC" w:rsidR="00811934">
        <w:rPr>
          <w:spacing w:val="-6"/>
        </w:rPr>
        <w:t xml:space="preserve"> </w:t>
      </w:r>
      <w:r w:rsidRPr="002A37FC" w:rsidR="00811934">
        <w:t>7,</w:t>
      </w:r>
      <w:r w:rsidRPr="002A37FC" w:rsidR="00811934">
        <w:rPr>
          <w:spacing w:val="-6"/>
        </w:rPr>
        <w:t xml:space="preserve"> </w:t>
      </w:r>
      <w:r w:rsidRPr="002A37FC" w:rsidR="00811934">
        <w:t>8,</w:t>
      </w:r>
      <w:r w:rsidRPr="002A37FC" w:rsidR="00811934">
        <w:rPr>
          <w:spacing w:val="-6"/>
        </w:rPr>
        <w:t xml:space="preserve"> </w:t>
      </w:r>
      <w:r w:rsidRPr="002A37FC" w:rsidR="00811934">
        <w:t>9,</w:t>
      </w:r>
      <w:r w:rsidRPr="002A37FC" w:rsidR="00811934">
        <w:rPr>
          <w:spacing w:val="-7"/>
        </w:rPr>
        <w:t xml:space="preserve"> </w:t>
      </w:r>
      <w:r w:rsidRPr="002A37FC" w:rsidR="00811934">
        <w:t>10,</w:t>
      </w:r>
      <w:r w:rsidRPr="002A37FC" w:rsidR="00811934">
        <w:rPr>
          <w:spacing w:val="-5"/>
        </w:rPr>
        <w:t xml:space="preserve"> </w:t>
      </w:r>
      <w:r w:rsidRPr="002A37FC" w:rsidR="00811934">
        <w:t>11,</w:t>
      </w:r>
      <w:r w:rsidRPr="002A37FC" w:rsidR="00811934">
        <w:rPr>
          <w:spacing w:val="-6"/>
        </w:rPr>
        <w:t xml:space="preserve"> </w:t>
      </w:r>
      <w:r w:rsidRPr="002A37FC" w:rsidR="00811934">
        <w:t>and</w:t>
      </w:r>
      <w:r w:rsidRPr="002A37FC" w:rsidR="00811934">
        <w:rPr>
          <w:spacing w:val="-5"/>
        </w:rPr>
        <w:t xml:space="preserve"> </w:t>
      </w:r>
      <w:r w:rsidRPr="002A37FC" w:rsidR="00811934">
        <w:t>12),</w:t>
      </w:r>
      <w:r w:rsidRPr="002A37FC" w:rsidR="00811934">
        <w:rPr>
          <w:spacing w:val="-6"/>
        </w:rPr>
        <w:t xml:space="preserve"> </w:t>
      </w:r>
      <w:r w:rsidRPr="002A37FC" w:rsidR="00811934">
        <w:t>by</w:t>
      </w:r>
      <w:r w:rsidRPr="002A37FC" w:rsidR="00811934">
        <w:rPr>
          <w:spacing w:val="-6"/>
        </w:rPr>
        <w:t xml:space="preserve"> </w:t>
      </w:r>
      <w:r w:rsidRPr="002A37FC" w:rsidR="00811934">
        <w:t>sex</w:t>
      </w:r>
      <w:r w:rsidRPr="002A37FC" w:rsidR="00811934">
        <w:rPr>
          <w:spacing w:val="-7"/>
        </w:rPr>
        <w:t xml:space="preserve"> </w:t>
      </w:r>
      <w:r w:rsidRPr="002A37FC" w:rsidR="00811934">
        <w:rPr>
          <w:spacing w:val="1"/>
        </w:rPr>
        <w:t>(</w:t>
      </w:r>
      <w:r w:rsidRPr="002A37FC" w:rsidR="00811934">
        <w:t>male</w:t>
      </w:r>
      <w:r w:rsidRPr="002A37FC" w:rsidR="00811934">
        <w:rPr>
          <w:spacing w:val="-5"/>
        </w:rPr>
        <w:t xml:space="preserve"> </w:t>
      </w:r>
      <w:r w:rsidRPr="002A37FC" w:rsidR="00811934">
        <w:t>and</w:t>
      </w:r>
      <w:r w:rsidRPr="002A37FC" w:rsidR="00811934">
        <w:rPr>
          <w:spacing w:val="-6"/>
        </w:rPr>
        <w:t xml:space="preserve"> </w:t>
      </w:r>
      <w:r w:rsidRPr="002A37FC" w:rsidR="00811934">
        <w:t>female),</w:t>
      </w:r>
      <w:r w:rsidRPr="002A37FC" w:rsidR="00811934">
        <w:rPr>
          <w:spacing w:val="-5"/>
        </w:rPr>
        <w:t xml:space="preserve"> </w:t>
      </w:r>
      <w:r w:rsidRPr="002A37FC" w:rsidR="00811934">
        <w:t>and</w:t>
      </w:r>
      <w:r w:rsidRPr="002A37FC" w:rsidR="00811934">
        <w:rPr>
          <w:spacing w:val="-6"/>
        </w:rPr>
        <w:t xml:space="preserve"> </w:t>
      </w:r>
      <w:r w:rsidRPr="002A37FC" w:rsidR="00811934">
        <w:t>by</w:t>
      </w:r>
      <w:r w:rsidRPr="002A37FC" w:rsidR="00811934">
        <w:rPr>
          <w:spacing w:val="-6"/>
        </w:rPr>
        <w:t xml:space="preserve"> </w:t>
      </w:r>
      <w:r w:rsidRPr="002A37FC" w:rsidR="00811934">
        <w:t>rac</w:t>
      </w:r>
      <w:r w:rsidRPr="002A37FC" w:rsidR="00811934">
        <w:rPr>
          <w:spacing w:val="3"/>
        </w:rPr>
        <w:t>e</w:t>
      </w:r>
      <w:r w:rsidR="00394C6A">
        <w:rPr>
          <w:lang w:val="en-US"/>
        </w:rPr>
        <w:t xml:space="preserve"> and</w:t>
      </w:r>
      <w:r w:rsidR="00A358AB">
        <w:rPr>
          <w:lang w:val="en-US"/>
        </w:rPr>
        <w:t xml:space="preserve"> </w:t>
      </w:r>
      <w:r w:rsidRPr="002A37FC" w:rsidR="00811934">
        <w:t>ethnicity</w:t>
      </w:r>
      <w:r w:rsidRPr="002A37FC" w:rsidR="00811934">
        <w:rPr>
          <w:spacing w:val="-6"/>
        </w:rPr>
        <w:t xml:space="preserve"> </w:t>
      </w:r>
      <w:r w:rsidRPr="002A37FC" w:rsidR="00811934">
        <w:t>(non-Hispanic</w:t>
      </w:r>
      <w:r w:rsidRPr="002A37FC" w:rsidR="00811934">
        <w:rPr>
          <w:spacing w:val="-4"/>
        </w:rPr>
        <w:t xml:space="preserve"> </w:t>
      </w:r>
      <w:r w:rsidR="00811934">
        <w:t>w</w:t>
      </w:r>
      <w:r w:rsidRPr="002A37FC" w:rsidR="00811934">
        <w:t>hit</w:t>
      </w:r>
      <w:r w:rsidRPr="002A37FC" w:rsidR="00811934">
        <w:rPr>
          <w:spacing w:val="-1"/>
        </w:rPr>
        <w:t>e</w:t>
      </w:r>
      <w:r w:rsidRPr="002A37FC" w:rsidR="00811934">
        <w:t>,</w:t>
      </w:r>
      <w:r w:rsidRPr="002A37FC" w:rsidR="00811934">
        <w:rPr>
          <w:w w:val="99"/>
        </w:rPr>
        <w:t xml:space="preserve"> </w:t>
      </w:r>
      <w:r w:rsidRPr="002A37FC" w:rsidR="00811934">
        <w:t>non-Hispan</w:t>
      </w:r>
      <w:r w:rsidRPr="002A37FC" w:rsidR="00811934">
        <w:rPr>
          <w:spacing w:val="-1"/>
        </w:rPr>
        <w:t>i</w:t>
      </w:r>
      <w:r w:rsidRPr="002A37FC" w:rsidR="00811934">
        <w:t>c</w:t>
      </w:r>
      <w:r w:rsidRPr="002A37FC" w:rsidR="00811934">
        <w:rPr>
          <w:spacing w:val="-20"/>
        </w:rPr>
        <w:t xml:space="preserve"> </w:t>
      </w:r>
      <w:r w:rsidRPr="002A37FC" w:rsidR="00811934">
        <w:t>Blac</w:t>
      </w:r>
      <w:r w:rsidRPr="002A37FC" w:rsidR="00811934">
        <w:rPr>
          <w:spacing w:val="1"/>
        </w:rPr>
        <w:t>k</w:t>
      </w:r>
      <w:r w:rsidRPr="002A37FC" w:rsidR="00811934">
        <w:t>,</w:t>
      </w:r>
      <w:r w:rsidRPr="002A37FC" w:rsidR="00811934">
        <w:rPr>
          <w:spacing w:val="-22"/>
        </w:rPr>
        <w:t xml:space="preserve"> </w:t>
      </w:r>
      <w:r w:rsidRPr="002A37FC" w:rsidR="00811934">
        <w:t>Hispanic</w:t>
      </w:r>
      <w:r w:rsidR="00811934">
        <w:t xml:space="preserve">, </w:t>
      </w:r>
      <w:r w:rsidRPr="002A37FC" w:rsidR="00811934">
        <w:t>non-Hispan</w:t>
      </w:r>
      <w:r w:rsidRPr="002A37FC" w:rsidR="00811934">
        <w:rPr>
          <w:spacing w:val="-1"/>
        </w:rPr>
        <w:t>i</w:t>
      </w:r>
      <w:r w:rsidRPr="002A37FC" w:rsidR="00811934">
        <w:t>c</w:t>
      </w:r>
      <w:r w:rsidR="00811934">
        <w:t xml:space="preserve"> Asian, and </w:t>
      </w:r>
      <w:r w:rsidRPr="002A37FC" w:rsidR="00811934">
        <w:t>non-Hispan</w:t>
      </w:r>
      <w:r w:rsidRPr="002A37FC" w:rsidR="00811934">
        <w:rPr>
          <w:spacing w:val="-1"/>
        </w:rPr>
        <w:t>i</w:t>
      </w:r>
      <w:r w:rsidRPr="002A37FC" w:rsidR="00811934">
        <w:t>c</w:t>
      </w:r>
      <w:r w:rsidR="00811934">
        <w:t xml:space="preserve"> American Indian / Alaskan Native</w:t>
      </w:r>
      <w:r w:rsidRPr="002A37FC" w:rsidR="00811934">
        <w:t>).</w:t>
      </w:r>
      <w:r w:rsidRPr="002A37FC" w:rsidR="00811934">
        <w:rPr>
          <w:spacing w:val="-21"/>
        </w:rPr>
        <w:t xml:space="preserve"> </w:t>
      </w:r>
      <w:r w:rsidR="00811934">
        <w:rPr>
          <w:spacing w:val="-21"/>
        </w:rPr>
        <w:t xml:space="preserve"> </w:t>
      </w:r>
      <w:r w:rsidRPr="002A37FC" w:rsidR="00811934">
        <w:t>Additional</w:t>
      </w:r>
      <w:r w:rsidRPr="002A37FC" w:rsidR="00811934">
        <w:rPr>
          <w:spacing w:val="-20"/>
        </w:rPr>
        <w:t xml:space="preserve"> </w:t>
      </w:r>
      <w:r w:rsidRPr="002A37FC" w:rsidR="00811934">
        <w:t>es</w:t>
      </w:r>
      <w:r w:rsidRPr="002A37FC" w:rsidR="00811934">
        <w:rPr>
          <w:spacing w:val="-2"/>
        </w:rPr>
        <w:t>t</w:t>
      </w:r>
      <w:r w:rsidRPr="002A37FC" w:rsidR="00811934">
        <w:rPr>
          <w:spacing w:val="-1"/>
        </w:rPr>
        <w:t>i</w:t>
      </w:r>
      <w:r w:rsidRPr="002A37FC" w:rsidR="00811934">
        <w:t>mates</w:t>
      </w:r>
      <w:r w:rsidRPr="002A37FC" w:rsidR="00811934">
        <w:rPr>
          <w:spacing w:val="-21"/>
        </w:rPr>
        <w:t xml:space="preserve"> </w:t>
      </w:r>
      <w:r w:rsidRPr="002A37FC" w:rsidR="00811934">
        <w:t>also</w:t>
      </w:r>
      <w:r w:rsidRPr="002A37FC" w:rsidR="00811934">
        <w:rPr>
          <w:spacing w:val="-21"/>
        </w:rPr>
        <w:t xml:space="preserve"> </w:t>
      </w:r>
      <w:r w:rsidRPr="002A37FC" w:rsidR="00811934">
        <w:t>are</w:t>
      </w:r>
      <w:r w:rsidRPr="002A37FC" w:rsidR="00811934">
        <w:rPr>
          <w:spacing w:val="-21"/>
        </w:rPr>
        <w:t xml:space="preserve"> </w:t>
      </w:r>
      <w:r w:rsidRPr="002A37FC" w:rsidR="00811934">
        <w:t>supported</w:t>
      </w:r>
      <w:r w:rsidRPr="002A37FC" w:rsidR="00811934">
        <w:rPr>
          <w:spacing w:val="-21"/>
        </w:rPr>
        <w:t xml:space="preserve"> </w:t>
      </w:r>
      <w:r w:rsidRPr="002A37FC" w:rsidR="00811934">
        <w:t>for</w:t>
      </w:r>
      <w:r w:rsidRPr="002A37FC" w:rsidR="00811934">
        <w:rPr>
          <w:spacing w:val="-20"/>
        </w:rPr>
        <w:t xml:space="preserve"> </w:t>
      </w:r>
      <w:r w:rsidRPr="002A37FC" w:rsidR="00811934">
        <w:t>subgroups</w:t>
      </w:r>
      <w:r w:rsidRPr="002A37FC" w:rsidR="00811934">
        <w:rPr>
          <w:spacing w:val="-21"/>
        </w:rPr>
        <w:t xml:space="preserve"> </w:t>
      </w:r>
      <w:r w:rsidRPr="002A37FC" w:rsidR="00811934">
        <w:t>defined</w:t>
      </w:r>
      <w:r w:rsidRPr="002A37FC" w:rsidR="00811934">
        <w:rPr>
          <w:w w:val="99"/>
        </w:rPr>
        <w:t xml:space="preserve"> </w:t>
      </w:r>
      <w:r w:rsidRPr="002A37FC" w:rsidR="00811934">
        <w:t>by</w:t>
      </w:r>
      <w:r w:rsidRPr="002A37FC" w:rsidR="00811934">
        <w:rPr>
          <w:spacing w:val="17"/>
        </w:rPr>
        <w:t xml:space="preserve"> </w:t>
      </w:r>
      <w:r w:rsidRPr="002A37FC" w:rsidR="00811934">
        <w:t>grade,</w:t>
      </w:r>
      <w:r w:rsidRPr="002A37FC" w:rsidR="00811934">
        <w:rPr>
          <w:spacing w:val="19"/>
        </w:rPr>
        <w:t xml:space="preserve"> </w:t>
      </w:r>
      <w:r w:rsidRPr="002A37FC" w:rsidR="00811934">
        <w:t>sex,</w:t>
      </w:r>
      <w:r w:rsidRPr="002A37FC" w:rsidR="00811934">
        <w:rPr>
          <w:spacing w:val="18"/>
        </w:rPr>
        <w:t xml:space="preserve"> </w:t>
      </w:r>
      <w:r w:rsidRPr="002A37FC" w:rsidR="00811934">
        <w:t>and</w:t>
      </w:r>
      <w:r w:rsidRPr="002A37FC" w:rsidR="00811934">
        <w:rPr>
          <w:spacing w:val="19"/>
        </w:rPr>
        <w:t xml:space="preserve"> </w:t>
      </w:r>
      <w:r w:rsidRPr="002A37FC" w:rsidR="00811934">
        <w:t>rac</w:t>
      </w:r>
      <w:r w:rsidRPr="002A37FC" w:rsidR="00811934">
        <w:rPr>
          <w:spacing w:val="3"/>
        </w:rPr>
        <w:t>e</w:t>
      </w:r>
      <w:r w:rsidRPr="002A37FC" w:rsidR="00811934">
        <w:t>-ethnicity,</w:t>
      </w:r>
      <w:r w:rsidRPr="002A37FC" w:rsidR="00811934">
        <w:rPr>
          <w:spacing w:val="18"/>
        </w:rPr>
        <w:t xml:space="preserve"> </w:t>
      </w:r>
      <w:r w:rsidRPr="002A37FC" w:rsidR="00811934">
        <w:t>each</w:t>
      </w:r>
      <w:r w:rsidRPr="002A37FC" w:rsidR="00811934">
        <w:rPr>
          <w:spacing w:val="18"/>
        </w:rPr>
        <w:t xml:space="preserve"> </w:t>
      </w:r>
      <w:r w:rsidRPr="002A37FC" w:rsidR="00811934">
        <w:t>within</w:t>
      </w:r>
      <w:r w:rsidRPr="002A37FC" w:rsidR="00811934">
        <w:rPr>
          <w:spacing w:val="20"/>
        </w:rPr>
        <w:t xml:space="preserve"> </w:t>
      </w:r>
      <w:r w:rsidRPr="002A37FC" w:rsidR="00811934">
        <w:t>school-level</w:t>
      </w:r>
      <w:r w:rsidRPr="002A37FC" w:rsidR="00811934">
        <w:rPr>
          <w:spacing w:val="19"/>
        </w:rPr>
        <w:t xml:space="preserve"> </w:t>
      </w:r>
      <w:r w:rsidRPr="002A37FC" w:rsidR="00811934">
        <w:t>domains;</w:t>
      </w:r>
      <w:r w:rsidRPr="002A37FC" w:rsidR="00811934">
        <w:rPr>
          <w:spacing w:val="18"/>
        </w:rPr>
        <w:t xml:space="preserve"> </w:t>
      </w:r>
      <w:r w:rsidRPr="002A37FC" w:rsidR="00811934">
        <w:t>however,</w:t>
      </w:r>
      <w:r w:rsidRPr="002A37FC" w:rsidR="00811934">
        <w:rPr>
          <w:spacing w:val="18"/>
        </w:rPr>
        <w:t xml:space="preserve"> </w:t>
      </w:r>
      <w:r w:rsidRPr="002A37FC" w:rsidR="00811934">
        <w:t>precisi</w:t>
      </w:r>
      <w:r w:rsidRPr="002A37FC" w:rsidR="00811934">
        <w:rPr>
          <w:spacing w:val="-2"/>
        </w:rPr>
        <w:t>o</w:t>
      </w:r>
      <w:r w:rsidRPr="002A37FC" w:rsidR="00811934">
        <w:t>n</w:t>
      </w:r>
      <w:r w:rsidRPr="002A37FC" w:rsidR="00811934">
        <w:rPr>
          <w:w w:val="99"/>
        </w:rPr>
        <w:t xml:space="preserve"> </w:t>
      </w:r>
      <w:r w:rsidRPr="002A37FC" w:rsidR="00811934">
        <w:t>levels</w:t>
      </w:r>
      <w:r w:rsidRPr="002A37FC" w:rsidR="00811934">
        <w:rPr>
          <w:spacing w:val="8"/>
        </w:rPr>
        <w:t xml:space="preserve"> </w:t>
      </w:r>
      <w:r w:rsidRPr="002A37FC" w:rsidR="00811934">
        <w:t>vary</w:t>
      </w:r>
      <w:r w:rsidRPr="002A37FC" w:rsidR="00811934">
        <w:rPr>
          <w:spacing w:val="9"/>
        </w:rPr>
        <w:t xml:space="preserve"> </w:t>
      </w:r>
      <w:r w:rsidRPr="002A37FC" w:rsidR="00811934">
        <w:t>considerably</w:t>
      </w:r>
      <w:r w:rsidRPr="002A37FC" w:rsidR="00811934">
        <w:rPr>
          <w:spacing w:val="8"/>
        </w:rPr>
        <w:t xml:space="preserve"> </w:t>
      </w:r>
      <w:r w:rsidRPr="002A37FC" w:rsidR="00811934">
        <w:t>according</w:t>
      </w:r>
      <w:r w:rsidRPr="002A37FC" w:rsidR="00811934">
        <w:rPr>
          <w:spacing w:val="8"/>
        </w:rPr>
        <w:t xml:space="preserve"> </w:t>
      </w:r>
      <w:r w:rsidRPr="002A37FC" w:rsidR="00811934">
        <w:t>to</w:t>
      </w:r>
      <w:r w:rsidRPr="002A37FC" w:rsidR="00811934">
        <w:rPr>
          <w:spacing w:val="9"/>
        </w:rPr>
        <w:t xml:space="preserve"> </w:t>
      </w:r>
      <w:r w:rsidRPr="002A37FC" w:rsidR="00811934">
        <w:t>differenc</w:t>
      </w:r>
      <w:r w:rsidRPr="002A37FC" w:rsidR="00811934">
        <w:rPr>
          <w:spacing w:val="-1"/>
        </w:rPr>
        <w:t>e</w:t>
      </w:r>
      <w:r w:rsidRPr="002A37FC" w:rsidR="00811934">
        <w:t>s</w:t>
      </w:r>
      <w:r w:rsidRPr="002A37FC" w:rsidR="00811934">
        <w:rPr>
          <w:spacing w:val="9"/>
        </w:rPr>
        <w:t xml:space="preserve"> </w:t>
      </w:r>
      <w:r w:rsidRPr="002A37FC" w:rsidR="00811934">
        <w:t>in</w:t>
      </w:r>
      <w:r w:rsidRPr="002A37FC" w:rsidR="00811934">
        <w:rPr>
          <w:spacing w:val="8"/>
        </w:rPr>
        <w:t xml:space="preserve"> </w:t>
      </w:r>
      <w:r w:rsidRPr="002A37FC" w:rsidR="00811934">
        <w:t>subpo</w:t>
      </w:r>
      <w:r w:rsidRPr="002A37FC" w:rsidR="00811934">
        <w:rPr>
          <w:spacing w:val="-1"/>
        </w:rPr>
        <w:t>p</w:t>
      </w:r>
      <w:r w:rsidRPr="002A37FC" w:rsidR="00811934">
        <w:t>ulation</w:t>
      </w:r>
      <w:r w:rsidRPr="002A37FC" w:rsidR="00811934">
        <w:rPr>
          <w:spacing w:val="9"/>
        </w:rPr>
        <w:t xml:space="preserve"> </w:t>
      </w:r>
      <w:r w:rsidRPr="002A37FC" w:rsidR="00811934">
        <w:t>sizes</w:t>
      </w:r>
      <w:r w:rsidRPr="00ED54CE">
        <w:t>. Additional details of the sampling plan are provided in Attachment L.</w:t>
      </w:r>
    </w:p>
    <w:p w:rsidR="00F617BC" w14:paraId="641B112F" w14:textId="628A3474">
      <w:pPr>
        <w:widowControl/>
        <w:autoSpaceDE/>
        <w:autoSpaceDN/>
        <w:adjustRightInd/>
        <w:rPr>
          <w:u w:val="single"/>
        </w:rPr>
      </w:pPr>
    </w:p>
    <w:p w:rsidR="00EB7614" w:rsidRPr="00ED54CE" w:rsidP="00EB7614" w14:paraId="051F354D" w14:textId="70F23145">
      <w:r w:rsidRPr="00ED54CE">
        <w:rPr>
          <w:u w:val="single"/>
        </w:rPr>
        <w:t>Sampling Frame and Stratification.</w:t>
      </w:r>
      <w:r w:rsidRPr="0062550F">
        <w:t xml:space="preserve"> </w:t>
      </w:r>
      <w:r w:rsidRPr="00ED54CE">
        <w:t xml:space="preserve">For the 2026 NYTS survey, we will use a frame that combines two files from the NCES; the Common Core Dataset (CCD) which is a national file of public schools and the Private School Universe Survey Dataset (PSS), a file of national non-public schools, with school data from Market Data Retrieval Inc. The principle behind combining multiple data sources is to increase the coverage of schools nationally. </w:t>
      </w:r>
      <w:r w:rsidRPr="00ED54CE" w:rsidR="00AA7BD9">
        <w:t>T</w:t>
      </w:r>
      <w:r w:rsidRPr="00ED54CE">
        <w:t xml:space="preserve">he following schools will be considered ineligible and removed from the file: special education schools, </w:t>
      </w:r>
      <w:r w:rsidRPr="00360FA9" w:rsidR="00A73943">
        <w:rPr>
          <w:szCs w:val="22"/>
        </w:rPr>
        <w:t xml:space="preserve">Department of </w:t>
      </w:r>
      <w:r w:rsidR="00EC0ABE">
        <w:rPr>
          <w:szCs w:val="22"/>
        </w:rPr>
        <w:t>War</w:t>
      </w:r>
      <w:r w:rsidRPr="00360FA9" w:rsidR="00A73943">
        <w:rPr>
          <w:szCs w:val="22"/>
        </w:rPr>
        <w:t xml:space="preserve">-operated schools, Bureau of Indian Affairs schools, adult education schools, </w:t>
      </w:r>
      <w:r w:rsidRPr="002A37FC" w:rsidR="008F5101">
        <w:t>vocational</w:t>
      </w:r>
      <w:r w:rsidRPr="002A37FC" w:rsidR="008F5101">
        <w:rPr>
          <w:spacing w:val="-11"/>
        </w:rPr>
        <w:t xml:space="preserve"> </w:t>
      </w:r>
      <w:r w:rsidRPr="002A37FC" w:rsidR="008F5101">
        <w:t>schoo</w:t>
      </w:r>
      <w:r w:rsidRPr="002A37FC" w:rsidR="008F5101">
        <w:rPr>
          <w:spacing w:val="-1"/>
        </w:rPr>
        <w:t>l</w:t>
      </w:r>
      <w:r w:rsidRPr="002A37FC" w:rsidR="008F5101">
        <w:t>s</w:t>
      </w:r>
      <w:r w:rsidRPr="00ED54CE">
        <w:t xml:space="preserve">, and alternative schools. Schools with </w:t>
      </w:r>
      <w:r w:rsidR="008110DB">
        <w:t xml:space="preserve">an enrollment of </w:t>
      </w:r>
      <w:r w:rsidRPr="00ED54CE">
        <w:t>fewer than 40 students</w:t>
      </w:r>
      <w:r w:rsidR="008110DB">
        <w:t xml:space="preserve"> across the eligible grades</w:t>
      </w:r>
      <w:r w:rsidRPr="00ED54CE">
        <w:t xml:space="preserve"> will be removed from the frame. Less than 1% of students attend schools with fewer than 40 students. The target population is all “regular” public and private schools in the 50 U.S. states and the District of Columbia with </w:t>
      </w:r>
      <w:r w:rsidR="00F04DCB">
        <w:t xml:space="preserve">an enrollment of </w:t>
      </w:r>
      <w:r w:rsidRPr="00ED54CE">
        <w:t>40 or more students</w:t>
      </w:r>
      <w:r w:rsidR="00F04DCB">
        <w:t xml:space="preserve"> across the eligible grades</w:t>
      </w:r>
      <w:r w:rsidRPr="00ED54CE">
        <w:t xml:space="preserve">. </w:t>
      </w:r>
    </w:p>
    <w:p w:rsidR="00EB7614" w:rsidRPr="00ED54CE" w:rsidP="00EB7614" w14:paraId="194C802D" w14:textId="77777777">
      <w:pPr>
        <w:pStyle w:val="BodyText"/>
        <w:spacing w:after="0"/>
        <w:ind w:firstLine="0"/>
      </w:pPr>
    </w:p>
    <w:p w:rsidR="00EB7614" w:rsidRPr="00ED54CE" w:rsidP="00EB7614" w14:paraId="26DDF07A" w14:textId="3FF6476E">
      <w:pPr>
        <w:pStyle w:val="BodyText"/>
        <w:spacing w:after="0"/>
        <w:ind w:firstLine="0"/>
        <w:rPr>
          <w:lang w:val="en-US"/>
        </w:rPr>
      </w:pPr>
      <w:r w:rsidRPr="00ED54CE">
        <w:rPr>
          <w:lang w:val="en-US"/>
        </w:rPr>
        <w:t xml:space="preserve">The frame will be partitioned into 7 strata. Two strata consist of schools with high densities of </w:t>
      </w:r>
      <w:r w:rsidRPr="00ED54CE">
        <w:t>non-Hispanic American Indian /Alaskan Native (hereafter, AI/AN) students</w:t>
      </w:r>
      <w:r w:rsidRPr="00ED54CE">
        <w:rPr>
          <w:lang w:val="en-US"/>
        </w:rPr>
        <w:t xml:space="preserve">. Two strata consist of schools with high densities of </w:t>
      </w:r>
      <w:r w:rsidRPr="00ED54CE">
        <w:t xml:space="preserve">non-Hispanic </w:t>
      </w:r>
      <w:r w:rsidRPr="00ED54CE">
        <w:rPr>
          <w:lang w:val="en-US"/>
        </w:rPr>
        <w:t>Asian</w:t>
      </w:r>
      <w:r w:rsidRPr="00ED54CE">
        <w:t xml:space="preserve"> (hereafter, </w:t>
      </w:r>
      <w:r w:rsidRPr="00ED54CE">
        <w:rPr>
          <w:lang w:val="en-US"/>
        </w:rPr>
        <w:t>Asian</w:t>
      </w:r>
      <w:r w:rsidRPr="00ED54CE">
        <w:t>) students</w:t>
      </w:r>
      <w:r w:rsidRPr="00ED54CE">
        <w:rPr>
          <w:lang w:val="en-US"/>
        </w:rPr>
        <w:t xml:space="preserve">. The other 3 strata contain all other schools with only middle school students, only high school students, or </w:t>
      </w:r>
      <w:r w:rsidR="00394C6A">
        <w:rPr>
          <w:lang w:val="en-US"/>
        </w:rPr>
        <w:t>with</w:t>
      </w:r>
      <w:r w:rsidRPr="00ED54CE" w:rsidR="00394C6A">
        <w:rPr>
          <w:lang w:val="en-US"/>
        </w:rPr>
        <w:t xml:space="preserve"> </w:t>
      </w:r>
      <w:r w:rsidRPr="00ED54CE">
        <w:rPr>
          <w:lang w:val="en-US"/>
        </w:rPr>
        <w:t xml:space="preserve">both middle school and high school students. </w:t>
      </w:r>
      <w:r w:rsidRPr="00ED54CE" w:rsidR="00394C6A">
        <w:rPr>
          <w:lang w:val="en-US"/>
        </w:rPr>
        <w:t>Th</w:t>
      </w:r>
      <w:r w:rsidR="00394C6A">
        <w:rPr>
          <w:lang w:val="en-US"/>
        </w:rPr>
        <w:t xml:space="preserve">is </w:t>
      </w:r>
      <w:r w:rsidRPr="00ED54CE">
        <w:rPr>
          <w:lang w:val="en-US"/>
        </w:rPr>
        <w:t xml:space="preserve">stratification </w:t>
      </w:r>
      <w:r w:rsidR="00394C6A">
        <w:rPr>
          <w:lang w:val="en-US"/>
        </w:rPr>
        <w:t>scheme allows for</w:t>
      </w:r>
      <w:r w:rsidRPr="00ED54CE">
        <w:rPr>
          <w:lang w:val="en-US"/>
        </w:rPr>
        <w:t xml:space="preserve"> the number of respondents by school </w:t>
      </w:r>
      <w:r w:rsidR="00FB545F">
        <w:rPr>
          <w:lang w:val="en-US"/>
        </w:rPr>
        <w:t>level</w:t>
      </w:r>
      <w:r w:rsidR="00394C6A">
        <w:rPr>
          <w:lang w:val="en-US"/>
        </w:rPr>
        <w:t xml:space="preserve"> to be controlled</w:t>
      </w:r>
      <w:r w:rsidR="00FB545F">
        <w:rPr>
          <w:lang w:val="en-US"/>
        </w:rPr>
        <w:t xml:space="preserve"> </w:t>
      </w:r>
      <w:r w:rsidRPr="00ED54CE">
        <w:rPr>
          <w:lang w:val="en-US"/>
        </w:rPr>
        <w:t xml:space="preserve">and </w:t>
      </w:r>
      <w:r w:rsidR="00394C6A">
        <w:rPr>
          <w:lang w:val="en-US"/>
        </w:rPr>
        <w:t>for</w:t>
      </w:r>
      <w:r w:rsidRPr="00ED54CE" w:rsidR="00394C6A">
        <w:rPr>
          <w:lang w:val="en-US"/>
        </w:rPr>
        <w:t xml:space="preserve"> oversampl</w:t>
      </w:r>
      <w:r w:rsidR="00394C6A">
        <w:rPr>
          <w:lang w:val="en-US"/>
        </w:rPr>
        <w:t>ing of</w:t>
      </w:r>
      <w:r w:rsidRPr="00ED54CE" w:rsidR="00394C6A">
        <w:rPr>
          <w:lang w:val="en-US"/>
        </w:rPr>
        <w:t xml:space="preserve"> </w:t>
      </w:r>
      <w:r w:rsidRPr="00ED54CE">
        <w:rPr>
          <w:lang w:val="en-US"/>
        </w:rPr>
        <w:t xml:space="preserve">AI/AN and Asian students to achieve the goal of collecting data on a minimum of 1,000 responding AI/AN and Asian students. </w:t>
      </w:r>
    </w:p>
    <w:p w:rsidR="00EB7614" w:rsidRPr="00ED54CE" w:rsidP="00EB7614" w14:paraId="2B5F3FA7" w14:textId="77777777">
      <w:pPr>
        <w:pStyle w:val="BodyText"/>
        <w:spacing w:after="0"/>
        <w:ind w:firstLine="0"/>
        <w:rPr>
          <w:lang w:val="en-US"/>
        </w:rPr>
      </w:pPr>
    </w:p>
    <w:p w:rsidR="008A5F14" w:rsidRPr="0075108A" w:rsidP="0075108A" w14:paraId="16BFEAAF" w14:textId="7BE030C3">
      <w:pPr>
        <w:pStyle w:val="Source1"/>
        <w:keepLines w:val="0"/>
        <w:spacing w:before="0" w:after="0"/>
        <w:ind w:left="0" w:firstLine="0"/>
        <w:rPr>
          <w:rFonts w:ascii="Times New Roman" w:hAnsi="Times New Roman"/>
          <w:sz w:val="24"/>
          <w:szCs w:val="24"/>
        </w:rPr>
      </w:pPr>
      <w:r w:rsidRPr="008A5F14">
        <w:rPr>
          <w:rFonts w:ascii="Times New Roman" w:eastAsia="Times New Roman" w:hAnsi="Times New Roman"/>
          <w:sz w:val="24"/>
          <w:szCs w:val="24"/>
          <w:lang w:eastAsia="x-none"/>
        </w:rPr>
        <w:t xml:space="preserve">The sample will be structured into geographically defined units, called primary sampling units (PSUs). </w:t>
      </w:r>
      <w:r w:rsidRPr="008A5F14" w:rsidR="0075108A">
        <w:rPr>
          <w:rFonts w:ascii="Times New Roman" w:eastAsia="Times New Roman" w:hAnsi="Times New Roman"/>
          <w:sz w:val="24"/>
          <w:szCs w:val="24"/>
          <w:lang w:eastAsia="x-none"/>
        </w:rPr>
        <w:t xml:space="preserve">PSUs </w:t>
      </w:r>
      <w:r w:rsidR="007740B1">
        <w:rPr>
          <w:rFonts w:ascii="Times New Roman" w:eastAsia="Times New Roman" w:hAnsi="Times New Roman"/>
          <w:sz w:val="24"/>
          <w:szCs w:val="24"/>
          <w:lang w:eastAsia="x-none"/>
        </w:rPr>
        <w:t xml:space="preserve">are groups of schools within strata and </w:t>
      </w:r>
      <w:r w:rsidR="0075108A">
        <w:rPr>
          <w:rFonts w:ascii="Times New Roman" w:eastAsia="Times New Roman" w:hAnsi="Times New Roman"/>
          <w:sz w:val="24"/>
          <w:szCs w:val="24"/>
          <w:lang w:eastAsia="x-none"/>
        </w:rPr>
        <w:t xml:space="preserve">must have </w:t>
      </w:r>
      <w:r w:rsidRPr="008A5F14" w:rsidR="0075108A">
        <w:rPr>
          <w:rFonts w:ascii="Times New Roman" w:eastAsia="Times New Roman" w:hAnsi="Times New Roman"/>
          <w:sz w:val="24"/>
          <w:szCs w:val="24"/>
          <w:lang w:eastAsia="x-none"/>
        </w:rPr>
        <w:t xml:space="preserve">at least 10 schools. </w:t>
      </w:r>
      <w:r w:rsidRPr="008A5F14">
        <w:rPr>
          <w:rFonts w:ascii="Times New Roman" w:eastAsia="Times New Roman" w:hAnsi="Times New Roman"/>
          <w:sz w:val="24"/>
          <w:szCs w:val="24"/>
          <w:lang w:eastAsia="x-none"/>
        </w:rPr>
        <w:t xml:space="preserve">In high density AI/AN and Asian strata, PSUs are formed by sorting the schools by </w:t>
      </w:r>
      <w:r w:rsidRPr="008A5F14" w:rsidR="00872DE6">
        <w:rPr>
          <w:rFonts w:ascii="Times New Roman" w:eastAsia="Times New Roman" w:hAnsi="Times New Roman"/>
          <w:sz w:val="24"/>
          <w:szCs w:val="24"/>
          <w:lang w:eastAsia="x-none"/>
        </w:rPr>
        <w:t xml:space="preserve">state Federal Information Processing Standards (FIPS) and </w:t>
      </w:r>
      <w:r w:rsidRPr="008A5F14">
        <w:rPr>
          <w:rFonts w:ascii="Times New Roman" w:eastAsia="Times New Roman" w:hAnsi="Times New Roman"/>
          <w:sz w:val="24"/>
          <w:szCs w:val="24"/>
          <w:lang w:eastAsia="x-none"/>
        </w:rPr>
        <w:t xml:space="preserve">county FIPS code and partitioning the list of schools into groups with about 6,000 students per group. In the other strata, in counties with more than 100,000 students, the schools are sorted by </w:t>
      </w:r>
      <w:r w:rsidR="00394C6A">
        <w:rPr>
          <w:rFonts w:ascii="Times New Roman" w:eastAsia="Times New Roman" w:hAnsi="Times New Roman"/>
          <w:sz w:val="24"/>
          <w:szCs w:val="24"/>
          <w:lang w:eastAsia="x-none"/>
        </w:rPr>
        <w:t>ZIP C</w:t>
      </w:r>
      <w:r w:rsidRPr="008A5F14" w:rsidR="003A7012">
        <w:rPr>
          <w:rFonts w:ascii="Times New Roman" w:eastAsia="Times New Roman" w:hAnsi="Times New Roman"/>
          <w:sz w:val="24"/>
          <w:szCs w:val="24"/>
          <w:lang w:eastAsia="x-none"/>
        </w:rPr>
        <w:t>ode</w:t>
      </w:r>
      <w:r w:rsidRPr="008A5F14">
        <w:rPr>
          <w:rFonts w:ascii="Times New Roman" w:eastAsia="Times New Roman" w:hAnsi="Times New Roman"/>
          <w:sz w:val="24"/>
          <w:szCs w:val="24"/>
          <w:lang w:eastAsia="x-none"/>
        </w:rPr>
        <w:t xml:space="preserve"> and partitioned into multiple PSUs containing between 50,000 and 100,000 students each. </w:t>
      </w:r>
      <w:r w:rsidR="009E5489">
        <w:rPr>
          <w:rFonts w:ascii="Times New Roman" w:eastAsia="Times New Roman" w:hAnsi="Times New Roman"/>
          <w:sz w:val="24"/>
          <w:szCs w:val="24"/>
          <w:lang w:eastAsia="x-none"/>
        </w:rPr>
        <w:t>For c</w:t>
      </w:r>
      <w:r w:rsidRPr="0075108A">
        <w:rPr>
          <w:rFonts w:ascii="Times New Roman" w:eastAsia="Times New Roman" w:hAnsi="Times New Roman"/>
          <w:sz w:val="24"/>
          <w:szCs w:val="24"/>
          <w:lang w:eastAsia="x-none"/>
        </w:rPr>
        <w:t xml:space="preserve">ounties that have fewer than 2,500 eligible students, the schools are joined with the schools in other small counties within the same state to form PSU’s with at least 2,500 eligible students. </w:t>
      </w:r>
      <w:r w:rsidR="00394C6A">
        <w:rPr>
          <w:rFonts w:ascii="Times New Roman" w:eastAsia="Times New Roman" w:hAnsi="Times New Roman"/>
          <w:sz w:val="24"/>
          <w:szCs w:val="24"/>
          <w:lang w:eastAsia="x-none"/>
        </w:rPr>
        <w:t>In</w:t>
      </w:r>
      <w:r w:rsidRPr="0075108A">
        <w:rPr>
          <w:rFonts w:ascii="Times New Roman" w:hAnsi="Times New Roman"/>
          <w:sz w:val="24"/>
          <w:szCs w:val="24"/>
        </w:rPr>
        <w:t xml:space="preserve"> all other counties, the group of schools in the county form a unique </w:t>
      </w:r>
      <w:r w:rsidR="00961ACB">
        <w:rPr>
          <w:rFonts w:ascii="Times New Roman" w:hAnsi="Times New Roman"/>
          <w:sz w:val="24"/>
          <w:szCs w:val="24"/>
        </w:rPr>
        <w:t>PSU</w:t>
      </w:r>
      <w:r w:rsidR="00492E13">
        <w:rPr>
          <w:rFonts w:ascii="Times New Roman" w:hAnsi="Times New Roman"/>
          <w:sz w:val="24"/>
          <w:szCs w:val="24"/>
        </w:rPr>
        <w:t>.</w:t>
      </w:r>
    </w:p>
    <w:p w:rsidR="001E02A5" w:rsidRPr="0075108A" w:rsidP="0080176E" w14:paraId="4C7F0601" w14:textId="77777777">
      <w:pPr>
        <w:pStyle w:val="Source1"/>
        <w:keepLines w:val="0"/>
        <w:spacing w:before="0" w:after="0"/>
        <w:ind w:left="0" w:firstLine="0"/>
        <w:rPr>
          <w:rFonts w:ascii="Times New Roman" w:hAnsi="Times New Roman"/>
          <w:sz w:val="24"/>
          <w:szCs w:val="24"/>
        </w:rPr>
      </w:pPr>
    </w:p>
    <w:p w:rsidR="00EB7614" w:rsidRPr="00ED54CE" w:rsidP="00EB7614" w14:paraId="1C637C52" w14:textId="61C3FC4C">
      <w:pPr>
        <w:pStyle w:val="BodyText"/>
        <w:spacing w:after="0"/>
        <w:ind w:firstLine="0"/>
        <w:rPr>
          <w:lang w:val="en-US"/>
        </w:rPr>
      </w:pPr>
      <w:r w:rsidRPr="00ED54CE">
        <w:rPr>
          <w:lang w:val="en-US"/>
        </w:rPr>
        <w:t>We will impose a school size threshold as an additional criterion for eligibility. By removing schools with an aggregate enrollment of less than 40 students across eligible grades (grades 6</w:t>
      </w:r>
      <w:r w:rsidR="00394C6A">
        <w:rPr>
          <w:lang w:val="en-US"/>
        </w:rPr>
        <w:t>–</w:t>
      </w:r>
      <w:r w:rsidRPr="00ED54CE">
        <w:rPr>
          <w:lang w:val="en-US"/>
        </w:rPr>
        <w:t xml:space="preserve">12) from the frame, we will improve efficiency and safeguard privacy. </w:t>
      </w:r>
      <w:r w:rsidRPr="00ED54CE" w:rsidR="00245E68">
        <w:rPr>
          <w:lang w:val="en-US"/>
        </w:rPr>
        <w:t xml:space="preserve">The coverage losses </w:t>
      </w:r>
      <w:r w:rsidRPr="00ED54CE">
        <w:rPr>
          <w:lang w:val="en-US"/>
        </w:rPr>
        <w:t>are</w:t>
      </w:r>
      <w:r w:rsidRPr="00ED54CE" w:rsidR="00245E68">
        <w:rPr>
          <w:lang w:val="en-US"/>
        </w:rPr>
        <w:t xml:space="preserve"> </w:t>
      </w:r>
      <w:r w:rsidRPr="00ED54CE">
        <w:rPr>
          <w:lang w:val="en-US"/>
        </w:rPr>
        <w:t>less than 1% of eligible students.</w:t>
      </w:r>
    </w:p>
    <w:p w:rsidR="00EB7614" w:rsidRPr="00ED54CE" w:rsidP="00EB7614" w14:paraId="2FA522BE" w14:textId="77777777">
      <w:pPr>
        <w:pStyle w:val="BodyText"/>
        <w:spacing w:after="0"/>
        <w:ind w:firstLine="0"/>
        <w:rPr>
          <w:lang w:val="en-US"/>
        </w:rPr>
      </w:pPr>
    </w:p>
    <w:p w:rsidR="00EB7614" w:rsidRPr="00ED54CE" w:rsidP="00EB7614" w14:paraId="6D329B67" w14:textId="74F3BB42">
      <w:pPr>
        <w:pStyle w:val="BodyText"/>
        <w:spacing w:after="0"/>
        <w:ind w:firstLine="0"/>
        <w:rPr>
          <w:lang w:val="en-US"/>
        </w:rPr>
      </w:pPr>
      <w:r w:rsidRPr="00ED54CE">
        <w:rPr>
          <w:u w:val="single"/>
        </w:rPr>
        <w:t xml:space="preserve">Selection of PSUs. </w:t>
      </w:r>
      <w:r w:rsidRPr="00ED54CE">
        <w:t xml:space="preserve">A total of </w:t>
      </w:r>
      <w:r w:rsidR="008122AA">
        <w:t>182</w:t>
      </w:r>
      <w:r w:rsidRPr="00ED54CE">
        <w:t xml:space="preserve"> PSUs will be selected</w:t>
      </w:r>
      <w:r w:rsidRPr="00ED54CE">
        <w:rPr>
          <w:lang w:val="en-US"/>
        </w:rPr>
        <w:t xml:space="preserve"> using a systematic selection</w:t>
      </w:r>
      <w:r w:rsidRPr="00ED54CE">
        <w:t xml:space="preserve"> with probability proportional to the student enrollment in the PSU. </w:t>
      </w:r>
      <w:r w:rsidRPr="00ED54CE">
        <w:rPr>
          <w:lang w:val="en-US"/>
        </w:rPr>
        <w:t xml:space="preserve">Within strata, the PSUs are sorted by state FIPS code and county FIPS code, ensuring geographic diversity in the sample. </w:t>
      </w:r>
      <w:r w:rsidRPr="00130EE7" w:rsidR="00222FA3">
        <w:t xml:space="preserve">The sampling fractions, the probability of selection of each PSU within a stratum, </w:t>
      </w:r>
      <w:r w:rsidR="00222FA3">
        <w:t>w</w:t>
      </w:r>
      <w:r w:rsidR="00AC364D">
        <w:t>ill be</w:t>
      </w:r>
      <w:r w:rsidRPr="00130EE7" w:rsidR="00222FA3">
        <w:t xml:space="preserve"> adjusted to ensure the number of responding AI/AN and Asian students is a minimum of 1,000, and that approximately three-sevenths of the responding students are middle school students.</w:t>
      </w:r>
      <w:r w:rsidRPr="00ED54CE">
        <w:rPr>
          <w:lang w:val="en-US"/>
        </w:rPr>
        <w:t xml:space="preserve"> </w:t>
      </w:r>
    </w:p>
    <w:p w:rsidR="00EB7614" w:rsidRPr="00ED54CE" w:rsidP="00EB7614" w14:paraId="4980AA17" w14:textId="77777777">
      <w:pPr>
        <w:pStyle w:val="BodyText"/>
        <w:spacing w:after="0"/>
        <w:ind w:firstLine="0"/>
      </w:pPr>
    </w:p>
    <w:p w:rsidR="00F617BC" w:rsidP="00541822" w14:paraId="2DD1D8D9" w14:textId="77777777">
      <w:pPr>
        <w:pStyle w:val="BodyText1"/>
        <w:spacing w:line="240" w:lineRule="auto"/>
        <w:ind w:firstLine="0"/>
        <w:contextualSpacing/>
        <w:rPr>
          <w:szCs w:val="24"/>
          <w:u w:val="single"/>
        </w:rPr>
      </w:pPr>
    </w:p>
    <w:p w:rsidR="00EB7614" w:rsidRPr="00ED54CE" w:rsidP="00541822" w14:paraId="64EC248A" w14:textId="7D6F31AE">
      <w:pPr>
        <w:pStyle w:val="BodyText1"/>
        <w:spacing w:line="240" w:lineRule="auto"/>
        <w:ind w:firstLine="0"/>
        <w:contextualSpacing/>
      </w:pPr>
      <w:r w:rsidRPr="00ED54CE">
        <w:rPr>
          <w:szCs w:val="24"/>
          <w:u w:val="single"/>
        </w:rPr>
        <w:t>Selection of Schools (Secondary Sampling Units, SSUs).</w:t>
      </w:r>
      <w:r w:rsidRPr="0062550F">
        <w:rPr>
          <w:szCs w:val="24"/>
        </w:rPr>
        <w:t xml:space="preserve"> </w:t>
      </w:r>
      <w:r w:rsidRPr="00ED54CE">
        <w:t xml:space="preserve">Within each selected PSU, 3 schools are selected using systematic sampling with a random start and probabilities proportional to size (PPS). Probabilities of school selection are proportional to a measure of size (MOS) that is based on the student enrollment for each school. Except for </w:t>
      </w:r>
      <w:r w:rsidR="00BB2B3D">
        <w:t xml:space="preserve">very large schools and </w:t>
      </w:r>
      <w:r w:rsidRPr="00ED54CE">
        <w:t xml:space="preserve">very small schools, the MOS is exactly equal to the enrollment in the target grades. </w:t>
      </w:r>
    </w:p>
    <w:p w:rsidR="0056325B" w:rsidRPr="00ED54CE" w:rsidP="00541822" w14:paraId="48442416" w14:textId="77777777">
      <w:pPr>
        <w:pStyle w:val="BodyText1"/>
        <w:spacing w:line="240" w:lineRule="auto"/>
        <w:ind w:firstLine="0"/>
        <w:contextualSpacing/>
        <w:rPr>
          <w:u w:val="single"/>
        </w:rPr>
      </w:pPr>
    </w:p>
    <w:p w:rsidR="00EB7614" w:rsidRPr="00ED54CE" w:rsidP="00541822" w14:paraId="65A7B49A" w14:textId="5C1FBA8A">
      <w:pPr>
        <w:pStyle w:val="BodyText1"/>
        <w:spacing w:line="240" w:lineRule="auto"/>
        <w:ind w:firstLine="0"/>
        <w:contextualSpacing/>
        <w:rPr>
          <w:bCs/>
        </w:rPr>
      </w:pPr>
      <w:r w:rsidRPr="00ED54CE">
        <w:rPr>
          <w:u w:val="single"/>
        </w:rPr>
        <w:t>Selection of Classes (Tertiary Sampling Units, TSUs).</w:t>
      </w:r>
      <w:r w:rsidRPr="0062550F">
        <w:t xml:space="preserve"> </w:t>
      </w:r>
      <w:r w:rsidRPr="00ED54CE">
        <w:rPr>
          <w:bCs/>
        </w:rPr>
        <w:t xml:space="preserve">In the third stage classes are selected. To select classes, within each selected school, the probability of each student being selected is calculated. This probability is defined as the overall sampling rate divided by the product of the probability of the first and second stage of selection. Consequently, every sample member within a stratum has an equal probability of selection. Within each school, the class sampling interval is defined as the inverse of the stage 3 probability of selection. </w:t>
      </w:r>
    </w:p>
    <w:p w:rsidR="0056325B" w:rsidRPr="00ED54CE" w:rsidP="00EB7614" w14:paraId="1820DB5E" w14:textId="77777777">
      <w:pPr>
        <w:pStyle w:val="BodyTextIndent"/>
        <w:ind w:left="0"/>
        <w:contextualSpacing/>
      </w:pPr>
    </w:p>
    <w:p w:rsidR="00EB7614" w:rsidRPr="00ED54CE" w:rsidP="00EB7614" w14:paraId="6DC86D35" w14:textId="75FD1F89">
      <w:pPr>
        <w:pStyle w:val="BodyTextIndent"/>
        <w:ind w:left="0"/>
        <w:contextualSpacing/>
      </w:pPr>
      <w:r w:rsidRPr="00ED54CE">
        <w:t xml:space="preserve">Within each selected school, the class sampling interval is applied to a random start. For example, for a school with </w:t>
      </w:r>
      <w:r w:rsidR="00961ACB">
        <w:t xml:space="preserve">480 </w:t>
      </w:r>
      <w:r w:rsidRPr="00ED54CE">
        <w:t>students and a class sampling interval of 4, the random start is a random number between 1 and the sampling interval (4). For example, the random start is 3. The following classes are selected for the survey: 3, 7, 11, 15, … . (3 + 4 = 7, 7 + 4 = 11, etc</w:t>
      </w:r>
      <w:r w:rsidRPr="00ED54CE" w:rsidR="00245E68">
        <w:t>.)</w:t>
      </w:r>
      <w:r w:rsidRPr="00ED54CE">
        <w:t xml:space="preserve"> The school coordinator orders the classes in all grades. If there </w:t>
      </w:r>
      <w:r w:rsidR="00DE5694">
        <w:t>is</w:t>
      </w:r>
      <w:r w:rsidRPr="00ED54CE" w:rsidR="00DE5694">
        <w:t xml:space="preserve"> </w:t>
      </w:r>
      <w:r w:rsidRPr="00ED54CE">
        <w:t>a total of 8 classes, the 3</w:t>
      </w:r>
      <w:r w:rsidRPr="00ED54CE">
        <w:rPr>
          <w:vertAlign w:val="superscript"/>
        </w:rPr>
        <w:t>rd</w:t>
      </w:r>
      <w:r w:rsidRPr="00ED54CE">
        <w:t xml:space="preserve"> and 7</w:t>
      </w:r>
      <w:r w:rsidRPr="00ED54CE">
        <w:rPr>
          <w:vertAlign w:val="superscript"/>
        </w:rPr>
        <w:t>th</w:t>
      </w:r>
      <w:r w:rsidRPr="00ED54CE">
        <w:t xml:space="preserve"> classes are selected based on the ordering. It is expected that only a portion of the total list of classes will exist and be available. The number of classes in a school is unknown before contacting the school, so, the sampling team will pick a larger number of classes than will be used. </w:t>
      </w:r>
    </w:p>
    <w:p w:rsidR="0056325B" w:rsidRPr="00ED54CE" w:rsidP="00EB7614" w14:paraId="64B83C72" w14:textId="77777777">
      <w:pPr>
        <w:pStyle w:val="BodyText1"/>
        <w:spacing w:line="240" w:lineRule="auto"/>
        <w:ind w:firstLine="0"/>
        <w:contextualSpacing/>
        <w:rPr>
          <w:u w:val="single"/>
        </w:rPr>
      </w:pPr>
    </w:p>
    <w:p w:rsidR="00EB7614" w:rsidP="00EB7614" w14:paraId="3D126E5C" w14:textId="287BE51E">
      <w:pPr>
        <w:pStyle w:val="BodyText1"/>
        <w:spacing w:line="240" w:lineRule="auto"/>
        <w:ind w:firstLine="0"/>
        <w:contextualSpacing/>
      </w:pPr>
      <w:r w:rsidRPr="00ED54CE">
        <w:rPr>
          <w:u w:val="single"/>
        </w:rPr>
        <w:t xml:space="preserve">Selection of Students </w:t>
      </w:r>
      <w:r w:rsidR="00CC2B41">
        <w:rPr>
          <w:u w:val="single"/>
        </w:rPr>
        <w:t xml:space="preserve">within class </w:t>
      </w:r>
      <w:r w:rsidRPr="00ED54CE">
        <w:rPr>
          <w:u w:val="single"/>
        </w:rPr>
        <w:t>(</w:t>
      </w:r>
      <w:r w:rsidR="00CC2B41">
        <w:rPr>
          <w:u w:val="single"/>
        </w:rPr>
        <w:t>Not considered a sampling stage</w:t>
      </w:r>
      <w:r w:rsidRPr="00ED54CE">
        <w:rPr>
          <w:u w:val="single"/>
        </w:rPr>
        <w:t>).</w:t>
      </w:r>
      <w:r w:rsidRPr="00ED54CE">
        <w:t xml:space="preserve"> In each class, </w:t>
      </w:r>
      <w:r w:rsidR="00394C6A">
        <w:t>the entire</w:t>
      </w:r>
      <w:r w:rsidRPr="00ED54CE" w:rsidR="00394C6A">
        <w:t xml:space="preserve"> </w:t>
      </w:r>
      <w:r w:rsidRPr="00ED54CE">
        <w:t>census of students is selected.</w:t>
      </w:r>
    </w:p>
    <w:p w:rsidR="009E5489" w:rsidP="00EB7614" w14:paraId="39D5C3E4" w14:textId="72560320">
      <w:pPr>
        <w:pStyle w:val="BodyText1"/>
        <w:spacing w:line="240" w:lineRule="auto"/>
        <w:ind w:firstLine="0"/>
        <w:contextualSpacing/>
      </w:pPr>
    </w:p>
    <w:p w:rsidR="009E5489" w:rsidRPr="00ED54CE" w:rsidP="00EB7614" w14:paraId="68C2CC46" w14:textId="0C1B2D52">
      <w:pPr>
        <w:pStyle w:val="BodyText1"/>
        <w:spacing w:line="240" w:lineRule="auto"/>
        <w:ind w:firstLine="0"/>
        <w:contextualSpacing/>
      </w:pPr>
      <w:r w:rsidRPr="00F617BC">
        <w:rPr>
          <w:u w:val="single"/>
        </w:rPr>
        <w:t>Ineligible schools.</w:t>
      </w:r>
      <w:r>
        <w:t xml:space="preserve"> We expect approximately 4% of the selected </w:t>
      </w:r>
      <w:r w:rsidR="00245E68">
        <w:t>school</w:t>
      </w:r>
      <w:r>
        <w:t xml:space="preserve"> will be ineligible due to frame error. The ineligible schools will be replaced with the next school on the sample frame. </w:t>
      </w:r>
    </w:p>
    <w:p w:rsidR="00EB7614" w:rsidRPr="00ED54CE" w:rsidP="00EB7614" w14:paraId="07208CAD" w14:textId="77777777">
      <w:pPr>
        <w:pStyle w:val="ProposalBodyText"/>
        <w:spacing w:after="0"/>
      </w:pPr>
    </w:p>
    <w:p w:rsidR="00EB7614" w:rsidRPr="00ED54CE" w:rsidP="00EB7614" w14:paraId="06C186BE" w14:textId="77777777">
      <w:pPr>
        <w:pStyle w:val="BodyText"/>
        <w:spacing w:after="0"/>
        <w:ind w:firstLine="0"/>
      </w:pPr>
      <w:r w:rsidRPr="00ED54CE">
        <w:rPr>
          <w:u w:val="single"/>
        </w:rPr>
        <w:t>Refusals.</w:t>
      </w:r>
      <w:r w:rsidRPr="00ED54CE">
        <w:t xml:space="preserve"> School districts, schools, or students who refuse to participate in the study will not be replaced in the sample. We will record the characteristics of schools that refuse along with reasons given for their refusal for analysis of potential study biases.</w:t>
      </w:r>
    </w:p>
    <w:p w:rsidR="00EB7614" w:rsidRPr="00ED54CE" w:rsidP="00EB7614" w14:paraId="495ADBD9" w14:textId="77777777">
      <w:pPr>
        <w:pStyle w:val="BodyText"/>
        <w:spacing w:after="0"/>
        <w:ind w:firstLine="0"/>
      </w:pPr>
    </w:p>
    <w:p w:rsidR="00EB7614" w:rsidP="00EB7614" w14:paraId="128523C1" w14:textId="77777777"/>
    <w:p w:rsidR="00E460DB" w:rsidRPr="00E7206A" w:rsidP="00EB7614" w14:paraId="078A4F08" w14:textId="45C464DA">
      <w:pPr>
        <w:rPr>
          <w:b/>
          <w:bCs/>
        </w:rPr>
      </w:pPr>
      <w:r w:rsidRPr="00E7206A">
        <w:rPr>
          <w:b/>
          <w:bCs/>
        </w:rPr>
        <w:t>Estimation and Justification of Sample Size</w:t>
      </w:r>
    </w:p>
    <w:p w:rsidR="00E460DB" w:rsidRPr="00ED54CE" w:rsidP="00EB7614" w14:paraId="2337731B" w14:textId="77777777"/>
    <w:p w:rsidR="00EB7614" w:rsidP="00EB7614" w14:paraId="18B955D8" w14:textId="1DC3BA48">
      <w:pPr>
        <w:pStyle w:val="BodyText"/>
        <w:spacing w:after="0"/>
        <w:ind w:firstLine="0"/>
      </w:pPr>
      <w:r w:rsidRPr="00ED54CE">
        <w:t xml:space="preserve">The NYTS is designed to produce the key estimates </w:t>
      </w:r>
      <w:r w:rsidRPr="00ED54CE">
        <w:rPr>
          <w:lang w:val="en-US"/>
        </w:rPr>
        <w:t>with a relative standard error less than 30% and an margin of error for a 95% confidence interval of 5%</w:t>
      </w:r>
      <w:r w:rsidRPr="00ED54CE">
        <w:t xml:space="preserve">. Estimates by </w:t>
      </w:r>
      <w:r w:rsidR="00D2797C">
        <w:rPr>
          <w:lang w:val="en-US"/>
        </w:rPr>
        <w:t xml:space="preserve">school level, </w:t>
      </w:r>
      <w:r w:rsidRPr="00ED54CE">
        <w:t xml:space="preserve">grade, sex, and grade </w:t>
      </w:r>
      <w:r w:rsidRPr="00ED54CE">
        <w:rPr>
          <w:lang w:val="en-US"/>
        </w:rPr>
        <w:t xml:space="preserve">cross-tabulated </w:t>
      </w:r>
      <w:r w:rsidRPr="00ED54CE">
        <w:t>by sex</w:t>
      </w:r>
      <w:r w:rsidRPr="00ED54CE">
        <w:rPr>
          <w:lang w:val="en-US"/>
        </w:rPr>
        <w:t>,</w:t>
      </w:r>
      <w:r w:rsidRPr="00ED54CE">
        <w:t xml:space="preserve"> meet this standard</w:t>
      </w:r>
      <w:r w:rsidRPr="00ED54CE">
        <w:rPr>
          <w:lang w:val="en-US"/>
        </w:rPr>
        <w:t>, as do</w:t>
      </w:r>
      <w:r w:rsidRPr="00ED54CE">
        <w:t xml:space="preserve"> estimates for racial/ethnic groups by school level</w:t>
      </w:r>
      <w:r w:rsidRPr="00ED54CE">
        <w:rPr>
          <w:lang w:val="en-US"/>
        </w:rPr>
        <w:t xml:space="preserve"> (middle and high school)</w:t>
      </w:r>
      <w:r w:rsidRPr="00ED54CE">
        <w:t xml:space="preserve">. </w:t>
      </w:r>
    </w:p>
    <w:p w:rsidR="00D2797C" w:rsidRPr="00ED54CE" w:rsidP="00EB7614" w14:paraId="0C40F30F" w14:textId="77777777">
      <w:pPr>
        <w:pStyle w:val="BodyText"/>
        <w:spacing w:after="0"/>
        <w:ind w:firstLine="0"/>
      </w:pPr>
    </w:p>
    <w:p w:rsidR="00EB7614" w:rsidRPr="00ED54CE" w:rsidP="00EB7614" w14:paraId="532FE186" w14:textId="29E8C421">
      <w:pPr>
        <w:spacing w:before="9"/>
        <w:rPr>
          <w:iCs/>
        </w:rPr>
      </w:pPr>
      <w:r>
        <w:t xml:space="preserve">Historically, an initial sample size of 420 schools was sufficient for recruiting the targeted number of schools and students. However, overall response rates have decreased drastically since the COVID-19 pandemic. Consequently, additional schools need to be recruited for the 2026 NYTS to reach the goal of obtaining at least 250 participating schools. </w:t>
      </w:r>
      <w:r w:rsidRPr="00ED54CE" w:rsidR="00467D38">
        <w:t xml:space="preserve">We will sample </w:t>
      </w:r>
      <w:r w:rsidR="00235906">
        <w:t>546</w:t>
      </w:r>
      <w:r w:rsidRPr="00ED54CE" w:rsidR="00467D38">
        <w:t xml:space="preserve"> schools with the expectation of obtaining </w:t>
      </w:r>
      <w:r w:rsidR="00D05149">
        <w:t xml:space="preserve">up to </w:t>
      </w:r>
      <w:r w:rsidR="00207A6D">
        <w:t>28,704</w:t>
      </w:r>
      <w:r w:rsidRPr="0083321B" w:rsidR="00AF1991">
        <w:t xml:space="preserve"> </w:t>
      </w:r>
      <w:r w:rsidRPr="00ED54CE" w:rsidR="00467D38">
        <w:t xml:space="preserve">responding students </w:t>
      </w:r>
      <w:r w:rsidR="00D05149">
        <w:t xml:space="preserve">and up to </w:t>
      </w:r>
      <w:r w:rsidRPr="00ED54CE" w:rsidR="00467D38">
        <w:t>285 responding schools. We will have adequate precision to make estimates for domains with 1,000 students. All the high priority domains are projected to have at least 1,000 responding students.</w:t>
      </w:r>
      <w:r w:rsidRPr="00ED54CE" w:rsidR="00AA143C">
        <w:t xml:space="preserve"> The number of sampled students was increased from prior years </w:t>
      </w:r>
      <w:r w:rsidRPr="00ED54CE" w:rsidR="00AA143C">
        <w:t>in an effort to</w:t>
      </w:r>
      <w:r w:rsidRPr="00ED54CE" w:rsidR="00AA143C">
        <w:t xml:space="preserve"> allow for valid estimation among all five major racial and ethnic groups (non-Hispanic White, non-Hispanic Black, Hispanic, Asian, and American Indian or Alaska Native [AI/AN]).</w:t>
      </w:r>
    </w:p>
    <w:p w:rsidR="00EB7614" w:rsidRPr="00764FB6" w:rsidP="004672C4" w14:paraId="6EEBC285" w14:textId="77777777">
      <w:pPr>
        <w:pStyle w:val="BodyText1"/>
        <w:spacing w:line="276" w:lineRule="auto"/>
      </w:pPr>
    </w:p>
    <w:p w:rsidR="00EB7614" w:rsidRPr="00764FB6" w:rsidP="001A60A1" w14:paraId="65925749" w14:textId="1625E086">
      <w:pPr>
        <w:pStyle w:val="BodyText1"/>
        <w:spacing w:line="240" w:lineRule="auto"/>
        <w:ind w:firstLine="0"/>
      </w:pPr>
      <w:r w:rsidRPr="00764FB6">
        <w:rPr>
          <w:szCs w:val="24"/>
        </w:rPr>
        <w:t xml:space="preserve">To calculate the number of schools and students to sample that will produce enough responding schools and students to ensure adequate precision, we estimated the school and student response rate and the school eligibility rate. Through 15 iterations of the NYTS between 1999 and 2019, the overall response rate ranged from 63.4% to 84.8%. </w:t>
      </w:r>
      <w:r w:rsidRPr="00764FB6" w:rsidR="007F4803">
        <w:rPr>
          <w:szCs w:val="24"/>
        </w:rPr>
        <w:t xml:space="preserve">Whereas, during the </w:t>
      </w:r>
      <w:r w:rsidR="00394C6A">
        <w:rPr>
          <w:rFonts w:cstheme="minorHAnsi"/>
          <w:spacing w:val="1"/>
        </w:rPr>
        <w:t xml:space="preserve">COVID-19 </w:t>
      </w:r>
      <w:r w:rsidRPr="00764FB6" w:rsidR="007F4803">
        <w:rPr>
          <w:szCs w:val="24"/>
        </w:rPr>
        <w:t xml:space="preserve">pandemic years </w:t>
      </w:r>
      <w:r w:rsidR="00394C6A">
        <w:rPr>
          <w:szCs w:val="24"/>
        </w:rPr>
        <w:t>(</w:t>
      </w:r>
      <w:r w:rsidRPr="00764FB6" w:rsidR="007F4803">
        <w:rPr>
          <w:szCs w:val="24"/>
        </w:rPr>
        <w:t>2020</w:t>
      </w:r>
      <w:r w:rsidR="00394C6A">
        <w:rPr>
          <w:szCs w:val="24"/>
        </w:rPr>
        <w:t>–</w:t>
      </w:r>
      <w:r w:rsidR="00F7264D">
        <w:rPr>
          <w:szCs w:val="24"/>
        </w:rPr>
        <w:t>2024</w:t>
      </w:r>
      <w:r w:rsidR="00394C6A">
        <w:rPr>
          <w:szCs w:val="24"/>
        </w:rPr>
        <w:t>)</w:t>
      </w:r>
      <w:r w:rsidRPr="00764FB6" w:rsidR="007F4803">
        <w:rPr>
          <w:szCs w:val="24"/>
        </w:rPr>
        <w:t>, the overall response rate ranged from 30.5% to 45.2%.</w:t>
      </w:r>
      <w:r w:rsidR="00764FB6">
        <w:rPr>
          <w:szCs w:val="24"/>
        </w:rPr>
        <w:t xml:space="preserve"> </w:t>
      </w:r>
      <w:r w:rsidRPr="00764FB6">
        <w:t xml:space="preserve">Unfortunately, estimating future response rates is difficult due to the rapidly changing school environment. We believe that the school environment, as related to response rates, is improving. We assume a </w:t>
      </w:r>
      <w:r w:rsidR="00F7264D">
        <w:t>38</w:t>
      </w:r>
      <w:r w:rsidRPr="00764FB6">
        <w:t xml:space="preserve">% overall response rate for the </w:t>
      </w:r>
      <w:r w:rsidR="00F7264D">
        <w:t>2026</w:t>
      </w:r>
      <w:r w:rsidRPr="00764FB6">
        <w:t xml:space="preserve"> NYTS</w:t>
      </w:r>
      <w:r w:rsidR="00F7264D">
        <w:t>;</w:t>
      </w:r>
      <w:r w:rsidRPr="00F7264D" w:rsidR="00F7264D">
        <w:t xml:space="preserve"> </w:t>
      </w:r>
      <w:r w:rsidR="00F7264D">
        <w:t>this was the overall response rate observed in the 2024 NYTS, the latest iteration of the NYTS where the full data collection period was observed.</w:t>
      </w:r>
      <w:r>
        <w:rPr>
          <w:rStyle w:val="FootnoteReference"/>
        </w:rPr>
        <w:footnoteReference w:id="3"/>
      </w:r>
      <w:r w:rsidRPr="00764FB6">
        <w:t xml:space="preserve"> </w:t>
      </w:r>
      <w:r w:rsidR="00F7264D">
        <w:t>The estimated overall response rate accounts for the challenges in recruiting schools located in states that have proposed or enacted policies that require active parental consent for youth surveys and/or prohibit the use of what districts and schools have referred as “sensitive content” (e.g., items about mental health, sexual orientation, and other questions that may have legal implications, such as underage purchasing of tobacco products).</w:t>
      </w:r>
    </w:p>
    <w:p w:rsidR="00EB7614" w:rsidP="00B779DB" w14:paraId="2DED8B52" w14:textId="5EA7ED2A">
      <w:pPr>
        <w:spacing w:before="9"/>
        <w:rPr>
          <w:color w:val="000000"/>
        </w:rPr>
      </w:pPr>
      <w:r w:rsidRPr="00ED54CE">
        <w:t xml:space="preserve"> </w:t>
      </w:r>
      <w:r w:rsidRPr="00ED54CE">
        <w:rPr>
          <w:color w:val="000000"/>
        </w:rPr>
        <w:t>Attachment L</w:t>
      </w:r>
      <w:r w:rsidRPr="00ED54CE">
        <w:t xml:space="preserve"> contains details of the justification for the sample size and an analysis of precision of various domains</w:t>
      </w:r>
      <w:r w:rsidRPr="00ED54CE">
        <w:rPr>
          <w:color w:val="000000"/>
        </w:rPr>
        <w:t>.</w:t>
      </w:r>
    </w:p>
    <w:p w:rsidR="00690433" w:rsidRPr="00ED54CE" w:rsidP="00B779DB" w14:paraId="6B79A276" w14:textId="77777777">
      <w:pPr>
        <w:spacing w:before="9"/>
      </w:pPr>
    </w:p>
    <w:p w:rsidR="00EB7614" w:rsidRPr="00E7206A" w:rsidP="00EB7614" w14:paraId="34CF1F06" w14:textId="2A949AB2">
      <w:pPr>
        <w:rPr>
          <w:b/>
          <w:bCs/>
        </w:rPr>
      </w:pPr>
      <w:r w:rsidRPr="00E7206A">
        <w:rPr>
          <w:b/>
          <w:bCs/>
        </w:rPr>
        <w:t>Estimation and Statistical Testing Procedures</w:t>
      </w:r>
    </w:p>
    <w:p w:rsidR="00690433" w:rsidRPr="00ED54CE" w:rsidP="00EB7614" w14:paraId="24C37E4B" w14:textId="77777777"/>
    <w:p w:rsidR="00EB7614" w:rsidRPr="00ED54CE" w:rsidP="00EB7614" w14:paraId="08E5EC9E" w14:textId="1DE69C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 xml:space="preserve">Sampling weights will be calculated. The sample weights reflect the number of population members </w:t>
      </w:r>
      <w:r w:rsidRPr="00ED54CE" w:rsidR="00245E68">
        <w:t xml:space="preserve">each </w:t>
      </w:r>
      <w:r w:rsidRPr="00ED54CE">
        <w:t xml:space="preserve">respondent represents and are used in the analysis to link the respondents to the population. </w:t>
      </w:r>
      <w:r w:rsidR="00EF3EFD">
        <w:t>T</w:t>
      </w:r>
      <w:r w:rsidRPr="00DE6880" w:rsidR="00BF1704">
        <w:t>he</w:t>
      </w:r>
      <w:r w:rsidRPr="00DE6880" w:rsidR="00BF1704">
        <w:rPr>
          <w:rFonts w:eastAsia="Malgun Gothic"/>
        </w:rPr>
        <w:t xml:space="preserve"> </w:t>
      </w:r>
      <w:r w:rsidRPr="00DE6880" w:rsidR="00BF1704">
        <w:t>base weight of each school is the inverse of the probability of selecting each school</w:t>
      </w:r>
      <w:r w:rsidRPr="00ED54CE">
        <w:t>. A school-level nonresponse adjustment is applied, a class-level nonresponse adjustment is applied</w:t>
      </w:r>
      <w:r w:rsidR="00961ACB">
        <w:t>, then a student-level nonresponse adjustment is applied</w:t>
      </w:r>
      <w:r w:rsidRPr="00ED54CE">
        <w:t xml:space="preserve">. Finally, the nonresponse </w:t>
      </w:r>
      <w:r w:rsidRPr="00ED54CE">
        <w:t xml:space="preserve">adjusted weights are calibrated to population totals estimated from the sampling frame. The distributions used in the calibration for public schools are grade by sex, and grade by race/ethnicity; private schools are only calibrated to grade. </w:t>
      </w:r>
    </w:p>
    <w:p w:rsidR="00EB7614" w:rsidRPr="00ED54CE" w:rsidP="00EB7614" w14:paraId="0D07060D" w14:textId="5C98AF7A">
      <w:pPr>
        <w:pStyle w:val="BodyText"/>
        <w:spacing w:after="0"/>
        <w:ind w:firstLine="0"/>
      </w:pPr>
    </w:p>
    <w:p w:rsidR="00EE43A4" w:rsidRPr="00E7206A" w:rsidP="00E9708F" w14:paraId="73573DD5" w14:textId="77777777">
      <w:pPr>
        <w:widowControl/>
        <w:autoSpaceDE/>
        <w:autoSpaceDN/>
        <w:adjustRightInd/>
        <w:rPr>
          <w:b/>
        </w:rPr>
      </w:pPr>
      <w:r w:rsidRPr="00E7206A">
        <w:rPr>
          <w:b/>
        </w:rPr>
        <w:t>Survey Instrument</w:t>
      </w:r>
    </w:p>
    <w:p w:rsidR="00EE43A4" w:rsidRPr="00ED54CE" w:rsidP="00567B25" w14:paraId="74EC0B5D" w14:textId="77777777"/>
    <w:p w:rsidR="007E6CC4" w:rsidP="00BF2BF3" w14:paraId="1E7CD9B6" w14:textId="44A4F654">
      <w:pPr>
        <w:pStyle w:val="BodyText"/>
        <w:spacing w:after="0"/>
        <w:ind w:firstLine="0"/>
        <w:rPr>
          <w:rFonts w:eastAsia="Malgun Gothic"/>
          <w:lang w:val="en-US" w:eastAsia="ko-KR"/>
        </w:rPr>
      </w:pPr>
      <w:r w:rsidRPr="00ED54CE">
        <w:t xml:space="preserve">The </w:t>
      </w:r>
      <w:r w:rsidR="0025284A">
        <w:t>2026</w:t>
      </w:r>
      <w:r w:rsidRPr="00ED54CE" w:rsidR="00CA0870">
        <w:rPr>
          <w:lang w:val="en-US"/>
        </w:rPr>
        <w:t xml:space="preserve"> </w:t>
      </w:r>
      <w:r w:rsidRPr="00ED54CE">
        <w:t>NYTS questionnaire (</w:t>
      </w:r>
      <w:r w:rsidRPr="00ED54CE" w:rsidR="00077AD1">
        <w:t>Attachment</w:t>
      </w:r>
      <w:r w:rsidRPr="00ED54CE">
        <w:t xml:space="preserve"> </w:t>
      </w:r>
      <w:r w:rsidRPr="00ED54CE" w:rsidR="004472B8">
        <w:rPr>
          <w:lang w:val="en-US"/>
        </w:rPr>
        <w:t>H</w:t>
      </w:r>
      <w:r w:rsidRPr="00ED54CE" w:rsidR="004472B8">
        <w:t>1</w:t>
      </w:r>
      <w:r w:rsidRPr="00ED54CE">
        <w:t xml:space="preserve">) contains </w:t>
      </w:r>
      <w:r w:rsidR="00440083">
        <w:t>160</w:t>
      </w:r>
      <w:r w:rsidRPr="00ED54CE" w:rsidR="00CA0870">
        <w:t xml:space="preserve"> </w:t>
      </w:r>
      <w:r w:rsidRPr="00ED54CE">
        <w:t>items</w:t>
      </w:r>
      <w:r w:rsidRPr="00ED54CE" w:rsidR="00452635">
        <w:rPr>
          <w:lang w:val="en-US"/>
        </w:rPr>
        <w:t>.</w:t>
      </w:r>
      <w:r w:rsidRPr="00ED54CE">
        <w:t xml:space="preserve"> The first set of questions on the questionnaire gather demographic data. Most of the remaining questions address the following tobacco-related topics: tobacco use (</w:t>
      </w:r>
      <w:r w:rsidRPr="00ED54CE" w:rsidR="00C27380">
        <w:rPr>
          <w:lang w:val="en-US"/>
        </w:rPr>
        <w:t>e-</w:t>
      </w:r>
      <w:r w:rsidRPr="00ED54CE">
        <w:t xml:space="preserve">cigarettes, </w:t>
      </w:r>
      <w:r w:rsidRPr="00ED54CE" w:rsidR="00C27380">
        <w:rPr>
          <w:lang w:val="en-US"/>
        </w:rPr>
        <w:t xml:space="preserve">cigarettes, </w:t>
      </w:r>
      <w:r w:rsidRPr="00ED54CE">
        <w:t>smokeless tobacco</w:t>
      </w:r>
      <w:r w:rsidRPr="00ED54CE" w:rsidR="00C27380">
        <w:rPr>
          <w:lang w:val="en-US"/>
        </w:rPr>
        <w:t xml:space="preserve"> </w:t>
      </w:r>
      <w:r w:rsidR="001242F3">
        <w:rPr>
          <w:lang w:val="en-US"/>
        </w:rPr>
        <w:t>[</w:t>
      </w:r>
      <w:r w:rsidRPr="00ED54CE" w:rsidR="00C27380">
        <w:rPr>
          <w:lang w:val="en-US"/>
        </w:rPr>
        <w:t>chewing tobacco/snuff/dip</w:t>
      </w:r>
      <w:r w:rsidR="001242F3">
        <w:rPr>
          <w:lang w:val="en-US"/>
        </w:rPr>
        <w:t>]</w:t>
      </w:r>
      <w:r w:rsidRPr="00ED54CE">
        <w:t>, cigars</w:t>
      </w:r>
      <w:r w:rsidRPr="00ED54CE" w:rsidR="00C27380">
        <w:rPr>
          <w:lang w:val="en-US"/>
        </w:rPr>
        <w:t xml:space="preserve"> </w:t>
      </w:r>
      <w:r w:rsidR="001242F3">
        <w:rPr>
          <w:lang w:val="en-US"/>
        </w:rPr>
        <w:t>[</w:t>
      </w:r>
      <w:r w:rsidRPr="00ED54CE" w:rsidR="00C27380">
        <w:rPr>
          <w:lang w:val="en-US"/>
        </w:rPr>
        <w:t>cigars, little cigars, cigarillos</w:t>
      </w:r>
      <w:r w:rsidR="001242F3">
        <w:rPr>
          <w:lang w:val="en-US"/>
        </w:rPr>
        <w:t>]</w:t>
      </w:r>
      <w:r w:rsidRPr="00ED54CE">
        <w:t xml:space="preserve">, </w:t>
      </w:r>
      <w:r w:rsidRPr="00ED54CE" w:rsidR="00C27380">
        <w:rPr>
          <w:lang w:val="en-US"/>
        </w:rPr>
        <w:t xml:space="preserve">hookah, roll-your-own tobacco, </w:t>
      </w:r>
      <w:r w:rsidRPr="00ED54CE">
        <w:t xml:space="preserve">pipes, </w:t>
      </w:r>
      <w:r w:rsidRPr="00ED54CE" w:rsidR="00C27380">
        <w:rPr>
          <w:lang w:val="en-US"/>
        </w:rPr>
        <w:t xml:space="preserve">snus, </w:t>
      </w:r>
      <w:r w:rsidRPr="00ED54CE" w:rsidR="00CA0870">
        <w:rPr>
          <w:lang w:val="en-US"/>
        </w:rPr>
        <w:t xml:space="preserve">oral nicotine products, </w:t>
      </w:r>
      <w:r w:rsidRPr="00ED54CE">
        <w:t xml:space="preserve">bidis, </w:t>
      </w:r>
      <w:r w:rsidRPr="00ED54CE" w:rsidR="00C27380">
        <w:rPr>
          <w:lang w:val="en-US"/>
        </w:rPr>
        <w:t>heated tobacco products, and nicotine pouches</w:t>
      </w:r>
      <w:r w:rsidRPr="00ED54CE">
        <w:t>), knowledge and attitudes, media and advertising, minors’ access and enforcement, cessation, and environmental exposure to tobacco smoke</w:t>
      </w:r>
      <w:r w:rsidRPr="00ED54CE" w:rsidR="00F2200E">
        <w:rPr>
          <w:lang w:val="en-US"/>
        </w:rPr>
        <w:t xml:space="preserve"> from </w:t>
      </w:r>
      <w:r w:rsidRPr="00ED54CE" w:rsidR="007B0A8F">
        <w:rPr>
          <w:lang w:val="en-US"/>
        </w:rPr>
        <w:t>combustible tobacco products</w:t>
      </w:r>
      <w:r w:rsidRPr="00ED54CE" w:rsidR="002C3676">
        <w:rPr>
          <w:lang w:val="en-US"/>
        </w:rPr>
        <w:t>,</w:t>
      </w:r>
      <w:r w:rsidRPr="00ED54CE" w:rsidR="00F2200E">
        <w:rPr>
          <w:lang w:val="en-US"/>
        </w:rPr>
        <w:t xml:space="preserve"> secondhand </w:t>
      </w:r>
      <w:r w:rsidRPr="00ED54CE" w:rsidR="007B0A8F">
        <w:rPr>
          <w:lang w:val="en-US"/>
        </w:rPr>
        <w:t xml:space="preserve">aerosol </w:t>
      </w:r>
      <w:r w:rsidRPr="00ED54CE" w:rsidR="00F2200E">
        <w:rPr>
          <w:lang w:val="en-US"/>
        </w:rPr>
        <w:t xml:space="preserve">from </w:t>
      </w:r>
      <w:r w:rsidRPr="00ED54CE" w:rsidR="007B0A8F">
        <w:rPr>
          <w:lang w:val="en-US"/>
        </w:rPr>
        <w:t>e-cigarettes</w:t>
      </w:r>
      <w:r w:rsidRPr="00ED54CE" w:rsidR="002C3676">
        <w:rPr>
          <w:lang w:val="en-US"/>
        </w:rPr>
        <w:t>, discrimination and neighborhood environment</w:t>
      </w:r>
      <w:r w:rsidRPr="00ED54CE">
        <w:t>.</w:t>
      </w:r>
    </w:p>
    <w:p w:rsidR="00C27380" w:rsidRPr="00ED54CE" w:rsidP="00BF2BF3" w14:paraId="36B8D663" w14:textId="77777777">
      <w:pPr>
        <w:pStyle w:val="BodyText"/>
        <w:spacing w:after="0"/>
        <w:ind w:firstLine="0"/>
        <w:rPr>
          <w:lang w:val="en-US"/>
        </w:rPr>
      </w:pPr>
    </w:p>
    <w:p w:rsidR="00DE3975" w:rsidRPr="00ED54CE" w:rsidP="00DE3975" w14:paraId="6C056170" w14:textId="29C00E05">
      <w:pPr>
        <w:pStyle w:val="BodyText"/>
        <w:spacing w:after="0"/>
        <w:ind w:firstLine="0"/>
        <w:rPr>
          <w:b/>
        </w:rPr>
      </w:pPr>
      <w:r w:rsidRPr="00ED54CE">
        <w:rPr>
          <w:color w:val="000000"/>
          <w:lang w:val="en-US"/>
        </w:rPr>
        <w:t>The questionnaire incorporates skip logic to tailor the questionnaire based on respondents’ tobacco product use behaviors. Thus, respondents are not asked to respond to questions that do not apply to them, reducing overall respondent burden. Product images</w:t>
      </w:r>
      <w:r w:rsidRPr="00ED54CE" w:rsidR="00245E68">
        <w:rPr>
          <w:rFonts w:eastAsia="Malgun Gothic"/>
          <w:color w:val="000000"/>
          <w:lang w:val="en-US"/>
        </w:rPr>
        <w:t xml:space="preserve"> </w:t>
      </w:r>
      <w:r w:rsidRPr="00ED54CE">
        <w:rPr>
          <w:color w:val="000000"/>
          <w:lang w:val="en-US"/>
        </w:rPr>
        <w:t xml:space="preserve">also are included in the electronic questionnaire to improve product recognition and recall. </w:t>
      </w:r>
      <w:r w:rsidRPr="00ED54CE">
        <w:rPr>
          <w:lang w:val="en-US"/>
        </w:rPr>
        <w:t>Given the efficiencies gained by transitioning to an electronic administration, previous “check all that apply” type questions related to flavored tobacco use and access to tobacco products are no</w:t>
      </w:r>
      <w:r w:rsidR="00DA5233">
        <w:rPr>
          <w:lang w:val="en-US"/>
        </w:rPr>
        <w:t>w</w:t>
      </w:r>
      <w:r w:rsidRPr="00ED54CE">
        <w:rPr>
          <w:lang w:val="en-US"/>
        </w:rPr>
        <w:t xml:space="preserve"> asked separately for each specified tobacco product. This will allow for differentiation in patterns of use for individual products. </w:t>
      </w:r>
    </w:p>
    <w:p w:rsidR="00F617BC" w14:paraId="419FFAE3" w14:textId="5B22E07B">
      <w:pPr>
        <w:widowControl/>
        <w:autoSpaceDE/>
        <w:autoSpaceDN/>
        <w:adjustRightInd/>
        <w:rPr>
          <w:b/>
          <w:bCs/>
          <w:sz w:val="26"/>
          <w:szCs w:val="26"/>
          <w:u w:val="single"/>
          <w:lang w:val="x-none" w:eastAsia="x-none"/>
        </w:rPr>
      </w:pPr>
    </w:p>
    <w:p w:rsidR="00EE43A4" w:rsidRPr="00E7206A" w:rsidP="00DE3975" w14:paraId="38AE7F0A" w14:textId="6678C164">
      <w:pPr>
        <w:pStyle w:val="Heading3"/>
        <w:spacing w:before="0"/>
        <w:rPr>
          <w:rFonts w:ascii="Times New Roman" w:hAnsi="Times New Roman"/>
          <w:sz w:val="24"/>
          <w:szCs w:val="24"/>
        </w:rPr>
      </w:pPr>
      <w:r w:rsidRPr="00E7206A">
        <w:rPr>
          <w:rFonts w:ascii="Times New Roman" w:hAnsi="Times New Roman"/>
          <w:sz w:val="24"/>
          <w:szCs w:val="24"/>
        </w:rPr>
        <w:t>Data Collection Procedures</w:t>
      </w:r>
    </w:p>
    <w:p w:rsidR="00EE43A4" w:rsidRPr="00ED54CE" w:rsidP="00EE43A4" w14:paraId="194C6FE3" w14:textId="77777777"/>
    <w:p w:rsidR="0039517D" w:rsidRPr="00ED54CE" w:rsidP="0036110B" w14:paraId="246D155C" w14:textId="444B7FFF">
      <w:r w:rsidRPr="00ED54CE">
        <w:t>RTI</w:t>
      </w:r>
      <w:r w:rsidRPr="00ED54CE" w:rsidR="00B966A8">
        <w:t xml:space="preserve"> International serves as the data collection contractor for NYTS (see Section B.</w:t>
      </w:r>
      <w:r w:rsidRPr="00ED54CE" w:rsidR="00A759FC">
        <w:t>5</w:t>
      </w:r>
      <w:r w:rsidRPr="00ED54CE" w:rsidR="00B966A8">
        <w:t xml:space="preserve">). </w:t>
      </w:r>
      <w:r w:rsidRPr="00ED54CE" w:rsidR="002C3676">
        <w:rPr>
          <w:lang w:eastAsia="x-none"/>
        </w:rPr>
        <w:t xml:space="preserve">The </w:t>
      </w:r>
      <w:r w:rsidRPr="00ED54CE" w:rsidR="00F57A2F">
        <w:rPr>
          <w:lang w:eastAsia="x-none"/>
        </w:rPr>
        <w:t xml:space="preserve">NYTS </w:t>
      </w:r>
      <w:r w:rsidRPr="00ED54CE" w:rsidR="002C3676">
        <w:rPr>
          <w:lang w:eastAsia="x-none"/>
        </w:rPr>
        <w:t xml:space="preserve">is </w:t>
      </w:r>
      <w:r w:rsidRPr="00ED54CE" w:rsidR="00F57A2F">
        <w:rPr>
          <w:lang w:eastAsia="x-none"/>
        </w:rPr>
        <w:t>administ</w:t>
      </w:r>
      <w:r w:rsidRPr="00ED54CE" w:rsidR="002C3676">
        <w:rPr>
          <w:lang w:eastAsia="x-none"/>
        </w:rPr>
        <w:t>ered</w:t>
      </w:r>
      <w:r w:rsidRPr="00ED54CE" w:rsidR="00F57A2F">
        <w:rPr>
          <w:lang w:eastAsia="x-none"/>
        </w:rPr>
        <w:t xml:space="preserve"> as a web-based study</w:t>
      </w:r>
      <w:r w:rsidRPr="00ED54CE" w:rsidR="002C3676">
        <w:rPr>
          <w:lang w:eastAsia="x-none"/>
        </w:rPr>
        <w:t xml:space="preserve"> via a URL provided to the teachers. </w:t>
      </w:r>
      <w:r w:rsidRPr="00ED54CE" w:rsidR="002C3676">
        <w:t xml:space="preserve">Study Liaisons will be trained and available to help troubleshoot technical issues that arise during the session, if needed. </w:t>
      </w:r>
      <w:r w:rsidRPr="00ED54CE" w:rsidR="00016B2D">
        <w:rPr>
          <w:rFonts w:eastAsia="Calibri"/>
        </w:rPr>
        <w:t xml:space="preserve">The students will be allowed to take the survey in any location using the URL. </w:t>
      </w:r>
      <w:r w:rsidRPr="00ED54CE" w:rsidR="004E0CFF">
        <w:t xml:space="preserve">The following describes the data collection procedures that will be </w:t>
      </w:r>
      <w:r w:rsidRPr="00ED54CE" w:rsidR="006D002E">
        <w:t xml:space="preserve">used </w:t>
      </w:r>
      <w:r w:rsidRPr="00ED54CE" w:rsidR="004E0CFF">
        <w:t xml:space="preserve">for </w:t>
      </w:r>
      <w:r w:rsidRPr="00ED54CE" w:rsidR="00A7183E">
        <w:t>the web-based</w:t>
      </w:r>
      <w:r w:rsidRPr="00ED54CE">
        <w:t xml:space="preserve"> administration of NYTS. </w:t>
      </w:r>
    </w:p>
    <w:p w:rsidR="0067050A" w:rsidRPr="00ED54CE" w:rsidP="0036110B" w14:paraId="1DA5BF8E" w14:textId="7AB263AE"/>
    <w:p w:rsidR="0067050A" w:rsidRPr="00ED54CE" w:rsidP="0067050A" w14:paraId="27E33D50" w14:textId="77777777">
      <w:pPr>
        <w:rPr>
          <w:i/>
          <w:iCs/>
          <w:lang w:eastAsia="x-none"/>
        </w:rPr>
      </w:pPr>
      <w:r w:rsidRPr="00ED54CE">
        <w:rPr>
          <w:i/>
          <w:iCs/>
          <w:lang w:eastAsia="x-none"/>
        </w:rPr>
        <w:t>Class Selection</w:t>
      </w:r>
    </w:p>
    <w:p w:rsidR="0067050A" w:rsidRPr="00ED54CE" w:rsidP="0067050A" w14:paraId="28A6F3C9" w14:textId="7827EBAC">
      <w:r w:rsidRPr="00ED54CE">
        <w:t>Once each school agrees to participate, a school coordinator is identified to work with the NYTS study liaison to coordinate the logistics of the session. The school coordinator provides a list of classes for each selected grade from which one or two classes per grade are sampled to participate. The school coordinators then work with the classroom teachers of the sampled classes to distribute the parental permission forms and administer the survey to the students.</w:t>
      </w:r>
    </w:p>
    <w:p w:rsidR="006D002E" w:rsidRPr="00ED54CE" w:rsidP="0036110B" w14:paraId="557F30BC" w14:textId="5273EAB4"/>
    <w:p w:rsidR="00F4249C" w:rsidRPr="00ED54CE" w:rsidP="006D002E" w14:paraId="4D67B640" w14:textId="1EC784E7">
      <w:pPr>
        <w:rPr>
          <w:i/>
          <w:iCs/>
          <w:lang w:eastAsia="x-none"/>
        </w:rPr>
      </w:pPr>
      <w:r w:rsidRPr="00ED54CE">
        <w:rPr>
          <w:i/>
          <w:iCs/>
          <w:lang w:eastAsia="x-none"/>
        </w:rPr>
        <w:t>Web-based survey</w:t>
      </w:r>
    </w:p>
    <w:p w:rsidR="006D002E" w:rsidRPr="00ED54CE" w:rsidP="006D002E" w14:paraId="30AE6B1D" w14:textId="078ABD20">
      <w:pPr>
        <w:rPr>
          <w:lang w:eastAsia="x-none"/>
        </w:rPr>
      </w:pPr>
      <w:r w:rsidRPr="00ED54CE">
        <w:rPr>
          <w:lang w:eastAsia="x-none"/>
        </w:rPr>
        <w:t>The 2026 NYTS will be administered electronically using a pre-programmed web-based survey. Participating students will access the survey using an internet-connected device. The web-based survey is designed to simulate the tablet-based survey. As in previous years, the web-based survey also will be used to obtain make-up surveys from eligible students who are absent on the initial date of data collection.</w:t>
      </w:r>
    </w:p>
    <w:p w:rsidR="0067050A" w:rsidRPr="00ED54CE" w:rsidP="006D002E" w14:paraId="603D07B3" w14:textId="77777777">
      <w:pPr>
        <w:rPr>
          <w:lang w:eastAsia="x-none"/>
        </w:rPr>
      </w:pPr>
    </w:p>
    <w:p w:rsidR="0067050A" w:rsidRPr="00ED54CE" w:rsidP="0067050A" w14:paraId="533C0DFD" w14:textId="13D2E3C0">
      <w:pPr>
        <w:rPr>
          <w:lang w:eastAsia="x-none"/>
        </w:rPr>
      </w:pPr>
      <w:r w:rsidRPr="00ED54CE">
        <w:rPr>
          <w:lang w:eastAsia="x-none"/>
        </w:rPr>
        <w:t>A classroom-level access code, rather than an individual one, is used to ease the burden on the teache</w:t>
      </w:r>
      <w:r w:rsidRPr="00ED54CE" w:rsidR="00A759FC">
        <w:rPr>
          <w:lang w:eastAsia="x-none"/>
        </w:rPr>
        <w:t>r</w:t>
      </w:r>
      <w:r w:rsidRPr="00ED54CE">
        <w:rPr>
          <w:lang w:eastAsia="x-none"/>
        </w:rPr>
        <w:t xml:space="preserve">s of the survey (e.g., distribution of printed, individual student sign-in cards is no longer needed). Additionally, this approach is used for privacy concerns </w:t>
      </w:r>
      <w:r w:rsidRPr="00ED54CE" w:rsidR="00A759FC">
        <w:rPr>
          <w:lang w:eastAsia="x-none"/>
        </w:rPr>
        <w:t>to</w:t>
      </w:r>
      <w:r w:rsidRPr="00ED54CE">
        <w:rPr>
          <w:lang w:eastAsia="x-none"/>
        </w:rPr>
        <w:t xml:space="preserve"> avoid linking unique student-level access codes to individual students (such as through email or other electronic forms of communication or by someone seeing another student’s</w:t>
      </w:r>
      <w:r w:rsidRPr="00ED54CE" w:rsidR="00245E68">
        <w:rPr>
          <w:rFonts w:eastAsia="Malgun Gothic"/>
          <w:lang w:eastAsia="x-none"/>
        </w:rPr>
        <w:t xml:space="preserve"> </w:t>
      </w:r>
      <w:r w:rsidRPr="00ED54CE">
        <w:rPr>
          <w:lang w:eastAsia="x-none"/>
        </w:rPr>
        <w:t xml:space="preserve">ID </w:t>
      </w:r>
      <w:r w:rsidRPr="00ED54CE" w:rsidR="00245E68">
        <w:rPr>
          <w:lang w:eastAsia="x-none"/>
        </w:rPr>
        <w:t>card</w:t>
      </w:r>
      <w:r w:rsidRPr="00ED54CE">
        <w:rPr>
          <w:lang w:eastAsia="x-none"/>
        </w:rPr>
        <w:t xml:space="preserve">). </w:t>
      </w:r>
    </w:p>
    <w:p w:rsidR="0067050A" w:rsidRPr="00ED54CE" w:rsidP="0067050A" w14:paraId="41F17B67" w14:textId="77777777">
      <w:pPr>
        <w:rPr>
          <w:lang w:eastAsia="x-none"/>
        </w:rPr>
      </w:pPr>
    </w:p>
    <w:p w:rsidR="0067050A" w:rsidRPr="00ED54CE" w:rsidP="0067050A" w14:paraId="6817E5BF" w14:textId="42FF5372">
      <w:pPr>
        <w:rPr>
          <w:lang w:eastAsia="x-none"/>
        </w:rPr>
      </w:pPr>
      <w:r w:rsidRPr="00ED54CE">
        <w:rPr>
          <w:lang w:eastAsia="x-none"/>
        </w:rPr>
        <w:t xml:space="preserve">If a student’s internet connection gets disrupted, or if they need to step away from the survey prior to submitting their responses, they may log out of the web survey application and log back in using the classroom code. </w:t>
      </w:r>
      <w:r w:rsidRPr="00ED54CE">
        <w:rPr>
          <w:lang w:eastAsia="x-none"/>
        </w:rPr>
        <w:t>As long as</w:t>
      </w:r>
      <w:r w:rsidRPr="00ED54CE">
        <w:rPr>
          <w:lang w:eastAsia="x-none"/>
        </w:rPr>
        <w:t xml:space="preserve"> the student uses the same computer and web browser to log back into the survey, the survey will restart where the student left off. With the Qualtrics web-based survey platform, this feature is available without having to provide each student an individual ID number. </w:t>
      </w:r>
    </w:p>
    <w:p w:rsidR="0067050A" w:rsidRPr="00ED54CE" w:rsidP="006D002E" w14:paraId="2C805B51" w14:textId="77777777">
      <w:pPr>
        <w:rPr>
          <w:lang w:eastAsia="x-none"/>
        </w:rPr>
      </w:pPr>
    </w:p>
    <w:p w:rsidR="00F4249C" w:rsidRPr="00ED54CE" w:rsidP="00F4249C" w14:paraId="65C4A63E" w14:textId="07CA83BE">
      <w:pPr>
        <w:rPr>
          <w:i/>
          <w:iCs/>
          <w:lang w:eastAsia="x-none"/>
        </w:rPr>
      </w:pPr>
      <w:r w:rsidRPr="00ED54CE">
        <w:rPr>
          <w:i/>
          <w:iCs/>
          <w:lang w:eastAsia="x-none"/>
        </w:rPr>
        <w:t>In-Class Data Collection Procedures</w:t>
      </w:r>
    </w:p>
    <w:p w:rsidR="00F4249C" w:rsidRPr="00ED54CE" w:rsidP="00F4249C" w14:paraId="442A8060" w14:textId="467B233C">
      <w:pPr>
        <w:rPr>
          <w:lang w:eastAsia="x-none"/>
        </w:rPr>
      </w:pPr>
      <w:r w:rsidRPr="00ED54CE">
        <w:rPr>
          <w:lang w:eastAsia="x-none"/>
        </w:rPr>
        <w:t>For students physically attending in the classroom, the standard data collection method, with modifications for virtual administration of the survey, will be used. The following steps will occur:</w:t>
      </w:r>
    </w:p>
    <w:p w:rsidR="00F4249C" w:rsidRPr="00ED54CE" w:rsidP="00F4249C" w14:paraId="2D8BB346" w14:textId="0BB7BE13">
      <w:pPr>
        <w:pStyle w:val="ListParagraph"/>
        <w:numPr>
          <w:ilvl w:val="0"/>
          <w:numId w:val="23"/>
        </w:numPr>
        <w:rPr>
          <w:lang w:eastAsia="x-none"/>
        </w:rPr>
      </w:pPr>
      <w:r w:rsidRPr="00ED54CE">
        <w:rPr>
          <w:lang w:eastAsia="x-none"/>
        </w:rPr>
        <w:t xml:space="preserve">The designated school coordinator will </w:t>
      </w:r>
      <w:r w:rsidRPr="00ED54CE" w:rsidR="00245E68">
        <w:rPr>
          <w:lang w:eastAsia="x-none"/>
        </w:rPr>
        <w:t>receive</w:t>
      </w:r>
      <w:r w:rsidRPr="00ED54CE">
        <w:rPr>
          <w:lang w:eastAsia="x-none"/>
        </w:rPr>
        <w:t xml:space="preserve"> the survey administration materials, packaged by class, and will </w:t>
      </w:r>
      <w:r w:rsidRPr="00ED54CE" w:rsidR="00245E68">
        <w:rPr>
          <w:lang w:eastAsia="x-none"/>
        </w:rPr>
        <w:t>distribute</w:t>
      </w:r>
      <w:r w:rsidRPr="00ED54CE">
        <w:rPr>
          <w:lang w:eastAsia="x-none"/>
        </w:rPr>
        <w:t xml:space="preserve"> the materials to the teacher of each selected class.</w:t>
      </w:r>
    </w:p>
    <w:p w:rsidR="00CB4C85" w:rsidRPr="00ED54CE" w:rsidP="00E2178A" w14:paraId="0E48791B" w14:textId="58DFFE42">
      <w:pPr>
        <w:pStyle w:val="ListParagraph"/>
        <w:numPr>
          <w:ilvl w:val="0"/>
          <w:numId w:val="23"/>
        </w:numPr>
      </w:pPr>
      <w:r w:rsidRPr="00ED54CE">
        <w:rPr>
          <w:lang w:eastAsia="x-none"/>
        </w:rPr>
        <w:t xml:space="preserve">Teachers distribute and </w:t>
      </w:r>
      <w:r w:rsidRPr="00ED54CE">
        <w:t>follow up on parental permission forms sent out prior to the scheduled date of data collection. Schools may choose to distribute parental permission forms in hard copy or electronically, based on their recommendation of the most effective manner of reaching parents.</w:t>
      </w:r>
      <w:r w:rsidRPr="00ED54CE" w:rsidR="0067050A">
        <w:t xml:space="preserve"> </w:t>
      </w:r>
    </w:p>
    <w:p w:rsidR="00CB4C85" w:rsidRPr="00ED54CE" w:rsidP="00E2178A" w14:paraId="29557D83" w14:textId="77777777">
      <w:pPr>
        <w:pStyle w:val="ListParagraph"/>
        <w:numPr>
          <w:ilvl w:val="0"/>
          <w:numId w:val="23"/>
        </w:numPr>
      </w:pPr>
      <w:r w:rsidRPr="00ED54CE">
        <w:t>In schools requiring active parental permission, t</w:t>
      </w:r>
      <w:r w:rsidRPr="00ED54CE" w:rsidR="0067050A">
        <w:t xml:space="preserve">eachers </w:t>
      </w:r>
      <w:r w:rsidRPr="00ED54CE">
        <w:t>send a second form home to any student who has not yet returned one within 3 days of the scheduled administration.</w:t>
      </w:r>
    </w:p>
    <w:p w:rsidR="00F4249C" w:rsidRPr="00ED54CE" w:rsidP="00E2178A" w14:paraId="7EBD4EB7" w14:textId="242A0577">
      <w:pPr>
        <w:pStyle w:val="ListParagraph"/>
        <w:numPr>
          <w:ilvl w:val="0"/>
          <w:numId w:val="23"/>
        </w:numPr>
      </w:pPr>
      <w:r w:rsidRPr="00ED54CE">
        <w:t xml:space="preserve">In all schools, teachers </w:t>
      </w:r>
      <w:r w:rsidRPr="00ED54CE" w:rsidR="0067050A">
        <w:t>are asked to identify students without parental consent to participate and to make sure they have appropriate alternate activities.</w:t>
      </w:r>
    </w:p>
    <w:p w:rsidR="00F4249C" w:rsidRPr="00ED54CE" w:rsidP="00F4249C" w14:paraId="0AE42FC2" w14:textId="77777777">
      <w:pPr>
        <w:pStyle w:val="ListParagraph"/>
        <w:numPr>
          <w:ilvl w:val="0"/>
          <w:numId w:val="23"/>
        </w:numPr>
        <w:rPr>
          <w:lang w:eastAsia="x-none"/>
        </w:rPr>
      </w:pPr>
      <w:r w:rsidRPr="00ED54CE">
        <w:rPr>
          <w:lang w:eastAsia="x-none"/>
        </w:rPr>
        <w:t xml:space="preserve">On the day of the scheduled survey administration, the teacher will distribute a 5-digit classroom access code to all students </w:t>
      </w:r>
      <w:r w:rsidRPr="00ED54CE">
        <w:rPr>
          <w:lang w:eastAsia="x-none"/>
        </w:rPr>
        <w:t>in a given</w:t>
      </w:r>
      <w:r w:rsidRPr="00ED54CE">
        <w:rPr>
          <w:lang w:eastAsia="x-none"/>
        </w:rPr>
        <w:t xml:space="preserve"> classroom. </w:t>
      </w:r>
    </w:p>
    <w:p w:rsidR="00F4249C" w:rsidRPr="00ED54CE" w:rsidP="00F4249C" w14:paraId="63695A72" w14:textId="17CC7B39">
      <w:pPr>
        <w:pStyle w:val="ListParagraph"/>
        <w:numPr>
          <w:ilvl w:val="0"/>
          <w:numId w:val="23"/>
        </w:numPr>
        <w:rPr>
          <w:lang w:eastAsia="x-none"/>
        </w:rPr>
      </w:pPr>
      <w:r w:rsidRPr="00ED54CE">
        <w:t xml:space="preserve">Teachers read verbatim to eligible students a prepared script (Attachment </w:t>
      </w:r>
      <w:r w:rsidRPr="00ED54CE" w:rsidR="00A759FC">
        <w:t>I2</w:t>
      </w:r>
      <w:r w:rsidRPr="00ED54CE">
        <w:t xml:space="preserve">) that emphasizes anonymity and the voluntary nature of the survey. </w:t>
      </w:r>
    </w:p>
    <w:p w:rsidR="00F4249C" w:rsidRPr="00ED54CE" w:rsidP="00F4249C" w14:paraId="5BBFB555" w14:textId="2409B03B">
      <w:pPr>
        <w:pStyle w:val="ListParagraph"/>
        <w:numPr>
          <w:ilvl w:val="0"/>
          <w:numId w:val="23"/>
        </w:numPr>
        <w:rPr>
          <w:lang w:eastAsia="x-none"/>
        </w:rPr>
      </w:pPr>
      <w:r w:rsidRPr="00ED54CE">
        <w:rPr>
          <w:lang w:eastAsia="x-none"/>
        </w:rPr>
        <w:t xml:space="preserve">Each student will </w:t>
      </w:r>
      <w:r w:rsidRPr="00ED54CE" w:rsidR="00245E68">
        <w:rPr>
          <w:lang w:eastAsia="x-none"/>
        </w:rPr>
        <w:t>use</w:t>
      </w:r>
      <w:r w:rsidRPr="00ED54CE">
        <w:rPr>
          <w:lang w:eastAsia="x-none"/>
        </w:rPr>
        <w:t xml:space="preserve"> an internet connected device and will </w:t>
      </w:r>
      <w:r w:rsidRPr="00ED54CE" w:rsidR="00245E68">
        <w:rPr>
          <w:lang w:eastAsia="x-none"/>
        </w:rPr>
        <w:t>login</w:t>
      </w:r>
      <w:r w:rsidRPr="00ED54CE">
        <w:rPr>
          <w:lang w:eastAsia="x-none"/>
        </w:rPr>
        <w:t xml:space="preserve"> to the NYTS survey using the provided URL and their unique 5-digit classroom code </w:t>
      </w:r>
      <w:r w:rsidRPr="00ED54CE">
        <w:t xml:space="preserve">(Attachment </w:t>
      </w:r>
      <w:r w:rsidRPr="00ED54CE" w:rsidR="00A759FC">
        <w:t>I3</w:t>
      </w:r>
      <w:r w:rsidRPr="00ED54CE">
        <w:t>)</w:t>
      </w:r>
      <w:r w:rsidRPr="00ED54CE">
        <w:rPr>
          <w:lang w:eastAsia="x-none"/>
        </w:rPr>
        <w:t>.</w:t>
      </w:r>
    </w:p>
    <w:p w:rsidR="00F4249C" w:rsidRPr="00ED54CE" w:rsidP="00F4249C" w14:paraId="649C69A0" w14:textId="22BA9C54">
      <w:pPr>
        <w:pStyle w:val="ListParagraph"/>
        <w:numPr>
          <w:ilvl w:val="0"/>
          <w:numId w:val="23"/>
        </w:numPr>
        <w:rPr>
          <w:lang w:eastAsia="x-none"/>
        </w:rPr>
      </w:pPr>
      <w:r w:rsidRPr="00ED54CE">
        <w:rPr>
          <w:lang w:eastAsia="x-none"/>
        </w:rPr>
        <w:t>Make-up surveys will be conducted with eligible students who were absent on the day of survey administration using the same classroom code provided for the original administration.</w:t>
      </w:r>
    </w:p>
    <w:p w:rsidR="00F4249C" w:rsidRPr="00ED54CE" w:rsidP="0036110B" w14:paraId="61611DE4" w14:textId="77777777"/>
    <w:p w:rsidR="00961CC4" w:rsidRPr="00ED54CE" w:rsidP="00961CC4" w14:paraId="1239FE60" w14:textId="2CD664A9">
      <w:bookmarkStart w:id="2" w:name="_Hlk18655485"/>
      <w:r w:rsidRPr="00ED54CE">
        <w:t xml:space="preserve">The time during the school day in which the survey is </w:t>
      </w:r>
      <w:r w:rsidRPr="00ED54CE" w:rsidR="00245E68">
        <w:t>administered</w:t>
      </w:r>
      <w:r w:rsidRPr="00ED54CE">
        <w:t xml:space="preserve"> varies by school. This decision is made in coordination with each school to ensure that the type of class or period of the day selected for sampling: 1) meets the scientific sampling parameters to ensure a nationally representative sample; and 2) results in the least burden/highest possible acceptability for the school.</w:t>
      </w:r>
    </w:p>
    <w:p w:rsidR="00961CC4" w:rsidRPr="00ED54CE" w:rsidP="0036110B" w14:paraId="4E1E7A23" w14:textId="77777777"/>
    <w:p w:rsidR="006D002E" w:rsidRPr="00ED54CE" w:rsidP="0036110B" w14:paraId="726CEC3C" w14:textId="10EBB420">
      <w:r w:rsidRPr="00ED54CE">
        <w:t>Students electronically submit their questionnaires upon completion and the data are received in real time.</w:t>
      </w:r>
      <w:r w:rsidRPr="00ED54CE" w:rsidR="0067050A">
        <w:t xml:space="preserve"> Teachers complete and submit a Class Participation Log (Attachment </w:t>
      </w:r>
      <w:r w:rsidRPr="00ED54CE" w:rsidR="00A759FC">
        <w:t>I4</w:t>
      </w:r>
      <w:r w:rsidRPr="00ED54CE" w:rsidR="0067050A">
        <w:t xml:space="preserve">) at the end of </w:t>
      </w:r>
      <w:r w:rsidRPr="00ED54CE" w:rsidR="0067050A">
        <w:t xml:space="preserve">the session. This form provides information about </w:t>
      </w:r>
      <w:r w:rsidR="000F1AD1">
        <w:t xml:space="preserve">the number of students enrolled in the class, </w:t>
      </w:r>
      <w:r w:rsidRPr="00ED54CE" w:rsidR="0067050A">
        <w:t xml:space="preserve">the number of students who participated, and the number of students at each type of nonparticipation (e.g., absent, no permission, etc.) </w:t>
      </w:r>
      <w:r w:rsidR="00CC630E">
        <w:t>For classrooms with 4 or more students that missed the in-school session, t</w:t>
      </w:r>
      <w:r w:rsidRPr="00ED54CE" w:rsidR="0067050A">
        <w:t>eachers are asked to administer make-up surveys to eligible nonparticipants upon their return to class or provide the URL for the student to participate on their own time</w:t>
      </w:r>
      <w:r w:rsidR="005F44EC">
        <w:t xml:space="preserve"> if the teacher is unable to conduct a make-</w:t>
      </w:r>
      <w:r w:rsidR="00FE23E4">
        <w:t>up session</w:t>
      </w:r>
      <w:r w:rsidRPr="00ED54CE" w:rsidR="0067050A">
        <w:t xml:space="preserve">. Upon submission, make-up surveys are automatically incorporated into the counts data and counts for the appropriate school and class. </w:t>
      </w:r>
      <w:r w:rsidRPr="00ED54CE" w:rsidR="00F4249C">
        <w:t>Quality checks are performed daily</w:t>
      </w:r>
      <w:r w:rsidRPr="00ED54CE" w:rsidR="0067050A">
        <w:t xml:space="preserve"> to confirm that the expected number of student records are received, that there are no duplicates or anomalies in the data, </w:t>
      </w:r>
      <w:r w:rsidRPr="00ED54CE" w:rsidR="009E0195">
        <w:t xml:space="preserve">and </w:t>
      </w:r>
      <w:r w:rsidRPr="00ED54CE" w:rsidR="0067050A">
        <w:t xml:space="preserve">that </w:t>
      </w:r>
      <w:r w:rsidRPr="00ED54CE" w:rsidR="009E0195">
        <w:t xml:space="preserve">the instrument is functioning as expected, e.g., </w:t>
      </w:r>
      <w:r w:rsidRPr="00ED54CE" w:rsidR="0067050A">
        <w:t xml:space="preserve">students were able to make it through the entirety of the survey without technical issues. </w:t>
      </w:r>
    </w:p>
    <w:p w:rsidR="006D002E" w:rsidRPr="00ED54CE" w:rsidP="0036110B" w14:paraId="09ADB8B4" w14:textId="77777777"/>
    <w:p w:rsidR="0067050A" w:rsidRPr="00ED54CE" w:rsidP="006D002E" w14:paraId="437AD4B1" w14:textId="77777777">
      <w:pPr>
        <w:rPr>
          <w:i/>
          <w:iCs/>
        </w:rPr>
      </w:pPr>
      <w:r w:rsidRPr="00ED54CE">
        <w:rPr>
          <w:i/>
          <w:iCs/>
        </w:rPr>
        <w:t>Troubleshooting</w:t>
      </w:r>
    </w:p>
    <w:p w:rsidR="006D002E" w:rsidRPr="00ED54CE" w:rsidP="006D002E" w14:paraId="7CE80036" w14:textId="1D4150B5">
      <w:pPr>
        <w:rPr>
          <w:lang w:eastAsia="x-none"/>
        </w:rPr>
      </w:pPr>
      <w:r w:rsidRPr="00ED54CE">
        <w:t xml:space="preserve">NYTS Study Liaisons are available to help troubleshoot technical issues that arise during the session, if needed. The Study Liaisons are the same staff who secured school participation and maintain communication with the school coordinator through the school’s participation in the study. Study Liaisons are </w:t>
      </w:r>
      <w:r w:rsidRPr="00ED54CE">
        <w:rPr>
          <w:lang w:eastAsia="x-none"/>
        </w:rPr>
        <w:t>trained to virtually support all components of a data collection, including, but not limited to:</w:t>
      </w:r>
    </w:p>
    <w:p w:rsidR="006D002E" w:rsidRPr="00ED54CE" w:rsidP="006D002E" w14:paraId="6B5D0F93" w14:textId="77777777">
      <w:pPr>
        <w:pStyle w:val="ListParagraph"/>
        <w:numPr>
          <w:ilvl w:val="0"/>
          <w:numId w:val="22"/>
        </w:numPr>
        <w:rPr>
          <w:lang w:eastAsia="x-none"/>
        </w:rPr>
      </w:pPr>
      <w:r w:rsidRPr="00ED54CE">
        <w:rPr>
          <w:lang w:eastAsia="x-none"/>
        </w:rPr>
        <w:t xml:space="preserve">Confirming receipt of survey administration </w:t>
      </w:r>
      <w:r w:rsidRPr="00ED54CE">
        <w:rPr>
          <w:lang w:eastAsia="x-none"/>
        </w:rPr>
        <w:t>materials;</w:t>
      </w:r>
    </w:p>
    <w:p w:rsidR="006D002E" w:rsidRPr="00ED54CE" w:rsidP="006D002E" w14:paraId="6C2B7342" w14:textId="77777777">
      <w:pPr>
        <w:pStyle w:val="ListParagraph"/>
        <w:numPr>
          <w:ilvl w:val="0"/>
          <w:numId w:val="22"/>
        </w:numPr>
        <w:rPr>
          <w:lang w:eastAsia="x-none"/>
        </w:rPr>
      </w:pPr>
      <w:r w:rsidRPr="00ED54CE">
        <w:rPr>
          <w:lang w:eastAsia="x-none"/>
        </w:rPr>
        <w:t xml:space="preserve">Ensuring the distribution of parental permission </w:t>
      </w:r>
      <w:r w:rsidRPr="00ED54CE">
        <w:rPr>
          <w:lang w:eastAsia="x-none"/>
        </w:rPr>
        <w:t>forms;</w:t>
      </w:r>
    </w:p>
    <w:p w:rsidR="006D002E" w:rsidRPr="00ED54CE" w:rsidP="006D002E" w14:paraId="59F1AABA" w14:textId="432E54FC">
      <w:pPr>
        <w:pStyle w:val="ListParagraph"/>
        <w:numPr>
          <w:ilvl w:val="0"/>
          <w:numId w:val="22"/>
        </w:numPr>
        <w:rPr>
          <w:lang w:eastAsia="x-none"/>
        </w:rPr>
      </w:pPr>
      <w:r w:rsidRPr="00ED54CE">
        <w:rPr>
          <w:lang w:eastAsia="x-none"/>
        </w:rPr>
        <w:t>Confirming accessibility of</w:t>
      </w:r>
      <w:r w:rsidRPr="00ED54CE" w:rsidR="00245E68">
        <w:rPr>
          <w:rFonts w:eastAsia="Malgun Gothic"/>
          <w:lang w:eastAsia="x-none"/>
        </w:rPr>
        <w:t xml:space="preserve"> </w:t>
      </w:r>
      <w:r w:rsidRPr="00ED54CE">
        <w:rPr>
          <w:lang w:eastAsia="x-none"/>
        </w:rPr>
        <w:t xml:space="preserve">survey </w:t>
      </w:r>
      <w:r w:rsidRPr="00ED54CE">
        <w:rPr>
          <w:lang w:eastAsia="x-none"/>
        </w:rPr>
        <w:t>URL;</w:t>
      </w:r>
    </w:p>
    <w:p w:rsidR="006D002E" w:rsidRPr="00ED54CE" w:rsidP="006D002E" w14:paraId="272F963C" w14:textId="637F17CB">
      <w:pPr>
        <w:pStyle w:val="ListParagraph"/>
        <w:numPr>
          <w:ilvl w:val="0"/>
          <w:numId w:val="22"/>
        </w:numPr>
        <w:rPr>
          <w:lang w:eastAsia="x-none"/>
        </w:rPr>
      </w:pPr>
      <w:r w:rsidRPr="00ED54CE">
        <w:rPr>
          <w:lang w:eastAsia="x-none"/>
        </w:rPr>
        <w:t xml:space="preserve">Answering questions from the designated school contact and/or teachers before, during, or after the survey </w:t>
      </w:r>
      <w:r w:rsidRPr="00ED54CE">
        <w:rPr>
          <w:lang w:eastAsia="x-none"/>
        </w:rPr>
        <w:t>administration;</w:t>
      </w:r>
    </w:p>
    <w:p w:rsidR="006D002E" w:rsidRPr="00ED54CE" w:rsidP="006D002E" w14:paraId="67A34E84" w14:textId="77777777">
      <w:pPr>
        <w:pStyle w:val="ListParagraph"/>
        <w:numPr>
          <w:ilvl w:val="0"/>
          <w:numId w:val="22"/>
        </w:numPr>
        <w:rPr>
          <w:lang w:eastAsia="x-none"/>
        </w:rPr>
      </w:pPr>
      <w:r w:rsidRPr="00ED54CE">
        <w:rPr>
          <w:lang w:eastAsia="x-none"/>
        </w:rPr>
        <w:t xml:space="preserve">Monitoring completion of survey administration in </w:t>
      </w:r>
      <w:r w:rsidRPr="00ED54CE">
        <w:rPr>
          <w:lang w:eastAsia="x-none"/>
        </w:rPr>
        <w:t>classrooms;</w:t>
      </w:r>
    </w:p>
    <w:p w:rsidR="006D002E" w:rsidRPr="00ED54CE" w:rsidP="006D002E" w14:paraId="7F080C2B" w14:textId="1DC0B531">
      <w:pPr>
        <w:pStyle w:val="ListParagraph"/>
        <w:numPr>
          <w:ilvl w:val="0"/>
          <w:numId w:val="22"/>
        </w:numPr>
        <w:rPr>
          <w:lang w:eastAsia="x-none"/>
        </w:rPr>
      </w:pPr>
      <w:r w:rsidRPr="00ED54CE">
        <w:rPr>
          <w:lang w:eastAsia="x-none"/>
        </w:rPr>
        <w:t xml:space="preserve">Following up on missing classes or missing classroom enrollment </w:t>
      </w:r>
      <w:r w:rsidRPr="00ED54CE">
        <w:rPr>
          <w:lang w:eastAsia="x-none"/>
        </w:rPr>
        <w:t>information;</w:t>
      </w:r>
    </w:p>
    <w:p w:rsidR="006D002E" w:rsidRPr="00ED54CE" w:rsidP="006D002E" w14:paraId="72C7D53D" w14:textId="38340CF9">
      <w:pPr>
        <w:pStyle w:val="ListParagraph"/>
        <w:numPr>
          <w:ilvl w:val="0"/>
          <w:numId w:val="22"/>
        </w:numPr>
        <w:rPr>
          <w:lang w:eastAsia="x-none"/>
        </w:rPr>
      </w:pPr>
      <w:r w:rsidRPr="00ED54CE">
        <w:rPr>
          <w:lang w:eastAsia="x-none"/>
        </w:rPr>
        <w:t>Obtaining school level enrollment and participation information.</w:t>
      </w:r>
    </w:p>
    <w:p w:rsidR="004F25D9" w:rsidRPr="00ED54CE" w:rsidP="0036110B" w14:paraId="18B2B742" w14:textId="774C7CAB"/>
    <w:bookmarkEnd w:id="2"/>
    <w:p w:rsidR="00FD4985" w:rsidRPr="00ED54CE" w:rsidP="00FD4985" w14:paraId="17945863" w14:textId="77777777">
      <w:pPr>
        <w:rPr>
          <w:i/>
          <w:iCs/>
          <w:lang w:eastAsia="x-none"/>
        </w:rPr>
      </w:pPr>
      <w:r w:rsidRPr="00ED54CE">
        <w:rPr>
          <w:i/>
          <w:iCs/>
          <w:lang w:eastAsia="x-none"/>
        </w:rPr>
        <w:t>Allowances for Virtual/Distance Learning</w:t>
      </w:r>
    </w:p>
    <w:p w:rsidR="00FD4985" w:rsidRPr="00ED54CE" w:rsidP="00FD4985" w14:paraId="310F88EF" w14:textId="70862879">
      <w:pPr>
        <w:rPr>
          <w:lang w:eastAsia="x-none"/>
        </w:rPr>
      </w:pPr>
      <w:r w:rsidRPr="00ED54CE">
        <w:rPr>
          <w:lang w:eastAsia="x-none"/>
        </w:rPr>
        <w:t xml:space="preserve">For the </w:t>
      </w:r>
      <w:r w:rsidRPr="00ED54CE" w:rsidR="00E90AFA">
        <w:rPr>
          <w:lang w:eastAsia="x-none"/>
        </w:rPr>
        <w:t xml:space="preserve">2026 </w:t>
      </w:r>
      <w:r w:rsidRPr="00ED54CE">
        <w:rPr>
          <w:lang w:eastAsia="x-none"/>
        </w:rPr>
        <w:t>administration</w:t>
      </w:r>
      <w:r w:rsidRPr="00ED54CE" w:rsidR="00E90AFA">
        <w:rPr>
          <w:lang w:eastAsia="x-none"/>
        </w:rPr>
        <w:t>s</w:t>
      </w:r>
      <w:r w:rsidRPr="00ED54CE">
        <w:rPr>
          <w:lang w:eastAsia="x-none"/>
        </w:rPr>
        <w:t xml:space="preserve">, </w:t>
      </w:r>
      <w:r w:rsidRPr="00ED54CE" w:rsidR="00E90AFA">
        <w:rPr>
          <w:lang w:eastAsia="x-none"/>
        </w:rPr>
        <w:t xml:space="preserve">schools will be included that offer </w:t>
      </w:r>
      <w:r w:rsidRPr="00ED54CE">
        <w:rPr>
          <w:lang w:eastAsia="x-none"/>
        </w:rPr>
        <w:t>virtual</w:t>
      </w:r>
      <w:r w:rsidRPr="00ED54CE" w:rsidR="00E90AFA">
        <w:rPr>
          <w:lang w:eastAsia="x-none"/>
        </w:rPr>
        <w:t xml:space="preserve"> or </w:t>
      </w:r>
      <w:r w:rsidRPr="00ED54CE">
        <w:rPr>
          <w:lang w:eastAsia="x-none"/>
        </w:rPr>
        <w:t xml:space="preserve">distance learning. Students will still be asked to take the survey during the scheduled “class” time. </w:t>
      </w:r>
      <w:r w:rsidRPr="00ED54CE" w:rsidR="00E90AFA">
        <w:rPr>
          <w:lang w:eastAsia="x-none"/>
        </w:rPr>
        <w:t xml:space="preserve">The procedure for these schools is the same as the procedures outlined </w:t>
      </w:r>
      <w:r w:rsidRPr="00ED54CE" w:rsidR="00F4249C">
        <w:rPr>
          <w:lang w:eastAsia="x-none"/>
        </w:rPr>
        <w:t>above</w:t>
      </w:r>
      <w:r w:rsidRPr="00ED54CE" w:rsidR="00E90AFA">
        <w:rPr>
          <w:lang w:eastAsia="x-none"/>
        </w:rPr>
        <w:t xml:space="preserve"> for in-person schools.</w:t>
      </w:r>
    </w:p>
    <w:p w:rsidR="00B770D8" w:rsidRPr="00ED54CE" w:rsidP="00567B25" w14:paraId="34A0C98C" w14:textId="20153546">
      <w:pPr>
        <w:rPr>
          <w:lang w:eastAsia="x-none"/>
        </w:rPr>
      </w:pPr>
    </w:p>
    <w:p w:rsidR="0067050A" w:rsidRPr="00ED54CE" w:rsidP="0067050A" w14:paraId="4954117B" w14:textId="77777777">
      <w:r w:rsidRPr="00ED54CE">
        <w:t>In general, data collection procedures have been designed to ensure that:</w:t>
      </w:r>
    </w:p>
    <w:p w:rsidR="0067050A" w:rsidRPr="00ED54CE" w:rsidP="0067050A" w14:paraId="392F8076" w14:textId="77777777">
      <w:pPr>
        <w:widowControl/>
        <w:numPr>
          <w:ilvl w:val="0"/>
          <w:numId w:val="2"/>
        </w:numPr>
        <w:autoSpaceDE/>
        <w:autoSpaceDN/>
        <w:adjustRightInd/>
      </w:pPr>
      <w:r w:rsidRPr="00ED54CE">
        <w:t xml:space="preserve">Protocol is followed in obtaining access to </w:t>
      </w:r>
      <w:r w:rsidRPr="00ED54CE">
        <w:t>schools;</w:t>
      </w:r>
    </w:p>
    <w:p w:rsidR="0067050A" w:rsidRPr="00ED54CE" w:rsidP="0067050A" w14:paraId="6E601478" w14:textId="77777777">
      <w:pPr>
        <w:widowControl/>
        <w:numPr>
          <w:ilvl w:val="0"/>
          <w:numId w:val="2"/>
        </w:numPr>
        <w:autoSpaceDE/>
        <w:autoSpaceDN/>
        <w:adjustRightInd/>
      </w:pPr>
      <w:r w:rsidRPr="00ED54CE">
        <w:t xml:space="preserve">Everyday school activity schedules are disrupted </w:t>
      </w:r>
      <w:r w:rsidRPr="00ED54CE">
        <w:t>minimally;</w:t>
      </w:r>
    </w:p>
    <w:p w:rsidR="0067050A" w:rsidRPr="00ED54CE" w:rsidP="0067050A" w14:paraId="76FE251E" w14:textId="77777777">
      <w:pPr>
        <w:widowControl/>
        <w:numPr>
          <w:ilvl w:val="0"/>
          <w:numId w:val="2"/>
        </w:numPr>
        <w:autoSpaceDE/>
        <w:autoSpaceDN/>
        <w:adjustRightInd/>
      </w:pPr>
      <w:r w:rsidRPr="00ED54CE">
        <w:t xml:space="preserve">Administrative burden placed on teachers is </w:t>
      </w:r>
      <w:r w:rsidRPr="00ED54CE">
        <w:t>minimal;</w:t>
      </w:r>
    </w:p>
    <w:p w:rsidR="0067050A" w:rsidRPr="00ED54CE" w:rsidP="0067050A" w14:paraId="0EE2F4E6" w14:textId="77777777">
      <w:pPr>
        <w:widowControl/>
        <w:numPr>
          <w:ilvl w:val="0"/>
          <w:numId w:val="2"/>
        </w:numPr>
        <w:autoSpaceDE/>
        <w:autoSpaceDN/>
        <w:adjustRightInd/>
      </w:pPr>
      <w:r w:rsidRPr="00ED54CE">
        <w:t xml:space="preserve">Parents give informed permission to participate in the </w:t>
      </w:r>
      <w:r w:rsidRPr="00ED54CE">
        <w:t>survey;</w:t>
      </w:r>
    </w:p>
    <w:p w:rsidR="0067050A" w:rsidRPr="00ED54CE" w:rsidP="0067050A" w14:paraId="33D9DEEB" w14:textId="77777777">
      <w:pPr>
        <w:widowControl/>
        <w:numPr>
          <w:ilvl w:val="0"/>
          <w:numId w:val="2"/>
        </w:numPr>
        <w:autoSpaceDE/>
        <w:autoSpaceDN/>
        <w:adjustRightInd/>
      </w:pPr>
      <w:r w:rsidRPr="00ED54CE">
        <w:t>Anonymity of student participation is maintained, with no punitive actions against non-</w:t>
      </w:r>
      <w:r w:rsidRPr="00ED54CE">
        <w:t>participants;</w:t>
      </w:r>
    </w:p>
    <w:p w:rsidR="0067050A" w:rsidRPr="00ED54CE" w:rsidP="0067050A" w14:paraId="48499C29" w14:textId="77777777">
      <w:pPr>
        <w:widowControl/>
        <w:numPr>
          <w:ilvl w:val="0"/>
          <w:numId w:val="2"/>
        </w:numPr>
        <w:autoSpaceDE/>
        <w:autoSpaceDN/>
        <w:adjustRightInd/>
      </w:pPr>
      <w:r w:rsidRPr="00ED54CE">
        <w:t xml:space="preserve">Alternative activities are provided for </w:t>
      </w:r>
      <w:r w:rsidRPr="00ED54CE">
        <w:t>nonparticipants;</w:t>
      </w:r>
    </w:p>
    <w:p w:rsidR="0067050A" w:rsidRPr="00ED54CE" w:rsidP="0067050A" w14:paraId="4AF8B2FA" w14:textId="77777777">
      <w:pPr>
        <w:widowControl/>
        <w:numPr>
          <w:ilvl w:val="0"/>
          <w:numId w:val="2"/>
        </w:numPr>
        <w:autoSpaceDE/>
        <w:autoSpaceDN/>
        <w:adjustRightInd/>
      </w:pPr>
      <w:r w:rsidRPr="00ED54CE">
        <w:t>Control over the quality of data is maintained.</w:t>
      </w:r>
    </w:p>
    <w:p w:rsidR="0067050A" w:rsidRPr="00ED54CE" w:rsidP="00567B25" w14:paraId="68A9708E" w14:textId="474FE548">
      <w:pPr>
        <w:rPr>
          <w:lang w:eastAsia="x-none"/>
        </w:rPr>
      </w:pPr>
    </w:p>
    <w:p w:rsidR="0067050A" w:rsidRPr="00ED54CE" w:rsidP="00567B25" w14:paraId="5F1BD1FF" w14:textId="77777777">
      <w:pPr>
        <w:rPr>
          <w:lang w:eastAsia="x-none"/>
        </w:rPr>
      </w:pPr>
    </w:p>
    <w:p w:rsidR="00EE43A4" w:rsidRPr="00E7206A" w:rsidP="00567B25" w14:paraId="788CA535" w14:textId="77777777">
      <w:pPr>
        <w:pStyle w:val="Heading3"/>
        <w:spacing w:before="0"/>
        <w:rPr>
          <w:rFonts w:ascii="Times New Roman" w:hAnsi="Times New Roman"/>
          <w:sz w:val="24"/>
          <w:szCs w:val="24"/>
        </w:rPr>
      </w:pPr>
      <w:r w:rsidRPr="00E7206A">
        <w:rPr>
          <w:rFonts w:ascii="Times New Roman" w:hAnsi="Times New Roman"/>
          <w:sz w:val="24"/>
          <w:szCs w:val="24"/>
        </w:rPr>
        <w:t>Obtaining Access to and Support from Schools</w:t>
      </w:r>
    </w:p>
    <w:p w:rsidR="00EE43A4" w:rsidRPr="00ED54CE" w:rsidP="00105F6A" w14:paraId="46AAD126" w14:textId="77777777">
      <w:pPr>
        <w:ind w:firstLine="360"/>
      </w:pPr>
    </w:p>
    <w:p w:rsidR="00EE43A4" w:rsidRPr="00ED54CE" w:rsidP="00BF2BF3" w14:paraId="2226720D" w14:textId="603390A5">
      <w:r w:rsidRPr="00ED54CE">
        <w:t xml:space="preserve">All initial letters of invitation </w:t>
      </w:r>
      <w:r w:rsidRPr="00ED54CE" w:rsidR="0017260A">
        <w:t xml:space="preserve">to participate in the NYTS </w:t>
      </w:r>
      <w:r w:rsidRPr="00ED54CE">
        <w:t xml:space="preserve">will be on </w:t>
      </w:r>
      <w:r w:rsidR="00364148">
        <w:rPr>
          <w:rFonts w:eastAsia="Malgun Gothic" w:hint="eastAsia"/>
          <w:lang w:eastAsia="ko-KR"/>
        </w:rPr>
        <w:t>FDA</w:t>
      </w:r>
      <w:r w:rsidRPr="00ED54CE">
        <w:t xml:space="preserve"> letterhead from the </w:t>
      </w:r>
      <w:r w:rsidR="005F5072">
        <w:t>Food and Drug Administration</w:t>
      </w:r>
      <w:r w:rsidRPr="00ED54CE">
        <w:t xml:space="preserve"> and signed by </w:t>
      </w:r>
      <w:r w:rsidR="00364148">
        <w:rPr>
          <w:rFonts w:eastAsia="Malgun Gothic" w:hint="eastAsia"/>
          <w:lang w:eastAsia="ko-KR"/>
        </w:rPr>
        <w:t>Karen Cullen</w:t>
      </w:r>
      <w:r w:rsidRPr="00ED54CE" w:rsidR="00F957D8">
        <w:t xml:space="preserve">, </w:t>
      </w:r>
      <w:r w:rsidRPr="00ED54CE" w:rsidR="0017260A">
        <w:t>PhD</w:t>
      </w:r>
      <w:r w:rsidRPr="00ED54CE" w:rsidR="00F957D8">
        <w:t xml:space="preserve">, MPH, </w:t>
      </w:r>
      <w:r w:rsidRPr="00ED54CE" w:rsidR="0017260A">
        <w:t>Chief of the Epidemiology Branch</w:t>
      </w:r>
      <w:r w:rsidR="0017260A">
        <w:rPr>
          <w:rFonts w:eastAsia="Malgun Gothic"/>
          <w:lang w:eastAsia="ko-KR"/>
        </w:rPr>
        <w:t xml:space="preserve"> </w:t>
      </w:r>
      <w:r w:rsidR="00364148">
        <w:rPr>
          <w:rFonts w:eastAsia="Malgun Gothic" w:hint="eastAsia"/>
          <w:lang w:eastAsia="ko-KR"/>
        </w:rPr>
        <w:t>2</w:t>
      </w:r>
      <w:r w:rsidRPr="00ED54CE" w:rsidR="0017260A">
        <w:t xml:space="preserve"> </w:t>
      </w:r>
      <w:r w:rsidR="005F5072">
        <w:t>in</w:t>
      </w:r>
      <w:r w:rsidRPr="00ED54CE" w:rsidR="005F5072">
        <w:t xml:space="preserve"> </w:t>
      </w:r>
      <w:r w:rsidRPr="00ED54CE" w:rsidR="00F957D8">
        <w:t xml:space="preserve">the Office </w:t>
      </w:r>
      <w:r w:rsidR="00364148">
        <w:rPr>
          <w:rFonts w:eastAsia="Malgun Gothic" w:hint="eastAsia"/>
          <w:lang w:eastAsia="ko-KR"/>
        </w:rPr>
        <w:t>of Science</w:t>
      </w:r>
      <w:r w:rsidRPr="00ED54CE" w:rsidR="00F957D8">
        <w:t xml:space="preserve">, </w:t>
      </w:r>
      <w:r w:rsidR="00364148">
        <w:rPr>
          <w:rFonts w:eastAsia="Malgun Gothic" w:hint="eastAsia"/>
          <w:lang w:eastAsia="ko-KR"/>
        </w:rPr>
        <w:t>Center for Tobacco P</w:t>
      </w:r>
      <w:r w:rsidR="00364148">
        <w:rPr>
          <w:rFonts w:eastAsia="Malgun Gothic"/>
          <w:lang w:eastAsia="ko-KR"/>
        </w:rPr>
        <w:t>r</w:t>
      </w:r>
      <w:r w:rsidR="00364148">
        <w:rPr>
          <w:rFonts w:eastAsia="Malgun Gothic" w:hint="eastAsia"/>
          <w:lang w:eastAsia="ko-KR"/>
        </w:rPr>
        <w:t>oducts (CTP</w:t>
      </w:r>
      <w:r w:rsidRPr="00ED54CE" w:rsidR="0017260A">
        <w:t>)</w:t>
      </w:r>
      <w:r w:rsidRPr="00ED54CE">
        <w:t xml:space="preserve"> at </w:t>
      </w:r>
      <w:r w:rsidR="00364148">
        <w:rPr>
          <w:rFonts w:eastAsia="Malgun Gothic" w:hint="eastAsia"/>
          <w:lang w:eastAsia="ko-KR"/>
        </w:rPr>
        <w:t>the FDA</w:t>
      </w:r>
      <w:r w:rsidRPr="00ED54CE" w:rsidR="00A315CB">
        <w:t xml:space="preserve">. </w:t>
      </w:r>
      <w:r w:rsidRPr="00ED54CE">
        <w:t xml:space="preserve">The procedures for gaining access to </w:t>
      </w:r>
      <w:r w:rsidRPr="00ED54CE" w:rsidR="00815D1E">
        <w:t xml:space="preserve">and support from states, districts, and </w:t>
      </w:r>
      <w:r w:rsidRPr="00ED54CE">
        <w:t>schools will have three major steps:</w:t>
      </w:r>
    </w:p>
    <w:p w:rsidR="00EE43A4" w:rsidRPr="00ED54CE" w:rsidP="008850CF" w14:paraId="37F22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815D1E" w:rsidRPr="00ED54CE" w:rsidP="00815D1E" w14:paraId="6101B10B" w14:textId="2DB4DFD8">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First, support will be sought from State Education Agencies and State Departments of Health</w:t>
      </w:r>
      <w:r w:rsidRPr="00ED54CE" w:rsidR="00A315CB">
        <w:t xml:space="preserve">. </w:t>
      </w:r>
      <w:r w:rsidRPr="00ED54CE">
        <w:t>The initial request will be accompanied by a study fact sheet and a list of all sampled districts and schools in their jurisdiction</w:t>
      </w:r>
      <w:r w:rsidRPr="00ED54CE" w:rsidR="00A315CB">
        <w:t xml:space="preserve">. </w:t>
      </w:r>
      <w:r w:rsidRPr="00ED54CE">
        <w:t>States will be asked to provide general guidance on working with the selected school districts and schools and to notify school districts that they may anticipate bei</w:t>
      </w:r>
      <w:r w:rsidRPr="00ED54CE" w:rsidR="00A315CB">
        <w:t>ng contacted about the survey.</w:t>
      </w:r>
    </w:p>
    <w:p w:rsidR="00815D1E" w:rsidRPr="00ED54CE" w:rsidP="00815D1E" w14:paraId="18F1ECFB"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15D1E" w:rsidRPr="00ED54CE" w:rsidP="00815D1E" w14:paraId="141D27F0" w14:textId="0FCBAA20">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w:t>
      </w:r>
      <w:r w:rsidRPr="00ED54CE" w:rsidR="00A315CB">
        <w:t xml:space="preserve">. </w:t>
      </w:r>
      <w:r w:rsidRPr="00ED54CE">
        <w:t>Telephone contact will be made with the office comparable to the district office (e.g., diocesan office of education), if there is one</w:t>
      </w:r>
      <w:r w:rsidRPr="00ED54CE" w:rsidR="00245E68">
        <w:t>.</w:t>
      </w:r>
      <w:r w:rsidRPr="00ED54CE">
        <w:t xml:space="preserve"> </w:t>
      </w:r>
      <w:r w:rsidRPr="00ED54CE" w:rsidR="00A97D69">
        <w:t xml:space="preserve">Some districts require that a research proposal be submitted </w:t>
      </w:r>
      <w:r w:rsidRPr="00ED54CE" w:rsidR="00A009F2">
        <w:t>and approved to conduct scientific studies among their students</w:t>
      </w:r>
      <w:r w:rsidRPr="00ED54CE" w:rsidR="00CD4AC8">
        <w:t>.</w:t>
      </w:r>
      <w:r w:rsidRPr="00ED54CE" w:rsidR="00A97D69">
        <w:t xml:space="preserve"> </w:t>
      </w:r>
      <w:r w:rsidRPr="00ED54CE" w:rsidR="00227CB6">
        <w:t xml:space="preserve">The format, length, and timeline for these proposals varies by district. For these districts, sampled schools cannot be contacted for individual participation until the </w:t>
      </w:r>
      <w:r w:rsidRPr="00ED54CE" w:rsidR="007C7D4E">
        <w:t>data collection</w:t>
      </w:r>
      <w:r w:rsidRPr="00ED54CE" w:rsidR="00227CB6">
        <w:t xml:space="preserve"> proposal is approved. </w:t>
      </w:r>
    </w:p>
    <w:p w:rsidR="00815D1E" w:rsidRPr="00ED54CE" w:rsidP="00815D1E" w14:paraId="3D91D1FE" w14:textId="77777777">
      <w:pPr>
        <w:pStyle w:val="ListParagraph"/>
      </w:pPr>
    </w:p>
    <w:p w:rsidR="00815D1E" w:rsidRPr="00ED54CE" w:rsidP="00815D1E" w14:paraId="1E31D2C5" w14:textId="54633962">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Once cleared at the school district level, selected schools will be invited to participate</w:t>
      </w:r>
      <w:r w:rsidRPr="00ED54CE" w:rsidR="00A315CB">
        <w:t xml:space="preserve">. </w:t>
      </w:r>
      <w:r w:rsidRPr="00ED54CE">
        <w:t xml:space="preserve">Information previously obtained about the school will be verified. The burden and benefits of participation in the survey will be presented. After a school agrees to participate, a tailor-made plan for collection of data in the school will be developed (e.g., select classes, </w:t>
      </w:r>
      <w:r w:rsidRPr="00ED54CE" w:rsidR="00722FC7">
        <w:t>schedule a date for survey administration, etc.</w:t>
      </w:r>
      <w:r w:rsidRPr="00ED54CE">
        <w:t>). Well in advance of the agreed upon survey administration date, schools will receive the appropriate number of parental consent forms and instructions. Contact with schools will be maintained until all data collection activities have been completed.</w:t>
      </w:r>
    </w:p>
    <w:p w:rsidR="00815D1E" w:rsidRPr="00ED54CE" w:rsidP="00815D1E" w14:paraId="786F8CB4"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C79C1" w:rsidP="00F265A9" w14:paraId="1C226166" w14:textId="27EDD744">
      <w:r w:rsidRPr="00ED54CE">
        <w:t>Prior experience suggests the process of working with each state’s health and education agencies, school districts and schools will have unique features. Communication with each agency will recognize the organizational constraints and prevailing practices of the agency</w:t>
      </w:r>
      <w:r w:rsidRPr="00ED54CE" w:rsidR="00A315CB">
        <w:t xml:space="preserve">. </w:t>
      </w:r>
      <w:r w:rsidRPr="00ED54CE">
        <w:t>Scripts for use in guiding these discussions may be found in A</w:t>
      </w:r>
      <w:r w:rsidRPr="00ED54CE" w:rsidR="00722FC7">
        <w:t>ttachment</w:t>
      </w:r>
      <w:r w:rsidRPr="00ED54CE">
        <w:t xml:space="preserve"> </w:t>
      </w:r>
      <w:r w:rsidRPr="00ED54CE" w:rsidR="00A009F2">
        <w:t>D</w:t>
      </w:r>
      <w:r w:rsidRPr="00ED54CE" w:rsidR="00A759FC">
        <w:t>2</w:t>
      </w:r>
      <w:r w:rsidRPr="00ED54CE" w:rsidR="00A009F2">
        <w:t xml:space="preserve"> </w:t>
      </w:r>
      <w:r w:rsidRPr="00ED54CE">
        <w:t xml:space="preserve">(state-level), </w:t>
      </w:r>
      <w:r w:rsidRPr="00ED54CE" w:rsidR="00A009F2">
        <w:t>E</w:t>
      </w:r>
      <w:r w:rsidRPr="00ED54CE" w:rsidR="00A759FC">
        <w:t>2</w:t>
      </w:r>
      <w:r w:rsidRPr="00ED54CE" w:rsidR="00A009F2">
        <w:t xml:space="preserve"> </w:t>
      </w:r>
      <w:r w:rsidRPr="00ED54CE">
        <w:t xml:space="preserve">(district-level), and </w:t>
      </w:r>
      <w:r w:rsidRPr="00ED54CE" w:rsidR="00A009F2">
        <w:t>F</w:t>
      </w:r>
      <w:r w:rsidRPr="00ED54CE" w:rsidR="00A759FC">
        <w:t>3</w:t>
      </w:r>
      <w:r w:rsidRPr="00ED54CE" w:rsidR="00A009F2">
        <w:t xml:space="preserve"> </w:t>
      </w:r>
      <w:r w:rsidRPr="00ED54CE">
        <w:t xml:space="preserve">(school-level). </w:t>
      </w:r>
      <w:r w:rsidRPr="00ED54CE" w:rsidR="00701150">
        <w:t>C</w:t>
      </w:r>
      <w:r w:rsidRPr="00ED54CE">
        <w:t xml:space="preserve">opies of letters of invitation </w:t>
      </w:r>
      <w:r w:rsidRPr="00ED54CE" w:rsidR="00701150">
        <w:t xml:space="preserve">can be found in </w:t>
      </w:r>
      <w:r w:rsidRPr="00ED54CE" w:rsidR="00077AD1">
        <w:t>Attachment</w:t>
      </w:r>
      <w:r w:rsidRPr="00ED54CE" w:rsidR="00701150">
        <w:t xml:space="preserve"> </w:t>
      </w:r>
      <w:r w:rsidRPr="00ED54CE" w:rsidR="00A009F2">
        <w:t>D</w:t>
      </w:r>
      <w:r w:rsidRPr="00ED54CE" w:rsidR="00A759FC">
        <w:t>1</w:t>
      </w:r>
      <w:r w:rsidRPr="00ED54CE" w:rsidR="00A009F2">
        <w:t xml:space="preserve"> </w:t>
      </w:r>
      <w:r w:rsidRPr="00ED54CE" w:rsidR="00701150">
        <w:t>(s</w:t>
      </w:r>
      <w:r w:rsidRPr="00ED54CE">
        <w:t>tate</w:t>
      </w:r>
      <w:r w:rsidRPr="00ED54CE" w:rsidR="00701150">
        <w:t xml:space="preserve">-level); </w:t>
      </w:r>
      <w:r w:rsidRPr="00ED54CE" w:rsidR="00077AD1">
        <w:t>Attachment</w:t>
      </w:r>
      <w:r w:rsidRPr="00ED54CE" w:rsidR="00CD4AC8">
        <w:t xml:space="preserve"> </w:t>
      </w:r>
      <w:r w:rsidRPr="00ED54CE" w:rsidR="00A009F2">
        <w:t>E</w:t>
      </w:r>
      <w:r w:rsidRPr="00ED54CE" w:rsidR="00A759FC">
        <w:t>1</w:t>
      </w:r>
      <w:r w:rsidRPr="00ED54CE" w:rsidR="00701150">
        <w:t xml:space="preserve"> (</w:t>
      </w:r>
      <w:r w:rsidRPr="00ED54CE">
        <w:t>district</w:t>
      </w:r>
      <w:r w:rsidRPr="00ED54CE" w:rsidR="00701150">
        <w:t xml:space="preserve">-level); and </w:t>
      </w:r>
      <w:r w:rsidRPr="00ED54CE" w:rsidR="00077AD1">
        <w:t>Attachment</w:t>
      </w:r>
      <w:r w:rsidRPr="00ED54CE" w:rsidR="00701150">
        <w:t xml:space="preserve"> </w:t>
      </w:r>
      <w:r w:rsidRPr="00ED54CE" w:rsidR="00A009F2">
        <w:t>F</w:t>
      </w:r>
      <w:r w:rsidRPr="00ED54CE" w:rsidR="00A759FC">
        <w:t>1</w:t>
      </w:r>
      <w:r w:rsidRPr="00ED54CE" w:rsidR="00A009F2">
        <w:t xml:space="preserve"> </w:t>
      </w:r>
      <w:r w:rsidRPr="00ED54CE" w:rsidR="00701150">
        <w:t xml:space="preserve">(school-level). </w:t>
      </w:r>
      <w:r w:rsidRPr="00ED54CE" w:rsidR="00077AD1">
        <w:t>Attachment</w:t>
      </w:r>
      <w:r w:rsidRPr="00ED54CE" w:rsidR="00701150">
        <w:t xml:space="preserve"> </w:t>
      </w:r>
      <w:r w:rsidRPr="00ED54CE" w:rsidR="00A009F2">
        <w:t>F</w:t>
      </w:r>
      <w:r w:rsidRPr="00ED54CE" w:rsidR="00A759FC">
        <w:t>1</w:t>
      </w:r>
      <w:r w:rsidRPr="00ED54CE" w:rsidR="00A009F2">
        <w:t xml:space="preserve"> </w:t>
      </w:r>
      <w:r w:rsidRPr="00ED54CE" w:rsidR="00701150">
        <w:t xml:space="preserve">also contains </w:t>
      </w:r>
      <w:r w:rsidRPr="00ED54CE" w:rsidR="00416328">
        <w:t>a flyer about the study</w:t>
      </w:r>
      <w:r w:rsidRPr="00ED54CE" w:rsidR="00A315CB">
        <w:t xml:space="preserve">. </w:t>
      </w:r>
      <w:r w:rsidRPr="00ED54CE" w:rsidR="00667C9C">
        <w:t>In addition, in-person recruitment visits may be used to increase school participation as needed</w:t>
      </w:r>
      <w:r w:rsidRPr="00ED54CE" w:rsidR="00016B2D">
        <w:t xml:space="preserve">. </w:t>
      </w:r>
      <w:r w:rsidRPr="00ED54CE" w:rsidR="00667C9C">
        <w:t xml:space="preserve"> </w:t>
      </w:r>
    </w:p>
    <w:p w:rsidR="00CC5370" w:rsidRPr="00ED54CE" w:rsidP="00F265A9" w14:paraId="6A68064B" w14:textId="77777777"/>
    <w:p w:rsidR="00EE43A4" w:rsidRPr="00E7206A" w:rsidP="00531F22" w14:paraId="6DFF4F7B" w14:textId="77777777">
      <w:pPr>
        <w:pStyle w:val="Heading3"/>
        <w:spacing w:before="0" w:after="0"/>
        <w:rPr>
          <w:rFonts w:ascii="Times New Roman" w:hAnsi="Times New Roman"/>
          <w:sz w:val="24"/>
          <w:szCs w:val="24"/>
        </w:rPr>
      </w:pPr>
      <w:r w:rsidRPr="00E7206A">
        <w:rPr>
          <w:rFonts w:ascii="Times New Roman" w:hAnsi="Times New Roman"/>
          <w:sz w:val="24"/>
          <w:szCs w:val="24"/>
        </w:rPr>
        <w:t>Informed Consent</w:t>
      </w:r>
    </w:p>
    <w:p w:rsidR="00EE43A4" w:rsidRPr="00ED54CE" w:rsidP="00EE43A4" w14:paraId="7699222F" w14:textId="77777777"/>
    <w:p w:rsidR="00EE43A4" w:rsidRPr="00ED54CE" w:rsidP="0036110B" w14:paraId="6BC152B1" w14:textId="2DFC86E8">
      <w:r w:rsidRPr="00ED54CE">
        <w:t xml:space="preserve">Parental permission forms inform parents about the important activity in which the student </w:t>
      </w:r>
      <w:r w:rsidRPr="00ED54CE">
        <w:t>has the opportunity to</w:t>
      </w:r>
      <w:r w:rsidRPr="00ED54CE">
        <w:t xml:space="preserve"> participate. By providing adequate information about the </w:t>
      </w:r>
      <w:r w:rsidRPr="00ED54CE" w:rsidR="00245E68">
        <w:t xml:space="preserve">activity, </w:t>
      </w:r>
      <w:r w:rsidRPr="00ED54CE">
        <w:t xml:space="preserve">it </w:t>
      </w:r>
      <w:r w:rsidRPr="00ED54CE" w:rsidR="009C71C8">
        <w:t xml:space="preserve">helps </w:t>
      </w:r>
      <w:r w:rsidRPr="00ED54CE">
        <w:t xml:space="preserve">ensure that permission </w:t>
      </w:r>
      <w:r w:rsidRPr="00ED54CE" w:rsidR="002F1EF4">
        <w:t xml:space="preserve">to participate </w:t>
      </w:r>
      <w:r w:rsidRPr="00ED54CE">
        <w:t xml:space="preserve">will be informed. </w:t>
      </w:r>
      <w:r w:rsidRPr="00ED54CE" w:rsidR="00AA291C">
        <w:t xml:space="preserve">Copies </w:t>
      </w:r>
      <w:r w:rsidRPr="00ED54CE">
        <w:t xml:space="preserve">of the </w:t>
      </w:r>
      <w:r w:rsidRPr="00ED54CE" w:rsidR="00AA291C">
        <w:t xml:space="preserve">active and passive </w:t>
      </w:r>
      <w:r w:rsidRPr="00ED54CE">
        <w:t>permission form</w:t>
      </w:r>
      <w:r w:rsidRPr="00ED54CE" w:rsidR="00AA291C">
        <w:t>s</w:t>
      </w:r>
      <w:r w:rsidRPr="00ED54CE">
        <w:t xml:space="preserve"> </w:t>
      </w:r>
      <w:r w:rsidRPr="00ED54CE" w:rsidR="00AA291C">
        <w:t xml:space="preserve">are </w:t>
      </w:r>
      <w:r w:rsidRPr="00ED54CE">
        <w:t xml:space="preserve">contained in Appendices </w:t>
      </w:r>
      <w:r w:rsidRPr="00ED54CE" w:rsidR="00A009F2">
        <w:t>H</w:t>
      </w:r>
      <w:r w:rsidRPr="00ED54CE" w:rsidR="00CA1446">
        <w:t>2</w:t>
      </w:r>
      <w:r w:rsidRPr="00ED54CE" w:rsidR="00A009F2">
        <w:t xml:space="preserve"> </w:t>
      </w:r>
      <w:r w:rsidRPr="00ED54CE" w:rsidR="00AA291C">
        <w:t>and H</w:t>
      </w:r>
      <w:r w:rsidRPr="00ED54CE" w:rsidR="00CA1446">
        <w:t>3</w:t>
      </w:r>
      <w:r w:rsidRPr="00ED54CE" w:rsidR="00AA291C">
        <w:t xml:space="preserve"> </w:t>
      </w:r>
      <w:r w:rsidRPr="00ED54CE">
        <w:t>(English version</w:t>
      </w:r>
      <w:r w:rsidRPr="00ED54CE" w:rsidR="00AA291C">
        <w:t>s</w:t>
      </w:r>
      <w:r w:rsidRPr="00ED54CE">
        <w:t xml:space="preserve">) and </w:t>
      </w:r>
      <w:r w:rsidRPr="00ED54CE" w:rsidR="00AA291C">
        <w:t>H</w:t>
      </w:r>
      <w:r w:rsidRPr="00ED54CE" w:rsidR="00CA1446">
        <w:t>4</w:t>
      </w:r>
      <w:r w:rsidRPr="00ED54CE" w:rsidR="00AA291C">
        <w:t xml:space="preserve"> and H</w:t>
      </w:r>
      <w:r w:rsidRPr="00ED54CE" w:rsidR="00CA1446">
        <w:t>5</w:t>
      </w:r>
      <w:r w:rsidRPr="00ED54CE" w:rsidR="00AA291C">
        <w:t xml:space="preserve"> </w:t>
      </w:r>
      <w:r w:rsidRPr="00ED54CE">
        <w:t>(Spanish version</w:t>
      </w:r>
      <w:r w:rsidRPr="00ED54CE" w:rsidR="00AA291C">
        <w:t>s</w:t>
      </w:r>
      <w:r w:rsidRPr="00ED54CE">
        <w:t>)</w:t>
      </w:r>
      <w:r w:rsidRPr="00ED54CE" w:rsidR="00416328">
        <w:t>, accompanied by a study fact sheet</w:t>
      </w:r>
      <w:r w:rsidRPr="00ED54CE">
        <w:t>. In accord</w:t>
      </w:r>
      <w:r w:rsidRPr="00ED54CE" w:rsidR="00815D1E">
        <w:t>ance</w:t>
      </w:r>
      <w:r w:rsidRPr="00ED54CE">
        <w:t xml:space="preserve"> with the No Child Left </w:t>
      </w:r>
      <w:r w:rsidRPr="00ED54CE">
        <w:t>Behind Act, the permission form</w:t>
      </w:r>
      <w:r w:rsidRPr="00ED54CE" w:rsidR="00360290">
        <w:t>s</w:t>
      </w:r>
      <w:r w:rsidRPr="00ED54CE">
        <w:t xml:space="preserve"> indicate that a copy of the questionnaire will be available for review by parents at their child’s school.</w:t>
      </w:r>
      <w:r w:rsidRPr="00ED54CE" w:rsidR="000A4A6C">
        <w:t xml:space="preserve"> Parental forms are either active (all students who wish to participate must return a signed form) or passive (parents who do not want their child to participate return the form). These forms do not include student name to protect the privacy of the respondents. </w:t>
      </w:r>
    </w:p>
    <w:p w:rsidR="000C0EF3" w:rsidRPr="00ED54CE" w:rsidP="0036110B" w14:paraId="728E469C" w14:textId="77777777"/>
    <w:p w:rsidR="00EE43A4" w:rsidRPr="00ED54CE" w:rsidP="0036110B" w14:paraId="5737C7AE" w14:textId="444856AE">
      <w:r w:rsidRPr="00ED54CE">
        <w:t xml:space="preserve">A waiver of written student assent </w:t>
      </w:r>
      <w:r w:rsidRPr="00ED54CE" w:rsidR="002F1EF4">
        <w:t>is</w:t>
      </w:r>
      <w:r w:rsidRPr="00ED54CE">
        <w:t xml:space="preserve"> obtained for the participation of children because this </w:t>
      </w:r>
      <w:r w:rsidRPr="00ED54CE" w:rsidR="007C7D4E">
        <w:t>surveillance</w:t>
      </w:r>
      <w:r w:rsidRPr="00ED54CE">
        <w:t xml:space="preserve"> presents no more than minimal risk to subjects</w:t>
      </w:r>
      <w:r w:rsidRPr="00ED54CE" w:rsidR="002F1EF4">
        <w:t>;</w:t>
      </w:r>
      <w:r w:rsidRPr="00ED54CE">
        <w:t xml:space="preserve"> parental permission is required for participation</w:t>
      </w:r>
      <w:r w:rsidRPr="00ED54CE" w:rsidR="00F253EB">
        <w:t>. T</w:t>
      </w:r>
      <w:r w:rsidRPr="00ED54CE">
        <w: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rsidRPr="00ED54CE" w:rsidR="00A315CB">
        <w:t xml:space="preserve">. </w:t>
      </w:r>
      <w:r w:rsidRPr="00ED54CE">
        <w:t>Students are told “Participating in this survey is voluntary and your grade in this class will not be affected, whether or not you answer the questions.” Completion of the survey implies student assent.</w:t>
      </w:r>
    </w:p>
    <w:p w:rsidR="00765D8F" w:rsidRPr="00ED54CE" w:rsidP="0036110B" w14:paraId="11F4458A" w14:textId="67D031E8"/>
    <w:p w:rsidR="00765D8F" w:rsidRPr="00ED54CE" w:rsidP="0036110B" w14:paraId="235A7034" w14:textId="5B3695B0">
      <w:r w:rsidRPr="00ED54CE">
        <w:t xml:space="preserve">The NYTS is required by law to notify parents of students selected for NYTS surveys that their child has been </w:t>
      </w:r>
      <w:r w:rsidRPr="00ED54CE">
        <w:t>selected</w:t>
      </w:r>
      <w:r w:rsidRPr="00ED54CE">
        <w:t xml:space="preserve">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rsidR="006A50CE" w:rsidRPr="00ED54CE" w:rsidP="0036110B" w14:paraId="5F8F2D77" w14:textId="77777777"/>
    <w:p w:rsidR="00765D8F" w:rsidRPr="00ED54CE" w:rsidP="007D7FA0" w14:paraId="12D01F60" w14:textId="51BFA59E">
      <w:pPr>
        <w:pStyle w:val="Bullet-Square"/>
        <w:numPr>
          <w:ilvl w:val="0"/>
          <w:numId w:val="17"/>
        </w:numPr>
        <w:tabs>
          <w:tab w:val="clear" w:pos="360"/>
        </w:tabs>
        <w:spacing w:after="0"/>
        <w:rPr>
          <w:szCs w:val="24"/>
        </w:rPr>
      </w:pPr>
      <w:r w:rsidRPr="00ED54CE">
        <w:rPr>
          <w:szCs w:val="24"/>
        </w:rPr>
        <w:t>this school will be participating in</w:t>
      </w:r>
      <w:r w:rsidRPr="00ED54CE" w:rsidR="003046E3">
        <w:rPr>
          <w:szCs w:val="24"/>
        </w:rPr>
        <w:t xml:space="preserve"> the</w:t>
      </w:r>
      <w:r w:rsidRPr="00ED54CE">
        <w:rPr>
          <w:szCs w:val="24"/>
        </w:rPr>
        <w:t xml:space="preserve"> </w:t>
      </w:r>
      <w:r w:rsidRPr="00ED54CE">
        <w:rPr>
          <w:szCs w:val="24"/>
        </w:rPr>
        <w:t>NYTS</w:t>
      </w:r>
      <w:r w:rsidRPr="00ED54CE">
        <w:rPr>
          <w:szCs w:val="24"/>
        </w:rPr>
        <w:t xml:space="preserve"> and your child’s classroom may be/is selected to participate;</w:t>
      </w:r>
    </w:p>
    <w:p w:rsidR="00765D8F" w:rsidRPr="00ED54CE" w:rsidP="007D7FA0" w14:paraId="555063FD" w14:textId="068C80A6">
      <w:pPr>
        <w:pStyle w:val="Bullet-Square"/>
        <w:numPr>
          <w:ilvl w:val="0"/>
          <w:numId w:val="17"/>
        </w:numPr>
        <w:tabs>
          <w:tab w:val="clear" w:pos="360"/>
        </w:tabs>
        <w:spacing w:after="0"/>
        <w:rPr>
          <w:szCs w:val="24"/>
        </w:rPr>
      </w:pPr>
      <w:r w:rsidRPr="00ED54CE">
        <w:rPr>
          <w:szCs w:val="24"/>
        </w:rPr>
        <w:t xml:space="preserve">a brief description of the nature and importance of </w:t>
      </w:r>
      <w:r w:rsidRPr="00ED54CE" w:rsidR="003046E3">
        <w:rPr>
          <w:szCs w:val="24"/>
        </w:rPr>
        <w:t xml:space="preserve">the </w:t>
      </w:r>
      <w:r w:rsidRPr="00ED54CE">
        <w:rPr>
          <w:szCs w:val="24"/>
        </w:rPr>
        <w:t>NYTS;</w:t>
      </w:r>
    </w:p>
    <w:p w:rsidR="00765D8F" w:rsidRPr="00ED54CE" w:rsidP="007D7FA0" w14:paraId="0818D102" w14:textId="77777777">
      <w:pPr>
        <w:pStyle w:val="Bullet-Square"/>
        <w:numPr>
          <w:ilvl w:val="0"/>
          <w:numId w:val="17"/>
        </w:numPr>
        <w:tabs>
          <w:tab w:val="clear" w:pos="360"/>
        </w:tabs>
        <w:spacing w:after="0"/>
        <w:rPr>
          <w:szCs w:val="24"/>
        </w:rPr>
      </w:pPr>
      <w:r w:rsidRPr="00ED54CE">
        <w:rPr>
          <w:szCs w:val="24"/>
        </w:rPr>
        <w:t xml:space="preserve">all responses are </w:t>
      </w:r>
      <w:r w:rsidRPr="00ED54CE" w:rsidR="00853568">
        <w:rPr>
          <w:szCs w:val="24"/>
        </w:rPr>
        <w:t>confidential,</w:t>
      </w:r>
      <w:r w:rsidRPr="00ED54CE">
        <w:rPr>
          <w:szCs w:val="24"/>
        </w:rPr>
        <w:t xml:space="preserve"> and results will not be reported to or about individual students or schools; and</w:t>
      </w:r>
    </w:p>
    <w:p w:rsidR="00765D8F" w:rsidRPr="00ED54CE" w:rsidP="007D7FA0" w14:paraId="3B16E303" w14:textId="77777777">
      <w:pPr>
        <w:pStyle w:val="Bullet-Square"/>
        <w:numPr>
          <w:ilvl w:val="0"/>
          <w:numId w:val="17"/>
        </w:numPr>
        <w:tabs>
          <w:tab w:val="clear" w:pos="360"/>
        </w:tabs>
        <w:spacing w:after="0"/>
        <w:rPr>
          <w:szCs w:val="24"/>
        </w:rPr>
      </w:pPr>
      <w:r w:rsidRPr="00ED54CE">
        <w:rPr>
          <w:szCs w:val="24"/>
        </w:rPr>
        <w:t xml:space="preserve">your child may be excused from participation for any reason, is not required to finish the survey, and is not required to answer any test questions. </w:t>
      </w:r>
    </w:p>
    <w:p w:rsidR="00765D8F" w:rsidRPr="00ED54CE" w:rsidP="000C0EF3" w14:paraId="780FC726" w14:textId="77777777">
      <w:pPr>
        <w:ind w:firstLine="720"/>
      </w:pPr>
    </w:p>
    <w:p w:rsidR="009B11ED" w:rsidRPr="00094AA0" w:rsidP="009036C2" w14:paraId="53D7784D" w14:textId="187A3E49">
      <w:pPr>
        <w:rPr>
          <w:rFonts w:eastAsia="Malgun Gothic"/>
          <w:lang w:eastAsia="ko-KR"/>
        </w:rPr>
      </w:pPr>
      <w:r>
        <w:t xml:space="preserve">Parental permission forms will be sent home with students </w:t>
      </w:r>
      <w:r w:rsidR="000A4A6C">
        <w:t>or e-mailed</w:t>
      </w:r>
      <w:r>
        <w:t>. Teachers</w:t>
      </w:r>
      <w:r w:rsidR="00245E68">
        <w:rPr>
          <w:rFonts w:eastAsia="Malgun Gothic"/>
        </w:rPr>
        <w:t xml:space="preserve"> </w:t>
      </w:r>
      <w:r>
        <w:t>will still be required to track permission forms as they come back</w:t>
      </w:r>
      <w:r w:rsidR="00D74DFD">
        <w:t xml:space="preserve">. Only students who receive parental permission will be allowed to participate. As with previous administrations, no names will be collected as part of </w:t>
      </w:r>
      <w:r w:rsidR="00010E3F">
        <w:t>the</w:t>
      </w:r>
      <w:r w:rsidR="00D74DFD">
        <w:t xml:space="preserve"> procedures. </w:t>
      </w:r>
    </w:p>
    <w:p w:rsidR="009036C2" w:rsidRPr="00ED54CE" w:rsidP="00DB4EED" w14:paraId="0FEE1ED9" w14:textId="77777777"/>
    <w:p w:rsidR="00EE43A4" w:rsidRPr="00E7206A" w:rsidP="0036110B" w14:paraId="1841E21E" w14:textId="77777777">
      <w:pPr>
        <w:pStyle w:val="Heading3"/>
        <w:spacing w:before="0"/>
        <w:rPr>
          <w:rFonts w:ascii="Times New Roman" w:hAnsi="Times New Roman"/>
          <w:sz w:val="24"/>
          <w:szCs w:val="24"/>
        </w:rPr>
      </w:pPr>
      <w:r w:rsidRPr="00E7206A">
        <w:rPr>
          <w:rFonts w:ascii="Times New Roman" w:hAnsi="Times New Roman"/>
          <w:sz w:val="24"/>
          <w:szCs w:val="24"/>
        </w:rPr>
        <w:t>Quality Control</w:t>
      </w:r>
    </w:p>
    <w:p w:rsidR="00EE43A4" w:rsidRPr="00ED54CE" w:rsidP="00EE43A4" w14:paraId="328C57D7" w14:textId="77777777"/>
    <w:p w:rsidR="00D74DFD" w:rsidRPr="00ED54CE" w:rsidP="0036110B" w14:paraId="75DAF7D8" w14:textId="48AC1C38">
      <w:pPr>
        <w:spacing w:line="228" w:lineRule="auto"/>
      </w:pPr>
      <w:r w:rsidRPr="00ED54CE">
        <w:t>Table</w:t>
      </w:r>
      <w:r w:rsidR="005716FA">
        <w:t xml:space="preserve"> </w:t>
      </w:r>
      <w:r w:rsidRPr="00ED54CE" w:rsidR="00811E49">
        <w:t>1</w:t>
      </w:r>
      <w:r w:rsidRPr="00ED54CE">
        <w:t xml:space="preserve"> lists the major means of quality control</w:t>
      </w:r>
      <w:r w:rsidRPr="00ED54CE" w:rsidR="00245E68">
        <w:t>.</w:t>
      </w:r>
      <w:r w:rsidRPr="00ED54CE">
        <w:t xml:space="preserve"> As shown, the task of collecting quality data begins with a clear and explicit study protocol, is supplemented with accurate programming of the NYTS questionnaire, and concludes with the regular submission of data records to a secure repository</w:t>
      </w:r>
      <w:r w:rsidRPr="00ED54CE" w:rsidR="00A315CB">
        <w:t xml:space="preserve">. </w:t>
      </w:r>
      <w:r w:rsidRPr="00ED54CE">
        <w:t xml:space="preserve">In between these activities, and </w:t>
      </w:r>
      <w:r w:rsidRPr="00ED54CE">
        <w:t>subsequent to</w:t>
      </w:r>
      <w:r w:rsidRPr="00ED54CE">
        <w:t xml:space="preserve"> </w:t>
      </w:r>
      <w:r w:rsidRPr="00ED54CE" w:rsidR="00432903">
        <w:t>NYTS Study Liaison</w:t>
      </w:r>
      <w:r w:rsidRPr="00ED54CE">
        <w:t xml:space="preserve"> training, measures must be taken to reinforce training, to assist </w:t>
      </w:r>
      <w:r w:rsidRPr="00ED54CE" w:rsidR="00CA1446">
        <w:t>Study Liaisons</w:t>
      </w:r>
      <w:r w:rsidRPr="00ED54CE" w:rsidR="00DB4EED">
        <w:t xml:space="preserve"> </w:t>
      </w:r>
      <w:r w:rsidRPr="00ED54CE">
        <w:t xml:space="preserve">who express/exhibit difficulties completing data collection activities, and to check on data collection techniques. Also, </w:t>
      </w:r>
      <w:r w:rsidRPr="00ED54CE" w:rsidR="00245E68">
        <w:t>early</w:t>
      </w:r>
      <w:r w:rsidRPr="00ED54CE">
        <w:t xml:space="preserve"> </w:t>
      </w:r>
      <w:r w:rsidRPr="00ED54CE" w:rsidR="00432903">
        <w:t xml:space="preserve">and regular </w:t>
      </w:r>
      <w:r w:rsidRPr="00ED54CE" w:rsidR="00245E68">
        <w:t>inspection</w:t>
      </w:r>
      <w:r w:rsidRPr="00ED54CE">
        <w:t xml:space="preserve"> of a preliminary data set </w:t>
      </w:r>
      <w:r w:rsidRPr="00ED54CE" w:rsidR="0017260A">
        <w:t xml:space="preserve">is </w:t>
      </w:r>
      <w:r w:rsidRPr="00ED54CE">
        <w:t>necessary to ensure data integrity</w:t>
      </w:r>
      <w:r w:rsidRPr="00ED54CE" w:rsidR="00A315CB">
        <w:t xml:space="preserve">. </w:t>
      </w:r>
      <w:r w:rsidRPr="00ED54CE">
        <w:t xml:space="preserve">Because the </w:t>
      </w:r>
      <w:r w:rsidRPr="00ED54CE">
        <w:t>ultimate aim</w:t>
      </w:r>
      <w:r w:rsidRPr="00ED54CE">
        <w:t xml:space="preserve"> is production of a </w:t>
      </w:r>
      <w:r w:rsidRPr="00ED54CE" w:rsidR="0017260A">
        <w:t>high-</w:t>
      </w:r>
      <w:r w:rsidRPr="00ED54CE">
        <w:t>quality data set and reports, various quality assurance activities will be applied dur</w:t>
      </w:r>
      <w:r w:rsidRPr="00ED54CE" w:rsidR="00A315CB">
        <w:t>ing the data collection phase.</w:t>
      </w:r>
    </w:p>
    <w:p w:rsidR="00282312" w:rsidRPr="00ED54CE" w:rsidP="00282312" w14:paraId="5E14AD85" w14:textId="77777777"/>
    <w:p w:rsidR="00282312" w:rsidRPr="00ED54CE" w:rsidP="00120D48" w14:paraId="5A51A87F" w14:textId="24B42547">
      <w:pPr>
        <w:pStyle w:val="BodyText"/>
        <w:ind w:firstLine="0"/>
        <w:rPr>
          <w:b/>
          <w:bCs/>
        </w:rPr>
      </w:pPr>
      <w:r w:rsidRPr="00ED54CE">
        <w:rPr>
          <w:b/>
          <w:bCs/>
        </w:rPr>
        <w:t xml:space="preserve">Table </w:t>
      </w:r>
      <w:r w:rsidRPr="00ED54CE" w:rsidR="00811E49">
        <w:rPr>
          <w:b/>
          <w:bCs/>
          <w:lang w:val="en-US"/>
        </w:rPr>
        <w:t>1</w:t>
      </w:r>
      <w:r w:rsidRPr="00ED54CE" w:rsidR="00900140">
        <w:rPr>
          <w:b/>
          <w:bCs/>
          <w:lang w:val="en-US"/>
        </w:rPr>
        <w:t xml:space="preserve">: </w:t>
      </w:r>
      <w:r w:rsidRPr="00ED54CE">
        <w:rPr>
          <w:b/>
          <w:bCs/>
        </w:rPr>
        <w:t>Major Means of Quality Control</w:t>
      </w:r>
    </w:p>
    <w:tbl>
      <w:tblPr>
        <w:tblW w:w="9194" w:type="dxa"/>
        <w:tblInd w:w="120" w:type="dxa"/>
        <w:tblCellMar>
          <w:left w:w="0" w:type="dxa"/>
          <w:right w:w="0" w:type="dxa"/>
        </w:tblCellMar>
        <w:tblLook w:val="04A0"/>
      </w:tblPr>
      <w:tblGrid>
        <w:gridCol w:w="2051"/>
        <w:gridCol w:w="7143"/>
      </w:tblGrid>
      <w:tr w14:paraId="56DB5540" w14:textId="77777777" w:rsidTr="00F617BC">
        <w:tblPrEx>
          <w:tblW w:w="9194" w:type="dxa"/>
          <w:tblInd w:w="120" w:type="dxa"/>
          <w:tblCellMar>
            <w:left w:w="0" w:type="dxa"/>
            <w:right w:w="0" w:type="dxa"/>
          </w:tblCellMar>
          <w:tblLook w:val="04A0"/>
        </w:tblPrEx>
        <w:trPr>
          <w:cantSplit/>
          <w:tblHeader/>
        </w:trPr>
        <w:tc>
          <w:tcPr>
            <w:tcW w:w="2051" w:type="dxa"/>
            <w:tcBorders>
              <w:top w:val="double" w:sz="6" w:space="0" w:color="000000"/>
              <w:left w:val="double" w:sz="6" w:space="0" w:color="000000"/>
              <w:bottom w:val="double" w:sz="6" w:space="0" w:color="000000"/>
              <w:right w:val="single" w:sz="8" w:space="0" w:color="000000"/>
            </w:tcBorders>
            <w:tcMar>
              <w:top w:w="0" w:type="dxa"/>
              <w:left w:w="120" w:type="dxa"/>
              <w:bottom w:w="0" w:type="dxa"/>
              <w:right w:w="120" w:type="dxa"/>
            </w:tcMar>
            <w:hideMark/>
          </w:tcPr>
          <w:p w:rsidR="00282312" w:rsidRPr="00ED54CE" w:rsidP="007D2906" w14:paraId="09BA0088" w14:textId="77777777">
            <w:pPr>
              <w:spacing w:before="120"/>
              <w:rPr>
                <w:color w:val="000000"/>
              </w:rPr>
            </w:pPr>
            <w:r w:rsidRPr="00ED54CE">
              <w:rPr>
                <w:b/>
                <w:bCs/>
                <w:color w:val="000000"/>
              </w:rPr>
              <w:t>Survey Step</w:t>
            </w:r>
          </w:p>
        </w:tc>
        <w:tc>
          <w:tcPr>
            <w:tcW w:w="7143" w:type="dxa"/>
            <w:tcBorders>
              <w:top w:val="double" w:sz="6" w:space="0" w:color="000000"/>
              <w:left w:val="nil"/>
              <w:bottom w:val="double" w:sz="6" w:space="0" w:color="000000"/>
              <w:right w:val="double" w:sz="6" w:space="0" w:color="000000"/>
            </w:tcBorders>
            <w:tcMar>
              <w:top w:w="0" w:type="dxa"/>
              <w:left w:w="120" w:type="dxa"/>
              <w:bottom w:w="0" w:type="dxa"/>
              <w:right w:w="120" w:type="dxa"/>
            </w:tcMar>
            <w:hideMark/>
          </w:tcPr>
          <w:p w:rsidR="00282312" w:rsidRPr="00ED54CE" w:rsidP="007D2906" w14:paraId="3FB32691" w14:textId="77777777">
            <w:pPr>
              <w:spacing w:before="120"/>
              <w:rPr>
                <w:color w:val="000000"/>
              </w:rPr>
            </w:pPr>
            <w:r w:rsidRPr="00ED54CE">
              <w:rPr>
                <w:b/>
                <w:bCs/>
                <w:color w:val="000000"/>
              </w:rPr>
              <w:t>Quality Control Procedures</w:t>
            </w:r>
          </w:p>
        </w:tc>
      </w:tr>
      <w:tr w14:paraId="4DD2D6C4"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37626A84" w14:textId="77777777">
            <w:pPr>
              <w:spacing w:before="120"/>
              <w:rPr>
                <w:color w:val="000000"/>
              </w:rPr>
            </w:pPr>
            <w:r w:rsidRPr="00ED54CE">
              <w:rPr>
                <w:color w:val="000000"/>
              </w:rPr>
              <w:t>Mailing to Districts and School</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559D23DE" w14:textId="39858DB9">
            <w:pPr>
              <w:widowControl/>
              <w:numPr>
                <w:ilvl w:val="0"/>
                <w:numId w:val="9"/>
              </w:numPr>
              <w:adjustRightInd/>
              <w:rPr>
                <w:color w:val="000000"/>
              </w:rPr>
            </w:pPr>
            <w:r w:rsidRPr="00ED54CE">
              <w:rPr>
                <w:color w:val="000000"/>
              </w:rPr>
              <w:t>Validate district and school sample to verify/update contact information of district/diocese/school leadership (100%)</w:t>
            </w:r>
          </w:p>
          <w:p w:rsidR="00432903" w:rsidRPr="00ED54CE" w:rsidP="00282312" w14:paraId="539AC35A" w14:textId="1677D407">
            <w:pPr>
              <w:widowControl/>
              <w:numPr>
                <w:ilvl w:val="0"/>
                <w:numId w:val="9"/>
              </w:numPr>
              <w:adjustRightInd/>
              <w:rPr>
                <w:color w:val="000000"/>
              </w:rPr>
            </w:pPr>
            <w:r w:rsidRPr="00ED54CE">
              <w:rPr>
                <w:color w:val="000000"/>
              </w:rPr>
              <w:t>Verify school selection of hard-copy vs electronic receipt of materials</w:t>
            </w:r>
          </w:p>
          <w:p w:rsidR="00432903" w:rsidRPr="00ED54CE" w:rsidP="00432903" w14:paraId="29CEBC99" w14:textId="60FFC2DA">
            <w:pPr>
              <w:widowControl/>
              <w:numPr>
                <w:ilvl w:val="0"/>
                <w:numId w:val="9"/>
              </w:numPr>
              <w:adjustRightInd/>
              <w:rPr>
                <w:color w:val="000000"/>
              </w:rPr>
            </w:pPr>
            <w:r w:rsidRPr="00ED54CE">
              <w:rPr>
                <w:color w:val="000000"/>
              </w:rPr>
              <w:t>For hard copy materials, c</w:t>
            </w:r>
            <w:r w:rsidRPr="00ED54CE" w:rsidR="00282312">
              <w:rPr>
                <w:color w:val="000000"/>
              </w:rPr>
              <w:t>heck inner vs. outer label for agreement in correspondence (5% sample)</w:t>
            </w:r>
          </w:p>
          <w:p w:rsidR="00282312" w:rsidRPr="00ED54CE" w:rsidP="00282312" w14:paraId="2B5DF027" w14:textId="77777777">
            <w:pPr>
              <w:widowControl/>
              <w:numPr>
                <w:ilvl w:val="0"/>
                <w:numId w:val="9"/>
              </w:numPr>
              <w:adjustRightInd/>
              <w:rPr>
                <w:color w:val="000000"/>
              </w:rPr>
            </w:pPr>
            <w:r w:rsidRPr="00ED54CE">
              <w:rPr>
                <w:color w:val="000000"/>
              </w:rPr>
              <w:t>Verify that any errors in packaging were not systematic (100%)</w:t>
            </w:r>
          </w:p>
        </w:tc>
      </w:tr>
      <w:tr w14:paraId="116F6EFC"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282312" w:rsidRPr="00ED54CE" w:rsidP="007D2906" w14:paraId="2C860BCC" w14:textId="58407D08">
            <w:r w:rsidRPr="00ED54CE">
              <w:t>Follow-up</w:t>
            </w:r>
            <w:r w:rsidRPr="00ED54CE" w:rsidR="009D3184">
              <w:t xml:space="preserve"> with School</w:t>
            </w:r>
            <w:r w:rsidRPr="00ED54CE">
              <w:t xml:space="preserve"> Contacts</w:t>
            </w:r>
          </w:p>
        </w:tc>
        <w:tc>
          <w:tcPr>
            <w:tcW w:w="7143" w:type="dxa"/>
            <w:tcBorders>
              <w:top w:val="nil"/>
              <w:left w:val="nil"/>
              <w:bottom w:val="single" w:sz="8" w:space="0" w:color="auto"/>
              <w:right w:val="double" w:sz="4" w:space="0" w:color="auto"/>
            </w:tcBorders>
            <w:tcMar>
              <w:top w:w="0" w:type="dxa"/>
              <w:left w:w="108" w:type="dxa"/>
              <w:bottom w:w="0" w:type="dxa"/>
              <w:right w:w="108" w:type="dxa"/>
            </w:tcMar>
            <w:hideMark/>
          </w:tcPr>
          <w:p w:rsidR="00282312" w:rsidRPr="00ED54CE" w:rsidP="00282312" w14:paraId="2D7F6ED9" w14:textId="6304E9B5">
            <w:pPr>
              <w:widowControl/>
              <w:numPr>
                <w:ilvl w:val="0"/>
                <w:numId w:val="9"/>
              </w:numPr>
              <w:adjustRightInd/>
              <w:rPr>
                <w:color w:val="000000"/>
              </w:rPr>
            </w:pPr>
            <w:r w:rsidRPr="00ED54CE">
              <w:rPr>
                <w:color w:val="000000"/>
              </w:rPr>
              <w:t xml:space="preserve">Monitor early sample of </w:t>
            </w:r>
            <w:r w:rsidRPr="00ED54CE" w:rsidR="009D3184">
              <w:rPr>
                <w:color w:val="000000"/>
              </w:rPr>
              <w:t xml:space="preserve">recruitment inquiries </w:t>
            </w:r>
            <w:r w:rsidRPr="00ED54CE">
              <w:rPr>
                <w:color w:val="000000"/>
              </w:rPr>
              <w:t>to ensure that the recruiter follows procedures, elicits proper information, and has proper demeanor (10%)</w:t>
            </w:r>
          </w:p>
          <w:p w:rsidR="00282312" w:rsidRPr="00ED54CE" w:rsidP="00282312" w14:paraId="0CCC373A" w14:textId="77777777">
            <w:pPr>
              <w:widowControl/>
              <w:numPr>
                <w:ilvl w:val="0"/>
                <w:numId w:val="9"/>
              </w:numPr>
              <w:adjustRightInd/>
              <w:rPr>
                <w:color w:val="000000"/>
              </w:rPr>
            </w:pPr>
            <w:r w:rsidRPr="00ED54CE">
              <w:rPr>
                <w:color w:val="000000"/>
              </w:rPr>
              <w:t>Perform spot checks on recruiters’ class selection outcomes to confirm procedures were implemented according to protocol (10%)</w:t>
            </w:r>
          </w:p>
        </w:tc>
      </w:tr>
      <w:tr w14:paraId="58A2D1E1"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7B0174E3" w14:textId="30D968A4">
            <w:pPr>
              <w:spacing w:before="120"/>
              <w:rPr>
                <w:color w:val="000000"/>
              </w:rPr>
            </w:pPr>
            <w:r w:rsidRPr="00ED54CE">
              <w:rPr>
                <w:color w:val="000000"/>
              </w:rPr>
              <w:t>Pre-</w:t>
            </w:r>
            <w:r w:rsidRPr="00ED54CE" w:rsidR="00531F22">
              <w:rPr>
                <w:color w:val="000000"/>
              </w:rPr>
              <w:t xml:space="preserve">Fielding </w:t>
            </w:r>
            <w:r w:rsidRPr="00ED54CE">
              <w:rPr>
                <w:color w:val="000000"/>
              </w:rPr>
              <w:t>Logistics</w:t>
            </w:r>
          </w:p>
          <w:p w:rsidR="00282312" w:rsidRPr="00ED54CE" w:rsidP="007D2906" w14:paraId="01EE2347" w14:textId="77777777">
            <w:pPr>
              <w:rPr>
                <w:color w:val="000000"/>
              </w:rPr>
            </w:pPr>
            <w:r w:rsidRPr="00ED54CE">
              <w:rPr>
                <w:color w:val="000000"/>
              </w:rPr>
              <w:t>Verification</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27CC032E" w14:textId="2CC8D941">
            <w:pPr>
              <w:widowControl/>
              <w:numPr>
                <w:ilvl w:val="0"/>
                <w:numId w:val="9"/>
              </w:numPr>
              <w:adjustRightInd/>
              <w:rPr>
                <w:color w:val="000000"/>
              </w:rPr>
            </w:pPr>
            <w:r w:rsidRPr="00ED54CE">
              <w:rPr>
                <w:color w:val="000000"/>
              </w:rPr>
              <w:t xml:space="preserve">Review data collection procedures with school personnel in each school to ensure that all preparatory activities are performed properly in advance of </w:t>
            </w:r>
            <w:r w:rsidRPr="00ED54CE" w:rsidR="009D3184">
              <w:rPr>
                <w:color w:val="000000"/>
              </w:rPr>
              <w:t>survey fielding</w:t>
            </w:r>
            <w:r w:rsidRPr="00ED54CE" w:rsidR="00581AC1">
              <w:rPr>
                <w:color w:val="000000"/>
              </w:rPr>
              <w:t xml:space="preserve"> </w:t>
            </w:r>
            <w:r w:rsidRPr="00ED54CE">
              <w:rPr>
                <w:color w:val="000000"/>
              </w:rPr>
              <w:t>(e.g., distribution of permission forms) (100%)</w:t>
            </w:r>
          </w:p>
        </w:tc>
      </w:tr>
      <w:tr w14:paraId="367337ED"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282312" w:rsidRPr="00ED54CE" w:rsidP="007D2906" w14:paraId="795A913B" w14:textId="5D272068">
            <w:r w:rsidRPr="00ED54CE">
              <w:t>Staff</w:t>
            </w:r>
            <w:r w:rsidRPr="00ED54CE" w:rsidR="00581AC1">
              <w:t xml:space="preserve"> </w:t>
            </w:r>
            <w:r w:rsidRPr="00ED54CE">
              <w:t xml:space="preserve">Training and Supervision of </w:t>
            </w:r>
            <w:r w:rsidRPr="00ED54CE" w:rsidR="00D74DFD">
              <w:t>Survey Fielding</w:t>
            </w:r>
          </w:p>
        </w:tc>
        <w:tc>
          <w:tcPr>
            <w:tcW w:w="7143" w:type="dxa"/>
            <w:tcBorders>
              <w:top w:val="nil"/>
              <w:left w:val="nil"/>
              <w:bottom w:val="single" w:sz="8" w:space="0" w:color="auto"/>
              <w:right w:val="double" w:sz="4" w:space="0" w:color="auto"/>
            </w:tcBorders>
            <w:tcMar>
              <w:top w:w="0" w:type="dxa"/>
              <w:left w:w="108" w:type="dxa"/>
              <w:bottom w:w="0" w:type="dxa"/>
              <w:right w:w="108" w:type="dxa"/>
            </w:tcMar>
            <w:hideMark/>
          </w:tcPr>
          <w:p w:rsidR="00282312" w:rsidRPr="00ED54CE" w:rsidP="00282312" w14:paraId="2282853D" w14:textId="6E82AF83">
            <w:pPr>
              <w:widowControl/>
              <w:numPr>
                <w:ilvl w:val="0"/>
                <w:numId w:val="9"/>
              </w:numPr>
              <w:adjustRightInd/>
              <w:rPr>
                <w:color w:val="000000"/>
              </w:rPr>
            </w:pPr>
            <w:r w:rsidRPr="00ED54CE">
              <w:rPr>
                <w:color w:val="000000"/>
              </w:rPr>
              <w:t xml:space="preserve">Issue quizzes during </w:t>
            </w:r>
            <w:r w:rsidRPr="00ED54CE" w:rsidR="00E471DC">
              <w:rPr>
                <w:color w:val="000000"/>
              </w:rPr>
              <w:t xml:space="preserve">Study Liaison </w:t>
            </w:r>
            <w:r w:rsidRPr="00ED54CE">
              <w:rPr>
                <w:color w:val="000000"/>
              </w:rPr>
              <w:t>training to ensure that key concepts are understood (daily during training)</w:t>
            </w:r>
          </w:p>
          <w:p w:rsidR="00282312" w:rsidRPr="00ED54CE" w:rsidP="00282312" w14:paraId="043E31EE" w14:textId="7BAF167C">
            <w:pPr>
              <w:widowControl/>
              <w:numPr>
                <w:ilvl w:val="0"/>
                <w:numId w:val="9"/>
              </w:numPr>
              <w:adjustRightInd/>
              <w:rPr>
                <w:color w:val="000000"/>
              </w:rPr>
            </w:pPr>
            <w:r w:rsidRPr="00ED54CE">
              <w:rPr>
                <w:color w:val="000000"/>
              </w:rPr>
              <w:t xml:space="preserve">Maintain at least one weekly </w:t>
            </w:r>
            <w:r w:rsidRPr="00ED54CE" w:rsidR="00E471DC">
              <w:rPr>
                <w:color w:val="000000"/>
              </w:rPr>
              <w:t>video conference or telephone</w:t>
            </w:r>
            <w:r w:rsidRPr="00ED54CE">
              <w:rPr>
                <w:color w:val="000000"/>
              </w:rPr>
              <w:t xml:space="preserve"> monitoring of all </w:t>
            </w:r>
            <w:r w:rsidRPr="00ED54CE" w:rsidR="00E471DC">
              <w:rPr>
                <w:color w:val="000000"/>
              </w:rPr>
              <w:t>Study Liaisons</w:t>
            </w:r>
            <w:r w:rsidRPr="00ED54CE">
              <w:rPr>
                <w:color w:val="000000"/>
              </w:rPr>
              <w:t xml:space="preserve"> throughout </w:t>
            </w:r>
            <w:r w:rsidRPr="00ED54CE" w:rsidR="00E471DC">
              <w:rPr>
                <w:color w:val="000000"/>
              </w:rPr>
              <w:t xml:space="preserve">the recruitment and </w:t>
            </w:r>
            <w:r w:rsidRPr="00ED54CE">
              <w:rPr>
                <w:color w:val="000000"/>
              </w:rPr>
              <w:t xml:space="preserve">data collection </w:t>
            </w:r>
            <w:r w:rsidRPr="00ED54CE" w:rsidR="00E471DC">
              <w:rPr>
                <w:color w:val="000000"/>
              </w:rPr>
              <w:t xml:space="preserve">period </w:t>
            </w:r>
            <w:r w:rsidRPr="00ED54CE">
              <w:rPr>
                <w:color w:val="000000"/>
              </w:rPr>
              <w:t>(100%)</w:t>
            </w:r>
          </w:p>
          <w:p w:rsidR="00282312" w:rsidRPr="00ED54CE" w:rsidP="00282312" w14:paraId="610E36D9" w14:textId="5F73E906">
            <w:pPr>
              <w:widowControl/>
              <w:numPr>
                <w:ilvl w:val="0"/>
                <w:numId w:val="9"/>
              </w:numPr>
              <w:adjustRightInd/>
              <w:rPr>
                <w:color w:val="000000"/>
              </w:rPr>
            </w:pPr>
            <w:r w:rsidRPr="00ED54CE">
              <w:rPr>
                <w:color w:val="000000"/>
              </w:rPr>
              <w:t>Reinforce training and clarify procedures through periodic conference calls (100%)</w:t>
            </w:r>
          </w:p>
          <w:p w:rsidR="00282312" w:rsidRPr="00ED54CE" w:rsidP="00282312" w14:paraId="795B164B" w14:textId="2A1B5824">
            <w:pPr>
              <w:widowControl/>
              <w:numPr>
                <w:ilvl w:val="0"/>
                <w:numId w:val="9"/>
              </w:numPr>
              <w:adjustRightInd/>
              <w:rPr>
                <w:color w:val="000000"/>
              </w:rPr>
            </w:pPr>
            <w:r w:rsidRPr="00ED54CE">
              <w:rPr>
                <w:color w:val="000000"/>
              </w:rPr>
              <w:t>Verify by telephone</w:t>
            </w:r>
            <w:r w:rsidRPr="00ED54CE" w:rsidR="009D3184">
              <w:rPr>
                <w:color w:val="000000"/>
              </w:rPr>
              <w:t xml:space="preserve"> or email</w:t>
            </w:r>
            <w:r w:rsidRPr="00ED54CE">
              <w:rPr>
                <w:color w:val="000000"/>
              </w:rPr>
              <w:t xml:space="preserve"> with a 10% sample of early schools that all data collection procedures are being followed</w:t>
            </w:r>
          </w:p>
        </w:tc>
      </w:tr>
      <w:tr w14:paraId="11E99FA0"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tcPr>
          <w:p w:rsidR="00282312" w:rsidRPr="00ED54CE" w:rsidP="007D2906" w14:paraId="7D356286" w14:textId="77777777">
            <w:r w:rsidRPr="00ED54CE">
              <w:t>Questionnaire Programming and Testing</w:t>
            </w:r>
          </w:p>
        </w:tc>
        <w:tc>
          <w:tcPr>
            <w:tcW w:w="7143" w:type="dxa"/>
            <w:tcBorders>
              <w:top w:val="nil"/>
              <w:left w:val="nil"/>
              <w:bottom w:val="single" w:sz="8" w:space="0" w:color="auto"/>
              <w:right w:val="double" w:sz="4" w:space="0" w:color="auto"/>
            </w:tcBorders>
            <w:tcMar>
              <w:top w:w="0" w:type="dxa"/>
              <w:left w:w="108" w:type="dxa"/>
              <w:bottom w:w="0" w:type="dxa"/>
              <w:right w:w="108" w:type="dxa"/>
            </w:tcMar>
          </w:tcPr>
          <w:p w:rsidR="00282312" w:rsidRPr="00ED54CE" w:rsidP="00282312" w14:paraId="0411B04F" w14:textId="02A8AF5C">
            <w:pPr>
              <w:widowControl/>
              <w:numPr>
                <w:ilvl w:val="0"/>
                <w:numId w:val="9"/>
              </w:numPr>
              <w:adjustRightInd/>
              <w:rPr>
                <w:color w:val="000000"/>
              </w:rPr>
            </w:pPr>
            <w:r w:rsidRPr="00ED54CE">
              <w:rPr>
                <w:color w:val="000000"/>
              </w:rPr>
              <w:t xml:space="preserve">Ensure verbatim wording of displayed text </w:t>
            </w:r>
            <w:r w:rsidR="00961ACB">
              <w:rPr>
                <w:color w:val="000000"/>
              </w:rPr>
              <w:t xml:space="preserve">compared </w:t>
            </w:r>
            <w:r w:rsidRPr="00ED54CE">
              <w:rPr>
                <w:color w:val="000000"/>
              </w:rPr>
              <w:t>to that of the analyst/programmer version of the questionnaire (100% of qu</w:t>
            </w:r>
            <w:r w:rsidRPr="00ED54CE" w:rsidR="009E2A32">
              <w:rPr>
                <w:color w:val="000000"/>
              </w:rPr>
              <w:t>estion and instructional text)</w:t>
            </w:r>
          </w:p>
          <w:p w:rsidR="00282312" w:rsidRPr="00ED54CE" w:rsidP="00282312" w14:paraId="35A58378" w14:textId="30393596">
            <w:pPr>
              <w:widowControl/>
              <w:numPr>
                <w:ilvl w:val="0"/>
                <w:numId w:val="9"/>
              </w:numPr>
              <w:adjustRightInd/>
              <w:rPr>
                <w:color w:val="000000"/>
              </w:rPr>
            </w:pPr>
            <w:r w:rsidRPr="00ED54CE">
              <w:rPr>
                <w:color w:val="000000"/>
              </w:rPr>
              <w:t>Use a variety of user profiles and behavior combinations to test correct and appropriate skip log</w:t>
            </w:r>
            <w:r w:rsidR="004C2407">
              <w:rPr>
                <w:color w:val="000000"/>
              </w:rPr>
              <w:t>ic</w:t>
            </w:r>
            <w:r w:rsidRPr="00ED54CE">
              <w:rPr>
                <w:color w:val="000000"/>
              </w:rPr>
              <w:t xml:space="preserve"> and routing through questionnaire (100% of questi</w:t>
            </w:r>
            <w:r w:rsidRPr="00ED54CE" w:rsidR="009E2A32">
              <w:rPr>
                <w:color w:val="000000"/>
              </w:rPr>
              <w:t>ons with programmed “triggers”)</w:t>
            </w:r>
          </w:p>
          <w:p w:rsidR="00282312" w:rsidRPr="00ED54CE" w:rsidP="00282312" w14:paraId="29B151FC" w14:textId="77777777">
            <w:pPr>
              <w:widowControl/>
              <w:numPr>
                <w:ilvl w:val="0"/>
                <w:numId w:val="9"/>
              </w:numPr>
              <w:adjustRightInd/>
              <w:rPr>
                <w:color w:val="000000"/>
              </w:rPr>
            </w:pPr>
            <w:r w:rsidRPr="00ED54CE">
              <w:rPr>
                <w:color w:val="000000"/>
              </w:rPr>
              <w:t xml:space="preserve">Verify that any write-in responses are within prescribed ranges (100% of write-in questions) </w:t>
            </w:r>
          </w:p>
          <w:p w:rsidR="00282312" w:rsidRPr="00ED54CE" w:rsidP="00282312" w14:paraId="12A2FDA7" w14:textId="77777777">
            <w:pPr>
              <w:widowControl/>
              <w:numPr>
                <w:ilvl w:val="0"/>
                <w:numId w:val="9"/>
              </w:numPr>
              <w:adjustRightInd/>
              <w:rPr>
                <w:color w:val="000000"/>
              </w:rPr>
            </w:pPr>
            <w:r w:rsidRPr="00ED54CE">
              <w:rPr>
                <w:color w:val="000000"/>
              </w:rPr>
              <w:t>Create “dummy data set” to verify that all entered responses are correctly captured in the data set as intended (minimum 50 records)</w:t>
            </w:r>
            <w:r w:rsidRPr="00ED54CE">
              <w:t xml:space="preserve"> </w:t>
            </w:r>
          </w:p>
        </w:tc>
      </w:tr>
      <w:tr w14:paraId="03D6E1A9"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4A9D7A31" w14:textId="77777777">
            <w:pPr>
              <w:spacing w:before="120"/>
              <w:rPr>
                <w:color w:val="000000"/>
              </w:rPr>
            </w:pPr>
            <w:r w:rsidRPr="00ED54CE">
              <w:rPr>
                <w:color w:val="000000"/>
              </w:rPr>
              <w:t>Receipt Control</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16658511" w14:textId="7855932D">
            <w:pPr>
              <w:widowControl/>
              <w:numPr>
                <w:ilvl w:val="0"/>
                <w:numId w:val="9"/>
              </w:numPr>
              <w:adjustRightInd/>
              <w:rPr>
                <w:color w:val="000000"/>
              </w:rPr>
            </w:pPr>
            <w:r w:rsidRPr="00ED54CE">
              <w:rPr>
                <w:color w:val="000000"/>
              </w:rPr>
              <w:t xml:space="preserve">Verify </w:t>
            </w:r>
            <w:r w:rsidRPr="00ED54CE" w:rsidR="009D3184">
              <w:rPr>
                <w:color w:val="000000"/>
              </w:rPr>
              <w:t>receipt of</w:t>
            </w:r>
            <w:r w:rsidRPr="00ED54CE">
              <w:rPr>
                <w:color w:val="000000"/>
              </w:rPr>
              <w:t xml:space="preserve"> data from the field is occurring no later than 48 hours after data collection concludes (100% of schools)</w:t>
            </w:r>
          </w:p>
          <w:p w:rsidR="00282312" w:rsidRPr="00ED54CE" w:rsidP="00282312" w14:paraId="4FAE99CB" w14:textId="0862B36F">
            <w:pPr>
              <w:widowControl/>
              <w:numPr>
                <w:ilvl w:val="0"/>
                <w:numId w:val="9"/>
              </w:numPr>
              <w:adjustRightInd/>
              <w:rPr>
                <w:color w:val="000000"/>
              </w:rPr>
            </w:pPr>
            <w:r w:rsidRPr="00ED54CE">
              <w:rPr>
                <w:color w:val="000000"/>
              </w:rPr>
              <w:t xml:space="preserve">Verify number of data records received in the data base match the number of expected records reported by </w:t>
            </w:r>
            <w:r w:rsidRPr="00ED54CE" w:rsidR="00E471DC">
              <w:rPr>
                <w:color w:val="000000"/>
              </w:rPr>
              <w:t>the teacher in the class participation log</w:t>
            </w:r>
            <w:r w:rsidRPr="00ED54CE">
              <w:rPr>
                <w:color w:val="000000"/>
              </w:rPr>
              <w:t xml:space="preserve"> (100% of schools)</w:t>
            </w:r>
          </w:p>
          <w:p w:rsidR="00282312" w:rsidRPr="00ED54CE" w:rsidP="00282312" w14:paraId="784ED88F" w14:textId="77777777">
            <w:pPr>
              <w:widowControl/>
              <w:numPr>
                <w:ilvl w:val="0"/>
                <w:numId w:val="9"/>
              </w:numPr>
              <w:adjustRightInd/>
              <w:rPr>
                <w:color w:val="000000"/>
              </w:rPr>
            </w:pPr>
            <w:r w:rsidRPr="00ED54CE">
              <w:rPr>
                <w:color w:val="000000"/>
              </w:rPr>
              <w:t>Capture date/time stamps and staff credentials in the centralized system for all transactions (100%)</w:t>
            </w:r>
          </w:p>
        </w:tc>
      </w:tr>
      <w:tr w14:paraId="7BB6D015" w14:textId="77777777" w:rsidTr="007D2906">
        <w:tblPrEx>
          <w:tblW w:w="9194" w:type="dxa"/>
          <w:tblInd w:w="120" w:type="dxa"/>
          <w:tblCellMar>
            <w:left w:w="0" w:type="dxa"/>
            <w:right w:w="0" w:type="dxa"/>
          </w:tblCellMar>
          <w:tblLook w:val="04A0"/>
        </w:tblPrEx>
        <w:trPr>
          <w:cantSplit/>
          <w:trHeight w:val="1050"/>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659BBFAC" w14:textId="77777777">
            <w:pPr>
              <w:spacing w:before="120"/>
              <w:rPr>
                <w:color w:val="000000"/>
              </w:rPr>
            </w:pPr>
            <w:r w:rsidRPr="00ED54CE">
              <w:rPr>
                <w:color w:val="000000"/>
              </w:rPr>
              <w:t>Data Review</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23151AEE" w14:textId="77777777">
            <w:pPr>
              <w:widowControl/>
              <w:numPr>
                <w:ilvl w:val="0"/>
                <w:numId w:val="9"/>
              </w:numPr>
              <w:adjustRightInd/>
              <w:rPr>
                <w:color w:val="000000"/>
              </w:rPr>
            </w:pPr>
            <w:r w:rsidRPr="00ED54CE">
              <w:rPr>
                <w:color w:val="000000"/>
              </w:rPr>
              <w:t>During fielding, extract records from at least three schools to verify data set is capturing and storing records as expected (during first week of fielding, or after at least three schools’ data have been collected and synced)</w:t>
            </w:r>
          </w:p>
        </w:tc>
      </w:tr>
    </w:tbl>
    <w:p w:rsidR="00EE43A4" w:rsidP="00EE43A4" w14:paraId="207ED418"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FD77E7" w:rsidRPr="00E00EA0" w:rsidP="00FD77E7" w14:paraId="21491091" w14:textId="77777777">
      <w:pPr>
        <w:widowControl/>
        <w:numPr>
          <w:ilvl w:val="0"/>
          <w:numId w:val="30"/>
        </w:numPr>
        <w:autoSpaceDE/>
        <w:autoSpaceDN/>
        <w:adjustRightInd/>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811E49" w:rsidRPr="00ED54CE" w:rsidP="00811E49" w14:paraId="27EEFDFC" w14:textId="77777777">
      <w:pPr>
        <w:rPr>
          <w:lang w:val="x-none" w:eastAsia="x-none"/>
        </w:rPr>
      </w:pPr>
    </w:p>
    <w:p w:rsidR="00C34427" w:rsidRPr="00E7206A" w:rsidP="00C34427" w14:paraId="317F5060" w14:textId="77777777">
      <w:pPr>
        <w:pStyle w:val="Heading3"/>
        <w:rPr>
          <w:rFonts w:ascii="Times New Roman" w:hAnsi="Times New Roman"/>
          <w:sz w:val="24"/>
          <w:szCs w:val="24"/>
        </w:rPr>
      </w:pPr>
      <w:r w:rsidRPr="00E7206A">
        <w:rPr>
          <w:rFonts w:ascii="Times New Roman" w:hAnsi="Times New Roman"/>
          <w:sz w:val="24"/>
          <w:szCs w:val="24"/>
        </w:rPr>
        <w:t>Expected Response Rates</w:t>
      </w:r>
    </w:p>
    <w:p w:rsidR="006D36FC" w:rsidRPr="00ED54CE" w:rsidP="008E3D04" w14:paraId="7C3B3C00" w14:textId="77777777">
      <w:pPr>
        <w:rPr>
          <w:lang w:val="x-none" w:eastAsia="x-none"/>
        </w:rPr>
      </w:pPr>
    </w:p>
    <w:p w:rsidR="003B1369" w:rsidRPr="00ED54CE" w:rsidP="0036110B" w14:paraId="2B265FB5" w14:textId="37C96DE9">
      <w:pPr>
        <w:rPr>
          <w:spacing w:val="1"/>
        </w:rPr>
      </w:pPr>
      <w:r w:rsidRPr="00ED54CE">
        <w:rPr>
          <w:iCs/>
        </w:rPr>
        <w:t xml:space="preserve">To calculate the number of schools and students to sample that will ensure adequate precision, we estimated the school and student response rate and the school eligibility rate. </w:t>
      </w:r>
      <w:r w:rsidR="009065A0">
        <w:rPr>
          <w:iCs/>
        </w:rPr>
        <w:t>During the five</w:t>
      </w:r>
      <w:r w:rsidR="00F450E7">
        <w:rPr>
          <w:iCs/>
        </w:rPr>
        <w:t xml:space="preserve"> administration</w:t>
      </w:r>
      <w:r w:rsidRPr="00ED54CE">
        <w:rPr>
          <w:spacing w:val="1"/>
        </w:rPr>
        <w:t xml:space="preserve">s of the </w:t>
      </w:r>
      <w:r w:rsidR="00F450E7">
        <w:rPr>
          <w:spacing w:val="1"/>
        </w:rPr>
        <w:t>survey since the start of the COVID-19 pandemic,</w:t>
      </w:r>
      <w:r w:rsidRPr="00ED54CE" w:rsidR="00245E68">
        <w:rPr>
          <w:spacing w:val="1"/>
        </w:rPr>
        <w:t xml:space="preserve"> </w:t>
      </w:r>
      <w:r w:rsidRPr="00764FB6" w:rsidR="004C2407">
        <w:t xml:space="preserve">2020 through </w:t>
      </w:r>
      <w:r w:rsidR="00083675">
        <w:t>2024</w:t>
      </w:r>
      <w:r w:rsidRPr="00764FB6" w:rsidR="004C2407">
        <w:t>, the overall response rate ranged from 30.5% to 45.2%.</w:t>
      </w:r>
      <w:r w:rsidR="004C2407">
        <w:t xml:space="preserve"> </w:t>
      </w:r>
      <w:r w:rsidRPr="00ED54CE" w:rsidR="00EE43A4">
        <w:t xml:space="preserve">The </w:t>
      </w:r>
      <w:r w:rsidRPr="00ED54CE" w:rsidR="00472C60">
        <w:t>response</w:t>
      </w:r>
      <w:r w:rsidRPr="00ED54CE" w:rsidR="00EE43A4">
        <w:t xml:space="preserve"> rates established by the NYTS are the </w:t>
      </w:r>
      <w:r w:rsidR="00340072">
        <w:t xml:space="preserve">results </w:t>
      </w:r>
      <w:r w:rsidRPr="00ED54CE" w:rsidR="00EE43A4">
        <w:t>of the application of proven and tested procedures for maximizing school and student participation.</w:t>
      </w:r>
      <w:r w:rsidRPr="00ED54CE" w:rsidR="0029712B">
        <w:t xml:space="preserve"> </w:t>
      </w:r>
      <w:r w:rsidRPr="00ED54CE" w:rsidR="00541822">
        <w:rPr>
          <w:spacing w:val="1"/>
        </w:rPr>
        <w:t>F</w:t>
      </w:r>
      <w:r w:rsidRPr="00ED54CE">
        <w:t xml:space="preserve">or </w:t>
      </w:r>
      <w:r w:rsidR="00083675">
        <w:t>2026</w:t>
      </w:r>
      <w:r w:rsidRPr="00ED54CE">
        <w:t xml:space="preserve">, we assume a response rate </w:t>
      </w:r>
      <w:r w:rsidR="00F44965">
        <w:t>e</w:t>
      </w:r>
      <w:r w:rsidR="00340072">
        <w:t>qual to the response rate obtained in the 202</w:t>
      </w:r>
      <w:r w:rsidR="008009F0">
        <w:t>4</w:t>
      </w:r>
      <w:r w:rsidR="00340072">
        <w:t xml:space="preserve"> NYTS, the latest </w:t>
      </w:r>
      <w:r w:rsidR="00122B9E">
        <w:t>completed iteration of the NYTS with the full data collection period was observed</w:t>
      </w:r>
      <w:r w:rsidR="00340072">
        <w:t xml:space="preserve">. </w:t>
      </w:r>
      <w:r w:rsidRPr="00ED54CE">
        <w:rPr>
          <w:spacing w:val="1"/>
        </w:rPr>
        <w:t xml:space="preserve">We </w:t>
      </w:r>
      <w:r w:rsidRPr="00ED54CE" w:rsidR="00710F4E">
        <w:rPr>
          <w:spacing w:val="1"/>
        </w:rPr>
        <w:t xml:space="preserve">expect </w:t>
      </w:r>
      <w:r w:rsidRPr="00ED54CE">
        <w:rPr>
          <w:spacing w:val="1"/>
        </w:rPr>
        <w:t xml:space="preserve">a </w:t>
      </w:r>
      <w:r w:rsidR="008844ED">
        <w:rPr>
          <w:spacing w:val="1"/>
        </w:rPr>
        <w:t>38</w:t>
      </w:r>
      <w:r w:rsidRPr="00ED54CE">
        <w:rPr>
          <w:spacing w:val="1"/>
        </w:rPr>
        <w:t xml:space="preserve">% overall response rate for the </w:t>
      </w:r>
      <w:r w:rsidR="00083675">
        <w:rPr>
          <w:spacing w:val="1"/>
        </w:rPr>
        <w:t>2026</w:t>
      </w:r>
      <w:r w:rsidRPr="00ED54CE">
        <w:rPr>
          <w:spacing w:val="1"/>
        </w:rPr>
        <w:t xml:space="preserve"> NYTS. </w:t>
      </w:r>
    </w:p>
    <w:p w:rsidR="00541822" w:rsidRPr="00ED54CE" w:rsidP="0036110B" w14:paraId="41F73185" w14:textId="77777777"/>
    <w:p w:rsidR="00EE43A4" w:rsidRPr="00ED54CE" w:rsidP="0036110B" w14:paraId="7A32667C" w14:textId="58C4FDF5">
      <w:r w:rsidRPr="00ED54CE">
        <w:t xml:space="preserve">As indicated in </w:t>
      </w:r>
      <w:r w:rsidRPr="00ED54CE" w:rsidR="006A021B">
        <w:t>Table 6</w:t>
      </w:r>
      <w:r w:rsidRPr="00ED54CE" w:rsidR="008E3D04">
        <w:t xml:space="preserve"> in Supporting Statement A</w:t>
      </w:r>
      <w:r w:rsidRPr="00ED54CE">
        <w:t xml:space="preserve">, it is desirable to complete data collection before the final month of school (i.e., by mid-April to mid-May, depending on location). Many schools are very busy </w:t>
      </w:r>
      <w:r w:rsidRPr="00ED54CE" w:rsidR="00445EC7">
        <w:t xml:space="preserve">at that time </w:t>
      </w:r>
      <w:r w:rsidRPr="00ED54CE">
        <w:t xml:space="preserve">with standardized testing and final exams; in addition, attendance can be very unstable, especially among twelfth grade students. </w:t>
      </w:r>
    </w:p>
    <w:p w:rsidR="00EE43A4" w:rsidRPr="00E7206A" w:rsidP="00EE43A4" w14:paraId="7A92AB0A" w14:textId="77777777">
      <w:pPr>
        <w:pStyle w:val="Heading3"/>
        <w:rPr>
          <w:rFonts w:ascii="Times New Roman" w:hAnsi="Times New Roman"/>
          <w:sz w:val="24"/>
          <w:szCs w:val="24"/>
        </w:rPr>
      </w:pPr>
      <w:r w:rsidRPr="00E7206A">
        <w:rPr>
          <w:rFonts w:ascii="Times New Roman" w:hAnsi="Times New Roman"/>
          <w:sz w:val="24"/>
          <w:szCs w:val="24"/>
        </w:rPr>
        <w:t>Methods for Maximizing Responses and Handling Nonresponse</w:t>
      </w:r>
    </w:p>
    <w:p w:rsidR="00EE43A4" w:rsidRPr="00ED54CE" w:rsidP="00205986" w14:paraId="67B8928B" w14:textId="77777777">
      <w:pPr>
        <w:ind w:firstLine="360"/>
      </w:pPr>
    </w:p>
    <w:p w:rsidR="00EE43A4" w:rsidRPr="00ED54CE" w:rsidP="0036110B" w14:paraId="2EDADEB3" w14:textId="54BEC597">
      <w:r w:rsidRPr="00ED54CE">
        <w:t>We distinguish among six potential types of nonresponse problems: refusal to participate by a selected school district, school, teacher, parent, or student; and collection of incomplete information from a student.</w:t>
      </w:r>
    </w:p>
    <w:p w:rsidR="003B1369" w:rsidRPr="00ED54CE" w:rsidP="0036110B" w14:paraId="1D9E4AB4" w14:textId="77777777"/>
    <w:p w:rsidR="00A16688" w:rsidRPr="00ED54CE" w:rsidP="0036110B" w14:paraId="5CA48E6A" w14:textId="458A565E">
      <w:r>
        <w:t>To minimize refusals at all levels--from school district to student--we will use a variety of techniques, emphasizing the importance of the survey. Given the subject matter is tobacco, we expect that a few school districts or schools will need to place the issue of survey participation before the school board. To increase the likelihood of an affirmative decision</w:t>
      </w:r>
      <w:r w:rsidR="00245E68">
        <w:t>,</w:t>
      </w:r>
      <w:r>
        <w:t xml:space="preserve"> we will: (1) work through the state agencies to communicate its support of the survey; (2) indicate that the survey is being sponsored by </w:t>
      </w:r>
      <w:r w:rsidR="02CA78D2">
        <w:t>FDA</w:t>
      </w:r>
      <w:r>
        <w:t xml:space="preserve">; (3) convey to the school district or school that the survey has the endorsement of many key national educational and health associations, such as the National </w:t>
      </w:r>
      <w:r w:rsidR="00245E68">
        <w:t>PTA</w:t>
      </w:r>
      <w:r>
        <w:t xml:space="preserve">, American Medical Association, National Association of State Boards of Education, Council of Chief State School Officers and the National School Boards Association;(4) maintain both a toll-free hotline </w:t>
      </w:r>
      <w:r w:rsidR="00921F99">
        <w:t xml:space="preserve">and dedicated email account </w:t>
      </w:r>
      <w:r>
        <w:t xml:space="preserve">to answer questions from the school board; (5) offer a package of educational products to each participating school, as recommended by OMB in approving the 1998 </w:t>
      </w:r>
      <w:r w:rsidR="00245E68">
        <w:t>YRBS</w:t>
      </w:r>
      <w:r>
        <w:t xml:space="preserve"> in alternative schools (OMB No. 0920-0416, expiration 12/98) and implemented on </w:t>
      </w:r>
      <w:r w:rsidR="003046E3">
        <w:t xml:space="preserve">the </w:t>
      </w:r>
      <w:r>
        <w:t xml:space="preserve">NYTS ever since; (6) comply with all requirements from school </w:t>
      </w:r>
      <w:r>
        <w:t>districts in preparing written proposals for survey clearance; (7) convey a willingness to appear in person, if needed, to present the survey before a school board, research committee, or other local entity tasked with reviewing the survey; and (8) offer schools a monetary incentive of $</w:t>
      </w:r>
      <w:r w:rsidR="00F00C2D">
        <w:t>750</w:t>
      </w:r>
      <w:r>
        <w:t xml:space="preserve">. </w:t>
      </w:r>
    </w:p>
    <w:p w:rsidR="003B1369" w:rsidRPr="00ED54CE" w:rsidP="0036110B" w14:paraId="2FF86D19" w14:textId="77777777"/>
    <w:p w:rsidR="003B1369" w:rsidRPr="00ED54CE" w:rsidP="0036110B" w14:paraId="687E23D5" w14:textId="06408160">
      <w:r w:rsidRPr="00ED54CE">
        <w:t>Once</w:t>
      </w:r>
      <w:r w:rsidRPr="00ED54CE" w:rsidR="00A16688">
        <w:t xml:space="preserve"> recruiters encounter </w:t>
      </w:r>
      <w:r w:rsidRPr="00ED54CE">
        <w:t xml:space="preserve">district or </w:t>
      </w:r>
      <w:r w:rsidRPr="00ED54CE" w:rsidR="00A16688">
        <w:t>school refusals to participate, they are encouraged to listen closely to the decision maker’s concern(s) and “leave the door open” with the districts and/or schools for additional contact later</w:t>
      </w:r>
      <w:r w:rsidRPr="00ED54CE" w:rsidR="00A315CB">
        <w:t xml:space="preserve">. </w:t>
      </w:r>
      <w:r w:rsidRPr="00ED54CE" w:rsidR="00A16688">
        <w:t xml:space="preserve">NYTS staff </w:t>
      </w:r>
      <w:r w:rsidRPr="00ED54CE">
        <w:t xml:space="preserve">will </w:t>
      </w:r>
      <w:r w:rsidRPr="00ED54CE" w:rsidR="00A16688">
        <w:t>beg</w:t>
      </w:r>
      <w:r w:rsidRPr="00ED54CE">
        <w:t>i</w:t>
      </w:r>
      <w:r w:rsidRPr="00ED54CE" w:rsidR="00A16688">
        <w:t xml:space="preserve">n targeted outreach to refusals and unresponsive districts and schools </w:t>
      </w:r>
      <w:r w:rsidRPr="00ED54CE">
        <w:t>during the period of data collections</w:t>
      </w:r>
      <w:r w:rsidRPr="00ED54CE" w:rsidR="00A315CB">
        <w:t xml:space="preserve">. </w:t>
      </w:r>
      <w:r w:rsidRPr="00ED54CE" w:rsidR="00A16688">
        <w:t>Initially this targeted outreach primarily include</w:t>
      </w:r>
      <w:r w:rsidRPr="00ED54CE">
        <w:t>s</w:t>
      </w:r>
      <w:r w:rsidRPr="00ED54CE" w:rsidR="00A16688">
        <w:t xml:space="preserve"> remailing the original invitation packet with a personalized cover memo and telephone follow-up by the original recruiter</w:t>
      </w:r>
      <w:r w:rsidRPr="00ED54CE" w:rsidR="00A315CB">
        <w:t xml:space="preserve">. </w:t>
      </w:r>
      <w:r w:rsidRPr="00ED54CE" w:rsidR="00A16688">
        <w:t xml:space="preserve">By remailing the information, this presents a fresh request to which the decision maker can respond, since it is likely that the original request </w:t>
      </w:r>
      <w:r w:rsidRPr="00ED54CE">
        <w:t>i</w:t>
      </w:r>
      <w:r w:rsidRPr="00ED54CE" w:rsidR="00A16688">
        <w:t xml:space="preserve">s likely lost or discarded. Recruiters </w:t>
      </w:r>
      <w:r w:rsidRPr="00ED54CE">
        <w:t>are</w:t>
      </w:r>
      <w:r w:rsidRPr="00ED54CE" w:rsidR="00A16688">
        <w:t xml:space="preserve"> encouraged to identify relevant potential connections between NYTS content and district or school health-related initiatives via strategic plans and curriculum descriptions available on district and school websites and include this in the memo and/or as part of their conversations with the decision maker</w:t>
      </w:r>
      <w:r w:rsidRPr="00ED54CE" w:rsidR="00A315CB">
        <w:t xml:space="preserve">. </w:t>
      </w:r>
      <w:r w:rsidRPr="00ED54CE" w:rsidR="00CA1446">
        <w:t>A s</w:t>
      </w:r>
      <w:r w:rsidRPr="00ED54CE" w:rsidR="00A16688">
        <w:t>ample memo u</w:t>
      </w:r>
      <w:r w:rsidRPr="00ED54CE" w:rsidR="00CA1446">
        <w:t xml:space="preserve">sed for refusal conversion </w:t>
      </w:r>
      <w:r w:rsidRPr="00ED54CE" w:rsidR="00A16688">
        <w:t xml:space="preserve">can be found in </w:t>
      </w:r>
      <w:r w:rsidRPr="00ED54CE" w:rsidR="00897047">
        <w:t xml:space="preserve">Attachment </w:t>
      </w:r>
      <w:r w:rsidRPr="00ED54CE" w:rsidR="00CA1446">
        <w:t>F4</w:t>
      </w:r>
      <w:r w:rsidRPr="00ED54CE" w:rsidR="00A16688">
        <w:t xml:space="preserve">. Other methods included 1) contact by a different recruiter who provided a “new voice” to the decision maker or 2) </w:t>
      </w:r>
      <w:r w:rsidRPr="00ED54CE" w:rsidR="00E21E00">
        <w:t>on-campus</w:t>
      </w:r>
      <w:r w:rsidRPr="00ED54CE" w:rsidR="00A16688">
        <w:t xml:space="preserve"> recruitment visits by field staff.</w:t>
      </w:r>
    </w:p>
    <w:p w:rsidR="00EE43A4" w:rsidRPr="00ED54CE" w:rsidP="0036110B" w14:paraId="4A3194B8" w14:textId="77777777">
      <w:r w:rsidRPr="00ED54CE">
        <w:t xml:space="preserve"> </w:t>
      </w:r>
    </w:p>
    <w:p w:rsidR="00EE43A4" w:rsidRPr="00ED54CE" w:rsidP="0036110B" w14:paraId="6B2337B9" w14:textId="3FE6B791">
      <w:r w:rsidRPr="00ED54CE">
        <w:t xml:space="preserve">The sampling plan does not allow for the replacement of schools that refuse to participate due to concern that replacing schools would introduce bias. All participating state departments of health and education, school districts, and schools also will </w:t>
      </w:r>
      <w:r w:rsidRPr="00ED54CE" w:rsidR="00921F99">
        <w:t xml:space="preserve">have access to the </w:t>
      </w:r>
      <w:r w:rsidRPr="00ED54CE">
        <w:t>published survey results</w:t>
      </w:r>
      <w:r w:rsidRPr="00ED54CE" w:rsidR="00811E49">
        <w:t xml:space="preserve"> and a webinar to present the published results</w:t>
      </w:r>
      <w:r w:rsidRPr="00ED54CE">
        <w:t>.</w:t>
      </w:r>
    </w:p>
    <w:p w:rsidR="003B1369" w:rsidRPr="00ED54CE" w:rsidP="0036110B" w14:paraId="411DAF17" w14:textId="77777777"/>
    <w:p w:rsidR="00EE43A4" w:rsidRPr="00ED54CE" w:rsidP="0036110B" w14:paraId="2AD2DB00" w14:textId="67201C01">
      <w:r>
        <w:t>Maximizing responses and dealing with refusals from parents, teachers, and students require different strategies</w:t>
      </w:r>
      <w:r w:rsidR="00245E68">
        <w:t>.</w:t>
      </w:r>
      <w:r>
        <w:t xml:space="preserve"> To maximize responses, we will recommend that schools help to advertise the survey through the principal’s newsletter, PTA meetings, and other established means of communication. The permission form will provide a telephone number at </w:t>
      </w:r>
      <w:r w:rsidR="785B55DF">
        <w:t>FDA</w:t>
      </w:r>
      <w:r>
        <w:t xml:space="preserve"> that parents may call to have questions answered before agreeing to give permission for their child’s participation. Permission forms will be available in English</w:t>
      </w:r>
      <w:r w:rsidR="00961ACB">
        <w:t xml:space="preserve"> and</w:t>
      </w:r>
      <w:r>
        <w:t xml:space="preserve"> Spanish. </w:t>
      </w:r>
    </w:p>
    <w:p w:rsidR="003B1369" w:rsidRPr="00ED54CE" w:rsidP="0036110B" w14:paraId="76285A13" w14:textId="75516E50"/>
    <w:p w:rsidR="00205986" w:rsidRPr="00ED54CE" w:rsidP="0036110B" w14:paraId="05148B42" w14:textId="023A3D9F">
      <w:r w:rsidRPr="00ED54CE">
        <w:t xml:space="preserve">Teacher refusals to cooperate with the study are not expected to be a problem because schools will </w:t>
      </w:r>
      <w:r w:rsidRPr="00ED54CE" w:rsidR="00445EC7">
        <w:t xml:space="preserve">already </w:t>
      </w:r>
      <w:r w:rsidRPr="00ED54CE">
        <w:t>have agreed to participate. Refusals by students who have parental permission to participate are expected to be minimal. No punitive action will be taken against a nonconsenting student</w:t>
      </w:r>
      <w:r w:rsidRPr="00ED54CE" w:rsidR="00245E68">
        <w:t xml:space="preserve">. </w:t>
      </w:r>
      <w:r w:rsidRPr="00ED54CE">
        <w:t xml:space="preserve">Nonconsenting students will not be replaced. Data will be analyzed to determine if student nonresponse introduces any biases. </w:t>
      </w:r>
    </w:p>
    <w:p w:rsidR="00205986" w:rsidRPr="00ED54CE" w:rsidP="0036110B" w14:paraId="002F1C4D" w14:textId="77777777"/>
    <w:p w:rsidR="0036110B" w:rsidRPr="00ED54CE" w:rsidP="0036110B" w14:paraId="5C61156C" w14:textId="0051F0E3">
      <w:bookmarkStart w:id="3" w:name="_Hlk18655901"/>
      <w:r w:rsidRPr="00ED54CE">
        <w:t>Participation in the NYTS is completely voluntary, and students may skip any question in which they are not comfortable answering. However, t</w:t>
      </w:r>
      <w:bookmarkEnd w:id="3"/>
      <w:r w:rsidRPr="00ED54CE">
        <w:t xml:space="preserve">o minimize the likelihood of missing values on the survey, particularly on questions </w:t>
      </w:r>
      <w:r w:rsidRPr="00ED54CE" w:rsidR="00811E49">
        <w:t xml:space="preserve">on </w:t>
      </w:r>
      <w:r w:rsidRPr="00ED54CE">
        <w:t>which skip patterns are contingent, the digital-based questionnaire has data range validations</w:t>
      </w:r>
      <w:r w:rsidRPr="00ED54CE" w:rsidR="002B71BC">
        <w:t xml:space="preserve"> and prompts</w:t>
      </w:r>
      <w:r w:rsidRPr="00ED54CE" w:rsidR="00A315CB">
        <w:t xml:space="preserve">. </w:t>
      </w:r>
      <w:r w:rsidRPr="00ED54CE" w:rsidR="002B71BC">
        <w:t>Thus, s</w:t>
      </w:r>
      <w:r w:rsidRPr="00ED54CE">
        <w:t>tudents who skip questions</w:t>
      </w:r>
      <w:r w:rsidRPr="00ED54CE" w:rsidR="008E3D04">
        <w:t xml:space="preserve"> on ever or current use</w:t>
      </w:r>
      <w:r w:rsidRPr="00ED54CE" w:rsidR="00227CB6">
        <w:t xml:space="preserve"> of individual tobacco products</w:t>
      </w:r>
      <w:r w:rsidRPr="00ED54CE">
        <w:t xml:space="preserve"> or </w:t>
      </w:r>
      <w:r w:rsidRPr="00ED54CE" w:rsidR="00227CB6">
        <w:t xml:space="preserve">who </w:t>
      </w:r>
      <w:r w:rsidRPr="00ED54CE">
        <w:t xml:space="preserve">give out-of-range answers will be reminded </w:t>
      </w:r>
      <w:r w:rsidRPr="00ED54CE" w:rsidR="00227CB6">
        <w:t xml:space="preserve">to provide an appropriate response </w:t>
      </w:r>
      <w:r w:rsidRPr="00ED54CE">
        <w:t xml:space="preserve">in a pop-up in the digital-based questionnaire before </w:t>
      </w:r>
      <w:r w:rsidRPr="00ED54CE" w:rsidR="00205986">
        <w:t>proceeding further</w:t>
      </w:r>
      <w:r w:rsidRPr="00ED54CE">
        <w:t xml:space="preserve"> in the survey.</w:t>
      </w:r>
      <w:r w:rsidRPr="00ED54CE" w:rsidR="00CA1899">
        <w:t xml:space="preserve"> For questions that ask participants to specify a written </w:t>
      </w:r>
      <w:r w:rsidRPr="00ED54CE" w:rsidR="004476B3">
        <w:t xml:space="preserve">numerical </w:t>
      </w:r>
      <w:r w:rsidRPr="00ED54CE" w:rsidR="00CA1899">
        <w:t>response</w:t>
      </w:r>
      <w:r w:rsidRPr="00ED54CE" w:rsidR="004476B3">
        <w:t xml:space="preserve"> (e.g., to enter the number of days they have used a product)</w:t>
      </w:r>
      <w:r w:rsidRPr="00ED54CE" w:rsidR="00CA1899">
        <w:t xml:space="preserve">, programming instructions are provided to only allow a </w:t>
      </w:r>
      <w:r w:rsidRPr="00A74439" w:rsidR="00CA1899">
        <w:t xml:space="preserve">specific range of values. </w:t>
      </w:r>
      <w:bookmarkStart w:id="4" w:name="_Hlk147482757"/>
      <w:r w:rsidRPr="00A74439">
        <w:t xml:space="preserve">Additionally, once students </w:t>
      </w:r>
      <w:r w:rsidRPr="00A74439">
        <w:t xml:space="preserve">finish the survey, </w:t>
      </w:r>
      <w:r w:rsidRPr="00A74439" w:rsidR="00A74439">
        <w:t xml:space="preserve">reach the end of the survey, they are allowed to go back to any unanswered or answered question items to modify </w:t>
      </w:r>
      <w:r w:rsidR="00A74439">
        <w:t xml:space="preserve">responses </w:t>
      </w:r>
      <w:r w:rsidRPr="00ED54CE">
        <w:t xml:space="preserve">before the student submits the survey. This provides students a chance to go back directly to each unanswered question </w:t>
      </w:r>
      <w:r w:rsidRPr="00ED54CE" w:rsidR="00CA1446">
        <w:t>item if</w:t>
      </w:r>
      <w:r w:rsidRPr="00ED54CE" w:rsidR="00B913C0">
        <w:t xml:space="preserve"> they choose to do so. </w:t>
      </w:r>
      <w:bookmarkEnd w:id="4"/>
      <w:r w:rsidRPr="00ED54CE" w:rsidR="0083226D">
        <w:t xml:space="preserve">In addition, teachers will be guided by </w:t>
      </w:r>
      <w:r w:rsidRPr="00ED54CE" w:rsidR="00811E49">
        <w:t>NYTS Study Liaisons</w:t>
      </w:r>
      <w:r w:rsidRPr="00ED54CE" w:rsidR="0083226D">
        <w:t xml:space="preserve"> to ensure that students are able to successfully troubleshoot through any technical issues. </w:t>
      </w:r>
    </w:p>
    <w:p w:rsidR="00045449" w:rsidRPr="00E00EA0" w:rsidP="00045449" w14:paraId="54EB4281" w14:textId="77777777">
      <w:pPr>
        <w:widowControl/>
        <w:numPr>
          <w:ilvl w:val="0"/>
          <w:numId w:val="30"/>
        </w:numPr>
        <w:autoSpaceDE/>
        <w:autoSpaceDN/>
        <w:adjustRightInd/>
        <w:spacing w:before="100" w:beforeAutospacing="1" w:after="100" w:afterAutospacing="1"/>
        <w:rPr>
          <w:u w:val="single"/>
        </w:rPr>
      </w:pPr>
      <w:r w:rsidRPr="00E00EA0">
        <w:rPr>
          <w:u w:val="single"/>
        </w:rPr>
        <w:t>Test of Procedures or Methods to be Undertaken</w:t>
      </w:r>
    </w:p>
    <w:p w:rsidR="00EE43A4" w:rsidRPr="00ED54CE" w:rsidP="00EE43A4" w14:paraId="1840BC1C" w14:textId="77777777"/>
    <w:p w:rsidR="00112F05" w:rsidP="00BF2BF3" w14:paraId="0B543DBD" w14:textId="0130C706">
      <w:pPr>
        <w:pStyle w:val="BodyText"/>
        <w:spacing w:after="0"/>
        <w:ind w:firstLine="0"/>
        <w:rPr>
          <w:lang w:val="en-US"/>
        </w:rPr>
      </w:pPr>
      <w:r w:rsidRPr="00ED54CE">
        <w:rPr>
          <w:lang w:val="en-US"/>
        </w:rPr>
        <w:t>F</w:t>
      </w:r>
      <w:r w:rsidRPr="00ED54CE" w:rsidR="00205986">
        <w:rPr>
          <w:lang w:val="en-US"/>
        </w:rPr>
        <w:t xml:space="preserve">urther </w:t>
      </w:r>
      <w:r w:rsidRPr="00ED54CE" w:rsidR="005F419E">
        <w:rPr>
          <w:lang w:val="en-US"/>
        </w:rPr>
        <w:t>cognitive</w:t>
      </w:r>
      <w:r w:rsidRPr="00ED54CE" w:rsidR="00205986">
        <w:t xml:space="preserve"> </w:t>
      </w:r>
      <w:r w:rsidRPr="00ED54CE" w:rsidR="00EE43A4">
        <w:t>analyses</w:t>
      </w:r>
      <w:r w:rsidRPr="00ED54CE" w:rsidR="00205986">
        <w:rPr>
          <w:lang w:val="en-US"/>
        </w:rPr>
        <w:t xml:space="preserve"> or pretests of the survey were conducted in 2003, 2004, 2005, 2012, 2013,</w:t>
      </w:r>
      <w:r w:rsidR="004E372D">
        <w:rPr>
          <w:lang w:val="en-US"/>
        </w:rPr>
        <w:t xml:space="preserve"> </w:t>
      </w:r>
      <w:r w:rsidRPr="00ED54CE" w:rsidR="00205986">
        <w:rPr>
          <w:lang w:val="en-US"/>
        </w:rPr>
        <w:t xml:space="preserve">2015, </w:t>
      </w:r>
      <w:r w:rsidR="0094602D">
        <w:rPr>
          <w:rFonts w:eastAsia="Malgun Gothic" w:hint="eastAsia"/>
          <w:lang w:val="en-US" w:eastAsia="ko-KR"/>
        </w:rPr>
        <w:t xml:space="preserve">2022, 2023, 2024, </w:t>
      </w:r>
      <w:r w:rsidRPr="00ED54CE" w:rsidR="00613311">
        <w:rPr>
          <w:lang w:val="en-US"/>
        </w:rPr>
        <w:t xml:space="preserve">and </w:t>
      </w:r>
      <w:r w:rsidR="00562CF9">
        <w:rPr>
          <w:lang w:val="en-US"/>
        </w:rPr>
        <w:t>2025,</w:t>
      </w:r>
      <w:r w:rsidRPr="00ED54CE" w:rsidR="00613311">
        <w:rPr>
          <w:lang w:val="en-US"/>
        </w:rPr>
        <w:t xml:space="preserve"> </w:t>
      </w:r>
      <w:r w:rsidRPr="00ED54CE" w:rsidR="00205986">
        <w:rPr>
          <w:lang w:val="en-US"/>
        </w:rPr>
        <w:t xml:space="preserve">as described in previous Supporting Statements for </w:t>
      </w:r>
      <w:r w:rsidRPr="00ED54CE" w:rsidR="003046E3">
        <w:rPr>
          <w:lang w:val="en-US"/>
        </w:rPr>
        <w:t xml:space="preserve">the </w:t>
      </w:r>
      <w:r w:rsidRPr="00ED54CE" w:rsidR="00205986">
        <w:rPr>
          <w:lang w:val="en-US"/>
        </w:rPr>
        <w:t xml:space="preserve">NYTS. </w:t>
      </w:r>
      <w:r w:rsidRPr="00ED54CE">
        <w:rPr>
          <w:lang w:val="en-US"/>
        </w:rPr>
        <w:t xml:space="preserve">In 2017, </w:t>
      </w:r>
      <w:r w:rsidRPr="00ED54CE" w:rsidR="002317FA">
        <w:rPr>
          <w:lang w:val="en-US"/>
        </w:rPr>
        <w:t xml:space="preserve">13 questions and response options were cognitively tested </w:t>
      </w:r>
      <w:r w:rsidRPr="00ED54CE">
        <w:rPr>
          <w:lang w:val="en-US"/>
        </w:rPr>
        <w:t xml:space="preserve">for inclusion </w:t>
      </w:r>
      <w:r w:rsidRPr="00ED54CE" w:rsidR="003046E3">
        <w:rPr>
          <w:lang w:val="en-US"/>
        </w:rPr>
        <w:t xml:space="preserve">in the </w:t>
      </w:r>
      <w:r w:rsidRPr="00ED54CE">
        <w:rPr>
          <w:lang w:val="en-US"/>
        </w:rPr>
        <w:t xml:space="preserve">NYTS, focused primarily on e-cigarettes: </w:t>
      </w:r>
      <w:r w:rsidRPr="00ED54CE" w:rsidR="002317FA">
        <w:rPr>
          <w:lang w:val="en-US"/>
        </w:rPr>
        <w:t xml:space="preserve">rules </w:t>
      </w:r>
      <w:r w:rsidRPr="00ED54CE" w:rsidR="009E2A32">
        <w:rPr>
          <w:lang w:val="en-US"/>
        </w:rPr>
        <w:t xml:space="preserve">regarding </w:t>
      </w:r>
      <w:r w:rsidRPr="00ED54CE" w:rsidR="002317FA">
        <w:rPr>
          <w:lang w:val="en-US"/>
        </w:rPr>
        <w:t>use</w:t>
      </w:r>
      <w:r w:rsidRPr="00ED54CE" w:rsidR="009E2A32">
        <w:rPr>
          <w:lang w:val="en-US"/>
        </w:rPr>
        <w:t xml:space="preserve"> </w:t>
      </w:r>
      <w:r w:rsidRPr="00ED54CE" w:rsidR="00F253EA">
        <w:rPr>
          <w:lang w:val="en-US"/>
        </w:rPr>
        <w:t>in</w:t>
      </w:r>
      <w:r w:rsidRPr="00ED54CE" w:rsidR="009E2A32">
        <w:rPr>
          <w:lang w:val="en-US"/>
        </w:rPr>
        <w:t xml:space="preserve"> the home</w:t>
      </w:r>
      <w:r w:rsidRPr="00ED54CE" w:rsidR="002317FA">
        <w:rPr>
          <w:lang w:val="en-US"/>
        </w:rPr>
        <w:t xml:space="preserve">, reasons for use, types of e-cigarettes used, and </w:t>
      </w:r>
      <w:r w:rsidRPr="00ED54CE">
        <w:rPr>
          <w:lang w:val="en-US"/>
        </w:rPr>
        <w:t xml:space="preserve">how </w:t>
      </w:r>
      <w:r w:rsidRPr="00ED54CE" w:rsidR="002317FA">
        <w:rPr>
          <w:lang w:val="en-US"/>
        </w:rPr>
        <w:t>youth accessed e-cigarettes. In 2018, cognitive testing of 15 questions and response options was completed, again focused on e-cigarette use. Terminology, devices used, substances used, and reasons for use were all explored.</w:t>
      </w:r>
      <w:r w:rsidRPr="00ED54CE" w:rsidR="00711785">
        <w:rPr>
          <w:lang w:val="en-US"/>
        </w:rPr>
        <w:t xml:space="preserve"> </w:t>
      </w:r>
      <w:r w:rsidRPr="00ED54CE" w:rsidR="00E70C24">
        <w:rPr>
          <w:lang w:val="en-US"/>
        </w:rPr>
        <w:t>C</w:t>
      </w:r>
      <w:r w:rsidRPr="00ED54CE" w:rsidR="00711785">
        <w:rPr>
          <w:lang w:val="en-US"/>
        </w:rPr>
        <w:t>ognitiv</w:t>
      </w:r>
      <w:r w:rsidRPr="00ED54CE" w:rsidR="003B1369">
        <w:rPr>
          <w:lang w:val="en-US"/>
        </w:rPr>
        <w:t xml:space="preserve">e testing was performed </w:t>
      </w:r>
      <w:r w:rsidRPr="00ED54CE" w:rsidR="00E70C24">
        <w:rPr>
          <w:lang w:val="en-US"/>
        </w:rPr>
        <w:t xml:space="preserve">again </w:t>
      </w:r>
      <w:r w:rsidRPr="00ED54CE" w:rsidR="003B1369">
        <w:rPr>
          <w:lang w:val="en-US"/>
        </w:rPr>
        <w:t xml:space="preserve">in 2019, assessing </w:t>
      </w:r>
      <w:r w:rsidRPr="00ED54CE">
        <w:rPr>
          <w:lang w:val="en-US"/>
        </w:rPr>
        <w:t>e-cigarette terminology,</w:t>
      </w:r>
      <w:r w:rsidRPr="00ED54CE" w:rsidR="003B1369">
        <w:rPr>
          <w:lang w:val="en-US"/>
        </w:rPr>
        <w:t xml:space="preserve"> </w:t>
      </w:r>
      <w:r w:rsidRPr="00ED54CE" w:rsidR="001A4A19">
        <w:rPr>
          <w:lang w:val="en-US"/>
        </w:rPr>
        <w:t xml:space="preserve">e-cigarette devices used, </w:t>
      </w:r>
      <w:r w:rsidRPr="00ED54CE" w:rsidR="003B1369">
        <w:rPr>
          <w:lang w:val="en-US"/>
        </w:rPr>
        <w:t>substances used in e-cigarettes (</w:t>
      </w:r>
      <w:r w:rsidRPr="00ED54CE" w:rsidR="003A7012">
        <w:rPr>
          <w:lang w:val="en-US"/>
        </w:rPr>
        <w:t>e.g.,</w:t>
      </w:r>
      <w:r w:rsidRPr="00ED54CE" w:rsidR="003B1369">
        <w:rPr>
          <w:lang w:val="en-US"/>
        </w:rPr>
        <w:t xml:space="preserve"> nicotine, marijuana</w:t>
      </w:r>
      <w:r w:rsidRPr="00ED54CE" w:rsidR="002317FA">
        <w:rPr>
          <w:lang w:val="en-US"/>
        </w:rPr>
        <w:t>, THC</w:t>
      </w:r>
      <w:r w:rsidRPr="00ED54CE" w:rsidR="003B1369">
        <w:rPr>
          <w:lang w:val="en-US"/>
        </w:rPr>
        <w:t>),</w:t>
      </w:r>
      <w:r w:rsidRPr="00ED54CE" w:rsidR="008A690E">
        <w:rPr>
          <w:lang w:val="en-US"/>
        </w:rPr>
        <w:t xml:space="preserve"> reasons for using e-cigarettes, exposure to secondhand tobacco smoke and secondhand e-cigarette aerosol, exposure to e-cigarette posts in social media, </w:t>
      </w:r>
      <w:r w:rsidRPr="00ED54CE" w:rsidR="00E04CDF">
        <w:rPr>
          <w:lang w:val="en-US"/>
        </w:rPr>
        <w:t>injuncti</w:t>
      </w:r>
      <w:r w:rsidRPr="00ED54CE" w:rsidR="00DA68BA">
        <w:rPr>
          <w:lang w:val="en-US"/>
        </w:rPr>
        <w:t>v</w:t>
      </w:r>
      <w:r w:rsidRPr="00ED54CE" w:rsidR="00E04CDF">
        <w:rPr>
          <w:lang w:val="en-US"/>
        </w:rPr>
        <w:t xml:space="preserve">e and descriptive e-cigarette norms, </w:t>
      </w:r>
      <w:r w:rsidRPr="00ED54CE" w:rsidR="008A690E">
        <w:rPr>
          <w:lang w:val="en-US"/>
        </w:rPr>
        <w:t xml:space="preserve">and </w:t>
      </w:r>
      <w:r w:rsidRPr="00ED54CE" w:rsidR="002317FA">
        <w:rPr>
          <w:lang w:val="en-US"/>
        </w:rPr>
        <w:t xml:space="preserve">indicators for affluence or </w:t>
      </w:r>
      <w:r w:rsidRPr="00ED54CE" w:rsidR="008A690E">
        <w:rPr>
          <w:lang w:val="en-US"/>
        </w:rPr>
        <w:t>s</w:t>
      </w:r>
      <w:r w:rsidRPr="00ED54CE" w:rsidR="00201EB8">
        <w:rPr>
          <w:lang w:val="en-US"/>
        </w:rPr>
        <w:t xml:space="preserve">ocioeconomic status (SES) </w:t>
      </w:r>
      <w:r w:rsidRPr="00ED54CE" w:rsidR="008A690E">
        <w:rPr>
          <w:lang w:val="en-US"/>
        </w:rPr>
        <w:t xml:space="preserve">of </w:t>
      </w:r>
      <w:r w:rsidRPr="00ED54CE">
        <w:rPr>
          <w:lang w:val="en-US"/>
        </w:rPr>
        <w:t xml:space="preserve">the </w:t>
      </w:r>
      <w:r w:rsidRPr="00ED54CE" w:rsidR="008A690E">
        <w:rPr>
          <w:lang w:val="en-US"/>
        </w:rPr>
        <w:t>student’s family.</w:t>
      </w:r>
      <w:r w:rsidR="00FD317F">
        <w:rPr>
          <w:lang w:val="en-US"/>
        </w:rPr>
        <w:t xml:space="preserve"> </w:t>
      </w:r>
      <w:r>
        <w:rPr>
          <w:lang w:val="en-US"/>
        </w:rPr>
        <w:t>I</w:t>
      </w:r>
      <w:r w:rsidRPr="00ED54CE" w:rsidR="00BF7364">
        <w:rPr>
          <w:lang w:val="en-US"/>
        </w:rPr>
        <w:t xml:space="preserve">n </w:t>
      </w:r>
      <w:r w:rsidRPr="00ED54CE" w:rsidR="00B159D4">
        <w:rPr>
          <w:lang w:val="en-US"/>
        </w:rPr>
        <w:t>2022</w:t>
      </w:r>
      <w:r w:rsidRPr="00ED54CE" w:rsidR="00BF7364">
        <w:rPr>
          <w:lang w:val="en-US"/>
        </w:rPr>
        <w:t xml:space="preserve">, </w:t>
      </w:r>
      <w:r w:rsidRPr="00ED54CE" w:rsidR="00B159D4">
        <w:rPr>
          <w:lang w:val="en-US"/>
        </w:rPr>
        <w:t>cognitive testing was conducted to test selected questions that had been proposed for inclusion in the 2023 NYTS. These questions focused on e-cigarette use, heated tobacco product use, nicotine p</w:t>
      </w:r>
      <w:r w:rsidRPr="00ED54CE" w:rsidR="00811E49">
        <w:rPr>
          <w:lang w:val="en-US"/>
        </w:rPr>
        <w:t>o</w:t>
      </w:r>
      <w:r w:rsidRPr="00ED54CE" w:rsidR="00B159D4">
        <w:rPr>
          <w:lang w:val="en-US"/>
        </w:rPr>
        <w:t>uches, sexual orientation and gender identity (SOGI), the Adolescent Discrimination Distress Scale (ADDI), and the Neighborhood Environment Scale (NES).</w:t>
      </w:r>
      <w:r w:rsidRPr="00ED54CE" w:rsidR="00BF7364">
        <w:rPr>
          <w:lang w:val="en-US"/>
        </w:rPr>
        <w:t xml:space="preserve"> </w:t>
      </w:r>
      <w:r w:rsidRPr="00ED54CE" w:rsidR="008A690E">
        <w:rPr>
          <w:lang w:val="en-US"/>
        </w:rPr>
        <w:t xml:space="preserve">The findings of these </w:t>
      </w:r>
      <w:r w:rsidRPr="00ED54CE">
        <w:rPr>
          <w:lang w:val="en-US"/>
        </w:rPr>
        <w:t xml:space="preserve">testing activities </w:t>
      </w:r>
      <w:r w:rsidRPr="00ED54CE" w:rsidR="00B159D4">
        <w:rPr>
          <w:lang w:val="en-US"/>
        </w:rPr>
        <w:t xml:space="preserve">were </w:t>
      </w:r>
      <w:r w:rsidRPr="00ED54CE" w:rsidR="008A690E">
        <w:rPr>
          <w:lang w:val="en-US"/>
        </w:rPr>
        <w:t xml:space="preserve">used to improve questions on the </w:t>
      </w:r>
      <w:r w:rsidRPr="00ED54CE" w:rsidR="00B159D4">
        <w:rPr>
          <w:lang w:val="en-US"/>
        </w:rPr>
        <w:t xml:space="preserve">2023 </w:t>
      </w:r>
      <w:r w:rsidRPr="00ED54CE" w:rsidR="008A690E">
        <w:rPr>
          <w:lang w:val="en-US"/>
        </w:rPr>
        <w:t>NYTS</w:t>
      </w:r>
      <w:r w:rsidRPr="00ED54CE" w:rsidR="00B159D4">
        <w:rPr>
          <w:lang w:val="en-US"/>
        </w:rPr>
        <w:t xml:space="preserve">. Specifically, the 2022 interviews resulted in updated terminology, brands, and product images for novel tobacco products in the 2023 NYTS. These activities also influenced the inclusion and wording of health equity items included in the 2023 survey. </w:t>
      </w:r>
    </w:p>
    <w:p w:rsidR="00112F05" w:rsidP="00BF2BF3" w14:paraId="667DBAAE" w14:textId="69DF5DE6">
      <w:pPr>
        <w:pStyle w:val="BodyText"/>
        <w:spacing w:after="0"/>
        <w:ind w:firstLine="0"/>
        <w:rPr>
          <w:lang w:val="en-US"/>
        </w:rPr>
      </w:pPr>
    </w:p>
    <w:p w:rsidR="00EE43A4" w:rsidP="00BF2BF3" w14:paraId="067D2C8E" w14:textId="474FD585">
      <w:pPr>
        <w:pStyle w:val="BodyText"/>
        <w:spacing w:after="0"/>
        <w:ind w:firstLine="0"/>
      </w:pPr>
      <w:r>
        <w:t>I</w:t>
      </w:r>
      <w:r w:rsidRPr="00112F05">
        <w:t xml:space="preserve">n 2023, robust cognitive testing was conducted to test selected questions that had been proposed for inclusion in the 2024 NYTS. This testing was conducted with sufficient sample size to make conclusions about the views of the spectrum of likely respondents to the NYTS. Cognitive testing focused on testing of sexual orientation and gender identity (SOGI) items, the Neighborhood Environment Scale (NES), and the Adolescent Discrimination Distress Index (ADDI) using the full range of ages covered in the survey and a geographically diverse sample of youth. To further inform potential changes to the survey, testing also included demographic questions, questions about e-cigarettes and nicotine pouches, measures of psychological stress, measures of socioeconomic status (SES), and an item about academic performance. The findings of these testing activities were used to inform the 2024 NYTS. Specifically, the 2023 interviews confirmed that participants did not experience discomfort or difficulty understanding any of these items, including SOGI items, the ADDI, or the NES. Testing found that respondents with a wide range of characteristics (selected to represent the overall NYTS audience) interpreted the questions and response options as intended. Based on the results of testing, the following changes were made: the Family Affluence Scale was updated to a more comprehensive version that participants understood better, and items related to tobacco products were added or removed </w:t>
      </w:r>
      <w:r w:rsidRPr="00112F05">
        <w:t>to reflect evolving trends in knowledge, attitudes, beliefs, and behaviors related to tobacco products</w:t>
      </w:r>
      <w:r w:rsidR="006D53D6">
        <w:t>.</w:t>
      </w:r>
    </w:p>
    <w:p w:rsidR="006D53D6" w:rsidRPr="00ED54CE" w:rsidP="00BF2BF3" w14:paraId="0958EEE6" w14:textId="77777777">
      <w:pPr>
        <w:pStyle w:val="BodyText"/>
        <w:spacing w:after="0"/>
        <w:ind w:firstLine="0"/>
        <w:rPr>
          <w:lang w:val="en-US"/>
        </w:rPr>
      </w:pPr>
    </w:p>
    <w:p w:rsidR="00AB1DF7" w:rsidRPr="00ED54CE" w:rsidP="00AB1DF7" w14:paraId="32D36EEF" w14:textId="072C87D4">
      <w:pPr>
        <w:pStyle w:val="BodyText"/>
        <w:spacing w:after="0"/>
        <w:ind w:firstLine="0"/>
        <w:rPr>
          <w:lang w:val="en-US"/>
        </w:rPr>
      </w:pPr>
      <w:r>
        <w:rPr>
          <w:lang w:val="en-US"/>
        </w:rPr>
        <w:t>In 2024</w:t>
      </w:r>
      <w:r w:rsidR="00D17822">
        <w:rPr>
          <w:lang w:val="en-US"/>
        </w:rPr>
        <w:t xml:space="preserve"> and 2025</w:t>
      </w:r>
      <w:r>
        <w:rPr>
          <w:lang w:val="en-US"/>
        </w:rPr>
        <w:t xml:space="preserve">, </w:t>
      </w:r>
      <w:r w:rsidRPr="00112F05">
        <w:t xml:space="preserve">robust cognitive testing was conducted. </w:t>
      </w:r>
      <w:r w:rsidRPr="00C7666D">
        <w:rPr>
          <w:lang w:val="en-US"/>
        </w:rPr>
        <w:t xml:space="preserve">The items selected for testing were based on performance in the previous iteration of testing in 2023, guidance from CDC OSH leadership, and terms of clearance from the Office of Management and Budget (OMB). </w:t>
      </w:r>
      <w:r w:rsidRPr="00112F05">
        <w:t>This testing was conducted with sufficient sample size to make conclusions about the views of the spectrum of likely respondents to the NYTS.</w:t>
      </w:r>
      <w:r>
        <w:t xml:space="preserve"> Cognitive testing in 2024</w:t>
      </w:r>
      <w:r w:rsidR="00B245FB">
        <w:t xml:space="preserve"> and 2025</w:t>
      </w:r>
      <w:r>
        <w:t xml:space="preserve"> included questions about race/ ethnicity (specifically, the new OMB-required single race/ethnicity question), e-cigarettes, marijuana, and parental education; the ADDI; the NES; </w:t>
      </w:r>
      <w:r w:rsidRPr="00112F05">
        <w:t>SOGI items</w:t>
      </w:r>
      <w:r>
        <w:t xml:space="preserve">; and </w:t>
      </w:r>
      <w:r w:rsidRPr="00112F05">
        <w:t>the Family Affluence Scale</w:t>
      </w:r>
      <w:r>
        <w:t xml:space="preserve">. Psychometric testing in 2024 also informed questions about e-cigarettes in the 2026 survey, including the selection of e-cigarette device types and brands, methods of purchasing e-cigarettes, instructions asking youth to distinguish between vaping cannabis and using e-cigarettes, and methods of attempting to quit e-cigarettes. </w:t>
      </w:r>
      <w:r w:rsidR="00C70B2E">
        <w:t>Because the 2024</w:t>
      </w:r>
      <w:r w:rsidR="005E711C">
        <w:t xml:space="preserve"> and 2025</w:t>
      </w:r>
      <w:r w:rsidR="00C70B2E">
        <w:t xml:space="preserve"> psychometric testing occurred later than usual, the </w:t>
      </w:r>
      <w:r w:rsidRPr="00112F05" w:rsidR="00C70B2E">
        <w:t>findings of these testing activities w</w:t>
      </w:r>
      <w:r w:rsidR="005E711C">
        <w:t xml:space="preserve">ill be </w:t>
      </w:r>
      <w:r w:rsidRPr="00112F05" w:rsidR="00C70B2E">
        <w:t xml:space="preserve">used to inform </w:t>
      </w:r>
      <w:r w:rsidRPr="00BE5FAE" w:rsidR="00C70B2E">
        <w:t>the 202</w:t>
      </w:r>
      <w:r w:rsidR="005E711C">
        <w:t>7</w:t>
      </w:r>
      <w:r w:rsidRPr="00BE5FAE" w:rsidR="00C70B2E">
        <w:t xml:space="preserve"> NYTS. </w:t>
      </w:r>
    </w:p>
    <w:p w:rsidR="00AB1DF7" w:rsidRPr="00ED54CE" w:rsidP="00AB1DF7" w14:paraId="745399EB" w14:textId="77777777">
      <w:pPr>
        <w:pStyle w:val="BodyText"/>
        <w:spacing w:after="0"/>
        <w:ind w:firstLine="0"/>
        <w:rPr>
          <w:lang w:val="en-US"/>
        </w:rPr>
      </w:pPr>
    </w:p>
    <w:p w:rsidR="001E19AD" w:rsidP="001E19AD" w14:paraId="35387AE6" w14:textId="53B8EC96">
      <w:pPr>
        <w:pStyle w:val="BodyText"/>
        <w:spacing w:after="0"/>
        <w:ind w:firstLine="0"/>
        <w:rPr>
          <w:lang w:val="en-US"/>
        </w:rPr>
      </w:pPr>
      <w:r w:rsidRPr="00ED54CE">
        <w:rPr>
          <w:lang w:val="en-US"/>
        </w:rPr>
        <w:t>The current ICR includes a</w:t>
      </w:r>
      <w:r w:rsidRPr="00ED54CE" w:rsidR="007E1B7E">
        <w:rPr>
          <w:lang w:val="en-US"/>
        </w:rPr>
        <w:t>n updated</w:t>
      </w:r>
      <w:r w:rsidRPr="00ED54CE">
        <w:rPr>
          <w:lang w:val="en-US"/>
        </w:rPr>
        <w:t xml:space="preserve"> line item in the burden table to support </w:t>
      </w:r>
      <w:r w:rsidRPr="00ED54CE" w:rsidR="00B159D4">
        <w:rPr>
          <w:lang w:val="en-US"/>
        </w:rPr>
        <w:t xml:space="preserve">future </w:t>
      </w:r>
      <w:r w:rsidRPr="00ED54CE">
        <w:rPr>
          <w:lang w:val="en-US"/>
        </w:rPr>
        <w:t xml:space="preserve">testing of changes to the NYTS questionnaire prior to their implementation. Burden is specifically allocated to performing testing of new or modified questions that will provide better measures of tobacco products. The burden also includes </w:t>
      </w:r>
      <w:r w:rsidRPr="00ED54CE" w:rsidR="007E1B7E">
        <w:rPr>
          <w:lang w:val="en-US"/>
        </w:rPr>
        <w:t>pre-</w:t>
      </w:r>
      <w:r w:rsidRPr="00ED54CE">
        <w:rPr>
          <w:lang w:val="en-US"/>
        </w:rPr>
        <w:t xml:space="preserve">testing of the questionnaire to </w:t>
      </w:r>
      <w:r w:rsidRPr="00ED54CE" w:rsidR="00774782">
        <w:rPr>
          <w:lang w:val="en-US"/>
        </w:rPr>
        <w:t>confirm that they can be completed in 45 minutes</w:t>
      </w:r>
      <w:r>
        <w:rPr>
          <w:lang w:val="en-US"/>
        </w:rPr>
        <w:t>.</w:t>
      </w:r>
    </w:p>
    <w:p w:rsidR="001E19AD" w:rsidP="001E19AD" w14:paraId="5B571264" w14:textId="77777777">
      <w:pPr>
        <w:pStyle w:val="BodyText"/>
        <w:spacing w:after="0"/>
        <w:ind w:firstLine="0"/>
        <w:rPr>
          <w:lang w:val="en-US"/>
        </w:rPr>
      </w:pPr>
    </w:p>
    <w:p w:rsidR="00723327" w:rsidRPr="00E00EA0" w:rsidP="00723327" w14:paraId="5315E174" w14:textId="77777777">
      <w:pPr>
        <w:widowControl/>
        <w:numPr>
          <w:ilvl w:val="0"/>
          <w:numId w:val="30"/>
        </w:numPr>
        <w:autoSpaceDE/>
        <w:autoSpaceDN/>
        <w:adjustRightInd/>
        <w:spacing w:before="100" w:beforeAutospacing="1" w:after="100" w:afterAutospacing="1"/>
        <w:rPr>
          <w:u w:val="single"/>
        </w:rPr>
      </w:pPr>
      <w:r w:rsidRPr="00E00EA0">
        <w:rPr>
          <w:u w:val="single"/>
        </w:rPr>
        <w:t>Individuals Consulted on Statistical Aspects and Individuals Collecting and/or Analyzing Data</w:t>
      </w:r>
    </w:p>
    <w:p w:rsidR="00EE43A4" w:rsidRPr="00E7206A" w:rsidP="00BF2BF3" w14:paraId="2F128D83" w14:textId="77777777">
      <w:pPr>
        <w:pStyle w:val="Heading3"/>
        <w:rPr>
          <w:rFonts w:ascii="Times New Roman" w:hAnsi="Times New Roman"/>
          <w:sz w:val="24"/>
          <w:szCs w:val="24"/>
        </w:rPr>
      </w:pPr>
      <w:r w:rsidRPr="00E7206A">
        <w:rPr>
          <w:rFonts w:ascii="Times New Roman" w:hAnsi="Times New Roman"/>
          <w:sz w:val="24"/>
          <w:szCs w:val="24"/>
        </w:rPr>
        <w:t>Statistical Review</w:t>
      </w:r>
    </w:p>
    <w:p w:rsidR="00BF2BF3" w:rsidRPr="00ED54CE" w:rsidP="00DE3975" w14:paraId="75CB95C8" w14:textId="77777777">
      <w:pPr>
        <w:rPr>
          <w:lang w:val="x-none" w:eastAsia="x-none"/>
        </w:rPr>
      </w:pPr>
    </w:p>
    <w:p w:rsidR="00DB0B1C" w:rsidRPr="00ED54CE" w:rsidP="00BF2BF3" w14:paraId="1E3E0688" w14:textId="77777777">
      <w:pPr>
        <w:pStyle w:val="BodyText"/>
        <w:ind w:firstLine="0"/>
      </w:pPr>
      <w:r w:rsidRPr="00ED54CE">
        <w:t xml:space="preserve">Statistical aspects of the study have been reviewed by the individuals listed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45"/>
        <w:gridCol w:w="4546"/>
      </w:tblGrid>
      <w:tr w14:paraId="41329859" w14:textId="77777777" w:rsidTr="00FB468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4045" w:type="dxa"/>
          </w:tcPr>
          <w:p w:rsidR="00FB4683" w:rsidRPr="00A56296" w:rsidP="00F16FA5" w14:paraId="1E65EBDA" w14:textId="77777777">
            <w:pPr>
              <w:rPr>
                <w:sz w:val="22"/>
                <w:szCs w:val="22"/>
              </w:rPr>
            </w:pPr>
            <w:r w:rsidRPr="00A56296">
              <w:rPr>
                <w:sz w:val="22"/>
                <w:szCs w:val="22"/>
              </w:rPr>
              <w:t>Karen Cullen, Ph.D., M.P.H.</w:t>
            </w:r>
          </w:p>
          <w:p w:rsidR="00D82807" w:rsidP="00D82807" w14:paraId="02FFCF37" w14:textId="77777777">
            <w:pPr>
              <w:rPr>
                <w:sz w:val="22"/>
                <w:szCs w:val="22"/>
              </w:rPr>
            </w:pPr>
            <w:r>
              <w:rPr>
                <w:sz w:val="22"/>
                <w:szCs w:val="22"/>
              </w:rPr>
              <w:t>Center for Tobacco Products, FDA</w:t>
            </w:r>
          </w:p>
          <w:p w:rsidR="002F253D" w:rsidP="00F16FA5" w14:paraId="7F4F305F" w14:textId="77777777">
            <w:pPr>
              <w:rPr>
                <w:sz w:val="22"/>
                <w:szCs w:val="22"/>
              </w:rPr>
            </w:pPr>
            <w:r>
              <w:rPr>
                <w:sz w:val="22"/>
                <w:szCs w:val="22"/>
              </w:rPr>
              <w:t xml:space="preserve">10903 New Hampshire Ave, </w:t>
            </w:r>
          </w:p>
          <w:p w:rsidR="002F253D" w:rsidP="00F16FA5" w14:paraId="0F0AB257" w14:textId="688776E5">
            <w:pPr>
              <w:rPr>
                <w:sz w:val="22"/>
                <w:szCs w:val="22"/>
              </w:rPr>
            </w:pPr>
            <w:r>
              <w:rPr>
                <w:sz w:val="22"/>
                <w:szCs w:val="22"/>
              </w:rPr>
              <w:t>Silver Spring, MD 20993</w:t>
            </w:r>
          </w:p>
          <w:p w:rsidR="00FB4683" w:rsidRPr="00A56296" w:rsidP="00F16FA5" w14:paraId="1DABCD4E" w14:textId="7FC44583">
            <w:pPr>
              <w:rPr>
                <w:sz w:val="22"/>
                <w:szCs w:val="22"/>
              </w:rPr>
            </w:pPr>
            <w:r>
              <w:rPr>
                <w:sz w:val="22"/>
                <w:szCs w:val="22"/>
              </w:rPr>
              <w:t>Ph</w:t>
            </w:r>
            <w:r w:rsidRPr="00A56296">
              <w:rPr>
                <w:sz w:val="22"/>
                <w:szCs w:val="22"/>
              </w:rPr>
              <w:t>one: 240-402-4513</w:t>
            </w:r>
          </w:p>
          <w:p w:rsidR="00FB4683" w:rsidP="00F16FA5" w14:paraId="461DA115" w14:textId="77777777">
            <w:pPr>
              <w:rPr>
                <w:rStyle w:val="Hyperlink"/>
                <w:sz w:val="22"/>
                <w:szCs w:val="22"/>
              </w:rPr>
            </w:pPr>
            <w:r w:rsidRPr="00A56296">
              <w:rPr>
                <w:sz w:val="22"/>
                <w:szCs w:val="22"/>
              </w:rPr>
              <w:t xml:space="preserve">E-mail: </w:t>
            </w:r>
            <w:hyperlink r:id="rId10" w:history="1">
              <w:r w:rsidRPr="00243661">
                <w:rPr>
                  <w:rStyle w:val="Hyperlink"/>
                  <w:sz w:val="22"/>
                  <w:szCs w:val="22"/>
                </w:rPr>
                <w:t>Karen.Cullen@fda.hhs.gov</w:t>
              </w:r>
            </w:hyperlink>
          </w:p>
          <w:p w:rsidR="00D82807" w:rsidRPr="00243661" w:rsidP="00F16FA5" w14:paraId="62EFFBC1" w14:textId="77777777">
            <w:pPr>
              <w:rPr>
                <w:rFonts w:ascii="Calibri" w:eastAsia="Calibri" w:hAnsi="Calibri"/>
                <w:sz w:val="22"/>
                <w:szCs w:val="22"/>
                <w:u w:val="single"/>
              </w:rPr>
            </w:pPr>
          </w:p>
        </w:tc>
        <w:tc>
          <w:tcPr>
            <w:tcW w:w="4546" w:type="dxa"/>
          </w:tcPr>
          <w:p w:rsidR="00FB4683" w:rsidRPr="0083237E" w:rsidP="00F16FA5" w14:paraId="2B9A13D3" w14:textId="77777777">
            <w:pPr>
              <w:rPr>
                <w:sz w:val="22"/>
                <w:szCs w:val="22"/>
              </w:rPr>
            </w:pPr>
            <w:r w:rsidRPr="0083237E">
              <w:rPr>
                <w:sz w:val="22"/>
                <w:szCs w:val="22"/>
              </w:rPr>
              <w:t>Eunice Park-Lee, Ph.D., M.S.</w:t>
            </w:r>
          </w:p>
          <w:p w:rsidR="00D94B15" w:rsidP="00D94B15" w14:paraId="199C31E2" w14:textId="05DF2041">
            <w:pPr>
              <w:rPr>
                <w:sz w:val="22"/>
                <w:szCs w:val="22"/>
              </w:rPr>
            </w:pPr>
            <w:r>
              <w:rPr>
                <w:sz w:val="22"/>
                <w:szCs w:val="22"/>
              </w:rPr>
              <w:t xml:space="preserve">Center for Tobacco Products, </w:t>
            </w:r>
            <w:r w:rsidR="00D82807">
              <w:rPr>
                <w:sz w:val="22"/>
                <w:szCs w:val="22"/>
              </w:rPr>
              <w:t>FDA</w:t>
            </w:r>
          </w:p>
          <w:p w:rsidR="002F253D" w:rsidP="002F253D" w14:paraId="3DAC4B43" w14:textId="77777777">
            <w:pPr>
              <w:rPr>
                <w:sz w:val="22"/>
                <w:szCs w:val="22"/>
              </w:rPr>
            </w:pPr>
            <w:r>
              <w:rPr>
                <w:sz w:val="22"/>
                <w:szCs w:val="22"/>
              </w:rPr>
              <w:t xml:space="preserve">10903 New Hampshire Ave, </w:t>
            </w:r>
          </w:p>
          <w:p w:rsidR="002F253D" w:rsidP="002F253D" w14:paraId="15D02C53" w14:textId="77777777">
            <w:pPr>
              <w:rPr>
                <w:sz w:val="22"/>
                <w:szCs w:val="22"/>
              </w:rPr>
            </w:pPr>
            <w:r>
              <w:rPr>
                <w:sz w:val="22"/>
                <w:szCs w:val="22"/>
              </w:rPr>
              <w:t>Silver Spring, MD 20993</w:t>
            </w:r>
          </w:p>
          <w:p w:rsidR="00FB4683" w:rsidRPr="0083237E" w:rsidP="00F16FA5" w14:paraId="1B7AB7E8" w14:textId="77777777">
            <w:pPr>
              <w:rPr>
                <w:sz w:val="22"/>
                <w:szCs w:val="22"/>
              </w:rPr>
            </w:pPr>
            <w:r w:rsidRPr="0083237E">
              <w:rPr>
                <w:sz w:val="22"/>
                <w:szCs w:val="22"/>
              </w:rPr>
              <w:t>Phone: 301-837-7342</w:t>
            </w:r>
          </w:p>
          <w:p w:rsidR="00FB4683" w:rsidRPr="00243661" w:rsidP="00F16FA5" w14:paraId="4DEE11ED" w14:textId="77777777">
            <w:pPr>
              <w:rPr>
                <w:rFonts w:ascii="Calibri" w:eastAsia="Calibri" w:hAnsi="Calibri"/>
                <w:sz w:val="22"/>
                <w:szCs w:val="22"/>
              </w:rPr>
            </w:pPr>
            <w:r w:rsidRPr="0083237E">
              <w:rPr>
                <w:sz w:val="22"/>
                <w:szCs w:val="22"/>
              </w:rPr>
              <w:t xml:space="preserve">E-mail: </w:t>
            </w:r>
            <w:hyperlink r:id="rId11" w:history="1">
              <w:r w:rsidRPr="0083237E">
                <w:rPr>
                  <w:rStyle w:val="Hyperlink"/>
                  <w:sz w:val="22"/>
                  <w:szCs w:val="22"/>
                </w:rPr>
                <w:t>Eunice.Park-Lee@fda.hhs.gov</w:t>
              </w:r>
            </w:hyperlink>
          </w:p>
        </w:tc>
      </w:tr>
      <w:tr w14:paraId="2D3933B4" w14:textId="77777777" w:rsidTr="00FB4683">
        <w:tblPrEx>
          <w:tblW w:w="0" w:type="auto"/>
          <w:jc w:val="center"/>
          <w:tblLayout w:type="fixed"/>
          <w:tblLook w:val="04A0"/>
        </w:tblPrEx>
        <w:trPr>
          <w:cantSplit/>
          <w:jc w:val="center"/>
        </w:trPr>
        <w:tc>
          <w:tcPr>
            <w:tcW w:w="4045" w:type="dxa"/>
          </w:tcPr>
          <w:p w:rsidR="00FB4683" w:rsidRPr="0083237E" w:rsidP="00FB4683" w14:paraId="604D5B8A" w14:textId="77777777">
            <w:pPr>
              <w:rPr>
                <w:sz w:val="22"/>
                <w:szCs w:val="22"/>
              </w:rPr>
            </w:pPr>
            <w:r w:rsidRPr="00F85DF7">
              <w:rPr>
                <w:sz w:val="22"/>
                <w:szCs w:val="22"/>
              </w:rPr>
              <w:t>Roberto Valverde</w:t>
            </w:r>
            <w:r>
              <w:rPr>
                <w:sz w:val="22"/>
                <w:szCs w:val="22"/>
              </w:rPr>
              <w:t>, M.P.H.</w:t>
            </w:r>
          </w:p>
          <w:p w:rsidR="00D82807" w:rsidP="00D82807" w14:paraId="1DEF0617" w14:textId="77777777">
            <w:pPr>
              <w:rPr>
                <w:sz w:val="22"/>
                <w:szCs w:val="22"/>
              </w:rPr>
            </w:pPr>
            <w:r>
              <w:rPr>
                <w:sz w:val="22"/>
                <w:szCs w:val="22"/>
              </w:rPr>
              <w:t>Center for Tobacco Products, FDA</w:t>
            </w:r>
          </w:p>
          <w:p w:rsidR="00D94B15" w:rsidP="00D94B15" w14:paraId="766A6D10" w14:textId="77777777">
            <w:pPr>
              <w:rPr>
                <w:sz w:val="22"/>
                <w:szCs w:val="22"/>
              </w:rPr>
            </w:pPr>
            <w:r>
              <w:rPr>
                <w:sz w:val="22"/>
                <w:szCs w:val="22"/>
              </w:rPr>
              <w:t xml:space="preserve">10903 New Hampshire Ave, </w:t>
            </w:r>
          </w:p>
          <w:p w:rsidR="00D94B15" w:rsidP="00D94B15" w14:paraId="6BE706A8" w14:textId="77777777">
            <w:pPr>
              <w:rPr>
                <w:sz w:val="22"/>
                <w:szCs w:val="22"/>
              </w:rPr>
            </w:pPr>
            <w:r>
              <w:rPr>
                <w:sz w:val="22"/>
                <w:szCs w:val="22"/>
              </w:rPr>
              <w:t>Silver Spring, MD 20993</w:t>
            </w:r>
          </w:p>
          <w:p w:rsidR="00FB4683" w:rsidRPr="0083237E" w:rsidP="00FB4683" w14:paraId="32A451B4" w14:textId="77777777">
            <w:pPr>
              <w:rPr>
                <w:sz w:val="22"/>
                <w:szCs w:val="22"/>
              </w:rPr>
            </w:pPr>
            <w:r w:rsidRPr="0083237E">
              <w:rPr>
                <w:sz w:val="22"/>
                <w:szCs w:val="22"/>
              </w:rPr>
              <w:t xml:space="preserve">Phone: </w:t>
            </w:r>
            <w:r w:rsidRPr="00F85DF7">
              <w:rPr>
                <w:sz w:val="22"/>
                <w:szCs w:val="22"/>
              </w:rPr>
              <w:t>240-402-3055</w:t>
            </w:r>
          </w:p>
          <w:p w:rsidR="00FB4683" w:rsidP="00FB4683" w14:paraId="5DB0C067" w14:textId="77777777">
            <w:pPr>
              <w:rPr>
                <w:rStyle w:val="Hyperlink"/>
                <w:sz w:val="22"/>
                <w:szCs w:val="22"/>
              </w:rPr>
            </w:pPr>
            <w:r w:rsidRPr="0083237E">
              <w:rPr>
                <w:sz w:val="22"/>
                <w:szCs w:val="22"/>
              </w:rPr>
              <w:t xml:space="preserve">E-mail: </w:t>
            </w:r>
            <w:hyperlink r:id="rId12" w:history="1">
              <w:r w:rsidRPr="00F85DF7">
                <w:rPr>
                  <w:rStyle w:val="Hyperlink"/>
                  <w:sz w:val="22"/>
                  <w:szCs w:val="22"/>
                </w:rPr>
                <w:t>Roberto.Valverde@fda.hhs.gov</w:t>
              </w:r>
            </w:hyperlink>
          </w:p>
          <w:p w:rsidR="00D82807" w:rsidRPr="00243661" w:rsidP="00FB4683" w14:paraId="55CF9D72" w14:textId="64DF34EA">
            <w:pPr>
              <w:rPr>
                <w:rFonts w:ascii="Calibri" w:eastAsia="Calibri" w:hAnsi="Calibri"/>
                <w:sz w:val="22"/>
                <w:szCs w:val="22"/>
              </w:rPr>
            </w:pPr>
          </w:p>
        </w:tc>
        <w:tc>
          <w:tcPr>
            <w:tcW w:w="4546" w:type="dxa"/>
          </w:tcPr>
          <w:p w:rsidR="00FB4683" w:rsidRPr="00ED54CE" w:rsidP="00FB4683" w14:paraId="0BEA7442" w14:textId="77777777">
            <w:pPr>
              <w:tabs>
                <w:tab w:val="left" w:pos="0"/>
              </w:tabs>
              <w:spacing w:line="228" w:lineRule="auto"/>
            </w:pPr>
            <w:r w:rsidRPr="00ED54CE">
              <w:t>Burton Levine, M.S.</w:t>
            </w:r>
          </w:p>
          <w:p w:rsidR="00FB4683" w:rsidRPr="00ED54CE" w:rsidP="00FB4683" w14:paraId="3C7AD06F" w14:textId="77777777">
            <w:pPr>
              <w:tabs>
                <w:tab w:val="left" w:pos="0"/>
              </w:tabs>
              <w:spacing w:line="228" w:lineRule="auto"/>
            </w:pPr>
            <w:r w:rsidRPr="00ED54CE">
              <w:t>Senior Research Statistician</w:t>
            </w:r>
          </w:p>
          <w:p w:rsidR="00FB4683" w:rsidRPr="00ED54CE" w:rsidP="00FB4683" w14:paraId="4E9AFE9A" w14:textId="77777777">
            <w:pPr>
              <w:tabs>
                <w:tab w:val="left" w:pos="0"/>
              </w:tabs>
              <w:spacing w:line="228" w:lineRule="auto"/>
            </w:pPr>
            <w:r w:rsidRPr="00ED54CE">
              <w:t>RTI International</w:t>
            </w:r>
          </w:p>
          <w:p w:rsidR="00FB4683" w:rsidRPr="00ED54CE" w:rsidP="00FB4683" w14:paraId="2B263057" w14:textId="77777777">
            <w:pPr>
              <w:tabs>
                <w:tab w:val="left" w:pos="0"/>
              </w:tabs>
              <w:spacing w:line="228" w:lineRule="auto"/>
            </w:pPr>
            <w:r w:rsidRPr="00ED54CE">
              <w:t>Phone: 919-541-1252</w:t>
            </w:r>
          </w:p>
          <w:p w:rsidR="00FB4683" w:rsidRPr="00243661" w:rsidP="00FB4683" w14:paraId="0BA75374" w14:textId="3701F2E2">
            <w:pPr>
              <w:rPr>
                <w:rFonts w:ascii="Calibri" w:eastAsia="Calibri" w:hAnsi="Calibri"/>
                <w:sz w:val="22"/>
                <w:szCs w:val="22"/>
              </w:rPr>
            </w:pPr>
            <w:r w:rsidRPr="00ED54CE">
              <w:t xml:space="preserve">Email: </w:t>
            </w:r>
            <w:hyperlink r:id="rId13" w:history="1">
              <w:r w:rsidRPr="001535D2" w:rsidR="006F15D2">
                <w:rPr>
                  <w:rStyle w:val="Hyperlink"/>
                </w:rPr>
                <w:t>blevine@rti.org</w:t>
              </w:r>
            </w:hyperlink>
            <w:r w:rsidR="006F15D2">
              <w:t xml:space="preserve"> </w:t>
            </w:r>
          </w:p>
        </w:tc>
      </w:tr>
    </w:tbl>
    <w:p w:rsidR="00DB0B1C" w:rsidRPr="00ED54CE" w:rsidP="00EE43A4" w14:paraId="1AA8239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DE3975" w:rsidRPr="00ED54CE" w:rsidP="00EE43A4" w14:paraId="3F699505"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EE43A4" w:rsidRPr="00E7206A" w:rsidP="00DE3975" w14:paraId="5086C542" w14:textId="77777777">
      <w:pPr>
        <w:pStyle w:val="Heading3"/>
        <w:spacing w:before="0"/>
        <w:rPr>
          <w:rFonts w:ascii="Times New Roman" w:hAnsi="Times New Roman"/>
          <w:sz w:val="24"/>
          <w:szCs w:val="24"/>
        </w:rPr>
      </w:pPr>
      <w:r w:rsidRPr="00E7206A">
        <w:rPr>
          <w:rFonts w:ascii="Times New Roman" w:hAnsi="Times New Roman"/>
          <w:sz w:val="24"/>
          <w:szCs w:val="24"/>
        </w:rPr>
        <w:t>Agency Responsibility</w:t>
      </w:r>
    </w:p>
    <w:p w:rsidR="00BF2BF3" w:rsidRPr="00ED54CE" w:rsidP="00DE3975" w14:paraId="5D4A4E71" w14:textId="77777777">
      <w:pPr>
        <w:rPr>
          <w:lang w:val="x-none" w:eastAsia="x-none"/>
        </w:rPr>
      </w:pPr>
    </w:p>
    <w:p w:rsidR="00EE43A4" w:rsidRPr="00ED54CE" w:rsidP="00DE3975" w14:paraId="06B01A4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rsidRPr="00ED54CE">
        <w:t>Within the agency, the following individual</w:t>
      </w:r>
      <w:r w:rsidRPr="00ED54CE" w:rsidR="0049021F">
        <w:t>s</w:t>
      </w:r>
      <w:r w:rsidRPr="00ED54CE">
        <w:t xml:space="preserve"> will be responsible for receiving and approving contract deliverables and </w:t>
      </w:r>
      <w:r w:rsidRPr="00ED54CE" w:rsidR="0049021F">
        <w:t xml:space="preserve">for having </w:t>
      </w:r>
      <w:r w:rsidRPr="00ED54CE">
        <w:t>primary responsibility for data analysis:</w:t>
      </w:r>
    </w:p>
    <w:p w:rsidR="00EE43A4" w:rsidRPr="00ED54CE" w:rsidP="00652783" w14:paraId="2CEBAA85" w14:textId="77777777">
      <w:pPr>
        <w:ind w:left="720"/>
        <w:rPr>
          <w:lang w:val="fr-FR"/>
        </w:rPr>
      </w:pPr>
    </w:p>
    <w:p w:rsidR="0049021F" w:rsidRPr="00ED54CE" w:rsidP="00652783" w14:paraId="67F97CAB" w14:textId="77777777">
      <w:pPr>
        <w:ind w:left="720"/>
        <w:rPr>
          <w:b/>
          <w:lang w:val="fr-FR"/>
        </w:rPr>
      </w:pPr>
      <w:r w:rsidRPr="00ED54CE">
        <w:rPr>
          <w:b/>
        </w:rPr>
        <w:t>Contract Deliverables</w:t>
      </w:r>
    </w:p>
    <w:p w:rsidR="001673E9" w:rsidP="001673E9" w14:paraId="54D1F5C2" w14:textId="2DD6B1F1">
      <w:pPr>
        <w:ind w:left="720"/>
      </w:pPr>
      <w:r>
        <w:t>Ta</w:t>
      </w:r>
      <w:r>
        <w:t>r</w:t>
      </w:r>
      <w:r>
        <w:t xml:space="preserve">sha </w:t>
      </w:r>
      <w:r w:rsidR="00BA2431">
        <w:t>McCrae</w:t>
      </w:r>
      <w:r w:rsidRPr="00ED54CE">
        <w:t>, M.</w:t>
      </w:r>
      <w:r w:rsidR="008C68F2">
        <w:t>P.H.</w:t>
      </w:r>
      <w:r w:rsidRPr="00ED54CE" w:rsidR="00245E68">
        <w:t xml:space="preserve"> </w:t>
      </w:r>
      <w:r w:rsidRPr="00ED54CE">
        <w:t xml:space="preserve"> </w:t>
      </w:r>
      <w:r w:rsidRPr="00ED54CE">
        <w:br/>
      </w:r>
      <w:r w:rsidR="00C1035C">
        <w:t>Center for Tobacco Products</w:t>
      </w:r>
      <w:r w:rsidRPr="00ED54CE">
        <w:t xml:space="preserve">, </w:t>
      </w:r>
      <w:r w:rsidR="00C1035C">
        <w:t>FDA</w:t>
      </w:r>
      <w:r w:rsidRPr="00ED54CE" w:rsidR="00245E68">
        <w:t xml:space="preserve"> </w:t>
      </w:r>
    </w:p>
    <w:p w:rsidR="001673E9" w:rsidP="001673E9" w14:paraId="34A77113" w14:textId="77777777">
      <w:pPr>
        <w:ind w:left="720"/>
      </w:pPr>
      <w:r w:rsidRPr="00E7206A">
        <w:t xml:space="preserve">10903 New Hampshire Ave, </w:t>
      </w:r>
    </w:p>
    <w:p w:rsidR="001673E9" w:rsidP="00E7206A" w14:paraId="7ADAEFF4" w14:textId="7E1988F1">
      <w:pPr>
        <w:ind w:left="720"/>
        <w:rPr>
          <w:sz w:val="22"/>
          <w:szCs w:val="22"/>
        </w:rPr>
      </w:pPr>
      <w:r w:rsidRPr="00E7206A">
        <w:t>Silver Spring, MD 20993</w:t>
      </w:r>
    </w:p>
    <w:p w:rsidR="000409D3" w:rsidRPr="00ED54CE" w:rsidP="00652783" w14:paraId="598CC2EF" w14:textId="184F9F45">
      <w:pPr>
        <w:ind w:left="720"/>
        <w:rPr>
          <w:lang w:val="fr-FR"/>
        </w:rPr>
      </w:pPr>
      <w:r w:rsidRPr="00ED54CE">
        <w:t xml:space="preserve">Phone: </w:t>
      </w:r>
      <w:r w:rsidR="009C214C">
        <w:t>301-796-6854</w:t>
      </w:r>
      <w:r w:rsidRPr="00ED54CE">
        <w:t xml:space="preserve"> </w:t>
      </w:r>
      <w:r w:rsidRPr="00ED54CE">
        <w:br/>
        <w:t xml:space="preserve">E-mail: </w:t>
      </w:r>
      <w:hyperlink r:id="rId14" w:history="1">
        <w:r w:rsidRPr="001535D2" w:rsidR="006F15D2">
          <w:rPr>
            <w:rStyle w:val="Hyperlink"/>
          </w:rPr>
          <w:t>Tarsha.McCrae@fda.hhs.gov</w:t>
        </w:r>
      </w:hyperlink>
      <w:r w:rsidR="006F15D2">
        <w:t xml:space="preserve"> </w:t>
      </w:r>
      <w:r w:rsidR="009C214C">
        <w:t xml:space="preserve"> </w:t>
      </w:r>
    </w:p>
    <w:p w:rsidR="009C214C" w:rsidRPr="00ED54CE" w:rsidP="00652783" w14:paraId="1611ABD7" w14:textId="77777777">
      <w:pPr>
        <w:ind w:left="720"/>
        <w:rPr>
          <w:lang w:val="fr-FR"/>
        </w:rPr>
      </w:pPr>
    </w:p>
    <w:p w:rsidR="0049021F" w:rsidRPr="00ED54CE" w:rsidP="00652783" w14:paraId="081F30E1" w14:textId="77777777">
      <w:pPr>
        <w:ind w:left="720"/>
        <w:rPr>
          <w:b/>
          <w:lang w:val="fr-FR"/>
        </w:rPr>
      </w:pPr>
      <w:r w:rsidRPr="00ED54CE">
        <w:rPr>
          <w:b/>
          <w:lang w:val="fr-FR"/>
        </w:rPr>
        <w:t>Data</w:t>
      </w:r>
      <w:r w:rsidRPr="00ED54CE">
        <w:rPr>
          <w:b/>
        </w:rPr>
        <w:t xml:space="preserve"> Analysis</w:t>
      </w:r>
    </w:p>
    <w:p w:rsidR="00E02F9C" w:rsidP="00652783" w14:paraId="6541DDA2" w14:textId="7471358B">
      <w:pPr>
        <w:ind w:left="720"/>
      </w:pPr>
      <w:r>
        <w:t>Eunice Park-Lee</w:t>
      </w:r>
      <w:r w:rsidRPr="00ED54CE">
        <w:t>,</w:t>
      </w:r>
      <w:r w:rsidRPr="00ED54CE" w:rsidR="00A87782">
        <w:t xml:space="preserve"> </w:t>
      </w:r>
      <w:r w:rsidRPr="00ED54CE">
        <w:t xml:space="preserve">Ph.D., </w:t>
      </w:r>
      <w:r w:rsidRPr="00ED54CE" w:rsidR="00652783">
        <w:t>M</w:t>
      </w:r>
      <w:r w:rsidRPr="00ED54CE" w:rsidR="00387F17">
        <w:t>.</w:t>
      </w:r>
      <w:r>
        <w:t>S</w:t>
      </w:r>
      <w:r w:rsidRPr="00ED54CE" w:rsidR="00387F17">
        <w:t>.</w:t>
      </w:r>
    </w:p>
    <w:p w:rsidR="009C214C" w:rsidP="009C214C" w14:paraId="201318B3" w14:textId="77777777">
      <w:pPr>
        <w:ind w:left="720"/>
      </w:pPr>
      <w:r>
        <w:t>Center for Tobacco Products</w:t>
      </w:r>
      <w:r w:rsidRPr="00ED54CE">
        <w:t xml:space="preserve">, </w:t>
      </w:r>
      <w:r>
        <w:t>FDA</w:t>
      </w:r>
      <w:r w:rsidRPr="00ED54CE">
        <w:t xml:space="preserve"> </w:t>
      </w:r>
    </w:p>
    <w:p w:rsidR="009C214C" w:rsidP="009C214C" w14:paraId="17A74938" w14:textId="77777777">
      <w:pPr>
        <w:ind w:left="720"/>
      </w:pPr>
      <w:r w:rsidRPr="00F16FA5">
        <w:t xml:space="preserve">10903 New Hampshire Ave, </w:t>
      </w:r>
    </w:p>
    <w:p w:rsidR="009C214C" w:rsidP="009C214C" w14:paraId="07B0BA0C" w14:textId="77777777">
      <w:pPr>
        <w:ind w:left="720"/>
        <w:rPr>
          <w:sz w:val="22"/>
          <w:szCs w:val="22"/>
        </w:rPr>
      </w:pPr>
      <w:r w:rsidRPr="00F16FA5">
        <w:t>Silver Spring, MD 20993</w:t>
      </w:r>
    </w:p>
    <w:p w:rsidR="009C214C" w:rsidRPr="009C214C" w:rsidP="009C214C" w14:paraId="422C7A06" w14:textId="77777777">
      <w:pPr>
        <w:ind w:left="720"/>
      </w:pPr>
      <w:r w:rsidRPr="0083237E">
        <w:rPr>
          <w:sz w:val="22"/>
          <w:szCs w:val="22"/>
        </w:rPr>
        <w:t>P</w:t>
      </w:r>
      <w:r w:rsidRPr="009C214C">
        <w:t>hone: 301-837-7342</w:t>
      </w:r>
    </w:p>
    <w:p w:rsidR="00B171EE" w:rsidRPr="00ED54CE" w:rsidP="00EE43A4" w14:paraId="18054488" w14:textId="20625A9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b/>
          <w:bCs/>
          <w:u w:val="single"/>
        </w:rPr>
      </w:pPr>
      <w:r w:rsidRPr="009C214C">
        <w:t xml:space="preserve">E-mail: </w:t>
      </w:r>
      <w:hyperlink r:id="rId11" w:history="1">
        <w:r w:rsidRPr="006F15D2">
          <w:rPr>
            <w:rStyle w:val="Hyperlink"/>
          </w:rPr>
          <w:t>Eunice.Park-Lee@fda.hhs.gov</w:t>
        </w:r>
      </w:hyperlink>
      <w:r w:rsidR="006F15D2">
        <w:t xml:space="preserve">  </w:t>
      </w:r>
    </w:p>
    <w:p w:rsidR="00EE43A4" w:rsidRPr="00E7206A" w:rsidP="00BF2BF3" w14:paraId="1D22D3F9" w14:textId="77777777">
      <w:pPr>
        <w:pStyle w:val="Heading3"/>
        <w:rPr>
          <w:rFonts w:ascii="Times New Roman" w:hAnsi="Times New Roman"/>
          <w:sz w:val="24"/>
          <w:szCs w:val="24"/>
        </w:rPr>
      </w:pPr>
      <w:r w:rsidRPr="00E7206A">
        <w:rPr>
          <w:rFonts w:ascii="Times New Roman" w:hAnsi="Times New Roman"/>
          <w:sz w:val="24"/>
          <w:szCs w:val="24"/>
        </w:rPr>
        <w:t xml:space="preserve">Responsibility for </w:t>
      </w:r>
      <w:r w:rsidRPr="00E7206A" w:rsidR="0091239B">
        <w:rPr>
          <w:rFonts w:ascii="Times New Roman" w:hAnsi="Times New Roman"/>
          <w:sz w:val="24"/>
          <w:szCs w:val="24"/>
        </w:rPr>
        <w:t>Data Collection</w:t>
      </w:r>
    </w:p>
    <w:p w:rsidR="00BF2BF3" w:rsidRPr="00ED54CE" w:rsidP="00DE3975" w14:paraId="5C2AC4A2" w14:textId="77777777">
      <w:pPr>
        <w:rPr>
          <w:lang w:val="x-none" w:eastAsia="x-none"/>
        </w:rPr>
      </w:pPr>
    </w:p>
    <w:p w:rsidR="00EE43A4" w:rsidRPr="00ED54CE" w:rsidP="00BF2BF3" w14:paraId="6FC65822" w14:textId="379E3BB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rsidRPr="00ED54CE">
        <w:t>The representative</w:t>
      </w:r>
      <w:r w:rsidRPr="00ED54CE" w:rsidR="00BB0D68">
        <w:t>s</w:t>
      </w:r>
      <w:r w:rsidRPr="00ED54CE">
        <w:t xml:space="preserve"> of the contractor</w:t>
      </w:r>
      <w:r w:rsidRPr="00ED54CE" w:rsidR="00931490">
        <w:t xml:space="preserve">, </w:t>
      </w:r>
      <w:r w:rsidRPr="00ED54CE" w:rsidR="008C1630">
        <w:t xml:space="preserve">RTI </w:t>
      </w:r>
      <w:r w:rsidRPr="00ED54CE" w:rsidR="00931490">
        <w:t>International,</w:t>
      </w:r>
      <w:r w:rsidRPr="00ED54CE">
        <w:t xml:space="preserve"> responsible for conducting the planned data collection </w:t>
      </w:r>
      <w:r w:rsidRPr="00ED54CE" w:rsidR="00BB0D68">
        <w:t xml:space="preserve">are </w:t>
      </w:r>
      <w:r w:rsidR="00BF5C0C">
        <w:t>Jean Lennon</w:t>
      </w:r>
      <w:r w:rsidRPr="00ED54CE" w:rsidR="00430F4A">
        <w:t xml:space="preserve"> (Project Director), </w:t>
      </w:r>
      <w:r w:rsidRPr="00ED54CE" w:rsidR="008C1630">
        <w:t>Lauren Dutra</w:t>
      </w:r>
      <w:r w:rsidR="00BF5C0C">
        <w:t xml:space="preserve"> (Associate </w:t>
      </w:r>
      <w:r w:rsidR="00395ECA">
        <w:t>P</w:t>
      </w:r>
      <w:r w:rsidR="00BF5C0C">
        <w:t>roject Director)</w:t>
      </w:r>
      <w:r w:rsidRPr="00ED54CE" w:rsidR="00BB0D68">
        <w:t xml:space="preserve">, </w:t>
      </w:r>
      <w:r w:rsidR="00395ECA">
        <w:t>Burton Levine, Susan Fleming, Richard Doney</w:t>
      </w:r>
      <w:r w:rsidRPr="00ED54CE" w:rsidR="00BB0D68">
        <w:t>, and others a</w:t>
      </w:r>
      <w:r w:rsidRPr="00ED54CE" w:rsidR="009303E2">
        <w:t>s designated by the contractor</w:t>
      </w:r>
      <w:r w:rsidRPr="00ED54CE" w:rsidR="003A7012">
        <w:t>.</w:t>
      </w:r>
    </w:p>
    <w:p w:rsidR="005C79C1" w:rsidRPr="00ED54CE" w:rsidP="00EE43A4" w14:paraId="27301607"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sz w:val="23"/>
          <w:szCs w:val="23"/>
        </w:rPr>
      </w:pPr>
    </w:p>
    <w:p w:rsidR="000D72F8" w:rsidRPr="00ED54CE" w:rsidP="00BF2BF3" w14:paraId="7AC9BFD0" w14:textId="4C65438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r w:rsidRPr="00ED54CE">
        <w:rPr>
          <w:sz w:val="23"/>
          <w:szCs w:val="23"/>
        </w:rPr>
        <w:br w:type="page"/>
      </w:r>
      <w:r w:rsidRPr="00ED54CE">
        <w:rPr>
          <w:b/>
          <w:sz w:val="23"/>
          <w:szCs w:val="23"/>
        </w:rPr>
        <w:t>REFERENCES</w:t>
      </w:r>
    </w:p>
    <w:p w:rsidR="00213030" w:rsidRPr="00ED54CE" w:rsidP="00213030" w14:paraId="28D0946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p w:rsidR="00320A32" w:rsidRPr="00ED54CE" w:rsidP="00320A32" w14:paraId="64D95D53" w14:textId="77777777">
      <w:pPr>
        <w:pStyle w:val="HTMLPreformatted"/>
        <w:rPr>
          <w:rFonts w:ascii="Times New Roman" w:eastAsia="Calibri" w:hAnsi="Times New Roman" w:cs="Times New Roman"/>
          <w:sz w:val="24"/>
          <w:szCs w:val="24"/>
        </w:rPr>
      </w:pPr>
      <w:r w:rsidRPr="00ED54CE">
        <w:rPr>
          <w:rFonts w:ascii="Times New Roman" w:eastAsia="Calibri" w:hAnsi="Times New Roman" w:cs="Times New Roman"/>
          <w:sz w:val="24"/>
          <w:szCs w:val="24"/>
        </w:rPr>
        <w:t xml:space="preserve">CDC (2001). Youth Tobacco Surveillance–United States, 2000. </w:t>
      </w:r>
      <w:r w:rsidRPr="00ED54CE">
        <w:rPr>
          <w:rFonts w:ascii="Times New Roman" w:eastAsia="Calibri" w:hAnsi="Times New Roman" w:cs="Times New Roman"/>
          <w:i/>
          <w:sz w:val="24"/>
          <w:szCs w:val="24"/>
        </w:rPr>
        <w:t>MMWR</w:t>
      </w:r>
      <w:r w:rsidRPr="00ED54CE">
        <w:rPr>
          <w:rFonts w:ascii="Times New Roman" w:eastAsia="Calibri" w:hAnsi="Times New Roman" w:cs="Times New Roman"/>
          <w:sz w:val="24"/>
          <w:szCs w:val="24"/>
        </w:rPr>
        <w:t>; 50(SS-4).</w:t>
      </w:r>
    </w:p>
    <w:p w:rsidR="00320A32" w:rsidRPr="00ED54CE" w:rsidP="00320A32" w14:paraId="01DE1E4F" w14:textId="77777777">
      <w:pPr>
        <w:pStyle w:val="HTMLPreformatted"/>
        <w:rPr>
          <w:rFonts w:ascii="Times New Roman" w:eastAsia="Calibri" w:hAnsi="Times New Roman" w:cs="Times New Roman"/>
          <w:sz w:val="24"/>
          <w:szCs w:val="24"/>
        </w:rPr>
      </w:pPr>
    </w:p>
    <w:p w:rsidR="00320A32" w:rsidRPr="00ED54CE" w:rsidP="00320A32" w14:paraId="413D786B" w14:textId="77777777">
      <w:pPr>
        <w:spacing w:after="200"/>
        <w:ind w:left="720" w:hanging="720"/>
        <w:rPr>
          <w:rFonts w:eastAsia="Calibri"/>
        </w:rPr>
      </w:pPr>
      <w:r w:rsidRPr="00ED54CE">
        <w:rPr>
          <w:rFonts w:eastAsia="Calibri"/>
        </w:rPr>
        <w:t>CDC (2012). National Youth Tobacco Survey. Atlanta, GA: US Department of Health and Human Services, Centers for Disease Control and Prevention. Available at http://www.cdc.gov/tobacco/data_statistics/surveys/nyts.</w:t>
      </w:r>
    </w:p>
    <w:p w:rsidR="00320A32" w:rsidRPr="00ED54CE" w:rsidP="00320A32" w14:paraId="6E4171CB" w14:textId="77777777">
      <w:pPr>
        <w:spacing w:after="200"/>
        <w:ind w:left="720" w:hanging="720"/>
        <w:rPr>
          <w:rFonts w:eastAsia="Calibri"/>
        </w:rPr>
      </w:pPr>
      <w:r w:rsidRPr="00ED54CE">
        <w:rPr>
          <w:rFonts w:eastAsia="Calibri"/>
        </w:rPr>
        <w:t>CDC (2013).</w:t>
      </w:r>
      <w:r w:rsidRPr="00ED54CE">
        <w:t xml:space="preserve"> </w:t>
      </w:r>
      <w:r w:rsidRPr="00ED54CE">
        <w:rPr>
          <w:rFonts w:eastAsia="Calibri"/>
        </w:rPr>
        <w:t xml:space="preserve">Arrazola RA, Singh T, Corey CG, et al. Tobacco Use Among Middle and High School Students — United States, 2011–2014. 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 2015 / 64(14);381-385.</w:t>
      </w:r>
    </w:p>
    <w:p w:rsidR="00320A32" w:rsidRPr="00ED54CE" w:rsidP="00320A32" w14:paraId="5FB7702E" w14:textId="77777777">
      <w:pPr>
        <w:spacing w:after="200"/>
        <w:ind w:left="720" w:hanging="720"/>
        <w:rPr>
          <w:rFonts w:eastAsia="Calibri"/>
        </w:rPr>
      </w:pPr>
      <w:r w:rsidRPr="00ED54CE">
        <w:rPr>
          <w:rFonts w:eastAsia="Calibri"/>
        </w:rPr>
        <w:t xml:space="preserve">CDC (2014). </w:t>
      </w:r>
      <w:r w:rsidRPr="00ED54CE">
        <w:rPr>
          <w:rFonts w:eastAsia="Calibri"/>
          <w:i/>
        </w:rPr>
        <w:t>Best Practices for Comprehensive Tobacco Control Programs – 2014</w:t>
      </w:r>
      <w:r w:rsidRPr="00ED54CE">
        <w:rPr>
          <w:rFonts w:eastAsia="Calibri"/>
        </w:rPr>
        <w:t>. Atlanta, GA: U.S. Department of Health and Human Services, CDC, National Center for Chronic Disease Prevention and Health Promotion, Office on Smoking and Health.</w:t>
      </w:r>
    </w:p>
    <w:p w:rsidR="00320A32" w:rsidRPr="00ED54CE" w:rsidP="00320A32" w14:paraId="1B57833C" w14:textId="77777777">
      <w:pPr>
        <w:spacing w:after="200"/>
        <w:ind w:left="720" w:hanging="720"/>
        <w:rPr>
          <w:rStyle w:val="Strong"/>
          <w:b w:val="0"/>
          <w:lang w:val="en"/>
        </w:rPr>
      </w:pPr>
      <w:r w:rsidRPr="00ED54CE">
        <w:rPr>
          <w:rFonts w:eastAsia="Calibri"/>
        </w:rPr>
        <w:t xml:space="preserve">CDC (2015). Arrazola RA, Singh T, Corey CG, et al. </w:t>
      </w:r>
      <w:r w:rsidRPr="00ED54CE">
        <w:rPr>
          <w:lang w:val="en"/>
        </w:rPr>
        <w:t xml:space="preserve">Tobacco Use Among Middle and High School Students — United States, 2011–2014. </w:t>
      </w:r>
      <w:r w:rsidRPr="00ED54CE">
        <w:rPr>
          <w:rFonts w:eastAsia="Calibri"/>
        </w:rPr>
        <w:t xml:space="preserve">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w:t>
      </w:r>
      <w:r w:rsidRPr="00ED54CE">
        <w:rPr>
          <w:rStyle w:val="Strong"/>
          <w:b w:val="0"/>
          <w:lang w:val="en"/>
        </w:rPr>
        <w:t>, 2015: 64(14);381-385.</w:t>
      </w:r>
    </w:p>
    <w:p w:rsidR="00320A32" w:rsidRPr="00ED54CE" w:rsidP="00320A32" w14:paraId="07524534" w14:textId="77777777">
      <w:pPr>
        <w:spacing w:after="200"/>
        <w:ind w:left="720" w:hanging="720"/>
        <w:rPr>
          <w:rStyle w:val="Strong"/>
          <w:b w:val="0"/>
          <w:lang w:val="en"/>
        </w:rPr>
      </w:pPr>
      <w:r w:rsidRPr="00ED54CE">
        <w:rPr>
          <w:rFonts w:eastAsia="Calibri"/>
        </w:rPr>
        <w:t xml:space="preserve">CDC (2016). Centers for Disease Control and Prevention. CDC Winnable Battles: final report. Available at </w:t>
      </w:r>
      <w:hyperlink r:id="rId15" w:history="1">
        <w:r w:rsidRPr="00ED54CE">
          <w:rPr>
            <w:rStyle w:val="Hyperlink"/>
            <w:rFonts w:eastAsia="Calibri"/>
          </w:rPr>
          <w:t>https://www.cdc.gov/winnablebattles/report/index.html</w:t>
        </w:r>
      </w:hyperlink>
      <w:r w:rsidRPr="00ED54CE">
        <w:rPr>
          <w:rFonts w:eastAsia="Calibri"/>
        </w:rPr>
        <w:t xml:space="preserve">. </w:t>
      </w:r>
    </w:p>
    <w:p w:rsidR="00320A32" w:rsidRPr="00ED54CE" w:rsidP="00320A32" w14:paraId="7A359C67" w14:textId="74A221BE">
      <w:pPr>
        <w:spacing w:after="200"/>
        <w:ind w:left="720" w:hanging="720"/>
      </w:pPr>
      <w:r w:rsidRPr="00ED54CE">
        <w:t>CDC (2018).</w:t>
      </w:r>
      <w:r w:rsidRPr="00ED54CE" w:rsidR="00B65A46">
        <w:t xml:space="preserve"> </w:t>
      </w:r>
      <w:r w:rsidRPr="00ED54CE">
        <w:t xml:space="preserve">Centers for Disease Control and Prevention. </w:t>
      </w:r>
      <w:hyperlink r:id="rId16" w:history="1">
        <w:r w:rsidRPr="00ED54CE">
          <w:rPr>
            <w:rStyle w:val="Hyperlink"/>
          </w:rPr>
          <w:t>CDC's 6|18 initiative: accelerating evidence into action</w:t>
        </w:r>
      </w:hyperlink>
      <w:r w:rsidRPr="00ED54CE">
        <w:t xml:space="preserve">. Available at </w:t>
      </w:r>
      <w:hyperlink r:id="rId16" w:history="1">
        <w:r w:rsidRPr="00ED54CE">
          <w:rPr>
            <w:rStyle w:val="Hyperlink"/>
          </w:rPr>
          <w:t>https://www.cdc.gov/sixeighteen/index.html</w:t>
        </w:r>
      </w:hyperlink>
      <w:r w:rsidRPr="00ED54CE">
        <w:t>.</w:t>
      </w:r>
    </w:p>
    <w:p w:rsidR="00320A32" w:rsidRPr="00ED54CE" w:rsidP="00320A32" w14:paraId="15B87CA8" w14:textId="77777777">
      <w:pPr>
        <w:spacing w:after="200"/>
        <w:ind w:left="720" w:hanging="720"/>
      </w:pPr>
      <w:r w:rsidRPr="00ED54CE">
        <w:rPr>
          <w:rFonts w:eastAsia="Calibri"/>
        </w:rPr>
        <w:t>CDC (2019a).</w:t>
      </w:r>
      <w:r w:rsidRPr="00ED54CE">
        <w:rPr>
          <w:rFonts w:eastAsia="Calibri"/>
          <w:b/>
        </w:rPr>
        <w:t xml:space="preserve"> </w:t>
      </w:r>
      <w:r w:rsidRPr="00ED54CE">
        <w:t>Gentzke</w:t>
      </w:r>
      <w:r w:rsidRPr="00ED54CE">
        <w:t xml:space="preserve"> AS, Creamer M, Cullen KA, et al. </w:t>
      </w:r>
      <w:r w:rsidRPr="00ED54CE">
        <w:rPr>
          <w:i/>
          <w:iCs/>
        </w:rPr>
        <w:t>Vital Signs:</w:t>
      </w:r>
      <w:r w:rsidRPr="00ED54CE">
        <w:t xml:space="preserve"> Tobacco product use among middle and high school students — United States, 2011–2018. MMWR </w:t>
      </w:r>
      <w:r w:rsidRPr="00ED54CE">
        <w:t>Morb</w:t>
      </w:r>
      <w:r w:rsidRPr="00ED54CE">
        <w:t xml:space="preserve"> Mortal </w:t>
      </w:r>
      <w:r w:rsidRPr="00ED54CE">
        <w:t>Wkly</w:t>
      </w:r>
      <w:r w:rsidRPr="00ED54CE">
        <w:t xml:space="preserve"> Rep 2019;68:157–164. DOI: </w:t>
      </w:r>
      <w:hyperlink r:id="rId17" w:tgtFrame="_blank" w:history="1">
        <w:r w:rsidRPr="00ED54CE">
          <w:rPr>
            <w:rStyle w:val="Hyperlink"/>
          </w:rPr>
          <w:t>http://dx.doi.org/10.15585/mmwr.mm6806e1</w:t>
        </w:r>
      </w:hyperlink>
    </w:p>
    <w:p w:rsidR="00320A32" w:rsidRPr="00ED54CE" w:rsidP="00320A32" w14:paraId="6192FBCA" w14:textId="77777777">
      <w:pPr>
        <w:spacing w:after="200"/>
        <w:ind w:left="720" w:hanging="720"/>
        <w:rPr>
          <w:rFonts w:eastAsia="Calibri"/>
        </w:rPr>
      </w:pPr>
      <w:r w:rsidRPr="00ED54CE">
        <w:rPr>
          <w:rFonts w:eastAsia="Calibri"/>
        </w:rPr>
        <w:t xml:space="preserve">CDC (2019b). </w:t>
      </w:r>
      <w:r w:rsidRPr="00ED54CE" w:rsidR="00321419">
        <w:rPr>
          <w:rFonts w:eastAsia="Calibri"/>
        </w:rPr>
        <w:t xml:space="preserve">Wang TW, </w:t>
      </w:r>
      <w:r w:rsidRPr="00ED54CE" w:rsidR="00321419">
        <w:rPr>
          <w:rFonts w:eastAsia="Calibri"/>
        </w:rPr>
        <w:t>Gentzke</w:t>
      </w:r>
      <w:r w:rsidRPr="00ED54CE" w:rsidR="00321419">
        <w:rPr>
          <w:rFonts w:eastAsia="Calibri"/>
        </w:rPr>
        <w:t xml:space="preserve"> AS, Creamer MR, et al. Tobacco Product Use and Associated Factors Among Middle and High School Students —United States, 2019. MMWR </w:t>
      </w:r>
      <w:r w:rsidRPr="00ED54CE" w:rsidR="00321419">
        <w:rPr>
          <w:rFonts w:eastAsia="Calibri"/>
        </w:rPr>
        <w:t>Surveill</w:t>
      </w:r>
      <w:r w:rsidRPr="00ED54CE" w:rsidR="00321419">
        <w:rPr>
          <w:rFonts w:eastAsia="Calibri"/>
        </w:rPr>
        <w:t xml:space="preserve"> </w:t>
      </w:r>
      <w:r w:rsidRPr="00ED54CE" w:rsidR="00321419">
        <w:rPr>
          <w:rFonts w:eastAsia="Calibri"/>
        </w:rPr>
        <w:t>Summ</w:t>
      </w:r>
      <w:r w:rsidRPr="00ED54CE" w:rsidR="00321419">
        <w:rPr>
          <w:rFonts w:eastAsia="Calibri"/>
        </w:rPr>
        <w:t xml:space="preserve"> 2019;68(No. SS-12):1–22. DOI: </w:t>
      </w:r>
      <w:hyperlink r:id="rId18" w:tgtFrame="_blank" w:history="1">
        <w:r w:rsidRPr="00ED54CE" w:rsidR="00321419">
          <w:rPr>
            <w:rStyle w:val="Hyperlink"/>
            <w:rFonts w:eastAsia="Calibri"/>
          </w:rPr>
          <w:t>http://dx.doi.org/10.15585/mmwr.ss6812a1</w:t>
        </w:r>
      </w:hyperlink>
    </w:p>
    <w:p w:rsidR="00914E58" w:rsidRPr="00ED54CE" w:rsidP="00914E58" w14:paraId="02CCE3AE" w14:textId="77777777">
      <w:pPr>
        <w:widowControl/>
        <w:autoSpaceDE/>
        <w:autoSpaceDN/>
        <w:adjustRightInd/>
        <w:spacing w:after="200"/>
        <w:ind w:left="720" w:hanging="720"/>
        <w:rPr>
          <w:rFonts w:eastAsia="Calibri"/>
        </w:rPr>
      </w:pPr>
      <w:r w:rsidRPr="00ED54CE">
        <w:rPr>
          <w:rFonts w:eastAsia="Calibri"/>
        </w:rPr>
        <w:t xml:space="preserve">CDC (2020). Wang TW, Neff LJ, Park-Lee E, et al. E-cigarette Use Among Middle and High School Students – United States, 2020. 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 2020;69:1310-1312. DOI: </w:t>
      </w:r>
      <w:hyperlink r:id="rId19" w:tgtFrame="_blank" w:history="1">
        <w:r w:rsidRPr="00ED54CE">
          <w:rPr>
            <w:color w:val="0000FF"/>
            <w:u w:val="single"/>
          </w:rPr>
          <w:t>http://dx.doi.org/10.15585/mmwr.mm6937e1</w:t>
        </w:r>
      </w:hyperlink>
      <w:r w:rsidRPr="00ED54CE">
        <w:t xml:space="preserve"> </w:t>
      </w:r>
    </w:p>
    <w:p w:rsidR="0070659E" w:rsidRPr="00ED54CE" w:rsidP="0070659E" w14:paraId="50D995C9" w14:textId="77777777">
      <w:pPr>
        <w:spacing w:after="200"/>
        <w:ind w:left="720" w:hanging="720"/>
      </w:pPr>
      <w:r w:rsidRPr="00ED54CE">
        <w:t xml:space="preserve">CDC (2022a). Centers for Disease Control and Prevention. Fiscal year 2023: Justification of estimates for appropriation committees. Available at </w:t>
      </w:r>
      <w:hyperlink r:id="rId20" w:history="1">
        <w:r w:rsidRPr="00ED54CE">
          <w:rPr>
            <w:rStyle w:val="Hyperlink"/>
          </w:rPr>
          <w:t>https://www.cdc.gov/budget/documents/fy2023/FY-2023-CDC-congressional-justification.pdf</w:t>
        </w:r>
      </w:hyperlink>
      <w:r w:rsidRPr="00ED54CE">
        <w:t>.</w:t>
      </w:r>
    </w:p>
    <w:p w:rsidR="0070659E" w:rsidRPr="00ED54CE" w:rsidP="0070659E" w14:paraId="4654129C" w14:textId="77777777">
      <w:pPr>
        <w:spacing w:after="200"/>
        <w:ind w:left="720" w:hanging="720"/>
      </w:pPr>
      <w:r w:rsidRPr="00ED54CE">
        <w:rPr>
          <w:rStyle w:val="Strong"/>
          <w:b w:val="0"/>
          <w:bCs w:val="0"/>
        </w:rPr>
        <w:t xml:space="preserve">CDC (2022b). Park-Lee E, Ren C, Cooper M, et al. </w:t>
      </w:r>
      <w:r w:rsidRPr="00ED54CE">
        <w:rPr>
          <w:rStyle w:val="Strong"/>
          <w:i/>
          <w:iCs/>
        </w:rPr>
        <w:t xml:space="preserve">Vital Signs: </w:t>
      </w:r>
      <w:r w:rsidRPr="00ED54CE">
        <w:t xml:space="preserve">Tobacco product use among middle and high school students — United States, 2022. MMWR </w:t>
      </w:r>
      <w:r w:rsidRPr="00ED54CE">
        <w:t>Morb</w:t>
      </w:r>
      <w:r w:rsidRPr="00ED54CE">
        <w:t xml:space="preserve"> Mortal </w:t>
      </w:r>
      <w:r w:rsidRPr="00ED54CE">
        <w:t>Wkly</w:t>
      </w:r>
      <w:r w:rsidRPr="00ED54CE">
        <w:t xml:space="preserve"> Rep 2022;71:1429-1435. </w:t>
      </w:r>
      <w:hyperlink r:id="rId21" w:history="1">
        <w:r w:rsidRPr="00ED54CE">
          <w:rPr>
            <w:rStyle w:val="Hyperlink"/>
          </w:rPr>
          <w:t>http://dx.doi.org/10.15585/mmwr.mm7145a1</w:t>
        </w:r>
      </w:hyperlink>
    </w:p>
    <w:p w:rsidR="00397DAC" w:rsidP="00397DAC" w14:paraId="04B409D1" w14:textId="77777777">
      <w:pPr>
        <w:spacing w:after="200"/>
        <w:ind w:left="720" w:hanging="720"/>
      </w:pPr>
      <w:r>
        <w:t xml:space="preserve">CDC (2023). </w:t>
      </w:r>
      <w:r w:rsidRPr="009824FC">
        <w:t xml:space="preserve">Birdsey J, Cornelius M, Jamal A, et al. Tobacco Product Use Among U.S. Middle and High School Students — National Youth Tobacco Survey, 2023. MMWR </w:t>
      </w:r>
      <w:r w:rsidRPr="009824FC">
        <w:t>Morb</w:t>
      </w:r>
      <w:r w:rsidRPr="009824FC">
        <w:t xml:space="preserve"> </w:t>
      </w:r>
      <w:r w:rsidRPr="009824FC">
        <w:t xml:space="preserve">Mortal </w:t>
      </w:r>
      <w:r w:rsidRPr="009824FC">
        <w:t>Wkly</w:t>
      </w:r>
      <w:r w:rsidRPr="009824FC">
        <w:t xml:space="preserve"> Rep 2023;72:1173–1182. </w:t>
      </w:r>
      <w:hyperlink r:id="rId22" w:history="1">
        <w:r w:rsidRPr="0070160C">
          <w:rPr>
            <w:rStyle w:val="Hyperlink"/>
          </w:rPr>
          <w:t>http://dx.doi.org/10.15585/mmwr.mm7244a1</w:t>
        </w:r>
      </w:hyperlink>
    </w:p>
    <w:p w:rsidR="00397DAC" w:rsidP="00397DAC" w14:paraId="09E94B87" w14:textId="77777777">
      <w:pPr>
        <w:spacing w:after="200"/>
        <w:ind w:left="720" w:hanging="720"/>
      </w:pPr>
      <w:r>
        <w:t xml:space="preserve">CDC (2024). </w:t>
      </w:r>
      <w:r w:rsidRPr="009824FC">
        <w:t xml:space="preserve">Jamal A, Park-Lee E, Birdsey J, et al. Tobacco Product Use Among Middle and High School Students — National Youth Tobacco Survey, United States, 2024. MMWR </w:t>
      </w:r>
      <w:r w:rsidRPr="009824FC">
        <w:t>Morb</w:t>
      </w:r>
      <w:r w:rsidRPr="009824FC">
        <w:t xml:space="preserve"> Mortal </w:t>
      </w:r>
      <w:r w:rsidRPr="009824FC">
        <w:t>Wkly</w:t>
      </w:r>
      <w:r w:rsidRPr="009824FC">
        <w:t xml:space="preserve"> Rep 2024;73:917–924. </w:t>
      </w:r>
      <w:hyperlink r:id="rId23" w:tgtFrame="_blank" w:history="1">
        <w:r w:rsidRPr="009824FC">
          <w:rPr>
            <w:rStyle w:val="Hyperlink"/>
          </w:rPr>
          <w:t>http://dx.doi.org/10.15585/mmwr.mm7341a2</w:t>
        </w:r>
      </w:hyperlink>
    </w:p>
    <w:p w:rsidR="00320A32" w:rsidRPr="00ED54CE" w:rsidP="00320A32" w14:paraId="5ED26E84" w14:textId="13DC2789">
      <w:pPr>
        <w:spacing w:after="200"/>
        <w:ind w:left="720" w:hanging="720"/>
        <w:rPr>
          <w:rFonts w:eastAsia="Calibri"/>
        </w:rPr>
      </w:pPr>
      <w:r w:rsidRPr="00ED54CE">
        <w:rPr>
          <w:rFonts w:eastAsia="Calibri"/>
        </w:rPr>
        <w:t xml:space="preserve">FDA (2014). </w:t>
      </w:r>
      <w:r w:rsidRPr="00ED54CE">
        <w:rPr>
          <w:rFonts w:eastAsia="Calibri"/>
          <w:i/>
        </w:rPr>
        <w:t xml:space="preserve">FDA Proposes to Extend Its Tobacco Authority to Additional Tobacco Products, including e-cigarettes. FDA NEWS RELEASE. </w:t>
      </w:r>
      <w:r w:rsidRPr="00ED54CE">
        <w:rPr>
          <w:rFonts w:eastAsia="Calibri"/>
        </w:rPr>
        <w:t>N.p.</w:t>
      </w:r>
      <w:r w:rsidRPr="00ED54CE">
        <w:rPr>
          <w:rFonts w:eastAsia="Calibri"/>
        </w:rPr>
        <w:t>, 24 Apr. 2014. Web. 9 May 2014.</w:t>
      </w:r>
      <w:r w:rsidRPr="00ED54CE">
        <w:rPr>
          <w:rFonts w:eastAsia="Calibri"/>
          <w:i/>
        </w:rPr>
        <w:t xml:space="preserve"> </w:t>
      </w:r>
      <w:r w:rsidRPr="00ED54CE">
        <w:rPr>
          <w:rFonts w:eastAsia="Calibri"/>
        </w:rPr>
        <w:t>http://www.fda.gov/newsevents/newsroom/pressannouncements/ucm394667.htm</w:t>
      </w:r>
    </w:p>
    <w:p w:rsidR="00320A32" w:rsidRPr="00ED54CE" w:rsidP="00320A32" w14:paraId="49E69AA4" w14:textId="77777777">
      <w:pPr>
        <w:spacing w:after="200"/>
        <w:ind w:left="720" w:hanging="720"/>
      </w:pPr>
      <w:r w:rsidRPr="00ED54CE">
        <w:rPr>
          <w:rFonts w:eastAsia="Calibri"/>
        </w:rPr>
        <w:t xml:space="preserve">FDA (2018). </w:t>
      </w:r>
      <w:r w:rsidRPr="00ED54CE">
        <w:t xml:space="preserve">Cullen KA, Ambrose BK, </w:t>
      </w:r>
      <w:r w:rsidRPr="00ED54CE">
        <w:t>Gentzke</w:t>
      </w:r>
      <w:r w:rsidRPr="00ED54CE">
        <w:t xml:space="preserve"> AS, et al. </w:t>
      </w:r>
      <w:r w:rsidRPr="00ED54CE">
        <w:rPr>
          <w:i/>
          <w:iCs/>
        </w:rPr>
        <w:t>Notes from the Field:</w:t>
      </w:r>
      <w:r w:rsidRPr="00ED54CE">
        <w:t xml:space="preserve"> Use of Electronic Cigarettes and Any Tobacco Product Among Middle and High School Students — United States, 2011–2018. MMWR </w:t>
      </w:r>
      <w:r w:rsidRPr="00ED54CE">
        <w:t>Morb</w:t>
      </w:r>
      <w:r w:rsidRPr="00ED54CE">
        <w:t xml:space="preserve"> Mortal </w:t>
      </w:r>
      <w:r w:rsidRPr="00ED54CE">
        <w:t>Wkly</w:t>
      </w:r>
      <w:r w:rsidRPr="00ED54CE">
        <w:t xml:space="preserve"> Rep 2018;67:1276–1277. DOI: </w:t>
      </w:r>
      <w:hyperlink r:id="rId24" w:tgtFrame="_blank" w:history="1">
        <w:r w:rsidRPr="00ED54CE">
          <w:rPr>
            <w:rStyle w:val="Hyperlink"/>
          </w:rPr>
          <w:t>http://dx.doi.org/10.15585/mmwr.mm6745a5</w:t>
        </w:r>
      </w:hyperlink>
    </w:p>
    <w:p w:rsidR="00914E58" w:rsidRPr="00ED54CE" w:rsidP="00914E58" w14:paraId="73C556E7" w14:textId="77777777">
      <w:pPr>
        <w:widowControl/>
        <w:autoSpaceDE/>
        <w:autoSpaceDN/>
        <w:adjustRightInd/>
        <w:spacing w:after="200"/>
        <w:ind w:left="720" w:hanging="720"/>
        <w:rPr>
          <w:rFonts w:eastAsia="Calibri"/>
        </w:rPr>
      </w:pPr>
      <w:r w:rsidRPr="00ED54CE">
        <w:rPr>
          <w:rFonts w:eastAsia="Calibri"/>
        </w:rPr>
        <w:t xml:space="preserve">FDA (2019). Food and Drug Administration. newly signed legislation raises federal minimum age of sale of tobacco products to 21. Silver Spring, MD: US Department of Health and Human Services, Food and Drug Administration; 2019. </w:t>
      </w:r>
      <w:hyperlink r:id="rId25" w:history="1">
        <w:r w:rsidRPr="00ED54CE">
          <w:rPr>
            <w:rFonts w:eastAsia="Calibri"/>
            <w:color w:val="0000FF"/>
            <w:u w:val="single"/>
          </w:rPr>
          <w:t>https://www.fda.gov/tobacco-products/ctp-newsroom/newly-signed-legislation-raises-federal-minimum-age-sale-tobacco-products-21</w:t>
        </w:r>
      </w:hyperlink>
      <w:r w:rsidRPr="00ED54CE">
        <w:rPr>
          <w:rFonts w:eastAsia="Calibri"/>
        </w:rPr>
        <w:t xml:space="preserve">. </w:t>
      </w:r>
    </w:p>
    <w:p w:rsidR="004528E6" w:rsidP="004528E6" w14:paraId="25710055" w14:textId="77777777">
      <w:pPr>
        <w:spacing w:after="200"/>
        <w:ind w:left="720" w:hanging="720"/>
      </w:pPr>
      <w:r>
        <w:t xml:space="preserve">FDA (2024). FDA warns online retailers selling unauthorized youth appealing e-cigarettes: Violative products include Geek Bar, Lost Mary, and Bang. </w:t>
      </w:r>
      <w:hyperlink r:id="rId26" w:anchor=":~:text=On%20July%2031%2C%20FDA%20issued,particularly%20those%20popular%20with%20youth" w:history="1">
        <w:r w:rsidRPr="00DE6166">
          <w:rPr>
            <w:rStyle w:val="Hyperlink"/>
          </w:rPr>
          <w:t>https://www.fda.gov/tobacco-products/ctp-newsroom/fda-warns-online-retailers-selling-unauthorized-youth-appealing-e-cigarettes#:~:text=On%20July%2031%2C%20FDA%20issued,particularly%20those%20popular%20with%20youth</w:t>
        </w:r>
      </w:hyperlink>
      <w:r w:rsidRPr="00BD055D">
        <w:t>.</w:t>
      </w:r>
      <w:r>
        <w:t xml:space="preserve"> Last updated 1 August 2024. Accessed 20 December 2024.  </w:t>
      </w:r>
    </w:p>
    <w:p w:rsidR="004528E6" w:rsidP="004528E6" w14:paraId="7B26705A" w14:textId="77777777">
      <w:pPr>
        <w:spacing w:after="200"/>
        <w:ind w:left="720" w:hanging="720"/>
      </w:pPr>
      <w:r>
        <w:t xml:space="preserve">FDA- CDC (2024). </w:t>
      </w:r>
      <w:r w:rsidRPr="0085494C">
        <w:t>Park-Lee E, Jamal A, Cowan H, et al. </w:t>
      </w:r>
      <w:r w:rsidRPr="0085494C">
        <w:rPr>
          <w:i/>
          <w:iCs/>
        </w:rPr>
        <w:t>Notes from the Field:</w:t>
      </w:r>
      <w:r w:rsidRPr="0085494C">
        <w:t xml:space="preserve"> E-Cigarette and Nicotine Pouch Use Among Middle and High School Students — United States, 2024. MMWR </w:t>
      </w:r>
      <w:r w:rsidRPr="0085494C">
        <w:t>Morb</w:t>
      </w:r>
      <w:r w:rsidRPr="0085494C">
        <w:t xml:space="preserve"> Mortal </w:t>
      </w:r>
      <w:r w:rsidRPr="0085494C">
        <w:t>Wkly</w:t>
      </w:r>
      <w:r w:rsidRPr="0085494C">
        <w:t xml:space="preserve"> Rep 2024;73:774–778. </w:t>
      </w:r>
      <w:hyperlink r:id="rId27" w:tgtFrame="_blank" w:history="1">
        <w:r w:rsidRPr="0085494C">
          <w:rPr>
            <w:rStyle w:val="Hyperlink"/>
          </w:rPr>
          <w:t>http://dx.doi.org/10.15585/mmwr.mm7335a3</w:t>
        </w:r>
      </w:hyperlink>
    </w:p>
    <w:p w:rsidR="004528E6" w:rsidP="004528E6" w14:paraId="0CB124BC" w14:textId="77777777">
      <w:pPr>
        <w:rPr>
          <w:rFonts w:eastAsia="Calibri"/>
          <w14:ligatures w14:val="standardContextual"/>
        </w:rPr>
      </w:pPr>
      <w:r w:rsidRPr="000E5F98">
        <w:rPr>
          <w:rFonts w:eastAsia="Calibri"/>
          <w14:ligatures w14:val="standardContextual"/>
        </w:rPr>
        <w:t xml:space="preserve">Flores, D., McKinney, R., Arscott, J., Barroso, J. (2018). Obtaining waivers of parental consent: </w:t>
      </w:r>
    </w:p>
    <w:p w:rsidR="004528E6" w:rsidP="004528E6" w14:paraId="02DAF37A" w14:textId="77777777">
      <w:pPr>
        <w:ind w:firstLine="720"/>
        <w:rPr>
          <w:rFonts w:eastAsia="Calibri"/>
          <w14:ligatures w14:val="standardContextual"/>
        </w:rPr>
      </w:pPr>
      <w:r w:rsidRPr="000E5F98">
        <w:rPr>
          <w:rFonts w:eastAsia="Calibri"/>
          <w14:ligatures w14:val="standardContextual"/>
        </w:rPr>
        <w:t xml:space="preserve">A strategy endorsed by gay, bisexual, and queer adolescent males for health prevention </w:t>
      </w:r>
    </w:p>
    <w:p w:rsidR="004528E6" w:rsidP="004528E6" w14:paraId="0EEAC2F1" w14:textId="24BB451F">
      <w:pPr>
        <w:widowControl/>
        <w:autoSpaceDE/>
        <w:autoSpaceDN/>
        <w:adjustRightInd/>
        <w:spacing w:after="200"/>
        <w:ind w:left="720"/>
        <w:rPr>
          <w:rFonts w:eastAsia="Calibri"/>
        </w:rPr>
      </w:pPr>
      <w:r w:rsidRPr="000E5F98">
        <w:rPr>
          <w:rFonts w:eastAsia="Calibri"/>
          <w14:ligatures w14:val="standardContextual"/>
        </w:rPr>
        <w:t xml:space="preserve">research. </w:t>
      </w:r>
      <w:r w:rsidRPr="00BA59FA">
        <w:rPr>
          <w:rFonts w:eastAsia="Calibri"/>
          <w14:ligatures w14:val="standardContextual"/>
        </w:rPr>
        <w:t>Nursing Outlook, 66</w:t>
      </w:r>
      <w:r w:rsidRPr="003D14D9">
        <w:rPr>
          <w:rFonts w:eastAsia="Calibri"/>
          <w14:ligatures w14:val="standardContextual"/>
        </w:rPr>
        <w:t>(2),</w:t>
      </w:r>
      <w:r w:rsidRPr="000E5F98">
        <w:rPr>
          <w:rFonts w:eastAsia="Calibri"/>
          <w14:ligatures w14:val="standardContextual"/>
        </w:rPr>
        <w:t xml:space="preserve"> 138-148. </w:t>
      </w:r>
      <w:hyperlink r:id="rId28" w:history="1">
        <w:r w:rsidRPr="000E5F98">
          <w:rPr>
            <w:rFonts w:eastAsia="Calibri"/>
            <w:u w:val="single"/>
            <w14:ligatures w14:val="standardContextual"/>
          </w:rPr>
          <w:t>https://doi.org/10.1016/j.outlook.2017.09.001</w:t>
        </w:r>
      </w:hyperlink>
    </w:p>
    <w:p w:rsidR="00402D05" w:rsidRPr="00ED54CE" w:rsidP="00531F22" w14:paraId="2CFA5EA9" w14:textId="5C85313B">
      <w:pPr>
        <w:pStyle w:val="CommentText"/>
        <w:spacing w:after="240"/>
        <w:ind w:left="720" w:hanging="720"/>
      </w:pPr>
      <w:r w:rsidRPr="00ED54CE">
        <w:rPr>
          <w:sz w:val="24"/>
          <w:szCs w:val="24"/>
          <w:lang w:val="es-MX"/>
        </w:rPr>
        <w:t>Hu</w:t>
      </w:r>
      <w:r w:rsidRPr="00ED54CE">
        <w:rPr>
          <w:sz w:val="24"/>
          <w:szCs w:val="24"/>
          <w:lang w:val="es-MX"/>
        </w:rPr>
        <w:t xml:space="preserve"> SS, </w:t>
      </w:r>
      <w:r w:rsidRPr="00ED54CE">
        <w:rPr>
          <w:sz w:val="24"/>
          <w:szCs w:val="24"/>
          <w:lang w:val="es-MX"/>
        </w:rPr>
        <w:t>Gentzke</w:t>
      </w:r>
      <w:r w:rsidRPr="00ED54CE">
        <w:rPr>
          <w:sz w:val="24"/>
          <w:szCs w:val="24"/>
          <w:lang w:val="es-MX"/>
        </w:rPr>
        <w:t xml:space="preserve"> A, Jamal A, </w:t>
      </w:r>
      <w:r w:rsidRPr="00ED54CE" w:rsidR="00531F22">
        <w:rPr>
          <w:sz w:val="24"/>
          <w:szCs w:val="24"/>
          <w:lang w:val="es-MX"/>
        </w:rPr>
        <w:t>et al</w:t>
      </w:r>
      <w:r w:rsidRPr="00ED54CE">
        <w:rPr>
          <w:sz w:val="24"/>
          <w:szCs w:val="24"/>
          <w:lang w:val="es-MX"/>
        </w:rPr>
        <w:t xml:space="preserve">. </w:t>
      </w:r>
      <w:r w:rsidRPr="00ED54CE">
        <w:rPr>
          <w:sz w:val="24"/>
          <w:szCs w:val="24"/>
        </w:rPr>
        <w:t xml:space="preserve">Feasibility of Administering </w:t>
      </w:r>
      <w:r w:rsidRPr="00ED54CE">
        <w:rPr>
          <w:sz w:val="24"/>
          <w:szCs w:val="24"/>
        </w:rPr>
        <w:t>an Electronic</w:t>
      </w:r>
      <w:r w:rsidRPr="00ED54CE">
        <w:rPr>
          <w:sz w:val="24"/>
          <w:szCs w:val="24"/>
        </w:rPr>
        <w:t xml:space="preserve"> Version of the National Youth Tobacco Survey in a Classroom Setting. Prev Chronic Dis 2020;17:190294. DOI: https://doi.org/10.5888/pcd17.190294.</w:t>
      </w:r>
    </w:p>
    <w:p w:rsidR="00320A32" w:rsidRPr="00ED54CE" w:rsidP="00320A32" w14:paraId="2FDB521B" w14:textId="1C0E42E7">
      <w:pPr>
        <w:spacing w:after="200"/>
        <w:ind w:left="720" w:hanging="720"/>
        <w:rPr>
          <w:rFonts w:eastAsia="Calibri"/>
        </w:rPr>
      </w:pPr>
      <w:r w:rsidRPr="00ED54CE">
        <w:rPr>
          <w:rFonts w:eastAsia="Calibri"/>
        </w:rPr>
        <w:t xml:space="preserve">National Institute on Drug Abuse (2014). </w:t>
      </w:r>
      <w:r w:rsidRPr="00ED54CE">
        <w:rPr>
          <w:rFonts w:eastAsia="Calibri"/>
          <w:i/>
        </w:rPr>
        <w:t>Monitoring the Future national results on drug use: 1975-2013: Overview, Key Findings on Adolescent Drug Use</w:t>
      </w:r>
      <w:r w:rsidRPr="00ED54CE">
        <w:rPr>
          <w:rFonts w:eastAsia="Calibri"/>
        </w:rPr>
        <w:t>. National Institute on Drug Abuse, National Institutes of Health. Ann Arbor, MI: Institute for Social Research, The University of Michigan.</w:t>
      </w:r>
    </w:p>
    <w:p w:rsidR="00320A32" w:rsidRPr="00ED54CE" w:rsidP="00320A32" w14:paraId="0BE9B246" w14:textId="77777777">
      <w:pPr>
        <w:spacing w:after="200"/>
        <w:ind w:left="720" w:hanging="720"/>
        <w:rPr>
          <w:rFonts w:eastAsia="Calibri"/>
        </w:rPr>
      </w:pPr>
      <w:r w:rsidRPr="00ED54CE">
        <w:rPr>
          <w:rFonts w:eastAsia="Calibri"/>
        </w:rPr>
        <w:t xml:space="preserve">OSG (2018). Office of the Surgeon General. Surgeon General’s advisory on e-cigarette use among youth. December 18, 2018. Available at </w:t>
      </w:r>
      <w:hyperlink r:id="rId29" w:history="1">
        <w:r w:rsidRPr="00ED54CE">
          <w:t>https://e-cigarettes.surgeongeneral.gov/documents/surgeon-generals-advisory-on-e-cigarette-use-</w:t>
        </w:r>
        <w:r w:rsidRPr="00ED54CE">
          <w:t>among-youth-2018.pdf</w:t>
        </w:r>
      </w:hyperlink>
      <w:r w:rsidRPr="00ED54CE">
        <w:rPr>
          <w:rFonts w:eastAsia="Calibri"/>
        </w:rPr>
        <w:t xml:space="preserve">. </w:t>
      </w:r>
    </w:p>
    <w:p w:rsidR="003505D8" w:rsidP="003505D8" w14:paraId="74A54714" w14:textId="77777777">
      <w:pPr>
        <w:rPr>
          <w:rFonts w:eastAsia="Calibri"/>
          <w14:ligatures w14:val="standardContextual"/>
        </w:rPr>
      </w:pPr>
      <w:r w:rsidRPr="000E5F98">
        <w:rPr>
          <w:rFonts w:eastAsia="Calibri"/>
          <w14:ligatures w14:val="standardContextual"/>
        </w:rPr>
        <w:t>Schelbe</w:t>
      </w:r>
      <w:r w:rsidRPr="000E5F98">
        <w:rPr>
          <w:rFonts w:eastAsia="Calibri"/>
          <w14:ligatures w14:val="standardContextual"/>
        </w:rPr>
        <w:t xml:space="preserve">, L., </w:t>
      </w:r>
      <w:r w:rsidRPr="000E5F98">
        <w:rPr>
          <w:rFonts w:eastAsia="Calibri"/>
          <w14:ligatures w14:val="standardContextual"/>
        </w:rPr>
        <w:t>Chanmugam</w:t>
      </w:r>
      <w:r w:rsidRPr="000E5F98">
        <w:rPr>
          <w:rFonts w:eastAsia="Calibri"/>
          <w14:ligatures w14:val="standardContextual"/>
        </w:rPr>
        <w:t>, A., Moses, T., Saltzburg, S., Williams, L. R., &amp; Letendre, J. (2014).</w:t>
      </w:r>
    </w:p>
    <w:p w:rsidR="003505D8" w:rsidRPr="00BA59FA" w:rsidP="003505D8" w14:paraId="03A4C946" w14:textId="613198AB">
      <w:pPr>
        <w:ind w:firstLine="720"/>
        <w:rPr>
          <w:rFonts w:eastAsia="Calibri"/>
          <w14:ligatures w14:val="standardContextual"/>
        </w:rPr>
      </w:pPr>
      <w:r w:rsidRPr="000E5F98">
        <w:rPr>
          <w:rFonts w:eastAsia="Calibri"/>
          <w14:ligatures w14:val="standardContextual"/>
        </w:rPr>
        <w:t xml:space="preserve">Youth participation in qualitative research: Challenges and possibilities. </w:t>
      </w:r>
      <w:r w:rsidRPr="00BA59FA">
        <w:rPr>
          <w:rFonts w:eastAsia="Calibri"/>
          <w14:ligatures w14:val="standardContextual"/>
        </w:rPr>
        <w:t xml:space="preserve">Qualitative </w:t>
      </w:r>
    </w:p>
    <w:p w:rsidR="003505D8" w:rsidRPr="000E5F98" w:rsidP="003505D8" w14:paraId="63CA3168" w14:textId="77777777">
      <w:pPr>
        <w:ind w:left="720"/>
        <w:rPr>
          <w:rFonts w:eastAsia="Calibri"/>
          <w14:ligatures w14:val="standardContextual"/>
        </w:rPr>
      </w:pPr>
      <w:r w:rsidRPr="00BA59FA">
        <w:rPr>
          <w:rFonts w:eastAsia="Calibri"/>
          <w14:ligatures w14:val="standardContextual"/>
        </w:rPr>
        <w:t>Social Work</w:t>
      </w:r>
      <w:r w:rsidRPr="003D14D9">
        <w:rPr>
          <w:rFonts w:eastAsia="Calibri"/>
          <w14:ligatures w14:val="standardContextual"/>
        </w:rPr>
        <w:t>,</w:t>
      </w:r>
      <w:r w:rsidRPr="000E5F98">
        <w:rPr>
          <w:rFonts w:eastAsia="Calibri"/>
          <w14:ligatures w14:val="standardContextual"/>
        </w:rPr>
        <w:t xml:space="preserve"> </w:t>
      </w:r>
      <w:r w:rsidRPr="000E5F98">
        <w:rPr>
          <w:rFonts w:eastAsia="Calibri"/>
          <w:i/>
          <w:iCs/>
          <w14:ligatures w14:val="standardContextual"/>
        </w:rPr>
        <w:t>14</w:t>
      </w:r>
      <w:r w:rsidRPr="000E5F98">
        <w:rPr>
          <w:rFonts w:eastAsia="Calibri"/>
          <w14:ligatures w14:val="standardContextual"/>
        </w:rPr>
        <w:t xml:space="preserve">(4), 504–521. </w:t>
      </w:r>
      <w:hyperlink r:id="rId30" w:history="1">
        <w:r w:rsidRPr="000E5F98">
          <w:rPr>
            <w:rFonts w:eastAsia="Calibri"/>
            <w:u w:val="single"/>
            <w14:ligatures w14:val="standardContextual"/>
          </w:rPr>
          <w:t>https://doi.org/10.1177/1473325014556792</w:t>
        </w:r>
      </w:hyperlink>
    </w:p>
    <w:p w:rsidR="003505D8" w:rsidRPr="007C3EFB" w:rsidP="003505D8" w14:paraId="5ED65EB6" w14:textId="77777777">
      <w:pPr>
        <w:spacing w:after="200"/>
        <w:ind w:left="720" w:hanging="720"/>
        <w:rPr>
          <w:rFonts w:eastAsia="Calibri"/>
        </w:rPr>
      </w:pPr>
    </w:p>
    <w:p w:rsidR="003505D8" w:rsidRPr="00185D69" w:rsidP="003505D8" w14:paraId="60FC5697" w14:textId="77777777">
      <w:pPr>
        <w:spacing w:after="200"/>
        <w:ind w:left="720" w:hanging="720"/>
        <w:rPr>
          <w:rFonts w:eastAsia="Calibri"/>
        </w:rPr>
      </w:pPr>
      <w:r>
        <w:rPr>
          <w:rFonts w:eastAsia="Calibri"/>
        </w:rPr>
        <w:t xml:space="preserve">USBLS2023. </w:t>
      </w:r>
      <w:r w:rsidRPr="00185D69">
        <w:rPr>
          <w:rFonts w:eastAsia="Calibri"/>
        </w:rPr>
        <w:t xml:space="preserve">U.S. Bureau of Labor Statistics </w:t>
      </w:r>
      <w:r w:rsidRPr="00AD54EE">
        <w:rPr>
          <w:rFonts w:eastAsia="Calibri"/>
        </w:rPr>
        <w:t>(</w:t>
      </w:r>
      <w:r>
        <w:rPr>
          <w:rFonts w:eastAsia="Calibri"/>
        </w:rPr>
        <w:t>2024</w:t>
      </w:r>
      <w:r w:rsidRPr="00185D69">
        <w:rPr>
          <w:rFonts w:eastAsia="Calibri"/>
        </w:rPr>
        <w:t xml:space="preserve">). </w:t>
      </w:r>
      <w:r w:rsidRPr="00185D69">
        <w:rPr>
          <w:rFonts w:eastAsia="Calibri"/>
          <w:i/>
        </w:rPr>
        <w:t xml:space="preserve">May </w:t>
      </w:r>
      <w:r>
        <w:rPr>
          <w:rFonts w:eastAsia="Calibri"/>
          <w:i/>
        </w:rPr>
        <w:t xml:space="preserve">2023 </w:t>
      </w:r>
      <w:r w:rsidRPr="00185D69">
        <w:rPr>
          <w:rFonts w:eastAsia="Calibri"/>
          <w:i/>
        </w:rPr>
        <w:t>National Occupational Employment and Wage Estimates, United States.</w:t>
      </w:r>
      <w:r w:rsidRPr="00185D69">
        <w:rPr>
          <w:rFonts w:eastAsia="Calibri"/>
          <w:kern w:val="36"/>
        </w:rPr>
        <w:t xml:space="preserve"> </w:t>
      </w:r>
      <w:r>
        <w:rPr>
          <w:rFonts w:eastAsia="Calibri"/>
        </w:rPr>
        <w:t xml:space="preserve">Available at </w:t>
      </w:r>
      <w:hyperlink r:id="rId31" w:history="1">
        <w:r w:rsidRPr="00185D69">
          <w:rPr>
            <w:rStyle w:val="Hyperlink"/>
          </w:rPr>
          <w:t>http://www.bls.gov/oes/current/oes_nat.htm</w:t>
        </w:r>
      </w:hyperlink>
    </w:p>
    <w:p w:rsidR="00320A32" w:rsidRPr="00ED54CE" w:rsidP="00320A32" w14:paraId="15777E63" w14:textId="77777777">
      <w:pPr>
        <w:spacing w:after="200"/>
        <w:ind w:left="720" w:hanging="720"/>
        <w:rPr>
          <w:rFonts w:eastAsia="Calibri"/>
        </w:rPr>
      </w:pPr>
      <w:r w:rsidRPr="00ED54CE">
        <w:rPr>
          <w:rFonts w:eastAsia="Calibri"/>
        </w:rPr>
        <w:t xml:space="preserve">USDHHS (2010). U.S. Department of Health and Human Services. </w:t>
      </w:r>
      <w:r w:rsidRPr="00ED54CE">
        <w:rPr>
          <w:rFonts w:eastAsia="Calibri"/>
          <w:i/>
        </w:rPr>
        <w:t xml:space="preserve">Healthy People 2020. </w:t>
      </w:r>
      <w:r w:rsidRPr="00ED54CE">
        <w:rPr>
          <w:rFonts w:eastAsia="Calibri"/>
        </w:rPr>
        <w:t>Washington, D.C.: Available at: http://healthypeople.gov/2020/default.aspx</w:t>
      </w:r>
    </w:p>
    <w:p w:rsidR="00320A32" w:rsidRPr="00ED54CE" w:rsidP="00320A32" w14:paraId="243850F1" w14:textId="77777777">
      <w:pPr>
        <w:spacing w:after="200"/>
        <w:ind w:left="720" w:hanging="720"/>
        <w:rPr>
          <w:rFonts w:eastAsia="Calibri"/>
        </w:rPr>
      </w:pPr>
      <w:r w:rsidRPr="00ED54CE">
        <w:rPr>
          <w:rFonts w:eastAsia="Calibri"/>
        </w:rPr>
        <w:t xml:space="preserve">USDHHS (2012). US Department of Health and Human Services, </w:t>
      </w:r>
      <w:r w:rsidRPr="00ED54CE">
        <w:rPr>
          <w:rFonts w:eastAsia="Calibri"/>
          <w:i/>
        </w:rPr>
        <w:t xml:space="preserve">Ending the Tobacco Epidemic: Progress toward a Healthier Nation. </w:t>
      </w:r>
      <w:r w:rsidRPr="00ED54CE">
        <w:rPr>
          <w:rFonts w:eastAsia="Calibri"/>
        </w:rPr>
        <w:t>Washington, DC: Office of the Assistant Secretary for Health.</w:t>
      </w:r>
    </w:p>
    <w:p w:rsidR="00320A32" w:rsidRPr="00C47DE3" w:rsidP="00C47DE3" w14:paraId="117054DE" w14:textId="07AA5257">
      <w:pPr>
        <w:spacing w:after="200"/>
        <w:ind w:left="720" w:hanging="720"/>
        <w:rPr>
          <w:rFonts w:eastAsia="Calibri"/>
        </w:rPr>
      </w:pPr>
      <w:r w:rsidRPr="00ED54CE">
        <w:rPr>
          <w:rFonts w:eastAsia="Calibri"/>
        </w:rPr>
        <w:t>USDHHS (2019). U.S. Department of Health and Human Services. Development of the national health promotion and disease prevention objectives for 2030. Available at https://www.healthypeople.gov/2020/About-Healthy-People/Development-Healthy-People-2030.</w:t>
      </w:r>
    </w:p>
    <w:sectPr w:rsidSect="00DE3F9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rsidP="00EE43A4" w14:paraId="4CD1A5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1B48" w14:paraId="21C2DA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rsidP="00EE43A4" w14:paraId="5F3975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251B48" w:rsidRPr="007345F2" w14:paraId="3A6C1CC5" w14:textId="77777777">
    <w:pPr>
      <w:pStyle w:val="Footer"/>
      <w:ind w:right="360"/>
      <w:jc w:val="center"/>
      <w:rPr>
        <w:color w:val="C0C0C0"/>
      </w:rPr>
    </w:pPr>
  </w:p>
  <w:p w:rsidR="00251B48" w14:paraId="609877D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5140C6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1A11" w14:paraId="372785B5" w14:textId="77777777">
      <w:r>
        <w:separator/>
      </w:r>
    </w:p>
  </w:footnote>
  <w:footnote w:type="continuationSeparator" w:id="1">
    <w:p w:rsidR="00681A11" w14:paraId="1BBB1335" w14:textId="77777777">
      <w:r>
        <w:continuationSeparator/>
      </w:r>
    </w:p>
  </w:footnote>
  <w:footnote w:type="continuationNotice" w:id="2">
    <w:p w:rsidR="00681A11" w14:paraId="12F7A174" w14:textId="77777777"/>
  </w:footnote>
  <w:footnote w:id="3">
    <w:p w:rsidR="00F7264D" w:rsidRPr="002F5257" w:rsidP="00F7264D" w14:paraId="53A1042D" w14:textId="77777777">
      <w:pPr>
        <w:pStyle w:val="FootnoteText"/>
        <w:rPr>
          <w:lang w:val="en-US"/>
        </w:rPr>
      </w:pPr>
      <w:r>
        <w:rPr>
          <w:rStyle w:val="FootnoteReference"/>
        </w:rPr>
        <w:footnoteRef/>
      </w:r>
      <w:r>
        <w:t xml:space="preserve"> </w:t>
      </w:r>
      <w:r>
        <w:rPr>
          <w:lang w:val="en-US"/>
        </w:rPr>
        <w:t xml:space="preserve">The relevant 2024 overall response rate is the product of the 2024 school response rate from the first wave of data collection (48.3%) times the student response rate (78.3%). For the 2025 survey cycle, data collection terminated  early.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209006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14:paraId="7C2F4172" w14:textId="77777777">
    <w:pPr>
      <w:tabs>
        <w:tab w:val="left" w:pos="0"/>
        <w:tab w:val="left" w:pos="720"/>
        <w:tab w:val="left" w:pos="1440"/>
        <w:tab w:val="left" w:pos="3150"/>
        <w:tab w:val="left" w:pos="441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1AEB2E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E1930"/>
    <w:multiLevelType w:val="hybridMultilevel"/>
    <w:tmpl w:val="5ECC4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EE54CC"/>
    <w:multiLevelType w:val="hybridMultilevel"/>
    <w:tmpl w:val="DA9AE7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2D5391"/>
    <w:multiLevelType w:val="hybridMultilevel"/>
    <w:tmpl w:val="3EF0E2BC"/>
    <w:lvl w:ilvl="0">
      <w:start w:val="1"/>
      <w:numFmt w:val="bullet"/>
      <w:lvlText w:val=""/>
      <w:lvlJc w:val="left"/>
      <w:pPr>
        <w:ind w:hanging="360"/>
      </w:pPr>
      <w:rPr>
        <w:rFonts w:ascii="Wingdings" w:eastAsia="Wingdings" w:hAnsi="Wingdings"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4C4115"/>
    <w:multiLevelType w:val="hybridMultilevel"/>
    <w:tmpl w:val="F10A8B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5960B2"/>
    <w:multiLevelType w:val="hybridMultilevel"/>
    <w:tmpl w:val="D01C5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B3A4A"/>
    <w:multiLevelType w:val="hybridMultilevel"/>
    <w:tmpl w:val="B5DE865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E47CE4"/>
    <w:multiLevelType w:val="multilevel"/>
    <w:tmpl w:val="049C3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D20E6F"/>
    <w:multiLevelType w:val="hybridMultilevel"/>
    <w:tmpl w:val="61D81FF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2DB2A10"/>
    <w:multiLevelType w:val="hybridMultilevel"/>
    <w:tmpl w:val="B24A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776603"/>
    <w:multiLevelType w:val="hybridMultilevel"/>
    <w:tmpl w:val="A60EF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0F57B8"/>
    <w:multiLevelType w:val="hybridMultilevel"/>
    <w:tmpl w:val="E31C6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4A208B"/>
    <w:multiLevelType w:val="hybridMultilevel"/>
    <w:tmpl w:val="812E289E"/>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542C20"/>
    <w:multiLevelType w:val="hybridMultilevel"/>
    <w:tmpl w:val="A3569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5D7789"/>
    <w:multiLevelType w:val="multilevel"/>
    <w:tmpl w:val="049C3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97385B"/>
    <w:multiLevelType w:val="multilevel"/>
    <w:tmpl w:val="3C1C5E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4E3C1414"/>
    <w:multiLevelType w:val="hybridMultilevel"/>
    <w:tmpl w:val="732023C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F857936"/>
    <w:multiLevelType w:val="hybridMultilevel"/>
    <w:tmpl w:val="99E0C2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0A04175"/>
    <w:multiLevelType w:val="hybridMultilevel"/>
    <w:tmpl w:val="8CF411C0"/>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1817A36"/>
    <w:multiLevelType w:val="hybridMultilevel"/>
    <w:tmpl w:val="743A44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4CF5682"/>
    <w:multiLevelType w:val="hybridMultilevel"/>
    <w:tmpl w:val="B774953A"/>
    <w:lvl w:ilvl="0">
      <w:start w:val="1"/>
      <w:numFmt w:val="bullet"/>
      <w:pStyle w:val="Bullet-Square"/>
      <w:lvlText w:val=""/>
      <w:lvlJc w:val="left"/>
      <w:pPr>
        <w:tabs>
          <w:tab w:val="num" w:pos="-3240"/>
        </w:tabs>
        <w:ind w:left="-3240" w:hanging="360"/>
      </w:pPr>
      <w:rPr>
        <w:rFonts w:ascii="Wingdings" w:hAnsi="Wingdings"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360"/>
        </w:tabs>
        <w:ind w:left="-360" w:hanging="360"/>
      </w:pPr>
      <w:rPr>
        <w:rFonts w:ascii="Courier New" w:hAnsi="Courier New" w:hint="default"/>
      </w:rPr>
    </w:lvl>
    <w:lvl w:ilvl="5">
      <w:start w:val="1"/>
      <w:numFmt w:val="bullet"/>
      <w:lvlText w:val=""/>
      <w:lvlJc w:val="left"/>
      <w:pPr>
        <w:tabs>
          <w:tab w:val="num" w:pos="360"/>
        </w:tabs>
        <w:ind w:left="360" w:hanging="360"/>
      </w:pPr>
      <w:rPr>
        <w:rFonts w:ascii="Wingdings" w:hAnsi="Wingdings" w:hint="default"/>
      </w:rPr>
    </w:lvl>
    <w:lvl w:ilvl="6" w:tentative="1">
      <w:start w:val="1"/>
      <w:numFmt w:val="bullet"/>
      <w:lvlText w:val=""/>
      <w:lvlJc w:val="left"/>
      <w:pPr>
        <w:tabs>
          <w:tab w:val="num" w:pos="1080"/>
        </w:tabs>
        <w:ind w:left="1080" w:hanging="360"/>
      </w:pPr>
      <w:rPr>
        <w:rFonts w:ascii="Symbol" w:hAnsi="Symbol" w:hint="default"/>
      </w:rPr>
    </w:lvl>
    <w:lvl w:ilvl="7" w:tentative="1">
      <w:start w:val="1"/>
      <w:numFmt w:val="bullet"/>
      <w:lvlText w:val="o"/>
      <w:lvlJc w:val="left"/>
      <w:pPr>
        <w:tabs>
          <w:tab w:val="num" w:pos="1800"/>
        </w:tabs>
        <w:ind w:left="1800" w:hanging="360"/>
      </w:pPr>
      <w:rPr>
        <w:rFonts w:ascii="Courier New" w:hAnsi="Courier New" w:hint="default"/>
      </w:rPr>
    </w:lvl>
    <w:lvl w:ilvl="8" w:tentative="1">
      <w:start w:val="1"/>
      <w:numFmt w:val="bullet"/>
      <w:lvlText w:val=""/>
      <w:lvlJc w:val="left"/>
      <w:pPr>
        <w:tabs>
          <w:tab w:val="num" w:pos="2520"/>
        </w:tabs>
        <w:ind w:left="2520" w:hanging="360"/>
      </w:pPr>
      <w:rPr>
        <w:rFonts w:ascii="Wingdings" w:hAnsi="Wingdings" w:hint="default"/>
      </w:rPr>
    </w:lvl>
  </w:abstractNum>
  <w:abstractNum w:abstractNumId="20">
    <w:nsid w:val="563C7C3C"/>
    <w:multiLevelType w:val="hybridMultilevel"/>
    <w:tmpl w:val="7DB87984"/>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8C66E75"/>
    <w:multiLevelType w:val="hybridMultilevel"/>
    <w:tmpl w:val="B2F87C7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F64BDC"/>
    <w:multiLevelType w:val="hybridMultilevel"/>
    <w:tmpl w:val="04CA1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F143B4"/>
    <w:multiLevelType w:val="hybridMultilevel"/>
    <w:tmpl w:val="6B24A4E6"/>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74E122AE"/>
    <w:multiLevelType w:val="hybridMultilevel"/>
    <w:tmpl w:val="393C2F02"/>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64467B1"/>
    <w:multiLevelType w:val="hybridMultilevel"/>
    <w:tmpl w:val="7BE0D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84D06F4"/>
    <w:multiLevelType w:val="hybridMultilevel"/>
    <w:tmpl w:val="C9E29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116BF8"/>
    <w:multiLevelType w:val="hybridMultilevel"/>
    <w:tmpl w:val="9970054E"/>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DF02D8F"/>
    <w:multiLevelType w:val="hybridMultilevel"/>
    <w:tmpl w:val="EB56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2176400">
    <w:abstractNumId w:val="24"/>
  </w:num>
  <w:num w:numId="2" w16cid:durableId="1945383241">
    <w:abstractNumId w:val="17"/>
  </w:num>
  <w:num w:numId="3" w16cid:durableId="471336544">
    <w:abstractNumId w:val="11"/>
  </w:num>
  <w:num w:numId="4" w16cid:durableId="1240600228">
    <w:abstractNumId w:val="7"/>
  </w:num>
  <w:num w:numId="5" w16cid:durableId="1057708622">
    <w:abstractNumId w:val="4"/>
  </w:num>
  <w:num w:numId="6" w16cid:durableId="1352609125">
    <w:abstractNumId w:val="0"/>
  </w:num>
  <w:num w:numId="7" w16cid:durableId="779177692">
    <w:abstractNumId w:val="15"/>
  </w:num>
  <w:num w:numId="8" w16cid:durableId="1354454585">
    <w:abstractNumId w:val="23"/>
  </w:num>
  <w:num w:numId="9" w16cid:durableId="795413851">
    <w:abstractNumId w:val="1"/>
  </w:num>
  <w:num w:numId="10" w16cid:durableId="1257517272">
    <w:abstractNumId w:val="5"/>
  </w:num>
  <w:num w:numId="11" w16cid:durableId="192885047">
    <w:abstractNumId w:val="19"/>
  </w:num>
  <w:num w:numId="12" w16cid:durableId="818806948">
    <w:abstractNumId w:val="1"/>
  </w:num>
  <w:num w:numId="13" w16cid:durableId="502208069">
    <w:abstractNumId w:val="25"/>
  </w:num>
  <w:num w:numId="14" w16cid:durableId="277421269">
    <w:abstractNumId w:val="20"/>
  </w:num>
  <w:num w:numId="15" w16cid:durableId="545143115">
    <w:abstractNumId w:val="8"/>
  </w:num>
  <w:num w:numId="16" w16cid:durableId="1463381541">
    <w:abstractNumId w:val="26"/>
  </w:num>
  <w:num w:numId="17" w16cid:durableId="1791119726">
    <w:abstractNumId w:val="18"/>
  </w:num>
  <w:num w:numId="18" w16cid:durableId="746804768">
    <w:abstractNumId w:val="21"/>
  </w:num>
  <w:num w:numId="19" w16cid:durableId="1976594502">
    <w:abstractNumId w:val="12"/>
  </w:num>
  <w:num w:numId="20" w16cid:durableId="1705666472">
    <w:abstractNumId w:val="27"/>
  </w:num>
  <w:num w:numId="21" w16cid:durableId="1274439366">
    <w:abstractNumId w:val="9"/>
  </w:num>
  <w:num w:numId="22" w16cid:durableId="2055690580">
    <w:abstractNumId w:val="28"/>
  </w:num>
  <w:num w:numId="23" w16cid:durableId="620183119">
    <w:abstractNumId w:val="10"/>
  </w:num>
  <w:num w:numId="24" w16cid:durableId="954940823">
    <w:abstractNumId w:val="3"/>
  </w:num>
  <w:num w:numId="25" w16cid:durableId="281690806">
    <w:abstractNumId w:val="22"/>
  </w:num>
  <w:num w:numId="26" w16cid:durableId="1845313952">
    <w:abstractNumId w:val="2"/>
  </w:num>
  <w:num w:numId="27" w16cid:durableId="530925233">
    <w:abstractNumId w:val="16"/>
  </w:num>
  <w:num w:numId="28" w16cid:durableId="228543331">
    <w:abstractNumId w:val="13"/>
  </w:num>
  <w:num w:numId="29" w16cid:durableId="104543851">
    <w:abstractNumId w:val="6"/>
  </w:num>
  <w:num w:numId="30" w16cid:durableId="1930309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F0"/>
    <w:rsid w:val="00000AB2"/>
    <w:rsid w:val="000016D9"/>
    <w:rsid w:val="00002390"/>
    <w:rsid w:val="00005A40"/>
    <w:rsid w:val="00007D00"/>
    <w:rsid w:val="00010E3F"/>
    <w:rsid w:val="00012C46"/>
    <w:rsid w:val="00014AED"/>
    <w:rsid w:val="00016B2D"/>
    <w:rsid w:val="0002093B"/>
    <w:rsid w:val="0002210B"/>
    <w:rsid w:val="00022235"/>
    <w:rsid w:val="000226C8"/>
    <w:rsid w:val="00023C1F"/>
    <w:rsid w:val="0002595D"/>
    <w:rsid w:val="00032136"/>
    <w:rsid w:val="00032E06"/>
    <w:rsid w:val="000350B0"/>
    <w:rsid w:val="00035F62"/>
    <w:rsid w:val="00037E5A"/>
    <w:rsid w:val="000406FC"/>
    <w:rsid w:val="000409D3"/>
    <w:rsid w:val="0004258B"/>
    <w:rsid w:val="00042EA3"/>
    <w:rsid w:val="00042FA4"/>
    <w:rsid w:val="00045449"/>
    <w:rsid w:val="00046DBE"/>
    <w:rsid w:val="00046EE5"/>
    <w:rsid w:val="00051805"/>
    <w:rsid w:val="000521CB"/>
    <w:rsid w:val="000529D7"/>
    <w:rsid w:val="00054A72"/>
    <w:rsid w:val="00054E0A"/>
    <w:rsid w:val="0006325E"/>
    <w:rsid w:val="00064FA9"/>
    <w:rsid w:val="00065676"/>
    <w:rsid w:val="00067E64"/>
    <w:rsid w:val="000729AA"/>
    <w:rsid w:val="00076D36"/>
    <w:rsid w:val="00077AD1"/>
    <w:rsid w:val="00083675"/>
    <w:rsid w:val="00083857"/>
    <w:rsid w:val="00094AA0"/>
    <w:rsid w:val="000A312A"/>
    <w:rsid w:val="000A4A6C"/>
    <w:rsid w:val="000B3D02"/>
    <w:rsid w:val="000C0DF7"/>
    <w:rsid w:val="000C0EF3"/>
    <w:rsid w:val="000C20BB"/>
    <w:rsid w:val="000C3844"/>
    <w:rsid w:val="000C5AF3"/>
    <w:rsid w:val="000C63BC"/>
    <w:rsid w:val="000C70C8"/>
    <w:rsid w:val="000C726D"/>
    <w:rsid w:val="000C7D55"/>
    <w:rsid w:val="000D1146"/>
    <w:rsid w:val="000D2488"/>
    <w:rsid w:val="000D3358"/>
    <w:rsid w:val="000D72F8"/>
    <w:rsid w:val="000D7E08"/>
    <w:rsid w:val="000E016D"/>
    <w:rsid w:val="000E0ACC"/>
    <w:rsid w:val="000E1DF0"/>
    <w:rsid w:val="000E380F"/>
    <w:rsid w:val="000E5F98"/>
    <w:rsid w:val="000E7536"/>
    <w:rsid w:val="000E7695"/>
    <w:rsid w:val="000F1AD1"/>
    <w:rsid w:val="000F495E"/>
    <w:rsid w:val="000F5EF0"/>
    <w:rsid w:val="00105F6A"/>
    <w:rsid w:val="00112F05"/>
    <w:rsid w:val="0011715F"/>
    <w:rsid w:val="001179FA"/>
    <w:rsid w:val="00120134"/>
    <w:rsid w:val="00120D48"/>
    <w:rsid w:val="00122B9E"/>
    <w:rsid w:val="00122E46"/>
    <w:rsid w:val="00123E1D"/>
    <w:rsid w:val="001242F3"/>
    <w:rsid w:val="00125B87"/>
    <w:rsid w:val="00127091"/>
    <w:rsid w:val="00130EE7"/>
    <w:rsid w:val="001313E6"/>
    <w:rsid w:val="00131A0D"/>
    <w:rsid w:val="00133108"/>
    <w:rsid w:val="001342C1"/>
    <w:rsid w:val="00135819"/>
    <w:rsid w:val="00136672"/>
    <w:rsid w:val="001400C5"/>
    <w:rsid w:val="0014246A"/>
    <w:rsid w:val="001455C4"/>
    <w:rsid w:val="00146D18"/>
    <w:rsid w:val="00150B04"/>
    <w:rsid w:val="001535D2"/>
    <w:rsid w:val="00154661"/>
    <w:rsid w:val="00154E63"/>
    <w:rsid w:val="0016072E"/>
    <w:rsid w:val="0016299D"/>
    <w:rsid w:val="00163831"/>
    <w:rsid w:val="001638EC"/>
    <w:rsid w:val="0016397D"/>
    <w:rsid w:val="001673E9"/>
    <w:rsid w:val="00167CC7"/>
    <w:rsid w:val="001718C6"/>
    <w:rsid w:val="0017260A"/>
    <w:rsid w:val="00172D40"/>
    <w:rsid w:val="00174133"/>
    <w:rsid w:val="00180E16"/>
    <w:rsid w:val="00181595"/>
    <w:rsid w:val="00181B23"/>
    <w:rsid w:val="0018496D"/>
    <w:rsid w:val="00185D69"/>
    <w:rsid w:val="00187D7C"/>
    <w:rsid w:val="00194838"/>
    <w:rsid w:val="00194D4E"/>
    <w:rsid w:val="001A0DC7"/>
    <w:rsid w:val="001A38D3"/>
    <w:rsid w:val="001A4A19"/>
    <w:rsid w:val="001A5FED"/>
    <w:rsid w:val="001A60A1"/>
    <w:rsid w:val="001A6AFB"/>
    <w:rsid w:val="001B0476"/>
    <w:rsid w:val="001B2BAF"/>
    <w:rsid w:val="001B2EF0"/>
    <w:rsid w:val="001B2F1A"/>
    <w:rsid w:val="001B4853"/>
    <w:rsid w:val="001B572C"/>
    <w:rsid w:val="001B5F3B"/>
    <w:rsid w:val="001C20D8"/>
    <w:rsid w:val="001C2490"/>
    <w:rsid w:val="001C6916"/>
    <w:rsid w:val="001C6C1F"/>
    <w:rsid w:val="001D19A3"/>
    <w:rsid w:val="001D468A"/>
    <w:rsid w:val="001D57B3"/>
    <w:rsid w:val="001D7ECD"/>
    <w:rsid w:val="001E02A5"/>
    <w:rsid w:val="001E18EF"/>
    <w:rsid w:val="001E19AD"/>
    <w:rsid w:val="001E28CA"/>
    <w:rsid w:val="001E3659"/>
    <w:rsid w:val="001F0D7E"/>
    <w:rsid w:val="001F231A"/>
    <w:rsid w:val="001F3C04"/>
    <w:rsid w:val="001F540A"/>
    <w:rsid w:val="001F6344"/>
    <w:rsid w:val="0020010F"/>
    <w:rsid w:val="00201EB8"/>
    <w:rsid w:val="002023AE"/>
    <w:rsid w:val="00202EDF"/>
    <w:rsid w:val="00203100"/>
    <w:rsid w:val="00203B43"/>
    <w:rsid w:val="00203F50"/>
    <w:rsid w:val="00205986"/>
    <w:rsid w:val="0020626F"/>
    <w:rsid w:val="00207A6D"/>
    <w:rsid w:val="00212747"/>
    <w:rsid w:val="002128FC"/>
    <w:rsid w:val="00213030"/>
    <w:rsid w:val="00213334"/>
    <w:rsid w:val="0021387A"/>
    <w:rsid w:val="00214958"/>
    <w:rsid w:val="00215A73"/>
    <w:rsid w:val="00216E91"/>
    <w:rsid w:val="00220F42"/>
    <w:rsid w:val="002213E6"/>
    <w:rsid w:val="002222BF"/>
    <w:rsid w:val="00222723"/>
    <w:rsid w:val="00222FA3"/>
    <w:rsid w:val="002237AD"/>
    <w:rsid w:val="0022668F"/>
    <w:rsid w:val="00226713"/>
    <w:rsid w:val="00227CB6"/>
    <w:rsid w:val="002317FA"/>
    <w:rsid w:val="00235906"/>
    <w:rsid w:val="00236501"/>
    <w:rsid w:val="00236900"/>
    <w:rsid w:val="00236BC2"/>
    <w:rsid w:val="0024005F"/>
    <w:rsid w:val="00243661"/>
    <w:rsid w:val="0024387C"/>
    <w:rsid w:val="00244577"/>
    <w:rsid w:val="00244597"/>
    <w:rsid w:val="00245E68"/>
    <w:rsid w:val="00246D6F"/>
    <w:rsid w:val="00251B48"/>
    <w:rsid w:val="0025284A"/>
    <w:rsid w:val="002543E0"/>
    <w:rsid w:val="00257F32"/>
    <w:rsid w:val="00260306"/>
    <w:rsid w:val="002606A4"/>
    <w:rsid w:val="002613D3"/>
    <w:rsid w:val="0026260B"/>
    <w:rsid w:val="00263938"/>
    <w:rsid w:val="00264208"/>
    <w:rsid w:val="00270043"/>
    <w:rsid w:val="00272039"/>
    <w:rsid w:val="00272D48"/>
    <w:rsid w:val="002735F5"/>
    <w:rsid w:val="00273E6C"/>
    <w:rsid w:val="002745F7"/>
    <w:rsid w:val="00275261"/>
    <w:rsid w:val="00275427"/>
    <w:rsid w:val="002756F1"/>
    <w:rsid w:val="002778B7"/>
    <w:rsid w:val="002810AD"/>
    <w:rsid w:val="0028218B"/>
    <w:rsid w:val="00282312"/>
    <w:rsid w:val="00282821"/>
    <w:rsid w:val="00282D70"/>
    <w:rsid w:val="00283F92"/>
    <w:rsid w:val="0028586B"/>
    <w:rsid w:val="00285AAF"/>
    <w:rsid w:val="002864ED"/>
    <w:rsid w:val="002864FC"/>
    <w:rsid w:val="0028659B"/>
    <w:rsid w:val="00286FB6"/>
    <w:rsid w:val="002949CA"/>
    <w:rsid w:val="00294D91"/>
    <w:rsid w:val="00294F3F"/>
    <w:rsid w:val="002951C6"/>
    <w:rsid w:val="00295949"/>
    <w:rsid w:val="0029660D"/>
    <w:rsid w:val="0029712B"/>
    <w:rsid w:val="002A082D"/>
    <w:rsid w:val="002A3375"/>
    <w:rsid w:val="002A3609"/>
    <w:rsid w:val="002A37FC"/>
    <w:rsid w:val="002A467E"/>
    <w:rsid w:val="002A52E5"/>
    <w:rsid w:val="002A5F15"/>
    <w:rsid w:val="002A6BB1"/>
    <w:rsid w:val="002B188B"/>
    <w:rsid w:val="002B25D0"/>
    <w:rsid w:val="002B65A1"/>
    <w:rsid w:val="002B71BC"/>
    <w:rsid w:val="002C06D9"/>
    <w:rsid w:val="002C1297"/>
    <w:rsid w:val="002C2023"/>
    <w:rsid w:val="002C2E4F"/>
    <w:rsid w:val="002C31AE"/>
    <w:rsid w:val="002C3676"/>
    <w:rsid w:val="002C3E51"/>
    <w:rsid w:val="002C6B61"/>
    <w:rsid w:val="002D2E8C"/>
    <w:rsid w:val="002D4C76"/>
    <w:rsid w:val="002D7291"/>
    <w:rsid w:val="002E09B7"/>
    <w:rsid w:val="002E105A"/>
    <w:rsid w:val="002E2C6E"/>
    <w:rsid w:val="002E3B0C"/>
    <w:rsid w:val="002E56D0"/>
    <w:rsid w:val="002E660E"/>
    <w:rsid w:val="002E693F"/>
    <w:rsid w:val="002E7CC2"/>
    <w:rsid w:val="002F11D0"/>
    <w:rsid w:val="002F1EF4"/>
    <w:rsid w:val="002F2205"/>
    <w:rsid w:val="002F253D"/>
    <w:rsid w:val="002F28DB"/>
    <w:rsid w:val="002F5257"/>
    <w:rsid w:val="002F6018"/>
    <w:rsid w:val="00300CE0"/>
    <w:rsid w:val="003015B9"/>
    <w:rsid w:val="00301CF5"/>
    <w:rsid w:val="00301DC9"/>
    <w:rsid w:val="00302751"/>
    <w:rsid w:val="00302E0F"/>
    <w:rsid w:val="00302F08"/>
    <w:rsid w:val="00303C0A"/>
    <w:rsid w:val="003046E3"/>
    <w:rsid w:val="00304F44"/>
    <w:rsid w:val="00305C84"/>
    <w:rsid w:val="00306D16"/>
    <w:rsid w:val="00306ED5"/>
    <w:rsid w:val="003136C2"/>
    <w:rsid w:val="00313B19"/>
    <w:rsid w:val="00314027"/>
    <w:rsid w:val="00314AC2"/>
    <w:rsid w:val="00316085"/>
    <w:rsid w:val="0032053C"/>
    <w:rsid w:val="00320A32"/>
    <w:rsid w:val="00321419"/>
    <w:rsid w:val="0032324E"/>
    <w:rsid w:val="00323251"/>
    <w:rsid w:val="003238D7"/>
    <w:rsid w:val="00331287"/>
    <w:rsid w:val="00331B53"/>
    <w:rsid w:val="00331F66"/>
    <w:rsid w:val="00340072"/>
    <w:rsid w:val="00340BC6"/>
    <w:rsid w:val="00344473"/>
    <w:rsid w:val="003505D8"/>
    <w:rsid w:val="00355A27"/>
    <w:rsid w:val="00360290"/>
    <w:rsid w:val="00360FA9"/>
    <w:rsid w:val="0036110B"/>
    <w:rsid w:val="003614F2"/>
    <w:rsid w:val="003627C6"/>
    <w:rsid w:val="0036381E"/>
    <w:rsid w:val="00364148"/>
    <w:rsid w:val="00365171"/>
    <w:rsid w:val="00366CCA"/>
    <w:rsid w:val="00371333"/>
    <w:rsid w:val="0037276D"/>
    <w:rsid w:val="00375197"/>
    <w:rsid w:val="0037676C"/>
    <w:rsid w:val="00376913"/>
    <w:rsid w:val="00377125"/>
    <w:rsid w:val="00377785"/>
    <w:rsid w:val="00385C98"/>
    <w:rsid w:val="00385E59"/>
    <w:rsid w:val="003871AC"/>
    <w:rsid w:val="003879A1"/>
    <w:rsid w:val="00387F17"/>
    <w:rsid w:val="0039193A"/>
    <w:rsid w:val="00392111"/>
    <w:rsid w:val="003927FC"/>
    <w:rsid w:val="00394C6A"/>
    <w:rsid w:val="0039517D"/>
    <w:rsid w:val="00395ECA"/>
    <w:rsid w:val="00396C8F"/>
    <w:rsid w:val="00396D14"/>
    <w:rsid w:val="00397C9C"/>
    <w:rsid w:val="00397DAC"/>
    <w:rsid w:val="003A0B67"/>
    <w:rsid w:val="003A0F6A"/>
    <w:rsid w:val="003A2450"/>
    <w:rsid w:val="003A3703"/>
    <w:rsid w:val="003A7012"/>
    <w:rsid w:val="003B1369"/>
    <w:rsid w:val="003B1BD7"/>
    <w:rsid w:val="003B1F16"/>
    <w:rsid w:val="003B21EC"/>
    <w:rsid w:val="003B2734"/>
    <w:rsid w:val="003B600D"/>
    <w:rsid w:val="003C0D08"/>
    <w:rsid w:val="003C1F95"/>
    <w:rsid w:val="003C2379"/>
    <w:rsid w:val="003C541E"/>
    <w:rsid w:val="003D0091"/>
    <w:rsid w:val="003D0D15"/>
    <w:rsid w:val="003D14D9"/>
    <w:rsid w:val="003D2B42"/>
    <w:rsid w:val="003D3DFC"/>
    <w:rsid w:val="003D5E32"/>
    <w:rsid w:val="003D679B"/>
    <w:rsid w:val="003D6DC9"/>
    <w:rsid w:val="003D7E1E"/>
    <w:rsid w:val="003E3CF3"/>
    <w:rsid w:val="003E75F3"/>
    <w:rsid w:val="003E7879"/>
    <w:rsid w:val="003F322C"/>
    <w:rsid w:val="003F6357"/>
    <w:rsid w:val="003F6A5D"/>
    <w:rsid w:val="00400E32"/>
    <w:rsid w:val="00401DDA"/>
    <w:rsid w:val="00402D05"/>
    <w:rsid w:val="004033E3"/>
    <w:rsid w:val="00403793"/>
    <w:rsid w:val="00403EA7"/>
    <w:rsid w:val="004048E2"/>
    <w:rsid w:val="00407CFC"/>
    <w:rsid w:val="00411F4C"/>
    <w:rsid w:val="004122BA"/>
    <w:rsid w:val="00414016"/>
    <w:rsid w:val="004148FE"/>
    <w:rsid w:val="00414B8C"/>
    <w:rsid w:val="0041526C"/>
    <w:rsid w:val="004157E9"/>
    <w:rsid w:val="00416328"/>
    <w:rsid w:val="00416CAE"/>
    <w:rsid w:val="0042648E"/>
    <w:rsid w:val="00426796"/>
    <w:rsid w:val="004274BE"/>
    <w:rsid w:val="004308A8"/>
    <w:rsid w:val="00430F4A"/>
    <w:rsid w:val="00432903"/>
    <w:rsid w:val="00432DC1"/>
    <w:rsid w:val="00435563"/>
    <w:rsid w:val="00436493"/>
    <w:rsid w:val="00436BD2"/>
    <w:rsid w:val="00440083"/>
    <w:rsid w:val="00440AE3"/>
    <w:rsid w:val="004417D3"/>
    <w:rsid w:val="0044533F"/>
    <w:rsid w:val="00445EC7"/>
    <w:rsid w:val="004472B8"/>
    <w:rsid w:val="004476B3"/>
    <w:rsid w:val="0045205F"/>
    <w:rsid w:val="00452635"/>
    <w:rsid w:val="004528E6"/>
    <w:rsid w:val="004540BE"/>
    <w:rsid w:val="00455C42"/>
    <w:rsid w:val="004568C4"/>
    <w:rsid w:val="0046303D"/>
    <w:rsid w:val="004630F9"/>
    <w:rsid w:val="0046471E"/>
    <w:rsid w:val="00465937"/>
    <w:rsid w:val="00465A69"/>
    <w:rsid w:val="00465C6F"/>
    <w:rsid w:val="00466148"/>
    <w:rsid w:val="00466721"/>
    <w:rsid w:val="00466DD2"/>
    <w:rsid w:val="004672C4"/>
    <w:rsid w:val="004673A0"/>
    <w:rsid w:val="00467D38"/>
    <w:rsid w:val="0047088E"/>
    <w:rsid w:val="00472106"/>
    <w:rsid w:val="00472C60"/>
    <w:rsid w:val="00474DB5"/>
    <w:rsid w:val="00477386"/>
    <w:rsid w:val="00480AB0"/>
    <w:rsid w:val="00481553"/>
    <w:rsid w:val="004861B7"/>
    <w:rsid w:val="00486460"/>
    <w:rsid w:val="0049021F"/>
    <w:rsid w:val="00490BC7"/>
    <w:rsid w:val="00491C45"/>
    <w:rsid w:val="00492E13"/>
    <w:rsid w:val="0049603F"/>
    <w:rsid w:val="00496D95"/>
    <w:rsid w:val="004A330F"/>
    <w:rsid w:val="004A3DA6"/>
    <w:rsid w:val="004A4392"/>
    <w:rsid w:val="004A48C6"/>
    <w:rsid w:val="004A6394"/>
    <w:rsid w:val="004B6879"/>
    <w:rsid w:val="004B766A"/>
    <w:rsid w:val="004C0004"/>
    <w:rsid w:val="004C0C07"/>
    <w:rsid w:val="004C2407"/>
    <w:rsid w:val="004C497F"/>
    <w:rsid w:val="004C53E2"/>
    <w:rsid w:val="004C5671"/>
    <w:rsid w:val="004C789C"/>
    <w:rsid w:val="004D00F0"/>
    <w:rsid w:val="004D09CB"/>
    <w:rsid w:val="004D0E02"/>
    <w:rsid w:val="004D16AB"/>
    <w:rsid w:val="004D2AEC"/>
    <w:rsid w:val="004D7629"/>
    <w:rsid w:val="004D7758"/>
    <w:rsid w:val="004E0355"/>
    <w:rsid w:val="004E0CFF"/>
    <w:rsid w:val="004E1B0F"/>
    <w:rsid w:val="004E372D"/>
    <w:rsid w:val="004E3B3E"/>
    <w:rsid w:val="004E75F7"/>
    <w:rsid w:val="004F19A9"/>
    <w:rsid w:val="004F25D9"/>
    <w:rsid w:val="004F52B6"/>
    <w:rsid w:val="004F5FF3"/>
    <w:rsid w:val="00500C70"/>
    <w:rsid w:val="00503454"/>
    <w:rsid w:val="00506AB4"/>
    <w:rsid w:val="005074BB"/>
    <w:rsid w:val="00511D09"/>
    <w:rsid w:val="00512574"/>
    <w:rsid w:val="00512A80"/>
    <w:rsid w:val="00512E3E"/>
    <w:rsid w:val="0051390E"/>
    <w:rsid w:val="005141DA"/>
    <w:rsid w:val="00521916"/>
    <w:rsid w:val="00531079"/>
    <w:rsid w:val="0053124C"/>
    <w:rsid w:val="00531F22"/>
    <w:rsid w:val="0053270B"/>
    <w:rsid w:val="00534092"/>
    <w:rsid w:val="00541822"/>
    <w:rsid w:val="00541D22"/>
    <w:rsid w:val="0054537C"/>
    <w:rsid w:val="00547389"/>
    <w:rsid w:val="0055470F"/>
    <w:rsid w:val="0055778E"/>
    <w:rsid w:val="0055790B"/>
    <w:rsid w:val="00562CF9"/>
    <w:rsid w:val="0056303D"/>
    <w:rsid w:val="0056325B"/>
    <w:rsid w:val="00563651"/>
    <w:rsid w:val="00563B62"/>
    <w:rsid w:val="00565151"/>
    <w:rsid w:val="0056634C"/>
    <w:rsid w:val="00567B25"/>
    <w:rsid w:val="00567B6D"/>
    <w:rsid w:val="00567F77"/>
    <w:rsid w:val="00570AF3"/>
    <w:rsid w:val="005716FA"/>
    <w:rsid w:val="005764F3"/>
    <w:rsid w:val="005769B8"/>
    <w:rsid w:val="00577F56"/>
    <w:rsid w:val="00581AC1"/>
    <w:rsid w:val="00583343"/>
    <w:rsid w:val="005837AA"/>
    <w:rsid w:val="00585A94"/>
    <w:rsid w:val="00585E41"/>
    <w:rsid w:val="00587392"/>
    <w:rsid w:val="00592E3C"/>
    <w:rsid w:val="00593340"/>
    <w:rsid w:val="005946EC"/>
    <w:rsid w:val="005A174A"/>
    <w:rsid w:val="005A17FC"/>
    <w:rsid w:val="005A1FF2"/>
    <w:rsid w:val="005A32CC"/>
    <w:rsid w:val="005B417D"/>
    <w:rsid w:val="005B451E"/>
    <w:rsid w:val="005B4D4E"/>
    <w:rsid w:val="005B572B"/>
    <w:rsid w:val="005C32DF"/>
    <w:rsid w:val="005C3E76"/>
    <w:rsid w:val="005C4738"/>
    <w:rsid w:val="005C5B5C"/>
    <w:rsid w:val="005C63C0"/>
    <w:rsid w:val="005C79C1"/>
    <w:rsid w:val="005D203A"/>
    <w:rsid w:val="005D2615"/>
    <w:rsid w:val="005D4422"/>
    <w:rsid w:val="005D48F8"/>
    <w:rsid w:val="005D6D86"/>
    <w:rsid w:val="005D7216"/>
    <w:rsid w:val="005E2043"/>
    <w:rsid w:val="005E57DC"/>
    <w:rsid w:val="005E711C"/>
    <w:rsid w:val="005E7BA6"/>
    <w:rsid w:val="005F0FCA"/>
    <w:rsid w:val="005F126D"/>
    <w:rsid w:val="005F172C"/>
    <w:rsid w:val="005F1A2A"/>
    <w:rsid w:val="005F3FB9"/>
    <w:rsid w:val="005F419E"/>
    <w:rsid w:val="005F44EC"/>
    <w:rsid w:val="005F5072"/>
    <w:rsid w:val="005F7B6C"/>
    <w:rsid w:val="00600506"/>
    <w:rsid w:val="00601071"/>
    <w:rsid w:val="00601D33"/>
    <w:rsid w:val="00601EEE"/>
    <w:rsid w:val="006041D8"/>
    <w:rsid w:val="00606DB5"/>
    <w:rsid w:val="006107FA"/>
    <w:rsid w:val="00610D10"/>
    <w:rsid w:val="00613311"/>
    <w:rsid w:val="006136C7"/>
    <w:rsid w:val="006142D0"/>
    <w:rsid w:val="00614FF7"/>
    <w:rsid w:val="00615208"/>
    <w:rsid w:val="006168D2"/>
    <w:rsid w:val="0062114B"/>
    <w:rsid w:val="00623E86"/>
    <w:rsid w:val="0062550F"/>
    <w:rsid w:val="006267A7"/>
    <w:rsid w:val="00626F14"/>
    <w:rsid w:val="00627A88"/>
    <w:rsid w:val="00631438"/>
    <w:rsid w:val="00633528"/>
    <w:rsid w:val="0063422A"/>
    <w:rsid w:val="00634721"/>
    <w:rsid w:val="00636193"/>
    <w:rsid w:val="006377CA"/>
    <w:rsid w:val="00637869"/>
    <w:rsid w:val="006427AB"/>
    <w:rsid w:val="00642C82"/>
    <w:rsid w:val="0064433A"/>
    <w:rsid w:val="0064534D"/>
    <w:rsid w:val="006454CE"/>
    <w:rsid w:val="00646ED9"/>
    <w:rsid w:val="00647817"/>
    <w:rsid w:val="006479EF"/>
    <w:rsid w:val="00651656"/>
    <w:rsid w:val="00651B08"/>
    <w:rsid w:val="00652783"/>
    <w:rsid w:val="00654853"/>
    <w:rsid w:val="00655C73"/>
    <w:rsid w:val="00662086"/>
    <w:rsid w:val="00666D7C"/>
    <w:rsid w:val="00667C9C"/>
    <w:rsid w:val="0067050A"/>
    <w:rsid w:val="00672CDC"/>
    <w:rsid w:val="0067768F"/>
    <w:rsid w:val="00681A11"/>
    <w:rsid w:val="00682565"/>
    <w:rsid w:val="00683299"/>
    <w:rsid w:val="00683F47"/>
    <w:rsid w:val="00685023"/>
    <w:rsid w:val="00685DEE"/>
    <w:rsid w:val="00685E69"/>
    <w:rsid w:val="00690433"/>
    <w:rsid w:val="00690B47"/>
    <w:rsid w:val="00690FA2"/>
    <w:rsid w:val="006A021B"/>
    <w:rsid w:val="006A0C36"/>
    <w:rsid w:val="006A2FAB"/>
    <w:rsid w:val="006A448F"/>
    <w:rsid w:val="006A460B"/>
    <w:rsid w:val="006A50CE"/>
    <w:rsid w:val="006B0203"/>
    <w:rsid w:val="006B6A76"/>
    <w:rsid w:val="006B74F5"/>
    <w:rsid w:val="006B7E5E"/>
    <w:rsid w:val="006C17DE"/>
    <w:rsid w:val="006D002E"/>
    <w:rsid w:val="006D214F"/>
    <w:rsid w:val="006D36FC"/>
    <w:rsid w:val="006D5339"/>
    <w:rsid w:val="006D53D6"/>
    <w:rsid w:val="006D5A38"/>
    <w:rsid w:val="006D7D91"/>
    <w:rsid w:val="006D7F60"/>
    <w:rsid w:val="006E0906"/>
    <w:rsid w:val="006E2A7E"/>
    <w:rsid w:val="006E30E9"/>
    <w:rsid w:val="006F0D27"/>
    <w:rsid w:val="006F15D2"/>
    <w:rsid w:val="006F1D37"/>
    <w:rsid w:val="006F3716"/>
    <w:rsid w:val="006F3F78"/>
    <w:rsid w:val="006F4076"/>
    <w:rsid w:val="00700C35"/>
    <w:rsid w:val="00701150"/>
    <w:rsid w:val="0070160C"/>
    <w:rsid w:val="007025C1"/>
    <w:rsid w:val="0070427E"/>
    <w:rsid w:val="00705DE8"/>
    <w:rsid w:val="0070659E"/>
    <w:rsid w:val="00710E65"/>
    <w:rsid w:val="00710F4E"/>
    <w:rsid w:val="00711785"/>
    <w:rsid w:val="00711831"/>
    <w:rsid w:val="0071364A"/>
    <w:rsid w:val="007139D6"/>
    <w:rsid w:val="00714496"/>
    <w:rsid w:val="0071482D"/>
    <w:rsid w:val="00715FBB"/>
    <w:rsid w:val="00717710"/>
    <w:rsid w:val="0072066C"/>
    <w:rsid w:val="00722FC7"/>
    <w:rsid w:val="00723327"/>
    <w:rsid w:val="00724854"/>
    <w:rsid w:val="00725E50"/>
    <w:rsid w:val="00727A50"/>
    <w:rsid w:val="00727DC0"/>
    <w:rsid w:val="00731900"/>
    <w:rsid w:val="007338A4"/>
    <w:rsid w:val="00733E71"/>
    <w:rsid w:val="007345F2"/>
    <w:rsid w:val="00734A32"/>
    <w:rsid w:val="007364F7"/>
    <w:rsid w:val="00736850"/>
    <w:rsid w:val="00741C48"/>
    <w:rsid w:val="00742D68"/>
    <w:rsid w:val="00743E0D"/>
    <w:rsid w:val="00744276"/>
    <w:rsid w:val="00751071"/>
    <w:rsid w:val="0075108A"/>
    <w:rsid w:val="00753D1D"/>
    <w:rsid w:val="00754CC2"/>
    <w:rsid w:val="00756669"/>
    <w:rsid w:val="0075702F"/>
    <w:rsid w:val="007600E6"/>
    <w:rsid w:val="00762EF0"/>
    <w:rsid w:val="007633F7"/>
    <w:rsid w:val="00764FB6"/>
    <w:rsid w:val="00765D8F"/>
    <w:rsid w:val="007662E6"/>
    <w:rsid w:val="00770565"/>
    <w:rsid w:val="00773CC4"/>
    <w:rsid w:val="007740B1"/>
    <w:rsid w:val="007746AF"/>
    <w:rsid w:val="00774782"/>
    <w:rsid w:val="00776BF6"/>
    <w:rsid w:val="007779FC"/>
    <w:rsid w:val="00782B90"/>
    <w:rsid w:val="007836EA"/>
    <w:rsid w:val="00784A16"/>
    <w:rsid w:val="00787CB7"/>
    <w:rsid w:val="00791F52"/>
    <w:rsid w:val="00794BD5"/>
    <w:rsid w:val="007A25F2"/>
    <w:rsid w:val="007A2C20"/>
    <w:rsid w:val="007A5801"/>
    <w:rsid w:val="007A74A6"/>
    <w:rsid w:val="007B0A8F"/>
    <w:rsid w:val="007B0C00"/>
    <w:rsid w:val="007B0E99"/>
    <w:rsid w:val="007B0EA3"/>
    <w:rsid w:val="007B1501"/>
    <w:rsid w:val="007B38AB"/>
    <w:rsid w:val="007B5053"/>
    <w:rsid w:val="007C1142"/>
    <w:rsid w:val="007C2755"/>
    <w:rsid w:val="007C3EFB"/>
    <w:rsid w:val="007C6C65"/>
    <w:rsid w:val="007C74AA"/>
    <w:rsid w:val="007C7B20"/>
    <w:rsid w:val="007C7D4E"/>
    <w:rsid w:val="007D0929"/>
    <w:rsid w:val="007D2906"/>
    <w:rsid w:val="007D6F86"/>
    <w:rsid w:val="007D6FD1"/>
    <w:rsid w:val="007D7FA0"/>
    <w:rsid w:val="007E160A"/>
    <w:rsid w:val="007E1B7E"/>
    <w:rsid w:val="007E1D5E"/>
    <w:rsid w:val="007E51D9"/>
    <w:rsid w:val="007E5942"/>
    <w:rsid w:val="007E68BB"/>
    <w:rsid w:val="007E6CC4"/>
    <w:rsid w:val="007F3EB3"/>
    <w:rsid w:val="007F4255"/>
    <w:rsid w:val="007F4803"/>
    <w:rsid w:val="008009F0"/>
    <w:rsid w:val="0080176E"/>
    <w:rsid w:val="008032D5"/>
    <w:rsid w:val="008041EE"/>
    <w:rsid w:val="008045EA"/>
    <w:rsid w:val="00806207"/>
    <w:rsid w:val="00806D2F"/>
    <w:rsid w:val="00806F88"/>
    <w:rsid w:val="008110DB"/>
    <w:rsid w:val="00811934"/>
    <w:rsid w:val="00811E49"/>
    <w:rsid w:val="008122AA"/>
    <w:rsid w:val="00812FAC"/>
    <w:rsid w:val="00815628"/>
    <w:rsid w:val="00815C5B"/>
    <w:rsid w:val="00815D1E"/>
    <w:rsid w:val="0081762E"/>
    <w:rsid w:val="00822448"/>
    <w:rsid w:val="00822D7B"/>
    <w:rsid w:val="00822D9F"/>
    <w:rsid w:val="008255E2"/>
    <w:rsid w:val="00827FB1"/>
    <w:rsid w:val="00830929"/>
    <w:rsid w:val="00832237"/>
    <w:rsid w:val="0083226D"/>
    <w:rsid w:val="0083237E"/>
    <w:rsid w:val="0083321B"/>
    <w:rsid w:val="00834D57"/>
    <w:rsid w:val="00835CB8"/>
    <w:rsid w:val="00837624"/>
    <w:rsid w:val="00837F2F"/>
    <w:rsid w:val="008453CE"/>
    <w:rsid w:val="00845840"/>
    <w:rsid w:val="0084706F"/>
    <w:rsid w:val="00850BE0"/>
    <w:rsid w:val="008530B2"/>
    <w:rsid w:val="00853568"/>
    <w:rsid w:val="00853AAC"/>
    <w:rsid w:val="0085494C"/>
    <w:rsid w:val="008565A5"/>
    <w:rsid w:val="008601FF"/>
    <w:rsid w:val="008610E2"/>
    <w:rsid w:val="008631AC"/>
    <w:rsid w:val="0086503B"/>
    <w:rsid w:val="008717B2"/>
    <w:rsid w:val="00872603"/>
    <w:rsid w:val="00872DE6"/>
    <w:rsid w:val="00874DF7"/>
    <w:rsid w:val="00882514"/>
    <w:rsid w:val="00882D1B"/>
    <w:rsid w:val="00882E98"/>
    <w:rsid w:val="00883D0F"/>
    <w:rsid w:val="008844ED"/>
    <w:rsid w:val="008850CF"/>
    <w:rsid w:val="00885EA5"/>
    <w:rsid w:val="00886483"/>
    <w:rsid w:val="00887A99"/>
    <w:rsid w:val="008939D8"/>
    <w:rsid w:val="0089475E"/>
    <w:rsid w:val="008960D6"/>
    <w:rsid w:val="00897047"/>
    <w:rsid w:val="00897557"/>
    <w:rsid w:val="008A173F"/>
    <w:rsid w:val="008A30F0"/>
    <w:rsid w:val="008A3C7F"/>
    <w:rsid w:val="008A5F14"/>
    <w:rsid w:val="008A690E"/>
    <w:rsid w:val="008A75FF"/>
    <w:rsid w:val="008B452B"/>
    <w:rsid w:val="008B53F9"/>
    <w:rsid w:val="008B625D"/>
    <w:rsid w:val="008C1630"/>
    <w:rsid w:val="008C1B7D"/>
    <w:rsid w:val="008C6185"/>
    <w:rsid w:val="008C68F2"/>
    <w:rsid w:val="008C784E"/>
    <w:rsid w:val="008C7AFE"/>
    <w:rsid w:val="008C7C27"/>
    <w:rsid w:val="008C7E2A"/>
    <w:rsid w:val="008D1A3C"/>
    <w:rsid w:val="008D1A41"/>
    <w:rsid w:val="008D4331"/>
    <w:rsid w:val="008D4425"/>
    <w:rsid w:val="008D482A"/>
    <w:rsid w:val="008D4E1A"/>
    <w:rsid w:val="008E2149"/>
    <w:rsid w:val="008E3D04"/>
    <w:rsid w:val="008F13D2"/>
    <w:rsid w:val="008F5101"/>
    <w:rsid w:val="008F6F75"/>
    <w:rsid w:val="008F7534"/>
    <w:rsid w:val="00900140"/>
    <w:rsid w:val="00900496"/>
    <w:rsid w:val="009013F6"/>
    <w:rsid w:val="0090275B"/>
    <w:rsid w:val="00902819"/>
    <w:rsid w:val="00902A4A"/>
    <w:rsid w:val="009035E3"/>
    <w:rsid w:val="009036C2"/>
    <w:rsid w:val="00905915"/>
    <w:rsid w:val="0090607B"/>
    <w:rsid w:val="009065A0"/>
    <w:rsid w:val="0091239B"/>
    <w:rsid w:val="00913D93"/>
    <w:rsid w:val="009141FD"/>
    <w:rsid w:val="00914E58"/>
    <w:rsid w:val="00916EEE"/>
    <w:rsid w:val="00916FFD"/>
    <w:rsid w:val="00921639"/>
    <w:rsid w:val="00921F99"/>
    <w:rsid w:val="00926F3C"/>
    <w:rsid w:val="009303E2"/>
    <w:rsid w:val="00931490"/>
    <w:rsid w:val="00940590"/>
    <w:rsid w:val="00941338"/>
    <w:rsid w:val="00943128"/>
    <w:rsid w:val="0094602D"/>
    <w:rsid w:val="00946073"/>
    <w:rsid w:val="00946A81"/>
    <w:rsid w:val="00950C4C"/>
    <w:rsid w:val="00953200"/>
    <w:rsid w:val="00953407"/>
    <w:rsid w:val="0095478A"/>
    <w:rsid w:val="00955C4A"/>
    <w:rsid w:val="00957CBC"/>
    <w:rsid w:val="0096055C"/>
    <w:rsid w:val="00961ACB"/>
    <w:rsid w:val="00961CC4"/>
    <w:rsid w:val="00961D6C"/>
    <w:rsid w:val="00963048"/>
    <w:rsid w:val="00964629"/>
    <w:rsid w:val="00965A47"/>
    <w:rsid w:val="009706D0"/>
    <w:rsid w:val="0097169B"/>
    <w:rsid w:val="00971883"/>
    <w:rsid w:val="00972217"/>
    <w:rsid w:val="00973488"/>
    <w:rsid w:val="009734F0"/>
    <w:rsid w:val="0097550E"/>
    <w:rsid w:val="009806F7"/>
    <w:rsid w:val="00980870"/>
    <w:rsid w:val="009824FC"/>
    <w:rsid w:val="009829F7"/>
    <w:rsid w:val="00983722"/>
    <w:rsid w:val="00990D5D"/>
    <w:rsid w:val="0099149B"/>
    <w:rsid w:val="00992C93"/>
    <w:rsid w:val="00993EF0"/>
    <w:rsid w:val="00993F18"/>
    <w:rsid w:val="009956A6"/>
    <w:rsid w:val="0099623B"/>
    <w:rsid w:val="00996FFD"/>
    <w:rsid w:val="009A08E0"/>
    <w:rsid w:val="009A2F0C"/>
    <w:rsid w:val="009A44CD"/>
    <w:rsid w:val="009A4D7D"/>
    <w:rsid w:val="009A7662"/>
    <w:rsid w:val="009B11ED"/>
    <w:rsid w:val="009B1796"/>
    <w:rsid w:val="009B3552"/>
    <w:rsid w:val="009B36A0"/>
    <w:rsid w:val="009B4E40"/>
    <w:rsid w:val="009B672F"/>
    <w:rsid w:val="009C214C"/>
    <w:rsid w:val="009C2F89"/>
    <w:rsid w:val="009C3E8D"/>
    <w:rsid w:val="009C5579"/>
    <w:rsid w:val="009C5CCE"/>
    <w:rsid w:val="009C6094"/>
    <w:rsid w:val="009C62C9"/>
    <w:rsid w:val="009C64CB"/>
    <w:rsid w:val="009C678C"/>
    <w:rsid w:val="009C71C8"/>
    <w:rsid w:val="009C7F81"/>
    <w:rsid w:val="009D1847"/>
    <w:rsid w:val="009D3184"/>
    <w:rsid w:val="009E0195"/>
    <w:rsid w:val="009E065A"/>
    <w:rsid w:val="009E2A32"/>
    <w:rsid w:val="009E3B2A"/>
    <w:rsid w:val="009E4EA9"/>
    <w:rsid w:val="009E5489"/>
    <w:rsid w:val="009E56BE"/>
    <w:rsid w:val="009E6CEE"/>
    <w:rsid w:val="009E6E4B"/>
    <w:rsid w:val="009F042B"/>
    <w:rsid w:val="009F07C9"/>
    <w:rsid w:val="009F3D41"/>
    <w:rsid w:val="009F4462"/>
    <w:rsid w:val="009F528A"/>
    <w:rsid w:val="009F54F2"/>
    <w:rsid w:val="00A00268"/>
    <w:rsid w:val="00A009F2"/>
    <w:rsid w:val="00A02EDC"/>
    <w:rsid w:val="00A0641E"/>
    <w:rsid w:val="00A0756C"/>
    <w:rsid w:val="00A128FE"/>
    <w:rsid w:val="00A13F82"/>
    <w:rsid w:val="00A1432B"/>
    <w:rsid w:val="00A1491C"/>
    <w:rsid w:val="00A156BA"/>
    <w:rsid w:val="00A1648C"/>
    <w:rsid w:val="00A16688"/>
    <w:rsid w:val="00A20B18"/>
    <w:rsid w:val="00A212E3"/>
    <w:rsid w:val="00A213B0"/>
    <w:rsid w:val="00A217AF"/>
    <w:rsid w:val="00A23BD2"/>
    <w:rsid w:val="00A25205"/>
    <w:rsid w:val="00A256E1"/>
    <w:rsid w:val="00A25EF8"/>
    <w:rsid w:val="00A25FD8"/>
    <w:rsid w:val="00A2789B"/>
    <w:rsid w:val="00A31479"/>
    <w:rsid w:val="00A315CB"/>
    <w:rsid w:val="00A31BD0"/>
    <w:rsid w:val="00A31D11"/>
    <w:rsid w:val="00A32A85"/>
    <w:rsid w:val="00A3359F"/>
    <w:rsid w:val="00A337BB"/>
    <w:rsid w:val="00A34627"/>
    <w:rsid w:val="00A358AB"/>
    <w:rsid w:val="00A358D6"/>
    <w:rsid w:val="00A37CF3"/>
    <w:rsid w:val="00A4093D"/>
    <w:rsid w:val="00A416E3"/>
    <w:rsid w:val="00A44D4F"/>
    <w:rsid w:val="00A4554B"/>
    <w:rsid w:val="00A45BCD"/>
    <w:rsid w:val="00A46C6F"/>
    <w:rsid w:val="00A46D12"/>
    <w:rsid w:val="00A4744C"/>
    <w:rsid w:val="00A47F72"/>
    <w:rsid w:val="00A524AF"/>
    <w:rsid w:val="00A53369"/>
    <w:rsid w:val="00A53C87"/>
    <w:rsid w:val="00A54C3F"/>
    <w:rsid w:val="00A5603D"/>
    <w:rsid w:val="00A56296"/>
    <w:rsid w:val="00A600F9"/>
    <w:rsid w:val="00A6048F"/>
    <w:rsid w:val="00A610B6"/>
    <w:rsid w:val="00A6269C"/>
    <w:rsid w:val="00A634B1"/>
    <w:rsid w:val="00A6622B"/>
    <w:rsid w:val="00A70E70"/>
    <w:rsid w:val="00A70FA6"/>
    <w:rsid w:val="00A7183E"/>
    <w:rsid w:val="00A73943"/>
    <w:rsid w:val="00A74439"/>
    <w:rsid w:val="00A7537B"/>
    <w:rsid w:val="00A759FC"/>
    <w:rsid w:val="00A8428D"/>
    <w:rsid w:val="00A84A63"/>
    <w:rsid w:val="00A863DD"/>
    <w:rsid w:val="00A86D33"/>
    <w:rsid w:val="00A87782"/>
    <w:rsid w:val="00A950ED"/>
    <w:rsid w:val="00A9740D"/>
    <w:rsid w:val="00A975C8"/>
    <w:rsid w:val="00A97D69"/>
    <w:rsid w:val="00AA100E"/>
    <w:rsid w:val="00AA143C"/>
    <w:rsid w:val="00AA1A71"/>
    <w:rsid w:val="00AA291C"/>
    <w:rsid w:val="00AA2C2E"/>
    <w:rsid w:val="00AA2CF0"/>
    <w:rsid w:val="00AA7BD9"/>
    <w:rsid w:val="00AB1DF7"/>
    <w:rsid w:val="00AB365C"/>
    <w:rsid w:val="00AB3FCC"/>
    <w:rsid w:val="00AB40CB"/>
    <w:rsid w:val="00AB4364"/>
    <w:rsid w:val="00AB55ED"/>
    <w:rsid w:val="00AB56C0"/>
    <w:rsid w:val="00AB5F23"/>
    <w:rsid w:val="00AB6434"/>
    <w:rsid w:val="00AB6662"/>
    <w:rsid w:val="00AB6E1B"/>
    <w:rsid w:val="00AC364D"/>
    <w:rsid w:val="00AC4A7C"/>
    <w:rsid w:val="00AC4D9C"/>
    <w:rsid w:val="00AC5611"/>
    <w:rsid w:val="00AD07EB"/>
    <w:rsid w:val="00AD3125"/>
    <w:rsid w:val="00AD3E17"/>
    <w:rsid w:val="00AD4089"/>
    <w:rsid w:val="00AD54EE"/>
    <w:rsid w:val="00AD7325"/>
    <w:rsid w:val="00AE078E"/>
    <w:rsid w:val="00AE32AF"/>
    <w:rsid w:val="00AE67FE"/>
    <w:rsid w:val="00AE68F7"/>
    <w:rsid w:val="00AF03D4"/>
    <w:rsid w:val="00AF1991"/>
    <w:rsid w:val="00B0031B"/>
    <w:rsid w:val="00B02155"/>
    <w:rsid w:val="00B0393A"/>
    <w:rsid w:val="00B039C6"/>
    <w:rsid w:val="00B05E81"/>
    <w:rsid w:val="00B06821"/>
    <w:rsid w:val="00B1060C"/>
    <w:rsid w:val="00B10B47"/>
    <w:rsid w:val="00B121C1"/>
    <w:rsid w:val="00B1425B"/>
    <w:rsid w:val="00B159D4"/>
    <w:rsid w:val="00B171EE"/>
    <w:rsid w:val="00B17E6D"/>
    <w:rsid w:val="00B20AC9"/>
    <w:rsid w:val="00B21BF6"/>
    <w:rsid w:val="00B2226E"/>
    <w:rsid w:val="00B245FB"/>
    <w:rsid w:val="00B24B0B"/>
    <w:rsid w:val="00B25F89"/>
    <w:rsid w:val="00B31696"/>
    <w:rsid w:val="00B31A5F"/>
    <w:rsid w:val="00B3233F"/>
    <w:rsid w:val="00B33F4E"/>
    <w:rsid w:val="00B341E1"/>
    <w:rsid w:val="00B3549B"/>
    <w:rsid w:val="00B35701"/>
    <w:rsid w:val="00B41906"/>
    <w:rsid w:val="00B423E3"/>
    <w:rsid w:val="00B457CF"/>
    <w:rsid w:val="00B463A3"/>
    <w:rsid w:val="00B50D15"/>
    <w:rsid w:val="00B51223"/>
    <w:rsid w:val="00B5221E"/>
    <w:rsid w:val="00B566AD"/>
    <w:rsid w:val="00B57CE4"/>
    <w:rsid w:val="00B625B1"/>
    <w:rsid w:val="00B62B75"/>
    <w:rsid w:val="00B62FB4"/>
    <w:rsid w:val="00B65A46"/>
    <w:rsid w:val="00B65BFC"/>
    <w:rsid w:val="00B67279"/>
    <w:rsid w:val="00B6742C"/>
    <w:rsid w:val="00B674EA"/>
    <w:rsid w:val="00B741FB"/>
    <w:rsid w:val="00B75CEE"/>
    <w:rsid w:val="00B770D8"/>
    <w:rsid w:val="00B7758A"/>
    <w:rsid w:val="00B779DB"/>
    <w:rsid w:val="00B8204C"/>
    <w:rsid w:val="00B861D4"/>
    <w:rsid w:val="00B8736F"/>
    <w:rsid w:val="00B91082"/>
    <w:rsid w:val="00B913C0"/>
    <w:rsid w:val="00B919F4"/>
    <w:rsid w:val="00B93BD6"/>
    <w:rsid w:val="00B95D15"/>
    <w:rsid w:val="00B966A8"/>
    <w:rsid w:val="00BA0D71"/>
    <w:rsid w:val="00BA2431"/>
    <w:rsid w:val="00BA2881"/>
    <w:rsid w:val="00BA59FA"/>
    <w:rsid w:val="00BA5E61"/>
    <w:rsid w:val="00BA701E"/>
    <w:rsid w:val="00BB0D68"/>
    <w:rsid w:val="00BB0F46"/>
    <w:rsid w:val="00BB1B09"/>
    <w:rsid w:val="00BB2B3D"/>
    <w:rsid w:val="00BB2FEC"/>
    <w:rsid w:val="00BC0914"/>
    <w:rsid w:val="00BC3FB8"/>
    <w:rsid w:val="00BC4867"/>
    <w:rsid w:val="00BC6335"/>
    <w:rsid w:val="00BC72CB"/>
    <w:rsid w:val="00BC7F45"/>
    <w:rsid w:val="00BD055D"/>
    <w:rsid w:val="00BD2D86"/>
    <w:rsid w:val="00BD4075"/>
    <w:rsid w:val="00BD416A"/>
    <w:rsid w:val="00BD43F3"/>
    <w:rsid w:val="00BD4BBF"/>
    <w:rsid w:val="00BD4C44"/>
    <w:rsid w:val="00BD5BC8"/>
    <w:rsid w:val="00BE0F70"/>
    <w:rsid w:val="00BE15DF"/>
    <w:rsid w:val="00BE5BC1"/>
    <w:rsid w:val="00BE5CFC"/>
    <w:rsid w:val="00BE5FAE"/>
    <w:rsid w:val="00BE75C7"/>
    <w:rsid w:val="00BF1704"/>
    <w:rsid w:val="00BF2BF3"/>
    <w:rsid w:val="00BF5C0C"/>
    <w:rsid w:val="00BF7364"/>
    <w:rsid w:val="00C058C6"/>
    <w:rsid w:val="00C1035C"/>
    <w:rsid w:val="00C10E78"/>
    <w:rsid w:val="00C11A43"/>
    <w:rsid w:val="00C136BF"/>
    <w:rsid w:val="00C14ABD"/>
    <w:rsid w:val="00C15AC4"/>
    <w:rsid w:val="00C165EA"/>
    <w:rsid w:val="00C215CC"/>
    <w:rsid w:val="00C224C2"/>
    <w:rsid w:val="00C226CA"/>
    <w:rsid w:val="00C22EA1"/>
    <w:rsid w:val="00C23864"/>
    <w:rsid w:val="00C24448"/>
    <w:rsid w:val="00C27380"/>
    <w:rsid w:val="00C27981"/>
    <w:rsid w:val="00C331F6"/>
    <w:rsid w:val="00C34427"/>
    <w:rsid w:val="00C34B4F"/>
    <w:rsid w:val="00C35B29"/>
    <w:rsid w:val="00C37EF2"/>
    <w:rsid w:val="00C4081D"/>
    <w:rsid w:val="00C41A45"/>
    <w:rsid w:val="00C43DE1"/>
    <w:rsid w:val="00C4474B"/>
    <w:rsid w:val="00C4584E"/>
    <w:rsid w:val="00C469F7"/>
    <w:rsid w:val="00C47C88"/>
    <w:rsid w:val="00C47DE3"/>
    <w:rsid w:val="00C510C2"/>
    <w:rsid w:val="00C529B6"/>
    <w:rsid w:val="00C53337"/>
    <w:rsid w:val="00C5524F"/>
    <w:rsid w:val="00C57CF5"/>
    <w:rsid w:val="00C602D6"/>
    <w:rsid w:val="00C61459"/>
    <w:rsid w:val="00C61CCE"/>
    <w:rsid w:val="00C625C8"/>
    <w:rsid w:val="00C67296"/>
    <w:rsid w:val="00C70B2E"/>
    <w:rsid w:val="00C71A2B"/>
    <w:rsid w:val="00C73D3E"/>
    <w:rsid w:val="00C75272"/>
    <w:rsid w:val="00C7666D"/>
    <w:rsid w:val="00C80534"/>
    <w:rsid w:val="00C80C27"/>
    <w:rsid w:val="00C810E1"/>
    <w:rsid w:val="00C81736"/>
    <w:rsid w:val="00C84CA7"/>
    <w:rsid w:val="00C8641C"/>
    <w:rsid w:val="00C96053"/>
    <w:rsid w:val="00CA0870"/>
    <w:rsid w:val="00CA0B71"/>
    <w:rsid w:val="00CA1446"/>
    <w:rsid w:val="00CA1899"/>
    <w:rsid w:val="00CA1EA5"/>
    <w:rsid w:val="00CA2CCB"/>
    <w:rsid w:val="00CA6431"/>
    <w:rsid w:val="00CA731F"/>
    <w:rsid w:val="00CB025B"/>
    <w:rsid w:val="00CB1594"/>
    <w:rsid w:val="00CB4C85"/>
    <w:rsid w:val="00CB4C9D"/>
    <w:rsid w:val="00CB5DE7"/>
    <w:rsid w:val="00CC26A7"/>
    <w:rsid w:val="00CC2B41"/>
    <w:rsid w:val="00CC387E"/>
    <w:rsid w:val="00CC43CF"/>
    <w:rsid w:val="00CC5370"/>
    <w:rsid w:val="00CC630E"/>
    <w:rsid w:val="00CC6EF7"/>
    <w:rsid w:val="00CD12AD"/>
    <w:rsid w:val="00CD1DA3"/>
    <w:rsid w:val="00CD3813"/>
    <w:rsid w:val="00CD3E1B"/>
    <w:rsid w:val="00CD4AC8"/>
    <w:rsid w:val="00CE1085"/>
    <w:rsid w:val="00CE573D"/>
    <w:rsid w:val="00CF0D0B"/>
    <w:rsid w:val="00CF1204"/>
    <w:rsid w:val="00CF6844"/>
    <w:rsid w:val="00CF6CE9"/>
    <w:rsid w:val="00D01C9A"/>
    <w:rsid w:val="00D0377A"/>
    <w:rsid w:val="00D049C1"/>
    <w:rsid w:val="00D05149"/>
    <w:rsid w:val="00D1250F"/>
    <w:rsid w:val="00D1274C"/>
    <w:rsid w:val="00D1366C"/>
    <w:rsid w:val="00D14D2A"/>
    <w:rsid w:val="00D17822"/>
    <w:rsid w:val="00D23C3F"/>
    <w:rsid w:val="00D2797C"/>
    <w:rsid w:val="00D30621"/>
    <w:rsid w:val="00D34A01"/>
    <w:rsid w:val="00D351B5"/>
    <w:rsid w:val="00D37E6D"/>
    <w:rsid w:val="00D4069A"/>
    <w:rsid w:val="00D40B0E"/>
    <w:rsid w:val="00D41D48"/>
    <w:rsid w:val="00D41E4E"/>
    <w:rsid w:val="00D43465"/>
    <w:rsid w:val="00D44A1E"/>
    <w:rsid w:val="00D50A2F"/>
    <w:rsid w:val="00D5119E"/>
    <w:rsid w:val="00D546F6"/>
    <w:rsid w:val="00D57F56"/>
    <w:rsid w:val="00D6012C"/>
    <w:rsid w:val="00D6212F"/>
    <w:rsid w:val="00D62EAD"/>
    <w:rsid w:val="00D64FD0"/>
    <w:rsid w:val="00D67883"/>
    <w:rsid w:val="00D67B85"/>
    <w:rsid w:val="00D72CE2"/>
    <w:rsid w:val="00D741C3"/>
    <w:rsid w:val="00D74DFD"/>
    <w:rsid w:val="00D75633"/>
    <w:rsid w:val="00D75D98"/>
    <w:rsid w:val="00D773A1"/>
    <w:rsid w:val="00D77D8A"/>
    <w:rsid w:val="00D82807"/>
    <w:rsid w:val="00D8666A"/>
    <w:rsid w:val="00D871EA"/>
    <w:rsid w:val="00D87BE0"/>
    <w:rsid w:val="00D87EE7"/>
    <w:rsid w:val="00D9113E"/>
    <w:rsid w:val="00D93EEC"/>
    <w:rsid w:val="00D94B15"/>
    <w:rsid w:val="00D95460"/>
    <w:rsid w:val="00D9608F"/>
    <w:rsid w:val="00DA2F3A"/>
    <w:rsid w:val="00DA4ED1"/>
    <w:rsid w:val="00DA5042"/>
    <w:rsid w:val="00DA5233"/>
    <w:rsid w:val="00DA68BA"/>
    <w:rsid w:val="00DA7268"/>
    <w:rsid w:val="00DB0B1C"/>
    <w:rsid w:val="00DB28DC"/>
    <w:rsid w:val="00DB495D"/>
    <w:rsid w:val="00DB4B3B"/>
    <w:rsid w:val="00DB4DF9"/>
    <w:rsid w:val="00DB4EED"/>
    <w:rsid w:val="00DB50B3"/>
    <w:rsid w:val="00DB5718"/>
    <w:rsid w:val="00DB6AB4"/>
    <w:rsid w:val="00DB73C5"/>
    <w:rsid w:val="00DC1FB3"/>
    <w:rsid w:val="00DC563F"/>
    <w:rsid w:val="00DC5F2D"/>
    <w:rsid w:val="00DD1B37"/>
    <w:rsid w:val="00DD695B"/>
    <w:rsid w:val="00DD76A0"/>
    <w:rsid w:val="00DE0351"/>
    <w:rsid w:val="00DE13FF"/>
    <w:rsid w:val="00DE325C"/>
    <w:rsid w:val="00DE37FD"/>
    <w:rsid w:val="00DE3975"/>
    <w:rsid w:val="00DE3C0D"/>
    <w:rsid w:val="00DE3F9C"/>
    <w:rsid w:val="00DE5323"/>
    <w:rsid w:val="00DE5694"/>
    <w:rsid w:val="00DE6166"/>
    <w:rsid w:val="00DE6880"/>
    <w:rsid w:val="00DE72ED"/>
    <w:rsid w:val="00DE7ECC"/>
    <w:rsid w:val="00DF1728"/>
    <w:rsid w:val="00DF24ED"/>
    <w:rsid w:val="00DF3CF7"/>
    <w:rsid w:val="00DF7936"/>
    <w:rsid w:val="00E007E1"/>
    <w:rsid w:val="00E00EA0"/>
    <w:rsid w:val="00E0164B"/>
    <w:rsid w:val="00E02F9C"/>
    <w:rsid w:val="00E033D8"/>
    <w:rsid w:val="00E04335"/>
    <w:rsid w:val="00E04CDF"/>
    <w:rsid w:val="00E16B22"/>
    <w:rsid w:val="00E2178A"/>
    <w:rsid w:val="00E21E00"/>
    <w:rsid w:val="00E243AD"/>
    <w:rsid w:val="00E246ED"/>
    <w:rsid w:val="00E26729"/>
    <w:rsid w:val="00E30960"/>
    <w:rsid w:val="00E30B9E"/>
    <w:rsid w:val="00E310DE"/>
    <w:rsid w:val="00E31528"/>
    <w:rsid w:val="00E31F46"/>
    <w:rsid w:val="00E31FE1"/>
    <w:rsid w:val="00E32068"/>
    <w:rsid w:val="00E33B86"/>
    <w:rsid w:val="00E3428E"/>
    <w:rsid w:val="00E3542D"/>
    <w:rsid w:val="00E35C35"/>
    <w:rsid w:val="00E36830"/>
    <w:rsid w:val="00E407EF"/>
    <w:rsid w:val="00E41BD2"/>
    <w:rsid w:val="00E42080"/>
    <w:rsid w:val="00E43024"/>
    <w:rsid w:val="00E45484"/>
    <w:rsid w:val="00E460DB"/>
    <w:rsid w:val="00E46187"/>
    <w:rsid w:val="00E46A20"/>
    <w:rsid w:val="00E471DC"/>
    <w:rsid w:val="00E514BD"/>
    <w:rsid w:val="00E534FF"/>
    <w:rsid w:val="00E546A2"/>
    <w:rsid w:val="00E57ADB"/>
    <w:rsid w:val="00E60049"/>
    <w:rsid w:val="00E634DA"/>
    <w:rsid w:val="00E6401E"/>
    <w:rsid w:val="00E64370"/>
    <w:rsid w:val="00E65C62"/>
    <w:rsid w:val="00E67CFC"/>
    <w:rsid w:val="00E7009C"/>
    <w:rsid w:val="00E70C24"/>
    <w:rsid w:val="00E7206A"/>
    <w:rsid w:val="00E72797"/>
    <w:rsid w:val="00E736D4"/>
    <w:rsid w:val="00E73ED6"/>
    <w:rsid w:val="00E747F6"/>
    <w:rsid w:val="00E7499C"/>
    <w:rsid w:val="00E80A16"/>
    <w:rsid w:val="00E81AE8"/>
    <w:rsid w:val="00E81DC6"/>
    <w:rsid w:val="00E843F3"/>
    <w:rsid w:val="00E8569F"/>
    <w:rsid w:val="00E85C1A"/>
    <w:rsid w:val="00E87978"/>
    <w:rsid w:val="00E87F51"/>
    <w:rsid w:val="00E90AFA"/>
    <w:rsid w:val="00E93540"/>
    <w:rsid w:val="00E95428"/>
    <w:rsid w:val="00E957E1"/>
    <w:rsid w:val="00E96C83"/>
    <w:rsid w:val="00E9708F"/>
    <w:rsid w:val="00EA14A4"/>
    <w:rsid w:val="00EA3DF8"/>
    <w:rsid w:val="00EA45AB"/>
    <w:rsid w:val="00EA46A8"/>
    <w:rsid w:val="00EA4B8E"/>
    <w:rsid w:val="00EB03FF"/>
    <w:rsid w:val="00EB2C3A"/>
    <w:rsid w:val="00EB7614"/>
    <w:rsid w:val="00EC0ABE"/>
    <w:rsid w:val="00EC0DAD"/>
    <w:rsid w:val="00EC254B"/>
    <w:rsid w:val="00EC4A56"/>
    <w:rsid w:val="00EC73EA"/>
    <w:rsid w:val="00ED25B7"/>
    <w:rsid w:val="00ED3DDD"/>
    <w:rsid w:val="00ED3EE6"/>
    <w:rsid w:val="00ED413E"/>
    <w:rsid w:val="00ED5323"/>
    <w:rsid w:val="00ED54CE"/>
    <w:rsid w:val="00ED57F1"/>
    <w:rsid w:val="00ED5D66"/>
    <w:rsid w:val="00ED697D"/>
    <w:rsid w:val="00ED75BC"/>
    <w:rsid w:val="00EE09A2"/>
    <w:rsid w:val="00EE11A8"/>
    <w:rsid w:val="00EE30A4"/>
    <w:rsid w:val="00EE3CFA"/>
    <w:rsid w:val="00EE3EB8"/>
    <w:rsid w:val="00EE43A4"/>
    <w:rsid w:val="00EE63B4"/>
    <w:rsid w:val="00EE7CB5"/>
    <w:rsid w:val="00EF00BE"/>
    <w:rsid w:val="00EF09AE"/>
    <w:rsid w:val="00EF1A1B"/>
    <w:rsid w:val="00EF232F"/>
    <w:rsid w:val="00EF291D"/>
    <w:rsid w:val="00EF3EFD"/>
    <w:rsid w:val="00EF4E47"/>
    <w:rsid w:val="00EF5A3D"/>
    <w:rsid w:val="00EF69F4"/>
    <w:rsid w:val="00F00C2D"/>
    <w:rsid w:val="00F04DCB"/>
    <w:rsid w:val="00F05047"/>
    <w:rsid w:val="00F07288"/>
    <w:rsid w:val="00F10739"/>
    <w:rsid w:val="00F10E8B"/>
    <w:rsid w:val="00F13DB9"/>
    <w:rsid w:val="00F14DA8"/>
    <w:rsid w:val="00F15495"/>
    <w:rsid w:val="00F16000"/>
    <w:rsid w:val="00F16860"/>
    <w:rsid w:val="00F16BAA"/>
    <w:rsid w:val="00F16FA5"/>
    <w:rsid w:val="00F217CC"/>
    <w:rsid w:val="00F2200E"/>
    <w:rsid w:val="00F22675"/>
    <w:rsid w:val="00F253EA"/>
    <w:rsid w:val="00F253EB"/>
    <w:rsid w:val="00F265A9"/>
    <w:rsid w:val="00F332B6"/>
    <w:rsid w:val="00F35D91"/>
    <w:rsid w:val="00F35F8F"/>
    <w:rsid w:val="00F37305"/>
    <w:rsid w:val="00F4249C"/>
    <w:rsid w:val="00F44965"/>
    <w:rsid w:val="00F450E7"/>
    <w:rsid w:val="00F454C2"/>
    <w:rsid w:val="00F461CB"/>
    <w:rsid w:val="00F479E3"/>
    <w:rsid w:val="00F517F1"/>
    <w:rsid w:val="00F51C47"/>
    <w:rsid w:val="00F54D82"/>
    <w:rsid w:val="00F56766"/>
    <w:rsid w:val="00F57A2F"/>
    <w:rsid w:val="00F57A6F"/>
    <w:rsid w:val="00F60B43"/>
    <w:rsid w:val="00F60BD9"/>
    <w:rsid w:val="00F60CBB"/>
    <w:rsid w:val="00F617BC"/>
    <w:rsid w:val="00F61D8B"/>
    <w:rsid w:val="00F649A0"/>
    <w:rsid w:val="00F6506F"/>
    <w:rsid w:val="00F67DDF"/>
    <w:rsid w:val="00F7264D"/>
    <w:rsid w:val="00F733BF"/>
    <w:rsid w:val="00F73E3A"/>
    <w:rsid w:val="00F74790"/>
    <w:rsid w:val="00F768B9"/>
    <w:rsid w:val="00F80A30"/>
    <w:rsid w:val="00F82A5E"/>
    <w:rsid w:val="00F842AD"/>
    <w:rsid w:val="00F843E3"/>
    <w:rsid w:val="00F84F7A"/>
    <w:rsid w:val="00F85C2E"/>
    <w:rsid w:val="00F85DF7"/>
    <w:rsid w:val="00F861A1"/>
    <w:rsid w:val="00F90C13"/>
    <w:rsid w:val="00F926AC"/>
    <w:rsid w:val="00F92926"/>
    <w:rsid w:val="00F9363E"/>
    <w:rsid w:val="00F94084"/>
    <w:rsid w:val="00F942CB"/>
    <w:rsid w:val="00F94C65"/>
    <w:rsid w:val="00F957D8"/>
    <w:rsid w:val="00F97D20"/>
    <w:rsid w:val="00F97DA0"/>
    <w:rsid w:val="00FA1837"/>
    <w:rsid w:val="00FA4C10"/>
    <w:rsid w:val="00FA535F"/>
    <w:rsid w:val="00FA6A95"/>
    <w:rsid w:val="00FB0350"/>
    <w:rsid w:val="00FB11D2"/>
    <w:rsid w:val="00FB3645"/>
    <w:rsid w:val="00FB4683"/>
    <w:rsid w:val="00FB545F"/>
    <w:rsid w:val="00FB7606"/>
    <w:rsid w:val="00FC2010"/>
    <w:rsid w:val="00FC3E66"/>
    <w:rsid w:val="00FD1FB6"/>
    <w:rsid w:val="00FD317F"/>
    <w:rsid w:val="00FD40D8"/>
    <w:rsid w:val="00FD4985"/>
    <w:rsid w:val="00FD769F"/>
    <w:rsid w:val="00FD77E7"/>
    <w:rsid w:val="00FE1BDF"/>
    <w:rsid w:val="00FE22C9"/>
    <w:rsid w:val="00FE23E4"/>
    <w:rsid w:val="00FE2CE0"/>
    <w:rsid w:val="00FE33D1"/>
    <w:rsid w:val="00FE3B2F"/>
    <w:rsid w:val="00FE45D8"/>
    <w:rsid w:val="00FE5BDD"/>
    <w:rsid w:val="00FF13C6"/>
    <w:rsid w:val="00FF2A70"/>
    <w:rsid w:val="00FF3265"/>
    <w:rsid w:val="00FF5C0D"/>
    <w:rsid w:val="00FF69B9"/>
    <w:rsid w:val="00FF7CAC"/>
    <w:rsid w:val="02CA78D2"/>
    <w:rsid w:val="086A89C7"/>
    <w:rsid w:val="4FA264EE"/>
    <w:rsid w:val="64BAAC4B"/>
    <w:rsid w:val="785B55D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48F4942"/>
  <w15:chartTrackingRefBased/>
  <w15:docId w15:val="{C87D6BA4-CC68-46E8-9EC0-3E6D14C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link w:val="Heading7Char"/>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aliases w:val="fo,footnote text,ft"/>
    <w:basedOn w:val="Normal"/>
    <w:link w:val="FootnoteTextChar"/>
    <w:uiPriority w:val="99"/>
    <w:unhideWhenUsed/>
    <w:rsid w:val="00392111"/>
    <w:rPr>
      <w:sz w:val="20"/>
      <w:szCs w:val="20"/>
      <w:lang w:val="x-none" w:eastAsia="x-none"/>
    </w:rPr>
  </w:style>
  <w:style w:type="character" w:customStyle="1" w:styleId="FootnoteTextChar">
    <w:name w:val="Footnote Text Char"/>
    <w:aliases w:val="fo Char,footnote text Char,ft Char"/>
    <w:link w:val="FootnoteText"/>
    <w:uiPriority w:val="99"/>
    <w:rsid w:val="00392111"/>
    <w:rPr>
      <w:rFonts w:ascii="Times New Roman" w:eastAsia="Times New Roman" w:hAnsi="Times New Roman"/>
    </w:rPr>
  </w:style>
  <w:style w:type="character" w:styleId="FootnoteReference">
    <w:name w:val="footnote reference"/>
    <w:aliases w:val="fr"/>
    <w:uiPriority w:val="99"/>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105F6A"/>
    <w:pPr>
      <w:numPr>
        <w:numId w:val="11"/>
      </w:numPr>
      <w:tabs>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styleId="Revision">
    <w:name w:val="Revision"/>
    <w:hidden/>
    <w:uiPriority w:val="99"/>
    <w:semiHidden/>
    <w:rsid w:val="00105F6A"/>
    <w:rPr>
      <w:rFonts w:ascii="Times New Roman" w:eastAsia="Times New Roman" w:hAnsi="Times New Roman"/>
      <w:sz w:val="24"/>
      <w:szCs w:val="24"/>
    </w:rPr>
  </w:style>
  <w:style w:type="character" w:styleId="Strong">
    <w:name w:val="Strong"/>
    <w:uiPriority w:val="22"/>
    <w:qFormat/>
    <w:rsid w:val="002317FA"/>
    <w:rPr>
      <w:b/>
      <w:bCs/>
    </w:rPr>
  </w:style>
  <w:style w:type="paragraph" w:styleId="HTMLPreformatted">
    <w:name w:val="HTML Preformatted"/>
    <w:basedOn w:val="Normal"/>
    <w:link w:val="HTMLPreformattedChar"/>
    <w:uiPriority w:val="99"/>
    <w:unhideWhenUsed/>
    <w:rsid w:val="00231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2317FA"/>
    <w:rPr>
      <w:rFonts w:ascii="Courier New" w:eastAsia="Times New Roman" w:hAnsi="Courier New" w:cs="Courier New"/>
    </w:rPr>
  </w:style>
  <w:style w:type="character" w:customStyle="1" w:styleId="sr-only">
    <w:name w:val="sr-only"/>
    <w:rsid w:val="002317FA"/>
  </w:style>
  <w:style w:type="character" w:customStyle="1" w:styleId="Footer10">
    <w:name w:val="Footer1_0"/>
    <w:rsid w:val="002B188B"/>
  </w:style>
  <w:style w:type="character" w:styleId="Emphasis">
    <w:name w:val="Emphasis"/>
    <w:uiPriority w:val="20"/>
    <w:qFormat/>
    <w:rsid w:val="006267A7"/>
    <w:rPr>
      <w:i/>
      <w:iCs/>
    </w:rPr>
  </w:style>
  <w:style w:type="character" w:styleId="UnresolvedMention">
    <w:name w:val="Unresolved Mention"/>
    <w:uiPriority w:val="99"/>
    <w:unhideWhenUsed/>
    <w:rsid w:val="000409D3"/>
    <w:rPr>
      <w:color w:val="605E5C"/>
      <w:shd w:val="clear" w:color="auto" w:fill="E1DFDD"/>
    </w:rPr>
  </w:style>
  <w:style w:type="paragraph" w:customStyle="1" w:styleId="Default">
    <w:name w:val="Default"/>
    <w:rsid w:val="00BC0914"/>
    <w:pPr>
      <w:autoSpaceDE w:val="0"/>
      <w:autoSpaceDN w:val="0"/>
      <w:adjustRightInd w:val="0"/>
    </w:pPr>
    <w:rPr>
      <w:rFonts w:ascii="Times New Roman" w:hAnsi="Times New Roman"/>
      <w:color w:val="000000"/>
      <w:sz w:val="24"/>
      <w:szCs w:val="24"/>
    </w:rPr>
  </w:style>
  <w:style w:type="paragraph" w:customStyle="1" w:styleId="BodyText1">
    <w:name w:val="Body Text1"/>
    <w:basedOn w:val="Normal"/>
    <w:uiPriority w:val="1"/>
    <w:qFormat/>
    <w:rsid w:val="00EB7614"/>
    <w:pPr>
      <w:spacing w:after="120" w:line="360" w:lineRule="auto"/>
      <w:ind w:firstLine="720"/>
    </w:pPr>
    <w:rPr>
      <w:szCs w:val="20"/>
      <w:lang w:bidi="en-US"/>
    </w:rPr>
  </w:style>
  <w:style w:type="paragraph" w:customStyle="1" w:styleId="Source1">
    <w:name w:val="Source1"/>
    <w:basedOn w:val="Normal"/>
    <w:rsid w:val="004F52B6"/>
    <w:pPr>
      <w:keepLines/>
      <w:widowControl/>
      <w:autoSpaceDE/>
      <w:autoSpaceDN/>
      <w:adjustRightInd/>
      <w:spacing w:before="120" w:after="400"/>
      <w:ind w:left="187" w:hanging="187"/>
    </w:pPr>
    <w:rPr>
      <w:rFonts w:ascii="Verdana" w:eastAsia="MS Mincho" w:hAnsi="Verdana"/>
      <w:sz w:val="18"/>
      <w:szCs w:val="20"/>
    </w:rPr>
  </w:style>
  <w:style w:type="paragraph" w:customStyle="1" w:styleId="bodytextpsg">
    <w:name w:val="body text_psg"/>
    <w:basedOn w:val="Normal"/>
    <w:link w:val="bodytextpsgChar"/>
    <w:qFormat/>
    <w:rsid w:val="004F52B6"/>
    <w:pPr>
      <w:widowControl/>
      <w:autoSpaceDE/>
      <w:autoSpaceDN/>
      <w:adjustRightInd/>
      <w:spacing w:after="120" w:line="360" w:lineRule="auto"/>
      <w:ind w:firstLine="720"/>
    </w:pPr>
    <w:rPr>
      <w:szCs w:val="22"/>
    </w:rPr>
  </w:style>
  <w:style w:type="character" w:customStyle="1" w:styleId="bodytextpsgChar">
    <w:name w:val="body text_psg Char"/>
    <w:link w:val="bodytextpsg"/>
    <w:rsid w:val="004F52B6"/>
    <w:rPr>
      <w:rFonts w:ascii="Times New Roman" w:eastAsia="Times New Roman" w:hAnsi="Times New Roman"/>
      <w:sz w:val="24"/>
      <w:szCs w:val="22"/>
    </w:rPr>
  </w:style>
  <w:style w:type="character" w:customStyle="1" w:styleId="Heading7Char">
    <w:name w:val="Heading 7 Char"/>
    <w:basedOn w:val="DefaultParagraphFont"/>
    <w:link w:val="Heading7"/>
    <w:rsid w:val="00135819"/>
    <w:rPr>
      <w:rFonts w:ascii="Times New Roman" w:eastAsia="Times New Roman" w:hAnsi="Times New Roman"/>
      <w:sz w:val="24"/>
      <w:szCs w:val="24"/>
    </w:rPr>
  </w:style>
  <w:style w:type="character" w:styleId="Mention">
    <w:name w:val="Mention"/>
    <w:basedOn w:val="DefaultParagraphFont"/>
    <w:uiPriority w:val="99"/>
    <w:unhideWhenUsed/>
    <w:rsid w:val="00135819"/>
    <w:rPr>
      <w:color w:val="2B579A"/>
      <w:shd w:val="clear" w:color="auto" w:fill="E1DFDD"/>
    </w:rPr>
  </w:style>
  <w:style w:type="paragraph" w:customStyle="1" w:styleId="paragraph">
    <w:name w:val="paragraph"/>
    <w:basedOn w:val="Normal"/>
    <w:rsid w:val="00B8736F"/>
    <w:pPr>
      <w:widowControl/>
      <w:autoSpaceDE/>
      <w:autoSpaceDN/>
      <w:adjustRightInd/>
      <w:spacing w:before="100" w:beforeAutospacing="1" w:after="100" w:afterAutospacing="1"/>
    </w:pPr>
  </w:style>
  <w:style w:type="character" w:customStyle="1" w:styleId="normaltextrun">
    <w:name w:val="normaltextrun"/>
    <w:basedOn w:val="DefaultParagraphFont"/>
    <w:rsid w:val="00B8736F"/>
  </w:style>
  <w:style w:type="character" w:customStyle="1" w:styleId="eop">
    <w:name w:val="eop"/>
    <w:basedOn w:val="DefaultParagraphFont"/>
    <w:rsid w:val="00B8736F"/>
  </w:style>
  <w:style w:type="character" w:customStyle="1" w:styleId="tabchar">
    <w:name w:val="tabchar"/>
    <w:basedOn w:val="DefaultParagraphFont"/>
    <w:rsid w:val="00FC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aren.Cullen@fda.hhs.gov" TargetMode="External" /><Relationship Id="rId11" Type="http://schemas.openxmlformats.org/officeDocument/2006/relationships/hyperlink" Target="mailto:Eunice.Park-Lee@fda.hhs.gov" TargetMode="External" /><Relationship Id="rId12" Type="http://schemas.openxmlformats.org/officeDocument/2006/relationships/hyperlink" Target="mailto:Roberto.Valverde@fda.hhs.gov" TargetMode="External" /><Relationship Id="rId13" Type="http://schemas.openxmlformats.org/officeDocument/2006/relationships/hyperlink" Target="mailto:blevine@rti.org" TargetMode="External" /><Relationship Id="rId14" Type="http://schemas.openxmlformats.org/officeDocument/2006/relationships/hyperlink" Target="mailto:Tarsha.McCrae@fda.hhs.gov" TargetMode="External" /><Relationship Id="rId15" Type="http://schemas.openxmlformats.org/officeDocument/2006/relationships/hyperlink" Target="https://www.cdc.gov/winnablebattles/report/index.html" TargetMode="External" /><Relationship Id="rId16" Type="http://schemas.openxmlformats.org/officeDocument/2006/relationships/hyperlink" Target="https://www.cdc.gov/sixeighteen/index.html" TargetMode="External" /><Relationship Id="rId17" Type="http://schemas.openxmlformats.org/officeDocument/2006/relationships/hyperlink" Target="http://dx.doi.org/10.15585/mmwr.mm6806e1" TargetMode="External" /><Relationship Id="rId18" Type="http://schemas.openxmlformats.org/officeDocument/2006/relationships/hyperlink" Target="http://dx.doi.org/10.15585/mmwr.ss6812a1" TargetMode="External" /><Relationship Id="rId19" Type="http://schemas.openxmlformats.org/officeDocument/2006/relationships/hyperlink" Target="http://dx.doi.org/10.15585/mmwr.mm6937e1" TargetMode="External" /><Relationship Id="rId2" Type="http://schemas.openxmlformats.org/officeDocument/2006/relationships/settings" Target="settings.xml" /><Relationship Id="rId20" Type="http://schemas.openxmlformats.org/officeDocument/2006/relationships/hyperlink" Target="https://www.cdc.gov/budget/documents/fy2023/FY-2023-CDC-congressional-justification.pdf" TargetMode="External" /><Relationship Id="rId21" Type="http://schemas.openxmlformats.org/officeDocument/2006/relationships/hyperlink" Target="http://dx.doi.org/10.15585/mmwr.mm7145a1" TargetMode="External" /><Relationship Id="rId22" Type="http://schemas.openxmlformats.org/officeDocument/2006/relationships/hyperlink" Target="http://dx.doi.org/10.15585/mmwr.mm7244a1" TargetMode="External" /><Relationship Id="rId23" Type="http://schemas.openxmlformats.org/officeDocument/2006/relationships/hyperlink" Target="http://dx.doi.org/10.15585/mmwr.mm7341a2" TargetMode="External" /><Relationship Id="rId24" Type="http://schemas.openxmlformats.org/officeDocument/2006/relationships/hyperlink" Target="http://dx.doi.org/10.15585/mmwr.mm6745a5" TargetMode="External" /><Relationship Id="rId25" Type="http://schemas.openxmlformats.org/officeDocument/2006/relationships/hyperlink" Target="https://www.fda.gov/tobacco-products/ctp-newsroom/newly-signed-legislation-raises-federal-minimum-age-sale-tobacco-products-21" TargetMode="External" /><Relationship Id="rId26" Type="http://schemas.openxmlformats.org/officeDocument/2006/relationships/hyperlink" Target="https://www.fda.gov/tobacco-products/ctp-newsroom/fda-warns-online-retailers-selling-unauthorized-youth-appealing-e-cigarettes" TargetMode="External" /><Relationship Id="rId27" Type="http://schemas.openxmlformats.org/officeDocument/2006/relationships/hyperlink" Target="http://dx.doi.org/10.15585/mmwr.mm7335a3" TargetMode="External" /><Relationship Id="rId28" Type="http://schemas.openxmlformats.org/officeDocument/2006/relationships/hyperlink" Target="https://doi.org/10.1016/j.outlook.2017.09.001" TargetMode="External" /><Relationship Id="rId29" Type="http://schemas.openxmlformats.org/officeDocument/2006/relationships/hyperlink" Target="https://e-cigarettes.surgeongeneral.gov/documents/surgeon-generals-advisory-on-e-cigarette-use-among-youth-2018.pdf" TargetMode="External" /><Relationship Id="rId3" Type="http://schemas.openxmlformats.org/officeDocument/2006/relationships/webSettings" Target="webSettings.xml" /><Relationship Id="rId30" Type="http://schemas.openxmlformats.org/officeDocument/2006/relationships/hyperlink" Target="https://secure-web.cisco.com/1cMhPKNksiYy-gA5MiHZ_0ocdKNkgcGYu7ofkmMsVkBK6GE9HPPr37oMP9cEIu2Z3pFav4gj0Lo3NnP6G8hA8aejpxvBtLJYayGaIIWQd_u0Eh_nDskGzvNVPVdBFUboqWNfWYloee9bny3uKGp7Mvv_WIZ9gd7RTlYu3JKCSe7HhTFovpExoj4h212uPj0Y5JQen3LW7dYHIL4eBB1hJnFVWwrnFRofJeKhI-pUPgnMIJssFvbikbJg1hzEdSg61yywRGzqyhTFXtK8ALiRibz2Y5lx-F1Ted_wyhfmty3G0SAtvOwGWg8U8HCaJqC9zbIZCWqyOwmbNfN-LofsBh3-sPWRG8JYdhCr3wfJE-dpEKJ0HiN83gGfbZUjFhoupzKtgqRy7Hf6JhsuTXpzRUyJwxKcGG-21si6QAPbSYySFlZI3eOYoWSyvIXJ9RH1fOFCKRfLe2lRJw5wsijwL4gvAP0y0Pl7zRIlImRkVzBC3xZXvHYsUfSWfWsAOuZj-2qdJb8ZZMG7GusOFehpBbw/https%3A%2F%2Fdoi.org%2F10.1177%2F1473325014556792" TargetMode="External" /><Relationship Id="rId31" Type="http://schemas.openxmlformats.org/officeDocument/2006/relationships/hyperlink" Target="http://www.bls.gov/oes/current/oes_nat.htm" TargetMode="External"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header" Target="header3.xml" /><Relationship Id="rId37" Type="http://schemas.openxmlformats.org/officeDocument/2006/relationships/footer" Target="footer3.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0CBDE-45B0-4AB1-A8FA-9909B8832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3567C-5673-4547-BD7D-4725EBADE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EFF37-50D3-4ED5-9B07-403E641847BE}">
  <ds:schemaRefs>
    <ds:schemaRef ds:uri="http://schemas.openxmlformats.org/officeDocument/2006/bibliography"/>
  </ds:schemaRefs>
</ds:datastoreItem>
</file>

<file path=customXml/itemProps4.xml><?xml version="1.0" encoding="utf-8"?>
<ds:datastoreItem xmlns:ds="http://schemas.openxmlformats.org/officeDocument/2006/customXml" ds:itemID="{E5335407-98E6-4F9D-BAE5-F12E9B056843}">
  <ds:schemaRefs>
    <ds:schemaRef ds:uri="http://schemas.microsoft.com/office/2006/metadata/longProperties"/>
  </ds:schemaRefs>
</ds:datastoreItem>
</file>

<file path=customXml/itemProps5.xml><?xml version="1.0" encoding="utf-8"?>
<ds:datastoreItem xmlns:ds="http://schemas.openxmlformats.org/officeDocument/2006/customXml" ds:itemID="{A73E66F3-A683-4DEE-8A7D-ED3695D97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7899</Words>
  <Characters>45029</Characters>
  <Application>Microsoft Office Word</Application>
  <DocSecurity>0</DocSecurity>
  <Lines>375</Lines>
  <Paragraphs>105</Paragraphs>
  <ScaleCrop>false</ScaleCrop>
  <Company>Macro International Inc.</Company>
  <LinksUpToDate>false</LinksUpToDate>
  <CharactersWithSpaces>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dc:title>
  <dc:creator>Katherine.H.Flint</dc:creator>
  <cp:lastModifiedBy>Rivera, Samantha</cp:lastModifiedBy>
  <cp:revision>91</cp:revision>
  <cp:lastPrinted>2019-08-21T12:44:00Z</cp:lastPrinted>
  <dcterms:created xsi:type="dcterms:W3CDTF">2025-08-11T19:58:00Z</dcterms:created>
  <dcterms:modified xsi:type="dcterms:W3CDTF">2025-10-21T19:18:00Z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1978b32e-dc18-4cbf-b826-3fb70123db1e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2024-01-19T13:40:27Z</vt:lpwstr>
  </property>
  <property fmtid="{D5CDD505-2E9C-101B-9397-08002B2CF9AE}" pid="9" name="MSIP_Label_7b94a7b8-f06c-4dfe-bdcc-9b548fd58c31_SiteId">
    <vt:lpwstr>9ce70869-60db-44fd-abe8-d2767077fc8f</vt:lpwstr>
  </property>
  <property fmtid="{D5CDD505-2E9C-101B-9397-08002B2CF9AE}" pid="10" name="_dlc_DocId">
    <vt:lpwstr>ECW2UC57Z33M-137871154-4</vt:lpwstr>
  </property>
  <property fmtid="{D5CDD505-2E9C-101B-9397-08002B2CF9AE}" pid="11" name="_dlc_DocIdItemGuid">
    <vt:lpwstr>033d989e-df98-4433-a029-4b8a129a213e</vt:lpwstr>
  </property>
  <property fmtid="{D5CDD505-2E9C-101B-9397-08002B2CF9AE}" pid="12" name="_dlc_DocIdUrl">
    <vt:lpwstr>http://sharepoint.fda.gov/orgs/CTP-OS/PopHealthSci/epi/_layouts/DocIdRedir.aspx?ID=ECW2UC57Z33M-137871154-4, ECW2UC57Z33M-137871154-4</vt:lpwstr>
  </property>
</Properties>
</file>