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P="00357C8A" w14:paraId="6EB53CCC" w14:textId="1D4DC448">
      <w:pPr>
        <w:jc w:val="center"/>
        <w:rPr>
          <w:rFonts w:eastAsia="Calibri"/>
        </w:rPr>
      </w:pPr>
      <w:r w:rsidRPr="00357C8A">
        <w:rPr>
          <w:rFonts w:eastAsia="Calibri"/>
        </w:rPr>
        <w:t>United States Food and Drug Administration</w:t>
      </w:r>
    </w:p>
    <w:p w:rsidR="00357C8A" w:rsidP="00357C8A" w14:paraId="39EA5F83" w14:textId="77777777">
      <w:pPr>
        <w:jc w:val="center"/>
        <w:rPr>
          <w:rFonts w:eastAsia="Calibri"/>
        </w:rPr>
      </w:pPr>
    </w:p>
    <w:p w:rsidR="007A7E58" w:rsidP="007A7E58" w14:paraId="4163BF56" w14:textId="77777777">
      <w:pPr>
        <w:jc w:val="center"/>
        <w:rPr>
          <w:rFonts w:eastAsia="Calibri"/>
        </w:rPr>
      </w:pPr>
      <w:r w:rsidRPr="004C0843">
        <w:rPr>
          <w:rFonts w:eastAsia="Calibri"/>
        </w:rPr>
        <w:t>Generic Clearance for Quick Turnaround Testing of Communication Effectiveness</w:t>
      </w:r>
    </w:p>
    <w:p w:rsidR="00357C8A" w:rsidP="00357C8A" w14:paraId="289327CF" w14:textId="77777777">
      <w:pPr>
        <w:jc w:val="center"/>
        <w:rPr>
          <w:rFonts w:eastAsia="Calibri"/>
        </w:rPr>
      </w:pPr>
    </w:p>
    <w:p w:rsidR="00357C8A" w:rsidP="00357C8A" w14:paraId="306B0073" w14:textId="7687B638">
      <w:pPr>
        <w:jc w:val="center"/>
        <w:rPr>
          <w:rFonts w:eastAsia="Calibri"/>
        </w:rPr>
      </w:pPr>
      <w:r w:rsidRPr="00357C8A">
        <w:rPr>
          <w:rFonts w:eastAsia="Calibri"/>
        </w:rPr>
        <w:t>OMB Control No. 0910-</w:t>
      </w:r>
      <w:r w:rsidR="007A7E58">
        <w:rPr>
          <w:rFonts w:eastAsia="Calibri"/>
        </w:rPr>
        <w:t>0876</w:t>
      </w:r>
    </w:p>
    <w:p w:rsidR="00357C8A" w:rsidP="00357C8A" w14:paraId="13FD03DD" w14:textId="77777777">
      <w:pPr>
        <w:jc w:val="center"/>
        <w:rPr>
          <w:rFonts w:eastAsia="Calibri"/>
        </w:rPr>
      </w:pPr>
    </w:p>
    <w:p w:rsidR="00357C8A" w:rsidP="00357C8A" w14:paraId="6C89DEB8" w14:textId="77777777">
      <w:pPr>
        <w:jc w:val="center"/>
        <w:rPr>
          <w:rFonts w:eastAsia="Calibri"/>
        </w:rPr>
      </w:pPr>
      <w:r w:rsidRPr="00357C8A">
        <w:rPr>
          <w:rFonts w:eastAsia="Calibri"/>
        </w:rPr>
        <w:t>SUPPORTING STATEMENT</w:t>
      </w:r>
    </w:p>
    <w:p w:rsidR="009B4DF2" w:rsidP="00357C8A" w14:paraId="003223D8" w14:textId="77777777">
      <w:pPr>
        <w:jc w:val="center"/>
        <w:rPr>
          <w:rFonts w:eastAsia="Calibri"/>
        </w:rPr>
      </w:pPr>
    </w:p>
    <w:p w:rsidR="00357C8A" w:rsidP="000D79CC" w14:paraId="03411DD8" w14:textId="77777777">
      <w:pPr>
        <w:rPr>
          <w:rFonts w:eastAsia="Calibri"/>
        </w:rPr>
      </w:pPr>
      <w:r w:rsidRPr="00357C8A">
        <w:rPr>
          <w:rFonts w:eastAsia="Calibri"/>
          <w:b/>
        </w:rPr>
        <w:t>Part A:  Justification</w:t>
      </w:r>
      <w:r w:rsidRPr="00357C8A">
        <w:rPr>
          <w:rFonts w:eastAsia="Calibri"/>
        </w:rPr>
        <w:t>:</w:t>
      </w:r>
    </w:p>
    <w:p w:rsidR="000D79CC" w:rsidRPr="00357C8A" w:rsidP="000D79CC" w14:paraId="7422874F" w14:textId="77777777">
      <w:pPr>
        <w:rPr>
          <w:rFonts w:eastAsia="Calibri"/>
        </w:rPr>
      </w:pPr>
    </w:p>
    <w:p w:rsidR="00357C8A" w:rsidRPr="00357C8A" w:rsidP="006705EA" w14:paraId="6BADE978"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B75A53" w:rsidP="001224CE" w14:paraId="50D19EB1" w14:textId="3070096B">
      <w:r w:rsidRPr="005C71CA">
        <w:rPr>
          <w:rFonts w:eastAsia="Calibri"/>
        </w:rPr>
        <w:t xml:space="preserve">This information collection supports </w:t>
      </w:r>
      <w:r w:rsidR="00110D3C">
        <w:rPr>
          <w:rFonts w:eastAsia="Calibri"/>
        </w:rPr>
        <w:t xml:space="preserve">educational and public information programs conducted by the </w:t>
      </w:r>
      <w:r w:rsidRPr="005C71CA">
        <w:rPr>
          <w:rFonts w:eastAsia="Calibri"/>
        </w:rPr>
        <w:t>Food and Drug Administration (FDA, us or we)</w:t>
      </w:r>
      <w:r w:rsidR="007D0593">
        <w:rPr>
          <w:rFonts w:eastAsia="Calibri"/>
        </w:rPr>
        <w:t>, as authorized under</w:t>
      </w:r>
      <w:r w:rsidRPr="005C71CA">
        <w:rPr>
          <w:rFonts w:eastAsia="Calibri"/>
        </w:rPr>
        <w:t xml:space="preserve"> </w:t>
      </w:r>
      <w:r w:rsidRPr="00FD74C8" w:rsidR="00FD74C8">
        <w:rPr>
          <w:rFonts w:eastAsia="Calibri"/>
        </w:rPr>
        <w:t>section 1003(d)(2) of the Federal Food, Drug, and Cosmetic Act (FD&amp;C Act) (21 U.S.C. 393(d)(2))</w:t>
      </w:r>
      <w:r w:rsidR="00202755">
        <w:rPr>
          <w:rFonts w:eastAsia="Calibri"/>
        </w:rPr>
        <w:t xml:space="preserve">  which</w:t>
      </w:r>
      <w:r w:rsidRPr="00202755" w:rsidR="00202755">
        <w:t xml:space="preserve"> </w:t>
      </w:r>
      <w:r w:rsidRPr="00202755" w:rsidR="00202755">
        <w:rPr>
          <w:rFonts w:eastAsia="Calibri"/>
        </w:rPr>
        <w:t>authorizes FDA to conduct food research and educational and public information programs relating to the safety of the nation’s food supply</w:t>
      </w:r>
      <w:r w:rsidRPr="005C71CA">
        <w:rPr>
          <w:rFonts w:eastAsia="Calibri"/>
        </w:rPr>
        <w:t>.</w:t>
      </w:r>
      <w:r>
        <w:rPr>
          <w:rFonts w:eastAsia="Calibri"/>
        </w:rPr>
        <w:t xml:space="preserve">  </w:t>
      </w:r>
      <w:r>
        <w:t>The FDA Food Safety Modernization Act (FSMA) (Pub. L. 111</w:t>
      </w:r>
      <w:r w:rsidR="00D2714E">
        <w:t>-</w:t>
      </w:r>
      <w:r>
        <w:t xml:space="preserve">353) </w:t>
      </w:r>
      <w:r w:rsidR="00FD74C8">
        <w:t xml:space="preserve">also </w:t>
      </w:r>
      <w:r>
        <w:t xml:space="preserve">enables FDA to better protect public health by helping to ensure the safety and security of the food supply.  It enables FDA to focus more on preventing food safety problems rather than relying primarily on reacting to problems after they occur.  FSMA recognizes the important role consumers and stakeholders play in ensuring the safety of the food supply, which helps ensure that suppliers produce food </w:t>
      </w:r>
      <w:r w:rsidR="00800EB7">
        <w:t>that meets</w:t>
      </w:r>
      <w:r>
        <w:t xml:space="preserve"> U.S. safety standards.</w:t>
      </w:r>
      <w:r w:rsidR="001224CE">
        <w:t xml:space="preserve">  </w:t>
      </w:r>
      <w:r w:rsidR="00102F79">
        <w:t xml:space="preserve"> </w:t>
      </w:r>
      <w:r w:rsidR="0066080B">
        <w:t xml:space="preserve">                  </w:t>
      </w:r>
      <w:r w:rsidR="00F203F6">
        <w:t xml:space="preserve">                                                                                                                                                                          </w:t>
      </w:r>
      <w:r w:rsidR="00042842">
        <w:t xml:space="preserve">                                                                                                                       </w:t>
      </w:r>
      <w:r w:rsidR="00B40C0C">
        <w:t xml:space="preserve">          </w:t>
      </w:r>
      <w:r w:rsidR="00D902AA">
        <w:t xml:space="preserve">                                                                                   </w:t>
      </w:r>
    </w:p>
    <w:p w:rsidR="00B75A53" w:rsidP="00B75A53" w14:paraId="14C1D80D" w14:textId="77777777"/>
    <w:p w:rsidR="00B75A53" w:rsidP="00B75A53" w14:paraId="6B8A25D7" w14:textId="77777777">
      <w:r>
        <w:t>Occasionally, FDA will need to communicate with consumers and other stakeholders about immediate health issues which could affect public health and safety.  This collection of information allows the use of fast-track methods of communication such as quick turnaround surveys, focus groups, and in-depth interviews collected from consumers and other stakeholders to communicate FDA issues of immediate and important public health significance.  We plan on using these methods of communication to collect vital public health and safety information.</w:t>
      </w:r>
    </w:p>
    <w:p w:rsidR="00B75A53" w:rsidP="00B75A53" w14:paraId="2DDA8F02" w14:textId="77777777"/>
    <w:p w:rsidR="00B75A53" w:rsidP="00B75A53" w14:paraId="34AD1AC4" w14:textId="23723C4A">
      <w:r>
        <w:t xml:space="preserve">For example, these methods of communication might be used when there is a foodborne illness outbreak, food recall, or other situation requiring expedited FDA food, dietary supplement, cosmetics, or animal food or feed communications.  So that FDA may better protect the public health, the </w:t>
      </w:r>
      <w:r w:rsidR="003B7A8B">
        <w:t>a</w:t>
      </w:r>
      <w:r>
        <w:t>gency needs quick turnaround information provided by this collection of information to help ensure its messaging has reached the target audience, has been effective, and, if needed, to update its communications during these events.</w:t>
      </w:r>
    </w:p>
    <w:p w:rsidR="00B75A53" w:rsidP="00B75A53" w14:paraId="6FE89F47" w14:textId="77777777"/>
    <w:p w:rsidR="009F6F8F" w:rsidP="009F6F8F" w14:paraId="38DF0C30" w14:textId="22A2E342">
      <w:r>
        <w:t>FDA plans</w:t>
      </w:r>
      <w:r>
        <w:t xml:space="preserve"> </w:t>
      </w:r>
      <w:r w:rsidRPr="00FA7205" w:rsidR="00FA7205">
        <w:t>to use the data collected under this generic clearance to test consumer or other stakeholder reaction to communications, advisories, and other educational messages under development or review when there are urgent public health matters requiring the dissemination of FDA communications.  The tests will allow FDA to better understand consumers’ responses, including behavior, knowledge, beliefs, perceptions, and attitudes to topics and concepts included in the communications.  The data will not be directly used for the purposes of making regulatory or other policy decisions</w:t>
      </w:r>
      <w:r>
        <w:t>.</w:t>
      </w:r>
    </w:p>
    <w:p w:rsidR="009F6F8F" w:rsidP="00B75A53" w14:paraId="4D0AD5FE" w14:textId="77777777"/>
    <w:p w:rsidR="00B75A53" w:rsidRPr="00986B61" w:rsidP="00B75A53" w14:paraId="4A334AF9" w14:textId="0A6DFAC3">
      <w:r>
        <w:t>FDA</w:t>
      </w:r>
      <w:r w:rsidRPr="00986B61">
        <w:t xml:space="preserve"> is requesti</w:t>
      </w:r>
      <w:r>
        <w:t>ng approval of this generic</w:t>
      </w:r>
      <w:r w:rsidR="009947C8">
        <w:t>,</w:t>
      </w:r>
      <w:r>
        <w:t xml:space="preserve"> quick-turnaround clearance </w:t>
      </w:r>
      <w:r w:rsidRPr="00986B61">
        <w:t>for collecting</w:t>
      </w:r>
      <w:r>
        <w:t xml:space="preserve"> quantitative</w:t>
      </w:r>
      <w:r w:rsidRPr="00986B61">
        <w:t xml:space="preserve"> </w:t>
      </w:r>
      <w:r>
        <w:t xml:space="preserve">and qualitative </w:t>
      </w:r>
      <w:r w:rsidRPr="00986B61">
        <w:t xml:space="preserve">information (i.e., </w:t>
      </w:r>
      <w:r>
        <w:t>surveys, focus groups, and in-depth interviews)</w:t>
      </w:r>
      <w:r w:rsidRPr="00986B61">
        <w:t xml:space="preserve"> </w:t>
      </w:r>
      <w:r>
        <w:t xml:space="preserve">to test communications or educational messages when there is an urgent public health need.  </w:t>
      </w:r>
      <w:r w:rsidRPr="005E5681">
        <w:t xml:space="preserve">FDA </w:t>
      </w:r>
      <w:r>
        <w:t>uses</w:t>
      </w:r>
      <w:r w:rsidRPr="005E5681">
        <w:t xml:space="preserve"> a variety of media messages and materials t</w:t>
      </w:r>
      <w:r>
        <w:t xml:space="preserve">o inform and educate the public.  </w:t>
      </w:r>
      <w:r w:rsidRPr="005E5681">
        <w:t xml:space="preserve">Communicating </w:t>
      </w:r>
      <w:r w:rsidRPr="005E5681">
        <w:t xml:space="preserve">effectively about </w:t>
      </w:r>
      <w:r>
        <w:t>these topics</w:t>
      </w:r>
      <w:r w:rsidRPr="005E5681">
        <w:t xml:space="preserve"> </w:t>
      </w:r>
      <w:r>
        <w:t xml:space="preserve">oftentimes </w:t>
      </w:r>
      <w:r w:rsidRPr="005E5681">
        <w:t>involves conveying complex concepts.</w:t>
      </w:r>
      <w:r>
        <w:t xml:space="preserve"> </w:t>
      </w:r>
      <w:r w:rsidRPr="005E5681">
        <w:t xml:space="preserve"> </w:t>
      </w:r>
      <w:r>
        <w:t>It is imperative for FDA to ensure that messaging is received and understood by the target audience.</w:t>
      </w:r>
    </w:p>
    <w:p w:rsidR="00B75A53" w:rsidRPr="0082223D" w:rsidP="00B75A53" w14:paraId="2CD006C1" w14:textId="77777777">
      <w:pPr>
        <w:numPr>
          <w:ilvl w:val="12"/>
          <w:numId w:val="0"/>
        </w:numPr>
        <w:rPr>
          <w:highlight w:val="yellow"/>
        </w:rPr>
      </w:pPr>
    </w:p>
    <w:p w:rsidR="00EF2C12" w:rsidP="00066454" w14:paraId="222D5CA0" w14:textId="0DEFA76B">
      <w:pPr>
        <w:numPr>
          <w:ilvl w:val="12"/>
          <w:numId w:val="0"/>
        </w:numPr>
      </w:pPr>
      <w:r w:rsidRPr="00326C6F">
        <w:t>FDA will submit individual collections under this generic</w:t>
      </w:r>
      <w:r>
        <w:t>, quick-turnaround</w:t>
      </w:r>
      <w:r w:rsidRPr="00326C6F">
        <w:t xml:space="preserve"> clearance to OMB.  </w:t>
      </w:r>
      <w:r>
        <w:t>I</w:t>
      </w:r>
      <w:r w:rsidRPr="00326C6F">
        <w:t xml:space="preserve">ndividual collections will </w:t>
      </w:r>
      <w:r>
        <w:t>have been cleared</w:t>
      </w:r>
      <w:r w:rsidRPr="00326C6F">
        <w:t xml:space="preserve"> by senior leadership in the </w:t>
      </w:r>
      <w:r w:rsidR="004B3BC5">
        <w:t>Human Foods Program (HFP)</w:t>
      </w:r>
      <w:r w:rsidRPr="00326C6F">
        <w:t xml:space="preserve">, </w:t>
      </w:r>
      <w:r>
        <w:t xml:space="preserve">FDA </w:t>
      </w:r>
      <w:r w:rsidRPr="00326C6F">
        <w:t xml:space="preserve">Paperwork Reduction Act </w:t>
      </w:r>
      <w:r>
        <w:t>(PRA) s</w:t>
      </w:r>
      <w:r w:rsidRPr="00326C6F">
        <w:t>pecialists</w:t>
      </w:r>
      <w:r>
        <w:t>, and an Institutional Review Board</w:t>
      </w:r>
      <w:r w:rsidRPr="00326C6F">
        <w:t>.  FDA will prepare a report during the OMB collection renewal summarizing the number of hours used, as well as the nature and results of the activities completed under this clearance.</w:t>
      </w:r>
    </w:p>
    <w:p w:rsidR="009B1379" w:rsidP="00066454" w14:paraId="5D874EA3" w14:textId="77777777">
      <w:pPr>
        <w:numPr>
          <w:ilvl w:val="12"/>
          <w:numId w:val="0"/>
        </w:numPr>
        <w:rPr>
          <w:rFonts w:eastAsia="Calibri"/>
        </w:rPr>
      </w:pPr>
    </w:p>
    <w:p w:rsidR="00357C8A" w:rsidRPr="00364EAA" w:rsidP="008725C8" w14:paraId="7E658F43" w14:textId="1DA90339">
      <w:pPr>
        <w:rPr>
          <w:rFonts w:eastAsia="Calibri"/>
          <w:color w:val="000000" w:themeColor="text1"/>
        </w:rPr>
      </w:pPr>
      <w:r w:rsidRPr="005C71CA">
        <w:rPr>
          <w:rFonts w:eastAsia="Calibri"/>
        </w:rPr>
        <w:t xml:space="preserve">We therefore request extension of OMB approval of </w:t>
      </w:r>
      <w:r>
        <w:rPr>
          <w:rFonts w:eastAsia="Calibri"/>
        </w:rPr>
        <w:t xml:space="preserve">the </w:t>
      </w:r>
      <w:r w:rsidRPr="005C71CA">
        <w:rPr>
          <w:rFonts w:eastAsia="Calibri"/>
        </w:rPr>
        <w:t>provisions</w:t>
      </w:r>
      <w:r>
        <w:rPr>
          <w:rFonts w:eastAsia="Calibri"/>
        </w:rPr>
        <w:t xml:space="preserve"> of this collection of </w:t>
      </w:r>
      <w:r w:rsidRPr="00364EAA">
        <w:rPr>
          <w:rFonts w:eastAsia="Calibri"/>
          <w:color w:val="000000" w:themeColor="text1"/>
        </w:rPr>
        <w:t>information as discussed in this supporting statement.</w:t>
      </w:r>
    </w:p>
    <w:p w:rsidR="005F74EE" w:rsidRPr="0062306B" w:rsidP="00AE4ACB" w14:paraId="188833CF" w14:textId="77777777">
      <w:pPr>
        <w:rPr>
          <w:rFonts w:eastAsia="Calibri"/>
          <w:color w:val="000000" w:themeColor="text1"/>
        </w:rPr>
      </w:pPr>
    </w:p>
    <w:p w:rsidR="00357C8A" w:rsidRPr="00357C8A" w:rsidP="006705EA" w14:paraId="1935EDF6"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B75A53" w:rsidRPr="00A5534B" w:rsidP="00B75A53" w14:paraId="18A1EED5" w14:textId="1DBB4340">
      <w:pPr>
        <w:rPr>
          <w:lang w:bidi="he-IL"/>
        </w:rPr>
      </w:pPr>
      <w:r w:rsidRPr="00A5534B">
        <w:rPr>
          <w:lang w:bidi="he-IL"/>
        </w:rPr>
        <w:t xml:space="preserve">FDA plans to use the data collected under this generic clearance to test consumer or other stakeholder reaction to communications, advisories, and other educational messages under development or review when there are urgent public health matters requiring the dissemination of FDA communications. </w:t>
      </w:r>
      <w:r w:rsidR="00A95738">
        <w:rPr>
          <w:lang w:bidi="he-IL"/>
        </w:rPr>
        <w:t xml:space="preserve"> </w:t>
      </w:r>
      <w:r w:rsidRPr="00A5534B">
        <w:rPr>
          <w:lang w:bidi="he-IL"/>
        </w:rPr>
        <w:t xml:space="preserve">The tests will allow FDA to better understand consumers’ responses, including behavior, knowledge, beliefs, perceptions and attitudes to topics and concepts included in the communications. </w:t>
      </w:r>
      <w:r w:rsidR="00DF7CAF">
        <w:rPr>
          <w:lang w:bidi="he-IL"/>
        </w:rPr>
        <w:t xml:space="preserve"> </w:t>
      </w:r>
      <w:r w:rsidRPr="00A5534B">
        <w:rPr>
          <w:lang w:bidi="he-IL"/>
        </w:rPr>
        <w:t>The data will not be directly used for the purposes of making regulatory or other policy decisions.</w:t>
      </w:r>
    </w:p>
    <w:p w:rsidR="00B75A53" w:rsidRPr="00A5534B" w:rsidP="00B75A53" w14:paraId="175420B2" w14:textId="77777777">
      <w:pPr>
        <w:numPr>
          <w:ilvl w:val="12"/>
          <w:numId w:val="0"/>
        </w:numPr>
        <w:autoSpaceDE w:val="0"/>
        <w:autoSpaceDN w:val="0"/>
        <w:adjustRightInd w:val="0"/>
        <w:rPr>
          <w:lang w:bidi="he-IL"/>
        </w:rPr>
      </w:pPr>
    </w:p>
    <w:p w:rsidR="00B75A53" w:rsidRPr="00A5534B" w:rsidP="00B75A53" w14:paraId="117712CD" w14:textId="77777777">
      <w:pPr>
        <w:numPr>
          <w:ilvl w:val="12"/>
          <w:numId w:val="0"/>
        </w:numPr>
        <w:autoSpaceDE w:val="0"/>
        <w:autoSpaceDN w:val="0"/>
        <w:adjustRightInd w:val="0"/>
        <w:rPr>
          <w:lang w:bidi="he-IL"/>
        </w:rPr>
      </w:pPr>
      <w:r w:rsidRPr="00A5534B">
        <w:rPr>
          <w:lang w:bidi="he-IL"/>
        </w:rPr>
        <w:t xml:space="preserve">FDA will only submit a collection for approval under this generic clearance if it meets the following conditions:   </w:t>
      </w:r>
    </w:p>
    <w:p w:rsidR="00B75A53" w:rsidRPr="00A5534B" w:rsidP="00B75A53" w14:paraId="2018F68D" w14:textId="77777777">
      <w:pPr>
        <w:numPr>
          <w:ilvl w:val="0"/>
          <w:numId w:val="9"/>
        </w:numPr>
        <w:autoSpaceDE w:val="0"/>
        <w:autoSpaceDN w:val="0"/>
        <w:adjustRightInd w:val="0"/>
        <w:spacing w:before="100" w:beforeAutospacing="1" w:after="100" w:afterAutospacing="1" w:line="276" w:lineRule="auto"/>
        <w:contextualSpacing/>
        <w:rPr>
          <w:lang w:bidi="he-IL"/>
        </w:rPr>
      </w:pPr>
      <w:r w:rsidRPr="00A5534B">
        <w:rPr>
          <w:lang w:bidi="he-IL"/>
        </w:rPr>
        <w:t xml:space="preserve">The collections are </w:t>
      </w:r>
      <w:r w:rsidRPr="00A5534B">
        <w:rPr>
          <w:lang w:bidi="he-IL"/>
        </w:rPr>
        <w:t>voluntary;</w:t>
      </w:r>
    </w:p>
    <w:p w:rsidR="00B75A53" w:rsidRPr="00A5534B" w:rsidP="00B75A53" w14:paraId="78B73BE9" w14:textId="39D73E03">
      <w:pPr>
        <w:numPr>
          <w:ilvl w:val="0"/>
          <w:numId w:val="9"/>
        </w:numPr>
        <w:autoSpaceDE w:val="0"/>
        <w:autoSpaceDN w:val="0"/>
        <w:adjustRightInd w:val="0"/>
        <w:spacing w:before="100" w:beforeAutospacing="1" w:after="100" w:afterAutospacing="1" w:line="276" w:lineRule="auto"/>
        <w:contextualSpacing/>
        <w:rPr>
          <w:lang w:bidi="he-IL"/>
        </w:rPr>
      </w:pPr>
      <w:r w:rsidRPr="00A5534B">
        <w:rPr>
          <w:lang w:bidi="he-IL"/>
        </w:rPr>
        <w:t xml:space="preserve">The collections are </w:t>
      </w:r>
      <w:r w:rsidRPr="00A5534B">
        <w:rPr>
          <w:lang w:bidi="he-IL"/>
        </w:rPr>
        <w:t>low</w:t>
      </w:r>
      <w:r w:rsidR="00815C02">
        <w:rPr>
          <w:lang w:bidi="he-IL"/>
        </w:rPr>
        <w:t>-</w:t>
      </w:r>
      <w:r w:rsidRPr="00A5534B">
        <w:rPr>
          <w:lang w:bidi="he-IL"/>
        </w:rPr>
        <w:t>burden</w:t>
      </w:r>
      <w:r w:rsidRPr="00A5534B">
        <w:rPr>
          <w:lang w:bidi="he-IL"/>
        </w:rPr>
        <w:t xml:space="preserve"> for participants (based on considerations of total burden hours, total number of participants, or burden hours per respondent) and are low</w:t>
      </w:r>
      <w:r w:rsidR="00C168FC">
        <w:rPr>
          <w:lang w:bidi="he-IL"/>
        </w:rPr>
        <w:t>-</w:t>
      </w:r>
      <w:r w:rsidRPr="00A5534B">
        <w:rPr>
          <w:lang w:bidi="he-IL"/>
        </w:rPr>
        <w:t>cost for both the participants and the Federal Government;</w:t>
      </w:r>
    </w:p>
    <w:p w:rsidR="00B75A53" w:rsidRPr="00A5534B" w:rsidP="00B75A53" w14:paraId="28825ECB" w14:textId="77777777">
      <w:pPr>
        <w:numPr>
          <w:ilvl w:val="0"/>
          <w:numId w:val="9"/>
        </w:numPr>
        <w:autoSpaceDE w:val="0"/>
        <w:autoSpaceDN w:val="0"/>
        <w:adjustRightInd w:val="0"/>
        <w:spacing w:before="100" w:beforeAutospacing="1" w:after="100" w:afterAutospacing="1" w:line="276" w:lineRule="auto"/>
        <w:contextualSpacing/>
        <w:rPr>
          <w:lang w:bidi="he-IL"/>
        </w:rPr>
      </w:pPr>
      <w:r w:rsidRPr="00A5534B">
        <w:rPr>
          <w:lang w:bidi="he-IL"/>
        </w:rPr>
        <w:t xml:space="preserve">The collections are </w:t>
      </w:r>
      <w:r w:rsidRPr="00A5534B">
        <w:rPr>
          <w:lang w:bidi="he-IL"/>
        </w:rPr>
        <w:t>noncontroversial;</w:t>
      </w:r>
      <w:r w:rsidRPr="00A5534B">
        <w:rPr>
          <w:lang w:bidi="he-IL"/>
        </w:rPr>
        <w:t xml:space="preserve"> </w:t>
      </w:r>
    </w:p>
    <w:p w:rsidR="00B75A53" w:rsidRPr="00A5534B" w:rsidP="00B75A53" w14:paraId="2C7B630B" w14:textId="77777777">
      <w:pPr>
        <w:numPr>
          <w:ilvl w:val="0"/>
          <w:numId w:val="9"/>
        </w:numPr>
        <w:autoSpaceDE w:val="0"/>
        <w:autoSpaceDN w:val="0"/>
        <w:adjustRightInd w:val="0"/>
        <w:spacing w:before="100" w:beforeAutospacing="1" w:after="100" w:afterAutospacing="1" w:line="276" w:lineRule="auto"/>
        <w:contextualSpacing/>
        <w:rPr>
          <w:lang w:bidi="he-IL"/>
        </w:rPr>
      </w:pPr>
      <w:r w:rsidRPr="00A5534B">
        <w:rPr>
          <w:lang w:bidi="he-IL"/>
        </w:rPr>
        <w:t xml:space="preserve">Personally identifiable information (PII) is collected </w:t>
      </w:r>
      <w:r>
        <w:rPr>
          <w:lang w:bidi="he-IL"/>
        </w:rPr>
        <w:t xml:space="preserve">by the contractor for their benefit </w:t>
      </w:r>
      <w:r w:rsidRPr="00A5534B">
        <w:rPr>
          <w:lang w:bidi="he-IL"/>
        </w:rPr>
        <w:t>only to the extent necessary, is not shared with FDA, and is not retained; and</w:t>
      </w:r>
    </w:p>
    <w:p w:rsidR="00B75A53" w:rsidRPr="00A5534B" w:rsidP="00B75A53" w14:paraId="149379E9" w14:textId="77777777">
      <w:pPr>
        <w:numPr>
          <w:ilvl w:val="0"/>
          <w:numId w:val="10"/>
        </w:numPr>
        <w:autoSpaceDE w:val="0"/>
        <w:autoSpaceDN w:val="0"/>
        <w:adjustRightInd w:val="0"/>
        <w:contextualSpacing/>
        <w:rPr>
          <w:lang w:bidi="he-IL"/>
        </w:rPr>
      </w:pPr>
      <w:r w:rsidRPr="00A5534B">
        <w:rPr>
          <w:lang w:bidi="he-IL"/>
        </w:rPr>
        <w:t>Information gathered will not be used for substantially informing influential policy decisions.</w:t>
      </w:r>
      <w:r>
        <w:rPr>
          <w:vertAlign w:val="superscript"/>
          <w:lang w:bidi="he-IL"/>
        </w:rPr>
        <w:footnoteReference w:id="2"/>
      </w:r>
    </w:p>
    <w:p w:rsidR="00B75A53" w:rsidRPr="00A5534B" w:rsidP="00B75A53" w14:paraId="78B89C1C" w14:textId="77777777">
      <w:pPr>
        <w:contextualSpacing/>
        <w:rPr>
          <w:lang w:bidi="he-IL"/>
        </w:rPr>
      </w:pPr>
    </w:p>
    <w:p w:rsidR="00B75A53" w:rsidRPr="00A5534B" w:rsidP="00B75A53" w14:paraId="5D49CE6A" w14:textId="77777777">
      <w:pPr>
        <w:rPr>
          <w:lang w:bidi="he-IL"/>
        </w:rPr>
      </w:pPr>
      <w:r w:rsidRPr="00A5534B">
        <w:rPr>
          <w:lang w:bidi="he-IL"/>
        </w:rPr>
        <w:t xml:space="preserve">If these conditions are not met, FDA will submit an information collection request to OMB for approval through the normal PRA process.  </w:t>
      </w:r>
    </w:p>
    <w:p w:rsidR="00B75A53" w:rsidP="00B75A53" w14:paraId="7380963E" w14:textId="77777777">
      <w:pPr>
        <w:spacing w:before="100" w:beforeAutospacing="1" w:after="100" w:afterAutospacing="1"/>
        <w:rPr>
          <w:lang w:bidi="he-IL"/>
        </w:rPr>
      </w:pPr>
      <w:r w:rsidRPr="00A5534B">
        <w:rPr>
          <w:lang w:bidi="he-IL"/>
        </w:rPr>
        <w:t xml:space="preserve">To obtain approval for a collection that meets the conditions of this generic clearance, an abbreviated supporting statement will be submitted to OMB along with supporting documentation (e.g., a copy of the survey, focus group or interview guide, and stimuli).  </w:t>
      </w:r>
    </w:p>
    <w:p w:rsidR="00C723FE" w:rsidP="00C723FE" w14:paraId="61FFA71C" w14:textId="77777777">
      <w:pPr>
        <w:spacing w:before="100" w:beforeAutospacing="1" w:after="100" w:afterAutospacing="1"/>
        <w:rPr>
          <w:lang w:bidi="he-IL"/>
        </w:rPr>
      </w:pPr>
      <w:r>
        <w:rPr>
          <w:lang w:bidi="he-IL"/>
        </w:rPr>
        <w:tab/>
        <w:t>Since last OMB review and approval of the generic clearance, we have conducted the following individual information collections:</w:t>
      </w:r>
    </w:p>
    <w:p w:rsidR="00AB3F4C" w:rsidRPr="00A5534B" w:rsidP="00C723FE" w14:paraId="583B0364" w14:textId="77777777">
      <w:pPr>
        <w:spacing w:before="100" w:beforeAutospacing="1" w:after="100" w:afterAutospacing="1"/>
        <w:rPr>
          <w:lang w:bidi="he-IL"/>
        </w:rPr>
      </w:pPr>
      <w:r>
        <w:rPr>
          <w:lang w:bidi="he-IL"/>
        </w:rPr>
        <w:tab/>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1604"/>
        <w:gridCol w:w="923"/>
        <w:gridCol w:w="3372"/>
      </w:tblGrid>
      <w:tr w14:paraId="5D0C8771" w14:textId="77777777" w:rsidTr="002904C1">
        <w:tblPrEx>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72"/>
        </w:trPr>
        <w:tc>
          <w:tcPr>
            <w:tcW w:w="1893" w:type="pct"/>
            <w:shd w:val="clear" w:color="auto" w:fill="auto"/>
          </w:tcPr>
          <w:p w:rsidR="00AB3F4C" w:rsidRPr="00AB3F4C" w:rsidP="00AB3F4C" w14:paraId="6AFE0717" w14:textId="77777777">
            <w:pPr>
              <w:tabs>
                <w:tab w:val="left" w:pos="360"/>
              </w:tabs>
            </w:pPr>
            <w:r w:rsidRPr="00AB3F4C">
              <w:t>Title of Collection</w:t>
            </w:r>
          </w:p>
        </w:tc>
        <w:tc>
          <w:tcPr>
            <w:tcW w:w="845" w:type="pct"/>
            <w:shd w:val="clear" w:color="auto" w:fill="auto"/>
          </w:tcPr>
          <w:p w:rsidR="00AB3F4C" w:rsidRPr="00AB3F4C" w:rsidP="00AB3F4C" w14:paraId="2E62EF8C" w14:textId="77777777">
            <w:pPr>
              <w:tabs>
                <w:tab w:val="left" w:pos="360"/>
              </w:tabs>
            </w:pPr>
            <w:r w:rsidRPr="00AB3F4C">
              <w:t>Participants</w:t>
            </w:r>
          </w:p>
        </w:tc>
        <w:tc>
          <w:tcPr>
            <w:tcW w:w="486" w:type="pct"/>
          </w:tcPr>
          <w:p w:rsidR="00AB3F4C" w:rsidRPr="00AB3F4C" w:rsidP="00AB3F4C" w14:paraId="248CA0CF" w14:textId="77777777">
            <w:pPr>
              <w:tabs>
                <w:tab w:val="left" w:pos="360"/>
              </w:tabs>
            </w:pPr>
            <w:r w:rsidRPr="00AB3F4C">
              <w:t>Burden</w:t>
            </w:r>
          </w:p>
          <w:p w:rsidR="00AB3F4C" w:rsidRPr="00AB3F4C" w:rsidP="00AB3F4C" w14:paraId="4201DB99" w14:textId="77777777">
            <w:pPr>
              <w:tabs>
                <w:tab w:val="left" w:pos="360"/>
              </w:tabs>
            </w:pPr>
            <w:r w:rsidRPr="00AB3F4C">
              <w:t>Hours Used</w:t>
            </w:r>
          </w:p>
        </w:tc>
        <w:tc>
          <w:tcPr>
            <w:tcW w:w="1776" w:type="pct"/>
            <w:shd w:val="clear" w:color="auto" w:fill="auto"/>
          </w:tcPr>
          <w:p w:rsidR="00AB3F4C" w:rsidRPr="00AB3F4C" w:rsidP="00AB3F4C" w14:paraId="5C525179" w14:textId="77777777">
            <w:pPr>
              <w:tabs>
                <w:tab w:val="left" w:pos="360"/>
              </w:tabs>
            </w:pPr>
            <w:r w:rsidRPr="00AB3F4C">
              <w:t>Use of Information</w:t>
            </w:r>
          </w:p>
        </w:tc>
      </w:tr>
      <w:tr w14:paraId="7A9BF01B" w14:textId="77777777" w:rsidTr="002904C1">
        <w:tblPrEx>
          <w:tblW w:w="5000" w:type="pct"/>
          <w:tblInd w:w="18" w:type="dxa"/>
          <w:tblLayout w:type="fixed"/>
          <w:tblLook w:val="01E0"/>
        </w:tblPrEx>
        <w:tc>
          <w:tcPr>
            <w:tcW w:w="1893" w:type="pct"/>
            <w:shd w:val="clear" w:color="auto" w:fill="auto"/>
          </w:tcPr>
          <w:p w:rsidR="00AB3F4C" w:rsidRPr="00AB3F4C" w:rsidP="00AB3F4C" w14:paraId="44B4D6E3" w14:textId="77777777">
            <w:pPr>
              <w:keepLines/>
              <w:tabs>
                <w:tab w:val="left" w:pos="3335"/>
              </w:tabs>
              <w:ind w:right="-1440"/>
            </w:pPr>
            <w:r w:rsidRPr="00AB3F4C">
              <w:t xml:space="preserve">Quick Turnaround Testing of </w:t>
            </w:r>
          </w:p>
          <w:p w:rsidR="00AB3F4C" w:rsidRPr="00AB3F4C" w:rsidP="00AB3F4C" w14:paraId="68A49E53" w14:textId="77777777">
            <w:pPr>
              <w:keepLines/>
              <w:tabs>
                <w:tab w:val="left" w:pos="3335"/>
              </w:tabs>
              <w:ind w:right="-1440"/>
            </w:pPr>
            <w:r w:rsidRPr="00AB3F4C">
              <w:t xml:space="preserve">Communication Effectiveness: </w:t>
            </w:r>
          </w:p>
          <w:p w:rsidR="00AB3F4C" w:rsidRPr="00AB3F4C" w:rsidP="00AB3F4C" w14:paraId="0E5ACA85" w14:textId="77777777">
            <w:pPr>
              <w:keepLines/>
              <w:tabs>
                <w:tab w:val="left" w:pos="3335"/>
              </w:tabs>
              <w:ind w:right="-1440"/>
            </w:pPr>
            <w:r w:rsidRPr="00AB3F4C">
              <w:t xml:space="preserve">Survey on 2023 Salmonella </w:t>
            </w:r>
          </w:p>
          <w:p w:rsidR="00AB3F4C" w:rsidRPr="00AB3F4C" w:rsidP="00AB3F4C" w14:paraId="4C18072A" w14:textId="7A9CD7D1">
            <w:pPr>
              <w:keepLines/>
              <w:tabs>
                <w:tab w:val="left" w:pos="3335"/>
              </w:tabs>
              <w:ind w:right="-1440"/>
            </w:pPr>
            <w:r w:rsidRPr="00AB3F4C">
              <w:t>Infantis</w:t>
            </w:r>
            <w:r w:rsidRPr="00AB3F4C">
              <w:t>/Flour Recall</w:t>
            </w:r>
          </w:p>
        </w:tc>
        <w:tc>
          <w:tcPr>
            <w:tcW w:w="845" w:type="pct"/>
            <w:shd w:val="clear" w:color="auto" w:fill="auto"/>
          </w:tcPr>
          <w:p w:rsidR="00AB3F4C" w:rsidRPr="00AB3F4C" w:rsidP="00AB3F4C" w14:paraId="50D7AE99" w14:textId="77777777">
            <w:pPr>
              <w:autoSpaceDE w:val="0"/>
              <w:autoSpaceDN w:val="0"/>
              <w:adjustRightInd w:val="0"/>
            </w:pPr>
            <w:r w:rsidRPr="00AB3F4C">
              <w:t>3,600</w:t>
            </w:r>
          </w:p>
        </w:tc>
        <w:tc>
          <w:tcPr>
            <w:tcW w:w="486" w:type="pct"/>
          </w:tcPr>
          <w:p w:rsidR="00AB3F4C" w:rsidRPr="00AB3F4C" w:rsidP="00AB3F4C" w14:paraId="7D520356" w14:textId="77777777">
            <w:pPr>
              <w:rPr>
                <w:iCs/>
              </w:rPr>
            </w:pPr>
            <w:r w:rsidRPr="00AB3F4C">
              <w:rPr>
                <w:iCs/>
              </w:rPr>
              <w:t>340</w:t>
            </w:r>
          </w:p>
        </w:tc>
        <w:tc>
          <w:tcPr>
            <w:tcW w:w="1776" w:type="pct"/>
            <w:shd w:val="clear" w:color="auto" w:fill="auto"/>
          </w:tcPr>
          <w:p w:rsidR="00AB3F4C" w:rsidRPr="00AB3F4C" w:rsidP="00AB3F4C" w14:paraId="4E56FFB0" w14:textId="31729E47">
            <w:r w:rsidRPr="00AB3F4C">
              <w:t xml:space="preserve">The survey informed FDA’s ongoing communications of this </w:t>
            </w:r>
            <w:r w:rsidR="00E42225">
              <w:t xml:space="preserve">salmonella </w:t>
            </w:r>
            <w:r w:rsidRPr="00AB3F4C">
              <w:t xml:space="preserve">outbreak </w:t>
            </w:r>
            <w:r w:rsidR="00E42225">
              <w:t xml:space="preserve">of flour </w:t>
            </w:r>
            <w:r w:rsidRPr="00AB3F4C">
              <w:t xml:space="preserve">and recall to the public.  When the survey was conducted, the outbreak/recall was still </w:t>
            </w:r>
            <w:r w:rsidRPr="00AB3F4C">
              <w:t>evolving</w:t>
            </w:r>
            <w:r w:rsidRPr="00AB3F4C">
              <w:t xml:space="preserve"> and messages were updated based on the survey findings.  Data collected from the survey was weighted to reflect the socio-demographic characteristics of U.S. adults and our contractor ran analyses on the data, including frequencies, crosstabs/Chi-square test, multivariate logistic regression, and qualitative analysis (for open-ended questions).  The results of this survey informed FDA’s communications to the public regarding the flour recall.</w:t>
            </w:r>
          </w:p>
        </w:tc>
      </w:tr>
      <w:tr w14:paraId="631AEB18" w14:textId="77777777" w:rsidTr="002904C1">
        <w:tblPrEx>
          <w:tblW w:w="5000" w:type="pct"/>
          <w:tblInd w:w="18" w:type="dxa"/>
          <w:tblLayout w:type="fixed"/>
          <w:tblLook w:val="01E0"/>
        </w:tblPrEx>
        <w:tc>
          <w:tcPr>
            <w:tcW w:w="1893" w:type="pct"/>
            <w:shd w:val="clear" w:color="auto" w:fill="auto"/>
          </w:tcPr>
          <w:p w:rsidR="00AB3F4C" w:rsidRPr="00AB3F4C" w:rsidP="00AB3F4C" w14:paraId="4B572E99" w14:textId="77777777">
            <w:pPr>
              <w:keepLines/>
              <w:ind w:right="-17"/>
            </w:pPr>
            <w:r w:rsidRPr="00AB3F4C">
              <w:t>Quick Turnaround Testing of Communication Effectiveness: Survey on 2023 Hepatitis A Virus Infections/Frozen Strawberry Recall</w:t>
            </w:r>
          </w:p>
        </w:tc>
        <w:tc>
          <w:tcPr>
            <w:tcW w:w="845" w:type="pct"/>
            <w:shd w:val="clear" w:color="auto" w:fill="auto"/>
          </w:tcPr>
          <w:p w:rsidR="00AB3F4C" w:rsidRPr="00AB3F4C" w:rsidP="00AB3F4C" w14:paraId="6AA387E9" w14:textId="77777777">
            <w:pPr>
              <w:autoSpaceDE w:val="0"/>
              <w:autoSpaceDN w:val="0"/>
              <w:adjustRightInd w:val="0"/>
            </w:pPr>
            <w:r w:rsidRPr="00AB3F4C">
              <w:t>2,400</w:t>
            </w:r>
          </w:p>
        </w:tc>
        <w:tc>
          <w:tcPr>
            <w:tcW w:w="486" w:type="pct"/>
          </w:tcPr>
          <w:p w:rsidR="00AB3F4C" w:rsidRPr="00AB3F4C" w:rsidP="00AB3F4C" w14:paraId="1EA1D7CE" w14:textId="77777777">
            <w:r w:rsidRPr="00AB3F4C">
              <w:t>348</w:t>
            </w:r>
          </w:p>
        </w:tc>
        <w:tc>
          <w:tcPr>
            <w:tcW w:w="1776" w:type="pct"/>
            <w:shd w:val="clear" w:color="auto" w:fill="auto"/>
          </w:tcPr>
          <w:p w:rsidR="00AB3F4C" w:rsidRPr="00AB3F4C" w:rsidP="00AB3F4C" w14:paraId="41E0AB5D" w14:textId="3EC8E0C4">
            <w:r w:rsidRPr="00AB3F4C">
              <w:t>The survey informed FDA’s ongoing communications with the public about the Hepatitis A and Frozen Strawberry outbreak and recall. While outbreak/recall was in progress, FDA and CDC updated communication messages based on the survey’s findings.  Survey data was weighted to reflect the socio-demographic characteristics of U.S. adults and analyses were run such as frequencies, crosstabs/Chi-square test, multivariate logistic regression, and qualitative analysis (for open-ended questions).  The survey results informed FDA’s communications with the public regarding this outbreak and recall.</w:t>
            </w:r>
          </w:p>
        </w:tc>
      </w:tr>
      <w:tr w14:paraId="7209710A" w14:textId="77777777" w:rsidTr="002904C1">
        <w:tblPrEx>
          <w:tblW w:w="5000" w:type="pct"/>
          <w:tblInd w:w="18" w:type="dxa"/>
          <w:tblLayout w:type="fixed"/>
          <w:tblLook w:val="01E0"/>
        </w:tblPrEx>
        <w:tc>
          <w:tcPr>
            <w:tcW w:w="1893" w:type="pct"/>
            <w:shd w:val="clear" w:color="auto" w:fill="auto"/>
          </w:tcPr>
          <w:p w:rsidR="00AB3F4C" w:rsidRPr="00AB3F4C" w:rsidP="00AB3F4C" w14:paraId="1AB9EF88" w14:textId="77777777">
            <w:pPr>
              <w:keepLines/>
              <w:ind w:right="-84"/>
            </w:pPr>
            <w:r w:rsidRPr="00AB3F4C">
              <w:t>Quick Turnaround Survey on 2023 Applesauce Pouches Recall</w:t>
            </w:r>
          </w:p>
        </w:tc>
        <w:tc>
          <w:tcPr>
            <w:tcW w:w="845" w:type="pct"/>
            <w:shd w:val="clear" w:color="auto" w:fill="auto"/>
          </w:tcPr>
          <w:p w:rsidR="00AB3F4C" w:rsidRPr="00AB3F4C" w:rsidP="00AB3F4C" w14:paraId="6A26F8E3" w14:textId="77777777">
            <w:pPr>
              <w:autoSpaceDE w:val="0"/>
              <w:autoSpaceDN w:val="0"/>
              <w:adjustRightInd w:val="0"/>
            </w:pPr>
            <w:r w:rsidRPr="00AB3F4C">
              <w:t>2,400</w:t>
            </w:r>
          </w:p>
        </w:tc>
        <w:tc>
          <w:tcPr>
            <w:tcW w:w="486" w:type="pct"/>
          </w:tcPr>
          <w:p w:rsidR="00AB3F4C" w:rsidRPr="00AB3F4C" w:rsidP="00AB3F4C" w14:paraId="74271D6A" w14:textId="77777777">
            <w:r w:rsidRPr="00AB3F4C">
              <w:t>340</w:t>
            </w:r>
          </w:p>
        </w:tc>
        <w:tc>
          <w:tcPr>
            <w:tcW w:w="1776" w:type="pct"/>
            <w:shd w:val="clear" w:color="auto" w:fill="auto"/>
          </w:tcPr>
          <w:p w:rsidR="00AB3F4C" w:rsidRPr="00AB3F4C" w:rsidP="00AB3F4C" w14:paraId="1BA05C81" w14:textId="4491B186">
            <w:r w:rsidRPr="00AB3F4C">
              <w:t xml:space="preserve">The results of this survey informed FDA’s communications </w:t>
            </w:r>
            <w:r w:rsidR="00683BEE">
              <w:t>during</w:t>
            </w:r>
            <w:r w:rsidRPr="00AB3F4C">
              <w:t xml:space="preserve"> this </w:t>
            </w:r>
            <w:r w:rsidRPr="00AB3F4C">
              <w:t xml:space="preserve">recall to the public.  </w:t>
            </w:r>
            <w:r w:rsidR="00683BEE">
              <w:t>In this</w:t>
            </w:r>
            <w:r w:rsidRPr="00AB3F4C">
              <w:t xml:space="preserve"> recall, messages to the public were updated based on the survey’s findings.  Survey data was weighted to reflect the socio-demographic characteristics of U.S. adults, with an oversample of parents and primary caregivers of young children (70% of the respondents were parents or primary caregivers of young children age between 6 months - 7 years). FDA ran analyses on the data, including frequencies, crosstabs/Chi-square test, multivariate logistic regression, and qualitative analysis (for open-ended questions), and the survey results helped inform FDA’s </w:t>
            </w:r>
            <w:r w:rsidR="001B4DC3">
              <w:t>c</w:t>
            </w:r>
            <w:r w:rsidRPr="00AB3F4C">
              <w:t>ommunications to the public regarding the applesauce pouch recall.</w:t>
            </w:r>
          </w:p>
        </w:tc>
      </w:tr>
      <w:tr w14:paraId="0EFA17F7" w14:textId="77777777" w:rsidTr="002904C1">
        <w:tblPrEx>
          <w:tblW w:w="5000" w:type="pct"/>
          <w:tblInd w:w="18" w:type="dxa"/>
          <w:tblLayout w:type="fixed"/>
          <w:tblLook w:val="01E0"/>
        </w:tblPrEx>
        <w:tc>
          <w:tcPr>
            <w:tcW w:w="1893" w:type="pct"/>
            <w:shd w:val="clear" w:color="auto" w:fill="auto"/>
          </w:tcPr>
          <w:p w:rsidR="00AB3F4C" w:rsidRPr="00AB3F4C" w:rsidP="00AB3F4C" w14:paraId="6F4284F7" w14:textId="77777777">
            <w:pPr>
              <w:keepLines/>
              <w:ind w:right="-18"/>
            </w:pPr>
            <w:r w:rsidRPr="00AB3F4C">
              <w:t>Focus Groups on Food Recall Communication Effectiveness</w:t>
            </w:r>
          </w:p>
        </w:tc>
        <w:tc>
          <w:tcPr>
            <w:tcW w:w="845" w:type="pct"/>
            <w:shd w:val="clear" w:color="auto" w:fill="auto"/>
          </w:tcPr>
          <w:p w:rsidR="00AB3F4C" w:rsidRPr="00AB3F4C" w:rsidP="00AB3F4C" w14:paraId="65F3ED24" w14:textId="77777777">
            <w:pPr>
              <w:autoSpaceDE w:val="0"/>
              <w:autoSpaceDN w:val="0"/>
              <w:adjustRightInd w:val="0"/>
            </w:pPr>
            <w:r w:rsidRPr="00AB3F4C">
              <w:t>128</w:t>
            </w:r>
          </w:p>
        </w:tc>
        <w:tc>
          <w:tcPr>
            <w:tcW w:w="486" w:type="pct"/>
          </w:tcPr>
          <w:p w:rsidR="00AB3F4C" w:rsidRPr="00AB3F4C" w:rsidP="00AB3F4C" w14:paraId="59DD7031" w14:textId="77777777">
            <w:r w:rsidRPr="00AB3F4C">
              <w:t>99</w:t>
            </w:r>
          </w:p>
        </w:tc>
        <w:tc>
          <w:tcPr>
            <w:tcW w:w="1776" w:type="pct"/>
            <w:shd w:val="clear" w:color="auto" w:fill="auto"/>
          </w:tcPr>
          <w:p w:rsidR="00AB3F4C" w:rsidRPr="00AB3F4C" w:rsidP="00AB3F4C" w14:paraId="1F25FA25" w14:textId="0DD69AA3">
            <w:r w:rsidRPr="00AB3F4C">
              <w:t>This study’s qualitative information helped FDA’s understanding of how consumers become aware of and react to foodborne illness outbreaks and food recalls.  The findings also provided us insights into how consumers reacted to an updated FDA outbreak advisory message template.  FDA is using these findings to enhance its communications with the public regarding foodborne illness outbreaks and food recalls.</w:t>
            </w:r>
          </w:p>
        </w:tc>
      </w:tr>
    </w:tbl>
    <w:p w:rsidR="00AB3F4C" w:rsidRPr="00AB3F4C" w:rsidP="00AB3F4C" w14:paraId="2B760CE3" w14:textId="77777777"/>
    <w:p w:rsidR="00357C8A" w:rsidRPr="0062306B" w:rsidP="0022425B" w14:paraId="45EA14A0" w14:textId="18448414">
      <w:pPr>
        <w:spacing w:after="200"/>
        <w:rPr>
          <w:rFonts w:eastAsia="Calibri"/>
          <w:color w:val="000000" w:themeColor="text1"/>
        </w:rPr>
      </w:pPr>
      <w:r w:rsidRPr="00A5534B">
        <w:rPr>
          <w:lang w:bidi="he-IL"/>
        </w:rPr>
        <w:t xml:space="preserve">Respondents to this collection of information </w:t>
      </w:r>
      <w:r w:rsidRPr="00A5534B">
        <w:rPr>
          <w:color w:val="000000"/>
          <w:lang w:bidi="he-IL"/>
        </w:rPr>
        <w:t xml:space="preserve">include a wide range of consumers and other FDA stakeholders such as producers and manufacturers </w:t>
      </w:r>
      <w:r w:rsidR="00C927EC">
        <w:rPr>
          <w:color w:val="000000"/>
          <w:lang w:bidi="he-IL"/>
        </w:rPr>
        <w:t>of</w:t>
      </w:r>
      <w:r w:rsidRPr="00A5534B">
        <w:rPr>
          <w:color w:val="000000"/>
          <w:lang w:bidi="he-IL"/>
        </w:rPr>
        <w:t xml:space="preserve"> </w:t>
      </w:r>
      <w:r w:rsidRPr="00221AD1">
        <w:rPr>
          <w:color w:val="000000"/>
          <w:lang w:bidi="he-IL"/>
        </w:rPr>
        <w:t xml:space="preserve">FDA-regulated </w:t>
      </w:r>
      <w:r w:rsidRPr="00221AD1">
        <w:t>food</w:t>
      </w:r>
      <w:r w:rsidR="00DF7D70">
        <w:t>, infant formula</w:t>
      </w:r>
      <w:r w:rsidR="00477590">
        <w:t xml:space="preserve">, </w:t>
      </w:r>
      <w:r w:rsidRPr="00221AD1">
        <w:t>dietary supplements, and animal food and feed.</w:t>
      </w:r>
    </w:p>
    <w:p w:rsidR="00357C8A" w:rsidRPr="00357C8A" w:rsidP="006705EA" w14:paraId="4026070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B75A53" w:rsidRPr="00221AD1" w:rsidP="00B75A53" w14:paraId="19E3DDF5" w14:textId="0BEFDDBE">
      <w:pPr>
        <w:pStyle w:val="ListParagraph"/>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color w:val="000000"/>
        </w:rPr>
      </w:pPr>
      <w:r w:rsidRPr="00221AD1">
        <w:rPr>
          <w:color w:val="000000"/>
        </w:rPr>
        <w:t xml:space="preserve">FDA will use </w:t>
      </w:r>
      <w:r w:rsidR="00103C7E">
        <w:rPr>
          <w:color w:val="000000"/>
        </w:rPr>
        <w:t>w</w:t>
      </w:r>
      <w:r w:rsidRPr="00221AD1">
        <w:rPr>
          <w:color w:val="000000"/>
        </w:rPr>
        <w:t>eb</w:t>
      </w:r>
      <w:r w:rsidRPr="0087269D">
        <w:rPr>
          <w:color w:val="000000"/>
        </w:rPr>
        <w:t>-based</w:t>
      </w:r>
      <w:r w:rsidRPr="00221AD1">
        <w:rPr>
          <w:color w:val="000000"/>
        </w:rPr>
        <w:t xml:space="preserve"> data collection methods when collecting survey</w:t>
      </w:r>
      <w:r>
        <w:rPr>
          <w:color w:val="000000"/>
        </w:rPr>
        <w:t xml:space="preserve"> data</w:t>
      </w:r>
      <w:r w:rsidRPr="00221AD1">
        <w:rPr>
          <w:color w:val="000000"/>
        </w:rPr>
        <w:t xml:space="preserve"> and</w:t>
      </w:r>
      <w:r>
        <w:rPr>
          <w:color w:val="000000"/>
        </w:rPr>
        <w:t>, wherever possible,</w:t>
      </w:r>
      <w:r w:rsidRPr="00221AD1">
        <w:rPr>
          <w:color w:val="000000"/>
        </w:rPr>
        <w:t xml:space="preserve"> in-depth interviews under this generic clearance.  Using computer-assisted information technology to transmit data collection instruments and/or collect responses will continue to reduce the burden on participants as they will be able to access and respond to data collection requests at </w:t>
      </w:r>
      <w:r w:rsidRPr="00221AD1">
        <w:rPr>
          <w:color w:val="000000"/>
        </w:rPr>
        <w:t xml:space="preserve">a time and place that is convenient to them, eliminating the need to travel for survey, focus group, or interview administration.  </w:t>
      </w:r>
    </w:p>
    <w:p w:rsidR="00B75A53" w:rsidRPr="00221AD1" w:rsidP="00B75A53" w14:paraId="55C6C011" w14:textId="77777777">
      <w:pPr>
        <w:pStyle w:val="ListParagraph"/>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color w:val="000000"/>
        </w:rPr>
      </w:pPr>
    </w:p>
    <w:p w:rsidR="00B75A53" w:rsidRPr="00221AD1" w:rsidP="00B75A53" w14:paraId="44C331A1" w14:textId="3080A440">
      <w:pPr>
        <w:pStyle w:val="ListParagraph"/>
        <w:ind w:left="0"/>
        <w:rPr>
          <w:color w:val="000000"/>
        </w:rPr>
      </w:pPr>
      <w:r w:rsidRPr="00221AD1">
        <w:rPr>
          <w:color w:val="000000"/>
        </w:rPr>
        <w:t xml:space="preserve">Web-based data collections are an especially convenient option for eliciting feedback on visual stimuli.  With </w:t>
      </w:r>
      <w:r w:rsidR="00103C7E">
        <w:rPr>
          <w:color w:val="000000"/>
        </w:rPr>
        <w:t>w</w:t>
      </w:r>
      <w:r w:rsidRPr="00221AD1">
        <w:rPr>
          <w:color w:val="000000"/>
        </w:rPr>
        <w:t xml:space="preserve">eb-based surveys, participants complete an on-line survey and then submit the data electronically over the Internet.  Closed-ended questions (e.g., multiple-choice items, Likert scales) will be employed whenever possible. </w:t>
      </w:r>
      <w:r w:rsidR="00520469">
        <w:rPr>
          <w:color w:val="000000"/>
        </w:rPr>
        <w:t xml:space="preserve"> </w:t>
      </w:r>
      <w:r w:rsidRPr="00221AD1">
        <w:rPr>
          <w:color w:val="000000"/>
        </w:rPr>
        <w:t xml:space="preserve">Web-based focus groups and in-depth interviews take advantage of the medium for conversation-based data collection. </w:t>
      </w:r>
      <w:r>
        <w:rPr>
          <w:color w:val="000000"/>
        </w:rPr>
        <w:t xml:space="preserve"> </w:t>
      </w:r>
      <w:r w:rsidRPr="00221AD1">
        <w:rPr>
          <w:color w:val="000000"/>
        </w:rPr>
        <w:t>Similar to</w:t>
      </w:r>
      <w:r w:rsidRPr="00221AD1">
        <w:rPr>
          <w:color w:val="000000"/>
        </w:rPr>
        <w:t xml:space="preserve"> the advantages of web-based survey data </w:t>
      </w:r>
      <w:r w:rsidRPr="00221AD1" w:rsidR="002C239D">
        <w:rPr>
          <w:color w:val="000000"/>
        </w:rPr>
        <w:t>collections</w:t>
      </w:r>
      <w:r w:rsidR="002C239D">
        <w:rPr>
          <w:color w:val="000000"/>
        </w:rPr>
        <w:t>,</w:t>
      </w:r>
      <w:r w:rsidRPr="00221AD1">
        <w:rPr>
          <w:color w:val="000000"/>
        </w:rPr>
        <w:t xml:space="preserve"> conducting web-based focus groups and in-depth interviews can reduce the burden on the respondent by allowing them to participate at a location convenient to them, increase sample diversity, and reduce cost to the government by allowing participation from across the U.S. and territories without incurring travel costs.</w:t>
      </w:r>
    </w:p>
    <w:p w:rsidR="00B75A53" w:rsidRPr="00221AD1" w:rsidP="00B75A53" w14:paraId="0F53C515" w14:textId="77777777">
      <w:pPr>
        <w:pStyle w:val="ListParagraph"/>
        <w:tabs>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rPr>
          <w:color w:val="000000"/>
        </w:rPr>
      </w:pPr>
    </w:p>
    <w:p w:rsidR="00357C8A" w:rsidRPr="00357C8A" w:rsidP="00A34982" w14:paraId="2D8E3D85" w14:textId="024B538D">
      <w:pPr>
        <w:pStyle w:val="ListParagraph"/>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rFonts w:eastAsia="Calibri"/>
        </w:rPr>
      </w:pPr>
      <w:r w:rsidRPr="000E453F">
        <w:rPr>
          <w:color w:val="000000"/>
        </w:rPr>
        <w:t>FDA believes that 100% of the quantitative information collections and 25% of the qualitative information collections will be completed electronically.</w:t>
      </w:r>
    </w:p>
    <w:p w:rsidR="00357C8A" w:rsidRPr="00357C8A" w:rsidP="006705EA" w14:paraId="44DADD99"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62306B" w:rsidP="0053380B" w14:paraId="50D477D1" w14:textId="76CBA4B4">
      <w:pPr>
        <w:spacing w:after="200"/>
        <w:rPr>
          <w:rFonts w:eastAsia="Calibri"/>
          <w:color w:val="000000" w:themeColor="text1"/>
        </w:rPr>
      </w:pPr>
      <w:r w:rsidRPr="00B83B5B">
        <w:t>As new situations arise requiring quick turnaround testing of FDA messaging, communications, advisories, or education because of a situation of urgent public health need, FDA will review existing reports of research on messages and materials to ensure that no data on the extant matter are being, or have been, gathered by FDA.  Given that the need for communications feedback will be urgent and that the information collection will be based solely on current FDA communications, FDA does not expect that outside experts will have collected the data that FDA needs.  However, FDA will work with other HHS operation divisions and other agencies responsible for communicating about FDA-regulated food and cosmetic products, dietary supplements, and animal food and feed with the public to ensure that duplicative data are not being gathered by them or are available from other sources known to FDA.</w:t>
      </w:r>
    </w:p>
    <w:p w:rsidR="00357C8A" w:rsidRPr="00357C8A" w:rsidP="006705EA" w14:paraId="02056C77"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26146076" w14:textId="5D905B65">
      <w:pPr>
        <w:spacing w:after="200"/>
        <w:rPr>
          <w:rFonts w:eastAsia="Calibri"/>
        </w:rPr>
      </w:pPr>
      <w:r w:rsidRPr="00B83B5B">
        <w:rPr>
          <w:rFonts w:eastAsia="Calibri"/>
        </w:rPr>
        <w:t>Small businesses, or other small entities, may be involved in efforts related to collections of information approved under this clearance.  However, FDA will minimize the effect and burden on them by sampling appropriately.</w:t>
      </w:r>
    </w:p>
    <w:p w:rsidR="00357C8A" w:rsidRPr="00357C8A" w:rsidP="006705EA" w14:paraId="76C543D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62306B" w:rsidP="00357C8A" w14:paraId="0DD8E1EF" w14:textId="6F1F5C0D">
      <w:pPr>
        <w:spacing w:after="200"/>
        <w:rPr>
          <w:rFonts w:eastAsia="Calibri"/>
          <w:color w:val="000000" w:themeColor="text1"/>
        </w:rPr>
      </w:pPr>
      <w:r w:rsidRPr="00B83B5B">
        <w:rPr>
          <w:rFonts w:eastAsia="Calibri"/>
        </w:rPr>
        <w:t>During a public-health related event where FDA needs to communicate with consumers and other stakeholders</w:t>
      </w:r>
      <w:r w:rsidR="00C03DB4">
        <w:rPr>
          <w:rFonts w:eastAsia="Calibri"/>
        </w:rPr>
        <w:t>,</w:t>
      </w:r>
      <w:r w:rsidRPr="00B83B5B">
        <w:rPr>
          <w:rFonts w:eastAsia="Calibri"/>
        </w:rPr>
        <w:t xml:space="preserve"> the messaging oftentimes covers complex topics or is asking for an immediate public behavioral response (e.g., requests to discard contaminated items or to report adverse events).  Without testing and data collections, FDA cannot fully ensure that these messages and materials have reached the target audience, are understood by them, and are serving their intended purpose – frequently seeking an immediate behavioral reaction (e.g., discarding the food).</w:t>
      </w:r>
    </w:p>
    <w:p w:rsidR="00357C8A" w:rsidRPr="00357C8A" w:rsidP="006705EA" w14:paraId="54604B1D"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0D2E87B5" w14:textId="3485D78C">
      <w:pPr>
        <w:spacing w:after="200"/>
        <w:rPr>
          <w:rFonts w:eastAsia="Calibri"/>
        </w:rPr>
      </w:pPr>
      <w:r w:rsidRPr="00B83B5B">
        <w:rPr>
          <w:rFonts w:eastAsia="Calibri"/>
        </w:rPr>
        <w:t>Studies under this collection rely on quantitative and qualitative methods and use convenience samples rather than probability samples.  Therefore, the studies are not intended to yield results that are statistically projectable, nationally representative, or precise estimates of population parameters.</w:t>
      </w:r>
    </w:p>
    <w:p w:rsidR="00357C8A" w:rsidRPr="00357C8A" w:rsidP="006705EA" w14:paraId="4D18DB02"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62306B" w:rsidP="00357C8A" w14:paraId="62E74CFF" w14:textId="55E3693B">
      <w:pPr>
        <w:spacing w:after="200"/>
        <w:rPr>
          <w:rFonts w:eastAsia="Calibri"/>
          <w:color w:val="000000" w:themeColor="text1"/>
        </w:rPr>
      </w:pPr>
      <w:r w:rsidRPr="00B83B5B">
        <w:rPr>
          <w:rFonts w:eastAsia="Calibri"/>
        </w:rPr>
        <w:t xml:space="preserve">In accordance with 5 CFR 1320.8(d), FDA published a 60-day notice for public comment in the </w:t>
      </w:r>
      <w:r w:rsidRPr="007D4EA9">
        <w:rPr>
          <w:rFonts w:eastAsia="Calibri"/>
          <w:i/>
          <w:iCs/>
        </w:rPr>
        <w:t>Federal Register</w:t>
      </w:r>
      <w:r w:rsidRPr="00B83B5B">
        <w:rPr>
          <w:rFonts w:eastAsia="Calibri"/>
        </w:rPr>
        <w:t xml:space="preserve"> of </w:t>
      </w:r>
      <w:r w:rsidR="00821ABE">
        <w:rPr>
          <w:rFonts w:eastAsia="Calibri"/>
        </w:rPr>
        <w:t>July 3</w:t>
      </w:r>
      <w:r w:rsidRPr="00B83B5B">
        <w:rPr>
          <w:rFonts w:eastAsia="Calibri"/>
        </w:rPr>
        <w:t>, 202</w:t>
      </w:r>
      <w:r w:rsidR="007577EA">
        <w:rPr>
          <w:rFonts w:eastAsia="Calibri"/>
        </w:rPr>
        <w:t>5</w:t>
      </w:r>
      <w:r w:rsidRPr="00B83B5B">
        <w:rPr>
          <w:rFonts w:eastAsia="Calibri"/>
        </w:rPr>
        <w:t xml:space="preserve"> (</w:t>
      </w:r>
      <w:r w:rsidR="007577EA">
        <w:rPr>
          <w:rFonts w:eastAsia="Calibri"/>
        </w:rPr>
        <w:t>90</w:t>
      </w:r>
      <w:r w:rsidRPr="00B83B5B">
        <w:rPr>
          <w:rFonts w:eastAsia="Calibri"/>
        </w:rPr>
        <w:t xml:space="preserve"> FR </w:t>
      </w:r>
      <w:r w:rsidR="00384276">
        <w:rPr>
          <w:rFonts w:eastAsia="Calibri"/>
        </w:rPr>
        <w:t>29565</w:t>
      </w:r>
      <w:r w:rsidRPr="00B83B5B">
        <w:rPr>
          <w:rFonts w:eastAsia="Calibri"/>
        </w:rPr>
        <w:t xml:space="preserve">).  </w:t>
      </w:r>
      <w:r>
        <w:rPr>
          <w:rFonts w:eastAsia="Calibri"/>
        </w:rPr>
        <w:t>No</w:t>
      </w:r>
      <w:r w:rsidRPr="00B83B5B">
        <w:rPr>
          <w:rFonts w:eastAsia="Calibri"/>
        </w:rPr>
        <w:t xml:space="preserve"> comments were received</w:t>
      </w:r>
      <w:r>
        <w:rPr>
          <w:rFonts w:eastAsia="Calibri"/>
        </w:rPr>
        <w:t>.</w:t>
      </w:r>
    </w:p>
    <w:p w:rsidR="00357C8A" w:rsidRPr="00357C8A" w:rsidP="006705EA" w14:paraId="5E81C8A6"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62306B" w:rsidP="00357C8A" w14:paraId="4E6C918D" w14:textId="317AED18">
      <w:pPr>
        <w:spacing w:after="200"/>
        <w:rPr>
          <w:rFonts w:eastAsia="Calibri"/>
          <w:color w:val="000000" w:themeColor="text1"/>
        </w:rPr>
      </w:pPr>
      <w:r w:rsidRPr="00AF60AF">
        <w:rPr>
          <w:rFonts w:eastAsia="Calibri"/>
        </w:rPr>
        <w:t xml:space="preserve">Gifts or payments offered to respondents as a token of the </w:t>
      </w:r>
      <w:r w:rsidR="008D39BD">
        <w:rPr>
          <w:rFonts w:eastAsia="Calibri"/>
        </w:rPr>
        <w:t>a</w:t>
      </w:r>
      <w:r w:rsidRPr="00AF60AF">
        <w:rPr>
          <w:rFonts w:eastAsia="Calibri"/>
        </w:rPr>
        <w:t>gency’s appreciation will be limited mainly to the cognitive interviews as FDA expects to use proprietary web-based panels that have their own methods for retaining participants for surveys.  In the case of qualitative collections other than the cognitive interviews, instances for offering a small incentive will be addressed on a case-by-case basis (depending on the information collection design).  FDA will provide a rationale in the justification memo for any studies that propose to offer incentives.</w:t>
      </w:r>
    </w:p>
    <w:p w:rsidR="00357C8A" w:rsidRPr="00357C8A" w:rsidP="006705EA" w14:paraId="3618B639"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AF60AF" w:rsidP="00607789" w14:paraId="3F5D739E" w14:textId="36343957">
      <w:r>
        <w:t>I</w:t>
      </w:r>
      <w:r w:rsidRPr="00914969">
        <w:t xml:space="preserve">nformation provided by participants will be kept </w:t>
      </w:r>
      <w:r>
        <w:t xml:space="preserve">secure </w:t>
      </w:r>
      <w:r w:rsidRPr="00914969">
        <w:t xml:space="preserve">to the extent allowable by law.  Information about privacy will be communicated to participants by means of introductory letters, explanatory texts on the cover pages of questionnaires, scripts read prior to interviews, and consent forms.  Participants also will be advised of the following: </w:t>
      </w:r>
      <w:r w:rsidR="00F66F68">
        <w:t xml:space="preserve"> </w:t>
      </w:r>
      <w:r w:rsidRPr="00914969">
        <w:t>the nature of the activity; the purpose and use of the data coll</w:t>
      </w:r>
      <w:r>
        <w:t>ected; FDA sponsorship</w:t>
      </w:r>
      <w:r w:rsidRPr="00914969">
        <w:t>; and that participation is always voluntary.  Because participation is voluntary, participants will be assured that there will be no penalties if they do not want to participate in the information collection as a whole or any part of the data collection.</w:t>
      </w:r>
    </w:p>
    <w:p w:rsidR="00AF60AF" w:rsidP="00607789" w14:paraId="7F2949BD" w14:textId="77777777"/>
    <w:p w:rsidR="00AF60AF" w:rsidP="00DF7F89" w14:paraId="6DFED397" w14:textId="77777777">
      <w:pPr>
        <w:pStyle w:val="BodyText1"/>
        <w:ind w:firstLine="0"/>
      </w:pPr>
      <w:r w:rsidRPr="00CA1F12">
        <w:t>Before data are collected, FDA researchers will obtain either an exemption or a full approval for all research from FDA’s In</w:t>
      </w:r>
      <w:r>
        <w:t>stitutional</w:t>
      </w:r>
      <w:r w:rsidRPr="00CA1F12">
        <w:t xml:space="preserve"> Review Board (IRB)</w:t>
      </w:r>
      <w:r>
        <w:t xml:space="preserve">.  Contractors are required to sign a pledge of privacy that reinforces privacy requirements of the study and states that any procedural violation that jeopardizes a respondent’s privacy will be grounds for immediate termination and possible legal action.  </w:t>
      </w:r>
    </w:p>
    <w:p w:rsidR="00AF60AF" w:rsidRPr="00A30F89" w:rsidP="00DF7F89" w14:paraId="6408327A" w14:textId="77777777">
      <w:pPr>
        <w:rPr>
          <w:i/>
          <w:iCs/>
        </w:rPr>
      </w:pPr>
      <w:r w:rsidRPr="00A30F89">
        <w:rPr>
          <w:i/>
          <w:iCs/>
        </w:rPr>
        <w:t>Privacy Act</w:t>
      </w:r>
    </w:p>
    <w:p w:rsidR="00AF60AF" w:rsidP="00DF7F89" w14:paraId="29855E72" w14:textId="77777777"/>
    <w:p w:rsidR="00AF60AF" w:rsidP="00DF7F89" w14:paraId="7C84F302" w14:textId="5FDCDC15">
      <w:r>
        <w:t xml:space="preserve">In preparing this </w:t>
      </w:r>
      <w:r w:rsidR="00A421E4">
        <w:t>s</w:t>
      </w:r>
      <w:r>
        <w:t xml:space="preserve">upporting </w:t>
      </w:r>
      <w:r w:rsidR="00A421E4">
        <w:t>s</w:t>
      </w:r>
      <w:r>
        <w:t xml:space="preserve">tatement, we consulted our Privacy Office to ensure appropriate identification and handling of information collected. </w:t>
      </w:r>
    </w:p>
    <w:p w:rsidR="00AF60AF" w:rsidP="00DF7F89" w14:paraId="136B8B64" w14:textId="77777777"/>
    <w:p w:rsidR="002E7C49" w:rsidP="00DF7F89" w14:paraId="69DFAA65" w14:textId="5ABD48E7">
      <w:r w:rsidRPr="007D1ED6">
        <w:t xml:space="preserve">This ICR does not collect personally identifiable information (PII) or information of a personal nature. </w:t>
      </w:r>
      <w:r w:rsidR="002341EC">
        <w:t xml:space="preserve"> </w:t>
      </w:r>
      <w:r w:rsidRPr="007D1ED6">
        <w:t xml:space="preserve">This information collection supports consumer awareness, knowledge, and behavior of current recall </w:t>
      </w:r>
      <w:r w:rsidR="00F84F55">
        <w:t>notices</w:t>
      </w:r>
      <w:r w:rsidRPr="007D1ED6">
        <w:t xml:space="preserve">, and surveys are anonymous. </w:t>
      </w:r>
      <w:r w:rsidR="002341EC">
        <w:t xml:space="preserve"> </w:t>
      </w:r>
      <w:r w:rsidRPr="007D1ED6">
        <w:t>All records are maintained at the facility.  Because neither FDA nor any party acting on behalf of the agency collects PII, the ICR is not subject to the Privacy Act of 1974 and the requirements of the Privacy Act such as displaying a Privacy Act Statement on a collection form do not apply.</w:t>
      </w:r>
    </w:p>
    <w:p w:rsidR="002E7C49" w:rsidP="00DF7F89" w14:paraId="1C432D7D" w14:textId="77777777"/>
    <w:p w:rsidR="00502B45" w:rsidRPr="00866793" w:rsidP="00DF7F89" w14:paraId="65709008" w14:textId="7FC74F89">
      <w:pPr>
        <w:rPr>
          <w:rFonts w:eastAsia="Calibri"/>
          <w:i/>
          <w:iCs/>
        </w:rPr>
      </w:pPr>
      <w:r w:rsidRPr="002949B9">
        <w:rPr>
          <w:rFonts w:eastAsia="Calibri"/>
          <w:i/>
          <w:iCs/>
        </w:rPr>
        <w:t>Freedom of Information Act (FOIA)</w:t>
      </w:r>
    </w:p>
    <w:p w:rsidR="00502B45" w:rsidP="00DF7F89" w14:paraId="2A5274F3" w14:textId="77777777">
      <w:pPr>
        <w:rPr>
          <w:rFonts w:eastAsia="Calibri"/>
        </w:rPr>
      </w:pPr>
    </w:p>
    <w:p w:rsidR="00357C8A" w:rsidRPr="0062306B" w:rsidP="0022425B" w14:paraId="5C7C3A62" w14:textId="67A060AB">
      <w:pPr>
        <w:rPr>
          <w:rFonts w:eastAsia="Calibri"/>
          <w:color w:val="000000" w:themeColor="text1"/>
        </w:rPr>
      </w:pPr>
      <w:r w:rsidRPr="00744122">
        <w:rPr>
          <w:rFonts w:eastAsia="Calibri"/>
        </w:rPr>
        <w:t>Under FOIA (5 U.S.C. 552), the public has broad access to</w:t>
      </w:r>
      <w:r>
        <w:rPr>
          <w:rFonts w:eastAsia="Calibri"/>
        </w:rPr>
        <w:t xml:space="preserve"> </w:t>
      </w:r>
      <w:r w:rsidRPr="00744122">
        <w:rPr>
          <w:rFonts w:eastAsia="Calibri"/>
        </w:rPr>
        <w:t xml:space="preserve">government documents. </w:t>
      </w:r>
      <w:r>
        <w:rPr>
          <w:rFonts w:eastAsia="Calibri"/>
        </w:rPr>
        <w:t xml:space="preserve"> </w:t>
      </w:r>
      <w:r w:rsidRPr="00744122">
        <w:rPr>
          <w:rFonts w:eastAsia="Calibri"/>
        </w:rPr>
        <w:t>However, FOIA provides certain exemptions from mandatory public</w:t>
      </w:r>
      <w:r>
        <w:rPr>
          <w:rFonts w:eastAsia="Calibri"/>
        </w:rPr>
        <w:t xml:space="preserve"> </w:t>
      </w:r>
      <w:r w:rsidRPr="00744122">
        <w:rPr>
          <w:rFonts w:eastAsia="Calibri"/>
        </w:rPr>
        <w:t>disclosure of government records (5 U.S.C. 552(b</w:t>
      </w:r>
      <w:r w:rsidRPr="00744122">
        <w:rPr>
          <w:rFonts w:eastAsia="Calibri"/>
        </w:rPr>
        <w:t>)(</w:t>
      </w:r>
      <w:r w:rsidRPr="00744122">
        <w:rPr>
          <w:rFonts w:eastAsia="Calibri"/>
        </w:rPr>
        <w:t>1-9)).</w:t>
      </w:r>
      <w:r>
        <w:rPr>
          <w:rFonts w:eastAsia="Calibri"/>
        </w:rPr>
        <w:t xml:space="preserve"> </w:t>
      </w:r>
      <w:r w:rsidRPr="00744122">
        <w:rPr>
          <w:rFonts w:eastAsia="Calibri"/>
        </w:rPr>
        <w:t xml:space="preserve"> FDA will make the fullest possible</w:t>
      </w:r>
      <w:r>
        <w:rPr>
          <w:rFonts w:eastAsia="Calibri"/>
        </w:rPr>
        <w:t xml:space="preserve"> </w:t>
      </w:r>
      <w:r w:rsidRPr="00744122">
        <w:rPr>
          <w:rFonts w:eastAsia="Calibri"/>
        </w:rPr>
        <w:t xml:space="preserve">disclosure of records to the public, </w:t>
      </w:r>
      <w:r w:rsidRPr="00744122">
        <w:rPr>
          <w:rFonts w:eastAsia="Calibri"/>
        </w:rPr>
        <w:t>consistent with the rights of individuals to privacy, the property</w:t>
      </w:r>
      <w:r>
        <w:rPr>
          <w:rFonts w:eastAsia="Calibri"/>
        </w:rPr>
        <w:t xml:space="preserve"> </w:t>
      </w:r>
      <w:r w:rsidRPr="00744122">
        <w:rPr>
          <w:rFonts w:eastAsia="Calibri"/>
        </w:rPr>
        <w:t>rights of persons in trade and confidential commercial or financial information</w:t>
      </w:r>
      <w:r w:rsidRPr="00BC7121">
        <w:rPr>
          <w:rFonts w:eastAsia="Calibri"/>
          <w:color w:val="000000" w:themeColor="text1"/>
        </w:rPr>
        <w:t>.</w:t>
      </w:r>
      <w:r w:rsidRPr="00BC7121">
        <w:rPr>
          <w:rFonts w:eastAsia="Calibri"/>
          <w:color w:val="000000" w:themeColor="text1"/>
        </w:rPr>
        <w:t xml:space="preserve"> </w:t>
      </w:r>
    </w:p>
    <w:p w:rsidR="001075D3" w:rsidRPr="001075D3" w:rsidP="001075D3" w14:paraId="24D8B43E" w14:textId="77777777">
      <w:pPr>
        <w:ind w:left="720"/>
      </w:pPr>
    </w:p>
    <w:p w:rsidR="00357C8A" w:rsidRPr="00357C8A" w:rsidP="006705EA" w14:paraId="288784EB"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P="00A34982" w14:paraId="75A73FEB" w14:textId="65139723">
      <w:r>
        <w:t>There are no expectations that the individual projects will contain sensitive questions</w:t>
      </w:r>
      <w:r w:rsidR="00013F1B">
        <w:t>,</w:t>
      </w:r>
      <w:r>
        <w:t xml:space="preserve"> but if they do, FDA will include a justification for them in the individual submission.</w:t>
      </w:r>
    </w:p>
    <w:p w:rsidR="00DF7F89" w:rsidRPr="00052C73" w:rsidP="00A34982" w14:paraId="2E0F6C57" w14:textId="77777777">
      <w:pPr>
        <w:rPr>
          <w:rFonts w:eastAsia="Calibri"/>
          <w:color w:val="000000" w:themeColor="text1"/>
        </w:rPr>
      </w:pPr>
    </w:p>
    <w:p w:rsidR="00357C8A" w:rsidRPr="00357C8A" w:rsidP="006705EA" w14:paraId="2C4C242A"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00143A9A" w14:textId="77777777">
      <w:pPr>
        <w:spacing w:after="200"/>
        <w:ind w:left="360"/>
        <w:rPr>
          <w:rFonts w:eastAsia="Calibri"/>
        </w:rPr>
      </w:pPr>
      <w:r w:rsidRPr="005C71CA">
        <w:rPr>
          <w:rFonts w:eastAsia="Calibri"/>
        </w:rPr>
        <w:t>12a.  Annualized Hour Burden Estimate</w:t>
      </w:r>
    </w:p>
    <w:p w:rsidR="004D6E01" w:rsidP="0062306B" w14:paraId="2462673D"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eastAsia="Calibri"/>
        </w:rPr>
      </w:pPr>
      <w:r>
        <w:rPr>
          <w:rFonts w:eastAsia="Calibri"/>
        </w:rPr>
        <w:t>T</w:t>
      </w:r>
      <w:r w:rsidRPr="00AF60AF">
        <w:rPr>
          <w:rFonts w:eastAsia="Calibri"/>
        </w:rPr>
        <w:t xml:space="preserve">able 1 provides an estimate of anticipated burden levels that may be incurred during the 3-year period of this information collection. </w:t>
      </w:r>
    </w:p>
    <w:p w:rsidR="004D6E01" w:rsidP="00AF60AF" w14:paraId="601FC37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Calibri"/>
        </w:rPr>
      </w:pPr>
    </w:p>
    <w:p w:rsidR="00AF60AF" w:rsidRPr="007D4EA9" w:rsidP="00AF60AF" w14:paraId="535EFF3C" w14:textId="1FB925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
          <w:sz w:val="20"/>
          <w:szCs w:val="20"/>
          <w:lang w:bidi="he-IL"/>
        </w:rPr>
      </w:pPr>
      <w:r w:rsidRPr="007D4EA9">
        <w:rPr>
          <w:sz w:val="20"/>
          <w:szCs w:val="20"/>
          <w:lang w:bidi="he-IL"/>
        </w:rPr>
        <w:t xml:space="preserve">Table </w:t>
      </w:r>
      <w:r w:rsidRPr="007D4EA9">
        <w:rPr>
          <w:sz w:val="20"/>
          <w:szCs w:val="20"/>
          <w:lang w:bidi="he-IL"/>
        </w:rPr>
        <w:t>1.--</w:t>
      </w:r>
      <w:r w:rsidRPr="007D4EA9">
        <w:rPr>
          <w:sz w:val="20"/>
          <w:szCs w:val="20"/>
          <w:lang w:bidi="he-IL"/>
        </w:rPr>
        <w:t>Estimated Reporting Burden</w:t>
      </w:r>
      <w:r w:rsidRPr="007D4EA9">
        <w:rPr>
          <w:sz w:val="20"/>
          <w:szCs w:val="20"/>
          <w:vertAlign w:val="superscript"/>
          <w:lang w:bidi="he-IL"/>
        </w:rPr>
        <w:t>1</w:t>
      </w:r>
    </w:p>
    <w:tbl>
      <w:tblPr>
        <w:tblW w:w="94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9"/>
        <w:gridCol w:w="1239"/>
        <w:gridCol w:w="1666"/>
        <w:gridCol w:w="1339"/>
        <w:gridCol w:w="1595"/>
        <w:gridCol w:w="1152"/>
      </w:tblGrid>
      <w:tr w14:paraId="50F9224D" w14:textId="77777777" w:rsidTr="00EA7110">
        <w:tblPrEx>
          <w:tblW w:w="94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7"/>
        </w:trPr>
        <w:tc>
          <w:tcPr>
            <w:tcW w:w="2459" w:type="dxa"/>
            <w:tcBorders>
              <w:top w:val="single" w:sz="4" w:space="0" w:color="auto"/>
              <w:left w:val="single" w:sz="4" w:space="0" w:color="auto"/>
              <w:bottom w:val="single" w:sz="4" w:space="0" w:color="auto"/>
              <w:right w:val="single" w:sz="4" w:space="0" w:color="auto"/>
            </w:tcBorders>
          </w:tcPr>
          <w:p w:rsidR="00AF60AF" w:rsidRPr="009C2F3B" w:rsidP="00233D0C" w14:paraId="0B641389"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sz w:val="20"/>
                <w:szCs w:val="20"/>
              </w:rPr>
            </w:pPr>
            <w:r w:rsidRPr="009C2F3B">
              <w:rPr>
                <w:sz w:val="20"/>
                <w:szCs w:val="20"/>
              </w:rPr>
              <w:t>Survey Type</w:t>
            </w:r>
          </w:p>
        </w:tc>
        <w:tc>
          <w:tcPr>
            <w:tcW w:w="1239" w:type="dxa"/>
            <w:tcBorders>
              <w:top w:val="single" w:sz="4" w:space="0" w:color="auto"/>
              <w:left w:val="single" w:sz="4" w:space="0" w:color="auto"/>
              <w:bottom w:val="single" w:sz="4" w:space="0" w:color="auto"/>
              <w:right w:val="single" w:sz="4" w:space="0" w:color="auto"/>
            </w:tcBorders>
            <w:hideMark/>
          </w:tcPr>
          <w:p w:rsidR="00AF60AF" w:rsidRPr="009C2F3B" w:rsidP="00233D0C" w14:paraId="194E131D"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strike/>
                <w:sz w:val="20"/>
                <w:szCs w:val="20"/>
              </w:rPr>
            </w:pPr>
            <w:r w:rsidRPr="009C2F3B">
              <w:rPr>
                <w:sz w:val="20"/>
                <w:szCs w:val="20"/>
              </w:rPr>
              <w:t>No. of Respondents</w:t>
            </w:r>
          </w:p>
        </w:tc>
        <w:tc>
          <w:tcPr>
            <w:tcW w:w="1666" w:type="dxa"/>
            <w:tcBorders>
              <w:top w:val="single" w:sz="4" w:space="0" w:color="auto"/>
              <w:left w:val="single" w:sz="4" w:space="0" w:color="auto"/>
              <w:bottom w:val="single" w:sz="4" w:space="0" w:color="auto"/>
              <w:right w:val="single" w:sz="4" w:space="0" w:color="auto"/>
            </w:tcBorders>
            <w:hideMark/>
          </w:tcPr>
          <w:p w:rsidR="00AF60AF" w:rsidRPr="009C2F3B" w:rsidP="00233D0C" w14:paraId="633FF6AE"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sz w:val="20"/>
                <w:szCs w:val="20"/>
              </w:rPr>
            </w:pPr>
            <w:r w:rsidRPr="009C2F3B">
              <w:rPr>
                <w:bCs/>
                <w:sz w:val="20"/>
                <w:szCs w:val="20"/>
              </w:rPr>
              <w:t>No. of Responses per Respondent</w:t>
            </w:r>
          </w:p>
        </w:tc>
        <w:tc>
          <w:tcPr>
            <w:tcW w:w="1339" w:type="dxa"/>
            <w:tcBorders>
              <w:top w:val="single" w:sz="4" w:space="0" w:color="auto"/>
              <w:left w:val="single" w:sz="4" w:space="0" w:color="auto"/>
              <w:bottom w:val="single" w:sz="4" w:space="0" w:color="auto"/>
              <w:right w:val="single" w:sz="4" w:space="0" w:color="auto"/>
            </w:tcBorders>
            <w:hideMark/>
          </w:tcPr>
          <w:p w:rsidR="00AF60AF" w:rsidRPr="009C2F3B" w:rsidP="00233D0C" w14:paraId="27E7656D"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sz w:val="20"/>
                <w:szCs w:val="20"/>
              </w:rPr>
            </w:pPr>
            <w:r w:rsidRPr="009C2F3B">
              <w:rPr>
                <w:bCs/>
                <w:sz w:val="20"/>
                <w:szCs w:val="20"/>
              </w:rPr>
              <w:t>Total Annual Responses</w:t>
            </w:r>
          </w:p>
        </w:tc>
        <w:tc>
          <w:tcPr>
            <w:tcW w:w="1595" w:type="dxa"/>
            <w:tcBorders>
              <w:top w:val="single" w:sz="4" w:space="0" w:color="auto"/>
              <w:left w:val="single" w:sz="4" w:space="0" w:color="auto"/>
              <w:bottom w:val="single" w:sz="4" w:space="0" w:color="auto"/>
              <w:right w:val="single" w:sz="4" w:space="0" w:color="auto"/>
            </w:tcBorders>
            <w:hideMark/>
          </w:tcPr>
          <w:p w:rsidR="00AF60AF" w:rsidRPr="009C2F3B" w:rsidP="00233D0C" w14:paraId="732AD5DE"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sz w:val="20"/>
                <w:szCs w:val="20"/>
              </w:rPr>
            </w:pPr>
            <w:r w:rsidRPr="009C2F3B">
              <w:rPr>
                <w:bCs/>
                <w:sz w:val="20"/>
                <w:szCs w:val="20"/>
              </w:rPr>
              <w:t>Average Burden per Response</w:t>
            </w:r>
          </w:p>
        </w:tc>
        <w:tc>
          <w:tcPr>
            <w:tcW w:w="1152" w:type="dxa"/>
            <w:tcBorders>
              <w:top w:val="single" w:sz="4" w:space="0" w:color="auto"/>
              <w:left w:val="single" w:sz="4" w:space="0" w:color="auto"/>
              <w:bottom w:val="single" w:sz="4" w:space="0" w:color="auto"/>
              <w:right w:val="single" w:sz="4" w:space="0" w:color="auto"/>
            </w:tcBorders>
            <w:hideMark/>
          </w:tcPr>
          <w:p w:rsidR="00AF60AF" w:rsidRPr="009C2F3B" w:rsidP="00233D0C" w14:paraId="4D5BAC98"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sz w:val="20"/>
                <w:szCs w:val="20"/>
              </w:rPr>
            </w:pPr>
            <w:r w:rsidRPr="009C2F3B">
              <w:rPr>
                <w:sz w:val="20"/>
                <w:szCs w:val="20"/>
              </w:rPr>
              <w:t>Total Hours</w:t>
            </w:r>
          </w:p>
        </w:tc>
      </w:tr>
      <w:tr w14:paraId="1C9A1789" w14:textId="77777777" w:rsidTr="007D4EA9">
        <w:tblPrEx>
          <w:tblW w:w="9450" w:type="dxa"/>
          <w:tblInd w:w="355" w:type="dxa"/>
          <w:tblLook w:val="01E0"/>
        </w:tblPrEx>
        <w:trPr>
          <w:trHeight w:val="61"/>
        </w:trPr>
        <w:tc>
          <w:tcPr>
            <w:tcW w:w="2459" w:type="dxa"/>
            <w:tcBorders>
              <w:top w:val="single" w:sz="4" w:space="0" w:color="auto"/>
              <w:left w:val="single" w:sz="4" w:space="0" w:color="auto"/>
              <w:bottom w:val="single" w:sz="4" w:space="0" w:color="auto"/>
              <w:right w:val="single" w:sz="4" w:space="0" w:color="auto"/>
            </w:tcBorders>
          </w:tcPr>
          <w:p w:rsidR="00AF60AF" w:rsidRPr="009C2F3B" w:rsidP="00233D0C" w14:paraId="00A5D1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In-depth Interviews, Cognitive Interviews Screener</w:t>
            </w:r>
          </w:p>
        </w:tc>
        <w:tc>
          <w:tcPr>
            <w:tcW w:w="1239" w:type="dxa"/>
            <w:tcBorders>
              <w:top w:val="single" w:sz="4" w:space="0" w:color="auto"/>
              <w:left w:val="single" w:sz="4" w:space="0" w:color="auto"/>
              <w:bottom w:val="single" w:sz="4" w:space="0" w:color="auto"/>
              <w:right w:val="single" w:sz="4" w:space="0" w:color="auto"/>
            </w:tcBorders>
          </w:tcPr>
          <w:p w:rsidR="00AF60AF" w:rsidRPr="009C2F3B" w:rsidP="00233D0C" w14:paraId="745264F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color w:val="000000"/>
                <w:sz w:val="20"/>
                <w:szCs w:val="20"/>
              </w:rPr>
              <w:t>45</w:t>
            </w:r>
          </w:p>
        </w:tc>
        <w:tc>
          <w:tcPr>
            <w:tcW w:w="1666" w:type="dxa"/>
            <w:tcBorders>
              <w:top w:val="single" w:sz="4" w:space="0" w:color="auto"/>
              <w:left w:val="single" w:sz="4" w:space="0" w:color="auto"/>
              <w:bottom w:val="single" w:sz="4" w:space="0" w:color="auto"/>
              <w:right w:val="single" w:sz="4" w:space="0" w:color="auto"/>
            </w:tcBorders>
          </w:tcPr>
          <w:p w:rsidR="00AF60AF" w:rsidRPr="009C2F3B" w:rsidP="00233D0C" w14:paraId="17F973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1</w:t>
            </w:r>
          </w:p>
        </w:tc>
        <w:tc>
          <w:tcPr>
            <w:tcW w:w="1339" w:type="dxa"/>
            <w:tcBorders>
              <w:top w:val="single" w:sz="4" w:space="0" w:color="auto"/>
              <w:left w:val="single" w:sz="4" w:space="0" w:color="auto"/>
              <w:bottom w:val="single" w:sz="4" w:space="0" w:color="auto"/>
              <w:right w:val="single" w:sz="4" w:space="0" w:color="auto"/>
            </w:tcBorders>
          </w:tcPr>
          <w:p w:rsidR="00AF60AF" w:rsidRPr="009C2F3B" w:rsidP="00233D0C" w14:paraId="57C1005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color w:val="000000"/>
                <w:sz w:val="20"/>
                <w:szCs w:val="20"/>
              </w:rPr>
              <w:t>45</w:t>
            </w:r>
          </w:p>
        </w:tc>
        <w:tc>
          <w:tcPr>
            <w:tcW w:w="1595" w:type="dxa"/>
            <w:tcBorders>
              <w:top w:val="single" w:sz="4" w:space="0" w:color="auto"/>
              <w:left w:val="single" w:sz="4" w:space="0" w:color="auto"/>
              <w:bottom w:val="single" w:sz="4" w:space="0" w:color="auto"/>
              <w:right w:val="single" w:sz="4" w:space="0" w:color="auto"/>
            </w:tcBorders>
          </w:tcPr>
          <w:p w:rsidR="00AF60AF" w:rsidRPr="009C2F3B" w:rsidP="00233D0C" w14:paraId="2235D76E" w14:textId="77777777">
            <w:pPr>
              <w:contextualSpacing/>
              <w:jc w:val="right"/>
              <w:rPr>
                <w:sz w:val="20"/>
                <w:szCs w:val="20"/>
              </w:rPr>
            </w:pPr>
            <w:r w:rsidRPr="009C2F3B">
              <w:rPr>
                <w:sz w:val="20"/>
                <w:szCs w:val="20"/>
              </w:rPr>
              <w:t>0.083</w:t>
            </w:r>
          </w:p>
          <w:p w:rsidR="00AF60AF" w:rsidRPr="009C2F3B" w:rsidP="00233D0C" w14:paraId="06964CB0" w14:textId="77777777">
            <w:pPr>
              <w:contextualSpacing/>
              <w:jc w:val="right"/>
              <w:rPr>
                <w:sz w:val="20"/>
                <w:szCs w:val="20"/>
              </w:rPr>
            </w:pPr>
            <w:r w:rsidRPr="009C2F3B">
              <w:rPr>
                <w:sz w:val="20"/>
                <w:szCs w:val="20"/>
              </w:rPr>
              <w:t>(5 minutes)</w:t>
            </w:r>
          </w:p>
        </w:tc>
        <w:tc>
          <w:tcPr>
            <w:tcW w:w="1152" w:type="dxa"/>
            <w:tcBorders>
              <w:top w:val="single" w:sz="4" w:space="0" w:color="auto"/>
              <w:left w:val="single" w:sz="4" w:space="0" w:color="auto"/>
              <w:bottom w:val="single" w:sz="4" w:space="0" w:color="auto"/>
              <w:right w:val="single" w:sz="4" w:space="0" w:color="auto"/>
            </w:tcBorders>
          </w:tcPr>
          <w:p w:rsidR="00AF60AF" w:rsidRPr="009C2F3B" w:rsidP="00233D0C" w14:paraId="4F08B87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4</w:t>
            </w:r>
          </w:p>
        </w:tc>
      </w:tr>
      <w:tr w14:paraId="4C4523A0" w14:textId="77777777" w:rsidTr="007D4EA9">
        <w:tblPrEx>
          <w:tblW w:w="9450" w:type="dxa"/>
          <w:tblInd w:w="355" w:type="dxa"/>
          <w:tblLook w:val="01E0"/>
        </w:tblPrEx>
        <w:trPr>
          <w:trHeight w:val="61"/>
        </w:trPr>
        <w:tc>
          <w:tcPr>
            <w:tcW w:w="2459" w:type="dxa"/>
            <w:tcBorders>
              <w:top w:val="single" w:sz="4" w:space="0" w:color="auto"/>
              <w:left w:val="single" w:sz="4" w:space="0" w:color="auto"/>
              <w:bottom w:val="single" w:sz="4" w:space="0" w:color="auto"/>
              <w:right w:val="single" w:sz="4" w:space="0" w:color="auto"/>
            </w:tcBorders>
          </w:tcPr>
          <w:p w:rsidR="00AF60AF" w:rsidRPr="009C2F3B" w:rsidP="00233D0C" w14:paraId="5E8595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 xml:space="preserve">In-depth Interviews, Cognitive Interviews </w:t>
            </w:r>
          </w:p>
        </w:tc>
        <w:tc>
          <w:tcPr>
            <w:tcW w:w="1239" w:type="dxa"/>
            <w:tcBorders>
              <w:top w:val="single" w:sz="4" w:space="0" w:color="auto"/>
              <w:left w:val="single" w:sz="4" w:space="0" w:color="auto"/>
              <w:bottom w:val="single" w:sz="4" w:space="0" w:color="auto"/>
              <w:right w:val="single" w:sz="4" w:space="0" w:color="auto"/>
            </w:tcBorders>
          </w:tcPr>
          <w:p w:rsidR="00AF60AF" w:rsidRPr="009C2F3B" w:rsidP="00233D0C" w14:paraId="45D3613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color w:val="000000"/>
                <w:sz w:val="20"/>
                <w:szCs w:val="20"/>
              </w:rPr>
              <w:t>9</w:t>
            </w:r>
          </w:p>
        </w:tc>
        <w:tc>
          <w:tcPr>
            <w:tcW w:w="1666" w:type="dxa"/>
            <w:tcBorders>
              <w:top w:val="single" w:sz="4" w:space="0" w:color="auto"/>
              <w:left w:val="single" w:sz="4" w:space="0" w:color="auto"/>
              <w:bottom w:val="single" w:sz="4" w:space="0" w:color="auto"/>
              <w:right w:val="single" w:sz="4" w:space="0" w:color="auto"/>
            </w:tcBorders>
          </w:tcPr>
          <w:p w:rsidR="00AF60AF" w:rsidRPr="009C2F3B" w:rsidP="00233D0C" w14:paraId="5944F5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1</w:t>
            </w:r>
          </w:p>
        </w:tc>
        <w:tc>
          <w:tcPr>
            <w:tcW w:w="1339" w:type="dxa"/>
            <w:tcBorders>
              <w:top w:val="single" w:sz="4" w:space="0" w:color="auto"/>
              <w:left w:val="single" w:sz="4" w:space="0" w:color="auto"/>
              <w:bottom w:val="single" w:sz="4" w:space="0" w:color="auto"/>
              <w:right w:val="single" w:sz="4" w:space="0" w:color="auto"/>
            </w:tcBorders>
          </w:tcPr>
          <w:p w:rsidR="00AF60AF" w:rsidRPr="009C2F3B" w:rsidP="00233D0C" w14:paraId="4599D1D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color w:val="000000"/>
                <w:sz w:val="20"/>
                <w:szCs w:val="20"/>
              </w:rPr>
              <w:t>9</w:t>
            </w:r>
          </w:p>
        </w:tc>
        <w:tc>
          <w:tcPr>
            <w:tcW w:w="1595" w:type="dxa"/>
            <w:tcBorders>
              <w:top w:val="single" w:sz="4" w:space="0" w:color="auto"/>
              <w:left w:val="single" w:sz="4" w:space="0" w:color="auto"/>
              <w:bottom w:val="single" w:sz="4" w:space="0" w:color="auto"/>
              <w:right w:val="single" w:sz="4" w:space="0" w:color="auto"/>
            </w:tcBorders>
          </w:tcPr>
          <w:p w:rsidR="00AF60AF" w:rsidRPr="009C2F3B" w:rsidP="00233D0C" w14:paraId="39131C4A" w14:textId="77777777">
            <w:pPr>
              <w:contextualSpacing/>
              <w:jc w:val="right"/>
              <w:rPr>
                <w:strike/>
                <w:sz w:val="20"/>
                <w:szCs w:val="20"/>
              </w:rPr>
            </w:pPr>
            <w:r w:rsidRPr="009C2F3B">
              <w:rPr>
                <w:sz w:val="20"/>
                <w:szCs w:val="20"/>
              </w:rPr>
              <w:t>1</w:t>
            </w:r>
          </w:p>
        </w:tc>
        <w:tc>
          <w:tcPr>
            <w:tcW w:w="1152" w:type="dxa"/>
            <w:tcBorders>
              <w:top w:val="single" w:sz="4" w:space="0" w:color="auto"/>
              <w:left w:val="single" w:sz="4" w:space="0" w:color="auto"/>
              <w:bottom w:val="single" w:sz="4" w:space="0" w:color="auto"/>
              <w:right w:val="single" w:sz="4" w:space="0" w:color="auto"/>
            </w:tcBorders>
          </w:tcPr>
          <w:p w:rsidR="00AF60AF" w:rsidRPr="009C2F3B" w:rsidP="00233D0C" w14:paraId="2D3102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9</w:t>
            </w:r>
          </w:p>
        </w:tc>
      </w:tr>
      <w:tr w14:paraId="6F6B8DC1" w14:textId="77777777" w:rsidTr="007D4EA9">
        <w:tblPrEx>
          <w:tblW w:w="9450" w:type="dxa"/>
          <w:tblInd w:w="355" w:type="dxa"/>
          <w:tblLook w:val="01E0"/>
        </w:tblPrEx>
        <w:trPr>
          <w:trHeight w:val="61"/>
        </w:trPr>
        <w:tc>
          <w:tcPr>
            <w:tcW w:w="2459" w:type="dxa"/>
            <w:tcBorders>
              <w:top w:val="single" w:sz="4" w:space="0" w:color="auto"/>
              <w:left w:val="single" w:sz="4" w:space="0" w:color="auto"/>
              <w:bottom w:val="single" w:sz="4" w:space="0" w:color="auto"/>
              <w:right w:val="single" w:sz="4" w:space="0" w:color="auto"/>
            </w:tcBorders>
            <w:shd w:val="clear" w:color="auto" w:fill="auto"/>
          </w:tcPr>
          <w:p w:rsidR="00AF60AF" w:rsidRPr="009C2F3B" w:rsidP="00233D0C" w14:paraId="137490F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In-depth Interviews Screener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AF60AF" w:rsidRPr="006A1324" w:rsidP="00233D0C" w14:paraId="79E9ED0E" w14:textId="77777777">
            <w:pPr>
              <w:numPr>
                <w:ilvl w:val="12"/>
                <w:numId w:val="0"/>
              </w:numPr>
              <w:tabs>
                <w:tab w:val="left" w:pos="0"/>
                <w:tab w:val="center" w:pos="567"/>
                <w:tab w:val="left" w:pos="720"/>
                <w:tab w:val="righ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color w:val="000000"/>
                <w:sz w:val="20"/>
                <w:szCs w:val="20"/>
              </w:rPr>
              <w:t>300</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AF60AF" w:rsidRPr="006A1324" w:rsidP="00233D0C" w14:paraId="1E381B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1</w:t>
            </w: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AF60AF" w:rsidRPr="006A1324" w:rsidP="00233D0C" w14:paraId="6972FA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color w:val="000000"/>
                <w:sz w:val="20"/>
                <w:szCs w:val="20"/>
              </w:rPr>
              <w:t>300</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AF60AF" w:rsidRPr="006A1324" w:rsidP="00233D0C" w14:paraId="7B0950BD" w14:textId="77777777">
            <w:pPr>
              <w:contextualSpacing/>
              <w:jc w:val="right"/>
              <w:rPr>
                <w:sz w:val="20"/>
                <w:szCs w:val="20"/>
              </w:rPr>
            </w:pPr>
            <w:r w:rsidRPr="006A1324">
              <w:rPr>
                <w:sz w:val="20"/>
                <w:szCs w:val="20"/>
              </w:rPr>
              <w:t>0.083</w:t>
            </w:r>
          </w:p>
          <w:p w:rsidR="00AF60AF" w:rsidRPr="006A1324" w:rsidP="00233D0C" w14:paraId="2F6B5214" w14:textId="77777777">
            <w:pPr>
              <w:contextualSpacing/>
              <w:jc w:val="right"/>
              <w:rPr>
                <w:sz w:val="20"/>
                <w:szCs w:val="20"/>
              </w:rPr>
            </w:pPr>
            <w:r w:rsidRPr="006A1324">
              <w:rPr>
                <w:sz w:val="20"/>
                <w:szCs w:val="20"/>
              </w:rPr>
              <w:t>(5 minutes)</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AF60AF" w:rsidRPr="006A1324" w:rsidP="00233D0C" w14:paraId="4338A7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25</w:t>
            </w:r>
          </w:p>
        </w:tc>
      </w:tr>
      <w:tr w14:paraId="32F010CD" w14:textId="77777777" w:rsidTr="007D4EA9">
        <w:tblPrEx>
          <w:tblW w:w="9450" w:type="dxa"/>
          <w:tblInd w:w="355" w:type="dxa"/>
          <w:tblLook w:val="01E0"/>
        </w:tblPrEx>
        <w:trPr>
          <w:trHeight w:val="61"/>
        </w:trPr>
        <w:tc>
          <w:tcPr>
            <w:tcW w:w="2459" w:type="dxa"/>
            <w:tcBorders>
              <w:top w:val="single" w:sz="4" w:space="0" w:color="auto"/>
              <w:left w:val="single" w:sz="4" w:space="0" w:color="auto"/>
              <w:bottom w:val="single" w:sz="4" w:space="0" w:color="auto"/>
              <w:right w:val="single" w:sz="4" w:space="0" w:color="auto"/>
            </w:tcBorders>
            <w:shd w:val="clear" w:color="auto" w:fill="auto"/>
          </w:tcPr>
          <w:p w:rsidR="00AF60AF" w:rsidRPr="009C2F3B" w:rsidP="00233D0C" w14:paraId="0C2A0E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 xml:space="preserve">In-depth Interviews </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AF60AF" w:rsidRPr="006A1324" w:rsidP="00233D0C" w14:paraId="4476CD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color w:val="000000"/>
                <w:sz w:val="20"/>
                <w:szCs w:val="20"/>
              </w:rPr>
              <w:t>60</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AF60AF" w:rsidRPr="006A1324" w:rsidP="00233D0C" w14:paraId="1CBFF3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1</w:t>
            </w: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AF60AF" w:rsidRPr="006A1324" w:rsidP="00233D0C" w14:paraId="0AF8CA0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color w:val="000000"/>
                <w:sz w:val="20"/>
                <w:szCs w:val="20"/>
              </w:rPr>
              <w:t>60</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AF60AF" w:rsidRPr="006A1324" w:rsidP="00233D0C" w14:paraId="056B3E1F" w14:textId="77777777">
            <w:pPr>
              <w:contextualSpacing/>
              <w:jc w:val="right"/>
              <w:rPr>
                <w:strike/>
                <w:sz w:val="20"/>
                <w:szCs w:val="20"/>
              </w:rPr>
            </w:pPr>
            <w:r w:rsidRPr="006A1324">
              <w:rPr>
                <w:sz w:val="20"/>
                <w:szCs w:val="20"/>
              </w:rPr>
              <w:t>1</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AF60AF" w:rsidRPr="006A1324" w:rsidP="00233D0C" w14:paraId="7E3ADAF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60</w:t>
            </w:r>
          </w:p>
        </w:tc>
      </w:tr>
      <w:tr w14:paraId="1846DD73" w14:textId="77777777" w:rsidTr="007D4EA9">
        <w:tblPrEx>
          <w:tblW w:w="9450" w:type="dxa"/>
          <w:tblInd w:w="355" w:type="dxa"/>
          <w:tblLook w:val="01E0"/>
        </w:tblPrEx>
        <w:trPr>
          <w:trHeight w:val="61"/>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rsidR="00AF60AF" w:rsidRPr="009C2F3B" w:rsidP="00233D0C" w14:paraId="3EC149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Survey Cognitive Interviews Screener</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183693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color w:val="000000"/>
                <w:sz w:val="20"/>
                <w:szCs w:val="20"/>
              </w:rPr>
              <w:t>45</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00B821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1</w:t>
            </w:r>
          </w:p>
        </w:tc>
        <w:tc>
          <w:tcPr>
            <w:tcW w:w="1339"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32EBE4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color w:val="000000"/>
                <w:sz w:val="20"/>
                <w:szCs w:val="20"/>
              </w:rPr>
              <w:t>45</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1EAFD0FC" w14:textId="77777777">
            <w:pPr>
              <w:contextualSpacing/>
              <w:jc w:val="right"/>
              <w:rPr>
                <w:sz w:val="20"/>
                <w:szCs w:val="20"/>
              </w:rPr>
            </w:pPr>
            <w:r w:rsidRPr="006A1324">
              <w:rPr>
                <w:sz w:val="20"/>
                <w:szCs w:val="20"/>
              </w:rPr>
              <w:t>0.083</w:t>
            </w:r>
          </w:p>
          <w:p w:rsidR="00AF60AF" w:rsidRPr="006A1324" w:rsidP="00233D0C" w14:paraId="59F10B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(5 minutes)</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0F49AB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4</w:t>
            </w:r>
          </w:p>
        </w:tc>
      </w:tr>
      <w:tr w14:paraId="2C46C9EE" w14:textId="77777777" w:rsidTr="007D4EA9">
        <w:tblPrEx>
          <w:tblW w:w="9450" w:type="dxa"/>
          <w:tblInd w:w="355" w:type="dxa"/>
          <w:tblLook w:val="01E0"/>
        </w:tblPrEx>
        <w:trPr>
          <w:trHeight w:val="61"/>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rsidR="00AF60AF" w:rsidRPr="009C2F3B" w:rsidP="00233D0C" w14:paraId="71AA32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Survey Cognitive Interviews</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295131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color w:val="000000"/>
                <w:sz w:val="20"/>
                <w:szCs w:val="20"/>
              </w:rPr>
              <w:t>9</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2AF3C9E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1</w:t>
            </w:r>
          </w:p>
        </w:tc>
        <w:tc>
          <w:tcPr>
            <w:tcW w:w="1339"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65946C3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color w:val="000000"/>
                <w:sz w:val="20"/>
                <w:szCs w:val="20"/>
              </w:rPr>
              <w:t>9</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0A096683" w14:textId="77777777">
            <w:pPr>
              <w:contextualSpacing/>
              <w:jc w:val="right"/>
              <w:rPr>
                <w:strike/>
                <w:sz w:val="20"/>
                <w:szCs w:val="20"/>
              </w:rPr>
            </w:pPr>
            <w:r w:rsidRPr="006A1324">
              <w:rPr>
                <w:sz w:val="20"/>
                <w:szCs w:val="20"/>
              </w:rPr>
              <w:t>1</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25AE56D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9</w:t>
            </w:r>
          </w:p>
        </w:tc>
      </w:tr>
      <w:tr w14:paraId="219E9A7D" w14:textId="77777777" w:rsidTr="007D4EA9">
        <w:tblPrEx>
          <w:tblW w:w="9450" w:type="dxa"/>
          <w:tblInd w:w="355" w:type="dxa"/>
          <w:tblLook w:val="01E0"/>
        </w:tblPrEx>
        <w:trPr>
          <w:trHeight w:val="61"/>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rsidR="00AF60AF" w:rsidRPr="009C2F3B" w:rsidP="00233D0C" w14:paraId="32BD760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 xml:space="preserve">Pretest survey screener </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296661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color w:val="000000"/>
                <w:sz w:val="20"/>
                <w:szCs w:val="20"/>
              </w:rPr>
              <w:t>1,500</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57C5E5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1</w:t>
            </w:r>
          </w:p>
        </w:tc>
        <w:tc>
          <w:tcPr>
            <w:tcW w:w="1339"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5DFF8D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color w:val="000000"/>
                <w:sz w:val="20"/>
                <w:szCs w:val="20"/>
              </w:rPr>
              <w:t>1,500</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2FF72BBB" w14:textId="77777777">
            <w:pPr>
              <w:contextualSpacing/>
              <w:jc w:val="right"/>
              <w:rPr>
                <w:sz w:val="20"/>
                <w:szCs w:val="20"/>
              </w:rPr>
            </w:pPr>
            <w:r w:rsidRPr="006A1324">
              <w:rPr>
                <w:sz w:val="20"/>
                <w:szCs w:val="20"/>
              </w:rPr>
              <w:t>0.083</w:t>
            </w:r>
          </w:p>
          <w:p w:rsidR="00AF60AF" w:rsidRPr="006A1324" w:rsidP="00233D0C" w14:paraId="3855725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(5 minutes)</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4110191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trike/>
                <w:sz w:val="20"/>
                <w:szCs w:val="20"/>
              </w:rPr>
            </w:pPr>
            <w:r w:rsidRPr="006A1324">
              <w:rPr>
                <w:sz w:val="20"/>
                <w:szCs w:val="20"/>
              </w:rPr>
              <w:t>124</w:t>
            </w:r>
          </w:p>
        </w:tc>
      </w:tr>
      <w:tr w14:paraId="5FDB58CF" w14:textId="77777777" w:rsidTr="007D4EA9">
        <w:tblPrEx>
          <w:tblW w:w="9450" w:type="dxa"/>
          <w:tblInd w:w="355" w:type="dxa"/>
          <w:tblLook w:val="01E0"/>
        </w:tblPrEx>
        <w:trPr>
          <w:trHeight w:val="61"/>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rsidR="00AF60AF" w:rsidRPr="009C2F3B" w:rsidP="00233D0C" w14:paraId="5C9963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 xml:space="preserve">Pretest survey </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0396D11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color w:val="000000"/>
                <w:sz w:val="20"/>
                <w:szCs w:val="20"/>
              </w:rPr>
              <w:t>300</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4BE057D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1</w:t>
            </w:r>
          </w:p>
        </w:tc>
        <w:tc>
          <w:tcPr>
            <w:tcW w:w="1339"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7896AF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color w:val="000000"/>
                <w:sz w:val="20"/>
                <w:szCs w:val="20"/>
              </w:rPr>
              <w:t>300</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47E88C6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0.25</w:t>
            </w:r>
          </w:p>
          <w:p w:rsidR="00AF60AF" w:rsidRPr="006A1324" w:rsidP="00233D0C" w14:paraId="3F5F8CA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(15 minutes)</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AF60AF" w:rsidRPr="006A1324" w:rsidP="00233D0C" w14:paraId="4FA3F42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76</w:t>
            </w:r>
          </w:p>
        </w:tc>
      </w:tr>
      <w:tr w14:paraId="1169484B" w14:textId="77777777" w:rsidTr="006E6B07">
        <w:tblPrEx>
          <w:tblW w:w="9450" w:type="dxa"/>
          <w:tblInd w:w="355" w:type="dxa"/>
          <w:tblLook w:val="01E0"/>
        </w:tblPrEx>
        <w:trPr>
          <w:trHeight w:val="61"/>
        </w:trPr>
        <w:tc>
          <w:tcPr>
            <w:tcW w:w="2459" w:type="dxa"/>
            <w:tcBorders>
              <w:top w:val="single" w:sz="4" w:space="0" w:color="auto"/>
              <w:left w:val="single" w:sz="4" w:space="0" w:color="auto"/>
              <w:bottom w:val="single" w:sz="4" w:space="0" w:color="auto"/>
              <w:right w:val="single" w:sz="4" w:space="0" w:color="auto"/>
            </w:tcBorders>
            <w:shd w:val="clear" w:color="auto" w:fill="FEF2CC" w:themeFill="accent4" w:themeFillTint="33"/>
            <w:hideMark/>
          </w:tcPr>
          <w:p w:rsidR="00AF60AF" w:rsidRPr="009C2F3B" w:rsidP="00233D0C" w14:paraId="7CEADD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Self-Administered Surveys--Study Screener</w:t>
            </w:r>
          </w:p>
        </w:tc>
        <w:tc>
          <w:tcPr>
            <w:tcW w:w="1239" w:type="dxa"/>
            <w:tcBorders>
              <w:top w:val="single" w:sz="4" w:space="0" w:color="auto"/>
              <w:left w:val="single" w:sz="4" w:space="0" w:color="auto"/>
              <w:bottom w:val="single" w:sz="4" w:space="0" w:color="auto"/>
              <w:right w:val="single" w:sz="4" w:space="0" w:color="auto"/>
            </w:tcBorders>
            <w:shd w:val="clear" w:color="auto" w:fill="FEF2CC" w:themeFill="accent4" w:themeFillTint="33"/>
            <w:hideMark/>
          </w:tcPr>
          <w:p w:rsidR="00AF60AF" w:rsidRPr="006A1324" w:rsidP="00233D0C" w14:paraId="594840CB" w14:textId="0B22E9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7</w:t>
            </w:r>
            <w:r w:rsidR="00693117">
              <w:rPr>
                <w:color w:val="000000"/>
                <w:sz w:val="20"/>
                <w:szCs w:val="20"/>
              </w:rPr>
              <w:t>,500</w:t>
            </w:r>
          </w:p>
        </w:tc>
        <w:tc>
          <w:tcPr>
            <w:tcW w:w="1666" w:type="dxa"/>
            <w:tcBorders>
              <w:top w:val="single" w:sz="4" w:space="0" w:color="auto"/>
              <w:left w:val="single" w:sz="4" w:space="0" w:color="auto"/>
              <w:bottom w:val="single" w:sz="4" w:space="0" w:color="auto"/>
              <w:right w:val="single" w:sz="4" w:space="0" w:color="auto"/>
            </w:tcBorders>
            <w:shd w:val="clear" w:color="auto" w:fill="FEF2CC" w:themeFill="accent4" w:themeFillTint="33"/>
            <w:hideMark/>
          </w:tcPr>
          <w:p w:rsidR="00AF60AF" w:rsidRPr="006A1324" w:rsidP="00233D0C" w14:paraId="43EA961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1</w:t>
            </w:r>
          </w:p>
        </w:tc>
        <w:tc>
          <w:tcPr>
            <w:tcW w:w="1339" w:type="dxa"/>
            <w:tcBorders>
              <w:top w:val="single" w:sz="4" w:space="0" w:color="auto"/>
              <w:left w:val="single" w:sz="4" w:space="0" w:color="auto"/>
              <w:bottom w:val="single" w:sz="4" w:space="0" w:color="auto"/>
              <w:right w:val="single" w:sz="4" w:space="0" w:color="auto"/>
            </w:tcBorders>
            <w:shd w:val="clear" w:color="auto" w:fill="FEF2CC" w:themeFill="accent4" w:themeFillTint="33"/>
            <w:hideMark/>
          </w:tcPr>
          <w:p w:rsidR="00AF60AF" w:rsidRPr="006A1324" w:rsidP="00233D0C" w14:paraId="198C00B7" w14:textId="5563D3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7,500</w:t>
            </w:r>
          </w:p>
        </w:tc>
        <w:tc>
          <w:tcPr>
            <w:tcW w:w="1595" w:type="dxa"/>
            <w:tcBorders>
              <w:top w:val="single" w:sz="4" w:space="0" w:color="auto"/>
              <w:left w:val="single" w:sz="4" w:space="0" w:color="auto"/>
              <w:bottom w:val="single" w:sz="4" w:space="0" w:color="auto"/>
              <w:right w:val="single" w:sz="4" w:space="0" w:color="auto"/>
            </w:tcBorders>
            <w:shd w:val="clear" w:color="auto" w:fill="FEF2CC" w:themeFill="accent4" w:themeFillTint="33"/>
            <w:hideMark/>
          </w:tcPr>
          <w:p w:rsidR="00AF60AF" w:rsidRPr="006A1324" w:rsidP="00233D0C" w14:paraId="2B042D98" w14:textId="77777777">
            <w:pPr>
              <w:contextualSpacing/>
              <w:jc w:val="right"/>
              <w:rPr>
                <w:sz w:val="20"/>
                <w:szCs w:val="20"/>
              </w:rPr>
            </w:pPr>
            <w:r w:rsidRPr="006A1324">
              <w:rPr>
                <w:sz w:val="20"/>
                <w:szCs w:val="20"/>
              </w:rPr>
              <w:t>0.083</w:t>
            </w:r>
          </w:p>
          <w:p w:rsidR="00AF60AF" w:rsidRPr="006A1324" w:rsidP="00233D0C" w14:paraId="5A55F4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(5 minutes)</w:t>
            </w:r>
          </w:p>
        </w:tc>
        <w:tc>
          <w:tcPr>
            <w:tcW w:w="1152" w:type="dxa"/>
            <w:tcBorders>
              <w:top w:val="single" w:sz="4" w:space="0" w:color="auto"/>
              <w:left w:val="single" w:sz="4" w:space="0" w:color="auto"/>
              <w:bottom w:val="single" w:sz="4" w:space="0" w:color="auto"/>
              <w:right w:val="single" w:sz="4" w:space="0" w:color="auto"/>
            </w:tcBorders>
            <w:shd w:val="clear" w:color="auto" w:fill="FEF2CC" w:themeFill="accent4" w:themeFillTint="33"/>
            <w:hideMark/>
          </w:tcPr>
          <w:p w:rsidR="00AF60AF" w:rsidRPr="006A1324" w:rsidP="00233D0C" w14:paraId="2E83CD57" w14:textId="13FF7D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622.5</w:t>
            </w:r>
          </w:p>
        </w:tc>
      </w:tr>
      <w:tr w14:paraId="1F52A082" w14:textId="77777777" w:rsidTr="006E6B07">
        <w:tblPrEx>
          <w:tblW w:w="9450" w:type="dxa"/>
          <w:tblInd w:w="355" w:type="dxa"/>
          <w:tblLook w:val="01E0"/>
        </w:tblPrEx>
        <w:trPr>
          <w:trHeight w:val="61"/>
        </w:trPr>
        <w:tc>
          <w:tcPr>
            <w:tcW w:w="2459" w:type="dxa"/>
            <w:tcBorders>
              <w:top w:val="single" w:sz="4" w:space="0" w:color="auto"/>
              <w:left w:val="single" w:sz="4" w:space="0" w:color="auto"/>
              <w:bottom w:val="single" w:sz="4" w:space="0" w:color="auto"/>
              <w:right w:val="single" w:sz="4" w:space="0" w:color="auto"/>
            </w:tcBorders>
            <w:shd w:val="clear" w:color="auto" w:fill="FEF2CC" w:themeFill="accent4" w:themeFillTint="33"/>
            <w:hideMark/>
          </w:tcPr>
          <w:p w:rsidR="00AF60AF" w:rsidRPr="009C2F3B" w:rsidP="00233D0C" w14:paraId="0F0715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Self-Administered Surveys</w:t>
            </w:r>
          </w:p>
        </w:tc>
        <w:tc>
          <w:tcPr>
            <w:tcW w:w="1239" w:type="dxa"/>
            <w:tcBorders>
              <w:top w:val="single" w:sz="4" w:space="0" w:color="auto"/>
              <w:left w:val="single" w:sz="4" w:space="0" w:color="auto"/>
              <w:bottom w:val="single" w:sz="4" w:space="0" w:color="auto"/>
              <w:right w:val="single" w:sz="4" w:space="0" w:color="auto"/>
            </w:tcBorders>
            <w:shd w:val="clear" w:color="auto" w:fill="FEF2CC" w:themeFill="accent4" w:themeFillTint="33"/>
            <w:hideMark/>
          </w:tcPr>
          <w:p w:rsidR="00AF60AF" w:rsidRPr="006A1324" w:rsidP="00233D0C" w14:paraId="1DDF07CC" w14:textId="748AE40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1,500</w:t>
            </w:r>
          </w:p>
        </w:tc>
        <w:tc>
          <w:tcPr>
            <w:tcW w:w="1666" w:type="dxa"/>
            <w:tcBorders>
              <w:top w:val="single" w:sz="4" w:space="0" w:color="auto"/>
              <w:left w:val="single" w:sz="4" w:space="0" w:color="auto"/>
              <w:bottom w:val="single" w:sz="4" w:space="0" w:color="auto"/>
              <w:right w:val="single" w:sz="4" w:space="0" w:color="auto"/>
            </w:tcBorders>
            <w:shd w:val="clear" w:color="auto" w:fill="FEF2CC" w:themeFill="accent4" w:themeFillTint="33"/>
            <w:hideMark/>
          </w:tcPr>
          <w:p w:rsidR="00AF60AF" w:rsidRPr="006A1324" w:rsidP="00233D0C" w14:paraId="103AD3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1</w:t>
            </w:r>
          </w:p>
        </w:tc>
        <w:tc>
          <w:tcPr>
            <w:tcW w:w="1339" w:type="dxa"/>
            <w:tcBorders>
              <w:top w:val="single" w:sz="4" w:space="0" w:color="auto"/>
              <w:left w:val="single" w:sz="4" w:space="0" w:color="auto"/>
              <w:bottom w:val="single" w:sz="4" w:space="0" w:color="auto"/>
              <w:right w:val="single" w:sz="4" w:space="0" w:color="auto"/>
            </w:tcBorders>
            <w:shd w:val="clear" w:color="auto" w:fill="FEF2CC" w:themeFill="accent4" w:themeFillTint="33"/>
            <w:hideMark/>
          </w:tcPr>
          <w:p w:rsidR="00AF60AF" w:rsidRPr="006A1324" w:rsidP="00233D0C" w14:paraId="3BC85782" w14:textId="3CAE62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1,500</w:t>
            </w:r>
          </w:p>
        </w:tc>
        <w:tc>
          <w:tcPr>
            <w:tcW w:w="1595" w:type="dxa"/>
            <w:tcBorders>
              <w:top w:val="single" w:sz="4" w:space="0" w:color="auto"/>
              <w:left w:val="single" w:sz="4" w:space="0" w:color="auto"/>
              <w:bottom w:val="single" w:sz="4" w:space="0" w:color="auto"/>
              <w:right w:val="single" w:sz="4" w:space="0" w:color="auto"/>
            </w:tcBorders>
            <w:shd w:val="clear" w:color="auto" w:fill="FEF2CC" w:themeFill="accent4" w:themeFillTint="33"/>
            <w:hideMark/>
          </w:tcPr>
          <w:p w:rsidR="00AF60AF" w:rsidRPr="006A1324" w:rsidP="00233D0C" w14:paraId="0FD1F4B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0.25</w:t>
            </w:r>
          </w:p>
          <w:p w:rsidR="00AF60AF" w:rsidRPr="006A1324" w:rsidP="00233D0C" w14:paraId="04A5C5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6A1324">
              <w:rPr>
                <w:sz w:val="20"/>
                <w:szCs w:val="20"/>
              </w:rPr>
              <w:t>(15 minutes)</w:t>
            </w:r>
          </w:p>
        </w:tc>
        <w:tc>
          <w:tcPr>
            <w:tcW w:w="1152" w:type="dxa"/>
            <w:tcBorders>
              <w:top w:val="single" w:sz="4" w:space="0" w:color="auto"/>
              <w:left w:val="single" w:sz="4" w:space="0" w:color="auto"/>
              <w:bottom w:val="single" w:sz="4" w:space="0" w:color="auto"/>
              <w:right w:val="single" w:sz="4" w:space="0" w:color="auto"/>
            </w:tcBorders>
            <w:shd w:val="clear" w:color="auto" w:fill="FEF2CC" w:themeFill="accent4" w:themeFillTint="33"/>
            <w:hideMark/>
          </w:tcPr>
          <w:p w:rsidR="00AF60AF" w:rsidRPr="006A1324" w:rsidP="00233D0C" w14:paraId="66A33C71" w14:textId="2420E4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375</w:t>
            </w:r>
          </w:p>
        </w:tc>
      </w:tr>
      <w:tr w14:paraId="6E1DEA7A" w14:textId="77777777" w:rsidTr="007D4EA9">
        <w:tblPrEx>
          <w:tblW w:w="9450" w:type="dxa"/>
          <w:tblInd w:w="355" w:type="dxa"/>
          <w:tblLook w:val="01E0"/>
        </w:tblPrEx>
        <w:trPr>
          <w:trHeight w:val="61"/>
        </w:trPr>
        <w:tc>
          <w:tcPr>
            <w:tcW w:w="2459" w:type="dxa"/>
            <w:tcBorders>
              <w:top w:val="single" w:sz="4" w:space="0" w:color="auto"/>
              <w:left w:val="single" w:sz="4" w:space="0" w:color="auto"/>
              <w:bottom w:val="single" w:sz="4" w:space="0" w:color="auto"/>
              <w:right w:val="single" w:sz="4" w:space="0" w:color="auto"/>
            </w:tcBorders>
            <w:shd w:val="clear" w:color="auto" w:fill="auto"/>
          </w:tcPr>
          <w:p w:rsidR="00AF60AF" w:rsidRPr="009C2F3B" w:rsidP="00233D0C" w14:paraId="3FE44C7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Focus Group/Small Group, Cognitive Groups Screener</w:t>
            </w:r>
          </w:p>
        </w:tc>
        <w:tc>
          <w:tcPr>
            <w:tcW w:w="1239" w:type="dxa"/>
            <w:tcBorders>
              <w:top w:val="single" w:sz="4" w:space="0" w:color="auto"/>
              <w:left w:val="single" w:sz="4" w:space="0" w:color="auto"/>
              <w:bottom w:val="single" w:sz="4" w:space="0" w:color="auto"/>
              <w:right w:val="single" w:sz="4" w:space="0" w:color="auto"/>
            </w:tcBorders>
          </w:tcPr>
          <w:p w:rsidR="00AF60AF" w:rsidRPr="009C2F3B" w:rsidP="00233D0C" w14:paraId="3455E4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color w:val="000000"/>
                <w:sz w:val="20"/>
                <w:szCs w:val="20"/>
              </w:rPr>
              <w:t>180</w:t>
            </w:r>
          </w:p>
        </w:tc>
        <w:tc>
          <w:tcPr>
            <w:tcW w:w="1666" w:type="dxa"/>
            <w:tcBorders>
              <w:top w:val="single" w:sz="4" w:space="0" w:color="auto"/>
              <w:left w:val="single" w:sz="4" w:space="0" w:color="auto"/>
              <w:bottom w:val="single" w:sz="4" w:space="0" w:color="auto"/>
              <w:right w:val="single" w:sz="4" w:space="0" w:color="auto"/>
            </w:tcBorders>
          </w:tcPr>
          <w:p w:rsidR="00AF60AF" w:rsidRPr="009C2F3B" w:rsidP="00233D0C" w14:paraId="5E3CD37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1</w:t>
            </w:r>
          </w:p>
        </w:tc>
        <w:tc>
          <w:tcPr>
            <w:tcW w:w="1339" w:type="dxa"/>
            <w:tcBorders>
              <w:top w:val="single" w:sz="4" w:space="0" w:color="auto"/>
              <w:left w:val="single" w:sz="4" w:space="0" w:color="auto"/>
              <w:bottom w:val="single" w:sz="4" w:space="0" w:color="auto"/>
              <w:right w:val="single" w:sz="4" w:space="0" w:color="auto"/>
            </w:tcBorders>
          </w:tcPr>
          <w:p w:rsidR="00AF60AF" w:rsidRPr="009C2F3B" w:rsidP="00233D0C" w14:paraId="5E89FF0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color w:val="000000"/>
                <w:sz w:val="20"/>
                <w:szCs w:val="20"/>
              </w:rPr>
              <w:t>180</w:t>
            </w:r>
          </w:p>
        </w:tc>
        <w:tc>
          <w:tcPr>
            <w:tcW w:w="1595" w:type="dxa"/>
            <w:tcBorders>
              <w:top w:val="single" w:sz="4" w:space="0" w:color="auto"/>
              <w:left w:val="single" w:sz="4" w:space="0" w:color="auto"/>
              <w:bottom w:val="single" w:sz="4" w:space="0" w:color="auto"/>
              <w:right w:val="single" w:sz="4" w:space="0" w:color="auto"/>
            </w:tcBorders>
          </w:tcPr>
          <w:p w:rsidR="00AF60AF" w:rsidRPr="009C2F3B" w:rsidP="00233D0C" w14:paraId="6F09BE9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0.083</w:t>
            </w:r>
          </w:p>
          <w:p w:rsidR="00AF60AF" w:rsidRPr="009C2F3B" w:rsidP="00233D0C" w14:paraId="63E12A7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(5 minutes)</w:t>
            </w:r>
          </w:p>
        </w:tc>
        <w:tc>
          <w:tcPr>
            <w:tcW w:w="1152" w:type="dxa"/>
            <w:tcBorders>
              <w:top w:val="single" w:sz="4" w:space="0" w:color="auto"/>
              <w:left w:val="single" w:sz="4" w:space="0" w:color="auto"/>
              <w:bottom w:val="single" w:sz="4" w:space="0" w:color="auto"/>
              <w:right w:val="single" w:sz="4" w:space="0" w:color="auto"/>
            </w:tcBorders>
          </w:tcPr>
          <w:p w:rsidR="00AF60AF" w:rsidRPr="009C2F3B" w:rsidP="00233D0C" w14:paraId="5026733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15</w:t>
            </w:r>
          </w:p>
        </w:tc>
      </w:tr>
      <w:tr w14:paraId="44319BEE" w14:textId="77777777" w:rsidTr="007D4EA9">
        <w:tblPrEx>
          <w:tblW w:w="9450" w:type="dxa"/>
          <w:tblInd w:w="355" w:type="dxa"/>
          <w:tblLook w:val="01E0"/>
        </w:tblPrEx>
        <w:trPr>
          <w:trHeight w:val="485"/>
        </w:trPr>
        <w:tc>
          <w:tcPr>
            <w:tcW w:w="2459" w:type="dxa"/>
            <w:tcBorders>
              <w:top w:val="single" w:sz="4" w:space="0" w:color="auto"/>
              <w:left w:val="single" w:sz="4" w:space="0" w:color="auto"/>
              <w:bottom w:val="single" w:sz="4" w:space="0" w:color="auto"/>
              <w:right w:val="single" w:sz="4" w:space="0" w:color="auto"/>
            </w:tcBorders>
            <w:shd w:val="clear" w:color="auto" w:fill="auto"/>
          </w:tcPr>
          <w:p w:rsidR="00AF60AF" w:rsidRPr="009C2F3B" w:rsidP="00233D0C" w14:paraId="0CB935B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Focus Group/Small Group, Cognitive Groups</w:t>
            </w:r>
          </w:p>
        </w:tc>
        <w:tc>
          <w:tcPr>
            <w:tcW w:w="1239" w:type="dxa"/>
            <w:tcBorders>
              <w:top w:val="single" w:sz="4" w:space="0" w:color="auto"/>
              <w:left w:val="single" w:sz="4" w:space="0" w:color="auto"/>
              <w:bottom w:val="single" w:sz="4" w:space="0" w:color="auto"/>
              <w:right w:val="single" w:sz="4" w:space="0" w:color="auto"/>
            </w:tcBorders>
          </w:tcPr>
          <w:p w:rsidR="00AF60AF" w:rsidRPr="009C2F3B" w:rsidP="00233D0C" w14:paraId="384DAC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color w:val="000000"/>
                <w:sz w:val="20"/>
                <w:szCs w:val="20"/>
              </w:rPr>
              <w:t>60</w:t>
            </w:r>
          </w:p>
        </w:tc>
        <w:tc>
          <w:tcPr>
            <w:tcW w:w="1666" w:type="dxa"/>
            <w:tcBorders>
              <w:top w:val="single" w:sz="4" w:space="0" w:color="auto"/>
              <w:left w:val="single" w:sz="4" w:space="0" w:color="auto"/>
              <w:bottom w:val="single" w:sz="4" w:space="0" w:color="auto"/>
              <w:right w:val="single" w:sz="4" w:space="0" w:color="auto"/>
            </w:tcBorders>
          </w:tcPr>
          <w:p w:rsidR="00AF60AF" w:rsidRPr="009C2F3B" w:rsidP="00233D0C" w14:paraId="16DAE05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1</w:t>
            </w:r>
          </w:p>
        </w:tc>
        <w:tc>
          <w:tcPr>
            <w:tcW w:w="1339" w:type="dxa"/>
            <w:tcBorders>
              <w:top w:val="single" w:sz="4" w:space="0" w:color="auto"/>
              <w:left w:val="single" w:sz="4" w:space="0" w:color="auto"/>
              <w:bottom w:val="single" w:sz="4" w:space="0" w:color="auto"/>
              <w:right w:val="single" w:sz="4" w:space="0" w:color="auto"/>
            </w:tcBorders>
          </w:tcPr>
          <w:p w:rsidR="00AF60AF" w:rsidRPr="009C2F3B" w:rsidP="00233D0C" w14:paraId="65DDB1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color w:val="000000"/>
                <w:sz w:val="20"/>
                <w:szCs w:val="20"/>
              </w:rPr>
              <w:t>60</w:t>
            </w:r>
          </w:p>
        </w:tc>
        <w:tc>
          <w:tcPr>
            <w:tcW w:w="1595" w:type="dxa"/>
            <w:tcBorders>
              <w:top w:val="single" w:sz="4" w:space="0" w:color="auto"/>
              <w:left w:val="single" w:sz="4" w:space="0" w:color="auto"/>
              <w:bottom w:val="single" w:sz="4" w:space="0" w:color="auto"/>
              <w:right w:val="single" w:sz="4" w:space="0" w:color="auto"/>
            </w:tcBorders>
          </w:tcPr>
          <w:p w:rsidR="00AF60AF" w:rsidRPr="009C2F3B" w:rsidP="00233D0C" w14:paraId="04F87F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 xml:space="preserve">1.5 </w:t>
            </w:r>
          </w:p>
          <w:p w:rsidR="00AF60AF" w:rsidRPr="009C2F3B" w:rsidP="00233D0C" w14:paraId="4C488A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(90 minutes)</w:t>
            </w:r>
          </w:p>
        </w:tc>
        <w:tc>
          <w:tcPr>
            <w:tcW w:w="1152" w:type="dxa"/>
            <w:tcBorders>
              <w:top w:val="single" w:sz="4" w:space="0" w:color="auto"/>
              <w:left w:val="single" w:sz="4" w:space="0" w:color="auto"/>
              <w:bottom w:val="single" w:sz="4" w:space="0" w:color="auto"/>
              <w:right w:val="single" w:sz="4" w:space="0" w:color="auto"/>
            </w:tcBorders>
          </w:tcPr>
          <w:p w:rsidR="00AF60AF" w:rsidRPr="009C2F3B" w:rsidP="00233D0C" w14:paraId="15F3C74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90</w:t>
            </w:r>
          </w:p>
        </w:tc>
      </w:tr>
      <w:tr w14:paraId="37A7002F" w14:textId="77777777" w:rsidTr="007D4EA9">
        <w:tblPrEx>
          <w:tblW w:w="9450" w:type="dxa"/>
          <w:tblInd w:w="355" w:type="dxa"/>
          <w:tblLook w:val="01E0"/>
        </w:tblPrEx>
        <w:trPr>
          <w:trHeight w:val="512"/>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rsidR="00AF60AF" w:rsidRPr="009C2F3B" w:rsidP="00233D0C" w14:paraId="3E37D3D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Focus Group/Small Group Participant Screening</w:t>
            </w:r>
          </w:p>
        </w:tc>
        <w:tc>
          <w:tcPr>
            <w:tcW w:w="1239" w:type="dxa"/>
            <w:tcBorders>
              <w:top w:val="single" w:sz="4" w:space="0" w:color="auto"/>
              <w:left w:val="single" w:sz="4" w:space="0" w:color="auto"/>
              <w:bottom w:val="single" w:sz="4" w:space="0" w:color="auto"/>
              <w:right w:val="single" w:sz="4" w:space="0" w:color="auto"/>
            </w:tcBorders>
            <w:hideMark/>
          </w:tcPr>
          <w:p w:rsidR="00AF60AF" w:rsidRPr="009C2F3B" w:rsidP="00233D0C" w14:paraId="7EC621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sidRPr="009C2F3B">
              <w:rPr>
                <w:color w:val="000000"/>
                <w:sz w:val="20"/>
                <w:szCs w:val="20"/>
              </w:rPr>
              <w:t>720</w:t>
            </w:r>
          </w:p>
        </w:tc>
        <w:tc>
          <w:tcPr>
            <w:tcW w:w="1666" w:type="dxa"/>
            <w:tcBorders>
              <w:top w:val="single" w:sz="4" w:space="0" w:color="auto"/>
              <w:left w:val="single" w:sz="4" w:space="0" w:color="auto"/>
              <w:bottom w:val="single" w:sz="4" w:space="0" w:color="auto"/>
              <w:right w:val="single" w:sz="4" w:space="0" w:color="auto"/>
            </w:tcBorders>
            <w:hideMark/>
          </w:tcPr>
          <w:p w:rsidR="00AF60AF" w:rsidRPr="009C2F3B" w:rsidP="00233D0C" w14:paraId="1209329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sidRPr="009C2F3B">
              <w:rPr>
                <w:sz w:val="20"/>
                <w:szCs w:val="20"/>
              </w:rPr>
              <w:t>1</w:t>
            </w:r>
          </w:p>
        </w:tc>
        <w:tc>
          <w:tcPr>
            <w:tcW w:w="1339" w:type="dxa"/>
            <w:tcBorders>
              <w:top w:val="single" w:sz="4" w:space="0" w:color="auto"/>
              <w:left w:val="single" w:sz="4" w:space="0" w:color="auto"/>
              <w:bottom w:val="single" w:sz="4" w:space="0" w:color="auto"/>
              <w:right w:val="single" w:sz="4" w:space="0" w:color="auto"/>
            </w:tcBorders>
            <w:hideMark/>
          </w:tcPr>
          <w:p w:rsidR="00AF60AF" w:rsidRPr="009C2F3B" w:rsidP="00233D0C" w14:paraId="05E5B58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sidRPr="009C2F3B">
              <w:rPr>
                <w:color w:val="000000"/>
                <w:sz w:val="20"/>
                <w:szCs w:val="20"/>
              </w:rPr>
              <w:t>720</w:t>
            </w:r>
          </w:p>
        </w:tc>
        <w:tc>
          <w:tcPr>
            <w:tcW w:w="1595" w:type="dxa"/>
            <w:tcBorders>
              <w:top w:val="single" w:sz="4" w:space="0" w:color="auto"/>
              <w:left w:val="single" w:sz="4" w:space="0" w:color="auto"/>
              <w:bottom w:val="single" w:sz="4" w:space="0" w:color="auto"/>
              <w:right w:val="single" w:sz="4" w:space="0" w:color="auto"/>
            </w:tcBorders>
            <w:hideMark/>
          </w:tcPr>
          <w:p w:rsidR="00AF60AF" w:rsidRPr="009C2F3B" w:rsidP="00233D0C" w14:paraId="5871AF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 xml:space="preserve">0.083 </w:t>
            </w:r>
          </w:p>
          <w:p w:rsidR="00AF60AF" w:rsidRPr="009C2F3B" w:rsidP="00233D0C" w14:paraId="1C58F3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sidRPr="009C2F3B">
              <w:rPr>
                <w:sz w:val="20"/>
                <w:szCs w:val="20"/>
              </w:rPr>
              <w:t>(5 minutes)</w:t>
            </w:r>
          </w:p>
        </w:tc>
        <w:tc>
          <w:tcPr>
            <w:tcW w:w="1152" w:type="dxa"/>
            <w:tcBorders>
              <w:top w:val="single" w:sz="4" w:space="0" w:color="auto"/>
              <w:left w:val="single" w:sz="4" w:space="0" w:color="auto"/>
              <w:bottom w:val="single" w:sz="4" w:space="0" w:color="auto"/>
              <w:right w:val="single" w:sz="4" w:space="0" w:color="auto"/>
            </w:tcBorders>
            <w:hideMark/>
          </w:tcPr>
          <w:p w:rsidR="00AF60AF" w:rsidRPr="009C2F3B" w:rsidP="00233D0C" w14:paraId="1B877B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sidRPr="009C2F3B">
              <w:rPr>
                <w:sz w:val="20"/>
                <w:szCs w:val="20"/>
              </w:rPr>
              <w:t>60</w:t>
            </w:r>
          </w:p>
        </w:tc>
      </w:tr>
      <w:tr w14:paraId="586A3A43" w14:textId="77777777" w:rsidTr="007D4EA9">
        <w:tblPrEx>
          <w:tblW w:w="9450" w:type="dxa"/>
          <w:tblInd w:w="355" w:type="dxa"/>
          <w:tblLook w:val="01E0"/>
        </w:tblPrEx>
        <w:trPr>
          <w:trHeight w:val="377"/>
        </w:trPr>
        <w:tc>
          <w:tcPr>
            <w:tcW w:w="2459" w:type="dxa"/>
            <w:tcBorders>
              <w:top w:val="single" w:sz="4" w:space="0" w:color="auto"/>
              <w:left w:val="single" w:sz="4" w:space="0" w:color="auto"/>
              <w:bottom w:val="single" w:sz="4" w:space="0" w:color="auto"/>
              <w:right w:val="single" w:sz="4" w:space="0" w:color="auto"/>
            </w:tcBorders>
            <w:hideMark/>
          </w:tcPr>
          <w:p w:rsidR="00AF60AF" w:rsidRPr="009C2F3B" w:rsidP="00233D0C" w14:paraId="1CBEE8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lang w:bidi="he-IL"/>
              </w:rPr>
            </w:pPr>
            <w:r w:rsidRPr="009C2F3B">
              <w:rPr>
                <w:sz w:val="20"/>
                <w:szCs w:val="20"/>
              </w:rPr>
              <w:t>Focus Group/Small Group Discussion</w:t>
            </w:r>
          </w:p>
        </w:tc>
        <w:tc>
          <w:tcPr>
            <w:tcW w:w="1239" w:type="dxa"/>
            <w:tcBorders>
              <w:top w:val="single" w:sz="4" w:space="0" w:color="auto"/>
              <w:left w:val="single" w:sz="4" w:space="0" w:color="auto"/>
              <w:bottom w:val="single" w:sz="4" w:space="0" w:color="auto"/>
              <w:right w:val="single" w:sz="4" w:space="0" w:color="auto"/>
            </w:tcBorders>
            <w:hideMark/>
          </w:tcPr>
          <w:p w:rsidR="00AF60AF" w:rsidRPr="009C2F3B" w:rsidP="00233D0C" w14:paraId="62E7D09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sidRPr="009C2F3B">
              <w:rPr>
                <w:color w:val="000000"/>
                <w:sz w:val="20"/>
                <w:szCs w:val="20"/>
              </w:rPr>
              <w:t>240</w:t>
            </w:r>
          </w:p>
        </w:tc>
        <w:tc>
          <w:tcPr>
            <w:tcW w:w="1666" w:type="dxa"/>
            <w:tcBorders>
              <w:top w:val="single" w:sz="4" w:space="0" w:color="auto"/>
              <w:left w:val="single" w:sz="4" w:space="0" w:color="auto"/>
              <w:bottom w:val="single" w:sz="4" w:space="0" w:color="auto"/>
              <w:right w:val="single" w:sz="4" w:space="0" w:color="auto"/>
            </w:tcBorders>
            <w:hideMark/>
          </w:tcPr>
          <w:p w:rsidR="00AF60AF" w:rsidRPr="009C2F3B" w:rsidP="00233D0C" w14:paraId="723A7B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sidRPr="009C2F3B">
              <w:rPr>
                <w:sz w:val="20"/>
                <w:szCs w:val="20"/>
              </w:rPr>
              <w:t>1</w:t>
            </w:r>
          </w:p>
        </w:tc>
        <w:tc>
          <w:tcPr>
            <w:tcW w:w="1339" w:type="dxa"/>
            <w:tcBorders>
              <w:top w:val="single" w:sz="4" w:space="0" w:color="auto"/>
              <w:left w:val="single" w:sz="4" w:space="0" w:color="auto"/>
              <w:bottom w:val="single" w:sz="4" w:space="0" w:color="auto"/>
              <w:right w:val="single" w:sz="4" w:space="0" w:color="auto"/>
            </w:tcBorders>
            <w:hideMark/>
          </w:tcPr>
          <w:p w:rsidR="00AF60AF" w:rsidRPr="009C2F3B" w:rsidP="00233D0C" w14:paraId="489F3D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sidRPr="009C2F3B">
              <w:rPr>
                <w:color w:val="000000"/>
                <w:sz w:val="20"/>
                <w:szCs w:val="20"/>
              </w:rPr>
              <w:t>240</w:t>
            </w:r>
          </w:p>
        </w:tc>
        <w:tc>
          <w:tcPr>
            <w:tcW w:w="1595" w:type="dxa"/>
            <w:tcBorders>
              <w:top w:val="single" w:sz="4" w:space="0" w:color="auto"/>
              <w:left w:val="single" w:sz="4" w:space="0" w:color="auto"/>
              <w:bottom w:val="single" w:sz="4" w:space="0" w:color="auto"/>
              <w:right w:val="single" w:sz="4" w:space="0" w:color="auto"/>
            </w:tcBorders>
            <w:hideMark/>
          </w:tcPr>
          <w:p w:rsidR="00AF60AF" w:rsidRPr="009C2F3B" w:rsidP="00233D0C" w14:paraId="200EE2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1.5</w:t>
            </w:r>
          </w:p>
          <w:p w:rsidR="00AF60AF" w:rsidRPr="009C2F3B" w:rsidP="00233D0C" w14:paraId="7606E2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9C2F3B">
              <w:rPr>
                <w:sz w:val="20"/>
                <w:szCs w:val="20"/>
              </w:rPr>
              <w:t>(90 minutes)</w:t>
            </w:r>
          </w:p>
        </w:tc>
        <w:tc>
          <w:tcPr>
            <w:tcW w:w="1152" w:type="dxa"/>
            <w:tcBorders>
              <w:top w:val="single" w:sz="4" w:space="0" w:color="auto"/>
              <w:left w:val="single" w:sz="4" w:space="0" w:color="auto"/>
              <w:bottom w:val="single" w:sz="4" w:space="0" w:color="auto"/>
              <w:right w:val="single" w:sz="4" w:space="0" w:color="auto"/>
            </w:tcBorders>
            <w:hideMark/>
          </w:tcPr>
          <w:p w:rsidR="00AF60AF" w:rsidRPr="009C2F3B" w:rsidP="00233D0C" w14:paraId="011D34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sidRPr="009C2F3B">
              <w:rPr>
                <w:sz w:val="20"/>
                <w:szCs w:val="20"/>
              </w:rPr>
              <w:t>360</w:t>
            </w:r>
          </w:p>
        </w:tc>
      </w:tr>
      <w:tr w14:paraId="3DAF80AC" w14:textId="77777777" w:rsidTr="007D4EA9">
        <w:tblPrEx>
          <w:tblW w:w="9450" w:type="dxa"/>
          <w:tblInd w:w="355" w:type="dxa"/>
          <w:tblLook w:val="01E0"/>
        </w:tblPrEx>
        <w:trPr>
          <w:trHeight w:val="278"/>
        </w:trPr>
        <w:tc>
          <w:tcPr>
            <w:tcW w:w="8298" w:type="dxa"/>
            <w:gridSpan w:val="5"/>
            <w:tcBorders>
              <w:top w:val="single" w:sz="4" w:space="0" w:color="auto"/>
              <w:left w:val="single" w:sz="4" w:space="0" w:color="auto"/>
              <w:bottom w:val="single" w:sz="4" w:space="0" w:color="auto"/>
              <w:right w:val="single" w:sz="4" w:space="0" w:color="auto"/>
            </w:tcBorders>
            <w:vAlign w:val="center"/>
            <w:hideMark/>
          </w:tcPr>
          <w:p w:rsidR="00AF60AF" w:rsidRPr="009C2F3B" w:rsidP="00233D0C" w14:paraId="7E4A135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9C2F3B">
              <w:rPr>
                <w:sz w:val="20"/>
                <w:szCs w:val="20"/>
              </w:rPr>
              <w:t>Total</w:t>
            </w:r>
          </w:p>
        </w:tc>
        <w:tc>
          <w:tcPr>
            <w:tcW w:w="1152" w:type="dxa"/>
            <w:tcBorders>
              <w:top w:val="single" w:sz="4" w:space="0" w:color="auto"/>
              <w:left w:val="single" w:sz="4" w:space="0" w:color="auto"/>
              <w:bottom w:val="single" w:sz="4" w:space="0" w:color="auto"/>
              <w:right w:val="single" w:sz="4" w:space="0" w:color="auto"/>
            </w:tcBorders>
          </w:tcPr>
          <w:p w:rsidR="00AF60AF" w:rsidRPr="009C2F3B" w:rsidP="00233D0C" w14:paraId="7AD44D89" w14:textId="738647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1833.5</w:t>
            </w:r>
          </w:p>
        </w:tc>
      </w:tr>
    </w:tbl>
    <w:p w:rsidR="00AF60AF" w:rsidRPr="009C2F3B" w:rsidP="007D4EA9" w14:paraId="10E822B9" w14:textId="77777777">
      <w:pPr>
        <w:ind w:left="360"/>
      </w:pPr>
      <w:r w:rsidRPr="009C2F3B">
        <w:rPr>
          <w:sz w:val="20"/>
          <w:szCs w:val="20"/>
          <w:vertAlign w:val="superscript"/>
        </w:rPr>
        <w:t>1</w:t>
      </w:r>
      <w:r w:rsidRPr="009C2F3B">
        <w:rPr>
          <w:sz w:val="20"/>
          <w:szCs w:val="20"/>
        </w:rPr>
        <w:t>There are no capital costs or operating and maintenance costs associated with this collection of information.</w:t>
      </w:r>
      <w:r w:rsidRPr="009C2F3B">
        <w:t xml:space="preserve"> </w:t>
      </w:r>
    </w:p>
    <w:p w:rsidR="00AF60AF" w:rsidRPr="009C2F3B" w:rsidP="00AF60AF" w14:paraId="3488DDB0" w14:textId="77777777">
      <w:pPr>
        <w:autoSpaceDN w:val="0"/>
        <w:rPr>
          <w:b/>
          <w:u w:val="single"/>
          <w:lang w:bidi="he-IL"/>
        </w:rPr>
      </w:pPr>
    </w:p>
    <w:p w:rsidR="00AF60AF" w:rsidP="00AF60AF" w14:paraId="01AD718C" w14:textId="75E5F7CA">
      <w:pPr>
        <w:ind w:left="360"/>
        <w:rPr>
          <w:szCs w:val="20"/>
        </w:rPr>
      </w:pPr>
      <w:r w:rsidRPr="009C2F3B">
        <w:rPr>
          <w:szCs w:val="20"/>
        </w:rPr>
        <w:t>Current estimates are based on both historical numbers of participants from past projects as well as estimate</w:t>
      </w:r>
      <w:r w:rsidR="008B05FA">
        <w:rPr>
          <w:szCs w:val="20"/>
        </w:rPr>
        <w:t>s</w:t>
      </w:r>
      <w:r w:rsidRPr="009C2F3B">
        <w:rPr>
          <w:szCs w:val="20"/>
        </w:rPr>
        <w:t xml:space="preserve"> for projects to be conducted in the next 3 years.  The number of respondents to be included in each new individual survey will vary, depending on the nature of the compliance efforts and the target audience.</w:t>
      </w:r>
    </w:p>
    <w:p w:rsidR="00DC1303" w:rsidP="00AF60AF" w14:paraId="7BDB3FBA" w14:textId="77777777">
      <w:pPr>
        <w:ind w:left="360"/>
        <w:rPr>
          <w:szCs w:val="20"/>
        </w:rPr>
      </w:pPr>
    </w:p>
    <w:p w:rsidR="00357C8A" w:rsidRPr="005C71CA" w:rsidP="00DC371B" w14:paraId="620BF6F3" w14:textId="77777777">
      <w:pPr>
        <w:spacing w:after="200"/>
        <w:ind w:left="360"/>
        <w:rPr>
          <w:rFonts w:eastAsia="Calibri"/>
        </w:rPr>
      </w:pPr>
      <w:r w:rsidRPr="005C71CA">
        <w:rPr>
          <w:rFonts w:eastAsia="Calibri"/>
        </w:rPr>
        <w:t>12b.  Annualized Cost Burden Estimate</w:t>
      </w:r>
    </w:p>
    <w:p w:rsidR="00AF60AF" w:rsidRPr="00AF60AF" w:rsidP="00AF60AF" w14:paraId="2A9FA61B" w14:textId="4558CFE7">
      <w:pPr>
        <w:autoSpaceDE w:val="0"/>
        <w:autoSpaceDN w:val="0"/>
        <w:adjustRightInd w:val="0"/>
        <w:ind w:left="360"/>
        <w:rPr>
          <w:lang w:bidi="he-IL"/>
        </w:rPr>
      </w:pPr>
      <w:r w:rsidRPr="00AF60AF">
        <w:rPr>
          <w:lang w:bidi="he-IL"/>
        </w:rPr>
        <w:t xml:space="preserve">The </w:t>
      </w:r>
      <w:r w:rsidRPr="00AF60AF">
        <w:rPr>
          <w:lang w:bidi="he-IL"/>
        </w:rPr>
        <w:t>general public</w:t>
      </w:r>
      <w:r w:rsidRPr="00AF60AF">
        <w:rPr>
          <w:lang w:bidi="he-IL"/>
        </w:rPr>
        <w:t xml:space="preserve"> will complete the majority of data collections. </w:t>
      </w:r>
      <w:r w:rsidR="00585951">
        <w:rPr>
          <w:lang w:bidi="he-IL"/>
        </w:rPr>
        <w:t xml:space="preserve"> </w:t>
      </w:r>
      <w:r w:rsidRPr="00AF60AF">
        <w:rPr>
          <w:lang w:bidi="he-IL"/>
        </w:rPr>
        <w:t xml:space="preserve">The average </w:t>
      </w:r>
      <w:r w:rsidRPr="0037230B" w:rsidR="0037230B">
        <w:rPr>
          <w:lang w:bidi="he-IL"/>
        </w:rPr>
        <w:t xml:space="preserve">hourly </w:t>
      </w:r>
      <w:r w:rsidRPr="00AF60AF">
        <w:rPr>
          <w:lang w:bidi="he-IL"/>
        </w:rPr>
        <w:t xml:space="preserve">mean </w:t>
      </w:r>
      <w:r w:rsidR="0037230B">
        <w:rPr>
          <w:lang w:bidi="he-IL"/>
        </w:rPr>
        <w:t xml:space="preserve">wage </w:t>
      </w:r>
      <w:r w:rsidRPr="00AF60AF">
        <w:rPr>
          <w:lang w:bidi="he-IL"/>
        </w:rPr>
        <w:t>compensation for this group (BLS Group 00-0000, All Occupations) is $</w:t>
      </w:r>
      <w:r w:rsidR="0037230B">
        <w:rPr>
          <w:lang w:bidi="he-IL"/>
        </w:rPr>
        <w:t>32.66</w:t>
      </w:r>
      <w:r w:rsidR="00650AFE">
        <w:rPr>
          <w:lang w:bidi="he-IL"/>
        </w:rPr>
        <w:t>.</w:t>
      </w:r>
      <w:r>
        <w:rPr>
          <w:vertAlign w:val="superscript"/>
          <w:lang w:bidi="he-IL"/>
        </w:rPr>
        <w:footnoteReference w:id="3"/>
      </w:r>
      <w:r w:rsidRPr="00AF60AF">
        <w:rPr>
          <w:vertAlign w:val="superscript"/>
          <w:lang w:bidi="he-IL"/>
        </w:rPr>
        <w:t xml:space="preserve"> </w:t>
      </w:r>
      <w:r w:rsidRPr="00AF60AF">
        <w:rPr>
          <w:lang w:bidi="he-IL"/>
        </w:rPr>
        <w:t xml:space="preserve">  To account for any overhead for this wage rate, we have doubled it to $</w:t>
      </w:r>
      <w:r w:rsidR="004E747C">
        <w:rPr>
          <w:lang w:bidi="he-IL"/>
        </w:rPr>
        <w:t>65.32</w:t>
      </w:r>
      <w:r w:rsidRPr="00AF60AF">
        <w:rPr>
          <w:lang w:bidi="he-IL"/>
        </w:rPr>
        <w:t xml:space="preserve"> to determine the cost to the potential respondents.  The estimated annualized cost for the </w:t>
      </w:r>
      <w:r w:rsidRPr="00AF60AF">
        <w:rPr>
          <w:lang w:bidi="he-IL"/>
        </w:rPr>
        <w:t>general public</w:t>
      </w:r>
      <w:r w:rsidRPr="00AF60AF">
        <w:rPr>
          <w:lang w:bidi="he-IL"/>
        </w:rPr>
        <w:t xml:space="preserve"> in this information collection for 4,836 hours of reporting time is </w:t>
      </w:r>
      <w:r w:rsidRPr="00AF60AF">
        <w:rPr>
          <w:color w:val="000000"/>
        </w:rPr>
        <w:t>$</w:t>
      </w:r>
      <w:r w:rsidR="008044F3">
        <w:rPr>
          <w:color w:val="000000"/>
        </w:rPr>
        <w:t>315,</w:t>
      </w:r>
      <w:r w:rsidR="00A77BA2">
        <w:rPr>
          <w:color w:val="000000"/>
        </w:rPr>
        <w:t>887.52</w:t>
      </w:r>
      <w:r w:rsidRPr="00AF60AF">
        <w:rPr>
          <w:lang w:bidi="he-IL"/>
        </w:rPr>
        <w:t xml:space="preserve">.  The number of respondents and length of response was determined </w:t>
      </w:r>
      <w:r w:rsidRPr="00AF60AF">
        <w:rPr>
          <w:lang w:bidi="he-IL"/>
        </w:rPr>
        <w:t>on the basis of</w:t>
      </w:r>
      <w:r w:rsidRPr="00AF60AF">
        <w:rPr>
          <w:lang w:bidi="he-IL"/>
        </w:rPr>
        <w:t xml:space="preserve"> FDA’s prior experience with communications testing and an estimate of </w:t>
      </w:r>
      <w:r w:rsidR="00607789">
        <w:rPr>
          <w:lang w:bidi="he-IL"/>
        </w:rPr>
        <w:t>HFP’s</w:t>
      </w:r>
      <w:r w:rsidRPr="00AF60AF" w:rsidR="00607789">
        <w:rPr>
          <w:lang w:bidi="he-IL"/>
        </w:rPr>
        <w:t xml:space="preserve"> </w:t>
      </w:r>
      <w:r w:rsidRPr="00AF60AF">
        <w:rPr>
          <w:lang w:bidi="he-IL"/>
        </w:rPr>
        <w:t>communication needs.  The actual numbers will vary depending upon the topic of interest.</w:t>
      </w:r>
    </w:p>
    <w:p w:rsidR="00AF60AF" w:rsidRPr="00AF60AF" w:rsidP="00AF60AF" w14:paraId="49B42F3A" w14:textId="77777777">
      <w:pPr>
        <w:autoSpaceDN w:val="0"/>
        <w:rPr>
          <w:lang w:bidi="he-IL"/>
        </w:rPr>
      </w:pPr>
    </w:p>
    <w:tbl>
      <w:tblPr>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70"/>
        <w:gridCol w:w="1350"/>
        <w:gridCol w:w="1064"/>
        <w:gridCol w:w="2626"/>
      </w:tblGrid>
      <w:tr w14:paraId="1B1240AA" w14:textId="77777777" w:rsidTr="007D4EA9">
        <w:tblPrEx>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21"/>
        </w:trPr>
        <w:tc>
          <w:tcPr>
            <w:tcW w:w="9810" w:type="dxa"/>
            <w:gridSpan w:val="4"/>
            <w:tcBorders>
              <w:top w:val="single" w:sz="4" w:space="0" w:color="auto"/>
              <w:left w:val="single" w:sz="4" w:space="0" w:color="auto"/>
              <w:bottom w:val="single" w:sz="4" w:space="0" w:color="auto"/>
              <w:right w:val="single" w:sz="4" w:space="0" w:color="auto"/>
            </w:tcBorders>
            <w:vAlign w:val="center"/>
          </w:tcPr>
          <w:p w:rsidR="00AF60AF" w:rsidRPr="007D4EA9" w:rsidP="00AF60AF" w14:paraId="2084A09C" w14:textId="0154CC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0"/>
                <w:szCs w:val="20"/>
                <w:lang w:bidi="he-IL"/>
              </w:rPr>
            </w:pPr>
            <w:r w:rsidRPr="007D4EA9">
              <w:rPr>
                <w:sz w:val="20"/>
                <w:szCs w:val="20"/>
                <w:lang w:bidi="he-IL"/>
              </w:rPr>
              <w:t xml:space="preserve">Table </w:t>
            </w:r>
            <w:r w:rsidRPr="007D4EA9">
              <w:rPr>
                <w:sz w:val="20"/>
                <w:szCs w:val="20"/>
                <w:lang w:bidi="he-IL"/>
              </w:rPr>
              <w:t>2</w:t>
            </w:r>
            <w:r w:rsidR="001640E2">
              <w:rPr>
                <w:sz w:val="20"/>
                <w:szCs w:val="20"/>
                <w:lang w:bidi="he-IL"/>
              </w:rPr>
              <w:t>.--</w:t>
            </w:r>
            <w:r w:rsidRPr="007D4EA9">
              <w:rPr>
                <w:sz w:val="20"/>
                <w:szCs w:val="20"/>
                <w:lang w:bidi="he-IL"/>
              </w:rPr>
              <w:t>Annual Cost Burden Estimate</w:t>
            </w:r>
          </w:p>
        </w:tc>
      </w:tr>
      <w:tr w14:paraId="1E0BC990" w14:textId="77777777" w:rsidTr="007D4EA9">
        <w:tblPrEx>
          <w:tblW w:w="9810" w:type="dxa"/>
          <w:tblInd w:w="355" w:type="dxa"/>
          <w:tblLayout w:type="fixed"/>
          <w:tblLook w:val="01E0"/>
        </w:tblPrEx>
        <w:trPr>
          <w:trHeight w:val="710"/>
        </w:trPr>
        <w:tc>
          <w:tcPr>
            <w:tcW w:w="4770" w:type="dxa"/>
            <w:tcBorders>
              <w:top w:val="single" w:sz="4" w:space="0" w:color="auto"/>
              <w:left w:val="single" w:sz="4" w:space="0" w:color="auto"/>
              <w:bottom w:val="single" w:sz="4" w:space="0" w:color="auto"/>
              <w:right w:val="single" w:sz="4" w:space="0" w:color="auto"/>
            </w:tcBorders>
            <w:vAlign w:val="center"/>
          </w:tcPr>
          <w:p w:rsidR="00AF60AF" w:rsidRPr="007D4EA9" w:rsidP="00AF60AF" w14:paraId="264771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z w:val="20"/>
                <w:szCs w:val="20"/>
                <w:lang w:bidi="he-IL"/>
              </w:rPr>
            </w:pPr>
            <w:r w:rsidRPr="007D4EA9">
              <w:rPr>
                <w:bCs/>
                <w:sz w:val="20"/>
                <w:szCs w:val="20"/>
                <w:lang w:bidi="he-IL"/>
              </w:rPr>
              <w:t>Collection Type</w:t>
            </w:r>
          </w:p>
        </w:tc>
        <w:tc>
          <w:tcPr>
            <w:tcW w:w="1350" w:type="dxa"/>
            <w:tcBorders>
              <w:top w:val="single" w:sz="4" w:space="0" w:color="auto"/>
              <w:left w:val="single" w:sz="4" w:space="0" w:color="auto"/>
              <w:bottom w:val="single" w:sz="4" w:space="0" w:color="auto"/>
              <w:right w:val="single" w:sz="4" w:space="0" w:color="auto"/>
            </w:tcBorders>
            <w:vAlign w:val="center"/>
          </w:tcPr>
          <w:p w:rsidR="00AF60AF" w:rsidRPr="007D4EA9" w:rsidP="00AF60AF" w14:paraId="1DE8A07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0"/>
                <w:szCs w:val="20"/>
                <w:lang w:bidi="he-IL"/>
              </w:rPr>
            </w:pPr>
            <w:r w:rsidRPr="007D4EA9">
              <w:rPr>
                <w:sz w:val="20"/>
                <w:szCs w:val="20"/>
                <w:lang w:bidi="he-IL"/>
              </w:rPr>
              <w:t>Total Burden Hours</w:t>
            </w:r>
          </w:p>
        </w:tc>
        <w:tc>
          <w:tcPr>
            <w:tcW w:w="1064" w:type="dxa"/>
            <w:tcBorders>
              <w:top w:val="single" w:sz="4" w:space="0" w:color="auto"/>
              <w:left w:val="single" w:sz="4" w:space="0" w:color="auto"/>
              <w:bottom w:val="single" w:sz="4" w:space="0" w:color="auto"/>
              <w:right w:val="single" w:sz="4" w:space="0" w:color="auto"/>
            </w:tcBorders>
            <w:vAlign w:val="center"/>
            <w:hideMark/>
          </w:tcPr>
          <w:p w:rsidR="00AF60AF" w:rsidRPr="007D4EA9" w:rsidP="00AF60AF" w14:paraId="0060423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0"/>
                <w:szCs w:val="20"/>
                <w:lang w:bidi="he-IL"/>
              </w:rPr>
            </w:pPr>
            <w:r w:rsidRPr="007D4EA9">
              <w:rPr>
                <w:sz w:val="20"/>
                <w:szCs w:val="20"/>
                <w:lang w:bidi="he-IL"/>
              </w:rPr>
              <w:t>Average Rate</w:t>
            </w:r>
          </w:p>
        </w:tc>
        <w:tc>
          <w:tcPr>
            <w:tcW w:w="2626" w:type="dxa"/>
            <w:tcBorders>
              <w:top w:val="single" w:sz="4" w:space="0" w:color="auto"/>
              <w:left w:val="single" w:sz="4" w:space="0" w:color="auto"/>
              <w:bottom w:val="single" w:sz="4" w:space="0" w:color="auto"/>
              <w:right w:val="single" w:sz="4" w:space="0" w:color="auto"/>
            </w:tcBorders>
            <w:vAlign w:val="center"/>
            <w:hideMark/>
          </w:tcPr>
          <w:p w:rsidR="00AF60AF" w:rsidRPr="007D4EA9" w:rsidP="00AF60AF" w14:paraId="07D8AA5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0"/>
                <w:szCs w:val="20"/>
                <w:lang w:bidi="he-IL"/>
              </w:rPr>
            </w:pPr>
            <w:r w:rsidRPr="007D4EA9">
              <w:rPr>
                <w:sz w:val="20"/>
                <w:szCs w:val="20"/>
                <w:lang w:bidi="he-IL"/>
              </w:rPr>
              <w:t>Total Respondent Cost</w:t>
            </w:r>
          </w:p>
        </w:tc>
      </w:tr>
      <w:tr w14:paraId="22BD9175"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tcPr>
          <w:p w:rsidR="00AF60AF" w:rsidRPr="007D4EA9" w:rsidP="00AF60AF" w14:paraId="454068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In-depth Interviews, Cognitive Interviews Screener</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52E787E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rPr>
              <w:t>4</w:t>
            </w:r>
          </w:p>
        </w:tc>
        <w:tc>
          <w:tcPr>
            <w:tcW w:w="1064" w:type="dxa"/>
            <w:tcBorders>
              <w:top w:val="single" w:sz="4" w:space="0" w:color="auto"/>
              <w:left w:val="single" w:sz="4" w:space="0" w:color="auto"/>
              <w:bottom w:val="single" w:sz="4" w:space="0" w:color="auto"/>
              <w:right w:val="single" w:sz="4" w:space="0" w:color="auto"/>
            </w:tcBorders>
          </w:tcPr>
          <w:p w:rsidR="00AF60AF" w:rsidRPr="007D4EA9" w:rsidP="00AF60AF" w14:paraId="17548248" w14:textId="53DEE96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3E305C">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vAlign w:val="bottom"/>
          </w:tcPr>
          <w:p w:rsidR="00AF60AF" w:rsidRPr="007D4EA9" w:rsidP="00AF60AF" w14:paraId="2016B8D5" w14:textId="2BB135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color w:val="000000"/>
                <w:sz w:val="20"/>
                <w:szCs w:val="20"/>
              </w:rPr>
              <w:t>261.28</w:t>
            </w:r>
          </w:p>
        </w:tc>
      </w:tr>
      <w:tr w14:paraId="73B49989"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tcPr>
          <w:p w:rsidR="00AF60AF" w:rsidRPr="007D4EA9" w:rsidP="00AF60AF" w14:paraId="5D81F35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 xml:space="preserve">In-depth Interviews, Cognitive Interviews </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5D6065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rPr>
              <w:t>9</w:t>
            </w:r>
          </w:p>
        </w:tc>
        <w:tc>
          <w:tcPr>
            <w:tcW w:w="1064" w:type="dxa"/>
            <w:tcBorders>
              <w:top w:val="single" w:sz="4" w:space="0" w:color="auto"/>
              <w:left w:val="single" w:sz="4" w:space="0" w:color="auto"/>
              <w:bottom w:val="single" w:sz="4" w:space="0" w:color="auto"/>
              <w:right w:val="single" w:sz="4" w:space="0" w:color="auto"/>
            </w:tcBorders>
          </w:tcPr>
          <w:p w:rsidR="00AF60AF" w:rsidRPr="007D4EA9" w:rsidP="00AF60AF" w14:paraId="560FDDDC" w14:textId="1CA3F2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3E305C">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vAlign w:val="bottom"/>
          </w:tcPr>
          <w:p w:rsidR="00AF60AF" w:rsidRPr="007D4EA9" w:rsidP="00AF60AF" w14:paraId="39BF1C7C" w14:textId="152A69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color w:val="000000"/>
                <w:sz w:val="20"/>
                <w:szCs w:val="20"/>
              </w:rPr>
              <w:t>587.88</w:t>
            </w:r>
          </w:p>
        </w:tc>
      </w:tr>
      <w:tr w14:paraId="5DADC2BB"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tcPr>
          <w:p w:rsidR="00AF60AF" w:rsidRPr="007D4EA9" w:rsidP="00AF60AF" w14:paraId="72730A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In-depth Interviews Screener</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42654E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rPr>
              <w:t>25</w:t>
            </w:r>
          </w:p>
        </w:tc>
        <w:tc>
          <w:tcPr>
            <w:tcW w:w="1064" w:type="dxa"/>
            <w:tcBorders>
              <w:top w:val="single" w:sz="4" w:space="0" w:color="auto"/>
              <w:left w:val="single" w:sz="4" w:space="0" w:color="auto"/>
              <w:bottom w:val="single" w:sz="4" w:space="0" w:color="auto"/>
              <w:right w:val="single" w:sz="4" w:space="0" w:color="auto"/>
            </w:tcBorders>
          </w:tcPr>
          <w:p w:rsidR="00AF60AF" w:rsidRPr="007D4EA9" w:rsidP="00AF60AF" w14:paraId="4370F675" w14:textId="205667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3E305C">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vAlign w:val="bottom"/>
          </w:tcPr>
          <w:p w:rsidR="00AF60AF" w:rsidRPr="007D4EA9" w:rsidP="00AF60AF" w14:paraId="5FABD240" w14:textId="0680F6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color w:val="000000"/>
                <w:sz w:val="20"/>
                <w:szCs w:val="20"/>
              </w:rPr>
              <w:t>1,</w:t>
            </w:r>
            <w:r w:rsidRPr="007D4EA9" w:rsidR="00F508AA">
              <w:rPr>
                <w:color w:val="000000"/>
                <w:sz w:val="20"/>
                <w:szCs w:val="20"/>
              </w:rPr>
              <w:t>633.00</w:t>
            </w:r>
          </w:p>
        </w:tc>
      </w:tr>
      <w:tr w14:paraId="743E1FCB"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tcPr>
          <w:p w:rsidR="00AF60AF" w:rsidRPr="007D4EA9" w:rsidP="00AF60AF" w14:paraId="6E1465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 xml:space="preserve">In-depth Interviews </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1F939DC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rPr>
              <w:t>60</w:t>
            </w:r>
          </w:p>
        </w:tc>
        <w:tc>
          <w:tcPr>
            <w:tcW w:w="1064" w:type="dxa"/>
            <w:tcBorders>
              <w:top w:val="single" w:sz="4" w:space="0" w:color="auto"/>
              <w:left w:val="single" w:sz="4" w:space="0" w:color="auto"/>
              <w:bottom w:val="single" w:sz="4" w:space="0" w:color="auto"/>
              <w:right w:val="single" w:sz="4" w:space="0" w:color="auto"/>
            </w:tcBorders>
          </w:tcPr>
          <w:p w:rsidR="00AF60AF" w:rsidRPr="007D4EA9" w:rsidP="00AF60AF" w14:paraId="7D18CFCE" w14:textId="7CD258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3E305C">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vAlign w:val="bottom"/>
          </w:tcPr>
          <w:p w:rsidR="00AF60AF" w:rsidRPr="007D4EA9" w:rsidP="00AF60AF" w14:paraId="3BE8FCFC" w14:textId="64E1A3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color w:val="000000"/>
                <w:sz w:val="20"/>
                <w:szCs w:val="20"/>
              </w:rPr>
              <w:t>3,</w:t>
            </w:r>
            <w:r w:rsidRPr="007D4EA9" w:rsidR="00F508AA">
              <w:rPr>
                <w:color w:val="000000"/>
                <w:sz w:val="20"/>
                <w:szCs w:val="20"/>
              </w:rPr>
              <w:t>919.20</w:t>
            </w:r>
          </w:p>
        </w:tc>
      </w:tr>
      <w:tr w14:paraId="390E260A"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hideMark/>
          </w:tcPr>
          <w:p w:rsidR="00AF60AF" w:rsidRPr="007D4EA9" w:rsidP="00AF60AF" w14:paraId="0E569D3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Survey Cognitive Interviews Screener</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2BD930C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rPr>
              <w:t>4</w:t>
            </w:r>
          </w:p>
        </w:tc>
        <w:tc>
          <w:tcPr>
            <w:tcW w:w="1064" w:type="dxa"/>
            <w:tcBorders>
              <w:top w:val="single" w:sz="4" w:space="0" w:color="auto"/>
              <w:left w:val="single" w:sz="4" w:space="0" w:color="auto"/>
              <w:bottom w:val="single" w:sz="4" w:space="0" w:color="auto"/>
              <w:right w:val="single" w:sz="4" w:space="0" w:color="auto"/>
            </w:tcBorders>
            <w:hideMark/>
          </w:tcPr>
          <w:p w:rsidR="00AF60AF" w:rsidRPr="007D4EA9" w:rsidP="00AF60AF" w14:paraId="46300852" w14:textId="6134FC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3E305C">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vAlign w:val="bottom"/>
            <w:hideMark/>
          </w:tcPr>
          <w:p w:rsidR="00AF60AF" w:rsidRPr="007D4EA9" w:rsidP="00AF60AF" w14:paraId="3BBC1213" w14:textId="2F72D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color w:val="000000"/>
                <w:sz w:val="20"/>
                <w:szCs w:val="20"/>
              </w:rPr>
              <w:t>261.28</w:t>
            </w:r>
          </w:p>
        </w:tc>
      </w:tr>
      <w:tr w14:paraId="56CD5C08"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hideMark/>
          </w:tcPr>
          <w:p w:rsidR="00AF60AF" w:rsidRPr="007D4EA9" w:rsidP="00AF60AF" w14:paraId="6ED61D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Survey Cognitive Interviews</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27452F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rPr>
              <w:t>9</w:t>
            </w:r>
          </w:p>
        </w:tc>
        <w:tc>
          <w:tcPr>
            <w:tcW w:w="1064" w:type="dxa"/>
            <w:tcBorders>
              <w:top w:val="single" w:sz="4" w:space="0" w:color="auto"/>
              <w:left w:val="single" w:sz="4" w:space="0" w:color="auto"/>
              <w:bottom w:val="single" w:sz="4" w:space="0" w:color="auto"/>
              <w:right w:val="single" w:sz="4" w:space="0" w:color="auto"/>
            </w:tcBorders>
            <w:hideMark/>
          </w:tcPr>
          <w:p w:rsidR="00AF60AF" w:rsidRPr="007D4EA9" w:rsidP="00AF60AF" w14:paraId="242FEE06" w14:textId="4699C0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3E305C">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vAlign w:val="bottom"/>
            <w:hideMark/>
          </w:tcPr>
          <w:p w:rsidR="00AF60AF" w:rsidRPr="007D4EA9" w:rsidP="00AF60AF" w14:paraId="5DCB2EC0" w14:textId="02F344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color w:val="000000"/>
                <w:sz w:val="20"/>
                <w:szCs w:val="20"/>
              </w:rPr>
              <w:t>587.88</w:t>
            </w:r>
          </w:p>
        </w:tc>
      </w:tr>
      <w:tr w14:paraId="5A514F7E"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hideMark/>
          </w:tcPr>
          <w:p w:rsidR="00AF60AF" w:rsidRPr="007D4EA9" w:rsidP="00AF60AF" w14:paraId="1F50886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 xml:space="preserve">Pre-test survey screener </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6F8DCE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rPr>
              <w:t>124</w:t>
            </w:r>
          </w:p>
        </w:tc>
        <w:tc>
          <w:tcPr>
            <w:tcW w:w="1064" w:type="dxa"/>
            <w:tcBorders>
              <w:top w:val="single" w:sz="4" w:space="0" w:color="auto"/>
              <w:left w:val="single" w:sz="4" w:space="0" w:color="auto"/>
              <w:bottom w:val="single" w:sz="4" w:space="0" w:color="auto"/>
              <w:right w:val="single" w:sz="4" w:space="0" w:color="auto"/>
            </w:tcBorders>
            <w:hideMark/>
          </w:tcPr>
          <w:p w:rsidR="00AF60AF" w:rsidRPr="007D4EA9" w:rsidP="00AF60AF" w14:paraId="2E25D0FD" w14:textId="5EACD9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3E305C">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vAlign w:val="bottom"/>
            <w:hideMark/>
          </w:tcPr>
          <w:p w:rsidR="00AF60AF" w:rsidRPr="007D4EA9" w:rsidP="00AF60AF" w14:paraId="7BCF49DB" w14:textId="3DB56E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color w:val="000000"/>
                <w:sz w:val="20"/>
                <w:szCs w:val="20"/>
              </w:rPr>
              <w:t>8,099.68</w:t>
            </w:r>
          </w:p>
        </w:tc>
      </w:tr>
      <w:tr w14:paraId="2CF9A421"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hideMark/>
          </w:tcPr>
          <w:p w:rsidR="00AF60AF" w:rsidRPr="007D4EA9" w:rsidP="00AF60AF" w14:paraId="7C6375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 xml:space="preserve">Pre-test survey </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0E9443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rPr>
              <w:t>76</w:t>
            </w:r>
          </w:p>
        </w:tc>
        <w:tc>
          <w:tcPr>
            <w:tcW w:w="1064" w:type="dxa"/>
            <w:tcBorders>
              <w:top w:val="single" w:sz="4" w:space="0" w:color="auto"/>
              <w:left w:val="single" w:sz="4" w:space="0" w:color="auto"/>
              <w:bottom w:val="single" w:sz="4" w:space="0" w:color="auto"/>
              <w:right w:val="single" w:sz="4" w:space="0" w:color="auto"/>
            </w:tcBorders>
            <w:hideMark/>
          </w:tcPr>
          <w:p w:rsidR="00AF60AF" w:rsidRPr="007D4EA9" w:rsidP="00AF60AF" w14:paraId="68E7B5AB" w14:textId="2E5A05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3E305C">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vAlign w:val="bottom"/>
            <w:hideMark/>
          </w:tcPr>
          <w:p w:rsidR="00AF60AF" w:rsidRPr="007D4EA9" w:rsidP="00AF60AF" w14:paraId="1C315E41" w14:textId="4B78FC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color w:val="000000"/>
                <w:sz w:val="20"/>
                <w:szCs w:val="20"/>
              </w:rPr>
              <w:t>4,</w:t>
            </w:r>
            <w:r w:rsidRPr="007D4EA9" w:rsidR="00F90351">
              <w:rPr>
                <w:color w:val="000000"/>
                <w:sz w:val="20"/>
                <w:szCs w:val="20"/>
              </w:rPr>
              <w:t>964.32</w:t>
            </w:r>
          </w:p>
        </w:tc>
      </w:tr>
      <w:tr w14:paraId="0BACBE37"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hideMark/>
          </w:tcPr>
          <w:p w:rsidR="00AF60AF" w:rsidRPr="007D4EA9" w:rsidP="00AF60AF" w14:paraId="001A488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Self-administered surveys - Study Screener</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0B5D21E9" w14:textId="1127F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Pr>
                <w:sz w:val="20"/>
                <w:szCs w:val="20"/>
              </w:rPr>
              <w:t>622.5</w:t>
            </w:r>
          </w:p>
        </w:tc>
        <w:tc>
          <w:tcPr>
            <w:tcW w:w="1064" w:type="dxa"/>
            <w:tcBorders>
              <w:top w:val="single" w:sz="4" w:space="0" w:color="auto"/>
              <w:left w:val="single" w:sz="4" w:space="0" w:color="auto"/>
              <w:bottom w:val="single" w:sz="4" w:space="0" w:color="auto"/>
              <w:right w:val="single" w:sz="4" w:space="0" w:color="auto"/>
            </w:tcBorders>
            <w:hideMark/>
          </w:tcPr>
          <w:p w:rsidR="00AF60AF" w:rsidRPr="007D4EA9" w:rsidP="00AF60AF" w14:paraId="0EEAAA56" w14:textId="08029C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3E305C">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tcPr>
          <w:p w:rsidR="00AF60AF" w:rsidRPr="007D4EA9" w:rsidP="00AF60AF" w14:paraId="5B955A0E" w14:textId="2BD8B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Pr>
                <w:color w:val="000000"/>
                <w:sz w:val="20"/>
                <w:szCs w:val="20"/>
              </w:rPr>
              <w:t>40,66</w:t>
            </w:r>
            <w:r w:rsidR="007E6A59">
              <w:rPr>
                <w:color w:val="000000"/>
                <w:sz w:val="20"/>
                <w:szCs w:val="20"/>
              </w:rPr>
              <w:t>1.7</w:t>
            </w:r>
            <w:r>
              <w:rPr>
                <w:color w:val="000000"/>
                <w:sz w:val="20"/>
                <w:szCs w:val="20"/>
              </w:rPr>
              <w:t>0</w:t>
            </w:r>
          </w:p>
        </w:tc>
      </w:tr>
      <w:tr w14:paraId="1FCCBAEA"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hideMark/>
          </w:tcPr>
          <w:p w:rsidR="00AF60AF" w:rsidRPr="007D4EA9" w:rsidP="00AF60AF" w14:paraId="7D0A0E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Self-Administered Surveys</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05CE0DFE" w14:textId="0F8CA8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Pr>
                <w:sz w:val="20"/>
                <w:szCs w:val="20"/>
              </w:rPr>
              <w:t>375</w:t>
            </w:r>
          </w:p>
        </w:tc>
        <w:tc>
          <w:tcPr>
            <w:tcW w:w="1064" w:type="dxa"/>
            <w:tcBorders>
              <w:top w:val="single" w:sz="4" w:space="0" w:color="auto"/>
              <w:left w:val="single" w:sz="4" w:space="0" w:color="auto"/>
              <w:bottom w:val="single" w:sz="4" w:space="0" w:color="auto"/>
              <w:right w:val="single" w:sz="4" w:space="0" w:color="auto"/>
            </w:tcBorders>
            <w:hideMark/>
          </w:tcPr>
          <w:p w:rsidR="00AF60AF" w:rsidRPr="007D4EA9" w:rsidP="00AF60AF" w14:paraId="4CFB8DAF" w14:textId="0AD40A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3E305C">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vAlign w:val="bottom"/>
          </w:tcPr>
          <w:p w:rsidR="00AF60AF" w:rsidRPr="007D4EA9" w:rsidP="00AF60AF" w14:paraId="69774631" w14:textId="03751A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Pr>
                <w:color w:val="000000"/>
                <w:sz w:val="20"/>
                <w:szCs w:val="20"/>
              </w:rPr>
              <w:t>24.495.00</w:t>
            </w:r>
          </w:p>
        </w:tc>
      </w:tr>
      <w:tr w14:paraId="29E751C7"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tcPr>
          <w:p w:rsidR="00AF60AF" w:rsidRPr="007D4EA9" w:rsidP="00AF60AF" w14:paraId="0C2B792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Focus Group/Small Group, Cognitive Groups Screener</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7AD488D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rPr>
              <w:t>15</w:t>
            </w:r>
          </w:p>
        </w:tc>
        <w:tc>
          <w:tcPr>
            <w:tcW w:w="1064" w:type="dxa"/>
            <w:tcBorders>
              <w:top w:val="single" w:sz="4" w:space="0" w:color="auto"/>
              <w:left w:val="single" w:sz="4" w:space="0" w:color="auto"/>
              <w:bottom w:val="single" w:sz="4" w:space="0" w:color="auto"/>
              <w:right w:val="single" w:sz="4" w:space="0" w:color="auto"/>
            </w:tcBorders>
          </w:tcPr>
          <w:p w:rsidR="00AF60AF" w:rsidRPr="007D4EA9" w:rsidP="00AF60AF" w14:paraId="4692839C" w14:textId="056AEA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3E305C">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vAlign w:val="bottom"/>
          </w:tcPr>
          <w:p w:rsidR="00AF60AF" w:rsidRPr="007D4EA9" w:rsidP="00AF60AF" w14:paraId="7DCFD9E6" w14:textId="209D8A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color w:val="000000"/>
                <w:sz w:val="20"/>
                <w:szCs w:val="20"/>
              </w:rPr>
              <w:t>979.80</w:t>
            </w:r>
          </w:p>
        </w:tc>
      </w:tr>
      <w:tr w14:paraId="72C08E05"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tcPr>
          <w:p w:rsidR="00AF60AF" w:rsidRPr="007D4EA9" w:rsidP="00AF60AF" w14:paraId="2A3917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Focus Group/Small Group, Cognitive Groups</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6B4C819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rPr>
              <w:t>90</w:t>
            </w:r>
          </w:p>
        </w:tc>
        <w:tc>
          <w:tcPr>
            <w:tcW w:w="1064" w:type="dxa"/>
            <w:tcBorders>
              <w:top w:val="single" w:sz="4" w:space="0" w:color="auto"/>
              <w:left w:val="single" w:sz="4" w:space="0" w:color="auto"/>
              <w:bottom w:val="single" w:sz="4" w:space="0" w:color="auto"/>
              <w:right w:val="single" w:sz="4" w:space="0" w:color="auto"/>
            </w:tcBorders>
          </w:tcPr>
          <w:p w:rsidR="00AF60AF" w:rsidRPr="007D4EA9" w:rsidP="00AF60AF" w14:paraId="71151CC1" w14:textId="17DB77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3E305C">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vAlign w:val="bottom"/>
          </w:tcPr>
          <w:p w:rsidR="00AF60AF" w:rsidRPr="007D4EA9" w:rsidP="00AF60AF" w14:paraId="51FD0548" w14:textId="6A5364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color w:val="000000"/>
                <w:sz w:val="20"/>
                <w:szCs w:val="20"/>
              </w:rPr>
              <w:t>5,</w:t>
            </w:r>
            <w:r w:rsidRPr="007D4EA9" w:rsidR="006F1783">
              <w:rPr>
                <w:color w:val="000000"/>
                <w:sz w:val="20"/>
                <w:szCs w:val="20"/>
              </w:rPr>
              <w:t>878.80</w:t>
            </w:r>
          </w:p>
        </w:tc>
      </w:tr>
      <w:tr w14:paraId="2930D3D5"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tcPr>
          <w:p w:rsidR="00AF60AF" w:rsidRPr="007D4EA9" w:rsidP="00AF60AF" w14:paraId="601541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Focus Group/Small Group Participant Screening</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2A6FD39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rPr>
              <w:t>60</w:t>
            </w:r>
          </w:p>
        </w:tc>
        <w:tc>
          <w:tcPr>
            <w:tcW w:w="1064" w:type="dxa"/>
            <w:tcBorders>
              <w:top w:val="single" w:sz="4" w:space="0" w:color="auto"/>
              <w:left w:val="single" w:sz="4" w:space="0" w:color="auto"/>
              <w:bottom w:val="single" w:sz="4" w:space="0" w:color="auto"/>
              <w:right w:val="single" w:sz="4" w:space="0" w:color="auto"/>
            </w:tcBorders>
          </w:tcPr>
          <w:p w:rsidR="00AF60AF" w:rsidRPr="007D4EA9" w:rsidP="00AF60AF" w14:paraId="1F14604F" w14:textId="76978E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914100">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vAlign w:val="bottom"/>
          </w:tcPr>
          <w:p w:rsidR="00AF60AF" w:rsidRPr="007D4EA9" w:rsidP="00AF60AF" w14:paraId="6BBF6920" w14:textId="179810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color w:val="000000"/>
                <w:sz w:val="20"/>
                <w:szCs w:val="20"/>
              </w:rPr>
              <w:t>3,</w:t>
            </w:r>
            <w:r w:rsidRPr="007D4EA9" w:rsidR="00630EBD">
              <w:rPr>
                <w:color w:val="000000"/>
                <w:sz w:val="20"/>
                <w:szCs w:val="20"/>
              </w:rPr>
              <w:t>919.20</w:t>
            </w:r>
          </w:p>
        </w:tc>
      </w:tr>
      <w:tr w14:paraId="020A545A"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tcPr>
          <w:p w:rsidR="00AF60AF" w:rsidRPr="007D4EA9" w:rsidP="00AF60AF" w14:paraId="513B58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Focus Group/Small Group Discussion</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6CC813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rPr>
              <w:t>360</w:t>
            </w:r>
          </w:p>
        </w:tc>
        <w:tc>
          <w:tcPr>
            <w:tcW w:w="1064" w:type="dxa"/>
            <w:tcBorders>
              <w:top w:val="single" w:sz="4" w:space="0" w:color="auto"/>
              <w:left w:val="single" w:sz="4" w:space="0" w:color="auto"/>
              <w:bottom w:val="single" w:sz="4" w:space="0" w:color="auto"/>
              <w:right w:val="single" w:sz="4" w:space="0" w:color="auto"/>
            </w:tcBorders>
          </w:tcPr>
          <w:p w:rsidR="00AF60AF" w:rsidRPr="007D4EA9" w:rsidP="00AF60AF" w14:paraId="52A65145" w14:textId="188805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914100">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vAlign w:val="bottom"/>
          </w:tcPr>
          <w:p w:rsidR="00AF60AF" w:rsidRPr="007D4EA9" w:rsidP="00AF60AF" w14:paraId="5188A40C" w14:textId="04A8BD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color w:val="000000"/>
                <w:sz w:val="20"/>
                <w:szCs w:val="20"/>
              </w:rPr>
              <w:t>23,515.20</w:t>
            </w:r>
          </w:p>
        </w:tc>
      </w:tr>
      <w:tr w14:paraId="37157D00" w14:textId="77777777" w:rsidTr="007D4EA9">
        <w:tblPrEx>
          <w:tblW w:w="9810" w:type="dxa"/>
          <w:tblInd w:w="355" w:type="dxa"/>
          <w:tblLayout w:type="fixed"/>
          <w:tblLook w:val="01E0"/>
        </w:tblPrEx>
        <w:trPr>
          <w:trHeight w:val="61"/>
        </w:trPr>
        <w:tc>
          <w:tcPr>
            <w:tcW w:w="4770" w:type="dxa"/>
            <w:tcBorders>
              <w:top w:val="single" w:sz="4" w:space="0" w:color="auto"/>
              <w:left w:val="single" w:sz="4" w:space="0" w:color="auto"/>
              <w:bottom w:val="single" w:sz="4" w:space="0" w:color="auto"/>
              <w:right w:val="single" w:sz="4" w:space="0" w:color="auto"/>
            </w:tcBorders>
          </w:tcPr>
          <w:p w:rsidR="00AF60AF" w:rsidRPr="007D4EA9" w:rsidP="00AF60AF" w14:paraId="6152BB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lang w:bidi="he-IL"/>
              </w:rPr>
            </w:pPr>
            <w:r w:rsidRPr="007D4EA9">
              <w:rPr>
                <w:sz w:val="20"/>
                <w:szCs w:val="20"/>
                <w:lang w:bidi="he-IL"/>
              </w:rPr>
              <w:t>Total</w:t>
            </w:r>
          </w:p>
        </w:tc>
        <w:tc>
          <w:tcPr>
            <w:tcW w:w="1350" w:type="dxa"/>
            <w:tcBorders>
              <w:top w:val="single" w:sz="4" w:space="0" w:color="auto"/>
              <w:left w:val="single" w:sz="4" w:space="0" w:color="auto"/>
              <w:bottom w:val="single" w:sz="4" w:space="0" w:color="auto"/>
              <w:right w:val="single" w:sz="4" w:space="0" w:color="auto"/>
            </w:tcBorders>
          </w:tcPr>
          <w:p w:rsidR="00AF60AF" w:rsidRPr="007D4EA9" w:rsidP="00AF60AF" w14:paraId="3DDF41C3" w14:textId="5893F7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rPr>
              <w:t>4,836</w:t>
            </w:r>
          </w:p>
        </w:tc>
        <w:tc>
          <w:tcPr>
            <w:tcW w:w="1064" w:type="dxa"/>
            <w:tcBorders>
              <w:top w:val="single" w:sz="4" w:space="0" w:color="auto"/>
              <w:left w:val="single" w:sz="4" w:space="0" w:color="auto"/>
              <w:bottom w:val="single" w:sz="4" w:space="0" w:color="auto"/>
              <w:right w:val="single" w:sz="4" w:space="0" w:color="auto"/>
            </w:tcBorders>
          </w:tcPr>
          <w:p w:rsidR="00AF60AF" w:rsidRPr="007D4EA9" w:rsidP="00AF60AF" w14:paraId="38EAA45E" w14:textId="43F754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0"/>
                <w:szCs w:val="20"/>
                <w:lang w:bidi="he-IL"/>
              </w:rPr>
            </w:pPr>
            <w:r w:rsidRPr="007D4EA9">
              <w:rPr>
                <w:sz w:val="20"/>
                <w:szCs w:val="20"/>
                <w:lang w:bidi="he-IL"/>
              </w:rPr>
              <w:t>$</w:t>
            </w:r>
            <w:r w:rsidRPr="007D4EA9" w:rsidR="00914100">
              <w:rPr>
                <w:sz w:val="20"/>
                <w:szCs w:val="20"/>
                <w:lang w:bidi="he-IL"/>
              </w:rPr>
              <w:t>65.32</w:t>
            </w:r>
          </w:p>
        </w:tc>
        <w:tc>
          <w:tcPr>
            <w:tcW w:w="2626" w:type="dxa"/>
            <w:tcBorders>
              <w:top w:val="single" w:sz="4" w:space="0" w:color="auto"/>
              <w:left w:val="single" w:sz="4" w:space="0" w:color="auto"/>
              <w:bottom w:val="single" w:sz="4" w:space="0" w:color="auto"/>
              <w:right w:val="single" w:sz="4" w:space="0" w:color="auto"/>
            </w:tcBorders>
          </w:tcPr>
          <w:p w:rsidR="00AF60AF" w:rsidRPr="007D4EA9" w:rsidP="00AF60AF" w14:paraId="1CB06B6A" w14:textId="3DDFE2E0">
            <w:pPr>
              <w:jc w:val="right"/>
              <w:rPr>
                <w:sz w:val="20"/>
                <w:szCs w:val="20"/>
                <w:lang w:bidi="he-IL"/>
              </w:rPr>
            </w:pPr>
            <w:r w:rsidRPr="007D4EA9">
              <w:rPr>
                <w:color w:val="000000"/>
                <w:sz w:val="20"/>
                <w:szCs w:val="20"/>
              </w:rPr>
              <w:t>$</w:t>
            </w:r>
            <w:r w:rsidR="006D17A6">
              <w:rPr>
                <w:color w:val="000000"/>
                <w:sz w:val="20"/>
                <w:szCs w:val="20"/>
              </w:rPr>
              <w:t>119</w:t>
            </w:r>
            <w:r w:rsidR="00AC0E98">
              <w:rPr>
                <w:color w:val="000000"/>
                <w:sz w:val="20"/>
                <w:szCs w:val="20"/>
              </w:rPr>
              <w:t>,764.22</w:t>
            </w:r>
          </w:p>
        </w:tc>
      </w:tr>
    </w:tbl>
    <w:p w:rsidR="00357C8A" w:rsidRPr="00357C8A" w:rsidP="00357C8A" w14:paraId="16AB4F9E" w14:textId="77777777">
      <w:pPr>
        <w:rPr>
          <w:rFonts w:eastAsia="Calibri"/>
        </w:rPr>
      </w:pPr>
    </w:p>
    <w:p w:rsidR="00357C8A" w:rsidRPr="00357C8A" w:rsidP="006705EA" w14:paraId="451A1E24"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052C73" w14:paraId="0FC932C6" w14:textId="516CC4F0">
      <w:pPr>
        <w:pStyle w:val="ListParagraph"/>
        <w:spacing w:before="100" w:beforeAutospacing="1" w:after="100" w:afterAutospacing="1"/>
        <w:ind w:left="0"/>
        <w:rPr>
          <w:rFonts w:eastAsia="Calibri"/>
        </w:rPr>
      </w:pPr>
      <w:r>
        <w:t>There are no capital, start-up, operating or maintenance costs associated with this information collection.</w:t>
      </w:r>
    </w:p>
    <w:p w:rsidR="00357C8A" w:rsidRPr="00357C8A" w:rsidP="006705EA" w14:paraId="34AD8AC1"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AE4ACB" w:rsidP="00AE4ACB" w14:paraId="15DF551B" w14:textId="1BBAC6AD">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Costs will include contractor expenses for designing and conducting information collection activities, specifically, drawing samples, training interviewers, collecting and analyzing information, and reporting findings.  Contractor expenses will vary from $40,000 to $110,000 depending on the size of the study.  Therefore, </w:t>
      </w:r>
      <w:r w:rsidR="00826D67">
        <w:t>each year</w:t>
      </w:r>
      <w:r>
        <w:t>, it is anticipated that approximately $900,000 in contractor expenses will be expended to fund at least two large scale studies and eight smaller scale studies.</w:t>
      </w:r>
    </w:p>
    <w:p w:rsidR="00AE4ACB" w:rsidP="00AE4ACB" w14:paraId="33D09B91"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E4ACB" w:rsidP="00AE4ACB" w14:paraId="64ECCA56" w14:textId="3BE1AF89">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addition, government staff costs may be incurred for monitoring by the government Project Officer </w:t>
      </w:r>
      <w:r w:rsidR="00930F9B">
        <w:t>or</w:t>
      </w:r>
      <w:r>
        <w:t xml:space="preserve"> Senior Analyst, projected to be about 25 percent of an FTE’s time per year (522 hours).  Given an FDA personnel cost for a GS-13, Step 1 in the Washington</w:t>
      </w:r>
      <w:r w:rsidR="00CC6625">
        <w:t>-</w:t>
      </w:r>
      <w:r>
        <w:t>Baltimore</w:t>
      </w:r>
      <w:r w:rsidR="00CC6625">
        <w:t>-</w:t>
      </w:r>
      <w:r>
        <w:t>Arlington region is $</w:t>
      </w:r>
      <w:r w:rsidR="00E86A43">
        <w:t>57.78</w:t>
      </w:r>
      <w:r>
        <w:t xml:space="preserve"> per hour for </w:t>
      </w:r>
      <w:r w:rsidR="00800EB7">
        <w:t>2025 and</w:t>
      </w:r>
      <w:r>
        <w:t xml:space="preserve"> doubling this to $</w:t>
      </w:r>
      <w:r w:rsidR="002079DA">
        <w:t>115.56</w:t>
      </w:r>
      <w:r>
        <w:t xml:space="preserve"> an hour to account for overhead, $</w:t>
      </w:r>
      <w:r w:rsidR="00A069D0">
        <w:t>60,</w:t>
      </w:r>
      <w:r w:rsidR="008F233F">
        <w:t>322.32</w:t>
      </w:r>
      <w:r>
        <w:t xml:space="preserve"> would be spent annually on government staff salaries.</w:t>
      </w:r>
    </w:p>
    <w:p w:rsidR="00AE4ACB" w:rsidP="00AE4ACB" w14:paraId="6B1B3C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7C8A" w:rsidRPr="00357C8A" w:rsidP="00357C8A" w14:paraId="1E12A990" w14:textId="099F240B">
      <w:pPr>
        <w:spacing w:after="200"/>
        <w:rPr>
          <w:rFonts w:eastAsia="Calibri"/>
        </w:rPr>
      </w:pPr>
      <w:r>
        <w:t>The total estimated annual cost to the government for this collection of information is $</w:t>
      </w:r>
      <w:r w:rsidR="008F233F">
        <w:t>960,322.32</w:t>
      </w:r>
      <w:r w:rsidR="005E192E">
        <w:t>,</w:t>
      </w:r>
      <w:r>
        <w:t xml:space="preserve"> which is equal to the total of contractor expenses ($900,000) plus FDA government staff salary cost ($</w:t>
      </w:r>
      <w:r w:rsidR="002E7290">
        <w:t>60.322.32</w:t>
      </w:r>
      <w:r>
        <w:t>).</w:t>
      </w:r>
    </w:p>
    <w:p w:rsidR="00357C8A" w:rsidP="006705EA" w14:paraId="4CFFCE48" w14:textId="373771FB">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052C73" w:rsidP="00357C8A" w14:paraId="49E8424E" w14:textId="48CB3A85">
      <w:pPr>
        <w:spacing w:after="200"/>
        <w:rPr>
          <w:rFonts w:eastAsia="Calibri"/>
          <w:color w:val="000000" w:themeColor="text1"/>
        </w:rPr>
      </w:pPr>
      <w:r w:rsidRPr="00467C23">
        <w:rPr>
          <w:rFonts w:eastAsia="Calibri"/>
        </w:rPr>
        <w:t>Since our initial request for continued approval, we have reevaluated actual usage of individual clearance requests.  Accordingly, we have adjusted our estimate downward, as highlighted in the individual IC elements at Q-12.</w:t>
      </w:r>
      <w:r w:rsidR="006D4956">
        <w:rPr>
          <w:rFonts w:eastAsia="Calibri"/>
        </w:rPr>
        <w:t xml:space="preserve">  </w:t>
      </w:r>
      <w:r w:rsidRPr="006D4956" w:rsidR="006D4956">
        <w:rPr>
          <w:rFonts w:eastAsia="Calibri"/>
        </w:rPr>
        <w:t xml:space="preserve">We have reduced our estimate for the number of responses for "Self-Administered Surveys-Study Screener" from 30,000 to 7,500 responses (a drop of 1877.5 hours from 2,500 to 622.5 hours).  We have also reduced our estimate for "Self-Administered Surveys" from 6,000 to 1,500 responses (a reduction of 1,125 hours from 1,500 to 375 hours).  These estimates were made based on our </w:t>
      </w:r>
      <w:r w:rsidRPr="006D4956" w:rsidR="006D4956">
        <w:rPr>
          <w:rFonts w:eastAsia="Calibri"/>
        </w:rPr>
        <w:t>past experience</w:t>
      </w:r>
      <w:r w:rsidRPr="006D4956" w:rsidR="006D4956">
        <w:rPr>
          <w:rFonts w:eastAsia="Calibri"/>
        </w:rPr>
        <w:t xml:space="preserve"> with conducting these collections of information.  The total reduction, therefore, has been 27,000 responses and 3,002.5 hours.</w:t>
      </w:r>
    </w:p>
    <w:p w:rsidR="00357C8A" w:rsidRPr="00357C8A" w:rsidP="006705EA" w14:paraId="6E4480BA"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AE4ACB" w:rsidP="00AE4ACB" w14:paraId="26680012" w14:textId="77777777">
      <w:r w:rsidRPr="00B41789">
        <w:t>FDA will display the OMB expiration date as required by 5 CFR 1320.5.</w:t>
      </w:r>
    </w:p>
    <w:p w:rsidR="00AE4ACB" w:rsidP="00AE4ACB" w14:paraId="7ED77838" w14:textId="77777777"/>
    <w:p w:rsidR="00AE4ACB" w:rsidRPr="00711460" w:rsidP="00AE4ACB" w14:paraId="2B2BF9B3" w14:textId="3608BEEE">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bidi="he-IL"/>
        </w:rPr>
      </w:pPr>
      <w:r w:rsidRPr="00711460">
        <w:rPr>
          <w:lang w:bidi="he-IL"/>
        </w:rPr>
        <w:t>The process for conducting quantitative research includes the following steps:  first, the problem is identified and then testing objectives are discussed, next the analytic questions to be addressed are determined.  The procedures, instruments</w:t>
      </w:r>
      <w:r w:rsidR="00C0130F">
        <w:rPr>
          <w:lang w:bidi="he-IL"/>
        </w:rPr>
        <w:t>,</w:t>
      </w:r>
      <w:r w:rsidRPr="00711460">
        <w:rPr>
          <w:lang w:bidi="he-IL"/>
        </w:rPr>
        <w:t xml:space="preserve"> and data analysis plan will have been previously identified</w:t>
      </w:r>
      <w:r w:rsidR="007D0947">
        <w:rPr>
          <w:lang w:bidi="he-IL"/>
        </w:rPr>
        <w:t>,</w:t>
      </w:r>
      <w:r w:rsidRPr="00711460">
        <w:rPr>
          <w:lang w:bidi="he-IL"/>
        </w:rPr>
        <w:t xml:space="preserve"> as the goal of these data collections is to use a bank of survey questions that have been pre-tested wherein just the subject of the urgent data collection need, the product, and the pathogen – if relevant – are inserted at the appropriate places in the questions. </w:t>
      </w:r>
      <w:r w:rsidR="005A7751">
        <w:rPr>
          <w:lang w:bidi="he-IL"/>
        </w:rPr>
        <w:t xml:space="preserve"> </w:t>
      </w:r>
      <w:r w:rsidRPr="00711460">
        <w:rPr>
          <w:lang w:bidi="he-IL"/>
        </w:rPr>
        <w:t>For the qualitative research, previously developed focus group moderator and interview guides will be adapted to current needs.</w:t>
      </w:r>
    </w:p>
    <w:p w:rsidR="00AE4ACB" w:rsidRPr="00711460" w:rsidP="00AE4ACB" w14:paraId="51171D85"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bidi="he-IL"/>
        </w:rPr>
      </w:pPr>
    </w:p>
    <w:p w:rsidR="00AE4ACB" w:rsidRPr="00711460" w:rsidP="00AE4ACB" w14:paraId="7ED45AD1" w14:textId="2DB4B740">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bidi="he-IL"/>
        </w:rPr>
      </w:pPr>
      <w:r w:rsidRPr="00711460">
        <w:rPr>
          <w:lang w:bidi="he-IL"/>
        </w:rPr>
        <w:t xml:space="preserve">Analytic techniques for the survey will mainly comprise descriptive statistics, including percentages, cross-tabulations, and averages — presented along with demographic descriptions of study participants.  Information collected from study participants may be subjected to subgroup analyses to uncover potential differences among key groups (defined by </w:t>
      </w:r>
      <w:r w:rsidR="00576656">
        <w:rPr>
          <w:lang w:bidi="he-IL"/>
        </w:rPr>
        <w:t>sex</w:t>
      </w:r>
      <w:r w:rsidRPr="00711460">
        <w:rPr>
          <w:lang w:bidi="he-IL"/>
        </w:rPr>
        <w:t xml:space="preserve">, age, race/ethnicity, etc.).  Inferential statistical analyses may also be conducted using cross-tabulation procedures with categorical variables (e.g., chi-square) and between-group procedures with continuous variables (e.g., ANOVA and t-tests).  Parametric statistical tests will be used in the case of sufficient sample sizes, normal distributions, and continuous or interval data; nonparametric procedures will be used otherwise. </w:t>
      </w:r>
      <w:r w:rsidR="00F0088E">
        <w:rPr>
          <w:lang w:bidi="he-IL"/>
        </w:rPr>
        <w:t xml:space="preserve"> </w:t>
      </w:r>
      <w:r w:rsidRPr="00711460">
        <w:rPr>
          <w:lang w:bidi="he-IL"/>
        </w:rPr>
        <w:t>All analyses will be done in the context of understanding the limitations of the data with respect to their not representing population parameters.</w:t>
      </w:r>
    </w:p>
    <w:p w:rsidR="00AE4ACB" w:rsidRPr="00711460" w:rsidP="00AE4ACB" w14:paraId="33AD0C85" w14:textId="7777777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rPr>
          <w:lang w:bidi="he-IL"/>
        </w:rPr>
      </w:pPr>
    </w:p>
    <w:p w:rsidR="00AE4ACB" w:rsidRPr="00711460" w:rsidP="00AE4ACB" w14:paraId="10C62941" w14:textId="0DCA48AC">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bidi="he-IL"/>
        </w:rPr>
      </w:pPr>
      <w:r w:rsidRPr="00711460">
        <w:rPr>
          <w:lang w:bidi="he-IL"/>
        </w:rPr>
        <w:t xml:space="preserve">While the primary purpose of quantitative research is to provide information to FDA, FDA may make the results available to a variety of health educators at </w:t>
      </w:r>
      <w:r w:rsidR="005D0297">
        <w:rPr>
          <w:lang w:bidi="he-IL"/>
        </w:rPr>
        <w:t>g</w:t>
      </w:r>
      <w:r w:rsidRPr="00711460">
        <w:rPr>
          <w:lang w:bidi="he-IL"/>
        </w:rPr>
        <w:t xml:space="preserve">overnment agencies, voluntary organizations, health professional organizations, and medical institutions.  In addition, FDA may present the findings of its work at professional association meetings, including those of the American Public Health Association.  Some results may be published in professional journals such as the </w:t>
      </w:r>
      <w:r w:rsidRPr="00711460">
        <w:rPr>
          <w:i/>
          <w:lang w:bidi="he-IL"/>
        </w:rPr>
        <w:t>Journal of Public Policy and Marketing</w:t>
      </w:r>
      <w:r w:rsidRPr="00711460">
        <w:rPr>
          <w:lang w:bidi="he-IL"/>
        </w:rPr>
        <w:t>.  In any findings presented at professional association meetings or in professional journals, FDA will state the limitations of the data by recognizing its nonrepresentative nature.</w:t>
      </w:r>
    </w:p>
    <w:p w:rsidR="00AE4ACB" w:rsidRPr="00711460" w:rsidP="00AE4ACB" w14:paraId="1D295B69" w14:textId="7777777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bidi="he-IL"/>
        </w:rPr>
      </w:pPr>
    </w:p>
    <w:p w:rsidR="00AE4ACB" w:rsidRPr="00711460" w:rsidP="00AE4ACB" w14:paraId="56A498D8" w14:textId="646D8CE9">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bidi="he-IL"/>
        </w:rPr>
      </w:pPr>
      <w:r w:rsidRPr="00711460">
        <w:rPr>
          <w:lang w:bidi="he-IL"/>
        </w:rPr>
        <w:t xml:space="preserve">The specifics of each study are not known.  Because the materials will have been pre-developed, the data collection period should vary only by review and scheduling contingencies. </w:t>
      </w:r>
      <w:r w:rsidR="009766DF">
        <w:rPr>
          <w:lang w:bidi="he-IL"/>
        </w:rPr>
        <w:t xml:space="preserve"> </w:t>
      </w:r>
      <w:r w:rsidRPr="00711460">
        <w:rPr>
          <w:lang w:bidi="he-IL"/>
        </w:rPr>
        <w:t xml:space="preserve">Otherwise, the typical survey is expected to conclude 3 days from notification of OMB clearance. </w:t>
      </w:r>
      <w:r w:rsidR="00502C23">
        <w:rPr>
          <w:lang w:bidi="he-IL"/>
        </w:rPr>
        <w:t xml:space="preserve"> </w:t>
      </w:r>
      <w:r w:rsidRPr="00711460">
        <w:rPr>
          <w:lang w:bidi="he-IL"/>
        </w:rPr>
        <w:t>A schedule for a typical data collection after identification of the need to collect data is shown below:</w:t>
      </w:r>
    </w:p>
    <w:p w:rsidR="00AE4ACB" w:rsidRPr="00711460" w:rsidP="00AE4ACB" w14:paraId="03887E2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bidi="he-IL"/>
        </w:rPr>
      </w:pPr>
    </w:p>
    <w:p w:rsidR="00AE4ACB" w:rsidRPr="00711460" w:rsidP="00AE4ACB" w14:paraId="265D2073" w14:textId="1A94C313">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540"/>
        </w:tabs>
        <w:autoSpaceDE w:val="0"/>
        <w:autoSpaceDN w:val="0"/>
        <w:adjustRightInd w:val="0"/>
        <w:ind w:left="360" w:right="-180"/>
        <w:rPr>
          <w:lang w:bidi="he-IL"/>
        </w:rPr>
      </w:pPr>
      <w:r w:rsidRPr="00711460">
        <w:rPr>
          <w:lang w:bidi="he-IL"/>
        </w:rPr>
        <w:tab/>
        <w:t>Adapt quick-turnaround pre-tested survey or focus group/interview guide</w:t>
      </w:r>
      <w:r w:rsidRPr="00711460">
        <w:rPr>
          <w:lang w:bidi="he-IL"/>
        </w:rPr>
        <w:tab/>
        <w:t>2 days</w:t>
      </w:r>
    </w:p>
    <w:p w:rsidR="00AE4ACB" w:rsidRPr="00711460" w:rsidP="00AE4ACB" w14:paraId="5DB293AC" w14:textId="77777777">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540"/>
        </w:tabs>
        <w:autoSpaceDE w:val="0"/>
        <w:autoSpaceDN w:val="0"/>
        <w:adjustRightInd w:val="0"/>
        <w:ind w:left="360" w:right="-180"/>
        <w:rPr>
          <w:lang w:bidi="he-IL"/>
        </w:rPr>
      </w:pPr>
      <w:r w:rsidRPr="00711460">
        <w:rPr>
          <w:lang w:bidi="he-IL"/>
        </w:rPr>
        <w:tab/>
        <w:t>Develop and submit OMB generic clearance request</w:t>
      </w:r>
      <w:r w:rsidRPr="00711460">
        <w:rPr>
          <w:lang w:bidi="he-IL"/>
        </w:rPr>
        <w:tab/>
      </w:r>
      <w:r w:rsidRPr="00711460">
        <w:rPr>
          <w:lang w:bidi="he-IL"/>
        </w:rPr>
        <w:tab/>
      </w:r>
      <w:r w:rsidRPr="00711460">
        <w:rPr>
          <w:lang w:bidi="he-IL"/>
        </w:rPr>
        <w:tab/>
      </w:r>
      <w:r w:rsidRPr="00711460">
        <w:rPr>
          <w:lang w:bidi="he-IL"/>
        </w:rPr>
        <w:tab/>
        <w:t>3 days</w:t>
      </w:r>
    </w:p>
    <w:p w:rsidR="00AE4ACB" w:rsidRPr="00711460" w:rsidP="00AE4ACB" w14:paraId="26D81AA8" w14:textId="77777777">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540"/>
        </w:tabs>
        <w:autoSpaceDE w:val="0"/>
        <w:autoSpaceDN w:val="0"/>
        <w:adjustRightInd w:val="0"/>
        <w:ind w:left="360" w:right="-180"/>
        <w:rPr>
          <w:lang w:bidi="he-IL"/>
        </w:rPr>
      </w:pPr>
      <w:r w:rsidRPr="00711460">
        <w:rPr>
          <w:lang w:bidi="he-IL"/>
        </w:rPr>
        <w:tab/>
        <w:t>Receive OMB clearance for Quick-turnaround project</w:t>
      </w:r>
      <w:r w:rsidRPr="00711460">
        <w:rPr>
          <w:lang w:bidi="he-IL"/>
        </w:rPr>
        <w:tab/>
      </w:r>
      <w:r w:rsidRPr="00711460">
        <w:rPr>
          <w:lang w:bidi="he-IL"/>
        </w:rPr>
        <w:tab/>
      </w:r>
      <w:r w:rsidRPr="00711460">
        <w:rPr>
          <w:lang w:bidi="he-IL"/>
        </w:rPr>
        <w:tab/>
      </w:r>
      <w:r w:rsidRPr="00711460">
        <w:rPr>
          <w:lang w:bidi="he-IL"/>
        </w:rPr>
        <w:tab/>
        <w:t>5 days</w:t>
      </w:r>
    </w:p>
    <w:p w:rsidR="00AE4ACB" w:rsidRPr="00711460" w:rsidP="00AE4ACB" w14:paraId="4B836B75" w14:textId="77777777">
      <w:pPr>
        <w:numPr>
          <w:ilvl w:val="12"/>
          <w:numId w:val="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autoSpaceDE w:val="0"/>
        <w:autoSpaceDN w:val="0"/>
        <w:adjustRightInd w:val="0"/>
        <w:ind w:left="360" w:right="-180"/>
        <w:rPr>
          <w:lang w:bidi="he-IL"/>
        </w:rPr>
      </w:pPr>
      <w:r w:rsidRPr="00711460">
        <w:rPr>
          <w:lang w:bidi="he-IL"/>
        </w:rPr>
        <w:tab/>
        <w:t>Recruit participants and administer study</w:t>
      </w:r>
      <w:r w:rsidRPr="00711460">
        <w:rPr>
          <w:lang w:bidi="he-IL"/>
        </w:rPr>
        <w:tab/>
      </w:r>
      <w:r w:rsidRPr="00711460">
        <w:rPr>
          <w:lang w:bidi="he-IL"/>
        </w:rPr>
        <w:tab/>
      </w:r>
      <w:r w:rsidRPr="00711460">
        <w:rPr>
          <w:lang w:bidi="he-IL"/>
        </w:rPr>
        <w:tab/>
      </w:r>
      <w:r w:rsidRPr="00711460">
        <w:rPr>
          <w:lang w:bidi="he-IL"/>
        </w:rPr>
        <w:tab/>
      </w:r>
      <w:r w:rsidRPr="00711460">
        <w:rPr>
          <w:lang w:bidi="he-IL"/>
        </w:rPr>
        <w:tab/>
      </w:r>
      <w:r w:rsidRPr="00711460">
        <w:rPr>
          <w:lang w:bidi="he-IL"/>
        </w:rPr>
        <w:tab/>
        <w:t>3-5 days</w:t>
      </w:r>
    </w:p>
    <w:p w:rsidR="00AE4ACB" w:rsidP="00AE4ACB" w14:paraId="0BBE4BD6" w14:textId="77777777">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540"/>
        </w:tabs>
        <w:autoSpaceDE w:val="0"/>
        <w:autoSpaceDN w:val="0"/>
        <w:adjustRightInd w:val="0"/>
        <w:ind w:left="360" w:right="-180"/>
        <w:rPr>
          <w:lang w:bidi="he-IL"/>
        </w:rPr>
      </w:pPr>
      <w:r w:rsidRPr="00711460">
        <w:rPr>
          <w:lang w:bidi="he-IL"/>
        </w:rPr>
        <w:tab/>
        <w:t>Compile results and report findings</w:t>
      </w:r>
      <w:r w:rsidRPr="00711460">
        <w:rPr>
          <w:lang w:bidi="he-IL"/>
        </w:rPr>
        <w:tab/>
      </w:r>
      <w:r w:rsidRPr="00711460">
        <w:rPr>
          <w:lang w:bidi="he-IL"/>
        </w:rPr>
        <w:tab/>
      </w:r>
      <w:r w:rsidRPr="00711460">
        <w:rPr>
          <w:lang w:bidi="he-IL"/>
        </w:rPr>
        <w:tab/>
      </w:r>
      <w:r w:rsidRPr="00711460">
        <w:rPr>
          <w:lang w:bidi="he-IL"/>
        </w:rPr>
        <w:tab/>
      </w:r>
      <w:r w:rsidRPr="00711460">
        <w:rPr>
          <w:lang w:bidi="he-IL"/>
        </w:rPr>
        <w:tab/>
      </w:r>
      <w:r w:rsidRPr="00711460">
        <w:rPr>
          <w:lang w:bidi="he-IL"/>
        </w:rPr>
        <w:tab/>
        <w:t>2 days</w:t>
      </w:r>
    </w:p>
    <w:p w:rsidR="00AE4ACB" w:rsidP="00AE4ACB" w14:paraId="1E700C8A" w14:textId="77777777">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540"/>
        </w:tabs>
        <w:autoSpaceDE w:val="0"/>
        <w:autoSpaceDN w:val="0"/>
        <w:adjustRightInd w:val="0"/>
        <w:ind w:left="360" w:right="-180"/>
        <w:rPr>
          <w:lang w:bidi="he-IL"/>
        </w:rPr>
      </w:pPr>
    </w:p>
    <w:p w:rsidR="00357C8A" w:rsidP="00A34982" w14:paraId="5AAB9F76" w14:textId="6CDE0313">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540"/>
        </w:tabs>
        <w:autoSpaceDE w:val="0"/>
        <w:autoSpaceDN w:val="0"/>
        <w:adjustRightInd w:val="0"/>
        <w:ind w:right="-180"/>
      </w:pPr>
      <w:r w:rsidRPr="004120C0">
        <w:t>We recognize that individual collections under this generic clearance may have slightly different timeframes from those outlined above.</w:t>
      </w:r>
    </w:p>
    <w:p w:rsidR="000B3BD6" w:rsidRPr="00052C73" w:rsidP="00A34982" w14:paraId="22695453" w14:textId="77777777">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540"/>
        </w:tabs>
        <w:autoSpaceDE w:val="0"/>
        <w:autoSpaceDN w:val="0"/>
        <w:adjustRightInd w:val="0"/>
        <w:ind w:right="-180"/>
        <w:rPr>
          <w:rFonts w:eastAsia="Calibri"/>
          <w:color w:val="000000" w:themeColor="text1"/>
        </w:rPr>
      </w:pPr>
    </w:p>
    <w:p w:rsidR="00357C8A" w:rsidRPr="00357C8A" w:rsidP="006705EA" w14:paraId="0511590C"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052C73" w:rsidP="00357C8A" w14:paraId="1FE7E23B" w14:textId="6F830783">
      <w:pPr>
        <w:spacing w:after="200"/>
        <w:rPr>
          <w:rFonts w:eastAsia="Calibri"/>
          <w:color w:val="000000" w:themeColor="text1"/>
        </w:rPr>
      </w:pPr>
      <w:r w:rsidRPr="00711460">
        <w:rPr>
          <w:lang w:bidi="he-IL"/>
        </w:rPr>
        <w:t xml:space="preserve">FDA is not requesting an exemption from this requirement. </w:t>
      </w:r>
      <w:r w:rsidR="00D91551">
        <w:rPr>
          <w:lang w:bidi="he-IL"/>
        </w:rPr>
        <w:t xml:space="preserve"> </w:t>
      </w:r>
      <w:r w:rsidRPr="00711460">
        <w:rPr>
          <w:lang w:bidi="he-IL"/>
        </w:rPr>
        <w:t>The OMB expiration date will be displayed</w:t>
      </w:r>
      <w:r w:rsidRPr="002C1D39">
        <w:rPr>
          <w:color w:val="000000" w:themeColor="text1"/>
          <w:lang w:bidi="he-IL"/>
        </w:rPr>
        <w:t>.</w:t>
      </w:r>
    </w:p>
    <w:p w:rsidR="00357C8A" w:rsidRPr="00357C8A" w:rsidP="006705EA" w14:paraId="1DDEB027"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AE4ACB" w:rsidRPr="00653CDC" w:rsidP="00AE4ACB" w14:paraId="1F010634" w14:textId="14BB52E8">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bidi="he-IL"/>
        </w:rPr>
      </w:pPr>
      <w:r w:rsidRPr="00A544F4">
        <w:rPr>
          <w:lang w:bidi="he-IL"/>
        </w:rPr>
        <w:t>There are no exceptions to the certification</w:t>
      </w:r>
      <w:r w:rsidRPr="00711460">
        <w:rPr>
          <w:lang w:bidi="he-IL"/>
        </w:rPr>
        <w:t>.</w:t>
      </w:r>
      <w:r w:rsidRPr="00711460">
        <w:rPr>
          <w:b/>
          <w:bCs/>
          <w:lang w:bidi="he-IL"/>
        </w:rPr>
        <w:t xml:space="preserve"> </w:t>
      </w:r>
    </w:p>
    <w:p w:rsidR="00544138" w:rsidRPr="00C20690" w:rsidP="00AE4ACB" w14:paraId="1C33BE6C" w14:textId="5AB85AAD">
      <w:pPr>
        <w:spacing w:after="200"/>
        <w:rPr>
          <w:rFonts w:eastAsia="Calibri"/>
        </w:rPr>
      </w:pPr>
    </w:p>
    <w:sectPr w:rsidSect="005C71CA">
      <w:footerReference w:type="even" r:id="rId6"/>
      <w:footerReference w:type="default" r:id="rId7"/>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746E5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75D0D8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AA240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D8573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4E83" w14:paraId="42861434" w14:textId="77777777">
      <w:r>
        <w:separator/>
      </w:r>
    </w:p>
  </w:footnote>
  <w:footnote w:type="continuationSeparator" w:id="1">
    <w:p w:rsidR="00864E83" w14:paraId="289C61FE" w14:textId="77777777">
      <w:r>
        <w:continuationSeparator/>
      </w:r>
    </w:p>
  </w:footnote>
  <w:footnote w:id="2">
    <w:p w:rsidR="00B75A53" w:rsidRPr="00C243D2" w:rsidP="00B75A53" w14:paraId="4587AC38" w14:textId="77777777">
      <w:pPr>
        <w:pStyle w:val="FootnoteText"/>
      </w:pPr>
      <w:r w:rsidRPr="00C17E80">
        <w:rPr>
          <w:rStyle w:val="FootnoteReference"/>
          <w:sz w:val="16"/>
          <w:szCs w:val="16"/>
        </w:rPr>
        <w:footnoteRef/>
      </w:r>
      <w:r w:rsidRPr="00C17E80">
        <w:rPr>
          <w:sz w:val="16"/>
          <w:szCs w:val="16"/>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AF60AF" w:rsidP="00AF60AF" w14:paraId="387DB509" w14:textId="55E2D8BB">
      <w:pPr>
        <w:pStyle w:val="FootnoteText"/>
        <w:rPr>
          <w:sz w:val="16"/>
          <w:szCs w:val="16"/>
        </w:rPr>
      </w:pPr>
      <w:r>
        <w:rPr>
          <w:rStyle w:val="FootnoteReference"/>
          <w:sz w:val="16"/>
          <w:szCs w:val="16"/>
        </w:rPr>
        <w:footnoteRef/>
      </w:r>
      <w:r>
        <w:rPr>
          <w:sz w:val="16"/>
          <w:szCs w:val="16"/>
        </w:rPr>
        <w:t xml:space="preserve"> U.S. Bureau of Labor Statistics, </w:t>
      </w:r>
      <w:hyperlink r:id="rId1" w:tooltip="http://www.bls.gov/oes/current/oes_nat.htm" w:history="1">
        <w:r>
          <w:rPr>
            <w:rStyle w:val="Hyperlink"/>
            <w:color w:val="000000"/>
            <w:sz w:val="16"/>
            <w:szCs w:val="16"/>
          </w:rPr>
          <w:t>http://www.bls.gov/oes/current/oes_nat.htm</w:t>
        </w:r>
      </w:hyperlink>
      <w:r>
        <w:rPr>
          <w:sz w:val="16"/>
          <w:szCs w:val="16"/>
        </w:rPr>
        <w:t xml:space="preserve">, May </w:t>
      </w:r>
      <w:r w:rsidR="00D33F36">
        <w:rPr>
          <w:sz w:val="16"/>
          <w:szCs w:val="16"/>
        </w:rPr>
        <w:t>2024</w:t>
      </w:r>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14515966">
    <w:abstractNumId w:val="7"/>
  </w:num>
  <w:num w:numId="2" w16cid:durableId="557403752">
    <w:abstractNumId w:val="1"/>
  </w:num>
  <w:num w:numId="3" w16cid:durableId="592974501">
    <w:abstractNumId w:val="8"/>
  </w:num>
  <w:num w:numId="4" w16cid:durableId="1802843645">
    <w:abstractNumId w:val="4"/>
  </w:num>
  <w:num w:numId="5" w16cid:durableId="1751392980">
    <w:abstractNumId w:val="9"/>
  </w:num>
  <w:num w:numId="6" w16cid:durableId="1396008682">
    <w:abstractNumId w:val="0"/>
  </w:num>
  <w:num w:numId="7" w16cid:durableId="1961838843">
    <w:abstractNumId w:val="2"/>
  </w:num>
  <w:num w:numId="8" w16cid:durableId="330766489">
    <w:abstractNumId w:val="5"/>
  </w:num>
  <w:num w:numId="9" w16cid:durableId="1944998007">
    <w:abstractNumId w:val="6"/>
  </w:num>
  <w:num w:numId="10" w16cid:durableId="173535132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15F3"/>
    <w:rsid w:val="00013F1B"/>
    <w:rsid w:val="00022E40"/>
    <w:rsid w:val="0002530D"/>
    <w:rsid w:val="00031A2C"/>
    <w:rsid w:val="00042842"/>
    <w:rsid w:val="00042B93"/>
    <w:rsid w:val="00043C7F"/>
    <w:rsid w:val="000467A8"/>
    <w:rsid w:val="00052C73"/>
    <w:rsid w:val="0006570F"/>
    <w:rsid w:val="00066454"/>
    <w:rsid w:val="00067A36"/>
    <w:rsid w:val="00075DE8"/>
    <w:rsid w:val="00087439"/>
    <w:rsid w:val="000B3BD6"/>
    <w:rsid w:val="000C1260"/>
    <w:rsid w:val="000C52F1"/>
    <w:rsid w:val="000C560C"/>
    <w:rsid w:val="000D080B"/>
    <w:rsid w:val="000D48FD"/>
    <w:rsid w:val="000D79CC"/>
    <w:rsid w:val="000E1C64"/>
    <w:rsid w:val="000E453F"/>
    <w:rsid w:val="000F6F84"/>
    <w:rsid w:val="000F7119"/>
    <w:rsid w:val="001000F4"/>
    <w:rsid w:val="00100739"/>
    <w:rsid w:val="00102F79"/>
    <w:rsid w:val="00103C7E"/>
    <w:rsid w:val="0010493E"/>
    <w:rsid w:val="001075D3"/>
    <w:rsid w:val="00107885"/>
    <w:rsid w:val="00110D3C"/>
    <w:rsid w:val="00114FC4"/>
    <w:rsid w:val="00122464"/>
    <w:rsid w:val="001224CE"/>
    <w:rsid w:val="0012329C"/>
    <w:rsid w:val="00134FA7"/>
    <w:rsid w:val="00137950"/>
    <w:rsid w:val="00152F29"/>
    <w:rsid w:val="00154D38"/>
    <w:rsid w:val="001640E2"/>
    <w:rsid w:val="00174D54"/>
    <w:rsid w:val="0017702C"/>
    <w:rsid w:val="00181CE0"/>
    <w:rsid w:val="00185270"/>
    <w:rsid w:val="001A3B5A"/>
    <w:rsid w:val="001A458C"/>
    <w:rsid w:val="001B4DC3"/>
    <w:rsid w:val="001B7CE9"/>
    <w:rsid w:val="001D40A9"/>
    <w:rsid w:val="001D495A"/>
    <w:rsid w:val="001D7EC6"/>
    <w:rsid w:val="001E244C"/>
    <w:rsid w:val="001F1437"/>
    <w:rsid w:val="00202755"/>
    <w:rsid w:val="00206799"/>
    <w:rsid w:val="002074FE"/>
    <w:rsid w:val="002079DA"/>
    <w:rsid w:val="00221AD1"/>
    <w:rsid w:val="0022425B"/>
    <w:rsid w:val="002259EF"/>
    <w:rsid w:val="00233D0C"/>
    <w:rsid w:val="002341EC"/>
    <w:rsid w:val="00235E44"/>
    <w:rsid w:val="00242ED1"/>
    <w:rsid w:val="002444BB"/>
    <w:rsid w:val="00250FC9"/>
    <w:rsid w:val="0025186E"/>
    <w:rsid w:val="00254069"/>
    <w:rsid w:val="0026473D"/>
    <w:rsid w:val="00270748"/>
    <w:rsid w:val="002734E5"/>
    <w:rsid w:val="002746DB"/>
    <w:rsid w:val="00280CAF"/>
    <w:rsid w:val="00282F09"/>
    <w:rsid w:val="00291810"/>
    <w:rsid w:val="002949B9"/>
    <w:rsid w:val="00294D62"/>
    <w:rsid w:val="00297532"/>
    <w:rsid w:val="00297FFD"/>
    <w:rsid w:val="002A09CC"/>
    <w:rsid w:val="002A1210"/>
    <w:rsid w:val="002A47D2"/>
    <w:rsid w:val="002A7FB5"/>
    <w:rsid w:val="002B2074"/>
    <w:rsid w:val="002C1D39"/>
    <w:rsid w:val="002C239D"/>
    <w:rsid w:val="002C264C"/>
    <w:rsid w:val="002D14D8"/>
    <w:rsid w:val="002D4799"/>
    <w:rsid w:val="002E3FA4"/>
    <w:rsid w:val="002E53A5"/>
    <w:rsid w:val="002E64B8"/>
    <w:rsid w:val="002E6834"/>
    <w:rsid w:val="002E6DAB"/>
    <w:rsid w:val="002E7290"/>
    <w:rsid w:val="002E7C49"/>
    <w:rsid w:val="002F52B5"/>
    <w:rsid w:val="003113FF"/>
    <w:rsid w:val="00312622"/>
    <w:rsid w:val="003219C2"/>
    <w:rsid w:val="0032277F"/>
    <w:rsid w:val="00326C6F"/>
    <w:rsid w:val="00336B69"/>
    <w:rsid w:val="0034302B"/>
    <w:rsid w:val="00347B4E"/>
    <w:rsid w:val="00350523"/>
    <w:rsid w:val="0035189D"/>
    <w:rsid w:val="00355B62"/>
    <w:rsid w:val="00357C8A"/>
    <w:rsid w:val="00364EAA"/>
    <w:rsid w:val="0037230B"/>
    <w:rsid w:val="003740BC"/>
    <w:rsid w:val="0037456B"/>
    <w:rsid w:val="003801A3"/>
    <w:rsid w:val="00383D90"/>
    <w:rsid w:val="00384276"/>
    <w:rsid w:val="003870AE"/>
    <w:rsid w:val="003A1A27"/>
    <w:rsid w:val="003A1CC1"/>
    <w:rsid w:val="003A50CC"/>
    <w:rsid w:val="003B42B3"/>
    <w:rsid w:val="003B6384"/>
    <w:rsid w:val="003B7A8B"/>
    <w:rsid w:val="003C0FE2"/>
    <w:rsid w:val="003C4EBB"/>
    <w:rsid w:val="003D1531"/>
    <w:rsid w:val="003D716C"/>
    <w:rsid w:val="003D71FD"/>
    <w:rsid w:val="003E305C"/>
    <w:rsid w:val="003E4EC6"/>
    <w:rsid w:val="003E527E"/>
    <w:rsid w:val="003E553E"/>
    <w:rsid w:val="003E7078"/>
    <w:rsid w:val="003F3DF5"/>
    <w:rsid w:val="003F73B8"/>
    <w:rsid w:val="0040297E"/>
    <w:rsid w:val="00411D11"/>
    <w:rsid w:val="004120C0"/>
    <w:rsid w:val="0041282E"/>
    <w:rsid w:val="00414494"/>
    <w:rsid w:val="00414E62"/>
    <w:rsid w:val="00415072"/>
    <w:rsid w:val="00415E23"/>
    <w:rsid w:val="0041670D"/>
    <w:rsid w:val="00416D06"/>
    <w:rsid w:val="00423272"/>
    <w:rsid w:val="00424061"/>
    <w:rsid w:val="00434327"/>
    <w:rsid w:val="00442A3C"/>
    <w:rsid w:val="00443969"/>
    <w:rsid w:val="00447D74"/>
    <w:rsid w:val="00450A74"/>
    <w:rsid w:val="004546BF"/>
    <w:rsid w:val="00465350"/>
    <w:rsid w:val="00467C23"/>
    <w:rsid w:val="00476A8F"/>
    <w:rsid w:val="00476B91"/>
    <w:rsid w:val="00477590"/>
    <w:rsid w:val="00477AE0"/>
    <w:rsid w:val="004846BF"/>
    <w:rsid w:val="00494912"/>
    <w:rsid w:val="004A5323"/>
    <w:rsid w:val="004A5A99"/>
    <w:rsid w:val="004B3BC5"/>
    <w:rsid w:val="004C0843"/>
    <w:rsid w:val="004C6979"/>
    <w:rsid w:val="004D13A2"/>
    <w:rsid w:val="004D3E7A"/>
    <w:rsid w:val="004D6E01"/>
    <w:rsid w:val="004E747C"/>
    <w:rsid w:val="004F594B"/>
    <w:rsid w:val="004F61E1"/>
    <w:rsid w:val="00502B45"/>
    <w:rsid w:val="00502C23"/>
    <w:rsid w:val="00520469"/>
    <w:rsid w:val="0053380B"/>
    <w:rsid w:val="00543194"/>
    <w:rsid w:val="00544138"/>
    <w:rsid w:val="00554E34"/>
    <w:rsid w:val="00567C53"/>
    <w:rsid w:val="00576656"/>
    <w:rsid w:val="00584583"/>
    <w:rsid w:val="00585951"/>
    <w:rsid w:val="00586435"/>
    <w:rsid w:val="00590E90"/>
    <w:rsid w:val="00590EEB"/>
    <w:rsid w:val="005A4099"/>
    <w:rsid w:val="005A7751"/>
    <w:rsid w:val="005C38B2"/>
    <w:rsid w:val="005C5029"/>
    <w:rsid w:val="005C55C2"/>
    <w:rsid w:val="005C71CA"/>
    <w:rsid w:val="005C745C"/>
    <w:rsid w:val="005D0297"/>
    <w:rsid w:val="005D4DF5"/>
    <w:rsid w:val="005E192E"/>
    <w:rsid w:val="005E42BA"/>
    <w:rsid w:val="005E5681"/>
    <w:rsid w:val="005F74EE"/>
    <w:rsid w:val="00607789"/>
    <w:rsid w:val="00611D6B"/>
    <w:rsid w:val="006200DC"/>
    <w:rsid w:val="0062306B"/>
    <w:rsid w:val="00625CFD"/>
    <w:rsid w:val="00630D11"/>
    <w:rsid w:val="00630EBD"/>
    <w:rsid w:val="006326EC"/>
    <w:rsid w:val="00636F4A"/>
    <w:rsid w:val="006424CA"/>
    <w:rsid w:val="00650AFE"/>
    <w:rsid w:val="00653CDC"/>
    <w:rsid w:val="00654EFF"/>
    <w:rsid w:val="0066080B"/>
    <w:rsid w:val="00663A42"/>
    <w:rsid w:val="006641C7"/>
    <w:rsid w:val="006705EA"/>
    <w:rsid w:val="00670BE2"/>
    <w:rsid w:val="00683BEE"/>
    <w:rsid w:val="006916D9"/>
    <w:rsid w:val="00693117"/>
    <w:rsid w:val="006A0E05"/>
    <w:rsid w:val="006A1324"/>
    <w:rsid w:val="006A26C6"/>
    <w:rsid w:val="006A465A"/>
    <w:rsid w:val="006A7D5D"/>
    <w:rsid w:val="006D0C12"/>
    <w:rsid w:val="006D17A6"/>
    <w:rsid w:val="006D4956"/>
    <w:rsid w:val="006D5D57"/>
    <w:rsid w:val="006E2538"/>
    <w:rsid w:val="006E302F"/>
    <w:rsid w:val="006E6B07"/>
    <w:rsid w:val="006F1783"/>
    <w:rsid w:val="006F4D6D"/>
    <w:rsid w:val="00705086"/>
    <w:rsid w:val="00711460"/>
    <w:rsid w:val="00722001"/>
    <w:rsid w:val="00744122"/>
    <w:rsid w:val="00744525"/>
    <w:rsid w:val="00751E66"/>
    <w:rsid w:val="00754497"/>
    <w:rsid w:val="007577EA"/>
    <w:rsid w:val="00773201"/>
    <w:rsid w:val="00777CF0"/>
    <w:rsid w:val="007877E0"/>
    <w:rsid w:val="00787C39"/>
    <w:rsid w:val="0079072A"/>
    <w:rsid w:val="00792947"/>
    <w:rsid w:val="00795DF3"/>
    <w:rsid w:val="007A373C"/>
    <w:rsid w:val="007A7E58"/>
    <w:rsid w:val="007B225C"/>
    <w:rsid w:val="007C736A"/>
    <w:rsid w:val="007C75B1"/>
    <w:rsid w:val="007D0593"/>
    <w:rsid w:val="007D0947"/>
    <w:rsid w:val="007D1ED6"/>
    <w:rsid w:val="007D3DFC"/>
    <w:rsid w:val="007D4EA9"/>
    <w:rsid w:val="007E2F07"/>
    <w:rsid w:val="007E59A8"/>
    <w:rsid w:val="007E6A59"/>
    <w:rsid w:val="00800EB7"/>
    <w:rsid w:val="008044F3"/>
    <w:rsid w:val="00805D09"/>
    <w:rsid w:val="0080776D"/>
    <w:rsid w:val="00810145"/>
    <w:rsid w:val="008108FA"/>
    <w:rsid w:val="00810FF1"/>
    <w:rsid w:val="00815C02"/>
    <w:rsid w:val="00821ABE"/>
    <w:rsid w:val="0082223D"/>
    <w:rsid w:val="00822336"/>
    <w:rsid w:val="00823DFA"/>
    <w:rsid w:val="00826D67"/>
    <w:rsid w:val="00842DB7"/>
    <w:rsid w:val="00843752"/>
    <w:rsid w:val="0084479F"/>
    <w:rsid w:val="0085725E"/>
    <w:rsid w:val="0086068C"/>
    <w:rsid w:val="00864E83"/>
    <w:rsid w:val="00866793"/>
    <w:rsid w:val="008725C8"/>
    <w:rsid w:val="0087269D"/>
    <w:rsid w:val="00873D4F"/>
    <w:rsid w:val="0087509F"/>
    <w:rsid w:val="00885B09"/>
    <w:rsid w:val="00892400"/>
    <w:rsid w:val="008A209D"/>
    <w:rsid w:val="008A22BB"/>
    <w:rsid w:val="008B035D"/>
    <w:rsid w:val="008B05FA"/>
    <w:rsid w:val="008B0E29"/>
    <w:rsid w:val="008B0EFA"/>
    <w:rsid w:val="008B30AB"/>
    <w:rsid w:val="008C3BB8"/>
    <w:rsid w:val="008C4B65"/>
    <w:rsid w:val="008D39BD"/>
    <w:rsid w:val="008E0474"/>
    <w:rsid w:val="008E5F55"/>
    <w:rsid w:val="008F233F"/>
    <w:rsid w:val="009009E7"/>
    <w:rsid w:val="00905DEF"/>
    <w:rsid w:val="00906056"/>
    <w:rsid w:val="00907BEC"/>
    <w:rsid w:val="009122AE"/>
    <w:rsid w:val="00913B43"/>
    <w:rsid w:val="00914100"/>
    <w:rsid w:val="00914969"/>
    <w:rsid w:val="00924512"/>
    <w:rsid w:val="00930203"/>
    <w:rsid w:val="00930F9B"/>
    <w:rsid w:val="009311D2"/>
    <w:rsid w:val="009311E6"/>
    <w:rsid w:val="00931275"/>
    <w:rsid w:val="00936871"/>
    <w:rsid w:val="00936AC7"/>
    <w:rsid w:val="00953B64"/>
    <w:rsid w:val="009646A7"/>
    <w:rsid w:val="00970A88"/>
    <w:rsid w:val="0097225B"/>
    <w:rsid w:val="009766DF"/>
    <w:rsid w:val="009818A1"/>
    <w:rsid w:val="00986B61"/>
    <w:rsid w:val="009947C8"/>
    <w:rsid w:val="009A1674"/>
    <w:rsid w:val="009B1379"/>
    <w:rsid w:val="009B38BE"/>
    <w:rsid w:val="009B4DF2"/>
    <w:rsid w:val="009C2F3B"/>
    <w:rsid w:val="009C684F"/>
    <w:rsid w:val="009D074C"/>
    <w:rsid w:val="009D228F"/>
    <w:rsid w:val="009D28C1"/>
    <w:rsid w:val="009D6E73"/>
    <w:rsid w:val="009E231C"/>
    <w:rsid w:val="009F1F1D"/>
    <w:rsid w:val="009F2B4F"/>
    <w:rsid w:val="009F3C63"/>
    <w:rsid w:val="009F42D6"/>
    <w:rsid w:val="009F66B5"/>
    <w:rsid w:val="009F6F8F"/>
    <w:rsid w:val="00A02F10"/>
    <w:rsid w:val="00A062BC"/>
    <w:rsid w:val="00A069D0"/>
    <w:rsid w:val="00A1060C"/>
    <w:rsid w:val="00A16221"/>
    <w:rsid w:val="00A20A7D"/>
    <w:rsid w:val="00A301DB"/>
    <w:rsid w:val="00A30F89"/>
    <w:rsid w:val="00A34982"/>
    <w:rsid w:val="00A35D42"/>
    <w:rsid w:val="00A421E4"/>
    <w:rsid w:val="00A43F31"/>
    <w:rsid w:val="00A46CCF"/>
    <w:rsid w:val="00A506DE"/>
    <w:rsid w:val="00A53451"/>
    <w:rsid w:val="00A544F4"/>
    <w:rsid w:val="00A5534B"/>
    <w:rsid w:val="00A70426"/>
    <w:rsid w:val="00A707CC"/>
    <w:rsid w:val="00A71410"/>
    <w:rsid w:val="00A77BA2"/>
    <w:rsid w:val="00A91E9A"/>
    <w:rsid w:val="00A93ED9"/>
    <w:rsid w:val="00A95738"/>
    <w:rsid w:val="00A9619B"/>
    <w:rsid w:val="00A96221"/>
    <w:rsid w:val="00AB3F4C"/>
    <w:rsid w:val="00AC0E98"/>
    <w:rsid w:val="00AC119C"/>
    <w:rsid w:val="00AC138C"/>
    <w:rsid w:val="00AC2DBB"/>
    <w:rsid w:val="00AC6A99"/>
    <w:rsid w:val="00AD6048"/>
    <w:rsid w:val="00AD6D31"/>
    <w:rsid w:val="00AE4ACB"/>
    <w:rsid w:val="00AF60AF"/>
    <w:rsid w:val="00B055EF"/>
    <w:rsid w:val="00B06B5B"/>
    <w:rsid w:val="00B23769"/>
    <w:rsid w:val="00B33F22"/>
    <w:rsid w:val="00B4051A"/>
    <w:rsid w:val="00B40C0C"/>
    <w:rsid w:val="00B4131B"/>
    <w:rsid w:val="00B41789"/>
    <w:rsid w:val="00B703DF"/>
    <w:rsid w:val="00B75A53"/>
    <w:rsid w:val="00B81808"/>
    <w:rsid w:val="00B83B5B"/>
    <w:rsid w:val="00B86DFA"/>
    <w:rsid w:val="00B87F79"/>
    <w:rsid w:val="00B936D0"/>
    <w:rsid w:val="00BB15FB"/>
    <w:rsid w:val="00BB4589"/>
    <w:rsid w:val="00BB55A3"/>
    <w:rsid w:val="00BC7121"/>
    <w:rsid w:val="00BD3D5B"/>
    <w:rsid w:val="00BE3600"/>
    <w:rsid w:val="00C0130F"/>
    <w:rsid w:val="00C01F6F"/>
    <w:rsid w:val="00C03C54"/>
    <w:rsid w:val="00C03DB4"/>
    <w:rsid w:val="00C041EA"/>
    <w:rsid w:val="00C13BBD"/>
    <w:rsid w:val="00C149AB"/>
    <w:rsid w:val="00C1546F"/>
    <w:rsid w:val="00C168FC"/>
    <w:rsid w:val="00C16929"/>
    <w:rsid w:val="00C17E80"/>
    <w:rsid w:val="00C20690"/>
    <w:rsid w:val="00C243D2"/>
    <w:rsid w:val="00C25A51"/>
    <w:rsid w:val="00C36020"/>
    <w:rsid w:val="00C40694"/>
    <w:rsid w:val="00C41DE1"/>
    <w:rsid w:val="00C479BF"/>
    <w:rsid w:val="00C5124B"/>
    <w:rsid w:val="00C5202A"/>
    <w:rsid w:val="00C70542"/>
    <w:rsid w:val="00C723FE"/>
    <w:rsid w:val="00C75CBF"/>
    <w:rsid w:val="00C906DB"/>
    <w:rsid w:val="00C927EC"/>
    <w:rsid w:val="00CA1F12"/>
    <w:rsid w:val="00CB4789"/>
    <w:rsid w:val="00CC2894"/>
    <w:rsid w:val="00CC6625"/>
    <w:rsid w:val="00CD77C3"/>
    <w:rsid w:val="00CE112C"/>
    <w:rsid w:val="00CE669B"/>
    <w:rsid w:val="00CF55D4"/>
    <w:rsid w:val="00D20124"/>
    <w:rsid w:val="00D2714E"/>
    <w:rsid w:val="00D33F36"/>
    <w:rsid w:val="00D608DA"/>
    <w:rsid w:val="00D730BF"/>
    <w:rsid w:val="00D760BC"/>
    <w:rsid w:val="00D852F4"/>
    <w:rsid w:val="00D902AA"/>
    <w:rsid w:val="00D91551"/>
    <w:rsid w:val="00DB1110"/>
    <w:rsid w:val="00DB2CE2"/>
    <w:rsid w:val="00DB3730"/>
    <w:rsid w:val="00DC1303"/>
    <w:rsid w:val="00DC371B"/>
    <w:rsid w:val="00DC3788"/>
    <w:rsid w:val="00DC76C7"/>
    <w:rsid w:val="00DD09F5"/>
    <w:rsid w:val="00DD0E02"/>
    <w:rsid w:val="00DD4201"/>
    <w:rsid w:val="00DD4C4C"/>
    <w:rsid w:val="00DD5E9F"/>
    <w:rsid w:val="00DE3334"/>
    <w:rsid w:val="00DE5711"/>
    <w:rsid w:val="00DF4966"/>
    <w:rsid w:val="00DF7CAF"/>
    <w:rsid w:val="00DF7D70"/>
    <w:rsid w:val="00DF7F89"/>
    <w:rsid w:val="00E00EA0"/>
    <w:rsid w:val="00E01C2E"/>
    <w:rsid w:val="00E021CB"/>
    <w:rsid w:val="00E138F1"/>
    <w:rsid w:val="00E2309D"/>
    <w:rsid w:val="00E26758"/>
    <w:rsid w:val="00E42225"/>
    <w:rsid w:val="00E4357B"/>
    <w:rsid w:val="00E443A7"/>
    <w:rsid w:val="00E45904"/>
    <w:rsid w:val="00E62144"/>
    <w:rsid w:val="00E63DE5"/>
    <w:rsid w:val="00E647AF"/>
    <w:rsid w:val="00E647C7"/>
    <w:rsid w:val="00E65A37"/>
    <w:rsid w:val="00E65EF7"/>
    <w:rsid w:val="00E7373D"/>
    <w:rsid w:val="00E77B48"/>
    <w:rsid w:val="00E857FB"/>
    <w:rsid w:val="00E86A43"/>
    <w:rsid w:val="00E91799"/>
    <w:rsid w:val="00E97DF8"/>
    <w:rsid w:val="00EA21FE"/>
    <w:rsid w:val="00EA34E3"/>
    <w:rsid w:val="00EA4484"/>
    <w:rsid w:val="00EA7110"/>
    <w:rsid w:val="00EB7538"/>
    <w:rsid w:val="00EC1868"/>
    <w:rsid w:val="00EE4A67"/>
    <w:rsid w:val="00EE6468"/>
    <w:rsid w:val="00EF2C12"/>
    <w:rsid w:val="00F0088E"/>
    <w:rsid w:val="00F1299B"/>
    <w:rsid w:val="00F203F6"/>
    <w:rsid w:val="00F207A4"/>
    <w:rsid w:val="00F20FA2"/>
    <w:rsid w:val="00F25173"/>
    <w:rsid w:val="00F355AC"/>
    <w:rsid w:val="00F40CF7"/>
    <w:rsid w:val="00F44194"/>
    <w:rsid w:val="00F508AA"/>
    <w:rsid w:val="00F66F68"/>
    <w:rsid w:val="00F7163D"/>
    <w:rsid w:val="00F71A5A"/>
    <w:rsid w:val="00F737E6"/>
    <w:rsid w:val="00F73A1A"/>
    <w:rsid w:val="00F769E0"/>
    <w:rsid w:val="00F84F55"/>
    <w:rsid w:val="00F90351"/>
    <w:rsid w:val="00FA4A46"/>
    <w:rsid w:val="00FA7205"/>
    <w:rsid w:val="00FA75FE"/>
    <w:rsid w:val="00FB1032"/>
    <w:rsid w:val="00FB39BC"/>
    <w:rsid w:val="00FB6A53"/>
    <w:rsid w:val="00FB7A3F"/>
    <w:rsid w:val="00FC11CA"/>
    <w:rsid w:val="00FC2005"/>
    <w:rsid w:val="00FC6BDE"/>
    <w:rsid w:val="00FD3FCE"/>
    <w:rsid w:val="00FD74C8"/>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4B0211"/>
  <w15:chartTrackingRefBased/>
  <w15:docId w15:val="{B747199E-21DA-4CD1-9858-4DC1892D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924512"/>
    <w:rPr>
      <w:sz w:val="24"/>
      <w:szCs w:val="24"/>
    </w:rPr>
  </w:style>
  <w:style w:type="paragraph" w:styleId="FootnoteText">
    <w:name w:val="footnote text"/>
    <w:basedOn w:val="Normal"/>
    <w:link w:val="FootnoteTextChar"/>
    <w:uiPriority w:val="99"/>
    <w:rsid w:val="00B75A53"/>
    <w:rPr>
      <w:sz w:val="20"/>
      <w:szCs w:val="20"/>
    </w:rPr>
  </w:style>
  <w:style w:type="character" w:customStyle="1" w:styleId="FootnoteTextChar">
    <w:name w:val="Footnote Text Char"/>
    <w:basedOn w:val="DefaultParagraphFont"/>
    <w:link w:val="FootnoteText"/>
    <w:uiPriority w:val="99"/>
    <w:rsid w:val="00B75A53"/>
  </w:style>
  <w:style w:type="character" w:styleId="FootnoteReference">
    <w:name w:val="footnote reference"/>
    <w:rsid w:val="00B75A53"/>
    <w:rPr>
      <w:vertAlign w:val="superscript"/>
    </w:rPr>
  </w:style>
  <w:style w:type="paragraph" w:customStyle="1" w:styleId="BodyText1">
    <w:name w:val="Body Text1"/>
    <w:aliases w:val="body 4h,body text,body text Char1,body tx,body tx Char1,bt,bt Char1,flush,flush Char Char Char Char Char Char Char Char Char Char Char Char Char,indent,memo body text,memo body text Char"/>
    <w:basedOn w:val="Normal"/>
    <w:link w:val="bodytextChar"/>
    <w:rsid w:val="00AF60AF"/>
    <w:pPr>
      <w:spacing w:after="240"/>
      <w:ind w:firstLine="720"/>
    </w:pPr>
  </w:style>
  <w:style w:type="character" w:customStyle="1" w:styleId="bodytextChar">
    <w:name w:val="body text Char"/>
    <w:aliases w:val="body text Char Char,body tx Char,bt Char,flush Char,indent Char"/>
    <w:link w:val="BodyText1"/>
    <w:rsid w:val="00AF60AF"/>
    <w:rPr>
      <w:sz w:val="24"/>
      <w:szCs w:val="24"/>
    </w:rPr>
  </w:style>
  <w:style w:type="character" w:styleId="CommentReference">
    <w:name w:val="annotation reference"/>
    <w:basedOn w:val="DefaultParagraphFont"/>
    <w:rsid w:val="00122464"/>
    <w:rPr>
      <w:sz w:val="16"/>
      <w:szCs w:val="16"/>
    </w:rPr>
  </w:style>
  <w:style w:type="paragraph" w:styleId="CommentText">
    <w:name w:val="annotation text"/>
    <w:basedOn w:val="Normal"/>
    <w:link w:val="CommentTextChar"/>
    <w:rsid w:val="00122464"/>
    <w:rPr>
      <w:sz w:val="20"/>
      <w:szCs w:val="20"/>
    </w:rPr>
  </w:style>
  <w:style w:type="character" w:customStyle="1" w:styleId="CommentTextChar">
    <w:name w:val="Comment Text Char"/>
    <w:basedOn w:val="DefaultParagraphFont"/>
    <w:link w:val="CommentText"/>
    <w:rsid w:val="00122464"/>
  </w:style>
  <w:style w:type="paragraph" w:styleId="CommentSubject">
    <w:name w:val="annotation subject"/>
    <w:basedOn w:val="CommentText"/>
    <w:next w:val="CommentText"/>
    <w:link w:val="CommentSubjectChar"/>
    <w:rsid w:val="00122464"/>
    <w:rPr>
      <w:b/>
      <w:bCs/>
    </w:rPr>
  </w:style>
  <w:style w:type="character" w:customStyle="1" w:styleId="CommentSubjectChar">
    <w:name w:val="Comment Subject Char"/>
    <w:basedOn w:val="CommentTextChar"/>
    <w:link w:val="CommentSubject"/>
    <w:rsid w:val="00122464"/>
    <w:rPr>
      <w:b/>
      <w:bCs/>
    </w:rPr>
  </w:style>
  <w:style w:type="paragraph" w:styleId="BodyTextIndent3">
    <w:name w:val="Body Text Indent 3"/>
    <w:basedOn w:val="Normal"/>
    <w:link w:val="BodyTextIndent3Char"/>
    <w:rsid w:val="00AB3F4C"/>
    <w:pPr>
      <w:spacing w:after="120"/>
      <w:ind w:left="360"/>
    </w:pPr>
    <w:rPr>
      <w:sz w:val="16"/>
      <w:szCs w:val="16"/>
    </w:rPr>
  </w:style>
  <w:style w:type="character" w:customStyle="1" w:styleId="BodyTextIndent3Char">
    <w:name w:val="Body Text Indent 3 Char"/>
    <w:basedOn w:val="DefaultParagraphFont"/>
    <w:link w:val="BodyTextIndent3"/>
    <w:rsid w:val="00AB3F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011D-3BA8-4E1B-BFF0-2CCC06C44108}">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3670</Words>
  <Characters>21969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Colburn, Christopher</cp:lastModifiedBy>
  <cp:revision>2</cp:revision>
  <cp:lastPrinted>2019-07-03T16:25:00Z</cp:lastPrinted>
  <dcterms:created xsi:type="dcterms:W3CDTF">2026-02-18T21:28:00Z</dcterms:created>
  <dcterms:modified xsi:type="dcterms:W3CDTF">2026-02-18T21:28:00Z</dcterms:modified>
</cp:coreProperties>
</file>