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E53" w14:paraId="00000001" w14:textId="77777777">
      <w:pPr>
        <w:pStyle w:val="Heading1"/>
        <w:ind w:left="0"/>
        <w:jc w:val="center"/>
        <w:rPr>
          <w:rFonts w:ascii="Times New Roman" w:eastAsia="Times New Roman" w:hAnsi="Times New Roman" w:cs="Times New Roman"/>
        </w:rPr>
      </w:pPr>
      <w:bookmarkStart w:id="0" w:name="_heading=h.jm063h5va004" w:colFirst="0" w:colLast="0"/>
      <w:bookmarkEnd w:id="0"/>
      <w:r>
        <w:rPr>
          <w:rFonts w:ascii="Times New Roman" w:eastAsia="Times New Roman" w:hAnsi="Times New Roman" w:cs="Times New Roman"/>
        </w:rPr>
        <w:t>SUPPORTING STATEMENT</w:t>
      </w:r>
    </w:p>
    <w:p w:rsidR="008C2E53" w14:paraId="00000002" w14:textId="77777777">
      <w:pPr>
        <w:spacing w:before="22"/>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8C2E53" w14:paraId="00000003" w14:textId="77777777">
      <w:pPr>
        <w:spacing w:before="22"/>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8C2E53" w14:paraId="00000004" w14:textId="77777777">
      <w:pPr>
        <w:spacing w:befor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Groundfish Trawl Catcher/Processor Economic Data Report (EDR)</w:t>
      </w:r>
    </w:p>
    <w:p w:rsidR="008C2E53" w14:paraId="00000005" w14:textId="77777777">
      <w:pPr>
        <w:spacing w:befor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0648-0564</w:t>
      </w:r>
    </w:p>
    <w:p w:rsidR="008C2E53" w14:paraId="00000006" w14:textId="77777777">
      <w:pPr>
        <w:spacing w:before="0"/>
        <w:rPr>
          <w:rFonts w:ascii="Times New Roman" w:eastAsia="Times New Roman" w:hAnsi="Times New Roman" w:cs="Times New Roman"/>
          <w:b/>
          <w:sz w:val="24"/>
          <w:szCs w:val="24"/>
          <w:u w:val="single"/>
        </w:rPr>
      </w:pPr>
    </w:p>
    <w:p w:rsidR="008C2E53" w14:paraId="00000007" w14:textId="77777777">
      <w:pPr>
        <w:spacing w:before="0"/>
        <w:rPr>
          <w:rFonts w:ascii="Times New Roman" w:eastAsia="Times New Roman" w:hAnsi="Times New Roman" w:cs="Times New Roman"/>
          <w:b/>
          <w:sz w:val="24"/>
          <w:szCs w:val="24"/>
        </w:rPr>
      </w:pPr>
    </w:p>
    <w:p w:rsidR="008C2E53" w14:paraId="00000008" w14:textId="77777777">
      <w:pPr>
        <w:rPr>
          <w:rFonts w:ascii="Times New Roman" w:eastAsia="Times New Roman" w:hAnsi="Times New Roman" w:cs="Times New Roman"/>
          <w:b/>
          <w:color w:val="2F5496"/>
          <w:sz w:val="24"/>
          <w:szCs w:val="24"/>
        </w:rPr>
      </w:pPr>
      <w:r>
        <w:rPr>
          <w:rFonts w:ascii="Times New Roman" w:eastAsia="Times New Roman" w:hAnsi="Times New Roman" w:cs="Times New Roman"/>
          <w:b/>
        </w:rPr>
        <w:t>Abstract</w:t>
      </w:r>
      <w:r>
        <w:rPr>
          <w:rFonts w:ascii="Times New Roman" w:eastAsia="Times New Roman" w:hAnsi="Times New Roman" w:cs="Times New Roman"/>
          <w:b/>
          <w:color w:val="2F5496"/>
          <w:sz w:val="24"/>
          <w:szCs w:val="24"/>
        </w:rPr>
        <w:t xml:space="preserve"> </w:t>
      </w:r>
    </w:p>
    <w:p w:rsidR="008C2E53" w14:paraId="00000009" w14:textId="77777777">
      <w:pPr>
        <w:spacing w:before="0"/>
      </w:pPr>
    </w:p>
    <w:p w:rsidR="008C2E53" w14:paraId="0000000A"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Marine Fisheries Service (NMFS) Alaska </w:t>
      </w:r>
      <w:r>
        <w:rPr>
          <w:rFonts w:ascii="Times New Roman" w:eastAsia="Times New Roman" w:hAnsi="Times New Roman" w:cs="Times New Roman"/>
          <w:sz w:val="24"/>
          <w:szCs w:val="24"/>
        </w:rPr>
        <w:t>Region requests an extension of this currently approved information collection for the Annual Trawl Catcher/Processor Economic Data Report (Annual Trawl Catcher/Processor EDR).</w:t>
      </w:r>
    </w:p>
    <w:p w:rsidR="008C2E53" w14:paraId="0000000B" w14:textId="77777777">
      <w:pPr>
        <w:spacing w:before="0"/>
        <w:rPr>
          <w:rFonts w:ascii="Times New Roman" w:eastAsia="Times New Roman" w:hAnsi="Times New Roman" w:cs="Times New Roman"/>
          <w:sz w:val="24"/>
          <w:szCs w:val="24"/>
        </w:rPr>
      </w:pPr>
    </w:p>
    <w:p w:rsidR="008C2E53" w14:paraId="0000000C"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Trawl Catcher/Processor EDR is submitted by fishing companies harvesting in the Bering Sea and Aleutian Islands management area (BSAI). The type of data collected includes labor information, revenues received, capital and operational expenditures, and other operational or financial data. The Annual Trawl Catcher/Processor EDR was implemented by the North Pacific Fisheries Management Council (Council) to help evaluate the Amendment 80 Program, including program eligible trawl catcher/processors, a</w:t>
      </w:r>
      <w:r>
        <w:rPr>
          <w:rFonts w:ascii="Times New Roman" w:eastAsia="Times New Roman" w:hAnsi="Times New Roman" w:cs="Times New Roman"/>
          <w:sz w:val="24"/>
          <w:szCs w:val="24"/>
        </w:rPr>
        <w:t xml:space="preserve">nd is used by NMFS and the Council to assess the impacts of major changes in the groundfish management regime, including programs for prohibited species catch species and target species. </w:t>
      </w:r>
    </w:p>
    <w:p w:rsidR="008C2E53" w14:paraId="0000000D" w14:textId="77777777">
      <w:pPr>
        <w:spacing w:before="0"/>
        <w:rPr>
          <w:rFonts w:ascii="Times New Roman" w:eastAsia="Times New Roman" w:hAnsi="Times New Roman" w:cs="Times New Roman"/>
          <w:sz w:val="24"/>
          <w:szCs w:val="24"/>
        </w:rPr>
      </w:pPr>
    </w:p>
    <w:p w:rsidR="008C2E53" w14:paraId="0000000F" w14:textId="77777777">
      <w:pPr>
        <w:spacing w:before="0"/>
        <w:rPr>
          <w:rFonts w:ascii="Times New Roman" w:eastAsia="Times New Roman" w:hAnsi="Times New Roman" w:cs="Times New Roman"/>
          <w:sz w:val="24"/>
          <w:szCs w:val="24"/>
        </w:rPr>
      </w:pPr>
    </w:p>
    <w:p w:rsidR="008C2E53" w14:paraId="00000010" w14:textId="77777777">
      <w:pPr>
        <w:pStyle w:val="Heading1"/>
        <w:keepNext/>
        <w:spacing w:before="0"/>
        <w:ind w:left="0"/>
        <w:rPr>
          <w:rFonts w:ascii="Times New Roman" w:eastAsia="Times New Roman" w:hAnsi="Times New Roman" w:cs="Times New Roman"/>
        </w:rPr>
      </w:pPr>
      <w:r>
        <w:rPr>
          <w:rFonts w:ascii="Times New Roman" w:eastAsia="Times New Roman" w:hAnsi="Times New Roman" w:cs="Times New Roman"/>
        </w:rPr>
        <w:t>Justification</w:t>
      </w:r>
    </w:p>
    <w:p w:rsidR="008C2E53" w14:paraId="00000011" w14:textId="77777777">
      <w:pPr>
        <w:keepNext/>
        <w:spacing w:before="0"/>
      </w:pPr>
    </w:p>
    <w:p w:rsidR="008C2E53" w14:paraId="00000012" w14:textId="77777777">
      <w:pPr>
        <w:keepNext/>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Explain the circumstances that make the collection of information necessary. Identify any legal or administrative </w:t>
      </w:r>
      <w:r>
        <w:rPr>
          <w:rFonts w:ascii="Times New Roman" w:eastAsia="Times New Roman" w:hAnsi="Times New Roman" w:cs="Times New Roman"/>
          <w:b/>
          <w:color w:val="000000"/>
          <w:sz w:val="24"/>
          <w:szCs w:val="24"/>
        </w:rPr>
        <w:t>requirements that necessitate the collection. Attach a copy of the appropriate section of each statute and regulation mandating or authorizing the collection of information.</w:t>
      </w:r>
    </w:p>
    <w:p w:rsidR="008C2E53" w14:paraId="00000013" w14:textId="77777777">
      <w:pPr>
        <w:keepNext/>
        <w:spacing w:before="0"/>
        <w:rPr>
          <w:rFonts w:ascii="Times New Roman" w:eastAsia="Times New Roman" w:hAnsi="Times New Roman" w:cs="Times New Roman"/>
          <w:sz w:val="24"/>
          <w:szCs w:val="24"/>
        </w:rPr>
      </w:pPr>
    </w:p>
    <w:p w:rsidR="008C2E53" w14:paraId="00000014" w14:textId="4393C355">
      <w:pPr>
        <w:keepNext/>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Secretary of Commerce is responsible for the conservation and management of marine fishery resources within the Exclusive Economic Zone (EEZ) of the United States through National Oceanic and Atmospheric Administration (NOAA)/National Marine Fisheries Service (NMFS)</w:t>
      </w:r>
      <w:r w:rsidR="00A40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Groundfish in the BSAI are managed under the Fishery Management Plan for Groundfish of the Bering Sea and Aleutian Islands Management Area. The Council prepared these fishery management plans under the authority of the </w:t>
      </w:r>
      <w:hyperlink r:id="rId7">
        <w:r>
          <w:rPr>
            <w:rFonts w:ascii="Times New Roman" w:eastAsia="Times New Roman" w:hAnsi="Times New Roman" w:cs="Times New Roman"/>
            <w:color w:val="0563C1"/>
            <w:sz w:val="24"/>
            <w:szCs w:val="24"/>
            <w:u w:val="single"/>
          </w:rPr>
          <w:t>Magnuson-Stevens Fishery Conservation and Management Act</w:t>
        </w:r>
      </w:hyperlink>
      <w:r>
        <w:rPr>
          <w:rFonts w:ascii="Times New Roman" w:eastAsia="Times New Roman" w:hAnsi="Times New Roman" w:cs="Times New Roman"/>
          <w:sz w:val="24"/>
          <w:szCs w:val="24"/>
        </w:rPr>
        <w:t xml:space="preserve"> (16 U.S.C. 1801 </w:t>
      </w:r>
      <w:r>
        <w:rPr>
          <w:rFonts w:ascii="Times New Roman" w:eastAsia="Times New Roman" w:hAnsi="Times New Roman" w:cs="Times New Roman"/>
          <w:i/>
          <w:sz w:val="24"/>
          <w:szCs w:val="24"/>
        </w:rPr>
        <w:t>et seq</w:t>
      </w:r>
      <w:r>
        <w:rPr>
          <w:rFonts w:ascii="Times New Roman" w:eastAsia="Times New Roman" w:hAnsi="Times New Roman" w:cs="Times New Roman"/>
          <w:sz w:val="24"/>
          <w:szCs w:val="24"/>
        </w:rPr>
        <w:t xml:space="preserve">.; Magnuson-Stevens Act). Regulations implementing these fishery management plans appear at </w:t>
      </w:r>
      <w:hyperlink r:id="rId8">
        <w:r>
          <w:rPr>
            <w:rFonts w:ascii="Times New Roman" w:eastAsia="Times New Roman" w:hAnsi="Times New Roman" w:cs="Times New Roman"/>
            <w:color w:val="0563C1"/>
            <w:sz w:val="24"/>
            <w:szCs w:val="24"/>
            <w:u w:val="single"/>
          </w:rPr>
          <w:t>50 CFR part 679</w:t>
        </w:r>
      </w:hyperlink>
      <w:r>
        <w:rPr>
          <w:rFonts w:ascii="Times New Roman" w:eastAsia="Times New Roman" w:hAnsi="Times New Roman" w:cs="Times New Roman"/>
          <w:sz w:val="24"/>
          <w:szCs w:val="24"/>
        </w:rPr>
        <w:t>.</w:t>
      </w:r>
    </w:p>
    <w:p w:rsidR="008C2E53" w14:paraId="00000015" w14:textId="77777777">
      <w:pPr>
        <w:spacing w:before="0"/>
        <w:rPr>
          <w:rFonts w:ascii="Times New Roman" w:eastAsia="Times New Roman" w:hAnsi="Times New Roman" w:cs="Times New Roman"/>
          <w:sz w:val="24"/>
          <w:szCs w:val="24"/>
        </w:rPr>
      </w:pPr>
    </w:p>
    <w:p w:rsidR="008C2E53" w14:paraId="00000016" w14:textId="7EF2E490">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adopted Amendment 80 to the BSAI FMP in June 2006 (</w:t>
      </w:r>
      <w:hyperlink r:id="rId9">
        <w:r>
          <w:rPr>
            <w:rFonts w:ascii="Times New Roman" w:eastAsia="Times New Roman" w:hAnsi="Times New Roman" w:cs="Times New Roman"/>
            <w:color w:val="0000FF"/>
            <w:sz w:val="24"/>
            <w:szCs w:val="24"/>
            <w:u w:val="single"/>
          </w:rPr>
          <w:t>72 FR 52668, September 14, 2007</w:t>
        </w:r>
      </w:hyperlink>
      <w:r>
        <w:rPr>
          <w:rFonts w:ascii="Times New Roman" w:eastAsia="Times New Roman" w:hAnsi="Times New Roman" w:cs="Times New Roman"/>
          <w:sz w:val="24"/>
          <w:szCs w:val="24"/>
        </w:rPr>
        <w:t>). Amendment 80 allocate</w:t>
      </w:r>
      <w:r w:rsidR="00A40EC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several BSAI non-pollock trawl groundfish species among trawl fishery sectors, established a limited access privilege program (LAPP), and facilitated the formation of harvesting cooperatives in the non-American Fisheries Act (non-AFA) trawl catcher/processor sector. The BSAI groundfish species directly affected by Amendment 80 include Atka mackerel, Aleutian </w:t>
      </w:r>
      <w:r>
        <w:rPr>
          <w:rFonts w:ascii="Times New Roman" w:eastAsia="Times New Roman" w:hAnsi="Times New Roman" w:cs="Times New Roman"/>
          <w:sz w:val="24"/>
          <w:szCs w:val="24"/>
        </w:rPr>
        <w:t>Islands Pacific ocean perch, flathead sole, Pacific cod, rock sole, and yellowfin sole. In addition, Amendment 80 modified th</w:t>
      </w:r>
      <w:r>
        <w:rPr>
          <w:rFonts w:ascii="Times New Roman" w:eastAsia="Times New Roman" w:hAnsi="Times New Roman" w:cs="Times New Roman"/>
          <w:sz w:val="24"/>
          <w:szCs w:val="24"/>
        </w:rPr>
        <w:t>e management of halibut and crab prohibited species catch limits.</w:t>
      </w:r>
    </w:p>
    <w:p w:rsidR="008C2E53" w14:paraId="00000017" w14:textId="77777777">
      <w:pPr>
        <w:pBdr>
          <w:top w:val="nil"/>
          <w:left w:val="nil"/>
          <w:bottom w:val="nil"/>
          <w:right w:val="nil"/>
          <w:between w:val="nil"/>
        </w:pBdr>
        <w:spacing w:before="0"/>
        <w:rPr>
          <w:rFonts w:ascii="Times New Roman" w:eastAsia="Times New Roman" w:hAnsi="Times New Roman" w:cs="Times New Roman"/>
          <w:sz w:val="24"/>
          <w:szCs w:val="24"/>
        </w:rPr>
      </w:pPr>
    </w:p>
    <w:p w:rsidR="008C2E53" w14:paraId="00000018" w14:textId="47375495">
      <w:pPr>
        <w:pBdr>
          <w:top w:val="nil"/>
          <w:left w:val="nil"/>
          <w:bottom w:val="nil"/>
          <w:right w:val="nil"/>
          <w:between w:val="nil"/>
        </w:pBdr>
        <w:spacing w:before="0"/>
        <w:rPr>
          <w:rFonts w:ascii="Times New Roman" w:eastAsia="Times New Roman" w:hAnsi="Times New Roman" w:cs="Times New Roman"/>
          <w:color w:val="000000"/>
          <w:sz w:val="24"/>
          <w:szCs w:val="24"/>
        </w:rPr>
      </w:pPr>
      <w:sdt>
        <w:sdtPr>
          <w:tag w:val="goog_rdk_0"/>
          <w:id w:val="1136451662"/>
          <w:richText/>
        </w:sdtPr>
        <w:sdtContent/>
      </w:sdt>
      <w:r w:rsidR="001314F0">
        <w:rPr>
          <w:rFonts w:ascii="Times New Roman" w:eastAsia="Times New Roman" w:hAnsi="Times New Roman" w:cs="Times New Roman"/>
          <w:sz w:val="24"/>
          <w:szCs w:val="24"/>
        </w:rPr>
        <w:t>The Annual Trawl Catcher/Processor EDR was implemented by the Council to help evaluate the Amendment 80 Program, including program eligible trawl catcher/processors, and is used by NMFS and the Council to assess the impacts of major changes in the groundfish management regime, including programs for prohibited species catch species and target species.</w:t>
      </w:r>
      <w:r w:rsidR="00E6703E">
        <w:rPr>
          <w:rFonts w:ascii="Times New Roman" w:eastAsia="Times New Roman" w:hAnsi="Times New Roman" w:cs="Times New Roman"/>
          <w:sz w:val="24"/>
          <w:szCs w:val="24"/>
        </w:rPr>
        <w:t xml:space="preserve"> The Annual Trawl Catcher/Processor EDR was modified by the Council to eliminate data verification audits, blind formatting of data, and confidentiality policy (88 FR 7586, February </w:t>
      </w:r>
      <w:r w:rsidR="00EA392F">
        <w:rPr>
          <w:rFonts w:ascii="Times New Roman" w:eastAsia="Times New Roman" w:hAnsi="Times New Roman" w:cs="Times New Roman"/>
          <w:sz w:val="24"/>
          <w:szCs w:val="24"/>
        </w:rPr>
        <w:t>6</w:t>
      </w:r>
      <w:r w:rsidR="00E6703E">
        <w:rPr>
          <w:rFonts w:ascii="Times New Roman" w:eastAsia="Times New Roman" w:hAnsi="Times New Roman" w:cs="Times New Roman"/>
          <w:sz w:val="24"/>
          <w:szCs w:val="24"/>
        </w:rPr>
        <w:t>, 2023)</w:t>
      </w:r>
      <w:r w:rsidR="00DE3C00">
        <w:rPr>
          <w:rFonts w:ascii="Times New Roman" w:eastAsia="Times New Roman" w:hAnsi="Times New Roman" w:cs="Times New Roman"/>
          <w:sz w:val="24"/>
          <w:szCs w:val="24"/>
        </w:rPr>
        <w:t>.</w:t>
      </w:r>
      <w:r w:rsidR="00E6703E">
        <w:rPr>
          <w:rFonts w:ascii="Times New Roman" w:eastAsia="Times New Roman" w:hAnsi="Times New Roman" w:cs="Times New Roman"/>
          <w:sz w:val="24"/>
          <w:szCs w:val="24"/>
        </w:rPr>
        <w:t xml:space="preserve"> </w:t>
      </w:r>
      <w:r w:rsidR="001314F0">
        <w:rPr>
          <w:rFonts w:ascii="Times New Roman" w:eastAsia="Times New Roman" w:hAnsi="Times New Roman" w:cs="Times New Roman"/>
          <w:sz w:val="24"/>
          <w:szCs w:val="24"/>
        </w:rPr>
        <w:t xml:space="preserve"> </w:t>
      </w:r>
      <w:r w:rsidR="001314F0">
        <w:rPr>
          <w:rFonts w:ascii="Times New Roman" w:eastAsia="Times New Roman" w:hAnsi="Times New Roman" w:cs="Times New Roman"/>
          <w:color w:val="000000"/>
          <w:sz w:val="24"/>
          <w:szCs w:val="24"/>
        </w:rPr>
        <w:t xml:space="preserve">Regulations at </w:t>
      </w:r>
      <w:hyperlink r:id="rId10">
        <w:r w:rsidR="001314F0">
          <w:rPr>
            <w:rFonts w:ascii="Times New Roman" w:eastAsia="Times New Roman" w:hAnsi="Times New Roman" w:cs="Times New Roman"/>
            <w:color w:val="0000FF"/>
            <w:sz w:val="24"/>
            <w:szCs w:val="24"/>
            <w:u w:val="single"/>
          </w:rPr>
          <w:t>50 CFR 679.94</w:t>
        </w:r>
      </w:hyperlink>
      <w:r w:rsidR="001314F0">
        <w:rPr>
          <w:rFonts w:ascii="Times New Roman" w:eastAsia="Times New Roman" w:hAnsi="Times New Roman" w:cs="Times New Roman"/>
          <w:color w:val="000000"/>
          <w:sz w:val="24"/>
          <w:szCs w:val="24"/>
        </w:rPr>
        <w:t xml:space="preserve"> require submission to NMFS of the Annual Trawl Catcher/Processor</w:t>
      </w:r>
      <w:r w:rsidR="001F0B6C">
        <w:rPr>
          <w:rFonts w:ascii="Times New Roman" w:eastAsia="Times New Roman" w:hAnsi="Times New Roman" w:cs="Times New Roman"/>
          <w:color w:val="000000"/>
          <w:sz w:val="24"/>
          <w:szCs w:val="24"/>
        </w:rPr>
        <w:t xml:space="preserve"> EDR</w:t>
      </w:r>
      <w:r w:rsidR="001314F0">
        <w:rPr>
          <w:rFonts w:ascii="Times New Roman" w:eastAsia="Times New Roman" w:hAnsi="Times New Roman" w:cs="Times New Roman"/>
          <w:color w:val="000000"/>
          <w:sz w:val="24"/>
          <w:szCs w:val="24"/>
        </w:rPr>
        <w:t>.</w:t>
      </w:r>
      <w:r w:rsidR="001314F0">
        <w:t xml:space="preserve"> </w:t>
      </w:r>
      <w:r w:rsidR="001314F0">
        <w:rPr>
          <w:rFonts w:ascii="Times New Roman" w:eastAsia="Times New Roman" w:hAnsi="Times New Roman" w:cs="Times New Roman"/>
          <w:color w:val="000000"/>
          <w:sz w:val="24"/>
          <w:szCs w:val="24"/>
        </w:rPr>
        <w:t>The Annual Trawl Catcher/Processor EDR is submitted by fishing companies harvesting in the BSAI management area.</w:t>
      </w:r>
    </w:p>
    <w:p w:rsidR="008C2E53" w14:paraId="00000019" w14:textId="77777777">
      <w:pPr>
        <w:pBdr>
          <w:top w:val="nil"/>
          <w:left w:val="nil"/>
          <w:bottom w:val="nil"/>
          <w:right w:val="nil"/>
          <w:between w:val="nil"/>
        </w:pBdr>
        <w:spacing w:before="0"/>
        <w:rPr>
          <w:rFonts w:ascii="Times New Roman" w:eastAsia="Times New Roman" w:hAnsi="Times New Roman" w:cs="Times New Roman"/>
          <w:b/>
          <w:sz w:val="24"/>
          <w:szCs w:val="24"/>
        </w:rPr>
      </w:pPr>
    </w:p>
    <w:p w:rsidR="008C2E53" w14:paraId="0000001A" w14:textId="77777777">
      <w:pPr>
        <w:widowControl w:val="0"/>
        <w:pBdr>
          <w:top w:val="nil"/>
          <w:left w:val="nil"/>
          <w:bottom w:val="nil"/>
          <w:right w:val="nil"/>
          <w:between w:val="nil"/>
        </w:pBdr>
        <w:spacing w:before="0"/>
        <w:rPr>
          <w:rFonts w:ascii="Times New Roman" w:eastAsia="Times New Roman" w:hAnsi="Times New Roman" w:cs="Times New Roman"/>
          <w:sz w:val="24"/>
          <w:szCs w:val="24"/>
        </w:rPr>
      </w:pPr>
    </w:p>
    <w:p w:rsidR="008C2E53" w14:paraId="0000001B" w14:textId="77777777">
      <w:pPr>
        <w:pStyle w:val="Heading1"/>
        <w:numPr>
          <w:ilvl w:val="0"/>
          <w:numId w:val="3"/>
        </w:numPr>
        <w:tabs>
          <w:tab w:val="left" w:pos="360"/>
        </w:tabs>
        <w:spacing w:before="197"/>
        <w:ind w:left="0" w:firstLine="0"/>
        <w:rPr>
          <w:rFonts w:ascii="Times New Roman" w:eastAsia="Times New Roman" w:hAnsi="Times New Roman" w:cs="Times New Roman"/>
        </w:rPr>
      </w:pPr>
      <w:r>
        <w:rPr>
          <w:rFonts w:ascii="Times New Roman" w:eastAsia="Times New Roman" w:hAnsi="Times New Roman" w:cs="Times New Roman"/>
        </w:rPr>
        <w:t xml:space="preserve">Indicate how, by whom, and for what purpose the information is to be used. Except for a new collection, indicate the actual use the agency has </w:t>
      </w:r>
      <w:r>
        <w:rPr>
          <w:rFonts w:ascii="Times New Roman" w:eastAsia="Times New Roman" w:hAnsi="Times New Roman" w:cs="Times New Roman"/>
        </w:rPr>
        <w:t>made of the information received from the current collection.</w:t>
      </w:r>
    </w:p>
    <w:p w:rsidR="008C2E53" w14:paraId="0000001C" w14:textId="77777777">
      <w:pPr>
        <w:spacing w:before="0"/>
        <w:rPr>
          <w:rFonts w:ascii="Times New Roman" w:eastAsia="Times New Roman" w:hAnsi="Times New Roman" w:cs="Times New Roman"/>
          <w:sz w:val="24"/>
          <w:szCs w:val="24"/>
        </w:rPr>
      </w:pPr>
    </w:p>
    <w:p w:rsidR="008C2E53" w14:paraId="0000001D"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2014, NMFS implemented the GOA Trawl EDR Program and revised the existing Amendment 80 EDR, which was used by trawl catcher/processors in the BSAI, to include GOA groundfish fisheries. NMFS changed the name of the Amendment 80 EDR to the Annual Trawl Catcher/Processor EDR and included it in this program. </w:t>
      </w:r>
    </w:p>
    <w:p w:rsidR="008C2E53" w14:paraId="0000001E" w14:textId="77777777">
      <w:pPr>
        <w:spacing w:before="0"/>
        <w:rPr>
          <w:rFonts w:ascii="Times New Roman" w:eastAsia="Times New Roman" w:hAnsi="Times New Roman" w:cs="Times New Roman"/>
          <w:sz w:val="24"/>
          <w:szCs w:val="24"/>
        </w:rPr>
      </w:pPr>
    </w:p>
    <w:p w:rsidR="008C2E53" w14:paraId="0000001F"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(-0564), the Annual Trawl Catcher/Processor EDR, is submitted by Amendment 80 catcher/processors and Amendment 80 eligible catcher/processors. The type of data collected includes labor information, revenues received, capital and operational expenditures, and other operational or financial data. </w:t>
      </w:r>
    </w:p>
    <w:p w:rsidR="008C2E53" w14:paraId="00000020" w14:textId="77777777">
      <w:pPr>
        <w:spacing w:before="0"/>
        <w:rPr>
          <w:rFonts w:ascii="Times New Roman" w:eastAsia="Times New Roman" w:hAnsi="Times New Roman" w:cs="Times New Roman"/>
          <w:sz w:val="24"/>
          <w:szCs w:val="24"/>
        </w:rPr>
      </w:pPr>
    </w:p>
    <w:p w:rsidR="008C2E53" w14:paraId="00000023" w14:textId="43A0E869">
      <w:pPr>
        <w:spacing w:before="0"/>
        <w:rPr>
          <w:rFonts w:ascii="Times New Roman" w:eastAsia="Times New Roman" w:hAnsi="Times New Roman" w:cs="Times New Roman"/>
          <w:sz w:val="24"/>
          <w:szCs w:val="24"/>
        </w:rPr>
      </w:pPr>
      <w:sdt>
        <w:sdtPr>
          <w:tag w:val="goog_rdk_3"/>
          <w:id w:val="-1085263331"/>
          <w:richText/>
        </w:sdtPr>
        <w:sdtContent>
          <w:sdt>
            <w:sdtPr>
              <w:tag w:val="goog_rdk_2"/>
              <w:id w:val="-699073966"/>
              <w:richText/>
            </w:sdtPr>
            <w:sdtContent/>
          </w:sdt>
        </w:sdtContent>
      </w:sdt>
      <w:sdt>
        <w:sdtPr>
          <w:tag w:val="goog_rdk_5"/>
          <w:id w:val="-1547862496"/>
          <w:richText/>
        </w:sdtPr>
        <w:sdtContent>
          <w:sdt>
            <w:sdtPr>
              <w:tag w:val="goog_rdk_4"/>
              <w:id w:val="-1616621118"/>
              <w:richText/>
            </w:sdtPr>
            <w:sdtContent/>
          </w:sdt>
        </w:sdtContent>
      </w:sdt>
      <w:r w:rsidR="001314F0">
        <w:rPr>
          <w:rFonts w:ascii="Times New Roman" w:eastAsia="Times New Roman" w:hAnsi="Times New Roman" w:cs="Times New Roman"/>
          <w:sz w:val="24"/>
          <w:szCs w:val="24"/>
        </w:rPr>
        <w:t>Pacific States and NMFS authorized personnel will continue to conduct data verification procedures to ensure completeness and accuracy of the submitted data. To make sure that each company is consistently and accurately completing the EDR, all reported values will be reviewed by PSMFC or NMFS authorized personnel for the purpose of validating the data reported in the forms. This will ensure that the data can be relied upon to produce accurate and reliable information for the Alaska groundfish trawl fisheries.</w:t>
      </w:r>
      <w:r w:rsidR="001314F0">
        <w:t xml:space="preserve"> </w:t>
      </w:r>
      <w:r w:rsidR="001314F0">
        <w:rPr>
          <w:rFonts w:ascii="Times New Roman" w:eastAsia="Times New Roman" w:hAnsi="Times New Roman" w:cs="Times New Roman"/>
          <w:sz w:val="24"/>
          <w:szCs w:val="24"/>
        </w:rPr>
        <w:t>Authorized personnel verify the accuracy of each EDR to ascertain anomalies, outliers, and other deviations from the values of averaged variables. The principal means for data quality assessment is follow-up interviews with EDR submitters to ensure consistent interpretation of the survey form and verification of selected data entries against submitter records.</w:t>
      </w:r>
    </w:p>
    <w:p w:rsidR="008C2E53" w14:paraId="00000024" w14:textId="77777777">
      <w:pPr>
        <w:spacing w:before="0"/>
        <w:rPr>
          <w:rFonts w:ascii="Times New Roman" w:eastAsia="Times New Roman" w:hAnsi="Times New Roman" w:cs="Times New Roman"/>
          <w:color w:val="2F5496"/>
          <w:sz w:val="24"/>
          <w:szCs w:val="24"/>
        </w:rPr>
      </w:pPr>
    </w:p>
    <w:p w:rsidR="008C2E53" w:rsidP="0098113A" w14:paraId="00000026" w14:textId="4C7558AA">
      <w:pPr>
        <w:pBdr>
          <w:top w:val="nil"/>
          <w:left w:val="nil"/>
          <w:bottom w:val="nil"/>
          <w:right w:val="nil"/>
          <w:between w:val="nil"/>
        </w:pBdr>
        <w:spacing w:before="0"/>
        <w:rPr>
          <w:color w:val="000000"/>
          <w:sz w:val="24"/>
          <w:szCs w:val="24"/>
        </w:rPr>
      </w:pPr>
      <w:r>
        <w:rPr>
          <w:rFonts w:ascii="Times New Roman" w:eastAsia="Times New Roman" w:hAnsi="Times New Roman" w:cs="Times New Roman"/>
          <w:color w:val="000000"/>
          <w:sz w:val="24"/>
          <w:szCs w:val="24"/>
        </w:rPr>
        <w:t xml:space="preserve">Regulations at </w:t>
      </w:r>
      <w:hyperlink r:id="rId10">
        <w:r>
          <w:rPr>
            <w:rFonts w:ascii="Times New Roman" w:eastAsia="Times New Roman" w:hAnsi="Times New Roman" w:cs="Times New Roman"/>
            <w:color w:val="0000FF"/>
            <w:sz w:val="24"/>
            <w:szCs w:val="24"/>
            <w:u w:val="single"/>
          </w:rPr>
          <w:t>50 CFR 679.94</w:t>
        </w:r>
      </w:hyperlink>
      <w:r>
        <w:rPr>
          <w:rFonts w:ascii="Times New Roman" w:eastAsia="Times New Roman" w:hAnsi="Times New Roman" w:cs="Times New Roman"/>
          <w:color w:val="000000"/>
          <w:sz w:val="24"/>
          <w:szCs w:val="24"/>
        </w:rPr>
        <w:t xml:space="preserve"> require submission to NMFS of an Annual Trawl Catcher/Processor EDR by person who held an Amendment 80 quota share (QS) permit</w:t>
      </w:r>
      <w:r w:rsidR="00943D1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8C2E53" w14:paraId="00000028" w14:textId="77777777">
      <w:pPr>
        <w:spacing w:before="0"/>
        <w:rPr>
          <w:rFonts w:ascii="Times New Roman" w:eastAsia="Times New Roman" w:hAnsi="Times New Roman" w:cs="Times New Roman"/>
          <w:sz w:val="24"/>
          <w:szCs w:val="24"/>
        </w:rPr>
      </w:pPr>
    </w:p>
    <w:p w:rsidR="008C2E53" w14:paraId="00000029"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complete EDR must be submitted for each calendar year on or before June 1 of the following year. All information reported must be current and complete as of the date of submission, including post-season adjustments and settlements.</w:t>
      </w:r>
    </w:p>
    <w:p w:rsidR="008C2E53" w14:paraId="0000002A" w14:textId="77777777">
      <w:pPr>
        <w:spacing w:before="0"/>
        <w:rPr>
          <w:rFonts w:ascii="Times New Roman" w:eastAsia="Times New Roman" w:hAnsi="Times New Roman" w:cs="Times New Roman"/>
          <w:sz w:val="24"/>
          <w:szCs w:val="24"/>
        </w:rPr>
      </w:pPr>
    </w:p>
    <w:p w:rsidR="008C2E53" w14:paraId="0000002B"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Pacific States Marine Fisheries Commission (Pacific States) has been designated by NMFS to be the Data Collection Agent (DCA) for the </w:t>
      </w:r>
      <w:r>
        <w:rPr>
          <w:rFonts w:ascii="Times New Roman" w:eastAsia="Times New Roman" w:hAnsi="Times New Roman" w:cs="Times New Roman"/>
          <w:color w:val="000000"/>
          <w:sz w:val="24"/>
          <w:szCs w:val="24"/>
          <w:highlight w:val="white"/>
        </w:rPr>
        <w:t>Annual Trawl Catcher/Processor EDR. Pacific States mails EDR announcements and filing instructions to affected QS permit holders, vessel owners, and applicable leaseholders.</w:t>
      </w:r>
    </w:p>
    <w:p w:rsidR="008C2E53" w14:paraId="0000002C" w14:textId="77777777">
      <w:pPr>
        <w:spacing w:before="0"/>
        <w:rPr>
          <w:rFonts w:ascii="Times New Roman" w:eastAsia="Times New Roman" w:hAnsi="Times New Roman" w:cs="Times New Roman"/>
          <w:sz w:val="24"/>
          <w:szCs w:val="24"/>
        </w:rPr>
      </w:pPr>
    </w:p>
    <w:p w:rsidR="008C2E53" w14:paraId="0000002D"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receive an EDR by mail, respondents may call 1-877-741-8913, or email their request to </w:t>
      </w:r>
      <w:hyperlink r:id="rId11">
        <w:r>
          <w:rPr>
            <w:rFonts w:ascii="Times New Roman" w:eastAsia="Times New Roman" w:hAnsi="Times New Roman" w:cs="Times New Roman"/>
            <w:color w:val="0000FF"/>
            <w:sz w:val="24"/>
            <w:szCs w:val="24"/>
            <w:u w:val="single"/>
          </w:rPr>
          <w:t>edr@psmfc.org</w:t>
        </w:r>
      </w:hyperlink>
      <w:hyperlink r:id="rId11">
        <w:r>
          <w:rPr>
            <w:rFonts w:ascii="Times New Roman" w:eastAsia="Times New Roman" w:hAnsi="Times New Roman" w:cs="Times New Roman"/>
            <w:sz w:val="24"/>
            <w:szCs w:val="24"/>
          </w:rPr>
          <w:t>.</w:t>
        </w:r>
      </w:hyperlink>
    </w:p>
    <w:p w:rsidR="008C2E53" w14:paraId="0000002E" w14:textId="77777777">
      <w:pPr>
        <w:spacing w:before="0"/>
        <w:rPr>
          <w:rFonts w:ascii="Times New Roman" w:eastAsia="Times New Roman" w:hAnsi="Times New Roman" w:cs="Times New Roman"/>
          <w:sz w:val="24"/>
          <w:szCs w:val="24"/>
        </w:rPr>
      </w:pPr>
    </w:p>
    <w:p w:rsidR="008C2E53" w14:paraId="0000002F" w14:textId="77777777">
      <w:pPr>
        <w:spacing w:before="0"/>
        <w:rPr>
          <w:rFonts w:ascii="Calibri" w:eastAsia="Calibri" w:hAnsi="Calibri" w:cs="Calibri"/>
        </w:rPr>
      </w:pPr>
      <w:r>
        <w:rPr>
          <w:rFonts w:ascii="Times New Roman" w:eastAsia="Times New Roman" w:hAnsi="Times New Roman" w:cs="Times New Roman"/>
          <w:sz w:val="24"/>
          <w:szCs w:val="24"/>
        </w:rPr>
        <w:t>An EDR may be submitted online or may be downloaded in fillable PDF format and then faxed or mailed. Submit the completed EDR—</w:t>
      </w:r>
    </w:p>
    <w:p w:rsidR="008C2E53" w14:paraId="00000030" w14:textId="77777777">
      <w:pPr>
        <w:spacing w:before="0"/>
        <w:rPr>
          <w:rFonts w:ascii="Times New Roman" w:eastAsia="Times New Roman" w:hAnsi="Times New Roman" w:cs="Times New Roman"/>
          <w:sz w:val="24"/>
          <w:szCs w:val="24"/>
        </w:rPr>
      </w:pPr>
    </w:p>
    <w:p w:rsidR="008C2E53" w14:paraId="00000031" w14:textId="77777777">
      <w:pPr>
        <w:tabs>
          <w:tab w:val="left" w:pos="2279"/>
        </w:tabs>
        <w:spacing w:before="0"/>
        <w:ind w:left="1890" w:hanging="1170"/>
        <w:rPr>
          <w:rFonts w:ascii="Times New Roman" w:eastAsia="Times New Roman" w:hAnsi="Times New Roman" w:cs="Times New Roman"/>
          <w:sz w:val="24"/>
          <w:szCs w:val="24"/>
        </w:rPr>
      </w:pPr>
      <w:r>
        <w:rPr>
          <w:rFonts w:ascii="Times New Roman" w:eastAsia="Times New Roman" w:hAnsi="Times New Roman" w:cs="Times New Roman"/>
          <w:sz w:val="24"/>
          <w:szCs w:val="24"/>
        </w:rPr>
        <w:t>By mail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Pacific States Marine Fisheries Commission NMFS Economic Data </w:t>
      </w:r>
    </w:p>
    <w:p w:rsidR="008C2E53" w14:paraId="00000032" w14:textId="77777777">
      <w:pPr>
        <w:tabs>
          <w:tab w:val="left" w:pos="2279"/>
        </w:tabs>
        <w:spacing w:before="0"/>
        <w:ind w:left="1890" w:hanging="117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Reports</w:t>
      </w:r>
    </w:p>
    <w:p w:rsidR="008C2E53" w14:paraId="00000033" w14:textId="77777777">
      <w:pPr>
        <w:spacing w:before="0"/>
        <w:ind w:left="1980"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205 SE Spokane, Suite 100</w:t>
      </w:r>
    </w:p>
    <w:p w:rsidR="008C2E53" w14:paraId="00000034" w14:textId="77777777">
      <w:pPr>
        <w:spacing w:before="0"/>
        <w:ind w:left="153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Portland, OR 97202</w:t>
      </w:r>
    </w:p>
    <w:p w:rsidR="008C2E53" w14:paraId="00000035" w14:textId="77777777">
      <w:pPr>
        <w:spacing w:before="0"/>
        <w:ind w:left="115" w:firstLine="620"/>
        <w:rPr>
          <w:rFonts w:ascii="Times New Roman" w:eastAsia="Times New Roman" w:hAnsi="Times New Roman" w:cs="Times New Roman"/>
          <w:sz w:val="24"/>
          <w:szCs w:val="24"/>
        </w:rPr>
      </w:pPr>
    </w:p>
    <w:p w:rsidR="008C2E53" w14:paraId="00000036" w14:textId="77777777">
      <w:pPr>
        <w:tabs>
          <w:tab w:val="left" w:pos="2279"/>
        </w:tabs>
        <w:spacing w:before="0"/>
        <w:ind w:left="115"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By fax to:</w:t>
      </w:r>
      <w:r>
        <w:rPr>
          <w:rFonts w:ascii="Times New Roman" w:eastAsia="Times New Roman" w:hAnsi="Times New Roman" w:cs="Times New Roman"/>
          <w:sz w:val="24"/>
          <w:szCs w:val="24"/>
        </w:rPr>
        <w:tab/>
        <w:t>503-595-3450</w:t>
      </w:r>
    </w:p>
    <w:p w:rsidR="008C2E53" w14:paraId="00000037" w14:textId="77777777">
      <w:pPr>
        <w:spacing w:before="0"/>
        <w:ind w:left="115" w:firstLine="620"/>
        <w:rPr>
          <w:rFonts w:ascii="Times New Roman" w:eastAsia="Times New Roman" w:hAnsi="Times New Roman" w:cs="Times New Roman"/>
          <w:sz w:val="24"/>
          <w:szCs w:val="24"/>
        </w:rPr>
      </w:pPr>
    </w:p>
    <w:p w:rsidR="008C2E53" w14:paraId="00000038" w14:textId="77777777">
      <w:pPr>
        <w:tabs>
          <w:tab w:val="left" w:pos="2279"/>
        </w:tabs>
        <w:spacing w:before="0"/>
        <w:ind w:left="115"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Online at:</w:t>
      </w:r>
      <w:r>
        <w:rPr>
          <w:rFonts w:ascii="Times New Roman" w:eastAsia="Times New Roman" w:hAnsi="Times New Roman" w:cs="Times New Roman"/>
          <w:sz w:val="24"/>
          <w:szCs w:val="24"/>
        </w:rPr>
        <w:tab/>
      </w:r>
      <w:hyperlink r:id="rId12">
        <w:r>
          <w:rPr>
            <w:rFonts w:ascii="Times New Roman" w:eastAsia="Times New Roman" w:hAnsi="Times New Roman" w:cs="Times New Roman"/>
            <w:color w:val="0000FF"/>
            <w:sz w:val="24"/>
            <w:szCs w:val="24"/>
            <w:u w:val="single"/>
          </w:rPr>
          <w:t>https://survey.psmfc.org</w:t>
        </w:r>
      </w:hyperlink>
    </w:p>
    <w:p w:rsidR="008C2E53" w14:paraId="00000039" w14:textId="77777777">
      <w:pPr>
        <w:spacing w:before="0"/>
        <w:rPr>
          <w:rFonts w:ascii="Times New Roman" w:eastAsia="Times New Roman" w:hAnsi="Times New Roman" w:cs="Times New Roman"/>
          <w:sz w:val="24"/>
          <w:szCs w:val="24"/>
        </w:rPr>
      </w:pPr>
    </w:p>
    <w:p w:rsidR="008C2E53" w14:paraId="0000003A" w14:textId="77777777">
      <w:pPr>
        <w:spacing w:before="0"/>
        <w:rPr>
          <w:rFonts w:ascii="Times New Roman" w:eastAsia="Times New Roman" w:hAnsi="Times New Roman" w:cs="Times New Roman"/>
          <w:sz w:val="24"/>
          <w:szCs w:val="24"/>
        </w:rPr>
      </w:pPr>
    </w:p>
    <w:p w:rsidR="008C2E53" w14:paraId="0000003B" w14:textId="77777777">
      <w:pPr>
        <w:spacing w:befor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Uses of the Annual Trawl Catcher/Processor EDR Data </w:t>
      </w:r>
    </w:p>
    <w:p w:rsidR="008C2E53" w14:paraId="0000003E" w14:textId="77777777">
      <w:pPr>
        <w:spacing w:before="0"/>
        <w:rPr>
          <w:rFonts w:ascii="Times New Roman" w:eastAsia="Times New Roman" w:hAnsi="Times New Roman" w:cs="Times New Roman"/>
          <w:sz w:val="24"/>
          <w:szCs w:val="24"/>
        </w:rPr>
      </w:pPr>
    </w:p>
    <w:p w:rsidR="008C2E53" w14:paraId="0000003F"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performance of the Amendment 80 trawl catcher/processor fleet under the rationalization program and subsequent changes in fishery management, economists and analysts at the Alaska Fisheries Science Center use the Annual Trawl Catcher/Processor EDR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data collection to prepare an annual summary report that is included as a chapter to the annual publication </w:t>
      </w:r>
      <w:r>
        <w:rPr>
          <w:rFonts w:ascii="Times New Roman" w:eastAsia="Times New Roman" w:hAnsi="Times New Roman" w:cs="Times New Roman"/>
          <w:i/>
          <w:sz w:val="24"/>
          <w:szCs w:val="24"/>
        </w:rPr>
        <w:t>Economic Status of the Groundfish Fisheries off Alaska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 summary reports statistics that are intended to indicate trends in a variety of economic indicators and metrics. The reported statistics provide a general overview of fishery performance over time, and are not intended as a rigorous statistical analysis of specific hypotheses regarding economic efficiency or other performance metrics. </w:t>
      </w:r>
    </w:p>
    <w:p w:rsidR="008C2E53" w14:paraId="00000040" w14:textId="77777777">
      <w:pPr>
        <w:spacing w:before="0"/>
        <w:rPr>
          <w:rFonts w:ascii="Times New Roman" w:eastAsia="Times New Roman" w:hAnsi="Times New Roman" w:cs="Times New Roman"/>
          <w:sz w:val="24"/>
          <w:szCs w:val="24"/>
        </w:rPr>
      </w:pPr>
    </w:p>
    <w:p w:rsidR="008C2E53" w14:paraId="00000041"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Magnuson-Stevens Act requires a formal and detailed review of Limited Access Privilege Programs (LAPPs) 5 years after the implementation of the program, and </w:t>
      </w:r>
      <w:r>
        <w:rPr>
          <w:rFonts w:ascii="Times New Roman" w:eastAsia="Times New Roman" w:hAnsi="Times New Roman" w:cs="Times New Roman"/>
          <w:color w:val="000000"/>
          <w:sz w:val="24"/>
          <w:szCs w:val="24"/>
        </w:rPr>
        <w:t>thereafter to coincide with scheduled Council review of the relevant fishery management plan (but no less frequently than once every 7 years). The Amendment 80 Program 5-year review was completed in 2014 (Northern Economics, 2014</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The review provides an overview of the EDR data collected and uses the data to summarize expenses and revenues fleet wide. Operating expenses, including payments to labor, are documented and the EDR data is used to develop a cash flow model. </w:t>
      </w:r>
    </w:p>
    <w:p w:rsidR="008C2E53" w14:paraId="00000042"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43"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sdt>
        <w:sdtPr>
          <w:tag w:val="goog_rdk_9"/>
          <w:id w:val="2048897738"/>
          <w:richText/>
        </w:sdtPr>
        <w:sdtContent/>
      </w:sdt>
      <w:r w:rsidR="001314F0">
        <w:rPr>
          <w:rFonts w:ascii="Times New Roman" w:eastAsia="Times New Roman" w:hAnsi="Times New Roman" w:cs="Times New Roman"/>
          <w:color w:val="000000"/>
          <w:sz w:val="24"/>
          <w:szCs w:val="24"/>
        </w:rPr>
        <w:t>Council staff, NMFS staff, contractors, and academic partners have used EDR data, both from published reports and custom queries, in several important ways. EDR data have been used in catch share program reviews. In addition, it has been used in several regulatory action analyses, such as for analyzing crew employment in the 2014 Final Environmental Impact Statement: Steller Sea Lion Protection Measures for Groundfish Fisheries in the Bering Sea and Aleutian Islands Management Area.</w:t>
      </w:r>
      <w:r>
        <w:rPr>
          <w:rFonts w:ascii="Times New Roman" w:eastAsia="Times New Roman" w:hAnsi="Times New Roman" w:cs="Times New Roman"/>
          <w:color w:val="000000"/>
          <w:sz w:val="24"/>
          <w:szCs w:val="24"/>
          <w:vertAlign w:val="superscript"/>
        </w:rPr>
        <w:footnoteReference w:id="4"/>
      </w:r>
      <w:r w:rsidR="001314F0">
        <w:rPr>
          <w:rFonts w:ascii="Times New Roman" w:eastAsia="Times New Roman" w:hAnsi="Times New Roman" w:cs="Times New Roman"/>
          <w:color w:val="000000"/>
          <w:sz w:val="24"/>
          <w:szCs w:val="24"/>
        </w:rPr>
        <w:t xml:space="preserve"> EDR data was also used in analyses of regulatory actions affecting the Amendment 80 fleet and was recently used in a regulatory impact review of allowing deck sorting of halibut in non-pollock groundfish trawl fisheries (RIN 0648-BI53, effective November 14, 2019; 84 FR 55044, October 15, 2019).</w:t>
      </w:r>
    </w:p>
    <w:p w:rsidR="00E6703E" w14:paraId="30943EA5"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45" w14:textId="77777777">
      <w:pPr>
        <w:pStyle w:val="Heading1"/>
        <w:keepNext/>
        <w:keepLines/>
        <w:spacing w:before="120" w:after="60"/>
        <w:ind w:left="0"/>
        <w:rPr>
          <w:rFonts w:ascii="Times New Roman" w:eastAsia="Times New Roman" w:hAnsi="Times New Roman" w:cs="Times New Roman"/>
          <w:b w:val="0"/>
        </w:rPr>
      </w:pPr>
      <w:r>
        <w:rPr>
          <w:rFonts w:ascii="Times New Roman" w:eastAsia="Times New Roman" w:hAnsi="Times New Roman" w:cs="Times New Roman"/>
          <w:b w:val="0"/>
        </w:rPr>
        <w:t>Information Requirements and Needs and Uses of Information Collected</w:t>
      </w:r>
    </w:p>
    <w:tbl>
      <w:tblPr>
        <w:tblStyle w:val="a4"/>
        <w:tblpPr w:leftFromText="180" w:rightFromText="180" w:vertAnchor="text" w:tblpY="9"/>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40"/>
        <w:gridCol w:w="1649"/>
        <w:gridCol w:w="1649"/>
        <w:gridCol w:w="1552"/>
        <w:gridCol w:w="3299"/>
      </w:tblGrid>
      <w:tr w14:paraId="6692A475" w14:textId="77777777">
        <w:tblPrEx>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30"/>
        </w:trPr>
        <w:tc>
          <w:tcPr>
            <w:tcW w:w="194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C2E53" w14:paraId="00000046" w14:textId="77777777">
            <w:pPr>
              <w:widowControl w:val="0"/>
              <w:pBdr>
                <w:top w:val="nil"/>
                <w:left w:val="nil"/>
                <w:bottom w:val="nil"/>
                <w:right w:val="nil"/>
                <w:between w:val="nil"/>
              </w:pBdr>
              <w:spacing w:before="0"/>
              <w:jc w:val="center"/>
              <w:rPr>
                <w:rFonts w:ascii="Calibri" w:eastAsia="Calibri" w:hAnsi="Calibri" w:cs="Calibri"/>
                <w:b/>
                <w:color w:val="000000"/>
                <w:sz w:val="18"/>
                <w:szCs w:val="18"/>
              </w:rPr>
            </w:pPr>
            <w:r>
              <w:rPr>
                <w:rFonts w:ascii="Calibri" w:eastAsia="Calibri" w:hAnsi="Calibri" w:cs="Calibri"/>
                <w:b/>
                <w:color w:val="2F5496"/>
                <w:sz w:val="18"/>
                <w:szCs w:val="18"/>
              </w:rPr>
              <w:t>Requirement</w:t>
            </w:r>
          </w:p>
        </w:tc>
        <w:tc>
          <w:tcPr>
            <w:tcW w:w="164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C2E53" w14:paraId="00000047" w14:textId="77777777">
            <w:pPr>
              <w:widowControl w:val="0"/>
              <w:pBdr>
                <w:top w:val="nil"/>
                <w:left w:val="nil"/>
                <w:bottom w:val="nil"/>
                <w:right w:val="nil"/>
                <w:between w:val="nil"/>
              </w:pBdr>
              <w:spacing w:before="0"/>
              <w:jc w:val="center"/>
              <w:rPr>
                <w:rFonts w:ascii="Calibri" w:eastAsia="Calibri" w:hAnsi="Calibri" w:cs="Calibri"/>
                <w:b/>
                <w:color w:val="000000"/>
                <w:sz w:val="18"/>
                <w:szCs w:val="18"/>
              </w:rPr>
            </w:pPr>
            <w:r>
              <w:rPr>
                <w:rFonts w:ascii="Calibri" w:eastAsia="Calibri" w:hAnsi="Calibri" w:cs="Calibri"/>
                <w:b/>
                <w:color w:val="2F5496"/>
                <w:sz w:val="18"/>
                <w:szCs w:val="18"/>
              </w:rPr>
              <w:t>Statute</w:t>
            </w:r>
          </w:p>
        </w:tc>
        <w:tc>
          <w:tcPr>
            <w:tcW w:w="164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C2E53" w14:paraId="00000048" w14:textId="77777777">
            <w:pPr>
              <w:widowControl w:val="0"/>
              <w:pBdr>
                <w:top w:val="nil"/>
                <w:left w:val="nil"/>
                <w:bottom w:val="nil"/>
                <w:right w:val="nil"/>
                <w:between w:val="nil"/>
              </w:pBdr>
              <w:spacing w:before="0"/>
              <w:jc w:val="center"/>
              <w:rPr>
                <w:rFonts w:ascii="Calibri" w:eastAsia="Calibri" w:hAnsi="Calibri" w:cs="Calibri"/>
                <w:b/>
                <w:color w:val="000000"/>
                <w:sz w:val="18"/>
                <w:szCs w:val="18"/>
              </w:rPr>
            </w:pPr>
            <w:r>
              <w:rPr>
                <w:rFonts w:ascii="Calibri" w:eastAsia="Calibri" w:hAnsi="Calibri" w:cs="Calibri"/>
                <w:b/>
                <w:color w:val="2F5496"/>
                <w:sz w:val="18"/>
                <w:szCs w:val="18"/>
              </w:rPr>
              <w:t>Regulation</w:t>
            </w:r>
          </w:p>
        </w:tc>
        <w:tc>
          <w:tcPr>
            <w:tcW w:w="155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C2E53" w14:paraId="00000049" w14:textId="77777777">
            <w:pPr>
              <w:widowControl w:val="0"/>
              <w:pBdr>
                <w:top w:val="nil"/>
                <w:left w:val="nil"/>
                <w:bottom w:val="nil"/>
                <w:right w:val="nil"/>
                <w:between w:val="nil"/>
              </w:pBdr>
              <w:spacing w:before="0"/>
              <w:jc w:val="center"/>
              <w:rPr>
                <w:rFonts w:ascii="Calibri" w:eastAsia="Calibri" w:hAnsi="Calibri" w:cs="Calibri"/>
                <w:b/>
                <w:color w:val="000000"/>
                <w:sz w:val="18"/>
                <w:szCs w:val="18"/>
              </w:rPr>
            </w:pPr>
            <w:r>
              <w:rPr>
                <w:rFonts w:ascii="Calibri" w:eastAsia="Calibri" w:hAnsi="Calibri" w:cs="Calibri"/>
                <w:b/>
                <w:color w:val="2F5496"/>
                <w:sz w:val="18"/>
                <w:szCs w:val="18"/>
              </w:rPr>
              <w:t>Submission Method</w:t>
            </w:r>
          </w:p>
        </w:tc>
        <w:tc>
          <w:tcPr>
            <w:tcW w:w="329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C2E53" w14:paraId="0000004A" w14:textId="77777777">
            <w:pPr>
              <w:widowControl w:val="0"/>
              <w:pBdr>
                <w:top w:val="nil"/>
                <w:left w:val="nil"/>
                <w:bottom w:val="nil"/>
                <w:right w:val="nil"/>
                <w:between w:val="nil"/>
              </w:pBdr>
              <w:spacing w:before="0"/>
              <w:jc w:val="center"/>
              <w:rPr>
                <w:rFonts w:ascii="Calibri" w:eastAsia="Calibri" w:hAnsi="Calibri" w:cs="Calibri"/>
                <w:b/>
                <w:color w:val="000000"/>
                <w:sz w:val="18"/>
                <w:szCs w:val="18"/>
              </w:rPr>
            </w:pPr>
            <w:r>
              <w:rPr>
                <w:rFonts w:ascii="Calibri" w:eastAsia="Calibri" w:hAnsi="Calibri" w:cs="Calibri"/>
                <w:b/>
                <w:color w:val="2F5496"/>
                <w:sz w:val="18"/>
                <w:szCs w:val="18"/>
              </w:rPr>
              <w:t>Needs and Uses</w:t>
            </w:r>
          </w:p>
        </w:tc>
      </w:tr>
      <w:tr w14:paraId="22BC0F72" w14:textId="77777777">
        <w:tblPrEx>
          <w:tblW w:w="10089" w:type="dxa"/>
          <w:tblLayout w:type="fixed"/>
          <w:tblLook w:val="0000"/>
        </w:tblPrEx>
        <w:trPr>
          <w:trHeight w:val="1610"/>
        </w:trPr>
        <w:tc>
          <w:tcPr>
            <w:tcW w:w="1940" w:type="dxa"/>
            <w:vAlign w:val="center"/>
          </w:tcPr>
          <w:p w:rsidR="008C2E53" w14:paraId="0000004B" w14:textId="77777777">
            <w:pPr>
              <w:widowControl w:val="0"/>
              <w:pBdr>
                <w:top w:val="nil"/>
                <w:left w:val="nil"/>
                <w:bottom w:val="nil"/>
                <w:right w:val="nil"/>
                <w:between w:val="nil"/>
              </w:pBdr>
              <w:spacing w:before="0"/>
              <w:jc w:val="center"/>
              <w:rPr>
                <w:rFonts w:ascii="Calibri" w:eastAsia="Calibri" w:hAnsi="Calibri" w:cs="Calibri"/>
                <w:color w:val="000000"/>
                <w:sz w:val="18"/>
                <w:szCs w:val="18"/>
              </w:rPr>
            </w:pPr>
            <w:r>
              <w:rPr>
                <w:rFonts w:ascii="Calibri" w:eastAsia="Calibri" w:hAnsi="Calibri" w:cs="Calibri"/>
                <w:color w:val="000000"/>
                <w:sz w:val="18"/>
                <w:szCs w:val="18"/>
              </w:rPr>
              <w:t>Annual Trawl Catcher/Processor EDR</w:t>
            </w:r>
          </w:p>
        </w:tc>
        <w:tc>
          <w:tcPr>
            <w:tcW w:w="1649" w:type="dxa"/>
            <w:vAlign w:val="center"/>
          </w:tcPr>
          <w:p w:rsidR="008C2E53" w14:paraId="0000004C" w14:textId="77777777">
            <w:pPr>
              <w:widowControl w:val="0"/>
              <w:pBdr>
                <w:top w:val="nil"/>
                <w:left w:val="nil"/>
                <w:bottom w:val="nil"/>
                <w:right w:val="nil"/>
                <w:between w:val="nil"/>
              </w:pBdr>
              <w:spacing w:before="0"/>
              <w:jc w:val="center"/>
              <w:rPr>
                <w:rFonts w:ascii="Calibri" w:eastAsia="Calibri" w:hAnsi="Calibri" w:cs="Calibri"/>
                <w:color w:val="000000"/>
                <w:sz w:val="18"/>
                <w:szCs w:val="18"/>
              </w:rPr>
            </w:pPr>
            <w:r>
              <w:rPr>
                <w:rFonts w:ascii="Calibri" w:eastAsia="Calibri" w:hAnsi="Calibri" w:cs="Calibri"/>
                <w:color w:val="000000"/>
                <w:sz w:val="18"/>
                <w:szCs w:val="18"/>
              </w:rPr>
              <w:t xml:space="preserve">16 U.S.C. 1801 </w:t>
            </w:r>
            <w:r>
              <w:rPr>
                <w:rFonts w:ascii="Calibri" w:eastAsia="Calibri" w:hAnsi="Calibri" w:cs="Calibri"/>
                <w:i/>
                <w:color w:val="000000"/>
                <w:sz w:val="18"/>
                <w:szCs w:val="18"/>
              </w:rPr>
              <w:t>et seq.</w:t>
            </w:r>
          </w:p>
        </w:tc>
        <w:tc>
          <w:tcPr>
            <w:tcW w:w="1649" w:type="dxa"/>
            <w:vAlign w:val="center"/>
          </w:tcPr>
          <w:p w:rsidR="008C2E53" w14:paraId="0000004D" w14:textId="77777777">
            <w:pPr>
              <w:widowControl w:val="0"/>
              <w:pBdr>
                <w:top w:val="nil"/>
                <w:left w:val="nil"/>
                <w:bottom w:val="nil"/>
                <w:right w:val="nil"/>
                <w:between w:val="nil"/>
              </w:pBdr>
              <w:spacing w:before="0"/>
              <w:jc w:val="center"/>
              <w:rPr>
                <w:rFonts w:ascii="Calibri" w:eastAsia="Calibri" w:hAnsi="Calibri" w:cs="Calibri"/>
                <w:color w:val="000000"/>
                <w:sz w:val="18"/>
                <w:szCs w:val="18"/>
              </w:rPr>
            </w:pPr>
            <w:r>
              <w:rPr>
                <w:rFonts w:ascii="Calibri" w:eastAsia="Calibri" w:hAnsi="Calibri" w:cs="Calibri"/>
                <w:color w:val="000000"/>
                <w:sz w:val="18"/>
                <w:szCs w:val="18"/>
              </w:rPr>
              <w:t xml:space="preserve">50 CFR </w:t>
            </w:r>
            <w:hyperlink r:id="rId13">
              <w:r>
                <w:rPr>
                  <w:rFonts w:ascii="Calibri" w:eastAsia="Calibri" w:hAnsi="Calibri" w:cs="Calibri"/>
                  <w:color w:val="0000FF"/>
                  <w:sz w:val="18"/>
                  <w:szCs w:val="18"/>
                  <w:u w:val="single"/>
                </w:rPr>
                <w:t>679.94</w:t>
              </w:r>
            </w:hyperlink>
            <w:r>
              <w:rPr>
                <w:rFonts w:ascii="Calibri" w:eastAsia="Calibri" w:hAnsi="Calibri" w:cs="Calibri"/>
                <w:color w:val="000000"/>
                <w:sz w:val="18"/>
                <w:szCs w:val="18"/>
              </w:rPr>
              <w:t xml:space="preserve"> </w:t>
            </w:r>
          </w:p>
        </w:tc>
        <w:tc>
          <w:tcPr>
            <w:tcW w:w="1552" w:type="dxa"/>
            <w:vAlign w:val="center"/>
          </w:tcPr>
          <w:p w:rsidR="008C2E53" w14:paraId="0000004E" w14:textId="77777777">
            <w:pPr>
              <w:widowControl w:val="0"/>
              <w:pBdr>
                <w:top w:val="nil"/>
                <w:left w:val="nil"/>
                <w:bottom w:val="nil"/>
                <w:right w:val="nil"/>
                <w:between w:val="nil"/>
              </w:pBdr>
              <w:spacing w:before="0"/>
              <w:jc w:val="center"/>
              <w:rPr>
                <w:rFonts w:ascii="Calibri" w:eastAsia="Calibri" w:hAnsi="Calibri" w:cs="Calibri"/>
                <w:color w:val="000000"/>
                <w:sz w:val="18"/>
                <w:szCs w:val="18"/>
              </w:rPr>
            </w:pPr>
            <w:r>
              <w:rPr>
                <w:rFonts w:ascii="Calibri" w:eastAsia="Calibri" w:hAnsi="Calibri" w:cs="Calibri"/>
                <w:color w:val="000000"/>
                <w:sz w:val="18"/>
                <w:szCs w:val="18"/>
              </w:rPr>
              <w:t>On-line or by mail</w:t>
            </w:r>
          </w:p>
        </w:tc>
        <w:tc>
          <w:tcPr>
            <w:tcW w:w="3299" w:type="dxa"/>
            <w:vAlign w:val="center"/>
          </w:tcPr>
          <w:p w:rsidR="008C2E53" w14:paraId="0000004F" w14:textId="77777777">
            <w:pPr>
              <w:widowControl w:val="0"/>
              <w:numPr>
                <w:ilvl w:val="0"/>
                <w:numId w:val="1"/>
              </w:numPr>
              <w:pBdr>
                <w:top w:val="nil"/>
                <w:left w:val="nil"/>
                <w:bottom w:val="nil"/>
                <w:right w:val="nil"/>
                <w:between w:val="nil"/>
              </w:pBdr>
              <w:tabs>
                <w:tab w:val="left" w:pos="469"/>
                <w:tab w:val="left" w:pos="470"/>
              </w:tabs>
              <w:spacing w:before="60" w:after="60"/>
              <w:ind w:left="144" w:hanging="144"/>
              <w:rPr>
                <w:rFonts w:ascii="Calibri" w:eastAsia="Calibri" w:hAnsi="Calibri" w:cs="Calibri"/>
                <w:color w:val="000000"/>
                <w:sz w:val="18"/>
                <w:szCs w:val="18"/>
              </w:rPr>
            </w:pPr>
            <w:r>
              <w:rPr>
                <w:rFonts w:ascii="Calibri" w:eastAsia="Calibri" w:hAnsi="Calibri" w:cs="Calibri"/>
                <w:color w:val="000000"/>
                <w:sz w:val="18"/>
                <w:szCs w:val="18"/>
              </w:rPr>
              <w:t>Used by NMFS in annual report and regulatory analysis.</w:t>
            </w:r>
          </w:p>
          <w:p w:rsidR="008C2E53" w14:paraId="00000050" w14:textId="77777777">
            <w:pPr>
              <w:widowControl w:val="0"/>
              <w:numPr>
                <w:ilvl w:val="0"/>
                <w:numId w:val="1"/>
              </w:numPr>
              <w:pBdr>
                <w:top w:val="nil"/>
                <w:left w:val="nil"/>
                <w:bottom w:val="nil"/>
                <w:right w:val="nil"/>
                <w:between w:val="nil"/>
              </w:pBdr>
              <w:tabs>
                <w:tab w:val="left" w:pos="469"/>
                <w:tab w:val="left" w:pos="470"/>
              </w:tabs>
              <w:spacing w:before="60" w:after="60"/>
              <w:ind w:left="144" w:hanging="144"/>
              <w:rPr>
                <w:rFonts w:ascii="Calibri" w:eastAsia="Calibri" w:hAnsi="Calibri" w:cs="Calibri"/>
                <w:color w:val="000000"/>
                <w:sz w:val="18"/>
                <w:szCs w:val="18"/>
              </w:rPr>
            </w:pPr>
            <w:r>
              <w:rPr>
                <w:rFonts w:ascii="Calibri" w:eastAsia="Calibri" w:hAnsi="Calibri" w:cs="Calibri"/>
                <w:color w:val="000000"/>
                <w:sz w:val="18"/>
                <w:szCs w:val="18"/>
              </w:rPr>
              <w:t xml:space="preserve">Used by Council staff and </w:t>
            </w:r>
            <w:r>
              <w:rPr>
                <w:rFonts w:ascii="Calibri" w:eastAsia="Calibri" w:hAnsi="Calibri" w:cs="Calibri"/>
                <w:color w:val="000000"/>
                <w:sz w:val="18"/>
                <w:szCs w:val="18"/>
              </w:rPr>
              <w:t>contractors for LAPP evaluation and in regulatory analysis.</w:t>
            </w:r>
          </w:p>
          <w:p w:rsidR="008C2E53" w14:paraId="00000051" w14:textId="77777777">
            <w:pPr>
              <w:widowControl w:val="0"/>
              <w:numPr>
                <w:ilvl w:val="0"/>
                <w:numId w:val="1"/>
              </w:numPr>
              <w:pBdr>
                <w:top w:val="nil"/>
                <w:left w:val="nil"/>
                <w:bottom w:val="nil"/>
                <w:right w:val="nil"/>
                <w:between w:val="nil"/>
              </w:pBdr>
              <w:tabs>
                <w:tab w:val="left" w:pos="469"/>
                <w:tab w:val="left" w:pos="470"/>
              </w:tabs>
              <w:spacing w:before="60" w:after="60"/>
              <w:ind w:left="144" w:hanging="144"/>
              <w:rPr>
                <w:rFonts w:ascii="Calibri" w:eastAsia="Calibri" w:hAnsi="Calibri" w:cs="Calibri"/>
                <w:color w:val="000000"/>
                <w:sz w:val="18"/>
                <w:szCs w:val="18"/>
              </w:rPr>
            </w:pPr>
            <w:r>
              <w:rPr>
                <w:rFonts w:ascii="Calibri" w:eastAsia="Calibri" w:hAnsi="Calibri" w:cs="Calibri"/>
                <w:color w:val="000000"/>
                <w:sz w:val="18"/>
                <w:szCs w:val="18"/>
              </w:rPr>
              <w:t xml:space="preserve">Used by partnered researchers to conduct fishery economic research. </w:t>
            </w:r>
          </w:p>
        </w:tc>
      </w:tr>
    </w:tbl>
    <w:p w:rsidR="008C2E53" w14:paraId="00000052" w14:textId="77777777">
      <w:pPr>
        <w:spacing w:before="0"/>
        <w:rPr>
          <w:rFonts w:ascii="Times New Roman" w:eastAsia="Times New Roman" w:hAnsi="Times New Roman" w:cs="Times New Roman"/>
          <w:sz w:val="24"/>
          <w:szCs w:val="24"/>
        </w:rPr>
      </w:pPr>
    </w:p>
    <w:p w:rsidR="008C2E53" w14:paraId="00000053" w14:textId="125C2B7B">
      <w:pPr>
        <w:spacing w:before="0"/>
        <w:rPr>
          <w:rFonts w:ascii="Times New Roman" w:eastAsia="Times New Roman" w:hAnsi="Times New Roman" w:cs="Times New Roman"/>
          <w:sz w:val="24"/>
          <w:szCs w:val="24"/>
        </w:rPr>
      </w:pPr>
      <w:r w:rsidRPr="00C14FBC">
        <w:rPr>
          <w:rFonts w:ascii="Times New Roman" w:eastAsia="Times New Roman" w:hAnsi="Times New Roman" w:cs="Times New Roman"/>
          <w:sz w:val="24"/>
          <w:szCs w:val="24"/>
        </w:rPr>
        <w:t>AFSC Economics and Social Science Research Program economists analyze EDR data in two almanacs of data produced for the Council as appendices to the annual SAFE reports which present the data in tables for public use through the Economic SAFE documents for crab and groundfish, respectively. AFSC staff also use EDR data in a variety of applications and publications. In recent years, AFSC and AKFIN have collaborated on development of the</w:t>
      </w:r>
      <w:hyperlink r:id="rId14" w:anchor=":~:text=The%20Human%20Dimensions%20Data%20Explorer%20provides%20access%20to%20data%2C%20data,sociocultural%20dimensions%20of%20Alaska%20fisheries">
        <w:r w:rsidRPr="00C14FBC">
          <w:rPr>
            <w:rFonts w:ascii="Times New Roman" w:eastAsia="Times New Roman" w:hAnsi="Times New Roman" w:cs="Times New Roman"/>
            <w:sz w:val="24"/>
            <w:szCs w:val="24"/>
          </w:rPr>
          <w:t xml:space="preserve"> </w:t>
        </w:r>
      </w:hyperlink>
      <w:hyperlink r:id="rId14" w:anchor=":~:text=The%20Human%20Dimensions%20Data%20Explorer%20provides%20access%20to%20data%2C%20data,sociocultural%20dimensions%20of%20Alaska%20fisheries">
        <w:r w:rsidRPr="00C14FBC">
          <w:rPr>
            <w:rFonts w:ascii="Times New Roman" w:eastAsia="Times New Roman" w:hAnsi="Times New Roman" w:cs="Times New Roman"/>
            <w:sz w:val="24"/>
            <w:szCs w:val="24"/>
          </w:rPr>
          <w:t>Human Dimensions Data Explorer</w:t>
        </w:r>
      </w:hyperlink>
      <w:r w:rsidRPr="00C14FBC">
        <w:rPr>
          <w:rFonts w:ascii="Times New Roman" w:eastAsia="Times New Roman" w:hAnsi="Times New Roman" w:cs="Times New Roman"/>
          <w:sz w:val="24"/>
          <w:szCs w:val="24"/>
        </w:rPr>
        <w:t>, which provides a platform for public access to AFSC’s fishery management decision support tools and data reports, including the</w:t>
      </w:r>
      <w:hyperlink r:id="rId15">
        <w:r w:rsidRPr="00C14FBC">
          <w:rPr>
            <w:rFonts w:ascii="Times New Roman" w:eastAsia="Times New Roman" w:hAnsi="Times New Roman" w:cs="Times New Roman"/>
            <w:sz w:val="24"/>
            <w:szCs w:val="24"/>
          </w:rPr>
          <w:t xml:space="preserve"> </w:t>
        </w:r>
      </w:hyperlink>
      <w:hyperlink r:id="rId15">
        <w:r w:rsidRPr="00C14FBC">
          <w:rPr>
            <w:rFonts w:ascii="Times New Roman" w:eastAsia="Times New Roman" w:hAnsi="Times New Roman" w:cs="Times New Roman"/>
            <w:sz w:val="24"/>
            <w:szCs w:val="24"/>
          </w:rPr>
          <w:t>BSAI Crab Economic SAFE</w:t>
        </w:r>
      </w:hyperlink>
      <w:r w:rsidRPr="00C14FBC">
        <w:rPr>
          <w:rFonts w:ascii="Times New Roman" w:eastAsia="Times New Roman" w:hAnsi="Times New Roman" w:cs="Times New Roman"/>
          <w:sz w:val="24"/>
          <w:szCs w:val="24"/>
        </w:rPr>
        <w:t>,</w:t>
      </w:r>
      <w:hyperlink r:id="rId16">
        <w:r w:rsidRPr="00C14FBC">
          <w:rPr>
            <w:rFonts w:ascii="Times New Roman" w:eastAsia="Times New Roman" w:hAnsi="Times New Roman" w:cs="Times New Roman"/>
            <w:sz w:val="24"/>
            <w:szCs w:val="24"/>
          </w:rPr>
          <w:t xml:space="preserve"> </w:t>
        </w:r>
      </w:hyperlink>
      <w:hyperlink r:id="rId16">
        <w:r w:rsidRPr="00C14FBC">
          <w:rPr>
            <w:rFonts w:ascii="Times New Roman" w:eastAsia="Times New Roman" w:hAnsi="Times New Roman" w:cs="Times New Roman"/>
            <w:sz w:val="24"/>
            <w:szCs w:val="24"/>
          </w:rPr>
          <w:t>Groundfish Economic SAFE</w:t>
        </w:r>
      </w:hyperlink>
      <w:r w:rsidRPr="00C14FBC">
        <w:rPr>
          <w:rFonts w:ascii="Times New Roman" w:eastAsia="Times New Roman" w:hAnsi="Times New Roman" w:cs="Times New Roman"/>
          <w:sz w:val="24"/>
          <w:szCs w:val="24"/>
        </w:rPr>
        <w:t xml:space="preserve"> and the</w:t>
      </w:r>
      <w:hyperlink r:id="rId17">
        <w:r w:rsidRPr="00C14FBC">
          <w:rPr>
            <w:rFonts w:ascii="Times New Roman" w:eastAsia="Times New Roman" w:hAnsi="Times New Roman" w:cs="Times New Roman"/>
            <w:sz w:val="24"/>
            <w:szCs w:val="24"/>
          </w:rPr>
          <w:t xml:space="preserve"> </w:t>
        </w:r>
      </w:hyperlink>
      <w:hyperlink r:id="rId17">
        <w:r w:rsidRPr="00C14FBC">
          <w:rPr>
            <w:rFonts w:ascii="Times New Roman" w:eastAsia="Times New Roman" w:hAnsi="Times New Roman" w:cs="Times New Roman"/>
            <w:sz w:val="24"/>
            <w:szCs w:val="24"/>
          </w:rPr>
          <w:t>Annual Community Engagement and Participation Overview</w:t>
        </w:r>
      </w:hyperlink>
      <w:r w:rsidRPr="00C14FBC">
        <w:rPr>
          <w:rFonts w:ascii="Times New Roman" w:eastAsia="Times New Roman" w:hAnsi="Times New Roman" w:cs="Times New Roman"/>
          <w:sz w:val="24"/>
          <w:szCs w:val="24"/>
        </w:rPr>
        <w:t xml:space="preserve"> reports in document form, as well as providing public, non-confidential access, in the form of customizable data queries, to the most current available statistical data published in the respective reports.</w:t>
      </w:r>
    </w:p>
    <w:p w:rsidR="00E6703E" w14:paraId="01EA3E14" w14:textId="77777777">
      <w:pPr>
        <w:spacing w:before="0"/>
        <w:rPr>
          <w:rFonts w:ascii="Times New Roman" w:eastAsia="Times New Roman" w:hAnsi="Times New Roman" w:cs="Times New Roman"/>
          <w:sz w:val="24"/>
          <w:szCs w:val="24"/>
        </w:rPr>
      </w:pPr>
    </w:p>
    <w:p w:rsidR="008C2E53" w14:paraId="4A260902" w14:textId="77777777">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8C2E53" w14:paraId="00000056"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Describe whether, and to what extent, the collection of information involves the use of automated, electronic, mechanical, or other technological collection techniques or other forms of information technology, e.g. </w:t>
      </w:r>
      <w:r>
        <w:rPr>
          <w:rFonts w:ascii="Times New Roman" w:eastAsia="Times New Roman" w:hAnsi="Times New Roman" w:cs="Times New Roman"/>
          <w:b/>
          <w:color w:val="000000"/>
          <w:sz w:val="24"/>
          <w:szCs w:val="24"/>
        </w:rPr>
        <w:t>permitting electronic submission of responses, and the basis for the decision for adopting this means of collection. Also, describe any consideration of using information technology to reduce burden.</w:t>
      </w:r>
    </w:p>
    <w:p w:rsidR="008C2E53" w14:paraId="00000057" w14:textId="77777777">
      <w:pPr>
        <w:pBdr>
          <w:top w:val="nil"/>
          <w:left w:val="nil"/>
          <w:bottom w:val="nil"/>
          <w:right w:val="nil"/>
          <w:between w:val="nil"/>
        </w:pBdr>
        <w:tabs>
          <w:tab w:val="left" w:pos="360"/>
        </w:tabs>
        <w:spacing w:before="0"/>
        <w:rPr>
          <w:color w:val="000000"/>
        </w:rPr>
      </w:pPr>
    </w:p>
    <w:p w:rsidR="008C2E53" w14:paraId="00000058"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EDR instructions and online submission are available on the internet (</w:t>
      </w:r>
      <w:hyperlink r:id="rId18">
        <w:r>
          <w:rPr>
            <w:rFonts w:ascii="Times New Roman" w:eastAsia="Times New Roman" w:hAnsi="Times New Roman" w:cs="Times New Roman"/>
            <w:color w:val="0000FF"/>
            <w:sz w:val="24"/>
            <w:szCs w:val="24"/>
            <w:u w:val="single"/>
          </w:rPr>
          <w:t>http://www.psmfc.org/am80edr/</w:t>
        </w:r>
      </w:hyperlink>
      <w:r>
        <w:rPr>
          <w:rFonts w:ascii="Times New Roman" w:eastAsia="Times New Roman" w:hAnsi="Times New Roman" w:cs="Times New Roman"/>
          <w:sz w:val="24"/>
          <w:szCs w:val="24"/>
        </w:rPr>
        <w:t>). Applications can be emailed, faxed, or mailed to applicants if requested. The intent of the online submission system is to provide a user-friendly and efficient format to submit the EDR.</w:t>
      </w:r>
    </w:p>
    <w:p w:rsidR="008C2E53" w14:paraId="00000059" w14:textId="77777777">
      <w:pPr>
        <w:spacing w:before="0"/>
        <w:rPr>
          <w:rFonts w:ascii="Times New Roman" w:eastAsia="Times New Roman" w:hAnsi="Times New Roman" w:cs="Times New Roman"/>
          <w:sz w:val="24"/>
          <w:szCs w:val="24"/>
        </w:rPr>
      </w:pPr>
    </w:p>
    <w:p w:rsidR="008C2E53" w14:paraId="0000005A"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8C2E53" w14:paraId="0000005B" w14:textId="77777777">
      <w:pPr>
        <w:spacing w:before="0"/>
        <w:rPr>
          <w:rFonts w:ascii="Times New Roman" w:eastAsia="Times New Roman" w:hAnsi="Times New Roman" w:cs="Times New Roman"/>
          <w:sz w:val="24"/>
          <w:szCs w:val="24"/>
        </w:rPr>
      </w:pPr>
    </w:p>
    <w:p w:rsidR="008C2E53" w14:paraId="0000005C"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duplication exists for this information collection. This collection is the only source of observational cross-section time series data regarding the economic performance of this fleet. </w:t>
      </w:r>
    </w:p>
    <w:p w:rsidR="008C2E53" w14:paraId="0000005D" w14:textId="77777777">
      <w:pPr>
        <w:spacing w:before="0"/>
        <w:rPr>
          <w:rFonts w:ascii="Times New Roman" w:eastAsia="Times New Roman" w:hAnsi="Times New Roman" w:cs="Times New Roman"/>
          <w:sz w:val="24"/>
          <w:szCs w:val="24"/>
        </w:rPr>
      </w:pPr>
    </w:p>
    <w:p w:rsidR="008C2E53" w14:paraId="0000005E"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If the collection of information impacts small businesses or other small entities, describe any methods used to minimize burden.</w:t>
      </w:r>
    </w:p>
    <w:p w:rsidR="008C2E53" w14:paraId="0000005F" w14:textId="77777777">
      <w:pPr>
        <w:spacing w:before="0"/>
        <w:rPr>
          <w:rFonts w:ascii="Times New Roman" w:eastAsia="Times New Roman" w:hAnsi="Times New Roman" w:cs="Times New Roman"/>
          <w:sz w:val="24"/>
          <w:szCs w:val="24"/>
        </w:rPr>
      </w:pPr>
    </w:p>
    <w:p w:rsidR="008C2E53" w14:paraId="00000060" w14:textId="1D1F32DD">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does not impose a significant adverse impact on directly regulated small entities nor does it affect a substantial number of directly regulated small entities. There are potentially 22 entities that submit EDRs. Of these, only one entity owning a single catcher/processor is considered a small entity for purposes of the Regulatory Flexibility Act (RFA). </w:t>
      </w:r>
      <w:r w:rsidR="00AB759D">
        <w:rPr>
          <w:rFonts w:ascii="Times New Roman" w:eastAsia="Times New Roman" w:hAnsi="Times New Roman" w:cs="Times New Roman"/>
          <w:sz w:val="24"/>
          <w:szCs w:val="24"/>
        </w:rPr>
        <w:t xml:space="preserve">However, this single small entity has chosen not to exercise its Amendment 80 eligibility to obtain quota share and is not required to complete the annual Amendment 80 EDR.  </w:t>
      </w:r>
      <w:r>
        <w:rPr>
          <w:rFonts w:ascii="Times New Roman" w:eastAsia="Times New Roman" w:hAnsi="Times New Roman" w:cs="Times New Roman"/>
          <w:sz w:val="24"/>
          <w:szCs w:val="24"/>
        </w:rPr>
        <w:t>All others are cooperative affiliated Amendment 80 large entities.</w:t>
      </w:r>
    </w:p>
    <w:p w:rsidR="008C2E53" w14:paraId="00000061" w14:textId="77777777">
      <w:pPr>
        <w:spacing w:before="0"/>
        <w:rPr>
          <w:rFonts w:ascii="Times New Roman" w:eastAsia="Times New Roman" w:hAnsi="Times New Roman" w:cs="Times New Roman"/>
          <w:sz w:val="24"/>
          <w:szCs w:val="24"/>
        </w:rPr>
      </w:pPr>
    </w:p>
    <w:p w:rsidR="008C2E53" w14:paraId="00000062"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 addition, two of the six Western Alaska Community Development Quota Program entities own harvesting and processing vessels that operate in the Amendment 80 fisheries. Under the RFA, the Western Alaska Community Development Quota groups are considered to be small entities regardless of their revenue. These entities either directly own Amendment 80 trawl catcher/processors or have wholly owned subsidiaries that own Amendment 80 trawl catcher/processors. They may also own a portion of the fishing company th</w:t>
      </w:r>
      <w:r>
        <w:rPr>
          <w:rFonts w:ascii="Times New Roman" w:eastAsia="Times New Roman" w:hAnsi="Times New Roman" w:cs="Times New Roman"/>
          <w:sz w:val="24"/>
          <w:szCs w:val="24"/>
        </w:rPr>
        <w:t>at owns these Amendment 80 trawl catcher/processors. Thus, although they would be considered large via cooperative affiliations, they are specially defined as small under the RFA. Thus, up to two Western Alaska Community Development Quota groups are considered small entities for purposes of the RFA and would fall</w:t>
      </w:r>
      <w:r>
        <w:rPr>
          <w:rFonts w:ascii="Times New Roman" w:eastAsia="Times New Roman" w:hAnsi="Times New Roman" w:cs="Times New Roman"/>
          <w:color w:val="000000"/>
          <w:sz w:val="24"/>
          <w:szCs w:val="24"/>
        </w:rPr>
        <w:t xml:space="preserve"> under this information collection depending on their annual fishing operations.</w:t>
      </w:r>
    </w:p>
    <w:p w:rsidR="008C2E53" w14:paraId="00000063"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64"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attempts to minimize the burden of this collection on all respondents. The online submission system is designed to provide a user-friendly and efficient format to submit the EDR. A toll-free phone number is available for participants to contact Pacific States staff for help or information. </w:t>
      </w:r>
    </w:p>
    <w:p w:rsidR="008C2E53" w14:paraId="00000065" w14:textId="77777777">
      <w:pPr>
        <w:spacing w:before="0"/>
        <w:rPr>
          <w:rFonts w:ascii="Times New Roman" w:eastAsia="Times New Roman" w:hAnsi="Times New Roman" w:cs="Times New Roman"/>
          <w:sz w:val="24"/>
          <w:szCs w:val="24"/>
        </w:rPr>
      </w:pPr>
    </w:p>
    <w:p w:rsidR="008C2E53" w14:paraId="00000067"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68"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8C2E53" w14:paraId="00000069" w14:textId="77777777">
      <w:pPr>
        <w:pBdr>
          <w:top w:val="nil"/>
          <w:left w:val="nil"/>
          <w:bottom w:val="nil"/>
          <w:right w:val="nil"/>
          <w:between w:val="nil"/>
        </w:pBdr>
        <w:tabs>
          <w:tab w:val="left" w:pos="360"/>
        </w:tabs>
        <w:spacing w:before="0"/>
        <w:rPr>
          <w:color w:val="000000"/>
        </w:rPr>
      </w:pPr>
    </w:p>
    <w:p w:rsidR="008C2E53" w14:paraId="0000006A" w14:textId="322CDA5D">
      <w:pPr>
        <w:spacing w:before="0"/>
        <w:rPr>
          <w:rFonts w:ascii="Times New Roman" w:eastAsia="Times New Roman" w:hAnsi="Times New Roman" w:cs="Times New Roman"/>
          <w:sz w:val="24"/>
          <w:szCs w:val="24"/>
        </w:rPr>
      </w:pPr>
      <w:sdt>
        <w:sdtPr>
          <w:tag w:val="goog_rdk_10"/>
          <w:id w:val="1092460357"/>
          <w:richText/>
        </w:sdtPr>
        <w:sdtContent/>
      </w:sdt>
      <w:r w:rsidR="001314F0">
        <w:rPr>
          <w:rFonts w:ascii="Times New Roman" w:eastAsia="Times New Roman" w:hAnsi="Times New Roman" w:cs="Times New Roman"/>
          <w:sz w:val="24"/>
          <w:szCs w:val="24"/>
        </w:rPr>
        <w:t>This information collection is used to assess the impacts of major changes in the groundfish management regime of the Amendment 80 program, including management of prohibited species catch species and target species.</w:t>
      </w:r>
      <w:r w:rsidR="0056135D">
        <w:rPr>
          <w:rFonts w:ascii="Times New Roman" w:eastAsia="Times New Roman" w:hAnsi="Times New Roman" w:cs="Times New Roman"/>
          <w:sz w:val="24"/>
          <w:szCs w:val="24"/>
        </w:rPr>
        <w:t xml:space="preserve"> The most recent </w:t>
      </w:r>
      <w:r w:rsidRPr="00C14FBC" w:rsidR="0056135D">
        <w:rPr>
          <w:rFonts w:ascii="Times New Roman" w:eastAsia="Times New Roman" w:hAnsi="Times New Roman" w:cs="Times New Roman"/>
          <w:sz w:val="24"/>
          <w:szCs w:val="24"/>
        </w:rPr>
        <w:t>Amendment 80 Program Review contained a summary of key metrics of fleet structure, operations, economic performance, and employment and labor earnings based on A80 EDR data.</w:t>
      </w:r>
      <w:r w:rsidR="001314F0">
        <w:rPr>
          <w:rFonts w:ascii="Times New Roman" w:eastAsia="Times New Roman" w:hAnsi="Times New Roman" w:cs="Times New Roman"/>
          <w:sz w:val="24"/>
          <w:szCs w:val="24"/>
        </w:rPr>
        <w:t xml:space="preserve"> Without this data, NMFS staff would be unable </w:t>
      </w:r>
      <w:r w:rsidR="0056135D">
        <w:rPr>
          <w:rFonts w:ascii="Times New Roman" w:eastAsia="Times New Roman" w:hAnsi="Times New Roman" w:cs="Times New Roman"/>
          <w:sz w:val="24"/>
          <w:szCs w:val="24"/>
        </w:rPr>
        <w:t xml:space="preserve">use these data to </w:t>
      </w:r>
      <w:r w:rsidR="001314F0">
        <w:rPr>
          <w:rFonts w:ascii="Times New Roman" w:eastAsia="Times New Roman" w:hAnsi="Times New Roman" w:cs="Times New Roman"/>
          <w:sz w:val="24"/>
          <w:szCs w:val="24"/>
        </w:rPr>
        <w:t>assess the performance of the Amendment 80 trawl catcher/processor fleet under the rationalization program and subsequent changes in fishery management.</w:t>
      </w:r>
    </w:p>
    <w:p w:rsidR="008C2E53" w14:paraId="0000006B" w14:textId="77777777">
      <w:pPr>
        <w:spacing w:before="0"/>
        <w:rPr>
          <w:rFonts w:ascii="Times New Roman" w:eastAsia="Times New Roman" w:hAnsi="Times New Roman" w:cs="Times New Roman"/>
          <w:sz w:val="24"/>
          <w:szCs w:val="24"/>
        </w:rPr>
      </w:pPr>
    </w:p>
    <w:p w:rsidR="008C2E53" w14:paraId="0000006C"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Economists and analysts at the Alaska Fisheries Science Center would not be able to prepare an annual summary report that is included as a chapter to the annual publication </w:t>
      </w:r>
      <w:r>
        <w:rPr>
          <w:rFonts w:ascii="Times New Roman" w:eastAsia="Times New Roman" w:hAnsi="Times New Roman" w:cs="Times New Roman"/>
          <w:i/>
          <w:sz w:val="24"/>
          <w:szCs w:val="24"/>
        </w:rPr>
        <w:t>Economic Status of the Groundfish Fisheries off Alaska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The summary reports statistics that are intended to indicate trends in a variety of economic indicators and metrics. If this collection was not conducted or conducted less frequently these trends could not be tracked or gaps in the trends could result in important changes to the fishery not being detected. </w:t>
      </w:r>
    </w:p>
    <w:p w:rsidR="008C2E53" w14:paraId="0000006D" w14:textId="77777777">
      <w:pPr>
        <w:spacing w:before="0"/>
        <w:rPr>
          <w:rFonts w:ascii="Times New Roman" w:eastAsia="Times New Roman" w:hAnsi="Times New Roman" w:cs="Times New Roman"/>
          <w:sz w:val="24"/>
          <w:szCs w:val="24"/>
        </w:rPr>
      </w:pPr>
    </w:p>
    <w:p w:rsidR="008C2E53" w14:paraId="0000006E"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Magnuson-Stevens Act requires a formal and detailed review of Limited Access Privilege Programs (LAPPs) 5 years after the implementation of the program, and thereafter to coincide with scheduled Council review of the relevant fishery management plan. The Amendment 80 Program 5-year review was completed in 2025 (</w:t>
      </w:r>
      <w:r>
        <w:rPr>
          <w:rFonts w:ascii="Times New Roman" w:eastAsia="Times New Roman" w:hAnsi="Times New Roman" w:cs="Times New Roman"/>
          <w:sz w:val="24"/>
          <w:szCs w:val="24"/>
        </w:rPr>
        <w:t>McCracken and Associates</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The review provides an </w:t>
      </w:r>
      <w:r>
        <w:rPr>
          <w:rFonts w:ascii="Times New Roman" w:eastAsia="Times New Roman" w:hAnsi="Times New Roman" w:cs="Times New Roman"/>
          <w:color w:val="000000"/>
          <w:sz w:val="24"/>
          <w:szCs w:val="24"/>
        </w:rPr>
        <w:t>overview of the EDR data collected and uses the data to summarize expenses and revenues fleet wide. Operating expenses, including payments to labor, are documented and the EDR data is used to develop a cash flow model. Without this information, these elements of the 5-year program reviews would not be available.</w:t>
      </w:r>
    </w:p>
    <w:p w:rsidR="008C2E53" w14:paraId="0000006F"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70"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 staff, NMFS staff, contractors, and academic partners would not be able to use EDR data to develop regulatory action analyses, such as for analyzing crew employment in the 2014 Final Environmental Impact Statement: Steller Sea Lion Protection Measures for Groundfish Fisheries in the Bering Sea and Aleutian Islands Management Area.</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w:t>
      </w:r>
    </w:p>
    <w:p w:rsidR="008C2E53" w14:paraId="00000071"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72" w14:textId="185D4F46">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February 2022, the Council received a Final Review Draft Regulatory Impact Review that was developed following a comprehensive review of the Annual Trawl Catcher/Processor EDR, along with the three other Alaska Region/North Pacific EDR Programs. One of the issues that was addressed in the review of the EDRs is whether annual submission of data by each respondent continues to be necessary to provide the data needed to monitor and evaluate the Alaska groundfish trawl fisheries. An option was specifically c</w:t>
      </w:r>
      <w:r>
        <w:rPr>
          <w:rFonts w:ascii="Times New Roman" w:eastAsia="Times New Roman" w:hAnsi="Times New Roman" w:cs="Times New Roman"/>
          <w:color w:val="000000"/>
          <w:sz w:val="24"/>
          <w:szCs w:val="24"/>
        </w:rPr>
        <w:t>onsidered to change the frequency of the information collection from annually to either every other or every third year. The Council chose to retain annual EDR submission in all remaining EDRs. This decision was influenced by the fact that the agency and contractor infrastructure would likely have to be maintained annually, as would industry bookkeeping practices, resulting in little reduction in either recoverable agency costs or industry compliance costs. Concerns about data quality were also raised in th</w:t>
      </w:r>
      <w:r>
        <w:rPr>
          <w:rFonts w:ascii="Times New Roman" w:eastAsia="Times New Roman" w:hAnsi="Times New Roman" w:cs="Times New Roman"/>
          <w:color w:val="000000"/>
          <w:sz w:val="24"/>
          <w:szCs w:val="24"/>
        </w:rPr>
        <w:t xml:space="preserve">at if an anomalous event occurred in a year when data is not collected the resulting impact to the analyst’s ability to evaluate economic impacts, to both fishery participants and fishery dependent communities would be severely constrained. An apt example of this risk specific to the BSAI crab rationalization program fisheries is the complete closure of the Bristol Bay red king crab fishery in 2022, and a nearly 90 percent reduction in the Bering Sea snow crab catch in 2022–23. Annual crab EDR data will be </w:t>
      </w:r>
      <w:r>
        <w:rPr>
          <w:rFonts w:ascii="Times New Roman" w:eastAsia="Times New Roman" w:hAnsi="Times New Roman" w:cs="Times New Roman"/>
          <w:color w:val="000000"/>
          <w:sz w:val="24"/>
          <w:szCs w:val="24"/>
        </w:rPr>
        <w:t>instrumental in evaluating the overall impacts to participants and communities and in assessing any economic disaster declarations that may occur. Similarly, the Annual Trawl Catcher/Processor EDR will be instrumental in evaluating potential impacts that abundance based management of halibut prohibited species catch may have in the future on the Amendment 80 fleet.</w:t>
      </w:r>
    </w:p>
    <w:p w:rsidR="00960640" w14:paraId="4EB6EBFF" w14:textId="5A887EFC">
      <w:pPr>
        <w:pBdr>
          <w:top w:val="nil"/>
          <w:left w:val="nil"/>
          <w:bottom w:val="nil"/>
          <w:right w:val="nil"/>
          <w:between w:val="nil"/>
        </w:pBdr>
        <w:spacing w:before="0"/>
        <w:rPr>
          <w:rFonts w:ascii="Times New Roman" w:eastAsia="Times New Roman" w:hAnsi="Times New Roman" w:cs="Times New Roman"/>
          <w:color w:val="000000"/>
          <w:sz w:val="24"/>
          <w:szCs w:val="24"/>
        </w:rPr>
      </w:pPr>
    </w:p>
    <w:p w:rsidR="00960640" w14:paraId="417C7239" w14:textId="661B86B2">
      <w:pPr>
        <w:pBdr>
          <w:top w:val="nil"/>
          <w:left w:val="nil"/>
          <w:bottom w:val="nil"/>
          <w:right w:val="nil"/>
          <w:between w:val="nil"/>
        </w:pBdr>
        <w:spacing w:before="0"/>
      </w:pPr>
      <w:r>
        <w:rPr>
          <w:rFonts w:ascii="Times New Roman" w:eastAsia="Times New Roman" w:hAnsi="Times New Roman" w:cs="Times New Roman"/>
          <w:color w:val="000000"/>
          <w:sz w:val="24"/>
          <w:szCs w:val="24"/>
        </w:rPr>
        <w:t xml:space="preserve">The Council is currently considering an action to recommend eliminating EDRs, including the Annual Trawl Catcher/Processor EDR. However, currently regulations at 50 CFR 679.94 require the </w:t>
      </w:r>
      <w:r w:rsidR="003161DE">
        <w:rPr>
          <w:rFonts w:ascii="Times New Roman" w:eastAsia="Times New Roman" w:hAnsi="Times New Roman" w:cs="Times New Roman"/>
          <w:color w:val="000000"/>
          <w:sz w:val="24"/>
          <w:szCs w:val="24"/>
        </w:rPr>
        <w:t xml:space="preserve">submission </w:t>
      </w:r>
      <w:r>
        <w:rPr>
          <w:rFonts w:ascii="Times New Roman" w:eastAsia="Times New Roman" w:hAnsi="Times New Roman" w:cs="Times New Roman"/>
          <w:color w:val="000000"/>
          <w:sz w:val="24"/>
          <w:szCs w:val="24"/>
        </w:rPr>
        <w:t xml:space="preserve">of EDR information. </w:t>
      </w:r>
    </w:p>
    <w:p w:rsidR="008C2E53" w14:paraId="00000073"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74"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Explain any special </w:t>
      </w:r>
      <w:r>
        <w:rPr>
          <w:rFonts w:ascii="Times New Roman" w:eastAsia="Times New Roman" w:hAnsi="Times New Roman" w:cs="Times New Roman"/>
          <w:b/>
          <w:color w:val="000000"/>
          <w:sz w:val="24"/>
          <w:szCs w:val="24"/>
        </w:rPr>
        <w:t>circumstances that would cause an information collection to be conducted in a manner</w:t>
      </w:r>
      <w:r>
        <w:t xml:space="preserve"> </w:t>
      </w:r>
      <w:r>
        <w:rPr>
          <w:rFonts w:ascii="Times New Roman" w:eastAsia="Times New Roman" w:hAnsi="Times New Roman" w:cs="Times New Roman"/>
          <w:b/>
          <w:color w:val="000000"/>
          <w:sz w:val="24"/>
          <w:szCs w:val="24"/>
        </w:rPr>
        <w:t>inconsistent with OMB guidelines.</w:t>
      </w:r>
    </w:p>
    <w:p w:rsidR="008C2E53" w14:paraId="00000075" w14:textId="77777777">
      <w:pPr>
        <w:pBdr>
          <w:top w:val="nil"/>
          <w:left w:val="nil"/>
          <w:bottom w:val="nil"/>
          <w:right w:val="nil"/>
          <w:between w:val="nil"/>
        </w:pBdr>
        <w:spacing w:before="0"/>
        <w:ind w:left="720"/>
        <w:rPr>
          <w:rFonts w:ascii="Times New Roman" w:eastAsia="Times New Roman" w:hAnsi="Times New Roman" w:cs="Times New Roman"/>
          <w:b/>
          <w:color w:val="000000"/>
          <w:sz w:val="24"/>
          <w:szCs w:val="24"/>
        </w:rPr>
      </w:pPr>
    </w:p>
    <w:p w:rsidR="008C2E53" w14:paraId="00000076" w14:textId="77777777">
      <w:pP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collection is conducted in a manner consistent with OMB guidelines.</w:t>
      </w:r>
    </w:p>
    <w:p w:rsidR="008C2E53" w14:paraId="00000077" w14:textId="77777777">
      <w:pPr>
        <w:spacing w:before="0"/>
        <w:rPr>
          <w:rFonts w:ascii="Times New Roman" w:eastAsia="Times New Roman" w:hAnsi="Times New Roman" w:cs="Times New Roman"/>
          <w:sz w:val="24"/>
          <w:szCs w:val="24"/>
        </w:rPr>
      </w:pPr>
    </w:p>
    <w:p w:rsidR="008C2E53" w14:paraId="00000078"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2E53" w14:paraId="00000079" w14:textId="77777777">
      <w:pPr>
        <w:pBdr>
          <w:top w:val="nil"/>
          <w:left w:val="nil"/>
          <w:bottom w:val="nil"/>
          <w:right w:val="nil"/>
          <w:between w:val="nil"/>
        </w:pBdr>
        <w:spacing w:before="0"/>
        <w:rPr>
          <w:rFonts w:ascii="Times New Roman" w:eastAsia="Times New Roman" w:hAnsi="Times New Roman" w:cs="Times New Roman"/>
          <w:color w:val="2F5496"/>
          <w:sz w:val="24"/>
          <w:szCs w:val="24"/>
        </w:rPr>
      </w:pPr>
    </w:p>
    <w:p w:rsidR="00943DD2" w:rsidRPr="00C14FBC" w14:paraId="36C34881" w14:textId="1A371BBD">
      <w:pPr>
        <w:widowControl w:val="0"/>
        <w:spacing w:befor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 Federal Register notice published on </w:t>
      </w:r>
      <w:r w:rsidR="00C14FBC">
        <w:rPr>
          <w:rFonts w:ascii="Times New Roman" w:eastAsia="Times New Roman" w:hAnsi="Times New Roman" w:cs="Times New Roman"/>
          <w:sz w:val="24"/>
          <w:szCs w:val="24"/>
        </w:rPr>
        <w:t>July 11, 2025</w:t>
      </w:r>
      <w:r>
        <w:rPr>
          <w:rFonts w:ascii="Times New Roman" w:eastAsia="Times New Roman" w:hAnsi="Times New Roman" w:cs="Times New Roman"/>
          <w:sz w:val="24"/>
          <w:szCs w:val="24"/>
        </w:rPr>
        <w:t xml:space="preserve"> (90 FR 30883) solicited public comment</w:t>
      </w:r>
      <w:r w:rsidRPr="0056135D">
        <w:rPr>
          <w:rFonts w:ascii="Times New Roman" w:eastAsia="Times New Roman" w:hAnsi="Times New Roman" w:cs="Times New Roman"/>
          <w:sz w:val="24"/>
          <w:szCs w:val="24"/>
        </w:rPr>
        <w:t xml:space="preserve">. </w:t>
      </w:r>
      <w:r w:rsidRPr="00DA4F2E">
        <w:rPr>
          <w:rFonts w:ascii="Times New Roman" w:eastAsia="Times New Roman" w:hAnsi="Times New Roman" w:cs="Times New Roman"/>
          <w:color w:val="000000"/>
          <w:sz w:val="24"/>
          <w:szCs w:val="24"/>
        </w:rPr>
        <w:t xml:space="preserve">The Federal Register notice </w:t>
      </w:r>
      <w:r w:rsidRPr="00DA4F2E">
        <w:rPr>
          <w:rFonts w:ascii="Times New Roman" w:eastAsia="Times New Roman" w:hAnsi="Times New Roman" w:cs="Times New Roman"/>
          <w:color w:val="000000"/>
          <w:sz w:val="24"/>
          <w:szCs w:val="24"/>
        </w:rPr>
        <w:t>requested that commenters (a) Evaluate whether the proposed information collection is necessary for the proper functions of the Department, including whether the information will have practical utility; (b) Evaluate the accuracy of our estimate of the time and cost burden for this proposed collection, including the validity of the methodology and assumptions used; (c) Evaluate ways to enhance the quality, utility, and clarity of the information to be collected; and (d) Minimize the reporting burden on those</w:t>
      </w:r>
      <w:r w:rsidRPr="00DA4F2E">
        <w:rPr>
          <w:rFonts w:ascii="Times New Roman" w:eastAsia="Times New Roman" w:hAnsi="Times New Roman" w:cs="Times New Roman"/>
          <w:color w:val="000000"/>
          <w:sz w:val="24"/>
          <w:szCs w:val="24"/>
        </w:rPr>
        <w:t xml:space="preserve"> who are to respond, including the use of automated collection techniques or other forms of information technology.</w:t>
      </w:r>
    </w:p>
    <w:p w:rsidR="00943DD2" w14:paraId="1E8FDB6E" w14:textId="77777777">
      <w:pPr>
        <w:widowControl w:val="0"/>
        <w:spacing w:before="0"/>
        <w:rPr>
          <w:rFonts w:ascii="Times New Roman" w:eastAsia="Times New Roman" w:hAnsi="Times New Roman" w:cs="Times New Roman"/>
          <w:sz w:val="24"/>
          <w:szCs w:val="24"/>
        </w:rPr>
      </w:pPr>
    </w:p>
    <w:p w:rsidR="008C2E53" w14:paraId="0000007B" w14:textId="26610357">
      <w:pPr>
        <w:widowControl w:val="0"/>
        <w:spacing w:before="0"/>
        <w:rPr>
          <w:rFonts w:ascii="Times New Roman" w:eastAsia="Times New Roman" w:hAnsi="Times New Roman" w:cs="Times New Roman"/>
          <w:sz w:val="24"/>
          <w:szCs w:val="24"/>
        </w:rPr>
      </w:pPr>
      <w:r w:rsidRPr="00C14FBC">
        <w:rPr>
          <w:rFonts w:ascii="Times New Roman" w:eastAsia="Times New Roman" w:hAnsi="Times New Roman" w:cs="Times New Roman"/>
          <w:sz w:val="24"/>
          <w:szCs w:val="24"/>
        </w:rPr>
        <w:t xml:space="preserve">One </w:t>
      </w:r>
      <w:r w:rsidRPr="00C14FBC" w:rsidR="001314F0">
        <w:rPr>
          <w:rFonts w:ascii="Times New Roman" w:eastAsia="Times New Roman" w:hAnsi="Times New Roman" w:cs="Times New Roman"/>
          <w:sz w:val="24"/>
          <w:szCs w:val="24"/>
        </w:rPr>
        <w:t>comment</w:t>
      </w:r>
      <w:r w:rsidRPr="00C14FBC">
        <w:rPr>
          <w:rFonts w:ascii="Times New Roman" w:eastAsia="Times New Roman" w:hAnsi="Times New Roman" w:cs="Times New Roman"/>
          <w:sz w:val="24"/>
          <w:szCs w:val="24"/>
        </w:rPr>
        <w:t xml:space="preserve"> </w:t>
      </w:r>
      <w:r w:rsidRPr="00DE3C00" w:rsidR="00DE3C00">
        <w:rPr>
          <w:rFonts w:ascii="Times New Roman" w:eastAsia="Times New Roman" w:hAnsi="Times New Roman" w:cs="Times New Roman"/>
          <w:sz w:val="24"/>
          <w:szCs w:val="24"/>
        </w:rPr>
        <w:t>letter</w:t>
      </w:r>
      <w:r w:rsidRPr="00C14FBC">
        <w:rPr>
          <w:rFonts w:ascii="Times New Roman" w:eastAsia="Times New Roman" w:hAnsi="Times New Roman" w:cs="Times New Roman"/>
          <w:sz w:val="24"/>
          <w:szCs w:val="24"/>
        </w:rPr>
        <w:t xml:space="preserve"> was received from an industry representative.  A summary of this comment letter and responses are included below.  </w:t>
      </w:r>
    </w:p>
    <w:p w:rsidR="008C2E53" w:rsidRPr="00C14FBC" w14:paraId="0000007D" w14:textId="5CD1EB2F">
      <w:pPr>
        <w:widowControl w:val="0"/>
        <w:spacing w:before="161"/>
        <w:rPr>
          <w:rFonts w:ascii="Times New Roman" w:eastAsia="Times New Roman" w:hAnsi="Times New Roman" w:cs="Times New Roman"/>
          <w:sz w:val="24"/>
          <w:szCs w:val="24"/>
        </w:rPr>
      </w:pPr>
      <w:r w:rsidRPr="00C14FBC">
        <w:rPr>
          <w:rFonts w:ascii="Times New Roman" w:eastAsia="Times New Roman" w:hAnsi="Times New Roman" w:cs="Times New Roman"/>
          <w:sz w:val="24"/>
          <w:szCs w:val="24"/>
        </w:rPr>
        <w:t>NOAA consulted</w:t>
      </w:r>
      <w:r w:rsidRPr="00C14FBC" w:rsidR="0056135D">
        <w:rPr>
          <w:rFonts w:ascii="Times New Roman" w:eastAsia="Times New Roman" w:hAnsi="Times New Roman" w:cs="Times New Roman"/>
          <w:sz w:val="24"/>
          <w:szCs w:val="24"/>
        </w:rPr>
        <w:t>, via email,</w:t>
      </w:r>
      <w:r w:rsidRPr="00C14FBC">
        <w:rPr>
          <w:rFonts w:ascii="Times New Roman" w:eastAsia="Times New Roman" w:hAnsi="Times New Roman" w:cs="Times New Roman"/>
          <w:sz w:val="24"/>
          <w:szCs w:val="24"/>
        </w:rPr>
        <w:t xml:space="preserve"> with </w:t>
      </w:r>
      <w:r w:rsidRPr="00C14FBC" w:rsidR="0056135D">
        <w:rPr>
          <w:rFonts w:ascii="Times New Roman" w:eastAsia="Times New Roman" w:hAnsi="Times New Roman" w:cs="Times New Roman"/>
          <w:sz w:val="24"/>
          <w:szCs w:val="24"/>
        </w:rPr>
        <w:t>all five entities that own Amendment 80 groundfish trawl License Limitation Permits</w:t>
      </w:r>
      <w:r w:rsidRPr="00C14FBC">
        <w:rPr>
          <w:rFonts w:ascii="Times New Roman" w:eastAsia="Times New Roman" w:hAnsi="Times New Roman" w:cs="Times New Roman"/>
          <w:sz w:val="24"/>
          <w:szCs w:val="24"/>
        </w:rPr>
        <w:t xml:space="preserve"> to obtain their views</w:t>
      </w:r>
      <w:r w:rsidRPr="006D0F60" w:rsidR="00943DD2">
        <w:rPr>
          <w:rFonts w:ascii="Times New Roman" w:eastAsia="Times New Roman" w:hAnsi="Times New Roman" w:cs="Times New Roman"/>
          <w:sz w:val="24"/>
          <w:szCs w:val="24"/>
        </w:rPr>
        <w:t xml:space="preserve"> on</w:t>
      </w:r>
      <w:r w:rsidRPr="00C14FBC">
        <w:rPr>
          <w:rFonts w:ascii="Times New Roman" w:eastAsia="Times New Roman" w:hAnsi="Times New Roman" w:cs="Times New Roman"/>
          <w:sz w:val="24"/>
          <w:szCs w:val="24"/>
        </w:rPr>
        <w:t xml:space="preserve"> </w:t>
      </w:r>
      <w:r w:rsidRPr="00C14FBC" w:rsidR="00943DD2">
        <w:rPr>
          <w:rFonts w:ascii="Times New Roman" w:eastAsia="Times New Roman" w:hAnsi="Times New Roman" w:cs="Times New Roman"/>
          <w:sz w:val="24"/>
          <w:szCs w:val="24"/>
        </w:rPr>
        <w:t>the accuracy of the burden estimate (time and cost) to comply with program requirements and whether there are paths to minimize the burden of these requirements, or any other aspect of these requirements.</w:t>
      </w:r>
      <w:r w:rsidRPr="00C14FBC" w:rsidR="0056135D">
        <w:rPr>
          <w:rFonts w:ascii="Times New Roman" w:eastAsia="Times New Roman" w:hAnsi="Times New Roman" w:cs="Times New Roman"/>
          <w:sz w:val="24"/>
          <w:szCs w:val="24"/>
        </w:rPr>
        <w:t xml:space="preserve"> </w:t>
      </w:r>
    </w:p>
    <w:p w:rsidR="008C2E53" w:rsidRPr="002B3D8B" w14:paraId="0000007E" w14:textId="77777777">
      <w:pPr>
        <w:widowControl w:val="0"/>
        <w:spacing w:before="0"/>
        <w:rPr>
          <w:rFonts w:ascii="Times New Roman" w:eastAsia="Times New Roman" w:hAnsi="Times New Roman" w:cs="Times New Roman"/>
          <w:sz w:val="24"/>
          <w:szCs w:val="24"/>
        </w:rPr>
      </w:pPr>
      <w:r w:rsidRPr="006D0F60">
        <w:rPr>
          <w:rFonts w:ascii="Times New Roman" w:eastAsia="Times New Roman" w:hAnsi="Times New Roman" w:cs="Times New Roman"/>
          <w:sz w:val="24"/>
          <w:szCs w:val="24"/>
        </w:rPr>
        <w:t xml:space="preserve"> </w:t>
      </w:r>
    </w:p>
    <w:p w:rsidR="006D0F60" w:rsidP="006D0F60" w14:paraId="5562964E" w14:textId="106C8644">
      <w:pPr>
        <w:autoSpaceDE w:val="0"/>
        <w:autoSpaceDN w:val="0"/>
        <w:adjustRightInd w:val="0"/>
        <w:spacing w:before="0"/>
        <w:rPr>
          <w:rFonts w:ascii="TimesNewRomanPSMT" w:hAnsi="TimesNewRomanPSMT" w:cs="TimesNewRomanPSMT"/>
          <w:sz w:val="24"/>
          <w:szCs w:val="24"/>
        </w:rPr>
      </w:pPr>
      <w:r>
        <w:rPr>
          <w:rFonts w:ascii="Times New Roman" w:eastAsia="Times New Roman" w:hAnsi="Times New Roman" w:cs="Times New Roman"/>
          <w:sz w:val="24"/>
          <w:szCs w:val="24"/>
        </w:rPr>
        <w:t xml:space="preserve">Comment 1:  The information collection is not necessary for proper fisheries management, and this collection should not be renewed because </w:t>
      </w:r>
      <w:r w:rsidR="00C52B3C">
        <w:rPr>
          <w:rFonts w:ascii="Times New Roman" w:eastAsia="Times New Roman" w:hAnsi="Times New Roman" w:cs="Times New Roman"/>
          <w:sz w:val="24"/>
          <w:szCs w:val="24"/>
        </w:rPr>
        <w:t xml:space="preserve">the North Pacific Fisheries Management Council (Council) </w:t>
      </w:r>
      <w:r>
        <w:rPr>
          <w:rFonts w:ascii="Times New Roman" w:eastAsia="Times New Roman" w:hAnsi="Times New Roman" w:cs="Times New Roman"/>
          <w:sz w:val="24"/>
          <w:szCs w:val="24"/>
        </w:rPr>
        <w:t xml:space="preserve">is considering an action that would eliminate the collection. </w:t>
      </w:r>
      <w:r>
        <w:rPr>
          <w:rFonts w:ascii="TimesNewRomanPSMT" w:hAnsi="TimesNewRomanPSMT" w:cs="TimesNewRomanPSMT"/>
          <w:sz w:val="24"/>
          <w:szCs w:val="24"/>
        </w:rPr>
        <w:t xml:space="preserve">Maintaining and approving an information collection that is anticipated for removal imposes additional and unnecessary costs. </w:t>
      </w:r>
    </w:p>
    <w:p w:rsidR="00A22B2B" w:rsidP="00A22B2B" w14:paraId="35BDA516" w14:textId="47731E8C">
      <w:pPr>
        <w:autoSpaceDE w:val="0"/>
        <w:autoSpaceDN w:val="0"/>
        <w:adjustRightInd w:val="0"/>
        <w:spacing w:before="0"/>
        <w:rPr>
          <w:rFonts w:ascii="Times New Roman" w:eastAsia="Times New Roman" w:hAnsi="Times New Roman" w:cs="Times New Roman"/>
          <w:sz w:val="24"/>
          <w:szCs w:val="24"/>
        </w:rPr>
      </w:pPr>
    </w:p>
    <w:p w:rsidR="00A22B2B" w:rsidP="00A22B2B" w14:paraId="2667CDBB" w14:textId="01899198">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r w:rsidR="00987968">
        <w:rPr>
          <w:rFonts w:ascii="Times New Roman" w:eastAsia="Times New Roman" w:hAnsi="Times New Roman" w:cs="Times New Roman"/>
          <w:sz w:val="24"/>
          <w:szCs w:val="24"/>
        </w:rPr>
        <w:t xml:space="preserve">The Council and NMFS established the EDR program to meet a specific purpose and need statements that differ substantially from one another.  Further, the Council and NMFS fully vetted issues of equity when considering how to revise the EDR collections with Amendment 52 in 2023. At that time, the Council and NMFS evaluated whether the four different EDR programs implemented in fisheries off Alaska were meeting their intended purpose and need.  At that time, the Council and NMFS determined that the remaining information collections have practical utility and chose to retain them, including the Annual Groundfish Trawl EDR information collection. </w:t>
      </w:r>
      <w:r w:rsidR="006D0F60">
        <w:rPr>
          <w:rFonts w:ascii="Times New Roman" w:eastAsia="Times New Roman" w:hAnsi="Times New Roman" w:cs="Times New Roman"/>
          <w:sz w:val="24"/>
          <w:szCs w:val="24"/>
        </w:rPr>
        <w:t xml:space="preserve">NMFS </w:t>
      </w:r>
      <w:r>
        <w:rPr>
          <w:rFonts w:ascii="Times New Roman" w:eastAsia="Times New Roman" w:hAnsi="Times New Roman" w:cs="Times New Roman"/>
          <w:sz w:val="24"/>
          <w:szCs w:val="24"/>
        </w:rPr>
        <w:t xml:space="preserve">is aware </w:t>
      </w:r>
      <w:r w:rsidR="006D0F60">
        <w:rPr>
          <w:rFonts w:ascii="Times New Roman" w:eastAsia="Times New Roman" w:hAnsi="Times New Roman" w:cs="Times New Roman"/>
          <w:sz w:val="24"/>
          <w:szCs w:val="24"/>
        </w:rPr>
        <w:t xml:space="preserve">that the Council is considering making a recommendation </w:t>
      </w:r>
      <w:r>
        <w:rPr>
          <w:rFonts w:ascii="Times New Roman" w:eastAsia="Times New Roman" w:hAnsi="Times New Roman" w:cs="Times New Roman"/>
          <w:sz w:val="24"/>
          <w:szCs w:val="24"/>
        </w:rPr>
        <w:t xml:space="preserve">to remove the EDR program; however, </w:t>
      </w:r>
      <w:r w:rsidR="006D0F60">
        <w:rPr>
          <w:rFonts w:ascii="Times New Roman" w:eastAsia="Times New Roman" w:hAnsi="Times New Roman" w:cs="Times New Roman"/>
          <w:sz w:val="24"/>
          <w:szCs w:val="24"/>
        </w:rPr>
        <w:t>the regulations implementing the EDR program remain in effect and have not been removed or invalidated</w:t>
      </w:r>
      <w:r>
        <w:rPr>
          <w:rFonts w:ascii="Times New Roman" w:eastAsia="Times New Roman" w:hAnsi="Times New Roman" w:cs="Times New Roman"/>
          <w:sz w:val="24"/>
          <w:szCs w:val="24"/>
        </w:rPr>
        <w:t xml:space="preserve">. </w:t>
      </w:r>
      <w:r w:rsidR="006D0F60">
        <w:rPr>
          <w:rFonts w:ascii="Times New Roman" w:eastAsia="Times New Roman" w:hAnsi="Times New Roman" w:cs="Times New Roman"/>
          <w:sz w:val="24"/>
          <w:szCs w:val="24"/>
        </w:rPr>
        <w:t>While the regulations remain in effect, NMFS must implement the program and seek r</w:t>
      </w:r>
      <w:r>
        <w:rPr>
          <w:rFonts w:ascii="Times New Roman" w:eastAsia="Times New Roman" w:hAnsi="Times New Roman" w:cs="Times New Roman"/>
          <w:sz w:val="24"/>
          <w:szCs w:val="24"/>
        </w:rPr>
        <w:t>enew</w:t>
      </w:r>
      <w:r w:rsidR="006D0F60">
        <w:rPr>
          <w:rFonts w:ascii="Times New Roman" w:eastAsia="Times New Roman" w:hAnsi="Times New Roman" w:cs="Times New Roman"/>
          <w:sz w:val="24"/>
          <w:szCs w:val="24"/>
        </w:rPr>
        <w:t>al of</w:t>
      </w:r>
      <w:r>
        <w:rPr>
          <w:rFonts w:ascii="Times New Roman" w:eastAsia="Times New Roman" w:hAnsi="Times New Roman" w:cs="Times New Roman"/>
          <w:sz w:val="24"/>
          <w:szCs w:val="24"/>
        </w:rPr>
        <w:t xml:space="preserve"> the information collection </w:t>
      </w:r>
      <w:r w:rsidR="006D0F60">
        <w:rPr>
          <w:rFonts w:ascii="Times New Roman" w:eastAsia="Times New Roman" w:hAnsi="Times New Roman" w:cs="Times New Roman"/>
          <w:sz w:val="24"/>
          <w:szCs w:val="24"/>
        </w:rPr>
        <w:t>under the PRA.</w:t>
      </w:r>
      <w:r>
        <w:rPr>
          <w:rFonts w:ascii="Times New Roman" w:eastAsia="Times New Roman" w:hAnsi="Times New Roman" w:cs="Times New Roman"/>
          <w:sz w:val="24"/>
          <w:szCs w:val="24"/>
        </w:rPr>
        <w:t xml:space="preserve"> If the Council </w:t>
      </w:r>
      <w:r w:rsidR="006D0F60">
        <w:rPr>
          <w:rFonts w:ascii="Times New Roman" w:eastAsia="Times New Roman" w:hAnsi="Times New Roman" w:cs="Times New Roman"/>
          <w:sz w:val="24"/>
          <w:szCs w:val="24"/>
        </w:rPr>
        <w:t xml:space="preserve">recommends removal of the EDR program, NMFS </w:t>
      </w:r>
      <w:r>
        <w:rPr>
          <w:rFonts w:ascii="Times New Roman" w:eastAsia="Times New Roman" w:hAnsi="Times New Roman" w:cs="Times New Roman"/>
          <w:sz w:val="24"/>
          <w:szCs w:val="24"/>
        </w:rPr>
        <w:t xml:space="preserve">will take the necessary steps to </w:t>
      </w:r>
      <w:r w:rsidR="006D0F60">
        <w:rPr>
          <w:rFonts w:ascii="Times New Roman" w:eastAsia="Times New Roman" w:hAnsi="Times New Roman" w:cs="Times New Roman"/>
          <w:sz w:val="24"/>
          <w:szCs w:val="24"/>
        </w:rPr>
        <w:t xml:space="preserve">review the Council’s recommendation and revise applicable regulations in compliance with all applicable laws. </w:t>
      </w:r>
    </w:p>
    <w:p w:rsidR="00A22B2B" w:rsidP="00A22B2B" w14:paraId="5ED7DEE9" w14:textId="1A8F805D">
      <w:pPr>
        <w:autoSpaceDE w:val="0"/>
        <w:autoSpaceDN w:val="0"/>
        <w:adjustRightInd w:val="0"/>
        <w:spacing w:before="0"/>
        <w:rPr>
          <w:rFonts w:ascii="Times New Roman" w:eastAsia="Times New Roman" w:hAnsi="Times New Roman" w:cs="Times New Roman"/>
          <w:sz w:val="24"/>
          <w:szCs w:val="24"/>
        </w:rPr>
      </w:pPr>
    </w:p>
    <w:p w:rsidR="00A22B2B" w:rsidP="00A22B2B" w14:paraId="0E3C42F5" w14:textId="6AD34799">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2:  </w:t>
      </w:r>
      <w:r w:rsidR="006D0F60">
        <w:rPr>
          <w:rFonts w:ascii="Times New Roman" w:eastAsia="Times New Roman" w:hAnsi="Times New Roman" w:cs="Times New Roman"/>
          <w:sz w:val="24"/>
          <w:szCs w:val="24"/>
        </w:rPr>
        <w:t xml:space="preserve">It is not fair to require Amendment 80 fishery participants comply with the EDR program when other </w:t>
      </w:r>
      <w:r w:rsidR="00210F02">
        <w:rPr>
          <w:rFonts w:ascii="Times New Roman" w:eastAsia="Times New Roman" w:hAnsi="Times New Roman" w:cs="Times New Roman"/>
          <w:sz w:val="24"/>
          <w:szCs w:val="24"/>
        </w:rPr>
        <w:t xml:space="preserve">Alaska </w:t>
      </w:r>
      <w:r w:rsidR="006D0F60">
        <w:rPr>
          <w:rFonts w:ascii="Times New Roman" w:eastAsia="Times New Roman" w:hAnsi="Times New Roman" w:cs="Times New Roman"/>
          <w:sz w:val="24"/>
          <w:szCs w:val="24"/>
        </w:rPr>
        <w:t xml:space="preserve">fisheries </w:t>
      </w:r>
      <w:r w:rsidR="00210F02">
        <w:rPr>
          <w:rFonts w:ascii="Times New Roman" w:eastAsia="Times New Roman" w:hAnsi="Times New Roman" w:cs="Times New Roman"/>
          <w:sz w:val="24"/>
          <w:szCs w:val="24"/>
        </w:rPr>
        <w:t xml:space="preserve">and fisheries </w:t>
      </w:r>
      <w:r w:rsidR="006D0F60">
        <w:rPr>
          <w:rFonts w:ascii="Times New Roman" w:eastAsia="Times New Roman" w:hAnsi="Times New Roman" w:cs="Times New Roman"/>
          <w:sz w:val="24"/>
          <w:szCs w:val="24"/>
        </w:rPr>
        <w:t xml:space="preserve">managed by other regions are not also required to comply with similar </w:t>
      </w:r>
      <w:r w:rsidR="00210F02">
        <w:rPr>
          <w:rFonts w:ascii="Times New Roman" w:eastAsia="Times New Roman" w:hAnsi="Times New Roman" w:cs="Times New Roman"/>
          <w:sz w:val="24"/>
          <w:szCs w:val="24"/>
        </w:rPr>
        <w:t xml:space="preserve">data collection </w:t>
      </w:r>
      <w:r w:rsidR="006D0F60">
        <w:rPr>
          <w:rFonts w:ascii="Times New Roman" w:eastAsia="Times New Roman" w:hAnsi="Times New Roman" w:cs="Times New Roman"/>
          <w:sz w:val="24"/>
          <w:szCs w:val="24"/>
        </w:rPr>
        <w:t>program</w:t>
      </w:r>
      <w:r w:rsidR="00210F02">
        <w:rPr>
          <w:rFonts w:ascii="Times New Roman" w:eastAsia="Times New Roman" w:hAnsi="Times New Roman" w:cs="Times New Roman"/>
          <w:sz w:val="24"/>
          <w:szCs w:val="24"/>
        </w:rPr>
        <w:t xml:space="preserve">s. The EDR program </w:t>
      </w:r>
      <w:r w:rsidR="006D7865">
        <w:rPr>
          <w:rFonts w:ascii="Times New Roman" w:eastAsia="Times New Roman" w:hAnsi="Times New Roman" w:cs="Times New Roman"/>
          <w:sz w:val="24"/>
          <w:szCs w:val="24"/>
        </w:rPr>
        <w:t>does not have practical utility.</w:t>
      </w:r>
    </w:p>
    <w:p w:rsidR="006D7865" w:rsidP="00A22B2B" w14:paraId="50015AEB" w14:textId="5F09D365">
      <w:pPr>
        <w:autoSpaceDE w:val="0"/>
        <w:autoSpaceDN w:val="0"/>
        <w:adjustRightInd w:val="0"/>
        <w:spacing w:before="0"/>
        <w:rPr>
          <w:rFonts w:ascii="Times New Roman" w:eastAsia="Times New Roman" w:hAnsi="Times New Roman" w:cs="Times New Roman"/>
          <w:sz w:val="24"/>
          <w:szCs w:val="24"/>
        </w:rPr>
      </w:pPr>
    </w:p>
    <w:p w:rsidR="00A22B2B" w:rsidP="006D7865" w14:paraId="3A20DA6B" w14:textId="298EEDCD">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r w:rsidR="00210F02">
        <w:rPr>
          <w:rFonts w:ascii="Times New Roman" w:eastAsia="Times New Roman" w:hAnsi="Times New Roman" w:cs="Times New Roman"/>
          <w:sz w:val="24"/>
          <w:szCs w:val="24"/>
        </w:rPr>
        <w:t xml:space="preserve">The Council and NMFS established the EDR program </w:t>
      </w:r>
      <w:r>
        <w:rPr>
          <w:rFonts w:ascii="Times New Roman" w:eastAsia="Times New Roman" w:hAnsi="Times New Roman" w:cs="Times New Roman"/>
          <w:sz w:val="24"/>
          <w:szCs w:val="24"/>
        </w:rPr>
        <w:t xml:space="preserve">to meet </w:t>
      </w:r>
      <w:r w:rsidR="00210F0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specific purpose and need statements that differ substantially from one another.  Further, the Council </w:t>
      </w:r>
      <w:r w:rsidR="00210F02">
        <w:rPr>
          <w:rFonts w:ascii="Times New Roman" w:eastAsia="Times New Roman" w:hAnsi="Times New Roman" w:cs="Times New Roman"/>
          <w:sz w:val="24"/>
          <w:szCs w:val="24"/>
        </w:rPr>
        <w:t xml:space="preserve">and NMFS </w:t>
      </w:r>
      <w:r>
        <w:rPr>
          <w:rFonts w:ascii="Times New Roman" w:eastAsia="Times New Roman" w:hAnsi="Times New Roman" w:cs="Times New Roman"/>
          <w:sz w:val="24"/>
          <w:szCs w:val="24"/>
        </w:rPr>
        <w:t xml:space="preserve">fully vetted issues of equity when considering how to revise the EDR collections with Amendment 52 in 2023. At that time, the Council </w:t>
      </w:r>
      <w:r w:rsidR="00210F02">
        <w:rPr>
          <w:rFonts w:ascii="Times New Roman" w:eastAsia="Times New Roman" w:hAnsi="Times New Roman" w:cs="Times New Roman"/>
          <w:sz w:val="24"/>
          <w:szCs w:val="24"/>
        </w:rPr>
        <w:t xml:space="preserve">and NMFS evaluated whether the four different EDR programs implemented in fisheries off Alaska were meeting their intended </w:t>
      </w:r>
      <w:r>
        <w:rPr>
          <w:rFonts w:ascii="Times New Roman" w:eastAsia="Times New Roman" w:hAnsi="Times New Roman" w:cs="Times New Roman"/>
          <w:sz w:val="24"/>
          <w:szCs w:val="24"/>
        </w:rPr>
        <w:t xml:space="preserve">purpose and need.  </w:t>
      </w:r>
      <w:r w:rsidR="00210F02">
        <w:rPr>
          <w:rFonts w:ascii="Times New Roman" w:eastAsia="Times New Roman" w:hAnsi="Times New Roman" w:cs="Times New Roman"/>
          <w:sz w:val="24"/>
          <w:szCs w:val="24"/>
        </w:rPr>
        <w:t xml:space="preserve">At that time, </w:t>
      </w:r>
      <w:r>
        <w:rPr>
          <w:rFonts w:ascii="Times New Roman" w:eastAsia="Times New Roman" w:hAnsi="Times New Roman" w:cs="Times New Roman"/>
          <w:sz w:val="24"/>
          <w:szCs w:val="24"/>
        </w:rPr>
        <w:t xml:space="preserve">the Council </w:t>
      </w:r>
      <w:r w:rsidR="00210F02">
        <w:rPr>
          <w:rFonts w:ascii="Times New Roman" w:eastAsia="Times New Roman" w:hAnsi="Times New Roman" w:cs="Times New Roman"/>
          <w:sz w:val="24"/>
          <w:szCs w:val="24"/>
        </w:rPr>
        <w:t xml:space="preserve">and NMFS </w:t>
      </w:r>
      <w:r>
        <w:rPr>
          <w:rFonts w:ascii="Times New Roman" w:eastAsia="Times New Roman" w:hAnsi="Times New Roman" w:cs="Times New Roman"/>
          <w:sz w:val="24"/>
          <w:szCs w:val="24"/>
        </w:rPr>
        <w:t xml:space="preserve">determined that the remaining </w:t>
      </w:r>
      <w:r>
        <w:rPr>
          <w:rFonts w:ascii="Times New Roman" w:eastAsia="Times New Roman" w:hAnsi="Times New Roman" w:cs="Times New Roman"/>
          <w:sz w:val="24"/>
          <w:szCs w:val="24"/>
        </w:rPr>
        <w:t>information collections have practical utility and chose to retain them, including the Annual Groundfish Trawl EDR information collection.</w:t>
      </w:r>
    </w:p>
    <w:p w:rsidR="006D7865" w:rsidP="006D7865" w14:paraId="5D98A17F" w14:textId="437877DA">
      <w:pPr>
        <w:autoSpaceDE w:val="0"/>
        <w:autoSpaceDN w:val="0"/>
        <w:adjustRightInd w:val="0"/>
        <w:spacing w:before="0"/>
        <w:rPr>
          <w:rFonts w:ascii="Times New Roman" w:eastAsia="Times New Roman" w:hAnsi="Times New Roman" w:cs="Times New Roman"/>
          <w:sz w:val="24"/>
          <w:szCs w:val="24"/>
        </w:rPr>
      </w:pPr>
    </w:p>
    <w:p w:rsidR="006D7865" w:rsidP="006D7865" w14:paraId="7F9AC38D" w14:textId="10FFD7E8">
      <w:pPr>
        <w:autoSpaceDE w:val="0"/>
        <w:autoSpaceDN w:val="0"/>
        <w:adjustRightInd w:val="0"/>
        <w:spacing w:before="0"/>
        <w:rPr>
          <w:rFonts w:ascii="TimesNewRomanPSMT" w:hAnsi="TimesNewRomanPSMT" w:cs="TimesNewRomanPSMT"/>
          <w:sz w:val="24"/>
          <w:szCs w:val="24"/>
        </w:rPr>
      </w:pPr>
      <w:r>
        <w:rPr>
          <w:rFonts w:ascii="Times New Roman" w:eastAsia="Times New Roman" w:hAnsi="Times New Roman" w:cs="Times New Roman"/>
          <w:sz w:val="24"/>
          <w:szCs w:val="24"/>
        </w:rPr>
        <w:t xml:space="preserve">Comment 3:  </w:t>
      </w:r>
      <w:r w:rsidR="00210F02">
        <w:rPr>
          <w:rFonts w:ascii="Times New Roman" w:eastAsia="Times New Roman" w:hAnsi="Times New Roman" w:cs="Times New Roman"/>
          <w:sz w:val="24"/>
          <w:szCs w:val="24"/>
        </w:rPr>
        <w:t xml:space="preserve">Maintaining </w:t>
      </w:r>
      <w:r w:rsidR="00210F02">
        <w:rPr>
          <w:rFonts w:ascii="TimesNewRomanPSMT" w:hAnsi="TimesNewRomanPSMT" w:cs="TimesNewRomanPSMT"/>
          <w:sz w:val="24"/>
          <w:szCs w:val="24"/>
        </w:rPr>
        <w:t>t</w:t>
      </w:r>
      <w:r>
        <w:rPr>
          <w:rFonts w:ascii="TimesNewRomanPSMT" w:hAnsi="TimesNewRomanPSMT" w:cs="TimesNewRomanPSMT"/>
          <w:sz w:val="24"/>
          <w:szCs w:val="24"/>
        </w:rPr>
        <w:t xml:space="preserve">he EDR </w:t>
      </w:r>
      <w:r w:rsidR="00210F02">
        <w:rPr>
          <w:rFonts w:ascii="TimesNewRomanPSMT" w:hAnsi="TimesNewRomanPSMT" w:cs="TimesNewRomanPSMT"/>
          <w:sz w:val="24"/>
          <w:szCs w:val="24"/>
        </w:rPr>
        <w:t xml:space="preserve">program </w:t>
      </w:r>
      <w:r>
        <w:rPr>
          <w:rFonts w:ascii="TimesNewRomanPSMT" w:hAnsi="TimesNewRomanPSMT" w:cs="TimesNewRomanPSMT"/>
          <w:sz w:val="24"/>
          <w:szCs w:val="24"/>
        </w:rPr>
        <w:t>does not align with Executive Order 14276. Executive Order 14276</w:t>
      </w:r>
      <w:r w:rsidR="00210F02">
        <w:rPr>
          <w:rFonts w:ascii="TimesNewRomanPSMT" w:hAnsi="TimesNewRomanPSMT" w:cs="TimesNewRomanPSMT"/>
          <w:sz w:val="24"/>
          <w:szCs w:val="24"/>
        </w:rPr>
        <w:t xml:space="preserve"> </w:t>
      </w:r>
      <w:r>
        <w:rPr>
          <w:rFonts w:ascii="TimesNewRomanPSMT" w:hAnsi="TimesNewRomanPSMT" w:cs="TimesNewRomanPSMT"/>
          <w:sz w:val="24"/>
          <w:szCs w:val="24"/>
        </w:rPr>
        <w:t>directs federal agencies to reduce unnecessary regulatory burdens on U.S. fisheries and promote</w:t>
      </w:r>
      <w:r w:rsidR="00C14FBC">
        <w:rPr>
          <w:rFonts w:ascii="TimesNewRomanPSMT" w:hAnsi="TimesNewRomanPSMT" w:cs="TimesNewRomanPSMT"/>
          <w:sz w:val="24"/>
          <w:szCs w:val="24"/>
        </w:rPr>
        <w:t xml:space="preserve"> </w:t>
      </w:r>
      <w:r>
        <w:rPr>
          <w:rFonts w:ascii="TimesNewRomanPSMT" w:hAnsi="TimesNewRomanPSMT" w:cs="TimesNewRomanPSMT"/>
          <w:sz w:val="24"/>
          <w:szCs w:val="24"/>
        </w:rPr>
        <w:t>domestic seafood production. The Order explicitly calls on the Secretary of Commerce and the</w:t>
      </w:r>
      <w:r w:rsidR="007120C0">
        <w:rPr>
          <w:rFonts w:ascii="TimesNewRomanPSMT" w:hAnsi="TimesNewRomanPSMT" w:cs="TimesNewRomanPSMT"/>
          <w:sz w:val="24"/>
          <w:szCs w:val="24"/>
        </w:rPr>
        <w:t xml:space="preserve"> </w:t>
      </w:r>
      <w:r>
        <w:rPr>
          <w:rFonts w:ascii="TimesNewRomanPSMT" w:hAnsi="TimesNewRomanPSMT" w:cs="TimesNewRomanPSMT"/>
          <w:sz w:val="24"/>
          <w:szCs w:val="24"/>
        </w:rPr>
        <w:t>Regional Fishery Management Councils to identify overregulated fisheries and eliminate</w:t>
      </w:r>
      <w:r w:rsidR="007120C0">
        <w:rPr>
          <w:rFonts w:ascii="TimesNewRomanPSMT" w:hAnsi="TimesNewRomanPSMT" w:cs="TimesNewRomanPSMT"/>
          <w:sz w:val="24"/>
          <w:szCs w:val="24"/>
        </w:rPr>
        <w:t xml:space="preserve"> </w:t>
      </w:r>
      <w:r>
        <w:rPr>
          <w:rFonts w:ascii="TimesNewRomanPSMT" w:hAnsi="TimesNewRomanPSMT" w:cs="TimesNewRomanPSMT"/>
          <w:sz w:val="24"/>
          <w:szCs w:val="24"/>
        </w:rPr>
        <w:t>requirements that unnecessarily constrain American fishermen. The EDR program exemplifies</w:t>
      </w:r>
      <w:r w:rsidR="007120C0">
        <w:rPr>
          <w:rFonts w:ascii="TimesNewRomanPSMT" w:hAnsi="TimesNewRomanPSMT" w:cs="TimesNewRomanPSMT"/>
          <w:sz w:val="24"/>
          <w:szCs w:val="24"/>
        </w:rPr>
        <w:t xml:space="preserve"> </w:t>
      </w:r>
      <w:r>
        <w:rPr>
          <w:rFonts w:ascii="TimesNewRomanPSMT" w:hAnsi="TimesNewRomanPSMT" w:cs="TimesNewRomanPSMT"/>
          <w:sz w:val="24"/>
          <w:szCs w:val="24"/>
        </w:rPr>
        <w:t>such a burden. It consumes resources that could be redirected toward productive fishing</w:t>
      </w:r>
      <w:r w:rsidR="007120C0">
        <w:rPr>
          <w:rFonts w:ascii="TimesNewRomanPSMT" w:hAnsi="TimesNewRomanPSMT" w:cs="TimesNewRomanPSMT"/>
          <w:sz w:val="24"/>
          <w:szCs w:val="24"/>
        </w:rPr>
        <w:t xml:space="preserve"> </w:t>
      </w:r>
      <w:r>
        <w:rPr>
          <w:rFonts w:ascii="TimesNewRomanPSMT" w:hAnsi="TimesNewRomanPSMT" w:cs="TimesNewRomanPSMT"/>
          <w:sz w:val="24"/>
          <w:szCs w:val="24"/>
        </w:rPr>
        <w:t>activities, job support, and operational efficiency. Moreover, continuing to mandate EDR</w:t>
      </w:r>
      <w:r w:rsidR="007120C0">
        <w:rPr>
          <w:rFonts w:ascii="TimesNewRomanPSMT" w:hAnsi="TimesNewRomanPSMT" w:cs="TimesNewRomanPSMT"/>
          <w:sz w:val="24"/>
          <w:szCs w:val="24"/>
        </w:rPr>
        <w:t xml:space="preserve"> </w:t>
      </w:r>
      <w:r>
        <w:rPr>
          <w:rFonts w:ascii="TimesNewRomanPSMT" w:hAnsi="TimesNewRomanPSMT" w:cs="TimesNewRomanPSMT"/>
          <w:sz w:val="24"/>
          <w:szCs w:val="24"/>
        </w:rPr>
        <w:t>submissions undermines the intent of EO 14276 to “unburden our commercial fishermen from</w:t>
      </w:r>
      <w:r w:rsidR="007120C0">
        <w:rPr>
          <w:rFonts w:ascii="TimesNewRomanPSMT" w:hAnsi="TimesNewRomanPSMT" w:cs="TimesNewRomanPSMT"/>
          <w:sz w:val="24"/>
          <w:szCs w:val="24"/>
        </w:rPr>
        <w:t xml:space="preserve"> </w:t>
      </w:r>
      <w:r>
        <w:rPr>
          <w:rFonts w:ascii="TimesNewRomanPSMT" w:hAnsi="TimesNewRomanPSMT" w:cs="TimesNewRomanPSMT"/>
          <w:sz w:val="24"/>
          <w:szCs w:val="24"/>
        </w:rPr>
        <w:t>costly and inefficient regulation” and to “increase production.”</w:t>
      </w:r>
    </w:p>
    <w:p w:rsidR="006D7865" w:rsidP="006D7865" w14:paraId="3CEA76EA" w14:textId="09E0BBF6">
      <w:pPr>
        <w:autoSpaceDE w:val="0"/>
        <w:autoSpaceDN w:val="0"/>
        <w:adjustRightInd w:val="0"/>
        <w:spacing w:before="0"/>
        <w:rPr>
          <w:rFonts w:ascii="TimesNewRomanPSMT" w:hAnsi="TimesNewRomanPSMT" w:cs="TimesNewRomanPSMT"/>
          <w:sz w:val="24"/>
          <w:szCs w:val="24"/>
        </w:rPr>
      </w:pPr>
    </w:p>
    <w:p w:rsidR="006D7865" w:rsidP="006D7865" w14:paraId="0D9794C0" w14:textId="71BC7545">
      <w:pPr>
        <w:autoSpaceDE w:val="0"/>
        <w:autoSpaceDN w:val="0"/>
        <w:adjustRightInd w:val="0"/>
        <w:spacing w:before="0"/>
        <w:rPr>
          <w:rFonts w:ascii="Times New Roman" w:eastAsia="Times New Roman" w:hAnsi="Times New Roman" w:cs="Times New Roman"/>
          <w:sz w:val="24"/>
          <w:szCs w:val="24"/>
        </w:rPr>
      </w:pPr>
      <w:r>
        <w:rPr>
          <w:rFonts w:ascii="TimesNewRomanPSMT" w:hAnsi="TimesNewRomanPSMT" w:cs="TimesNewRomanPSMT"/>
          <w:sz w:val="24"/>
          <w:szCs w:val="24"/>
        </w:rPr>
        <w:t xml:space="preserve">Response:  </w:t>
      </w:r>
      <w:r w:rsidR="002D424B">
        <w:rPr>
          <w:rFonts w:ascii="TimesNewRomanPSMT" w:hAnsi="TimesNewRomanPSMT" w:cs="TimesNewRomanPSMT"/>
          <w:sz w:val="24"/>
          <w:szCs w:val="24"/>
        </w:rPr>
        <w:t xml:space="preserve">As the commenter has indicated the Council </w:t>
      </w:r>
      <w:r w:rsidR="00210F02">
        <w:rPr>
          <w:rFonts w:ascii="TimesNewRomanPSMT" w:hAnsi="TimesNewRomanPSMT" w:cs="TimesNewRomanPSMT"/>
          <w:sz w:val="24"/>
          <w:szCs w:val="24"/>
        </w:rPr>
        <w:t xml:space="preserve">and NMFS are </w:t>
      </w:r>
      <w:r w:rsidR="002D424B">
        <w:rPr>
          <w:rFonts w:ascii="TimesNewRomanPSMT" w:hAnsi="TimesNewRomanPSMT" w:cs="TimesNewRomanPSMT"/>
          <w:sz w:val="24"/>
          <w:szCs w:val="24"/>
        </w:rPr>
        <w:t xml:space="preserve">undertaking a process to consider eliminating the EDR Program. However, as indicated in the response to comment 1, </w:t>
      </w:r>
      <w:r w:rsidR="000F03D6">
        <w:rPr>
          <w:rFonts w:ascii="TimesNewRomanPSMT" w:hAnsi="TimesNewRomanPSMT" w:cs="TimesNewRomanPSMT"/>
          <w:sz w:val="24"/>
          <w:szCs w:val="24"/>
        </w:rPr>
        <w:t xml:space="preserve">NMFS must comply with all applicable laws </w:t>
      </w:r>
      <w:r w:rsidR="002D424B">
        <w:rPr>
          <w:rFonts w:ascii="TimesNewRomanPSMT" w:hAnsi="TimesNewRomanPSMT" w:cs="TimesNewRomanPSMT"/>
          <w:sz w:val="24"/>
          <w:szCs w:val="24"/>
        </w:rPr>
        <w:t xml:space="preserve">to discontinue the EDR </w:t>
      </w:r>
      <w:r w:rsidR="000F03D6">
        <w:rPr>
          <w:rFonts w:ascii="TimesNewRomanPSMT" w:hAnsi="TimesNewRomanPSMT" w:cs="TimesNewRomanPSMT"/>
          <w:sz w:val="24"/>
          <w:szCs w:val="24"/>
        </w:rPr>
        <w:t xml:space="preserve">program, including providing opportunity for notice and comments and </w:t>
      </w:r>
      <w:r w:rsidR="002D424B">
        <w:rPr>
          <w:rFonts w:ascii="TimesNewRomanPSMT" w:hAnsi="TimesNewRomanPSMT" w:cs="TimesNewRomanPSMT"/>
          <w:sz w:val="24"/>
          <w:szCs w:val="24"/>
        </w:rPr>
        <w:t xml:space="preserve">analysis of </w:t>
      </w:r>
      <w:r w:rsidR="000F03D6">
        <w:rPr>
          <w:rFonts w:ascii="TimesNewRomanPSMT" w:hAnsi="TimesNewRomanPSMT" w:cs="TimesNewRomanPSMT"/>
          <w:sz w:val="24"/>
          <w:szCs w:val="24"/>
        </w:rPr>
        <w:t xml:space="preserve">potential </w:t>
      </w:r>
      <w:r w:rsidR="002D424B">
        <w:rPr>
          <w:rFonts w:ascii="TimesNewRomanPSMT" w:hAnsi="TimesNewRomanPSMT" w:cs="TimesNewRomanPSMT"/>
          <w:sz w:val="24"/>
          <w:szCs w:val="24"/>
        </w:rPr>
        <w:t xml:space="preserve">regulatory impacts.  </w:t>
      </w:r>
      <w:r w:rsidR="00F82085">
        <w:rPr>
          <w:rFonts w:ascii="TimesNewRomanPSMT" w:hAnsi="TimesNewRomanPSMT" w:cs="TimesNewRomanPSMT"/>
          <w:sz w:val="24"/>
          <w:szCs w:val="24"/>
        </w:rPr>
        <w:t>NMFS</w:t>
      </w:r>
      <w:r w:rsidR="002D424B">
        <w:rPr>
          <w:rFonts w:ascii="TimesNewRomanPSMT" w:hAnsi="TimesNewRomanPSMT" w:cs="TimesNewRomanPSMT"/>
          <w:sz w:val="24"/>
          <w:szCs w:val="24"/>
        </w:rPr>
        <w:t xml:space="preserve"> </w:t>
      </w:r>
      <w:r w:rsidR="000F03D6">
        <w:rPr>
          <w:rFonts w:ascii="TimesNewRomanPSMT" w:hAnsi="TimesNewRomanPSMT" w:cs="TimesNewRomanPSMT"/>
          <w:sz w:val="24"/>
          <w:szCs w:val="24"/>
        </w:rPr>
        <w:t>will comply with procedures to</w:t>
      </w:r>
      <w:r w:rsidR="002D424B">
        <w:rPr>
          <w:rFonts w:ascii="TimesNewRomanPSMT" w:hAnsi="TimesNewRomanPSMT" w:cs="TimesNewRomanPSMT"/>
          <w:sz w:val="24"/>
          <w:szCs w:val="24"/>
        </w:rPr>
        <w:t xml:space="preserve"> </w:t>
      </w:r>
      <w:r w:rsidR="000F03D6">
        <w:rPr>
          <w:rFonts w:ascii="TimesNewRomanPSMT" w:hAnsi="TimesNewRomanPSMT" w:cs="TimesNewRomanPSMT"/>
          <w:sz w:val="24"/>
          <w:szCs w:val="24"/>
        </w:rPr>
        <w:t xml:space="preserve">seek approval from OMB to </w:t>
      </w:r>
      <w:r w:rsidR="002D424B">
        <w:rPr>
          <w:rFonts w:ascii="TimesNewRomanPSMT" w:hAnsi="TimesNewRomanPSMT" w:cs="TimesNewRomanPSMT"/>
          <w:sz w:val="24"/>
          <w:szCs w:val="24"/>
        </w:rPr>
        <w:t xml:space="preserve">renew this information collection until such time as a final rule amending or eliminating the EDR Program is published.    </w:t>
      </w:r>
    </w:p>
    <w:p w:rsidR="006D7865" w:rsidP="006D7865" w14:paraId="77DEF7B2" w14:textId="2D42C295">
      <w:pPr>
        <w:autoSpaceDE w:val="0"/>
        <w:autoSpaceDN w:val="0"/>
        <w:adjustRightInd w:val="0"/>
        <w:spacing w:before="0"/>
        <w:rPr>
          <w:rFonts w:ascii="Times New Roman" w:eastAsia="Times New Roman" w:hAnsi="Times New Roman" w:cs="Times New Roman"/>
          <w:sz w:val="24"/>
          <w:szCs w:val="24"/>
        </w:rPr>
      </w:pPr>
    </w:p>
    <w:p w:rsidR="002D424B" w:rsidP="006D7865" w14:paraId="752FABDC" w14:textId="6840C747">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4:  The burden hour estimate </w:t>
      </w:r>
      <w:r w:rsidR="00DA4F2E">
        <w:rPr>
          <w:rFonts w:ascii="Times New Roman" w:eastAsia="Times New Roman" w:hAnsi="Times New Roman" w:cs="Times New Roman"/>
          <w:sz w:val="24"/>
          <w:szCs w:val="24"/>
        </w:rPr>
        <w:t>of 20</w:t>
      </w:r>
      <w:r>
        <w:rPr>
          <w:rFonts w:ascii="Times New Roman" w:eastAsia="Times New Roman" w:hAnsi="Times New Roman" w:cs="Times New Roman"/>
          <w:sz w:val="24"/>
          <w:szCs w:val="24"/>
        </w:rPr>
        <w:t xml:space="preserve"> hours per response is half of what is actually needed to maintain annual records and complete the EDR submission.</w:t>
      </w:r>
    </w:p>
    <w:p w:rsidR="002D424B" w:rsidP="006D7865" w14:paraId="4C275E0B" w14:textId="1D4F9A60">
      <w:pPr>
        <w:autoSpaceDE w:val="0"/>
        <w:autoSpaceDN w:val="0"/>
        <w:adjustRightInd w:val="0"/>
        <w:spacing w:before="0"/>
        <w:rPr>
          <w:rFonts w:ascii="Times New Roman" w:eastAsia="Times New Roman" w:hAnsi="Times New Roman" w:cs="Times New Roman"/>
          <w:sz w:val="24"/>
          <w:szCs w:val="24"/>
        </w:rPr>
      </w:pPr>
    </w:p>
    <w:p w:rsidR="002D424B" w:rsidP="006D7865" w14:paraId="11E20834" w14:textId="594AA2DB">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The burden hour estimate has been adjusted in this supporting statement to reflect this comment</w:t>
      </w:r>
      <w:r w:rsidR="000F03D6">
        <w:rPr>
          <w:rFonts w:ascii="Times New Roman" w:eastAsia="Times New Roman" w:hAnsi="Times New Roman" w:cs="Times New Roman"/>
          <w:sz w:val="24"/>
          <w:szCs w:val="24"/>
        </w:rPr>
        <w:t>.</w:t>
      </w:r>
    </w:p>
    <w:p w:rsidR="002D424B" w:rsidP="006D7865" w14:paraId="6BCAFF07" w14:textId="65A6AB3F">
      <w:pPr>
        <w:autoSpaceDE w:val="0"/>
        <w:autoSpaceDN w:val="0"/>
        <w:adjustRightInd w:val="0"/>
        <w:spacing w:before="0"/>
        <w:rPr>
          <w:rFonts w:ascii="Times New Roman" w:eastAsia="Times New Roman" w:hAnsi="Times New Roman" w:cs="Times New Roman"/>
          <w:sz w:val="24"/>
          <w:szCs w:val="24"/>
        </w:rPr>
      </w:pPr>
    </w:p>
    <w:p w:rsidR="002D424B" w:rsidP="006D7865" w14:paraId="46048BE5" w14:textId="16A3A909">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Comment</w:t>
      </w:r>
      <w:r w:rsidR="000C1B85">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The </w:t>
      </w:r>
      <w:r w:rsidR="002B3D8B">
        <w:rPr>
          <w:rFonts w:ascii="Times New Roman" w:eastAsia="Times New Roman" w:hAnsi="Times New Roman" w:cs="Times New Roman"/>
          <w:sz w:val="24"/>
          <w:szCs w:val="24"/>
        </w:rPr>
        <w:t xml:space="preserve">$110 </w:t>
      </w:r>
      <w:r>
        <w:rPr>
          <w:rFonts w:ascii="Times New Roman" w:eastAsia="Times New Roman" w:hAnsi="Times New Roman" w:cs="Times New Roman"/>
          <w:sz w:val="24"/>
          <w:szCs w:val="24"/>
        </w:rPr>
        <w:t>cost estimate underestimate costs</w:t>
      </w:r>
      <w:r w:rsidR="002B3D8B">
        <w:rPr>
          <w:rFonts w:ascii="Times New Roman" w:eastAsia="Times New Roman" w:hAnsi="Times New Roman" w:cs="Times New Roman"/>
          <w:sz w:val="24"/>
          <w:szCs w:val="24"/>
        </w:rPr>
        <w:t xml:space="preserve"> to individual participants because it does not account for costs billed to fishery participants under the cost recovery provision</w:t>
      </w:r>
      <w:r>
        <w:rPr>
          <w:rFonts w:ascii="Times New Roman" w:eastAsia="Times New Roman" w:hAnsi="Times New Roman" w:cs="Times New Roman"/>
          <w:sz w:val="24"/>
          <w:szCs w:val="24"/>
        </w:rPr>
        <w:t xml:space="preserve">.  </w:t>
      </w:r>
    </w:p>
    <w:p w:rsidR="002D424B" w:rsidP="006D7865" w14:paraId="7C9B9183" w14:textId="772A4F9D">
      <w:pPr>
        <w:autoSpaceDE w:val="0"/>
        <w:autoSpaceDN w:val="0"/>
        <w:adjustRightInd w:val="0"/>
        <w:spacing w:before="0"/>
        <w:rPr>
          <w:rFonts w:ascii="Times New Roman" w:eastAsia="Times New Roman" w:hAnsi="Times New Roman" w:cs="Times New Roman"/>
          <w:sz w:val="24"/>
          <w:szCs w:val="24"/>
        </w:rPr>
      </w:pPr>
    </w:p>
    <w:p w:rsidR="002D424B" w:rsidP="006D7865" w14:paraId="2D3D3226" w14:textId="1309794B">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The </w:t>
      </w:r>
      <w:r w:rsidR="002B3D8B">
        <w:rPr>
          <w:rFonts w:ascii="Times New Roman" w:eastAsia="Times New Roman" w:hAnsi="Times New Roman" w:cs="Times New Roman"/>
          <w:sz w:val="24"/>
          <w:szCs w:val="24"/>
        </w:rPr>
        <w:t xml:space="preserve">$110 </w:t>
      </w:r>
      <w:r>
        <w:rPr>
          <w:rFonts w:ascii="Times New Roman" w:eastAsia="Times New Roman" w:hAnsi="Times New Roman" w:cs="Times New Roman"/>
          <w:sz w:val="24"/>
          <w:szCs w:val="24"/>
        </w:rPr>
        <w:t>cost estimate</w:t>
      </w:r>
      <w:r w:rsidR="002B3D8B">
        <w:rPr>
          <w:rFonts w:ascii="Times New Roman" w:eastAsia="Times New Roman" w:hAnsi="Times New Roman" w:cs="Times New Roman"/>
          <w:sz w:val="24"/>
          <w:szCs w:val="24"/>
        </w:rPr>
        <w:t xml:space="preserve"> estimates the </w:t>
      </w:r>
      <w:r w:rsidR="00457673">
        <w:rPr>
          <w:rFonts w:ascii="Times New Roman" w:eastAsia="Times New Roman" w:hAnsi="Times New Roman" w:cs="Times New Roman"/>
          <w:sz w:val="24"/>
          <w:szCs w:val="24"/>
        </w:rPr>
        <w:t>miscellaneous</w:t>
      </w:r>
      <w:r w:rsidR="002B3D8B">
        <w:rPr>
          <w:rFonts w:ascii="Times New Roman" w:eastAsia="Times New Roman" w:hAnsi="Times New Roman" w:cs="Times New Roman"/>
          <w:sz w:val="24"/>
          <w:szCs w:val="24"/>
        </w:rPr>
        <w:t xml:space="preserve"> costs to fishery participants for submission of the information under this collection. </w:t>
      </w:r>
      <w:r>
        <w:rPr>
          <w:rFonts w:ascii="Times New Roman" w:eastAsia="Times New Roman" w:hAnsi="Times New Roman" w:cs="Times New Roman"/>
          <w:sz w:val="24"/>
          <w:szCs w:val="24"/>
        </w:rPr>
        <w:t xml:space="preserve"> </w:t>
      </w:r>
      <w:r w:rsidR="00457673">
        <w:rPr>
          <w:rFonts w:ascii="Times New Roman" w:eastAsia="Times New Roman" w:hAnsi="Times New Roman" w:cs="Times New Roman"/>
          <w:sz w:val="24"/>
          <w:szCs w:val="24"/>
        </w:rPr>
        <w:t>Burden hour estimates and Bureau of Labor Statistics wage rates are used to estimate labor costs separately from miscellaneous costs.  C</w:t>
      </w:r>
      <w:r>
        <w:rPr>
          <w:rFonts w:ascii="Times New Roman" w:eastAsia="Times New Roman" w:hAnsi="Times New Roman" w:cs="Times New Roman"/>
          <w:sz w:val="24"/>
          <w:szCs w:val="24"/>
        </w:rPr>
        <w:t xml:space="preserve">ontractor cost </w:t>
      </w:r>
      <w:r w:rsidR="00457673">
        <w:rPr>
          <w:rFonts w:ascii="Times New Roman" w:eastAsia="Times New Roman" w:hAnsi="Times New Roman" w:cs="Times New Roman"/>
          <w:sz w:val="24"/>
          <w:szCs w:val="24"/>
        </w:rPr>
        <w:t>and agency labor cost identified</w:t>
      </w:r>
      <w:r>
        <w:rPr>
          <w:rFonts w:ascii="Times New Roman" w:eastAsia="Times New Roman" w:hAnsi="Times New Roman" w:cs="Times New Roman"/>
          <w:sz w:val="24"/>
          <w:szCs w:val="24"/>
        </w:rPr>
        <w:t xml:space="preserve"> in this supporting statement </w:t>
      </w:r>
      <w:r w:rsidR="00987968">
        <w:rPr>
          <w:rFonts w:ascii="Times New Roman" w:eastAsia="Times New Roman" w:hAnsi="Times New Roman" w:cs="Times New Roman"/>
          <w:sz w:val="24"/>
          <w:szCs w:val="24"/>
        </w:rPr>
        <w:t xml:space="preserve">part 14 </w:t>
      </w:r>
      <w:r>
        <w:rPr>
          <w:rFonts w:ascii="Times New Roman" w:eastAsia="Times New Roman" w:hAnsi="Times New Roman" w:cs="Times New Roman"/>
          <w:sz w:val="24"/>
          <w:szCs w:val="24"/>
        </w:rPr>
        <w:t>are actual costs for the information collection and are obtained from budgeted staff costs and actual grants to the Pacific States Marine Fisheries Commissi</w:t>
      </w:r>
      <w:r>
        <w:rPr>
          <w:rFonts w:ascii="Times New Roman" w:eastAsia="Times New Roman" w:hAnsi="Times New Roman" w:cs="Times New Roman"/>
          <w:sz w:val="24"/>
          <w:szCs w:val="24"/>
        </w:rPr>
        <w:t>on.</w:t>
      </w:r>
      <w:r w:rsidR="00987968">
        <w:rPr>
          <w:rFonts w:ascii="Times New Roman" w:eastAsia="Times New Roman" w:hAnsi="Times New Roman" w:cs="Times New Roman"/>
          <w:sz w:val="24"/>
          <w:szCs w:val="24"/>
        </w:rPr>
        <w:t xml:space="preserve"> Note that NMFS does not use General Services wage scales identified in the comment and part 14 of this supporting statement identifies the wage rate of a ZP-3 step 3 with the percentage of time allocated to estimate agency labor cost.</w:t>
      </w:r>
      <w:r>
        <w:rPr>
          <w:rFonts w:ascii="Times New Roman" w:eastAsia="Times New Roman" w:hAnsi="Times New Roman" w:cs="Times New Roman"/>
          <w:sz w:val="24"/>
          <w:szCs w:val="24"/>
        </w:rPr>
        <w:t xml:space="preserve">  </w:t>
      </w:r>
      <w:r w:rsidR="000C1B85">
        <w:rPr>
          <w:rFonts w:ascii="Times New Roman" w:eastAsia="Times New Roman" w:hAnsi="Times New Roman" w:cs="Times New Roman"/>
          <w:sz w:val="24"/>
          <w:szCs w:val="24"/>
        </w:rPr>
        <w:t xml:space="preserve">The supporting statement also acknowledges that these </w:t>
      </w:r>
      <w:r w:rsidR="00457673">
        <w:rPr>
          <w:rFonts w:ascii="Times New Roman" w:eastAsia="Times New Roman" w:hAnsi="Times New Roman" w:cs="Times New Roman"/>
          <w:sz w:val="24"/>
          <w:szCs w:val="24"/>
        </w:rPr>
        <w:t xml:space="preserve">contractor and agency labor </w:t>
      </w:r>
      <w:r w:rsidR="000C1B85">
        <w:rPr>
          <w:rFonts w:ascii="Times New Roman" w:eastAsia="Times New Roman" w:hAnsi="Times New Roman" w:cs="Times New Roman"/>
          <w:sz w:val="24"/>
          <w:szCs w:val="24"/>
        </w:rPr>
        <w:t>costs are subject to industry paid cost recovery</w:t>
      </w:r>
      <w:r w:rsidR="00457673">
        <w:rPr>
          <w:rFonts w:ascii="Times New Roman" w:eastAsia="Times New Roman" w:hAnsi="Times New Roman" w:cs="Times New Roman"/>
          <w:sz w:val="24"/>
          <w:szCs w:val="24"/>
        </w:rPr>
        <w:t>; however, the labor costs are respondent costs that are documented to show the respondent labor cost burden of this information collection.</w:t>
      </w:r>
    </w:p>
    <w:p w:rsidR="000C1B85" w:rsidP="006D7865" w14:paraId="3EF45627" w14:textId="3E99F7BA">
      <w:pPr>
        <w:autoSpaceDE w:val="0"/>
        <w:autoSpaceDN w:val="0"/>
        <w:adjustRightInd w:val="0"/>
        <w:spacing w:before="0"/>
        <w:rPr>
          <w:rFonts w:ascii="Times New Roman" w:eastAsia="Times New Roman" w:hAnsi="Times New Roman" w:cs="Times New Roman"/>
          <w:sz w:val="24"/>
          <w:szCs w:val="24"/>
        </w:rPr>
      </w:pPr>
    </w:p>
    <w:p w:rsidR="000C1B85" w:rsidP="006D7865" w14:paraId="33C16114" w14:textId="3724A809">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6:  The clearest way to enhance quality and utility is to </w:t>
      </w:r>
      <w:r w:rsidR="002B3D8B">
        <w:rPr>
          <w:rFonts w:ascii="Times New Roman" w:eastAsia="Times New Roman" w:hAnsi="Times New Roman" w:cs="Times New Roman"/>
          <w:sz w:val="24"/>
          <w:szCs w:val="24"/>
        </w:rPr>
        <w:t xml:space="preserve">stop collecting information under the EDR program. </w:t>
      </w:r>
    </w:p>
    <w:p w:rsidR="000C1B85" w:rsidP="006D7865" w14:paraId="0BE4BF0C" w14:textId="21320D9F">
      <w:pPr>
        <w:autoSpaceDE w:val="0"/>
        <w:autoSpaceDN w:val="0"/>
        <w:adjustRightInd w:val="0"/>
        <w:spacing w:before="0"/>
        <w:rPr>
          <w:rFonts w:ascii="Times New Roman" w:eastAsia="Times New Roman" w:hAnsi="Times New Roman" w:cs="Times New Roman"/>
          <w:sz w:val="24"/>
          <w:szCs w:val="24"/>
        </w:rPr>
      </w:pPr>
    </w:p>
    <w:p w:rsidR="000C1B85" w:rsidP="006D7865" w14:paraId="18413FDE" w14:textId="683B609E">
      <w:pPr>
        <w:autoSpaceDE w:val="0"/>
        <w:autoSpaceDN w:val="0"/>
        <w:adjustRightInd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r w:rsidR="00DA4F2E">
        <w:rPr>
          <w:rFonts w:ascii="TimesNewRomanPSMT" w:hAnsi="TimesNewRomanPSMT" w:cs="TimesNewRomanPSMT"/>
          <w:sz w:val="24"/>
          <w:szCs w:val="24"/>
        </w:rPr>
        <w:t xml:space="preserve">However, as indicated in the response to comment 1, NMFS must comply with all applicable laws to discontinue the EDR program, including providing opportunity for notice and comments and analysis of potential regulatory impacts.  </w:t>
      </w:r>
      <w:r w:rsidR="00457673">
        <w:rPr>
          <w:rFonts w:ascii="TimesNewRomanPSMT" w:hAnsi="TimesNewRomanPSMT" w:cs="TimesNewRomanPSMT"/>
          <w:sz w:val="24"/>
          <w:szCs w:val="24"/>
        </w:rPr>
        <w:t>NMFS</w:t>
      </w:r>
      <w:r w:rsidR="00DA4F2E">
        <w:rPr>
          <w:rFonts w:ascii="TimesNewRomanPSMT" w:hAnsi="TimesNewRomanPSMT" w:cs="TimesNewRomanPSMT"/>
          <w:sz w:val="24"/>
          <w:szCs w:val="24"/>
        </w:rPr>
        <w:t xml:space="preserve"> will comply with procedures to seek approval from OMB to renew this information collection until such time as a final rule amending or eliminating the EDR Program is published.</w:t>
      </w:r>
      <w:r>
        <w:rPr>
          <w:rFonts w:ascii="Times New Roman" w:eastAsia="Times New Roman" w:hAnsi="Times New Roman" w:cs="Times New Roman"/>
          <w:sz w:val="24"/>
          <w:szCs w:val="24"/>
        </w:rPr>
        <w:t xml:space="preserve"> NOAA Fisheries is statutorily required to renew this information collection until such time as Counci</w:t>
      </w:r>
      <w:r>
        <w:rPr>
          <w:rFonts w:ascii="Times New Roman" w:eastAsia="Times New Roman" w:hAnsi="Times New Roman" w:cs="Times New Roman"/>
          <w:sz w:val="24"/>
          <w:szCs w:val="24"/>
        </w:rPr>
        <w:t xml:space="preserve">l action and proposed and final rules are published.  </w:t>
      </w:r>
    </w:p>
    <w:p w:rsidR="000C1B85" w:rsidP="006D7865" w14:paraId="300DB80C" w14:textId="195A8385">
      <w:pPr>
        <w:autoSpaceDE w:val="0"/>
        <w:autoSpaceDN w:val="0"/>
        <w:adjustRightInd w:val="0"/>
        <w:spacing w:before="0"/>
        <w:rPr>
          <w:rFonts w:ascii="Times New Roman" w:eastAsia="Times New Roman" w:hAnsi="Times New Roman" w:cs="Times New Roman"/>
          <w:sz w:val="24"/>
          <w:szCs w:val="24"/>
        </w:rPr>
      </w:pPr>
    </w:p>
    <w:p w:rsidR="000C1B85" w:rsidP="000C1B85" w14:paraId="40745304" w14:textId="192FFA07">
      <w:pPr>
        <w:autoSpaceDE w:val="0"/>
        <w:autoSpaceDN w:val="0"/>
        <w:adjustRightInd w:val="0"/>
        <w:spacing w:before="0"/>
        <w:rPr>
          <w:rFonts w:ascii="TimesNewRomanPSMT" w:hAnsi="TimesNewRomanPSMT" w:cs="TimesNewRomanPSMT"/>
          <w:sz w:val="24"/>
          <w:szCs w:val="24"/>
        </w:rPr>
      </w:pPr>
      <w:r>
        <w:rPr>
          <w:rFonts w:ascii="Times New Roman" w:eastAsia="Times New Roman" w:hAnsi="Times New Roman" w:cs="Times New Roman"/>
          <w:sz w:val="24"/>
          <w:szCs w:val="24"/>
        </w:rPr>
        <w:t xml:space="preserve">Comment 7:  </w:t>
      </w:r>
      <w:r>
        <w:rPr>
          <w:rFonts w:ascii="TimesNewRomanPSMT" w:hAnsi="TimesNewRomanPSMT" w:cs="TimesNewRomanPSMT"/>
          <w:sz w:val="24"/>
          <w:szCs w:val="24"/>
        </w:rPr>
        <w:t>The most effective way to minimize the reporting burden is to disapprove this collection of EDR information.</w:t>
      </w:r>
    </w:p>
    <w:p w:rsidR="000C1B85" w:rsidP="000C1B85" w14:paraId="60979D8E" w14:textId="33844793">
      <w:pPr>
        <w:autoSpaceDE w:val="0"/>
        <w:autoSpaceDN w:val="0"/>
        <w:adjustRightInd w:val="0"/>
        <w:spacing w:before="0"/>
        <w:rPr>
          <w:rFonts w:ascii="TimesNewRomanPSMT" w:hAnsi="TimesNewRomanPSMT" w:cs="TimesNewRomanPSMT"/>
          <w:sz w:val="24"/>
          <w:szCs w:val="24"/>
        </w:rPr>
      </w:pPr>
    </w:p>
    <w:p w:rsidR="000C1B85" w:rsidP="000C1B85" w14:paraId="74BA96F5" w14:textId="61314769">
      <w:pPr>
        <w:autoSpaceDE w:val="0"/>
        <w:autoSpaceDN w:val="0"/>
        <w:adjustRightInd w:val="0"/>
        <w:spacing w:before="0"/>
        <w:rPr>
          <w:rFonts w:ascii="Times New Roman" w:eastAsia="Times New Roman" w:hAnsi="Times New Roman" w:cs="Times New Roman"/>
          <w:sz w:val="24"/>
          <w:szCs w:val="24"/>
        </w:rPr>
      </w:pPr>
      <w:r>
        <w:rPr>
          <w:rFonts w:ascii="TimesNewRomanPSMT" w:hAnsi="TimesNewRomanPSMT" w:cs="TimesNewRomanPSMT"/>
          <w:sz w:val="24"/>
          <w:szCs w:val="24"/>
        </w:rPr>
        <w:t xml:space="preserve">Response:  </w:t>
      </w:r>
      <w:r w:rsidR="00DA4F2E">
        <w:rPr>
          <w:rFonts w:ascii="TimesNewRomanPSMT" w:hAnsi="TimesNewRomanPSMT" w:cs="TimesNewRomanPSMT"/>
          <w:sz w:val="24"/>
          <w:szCs w:val="24"/>
        </w:rPr>
        <w:t xml:space="preserve">However, as indicated in the response to comment 1, NMFS must comply with all applicable laws to discontinue the EDR program, including providing opportunity for notice and comments and analysis of potential regulatory impacts.  </w:t>
      </w:r>
      <w:r w:rsidR="00457673">
        <w:rPr>
          <w:rFonts w:ascii="TimesNewRomanPSMT" w:hAnsi="TimesNewRomanPSMT" w:cs="TimesNewRomanPSMT"/>
          <w:sz w:val="24"/>
          <w:szCs w:val="24"/>
        </w:rPr>
        <w:t>NMFS will</w:t>
      </w:r>
      <w:r w:rsidR="00DA4F2E">
        <w:rPr>
          <w:rFonts w:ascii="TimesNewRomanPSMT" w:hAnsi="TimesNewRomanPSMT" w:cs="TimesNewRomanPSMT"/>
          <w:sz w:val="24"/>
          <w:szCs w:val="24"/>
        </w:rPr>
        <w:t xml:space="preserve"> comply with procedures to seek approval from OMB to renew this information collection until such time as a final rule amending or eliminating the EDR Program is published.</w:t>
      </w:r>
      <w:r>
        <w:rPr>
          <w:rFonts w:ascii="Times New Roman" w:eastAsia="Times New Roman" w:hAnsi="Times New Roman" w:cs="Times New Roman"/>
          <w:sz w:val="24"/>
          <w:szCs w:val="24"/>
        </w:rPr>
        <w:t>, NOAA Fisheries is statutorily required to renew this information collection until such time as Counc</w:t>
      </w:r>
      <w:r>
        <w:rPr>
          <w:rFonts w:ascii="Times New Roman" w:eastAsia="Times New Roman" w:hAnsi="Times New Roman" w:cs="Times New Roman"/>
          <w:sz w:val="24"/>
          <w:szCs w:val="24"/>
        </w:rPr>
        <w:t>il action and proposed and final rules are published.</w:t>
      </w:r>
    </w:p>
    <w:p w:rsidR="002D424B" w:rsidP="00DA4F2E" w14:paraId="6A4723F6" w14:textId="77777777">
      <w:pPr>
        <w:autoSpaceDE w:val="0"/>
        <w:autoSpaceDN w:val="0"/>
        <w:adjustRightInd w:val="0"/>
        <w:spacing w:before="0"/>
        <w:rPr>
          <w:rFonts w:ascii="Times New Roman" w:eastAsia="Times New Roman" w:hAnsi="Times New Roman" w:cs="Times New Roman"/>
          <w:sz w:val="24"/>
          <w:szCs w:val="24"/>
        </w:rPr>
      </w:pPr>
    </w:p>
    <w:p w:rsidR="008C2E53" w14:paraId="00000080"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8C2E53" w14:paraId="00000081" w14:textId="77777777">
      <w:pPr>
        <w:pBdr>
          <w:top w:val="nil"/>
          <w:left w:val="nil"/>
          <w:bottom w:val="nil"/>
          <w:right w:val="nil"/>
          <w:between w:val="nil"/>
        </w:pBdr>
        <w:tabs>
          <w:tab w:val="left" w:pos="360"/>
        </w:tabs>
        <w:spacing w:before="0"/>
        <w:rPr>
          <w:color w:val="000000"/>
        </w:rPr>
      </w:pPr>
    </w:p>
    <w:p w:rsidR="008C2E53" w14:paraId="00000082"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payment or gift is provided.</w:t>
      </w:r>
    </w:p>
    <w:p w:rsidR="008C2E53" w14:paraId="00000083" w14:textId="77777777">
      <w:pPr>
        <w:pBdr>
          <w:top w:val="nil"/>
          <w:left w:val="nil"/>
          <w:bottom w:val="nil"/>
          <w:right w:val="nil"/>
          <w:between w:val="nil"/>
        </w:pBdr>
        <w:spacing w:before="0"/>
        <w:rPr>
          <w:rFonts w:ascii="Times New Roman" w:eastAsia="Times New Roman" w:hAnsi="Times New Roman" w:cs="Times New Roman"/>
          <w:color w:val="2F5496"/>
          <w:sz w:val="24"/>
          <w:szCs w:val="24"/>
        </w:rPr>
      </w:pPr>
    </w:p>
    <w:p w:rsidR="008C2E53" w14:paraId="00000084"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C2E53" w14:paraId="00000085" w14:textId="77777777">
      <w:pPr>
        <w:pBdr>
          <w:top w:val="nil"/>
          <w:left w:val="nil"/>
          <w:bottom w:val="nil"/>
          <w:right w:val="nil"/>
          <w:between w:val="nil"/>
        </w:pBdr>
        <w:tabs>
          <w:tab w:val="left" w:pos="360"/>
        </w:tabs>
        <w:spacing w:before="0"/>
        <w:rPr>
          <w:color w:val="000000"/>
        </w:rPr>
      </w:pPr>
    </w:p>
    <w:p w:rsidR="008C2E53" w14:paraId="00000086"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information collected is confidential under section 402(b) of the Magnuson-Stevens Fishery Conservation and Management Act (16 U.S.C. 1801,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 xml:space="preserve">.). It is also confidential under </w:t>
      </w:r>
      <w:hyperlink r:id="rId19">
        <w:r>
          <w:rPr>
            <w:rFonts w:ascii="Times New Roman" w:eastAsia="Times New Roman" w:hAnsi="Times New Roman" w:cs="Times New Roman"/>
            <w:color w:val="0000FF"/>
            <w:sz w:val="24"/>
            <w:szCs w:val="24"/>
            <w:u w:val="single"/>
          </w:rPr>
          <w:t>NOAA Administrative Order 216-100</w:t>
        </w:r>
      </w:hyperlink>
      <w:hyperlink r:id="rId20">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which sets forth procedures to protect confidentiality of fishery statistics. Storage for the information includes a computerized database that is password protected and to which access is limited. Paper records are filed in folders in locked cabinets in areas that are accessible only to authorized personnel. Buildings where the records are maintained employ security systems with locks /and access limits. Only those that have the need to know, to carry out the official duties of their job, have access to t</w:t>
      </w:r>
      <w:r>
        <w:rPr>
          <w:rFonts w:ascii="Times New Roman" w:eastAsia="Times New Roman" w:hAnsi="Times New Roman" w:cs="Times New Roman"/>
          <w:color w:val="000000"/>
          <w:sz w:val="24"/>
          <w:szCs w:val="24"/>
        </w:rPr>
        <w:t>he information. The personnel of NMFS Alaska Region and its contractors (Pacific States) are instructed on the confidential nature of this information.</w:t>
      </w:r>
    </w:p>
    <w:p w:rsidR="00FA44B7" w:rsidRPr="00FA44B7" w:rsidP="00FA44B7" w14:paraId="6277B901" w14:textId="7E573603">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system of records notice that covers this information collection is </w:t>
      </w:r>
      <w:hyperlink r:id="rId21">
        <w:r>
          <w:rPr>
            <w:rFonts w:ascii="Times New Roman" w:eastAsia="Times New Roman" w:hAnsi="Times New Roman" w:cs="Times New Roman"/>
            <w:color w:val="1155CC"/>
            <w:sz w:val="24"/>
            <w:szCs w:val="24"/>
            <w:u w:val="single"/>
          </w:rPr>
          <w:t>COMMERCE/NOAA #16, Economic Data Reports for Alaska Federally Regulated Fisheries off the Coast of Alaska</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FF"/>
          <w:sz w:val="24"/>
          <w:szCs w:val="24"/>
          <w:u w:val="single"/>
        </w:rPr>
        <w:t xml:space="preserve">  </w:t>
      </w:r>
      <w:r w:rsidRPr="00FA44B7">
        <w:rPr>
          <w:rFonts w:ascii="Times New Roman" w:hAnsi="Times New Roman" w:cs="Times New Roman"/>
          <w:sz w:val="24"/>
          <w:szCs w:val="24"/>
        </w:rPr>
        <w:t xml:space="preserve">Consistent with OMB’s guidance implementing the Privacy Act of 1974, “an agency record-keeping system on firms it regulates may contain “records” (i.e., personal information) about officers of the firm incident to evaluating the firm’s performance.  Even though these are clearly “records” under the “control of” an agency, they would not be considered part of a system as defined by the Act unless the agency accessed them by reference to a personal identifier (name, etc.).  That is, if these hypothetical “records” are never retrieved except by reference to company identifier or some other nonpersonal indexing scheme (e.g., type of firm) they are not a part of a system of records.”  </w:t>
      </w:r>
      <w:r>
        <w:rPr>
          <w:rFonts w:ascii="Times New Roman" w:hAnsi="Times New Roman" w:cs="Times New Roman"/>
          <w:sz w:val="24"/>
          <w:szCs w:val="24"/>
        </w:rPr>
        <w:t>T</w:t>
      </w:r>
      <w:r w:rsidRPr="00FA44B7">
        <w:rPr>
          <w:rFonts w:ascii="Times New Roman" w:hAnsi="Times New Roman" w:cs="Times New Roman"/>
          <w:sz w:val="24"/>
          <w:szCs w:val="24"/>
        </w:rPr>
        <w:t>his guidance speaks directly to this scenario and suggests that while the information system certainly will collect and maintain personally identifiable information (PII), they are not maintained in a system of records.</w:t>
      </w:r>
    </w:p>
    <w:p w:rsidR="008C2E53" w14:paraId="00000089" w14:textId="77777777">
      <w:pPr>
        <w:pBdr>
          <w:top w:val="nil"/>
          <w:left w:val="nil"/>
          <w:bottom w:val="nil"/>
          <w:right w:val="nil"/>
          <w:between w:val="nil"/>
        </w:pBdr>
        <w:spacing w:before="0"/>
        <w:rPr>
          <w:rFonts w:ascii="Times New Roman" w:eastAsia="Times New Roman" w:hAnsi="Times New Roman" w:cs="Times New Roman"/>
          <w:color w:val="0000FF"/>
          <w:sz w:val="24"/>
          <w:szCs w:val="24"/>
          <w:u w:val="single"/>
        </w:rPr>
      </w:pPr>
    </w:p>
    <w:p w:rsidR="008C2E53" w14:paraId="0000008A"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Privacy Impact Assessment that covers this information collection is </w:t>
      </w:r>
      <w:hyperlink r:id="rId22">
        <w:r>
          <w:rPr>
            <w:rFonts w:ascii="Times New Roman" w:eastAsia="Times New Roman" w:hAnsi="Times New Roman" w:cs="Times New Roman"/>
            <w:color w:val="1155CC"/>
            <w:sz w:val="24"/>
            <w:szCs w:val="24"/>
            <w:u w:val="single"/>
          </w:rPr>
          <w:t>NOAA NMFS Alaska Region Local Area Network (NOAA4700)</w:t>
        </w:r>
      </w:hyperlink>
      <w:r>
        <w:rPr>
          <w:rFonts w:ascii="Times New Roman" w:eastAsia="Times New Roman" w:hAnsi="Times New Roman" w:cs="Times New Roman"/>
          <w:color w:val="000000"/>
          <w:sz w:val="24"/>
          <w:szCs w:val="24"/>
        </w:rPr>
        <w:t>.</w:t>
      </w:r>
    </w:p>
    <w:p w:rsidR="008C2E53" w14:paraId="0000008B"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8C"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w:t>
      </w:r>
      <w:r>
        <w:rPr>
          <w:rFonts w:ascii="Times New Roman" w:eastAsia="Times New Roman" w:hAnsi="Times New Roman" w:cs="Times New Roman"/>
          <w:b/>
          <w:color w:val="000000"/>
          <w:sz w:val="24"/>
          <w:szCs w:val="24"/>
        </w:rPr>
        <w:t>agency considers the questions necessary, the specific uses to be made of the information, the explanation to be given to persons from whom the information is requested, and any steps to be taken to obtain their consent.</w:t>
      </w:r>
    </w:p>
    <w:p w:rsidR="008C2E53" w14:paraId="0000008D"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12283" w14:paraId="0000008E" w14:textId="7522ED8A">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information </w:t>
      </w:r>
      <w:r>
        <w:rPr>
          <w:rFonts w:ascii="Times New Roman" w:eastAsia="Times New Roman" w:hAnsi="Times New Roman" w:cs="Times New Roman"/>
          <w:color w:val="000000"/>
          <w:sz w:val="24"/>
          <w:szCs w:val="24"/>
        </w:rPr>
        <w:t>collection does not involve information of a sensitive nature.</w:t>
      </w:r>
    </w:p>
    <w:p w:rsidR="008C2E53" w14:paraId="0000008F" w14:textId="77777777">
      <w:pPr>
        <w:spacing w:before="0"/>
        <w:rPr>
          <w:rFonts w:ascii="Times New Roman" w:eastAsia="Times New Roman" w:hAnsi="Times New Roman" w:cs="Times New Roman"/>
          <w:sz w:val="24"/>
          <w:szCs w:val="24"/>
        </w:rPr>
      </w:pPr>
    </w:p>
    <w:p w:rsidR="008C2E53" w14:paraId="00000090" w14:textId="77777777">
      <w:pPr>
        <w:keepNext/>
        <w:keepLines/>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Provide estimates of the hour burden of the collection of information.</w:t>
      </w:r>
    </w:p>
    <w:p w:rsidR="008C2E53" w14:paraId="00000091" w14:textId="77777777">
      <w:pPr>
        <w:keepNext/>
        <w:keepLines/>
        <w:pBdr>
          <w:top w:val="nil"/>
          <w:left w:val="nil"/>
          <w:bottom w:val="nil"/>
          <w:right w:val="nil"/>
          <w:between w:val="nil"/>
        </w:pBdr>
        <w:tabs>
          <w:tab w:val="left" w:pos="360"/>
        </w:tabs>
        <w:spacing w:before="0"/>
        <w:rPr>
          <w:color w:val="000000"/>
        </w:rPr>
      </w:pPr>
    </w:p>
    <w:p w:rsidR="008C2E53" w14:paraId="00000092" w14:textId="77777777">
      <w:pPr>
        <w:keepNext/>
        <w:keepLines/>
        <w:spacing w:befor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Annual Trawl Catcher/Processor EDR applies to 22 licensed vessels. All but one are Amendment 80 vessels, </w:t>
      </w:r>
      <w:r>
        <w:rPr>
          <w:rFonts w:ascii="Times New Roman" w:eastAsia="Times New Roman" w:hAnsi="Times New Roman" w:cs="Times New Roman"/>
          <w:color w:val="000000"/>
          <w:sz w:val="24"/>
          <w:szCs w:val="24"/>
        </w:rPr>
        <w:t>while one additional vessel is Amendment 80 eligible.</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xml:space="preserve"> </w:t>
      </w:r>
    </w:p>
    <w:p w:rsidR="008C2E53" w14:paraId="00000093" w14:textId="77777777">
      <w:pPr>
        <w:spacing w:before="0"/>
        <w:rPr>
          <w:rFonts w:ascii="Times New Roman" w:eastAsia="Times New Roman" w:hAnsi="Times New Roman" w:cs="Times New Roman"/>
          <w:sz w:val="24"/>
          <w:szCs w:val="24"/>
        </w:rPr>
      </w:pPr>
    </w:p>
    <w:p w:rsidR="008C2E53" w14:paraId="00000094" w14:textId="77777777">
      <w:pPr>
        <w:spacing w:before="0"/>
        <w:rPr>
          <w:rFonts w:ascii="Times New Roman" w:eastAsia="Times New Roman" w:hAnsi="Times New Roman" w:cs="Times New Roman"/>
          <w:sz w:val="24"/>
          <w:szCs w:val="24"/>
        </w:rPr>
      </w:pPr>
    </w:p>
    <w:tbl>
      <w:tblPr>
        <w:tblStyle w:val="a5"/>
        <w:tblW w:w="10790" w:type="dxa"/>
        <w:jc w:val="center"/>
        <w:tblLayout w:type="fixed"/>
        <w:tblLook w:val="0400"/>
      </w:tblPr>
      <w:tblGrid>
        <w:gridCol w:w="1610"/>
        <w:gridCol w:w="1350"/>
        <w:gridCol w:w="1350"/>
        <w:gridCol w:w="1170"/>
        <w:gridCol w:w="1080"/>
        <w:gridCol w:w="990"/>
        <w:gridCol w:w="965"/>
        <w:gridCol w:w="1195"/>
        <w:gridCol w:w="1080"/>
      </w:tblGrid>
      <w:tr w14:paraId="74350AA8" w14:textId="77777777">
        <w:tblPrEx>
          <w:tblW w:w="10790" w:type="dxa"/>
          <w:jc w:val="center"/>
          <w:tblLayout w:type="fixed"/>
          <w:tblLook w:val="0400"/>
        </w:tblPrEx>
        <w:trPr>
          <w:trHeight w:val="1807"/>
          <w:jc w:val="center"/>
        </w:trPr>
        <w:tc>
          <w:tcPr>
            <w:tcW w:w="16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8C2E53" w14:paraId="00000095"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8C2E53" w14:paraId="00000096"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Type of Respondent (e.g., Occupational Title)</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8C2E53" w14:paraId="00000097"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 of Respondents/year</w:t>
            </w:r>
            <w:r>
              <w:rPr>
                <w:rFonts w:ascii="Calibri" w:eastAsia="Calibri" w:hAnsi="Calibri" w:cs="Calibri"/>
                <w:b/>
                <w:color w:val="000000"/>
                <w:sz w:val="18"/>
                <w:szCs w:val="18"/>
              </w:rPr>
              <w:br/>
              <w:t>(a)</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8C2E53" w14:paraId="00000098"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8C2E53" w14:paraId="00000099"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8C2E53" w14:paraId="0000009A"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Burden Hrs / Response</w:t>
            </w:r>
            <w:r>
              <w:rPr>
                <w:rFonts w:ascii="Calibri" w:eastAsia="Calibri" w:hAnsi="Calibri" w:cs="Calibri"/>
                <w:b/>
                <w:color w:val="000000"/>
                <w:sz w:val="18"/>
                <w:szCs w:val="18"/>
              </w:rPr>
              <w:br/>
              <w:t>(d)</w:t>
            </w:r>
          </w:p>
        </w:tc>
        <w:tc>
          <w:tcPr>
            <w:tcW w:w="965" w:type="dxa"/>
            <w:tcBorders>
              <w:top w:val="single" w:sz="8" w:space="0" w:color="000000"/>
              <w:left w:val="nil"/>
              <w:bottom w:val="single" w:sz="8" w:space="0" w:color="000000"/>
              <w:right w:val="single" w:sz="8" w:space="0" w:color="000000"/>
            </w:tcBorders>
            <w:shd w:val="clear" w:color="auto" w:fill="BDD7EE"/>
            <w:vAlign w:val="center"/>
          </w:tcPr>
          <w:p w:rsidR="008C2E53" w14:paraId="0000009B"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Total Annual Burden Hrs</w:t>
            </w:r>
            <w:r>
              <w:rPr>
                <w:rFonts w:ascii="Calibri" w:eastAsia="Calibri" w:hAnsi="Calibri" w:cs="Calibri"/>
                <w:b/>
                <w:color w:val="000000"/>
                <w:sz w:val="18"/>
                <w:szCs w:val="18"/>
              </w:rPr>
              <w:br/>
              <w:t>(e) = (c) x (d)</w:t>
            </w:r>
          </w:p>
        </w:tc>
        <w:tc>
          <w:tcPr>
            <w:tcW w:w="1195" w:type="dxa"/>
            <w:tcBorders>
              <w:top w:val="single" w:sz="8" w:space="0" w:color="000000"/>
              <w:left w:val="nil"/>
              <w:bottom w:val="single" w:sz="8" w:space="0" w:color="000000"/>
              <w:right w:val="single" w:sz="8" w:space="0" w:color="000000"/>
            </w:tcBorders>
            <w:shd w:val="clear" w:color="auto" w:fill="BDD7EE"/>
            <w:vAlign w:val="center"/>
          </w:tcPr>
          <w:p w:rsidR="008C2E53" w14:paraId="0000009C"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Hourly Wage Rate (for Type of Respondent)</w:t>
            </w:r>
            <w:r>
              <w:rPr>
                <w:rFonts w:ascii="Calibri" w:eastAsia="Calibri" w:hAnsi="Calibri" w:cs="Calibri"/>
                <w:b/>
                <w:color w:val="000000"/>
                <w:sz w:val="18"/>
                <w:szCs w:val="18"/>
              </w:rPr>
              <w:br/>
              <w:t>(f)</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8C2E53" w14:paraId="0000009D"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Total Annual Wage Burden Costs</w:t>
            </w:r>
            <w:r>
              <w:rPr>
                <w:rFonts w:ascii="Calibri" w:eastAsia="Calibri" w:hAnsi="Calibri" w:cs="Calibri"/>
                <w:b/>
                <w:color w:val="000000"/>
                <w:sz w:val="18"/>
                <w:szCs w:val="18"/>
              </w:rPr>
              <w:br/>
              <w:t>(g) = (e) x (f)</w:t>
            </w:r>
          </w:p>
        </w:tc>
      </w:tr>
      <w:tr w14:paraId="31E6B3BC" w14:textId="77777777">
        <w:tblPrEx>
          <w:tblW w:w="10790" w:type="dxa"/>
          <w:jc w:val="center"/>
          <w:tblLayout w:type="fixed"/>
          <w:tblLook w:val="0400"/>
        </w:tblPrEx>
        <w:trPr>
          <w:trHeight w:val="700"/>
          <w:jc w:val="center"/>
        </w:trPr>
        <w:tc>
          <w:tcPr>
            <w:tcW w:w="1610" w:type="dxa"/>
            <w:tcBorders>
              <w:top w:val="nil"/>
              <w:left w:val="single" w:sz="8" w:space="0" w:color="000000"/>
              <w:bottom w:val="single" w:sz="4" w:space="0" w:color="000000"/>
              <w:right w:val="single" w:sz="4" w:space="0" w:color="000000"/>
            </w:tcBorders>
            <w:shd w:val="clear" w:color="auto" w:fill="auto"/>
            <w:vAlign w:val="center"/>
          </w:tcPr>
          <w:p w:rsidR="008C2E53" w14:paraId="0000009E" w14:textId="77777777">
            <w:pPr>
              <w:spacing w:before="0"/>
              <w:rPr>
                <w:rFonts w:ascii="Calibri" w:eastAsia="Calibri" w:hAnsi="Calibri" w:cs="Calibri"/>
                <w:color w:val="000000"/>
                <w:sz w:val="18"/>
                <w:szCs w:val="18"/>
              </w:rPr>
            </w:pPr>
            <w:r>
              <w:rPr>
                <w:rFonts w:ascii="Calibri" w:eastAsia="Calibri" w:hAnsi="Calibri" w:cs="Calibri"/>
                <w:color w:val="000000"/>
                <w:sz w:val="18"/>
                <w:szCs w:val="18"/>
              </w:rPr>
              <w:t> Annual Trawl Catcher/Processor EDR</w:t>
            </w:r>
          </w:p>
        </w:tc>
        <w:tc>
          <w:tcPr>
            <w:tcW w:w="1350" w:type="dxa"/>
            <w:tcBorders>
              <w:top w:val="nil"/>
              <w:left w:val="nil"/>
              <w:bottom w:val="single" w:sz="4" w:space="0" w:color="000000"/>
              <w:right w:val="single" w:sz="4" w:space="0" w:color="000000"/>
            </w:tcBorders>
            <w:shd w:val="clear" w:color="auto" w:fill="auto"/>
            <w:vAlign w:val="center"/>
          </w:tcPr>
          <w:p w:rsidR="008C2E53" w:rsidP="00414DA5" w14:paraId="000000A0" w14:textId="3C374114">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Accountant</w:t>
            </w:r>
            <w:r w:rsidR="00414DA5">
              <w:rPr>
                <w:rFonts w:ascii="Calibri" w:eastAsia="Calibri" w:hAnsi="Calibri" w:cs="Calibri"/>
                <w:color w:val="000000"/>
                <w:sz w:val="18"/>
                <w:szCs w:val="18"/>
              </w:rPr>
              <w:t xml:space="preserve"> </w:t>
            </w:r>
            <w:r>
              <w:rPr>
                <w:rFonts w:ascii="Calibri" w:eastAsia="Calibri" w:hAnsi="Calibri" w:cs="Calibri"/>
                <w:color w:val="000000"/>
                <w:sz w:val="18"/>
                <w:szCs w:val="18"/>
              </w:rPr>
              <w:t>/</w:t>
            </w:r>
            <w:r w:rsidR="00414DA5">
              <w:rPr>
                <w:rFonts w:ascii="Calibri" w:eastAsia="Calibri" w:hAnsi="Calibri" w:cs="Calibri"/>
                <w:color w:val="000000"/>
                <w:sz w:val="18"/>
                <w:szCs w:val="18"/>
              </w:rPr>
              <w:t xml:space="preserve"> </w:t>
            </w:r>
            <w:r>
              <w:rPr>
                <w:rFonts w:ascii="Calibri" w:eastAsia="Calibri" w:hAnsi="Calibri" w:cs="Calibri"/>
                <w:color w:val="000000"/>
                <w:sz w:val="18"/>
                <w:szCs w:val="18"/>
              </w:rPr>
              <w:t>Manager</w:t>
            </w:r>
          </w:p>
        </w:tc>
        <w:tc>
          <w:tcPr>
            <w:tcW w:w="1350" w:type="dxa"/>
            <w:tcBorders>
              <w:top w:val="nil"/>
              <w:left w:val="nil"/>
              <w:bottom w:val="single" w:sz="4" w:space="0" w:color="000000"/>
              <w:right w:val="single" w:sz="4" w:space="0" w:color="000000"/>
            </w:tcBorders>
            <w:shd w:val="clear" w:color="auto" w:fill="auto"/>
            <w:vAlign w:val="center"/>
          </w:tcPr>
          <w:p w:rsidR="008C2E53" w14:paraId="000000A1"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2</w:t>
            </w:r>
            <w:r>
              <w:rPr>
                <w:rFonts w:ascii="Calibri" w:eastAsia="Calibri" w:hAnsi="Calibri" w:cs="Calibri"/>
                <w:color w:val="000000"/>
                <w:sz w:val="18"/>
                <w:szCs w:val="18"/>
              </w:rPr>
              <w:t>2</w:t>
            </w:r>
          </w:p>
        </w:tc>
        <w:tc>
          <w:tcPr>
            <w:tcW w:w="1170" w:type="dxa"/>
            <w:tcBorders>
              <w:top w:val="nil"/>
              <w:left w:val="nil"/>
              <w:bottom w:val="single" w:sz="4" w:space="0" w:color="000000"/>
              <w:right w:val="single" w:sz="4" w:space="0" w:color="000000"/>
            </w:tcBorders>
            <w:shd w:val="clear" w:color="auto" w:fill="auto"/>
            <w:vAlign w:val="center"/>
          </w:tcPr>
          <w:p w:rsidR="008C2E53" w14:paraId="000000A2"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8C2E53" w14:paraId="000000A3" w14:textId="77777777">
            <w:pPr>
              <w:spacing w:before="0"/>
              <w:jc w:val="center"/>
              <w:rPr>
                <w:rFonts w:ascii="Calibri" w:eastAsia="Calibri" w:hAnsi="Calibri" w:cs="Calibri"/>
                <w:color w:val="000000"/>
                <w:sz w:val="18"/>
                <w:szCs w:val="18"/>
                <w:highlight w:val="green"/>
              </w:rPr>
            </w:pPr>
            <w:r>
              <w:rPr>
                <w:rFonts w:ascii="Calibri" w:eastAsia="Calibri" w:hAnsi="Calibri" w:cs="Calibri"/>
                <w:color w:val="000000"/>
                <w:sz w:val="18"/>
                <w:szCs w:val="18"/>
              </w:rPr>
              <w:t>22</w:t>
            </w:r>
          </w:p>
        </w:tc>
        <w:tc>
          <w:tcPr>
            <w:tcW w:w="990" w:type="dxa"/>
            <w:tcBorders>
              <w:top w:val="nil"/>
              <w:left w:val="nil"/>
              <w:bottom w:val="single" w:sz="4" w:space="0" w:color="000000"/>
              <w:right w:val="single" w:sz="4" w:space="0" w:color="000000"/>
            </w:tcBorders>
            <w:shd w:val="clear" w:color="auto" w:fill="auto"/>
            <w:vAlign w:val="center"/>
          </w:tcPr>
          <w:p w:rsidR="008C2E53" w14:paraId="000000A4" w14:textId="044025DE">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40</w:t>
            </w:r>
          </w:p>
        </w:tc>
        <w:tc>
          <w:tcPr>
            <w:tcW w:w="965" w:type="dxa"/>
            <w:tcBorders>
              <w:top w:val="nil"/>
              <w:left w:val="nil"/>
              <w:bottom w:val="single" w:sz="4" w:space="0" w:color="000000"/>
              <w:right w:val="single" w:sz="4" w:space="0" w:color="000000"/>
            </w:tcBorders>
            <w:shd w:val="clear" w:color="auto" w:fill="auto"/>
            <w:vAlign w:val="center"/>
          </w:tcPr>
          <w:p w:rsidR="008C2E53" w14:paraId="000000A5" w14:textId="67E5251A">
            <w:pPr>
              <w:spacing w:before="0"/>
              <w:jc w:val="center"/>
              <w:rPr>
                <w:rFonts w:ascii="Calibri" w:eastAsia="Calibri" w:hAnsi="Calibri" w:cs="Calibri"/>
                <w:color w:val="000000"/>
                <w:sz w:val="18"/>
                <w:szCs w:val="18"/>
                <w:highlight w:val="green"/>
              </w:rPr>
            </w:pPr>
            <w:r>
              <w:rPr>
                <w:rFonts w:ascii="Calibri" w:eastAsia="Calibri" w:hAnsi="Calibri" w:cs="Calibri"/>
                <w:color w:val="000000"/>
                <w:sz w:val="18"/>
                <w:szCs w:val="18"/>
              </w:rPr>
              <w:t>880</w:t>
            </w:r>
          </w:p>
        </w:tc>
        <w:tc>
          <w:tcPr>
            <w:tcW w:w="1195" w:type="dxa"/>
            <w:tcBorders>
              <w:top w:val="nil"/>
              <w:left w:val="nil"/>
              <w:bottom w:val="single" w:sz="4" w:space="0" w:color="000000"/>
              <w:right w:val="single" w:sz="4" w:space="0" w:color="000000"/>
            </w:tcBorders>
            <w:shd w:val="clear" w:color="auto" w:fill="auto"/>
            <w:vAlign w:val="center"/>
          </w:tcPr>
          <w:p w:rsidR="008C2E53" w14:paraId="000000A6"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r>
              <w:rPr>
                <w:rFonts w:ascii="Calibri" w:eastAsia="Calibri" w:hAnsi="Calibri" w:cs="Calibri"/>
                <w:color w:val="000000"/>
                <w:sz w:val="18"/>
                <w:szCs w:val="18"/>
              </w:rPr>
              <w:t>*</w:t>
            </w:r>
          </w:p>
        </w:tc>
        <w:tc>
          <w:tcPr>
            <w:tcW w:w="1080" w:type="dxa"/>
            <w:tcBorders>
              <w:top w:val="nil"/>
              <w:left w:val="nil"/>
              <w:bottom w:val="single" w:sz="4" w:space="0" w:color="000000"/>
              <w:right w:val="single" w:sz="8" w:space="0" w:color="000000"/>
            </w:tcBorders>
            <w:shd w:val="clear" w:color="auto" w:fill="auto"/>
            <w:vAlign w:val="center"/>
          </w:tcPr>
          <w:p w:rsidR="008C2E53" w14:paraId="000000A7" w14:textId="2BF964C8">
            <w:pPr>
              <w:spacing w:before="0"/>
              <w:jc w:val="center"/>
              <w:rPr>
                <w:rFonts w:ascii="Calibri" w:eastAsia="Calibri" w:hAnsi="Calibri" w:cs="Calibri"/>
                <w:color w:val="000000"/>
                <w:sz w:val="18"/>
                <w:szCs w:val="18"/>
                <w:highlight w:val="green"/>
              </w:rPr>
            </w:pPr>
            <w:r>
              <w:rPr>
                <w:rFonts w:ascii="Calibri" w:eastAsia="Calibri" w:hAnsi="Calibri" w:cs="Calibri"/>
                <w:color w:val="000000"/>
                <w:sz w:val="18"/>
                <w:szCs w:val="18"/>
              </w:rPr>
              <w:t>$</w:t>
            </w:r>
            <w:r w:rsidR="0056135D">
              <w:rPr>
                <w:rFonts w:ascii="Calibri" w:eastAsia="Calibri" w:hAnsi="Calibri" w:cs="Calibri"/>
                <w:sz w:val="18"/>
                <w:szCs w:val="18"/>
              </w:rPr>
              <w:t>37,</w:t>
            </w:r>
            <w:r w:rsidR="00FF5868">
              <w:rPr>
                <w:rFonts w:ascii="Calibri" w:eastAsia="Calibri" w:hAnsi="Calibri" w:cs="Calibri"/>
                <w:sz w:val="18"/>
                <w:szCs w:val="18"/>
              </w:rPr>
              <w:t>902</w:t>
            </w:r>
          </w:p>
        </w:tc>
      </w:tr>
      <w:tr w14:paraId="7A8A11EE" w14:textId="77777777">
        <w:tblPrEx>
          <w:tblW w:w="10790" w:type="dxa"/>
          <w:jc w:val="center"/>
          <w:tblLayout w:type="fixed"/>
          <w:tblLook w:val="0400"/>
        </w:tblPrEx>
        <w:trPr>
          <w:trHeight w:val="440"/>
          <w:jc w:val="center"/>
        </w:trPr>
        <w:tc>
          <w:tcPr>
            <w:tcW w:w="1610" w:type="dxa"/>
            <w:tcBorders>
              <w:top w:val="nil"/>
              <w:left w:val="single" w:sz="8" w:space="0" w:color="000000"/>
              <w:bottom w:val="single" w:sz="8" w:space="0" w:color="000000"/>
              <w:right w:val="single" w:sz="8" w:space="0" w:color="000000"/>
            </w:tcBorders>
            <w:shd w:val="clear" w:color="auto" w:fill="DDEBF7"/>
            <w:vAlign w:val="center"/>
          </w:tcPr>
          <w:p w:rsidR="008C2E53" w14:paraId="000000A8" w14:textId="77777777">
            <w:pPr>
              <w:spacing w:before="0"/>
              <w:rPr>
                <w:rFonts w:ascii="Calibri" w:eastAsia="Calibri" w:hAnsi="Calibri" w:cs="Calibri"/>
                <w:b/>
                <w:color w:val="000000"/>
              </w:rPr>
            </w:pPr>
            <w:r>
              <w:rPr>
                <w:rFonts w:ascii="Calibri" w:eastAsia="Calibri" w:hAnsi="Calibri" w:cs="Calibri"/>
                <w:b/>
                <w:color w:val="000000"/>
              </w:rPr>
              <w:t>Totals</w:t>
            </w:r>
          </w:p>
        </w:tc>
        <w:tc>
          <w:tcPr>
            <w:tcW w:w="1350" w:type="dxa"/>
            <w:tcBorders>
              <w:top w:val="nil"/>
              <w:left w:val="nil"/>
              <w:bottom w:val="single" w:sz="8" w:space="0" w:color="000000"/>
              <w:right w:val="single" w:sz="8" w:space="0" w:color="000000"/>
            </w:tcBorders>
            <w:shd w:val="clear" w:color="auto" w:fill="000000"/>
            <w:vAlign w:val="center"/>
          </w:tcPr>
          <w:p w:rsidR="008C2E53" w14:paraId="000000A9" w14:textId="77777777">
            <w:pPr>
              <w:spacing w:before="0"/>
              <w:rPr>
                <w:rFonts w:ascii="Calibri" w:eastAsia="Calibri" w:hAnsi="Calibri" w:cs="Calibri"/>
                <w:b/>
                <w:color w:val="000000"/>
              </w:rPr>
            </w:pPr>
            <w:r>
              <w:rPr>
                <w:rFonts w:ascii="Calibri" w:eastAsia="Calibri" w:hAnsi="Calibri" w:cs="Calibri"/>
                <w:b/>
                <w:color w:val="000000"/>
              </w:rPr>
              <w:t> </w:t>
            </w:r>
          </w:p>
        </w:tc>
        <w:tc>
          <w:tcPr>
            <w:tcW w:w="1350" w:type="dxa"/>
            <w:tcBorders>
              <w:top w:val="nil"/>
              <w:left w:val="nil"/>
              <w:bottom w:val="single" w:sz="8" w:space="0" w:color="000000"/>
              <w:right w:val="single" w:sz="8" w:space="0" w:color="000000"/>
            </w:tcBorders>
            <w:shd w:val="clear" w:color="auto" w:fill="000000"/>
            <w:vAlign w:val="center"/>
          </w:tcPr>
          <w:p w:rsidR="008C2E53" w14:paraId="000000AA" w14:textId="77777777">
            <w:pPr>
              <w:spacing w:before="0"/>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center"/>
          </w:tcPr>
          <w:p w:rsidR="008C2E53" w14:paraId="000000AB" w14:textId="77777777">
            <w:pPr>
              <w:spacing w:before="0"/>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DDEBF7"/>
            <w:vAlign w:val="center"/>
          </w:tcPr>
          <w:p w:rsidR="008C2E53" w14:paraId="000000AC" w14:textId="77777777">
            <w:pPr>
              <w:spacing w:before="0"/>
              <w:jc w:val="center"/>
              <w:rPr>
                <w:rFonts w:ascii="Calibri" w:eastAsia="Calibri" w:hAnsi="Calibri" w:cs="Calibri"/>
                <w:b/>
                <w:color w:val="000000"/>
                <w:highlight w:val="green"/>
              </w:rPr>
            </w:pPr>
            <w:r>
              <w:rPr>
                <w:rFonts w:ascii="Calibri" w:eastAsia="Calibri" w:hAnsi="Calibri" w:cs="Calibri"/>
                <w:b/>
                <w:color w:val="000000"/>
              </w:rPr>
              <w:t>22</w:t>
            </w:r>
          </w:p>
        </w:tc>
        <w:tc>
          <w:tcPr>
            <w:tcW w:w="990" w:type="dxa"/>
            <w:tcBorders>
              <w:top w:val="nil"/>
              <w:left w:val="nil"/>
              <w:bottom w:val="single" w:sz="8" w:space="0" w:color="000000"/>
              <w:right w:val="single" w:sz="8" w:space="0" w:color="000000"/>
            </w:tcBorders>
            <w:shd w:val="clear" w:color="auto" w:fill="000000"/>
            <w:vAlign w:val="center"/>
          </w:tcPr>
          <w:p w:rsidR="008C2E53" w14:paraId="000000AD" w14:textId="77777777">
            <w:pPr>
              <w:spacing w:before="0"/>
              <w:jc w:val="center"/>
              <w:rPr>
                <w:rFonts w:ascii="Calibri" w:eastAsia="Calibri" w:hAnsi="Calibri" w:cs="Calibri"/>
                <w:b/>
                <w:color w:val="000000"/>
              </w:rPr>
            </w:pPr>
          </w:p>
        </w:tc>
        <w:tc>
          <w:tcPr>
            <w:tcW w:w="965" w:type="dxa"/>
            <w:tcBorders>
              <w:top w:val="nil"/>
              <w:left w:val="nil"/>
              <w:bottom w:val="single" w:sz="8" w:space="0" w:color="000000"/>
              <w:right w:val="single" w:sz="8" w:space="0" w:color="000000"/>
            </w:tcBorders>
            <w:shd w:val="clear" w:color="auto" w:fill="DDEBF7"/>
            <w:vAlign w:val="center"/>
          </w:tcPr>
          <w:p w:rsidR="008C2E53" w14:paraId="000000AE" w14:textId="5CCD4291">
            <w:pPr>
              <w:spacing w:before="0"/>
              <w:jc w:val="center"/>
              <w:rPr>
                <w:rFonts w:ascii="Calibri" w:eastAsia="Calibri" w:hAnsi="Calibri" w:cs="Calibri"/>
                <w:b/>
                <w:color w:val="000000"/>
                <w:highlight w:val="green"/>
              </w:rPr>
            </w:pPr>
            <w:r>
              <w:rPr>
                <w:rFonts w:ascii="Calibri" w:eastAsia="Calibri" w:hAnsi="Calibri" w:cs="Calibri"/>
                <w:b/>
                <w:color w:val="000000"/>
              </w:rPr>
              <w:t>880</w:t>
            </w:r>
          </w:p>
        </w:tc>
        <w:tc>
          <w:tcPr>
            <w:tcW w:w="1195" w:type="dxa"/>
            <w:tcBorders>
              <w:top w:val="nil"/>
              <w:left w:val="nil"/>
              <w:bottom w:val="single" w:sz="8" w:space="0" w:color="000000"/>
              <w:right w:val="single" w:sz="8" w:space="0" w:color="000000"/>
            </w:tcBorders>
            <w:shd w:val="clear" w:color="auto" w:fill="000000"/>
            <w:vAlign w:val="center"/>
          </w:tcPr>
          <w:p w:rsidR="008C2E53" w14:paraId="000000AF" w14:textId="77777777">
            <w:pPr>
              <w:spacing w:before="0"/>
              <w:jc w:val="center"/>
              <w:rPr>
                <w:rFonts w:ascii="Calibri" w:eastAsia="Calibri" w:hAnsi="Calibri" w:cs="Calibri"/>
                <w:b/>
                <w:color w:val="000000"/>
              </w:rPr>
            </w:pPr>
          </w:p>
        </w:tc>
        <w:tc>
          <w:tcPr>
            <w:tcW w:w="1080" w:type="dxa"/>
            <w:tcBorders>
              <w:top w:val="nil"/>
              <w:left w:val="nil"/>
              <w:bottom w:val="single" w:sz="8" w:space="0" w:color="000000"/>
              <w:right w:val="single" w:sz="8" w:space="0" w:color="000000"/>
            </w:tcBorders>
            <w:shd w:val="clear" w:color="auto" w:fill="DDEBF7"/>
            <w:vAlign w:val="center"/>
          </w:tcPr>
          <w:p w:rsidR="008C2E53" w14:paraId="000000B0" w14:textId="199C09CD">
            <w:pPr>
              <w:spacing w:before="0"/>
              <w:jc w:val="center"/>
              <w:rPr>
                <w:rFonts w:ascii="Calibri" w:eastAsia="Calibri" w:hAnsi="Calibri" w:cs="Calibri"/>
                <w:b/>
                <w:color w:val="000000"/>
                <w:highlight w:val="green"/>
              </w:rPr>
            </w:pPr>
            <w:r>
              <w:rPr>
                <w:rFonts w:ascii="Calibri" w:eastAsia="Calibri" w:hAnsi="Calibri" w:cs="Calibri"/>
                <w:b/>
                <w:color w:val="000000"/>
              </w:rPr>
              <w:t>$</w:t>
            </w:r>
            <w:r w:rsidR="00FF5868">
              <w:rPr>
                <w:rFonts w:ascii="Calibri" w:eastAsia="Calibri" w:hAnsi="Calibri" w:cs="Calibri"/>
                <w:b/>
                <w:color w:val="000000"/>
              </w:rPr>
              <w:t>37,902</w:t>
            </w:r>
          </w:p>
        </w:tc>
      </w:tr>
    </w:tbl>
    <w:p w:rsidR="008C2E53" w14:paraId="000000B1" w14:textId="77777777">
      <w:pPr>
        <w:spacing w:before="60"/>
        <w:ind w:left="-144" w:right="-432" w:hanging="144"/>
        <w:rPr>
          <w:rFonts w:ascii="Calibri" w:eastAsia="Calibri" w:hAnsi="Calibri" w:cs="Calibri"/>
          <w:sz w:val="18"/>
          <w:szCs w:val="18"/>
        </w:rPr>
      </w:pPr>
      <w:bookmarkStart w:id="1" w:name="_heading=h.dfqikp3nsbow" w:colFirst="0" w:colLast="0"/>
      <w:bookmarkEnd w:id="1"/>
      <w:r>
        <w:rPr>
          <w:rFonts w:ascii="Calibri" w:eastAsia="Calibri" w:hAnsi="Calibri" w:cs="Calibri"/>
          <w:sz w:val="18"/>
          <w:szCs w:val="18"/>
        </w:rPr>
        <w:t>* Accountant/manager staff complete the EDR form and the Bureau of Labor Statistics occupation code 13-2011 (Accountants and Auditors) mean average wage rate of $43.07 for Alaska is used to estimate burden hour respondent costs.https://data.bls.gov/oes/#/area/0200000</w:t>
      </w:r>
    </w:p>
    <w:p w:rsidR="008C2E53" w14:paraId="000000B2" w14:textId="77777777">
      <w:pPr>
        <w:spacing w:before="120"/>
        <w:ind w:hanging="43"/>
        <w:rPr>
          <w:rFonts w:ascii="Times New Roman" w:eastAsia="Times New Roman" w:hAnsi="Times New Roman" w:cs="Times New Roman"/>
          <w:color w:val="000000"/>
          <w:sz w:val="24"/>
          <w:szCs w:val="24"/>
        </w:rPr>
      </w:pPr>
    </w:p>
    <w:p w:rsidR="008C2E53" w14:paraId="000000B3" w14:textId="77777777">
      <w:pPr>
        <w:keepNext/>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8C2E53" w14:paraId="000000B4" w14:textId="77777777">
      <w:pPr>
        <w:keepNext/>
        <w:pBdr>
          <w:top w:val="nil"/>
          <w:left w:val="nil"/>
          <w:bottom w:val="nil"/>
          <w:right w:val="nil"/>
          <w:between w:val="nil"/>
        </w:pBdr>
        <w:tabs>
          <w:tab w:val="left" w:pos="360"/>
        </w:tabs>
        <w:spacing w:before="0"/>
        <w:rPr>
          <w:color w:val="000000"/>
        </w:rPr>
      </w:pPr>
    </w:p>
    <w:p w:rsidR="008C2E53" w14:paraId="000000B5" w14:textId="77777777">
      <w:pPr>
        <w:keepNext/>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no capital/start-up or ongoing operation/maintenance costs associated with this information collection, as it is a renewal of an existing collection, and equipment used is customary business equipment. </w:t>
      </w:r>
    </w:p>
    <w:p w:rsidR="008C2E53" w14:paraId="000000B6"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0B7"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does not require additional recordkeeping burden or additional recordkeepers as records already customarily maintained are used to complete the form. This collection may involve the use of photocopying, faxes, mail, and online access estimated to be approximately $5 per respondent. </w:t>
      </w:r>
    </w:p>
    <w:p w:rsidR="008C2E53" w14:paraId="000000B8" w14:textId="77777777">
      <w:pPr>
        <w:pBdr>
          <w:top w:val="nil"/>
          <w:left w:val="nil"/>
          <w:bottom w:val="nil"/>
          <w:right w:val="nil"/>
          <w:between w:val="nil"/>
        </w:pBdr>
        <w:spacing w:before="0"/>
        <w:rPr>
          <w:rFonts w:ascii="Times New Roman" w:eastAsia="Times New Roman" w:hAnsi="Times New Roman" w:cs="Times New Roman"/>
          <w:b/>
          <w:color w:val="000000"/>
          <w:sz w:val="24"/>
          <w:szCs w:val="24"/>
        </w:rPr>
      </w:pPr>
    </w:p>
    <w:tbl>
      <w:tblPr>
        <w:tblStyle w:val="a6"/>
        <w:tblW w:w="9899" w:type="dxa"/>
        <w:tblInd w:w="-25" w:type="dxa"/>
        <w:tblLayout w:type="fixed"/>
        <w:tblLook w:val="0400"/>
      </w:tblPr>
      <w:tblGrid>
        <w:gridCol w:w="2182"/>
        <w:gridCol w:w="1613"/>
        <w:gridCol w:w="1335"/>
        <w:gridCol w:w="1474"/>
        <w:gridCol w:w="1821"/>
        <w:gridCol w:w="1474"/>
      </w:tblGrid>
      <w:tr w14:paraId="1DDEC11D" w14:textId="77777777">
        <w:tblPrEx>
          <w:tblW w:w="9899" w:type="dxa"/>
          <w:tblInd w:w="-25" w:type="dxa"/>
          <w:tblLayout w:type="fixed"/>
          <w:tblLook w:val="0400"/>
        </w:tblPrEx>
        <w:trPr>
          <w:trHeight w:val="879"/>
        </w:trPr>
        <w:tc>
          <w:tcPr>
            <w:tcW w:w="2182"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8C2E53" w14:paraId="000000B9"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613" w:type="dxa"/>
            <w:tcBorders>
              <w:top w:val="single" w:sz="8" w:space="0" w:color="000000"/>
              <w:left w:val="nil"/>
              <w:bottom w:val="single" w:sz="8" w:space="0" w:color="000000"/>
              <w:right w:val="single" w:sz="8" w:space="0" w:color="000000"/>
            </w:tcBorders>
            <w:shd w:val="clear" w:color="auto" w:fill="BDD7EE"/>
            <w:vAlign w:val="center"/>
          </w:tcPr>
          <w:p w:rsidR="008C2E53" w14:paraId="000000BA"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 of Respondents/year</w:t>
            </w:r>
            <w:r>
              <w:rPr>
                <w:rFonts w:ascii="Calibri" w:eastAsia="Calibri" w:hAnsi="Calibri" w:cs="Calibri"/>
                <w:b/>
                <w:color w:val="000000"/>
                <w:sz w:val="18"/>
                <w:szCs w:val="18"/>
              </w:rPr>
              <w:br/>
              <w:t>(a)</w:t>
            </w:r>
          </w:p>
        </w:tc>
        <w:tc>
          <w:tcPr>
            <w:tcW w:w="1335" w:type="dxa"/>
            <w:tcBorders>
              <w:top w:val="single" w:sz="8" w:space="0" w:color="000000"/>
              <w:left w:val="nil"/>
              <w:bottom w:val="single" w:sz="8" w:space="0" w:color="000000"/>
              <w:right w:val="single" w:sz="8" w:space="0" w:color="000000"/>
            </w:tcBorders>
            <w:shd w:val="clear" w:color="auto" w:fill="BDD7EE"/>
            <w:vAlign w:val="center"/>
          </w:tcPr>
          <w:p w:rsidR="008C2E53" w14:paraId="000000BB"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474" w:type="dxa"/>
            <w:tcBorders>
              <w:top w:val="single" w:sz="8" w:space="0" w:color="000000"/>
              <w:left w:val="nil"/>
              <w:bottom w:val="single" w:sz="8" w:space="0" w:color="000000"/>
              <w:right w:val="single" w:sz="8" w:space="0" w:color="000000"/>
            </w:tcBorders>
            <w:shd w:val="clear" w:color="auto" w:fill="BDD7EE"/>
            <w:vAlign w:val="center"/>
          </w:tcPr>
          <w:p w:rsidR="008C2E53" w14:paraId="000000BC"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1821" w:type="dxa"/>
            <w:tcBorders>
              <w:top w:val="single" w:sz="8" w:space="0" w:color="000000"/>
              <w:left w:val="nil"/>
              <w:bottom w:val="single" w:sz="8" w:space="0" w:color="000000"/>
              <w:right w:val="single" w:sz="8" w:space="0" w:color="000000"/>
            </w:tcBorders>
            <w:shd w:val="clear" w:color="auto" w:fill="BDD7EE"/>
            <w:vAlign w:val="center"/>
          </w:tcPr>
          <w:p w:rsidR="008C2E53" w14:paraId="000000BD"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Cost Burden / Respondent</w:t>
            </w:r>
            <w:r>
              <w:rPr>
                <w:rFonts w:ascii="Calibri" w:eastAsia="Calibri" w:hAnsi="Calibri" w:cs="Calibri"/>
                <w:b/>
                <w:color w:val="000000"/>
                <w:sz w:val="18"/>
                <w:szCs w:val="18"/>
              </w:rPr>
              <w:br/>
              <w:t>(h)</w:t>
            </w:r>
          </w:p>
        </w:tc>
        <w:tc>
          <w:tcPr>
            <w:tcW w:w="1474" w:type="dxa"/>
            <w:tcBorders>
              <w:top w:val="single" w:sz="8" w:space="0" w:color="000000"/>
              <w:left w:val="nil"/>
              <w:bottom w:val="single" w:sz="8" w:space="0" w:color="000000"/>
              <w:right w:val="single" w:sz="8" w:space="0" w:color="000000"/>
            </w:tcBorders>
            <w:shd w:val="clear" w:color="auto" w:fill="BDD7EE"/>
            <w:vAlign w:val="center"/>
          </w:tcPr>
          <w:p w:rsidR="008C2E53" w14:paraId="000000BE"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r>
              <w:rPr>
                <w:rFonts w:ascii="Calibri" w:eastAsia="Calibri" w:hAnsi="Calibri" w:cs="Calibri"/>
                <w:b/>
                <w:color w:val="000000"/>
                <w:sz w:val="18"/>
                <w:szCs w:val="18"/>
              </w:rPr>
              <w:br/>
              <w:t>(i) = (c) x (h)</w:t>
            </w:r>
          </w:p>
        </w:tc>
      </w:tr>
      <w:tr w14:paraId="05A32D83" w14:textId="77777777">
        <w:tblPrEx>
          <w:tblW w:w="9899" w:type="dxa"/>
          <w:tblInd w:w="-25" w:type="dxa"/>
          <w:tblLayout w:type="fixed"/>
          <w:tblLook w:val="0400"/>
        </w:tblPrEx>
        <w:trPr>
          <w:trHeight w:val="619"/>
        </w:trPr>
        <w:tc>
          <w:tcPr>
            <w:tcW w:w="2182" w:type="dxa"/>
            <w:tcBorders>
              <w:top w:val="nil"/>
              <w:left w:val="single" w:sz="4" w:space="0" w:color="000000"/>
              <w:bottom w:val="single" w:sz="4" w:space="0" w:color="000000"/>
              <w:right w:val="single" w:sz="4" w:space="0" w:color="000000"/>
            </w:tcBorders>
            <w:shd w:val="clear" w:color="auto" w:fill="auto"/>
            <w:vAlign w:val="center"/>
          </w:tcPr>
          <w:p w:rsidR="008C2E53" w14:paraId="000000BF" w14:textId="77777777">
            <w:pPr>
              <w:spacing w:before="0"/>
              <w:rPr>
                <w:rFonts w:ascii="Calibri" w:eastAsia="Calibri" w:hAnsi="Calibri" w:cs="Calibri"/>
                <w:color w:val="000000"/>
                <w:sz w:val="18"/>
                <w:szCs w:val="18"/>
              </w:rPr>
            </w:pPr>
            <w:r>
              <w:rPr>
                <w:rFonts w:ascii="Calibri" w:eastAsia="Calibri" w:hAnsi="Calibri" w:cs="Calibri"/>
                <w:color w:val="000000"/>
                <w:sz w:val="18"/>
                <w:szCs w:val="18"/>
              </w:rPr>
              <w:t> Annual Trawl Catcher/Processor EDR</w:t>
            </w:r>
          </w:p>
        </w:tc>
        <w:tc>
          <w:tcPr>
            <w:tcW w:w="1613" w:type="dxa"/>
            <w:tcBorders>
              <w:top w:val="nil"/>
              <w:left w:val="nil"/>
              <w:bottom w:val="single" w:sz="4" w:space="0" w:color="000000"/>
              <w:right w:val="single" w:sz="4" w:space="0" w:color="000000"/>
            </w:tcBorders>
            <w:shd w:val="clear" w:color="auto" w:fill="FFFFFF"/>
            <w:vAlign w:val="center"/>
          </w:tcPr>
          <w:p w:rsidR="008C2E53" w14:paraId="000000C0"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22</w:t>
            </w:r>
          </w:p>
        </w:tc>
        <w:tc>
          <w:tcPr>
            <w:tcW w:w="1335" w:type="dxa"/>
            <w:tcBorders>
              <w:top w:val="nil"/>
              <w:left w:val="nil"/>
              <w:bottom w:val="single" w:sz="4" w:space="0" w:color="000000"/>
              <w:right w:val="single" w:sz="4" w:space="0" w:color="000000"/>
            </w:tcBorders>
            <w:shd w:val="clear" w:color="auto" w:fill="FFFFFF"/>
            <w:vAlign w:val="center"/>
          </w:tcPr>
          <w:p w:rsidR="008C2E53" w14:paraId="000000C1"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474" w:type="dxa"/>
            <w:tcBorders>
              <w:top w:val="nil"/>
              <w:left w:val="nil"/>
              <w:bottom w:val="single" w:sz="4" w:space="0" w:color="000000"/>
              <w:right w:val="single" w:sz="4" w:space="0" w:color="000000"/>
            </w:tcBorders>
            <w:shd w:val="clear" w:color="auto" w:fill="FFFFFF"/>
            <w:vAlign w:val="center"/>
          </w:tcPr>
          <w:p w:rsidR="008C2E53" w14:paraId="000000C2"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22</w:t>
            </w:r>
          </w:p>
        </w:tc>
        <w:tc>
          <w:tcPr>
            <w:tcW w:w="1821" w:type="dxa"/>
            <w:tcBorders>
              <w:top w:val="nil"/>
              <w:left w:val="nil"/>
              <w:bottom w:val="single" w:sz="4" w:space="0" w:color="000000"/>
              <w:right w:val="single" w:sz="4" w:space="0" w:color="000000"/>
            </w:tcBorders>
            <w:shd w:val="clear" w:color="auto" w:fill="FFFFFF"/>
            <w:vAlign w:val="center"/>
          </w:tcPr>
          <w:p w:rsidR="008C2E53" w14:paraId="000000C3"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474" w:type="dxa"/>
            <w:tcBorders>
              <w:top w:val="nil"/>
              <w:left w:val="nil"/>
              <w:bottom w:val="single" w:sz="4" w:space="0" w:color="000000"/>
              <w:right w:val="single" w:sz="8" w:space="0" w:color="000000"/>
            </w:tcBorders>
            <w:shd w:val="clear" w:color="auto" w:fill="FFFFFF"/>
            <w:vAlign w:val="center"/>
          </w:tcPr>
          <w:p w:rsidR="008C2E53" w14:paraId="000000C4"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$110</w:t>
            </w:r>
          </w:p>
        </w:tc>
      </w:tr>
      <w:tr w14:paraId="6015A200" w14:textId="77777777">
        <w:tblPrEx>
          <w:tblW w:w="9899" w:type="dxa"/>
          <w:tblInd w:w="-25" w:type="dxa"/>
          <w:tblLayout w:type="fixed"/>
          <w:tblLook w:val="0400"/>
        </w:tblPrEx>
        <w:trPr>
          <w:trHeight w:val="349"/>
        </w:trPr>
        <w:tc>
          <w:tcPr>
            <w:tcW w:w="2182"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8C2E53" w14:paraId="000000C5" w14:textId="77777777">
            <w:pPr>
              <w:spacing w:before="0"/>
              <w:jc w:val="right"/>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613" w:type="dxa"/>
            <w:tcBorders>
              <w:top w:val="single" w:sz="8" w:space="0" w:color="000000"/>
              <w:left w:val="nil"/>
              <w:bottom w:val="single" w:sz="8" w:space="0" w:color="000000"/>
              <w:right w:val="single" w:sz="4" w:space="0" w:color="000000"/>
            </w:tcBorders>
            <w:shd w:val="clear" w:color="auto" w:fill="DDEBF7"/>
            <w:vAlign w:val="center"/>
          </w:tcPr>
          <w:p w:rsidR="008C2E53" w14:paraId="000000C6"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22</w:t>
            </w:r>
          </w:p>
        </w:tc>
        <w:tc>
          <w:tcPr>
            <w:tcW w:w="1335" w:type="dxa"/>
            <w:tcBorders>
              <w:top w:val="single" w:sz="8" w:space="0" w:color="000000"/>
              <w:left w:val="nil"/>
              <w:bottom w:val="single" w:sz="8" w:space="0" w:color="000000"/>
              <w:right w:val="single" w:sz="4" w:space="0" w:color="000000"/>
            </w:tcBorders>
            <w:shd w:val="clear" w:color="auto" w:fill="000000"/>
            <w:vAlign w:val="center"/>
          </w:tcPr>
          <w:p w:rsidR="008C2E53" w14:paraId="000000C7" w14:textId="77777777">
            <w:pPr>
              <w:spacing w:before="0"/>
              <w:jc w:val="center"/>
              <w:rPr>
                <w:rFonts w:ascii="Calibri" w:eastAsia="Calibri" w:hAnsi="Calibri" w:cs="Calibri"/>
                <w:b/>
                <w:color w:val="000000"/>
                <w:sz w:val="18"/>
                <w:szCs w:val="18"/>
              </w:rPr>
            </w:pPr>
          </w:p>
        </w:tc>
        <w:tc>
          <w:tcPr>
            <w:tcW w:w="1474" w:type="dxa"/>
            <w:tcBorders>
              <w:top w:val="single" w:sz="8" w:space="0" w:color="000000"/>
              <w:left w:val="nil"/>
              <w:bottom w:val="single" w:sz="8" w:space="0" w:color="000000"/>
              <w:right w:val="single" w:sz="4" w:space="0" w:color="000000"/>
            </w:tcBorders>
            <w:shd w:val="clear" w:color="auto" w:fill="DDEBF7"/>
            <w:vAlign w:val="center"/>
          </w:tcPr>
          <w:p w:rsidR="008C2E53" w14:paraId="000000C8"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22</w:t>
            </w:r>
          </w:p>
        </w:tc>
        <w:tc>
          <w:tcPr>
            <w:tcW w:w="1821" w:type="dxa"/>
            <w:tcBorders>
              <w:top w:val="single" w:sz="8" w:space="0" w:color="000000"/>
              <w:left w:val="nil"/>
              <w:bottom w:val="single" w:sz="8" w:space="0" w:color="000000"/>
              <w:right w:val="single" w:sz="4" w:space="0" w:color="000000"/>
            </w:tcBorders>
            <w:shd w:val="clear" w:color="auto" w:fill="000000"/>
            <w:vAlign w:val="center"/>
          </w:tcPr>
          <w:p w:rsidR="008C2E53" w14:paraId="000000C9" w14:textId="77777777">
            <w:pPr>
              <w:spacing w:before="0"/>
              <w:jc w:val="center"/>
              <w:rPr>
                <w:rFonts w:ascii="Calibri" w:eastAsia="Calibri" w:hAnsi="Calibri" w:cs="Calibri"/>
                <w:b/>
                <w:color w:val="000000"/>
                <w:sz w:val="18"/>
                <w:szCs w:val="18"/>
              </w:rPr>
            </w:pPr>
          </w:p>
        </w:tc>
        <w:tc>
          <w:tcPr>
            <w:tcW w:w="1474" w:type="dxa"/>
            <w:tcBorders>
              <w:top w:val="single" w:sz="8" w:space="0" w:color="000000"/>
              <w:left w:val="nil"/>
              <w:bottom w:val="single" w:sz="8" w:space="0" w:color="000000"/>
              <w:right w:val="single" w:sz="8" w:space="0" w:color="000000"/>
            </w:tcBorders>
            <w:shd w:val="clear" w:color="auto" w:fill="DDEBF7"/>
            <w:vAlign w:val="center"/>
          </w:tcPr>
          <w:p w:rsidR="008C2E53" w14:paraId="000000CA" w14:textId="77777777">
            <w:pPr>
              <w:spacing w:before="0"/>
              <w:jc w:val="center"/>
              <w:rPr>
                <w:rFonts w:ascii="Calibri" w:eastAsia="Calibri" w:hAnsi="Calibri" w:cs="Calibri"/>
                <w:b/>
                <w:color w:val="000000"/>
                <w:sz w:val="18"/>
                <w:szCs w:val="18"/>
              </w:rPr>
            </w:pPr>
            <w:r>
              <w:rPr>
                <w:rFonts w:ascii="Calibri" w:eastAsia="Calibri" w:hAnsi="Calibri" w:cs="Calibri"/>
                <w:b/>
                <w:color w:val="000000"/>
                <w:sz w:val="18"/>
                <w:szCs w:val="18"/>
              </w:rPr>
              <w:t>$110</w:t>
            </w:r>
          </w:p>
        </w:tc>
      </w:tr>
    </w:tbl>
    <w:p w:rsidR="008C2E53" w14:paraId="000000CB" w14:textId="572ECF3B">
      <w:pPr>
        <w:pBdr>
          <w:top w:val="nil"/>
          <w:left w:val="nil"/>
          <w:bottom w:val="nil"/>
          <w:right w:val="nil"/>
          <w:between w:val="nil"/>
        </w:pBdr>
        <w:spacing w:before="0"/>
        <w:rPr>
          <w:rFonts w:ascii="Times New Roman" w:eastAsia="Times New Roman" w:hAnsi="Times New Roman" w:cs="Times New Roman"/>
          <w:b/>
          <w:color w:val="000000"/>
          <w:sz w:val="24"/>
          <w:szCs w:val="24"/>
        </w:rPr>
      </w:pPr>
    </w:p>
    <w:p w:rsidR="00AB0E43" w14:paraId="39D0FFC6" w14:textId="77777777">
      <w:pPr>
        <w:pBdr>
          <w:top w:val="nil"/>
          <w:left w:val="nil"/>
          <w:bottom w:val="nil"/>
          <w:right w:val="nil"/>
          <w:between w:val="nil"/>
        </w:pBdr>
        <w:spacing w:before="0"/>
        <w:rPr>
          <w:rFonts w:ascii="Times New Roman" w:eastAsia="Times New Roman" w:hAnsi="Times New Roman" w:cs="Times New Roman"/>
          <w:b/>
          <w:color w:val="000000"/>
          <w:sz w:val="24"/>
          <w:szCs w:val="24"/>
        </w:rPr>
      </w:pPr>
    </w:p>
    <w:p w:rsidR="008C2E53" w14:paraId="000000CC"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Provide estimates of annualized cost to the Federal government. Also, provide a description of the method used to estimate cost, which should include </w:t>
      </w:r>
      <w:r>
        <w:rPr>
          <w:rFonts w:ascii="Times New Roman" w:eastAsia="Times New Roman" w:hAnsi="Times New Roman" w:cs="Times New Roman"/>
          <w:b/>
          <w:color w:val="000000"/>
          <w:sz w:val="24"/>
          <w:szCs w:val="24"/>
        </w:rPr>
        <w:t>quantification of hours, operational expenses (such as equipment, overhead, printing, and support staff), and any other expense that would not have been incurred without this collection of information.</w:t>
      </w:r>
    </w:p>
    <w:p w:rsidR="008C2E53" w14:paraId="000000CD" w14:textId="77777777">
      <w:pPr>
        <w:pBdr>
          <w:top w:val="nil"/>
          <w:left w:val="nil"/>
          <w:bottom w:val="nil"/>
          <w:right w:val="nil"/>
          <w:between w:val="nil"/>
        </w:pBdr>
        <w:tabs>
          <w:tab w:val="left" w:pos="360"/>
        </w:tabs>
        <w:spacing w:before="0"/>
        <w:rPr>
          <w:color w:val="000000"/>
        </w:rPr>
      </w:pPr>
    </w:p>
    <w:p w:rsidR="008C2E53" w14:paraId="000000CE"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NMFS costs associated with data collection for the Amendment 80 program, as a LAPP, are recoverable through program cost recovery fees. Under this cost recovery program, NMFS is authorized to collect direct program costs from the permit holders, including agency costs for administration of mandatory recordkeeping and reporting requirements associated with the LAPP. Therefore, the estimated Federal oversight and contractor costs associated with administration of the Annual Trawl Catcher/Processor EDR shown i</w:t>
      </w:r>
      <w:r>
        <w:rPr>
          <w:rFonts w:ascii="Times New Roman" w:eastAsia="Times New Roman" w:hAnsi="Times New Roman" w:cs="Times New Roman"/>
          <w:sz w:val="24"/>
          <w:szCs w:val="24"/>
        </w:rPr>
        <w:t xml:space="preserve">n the table below do not impose a cost on the Federal Government. </w:t>
      </w:r>
    </w:p>
    <w:p w:rsidR="008C2E53" w14:paraId="000000CF" w14:textId="77777777">
      <w:pPr>
        <w:spacing w:before="0"/>
        <w:rPr>
          <w:rFonts w:ascii="Times New Roman" w:eastAsia="Times New Roman" w:hAnsi="Times New Roman" w:cs="Times New Roman"/>
          <w:sz w:val="24"/>
          <w:szCs w:val="24"/>
        </w:rPr>
      </w:pPr>
    </w:p>
    <w:p w:rsidR="008C2E53" w14:paraId="000000D0"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costs are actual costs for a Federal oversight economist’s proportion of time applied to this collection within the overall EDR Program. Costs for the contracted services of the Pacific States Marine Fisheries Commission administration of data collection are based on a firm fixed prices mechanism and are inclusive of salaries, fringe benefits, supplies, and other miscellaneous costs. </w:t>
      </w:r>
    </w:p>
    <w:p w:rsidR="008C2E53" w14:paraId="000000D1" w14:textId="77777777">
      <w:pPr>
        <w:spacing w:before="0"/>
        <w:rPr>
          <w:rFonts w:ascii="Times New Roman" w:eastAsia="Times New Roman" w:hAnsi="Times New Roman" w:cs="Times New Roman"/>
          <w:sz w:val="24"/>
          <w:szCs w:val="24"/>
        </w:rPr>
      </w:pPr>
    </w:p>
    <w:p w:rsidR="008C2E53" w14:paraId="000000D2" w14:textId="77777777">
      <w:pPr>
        <w:widowControl w:val="0"/>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Commerce Alternative Personnel System (CAPS) pay tables at </w:t>
      </w:r>
      <w:hyperlink r:id="rId23">
        <w:r>
          <w:rPr>
            <w:rFonts w:ascii="Times New Roman" w:eastAsia="Times New Roman" w:hAnsi="Times New Roman" w:cs="Times New Roman"/>
            <w:color w:val="1155CC"/>
            <w:sz w:val="24"/>
            <w:szCs w:val="24"/>
            <w:u w:val="single"/>
          </w:rPr>
          <w:t>https://www.commerce.gov/sites/default/files/2024-01/CAPS_rpStandard_2024.pdf</w:t>
        </w:r>
      </w:hyperlink>
      <w:r>
        <w:rPr>
          <w:rFonts w:ascii="Times New Roman" w:eastAsia="Times New Roman" w:hAnsi="Times New Roman" w:cs="Times New Roman"/>
          <w:sz w:val="24"/>
          <w:szCs w:val="24"/>
        </w:rPr>
        <w:t xml:space="preserve"> were used to determine the base salary for a ZP-III Interval 3.  A multiplier of 1.5 was used to calculate the loaded salary.</w:t>
      </w:r>
    </w:p>
    <w:p w:rsidR="008C2E53" w14:paraId="000000D3" w14:textId="77777777">
      <w:pPr>
        <w:spacing w:before="0"/>
        <w:rPr>
          <w:rFonts w:ascii="Times New Roman" w:eastAsia="Times New Roman" w:hAnsi="Times New Roman" w:cs="Times New Roman"/>
          <w:sz w:val="24"/>
          <w:szCs w:val="24"/>
        </w:rPr>
      </w:pPr>
    </w:p>
    <w:p w:rsidR="008C2E53" w14:paraId="000000D4" w14:textId="15456F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303A(e) of the Magnuson-Stevens Act authorizes NMFS to implement a fee on the permit holders in the Amendment 80 Program to recover the costs of management, data collection and analyses, and enforcement activities for the program. The Annual Trawl Catcher/Processor EDR falls under the category of costs that are recovered from participants in the Amendment 80 Program. Under this program, all Federal and contractor costs for the Annual Trawl Catcher/Processor EDR are recovered and deposited into the U</w:t>
      </w:r>
      <w:r>
        <w:rPr>
          <w:rFonts w:ascii="Times New Roman" w:eastAsia="Times New Roman" w:hAnsi="Times New Roman" w:cs="Times New Roman"/>
          <w:sz w:val="24"/>
          <w:szCs w:val="24"/>
        </w:rPr>
        <w:t>.S. Treasury. Therefore, the costs to the Federal government for this information collection program are zero.</w:t>
      </w:r>
    </w:p>
    <w:p w:rsidR="008C2E53" w14:paraId="000000D5" w14:textId="77777777">
      <w:pPr>
        <w:spacing w:before="0"/>
        <w:rPr>
          <w:rFonts w:ascii="Times New Roman" w:eastAsia="Times New Roman" w:hAnsi="Times New Roman" w:cs="Times New Roman"/>
          <w:sz w:val="24"/>
          <w:szCs w:val="24"/>
        </w:rPr>
      </w:pPr>
    </w:p>
    <w:tbl>
      <w:tblPr>
        <w:tblStyle w:val="a7"/>
        <w:tblW w:w="9889" w:type="dxa"/>
        <w:jc w:val="center"/>
        <w:tblLayout w:type="fixed"/>
        <w:tblLook w:val="0400"/>
      </w:tblPr>
      <w:tblGrid>
        <w:gridCol w:w="2251"/>
        <w:gridCol w:w="1515"/>
        <w:gridCol w:w="1622"/>
        <w:gridCol w:w="1362"/>
        <w:gridCol w:w="1507"/>
        <w:gridCol w:w="1632"/>
      </w:tblGrid>
      <w:tr w14:paraId="38F4C8AB" w14:textId="77777777">
        <w:tblPrEx>
          <w:tblW w:w="9889" w:type="dxa"/>
          <w:jc w:val="center"/>
          <w:tblLayout w:type="fixed"/>
          <w:tblLook w:val="0400"/>
        </w:tblPrEx>
        <w:trPr>
          <w:trHeight w:val="858"/>
          <w:jc w:val="center"/>
        </w:trPr>
        <w:tc>
          <w:tcPr>
            <w:tcW w:w="2251" w:type="dxa"/>
            <w:tcBorders>
              <w:top w:val="single" w:sz="8" w:space="0" w:color="000000"/>
              <w:left w:val="single" w:sz="8" w:space="0" w:color="000000"/>
              <w:bottom w:val="nil"/>
              <w:right w:val="single" w:sz="8" w:space="0" w:color="000000"/>
            </w:tcBorders>
            <w:shd w:val="clear" w:color="auto" w:fill="BDD7EE"/>
            <w:vAlign w:val="center"/>
          </w:tcPr>
          <w:p w:rsidR="008C2E53" w14:paraId="000000D6"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Cost Descriptions</w:t>
            </w:r>
          </w:p>
        </w:tc>
        <w:tc>
          <w:tcPr>
            <w:tcW w:w="1515" w:type="dxa"/>
            <w:tcBorders>
              <w:top w:val="single" w:sz="8" w:space="0" w:color="000000"/>
              <w:left w:val="nil"/>
              <w:bottom w:val="nil"/>
              <w:right w:val="single" w:sz="8" w:space="0" w:color="000000"/>
            </w:tcBorders>
            <w:shd w:val="clear" w:color="auto" w:fill="BDD7EE"/>
            <w:vAlign w:val="center"/>
          </w:tcPr>
          <w:p w:rsidR="008C2E53" w14:paraId="000000D7"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Grade/Step</w:t>
            </w:r>
          </w:p>
        </w:tc>
        <w:tc>
          <w:tcPr>
            <w:tcW w:w="1622" w:type="dxa"/>
            <w:tcBorders>
              <w:top w:val="single" w:sz="8" w:space="0" w:color="000000"/>
              <w:left w:val="nil"/>
              <w:bottom w:val="nil"/>
              <w:right w:val="single" w:sz="8" w:space="0" w:color="000000"/>
            </w:tcBorders>
            <w:shd w:val="clear" w:color="auto" w:fill="BDD7EE"/>
            <w:vAlign w:val="center"/>
          </w:tcPr>
          <w:p w:rsidR="008C2E53" w14:paraId="000000D8"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Loaded Salary /Cost </w:t>
            </w:r>
          </w:p>
        </w:tc>
        <w:tc>
          <w:tcPr>
            <w:tcW w:w="1362" w:type="dxa"/>
            <w:tcBorders>
              <w:top w:val="single" w:sz="8" w:space="0" w:color="000000"/>
              <w:left w:val="nil"/>
              <w:bottom w:val="nil"/>
              <w:right w:val="single" w:sz="8" w:space="0" w:color="000000"/>
            </w:tcBorders>
            <w:shd w:val="clear" w:color="auto" w:fill="BDD7EE"/>
            <w:vAlign w:val="center"/>
          </w:tcPr>
          <w:p w:rsidR="008C2E53" w14:paraId="000000D9"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 of Effort</w:t>
            </w:r>
          </w:p>
        </w:tc>
        <w:tc>
          <w:tcPr>
            <w:tcW w:w="1507" w:type="dxa"/>
            <w:tcBorders>
              <w:top w:val="single" w:sz="8" w:space="0" w:color="000000"/>
              <w:left w:val="nil"/>
              <w:bottom w:val="nil"/>
              <w:right w:val="single" w:sz="8" w:space="0" w:color="000000"/>
            </w:tcBorders>
            <w:shd w:val="clear" w:color="auto" w:fill="BDD7EE"/>
            <w:vAlign w:val="center"/>
          </w:tcPr>
          <w:p w:rsidR="008C2E53" w14:paraId="000000DA"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Fringe (if Applicable)</w:t>
            </w:r>
          </w:p>
        </w:tc>
        <w:tc>
          <w:tcPr>
            <w:tcW w:w="1632" w:type="dxa"/>
            <w:tcBorders>
              <w:top w:val="single" w:sz="8" w:space="0" w:color="000000"/>
              <w:left w:val="nil"/>
              <w:bottom w:val="nil"/>
              <w:right w:val="single" w:sz="8" w:space="0" w:color="000000"/>
            </w:tcBorders>
            <w:shd w:val="clear" w:color="auto" w:fill="BDD7EE"/>
            <w:vAlign w:val="center"/>
          </w:tcPr>
          <w:p w:rsidR="008C2E53" w14:paraId="000000DB" w14:textId="77777777">
            <w:pPr>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Cost to Government </w:t>
            </w:r>
          </w:p>
        </w:tc>
      </w:tr>
      <w:tr w14:paraId="21C32CD4" w14:textId="77777777">
        <w:tblPrEx>
          <w:tblW w:w="9889" w:type="dxa"/>
          <w:jc w:val="center"/>
          <w:tblLayout w:type="fixed"/>
          <w:tblLook w:val="0400"/>
        </w:tblPrEx>
        <w:trPr>
          <w:trHeight w:val="312"/>
          <w:jc w:val="center"/>
        </w:trPr>
        <w:tc>
          <w:tcPr>
            <w:tcW w:w="22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C2E53" w14:paraId="000000DC" w14:textId="77777777">
            <w:pPr>
              <w:spacing w:before="0"/>
              <w:rPr>
                <w:rFonts w:ascii="Calibri" w:eastAsia="Calibri" w:hAnsi="Calibri" w:cs="Calibri"/>
                <w:b/>
                <w:color w:val="000000"/>
                <w:sz w:val="18"/>
                <w:szCs w:val="18"/>
              </w:rPr>
            </w:pPr>
            <w:r>
              <w:rPr>
                <w:rFonts w:ascii="Calibri" w:eastAsia="Calibri" w:hAnsi="Calibri" w:cs="Calibri"/>
                <w:b/>
                <w:color w:val="000000"/>
                <w:sz w:val="18"/>
                <w:szCs w:val="18"/>
              </w:rPr>
              <w:t>Federal Oversight</w:t>
            </w:r>
          </w:p>
        </w:tc>
        <w:tc>
          <w:tcPr>
            <w:tcW w:w="1515" w:type="dxa"/>
            <w:tcBorders>
              <w:top w:val="single" w:sz="8" w:space="0" w:color="000000"/>
              <w:left w:val="nil"/>
              <w:bottom w:val="single" w:sz="8" w:space="0" w:color="000000"/>
              <w:right w:val="single" w:sz="8" w:space="0" w:color="000000"/>
            </w:tcBorders>
            <w:shd w:val="clear" w:color="auto" w:fill="auto"/>
            <w:vAlign w:val="center"/>
          </w:tcPr>
          <w:p w:rsidR="008C2E53" w14:paraId="000000DD"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ZP III/03</w:t>
            </w:r>
          </w:p>
        </w:tc>
        <w:tc>
          <w:tcPr>
            <w:tcW w:w="1622" w:type="dxa"/>
            <w:tcBorders>
              <w:top w:val="single" w:sz="8" w:space="0" w:color="000000"/>
              <w:left w:val="nil"/>
              <w:bottom w:val="single" w:sz="8" w:space="0" w:color="000000"/>
              <w:right w:val="single" w:sz="8" w:space="0" w:color="000000"/>
            </w:tcBorders>
            <w:shd w:val="clear" w:color="auto" w:fill="auto"/>
            <w:vAlign w:val="center"/>
          </w:tcPr>
          <w:p w:rsidR="008C2E53" w14:paraId="000000DE"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191,547</w:t>
            </w:r>
          </w:p>
        </w:tc>
        <w:tc>
          <w:tcPr>
            <w:tcW w:w="1362" w:type="dxa"/>
            <w:tcBorders>
              <w:top w:val="single" w:sz="8" w:space="0" w:color="000000"/>
              <w:left w:val="nil"/>
              <w:bottom w:val="single" w:sz="8" w:space="0" w:color="000000"/>
              <w:right w:val="single" w:sz="8" w:space="0" w:color="000000"/>
            </w:tcBorders>
            <w:shd w:val="clear" w:color="auto" w:fill="auto"/>
            <w:vAlign w:val="center"/>
          </w:tcPr>
          <w:p w:rsidR="008C2E53" w14:paraId="000000DF"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45</w:t>
            </w:r>
          </w:p>
        </w:tc>
        <w:tc>
          <w:tcPr>
            <w:tcW w:w="1507" w:type="dxa"/>
            <w:tcBorders>
              <w:top w:val="single" w:sz="8" w:space="0" w:color="000000"/>
              <w:left w:val="nil"/>
              <w:bottom w:val="single" w:sz="8" w:space="0" w:color="000000"/>
              <w:right w:val="single" w:sz="8" w:space="0" w:color="000000"/>
            </w:tcBorders>
            <w:shd w:val="clear" w:color="auto" w:fill="808080"/>
            <w:vAlign w:val="center"/>
          </w:tcPr>
          <w:p w:rsidR="008C2E53" w14:paraId="000000E0" w14:textId="77777777">
            <w:pPr>
              <w:spacing w:before="0"/>
              <w:jc w:val="center"/>
              <w:rPr>
                <w:rFonts w:ascii="Calibri" w:eastAsia="Calibri" w:hAnsi="Calibri" w:cs="Calibri"/>
                <w:color w:val="000000"/>
                <w:sz w:val="18"/>
                <w:szCs w:val="18"/>
              </w:rPr>
            </w:pPr>
          </w:p>
        </w:tc>
        <w:tc>
          <w:tcPr>
            <w:tcW w:w="1632" w:type="dxa"/>
            <w:tcBorders>
              <w:top w:val="single" w:sz="8" w:space="0" w:color="000000"/>
              <w:left w:val="nil"/>
              <w:bottom w:val="single" w:sz="8" w:space="0" w:color="000000"/>
              <w:right w:val="single" w:sz="8" w:space="0" w:color="000000"/>
            </w:tcBorders>
            <w:shd w:val="clear" w:color="auto" w:fill="auto"/>
            <w:vAlign w:val="center"/>
          </w:tcPr>
          <w:p w:rsidR="008C2E53" w14:paraId="000000E1"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86,196</w:t>
            </w:r>
          </w:p>
        </w:tc>
      </w:tr>
      <w:tr w14:paraId="579B7949" w14:textId="77777777">
        <w:tblPrEx>
          <w:tblW w:w="9889" w:type="dxa"/>
          <w:jc w:val="center"/>
          <w:tblLayout w:type="fixed"/>
          <w:tblLook w:val="0400"/>
        </w:tblPrEx>
        <w:trPr>
          <w:trHeight w:val="312"/>
          <w:jc w:val="center"/>
        </w:trPr>
        <w:tc>
          <w:tcPr>
            <w:tcW w:w="2251" w:type="dxa"/>
            <w:tcBorders>
              <w:top w:val="nil"/>
              <w:left w:val="single" w:sz="8" w:space="0" w:color="000000"/>
              <w:bottom w:val="single" w:sz="8" w:space="0" w:color="000000"/>
              <w:right w:val="single" w:sz="8" w:space="0" w:color="000000"/>
            </w:tcBorders>
            <w:shd w:val="clear" w:color="auto" w:fill="auto"/>
            <w:vAlign w:val="center"/>
          </w:tcPr>
          <w:p w:rsidR="008C2E53" w14:paraId="000000E2" w14:textId="77777777">
            <w:pPr>
              <w:spacing w:before="0"/>
              <w:rPr>
                <w:rFonts w:ascii="Calibri" w:eastAsia="Calibri" w:hAnsi="Calibri" w:cs="Calibri"/>
                <w:color w:val="000000"/>
                <w:sz w:val="18"/>
                <w:szCs w:val="18"/>
              </w:rPr>
            </w:pPr>
            <w:r>
              <w:rPr>
                <w:rFonts w:ascii="Calibri" w:eastAsia="Calibri" w:hAnsi="Calibri" w:cs="Calibri"/>
                <w:color w:val="000000"/>
                <w:sz w:val="18"/>
                <w:szCs w:val="18"/>
              </w:rPr>
              <w:t>Other Federal Positions</w:t>
            </w:r>
          </w:p>
        </w:tc>
        <w:tc>
          <w:tcPr>
            <w:tcW w:w="1515" w:type="dxa"/>
            <w:tcBorders>
              <w:top w:val="nil"/>
              <w:left w:val="nil"/>
              <w:bottom w:val="single" w:sz="8" w:space="0" w:color="000000"/>
              <w:right w:val="single" w:sz="8" w:space="0" w:color="000000"/>
            </w:tcBorders>
            <w:shd w:val="clear" w:color="auto" w:fill="auto"/>
            <w:vAlign w:val="center"/>
          </w:tcPr>
          <w:p w:rsidR="008C2E53" w14:paraId="000000E3" w14:textId="77777777">
            <w:pPr>
              <w:spacing w:before="0"/>
              <w:jc w:val="center"/>
              <w:rPr>
                <w:rFonts w:ascii="Calibri" w:eastAsia="Calibri" w:hAnsi="Calibri" w:cs="Calibri"/>
                <w:color w:val="000000"/>
                <w:sz w:val="18"/>
                <w:szCs w:val="18"/>
              </w:rPr>
            </w:pPr>
          </w:p>
        </w:tc>
        <w:tc>
          <w:tcPr>
            <w:tcW w:w="1622" w:type="dxa"/>
            <w:tcBorders>
              <w:top w:val="nil"/>
              <w:left w:val="nil"/>
              <w:bottom w:val="single" w:sz="8" w:space="0" w:color="000000"/>
              <w:right w:val="single" w:sz="8" w:space="0" w:color="000000"/>
            </w:tcBorders>
            <w:shd w:val="clear" w:color="auto" w:fill="auto"/>
            <w:vAlign w:val="center"/>
          </w:tcPr>
          <w:p w:rsidR="008C2E53" w14:paraId="000000E4" w14:textId="77777777">
            <w:pPr>
              <w:spacing w:before="0"/>
              <w:jc w:val="center"/>
              <w:rPr>
                <w:rFonts w:ascii="Calibri" w:eastAsia="Calibri" w:hAnsi="Calibri" w:cs="Calibri"/>
                <w:color w:val="000000"/>
                <w:sz w:val="18"/>
                <w:szCs w:val="18"/>
              </w:rPr>
            </w:pPr>
          </w:p>
        </w:tc>
        <w:tc>
          <w:tcPr>
            <w:tcW w:w="1362" w:type="dxa"/>
            <w:tcBorders>
              <w:top w:val="nil"/>
              <w:left w:val="nil"/>
              <w:bottom w:val="single" w:sz="8" w:space="0" w:color="000000"/>
              <w:right w:val="single" w:sz="8" w:space="0" w:color="000000"/>
            </w:tcBorders>
            <w:shd w:val="clear" w:color="auto" w:fill="auto"/>
            <w:vAlign w:val="center"/>
          </w:tcPr>
          <w:p w:rsidR="008C2E53" w14:paraId="000000E5" w14:textId="77777777">
            <w:pPr>
              <w:spacing w:before="0"/>
              <w:jc w:val="center"/>
              <w:rPr>
                <w:rFonts w:ascii="Calibri" w:eastAsia="Calibri" w:hAnsi="Calibri" w:cs="Calibri"/>
                <w:color w:val="000000"/>
                <w:sz w:val="18"/>
                <w:szCs w:val="18"/>
              </w:rPr>
            </w:pPr>
          </w:p>
        </w:tc>
        <w:tc>
          <w:tcPr>
            <w:tcW w:w="1507" w:type="dxa"/>
            <w:tcBorders>
              <w:top w:val="nil"/>
              <w:left w:val="nil"/>
              <w:bottom w:val="single" w:sz="8" w:space="0" w:color="000000"/>
              <w:right w:val="single" w:sz="8" w:space="0" w:color="000000"/>
            </w:tcBorders>
            <w:shd w:val="clear" w:color="auto" w:fill="808080"/>
            <w:vAlign w:val="center"/>
          </w:tcPr>
          <w:p w:rsidR="008C2E53" w14:paraId="000000E6" w14:textId="77777777">
            <w:pPr>
              <w:spacing w:before="0"/>
              <w:jc w:val="center"/>
              <w:rPr>
                <w:rFonts w:ascii="Calibri" w:eastAsia="Calibri" w:hAnsi="Calibri" w:cs="Calibri"/>
                <w:color w:val="000000"/>
                <w:sz w:val="18"/>
                <w:szCs w:val="18"/>
              </w:rPr>
            </w:pPr>
          </w:p>
        </w:tc>
        <w:tc>
          <w:tcPr>
            <w:tcW w:w="1632" w:type="dxa"/>
            <w:tcBorders>
              <w:top w:val="nil"/>
              <w:left w:val="nil"/>
              <w:bottom w:val="single" w:sz="8" w:space="0" w:color="000000"/>
              <w:right w:val="single" w:sz="8" w:space="0" w:color="000000"/>
            </w:tcBorders>
            <w:shd w:val="clear" w:color="auto" w:fill="auto"/>
            <w:vAlign w:val="center"/>
          </w:tcPr>
          <w:p w:rsidR="008C2E53" w14:paraId="000000E7" w14:textId="77777777">
            <w:pPr>
              <w:spacing w:before="0"/>
              <w:jc w:val="center"/>
              <w:rPr>
                <w:rFonts w:ascii="Calibri" w:eastAsia="Calibri" w:hAnsi="Calibri" w:cs="Calibri"/>
                <w:color w:val="000000"/>
                <w:sz w:val="18"/>
                <w:szCs w:val="18"/>
              </w:rPr>
            </w:pPr>
          </w:p>
        </w:tc>
      </w:tr>
      <w:tr w14:paraId="0288CF2C" w14:textId="77777777">
        <w:tblPrEx>
          <w:tblW w:w="9889" w:type="dxa"/>
          <w:jc w:val="center"/>
          <w:tblLayout w:type="fixed"/>
          <w:tblLook w:val="0400"/>
        </w:tblPrEx>
        <w:trPr>
          <w:trHeight w:val="312"/>
          <w:jc w:val="center"/>
        </w:trPr>
        <w:tc>
          <w:tcPr>
            <w:tcW w:w="2251" w:type="dxa"/>
            <w:tcBorders>
              <w:top w:val="nil"/>
              <w:left w:val="single" w:sz="8" w:space="0" w:color="000000"/>
              <w:bottom w:val="single" w:sz="8" w:space="0" w:color="000000"/>
              <w:right w:val="single" w:sz="8" w:space="0" w:color="000000"/>
            </w:tcBorders>
            <w:shd w:val="clear" w:color="auto" w:fill="auto"/>
            <w:vAlign w:val="center"/>
          </w:tcPr>
          <w:p w:rsidR="008C2E53" w14:paraId="000000E8" w14:textId="77777777">
            <w:pPr>
              <w:spacing w:before="0"/>
              <w:rPr>
                <w:rFonts w:ascii="Calibri" w:eastAsia="Calibri" w:hAnsi="Calibri" w:cs="Calibri"/>
                <w:b/>
                <w:color w:val="000000"/>
                <w:sz w:val="18"/>
                <w:szCs w:val="18"/>
              </w:rPr>
            </w:pPr>
            <w:r>
              <w:rPr>
                <w:rFonts w:ascii="Calibri" w:eastAsia="Calibri" w:hAnsi="Calibri" w:cs="Calibri"/>
                <w:b/>
                <w:color w:val="000000"/>
                <w:sz w:val="18"/>
                <w:szCs w:val="18"/>
              </w:rPr>
              <w:t>Contractor Cost</w:t>
            </w:r>
          </w:p>
        </w:tc>
        <w:tc>
          <w:tcPr>
            <w:tcW w:w="1515" w:type="dxa"/>
            <w:tcBorders>
              <w:top w:val="nil"/>
              <w:left w:val="nil"/>
              <w:bottom w:val="single" w:sz="8" w:space="0" w:color="000000"/>
              <w:right w:val="single" w:sz="8" w:space="0" w:color="000000"/>
            </w:tcBorders>
            <w:shd w:val="clear" w:color="auto" w:fill="808080"/>
            <w:vAlign w:val="center"/>
          </w:tcPr>
          <w:p w:rsidR="008C2E53" w14:paraId="000000E9" w14:textId="77777777">
            <w:pPr>
              <w:spacing w:before="0"/>
              <w:jc w:val="center"/>
              <w:rPr>
                <w:rFonts w:ascii="Calibri" w:eastAsia="Calibri" w:hAnsi="Calibri" w:cs="Calibri"/>
                <w:color w:val="000000"/>
                <w:sz w:val="18"/>
                <w:szCs w:val="18"/>
              </w:rPr>
            </w:pPr>
          </w:p>
        </w:tc>
        <w:tc>
          <w:tcPr>
            <w:tcW w:w="1622" w:type="dxa"/>
            <w:tcBorders>
              <w:top w:val="nil"/>
              <w:left w:val="nil"/>
              <w:bottom w:val="single" w:sz="8" w:space="0" w:color="000000"/>
              <w:right w:val="single" w:sz="8" w:space="0" w:color="000000"/>
            </w:tcBorders>
            <w:shd w:val="clear" w:color="auto" w:fill="auto"/>
            <w:vAlign w:val="center"/>
          </w:tcPr>
          <w:p w:rsidR="008C2E53" w14:paraId="000000EA" w14:textId="77777777">
            <w:pPr>
              <w:spacing w:before="0"/>
              <w:jc w:val="center"/>
              <w:rPr>
                <w:rFonts w:ascii="Calibri" w:eastAsia="Calibri" w:hAnsi="Calibri" w:cs="Calibri"/>
                <w:color w:val="000000"/>
                <w:sz w:val="18"/>
                <w:szCs w:val="18"/>
              </w:rPr>
            </w:pPr>
          </w:p>
        </w:tc>
        <w:tc>
          <w:tcPr>
            <w:tcW w:w="1362" w:type="dxa"/>
            <w:tcBorders>
              <w:top w:val="nil"/>
              <w:left w:val="nil"/>
              <w:bottom w:val="single" w:sz="8" w:space="0" w:color="000000"/>
              <w:right w:val="single" w:sz="8" w:space="0" w:color="000000"/>
            </w:tcBorders>
            <w:shd w:val="clear" w:color="auto" w:fill="auto"/>
            <w:vAlign w:val="center"/>
          </w:tcPr>
          <w:p w:rsidR="008C2E53" w14:paraId="000000EB" w14:textId="77777777">
            <w:pPr>
              <w:spacing w:before="0"/>
              <w:jc w:val="center"/>
              <w:rPr>
                <w:rFonts w:ascii="Calibri" w:eastAsia="Calibri" w:hAnsi="Calibri" w:cs="Calibri"/>
                <w:color w:val="000000"/>
                <w:sz w:val="18"/>
                <w:szCs w:val="18"/>
              </w:rPr>
            </w:pPr>
          </w:p>
        </w:tc>
        <w:tc>
          <w:tcPr>
            <w:tcW w:w="1507" w:type="dxa"/>
            <w:tcBorders>
              <w:top w:val="nil"/>
              <w:left w:val="nil"/>
              <w:bottom w:val="single" w:sz="8" w:space="0" w:color="000000"/>
              <w:right w:val="single" w:sz="8" w:space="0" w:color="000000"/>
            </w:tcBorders>
            <w:shd w:val="clear" w:color="auto" w:fill="auto"/>
            <w:vAlign w:val="center"/>
          </w:tcPr>
          <w:p w:rsidR="008C2E53" w14:paraId="000000EC" w14:textId="77777777">
            <w:pPr>
              <w:spacing w:before="0"/>
              <w:jc w:val="center"/>
              <w:rPr>
                <w:rFonts w:ascii="Calibri" w:eastAsia="Calibri" w:hAnsi="Calibri" w:cs="Calibri"/>
                <w:color w:val="000000"/>
                <w:sz w:val="18"/>
                <w:szCs w:val="18"/>
              </w:rPr>
            </w:pPr>
          </w:p>
        </w:tc>
        <w:tc>
          <w:tcPr>
            <w:tcW w:w="1632" w:type="dxa"/>
            <w:tcBorders>
              <w:top w:val="nil"/>
              <w:left w:val="nil"/>
              <w:bottom w:val="single" w:sz="8" w:space="0" w:color="000000"/>
              <w:right w:val="single" w:sz="8" w:space="0" w:color="000000"/>
            </w:tcBorders>
            <w:shd w:val="clear" w:color="auto" w:fill="auto"/>
            <w:vAlign w:val="center"/>
          </w:tcPr>
          <w:p w:rsidR="008C2E53" w14:paraId="000000ED"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130,943</w:t>
            </w:r>
          </w:p>
        </w:tc>
      </w:tr>
      <w:tr w14:paraId="558082CE" w14:textId="77777777">
        <w:tblPrEx>
          <w:tblW w:w="9889" w:type="dxa"/>
          <w:jc w:val="center"/>
          <w:tblLayout w:type="fixed"/>
          <w:tblLook w:val="0400"/>
        </w:tblPrEx>
        <w:trPr>
          <w:trHeight w:val="312"/>
          <w:jc w:val="center"/>
        </w:trPr>
        <w:tc>
          <w:tcPr>
            <w:tcW w:w="2251" w:type="dxa"/>
            <w:tcBorders>
              <w:top w:val="nil"/>
              <w:left w:val="single" w:sz="8" w:space="0" w:color="000000"/>
              <w:bottom w:val="single" w:sz="8" w:space="0" w:color="000000"/>
              <w:right w:val="single" w:sz="8" w:space="0" w:color="000000"/>
            </w:tcBorders>
            <w:shd w:val="clear" w:color="auto" w:fill="auto"/>
            <w:vAlign w:val="center"/>
          </w:tcPr>
          <w:p w:rsidR="008C2E53" w14:paraId="000000EE" w14:textId="77777777">
            <w:pPr>
              <w:spacing w:before="0"/>
              <w:rPr>
                <w:rFonts w:ascii="Calibri" w:eastAsia="Calibri" w:hAnsi="Calibri" w:cs="Calibri"/>
                <w:b/>
                <w:color w:val="000000"/>
                <w:sz w:val="18"/>
                <w:szCs w:val="18"/>
              </w:rPr>
            </w:pPr>
            <w:r>
              <w:rPr>
                <w:rFonts w:ascii="Calibri" w:eastAsia="Calibri" w:hAnsi="Calibri" w:cs="Calibri"/>
                <w:b/>
                <w:color w:val="000000"/>
                <w:sz w:val="18"/>
                <w:szCs w:val="18"/>
              </w:rPr>
              <w:t>Travel</w:t>
            </w:r>
          </w:p>
        </w:tc>
        <w:tc>
          <w:tcPr>
            <w:tcW w:w="1515" w:type="dxa"/>
            <w:tcBorders>
              <w:top w:val="nil"/>
              <w:left w:val="nil"/>
              <w:bottom w:val="single" w:sz="8" w:space="0" w:color="000000"/>
              <w:right w:val="single" w:sz="8" w:space="0" w:color="000000"/>
            </w:tcBorders>
            <w:shd w:val="clear" w:color="auto" w:fill="808080"/>
            <w:vAlign w:val="center"/>
          </w:tcPr>
          <w:p w:rsidR="008C2E53" w14:paraId="000000EF" w14:textId="77777777">
            <w:pPr>
              <w:spacing w:before="0"/>
              <w:jc w:val="center"/>
              <w:rPr>
                <w:rFonts w:ascii="Calibri" w:eastAsia="Calibri" w:hAnsi="Calibri" w:cs="Calibri"/>
                <w:color w:val="000000"/>
                <w:sz w:val="18"/>
                <w:szCs w:val="18"/>
              </w:rPr>
            </w:pPr>
          </w:p>
        </w:tc>
        <w:tc>
          <w:tcPr>
            <w:tcW w:w="1622" w:type="dxa"/>
            <w:tcBorders>
              <w:top w:val="nil"/>
              <w:left w:val="nil"/>
              <w:bottom w:val="single" w:sz="8" w:space="0" w:color="000000"/>
              <w:right w:val="single" w:sz="8" w:space="0" w:color="000000"/>
            </w:tcBorders>
            <w:shd w:val="clear" w:color="auto" w:fill="808080"/>
            <w:vAlign w:val="center"/>
          </w:tcPr>
          <w:p w:rsidR="008C2E53" w14:paraId="000000F0" w14:textId="77777777">
            <w:pPr>
              <w:spacing w:before="0"/>
              <w:jc w:val="center"/>
              <w:rPr>
                <w:rFonts w:ascii="Calibri" w:eastAsia="Calibri" w:hAnsi="Calibri" w:cs="Calibri"/>
                <w:color w:val="000000"/>
                <w:sz w:val="18"/>
                <w:szCs w:val="18"/>
              </w:rPr>
            </w:pPr>
          </w:p>
        </w:tc>
        <w:tc>
          <w:tcPr>
            <w:tcW w:w="1362" w:type="dxa"/>
            <w:tcBorders>
              <w:top w:val="nil"/>
              <w:left w:val="nil"/>
              <w:bottom w:val="single" w:sz="8" w:space="0" w:color="000000"/>
              <w:right w:val="single" w:sz="8" w:space="0" w:color="000000"/>
            </w:tcBorders>
            <w:shd w:val="clear" w:color="auto" w:fill="808080"/>
            <w:vAlign w:val="center"/>
          </w:tcPr>
          <w:p w:rsidR="008C2E53" w14:paraId="000000F1" w14:textId="77777777">
            <w:pPr>
              <w:spacing w:before="0"/>
              <w:jc w:val="center"/>
              <w:rPr>
                <w:rFonts w:ascii="Calibri" w:eastAsia="Calibri" w:hAnsi="Calibri" w:cs="Calibri"/>
                <w:color w:val="000000"/>
                <w:sz w:val="18"/>
                <w:szCs w:val="18"/>
              </w:rPr>
            </w:pPr>
          </w:p>
        </w:tc>
        <w:tc>
          <w:tcPr>
            <w:tcW w:w="1507" w:type="dxa"/>
            <w:tcBorders>
              <w:top w:val="nil"/>
              <w:left w:val="nil"/>
              <w:bottom w:val="single" w:sz="8" w:space="0" w:color="000000"/>
              <w:right w:val="single" w:sz="8" w:space="0" w:color="000000"/>
            </w:tcBorders>
            <w:shd w:val="clear" w:color="auto" w:fill="808080"/>
            <w:vAlign w:val="center"/>
          </w:tcPr>
          <w:p w:rsidR="008C2E53" w14:paraId="000000F2" w14:textId="77777777">
            <w:pPr>
              <w:spacing w:before="0"/>
              <w:jc w:val="center"/>
              <w:rPr>
                <w:rFonts w:ascii="Calibri" w:eastAsia="Calibri" w:hAnsi="Calibri" w:cs="Calibri"/>
                <w:color w:val="000000"/>
                <w:sz w:val="18"/>
                <w:szCs w:val="18"/>
              </w:rPr>
            </w:pPr>
          </w:p>
        </w:tc>
        <w:tc>
          <w:tcPr>
            <w:tcW w:w="1632" w:type="dxa"/>
            <w:tcBorders>
              <w:top w:val="nil"/>
              <w:left w:val="nil"/>
              <w:bottom w:val="single" w:sz="8" w:space="0" w:color="000000"/>
              <w:right w:val="single" w:sz="8" w:space="0" w:color="000000"/>
            </w:tcBorders>
            <w:shd w:val="clear" w:color="auto" w:fill="auto"/>
            <w:vAlign w:val="center"/>
          </w:tcPr>
          <w:p w:rsidR="008C2E53" w14:paraId="000000F3" w14:textId="77777777">
            <w:pPr>
              <w:spacing w:before="0"/>
              <w:jc w:val="center"/>
              <w:rPr>
                <w:rFonts w:ascii="Calibri" w:eastAsia="Calibri" w:hAnsi="Calibri" w:cs="Calibri"/>
                <w:color w:val="000000"/>
                <w:sz w:val="18"/>
                <w:szCs w:val="18"/>
              </w:rPr>
            </w:pPr>
          </w:p>
        </w:tc>
      </w:tr>
      <w:tr w14:paraId="3E26FF0A" w14:textId="77777777">
        <w:tblPrEx>
          <w:tblW w:w="9889" w:type="dxa"/>
          <w:jc w:val="center"/>
          <w:tblLayout w:type="fixed"/>
          <w:tblLook w:val="0400"/>
        </w:tblPrEx>
        <w:trPr>
          <w:trHeight w:val="312"/>
          <w:jc w:val="center"/>
        </w:trPr>
        <w:tc>
          <w:tcPr>
            <w:tcW w:w="2251" w:type="dxa"/>
            <w:tcBorders>
              <w:top w:val="nil"/>
              <w:left w:val="single" w:sz="8" w:space="0" w:color="000000"/>
              <w:bottom w:val="nil"/>
              <w:right w:val="single" w:sz="8" w:space="0" w:color="000000"/>
            </w:tcBorders>
            <w:shd w:val="clear" w:color="auto" w:fill="auto"/>
            <w:vAlign w:val="center"/>
          </w:tcPr>
          <w:p w:rsidR="008C2E53" w14:paraId="000000F4" w14:textId="77777777">
            <w:pPr>
              <w:spacing w:before="0"/>
              <w:rPr>
                <w:rFonts w:ascii="Calibri" w:eastAsia="Calibri" w:hAnsi="Calibri" w:cs="Calibri"/>
                <w:b/>
                <w:color w:val="000000"/>
                <w:sz w:val="18"/>
                <w:szCs w:val="18"/>
              </w:rPr>
            </w:pPr>
            <w:r>
              <w:rPr>
                <w:rFonts w:ascii="Calibri" w:eastAsia="Calibri" w:hAnsi="Calibri" w:cs="Calibri"/>
                <w:b/>
                <w:color w:val="000000"/>
                <w:sz w:val="18"/>
                <w:szCs w:val="18"/>
              </w:rPr>
              <w:t xml:space="preserve">Other Costs: </w:t>
            </w:r>
          </w:p>
        </w:tc>
        <w:tc>
          <w:tcPr>
            <w:tcW w:w="1515" w:type="dxa"/>
            <w:tcBorders>
              <w:top w:val="nil"/>
              <w:left w:val="nil"/>
              <w:bottom w:val="single" w:sz="8" w:space="0" w:color="000000"/>
              <w:right w:val="single" w:sz="8" w:space="0" w:color="000000"/>
            </w:tcBorders>
            <w:shd w:val="clear" w:color="auto" w:fill="808080"/>
            <w:vAlign w:val="center"/>
          </w:tcPr>
          <w:p w:rsidR="008C2E53" w14:paraId="000000F5" w14:textId="77777777">
            <w:pPr>
              <w:spacing w:before="0"/>
              <w:jc w:val="center"/>
              <w:rPr>
                <w:rFonts w:ascii="Calibri" w:eastAsia="Calibri" w:hAnsi="Calibri" w:cs="Calibri"/>
                <w:color w:val="000000"/>
                <w:sz w:val="18"/>
                <w:szCs w:val="18"/>
              </w:rPr>
            </w:pPr>
          </w:p>
        </w:tc>
        <w:tc>
          <w:tcPr>
            <w:tcW w:w="1622" w:type="dxa"/>
            <w:tcBorders>
              <w:top w:val="nil"/>
              <w:left w:val="nil"/>
              <w:bottom w:val="single" w:sz="8" w:space="0" w:color="000000"/>
              <w:right w:val="single" w:sz="8" w:space="0" w:color="000000"/>
            </w:tcBorders>
            <w:shd w:val="clear" w:color="auto" w:fill="808080"/>
            <w:vAlign w:val="center"/>
          </w:tcPr>
          <w:p w:rsidR="008C2E53" w14:paraId="000000F6" w14:textId="77777777">
            <w:pPr>
              <w:spacing w:before="0"/>
              <w:jc w:val="center"/>
              <w:rPr>
                <w:rFonts w:ascii="Calibri" w:eastAsia="Calibri" w:hAnsi="Calibri" w:cs="Calibri"/>
                <w:color w:val="000000"/>
                <w:sz w:val="18"/>
                <w:szCs w:val="18"/>
              </w:rPr>
            </w:pPr>
          </w:p>
        </w:tc>
        <w:tc>
          <w:tcPr>
            <w:tcW w:w="1362" w:type="dxa"/>
            <w:tcBorders>
              <w:top w:val="nil"/>
              <w:left w:val="nil"/>
              <w:bottom w:val="single" w:sz="8" w:space="0" w:color="000000"/>
              <w:right w:val="single" w:sz="8" w:space="0" w:color="000000"/>
            </w:tcBorders>
            <w:shd w:val="clear" w:color="auto" w:fill="808080"/>
            <w:vAlign w:val="center"/>
          </w:tcPr>
          <w:p w:rsidR="008C2E53" w14:paraId="000000F7" w14:textId="77777777">
            <w:pPr>
              <w:spacing w:before="0"/>
              <w:jc w:val="center"/>
              <w:rPr>
                <w:rFonts w:ascii="Calibri" w:eastAsia="Calibri" w:hAnsi="Calibri" w:cs="Calibri"/>
                <w:color w:val="000000"/>
                <w:sz w:val="18"/>
                <w:szCs w:val="18"/>
              </w:rPr>
            </w:pPr>
          </w:p>
        </w:tc>
        <w:tc>
          <w:tcPr>
            <w:tcW w:w="1507" w:type="dxa"/>
            <w:tcBorders>
              <w:top w:val="nil"/>
              <w:left w:val="nil"/>
              <w:bottom w:val="single" w:sz="8" w:space="0" w:color="000000"/>
              <w:right w:val="single" w:sz="8" w:space="0" w:color="000000"/>
            </w:tcBorders>
            <w:shd w:val="clear" w:color="auto" w:fill="808080"/>
            <w:vAlign w:val="center"/>
          </w:tcPr>
          <w:p w:rsidR="008C2E53" w14:paraId="000000F8" w14:textId="77777777">
            <w:pPr>
              <w:spacing w:before="0"/>
              <w:jc w:val="center"/>
              <w:rPr>
                <w:rFonts w:ascii="Calibri" w:eastAsia="Calibri" w:hAnsi="Calibri" w:cs="Calibri"/>
                <w:color w:val="000000"/>
                <w:sz w:val="18"/>
                <w:szCs w:val="18"/>
              </w:rPr>
            </w:pPr>
          </w:p>
        </w:tc>
        <w:tc>
          <w:tcPr>
            <w:tcW w:w="1632" w:type="dxa"/>
            <w:tcBorders>
              <w:top w:val="nil"/>
              <w:left w:val="nil"/>
              <w:bottom w:val="single" w:sz="8" w:space="0" w:color="000000"/>
              <w:right w:val="single" w:sz="8" w:space="0" w:color="000000"/>
            </w:tcBorders>
            <w:shd w:val="clear" w:color="auto" w:fill="auto"/>
            <w:vAlign w:val="center"/>
          </w:tcPr>
          <w:p w:rsidR="008C2E53" w14:paraId="000000F9" w14:textId="77777777">
            <w:pPr>
              <w:spacing w:before="0"/>
              <w:jc w:val="center"/>
              <w:rPr>
                <w:rFonts w:ascii="Calibri" w:eastAsia="Calibri" w:hAnsi="Calibri" w:cs="Calibri"/>
                <w:color w:val="000000"/>
                <w:sz w:val="18"/>
                <w:szCs w:val="18"/>
              </w:rPr>
            </w:pPr>
          </w:p>
        </w:tc>
      </w:tr>
      <w:tr w14:paraId="6A7A87F6" w14:textId="77777777">
        <w:tblPrEx>
          <w:tblW w:w="9889" w:type="dxa"/>
          <w:jc w:val="center"/>
          <w:tblLayout w:type="fixed"/>
          <w:tblLook w:val="0400"/>
        </w:tblPrEx>
        <w:trPr>
          <w:trHeight w:val="312"/>
          <w:jc w:val="center"/>
        </w:trPr>
        <w:tc>
          <w:tcPr>
            <w:tcW w:w="2251"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8C2E53" w14:paraId="000000FA" w14:textId="77777777">
            <w:pPr>
              <w:spacing w:before="0"/>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515" w:type="dxa"/>
            <w:tcBorders>
              <w:top w:val="nil"/>
              <w:left w:val="nil"/>
              <w:bottom w:val="single" w:sz="8" w:space="0" w:color="000000"/>
              <w:right w:val="single" w:sz="8" w:space="0" w:color="000000"/>
            </w:tcBorders>
            <w:shd w:val="clear" w:color="auto" w:fill="808080"/>
            <w:vAlign w:val="center"/>
          </w:tcPr>
          <w:p w:rsidR="008C2E53" w14:paraId="000000FB" w14:textId="77777777">
            <w:pPr>
              <w:spacing w:before="0"/>
              <w:jc w:val="center"/>
              <w:rPr>
                <w:rFonts w:ascii="Calibri" w:eastAsia="Calibri" w:hAnsi="Calibri" w:cs="Calibri"/>
                <w:color w:val="000000"/>
                <w:sz w:val="18"/>
                <w:szCs w:val="18"/>
              </w:rPr>
            </w:pPr>
          </w:p>
        </w:tc>
        <w:tc>
          <w:tcPr>
            <w:tcW w:w="1622" w:type="dxa"/>
            <w:tcBorders>
              <w:top w:val="nil"/>
              <w:left w:val="nil"/>
              <w:bottom w:val="single" w:sz="8" w:space="0" w:color="000000"/>
              <w:right w:val="single" w:sz="8" w:space="0" w:color="000000"/>
            </w:tcBorders>
            <w:shd w:val="clear" w:color="auto" w:fill="808080"/>
            <w:vAlign w:val="center"/>
          </w:tcPr>
          <w:p w:rsidR="008C2E53" w14:paraId="000000FC" w14:textId="77777777">
            <w:pPr>
              <w:spacing w:before="0"/>
              <w:jc w:val="center"/>
              <w:rPr>
                <w:rFonts w:ascii="Calibri" w:eastAsia="Calibri" w:hAnsi="Calibri" w:cs="Calibri"/>
                <w:color w:val="000000"/>
                <w:sz w:val="18"/>
                <w:szCs w:val="18"/>
              </w:rPr>
            </w:pPr>
          </w:p>
        </w:tc>
        <w:tc>
          <w:tcPr>
            <w:tcW w:w="1362" w:type="dxa"/>
            <w:tcBorders>
              <w:top w:val="nil"/>
              <w:left w:val="nil"/>
              <w:bottom w:val="single" w:sz="8" w:space="0" w:color="000000"/>
              <w:right w:val="single" w:sz="8" w:space="0" w:color="000000"/>
            </w:tcBorders>
            <w:shd w:val="clear" w:color="auto" w:fill="757171"/>
            <w:vAlign w:val="center"/>
          </w:tcPr>
          <w:p w:rsidR="008C2E53" w14:paraId="000000FD" w14:textId="77777777">
            <w:pPr>
              <w:spacing w:before="0"/>
              <w:jc w:val="center"/>
              <w:rPr>
                <w:rFonts w:ascii="Calibri" w:eastAsia="Calibri" w:hAnsi="Calibri" w:cs="Calibri"/>
                <w:color w:val="000000"/>
                <w:sz w:val="18"/>
                <w:szCs w:val="18"/>
              </w:rPr>
            </w:pPr>
          </w:p>
        </w:tc>
        <w:tc>
          <w:tcPr>
            <w:tcW w:w="1507" w:type="dxa"/>
            <w:tcBorders>
              <w:top w:val="nil"/>
              <w:left w:val="nil"/>
              <w:bottom w:val="single" w:sz="8" w:space="0" w:color="000000"/>
              <w:right w:val="single" w:sz="8" w:space="0" w:color="000000"/>
            </w:tcBorders>
            <w:shd w:val="clear" w:color="auto" w:fill="DDEBF7"/>
            <w:vAlign w:val="center"/>
          </w:tcPr>
          <w:p w:rsidR="008C2E53" w14:paraId="000000FE" w14:textId="77777777">
            <w:pPr>
              <w:spacing w:before="0"/>
              <w:jc w:val="center"/>
              <w:rPr>
                <w:rFonts w:ascii="Calibri" w:eastAsia="Calibri" w:hAnsi="Calibri" w:cs="Calibri"/>
                <w:color w:val="000000"/>
                <w:sz w:val="18"/>
                <w:szCs w:val="18"/>
              </w:rPr>
            </w:pPr>
          </w:p>
        </w:tc>
        <w:tc>
          <w:tcPr>
            <w:tcW w:w="1632" w:type="dxa"/>
            <w:tcBorders>
              <w:top w:val="nil"/>
              <w:left w:val="nil"/>
              <w:bottom w:val="single" w:sz="8" w:space="0" w:color="000000"/>
              <w:right w:val="single" w:sz="8" w:space="0" w:color="000000"/>
            </w:tcBorders>
            <w:shd w:val="clear" w:color="auto" w:fill="DDEBF7"/>
            <w:vAlign w:val="center"/>
          </w:tcPr>
          <w:p w:rsidR="008C2E53" w14:paraId="000000FF" w14:textId="77777777">
            <w:pPr>
              <w:spacing w:before="0"/>
              <w:jc w:val="center"/>
              <w:rPr>
                <w:rFonts w:ascii="Calibri" w:eastAsia="Calibri" w:hAnsi="Calibri" w:cs="Calibri"/>
                <w:color w:val="000000"/>
                <w:sz w:val="18"/>
                <w:szCs w:val="18"/>
              </w:rPr>
            </w:pPr>
            <w:r>
              <w:rPr>
                <w:rFonts w:ascii="Calibri" w:eastAsia="Calibri" w:hAnsi="Calibri" w:cs="Calibri"/>
                <w:color w:val="000000"/>
                <w:sz w:val="18"/>
                <w:szCs w:val="18"/>
              </w:rPr>
              <w:t>$0</w:t>
            </w:r>
            <w:r>
              <w:rPr>
                <w:rFonts w:ascii="Calibri" w:eastAsia="Calibri" w:hAnsi="Calibri" w:cs="Calibri"/>
                <w:color w:val="000000"/>
                <w:sz w:val="18"/>
                <w:szCs w:val="18"/>
                <w:vertAlign w:val="superscript"/>
              </w:rPr>
              <w:footnoteReference w:id="9"/>
            </w:r>
          </w:p>
        </w:tc>
      </w:tr>
    </w:tbl>
    <w:p w:rsidR="008C2E53" w14:paraId="00000100" w14:textId="77777777">
      <w:pPr>
        <w:spacing w:before="0"/>
        <w:rPr>
          <w:rFonts w:ascii="Times New Roman" w:eastAsia="Times New Roman" w:hAnsi="Times New Roman" w:cs="Times New Roman"/>
          <w:sz w:val="24"/>
          <w:szCs w:val="24"/>
        </w:rPr>
      </w:pPr>
    </w:p>
    <w:p w:rsidR="008C2E53" w14:paraId="00000101" w14:textId="77777777">
      <w:pPr>
        <w:spacing w:before="0"/>
        <w:rPr>
          <w:rFonts w:ascii="Times New Roman" w:eastAsia="Times New Roman" w:hAnsi="Times New Roman" w:cs="Times New Roman"/>
          <w:sz w:val="24"/>
          <w:szCs w:val="24"/>
        </w:rPr>
      </w:pPr>
    </w:p>
    <w:p w:rsidR="008C2E53" w14:paraId="00000102" w14:textId="77777777">
      <w:pPr>
        <w:keepNext/>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Explain the reasons for any </w:t>
      </w:r>
      <w:r>
        <w:rPr>
          <w:rFonts w:ascii="Times New Roman" w:eastAsia="Times New Roman" w:hAnsi="Times New Roman" w:cs="Times New Roman"/>
          <w:b/>
          <w:color w:val="000000"/>
          <w:sz w:val="24"/>
          <w:szCs w:val="24"/>
        </w:rPr>
        <w:t>program changes or adjustments reported in ROCIS.</w:t>
      </w:r>
    </w:p>
    <w:p w:rsidR="008C2E53" w14:paraId="00000103" w14:textId="77777777">
      <w:pPr>
        <w:keepNext/>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104" w14:textId="1230B958">
      <w:pPr>
        <w:pBdr>
          <w:top w:val="nil"/>
          <w:left w:val="nil"/>
          <w:bottom w:val="nil"/>
          <w:right w:val="nil"/>
          <w:between w:val="nil"/>
        </w:pBdr>
        <w:spacing w:before="0"/>
        <w:rPr>
          <w:rFonts w:ascii="Times New Roman" w:eastAsia="Times New Roman" w:hAnsi="Times New Roman" w:cs="Times New Roman"/>
          <w:sz w:val="24"/>
          <w:szCs w:val="24"/>
        </w:rPr>
      </w:pPr>
    </w:p>
    <w:p w:rsidR="00B60E8D" w14:paraId="153801DE" w14:textId="5F1D1641">
      <w:pPr>
        <w:pBdr>
          <w:top w:val="nil"/>
          <w:left w:val="nil"/>
          <w:bottom w:val="nil"/>
          <w:right w:val="nil"/>
          <w:between w:val="nil"/>
        </w:pBd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One public comment letter was received during the 60</w:t>
      </w:r>
      <w:r w:rsidR="00012159">
        <w:rPr>
          <w:rFonts w:ascii="Times New Roman" w:eastAsia="Times New Roman" w:hAnsi="Times New Roman" w:cs="Times New Roman"/>
          <w:sz w:val="24"/>
          <w:szCs w:val="24"/>
        </w:rPr>
        <w:t>-</w:t>
      </w:r>
      <w:r>
        <w:rPr>
          <w:rFonts w:ascii="Times New Roman" w:eastAsia="Times New Roman" w:hAnsi="Times New Roman" w:cs="Times New Roman"/>
          <w:sz w:val="24"/>
          <w:szCs w:val="24"/>
        </w:rPr>
        <w:t>day comment period. Responses to the letter appear under item 8, above.  The comment letter indicated that the 20</w:t>
      </w:r>
      <w:r w:rsidR="000121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hour estimate of time necessary to prepare the Annual Groundfish Trawl EDR forms is in error and should be corrected to 40 hours per response.  </w:t>
      </w:r>
      <w:r w:rsidR="00881B04">
        <w:rPr>
          <w:rFonts w:ascii="Times New Roman" w:eastAsia="Times New Roman" w:hAnsi="Times New Roman" w:cs="Times New Roman"/>
          <w:sz w:val="24"/>
          <w:szCs w:val="24"/>
        </w:rPr>
        <w:t xml:space="preserve">In addition, </w:t>
      </w:r>
      <w:r w:rsidRPr="00881B04" w:rsidR="00881B04">
        <w:rPr>
          <w:rFonts w:ascii="Times New Roman" w:eastAsia="Times New Roman" w:hAnsi="Times New Roman" w:cs="Times New Roman"/>
          <w:sz w:val="24"/>
          <w:szCs w:val="24"/>
        </w:rPr>
        <w:t>the</w:t>
      </w:r>
      <w:r w:rsidRPr="00DA4F2E" w:rsidR="00881B04">
        <w:rPr>
          <w:rFonts w:ascii="Times New Roman" w:eastAsia="Times New Roman" w:hAnsi="Times New Roman" w:cs="Times New Roman"/>
          <w:sz w:val="24"/>
          <w:szCs w:val="24"/>
        </w:rPr>
        <w:t xml:space="preserve"> labor hour wage rate applied to burden hours increased from $38.47 per hour to $43.07 per hour resulting a</w:t>
      </w:r>
      <w:r w:rsidR="00881B04">
        <w:rPr>
          <w:rFonts w:ascii="Times New Roman" w:eastAsia="Times New Roman" w:hAnsi="Times New Roman" w:cs="Times New Roman"/>
          <w:sz w:val="24"/>
          <w:szCs w:val="24"/>
        </w:rPr>
        <w:t xml:space="preserve"> total</w:t>
      </w:r>
      <w:r w:rsidRPr="00DA4F2E" w:rsidR="00881B04">
        <w:rPr>
          <w:rFonts w:ascii="Times New Roman" w:eastAsia="Times New Roman" w:hAnsi="Times New Roman" w:cs="Times New Roman"/>
          <w:sz w:val="24"/>
          <w:szCs w:val="24"/>
        </w:rPr>
        <w:t xml:space="preserve"> increase in labor costs of</w:t>
      </w:r>
      <w:r w:rsidR="00881B04">
        <w:rPr>
          <w:rFonts w:ascii="Times New Roman" w:eastAsia="Times New Roman" w:hAnsi="Times New Roman" w:cs="Times New Roman"/>
          <w:sz w:val="24"/>
          <w:szCs w:val="24"/>
        </w:rPr>
        <w:t xml:space="preserve"> $20</w:t>
      </w:r>
      <w:r w:rsidR="00830FEB">
        <w:rPr>
          <w:rFonts w:ascii="Times New Roman" w:eastAsia="Times New Roman" w:hAnsi="Times New Roman" w:cs="Times New Roman"/>
          <w:sz w:val="24"/>
          <w:szCs w:val="24"/>
        </w:rPr>
        <w:t>,</w:t>
      </w:r>
      <w:r w:rsidR="00881B04">
        <w:rPr>
          <w:rFonts w:ascii="Times New Roman" w:eastAsia="Times New Roman" w:hAnsi="Times New Roman" w:cs="Times New Roman"/>
          <w:sz w:val="24"/>
          <w:szCs w:val="24"/>
        </w:rPr>
        <w:t xml:space="preserve">975. </w:t>
      </w:r>
      <w:r>
        <w:rPr>
          <w:rFonts w:ascii="Times New Roman" w:eastAsia="Times New Roman" w:hAnsi="Times New Roman" w:cs="Times New Roman"/>
          <w:sz w:val="24"/>
          <w:szCs w:val="24"/>
        </w:rPr>
        <w:t>This adjustment is in response to public comment received</w:t>
      </w:r>
      <w:r w:rsidR="00881B04">
        <w:rPr>
          <w:rFonts w:ascii="Times New Roman" w:eastAsia="Times New Roman" w:hAnsi="Times New Roman" w:cs="Times New Roman"/>
          <w:sz w:val="24"/>
          <w:szCs w:val="24"/>
        </w:rPr>
        <w:t xml:space="preserve"> and a change in wage and slightly more than doubles the labor cost estimate as shown below; however, there are no changes to the </w:t>
      </w:r>
      <w:r w:rsidR="00830FEB">
        <w:rPr>
          <w:rFonts w:ascii="Times New Roman" w:eastAsia="Times New Roman" w:hAnsi="Times New Roman" w:cs="Times New Roman"/>
          <w:sz w:val="24"/>
          <w:szCs w:val="24"/>
        </w:rPr>
        <w:t xml:space="preserve">information collected in the </w:t>
      </w:r>
      <w:r w:rsidR="00881B04">
        <w:rPr>
          <w:rFonts w:ascii="Times New Roman" w:eastAsia="Times New Roman" w:hAnsi="Times New Roman" w:cs="Times New Roman"/>
          <w:sz w:val="24"/>
          <w:szCs w:val="24"/>
        </w:rPr>
        <w:t xml:space="preserve">forms, </w:t>
      </w:r>
      <w:r w:rsidR="00830FEB">
        <w:rPr>
          <w:rFonts w:ascii="Times New Roman" w:eastAsia="Times New Roman" w:hAnsi="Times New Roman" w:cs="Times New Roman"/>
          <w:sz w:val="24"/>
          <w:szCs w:val="24"/>
        </w:rPr>
        <w:t xml:space="preserve">estimated </w:t>
      </w:r>
      <w:r w:rsidR="00881B04">
        <w:rPr>
          <w:rFonts w:ascii="Times New Roman" w:eastAsia="Times New Roman" w:hAnsi="Times New Roman" w:cs="Times New Roman"/>
          <w:sz w:val="24"/>
          <w:szCs w:val="24"/>
        </w:rPr>
        <w:t xml:space="preserve">respondent numbers or any other methodology regarding this information collection. </w:t>
      </w:r>
    </w:p>
    <w:p w:rsidR="00095FA6" w14:paraId="79EBA569" w14:textId="66E7D5B0">
      <w:pPr>
        <w:pBdr>
          <w:top w:val="nil"/>
          <w:left w:val="nil"/>
          <w:bottom w:val="nil"/>
          <w:right w:val="nil"/>
          <w:between w:val="nil"/>
        </w:pBdr>
        <w:spacing w:before="0"/>
        <w:rPr>
          <w:rFonts w:ascii="Times New Roman" w:eastAsia="Times New Roman" w:hAnsi="Times New Roman" w:cs="Times New Roman"/>
          <w:sz w:val="24"/>
          <w:szCs w:val="24"/>
        </w:rPr>
      </w:pPr>
    </w:p>
    <w:p w:rsidR="00095FA6" w:rsidP="00095FA6" w14:paraId="3F97E2AA" w14:textId="77777777">
      <w:pPr>
        <w:pStyle w:val="Default"/>
      </w:pPr>
    </w:p>
    <w:tbl>
      <w:tblPr>
        <w:tblW w:w="0" w:type="auto"/>
        <w:tblCellMar>
          <w:top w:w="15" w:type="dxa"/>
          <w:left w:w="15" w:type="dxa"/>
          <w:bottom w:w="15" w:type="dxa"/>
          <w:right w:w="15" w:type="dxa"/>
        </w:tblCellMar>
        <w:tblLook w:val="04A0"/>
      </w:tblPr>
      <w:tblGrid>
        <w:gridCol w:w="1859"/>
        <w:gridCol w:w="1034"/>
        <w:gridCol w:w="1048"/>
        <w:gridCol w:w="1035"/>
        <w:gridCol w:w="1048"/>
        <w:gridCol w:w="1035"/>
        <w:gridCol w:w="1048"/>
        <w:gridCol w:w="1953"/>
      </w:tblGrid>
      <w:tr w14:paraId="2C73919E" w14:textId="77777777" w:rsidTr="00C15EF1">
        <w:tblPrEx>
          <w:tblW w:w="0" w:type="auto"/>
          <w:tblCellMar>
            <w:top w:w="15" w:type="dxa"/>
            <w:left w:w="15" w:type="dxa"/>
            <w:bottom w:w="15" w:type="dxa"/>
            <w:right w:w="15" w:type="dxa"/>
          </w:tblCellMar>
          <w:tblLook w:val="04A0"/>
        </w:tblPrEx>
        <w:trPr>
          <w:trHeight w:val="31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C15EF1" w:rsidRPr="00C15EF1" w:rsidP="00C15EF1" w14:paraId="208F9604"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Information Collection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C15EF1" w:rsidRPr="00C15EF1" w:rsidP="00C15EF1" w14:paraId="3F7AE408"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Respondents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C15EF1" w:rsidRPr="00C15EF1" w:rsidP="00C15EF1" w14:paraId="688AD2CE"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Responses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C15EF1" w:rsidRPr="00C15EF1" w:rsidP="00C15EF1" w14:paraId="30C6291D"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Burden Hours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C15EF1" w:rsidRPr="00C15EF1" w:rsidP="00C15EF1" w14:paraId="3D24162D"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Reason for change or adjustment</w:t>
            </w:r>
          </w:p>
        </w:tc>
      </w:tr>
      <w:tr w14:paraId="406B711D" w14:textId="77777777" w:rsidTr="00C15EF1">
        <w:tblPrEx>
          <w:tblW w:w="0" w:type="auto"/>
          <w:tblCellMar>
            <w:top w:w="15" w:type="dxa"/>
            <w:left w:w="15" w:type="dxa"/>
            <w:bottom w:w="15" w:type="dxa"/>
            <w:right w:w="15" w:type="dxa"/>
          </w:tblCellMar>
          <w:tblLook w:val="04A0"/>
        </w:tblPrEx>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5EF1" w:rsidRPr="00C15EF1" w:rsidP="00C15EF1" w14:paraId="68A628FF" w14:textId="77777777">
            <w:pPr>
              <w:spacing w:before="0"/>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C15EF1" w:rsidRPr="00C15EF1" w:rsidP="00C15EF1" w14:paraId="497FAD3B"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C15EF1" w:rsidRPr="00C15EF1" w:rsidP="00C15EF1" w14:paraId="42258E2B"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xml:space="preserve">Previous </w:t>
            </w:r>
            <w:r w:rsidRPr="00C15EF1">
              <w:rPr>
                <w:rFonts w:ascii="Calibri" w:eastAsia="Times New Roman" w:hAnsi="Calibri" w:cs="Calibri"/>
                <w:color w:val="000000"/>
                <w:sz w:val="16"/>
                <w:szCs w:val="16"/>
              </w:rPr>
              <w:t>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C15EF1" w:rsidRPr="00C15EF1" w:rsidP="00C15EF1" w14:paraId="35CBEA61"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C15EF1" w:rsidRPr="00C15EF1" w:rsidP="00C15EF1" w14:paraId="6AEB4E26"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C15EF1" w:rsidRPr="00C15EF1" w:rsidP="00C15EF1" w14:paraId="6021E982"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C15EF1" w:rsidRPr="00C15EF1" w:rsidP="00C15EF1" w14:paraId="10081B0A"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Previous Renewal / Revision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5EF1" w:rsidRPr="00C15EF1" w:rsidP="00C15EF1" w14:paraId="2201F6F2" w14:textId="77777777">
            <w:pPr>
              <w:spacing w:before="0"/>
              <w:rPr>
                <w:rFonts w:ascii="Times New Roman" w:eastAsia="Times New Roman" w:hAnsi="Times New Roman" w:cs="Times New Roman"/>
                <w:sz w:val="24"/>
                <w:szCs w:val="24"/>
              </w:rPr>
            </w:pPr>
          </w:p>
        </w:tc>
      </w:tr>
      <w:tr w14:paraId="2648AEB6" w14:textId="77777777" w:rsidTr="00C15EF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C15EF1" w:rsidRPr="00C15EF1" w:rsidP="00C15EF1" w14:paraId="74DF3F26" w14:textId="70E2269C">
            <w:pPr>
              <w:spacing w:before="0"/>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w:t>
            </w:r>
            <w:r>
              <w:rPr>
                <w:rFonts w:ascii="Calibri" w:eastAsia="Calibri" w:hAnsi="Calibri" w:cs="Calibri"/>
                <w:color w:val="000000"/>
                <w:sz w:val="18"/>
                <w:szCs w:val="18"/>
              </w:rPr>
              <w:t>Annual Trawl Catcher/Processor EDR</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C15EF1" w:rsidRPr="00C15EF1" w:rsidP="00C15EF1" w14:paraId="338677F0" w14:textId="69472BE1">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w:t>
            </w:r>
            <w:r>
              <w:rPr>
                <w:rFonts w:ascii="Calibri" w:eastAsia="Times New Roman" w:hAnsi="Calibri" w:cs="Calibri"/>
                <w:color w:val="000000"/>
                <w:sz w:val="16"/>
                <w:szCs w:val="16"/>
              </w:rPr>
              <w:t>22</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C15EF1" w:rsidRPr="00C15EF1" w:rsidP="00C15EF1" w14:paraId="48B3F1A7" w14:textId="54D593F4">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w:t>
            </w:r>
            <w:r>
              <w:rPr>
                <w:rFonts w:ascii="Calibri" w:eastAsia="Times New Roman" w:hAnsi="Calibri" w:cs="Calibri"/>
                <w:color w:val="000000"/>
                <w:sz w:val="16"/>
                <w:szCs w:val="16"/>
              </w:rPr>
              <w:t>22</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C15EF1" w:rsidRPr="00C15EF1" w:rsidP="00C15EF1" w14:paraId="3A4A67BD" w14:textId="350F5E08">
            <w:pPr>
              <w:spacing w:before="0"/>
              <w:jc w:val="center"/>
              <w:rPr>
                <w:rFonts w:ascii="Times New Roman" w:eastAsia="Times New Roman" w:hAnsi="Times New Roman" w:cs="Times New Roman"/>
                <w:sz w:val="24"/>
                <w:szCs w:val="24"/>
              </w:rPr>
            </w:pPr>
            <w:r>
              <w:rPr>
                <w:rFonts w:ascii="Calibri" w:eastAsia="Times New Roman" w:hAnsi="Calibri" w:cs="Calibri"/>
                <w:color w:val="000000"/>
                <w:sz w:val="16"/>
                <w:szCs w:val="16"/>
              </w:rPr>
              <w:t>22</w:t>
            </w:r>
            <w:r w:rsidRPr="00C15EF1">
              <w:rPr>
                <w:rFonts w:ascii="Calibri" w:eastAsia="Times New Roman" w:hAnsi="Calibri" w:cs="Calibri"/>
                <w:color w:val="000000"/>
                <w:sz w:val="16"/>
                <w:szCs w:val="16"/>
              </w:rPr>
              <w:t> </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C15EF1" w:rsidRPr="00C15EF1" w:rsidP="00C15EF1" w14:paraId="537A8FDB" w14:textId="482DB8F7">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w:t>
            </w:r>
            <w:r>
              <w:rPr>
                <w:rFonts w:ascii="Calibri" w:eastAsia="Times New Roman" w:hAnsi="Calibri" w:cs="Calibri"/>
                <w:color w:val="000000"/>
                <w:sz w:val="16"/>
                <w:szCs w:val="16"/>
              </w:rPr>
              <w:t>22</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C15EF1" w:rsidRPr="00C15EF1" w:rsidP="00C15EF1" w14:paraId="1FEDA85E" w14:textId="45D99C9E">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w:t>
            </w:r>
            <w:r>
              <w:rPr>
                <w:rFonts w:ascii="Calibri" w:eastAsia="Times New Roman" w:hAnsi="Calibri" w:cs="Calibri"/>
                <w:color w:val="000000"/>
                <w:sz w:val="16"/>
                <w:szCs w:val="16"/>
              </w:rPr>
              <w:t>880</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C15EF1" w:rsidRPr="00C15EF1" w:rsidP="00C15EF1" w14:paraId="7B60CF86" w14:textId="770414D0">
            <w:pPr>
              <w:spacing w:before="0"/>
              <w:jc w:val="center"/>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w:t>
            </w:r>
            <w:r>
              <w:rPr>
                <w:rFonts w:ascii="Calibri" w:eastAsia="Times New Roman" w:hAnsi="Calibri" w:cs="Calibri"/>
                <w:color w:val="000000"/>
                <w:sz w:val="16"/>
                <w:szCs w:val="16"/>
              </w:rPr>
              <w:t>440</w:t>
            </w:r>
          </w:p>
        </w:tc>
        <w:tc>
          <w:tcPr>
            <w:tcW w:w="0" w:type="auto"/>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C15EF1" w:rsidRPr="00C15EF1" w:rsidP="00C15EF1" w14:paraId="4C063C6B" w14:textId="117480EC">
            <w:pPr>
              <w:spacing w:before="0"/>
              <w:rPr>
                <w:rFonts w:ascii="Times New Roman" w:eastAsia="Times New Roman" w:hAnsi="Times New Roman" w:cs="Times New Roman"/>
                <w:sz w:val="24"/>
                <w:szCs w:val="24"/>
              </w:rPr>
            </w:pPr>
            <w:r w:rsidRPr="00C15EF1">
              <w:rPr>
                <w:rFonts w:ascii="Calibri" w:eastAsia="Times New Roman" w:hAnsi="Calibri" w:cs="Calibri"/>
                <w:color w:val="000000"/>
                <w:sz w:val="16"/>
                <w:szCs w:val="16"/>
              </w:rPr>
              <w:t> </w:t>
            </w:r>
            <w:r>
              <w:rPr>
                <w:rFonts w:ascii="Calibri" w:eastAsia="Times New Roman" w:hAnsi="Calibri" w:cs="Calibri"/>
                <w:color w:val="000000"/>
                <w:sz w:val="16"/>
                <w:szCs w:val="16"/>
              </w:rPr>
              <w:t xml:space="preserve">Burden hours adjusted to reflect actual burden time </w:t>
            </w:r>
            <w:r>
              <w:rPr>
                <w:rFonts w:ascii="Calibri" w:eastAsia="Times New Roman" w:hAnsi="Calibri" w:cs="Calibri"/>
                <w:color w:val="000000"/>
                <w:sz w:val="16"/>
                <w:szCs w:val="16"/>
              </w:rPr>
              <w:t>provided by respondents.</w:t>
            </w:r>
          </w:p>
        </w:tc>
      </w:tr>
      <w:tr w14:paraId="12D59DB3" w14:textId="77777777" w:rsidTr="00C15EF1">
        <w:tblPrEx>
          <w:tblW w:w="0" w:type="auto"/>
          <w:tblCellMar>
            <w:top w:w="15" w:type="dxa"/>
            <w:left w:w="15" w:type="dxa"/>
            <w:bottom w:w="15" w:type="dxa"/>
            <w:right w:w="15" w:type="dxa"/>
          </w:tblCellMar>
          <w:tblLook w:val="04A0"/>
        </w:tblPrEx>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C15EF1" w:rsidRPr="00C15EF1" w:rsidP="00C15EF1" w14:paraId="5EF5905D"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Total for Collection</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C15EF1" w:rsidRPr="00C15EF1" w:rsidP="00C15EF1" w14:paraId="0DB01641" w14:textId="43C2490B">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 </w:t>
            </w:r>
            <w:r>
              <w:rPr>
                <w:rFonts w:ascii="Calibri" w:eastAsia="Times New Roman" w:hAnsi="Calibri" w:cs="Calibri"/>
                <w:b/>
                <w:bCs/>
                <w:color w:val="000000"/>
                <w:sz w:val="16"/>
                <w:szCs w:val="16"/>
              </w:rPr>
              <w:t>22</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C15EF1" w:rsidRPr="00C15EF1" w:rsidP="00C15EF1" w14:paraId="3752869E" w14:textId="4D45ACFB">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 </w:t>
            </w:r>
            <w:r>
              <w:rPr>
                <w:rFonts w:ascii="Calibri" w:eastAsia="Times New Roman" w:hAnsi="Calibri" w:cs="Calibri"/>
                <w:b/>
                <w:bCs/>
                <w:color w:val="000000"/>
                <w:sz w:val="16"/>
                <w:szCs w:val="16"/>
              </w:rPr>
              <w:t>22</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C15EF1" w:rsidRPr="00C15EF1" w:rsidP="00C15EF1" w14:paraId="74032E6B" w14:textId="65290ED5">
            <w:pPr>
              <w:spacing w:before="0"/>
              <w:jc w:val="center"/>
              <w:rPr>
                <w:rFonts w:ascii="Times New Roman" w:eastAsia="Times New Roman" w:hAnsi="Times New Roman" w:cs="Times New Roman"/>
                <w:sz w:val="24"/>
                <w:szCs w:val="24"/>
              </w:rPr>
            </w:pPr>
            <w:r>
              <w:rPr>
                <w:rFonts w:ascii="Calibri" w:eastAsia="Times New Roman" w:hAnsi="Calibri" w:cs="Calibri"/>
                <w:b/>
                <w:bCs/>
                <w:color w:val="000000"/>
                <w:sz w:val="16"/>
                <w:szCs w:val="16"/>
              </w:rPr>
              <w:t>22</w:t>
            </w:r>
            <w:r w:rsidRPr="00C15EF1">
              <w:rPr>
                <w:rFonts w:ascii="Calibri" w:eastAsia="Times New Roman" w:hAnsi="Calibri" w:cs="Calibri"/>
                <w:b/>
                <w:bCs/>
                <w:color w:val="000000"/>
                <w:sz w:val="16"/>
                <w:szCs w:val="16"/>
              </w:rPr>
              <w:t> </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C15EF1" w:rsidRPr="00C15EF1" w:rsidP="00C15EF1" w14:paraId="3918A29A" w14:textId="40DDAAC8">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 </w:t>
            </w:r>
            <w:r>
              <w:rPr>
                <w:rFonts w:ascii="Calibri" w:eastAsia="Times New Roman" w:hAnsi="Calibri" w:cs="Calibri"/>
                <w:b/>
                <w:bCs/>
                <w:color w:val="000000"/>
                <w:sz w:val="16"/>
                <w:szCs w:val="16"/>
              </w:rPr>
              <w:t>22</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C15EF1" w:rsidRPr="00C15EF1" w:rsidP="00C15EF1" w14:paraId="0122BECC" w14:textId="329C1DAF">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 </w:t>
            </w:r>
            <w:r>
              <w:rPr>
                <w:rFonts w:ascii="Calibri" w:eastAsia="Times New Roman" w:hAnsi="Calibri" w:cs="Calibri"/>
                <w:b/>
                <w:bCs/>
                <w:color w:val="000000"/>
                <w:sz w:val="16"/>
                <w:szCs w:val="16"/>
              </w:rPr>
              <w:t>880</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C15EF1" w:rsidRPr="00C15EF1" w:rsidP="00C15EF1" w14:paraId="2CFE4B36" w14:textId="184451A5">
            <w:pPr>
              <w:spacing w:before="0"/>
              <w:jc w:val="center"/>
              <w:rPr>
                <w:rFonts w:ascii="Times New Roman" w:eastAsia="Times New Roman" w:hAnsi="Times New Roman" w:cs="Times New Roman"/>
                <w:sz w:val="24"/>
                <w:szCs w:val="24"/>
              </w:rPr>
            </w:pPr>
            <w:r>
              <w:rPr>
                <w:rFonts w:ascii="Calibri" w:eastAsia="Times New Roman" w:hAnsi="Calibri" w:cs="Calibri"/>
                <w:b/>
                <w:bCs/>
                <w:color w:val="000000"/>
                <w:sz w:val="16"/>
                <w:szCs w:val="16"/>
              </w:rPr>
              <w:t>440</w:t>
            </w:r>
          </w:p>
        </w:tc>
        <w:tc>
          <w:tcPr>
            <w:tcW w:w="0" w:type="auto"/>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C15EF1" w:rsidRPr="00C15EF1" w:rsidP="00C15EF1" w14:paraId="32982BD0"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 </w:t>
            </w:r>
          </w:p>
        </w:tc>
      </w:tr>
      <w:tr w14:paraId="336F3751" w14:textId="77777777" w:rsidTr="00C15EF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C15EF1" w:rsidRPr="00C15EF1" w:rsidP="00C15EF1" w14:paraId="280F90AB" w14:textId="77777777">
            <w:pPr>
              <w:spacing w:before="0"/>
              <w:jc w:val="center"/>
              <w:rPr>
                <w:rFonts w:ascii="Times New Roman" w:eastAsia="Times New Roman" w:hAnsi="Times New Roman" w:cs="Times New Roman"/>
                <w:sz w:val="24"/>
                <w:szCs w:val="24"/>
              </w:rPr>
            </w:pPr>
            <w:r w:rsidRPr="00C15EF1">
              <w:rPr>
                <w:rFonts w:ascii="Calibri" w:eastAsia="Times New Roman" w:hAnsi="Calibri" w:cs="Calibri"/>
                <w:b/>
                <w:bCs/>
                <w:color w:val="000000"/>
                <w:sz w:val="16"/>
                <w:szCs w:val="16"/>
              </w:rPr>
              <w:t>Difference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C15EF1" w:rsidRPr="00C15EF1" w:rsidP="00C15EF1" w14:paraId="782DA787" w14:textId="47DABEC2">
            <w:pPr>
              <w:spacing w:before="0"/>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0</w:t>
            </w:r>
            <w:r w:rsidRPr="00C15EF1">
              <w:rPr>
                <w:rFonts w:ascii="Calibri" w:eastAsia="Times New Roman" w:hAnsi="Calibri" w:cs="Calibri"/>
                <w:color w:val="000000"/>
                <w:sz w:val="24"/>
                <w:szCs w:val="24"/>
              </w:rPr>
              <w:t>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C15EF1" w:rsidRPr="00C15EF1" w:rsidP="00C15EF1" w14:paraId="0A80DF78" w14:textId="02991AD5">
            <w:pPr>
              <w:spacing w:before="0"/>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0</w:t>
            </w:r>
            <w:r w:rsidRPr="00C15EF1">
              <w:rPr>
                <w:rFonts w:ascii="Calibri" w:eastAsia="Times New Roman" w:hAnsi="Calibri" w:cs="Calibri"/>
                <w:color w:val="000000"/>
                <w:sz w:val="24"/>
                <w:szCs w:val="24"/>
              </w:rPr>
              <w:t> </w:t>
            </w:r>
          </w:p>
        </w:tc>
        <w:tc>
          <w:tcPr>
            <w:tcW w:w="0" w:type="auto"/>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bottom"/>
            <w:hideMark/>
          </w:tcPr>
          <w:p w:rsidR="00C15EF1" w:rsidRPr="00C15EF1" w:rsidP="00C15EF1" w14:paraId="0D09AC61" w14:textId="76FDFEF8">
            <w:pPr>
              <w:spacing w:before="0"/>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440</w:t>
            </w:r>
            <w:r w:rsidRPr="00C15EF1">
              <w:rPr>
                <w:rFonts w:ascii="Calibri" w:eastAsia="Times New Roman" w:hAnsi="Calibri" w:cs="Calibri"/>
                <w:color w:val="000000"/>
                <w:sz w:val="24"/>
                <w:szCs w:val="24"/>
              </w:rPr>
              <w:t> </w:t>
            </w:r>
          </w:p>
        </w:tc>
        <w:tc>
          <w:tcPr>
            <w:tcW w:w="0" w:type="auto"/>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C15EF1" w:rsidRPr="00C15EF1" w:rsidP="00C15EF1" w14:paraId="4726B80A" w14:textId="77777777">
            <w:pPr>
              <w:spacing w:before="0"/>
              <w:rPr>
                <w:rFonts w:ascii="Times New Roman" w:eastAsia="Times New Roman" w:hAnsi="Times New Roman" w:cs="Times New Roman"/>
                <w:sz w:val="24"/>
                <w:szCs w:val="24"/>
              </w:rPr>
            </w:pPr>
            <w:r w:rsidRPr="00C15EF1">
              <w:rPr>
                <w:rFonts w:ascii="Calibri" w:eastAsia="Times New Roman" w:hAnsi="Calibri" w:cs="Calibri"/>
                <w:color w:val="000000"/>
                <w:sz w:val="24"/>
                <w:szCs w:val="24"/>
              </w:rPr>
              <w:t> </w:t>
            </w:r>
          </w:p>
        </w:tc>
      </w:tr>
    </w:tbl>
    <w:p w:rsidR="00B60E8D" w:rsidP="00B60E8D" w14:paraId="16036606" w14:textId="32F4FA9B">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8C2E53" w14:paraId="00000105" w14:textId="77777777">
      <w:pPr>
        <w:pBdr>
          <w:top w:val="nil"/>
          <w:left w:val="nil"/>
          <w:bottom w:val="nil"/>
          <w:right w:val="nil"/>
          <w:between w:val="nil"/>
        </w:pBdr>
        <w:spacing w:before="0"/>
        <w:rPr>
          <w:rFonts w:ascii="Times New Roman" w:eastAsia="Times New Roman" w:hAnsi="Times New Roman" w:cs="Times New Roman"/>
          <w:b/>
          <w:sz w:val="24"/>
          <w:szCs w:val="24"/>
        </w:rPr>
      </w:pPr>
    </w:p>
    <w:p w:rsidR="008C2E53" w14:paraId="00000106" w14:textId="77777777">
      <w:pPr>
        <w:keepNext/>
        <w:keepLines/>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For collections of information whose results will be published, outline plans for tabulation and publication. Address any complex analytical </w:t>
      </w:r>
      <w:r>
        <w:rPr>
          <w:rFonts w:ascii="Times New Roman" w:eastAsia="Times New Roman" w:hAnsi="Times New Roman" w:cs="Times New Roman"/>
          <w:b/>
          <w:color w:val="000000"/>
          <w:sz w:val="24"/>
          <w:szCs w:val="24"/>
        </w:rPr>
        <w:t>techniques that will be used. Provide the time schedule for the entire project, including beginning and ending dates of the collection of information, completion of report, publication dates, and other actions.</w:t>
      </w:r>
    </w:p>
    <w:p w:rsidR="008C2E53" w14:paraId="00000107"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108"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information collected will not be published. It is anticipated that the information collected will be disseminated in aggregated and non-confidential form to the public or used to support publicly disseminated information. Annually, the Alaska Fisheries Science Center prepares the </w:t>
      </w:r>
      <w:r>
        <w:rPr>
          <w:rFonts w:ascii="Times New Roman" w:eastAsia="Times New Roman" w:hAnsi="Times New Roman" w:cs="Times New Roman"/>
          <w:i/>
          <w:color w:val="000000"/>
          <w:sz w:val="24"/>
          <w:szCs w:val="24"/>
        </w:rPr>
        <w:t>Economic Stock Assessment and Fishery Evaluation Report for the Groundfish Fisheries of the BSAI</w:t>
      </w:r>
      <w:r>
        <w:rPr>
          <w:rFonts w:ascii="Times New Roman" w:eastAsia="Times New Roman" w:hAnsi="Times New Roman" w:cs="Times New Roman"/>
          <w:color w:val="000000"/>
          <w:sz w:val="24"/>
          <w:szCs w:val="24"/>
        </w:rPr>
        <w:t>. That report contains an appendix summarizing the information from this collection and is usually published in December each year. In addition, all respondents subject to this data collection are Amendment 80 LAPP eligible, and the data from this collection was last used to evaluate program performance in 20</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4"/>
          <w:szCs w:val="24"/>
        </w:rPr>
        <w:t xml:space="preserve">. Both the annual report and the periodic program reviews are publicly distributed documents. </w:t>
      </w:r>
    </w:p>
    <w:p w:rsidR="00FA44B7" w14:paraId="2CF66839"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FA44B7" w:rsidP="00FA44B7" w14:paraId="436BE523" w14:textId="1D424EA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4" w:anchor="III">
        <w:r>
          <w:rPr>
            <w:rFonts w:ascii="Times New Roman" w:eastAsia="Times New Roman" w:hAnsi="Times New Roman" w:cs="Times New Roman"/>
            <w:color w:val="0000FF"/>
            <w:sz w:val="24"/>
            <w:szCs w:val="24"/>
            <w:u w:val="single"/>
          </w:rPr>
          <w:t>Section 515 of Public Law 106-554</w:t>
        </w:r>
      </w:hyperlink>
      <w:r>
        <w:rPr>
          <w:rFonts w:ascii="Times New Roman" w:eastAsia="Times New Roman" w:hAnsi="Times New Roman" w:cs="Times New Roman"/>
          <w:sz w:val="24"/>
          <w:szCs w:val="24"/>
        </w:rPr>
        <w:t>.</w:t>
      </w:r>
    </w:p>
    <w:p w:rsidR="00FA44B7" w14:paraId="6E581008" w14:textId="77777777">
      <w:pPr>
        <w:pBdr>
          <w:top w:val="nil"/>
          <w:left w:val="nil"/>
          <w:bottom w:val="nil"/>
          <w:right w:val="nil"/>
          <w:between w:val="nil"/>
        </w:pBdr>
        <w:spacing w:before="0"/>
        <w:rPr>
          <w:rFonts w:ascii="Times New Roman" w:eastAsia="Times New Roman" w:hAnsi="Times New Roman" w:cs="Times New Roman"/>
          <w:color w:val="2F5496"/>
          <w:sz w:val="24"/>
          <w:szCs w:val="24"/>
        </w:rPr>
      </w:pPr>
    </w:p>
    <w:p w:rsidR="008C2E53" w14:paraId="00000109" w14:textId="77777777">
      <w:pPr>
        <w:pBdr>
          <w:top w:val="nil"/>
          <w:left w:val="nil"/>
          <w:bottom w:val="nil"/>
          <w:right w:val="nil"/>
          <w:between w:val="nil"/>
        </w:pBdr>
        <w:spacing w:before="0"/>
        <w:rPr>
          <w:rFonts w:ascii="Times New Roman" w:eastAsia="Times New Roman" w:hAnsi="Times New Roman" w:cs="Times New Roman"/>
          <w:color w:val="000000"/>
          <w:sz w:val="24"/>
          <w:szCs w:val="24"/>
        </w:rPr>
      </w:pPr>
    </w:p>
    <w:p w:rsidR="008C2E53" w14:paraId="0000010A"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 xml:space="preserve">If seeking </w:t>
      </w:r>
      <w:r>
        <w:rPr>
          <w:rFonts w:ascii="Times New Roman" w:eastAsia="Times New Roman" w:hAnsi="Times New Roman" w:cs="Times New Roman"/>
          <w:b/>
          <w:color w:val="000000"/>
          <w:sz w:val="24"/>
          <w:szCs w:val="24"/>
        </w:rPr>
        <w:t>approval to not display the expiration date for OMB approval of the information collection, explain the reasons that display would be inappropriate.</w:t>
      </w:r>
    </w:p>
    <w:p w:rsidR="008C2E53" w14:paraId="0000010B" w14:textId="77777777">
      <w:pPr>
        <w:pBdr>
          <w:top w:val="nil"/>
          <w:left w:val="nil"/>
          <w:bottom w:val="nil"/>
          <w:right w:val="nil"/>
          <w:between w:val="nil"/>
        </w:pBdr>
        <w:tabs>
          <w:tab w:val="left" w:pos="360"/>
        </w:tabs>
        <w:spacing w:before="0"/>
        <w:rPr>
          <w:color w:val="000000"/>
        </w:rPr>
      </w:pPr>
    </w:p>
    <w:p w:rsidR="008C2E53" w14:paraId="0000010C" w14:textId="77777777">
      <w:pPr>
        <w:spacing w:before="0"/>
        <w:rPr>
          <w:rFonts w:ascii="Times New Roman" w:eastAsia="Times New Roman" w:hAnsi="Times New Roman" w:cs="Times New Roman"/>
          <w:i/>
          <w:color w:val="2F5496"/>
          <w:sz w:val="24"/>
          <w:szCs w:val="24"/>
        </w:rPr>
      </w:pPr>
      <w:r>
        <w:rPr>
          <w:rFonts w:ascii="Times New Roman" w:eastAsia="Times New Roman" w:hAnsi="Times New Roman" w:cs="Times New Roman"/>
          <w:sz w:val="24"/>
          <w:szCs w:val="24"/>
        </w:rPr>
        <w:t xml:space="preserve">The agency plans to display the expiration date for OMB approval of the information collection on all instruments. </w:t>
      </w:r>
    </w:p>
    <w:p w:rsidR="008C2E53" w14:paraId="0000010D" w14:textId="77777777">
      <w:pPr>
        <w:spacing w:before="0"/>
        <w:rPr>
          <w:rFonts w:ascii="Times New Roman" w:eastAsia="Times New Roman" w:hAnsi="Times New Roman" w:cs="Times New Roman"/>
          <w:i/>
          <w:sz w:val="24"/>
          <w:szCs w:val="24"/>
        </w:rPr>
      </w:pPr>
    </w:p>
    <w:p w:rsidR="008C2E53" w14:paraId="0000010E" w14:textId="77777777">
      <w:pPr>
        <w:numPr>
          <w:ilvl w:val="0"/>
          <w:numId w:val="3"/>
        </w:numPr>
        <w:pBdr>
          <w:top w:val="nil"/>
          <w:left w:val="nil"/>
          <w:bottom w:val="nil"/>
          <w:right w:val="nil"/>
          <w:between w:val="nil"/>
        </w:pBdr>
        <w:tabs>
          <w:tab w:val="left" w:pos="360"/>
        </w:tabs>
        <w:spacing w:before="0"/>
        <w:ind w:left="0" w:firstLine="0"/>
        <w:rPr>
          <w:color w:val="000000"/>
        </w:rPr>
      </w:pPr>
      <w:r>
        <w:rPr>
          <w:rFonts w:ascii="Times New Roman" w:eastAsia="Times New Roman" w:hAnsi="Times New Roman" w:cs="Times New Roman"/>
          <w:b/>
          <w:color w:val="000000"/>
          <w:sz w:val="24"/>
          <w:szCs w:val="24"/>
        </w:rPr>
        <w:t>Explain each exception to the certification statement identified in “Certification for Paperwork Reduction Act Submissions."</w:t>
      </w:r>
    </w:p>
    <w:p w:rsidR="008C2E53" w14:paraId="0000010F" w14:textId="77777777">
      <w:pPr>
        <w:pBdr>
          <w:top w:val="nil"/>
          <w:left w:val="nil"/>
          <w:bottom w:val="nil"/>
          <w:right w:val="nil"/>
          <w:between w:val="nil"/>
        </w:pBdr>
        <w:tabs>
          <w:tab w:val="left" w:pos="360"/>
        </w:tabs>
        <w:spacing w:before="0"/>
        <w:rPr>
          <w:color w:val="000000"/>
        </w:rPr>
      </w:pPr>
    </w:p>
    <w:p w:rsidR="008C2E53" w14:paraId="00000110" w14:textId="77777777">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exceptions to this certification. The agency certifies compliance with </w:t>
      </w:r>
      <w:hyperlink r:id="rId25">
        <w:r>
          <w:rPr>
            <w:rFonts w:ascii="Times New Roman" w:eastAsia="Times New Roman" w:hAnsi="Times New Roman" w:cs="Times New Roman"/>
            <w:color w:val="0563C1"/>
            <w:sz w:val="24"/>
            <w:szCs w:val="24"/>
            <w:u w:val="single"/>
          </w:rPr>
          <w:t>5 CFR 1320.9</w:t>
        </w:r>
      </w:hyperlink>
      <w:hyperlink r:id="rId25">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26">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26">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sectPr>
      <w:footerReference w:type="default" r:id="rId27"/>
      <w:pgSz w:w="12240" w:h="15840"/>
      <w:pgMar w:top="1440" w:right="1080" w:bottom="1440" w:left="1080" w:header="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60C7E" w14:paraId="1B3EE4BB" w14:textId="77777777">
      <w:pPr>
        <w:spacing w:before="0"/>
      </w:pPr>
      <w:r>
        <w:separator/>
      </w:r>
    </w:p>
  </w:endnote>
  <w:endnote w:type="continuationSeparator" w:id="1">
    <w:p w:rsidR="00860C7E" w14:paraId="7676F6C3"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E53" w14:paraId="00000119" w14:textId="72836CA6">
    <w:pPr>
      <w:spacing w:line="245" w:lineRule="auto"/>
      <w:ind w:left="20" w:firstLine="40"/>
      <w:jc w:val="cente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B0E43">
      <w:rPr>
        <w:rFonts w:ascii="Calibri" w:eastAsia="Calibri" w:hAnsi="Calibri" w:cs="Calibri"/>
        <w:noProof/>
        <w:color w:val="000000"/>
      </w:rPr>
      <w:t>14</w:t>
    </w:r>
    <w:r>
      <w:rPr>
        <w:rFonts w:ascii="Calibri" w:eastAsia="Calibri" w:hAnsi="Calibri" w:cs="Calibri"/>
        <w:color w:val="000000"/>
      </w:rPr>
      <w:fldChar w:fldCharType="end"/>
    </w:r>
  </w:p>
  <w:p w:rsidR="008C2E53" w14:paraId="0000011A"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0C7E" w14:paraId="60559D99" w14:textId="77777777">
      <w:pPr>
        <w:spacing w:before="0"/>
      </w:pPr>
      <w:r>
        <w:separator/>
      </w:r>
    </w:p>
  </w:footnote>
  <w:footnote w:type="continuationSeparator" w:id="1">
    <w:p w:rsidR="00860C7E" w14:paraId="441C061C" w14:textId="77777777">
      <w:pPr>
        <w:spacing w:before="0"/>
      </w:pPr>
      <w:r>
        <w:continuationSeparator/>
      </w:r>
    </w:p>
  </w:footnote>
  <w:footnote w:id="2">
    <w:p w:rsidR="008C2E53" w14:paraId="00000111" w14:textId="77777777">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https://www.fisheries.noaa.gov/alaska/ecosystems/economic-status-reports-gulf-alaska-and-bering-sea-aleutian-islands</w:t>
        </w:r>
      </w:hyperlink>
    </w:p>
  </w:footnote>
  <w:footnote w:id="3">
    <w:p w:rsidR="008C2E53" w14:paraId="00000112" w14:textId="77777777">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FF"/>
            <w:sz w:val="20"/>
            <w:szCs w:val="20"/>
            <w:u w:val="single"/>
          </w:rPr>
          <w:t>https://www.fisheries.noaa.gov/resource/document/five-year-review-effects-amendment-80</w:t>
        </w:r>
      </w:hyperlink>
    </w:p>
  </w:footnote>
  <w:footnote w:id="4">
    <w:p w:rsidR="008C2E53" w14:paraId="00000113" w14:textId="77777777">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000FF"/>
            <w:sz w:val="20"/>
            <w:szCs w:val="20"/>
            <w:u w:val="single"/>
          </w:rPr>
          <w:t>https://www.fisheries.noaa.gov/resource/document/final-environmental-impact-statement-steller-sea-lion-protection-measures</w:t>
        </w:r>
      </w:hyperlink>
    </w:p>
  </w:footnote>
  <w:footnote w:id="5">
    <w:p w:rsidR="008C2E53" w14:paraId="00000114" w14:textId="77777777">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https://www.fisheries.noaa.gov/alaska/ecosystems/economic-status-reports-gulf-alaska-and-bering-sea-aleutian-islands</w:t>
        </w:r>
      </w:hyperlink>
    </w:p>
  </w:footnote>
  <w:footnote w:id="6">
    <w:p w:rsidR="008C2E53" w14:paraId="00000115" w14:textId="77777777">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4">
        <w:r>
          <w:rPr>
            <w:rFonts w:ascii="Times New Roman" w:eastAsia="Times New Roman" w:hAnsi="Times New Roman" w:cs="Times New Roman"/>
            <w:color w:val="1155CC"/>
            <w:sz w:val="20"/>
            <w:szCs w:val="20"/>
            <w:u w:val="single"/>
          </w:rPr>
          <w:t>https://www.npfmc.org/wp-content/PDFdocuments/catch_shares/AM80/AM80ProgramReview_0425.pdf</w:t>
        </w:r>
      </w:hyperlink>
    </w:p>
  </w:footnote>
  <w:footnote w:id="7">
    <w:p w:rsidR="008C2E53" w14:paraId="00000116" w14:textId="77777777">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000FF"/>
            <w:sz w:val="20"/>
            <w:szCs w:val="20"/>
            <w:u w:val="single"/>
          </w:rPr>
          <w:t>https://www.fisheries.noaa.gov/resource/document/final-environmental-impact-statement-steller-sea-lion-protection-measures</w:t>
        </w:r>
      </w:hyperlink>
    </w:p>
  </w:footnote>
  <w:footnote w:id="8">
    <w:p w:rsidR="008C2E53" w14:paraId="00000117" w14:textId="77777777">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 EDR is done by LLP license, so if a CDQ group is an owner or partial owner then they are included here. </w:t>
      </w:r>
    </w:p>
  </w:footnote>
  <w:footnote w:id="9">
    <w:p w:rsidR="008C2E53" w14:paraId="00000118" w14:textId="77777777">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As indicated above the Amendment 80 EDR is subject to full cost recovery. These costs are the program costs estimated over the next three years. These costs are recovered annually from industry; thus, the actual cost to the Federal government is zero, as indicated in the total.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2473F5"/>
    <w:multiLevelType w:val="multilevel"/>
    <w:tmpl w:val="B518CA8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52595C0A"/>
    <w:multiLevelType w:val="multilevel"/>
    <w:tmpl w:val="8E305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C772464"/>
    <w:multiLevelType w:val="multilevel"/>
    <w:tmpl w:val="96C8F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1660501">
    <w:abstractNumId w:val="1"/>
  </w:num>
  <w:num w:numId="2" w16cid:durableId="776291529">
    <w:abstractNumId w:val="2"/>
  </w:num>
  <w:num w:numId="3" w16cid:durableId="58958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53"/>
    <w:rsid w:val="00012159"/>
    <w:rsid w:val="00066A1E"/>
    <w:rsid w:val="00095FA6"/>
    <w:rsid w:val="000C1B85"/>
    <w:rsid w:val="000F03D6"/>
    <w:rsid w:val="001314F0"/>
    <w:rsid w:val="001C380E"/>
    <w:rsid w:val="001F0B6C"/>
    <w:rsid w:val="00210F02"/>
    <w:rsid w:val="002A6A1E"/>
    <w:rsid w:val="002B3D8B"/>
    <w:rsid w:val="002D424B"/>
    <w:rsid w:val="003161DE"/>
    <w:rsid w:val="00414DA5"/>
    <w:rsid w:val="004341AD"/>
    <w:rsid w:val="00457673"/>
    <w:rsid w:val="0056135D"/>
    <w:rsid w:val="005A1F0B"/>
    <w:rsid w:val="005F0B32"/>
    <w:rsid w:val="006452E9"/>
    <w:rsid w:val="006D0F60"/>
    <w:rsid w:val="006D7865"/>
    <w:rsid w:val="007120C0"/>
    <w:rsid w:val="007A51BC"/>
    <w:rsid w:val="00803499"/>
    <w:rsid w:val="00812283"/>
    <w:rsid w:val="00830FEB"/>
    <w:rsid w:val="00860C7E"/>
    <w:rsid w:val="00881B04"/>
    <w:rsid w:val="008C2E53"/>
    <w:rsid w:val="00943D12"/>
    <w:rsid w:val="00943DD2"/>
    <w:rsid w:val="00953BB3"/>
    <w:rsid w:val="00960640"/>
    <w:rsid w:val="0098113A"/>
    <w:rsid w:val="00987968"/>
    <w:rsid w:val="009A394B"/>
    <w:rsid w:val="00A22B2B"/>
    <w:rsid w:val="00A40EC5"/>
    <w:rsid w:val="00AB0E43"/>
    <w:rsid w:val="00AB759D"/>
    <w:rsid w:val="00AC022D"/>
    <w:rsid w:val="00B60E8D"/>
    <w:rsid w:val="00C14FBC"/>
    <w:rsid w:val="00C15EF1"/>
    <w:rsid w:val="00C52B3C"/>
    <w:rsid w:val="00CC0601"/>
    <w:rsid w:val="00DA4F2E"/>
    <w:rsid w:val="00DC4702"/>
    <w:rsid w:val="00DE3C00"/>
    <w:rsid w:val="00E24176"/>
    <w:rsid w:val="00E6703E"/>
    <w:rsid w:val="00E81558"/>
    <w:rsid w:val="00EA392F"/>
    <w:rsid w:val="00ED1FB3"/>
    <w:rsid w:val="00F82085"/>
    <w:rsid w:val="00FA44B7"/>
    <w:rsid w:val="00FD5D2B"/>
    <w:rsid w:val="00FF58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81D08D"/>
  <w15:docId w15:val="{815CD2E4-837A-4A14-AD4F-C8DD6F4F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before="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EAF"/>
  </w:style>
  <w:style w:type="paragraph" w:styleId="Heading1">
    <w:name w:val="heading 1"/>
    <w:basedOn w:val="Normal"/>
    <w:next w:val="Normal"/>
    <w:uiPriority w:val="9"/>
    <w:qFormat/>
    <w:pPr>
      <w:spacing w:before="80"/>
      <w:ind w:left="40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1E5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1D0"/>
    <w:rPr>
      <w:rFonts w:ascii="Segoe UI" w:hAnsi="Segoe UI" w:cs="Segoe UI"/>
      <w:sz w:val="18"/>
      <w:szCs w:val="18"/>
    </w:rPr>
  </w:style>
  <w:style w:type="paragraph" w:styleId="FootnoteText">
    <w:name w:val="footnote text"/>
    <w:basedOn w:val="Normal"/>
    <w:link w:val="FootnoteTextChar"/>
    <w:uiPriority w:val="99"/>
    <w:semiHidden/>
    <w:unhideWhenUsed/>
    <w:rsid w:val="00AC0AA1"/>
    <w:rPr>
      <w:sz w:val="20"/>
      <w:szCs w:val="20"/>
    </w:rPr>
  </w:style>
  <w:style w:type="character" w:customStyle="1" w:styleId="FootnoteTextChar">
    <w:name w:val="Footnote Text Char"/>
    <w:basedOn w:val="DefaultParagraphFont"/>
    <w:link w:val="FootnoteText"/>
    <w:uiPriority w:val="99"/>
    <w:semiHidden/>
    <w:rsid w:val="00AC0AA1"/>
    <w:rPr>
      <w:sz w:val="20"/>
      <w:szCs w:val="20"/>
    </w:rPr>
  </w:style>
  <w:style w:type="character" w:styleId="FootnoteReference">
    <w:name w:val="footnote reference"/>
    <w:basedOn w:val="DefaultParagraphFont"/>
    <w:uiPriority w:val="99"/>
    <w:semiHidden/>
    <w:unhideWhenUsed/>
    <w:rsid w:val="00AC0AA1"/>
    <w:rPr>
      <w:vertAlign w:val="superscript"/>
    </w:rPr>
  </w:style>
  <w:style w:type="paragraph" w:styleId="Header">
    <w:name w:val="header"/>
    <w:basedOn w:val="Normal"/>
    <w:link w:val="HeaderChar"/>
    <w:uiPriority w:val="99"/>
    <w:unhideWhenUsed/>
    <w:rsid w:val="00272BCC"/>
    <w:pPr>
      <w:tabs>
        <w:tab w:val="center" w:pos="4680"/>
        <w:tab w:val="right" w:pos="9360"/>
      </w:tabs>
    </w:pPr>
  </w:style>
  <w:style w:type="character" w:customStyle="1" w:styleId="HeaderChar">
    <w:name w:val="Header Char"/>
    <w:basedOn w:val="DefaultParagraphFont"/>
    <w:link w:val="Header"/>
    <w:uiPriority w:val="99"/>
    <w:rsid w:val="00272BCC"/>
  </w:style>
  <w:style w:type="paragraph" w:styleId="Footer">
    <w:name w:val="footer"/>
    <w:basedOn w:val="Normal"/>
    <w:link w:val="FooterChar"/>
    <w:uiPriority w:val="99"/>
    <w:unhideWhenUsed/>
    <w:rsid w:val="00272BCC"/>
    <w:pPr>
      <w:tabs>
        <w:tab w:val="center" w:pos="4680"/>
        <w:tab w:val="right" w:pos="9360"/>
      </w:tabs>
    </w:pPr>
  </w:style>
  <w:style w:type="character" w:customStyle="1" w:styleId="FooterChar">
    <w:name w:val="Footer Char"/>
    <w:basedOn w:val="DefaultParagraphFont"/>
    <w:link w:val="Footer"/>
    <w:uiPriority w:val="99"/>
    <w:rsid w:val="00272BCC"/>
  </w:style>
  <w:style w:type="paragraph" w:styleId="CommentSubject">
    <w:name w:val="annotation subject"/>
    <w:basedOn w:val="CommentText"/>
    <w:next w:val="CommentText"/>
    <w:link w:val="CommentSubjectChar"/>
    <w:uiPriority w:val="99"/>
    <w:semiHidden/>
    <w:unhideWhenUsed/>
    <w:rsid w:val="0089702B"/>
    <w:rPr>
      <w:b/>
      <w:bCs/>
    </w:rPr>
  </w:style>
  <w:style w:type="character" w:customStyle="1" w:styleId="CommentSubjectChar">
    <w:name w:val="Comment Subject Char"/>
    <w:basedOn w:val="CommentTextChar"/>
    <w:link w:val="CommentSubject"/>
    <w:uiPriority w:val="99"/>
    <w:semiHidden/>
    <w:rsid w:val="0089702B"/>
    <w:rPr>
      <w:b/>
      <w:bCs/>
      <w:sz w:val="20"/>
      <w:szCs w:val="20"/>
    </w:rPr>
  </w:style>
  <w:style w:type="character" w:styleId="Hyperlink">
    <w:name w:val="Hyperlink"/>
    <w:basedOn w:val="DefaultParagraphFont"/>
    <w:uiPriority w:val="99"/>
    <w:unhideWhenUsed/>
    <w:rsid w:val="00F51162"/>
    <w:rPr>
      <w:color w:val="0000FF" w:themeColor="hyperlink"/>
      <w:u w:val="single"/>
    </w:rPr>
  </w:style>
  <w:style w:type="character" w:styleId="FollowedHyperlink">
    <w:name w:val="FollowedHyperlink"/>
    <w:basedOn w:val="DefaultParagraphFont"/>
    <w:uiPriority w:val="99"/>
    <w:semiHidden/>
    <w:unhideWhenUsed/>
    <w:rsid w:val="00754756"/>
    <w:rPr>
      <w:color w:val="800080" w:themeColor="followedHyperlink"/>
      <w:u w:val="single"/>
    </w:rPr>
  </w:style>
  <w:style w:type="paragraph" w:styleId="Revision">
    <w:name w:val="Revision"/>
    <w:hidden/>
    <w:uiPriority w:val="99"/>
    <w:semiHidden/>
    <w:rsid w:val="003669A2"/>
    <w:pPr>
      <w:spacing w:before="0"/>
    </w:pPr>
  </w:style>
  <w:style w:type="paragraph" w:styleId="ListParagraph">
    <w:name w:val="List Paragraph"/>
    <w:basedOn w:val="Normal"/>
    <w:uiPriority w:val="34"/>
    <w:qFormat/>
    <w:rsid w:val="002E447A"/>
    <w:pPr>
      <w:ind w:left="720"/>
      <w:contextualSpacing/>
    </w:p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paragraph" w:customStyle="1" w:styleId="Default">
    <w:name w:val="Default"/>
    <w:rsid w:val="00095FA6"/>
    <w:pPr>
      <w:autoSpaceDE w:val="0"/>
      <w:autoSpaceDN w:val="0"/>
      <w:adjustRightInd w:val="0"/>
      <w:spacing w:before="0"/>
    </w:pPr>
    <w:rPr>
      <w:color w:val="000000"/>
      <w:sz w:val="24"/>
      <w:szCs w:val="24"/>
    </w:rPr>
  </w:style>
  <w:style w:type="paragraph" w:styleId="NormalWeb">
    <w:name w:val="Normal (Web)"/>
    <w:basedOn w:val="Normal"/>
    <w:uiPriority w:val="99"/>
    <w:semiHidden/>
    <w:unhideWhenUsed/>
    <w:rsid w:val="00C15EF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5de959399c6c0fe70032c5c0ed400634&amp;mc=true&amp;node=se50.13.679_194&amp;rgn=div8" TargetMode="External" /><Relationship Id="rId11" Type="http://schemas.openxmlformats.org/officeDocument/2006/relationships/hyperlink" Target="mailto:am80edr@psmfc.org" TargetMode="External" /><Relationship Id="rId12" Type="http://schemas.openxmlformats.org/officeDocument/2006/relationships/hyperlink" Target="https://survey.psmfc.org/" TargetMode="External" /><Relationship Id="rId13" Type="http://schemas.openxmlformats.org/officeDocument/2006/relationships/hyperlink" Target="https://www.ecfr.gov/current/title-50/chapter-VI/part-679/subpart-H/section-679.94" TargetMode="External" /><Relationship Id="rId14" Type="http://schemas.openxmlformats.org/officeDocument/2006/relationships/hyperlink" Target="https://reports.psmfc.org/akfin/f?p=501:2000" TargetMode="External" /><Relationship Id="rId15" Type="http://schemas.openxmlformats.org/officeDocument/2006/relationships/hyperlink" Target="https://reports.psmfc.org/akfin/f?p=501:2002::INITIAL" TargetMode="External" /><Relationship Id="rId16" Type="http://schemas.openxmlformats.org/officeDocument/2006/relationships/hyperlink" Target="https://reports.psmfc.org/akfin/f?p=501:2001::INITIAL" TargetMode="External" /><Relationship Id="rId17" Type="http://schemas.openxmlformats.org/officeDocument/2006/relationships/hyperlink" Target="https://shinyfin.psmfc.org/aceporeport/" TargetMode="External" /><Relationship Id="rId18" Type="http://schemas.openxmlformats.org/officeDocument/2006/relationships/hyperlink" Target="http://www.psmfc.org/am80edr/" TargetMode="External" /><Relationship Id="rId19" Type="http://schemas.openxmlformats.org/officeDocument/2006/relationships/hyperlink" Target="https://www.noaa.gov/organization/administration/nao-216-100-protection-of-confidential-fisheries-statistics" TargetMode="External" /><Relationship Id="rId2" Type="http://schemas.openxmlformats.org/officeDocument/2006/relationships/endnotes" Target="endnotes.xml" /><Relationship Id="rId20" Type="http://schemas.openxmlformats.org/officeDocument/2006/relationships/hyperlink" Target="http://www.corporateservices.noaa.gov/ames/administrative_orders/chapter_216/216-100.html" TargetMode="External" /><Relationship Id="rId21" Type="http://schemas.openxmlformats.org/officeDocument/2006/relationships/hyperlink" Target="https://www.commerce.gov/node/4990" TargetMode="External" /><Relationship Id="rId22" Type="http://schemas.openxmlformats.org/officeDocument/2006/relationships/hyperlink" Target="https://www.commerce.gov/sites/default/files/2025-03/NOAA4700%20PIA%20FY25%20SAOP_Approved.pdf" TargetMode="External" /><Relationship Id="rId23" Type="http://schemas.openxmlformats.org/officeDocument/2006/relationships/hyperlink" Target="https://www.commerce.gov/sites/default/files/2024-01/CAPS_rpStandard_2024.pdf" TargetMode="External" /><Relationship Id="rId24" Type="http://schemas.openxmlformats.org/officeDocument/2006/relationships/hyperlink" Target="https://www.noaa.gov/organization/information-technology/policy-oversight/information-quality/information-quality-guidelines" TargetMode="External" /><Relationship Id="rId25" Type="http://schemas.openxmlformats.org/officeDocument/2006/relationships/hyperlink" Target="http://www.gpo.gov/fdsys/pkg/CFR-2014-title5-vol3/pdf/CFR-2014-title5-vol3-sec1320-9.pdf" TargetMode="External" /><Relationship Id="rId26" Type="http://schemas.openxmlformats.org/officeDocument/2006/relationships/hyperlink" Target="http://www.gpo.gov/fdsys/pkg/CFR-2014-title5-vol3/pdf/CFR-2014-title5-vol3-sec1320-8.pdf" TargetMode="Externa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gi-bin/text-idx?SID=0cc954068b4cef56066a93c0ecbd605f&amp;mc=true&amp;node=pt50.13.679&amp;rgn=div5" TargetMode="External" /><Relationship Id="rId9" Type="http://schemas.openxmlformats.org/officeDocument/2006/relationships/hyperlink" Target="https://www.gpo.gov/fdsys/pkg/FR-2007-09-14/pdf/07-4358.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alaska/ecosystems/economic-status-reports-gulf-alaska-and-bering-sea-aleutian-islands" TargetMode="External" /><Relationship Id="rId2" Type="http://schemas.openxmlformats.org/officeDocument/2006/relationships/hyperlink" Target="https://www.fisheries.noaa.gov/resource/document/five-year-review-effects-amendment-80" TargetMode="External" /><Relationship Id="rId3" Type="http://schemas.openxmlformats.org/officeDocument/2006/relationships/hyperlink" Target="https://www.fisheries.noaa.gov/resource/document/final-environmental-impact-statement-steller-sea-lion-protection-measures" TargetMode="External" /><Relationship Id="rId4" Type="http://schemas.openxmlformats.org/officeDocument/2006/relationships/hyperlink" Target="https://www.npfmc.org/wp-content/PDFdocuments/catch_shares/AM80/AM80ProgramReview_04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27LIu81ASbaVSVMlxyHWMiZdng==">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6006</Words>
  <Characters>34237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Watson</dc:creator>
  <cp:lastModifiedBy>Adrienne.Thomas</cp:lastModifiedBy>
  <cp:revision>4</cp:revision>
  <dcterms:created xsi:type="dcterms:W3CDTF">2025-11-21T16:53:00Z</dcterms:created>
  <dcterms:modified xsi:type="dcterms:W3CDTF">2025-11-21T17:03:00Z</dcterms:modified>
</cp:coreProperties>
</file>