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5628" w14:paraId="0CC7D2D5" w14:textId="77777777">
      <w:pPr>
        <w:pStyle w:val="Heading1"/>
        <w:ind w:left="0"/>
        <w:jc w:val="center"/>
        <w:rPr>
          <w:rFonts w:ascii="Times New Roman" w:eastAsia="Times New Roman" w:hAnsi="Times New Roman" w:cs="Times New Roman"/>
        </w:rPr>
      </w:pPr>
      <w:r>
        <w:rPr>
          <w:rFonts w:ascii="Times New Roman" w:eastAsia="Times New Roman" w:hAnsi="Times New Roman" w:cs="Times New Roman"/>
        </w:rPr>
        <w:t>SUPPORTING STATEMENT</w:t>
      </w:r>
    </w:p>
    <w:p w:rsidR="00EC5628" w14:paraId="68EFE688" w14:textId="77777777">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EC5628" w14:paraId="566BCF3D" w14:textId="77777777">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EC5628" w14:paraId="00FA3D37" w14:textId="77777777">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Groundfish Trawl Catcher/Processor Economic Data Report (EDR)</w:t>
      </w:r>
    </w:p>
    <w:p w:rsidR="00EC5628" w14:paraId="1B0B2998" w14:textId="77777777">
      <w:pPr>
        <w:spacing w:line="259" w:lineRule="auto"/>
        <w:ind w:hanging="6"/>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OMB Control No. 0648-0564</w:t>
      </w:r>
    </w:p>
    <w:p w:rsidR="00EC5628" w14:paraId="1647720E" w14:textId="77777777">
      <w:pPr>
        <w:rPr>
          <w:rFonts w:ascii="Times New Roman" w:eastAsia="Times New Roman" w:hAnsi="Times New Roman" w:cs="Times New Roman"/>
          <w:b/>
          <w:sz w:val="24"/>
          <w:szCs w:val="24"/>
        </w:rPr>
      </w:pPr>
    </w:p>
    <w:p w:rsidR="00EC5628" w14:paraId="4DEF4D27" w14:textId="77777777">
      <w:pPr>
        <w:spacing w:before="161"/>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EC5628" w14:paraId="706FACFD" w14:textId="77777777">
      <w:pPr>
        <w:pStyle w:val="Heading1"/>
        <w:numPr>
          <w:ilvl w:val="0"/>
          <w:numId w:val="1"/>
        </w:numPr>
        <w:tabs>
          <w:tab w:val="left" w:pos="360"/>
        </w:tabs>
        <w:spacing w:before="185"/>
        <w:ind w:left="0" w:firstLine="0"/>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C5628" w14:paraId="074C69F0" w14:textId="77777777">
      <w:pPr>
        <w:rPr>
          <w:rFonts w:ascii="Times New Roman" w:eastAsia="Times New Roman" w:hAnsi="Times New Roman" w:cs="Times New Roman"/>
          <w:sz w:val="24"/>
          <w:szCs w:val="24"/>
        </w:rPr>
      </w:pPr>
      <w:bookmarkStart w:id="1" w:name="_30j0zll" w:colFirst="0" w:colLast="0"/>
      <w:bookmarkEnd w:id="1"/>
    </w:p>
    <w:p w:rsidR="00EC5628" w14:paraId="1988D1C4" w14:textId="595648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Groundfish harvest includes both the Gulf of Alaska (GOA) and Bering Sea and Aleutian Islands management area; </w:t>
      </w:r>
      <w:r>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groundfish activity from both areas is included. Each catcher/processor is required to have one Amendment 80 quota share (QS) permit and one License Limitation Program (LLP) license, or an LLP groundfish license. Owners of multiple licenses and associated vessels are required annually to submit one Annual Trawl Catcher/Processor Economic Data Report (Annual Trawl Catcher/Processor EDR) for each licensed vessel. In 202</w:t>
      </w:r>
      <w:r w:rsidR="004E400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22 entities submitted an EDR for a 100 percent response rate. </w:t>
      </w:r>
    </w:p>
    <w:p w:rsidR="00EC5628" w14:paraId="30E3FACF" w14:textId="77777777">
      <w:pPr>
        <w:spacing w:before="8"/>
        <w:rPr>
          <w:rFonts w:ascii="Times New Roman" w:eastAsia="Times New Roman" w:hAnsi="Times New Roman" w:cs="Times New Roman"/>
          <w:b/>
          <w:sz w:val="24"/>
          <w:szCs w:val="24"/>
        </w:rPr>
      </w:pPr>
    </w:p>
    <w:tbl>
      <w:tblPr>
        <w:tblStyle w:val="a"/>
        <w:tblW w:w="5285" w:type="dxa"/>
        <w:tblInd w:w="2269" w:type="dxa"/>
        <w:tblLayout w:type="fixed"/>
        <w:tblLook w:val="0000"/>
      </w:tblPr>
      <w:tblGrid>
        <w:gridCol w:w="3395"/>
        <w:gridCol w:w="1890"/>
      </w:tblGrid>
      <w:tr w14:paraId="786ACCD1" w14:textId="77777777">
        <w:tblPrEx>
          <w:tblW w:w="5285" w:type="dxa"/>
          <w:tblInd w:w="2269" w:type="dxa"/>
          <w:tblLayout w:type="fixed"/>
          <w:tblLook w:val="0000"/>
        </w:tblPrEx>
        <w:trPr>
          <w:trHeight w:val="286"/>
        </w:trPr>
        <w:tc>
          <w:tcPr>
            <w:tcW w:w="3395" w:type="dxa"/>
            <w:tcBorders>
              <w:top w:val="single" w:sz="5" w:space="0" w:color="000000"/>
              <w:left w:val="single" w:sz="5" w:space="0" w:color="000000"/>
              <w:bottom w:val="single" w:sz="5" w:space="0" w:color="000000"/>
              <w:right w:val="single" w:sz="5" w:space="0" w:color="000000"/>
            </w:tcBorders>
          </w:tcPr>
          <w:p w:rsidR="00EC5628" w14:paraId="3519B04A" w14:textId="77777777">
            <w:pPr>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Entity Type</w:t>
            </w:r>
          </w:p>
        </w:tc>
        <w:tc>
          <w:tcPr>
            <w:tcW w:w="1890" w:type="dxa"/>
            <w:tcBorders>
              <w:top w:val="single" w:sz="5" w:space="0" w:color="000000"/>
              <w:left w:val="single" w:sz="5" w:space="0" w:color="000000"/>
              <w:bottom w:val="single" w:sz="5" w:space="0" w:color="000000"/>
              <w:right w:val="single" w:sz="5" w:space="0" w:color="000000"/>
            </w:tcBorders>
          </w:tcPr>
          <w:p w:rsidR="00EC5628" w14:paraId="358CDF99" w14:textId="77777777">
            <w:pPr>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w:t>
            </w:r>
          </w:p>
        </w:tc>
      </w:tr>
      <w:tr w14:paraId="6EFB55F0" w14:textId="77777777">
        <w:tblPrEx>
          <w:tblW w:w="5285" w:type="dxa"/>
          <w:tblInd w:w="2269" w:type="dxa"/>
          <w:tblLayout w:type="fixed"/>
          <w:tblLook w:val="0000"/>
        </w:tblPrEx>
        <w:trPr>
          <w:trHeight w:val="281"/>
        </w:trPr>
        <w:tc>
          <w:tcPr>
            <w:tcW w:w="3395" w:type="dxa"/>
            <w:tcBorders>
              <w:top w:val="single" w:sz="5" w:space="0" w:color="000000"/>
              <w:left w:val="single" w:sz="5" w:space="0" w:color="000000"/>
              <w:bottom w:val="single" w:sz="5" w:space="0" w:color="000000"/>
              <w:right w:val="single" w:sz="5" w:space="0" w:color="000000"/>
            </w:tcBorders>
          </w:tcPr>
          <w:p w:rsidR="00EC5628" w14:paraId="34405EC5" w14:textId="77777777">
            <w:pPr>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catcher/processors </w:t>
            </w:r>
          </w:p>
        </w:tc>
        <w:tc>
          <w:tcPr>
            <w:tcW w:w="1890" w:type="dxa"/>
            <w:tcBorders>
              <w:top w:val="single" w:sz="5" w:space="0" w:color="000000"/>
              <w:left w:val="single" w:sz="5" w:space="0" w:color="000000"/>
              <w:bottom w:val="single" w:sz="5" w:space="0" w:color="000000"/>
              <w:right w:val="single" w:sz="5" w:space="0" w:color="000000"/>
            </w:tcBorders>
          </w:tcPr>
          <w:p w:rsidR="00EC5628" w14:paraId="24807453" w14:textId="77777777">
            <w:pPr>
              <w:ind w:left="115"/>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EC5628" w14:paraId="3B1CC476" w14:textId="77777777">
      <w:pPr>
        <w:spacing w:before="8"/>
        <w:ind w:left="115"/>
        <w:rPr>
          <w:rFonts w:ascii="Times New Roman" w:eastAsia="Times New Roman" w:hAnsi="Times New Roman" w:cs="Times New Roman"/>
          <w:b/>
          <w:sz w:val="16"/>
          <w:szCs w:val="16"/>
        </w:rPr>
      </w:pPr>
    </w:p>
    <w:p w:rsidR="00EC5628" w14:paraId="59A9A879" w14:textId="77777777">
      <w:pPr>
        <w:rPr>
          <w:rFonts w:ascii="Times New Roman" w:eastAsia="Times New Roman" w:hAnsi="Times New Roman" w:cs="Times New Roman"/>
          <w:color w:val="2F5496"/>
          <w:sz w:val="24"/>
          <w:szCs w:val="24"/>
        </w:rPr>
      </w:pPr>
    </w:p>
    <w:p w:rsidR="00EC5628" w14:paraId="5CB12058" w14:textId="77777777">
      <w:pPr>
        <w:pStyle w:val="Heading1"/>
        <w:numPr>
          <w:ilvl w:val="0"/>
          <w:numId w:val="1"/>
        </w:numPr>
        <w:tabs>
          <w:tab w:val="left" w:pos="360"/>
        </w:tabs>
        <w:ind w:left="0" w:firstLine="0"/>
      </w:pPr>
      <w:r>
        <w:rPr>
          <w:rFonts w:ascii="Times New Roman" w:eastAsia="Times New Roman" w:hAnsi="Times New Roman" w:cs="Times New Roman"/>
        </w:rPr>
        <w:t>Describe the procedures for the collection of information including:</w:t>
      </w:r>
    </w:p>
    <w:p w:rsidR="00EC5628" w14:paraId="1232A983"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Statistical methodology for stratification and sample selection,</w:t>
      </w:r>
    </w:p>
    <w:p w:rsidR="00EC5628" w14:paraId="3C9DBC64"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Estimation procedure,</w:t>
      </w:r>
    </w:p>
    <w:p w:rsidR="00EC5628" w14:paraId="0A510BD8"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Degree of accuracy needed for the purpose described in the justification,</w:t>
      </w:r>
    </w:p>
    <w:p w:rsidR="00EC5628" w14:paraId="624003D5"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Unusual problems requiring specialized sampling procedures, and</w:t>
      </w:r>
    </w:p>
    <w:p w:rsidR="00EC5628" w14:paraId="4CDFDC38" w14:textId="77777777">
      <w:pPr>
        <w:numPr>
          <w:ilvl w:val="1"/>
          <w:numId w:val="1"/>
        </w:numPr>
        <w:pBdr>
          <w:top w:val="nil"/>
          <w:left w:val="nil"/>
          <w:bottom w:val="nil"/>
          <w:right w:val="nil"/>
          <w:between w:val="nil"/>
        </w:pBdr>
        <w:tabs>
          <w:tab w:val="left" w:pos="720"/>
        </w:tabs>
        <w:spacing w:before="120"/>
        <w:ind w:left="360" w:firstLine="0"/>
      </w:pPr>
      <w:r>
        <w:rPr>
          <w:rFonts w:ascii="Times New Roman" w:eastAsia="Times New Roman" w:hAnsi="Times New Roman" w:cs="Times New Roman"/>
          <w:color w:val="000000"/>
          <w:sz w:val="24"/>
          <w:szCs w:val="24"/>
        </w:rPr>
        <w:t>Any use of periodic (less frequent than annual) data collection cycles to reduce burden.</w:t>
      </w:r>
    </w:p>
    <w:p w:rsidR="00EC5628" w14:paraId="43102204" w14:textId="77777777">
      <w:pPr>
        <w:rPr>
          <w:rFonts w:ascii="Times New Roman" w:eastAsia="Times New Roman" w:hAnsi="Times New Roman" w:cs="Times New Roman"/>
          <w:sz w:val="24"/>
          <w:szCs w:val="24"/>
        </w:rPr>
      </w:pPr>
    </w:p>
    <w:p w:rsidR="00EC5628" w14:paraId="5CF5CCD7" w14:textId="5152D1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ICR </w:t>
      </w:r>
      <w:r w:rsidR="00AD7314">
        <w:rPr>
          <w:rFonts w:ascii="Times New Roman" w:eastAsia="Times New Roman" w:hAnsi="Times New Roman" w:cs="Times New Roman"/>
          <w:sz w:val="24"/>
          <w:szCs w:val="24"/>
        </w:rPr>
        <w:t>uses a</w:t>
      </w:r>
      <w:r w:rsidR="004C7E7F">
        <w:rPr>
          <w:rFonts w:ascii="Times New Roman" w:eastAsia="Times New Roman" w:hAnsi="Times New Roman" w:cs="Times New Roman"/>
          <w:sz w:val="24"/>
          <w:szCs w:val="24"/>
        </w:rPr>
        <w:t xml:space="preserve"> mandatory </w:t>
      </w:r>
      <w:r>
        <w:rPr>
          <w:rFonts w:ascii="Times New Roman" w:eastAsia="Times New Roman" w:hAnsi="Times New Roman" w:cs="Times New Roman"/>
          <w:sz w:val="24"/>
          <w:szCs w:val="24"/>
        </w:rPr>
        <w:t xml:space="preserve">annual census of all 22 catcher/processors. As the Annual Trawl Catcher/Processor EDR </w:t>
      </w:r>
      <w:r w:rsidRPr="00AD7314">
        <w:rPr>
          <w:rFonts w:ascii="Times New Roman" w:eastAsia="Times New Roman" w:hAnsi="Times New Roman" w:cs="Times New Roman"/>
          <w:sz w:val="24"/>
          <w:szCs w:val="24"/>
        </w:rPr>
        <w:t>is a mandatory collection</w:t>
      </w:r>
      <w:r>
        <w:rPr>
          <w:rFonts w:ascii="Times New Roman" w:eastAsia="Times New Roman" w:hAnsi="Times New Roman" w:cs="Times New Roman"/>
          <w:sz w:val="24"/>
          <w:szCs w:val="24"/>
        </w:rPr>
        <w:t>, and valuable fishing privileges will be withheld if an EDR is not submitted, we anticipate a 100 percent response rate from QS holders. QS and LLP licenses that designate participation in the trawl fisheries are issued to entities, rather than vessels, and specific provisions require that each participant is responsible for including data from any acquired vessel in this sector.</w:t>
      </w:r>
    </w:p>
    <w:p w:rsidR="00EC5628" w14:paraId="5CC048B1" w14:textId="77777777">
      <w:pPr>
        <w:rPr>
          <w:rFonts w:ascii="Times New Roman" w:eastAsia="Times New Roman" w:hAnsi="Times New Roman" w:cs="Times New Roman"/>
          <w:sz w:val="24"/>
          <w:szCs w:val="24"/>
        </w:rPr>
      </w:pPr>
    </w:p>
    <w:p w:rsidR="00EC5628" w14:paraId="57B1A06A" w14:textId="22CF39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February 2022 the Council received a Final Review Draft Regulatory Impact Review that was developed following a comprehensive review of the Annual Trawl Catcher/Processor EDR, along with the three other Alaska Region/North Pacific EDR Programs. One of the issues that was addressed in the review of the EDRs is whether annual submission of data by each respondent continues to be necessary to provide the data needed to monitor and evaluate the Alaska groundfish trawl fisheries. An option was </w:t>
      </w:r>
      <w:r>
        <w:rPr>
          <w:rFonts w:ascii="Times New Roman" w:eastAsia="Times New Roman" w:hAnsi="Times New Roman" w:cs="Times New Roman"/>
          <w:sz w:val="24"/>
          <w:szCs w:val="24"/>
        </w:rPr>
        <w:t>specifically considered chang</w:t>
      </w:r>
      <w:r w:rsidR="00D523F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frequency of the information collection from annually to either every other or every third year. The Council chose to retain annual EDR submission in all remaining EDRs. This decision was influenced by the fact that the agency and contractor infrastructure would likely have to be maintained annually, as would industry </w:t>
      </w:r>
      <w:r>
        <w:rPr>
          <w:rFonts w:ascii="Times New Roman" w:eastAsia="Times New Roman" w:hAnsi="Times New Roman" w:cs="Times New Roman"/>
          <w:sz w:val="24"/>
          <w:szCs w:val="24"/>
        </w:rPr>
        <w:t>bookkeeping</w:t>
      </w:r>
      <w:r>
        <w:rPr>
          <w:rFonts w:ascii="Times New Roman" w:eastAsia="Times New Roman" w:hAnsi="Times New Roman" w:cs="Times New Roman"/>
          <w:sz w:val="24"/>
          <w:szCs w:val="24"/>
        </w:rPr>
        <w:t xml:space="preserve"> practices, resulting in little reduction in either recoverable agency costs or industry compliance costs. Concerns about data quality were also raised in that if an anomalous event occurred in a year when data is not collected the resulting impact to the analyst’s ability to evaluate economic impacts, to both fishery participants and fishery dependent communities, would be severely constrained.</w:t>
      </w:r>
    </w:p>
    <w:p w:rsidR="00EC5628" w14:paraId="5463F4D9" w14:textId="77777777">
      <w:pPr>
        <w:rPr>
          <w:rFonts w:ascii="Times New Roman" w:eastAsia="Times New Roman" w:hAnsi="Times New Roman" w:cs="Times New Roman"/>
          <w:sz w:val="24"/>
          <w:szCs w:val="24"/>
        </w:rPr>
      </w:pPr>
    </w:p>
    <w:p w:rsidR="00EC5628" w14:paraId="19B509B8" w14:textId="23E6D120">
      <w:pPr>
        <w:pBdr>
          <w:top w:val="nil"/>
          <w:left w:val="nil"/>
          <w:bottom w:val="nil"/>
          <w:right w:val="nil"/>
          <w:between w:val="nil"/>
        </w:pBdr>
        <w:rPr>
          <w:rFonts w:ascii="Times New Roman" w:eastAsia="Times New Roman" w:hAnsi="Times New Roman" w:cs="Times New Roman"/>
          <w:color w:val="000000"/>
          <w:sz w:val="24"/>
          <w:szCs w:val="24"/>
        </w:rPr>
      </w:pPr>
      <w:r w:rsidRPr="0003154B">
        <w:rPr>
          <w:rFonts w:ascii="Times New Roman" w:eastAsia="Times New Roman" w:hAnsi="Times New Roman" w:cs="Times New Roman"/>
          <w:color w:val="000000"/>
          <w:sz w:val="24"/>
          <w:szCs w:val="24"/>
        </w:rPr>
        <w:t xml:space="preserve">Given the small population size of 22 vessels in the fleet, and relatively high inter-annual and cross-sectional heterogeneity in many key variables measured by the survey, the ICR is specified in regulation as a mandatory annual census, and does not permit </w:t>
      </w:r>
      <w:r w:rsidR="002E34F8">
        <w:rPr>
          <w:rFonts w:ascii="Times New Roman" w:eastAsia="Times New Roman" w:hAnsi="Times New Roman" w:cs="Times New Roman"/>
          <w:color w:val="000000"/>
          <w:sz w:val="24"/>
          <w:szCs w:val="24"/>
        </w:rPr>
        <w:t xml:space="preserve">alternative </w:t>
      </w:r>
      <w:r w:rsidRPr="0003154B">
        <w:rPr>
          <w:rFonts w:ascii="Times New Roman" w:eastAsia="Times New Roman" w:hAnsi="Times New Roman" w:cs="Times New Roman"/>
          <w:color w:val="000000"/>
          <w:sz w:val="24"/>
          <w:szCs w:val="24"/>
        </w:rPr>
        <w:t>sample-based methods.</w:t>
      </w:r>
      <w:r>
        <w:rPr>
          <w:rFonts w:ascii="Times New Roman" w:eastAsia="Times New Roman" w:hAnsi="Times New Roman" w:cs="Times New Roman"/>
          <w:color w:val="000000"/>
          <w:sz w:val="24"/>
          <w:szCs w:val="24"/>
        </w:rPr>
        <w:t xml:space="preserve"> </w:t>
      </w:r>
      <w:r w:rsidR="00C4337A">
        <w:rPr>
          <w:rFonts w:ascii="Times New Roman" w:eastAsia="Times New Roman" w:hAnsi="Times New Roman" w:cs="Times New Roman"/>
          <w:color w:val="000000"/>
          <w:sz w:val="24"/>
          <w:szCs w:val="24"/>
        </w:rPr>
        <w:t>Based upon the degrees of freedom and number of observations required for estimating the statistical relationship among the variables in this collection, data in the Annual Trawl Catcher/Processor EDR may be pooled to create a time-series of cross-sectional data in order to generate sufficient observations for economic and statistical analysis. Although the strata to be used in preparing analyses (either deterministic or statistical) of management actions for this fleet will depend on the specific questions of interest, vessels are commonly stratified by vessel length and the distribution and amount of catch by species.</w:t>
      </w:r>
    </w:p>
    <w:p w:rsidR="00EC5628" w14:paraId="51428600" w14:textId="77777777">
      <w:pPr>
        <w:pBdr>
          <w:top w:val="nil"/>
          <w:left w:val="nil"/>
          <w:bottom w:val="nil"/>
          <w:right w:val="nil"/>
          <w:between w:val="nil"/>
        </w:pBdr>
        <w:rPr>
          <w:rFonts w:ascii="Times New Roman" w:eastAsia="Times New Roman" w:hAnsi="Times New Roman" w:cs="Times New Roman"/>
          <w:color w:val="000000"/>
          <w:sz w:val="24"/>
          <w:szCs w:val="24"/>
        </w:rPr>
      </w:pPr>
    </w:p>
    <w:p w:rsidR="00EC5628" w14:paraId="001B83A6" w14:textId="77777777">
      <w:pPr>
        <w:pStyle w:val="Heading1"/>
        <w:numPr>
          <w:ilvl w:val="0"/>
          <w:numId w:val="1"/>
        </w:numPr>
        <w:tabs>
          <w:tab w:val="left" w:pos="360"/>
        </w:tabs>
        <w:spacing w:before="159"/>
        <w:ind w:left="0" w:firstLine="0"/>
      </w:pPr>
      <w:r>
        <w:rPr>
          <w:rFonts w:ascii="Times New Roman" w:eastAsia="Times New Roman" w:hAnsi="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C5628" w14:paraId="3A961C05" w14:textId="77777777">
      <w:pPr>
        <w:pBdr>
          <w:top w:val="nil"/>
          <w:left w:val="nil"/>
          <w:bottom w:val="nil"/>
          <w:right w:val="nil"/>
          <w:between w:val="nil"/>
        </w:pBdr>
        <w:rPr>
          <w:rFonts w:ascii="Times New Roman" w:eastAsia="Times New Roman" w:hAnsi="Times New Roman" w:cs="Times New Roman"/>
          <w:color w:val="2F5496"/>
          <w:sz w:val="24"/>
          <w:szCs w:val="24"/>
        </w:rPr>
      </w:pPr>
    </w:p>
    <w:p w:rsidR="00EC5628" w14:paraId="2BBDC5CF" w14:textId="77777777">
      <w:pPr>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Each of the owners and leaseholders in the catcher/processor sector is required to annually submit the EDR. Therefore, the response to mandatory data requirements should be very high. Those individuals who do not submit their EDR by the submission date will receive a follow-up phone call from Pacific States. If a solution cannot be reached at that point, their information will be referred to the NOAA Office of Law Enforcement. Therefore, we anticipate a response rate of 100 percent.</w:t>
      </w:r>
    </w:p>
    <w:p w:rsidR="00EC5628" w14:paraId="2A5A5DD5" w14:textId="77777777">
      <w:pPr>
        <w:rPr>
          <w:rFonts w:ascii="Times New Roman" w:eastAsia="Times New Roman" w:hAnsi="Times New Roman" w:cs="Times New Roman"/>
          <w:sz w:val="24"/>
          <w:szCs w:val="24"/>
        </w:rPr>
      </w:pPr>
    </w:p>
    <w:p w:rsidR="00EC5628" w14:paraId="67CE80B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Enforcement of the </w:t>
      </w:r>
      <w:r>
        <w:rPr>
          <w:rFonts w:ascii="Times New Roman" w:eastAsia="Times New Roman" w:hAnsi="Times New Roman" w:cs="Times New Roman"/>
          <w:color w:val="000000"/>
          <w:sz w:val="24"/>
          <w:szCs w:val="24"/>
        </w:rPr>
        <w:t>Annual Trawl Catcher/Processor EDR</w:t>
      </w:r>
      <w:r>
        <w:rPr>
          <w:rFonts w:ascii="Times New Roman" w:eastAsia="Times New Roman" w:hAnsi="Times New Roman" w:cs="Times New Roman"/>
          <w:sz w:val="24"/>
          <w:szCs w:val="24"/>
        </w:rPr>
        <w:t xml:space="preserve"> with regard to non-compliance has been different from enforcement programs used to ensure that accurate landings are reported. The economic data are not being used for in-season management; persons submitting the data are given an opportunity to correct omissions and errors before any enforcement action is taken.</w:t>
      </w:r>
    </w:p>
    <w:p w:rsidR="00EC5628" w14:paraId="782D634B" w14:textId="77777777">
      <w:pPr>
        <w:rPr>
          <w:rFonts w:ascii="Times New Roman" w:eastAsia="Times New Roman" w:hAnsi="Times New Roman" w:cs="Times New Roman"/>
          <w:sz w:val="24"/>
          <w:szCs w:val="24"/>
        </w:rPr>
      </w:pPr>
    </w:p>
    <w:p w:rsidR="00EC5628" w14:paraId="00471A87"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Giving the person submitting data a chance to correct problems is important because of the complexities associated with generating these data. Only if the agency and the person submitting the data cannot reach a solution will the enforcement agency be contacted. The intent of this program is to ensure that accurate data are collected without being overly burdensome on industry for unintended errors.</w:t>
      </w:r>
    </w:p>
    <w:p w:rsidR="00EC5628" w14:paraId="42D15E45" w14:textId="77777777">
      <w:pPr>
        <w:widowControl/>
        <w:rPr>
          <w:rFonts w:ascii="Times New Roman" w:eastAsia="Times New Roman" w:hAnsi="Times New Roman" w:cs="Times New Roman"/>
          <w:sz w:val="24"/>
          <w:szCs w:val="24"/>
        </w:rPr>
      </w:pPr>
    </w:p>
    <w:p w:rsidR="00EC5628" w14:paraId="751A63DE" w14:textId="77777777">
      <w:pPr>
        <w:pStyle w:val="Heading1"/>
        <w:numPr>
          <w:ilvl w:val="0"/>
          <w:numId w:val="1"/>
        </w:numPr>
        <w:tabs>
          <w:tab w:val="left" w:pos="360"/>
        </w:tabs>
        <w:spacing w:before="183"/>
        <w:ind w:left="0" w:firstLine="0"/>
      </w:pPr>
      <w:r>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C5628" w14:paraId="10762BF8" w14:textId="77777777">
      <w:pPr>
        <w:pBdr>
          <w:top w:val="nil"/>
          <w:left w:val="nil"/>
          <w:bottom w:val="nil"/>
          <w:right w:val="nil"/>
          <w:between w:val="nil"/>
        </w:pBdr>
        <w:rPr>
          <w:rFonts w:ascii="Times New Roman" w:eastAsia="Times New Roman" w:hAnsi="Times New Roman" w:cs="Times New Roman"/>
          <w:color w:val="2F5496"/>
          <w:sz w:val="24"/>
          <w:szCs w:val="24"/>
        </w:rPr>
      </w:pPr>
    </w:p>
    <w:p w:rsidR="00EC5628" w14:paraId="2081875D"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EDR program has been in place, informal testing has taken place by meeting with EDR submitters to discuss ways in which the forms used to request information could be improved. Pacific States (who administers the data collection as the Data Collection Agent) also conducts data verification </w:t>
      </w:r>
      <w:r>
        <w:rPr>
          <w:rFonts w:ascii="Times New Roman" w:eastAsia="Times New Roman" w:hAnsi="Times New Roman" w:cs="Times New Roman"/>
          <w:sz w:val="24"/>
          <w:szCs w:val="24"/>
        </w:rPr>
        <w:t xml:space="preserve">procedures, as described in Supporting Statement Part A, that are separate from data verification audits. In conducting data verification, Pacific States documents ways in which the EDRs could be clarified, and we have used this information to clarify instructions and variable definitions. </w:t>
      </w:r>
    </w:p>
    <w:p w:rsidR="00EC5628" w14:paraId="2432AC17" w14:textId="77777777">
      <w:pPr>
        <w:rPr>
          <w:rFonts w:ascii="Times New Roman" w:eastAsia="Times New Roman" w:hAnsi="Times New Roman" w:cs="Times New Roman"/>
          <w:sz w:val="24"/>
          <w:szCs w:val="24"/>
        </w:rPr>
      </w:pPr>
    </w:p>
    <w:p w:rsidR="00EC5628" w14:paraId="4700B5C3" w14:textId="77777777">
      <w:pPr>
        <w:pStyle w:val="Heading1"/>
        <w:numPr>
          <w:ilvl w:val="0"/>
          <w:numId w:val="1"/>
        </w:numPr>
        <w:tabs>
          <w:tab w:val="left" w:pos="360"/>
        </w:tabs>
        <w:spacing w:before="183"/>
        <w:ind w:left="0" w:firstLine="0"/>
      </w:pPr>
      <w:r>
        <w:rPr>
          <w:rFonts w:ascii="Times New Roman" w:eastAsia="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EC5628" w14:paraId="0149D7A7" w14:textId="77777777"/>
    <w:p w:rsidR="00EC5628" w14:paraId="08E2E50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w:t>
      </w:r>
      <w:r>
        <w:rPr>
          <w:rFonts w:ascii="Times New Roman" w:eastAsia="Times New Roman" w:hAnsi="Times New Roman" w:cs="Times New Roman"/>
          <w:sz w:val="24"/>
          <w:szCs w:val="24"/>
        </w:rPr>
        <w:t>Felthoven</w:t>
      </w:r>
    </w:p>
    <w:p w:rsidR="00EC5628" w14:paraId="037922B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Economist </w:t>
      </w:r>
    </w:p>
    <w:p w:rsidR="00EC5628" w14:paraId="5934F43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WASC Route: F/AKC3 </w:t>
      </w:r>
    </w:p>
    <w:p w:rsidR="00EC5628" w14:paraId="5F8AF47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 (206) 526-4114</w:t>
      </w:r>
    </w:p>
    <w:p w:rsidR="00EC5628" w14:paraId="70D10D4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Address: </w:t>
      </w:r>
      <w:hyperlink r:id="rId4">
        <w:r>
          <w:rPr>
            <w:rFonts w:ascii="Times New Roman" w:eastAsia="Times New Roman" w:hAnsi="Times New Roman" w:cs="Times New Roman"/>
            <w:color w:val="0000FF"/>
            <w:sz w:val="24"/>
            <w:szCs w:val="24"/>
            <w:u w:val="single"/>
          </w:rPr>
          <w:t>ron.felthoven@noaa.gov</w:t>
        </w:r>
      </w:hyperlink>
    </w:p>
    <w:p w:rsidR="00EC5628" w14:paraId="1EF8839E" w14:textId="77777777">
      <w:pPr>
        <w:rPr>
          <w:rFonts w:ascii="Times New Roman" w:eastAsia="Times New Roman" w:hAnsi="Times New Roman" w:cs="Times New Roman"/>
          <w:sz w:val="24"/>
          <w:szCs w:val="24"/>
        </w:rPr>
      </w:pPr>
    </w:p>
    <w:p w:rsidR="00EC5628" w14:paraId="3EDDF7E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Garber-</w:t>
      </w:r>
      <w:r>
        <w:rPr>
          <w:rFonts w:ascii="Times New Roman" w:eastAsia="Times New Roman" w:hAnsi="Times New Roman" w:cs="Times New Roman"/>
          <w:sz w:val="24"/>
          <w:szCs w:val="24"/>
        </w:rPr>
        <w:t>Yonts</w:t>
      </w:r>
      <w:r>
        <w:rPr>
          <w:rFonts w:ascii="Times New Roman" w:eastAsia="Times New Roman" w:hAnsi="Times New Roman" w:cs="Times New Roman"/>
          <w:sz w:val="24"/>
          <w:szCs w:val="24"/>
        </w:rPr>
        <w:t xml:space="preserve">, Ph.D. [statistical design and analysis of data] </w:t>
      </w:r>
    </w:p>
    <w:p w:rsidR="00EC5628" w14:paraId="647B1E0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Economist</w:t>
      </w:r>
    </w:p>
    <w:p w:rsidR="00EC5628" w14:paraId="623C8BB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NOAA/NMFS, Alaska Fisheries Science Center PH: (206) 526-6301</w:t>
      </w:r>
    </w:p>
    <w:p w:rsidR="00EC5628" w14:paraId="47CA12F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5">
        <w:r>
          <w:rPr>
            <w:rFonts w:ascii="Times New Roman" w:eastAsia="Times New Roman" w:hAnsi="Times New Roman" w:cs="Times New Roman"/>
            <w:color w:val="0000FF"/>
            <w:sz w:val="24"/>
            <w:szCs w:val="24"/>
            <w:u w:val="single"/>
          </w:rPr>
          <w:t>Brian.Garber-yonts@noaa.gov</w:t>
        </w:r>
      </w:hyperlink>
    </w:p>
    <w:p w:rsidR="00EC5628" w14:paraId="2E46CC93" w14:textId="77777777">
      <w:pPr>
        <w:spacing w:before="11"/>
        <w:rPr>
          <w:rFonts w:ascii="Times New Roman" w:eastAsia="Times New Roman" w:hAnsi="Times New Roman" w:cs="Times New Roman"/>
          <w:sz w:val="24"/>
          <w:szCs w:val="24"/>
        </w:rPr>
      </w:pPr>
    </w:p>
    <w:p w:rsidR="00EC5628" w14:paraId="6D22EF61" w14:textId="12304289">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A. Miller </w:t>
      </w:r>
    </w:p>
    <w:p w:rsidR="00EC5628" w14:paraId="70463D1E" w14:textId="768965C9">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Economist</w:t>
      </w:r>
    </w:p>
    <w:p w:rsidR="00EC5628" w14:paraId="51A3A2DB" w14:textId="77777777">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NOAA/NMFS Alaska Region</w:t>
      </w:r>
    </w:p>
    <w:p w:rsidR="00EC5628" w14:paraId="0DAB8840" w14:textId="77777777">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PH (907) 523-8991</w:t>
      </w:r>
    </w:p>
    <w:p w:rsidR="00EC5628" w14:paraId="0896A6D1" w14:textId="77777777">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6">
        <w:r>
          <w:rPr>
            <w:rFonts w:ascii="Times New Roman" w:eastAsia="Times New Roman" w:hAnsi="Times New Roman" w:cs="Times New Roman"/>
            <w:color w:val="0563C1"/>
            <w:sz w:val="24"/>
            <w:szCs w:val="24"/>
            <w:u w:val="single"/>
          </w:rPr>
          <w:t>scott.miller@noaa.gov</w:t>
        </w:r>
      </w:hyperlink>
    </w:p>
    <w:p w:rsidR="00EC5628" w14:paraId="168A4FCF" w14:textId="77777777">
      <w:pPr>
        <w:spacing w:before="11"/>
        <w:rPr>
          <w:rFonts w:ascii="Times New Roman" w:eastAsia="Times New Roman" w:hAnsi="Times New Roman" w:cs="Times New Roman"/>
          <w:sz w:val="24"/>
          <w:szCs w:val="24"/>
        </w:rPr>
      </w:pPr>
    </w:p>
    <w:p w:rsidR="00EC5628" w14:paraId="53246E4C" w14:textId="1012C0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w:t>
      </w:r>
      <w:r>
        <w:rPr>
          <w:rFonts w:ascii="Times New Roman" w:eastAsia="Times New Roman" w:hAnsi="Times New Roman" w:cs="Times New Roman"/>
          <w:sz w:val="24"/>
          <w:szCs w:val="24"/>
        </w:rPr>
        <w:t>Warpinski</w:t>
      </w:r>
      <w:r>
        <w:rPr>
          <w:rFonts w:ascii="Times New Roman" w:eastAsia="Times New Roman" w:hAnsi="Times New Roman" w:cs="Times New Roman"/>
          <w:sz w:val="24"/>
          <w:szCs w:val="24"/>
        </w:rPr>
        <w:t xml:space="preserve"> [specialist on EDR regulations] </w:t>
      </w:r>
    </w:p>
    <w:p w:rsidR="00A431E1" w14:paraId="3A75075B" w14:textId="019D1FC9">
      <w:p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Economist</w:t>
      </w:r>
    </w:p>
    <w:p w:rsidR="00EC5628" w14:paraId="37A838F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NOAA/NMFS, Alaska Region</w:t>
      </w:r>
    </w:p>
    <w:p w:rsidR="00EC5628" w14:paraId="4B9F4AE1" w14:textId="0DDFA81B">
      <w:pPr>
        <w:rPr>
          <w:rFonts w:ascii="Times New Roman" w:eastAsia="Times New Roman" w:hAnsi="Times New Roman" w:cs="Times New Roman"/>
          <w:sz w:val="24"/>
          <w:szCs w:val="24"/>
        </w:rPr>
      </w:pPr>
      <w:r>
        <w:rPr>
          <w:rFonts w:ascii="Times New Roman" w:eastAsia="Times New Roman" w:hAnsi="Times New Roman" w:cs="Times New Roman"/>
          <w:sz w:val="24"/>
          <w:szCs w:val="24"/>
        </w:rPr>
        <w:t>PH: (907) 266-1151</w:t>
      </w:r>
    </w:p>
    <w:p w:rsidR="00EC5628" w14:paraId="3908751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7">
        <w:r>
          <w:rPr>
            <w:rFonts w:ascii="Times New Roman" w:eastAsia="Times New Roman" w:hAnsi="Times New Roman" w:cs="Times New Roman"/>
            <w:color w:val="0000FF"/>
            <w:sz w:val="24"/>
            <w:szCs w:val="24"/>
            <w:u w:val="single"/>
          </w:rPr>
          <w:t>stephanie.warpinski@noaa.gov</w:t>
        </w:r>
      </w:hyperlink>
    </w:p>
    <w:p w:rsidR="00EC5628" w14:paraId="148043DB" w14:textId="77777777">
      <w:pPr>
        <w:spacing w:before="11"/>
        <w:rPr>
          <w:rFonts w:ascii="Times New Roman" w:eastAsia="Times New Roman" w:hAnsi="Times New Roman" w:cs="Times New Roman"/>
          <w:sz w:val="24"/>
          <w:szCs w:val="24"/>
        </w:rPr>
      </w:pPr>
    </w:p>
    <w:p w:rsidR="00EC5628" w14:paraId="17B7D5E5" w14:textId="77777777">
      <w:pPr>
        <w:spacing w:before="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Whitney [administers Amendment 80 Program] </w:t>
      </w:r>
    </w:p>
    <w:p w:rsidR="00EC5628" w14:paraId="0295618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NOAA/NMFS, Alaska Region</w:t>
      </w:r>
    </w:p>
    <w:p w:rsidR="00EC5628" w14:paraId="37CC09E8" w14:textId="1E783EA6">
      <w:pPr>
        <w:rPr>
          <w:rFonts w:ascii="Times New Roman" w:eastAsia="Times New Roman" w:hAnsi="Times New Roman" w:cs="Times New Roman"/>
          <w:sz w:val="24"/>
          <w:szCs w:val="24"/>
        </w:rPr>
      </w:pPr>
      <w:r>
        <w:rPr>
          <w:rFonts w:ascii="Times New Roman" w:eastAsia="Times New Roman" w:hAnsi="Times New Roman" w:cs="Times New Roman"/>
          <w:sz w:val="24"/>
          <w:szCs w:val="24"/>
        </w:rPr>
        <w:t>PH: (907) 206-6783</w:t>
      </w:r>
    </w:p>
    <w:p w:rsidR="00EC5628" w14:paraId="29A4DF27" w14:textId="77777777">
      <w:pPr>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Email Address: </w:t>
      </w:r>
      <w:hyperlink r:id="rId8">
        <w:r>
          <w:rPr>
            <w:rFonts w:ascii="Times New Roman" w:eastAsia="Times New Roman" w:hAnsi="Times New Roman" w:cs="Times New Roman"/>
            <w:color w:val="0000FF"/>
            <w:sz w:val="24"/>
            <w:szCs w:val="24"/>
            <w:u w:val="single"/>
          </w:rPr>
          <w:t>steve.whitney@noaa.gov</w:t>
        </w:r>
      </w:hyperlink>
    </w:p>
    <w:p w:rsidR="00EC5628" w14:paraId="3511ABCB" w14:textId="77777777">
      <w:pPr>
        <w:rPr>
          <w:rFonts w:ascii="Times New Roman" w:eastAsia="Times New Roman" w:hAnsi="Times New Roman" w:cs="Times New Roman"/>
          <w:color w:val="0000FF"/>
          <w:sz w:val="24"/>
          <w:szCs w:val="24"/>
          <w:u w:val="single"/>
        </w:rPr>
      </w:pPr>
    </w:p>
    <w:p w:rsidR="00EC5628" w14:paraId="623BBD47" w14:textId="77777777">
      <w:pPr>
        <w:spacing w:before="69"/>
        <w:rPr>
          <w:rFonts w:ascii="Times New Roman" w:eastAsia="Times New Roman" w:hAnsi="Times New Roman" w:cs="Times New Roman"/>
          <w:sz w:val="24"/>
          <w:szCs w:val="24"/>
        </w:rPr>
      </w:pPr>
      <w:r>
        <w:rPr>
          <w:rFonts w:ascii="Times New Roman" w:eastAsia="Times New Roman" w:hAnsi="Times New Roman" w:cs="Times New Roman"/>
          <w:sz w:val="24"/>
          <w:szCs w:val="24"/>
        </w:rPr>
        <w:t>Geana</w:t>
      </w:r>
      <w:r>
        <w:rPr>
          <w:rFonts w:ascii="Times New Roman" w:eastAsia="Times New Roman" w:hAnsi="Times New Roman" w:cs="Times New Roman"/>
          <w:sz w:val="24"/>
          <w:szCs w:val="24"/>
        </w:rPr>
        <w:t xml:space="preserve"> Tyler [collection of data, verification of accuracy of data] </w:t>
      </w:r>
    </w:p>
    <w:p w:rsidR="00EC5628" w14:paraId="28D927D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Pacific States Marine Fisheries Commission</w:t>
      </w:r>
    </w:p>
    <w:p w:rsidR="00EC5628" w14:paraId="2DD9E47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 (503) 595-3100</w:t>
      </w:r>
    </w:p>
    <w:p w:rsidR="00EC5628" w14:paraId="1B1E1A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9">
        <w:r>
          <w:rPr>
            <w:rFonts w:ascii="Times New Roman" w:eastAsia="Times New Roman" w:hAnsi="Times New Roman" w:cs="Times New Roman"/>
            <w:color w:val="0000FF"/>
            <w:sz w:val="24"/>
            <w:szCs w:val="24"/>
            <w:u w:val="single"/>
          </w:rPr>
          <w:t>gtyler@psmfc.org</w:t>
        </w:r>
      </w:hyperlink>
    </w:p>
    <w:p w:rsidR="00EC5628" w14:paraId="6CE49002" w14:textId="77777777">
      <w:pPr>
        <w:rPr>
          <w:rFonts w:ascii="Calibri" w:eastAsia="Calibri" w:hAnsi="Calibri" w:cs="Calibri"/>
          <w:sz w:val="24"/>
          <w:szCs w:val="24"/>
        </w:rPr>
      </w:pPr>
    </w:p>
    <w:sectPr>
      <w:footerReference w:type="default" r:id="rId10"/>
      <w:pgSz w:w="12240" w:h="15840"/>
      <w:pgMar w:top="634" w:right="1080" w:bottom="1195"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628" w14:paraId="7A9BAEF1" w14:textId="3C1D34C1">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70ED8">
      <w:rPr>
        <w:rFonts w:ascii="Calibri" w:eastAsia="Calibri" w:hAnsi="Calibri" w:cs="Calibri"/>
        <w:noProof/>
        <w:color w:val="000000"/>
      </w:rPr>
      <w:t>1</w:t>
    </w:r>
    <w:r>
      <w:rPr>
        <w:rFonts w:ascii="Calibri" w:eastAsia="Calibri" w:hAnsi="Calibri" w:cs="Calibri"/>
        <w:color w:val="000000"/>
      </w:rPr>
      <w:fldChar w:fldCharType="end"/>
    </w:r>
  </w:p>
  <w:p w:rsidR="00EC5628" w14:paraId="41935FD1"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285E14"/>
    <w:multiLevelType w:val="multilevel"/>
    <w:tmpl w:val="01C68C0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28"/>
    <w:rsid w:val="0003154B"/>
    <w:rsid w:val="000B5A25"/>
    <w:rsid w:val="00122BE3"/>
    <w:rsid w:val="002813E0"/>
    <w:rsid w:val="002E34F8"/>
    <w:rsid w:val="00364B26"/>
    <w:rsid w:val="004C7E7F"/>
    <w:rsid w:val="004E09C5"/>
    <w:rsid w:val="004E400E"/>
    <w:rsid w:val="006A146E"/>
    <w:rsid w:val="006A356D"/>
    <w:rsid w:val="00785506"/>
    <w:rsid w:val="007A3CAB"/>
    <w:rsid w:val="007C4606"/>
    <w:rsid w:val="008D5268"/>
    <w:rsid w:val="00970ED8"/>
    <w:rsid w:val="00987A44"/>
    <w:rsid w:val="00A431E1"/>
    <w:rsid w:val="00A5284E"/>
    <w:rsid w:val="00AD7314"/>
    <w:rsid w:val="00C4337A"/>
    <w:rsid w:val="00D523FA"/>
    <w:rsid w:val="00D72AA5"/>
    <w:rsid w:val="00DC1709"/>
    <w:rsid w:val="00DE000A"/>
    <w:rsid w:val="00E8293E"/>
    <w:rsid w:val="00EC5628"/>
    <w:rsid w:val="00FE4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5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5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7E7F"/>
    <w:rPr>
      <w:b/>
      <w:bCs/>
    </w:rPr>
  </w:style>
  <w:style w:type="character" w:customStyle="1" w:styleId="CommentSubjectChar">
    <w:name w:val="Comment Subject Char"/>
    <w:basedOn w:val="CommentTextChar"/>
    <w:link w:val="CommentSubject"/>
    <w:uiPriority w:val="99"/>
    <w:semiHidden/>
    <w:rsid w:val="004C7E7F"/>
    <w:rPr>
      <w:b/>
      <w:bCs/>
      <w:sz w:val="20"/>
      <w:szCs w:val="20"/>
    </w:rPr>
  </w:style>
  <w:style w:type="paragraph" w:styleId="Revision">
    <w:name w:val="Revision"/>
    <w:hidden/>
    <w:uiPriority w:val="99"/>
    <w:semiHidden/>
    <w:rsid w:val="0003154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on.felthoven@noaa.gov" TargetMode="External" /><Relationship Id="rId5" Type="http://schemas.openxmlformats.org/officeDocument/2006/relationships/hyperlink" Target="mailto:Brian.Garber-yonts@noaa.gov" TargetMode="External" /><Relationship Id="rId6" Type="http://schemas.openxmlformats.org/officeDocument/2006/relationships/hyperlink" Target="mailto:scott.miller@noaa.gov" TargetMode="External" /><Relationship Id="rId7" Type="http://schemas.openxmlformats.org/officeDocument/2006/relationships/hyperlink" Target="mailto:stephanie.warpinski@noaa.gov" TargetMode="External" /><Relationship Id="rId8" Type="http://schemas.openxmlformats.org/officeDocument/2006/relationships/hyperlink" Target="mailto:steve.whitney@noaa.gov" TargetMode="External" /><Relationship Id="rId9" Type="http://schemas.openxmlformats.org/officeDocument/2006/relationships/hyperlink" Target="mailto:gtyler@psmf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2025-09-26T17:28:00Z</dcterms:created>
  <dcterms:modified xsi:type="dcterms:W3CDTF">2025-09-29T17:47:00Z</dcterms:modified>
</cp:coreProperties>
</file>