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5624" w:rsidRPr="005C7544" w14:paraId="6D892659" w14:textId="7E2094CC">
      <w:pPr>
        <w:jc w:val="center"/>
        <w:rPr>
          <w:rFonts w:ascii="Arial" w:hAnsi="Arial"/>
          <w:b/>
        </w:rPr>
      </w:pPr>
      <w:r w:rsidRPr="005C7544">
        <w:rPr>
          <w:rFonts w:ascii="Arial" w:hAnsi="Arial"/>
          <w:b/>
        </w:rPr>
        <w:t>Information Collection Request (ICR)</w:t>
      </w:r>
      <w:r w:rsidRPr="005C7544">
        <w:rPr>
          <w:rFonts w:ascii="Arial" w:hAnsi="Arial"/>
          <w:b/>
        </w:rPr>
        <w:t xml:space="preserve"> </w:t>
      </w:r>
    </w:p>
    <w:p w:rsidR="005C7544" w:rsidRPr="0028337C" w14:paraId="42F96167" w14:textId="77777777">
      <w:pPr>
        <w:jc w:val="center"/>
        <w:rPr>
          <w:rFonts w:ascii="Arial" w:hAnsi="Arial"/>
        </w:rPr>
      </w:pPr>
    </w:p>
    <w:p w:rsidR="00836880" w:rsidRPr="0028337C" w14:paraId="4191201D" w14:textId="2E8ABB49">
      <w:pPr>
        <w:jc w:val="center"/>
        <w:rPr>
          <w:rFonts w:ascii="Arial" w:hAnsi="Arial"/>
        </w:rPr>
      </w:pPr>
      <w:r>
        <w:rPr>
          <w:rFonts w:ascii="Arial" w:hAnsi="Arial"/>
        </w:rPr>
        <w:t xml:space="preserve">Supporting Statement for the </w:t>
      </w:r>
      <w:r w:rsidR="00011A56">
        <w:rPr>
          <w:rFonts w:ascii="Arial" w:hAnsi="Arial"/>
        </w:rPr>
        <w:t>Standard for Omnid</w:t>
      </w:r>
      <w:r w:rsidRPr="0028337C">
        <w:rPr>
          <w:rFonts w:ascii="Arial" w:hAnsi="Arial"/>
        </w:rPr>
        <w:t>irectional CB Base Antennas</w:t>
      </w:r>
    </w:p>
    <w:p w:rsidR="00705624" w14:paraId="7DBFF9E3" w14:textId="1B3FBAB6">
      <w:pPr>
        <w:jc w:val="center"/>
        <w:rPr>
          <w:rFonts w:ascii="Arial" w:hAnsi="Arial"/>
        </w:rPr>
      </w:pPr>
    </w:p>
    <w:p w:rsidR="005C7544" w14:paraId="76EA8DC3" w14:textId="318E5938">
      <w:pPr>
        <w:jc w:val="center"/>
        <w:rPr>
          <w:rFonts w:ascii="Arial" w:hAnsi="Arial"/>
        </w:rPr>
      </w:pPr>
      <w:r>
        <w:rPr>
          <w:rFonts w:ascii="Arial" w:hAnsi="Arial"/>
        </w:rPr>
        <w:t>OMB Control Number 3041-0006</w:t>
      </w:r>
    </w:p>
    <w:p w:rsidR="00FA571E" w14:paraId="48E27E76" w14:textId="05117018">
      <w:pPr>
        <w:jc w:val="center"/>
        <w:rPr>
          <w:rFonts w:ascii="Arial" w:hAnsi="Arial"/>
        </w:rPr>
      </w:pPr>
    </w:p>
    <w:p w:rsidR="00FD5C64" w14:paraId="09060677" w14:textId="4732AA1E">
      <w:pPr>
        <w:jc w:val="center"/>
        <w:rPr>
          <w:rFonts w:ascii="Arial" w:hAnsi="Arial"/>
        </w:rPr>
      </w:pPr>
    </w:p>
    <w:p w:rsidR="00FD5C64" w:rsidRPr="0028337C" w14:paraId="7DB52526" w14:textId="77777777">
      <w:pPr>
        <w:jc w:val="center"/>
        <w:rPr>
          <w:rFonts w:ascii="Arial" w:hAnsi="Arial"/>
        </w:rPr>
      </w:pPr>
    </w:p>
    <w:p w:rsidR="0028337C" w:rsidRPr="0028337C" w:rsidP="0028337C" w14:paraId="341A5E98" w14:textId="77777777">
      <w:pPr>
        <w:numPr>
          <w:ilvl w:val="0"/>
          <w:numId w:val="1"/>
        </w:numPr>
        <w:rPr>
          <w:rFonts w:ascii="Arial" w:hAnsi="Arial"/>
          <w:b/>
        </w:rPr>
      </w:pPr>
      <w:r w:rsidRPr="0028337C">
        <w:rPr>
          <w:rFonts w:ascii="Arial" w:hAnsi="Arial"/>
          <w:b/>
        </w:rPr>
        <w:t>Justification</w:t>
      </w:r>
    </w:p>
    <w:p w:rsidR="0028337C" w:rsidRPr="0028337C" w:rsidP="0028337C" w14:paraId="72ABAC02" w14:textId="77777777">
      <w:pPr>
        <w:rPr>
          <w:rFonts w:ascii="Arial" w:hAnsi="Arial"/>
          <w:b/>
        </w:rPr>
      </w:pPr>
    </w:p>
    <w:p w:rsidR="0028337C" w:rsidRPr="0028337C" w:rsidP="0028337C" w14:paraId="3EF2AACF" w14:textId="77777777">
      <w:pPr>
        <w:numPr>
          <w:ilvl w:val="0"/>
          <w:numId w:val="26"/>
        </w:numPr>
        <w:ind w:left="0" w:firstLine="0"/>
        <w:rPr>
          <w:rFonts w:ascii="Arial" w:hAnsi="Arial"/>
          <w:i/>
        </w:rPr>
      </w:pPr>
      <w:r>
        <w:rPr>
          <w:rFonts w:ascii="Arial" w:hAnsi="Arial"/>
          <w:b/>
          <w:i/>
        </w:rPr>
        <w:t>I</w:t>
      </w:r>
      <w:r w:rsidRPr="0028337C">
        <w:rPr>
          <w:rFonts w:ascii="Arial" w:hAnsi="Arial"/>
          <w:b/>
          <w:i/>
        </w:rPr>
        <w:t>nformation to be collected and circumstances that make the collection of information necessary</w:t>
      </w:r>
      <w:r w:rsidRPr="0028337C" w:rsidR="00705624">
        <w:rPr>
          <w:rFonts w:ascii="Arial" w:hAnsi="Arial"/>
          <w:i/>
        </w:rPr>
        <w:t xml:space="preserve">  </w:t>
      </w:r>
      <w:r w:rsidRPr="0028337C" w:rsidR="00705624">
        <w:rPr>
          <w:rFonts w:ascii="Arial" w:hAnsi="Arial"/>
          <w:i/>
        </w:rPr>
        <w:tab/>
      </w:r>
    </w:p>
    <w:p w:rsidR="0028337C" w14:paraId="7E8F9831" w14:textId="77777777">
      <w:pPr>
        <w:rPr>
          <w:rFonts w:ascii="Arial" w:hAnsi="Arial"/>
        </w:rPr>
      </w:pPr>
    </w:p>
    <w:p w:rsidR="00705624" w:rsidRPr="0028337C" w14:paraId="65CE9D90" w14:textId="56D06117">
      <w:pPr>
        <w:rPr>
          <w:rFonts w:ascii="Arial" w:hAnsi="Arial"/>
        </w:rPr>
      </w:pPr>
      <w:r>
        <w:rPr>
          <w:rFonts w:ascii="Arial" w:hAnsi="Arial"/>
        </w:rPr>
        <w:t>I</w:t>
      </w:r>
      <w:r w:rsidRPr="0028337C">
        <w:rPr>
          <w:rFonts w:ascii="Arial" w:hAnsi="Arial"/>
        </w:rPr>
        <w:t xml:space="preserve">n 1982, the Consumer Product Safety Commission estimated that during the period from 1979 to 1981, about 45 to 50 persons each year were electrocuted when an omnidirectional citizens band </w:t>
      </w:r>
      <w:r w:rsidR="0044297C">
        <w:rPr>
          <w:rFonts w:ascii="Arial" w:hAnsi="Arial"/>
        </w:rPr>
        <w:t xml:space="preserve">(CB) </w:t>
      </w:r>
      <w:r w:rsidRPr="0028337C">
        <w:rPr>
          <w:rFonts w:ascii="Arial" w:hAnsi="Arial"/>
        </w:rPr>
        <w:t>base station antenna came into contact with overhead electrical power lines while the antenna was being erected or removed from its site. The Commission also estimated that during the same period more than 25 persons each year su</w:t>
      </w:r>
      <w:r w:rsidRPr="0028337C" w:rsidR="00182F3B">
        <w:rPr>
          <w:rFonts w:ascii="Arial" w:hAnsi="Arial"/>
        </w:rPr>
        <w:t>stained serious injuries when</w:t>
      </w:r>
      <w:r w:rsidRPr="0028337C">
        <w:rPr>
          <w:rFonts w:ascii="Arial" w:hAnsi="Arial"/>
        </w:rPr>
        <w:t xml:space="preserve"> omnidirectional </w:t>
      </w:r>
      <w:r w:rsidR="009C7B17">
        <w:rPr>
          <w:rFonts w:ascii="Arial" w:hAnsi="Arial"/>
        </w:rPr>
        <w:t>CB</w:t>
      </w:r>
      <w:r w:rsidR="004839CD">
        <w:rPr>
          <w:rFonts w:ascii="Arial" w:hAnsi="Arial"/>
        </w:rPr>
        <w:t xml:space="preserve"> </w:t>
      </w:r>
      <w:r w:rsidRPr="0028337C">
        <w:rPr>
          <w:rFonts w:ascii="Arial" w:hAnsi="Arial"/>
        </w:rPr>
        <w:t>base station antenna</w:t>
      </w:r>
      <w:r w:rsidRPr="0028337C" w:rsidR="00182F3B">
        <w:rPr>
          <w:rFonts w:ascii="Arial" w:hAnsi="Arial"/>
        </w:rPr>
        <w:t>s</w:t>
      </w:r>
      <w:r w:rsidRPr="0028337C">
        <w:rPr>
          <w:rFonts w:ascii="Arial" w:hAnsi="Arial"/>
        </w:rPr>
        <w:t xml:space="preserve"> contacted overhead power lines.</w:t>
      </w:r>
    </w:p>
    <w:p w:rsidR="00705624" w:rsidRPr="0028337C" w14:paraId="427F90A1" w14:textId="77777777">
      <w:pPr>
        <w:rPr>
          <w:rFonts w:ascii="Arial" w:hAnsi="Arial"/>
        </w:rPr>
      </w:pPr>
    </w:p>
    <w:p w:rsidR="00705624" w:rsidRPr="0028337C" w14:paraId="32DC38DF" w14:textId="5364B9FF">
      <w:pPr>
        <w:rPr>
          <w:rFonts w:ascii="Arial" w:hAnsi="Arial"/>
        </w:rPr>
      </w:pPr>
      <w:r w:rsidRPr="0028337C">
        <w:rPr>
          <w:rFonts w:ascii="Arial" w:hAnsi="Arial"/>
        </w:rPr>
        <w:t xml:space="preserve">To address these risks of death and injury, the Commission issued the Safety Standard for Omnidirectional </w:t>
      </w:r>
      <w:r w:rsidR="009C7B17">
        <w:rPr>
          <w:rFonts w:ascii="Arial" w:hAnsi="Arial"/>
        </w:rPr>
        <w:t>CB</w:t>
      </w:r>
      <w:r w:rsidRPr="0028337C">
        <w:rPr>
          <w:rFonts w:ascii="Arial" w:hAnsi="Arial"/>
        </w:rPr>
        <w:t xml:space="preserve"> Antennas in 1982.  The standard contains performance tests to demonstrate that an antenna will not transmit a harmful electric current if it contacts an electric power line with a voltage of 14,500 volts phase-to-ground.  The standard is codified at 16 C.F.R. Part 1204, Subpart A.</w:t>
      </w:r>
    </w:p>
    <w:p w:rsidR="00705624" w:rsidRPr="0028337C" w14:paraId="457E8852" w14:textId="77777777">
      <w:pPr>
        <w:rPr>
          <w:rFonts w:ascii="Arial" w:hAnsi="Arial"/>
        </w:rPr>
      </w:pPr>
    </w:p>
    <w:p w:rsidR="00705624" w:rsidRPr="0028337C" w14:paraId="22408C4E" w14:textId="2C85FD5F">
      <w:pPr>
        <w:rPr>
          <w:rFonts w:ascii="Arial" w:hAnsi="Arial"/>
        </w:rPr>
      </w:pPr>
      <w:r w:rsidRPr="0028337C">
        <w:rPr>
          <w:rFonts w:ascii="Arial" w:hAnsi="Arial"/>
        </w:rPr>
        <w:t>Certification regulations implementing the standard require manufacturers, importers, and private labelers of antennas subject to the standard to perform tests to demonstrate that those products comply with the standard, and to maintain records of those tests. The certification regulations are</w:t>
      </w:r>
      <w:r w:rsidRPr="0028337C" w:rsidR="00182F3B">
        <w:rPr>
          <w:rFonts w:ascii="Arial" w:hAnsi="Arial"/>
        </w:rPr>
        <w:t xml:space="preserve"> codified at 16 C.F.R. Part 1204</w:t>
      </w:r>
      <w:r w:rsidRPr="0028337C">
        <w:rPr>
          <w:rFonts w:ascii="Arial" w:hAnsi="Arial"/>
        </w:rPr>
        <w:t>, Subpart B.</w:t>
      </w:r>
    </w:p>
    <w:p w:rsidR="00705624" w:rsidRPr="0028337C" w14:paraId="21535000" w14:textId="77777777">
      <w:pPr>
        <w:rPr>
          <w:rFonts w:ascii="Arial" w:hAnsi="Arial"/>
        </w:rPr>
      </w:pPr>
    </w:p>
    <w:p w:rsidR="0028337C" w:rsidRPr="0028337C" w:rsidP="0028337C" w14:paraId="1430C44E" w14:textId="77777777">
      <w:pPr>
        <w:pStyle w:val="BodyText"/>
        <w:numPr>
          <w:ilvl w:val="0"/>
          <w:numId w:val="26"/>
        </w:numPr>
        <w:ind w:left="0" w:firstLine="0"/>
        <w:jc w:val="left"/>
        <w:rPr>
          <w:rFonts w:ascii="Arial" w:hAnsi="Arial"/>
          <w:b/>
          <w:i/>
        </w:rPr>
      </w:pPr>
      <w:r w:rsidRPr="0028337C">
        <w:rPr>
          <w:rFonts w:ascii="Arial" w:hAnsi="Arial"/>
          <w:b/>
          <w:i/>
        </w:rPr>
        <w:t>Use and sharing of collected information</w:t>
      </w:r>
    </w:p>
    <w:p w:rsidR="0028337C" w:rsidP="0028337C" w14:paraId="2DE78F92" w14:textId="77777777">
      <w:pPr>
        <w:pStyle w:val="BodyText"/>
        <w:ind w:left="720"/>
        <w:jc w:val="left"/>
        <w:rPr>
          <w:rFonts w:ascii="Arial" w:hAnsi="Arial"/>
        </w:rPr>
      </w:pPr>
    </w:p>
    <w:p w:rsidR="00705624" w:rsidP="00906A6B" w14:paraId="4DADCF36" w14:textId="6D22182F">
      <w:pPr>
        <w:pStyle w:val="BodyText"/>
        <w:jc w:val="left"/>
        <w:rPr>
          <w:rFonts w:ascii="Arial" w:hAnsi="Arial"/>
        </w:rPr>
      </w:pPr>
      <w:r w:rsidRPr="0028337C">
        <w:rPr>
          <w:rFonts w:ascii="Arial" w:hAnsi="Arial"/>
        </w:rPr>
        <w:t xml:space="preserve">The Commission uses the information compiled and maintained by manufacturers, importers, and private labelers of antennas subject to the standard to determine whether the products they produce or import comply with the requirements of the standard.  The Commission also uses this information to obtain corrective actions if omnidirectional </w:t>
      </w:r>
      <w:r w:rsidR="009C7B17">
        <w:rPr>
          <w:rFonts w:ascii="Arial" w:hAnsi="Arial"/>
        </w:rPr>
        <w:t>CB</w:t>
      </w:r>
      <w:r w:rsidRPr="0028337C">
        <w:rPr>
          <w:rFonts w:ascii="Arial" w:hAnsi="Arial"/>
        </w:rPr>
        <w:t xml:space="preserve"> base station antennas fail to comply wit</w:t>
      </w:r>
      <w:r w:rsidRPr="0028337C" w:rsidR="00182F3B">
        <w:rPr>
          <w:rFonts w:ascii="Arial" w:hAnsi="Arial"/>
        </w:rPr>
        <w:t>h the standard in a manner that</w:t>
      </w:r>
      <w:r w:rsidRPr="0028337C">
        <w:rPr>
          <w:rFonts w:ascii="Arial" w:hAnsi="Arial"/>
        </w:rPr>
        <w:t xml:space="preserve"> creates a substantial risk of injury to the public.</w:t>
      </w:r>
    </w:p>
    <w:p w:rsidR="00FD5C64" w:rsidRPr="0028337C" w14:paraId="42029325" w14:textId="77777777">
      <w:pPr>
        <w:rPr>
          <w:rFonts w:ascii="Arial" w:hAnsi="Arial"/>
        </w:rPr>
      </w:pPr>
    </w:p>
    <w:p w:rsidR="0028337C" w:rsidRPr="0028337C" w:rsidP="00906A6B" w14:paraId="1FF33C5C" w14:textId="77777777">
      <w:pPr>
        <w:keepNext/>
        <w:numPr>
          <w:ilvl w:val="0"/>
          <w:numId w:val="26"/>
        </w:numPr>
        <w:rPr>
          <w:rFonts w:ascii="Arial" w:hAnsi="Arial"/>
          <w:b/>
          <w:i/>
        </w:rPr>
      </w:pPr>
      <w:r>
        <w:rPr>
          <w:rFonts w:ascii="Arial" w:hAnsi="Arial"/>
          <w:b/>
          <w:i/>
        </w:rPr>
        <w:tab/>
      </w:r>
      <w:r w:rsidRPr="0028337C">
        <w:rPr>
          <w:rFonts w:ascii="Arial" w:hAnsi="Arial"/>
          <w:b/>
          <w:i/>
        </w:rPr>
        <w:t>Use of information technology (IT) in information collection</w:t>
      </w:r>
    </w:p>
    <w:p w:rsidR="0028337C" w:rsidP="00906A6B" w14:paraId="515F64EC" w14:textId="77777777">
      <w:pPr>
        <w:keepNext/>
        <w:ind w:left="720"/>
        <w:rPr>
          <w:rFonts w:ascii="Arial" w:hAnsi="Arial"/>
        </w:rPr>
      </w:pPr>
    </w:p>
    <w:p w:rsidR="00705624" w:rsidRPr="0028337C" w:rsidP="00906A6B" w14:paraId="53AF80DC" w14:textId="19F336BF">
      <w:pPr>
        <w:keepNext/>
        <w:rPr>
          <w:rFonts w:ascii="Arial" w:hAnsi="Arial"/>
        </w:rPr>
      </w:pPr>
      <w:r w:rsidRPr="0028337C">
        <w:rPr>
          <w:rFonts w:ascii="Arial" w:hAnsi="Arial"/>
        </w:rPr>
        <w:t>Manufacturers, importers, and pr</w:t>
      </w:r>
      <w:r w:rsidRPr="0028337C" w:rsidR="00182F3B">
        <w:rPr>
          <w:rFonts w:ascii="Arial" w:hAnsi="Arial"/>
        </w:rPr>
        <w:t>ivate labelers of antennas that</w:t>
      </w:r>
      <w:r w:rsidRPr="0028337C">
        <w:rPr>
          <w:rFonts w:ascii="Arial" w:hAnsi="Arial"/>
        </w:rPr>
        <w:t xml:space="preserve"> are subject to the standard may establish and maintain the records required by the certification regulations by any appropriate means, including automated, electronic, mechanical, or other forms of information technology.  Those records must be maintained for at least three years from the date of creation of the records, and must be made available to any designated employee of the Commission upon request.</w:t>
      </w:r>
    </w:p>
    <w:p w:rsidR="00705624" w:rsidRPr="0028337C" w14:paraId="0EEF4A92" w14:textId="77777777">
      <w:pPr>
        <w:rPr>
          <w:rFonts w:ascii="Arial" w:hAnsi="Arial"/>
        </w:rPr>
      </w:pPr>
    </w:p>
    <w:p w:rsidR="0028337C" w:rsidRPr="0028337C" w:rsidP="0028337C" w14:paraId="0D0C83EE" w14:textId="77777777">
      <w:pPr>
        <w:numPr>
          <w:ilvl w:val="0"/>
          <w:numId w:val="26"/>
        </w:numPr>
        <w:rPr>
          <w:rFonts w:ascii="Arial" w:hAnsi="Arial"/>
          <w:b/>
          <w:i/>
        </w:rPr>
      </w:pPr>
      <w:r>
        <w:rPr>
          <w:rFonts w:ascii="Arial" w:hAnsi="Arial"/>
          <w:b/>
          <w:i/>
        </w:rPr>
        <w:tab/>
      </w:r>
      <w:r w:rsidRPr="0028337C">
        <w:rPr>
          <w:rFonts w:ascii="Arial" w:hAnsi="Arial"/>
          <w:b/>
          <w:i/>
        </w:rPr>
        <w:t>Efforts to identify duplication</w:t>
      </w:r>
    </w:p>
    <w:p w:rsidR="0028337C" w:rsidP="0028337C" w14:paraId="342E007A" w14:textId="77777777">
      <w:pPr>
        <w:ind w:left="360"/>
        <w:rPr>
          <w:rFonts w:ascii="Arial" w:hAnsi="Arial"/>
        </w:rPr>
      </w:pPr>
    </w:p>
    <w:p w:rsidR="00705624" w:rsidRPr="0028337C" w:rsidP="0028337C" w14:paraId="63D518F1" w14:textId="6083D679">
      <w:pPr>
        <w:rPr>
          <w:rFonts w:ascii="Arial" w:hAnsi="Arial"/>
        </w:rPr>
      </w:pPr>
      <w:r w:rsidRPr="0028337C">
        <w:rPr>
          <w:rFonts w:ascii="Arial" w:hAnsi="Arial"/>
        </w:rPr>
        <w:t xml:space="preserve">Until the Commission issued the Safety Standard for Omnidirectional </w:t>
      </w:r>
      <w:r w:rsidR="009C7B17">
        <w:rPr>
          <w:rFonts w:ascii="Arial" w:hAnsi="Arial"/>
        </w:rPr>
        <w:t>CB</w:t>
      </w:r>
      <w:r w:rsidRPr="0028337C">
        <w:rPr>
          <w:rFonts w:ascii="Arial" w:hAnsi="Arial"/>
        </w:rPr>
        <w:t xml:space="preserve"> Base Station Antennas, the information required by the certification regulations did not exist.  No source exists for the information required by the certification regulations other than manufacturers, importers, and private labelers of antennas subject to the standard.</w:t>
      </w:r>
    </w:p>
    <w:p w:rsidR="00705624" w:rsidRPr="0028337C" w14:paraId="012AC07A" w14:textId="77777777">
      <w:pPr>
        <w:rPr>
          <w:rFonts w:ascii="Arial" w:hAnsi="Arial"/>
        </w:rPr>
      </w:pPr>
    </w:p>
    <w:p w:rsidR="0028337C" w:rsidRPr="0028337C" w:rsidP="0028337C" w14:paraId="6026C383" w14:textId="77777777">
      <w:pPr>
        <w:numPr>
          <w:ilvl w:val="0"/>
          <w:numId w:val="26"/>
        </w:numPr>
        <w:rPr>
          <w:rFonts w:ascii="Arial" w:hAnsi="Arial"/>
          <w:b/>
          <w:i/>
        </w:rPr>
      </w:pPr>
      <w:r>
        <w:rPr>
          <w:rFonts w:ascii="Arial" w:hAnsi="Arial"/>
          <w:b/>
          <w:i/>
        </w:rPr>
        <w:tab/>
      </w:r>
      <w:r w:rsidRPr="0028337C">
        <w:rPr>
          <w:rFonts w:ascii="Arial" w:hAnsi="Arial"/>
          <w:b/>
          <w:i/>
        </w:rPr>
        <w:t>Impact on small businesses</w:t>
      </w:r>
    </w:p>
    <w:p w:rsidR="0028337C" w:rsidP="0028337C" w14:paraId="4A276576" w14:textId="77777777">
      <w:pPr>
        <w:ind w:left="360"/>
        <w:rPr>
          <w:rFonts w:ascii="Arial" w:hAnsi="Arial"/>
        </w:rPr>
      </w:pPr>
    </w:p>
    <w:p w:rsidR="00705624" w:rsidRPr="0028337C" w:rsidP="0028337C" w14:paraId="646C423F" w14:textId="5B2A26A0">
      <w:pPr>
        <w:rPr>
          <w:rFonts w:ascii="Arial" w:hAnsi="Arial"/>
        </w:rPr>
      </w:pPr>
      <w:r w:rsidRPr="0028337C">
        <w:rPr>
          <w:rFonts w:ascii="Arial" w:hAnsi="Arial"/>
        </w:rPr>
        <w:t xml:space="preserve">In 1993, the Commission reviewed the Safety Standard for Omnidirectional </w:t>
      </w:r>
      <w:r w:rsidR="0003680C">
        <w:rPr>
          <w:rFonts w:ascii="Arial" w:hAnsi="Arial"/>
        </w:rPr>
        <w:t>CB</w:t>
      </w:r>
      <w:r w:rsidRPr="0028337C">
        <w:rPr>
          <w:rFonts w:ascii="Arial" w:hAnsi="Arial"/>
        </w:rPr>
        <w:t xml:space="preserve"> Base Station Antennas and certification regulations in accordance with provisions of section 610 of the Regulatory Flexibility Act (5 U.S.C. 610). The Commission concluded that the standard and certification rules did not have a significant economic impact on a substantial number of small businesses (March 24, 1993, 58 FR 15815).</w:t>
      </w:r>
    </w:p>
    <w:p w:rsidR="00705624" w:rsidRPr="0028337C" w14:paraId="283657AF" w14:textId="77777777">
      <w:pPr>
        <w:rPr>
          <w:rFonts w:ascii="Arial" w:hAnsi="Arial"/>
        </w:rPr>
      </w:pPr>
    </w:p>
    <w:p w:rsidR="00B509A4" w:rsidP="0028337C" w14:paraId="47CEA486" w14:textId="77777777">
      <w:pPr>
        <w:numPr>
          <w:ilvl w:val="0"/>
          <w:numId w:val="26"/>
        </w:numPr>
        <w:rPr>
          <w:rFonts w:ascii="Arial" w:hAnsi="Arial"/>
          <w:b/>
          <w:i/>
        </w:rPr>
      </w:pPr>
      <w:r>
        <w:rPr>
          <w:rFonts w:ascii="Arial" w:hAnsi="Arial"/>
          <w:b/>
          <w:i/>
        </w:rPr>
        <w:tab/>
      </w:r>
      <w:r w:rsidRPr="0028337C" w:rsidR="0028337C">
        <w:rPr>
          <w:rFonts w:ascii="Arial" w:hAnsi="Arial"/>
          <w:b/>
          <w:i/>
        </w:rPr>
        <w:t>Consequences to Federal program or policy activities if collection is</w:t>
      </w:r>
    </w:p>
    <w:p w:rsidR="0028337C" w:rsidRPr="0028337C" w:rsidP="00B509A4" w14:paraId="5D8A7B40" w14:textId="77777777">
      <w:pPr>
        <w:rPr>
          <w:rFonts w:ascii="Arial" w:hAnsi="Arial"/>
          <w:b/>
          <w:i/>
        </w:rPr>
      </w:pPr>
      <w:r w:rsidRPr="0028337C">
        <w:rPr>
          <w:rFonts w:ascii="Arial" w:hAnsi="Arial"/>
          <w:b/>
          <w:i/>
        </w:rPr>
        <w:t>not conducted or is conducted less frequently</w:t>
      </w:r>
    </w:p>
    <w:p w:rsidR="0028337C" w:rsidP="0028337C" w14:paraId="24A72689" w14:textId="77777777">
      <w:pPr>
        <w:ind w:left="360"/>
        <w:rPr>
          <w:rFonts w:ascii="Arial" w:hAnsi="Arial"/>
        </w:rPr>
      </w:pPr>
    </w:p>
    <w:p w:rsidR="00705624" w:rsidRPr="0028337C" w:rsidP="0028337C" w14:paraId="3B7E18E8" w14:textId="6F1386E0">
      <w:pPr>
        <w:rPr>
          <w:rFonts w:ascii="Arial" w:hAnsi="Arial"/>
        </w:rPr>
      </w:pPr>
      <w:r w:rsidRPr="0028337C">
        <w:rPr>
          <w:rFonts w:ascii="Arial" w:hAnsi="Arial"/>
        </w:rPr>
        <w:t xml:space="preserve">When the Commission issued the standard, it estimated that its requirements could be expected to prevent approximately eight deaths and eight other injuries a year. If manufacturers, importers, and private labelers of antennas subject to the standard did not perform the testing required by the standard and certification regulations, the number and severity of injuries resulting from accidental contact of omnidirectional </w:t>
      </w:r>
      <w:r w:rsidR="0003680C">
        <w:rPr>
          <w:rFonts w:ascii="Arial" w:hAnsi="Arial"/>
        </w:rPr>
        <w:t>CB</w:t>
      </w:r>
      <w:r w:rsidRPr="0028337C">
        <w:rPr>
          <w:rFonts w:ascii="Arial" w:hAnsi="Arial"/>
        </w:rPr>
        <w:t xml:space="preserve"> base station antennas with overhead powerlines could increase.</w:t>
      </w:r>
    </w:p>
    <w:p w:rsidR="00705624" w:rsidRPr="0028337C" w14:paraId="6F8E4C87" w14:textId="77777777">
      <w:pPr>
        <w:rPr>
          <w:rFonts w:ascii="Arial" w:hAnsi="Arial"/>
        </w:rPr>
      </w:pPr>
    </w:p>
    <w:p w:rsidR="00705624" w:rsidRPr="0028337C" w14:paraId="411AC57D" w14:textId="6CCAD864">
      <w:pPr>
        <w:rPr>
          <w:rFonts w:ascii="Arial" w:hAnsi="Arial"/>
        </w:rPr>
      </w:pPr>
      <w:r w:rsidRPr="0028337C">
        <w:rPr>
          <w:rFonts w:ascii="Arial" w:hAnsi="Arial"/>
        </w:rPr>
        <w:t>If manufacturers, importers, and private labelers did not establish and maintain the records of testing required by the certification regulations, the Commission could obtain that information only by collecting samples of antennas and performing its own tests of those samples.</w:t>
      </w:r>
    </w:p>
    <w:p w:rsidR="00705624" w:rsidRPr="0028337C" w14:paraId="3B171C5C" w14:textId="77777777">
      <w:pPr>
        <w:rPr>
          <w:rFonts w:ascii="Arial" w:hAnsi="Arial"/>
        </w:rPr>
      </w:pPr>
    </w:p>
    <w:p w:rsidR="00705624" w:rsidRPr="0028337C" w14:paraId="00A7C7FF" w14:textId="6A3BAC93">
      <w:pPr>
        <w:rPr>
          <w:rFonts w:ascii="Arial" w:hAnsi="Arial"/>
        </w:rPr>
      </w:pPr>
      <w:r w:rsidRPr="0028337C">
        <w:rPr>
          <w:rFonts w:ascii="Arial" w:hAnsi="Arial"/>
        </w:rPr>
        <w:t xml:space="preserve">The certification regulations allow manufacturers, importers, or private labelers to use either the tests in the standard or other reasonable test procedures. Those regulations also allow the manufacturer to define production lots and sample </w:t>
      </w:r>
      <w:r w:rsidRPr="0028337C">
        <w:rPr>
          <w:rFonts w:ascii="Arial" w:hAnsi="Arial"/>
        </w:rPr>
        <w:t>from those production lots in any manner that provides a high degree of assurance that all antennas manufactured during the applicable production interval will pass the standard.</w:t>
      </w:r>
    </w:p>
    <w:p w:rsidR="00705624" w:rsidRPr="0028337C" w14:paraId="3FB03B8E" w14:textId="77777777">
      <w:pPr>
        <w:rPr>
          <w:rFonts w:ascii="Arial" w:hAnsi="Arial"/>
        </w:rPr>
      </w:pPr>
    </w:p>
    <w:p w:rsidR="0028337C" w:rsidRPr="0028337C" w:rsidP="00B509A4" w14:paraId="66E9A016" w14:textId="77777777">
      <w:pPr>
        <w:numPr>
          <w:ilvl w:val="0"/>
          <w:numId w:val="26"/>
        </w:numPr>
        <w:tabs>
          <w:tab w:val="left" w:pos="0"/>
        </w:tabs>
        <w:ind w:left="0" w:firstLine="0"/>
        <w:rPr>
          <w:rFonts w:ascii="Arial" w:hAnsi="Arial"/>
          <w:b/>
          <w:i/>
        </w:rPr>
      </w:pPr>
      <w:r w:rsidRPr="0028337C">
        <w:rPr>
          <w:rFonts w:ascii="Arial" w:hAnsi="Arial"/>
          <w:b/>
          <w:i/>
        </w:rPr>
        <w:t>Special circumstances requiring re</w:t>
      </w:r>
      <w:r w:rsidR="00B509A4">
        <w:rPr>
          <w:rFonts w:ascii="Arial" w:hAnsi="Arial"/>
          <w:b/>
          <w:i/>
        </w:rPr>
        <w:t xml:space="preserve">spondents to report information </w:t>
      </w:r>
      <w:r w:rsidRPr="0028337C">
        <w:rPr>
          <w:rFonts w:ascii="Arial" w:hAnsi="Arial"/>
          <w:b/>
          <w:i/>
        </w:rPr>
        <w:t>more often than quarterly or to prepare responses in fewer than 30 days</w:t>
      </w:r>
    </w:p>
    <w:p w:rsidR="0028337C" w:rsidP="0028337C" w14:paraId="2BAF47B5" w14:textId="77777777">
      <w:pPr>
        <w:ind w:left="360"/>
        <w:rPr>
          <w:rFonts w:ascii="Arial" w:hAnsi="Arial"/>
        </w:rPr>
      </w:pPr>
    </w:p>
    <w:p w:rsidR="00705624" w:rsidRPr="0028337C" w:rsidP="0028337C" w14:paraId="7E5EAAD0" w14:textId="0E586364">
      <w:pPr>
        <w:rPr>
          <w:rFonts w:ascii="Arial" w:hAnsi="Arial"/>
        </w:rPr>
      </w:pPr>
      <w:r w:rsidRPr="0028337C">
        <w:rPr>
          <w:rFonts w:ascii="Arial" w:hAnsi="Arial"/>
        </w:rPr>
        <w:t>The collection of information in the standard and certification regulations is not conducted under any of the conditions described in item seven.</w:t>
      </w:r>
    </w:p>
    <w:p w:rsidR="00705624" w:rsidRPr="0028337C" w14:paraId="10CBF962" w14:textId="77777777">
      <w:pPr>
        <w:rPr>
          <w:rFonts w:ascii="Arial" w:hAnsi="Arial"/>
        </w:rPr>
      </w:pPr>
    </w:p>
    <w:p w:rsidR="0028337C" w:rsidRPr="0028337C" w:rsidP="0028337C" w14:paraId="7C2AD5FA" w14:textId="77777777">
      <w:pPr>
        <w:numPr>
          <w:ilvl w:val="0"/>
          <w:numId w:val="26"/>
        </w:numPr>
        <w:rPr>
          <w:rFonts w:ascii="Arial" w:hAnsi="Arial"/>
          <w:b/>
          <w:i/>
        </w:rPr>
      </w:pPr>
      <w:r>
        <w:rPr>
          <w:rFonts w:ascii="Arial" w:hAnsi="Arial"/>
          <w:b/>
          <w:i/>
        </w:rPr>
        <w:tab/>
      </w:r>
      <w:r w:rsidRPr="0028337C">
        <w:rPr>
          <w:rFonts w:ascii="Arial" w:hAnsi="Arial"/>
          <w:b/>
          <w:i/>
        </w:rPr>
        <w:t>Agency’s Federal Register Notice and related information</w:t>
      </w:r>
    </w:p>
    <w:p w:rsidR="0028337C" w:rsidP="0028337C" w14:paraId="125FCC90" w14:textId="77777777">
      <w:pPr>
        <w:ind w:left="360"/>
        <w:rPr>
          <w:rFonts w:ascii="Arial" w:hAnsi="Arial"/>
        </w:rPr>
      </w:pPr>
    </w:p>
    <w:p w:rsidR="00705624" w:rsidRPr="0028337C" w:rsidP="0028337C" w14:paraId="003763CB" w14:textId="0D1FD46B">
      <w:pPr>
        <w:rPr>
          <w:rFonts w:ascii="Arial" w:hAnsi="Arial"/>
        </w:rPr>
      </w:pPr>
      <w:r w:rsidRPr="000C06FB">
        <w:rPr>
          <w:rFonts w:ascii="Arial" w:hAnsi="Arial"/>
        </w:rPr>
        <w:t xml:space="preserve">A </w:t>
      </w:r>
      <w:r w:rsidRPr="00EC6BF1" w:rsidR="005248C8">
        <w:rPr>
          <w:rFonts w:ascii="Arial" w:hAnsi="Arial"/>
        </w:rPr>
        <w:t>F</w:t>
      </w:r>
      <w:r w:rsidRPr="00EC6BF1">
        <w:rPr>
          <w:rFonts w:ascii="Arial" w:hAnsi="Arial"/>
        </w:rPr>
        <w:t xml:space="preserve">ederal </w:t>
      </w:r>
      <w:r w:rsidRPr="00EC6BF1" w:rsidR="005248C8">
        <w:rPr>
          <w:rFonts w:ascii="Arial" w:hAnsi="Arial"/>
        </w:rPr>
        <w:t>R</w:t>
      </w:r>
      <w:r w:rsidRPr="00EC6BF1">
        <w:rPr>
          <w:rFonts w:ascii="Arial" w:hAnsi="Arial"/>
        </w:rPr>
        <w:t>egi</w:t>
      </w:r>
      <w:r w:rsidRPr="00EC6BF1" w:rsidR="00736009">
        <w:rPr>
          <w:rFonts w:ascii="Arial" w:hAnsi="Arial"/>
        </w:rPr>
        <w:t>ster Notice was published</w:t>
      </w:r>
      <w:r w:rsidRPr="00EC6BF1" w:rsidR="00EC6BF1">
        <w:rPr>
          <w:rFonts w:ascii="Arial" w:hAnsi="Arial"/>
        </w:rPr>
        <w:t xml:space="preserve"> Friday, June 13, 2025</w:t>
      </w:r>
      <w:r w:rsidRPr="00EC6BF1" w:rsidR="004015D4">
        <w:rPr>
          <w:rFonts w:ascii="Arial" w:hAnsi="Arial"/>
        </w:rPr>
        <w:t xml:space="preserve">. </w:t>
      </w:r>
      <w:r w:rsidR="00E752B3">
        <w:rPr>
          <w:rFonts w:ascii="Arial" w:hAnsi="Arial"/>
        </w:rPr>
        <w:t>The Commission did not receive any public comments</w:t>
      </w:r>
      <w:r w:rsidRPr="00EC6BF1" w:rsidR="005248C8">
        <w:rPr>
          <w:rFonts w:ascii="Arial" w:hAnsi="Arial"/>
        </w:rPr>
        <w:t>.</w:t>
      </w:r>
    </w:p>
    <w:p w:rsidR="00705624" w:rsidRPr="0028337C" w14:paraId="67FC0E0D" w14:textId="77777777">
      <w:pPr>
        <w:rPr>
          <w:rFonts w:ascii="Arial" w:hAnsi="Arial"/>
        </w:rPr>
      </w:pPr>
    </w:p>
    <w:p w:rsidR="0028337C" w:rsidRPr="0028337C" w:rsidP="0028337C" w14:paraId="4BB4087A" w14:textId="77777777">
      <w:pPr>
        <w:numPr>
          <w:ilvl w:val="0"/>
          <w:numId w:val="26"/>
        </w:numPr>
        <w:rPr>
          <w:rFonts w:ascii="Arial" w:hAnsi="Arial"/>
          <w:b/>
          <w:i/>
        </w:rPr>
      </w:pPr>
      <w:r>
        <w:rPr>
          <w:rFonts w:ascii="Arial" w:hAnsi="Arial"/>
          <w:b/>
          <w:i/>
        </w:rPr>
        <w:tab/>
      </w:r>
      <w:r w:rsidRPr="0028337C">
        <w:rPr>
          <w:rFonts w:ascii="Arial" w:hAnsi="Arial"/>
          <w:b/>
          <w:i/>
        </w:rPr>
        <w:t>Decision to provide payment or gift</w:t>
      </w:r>
    </w:p>
    <w:p w:rsidR="0028337C" w:rsidP="0028337C" w14:paraId="54B60CEE" w14:textId="77777777">
      <w:pPr>
        <w:ind w:left="360"/>
        <w:rPr>
          <w:rFonts w:ascii="Arial" w:hAnsi="Arial"/>
        </w:rPr>
      </w:pPr>
    </w:p>
    <w:p w:rsidR="00705624" w:rsidRPr="0028337C" w:rsidP="0028337C" w14:paraId="671AF3C7" w14:textId="5C2EEAA6">
      <w:pPr>
        <w:rPr>
          <w:rFonts w:ascii="Arial" w:hAnsi="Arial"/>
        </w:rPr>
      </w:pPr>
      <w:r w:rsidRPr="0028337C">
        <w:rPr>
          <w:rFonts w:ascii="Arial" w:hAnsi="Arial"/>
        </w:rPr>
        <w:t>The Commission does not provide any payment or gift to firms which perform the testing and maintain the records required by the standard and certification regulations.</w:t>
      </w:r>
    </w:p>
    <w:p w:rsidR="00705624" w:rsidRPr="0028337C" w14:paraId="10071A06" w14:textId="77777777">
      <w:pPr>
        <w:rPr>
          <w:rFonts w:ascii="Arial" w:hAnsi="Arial"/>
        </w:rPr>
      </w:pPr>
    </w:p>
    <w:p w:rsidR="0028337C" w:rsidRPr="0028337C" w:rsidP="0028337C" w14:paraId="7B7E0DE6" w14:textId="77777777">
      <w:pPr>
        <w:numPr>
          <w:ilvl w:val="0"/>
          <w:numId w:val="26"/>
        </w:numPr>
        <w:rPr>
          <w:rFonts w:ascii="Arial" w:hAnsi="Arial"/>
          <w:b/>
          <w:i/>
        </w:rPr>
      </w:pPr>
      <w:r w:rsidRPr="0028337C">
        <w:rPr>
          <w:rFonts w:ascii="Arial" w:hAnsi="Arial"/>
          <w:b/>
          <w:i/>
        </w:rPr>
        <w:t xml:space="preserve">  </w:t>
      </w:r>
      <w:r w:rsidR="00B509A4">
        <w:rPr>
          <w:rFonts w:ascii="Arial" w:hAnsi="Arial"/>
          <w:b/>
          <w:i/>
        </w:rPr>
        <w:tab/>
      </w:r>
      <w:r w:rsidRPr="0028337C">
        <w:rPr>
          <w:rFonts w:ascii="Arial" w:hAnsi="Arial"/>
          <w:b/>
          <w:i/>
        </w:rPr>
        <w:t>Assurance of confidentiality</w:t>
      </w:r>
    </w:p>
    <w:p w:rsidR="0028337C" w:rsidP="0028337C" w14:paraId="2DE839D3" w14:textId="77777777">
      <w:pPr>
        <w:ind w:left="360"/>
        <w:rPr>
          <w:rFonts w:ascii="Arial" w:hAnsi="Arial"/>
        </w:rPr>
      </w:pPr>
    </w:p>
    <w:p w:rsidR="00705624" w:rsidRPr="0028337C" w:rsidP="0028337C" w14:paraId="40FF2480" w14:textId="6B3095C0">
      <w:pPr>
        <w:rPr>
          <w:rFonts w:ascii="Arial" w:hAnsi="Arial"/>
        </w:rPr>
      </w:pPr>
      <w:r w:rsidRPr="0028337C">
        <w:rPr>
          <w:rFonts w:ascii="Arial" w:hAnsi="Arial"/>
        </w:rPr>
        <w:t>If the Commission collects any information from a manufacturer, importer, or pr</w:t>
      </w:r>
      <w:r w:rsidRPr="0028337C" w:rsidR="00182F3B">
        <w:rPr>
          <w:rFonts w:ascii="Arial" w:hAnsi="Arial"/>
        </w:rPr>
        <w:t>ivate labeler from records that</w:t>
      </w:r>
      <w:r w:rsidRPr="0028337C">
        <w:rPr>
          <w:rFonts w:ascii="Arial" w:hAnsi="Arial"/>
        </w:rPr>
        <w:t xml:space="preserve"> are required by the certification regulations and the firm claims that such information is trade secret or confidential business information, that information is subject to the Commission’s procedures for withholding confidential information from public disclosure. Those procedures are codified at 16 C.F.R. Part 1015, Subpart B. If such information is requested under the provisions of the Freedom of Information Act, the manufacturer, importer, or private labeler is notified and given the opportunity to respond before the Commission releases the information.</w:t>
      </w:r>
    </w:p>
    <w:p w:rsidR="00705624" w:rsidRPr="0028337C" w14:paraId="17281BF8" w14:textId="77777777">
      <w:pPr>
        <w:rPr>
          <w:rFonts w:ascii="Arial" w:hAnsi="Arial"/>
        </w:rPr>
      </w:pPr>
    </w:p>
    <w:p w:rsidR="00B509A4" w:rsidRPr="00B509A4" w:rsidP="00B509A4" w14:paraId="78C5A7EC" w14:textId="77777777">
      <w:pPr>
        <w:numPr>
          <w:ilvl w:val="0"/>
          <w:numId w:val="26"/>
        </w:numPr>
        <w:rPr>
          <w:rFonts w:ascii="Arial" w:hAnsi="Arial"/>
          <w:b/>
          <w:i/>
        </w:rPr>
      </w:pPr>
      <w:r w:rsidRPr="00B509A4">
        <w:rPr>
          <w:rFonts w:ascii="Arial" w:hAnsi="Arial"/>
          <w:b/>
          <w:i/>
        </w:rPr>
        <w:tab/>
        <w:t>Questions of a sensitive nature</w:t>
      </w:r>
    </w:p>
    <w:p w:rsidR="00B509A4" w:rsidP="00B509A4" w14:paraId="51C7F6BA" w14:textId="77777777">
      <w:pPr>
        <w:ind w:left="360"/>
        <w:rPr>
          <w:rFonts w:ascii="Arial" w:hAnsi="Arial"/>
        </w:rPr>
      </w:pPr>
    </w:p>
    <w:p w:rsidR="00705624" w:rsidRPr="00B509A4" w:rsidP="00B509A4" w14:paraId="7F513048" w14:textId="41EDE634">
      <w:pPr>
        <w:rPr>
          <w:rFonts w:ascii="Arial" w:hAnsi="Arial"/>
        </w:rPr>
      </w:pPr>
      <w:r w:rsidRPr="00B509A4">
        <w:rPr>
          <w:rFonts w:ascii="Arial" w:hAnsi="Arial"/>
        </w:rPr>
        <w:t xml:space="preserve">The standard for omnidirectional </w:t>
      </w:r>
      <w:r w:rsidR="0003680C">
        <w:rPr>
          <w:rFonts w:ascii="Arial" w:hAnsi="Arial"/>
        </w:rPr>
        <w:t>CB</w:t>
      </w:r>
      <w:r w:rsidRPr="00B509A4">
        <w:rPr>
          <w:rFonts w:ascii="Arial" w:hAnsi="Arial"/>
        </w:rPr>
        <w:t xml:space="preserve"> base station antennas and certification regulations do</w:t>
      </w:r>
      <w:r w:rsidRPr="00B509A4" w:rsidR="00182F3B">
        <w:rPr>
          <w:rFonts w:ascii="Arial" w:hAnsi="Arial"/>
        </w:rPr>
        <w:t>es</w:t>
      </w:r>
      <w:r w:rsidRPr="00B509A4">
        <w:rPr>
          <w:rFonts w:ascii="Arial" w:hAnsi="Arial"/>
        </w:rPr>
        <w:t xml:space="preserve"> not require manufacturers, importers, or private labelers to provide any information of a sensitive nature.</w:t>
      </w:r>
    </w:p>
    <w:p w:rsidR="00705624" w:rsidRPr="0028337C" w14:paraId="68B63DE1" w14:textId="77777777">
      <w:pPr>
        <w:rPr>
          <w:rFonts w:ascii="Arial" w:hAnsi="Arial"/>
        </w:rPr>
      </w:pPr>
    </w:p>
    <w:p w:rsidR="00B509A4" w:rsidRPr="00B509A4" w:rsidP="00B509A4" w14:paraId="3270C72B" w14:textId="77777777">
      <w:pPr>
        <w:numPr>
          <w:ilvl w:val="0"/>
          <w:numId w:val="26"/>
        </w:numPr>
        <w:rPr>
          <w:rFonts w:ascii="Arial" w:hAnsi="Arial"/>
          <w:b/>
          <w:i/>
          <w:color w:val="000000"/>
        </w:rPr>
      </w:pPr>
      <w:r>
        <w:rPr>
          <w:rFonts w:ascii="Arial" w:hAnsi="Arial"/>
          <w:b/>
          <w:i/>
          <w:color w:val="000000"/>
        </w:rPr>
        <w:tab/>
      </w:r>
      <w:r w:rsidRPr="00B509A4">
        <w:rPr>
          <w:rFonts w:ascii="Arial" w:hAnsi="Arial"/>
          <w:b/>
          <w:i/>
          <w:color w:val="000000"/>
        </w:rPr>
        <w:t>Estimate of hour burden to respondents</w:t>
      </w:r>
    </w:p>
    <w:p w:rsidR="00B509A4" w:rsidP="00B509A4" w14:paraId="2B957BB6" w14:textId="77777777">
      <w:pPr>
        <w:ind w:left="360"/>
        <w:rPr>
          <w:rFonts w:ascii="Arial" w:hAnsi="Arial"/>
          <w:color w:val="000000"/>
        </w:rPr>
      </w:pPr>
    </w:p>
    <w:p w:rsidR="00705624" w:rsidRPr="00B509A4" w:rsidP="00B509A4" w14:paraId="20B7CCB6" w14:textId="5EA531AE">
      <w:pPr>
        <w:rPr>
          <w:rFonts w:ascii="Arial" w:hAnsi="Arial"/>
          <w:color w:val="000000"/>
        </w:rPr>
      </w:pPr>
      <w:r w:rsidRPr="00B509A4">
        <w:rPr>
          <w:rFonts w:ascii="Arial" w:hAnsi="Arial"/>
          <w:color w:val="000000"/>
        </w:rPr>
        <w:t xml:space="preserve">The Commission staff </w:t>
      </w:r>
      <w:r w:rsidR="00280F33">
        <w:rPr>
          <w:rFonts w:ascii="Arial" w:hAnsi="Arial"/>
          <w:color w:val="000000"/>
        </w:rPr>
        <w:t xml:space="preserve">estimates that </w:t>
      </w:r>
      <w:r w:rsidR="008C4800">
        <w:rPr>
          <w:rFonts w:ascii="Arial" w:hAnsi="Arial"/>
          <w:color w:val="000000"/>
        </w:rPr>
        <w:t>10</w:t>
      </w:r>
      <w:r w:rsidRPr="00B509A4">
        <w:rPr>
          <w:rFonts w:ascii="Arial" w:hAnsi="Arial"/>
          <w:color w:val="000000"/>
        </w:rPr>
        <w:t xml:space="preserve"> </w:t>
      </w:r>
      <w:r w:rsidR="00B257BD">
        <w:rPr>
          <w:rFonts w:ascii="Arial" w:hAnsi="Arial"/>
          <w:color w:val="000000"/>
        </w:rPr>
        <w:t>suppliers</w:t>
      </w:r>
      <w:r w:rsidRPr="00B509A4">
        <w:rPr>
          <w:rFonts w:ascii="Arial" w:hAnsi="Arial"/>
          <w:color w:val="000000"/>
        </w:rPr>
        <w:t xml:space="preserve"> </w:t>
      </w:r>
      <w:r w:rsidR="00B257BD">
        <w:rPr>
          <w:rFonts w:ascii="Arial" w:hAnsi="Arial"/>
          <w:color w:val="000000"/>
        </w:rPr>
        <w:t>may respond to the collection annually</w:t>
      </w:r>
      <w:r w:rsidRPr="00B509A4">
        <w:rPr>
          <w:rFonts w:ascii="Arial" w:hAnsi="Arial"/>
          <w:color w:val="000000"/>
        </w:rPr>
        <w:t xml:space="preserve">.  </w:t>
      </w:r>
      <w:r w:rsidR="00297E8B">
        <w:rPr>
          <w:rFonts w:ascii="Arial" w:hAnsi="Arial"/>
          <w:color w:val="000000"/>
        </w:rPr>
        <w:t>S</w:t>
      </w:r>
      <w:r w:rsidRPr="00B509A4">
        <w:rPr>
          <w:rFonts w:ascii="Arial" w:hAnsi="Arial"/>
          <w:color w:val="000000"/>
        </w:rPr>
        <w:t xml:space="preserve">taff estimates that the annual testing and recordkeeping burden imposed </w:t>
      </w:r>
      <w:r w:rsidR="00FC3639">
        <w:rPr>
          <w:rFonts w:ascii="Arial" w:hAnsi="Arial"/>
          <w:color w:val="000000"/>
        </w:rPr>
        <w:t>is</w:t>
      </w:r>
      <w:r w:rsidRPr="00B509A4">
        <w:rPr>
          <w:rFonts w:ascii="Arial" w:hAnsi="Arial"/>
          <w:color w:val="000000"/>
        </w:rPr>
        <w:t xml:space="preserve"> approximately 220 hours</w:t>
      </w:r>
      <w:r w:rsidR="00D3783D">
        <w:rPr>
          <w:rFonts w:ascii="Arial" w:hAnsi="Arial"/>
          <w:color w:val="000000"/>
        </w:rPr>
        <w:t xml:space="preserve"> on average</w:t>
      </w:r>
      <w:r w:rsidRPr="00B509A4">
        <w:rPr>
          <w:rFonts w:ascii="Arial" w:hAnsi="Arial"/>
          <w:color w:val="000000"/>
        </w:rPr>
        <w:t xml:space="preserve">.  Thus, the total annual burden imposed by the certification regulations on manufacturers, importers and private labelers of omnidirectional </w:t>
      </w:r>
      <w:r w:rsidR="0003680C">
        <w:rPr>
          <w:rFonts w:ascii="Arial" w:hAnsi="Arial"/>
          <w:color w:val="000000"/>
        </w:rPr>
        <w:t>CB</w:t>
      </w:r>
      <w:r w:rsidRPr="00B509A4">
        <w:rPr>
          <w:rFonts w:ascii="Arial" w:hAnsi="Arial"/>
          <w:color w:val="000000"/>
        </w:rPr>
        <w:t xml:space="preserve"> base station antennas is about </w:t>
      </w:r>
      <w:r w:rsidR="008C4800">
        <w:rPr>
          <w:rFonts w:ascii="Arial" w:hAnsi="Arial"/>
          <w:color w:val="000000"/>
        </w:rPr>
        <w:t>2,200</w:t>
      </w:r>
      <w:r w:rsidRPr="00B509A4">
        <w:rPr>
          <w:rFonts w:ascii="Arial" w:hAnsi="Arial"/>
          <w:color w:val="000000"/>
        </w:rPr>
        <w:t xml:space="preserve"> hours.</w:t>
      </w:r>
    </w:p>
    <w:p w:rsidR="00705624" w:rsidRPr="0028337C" w14:paraId="4635228E" w14:textId="77777777">
      <w:pPr>
        <w:rPr>
          <w:rFonts w:ascii="Arial" w:hAnsi="Arial"/>
          <w:color w:val="000000"/>
        </w:rPr>
      </w:pPr>
    </w:p>
    <w:p w:rsidR="00705624" w:rsidRPr="00200D0D" w14:paraId="7F7B8383" w14:textId="026FC36C">
      <w:pPr>
        <w:pStyle w:val="BodyText2"/>
        <w:rPr>
          <w:rFonts w:ascii="Arial" w:hAnsi="Arial"/>
          <w:color w:val="000000"/>
        </w:rPr>
      </w:pPr>
      <w:r w:rsidRPr="00200D0D">
        <w:rPr>
          <w:rFonts w:ascii="Arial" w:hAnsi="Arial"/>
          <w:color w:val="000000"/>
        </w:rPr>
        <w:t xml:space="preserve">The Commission staff estimates that the average hourly cost to reporting firms for the time required to perform the required testing and maintain the </w:t>
      </w:r>
      <w:r w:rsidRPr="00200D0D" w:rsidR="00276815">
        <w:rPr>
          <w:rFonts w:ascii="Arial" w:hAnsi="Arial"/>
          <w:color w:val="000000"/>
        </w:rPr>
        <w:t>required records is about $</w:t>
      </w:r>
      <w:r w:rsidR="00CB130C">
        <w:rPr>
          <w:rFonts w:ascii="Arial" w:hAnsi="Arial"/>
          <w:color w:val="000000"/>
        </w:rPr>
        <w:t>7</w:t>
      </w:r>
      <w:r w:rsidR="00EB2330">
        <w:rPr>
          <w:rFonts w:ascii="Arial" w:hAnsi="Arial"/>
          <w:color w:val="000000"/>
        </w:rPr>
        <w:t>4</w:t>
      </w:r>
      <w:r w:rsidR="00CB130C">
        <w:rPr>
          <w:rFonts w:ascii="Arial" w:hAnsi="Arial"/>
          <w:color w:val="000000"/>
        </w:rPr>
        <w:t>.</w:t>
      </w:r>
      <w:r w:rsidR="00EB2330">
        <w:rPr>
          <w:rFonts w:ascii="Arial" w:hAnsi="Arial"/>
          <w:color w:val="000000"/>
        </w:rPr>
        <w:t>73</w:t>
      </w:r>
      <w:r w:rsidR="002B1D7E">
        <w:rPr>
          <w:rFonts w:ascii="Arial" w:hAnsi="Arial"/>
          <w:color w:val="000000"/>
        </w:rPr>
        <w:t xml:space="preserve">, based on the reported </w:t>
      </w:r>
      <w:r w:rsidRPr="002B1D7E" w:rsidR="002B1D7E">
        <w:rPr>
          <w:rFonts w:ascii="Arial" w:hAnsi="Arial"/>
          <w:color w:val="000000"/>
        </w:rPr>
        <w:t>total compensation for management, professional, and related employees in goods-producing private industries</w:t>
      </w:r>
      <w:r w:rsidR="002B1D7E">
        <w:rPr>
          <w:rFonts w:ascii="Arial" w:hAnsi="Arial"/>
          <w:color w:val="000000"/>
        </w:rPr>
        <w:t>.</w:t>
      </w:r>
      <w:r>
        <w:rPr>
          <w:rStyle w:val="FootnoteReference"/>
          <w:rFonts w:ascii="Arial" w:hAnsi="Arial"/>
          <w:color w:val="000000"/>
        </w:rPr>
        <w:footnoteReference w:id="2"/>
      </w:r>
      <w:r w:rsidRPr="00200D0D">
        <w:rPr>
          <w:rFonts w:ascii="Arial" w:hAnsi="Arial"/>
          <w:color w:val="000000"/>
        </w:rPr>
        <w:t xml:space="preserve"> </w:t>
      </w:r>
      <w:r w:rsidR="001420C4">
        <w:rPr>
          <w:rFonts w:ascii="Arial" w:hAnsi="Arial"/>
          <w:color w:val="000000"/>
        </w:rPr>
        <w:t xml:space="preserve">However, this may be an over estimate because </w:t>
      </w:r>
      <w:r w:rsidR="00B863BC">
        <w:rPr>
          <w:rFonts w:ascii="Arial" w:hAnsi="Arial"/>
          <w:color w:val="000000"/>
        </w:rPr>
        <w:t xml:space="preserve">respondents to this collection may be foreign manufacturers </w:t>
      </w:r>
      <w:r w:rsidR="00740B86">
        <w:rPr>
          <w:rFonts w:ascii="Arial" w:hAnsi="Arial"/>
          <w:color w:val="000000"/>
        </w:rPr>
        <w:t>that are compensated</w:t>
      </w:r>
      <w:r w:rsidR="00846410">
        <w:rPr>
          <w:rFonts w:ascii="Arial" w:hAnsi="Arial"/>
          <w:color w:val="000000"/>
        </w:rPr>
        <w:t xml:space="preserve"> at</w:t>
      </w:r>
      <w:r w:rsidR="00B863BC">
        <w:rPr>
          <w:rFonts w:ascii="Arial" w:hAnsi="Arial"/>
          <w:color w:val="000000"/>
        </w:rPr>
        <w:t xml:space="preserve"> a lower average wage rate. </w:t>
      </w:r>
      <w:r w:rsidR="002B1D7E">
        <w:rPr>
          <w:rFonts w:ascii="Arial" w:hAnsi="Arial"/>
          <w:color w:val="000000"/>
        </w:rPr>
        <w:t xml:space="preserve">Total </w:t>
      </w:r>
      <w:r w:rsidRPr="00200D0D">
        <w:rPr>
          <w:rFonts w:ascii="Arial" w:hAnsi="Arial"/>
          <w:color w:val="000000"/>
        </w:rPr>
        <w:t>annual cost to the</w:t>
      </w:r>
      <w:r w:rsidRPr="00200D0D" w:rsidR="00276815">
        <w:rPr>
          <w:rFonts w:ascii="Arial" w:hAnsi="Arial"/>
          <w:color w:val="000000"/>
        </w:rPr>
        <w:t xml:space="preserve"> industry </w:t>
      </w:r>
      <w:r w:rsidR="002B1D7E">
        <w:rPr>
          <w:rFonts w:ascii="Arial" w:hAnsi="Arial"/>
          <w:color w:val="000000"/>
        </w:rPr>
        <w:t xml:space="preserve">is </w:t>
      </w:r>
      <w:r w:rsidRPr="00200D0D" w:rsidR="00276815">
        <w:rPr>
          <w:rFonts w:ascii="Arial" w:hAnsi="Arial"/>
          <w:color w:val="000000"/>
        </w:rPr>
        <w:t>approximately $</w:t>
      </w:r>
      <w:r w:rsidR="00CB130C">
        <w:rPr>
          <w:rFonts w:ascii="Arial" w:hAnsi="Arial"/>
          <w:color w:val="000000"/>
        </w:rPr>
        <w:t>1</w:t>
      </w:r>
      <w:r w:rsidR="0048543F">
        <w:rPr>
          <w:rFonts w:ascii="Arial" w:hAnsi="Arial"/>
          <w:color w:val="000000"/>
        </w:rPr>
        <w:t>64,406</w:t>
      </w:r>
      <w:r w:rsidR="002B1D7E">
        <w:rPr>
          <w:rFonts w:ascii="Arial" w:hAnsi="Arial"/>
          <w:color w:val="000000"/>
        </w:rPr>
        <w:t xml:space="preserve"> ($</w:t>
      </w:r>
      <w:r w:rsidR="00CB130C">
        <w:rPr>
          <w:rFonts w:ascii="Arial" w:hAnsi="Arial"/>
          <w:color w:val="000000"/>
        </w:rPr>
        <w:t>7</w:t>
      </w:r>
      <w:r w:rsidR="00EB2330">
        <w:rPr>
          <w:rFonts w:ascii="Arial" w:hAnsi="Arial"/>
          <w:color w:val="000000"/>
        </w:rPr>
        <w:t>4</w:t>
      </w:r>
      <w:r w:rsidR="00CB130C">
        <w:rPr>
          <w:rFonts w:ascii="Arial" w:hAnsi="Arial"/>
          <w:color w:val="000000"/>
        </w:rPr>
        <w:t>.</w:t>
      </w:r>
      <w:r w:rsidR="00EB2330">
        <w:rPr>
          <w:rFonts w:ascii="Arial" w:hAnsi="Arial"/>
          <w:color w:val="000000"/>
        </w:rPr>
        <w:t>73</w:t>
      </w:r>
      <w:r w:rsidR="00595FA7">
        <w:rPr>
          <w:rFonts w:ascii="Arial" w:hAnsi="Arial"/>
          <w:color w:val="000000"/>
        </w:rPr>
        <w:t xml:space="preserve"> </w:t>
      </w:r>
      <w:r w:rsidR="0048543F">
        <w:rPr>
          <w:rFonts w:ascii="Arial" w:hAnsi="Arial"/>
          <w:color w:val="000000"/>
        </w:rPr>
        <w:t xml:space="preserve">per hour </w:t>
      </w:r>
      <w:r w:rsidR="00595FA7">
        <w:rPr>
          <w:rFonts w:ascii="Arial" w:hAnsi="Arial" w:cs="Arial"/>
          <w:color w:val="000000"/>
        </w:rPr>
        <w:t>×</w:t>
      </w:r>
      <w:r w:rsidR="00595FA7">
        <w:rPr>
          <w:rFonts w:ascii="Arial" w:hAnsi="Arial"/>
          <w:color w:val="000000"/>
        </w:rPr>
        <w:t xml:space="preserve"> </w:t>
      </w:r>
      <w:r w:rsidR="008C4800">
        <w:rPr>
          <w:rFonts w:ascii="Arial" w:hAnsi="Arial"/>
          <w:color w:val="000000"/>
        </w:rPr>
        <w:t>2,200</w:t>
      </w:r>
      <w:r w:rsidR="002B1D7E">
        <w:rPr>
          <w:rFonts w:ascii="Arial" w:hAnsi="Arial"/>
          <w:color w:val="000000"/>
        </w:rPr>
        <w:t xml:space="preserve"> hours</w:t>
      </w:r>
      <w:r w:rsidR="0048543F">
        <w:rPr>
          <w:rFonts w:ascii="Arial" w:hAnsi="Arial"/>
          <w:color w:val="000000"/>
        </w:rPr>
        <w:t xml:space="preserve"> = $164,406</w:t>
      </w:r>
      <w:r w:rsidR="002B1D7E">
        <w:rPr>
          <w:rFonts w:ascii="Arial" w:hAnsi="Arial"/>
          <w:color w:val="000000"/>
        </w:rPr>
        <w:t>).</w:t>
      </w:r>
    </w:p>
    <w:p w:rsidR="00705624" w:rsidRPr="0028337C" w14:paraId="4071484D" w14:textId="77777777">
      <w:pPr>
        <w:rPr>
          <w:rFonts w:ascii="Arial" w:hAnsi="Arial"/>
        </w:rPr>
      </w:pPr>
    </w:p>
    <w:p w:rsidR="00B509A4" w:rsidRPr="00B509A4" w:rsidP="00B509A4" w14:paraId="54EF9ACC" w14:textId="77777777">
      <w:pPr>
        <w:numPr>
          <w:ilvl w:val="0"/>
          <w:numId w:val="26"/>
        </w:numPr>
        <w:rPr>
          <w:rFonts w:ascii="Arial" w:hAnsi="Arial"/>
          <w:b/>
          <w:i/>
        </w:rPr>
      </w:pPr>
      <w:r>
        <w:rPr>
          <w:rFonts w:ascii="Arial" w:hAnsi="Arial"/>
          <w:b/>
          <w:i/>
        </w:rPr>
        <w:tab/>
      </w:r>
      <w:r w:rsidR="003F4FDE">
        <w:rPr>
          <w:rFonts w:ascii="Arial" w:hAnsi="Arial"/>
          <w:b/>
          <w:i/>
        </w:rPr>
        <w:t>Estim</w:t>
      </w:r>
      <w:r w:rsidR="00815739">
        <w:rPr>
          <w:rFonts w:ascii="Arial" w:hAnsi="Arial"/>
          <w:b/>
          <w:i/>
        </w:rPr>
        <w:t>ates of other total annual cost burden to respondents or r</w:t>
      </w:r>
      <w:r w:rsidR="003F4FDE">
        <w:rPr>
          <w:rFonts w:ascii="Arial" w:hAnsi="Arial"/>
          <w:b/>
          <w:i/>
        </w:rPr>
        <w:t>ecordkeepers</w:t>
      </w:r>
    </w:p>
    <w:p w:rsidR="00B509A4" w:rsidP="00B509A4" w14:paraId="0712625F" w14:textId="77777777">
      <w:pPr>
        <w:ind w:left="360"/>
        <w:rPr>
          <w:rFonts w:ascii="Arial" w:hAnsi="Arial"/>
        </w:rPr>
      </w:pPr>
    </w:p>
    <w:p w:rsidR="00705624" w:rsidRPr="00B509A4" w:rsidP="00B509A4" w14:paraId="67549D51" w14:textId="05A266C8">
      <w:pPr>
        <w:rPr>
          <w:rFonts w:ascii="Arial" w:hAnsi="Arial"/>
        </w:rPr>
      </w:pPr>
      <w:r>
        <w:rPr>
          <w:rFonts w:ascii="Arial" w:hAnsi="Arial"/>
        </w:rPr>
        <w:t>There are no costs to respondents bey</w:t>
      </w:r>
      <w:r w:rsidR="00DE5895">
        <w:rPr>
          <w:rFonts w:ascii="Arial" w:hAnsi="Arial"/>
        </w:rPr>
        <w:t xml:space="preserve">ond those presented in Section </w:t>
      </w:r>
      <w:r>
        <w:rPr>
          <w:rFonts w:ascii="Arial" w:hAnsi="Arial"/>
        </w:rPr>
        <w:t>A.12. There are no operating, maintenance, or capital costs associated with the collection.</w:t>
      </w:r>
      <w:r w:rsidR="00084322">
        <w:rPr>
          <w:rFonts w:ascii="Arial" w:hAnsi="Arial"/>
        </w:rPr>
        <w:t xml:space="preserve"> </w:t>
      </w:r>
    </w:p>
    <w:p w:rsidR="00705624" w:rsidRPr="0028337C" w14:paraId="34241F38" w14:textId="77777777">
      <w:pPr>
        <w:rPr>
          <w:rFonts w:ascii="Arial" w:hAnsi="Arial"/>
        </w:rPr>
      </w:pPr>
    </w:p>
    <w:p w:rsidR="00B509A4" w:rsidRPr="00B509A4" w:rsidP="00B509A4" w14:paraId="68CE654F" w14:textId="77777777">
      <w:pPr>
        <w:pStyle w:val="BodyText2"/>
        <w:numPr>
          <w:ilvl w:val="0"/>
          <w:numId w:val="26"/>
        </w:numPr>
        <w:rPr>
          <w:rFonts w:ascii="Arial" w:hAnsi="Arial"/>
          <w:b/>
          <w:i/>
          <w:color w:val="000000"/>
        </w:rPr>
      </w:pPr>
      <w:r w:rsidRPr="00B509A4">
        <w:rPr>
          <w:rFonts w:ascii="Arial" w:hAnsi="Arial"/>
          <w:b/>
          <w:i/>
          <w:color w:val="000000"/>
        </w:rPr>
        <w:tab/>
        <w:t>Estimate of annualized costs to the federal government</w:t>
      </w:r>
    </w:p>
    <w:p w:rsidR="002E7291" w:rsidP="00B509A4" w14:paraId="511169DB" w14:textId="77777777">
      <w:pPr>
        <w:pStyle w:val="BodyText2"/>
        <w:rPr>
          <w:rFonts w:ascii="Arial" w:hAnsi="Arial"/>
          <w:color w:val="000000"/>
        </w:rPr>
      </w:pPr>
    </w:p>
    <w:p w:rsidR="009C7B22" w:rsidP="00B509A4" w14:paraId="2416CE74" w14:textId="424DC512">
      <w:pPr>
        <w:pStyle w:val="BodyText2"/>
        <w:rPr>
          <w:rFonts w:ascii="Arial" w:hAnsi="Arial"/>
          <w:color w:val="000000"/>
        </w:rPr>
      </w:pPr>
      <w:r>
        <w:rPr>
          <w:rFonts w:ascii="Arial" w:hAnsi="Arial"/>
          <w:color w:val="000000"/>
        </w:rPr>
        <w:t>A</w:t>
      </w:r>
      <w:r w:rsidR="002E7291">
        <w:rPr>
          <w:rFonts w:ascii="Arial" w:hAnsi="Arial"/>
          <w:color w:val="000000"/>
        </w:rPr>
        <w:t xml:space="preserve">pproximately </w:t>
      </w:r>
      <w:r w:rsidR="00753FB7">
        <w:rPr>
          <w:rFonts w:ascii="Arial" w:hAnsi="Arial"/>
          <w:color w:val="000000"/>
        </w:rPr>
        <w:t xml:space="preserve">40 staff hours </w:t>
      </w:r>
      <w:r>
        <w:rPr>
          <w:rFonts w:ascii="Arial" w:hAnsi="Arial"/>
          <w:color w:val="000000"/>
        </w:rPr>
        <w:t xml:space="preserve">are needed for agency employees </w:t>
      </w:r>
      <w:r w:rsidR="00753FB7">
        <w:rPr>
          <w:rFonts w:ascii="Arial" w:hAnsi="Arial"/>
          <w:color w:val="000000"/>
        </w:rPr>
        <w:t xml:space="preserve">to examine and evaluate the information, as needed, for compliance activities. </w:t>
      </w:r>
    </w:p>
    <w:p w:rsidR="009C7B22" w:rsidRPr="009C7B22" w:rsidP="009C7B22" w14:paraId="19FAEE17" w14:textId="5C0C02CC">
      <w:pPr>
        <w:widowControl w:val="0"/>
        <w:tabs>
          <w:tab w:val="left" w:pos="864"/>
          <w:tab w:val="left" w:pos="2016"/>
          <w:tab w:val="left" w:pos="3168"/>
          <w:tab w:val="left" w:pos="4320"/>
          <w:tab w:val="left" w:pos="5472"/>
          <w:tab w:val="left" w:pos="6624"/>
          <w:tab w:val="left" w:pos="7776"/>
          <w:tab w:val="left" w:pos="8928"/>
        </w:tabs>
        <w:suppressAutoHyphens/>
        <w:rPr>
          <w:rFonts w:ascii="Arial" w:hAnsi="Arial" w:cs="Arial"/>
          <w:snapToGrid w:val="0"/>
        </w:rPr>
      </w:pPr>
      <w:r w:rsidRPr="009C7B22">
        <w:rPr>
          <w:rFonts w:ascii="Arial" w:hAnsi="Arial" w:cs="Arial"/>
          <w:snapToGrid w:val="0"/>
        </w:rPr>
        <w:t xml:space="preserve">Estimated cost to the federal government is based on performance of </w:t>
      </w:r>
      <w:r>
        <w:rPr>
          <w:rFonts w:ascii="Arial" w:hAnsi="Arial" w:cs="Arial"/>
          <w:snapToGrid w:val="0"/>
        </w:rPr>
        <w:t>this</w:t>
      </w:r>
      <w:r w:rsidRPr="009C7B22">
        <w:rPr>
          <w:rFonts w:ascii="Arial" w:hAnsi="Arial" w:cs="Arial"/>
          <w:snapToGrid w:val="0"/>
        </w:rPr>
        <w:t xml:space="preserve"> work by employees paid at a GS-12 Step 5 pay rate of $</w:t>
      </w:r>
      <w:r w:rsidR="00B54DC6">
        <w:rPr>
          <w:rFonts w:ascii="Arial" w:hAnsi="Arial" w:cs="Arial"/>
          <w:snapToGrid w:val="0"/>
        </w:rPr>
        <w:t>55.07</w:t>
      </w:r>
      <w:r w:rsidRPr="00644B34" w:rsidR="00644B34">
        <w:rPr>
          <w:rFonts w:ascii="Arial" w:hAnsi="Arial" w:cs="Arial"/>
          <w:snapToGrid w:val="0"/>
        </w:rPr>
        <w:t xml:space="preserve"> </w:t>
      </w:r>
      <w:r w:rsidRPr="009C7B22">
        <w:rPr>
          <w:rFonts w:ascii="Arial" w:hAnsi="Arial" w:cs="Arial"/>
          <w:snapToGrid w:val="0"/>
        </w:rPr>
        <w:t xml:space="preserve">per </w:t>
      </w:r>
      <w:r w:rsidR="009256AE">
        <w:rPr>
          <w:rFonts w:ascii="Arial" w:hAnsi="Arial" w:cs="Arial"/>
          <w:snapToGrid w:val="0"/>
        </w:rPr>
        <w:t>hour</w:t>
      </w:r>
      <w:r w:rsidRPr="009C7B22">
        <w:rPr>
          <w:rFonts w:ascii="Arial" w:hAnsi="Arial" w:cs="Arial"/>
          <w:snapToGrid w:val="0"/>
        </w:rPr>
        <w:t>.</w:t>
      </w:r>
      <w:r>
        <w:rPr>
          <w:rFonts w:ascii="Arial" w:hAnsi="Arial" w:cs="Arial"/>
          <w:snapToGrid w:val="0"/>
          <w:vertAlign w:val="superscript"/>
        </w:rPr>
        <w:footnoteReference w:id="3"/>
      </w:r>
      <w:r w:rsidRPr="009C7B22">
        <w:rPr>
          <w:rFonts w:ascii="Arial" w:hAnsi="Arial" w:cs="Arial"/>
          <w:snapToGrid w:val="0"/>
        </w:rPr>
        <w:t xml:space="preserve"> According to the most recent Employer Costs for Employee Compensation, th</w:t>
      </w:r>
      <w:r w:rsidR="00565715">
        <w:rPr>
          <w:rFonts w:ascii="Arial" w:hAnsi="Arial" w:cs="Arial"/>
          <w:snapToGrid w:val="0"/>
        </w:rPr>
        <w:t>ese wages</w:t>
      </w:r>
      <w:r w:rsidRPr="009C7B22">
        <w:rPr>
          <w:rFonts w:ascii="Arial" w:hAnsi="Arial" w:cs="Arial"/>
          <w:snapToGrid w:val="0"/>
        </w:rPr>
        <w:t xml:space="preserve"> represent approximately </w:t>
      </w:r>
      <w:r w:rsidR="002925EA">
        <w:rPr>
          <w:rFonts w:ascii="Arial" w:hAnsi="Arial" w:cs="Arial"/>
          <w:snapToGrid w:val="0"/>
        </w:rPr>
        <w:t>6</w:t>
      </w:r>
      <w:r w:rsidR="00BA1331">
        <w:rPr>
          <w:rFonts w:ascii="Arial" w:hAnsi="Arial" w:cs="Arial"/>
          <w:snapToGrid w:val="0"/>
        </w:rPr>
        <w:t>7.8</w:t>
      </w:r>
      <w:r w:rsidRPr="009C7B22">
        <w:rPr>
          <w:rFonts w:ascii="Arial" w:hAnsi="Arial" w:cs="Arial"/>
          <w:snapToGrid w:val="0"/>
        </w:rPr>
        <w:t xml:space="preserve"> percent of total compensation for </w:t>
      </w:r>
      <w:r w:rsidR="001C3DDA">
        <w:rPr>
          <w:rFonts w:ascii="Arial" w:hAnsi="Arial" w:cs="Arial"/>
          <w:snapToGrid w:val="0"/>
        </w:rPr>
        <w:t xml:space="preserve">civilian </w:t>
      </w:r>
      <w:r w:rsidRPr="009C7B22">
        <w:rPr>
          <w:rFonts w:ascii="Arial" w:hAnsi="Arial" w:cs="Arial"/>
          <w:snapToGrid w:val="0"/>
        </w:rPr>
        <w:t xml:space="preserve">management, professional and related </w:t>
      </w:r>
      <w:r w:rsidR="00C662D2">
        <w:rPr>
          <w:rFonts w:ascii="Arial" w:hAnsi="Arial" w:cs="Arial"/>
          <w:snapToGrid w:val="0"/>
        </w:rPr>
        <w:t>workers</w:t>
      </w:r>
      <w:r w:rsidRPr="009C7B22">
        <w:rPr>
          <w:rFonts w:ascii="Arial" w:hAnsi="Arial" w:cs="Arial"/>
          <w:snapToGrid w:val="0"/>
        </w:rPr>
        <w:t>.</w:t>
      </w:r>
      <w:r>
        <w:rPr>
          <w:rFonts w:ascii="Arial" w:hAnsi="Arial" w:cs="Arial"/>
          <w:snapToGrid w:val="0"/>
          <w:vertAlign w:val="superscript"/>
        </w:rPr>
        <w:footnoteReference w:id="4"/>
      </w:r>
      <w:r w:rsidRPr="009C7B22">
        <w:rPr>
          <w:rFonts w:ascii="Arial" w:hAnsi="Arial" w:cs="Arial"/>
          <w:snapToGrid w:val="0"/>
        </w:rPr>
        <w:t xml:space="preserve"> Therefore, total </w:t>
      </w:r>
      <w:r w:rsidR="00083807">
        <w:rPr>
          <w:rFonts w:ascii="Arial" w:hAnsi="Arial" w:cs="Arial"/>
          <w:snapToGrid w:val="0"/>
        </w:rPr>
        <w:t xml:space="preserve">hourly </w:t>
      </w:r>
      <w:r w:rsidRPr="009C7B22">
        <w:rPr>
          <w:rFonts w:ascii="Arial" w:hAnsi="Arial" w:cs="Arial"/>
          <w:snapToGrid w:val="0"/>
        </w:rPr>
        <w:t>compensation</w:t>
      </w:r>
      <w:r w:rsidR="00D37326">
        <w:rPr>
          <w:rFonts w:ascii="Arial" w:hAnsi="Arial" w:cs="Arial"/>
          <w:snapToGrid w:val="0"/>
        </w:rPr>
        <w:t>, including bene</w:t>
      </w:r>
      <w:r w:rsidR="00565715">
        <w:rPr>
          <w:rFonts w:ascii="Arial" w:hAnsi="Arial" w:cs="Arial"/>
          <w:snapToGrid w:val="0"/>
        </w:rPr>
        <w:t>fits,</w:t>
      </w:r>
      <w:r w:rsidRPr="009C7B22">
        <w:rPr>
          <w:rFonts w:ascii="Arial" w:hAnsi="Arial" w:cs="Arial"/>
          <w:snapToGrid w:val="0"/>
        </w:rPr>
        <w:t xml:space="preserve"> for an employee at the GS-12 Step 5 pay rate </w:t>
      </w:r>
      <w:r w:rsidR="00565715">
        <w:rPr>
          <w:rFonts w:ascii="Arial" w:hAnsi="Arial" w:cs="Arial"/>
          <w:snapToGrid w:val="0"/>
        </w:rPr>
        <w:t>is estimated to</w:t>
      </w:r>
      <w:r w:rsidR="005675D2">
        <w:rPr>
          <w:rFonts w:ascii="Arial" w:hAnsi="Arial" w:cs="Arial"/>
          <w:snapToGrid w:val="0"/>
        </w:rPr>
        <w:t xml:space="preserve"> be</w:t>
      </w:r>
      <w:r w:rsidRPr="009C7B22">
        <w:rPr>
          <w:rFonts w:ascii="Arial" w:hAnsi="Arial" w:cs="Arial"/>
          <w:snapToGrid w:val="0"/>
        </w:rPr>
        <w:t xml:space="preserve"> </w:t>
      </w:r>
      <w:r w:rsidRPr="006B2416" w:rsidR="00392A48">
        <w:rPr>
          <w:rFonts w:ascii="Arial" w:hAnsi="Arial" w:cs="Arial"/>
        </w:rPr>
        <w:t>$</w:t>
      </w:r>
      <w:r w:rsidR="007109D1">
        <w:rPr>
          <w:rFonts w:ascii="Arial" w:hAnsi="Arial" w:cs="Arial"/>
        </w:rPr>
        <w:t>81.22</w:t>
      </w:r>
      <w:r w:rsidR="00565715">
        <w:rPr>
          <w:rFonts w:ascii="Arial" w:hAnsi="Arial" w:cs="Arial"/>
        </w:rPr>
        <w:t xml:space="preserve"> per hour</w:t>
      </w:r>
      <w:r w:rsidRPr="009C7B22">
        <w:rPr>
          <w:rFonts w:ascii="Arial" w:hAnsi="Arial" w:cs="Arial"/>
          <w:snapToGrid w:val="0"/>
        </w:rPr>
        <w:t xml:space="preserve">. </w:t>
      </w:r>
      <w:r w:rsidR="004674FA">
        <w:rPr>
          <w:rFonts w:ascii="Arial" w:hAnsi="Arial" w:cs="Arial"/>
          <w:snapToGrid w:val="0"/>
        </w:rPr>
        <w:t>Accordingly, t</w:t>
      </w:r>
      <w:r w:rsidRPr="009C7B22">
        <w:rPr>
          <w:rFonts w:ascii="Arial" w:hAnsi="Arial" w:cs="Arial"/>
          <w:snapToGrid w:val="0"/>
        </w:rPr>
        <w:t>he annual cost to the federal government of the collection of information is estimated to be about $</w:t>
      </w:r>
      <w:r w:rsidR="003D624A">
        <w:rPr>
          <w:rFonts w:ascii="Arial" w:hAnsi="Arial" w:cs="Arial"/>
          <w:snapToGrid w:val="0"/>
        </w:rPr>
        <w:t>3,249</w:t>
      </w:r>
      <w:r w:rsidRPr="009C7B22">
        <w:rPr>
          <w:rFonts w:ascii="Arial" w:hAnsi="Arial" w:cs="Arial"/>
          <w:snapToGrid w:val="0"/>
        </w:rPr>
        <w:t xml:space="preserve"> ($</w:t>
      </w:r>
      <w:r w:rsidR="005675D2">
        <w:rPr>
          <w:rFonts w:ascii="Arial" w:hAnsi="Arial" w:cs="Arial"/>
          <w:snapToGrid w:val="0"/>
        </w:rPr>
        <w:t>81.22</w:t>
      </w:r>
      <w:r w:rsidR="004674FA">
        <w:rPr>
          <w:rFonts w:ascii="Arial" w:hAnsi="Arial" w:cs="Arial"/>
          <w:snapToGrid w:val="0"/>
        </w:rPr>
        <w:t xml:space="preserve"> per hour</w:t>
      </w:r>
      <w:r>
        <w:rPr>
          <w:rFonts w:ascii="Arial" w:hAnsi="Arial" w:cs="Arial"/>
          <w:snapToGrid w:val="0"/>
        </w:rPr>
        <w:t xml:space="preserve"> </w:t>
      </w:r>
      <w:r w:rsidR="004674FA">
        <w:rPr>
          <w:rFonts w:ascii="Arial" w:hAnsi="Arial" w:cs="Arial"/>
          <w:snapToGrid w:val="0"/>
        </w:rPr>
        <w:t>×</w:t>
      </w:r>
      <w:r>
        <w:rPr>
          <w:rFonts w:ascii="Arial" w:hAnsi="Arial" w:cs="Arial"/>
          <w:snapToGrid w:val="0"/>
        </w:rPr>
        <w:t xml:space="preserve"> 4</w:t>
      </w:r>
      <w:r w:rsidRPr="009C7B22">
        <w:rPr>
          <w:rFonts w:ascii="Arial" w:hAnsi="Arial" w:cs="Arial"/>
          <w:snapToGrid w:val="0"/>
        </w:rPr>
        <w:t>0 hours</w:t>
      </w:r>
      <w:r w:rsidR="003D624A">
        <w:rPr>
          <w:rFonts w:ascii="Arial" w:hAnsi="Arial" w:cs="Arial"/>
          <w:snapToGrid w:val="0"/>
        </w:rPr>
        <w:t xml:space="preserve"> = $3,248.80</w:t>
      </w:r>
      <w:r w:rsidRPr="009C7B22">
        <w:rPr>
          <w:rFonts w:ascii="Arial" w:hAnsi="Arial" w:cs="Arial"/>
          <w:snapToGrid w:val="0"/>
        </w:rPr>
        <w:t>)</w:t>
      </w:r>
      <w:r w:rsidRPr="009C7B22">
        <w:rPr>
          <w:rFonts w:ascii="Arial" w:hAnsi="Arial"/>
          <w:snapToGrid w:val="0"/>
        </w:rPr>
        <w:t>.</w:t>
      </w:r>
    </w:p>
    <w:p w:rsidR="009C7B22" w:rsidP="00B509A4" w14:paraId="4A8CB9CD" w14:textId="77777777">
      <w:pPr>
        <w:pStyle w:val="BodyText2"/>
        <w:rPr>
          <w:rFonts w:ascii="Arial" w:hAnsi="Arial"/>
          <w:color w:val="000000"/>
        </w:rPr>
      </w:pPr>
    </w:p>
    <w:p w:rsidR="00B509A4" w:rsidRPr="00B509A4" w:rsidP="00B509A4" w14:paraId="13C0D853" w14:textId="77777777">
      <w:pPr>
        <w:numPr>
          <w:ilvl w:val="0"/>
          <w:numId w:val="26"/>
        </w:numPr>
        <w:rPr>
          <w:rFonts w:ascii="Arial" w:hAnsi="Arial"/>
          <w:b/>
          <w:i/>
        </w:rPr>
      </w:pPr>
      <w:r w:rsidRPr="00B509A4">
        <w:rPr>
          <w:rFonts w:ascii="Arial" w:hAnsi="Arial"/>
          <w:b/>
          <w:i/>
        </w:rPr>
        <w:tab/>
        <w:t>Program changes or adjustments</w:t>
      </w:r>
    </w:p>
    <w:p w:rsidR="00B509A4" w:rsidP="00B509A4" w14:paraId="68379C60" w14:textId="77777777">
      <w:pPr>
        <w:ind w:left="360"/>
        <w:rPr>
          <w:rFonts w:ascii="Arial" w:hAnsi="Arial"/>
        </w:rPr>
      </w:pPr>
    </w:p>
    <w:p w:rsidR="00E65F6D" w:rsidRPr="00B509A4" w:rsidP="00B509A4" w14:paraId="66FC489D" w14:textId="3C8E2924">
      <w:pPr>
        <w:rPr>
          <w:rFonts w:ascii="Arial" w:hAnsi="Arial"/>
        </w:rPr>
      </w:pPr>
      <w:r w:rsidRPr="00B509A4">
        <w:rPr>
          <w:rFonts w:ascii="Arial" w:hAnsi="Arial"/>
        </w:rPr>
        <w:t>No change has been made to</w:t>
      </w:r>
      <w:r w:rsidR="006C2614">
        <w:rPr>
          <w:rFonts w:ascii="Arial" w:hAnsi="Arial"/>
        </w:rPr>
        <w:t xml:space="preserve"> the collection of information </w:t>
      </w:r>
      <w:r w:rsidRPr="00B509A4">
        <w:rPr>
          <w:rFonts w:ascii="Arial" w:hAnsi="Arial"/>
        </w:rPr>
        <w:t xml:space="preserve">in the Safety Standard for Omnidirectional </w:t>
      </w:r>
      <w:r w:rsidR="0003680C">
        <w:rPr>
          <w:rFonts w:ascii="Arial" w:hAnsi="Arial"/>
        </w:rPr>
        <w:t>CB</w:t>
      </w:r>
      <w:r w:rsidRPr="00B509A4">
        <w:rPr>
          <w:rFonts w:ascii="Arial" w:hAnsi="Arial"/>
        </w:rPr>
        <w:t xml:space="preserve"> Base Station Antennas and certification regulations since it was last approved by OMB</w:t>
      </w:r>
      <w:r>
        <w:rPr>
          <w:rFonts w:ascii="Arial" w:hAnsi="Arial"/>
        </w:rPr>
        <w:t>.</w:t>
      </w:r>
    </w:p>
    <w:p w:rsidR="00705624" w:rsidRPr="0028337C" w14:paraId="4842BE31" w14:textId="77777777">
      <w:pPr>
        <w:rPr>
          <w:rFonts w:ascii="Arial" w:hAnsi="Arial"/>
        </w:rPr>
      </w:pPr>
    </w:p>
    <w:p w:rsidR="00B509A4" w:rsidRPr="00B509A4" w:rsidP="00D115A7" w14:paraId="43872FC6" w14:textId="77777777">
      <w:pPr>
        <w:keepNext/>
        <w:numPr>
          <w:ilvl w:val="0"/>
          <w:numId w:val="22"/>
        </w:numPr>
        <w:rPr>
          <w:rFonts w:ascii="Arial" w:hAnsi="Arial"/>
          <w:b/>
          <w:i/>
        </w:rPr>
      </w:pPr>
      <w:r w:rsidRPr="00B509A4">
        <w:rPr>
          <w:rFonts w:ascii="Arial" w:hAnsi="Arial"/>
          <w:b/>
          <w:i/>
        </w:rPr>
        <w:t xml:space="preserve"> </w:t>
      </w:r>
      <w:r w:rsidRPr="00B509A4">
        <w:rPr>
          <w:rFonts w:ascii="Arial" w:hAnsi="Arial"/>
          <w:b/>
          <w:i/>
        </w:rPr>
        <w:tab/>
      </w:r>
      <w:r w:rsidRPr="00B509A4">
        <w:rPr>
          <w:rFonts w:ascii="Arial" w:hAnsi="Arial"/>
          <w:b/>
          <w:i/>
        </w:rPr>
        <w:t>Plans for tabulation and publication</w:t>
      </w:r>
    </w:p>
    <w:p w:rsidR="00B509A4" w:rsidP="00D115A7" w14:paraId="34408DD5" w14:textId="77777777">
      <w:pPr>
        <w:keepNext/>
        <w:ind w:left="360"/>
        <w:rPr>
          <w:rFonts w:ascii="Arial" w:hAnsi="Arial"/>
        </w:rPr>
      </w:pPr>
    </w:p>
    <w:p w:rsidR="009C7B22" w:rsidRPr="00B509A4" w:rsidP="00D115A7" w14:paraId="17A361D9" w14:textId="78BFFEF6">
      <w:pPr>
        <w:keepNext/>
        <w:rPr>
          <w:rFonts w:ascii="Arial" w:hAnsi="Arial"/>
        </w:rPr>
      </w:pPr>
      <w:r w:rsidRPr="00B509A4">
        <w:rPr>
          <w:rFonts w:ascii="Arial" w:hAnsi="Arial"/>
        </w:rPr>
        <w:t>The Commission will not publish the results of this collection of information.</w:t>
      </w:r>
    </w:p>
    <w:p w:rsidR="00705624" w:rsidRPr="0028337C" w14:paraId="71ED76CE" w14:textId="77777777">
      <w:pPr>
        <w:rPr>
          <w:rFonts w:ascii="Arial" w:hAnsi="Arial"/>
        </w:rPr>
      </w:pPr>
    </w:p>
    <w:p w:rsidR="00B509A4" w:rsidRPr="00B509A4" w:rsidP="00EC7484" w14:paraId="3DF3A6C9" w14:textId="77777777">
      <w:pPr>
        <w:numPr>
          <w:ilvl w:val="0"/>
          <w:numId w:val="22"/>
        </w:numPr>
        <w:tabs>
          <w:tab w:val="num" w:pos="0"/>
          <w:tab w:val="clear" w:pos="360"/>
        </w:tabs>
        <w:ind w:left="0" w:firstLine="0"/>
        <w:rPr>
          <w:rFonts w:ascii="Arial" w:hAnsi="Arial"/>
          <w:b/>
          <w:i/>
        </w:rPr>
      </w:pPr>
      <w:r w:rsidRPr="00B509A4">
        <w:rPr>
          <w:rFonts w:ascii="Arial" w:hAnsi="Arial"/>
          <w:b/>
          <w:i/>
        </w:rPr>
        <w:t>Rationale for not displaying the expiration date for OMB approval</w:t>
      </w:r>
    </w:p>
    <w:p w:rsidR="00B509A4" w:rsidP="00B509A4" w14:paraId="475240DD" w14:textId="77777777">
      <w:pPr>
        <w:rPr>
          <w:rFonts w:ascii="Arial" w:hAnsi="Arial"/>
        </w:rPr>
      </w:pPr>
    </w:p>
    <w:p w:rsidR="00705624" w:rsidRPr="00B509A4" w:rsidP="00B509A4" w14:paraId="398F41F1" w14:textId="78A5199A">
      <w:pPr>
        <w:rPr>
          <w:rFonts w:ascii="Arial" w:hAnsi="Arial"/>
        </w:rPr>
      </w:pPr>
      <w:r w:rsidRPr="00B509A4">
        <w:rPr>
          <w:rFonts w:ascii="Arial" w:hAnsi="Arial"/>
        </w:rPr>
        <w:t>The Commission does not seek to avoid display of the expiration d</w:t>
      </w:r>
      <w:r w:rsidRPr="00B509A4" w:rsidR="00EC7484">
        <w:rPr>
          <w:rFonts w:ascii="Arial" w:hAnsi="Arial"/>
        </w:rPr>
        <w:t xml:space="preserve">ate for the </w:t>
      </w:r>
      <w:r w:rsidRPr="00B509A4">
        <w:rPr>
          <w:rFonts w:ascii="Arial" w:hAnsi="Arial"/>
        </w:rPr>
        <w:t>OMB approval of this collection of information.</w:t>
      </w:r>
    </w:p>
    <w:p w:rsidR="00705624" w:rsidRPr="0028337C" w14:paraId="47E1845B" w14:textId="77777777">
      <w:pPr>
        <w:rPr>
          <w:rFonts w:ascii="Arial" w:hAnsi="Arial"/>
        </w:rPr>
      </w:pPr>
    </w:p>
    <w:p w:rsidR="00B509A4" w:rsidRPr="00B509A4" w14:paraId="319F6DAD" w14:textId="77777777">
      <w:pPr>
        <w:numPr>
          <w:ilvl w:val="0"/>
          <w:numId w:val="22"/>
        </w:numPr>
        <w:rPr>
          <w:rFonts w:ascii="Arial" w:hAnsi="Arial"/>
          <w:b/>
          <w:i/>
        </w:rPr>
      </w:pPr>
      <w:r w:rsidRPr="00B509A4">
        <w:rPr>
          <w:rFonts w:ascii="Arial" w:hAnsi="Arial"/>
          <w:b/>
          <w:i/>
        </w:rPr>
        <w:tab/>
      </w:r>
      <w:r w:rsidRPr="00B509A4">
        <w:rPr>
          <w:rFonts w:ascii="Arial" w:hAnsi="Arial"/>
          <w:b/>
          <w:i/>
        </w:rPr>
        <w:t>Exception to the certification statement</w:t>
      </w:r>
    </w:p>
    <w:p w:rsidR="00B509A4" w:rsidP="00B509A4" w14:paraId="4C3F5ECA" w14:textId="77777777">
      <w:pPr>
        <w:ind w:left="360"/>
        <w:rPr>
          <w:rFonts w:ascii="Arial" w:hAnsi="Arial"/>
        </w:rPr>
      </w:pPr>
    </w:p>
    <w:p w:rsidR="00DE5895" w:rsidP="00FA571E" w14:paraId="3624362A" w14:textId="70D41B0F">
      <w:pPr>
        <w:ind w:left="360"/>
        <w:rPr>
          <w:rFonts w:ascii="Arial" w:hAnsi="Arial"/>
        </w:rPr>
      </w:pPr>
      <w:r w:rsidRPr="00B509A4">
        <w:rPr>
          <w:rFonts w:ascii="Arial" w:hAnsi="Arial"/>
        </w:rPr>
        <w:t>Not applicable.</w:t>
      </w:r>
    </w:p>
    <w:p w:rsidR="00FA571E" w:rsidRPr="0028337C" w:rsidP="00FA571E" w14:paraId="263EA760" w14:textId="77777777">
      <w:pPr>
        <w:ind w:left="360"/>
        <w:rPr>
          <w:rFonts w:ascii="Arial" w:hAnsi="Arial"/>
        </w:rPr>
      </w:pPr>
    </w:p>
    <w:p w:rsidR="004839CD" w:rsidP="004839CD" w14:paraId="4CA7D79B" w14:textId="77777777">
      <w:pPr>
        <w:numPr>
          <w:ilvl w:val="0"/>
          <w:numId w:val="1"/>
        </w:numPr>
        <w:rPr>
          <w:rFonts w:ascii="Arial" w:hAnsi="Arial"/>
          <w:b/>
        </w:rPr>
      </w:pPr>
      <w:r w:rsidRPr="00B509A4">
        <w:rPr>
          <w:rFonts w:ascii="Arial" w:hAnsi="Arial"/>
          <w:b/>
        </w:rPr>
        <w:t>Collections of Information Employing Statistical Method</w:t>
      </w:r>
      <w:r>
        <w:rPr>
          <w:rFonts w:ascii="Arial" w:hAnsi="Arial"/>
          <w:b/>
        </w:rPr>
        <w:t>s</w:t>
      </w:r>
    </w:p>
    <w:p w:rsidR="004839CD" w:rsidP="004839CD" w14:paraId="5E0724F5" w14:textId="77777777">
      <w:pPr>
        <w:ind w:left="360"/>
        <w:rPr>
          <w:rFonts w:ascii="Arial" w:hAnsi="Arial"/>
        </w:rPr>
      </w:pPr>
    </w:p>
    <w:p w:rsidR="00705624" w:rsidRPr="004839CD" w:rsidP="004839CD" w14:paraId="5321A810" w14:textId="141F00DE">
      <w:pPr>
        <w:ind w:left="360"/>
        <w:rPr>
          <w:rFonts w:ascii="Arial" w:hAnsi="Arial"/>
        </w:rPr>
      </w:pPr>
      <w:r w:rsidRPr="004839CD">
        <w:rPr>
          <w:rFonts w:ascii="Arial" w:hAnsi="Arial"/>
        </w:rPr>
        <w:t>Not applicable.</w:t>
      </w:r>
    </w:p>
    <w:p w:rsidR="00705624" w:rsidRPr="0028337C" w14:paraId="4D395E94" w14:textId="77777777">
      <w:pPr>
        <w:rPr>
          <w:rFonts w:ascii="Arial" w:hAnsi="Arial"/>
        </w:rPr>
      </w:pPr>
    </w:p>
    <w:p w:rsidR="00705624" w:rsidRPr="0028337C" w14:paraId="2CEE3BC5" w14:textId="77777777">
      <w:pPr>
        <w:rPr>
          <w:rFonts w:ascii="Arial" w:hAnsi="Arial"/>
        </w:rPr>
      </w:pPr>
    </w:p>
    <w:p w:rsidR="00705624" w:rsidRPr="0028337C" w14:paraId="4A77AC8A" w14:textId="77777777">
      <w:pPr>
        <w:rPr>
          <w:rFonts w:ascii="Arial" w:hAnsi="Arial"/>
        </w:rPr>
      </w:pPr>
    </w:p>
    <w:p w:rsidR="00705624" w:rsidRPr="0028337C" w14:paraId="6C22F7E8" w14:textId="77777777">
      <w:pPr>
        <w:rPr>
          <w:rFonts w:ascii="Arial" w:hAnsi="Arial"/>
        </w:rPr>
      </w:pPr>
    </w:p>
    <w:p w:rsidR="00705624" w14:paraId="148D6DF4" w14:textId="77777777"/>
    <w:p w:rsidR="00A95EB2" w:rsidP="00F90A9D" w14:paraId="5576BD0A" w14:textId="3705B92D">
      <w:r>
        <w:t xml:space="preserve"> </w:t>
      </w:r>
    </w:p>
    <w:p w:rsidR="00A95EB2" w14:paraId="4B4EE324" w14:textId="77777777"/>
    <w:sectPr>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C64" w14:paraId="2772EE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8686029"/>
      <w:docPartObj>
        <w:docPartGallery w:val="Page Numbers (Bottom of Page)"/>
        <w:docPartUnique/>
      </w:docPartObj>
    </w:sdtPr>
    <w:sdtEndPr>
      <w:rPr>
        <w:noProof/>
      </w:rPr>
    </w:sdtEndPr>
    <w:sdtContent>
      <w:p w:rsidR="00FD5C64" w14:paraId="44DFAD1C" w14:textId="40DFFB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D5C64" w14:paraId="7825D5F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C64" w14:paraId="0371EEB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F4F89" w:rsidP="009C7B22" w14:paraId="12C7E741" w14:textId="77777777">
      <w:r>
        <w:separator/>
      </w:r>
    </w:p>
  </w:footnote>
  <w:footnote w:type="continuationSeparator" w:id="1">
    <w:p w:rsidR="00BF4F89" w:rsidP="009C7B22" w14:paraId="75E9BF9A" w14:textId="77777777">
      <w:r>
        <w:continuationSeparator/>
      </w:r>
    </w:p>
  </w:footnote>
  <w:footnote w:id="2">
    <w:p w:rsidR="002B1D7E" w:rsidRPr="002B1D7E" w14:paraId="32414D07" w14:textId="2198B01C">
      <w:pPr>
        <w:pStyle w:val="FootnoteText"/>
        <w:rPr>
          <w:rFonts w:ascii="Arial" w:hAnsi="Arial" w:cs="Arial"/>
        </w:rPr>
      </w:pPr>
      <w:r>
        <w:rPr>
          <w:rStyle w:val="FootnoteReference"/>
        </w:rPr>
        <w:footnoteRef/>
      </w:r>
      <w:r>
        <w:t xml:space="preserve"> </w:t>
      </w:r>
      <w:r w:rsidRPr="002B1D7E">
        <w:rPr>
          <w:rFonts w:ascii="Arial" w:hAnsi="Arial" w:cs="Arial"/>
        </w:rPr>
        <w:t xml:space="preserve">U.S. Bureau of Labor Statistics, “Employer Costs for Employee Compensation,” </w:t>
      </w:r>
      <w:r w:rsidR="001C67E6">
        <w:rPr>
          <w:rFonts w:ascii="Arial" w:hAnsi="Arial" w:cs="Arial"/>
        </w:rPr>
        <w:t>December</w:t>
      </w:r>
      <w:r w:rsidRPr="002B1D7E">
        <w:rPr>
          <w:rFonts w:ascii="Arial" w:hAnsi="Arial" w:cs="Arial"/>
        </w:rPr>
        <w:t xml:space="preserve"> 20</w:t>
      </w:r>
      <w:r w:rsidR="001905C1">
        <w:rPr>
          <w:rFonts w:ascii="Arial" w:hAnsi="Arial" w:cs="Arial"/>
        </w:rPr>
        <w:t>2</w:t>
      </w:r>
      <w:r w:rsidR="001C67E6">
        <w:rPr>
          <w:rFonts w:ascii="Arial" w:hAnsi="Arial" w:cs="Arial"/>
        </w:rPr>
        <w:t>4</w:t>
      </w:r>
      <w:r w:rsidRPr="002B1D7E">
        <w:rPr>
          <w:rFonts w:ascii="Arial" w:hAnsi="Arial" w:cs="Arial"/>
        </w:rPr>
        <w:t xml:space="preserve">, </w:t>
      </w:r>
      <w:r w:rsidRPr="001905C1" w:rsidR="001905C1">
        <w:rPr>
          <w:rFonts w:ascii="Arial" w:hAnsi="Arial" w:cs="Arial"/>
        </w:rPr>
        <w:t>Table 4. Private industry workers by occupational and industry group</w:t>
      </w:r>
      <w:r w:rsidRPr="002B1D7E">
        <w:rPr>
          <w:rFonts w:ascii="Arial" w:hAnsi="Arial" w:cs="Arial"/>
        </w:rPr>
        <w:t>:</w:t>
      </w:r>
      <w:r w:rsidRPr="00ED6BB3" w:rsidR="00ED6BB3">
        <w:t xml:space="preserve"> </w:t>
      </w:r>
      <w:r w:rsidRPr="00ED6BB3" w:rsidR="00ED6BB3">
        <w:rPr>
          <w:rFonts w:ascii="Arial" w:hAnsi="Arial" w:cs="Arial"/>
        </w:rPr>
        <w:t>https://www.bls.gov/news.release/archives/ecec_03142025.pdf</w:t>
      </w:r>
      <w:r w:rsidR="001905C1">
        <w:rPr>
          <w:rFonts w:ascii="Arial" w:hAnsi="Arial" w:cs="Arial"/>
        </w:rPr>
        <w:t>.</w:t>
      </w:r>
      <w:r w:rsidRPr="002B1D7E">
        <w:rPr>
          <w:rFonts w:ascii="Arial" w:hAnsi="Arial" w:cs="Arial"/>
        </w:rPr>
        <w:t xml:space="preserve"> </w:t>
      </w:r>
    </w:p>
  </w:footnote>
  <w:footnote w:id="3">
    <w:p w:rsidR="00644B34" w:rsidRPr="001457E3" w:rsidP="009C7B22" w14:paraId="4867C436" w14:textId="78D0DD85">
      <w:pPr>
        <w:pStyle w:val="FootnoteText"/>
        <w:rPr>
          <w:rFonts w:ascii="Arial" w:hAnsi="Arial" w:cs="Arial"/>
        </w:rPr>
      </w:pPr>
      <w:r>
        <w:rPr>
          <w:rStyle w:val="FootnoteReference"/>
        </w:rPr>
        <w:footnoteRef/>
      </w:r>
      <w:r>
        <w:t xml:space="preserve"> </w:t>
      </w:r>
      <w:r w:rsidRPr="001457E3">
        <w:rPr>
          <w:rFonts w:ascii="Arial" w:hAnsi="Arial" w:cs="Arial"/>
        </w:rPr>
        <w:t>20</w:t>
      </w:r>
      <w:r>
        <w:rPr>
          <w:rFonts w:ascii="Arial" w:hAnsi="Arial" w:cs="Arial"/>
        </w:rPr>
        <w:t>2</w:t>
      </w:r>
      <w:r w:rsidR="00B176AB">
        <w:rPr>
          <w:rFonts w:ascii="Arial" w:hAnsi="Arial" w:cs="Arial"/>
        </w:rPr>
        <w:t>5</w:t>
      </w:r>
      <w:r w:rsidRPr="001457E3">
        <w:rPr>
          <w:rFonts w:ascii="Arial" w:hAnsi="Arial" w:cs="Arial"/>
        </w:rPr>
        <w:t xml:space="preserve"> General Schedule (GS) Locality Pay Tables</w:t>
      </w:r>
      <w:r>
        <w:rPr>
          <w:rFonts w:ascii="Arial" w:hAnsi="Arial" w:cs="Arial"/>
        </w:rPr>
        <w:t xml:space="preserve"> for Washington-Baltimore-Northern Virginia, </w:t>
      </w:r>
      <w:r w:rsidRPr="00B55DFB" w:rsidR="00B55DFB">
        <w:t>https://www.opm.gov/policy-data-oversight/pay-leave/salaries-wages/salary-tables/25Tables/pdf/DCB_h.pdf</w:t>
      </w:r>
      <w:r>
        <w:rPr>
          <w:rFonts w:ascii="Arial" w:hAnsi="Arial" w:cs="Arial"/>
        </w:rPr>
        <w:t>.</w:t>
      </w:r>
    </w:p>
  </w:footnote>
  <w:footnote w:id="4">
    <w:p w:rsidR="00CD1170" w:rsidRPr="001457E3" w:rsidP="009C7B22" w14:paraId="1D3C8658" w14:textId="3F0795DD">
      <w:pPr>
        <w:pStyle w:val="FootnoteText"/>
        <w:rPr>
          <w:rFonts w:ascii="Arial" w:hAnsi="Arial" w:cs="Arial"/>
        </w:rPr>
      </w:pPr>
      <w:r>
        <w:rPr>
          <w:rStyle w:val="FootnoteReference"/>
        </w:rPr>
        <w:footnoteRef/>
      </w:r>
      <w:r>
        <w:t xml:space="preserve"> </w:t>
      </w:r>
      <w:r w:rsidRPr="001457E3">
        <w:rPr>
          <w:rFonts w:ascii="Arial" w:hAnsi="Arial" w:cs="Arial"/>
        </w:rPr>
        <w:t xml:space="preserve">U.S. Bureau of Labor </w:t>
      </w:r>
      <w:r w:rsidRPr="00CF7FA1">
        <w:rPr>
          <w:rFonts w:ascii="Arial" w:hAnsi="Arial" w:cs="Arial"/>
        </w:rPr>
        <w:t xml:space="preserve">Statistics, “Employer Costs for Employee Compensation,” </w:t>
      </w:r>
      <w:r w:rsidR="00481A82">
        <w:rPr>
          <w:rFonts w:ascii="Arial" w:hAnsi="Arial" w:cs="Arial"/>
        </w:rPr>
        <w:t>December</w:t>
      </w:r>
      <w:r w:rsidRPr="00CF7FA1">
        <w:rPr>
          <w:rFonts w:ascii="Arial" w:hAnsi="Arial" w:cs="Arial"/>
        </w:rPr>
        <w:t xml:space="preserve"> 20</w:t>
      </w:r>
      <w:r w:rsidRPr="00CF7FA1" w:rsidR="002925EA">
        <w:rPr>
          <w:rFonts w:ascii="Arial" w:hAnsi="Arial" w:cs="Arial"/>
        </w:rPr>
        <w:t>2</w:t>
      </w:r>
      <w:r w:rsidR="00481A82">
        <w:rPr>
          <w:rFonts w:ascii="Arial" w:hAnsi="Arial" w:cs="Arial"/>
        </w:rPr>
        <w:t>4</w:t>
      </w:r>
      <w:r w:rsidRPr="00CF7FA1">
        <w:rPr>
          <w:rFonts w:ascii="Arial" w:hAnsi="Arial" w:cs="Arial"/>
        </w:rPr>
        <w:t xml:space="preserve">, Table </w:t>
      </w:r>
      <w:r w:rsidRPr="00CF7FA1" w:rsidR="002925EA">
        <w:rPr>
          <w:rFonts w:ascii="Arial" w:hAnsi="Arial" w:cs="Arial"/>
        </w:rPr>
        <w:t>2</w:t>
      </w:r>
      <w:r w:rsidRPr="00CF7FA1">
        <w:rPr>
          <w:rFonts w:ascii="Arial" w:hAnsi="Arial" w:cs="Arial"/>
        </w:rPr>
        <w:t xml:space="preserve">, </w:t>
      </w:r>
      <w:r w:rsidRPr="00ED6BB3" w:rsidR="00481A82">
        <w:rPr>
          <w:rFonts w:ascii="Arial" w:hAnsi="Arial" w:cs="Arial"/>
        </w:rPr>
        <w:t>https://www.bls.gov/news.release/archives/ecec_03142025.pdf</w:t>
      </w:r>
      <w:r w:rsidRPr="00CF7FA1">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C64" w14:paraId="42A079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C64" w14:paraId="7706E4C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C64" w14:paraId="23C0EC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D3EC1"/>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019C7702"/>
    <w:multiLevelType w:val="singleLevel"/>
    <w:tmpl w:val="0409000F"/>
    <w:lvl w:ilvl="0">
      <w:start w:val="7"/>
      <w:numFmt w:val="decimal"/>
      <w:lvlText w:val="%1."/>
      <w:lvlJc w:val="left"/>
      <w:pPr>
        <w:tabs>
          <w:tab w:val="num" w:pos="360"/>
        </w:tabs>
        <w:ind w:left="360" w:hanging="360"/>
      </w:pPr>
      <w:rPr>
        <w:rFonts w:hint="default"/>
      </w:rPr>
    </w:lvl>
  </w:abstractNum>
  <w:abstractNum w:abstractNumId="2">
    <w:nsid w:val="0223356E"/>
    <w:multiLevelType w:val="singleLevel"/>
    <w:tmpl w:val="0409000F"/>
    <w:lvl w:ilvl="0">
      <w:start w:val="4"/>
      <w:numFmt w:val="decimal"/>
      <w:lvlText w:val="%1."/>
      <w:lvlJc w:val="left"/>
      <w:pPr>
        <w:tabs>
          <w:tab w:val="num" w:pos="360"/>
        </w:tabs>
        <w:ind w:left="360" w:hanging="360"/>
      </w:pPr>
      <w:rPr>
        <w:rFonts w:hint="default"/>
      </w:rPr>
    </w:lvl>
  </w:abstractNum>
  <w:abstractNum w:abstractNumId="3">
    <w:nsid w:val="03685C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3B26C58"/>
    <w:multiLevelType w:val="singleLevel"/>
    <w:tmpl w:val="0409000F"/>
    <w:lvl w:ilvl="0">
      <w:start w:val="1"/>
      <w:numFmt w:val="decimal"/>
      <w:lvlText w:val="%1."/>
      <w:lvlJc w:val="left"/>
      <w:pPr>
        <w:tabs>
          <w:tab w:val="num" w:pos="360"/>
        </w:tabs>
        <w:ind w:left="360" w:hanging="360"/>
      </w:pPr>
    </w:lvl>
  </w:abstractNum>
  <w:abstractNum w:abstractNumId="5">
    <w:nsid w:val="149B3C72"/>
    <w:multiLevelType w:val="singleLevel"/>
    <w:tmpl w:val="24F8BCD8"/>
    <w:lvl w:ilvl="0">
      <w:start w:val="15"/>
      <w:numFmt w:val="decimal"/>
      <w:lvlText w:val="%1."/>
      <w:lvlJc w:val="left"/>
      <w:pPr>
        <w:tabs>
          <w:tab w:val="num" w:pos="420"/>
        </w:tabs>
        <w:ind w:left="420" w:hanging="420"/>
      </w:pPr>
      <w:rPr>
        <w:rFonts w:hint="default"/>
      </w:rPr>
    </w:lvl>
  </w:abstractNum>
  <w:abstractNum w:abstractNumId="6">
    <w:nsid w:val="26AC5B16"/>
    <w:multiLevelType w:val="singleLevel"/>
    <w:tmpl w:val="0409000F"/>
    <w:lvl w:ilvl="0">
      <w:start w:val="16"/>
      <w:numFmt w:val="decimal"/>
      <w:lvlText w:val="%1."/>
      <w:lvlJc w:val="left"/>
      <w:pPr>
        <w:tabs>
          <w:tab w:val="num" w:pos="360"/>
        </w:tabs>
        <w:ind w:left="360" w:hanging="360"/>
      </w:pPr>
      <w:rPr>
        <w:rFonts w:hint="default"/>
      </w:rPr>
    </w:lvl>
  </w:abstractNum>
  <w:abstractNum w:abstractNumId="7">
    <w:nsid w:val="2B2A20CA"/>
    <w:multiLevelType w:val="singleLevel"/>
    <w:tmpl w:val="41FE14EA"/>
    <w:lvl w:ilvl="0">
      <w:start w:val="11"/>
      <w:numFmt w:val="decimal"/>
      <w:lvlText w:val="%1."/>
      <w:lvlJc w:val="left"/>
      <w:pPr>
        <w:tabs>
          <w:tab w:val="num" w:pos="420"/>
        </w:tabs>
        <w:ind w:left="420" w:hanging="420"/>
      </w:pPr>
      <w:rPr>
        <w:rFonts w:hint="default"/>
      </w:rPr>
    </w:lvl>
  </w:abstractNum>
  <w:abstractNum w:abstractNumId="8">
    <w:nsid w:val="2BD41033"/>
    <w:multiLevelType w:val="singleLevel"/>
    <w:tmpl w:val="0409000F"/>
    <w:lvl w:ilvl="0">
      <w:start w:val="5"/>
      <w:numFmt w:val="decimal"/>
      <w:lvlText w:val="%1."/>
      <w:lvlJc w:val="left"/>
      <w:pPr>
        <w:tabs>
          <w:tab w:val="num" w:pos="360"/>
        </w:tabs>
        <w:ind w:left="360" w:hanging="360"/>
      </w:pPr>
      <w:rPr>
        <w:rFonts w:hint="default"/>
      </w:rPr>
    </w:lvl>
  </w:abstractNum>
  <w:abstractNum w:abstractNumId="9">
    <w:nsid w:val="2C935056"/>
    <w:multiLevelType w:val="singleLevel"/>
    <w:tmpl w:val="0409000F"/>
    <w:lvl w:ilvl="0">
      <w:start w:val="3"/>
      <w:numFmt w:val="decimal"/>
      <w:lvlText w:val="%1."/>
      <w:lvlJc w:val="left"/>
      <w:pPr>
        <w:tabs>
          <w:tab w:val="num" w:pos="360"/>
        </w:tabs>
        <w:ind w:left="360" w:hanging="360"/>
      </w:pPr>
      <w:rPr>
        <w:rFonts w:hint="default"/>
      </w:rPr>
    </w:lvl>
  </w:abstractNum>
  <w:abstractNum w:abstractNumId="10">
    <w:nsid w:val="34571A11"/>
    <w:multiLevelType w:val="singleLevel"/>
    <w:tmpl w:val="8880094A"/>
    <w:lvl w:ilvl="0">
      <w:start w:val="12"/>
      <w:numFmt w:val="decimal"/>
      <w:lvlText w:val="%1."/>
      <w:lvlJc w:val="left"/>
      <w:pPr>
        <w:tabs>
          <w:tab w:val="num" w:pos="420"/>
        </w:tabs>
        <w:ind w:left="420" w:hanging="420"/>
      </w:pPr>
      <w:rPr>
        <w:rFonts w:hint="default"/>
      </w:rPr>
    </w:lvl>
  </w:abstractNum>
  <w:abstractNum w:abstractNumId="11">
    <w:nsid w:val="3A660F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C06690F"/>
    <w:multiLevelType w:val="singleLevel"/>
    <w:tmpl w:val="7AF44588"/>
    <w:lvl w:ilvl="0">
      <w:start w:val="1"/>
      <w:numFmt w:val="decimal"/>
      <w:lvlText w:val="%1."/>
      <w:lvlJc w:val="left"/>
      <w:pPr>
        <w:tabs>
          <w:tab w:val="num" w:pos="720"/>
        </w:tabs>
        <w:ind w:left="720" w:hanging="360"/>
      </w:pPr>
      <w:rPr>
        <w:rFonts w:hint="default"/>
      </w:rPr>
    </w:lvl>
  </w:abstractNum>
  <w:abstractNum w:abstractNumId="13">
    <w:nsid w:val="41C3251B"/>
    <w:multiLevelType w:val="hybridMultilevel"/>
    <w:tmpl w:val="9D9A82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84E1D31"/>
    <w:multiLevelType w:val="hybridMultilevel"/>
    <w:tmpl w:val="9420FE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C4B2CF0"/>
    <w:multiLevelType w:val="hybridMultilevel"/>
    <w:tmpl w:val="49EAE8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E2D67E5"/>
    <w:multiLevelType w:val="singleLevel"/>
    <w:tmpl w:val="1BD2A086"/>
    <w:lvl w:ilvl="0">
      <w:start w:val="13"/>
      <w:numFmt w:val="decimal"/>
      <w:lvlText w:val="%1."/>
      <w:lvlJc w:val="left"/>
      <w:pPr>
        <w:tabs>
          <w:tab w:val="num" w:pos="420"/>
        </w:tabs>
        <w:ind w:left="420" w:hanging="420"/>
      </w:pPr>
      <w:rPr>
        <w:rFonts w:hint="default"/>
      </w:rPr>
    </w:lvl>
  </w:abstractNum>
  <w:abstractNum w:abstractNumId="17">
    <w:nsid w:val="4F5A0067"/>
    <w:multiLevelType w:val="singleLevel"/>
    <w:tmpl w:val="22487094"/>
    <w:lvl w:ilvl="0">
      <w:start w:val="14"/>
      <w:numFmt w:val="decimal"/>
      <w:lvlText w:val="%1."/>
      <w:lvlJc w:val="left"/>
      <w:pPr>
        <w:tabs>
          <w:tab w:val="num" w:pos="420"/>
        </w:tabs>
        <w:ind w:left="420" w:hanging="420"/>
      </w:pPr>
      <w:rPr>
        <w:rFonts w:hint="default"/>
      </w:rPr>
    </w:lvl>
  </w:abstractNum>
  <w:abstractNum w:abstractNumId="18">
    <w:nsid w:val="5C4459B0"/>
    <w:multiLevelType w:val="singleLevel"/>
    <w:tmpl w:val="0409000F"/>
    <w:lvl w:ilvl="0">
      <w:start w:val="8"/>
      <w:numFmt w:val="decimal"/>
      <w:lvlText w:val="%1."/>
      <w:lvlJc w:val="left"/>
      <w:pPr>
        <w:tabs>
          <w:tab w:val="num" w:pos="360"/>
        </w:tabs>
        <w:ind w:left="360" w:hanging="360"/>
      </w:pPr>
      <w:rPr>
        <w:rFonts w:hint="default"/>
      </w:rPr>
    </w:lvl>
  </w:abstractNum>
  <w:abstractNum w:abstractNumId="19">
    <w:nsid w:val="5C707D00"/>
    <w:multiLevelType w:val="singleLevel"/>
    <w:tmpl w:val="9070B386"/>
    <w:lvl w:ilvl="0">
      <w:start w:val="14"/>
      <w:numFmt w:val="decimal"/>
      <w:lvlText w:val="%1."/>
      <w:lvlJc w:val="left"/>
      <w:pPr>
        <w:tabs>
          <w:tab w:val="num" w:pos="420"/>
        </w:tabs>
        <w:ind w:left="420" w:hanging="420"/>
      </w:pPr>
      <w:rPr>
        <w:rFonts w:hint="default"/>
      </w:rPr>
    </w:lvl>
  </w:abstractNum>
  <w:abstractNum w:abstractNumId="20">
    <w:nsid w:val="5C9F1AA1"/>
    <w:multiLevelType w:val="singleLevel"/>
    <w:tmpl w:val="809E8E4C"/>
    <w:lvl w:ilvl="0">
      <w:start w:val="11"/>
      <w:numFmt w:val="decimal"/>
      <w:lvlText w:val="%1."/>
      <w:lvlJc w:val="left"/>
      <w:pPr>
        <w:tabs>
          <w:tab w:val="num" w:pos="420"/>
        </w:tabs>
        <w:ind w:left="420" w:hanging="420"/>
      </w:pPr>
      <w:rPr>
        <w:rFonts w:hint="default"/>
      </w:rPr>
    </w:lvl>
  </w:abstractNum>
  <w:abstractNum w:abstractNumId="21">
    <w:nsid w:val="613D31D0"/>
    <w:multiLevelType w:val="singleLevel"/>
    <w:tmpl w:val="7AF44588"/>
    <w:lvl w:ilvl="0">
      <w:start w:val="1"/>
      <w:numFmt w:val="decimal"/>
      <w:lvlText w:val="%1."/>
      <w:lvlJc w:val="left"/>
      <w:pPr>
        <w:tabs>
          <w:tab w:val="num" w:pos="720"/>
        </w:tabs>
        <w:ind w:left="720" w:hanging="360"/>
      </w:pPr>
      <w:rPr>
        <w:rFonts w:hint="default"/>
      </w:rPr>
    </w:lvl>
  </w:abstractNum>
  <w:abstractNum w:abstractNumId="22">
    <w:nsid w:val="6E06324F"/>
    <w:multiLevelType w:val="singleLevel"/>
    <w:tmpl w:val="0409000F"/>
    <w:lvl w:ilvl="0">
      <w:start w:val="8"/>
      <w:numFmt w:val="decimal"/>
      <w:lvlText w:val="%1."/>
      <w:lvlJc w:val="left"/>
      <w:pPr>
        <w:tabs>
          <w:tab w:val="num" w:pos="360"/>
        </w:tabs>
        <w:ind w:left="360" w:hanging="360"/>
      </w:pPr>
      <w:rPr>
        <w:rFonts w:hint="default"/>
      </w:rPr>
    </w:lvl>
  </w:abstractNum>
  <w:abstractNum w:abstractNumId="23">
    <w:nsid w:val="77EC6DD3"/>
    <w:multiLevelType w:val="singleLevel"/>
    <w:tmpl w:val="0409000F"/>
    <w:lvl w:ilvl="0">
      <w:start w:val="6"/>
      <w:numFmt w:val="decimal"/>
      <w:lvlText w:val="%1."/>
      <w:lvlJc w:val="left"/>
      <w:pPr>
        <w:tabs>
          <w:tab w:val="num" w:pos="360"/>
        </w:tabs>
        <w:ind w:left="360" w:hanging="360"/>
      </w:pPr>
      <w:rPr>
        <w:rFonts w:hint="default"/>
      </w:rPr>
    </w:lvl>
  </w:abstractNum>
  <w:abstractNum w:abstractNumId="24">
    <w:nsid w:val="7B8A2F57"/>
    <w:multiLevelType w:val="singleLevel"/>
    <w:tmpl w:val="0409000F"/>
    <w:lvl w:ilvl="0">
      <w:start w:val="2"/>
      <w:numFmt w:val="decimal"/>
      <w:lvlText w:val="%1."/>
      <w:lvlJc w:val="left"/>
      <w:pPr>
        <w:tabs>
          <w:tab w:val="num" w:pos="360"/>
        </w:tabs>
        <w:ind w:left="360" w:hanging="360"/>
      </w:pPr>
      <w:rPr>
        <w:rFonts w:hint="default"/>
      </w:rPr>
    </w:lvl>
  </w:abstractNum>
  <w:abstractNum w:abstractNumId="25">
    <w:nsid w:val="7C650840"/>
    <w:multiLevelType w:val="hybridMultilevel"/>
    <w:tmpl w:val="98E6561A"/>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739209">
    <w:abstractNumId w:val="0"/>
  </w:num>
  <w:num w:numId="2" w16cid:durableId="1253199191">
    <w:abstractNumId w:val="12"/>
  </w:num>
  <w:num w:numId="3" w16cid:durableId="710610503">
    <w:abstractNumId w:val="21"/>
  </w:num>
  <w:num w:numId="4" w16cid:durableId="1809932559">
    <w:abstractNumId w:val="24"/>
  </w:num>
  <w:num w:numId="5" w16cid:durableId="1509829199">
    <w:abstractNumId w:val="4"/>
  </w:num>
  <w:num w:numId="6" w16cid:durableId="1536305641">
    <w:abstractNumId w:val="9"/>
  </w:num>
  <w:num w:numId="7" w16cid:durableId="1532452966">
    <w:abstractNumId w:val="11"/>
  </w:num>
  <w:num w:numId="8" w16cid:durableId="1590966101">
    <w:abstractNumId w:val="2"/>
  </w:num>
  <w:num w:numId="9" w16cid:durableId="1965765384">
    <w:abstractNumId w:val="3"/>
  </w:num>
  <w:num w:numId="10" w16cid:durableId="65616852">
    <w:abstractNumId w:val="8"/>
  </w:num>
  <w:num w:numId="11" w16cid:durableId="351105710">
    <w:abstractNumId w:val="23"/>
  </w:num>
  <w:num w:numId="12" w16cid:durableId="1997873432">
    <w:abstractNumId w:val="1"/>
  </w:num>
  <w:num w:numId="13" w16cid:durableId="444886059">
    <w:abstractNumId w:val="18"/>
  </w:num>
  <w:num w:numId="14" w16cid:durableId="475075168">
    <w:abstractNumId w:val="22"/>
  </w:num>
  <w:num w:numId="15" w16cid:durableId="1195385965">
    <w:abstractNumId w:val="7"/>
  </w:num>
  <w:num w:numId="16" w16cid:durableId="32654968">
    <w:abstractNumId w:val="20"/>
  </w:num>
  <w:num w:numId="17" w16cid:durableId="2118715344">
    <w:abstractNumId w:val="10"/>
  </w:num>
  <w:num w:numId="18" w16cid:durableId="1108697262">
    <w:abstractNumId w:val="16"/>
  </w:num>
  <w:num w:numId="19" w16cid:durableId="397286638">
    <w:abstractNumId w:val="19"/>
  </w:num>
  <w:num w:numId="20" w16cid:durableId="1152790214">
    <w:abstractNumId w:val="17"/>
  </w:num>
  <w:num w:numId="21" w16cid:durableId="616638046">
    <w:abstractNumId w:val="5"/>
  </w:num>
  <w:num w:numId="22" w16cid:durableId="1831211089">
    <w:abstractNumId w:val="6"/>
  </w:num>
  <w:num w:numId="23" w16cid:durableId="1817526226">
    <w:abstractNumId w:val="15"/>
  </w:num>
  <w:num w:numId="24" w16cid:durableId="1578125080">
    <w:abstractNumId w:val="14"/>
  </w:num>
  <w:num w:numId="25" w16cid:durableId="1624729312">
    <w:abstractNumId w:val="13"/>
  </w:num>
  <w:num w:numId="26" w16cid:durableId="18921874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624"/>
    <w:rsid w:val="00011A56"/>
    <w:rsid w:val="0003256E"/>
    <w:rsid w:val="0003680C"/>
    <w:rsid w:val="000731C0"/>
    <w:rsid w:val="00083807"/>
    <w:rsid w:val="00084322"/>
    <w:rsid w:val="000A2D73"/>
    <w:rsid w:val="000C06FB"/>
    <w:rsid w:val="00104D5C"/>
    <w:rsid w:val="001420C4"/>
    <w:rsid w:val="001457E3"/>
    <w:rsid w:val="00182F3B"/>
    <w:rsid w:val="001905C1"/>
    <w:rsid w:val="001927F9"/>
    <w:rsid w:val="001A7C96"/>
    <w:rsid w:val="001C3DDA"/>
    <w:rsid w:val="001C67E6"/>
    <w:rsid w:val="001D693E"/>
    <w:rsid w:val="001E4CD2"/>
    <w:rsid w:val="001F2D10"/>
    <w:rsid w:val="00200D0D"/>
    <w:rsid w:val="0022213F"/>
    <w:rsid w:val="00231B02"/>
    <w:rsid w:val="002461A8"/>
    <w:rsid w:val="002758A4"/>
    <w:rsid w:val="00276815"/>
    <w:rsid w:val="00280F33"/>
    <w:rsid w:val="0028337C"/>
    <w:rsid w:val="002925EA"/>
    <w:rsid w:val="00297E8B"/>
    <w:rsid w:val="002A58D5"/>
    <w:rsid w:val="002B1D7E"/>
    <w:rsid w:val="002E5232"/>
    <w:rsid w:val="002E7291"/>
    <w:rsid w:val="00392A48"/>
    <w:rsid w:val="003C14DE"/>
    <w:rsid w:val="003D35DE"/>
    <w:rsid w:val="003D55B1"/>
    <w:rsid w:val="003D624A"/>
    <w:rsid w:val="003E69E6"/>
    <w:rsid w:val="003F4FDE"/>
    <w:rsid w:val="004015D4"/>
    <w:rsid w:val="0040596F"/>
    <w:rsid w:val="0044297C"/>
    <w:rsid w:val="004434BE"/>
    <w:rsid w:val="004520ED"/>
    <w:rsid w:val="004674FA"/>
    <w:rsid w:val="0047764F"/>
    <w:rsid w:val="00481A82"/>
    <w:rsid w:val="004839CD"/>
    <w:rsid w:val="0048543F"/>
    <w:rsid w:val="004859FE"/>
    <w:rsid w:val="00490C07"/>
    <w:rsid w:val="004A4067"/>
    <w:rsid w:val="004D61CC"/>
    <w:rsid w:val="00510380"/>
    <w:rsid w:val="00511543"/>
    <w:rsid w:val="005248C8"/>
    <w:rsid w:val="00565715"/>
    <w:rsid w:val="005675D2"/>
    <w:rsid w:val="00576D6E"/>
    <w:rsid w:val="00592075"/>
    <w:rsid w:val="00595FA7"/>
    <w:rsid w:val="005C7544"/>
    <w:rsid w:val="00601622"/>
    <w:rsid w:val="00602023"/>
    <w:rsid w:val="00612932"/>
    <w:rsid w:val="00632347"/>
    <w:rsid w:val="00637805"/>
    <w:rsid w:val="00644B34"/>
    <w:rsid w:val="00681878"/>
    <w:rsid w:val="006A1AC1"/>
    <w:rsid w:val="006B2416"/>
    <w:rsid w:val="006C2614"/>
    <w:rsid w:val="006D203A"/>
    <w:rsid w:val="00705624"/>
    <w:rsid w:val="007109D1"/>
    <w:rsid w:val="00720A1C"/>
    <w:rsid w:val="007259B5"/>
    <w:rsid w:val="00736009"/>
    <w:rsid w:val="00740B86"/>
    <w:rsid w:val="00753FB7"/>
    <w:rsid w:val="007865C1"/>
    <w:rsid w:val="00792FDE"/>
    <w:rsid w:val="007E6D33"/>
    <w:rsid w:val="00811D3A"/>
    <w:rsid w:val="00815739"/>
    <w:rsid w:val="0082168D"/>
    <w:rsid w:val="00836880"/>
    <w:rsid w:val="00846410"/>
    <w:rsid w:val="00847A5C"/>
    <w:rsid w:val="008C4800"/>
    <w:rsid w:val="00906A6B"/>
    <w:rsid w:val="0092132A"/>
    <w:rsid w:val="0092442B"/>
    <w:rsid w:val="009256AE"/>
    <w:rsid w:val="009C7B17"/>
    <w:rsid w:val="009C7B22"/>
    <w:rsid w:val="009D57CC"/>
    <w:rsid w:val="00A2322B"/>
    <w:rsid w:val="00A44D61"/>
    <w:rsid w:val="00A56E1C"/>
    <w:rsid w:val="00A70AF5"/>
    <w:rsid w:val="00A95EB2"/>
    <w:rsid w:val="00AB1335"/>
    <w:rsid w:val="00AC3711"/>
    <w:rsid w:val="00AF5984"/>
    <w:rsid w:val="00B176AB"/>
    <w:rsid w:val="00B257BD"/>
    <w:rsid w:val="00B509A4"/>
    <w:rsid w:val="00B54DC6"/>
    <w:rsid w:val="00B55DFB"/>
    <w:rsid w:val="00B75F95"/>
    <w:rsid w:val="00B806CA"/>
    <w:rsid w:val="00B863BC"/>
    <w:rsid w:val="00BA1331"/>
    <w:rsid w:val="00BA1970"/>
    <w:rsid w:val="00BA25D3"/>
    <w:rsid w:val="00BE2F9A"/>
    <w:rsid w:val="00BF4F89"/>
    <w:rsid w:val="00C07817"/>
    <w:rsid w:val="00C60F79"/>
    <w:rsid w:val="00C64550"/>
    <w:rsid w:val="00C662D2"/>
    <w:rsid w:val="00C70942"/>
    <w:rsid w:val="00CB130C"/>
    <w:rsid w:val="00CD0A6A"/>
    <w:rsid w:val="00CD1170"/>
    <w:rsid w:val="00CD3CCB"/>
    <w:rsid w:val="00CF6521"/>
    <w:rsid w:val="00CF7FA1"/>
    <w:rsid w:val="00D115A7"/>
    <w:rsid w:val="00D1743A"/>
    <w:rsid w:val="00D37326"/>
    <w:rsid w:val="00D3783D"/>
    <w:rsid w:val="00D37D31"/>
    <w:rsid w:val="00D700BC"/>
    <w:rsid w:val="00DE5895"/>
    <w:rsid w:val="00DF54D0"/>
    <w:rsid w:val="00E16958"/>
    <w:rsid w:val="00E273B4"/>
    <w:rsid w:val="00E34E88"/>
    <w:rsid w:val="00E47E6C"/>
    <w:rsid w:val="00E65F6D"/>
    <w:rsid w:val="00E71E37"/>
    <w:rsid w:val="00E752B3"/>
    <w:rsid w:val="00E77E7F"/>
    <w:rsid w:val="00E92EB6"/>
    <w:rsid w:val="00EB2330"/>
    <w:rsid w:val="00EC6BF1"/>
    <w:rsid w:val="00EC7484"/>
    <w:rsid w:val="00ED6BB3"/>
    <w:rsid w:val="00EF74A5"/>
    <w:rsid w:val="00F21A2D"/>
    <w:rsid w:val="00F41908"/>
    <w:rsid w:val="00F86A46"/>
    <w:rsid w:val="00F90A9D"/>
    <w:rsid w:val="00FA571E"/>
    <w:rsid w:val="00FC3639"/>
    <w:rsid w:val="00FD5C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91A5CD"/>
  <w15:chartTrackingRefBased/>
  <w15:docId w15:val="{F3AAD815-8761-4044-971E-50E498B5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rPr>
      <w:color w:val="FF0000"/>
    </w:rPr>
  </w:style>
  <w:style w:type="character" w:styleId="CommentReference">
    <w:name w:val="annotation reference"/>
    <w:rsid w:val="002E7291"/>
    <w:rPr>
      <w:sz w:val="16"/>
      <w:szCs w:val="16"/>
    </w:rPr>
  </w:style>
  <w:style w:type="paragraph" w:styleId="CommentText">
    <w:name w:val="annotation text"/>
    <w:basedOn w:val="Normal"/>
    <w:link w:val="CommentTextChar"/>
    <w:rsid w:val="002E7291"/>
    <w:rPr>
      <w:sz w:val="20"/>
    </w:rPr>
  </w:style>
  <w:style w:type="character" w:customStyle="1" w:styleId="CommentTextChar">
    <w:name w:val="Comment Text Char"/>
    <w:basedOn w:val="DefaultParagraphFont"/>
    <w:link w:val="CommentText"/>
    <w:rsid w:val="002E7291"/>
  </w:style>
  <w:style w:type="paragraph" w:styleId="CommentSubject">
    <w:name w:val="annotation subject"/>
    <w:basedOn w:val="CommentText"/>
    <w:next w:val="CommentText"/>
    <w:link w:val="CommentSubjectChar"/>
    <w:rsid w:val="002E7291"/>
    <w:rPr>
      <w:b/>
      <w:bCs/>
    </w:rPr>
  </w:style>
  <w:style w:type="character" w:customStyle="1" w:styleId="CommentSubjectChar">
    <w:name w:val="Comment Subject Char"/>
    <w:link w:val="CommentSubject"/>
    <w:rsid w:val="002E7291"/>
    <w:rPr>
      <w:b/>
      <w:bCs/>
    </w:rPr>
  </w:style>
  <w:style w:type="paragraph" w:styleId="BalloonText">
    <w:name w:val="Balloon Text"/>
    <w:basedOn w:val="Normal"/>
    <w:link w:val="BalloonTextChar"/>
    <w:rsid w:val="002E7291"/>
    <w:rPr>
      <w:rFonts w:ascii="Tahoma" w:hAnsi="Tahoma" w:cs="Tahoma"/>
      <w:sz w:val="16"/>
      <w:szCs w:val="16"/>
    </w:rPr>
  </w:style>
  <w:style w:type="character" w:customStyle="1" w:styleId="BalloonTextChar">
    <w:name w:val="Balloon Text Char"/>
    <w:link w:val="BalloonText"/>
    <w:rsid w:val="002E7291"/>
    <w:rPr>
      <w:rFonts w:ascii="Tahoma" w:hAnsi="Tahoma" w:cs="Tahoma"/>
      <w:sz w:val="16"/>
      <w:szCs w:val="16"/>
    </w:rPr>
  </w:style>
  <w:style w:type="paragraph" w:styleId="FootnoteText">
    <w:name w:val="footnote text"/>
    <w:basedOn w:val="Normal"/>
    <w:link w:val="FootnoteTextChar"/>
    <w:rsid w:val="009C7B22"/>
    <w:rPr>
      <w:sz w:val="20"/>
    </w:rPr>
  </w:style>
  <w:style w:type="character" w:customStyle="1" w:styleId="FootnoteTextChar">
    <w:name w:val="Footnote Text Char"/>
    <w:basedOn w:val="DefaultParagraphFont"/>
    <w:link w:val="FootnoteText"/>
    <w:rsid w:val="009C7B22"/>
  </w:style>
  <w:style w:type="character" w:styleId="FootnoteReference">
    <w:name w:val="footnote reference"/>
    <w:rsid w:val="009C7B22"/>
    <w:rPr>
      <w:vertAlign w:val="superscript"/>
    </w:rPr>
  </w:style>
  <w:style w:type="character" w:styleId="Hyperlink">
    <w:name w:val="Hyperlink"/>
    <w:rsid w:val="009C7B22"/>
    <w:rPr>
      <w:color w:val="0000FF"/>
      <w:u w:val="single"/>
    </w:rPr>
  </w:style>
  <w:style w:type="character" w:styleId="FollowedHyperlink">
    <w:name w:val="FollowedHyperlink"/>
    <w:rsid w:val="009C7B22"/>
    <w:rPr>
      <w:color w:val="800080"/>
      <w:u w:val="single"/>
    </w:rPr>
  </w:style>
  <w:style w:type="character" w:styleId="UnresolvedMention">
    <w:name w:val="Unresolved Mention"/>
    <w:basedOn w:val="DefaultParagraphFont"/>
    <w:uiPriority w:val="99"/>
    <w:semiHidden/>
    <w:unhideWhenUsed/>
    <w:rsid w:val="002461A8"/>
    <w:rPr>
      <w:color w:val="605E5C"/>
      <w:shd w:val="clear" w:color="auto" w:fill="E1DFDD"/>
    </w:rPr>
  </w:style>
  <w:style w:type="paragraph" w:styleId="Revision">
    <w:name w:val="Revision"/>
    <w:hidden/>
    <w:uiPriority w:val="99"/>
    <w:semiHidden/>
    <w:rsid w:val="008C4800"/>
    <w:rPr>
      <w:sz w:val="24"/>
    </w:rPr>
  </w:style>
  <w:style w:type="paragraph" w:styleId="Header">
    <w:name w:val="header"/>
    <w:basedOn w:val="Normal"/>
    <w:link w:val="HeaderChar"/>
    <w:rsid w:val="00FD5C64"/>
    <w:pPr>
      <w:tabs>
        <w:tab w:val="center" w:pos="4680"/>
        <w:tab w:val="right" w:pos="9360"/>
      </w:tabs>
    </w:pPr>
  </w:style>
  <w:style w:type="character" w:customStyle="1" w:styleId="HeaderChar">
    <w:name w:val="Header Char"/>
    <w:basedOn w:val="DefaultParagraphFont"/>
    <w:link w:val="Header"/>
    <w:rsid w:val="00FD5C64"/>
    <w:rPr>
      <w:sz w:val="24"/>
    </w:rPr>
  </w:style>
  <w:style w:type="paragraph" w:styleId="Footer">
    <w:name w:val="footer"/>
    <w:basedOn w:val="Normal"/>
    <w:link w:val="FooterChar"/>
    <w:uiPriority w:val="99"/>
    <w:rsid w:val="00FD5C64"/>
    <w:pPr>
      <w:tabs>
        <w:tab w:val="center" w:pos="4680"/>
        <w:tab w:val="right" w:pos="9360"/>
      </w:tabs>
    </w:pPr>
  </w:style>
  <w:style w:type="character" w:customStyle="1" w:styleId="FooterChar">
    <w:name w:val="Footer Char"/>
    <w:basedOn w:val="DefaultParagraphFont"/>
    <w:link w:val="Footer"/>
    <w:uiPriority w:val="99"/>
    <w:rsid w:val="00FD5C6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0ACB156F469B4A93A5D430B492853F" ma:contentTypeVersion="12" ma:contentTypeDescription="Create a new document." ma:contentTypeScope="" ma:versionID="928e8d567d54e7cf7aec5a27d1a55b6b">
  <xsd:schema xmlns:xsd="http://www.w3.org/2001/XMLSchema" xmlns:xs="http://www.w3.org/2001/XMLSchema" xmlns:p="http://schemas.microsoft.com/office/2006/metadata/properties" xmlns:ns2="81d5c1c9-3c8a-41e1-921b-abb7aea3d9aa" xmlns:ns3="9287dbbc-a89a-4499-b4ce-0d8d138f1174" targetNamespace="http://schemas.microsoft.com/office/2006/metadata/properties" ma:root="true" ma:fieldsID="b3b891c47f0510e981a283f0d1ea6f8e" ns2:_="" ns3:_="">
    <xsd:import namespace="81d5c1c9-3c8a-41e1-921b-abb7aea3d9aa"/>
    <xsd:import namespace="9287dbbc-a89a-4499-b4ce-0d8d138f11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5c1c9-3c8a-41e1-921b-abb7aea3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87dbbc-a89a-4499-b4ce-0d8d138f11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4e7259-5053-4d93-8f7e-f2bb5895ab9d}" ma:internalName="TaxCatchAll" ma:showField="CatchAllData" ma:web="9287dbbc-a89a-4499-b4ce-0d8d138f1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87dbbc-a89a-4499-b4ce-0d8d138f1174" xsi:nil="true"/>
    <lcf76f155ced4ddcb4097134ff3c332f xmlns="81d5c1c9-3c8a-41e1-921b-abb7aea3d9a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9F608-CA82-43D2-8C46-8B7F3F39E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5c1c9-3c8a-41e1-921b-abb7aea3d9aa"/>
    <ds:schemaRef ds:uri="9287dbbc-a89a-4499-b4ce-0d8d138f1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346C8-B922-4C85-A118-C53BC4DDD16A}">
  <ds:schemaRefs>
    <ds:schemaRef ds:uri="http://schemas.microsoft.com/office/2006/metadata/properties"/>
    <ds:schemaRef ds:uri="http://schemas.microsoft.com/office/infopath/2007/PartnerControls"/>
    <ds:schemaRef ds:uri="9287dbbc-a89a-4499-b4ce-0d8d138f1174"/>
    <ds:schemaRef ds:uri="81d5c1c9-3c8a-41e1-921b-abb7aea3d9aa"/>
  </ds:schemaRefs>
</ds:datastoreItem>
</file>

<file path=customXml/itemProps3.xml><?xml version="1.0" encoding="utf-8"?>
<ds:datastoreItem xmlns:ds="http://schemas.openxmlformats.org/officeDocument/2006/customXml" ds:itemID="{BACDAFC1-36E6-476E-B0B0-B7B44FB3374D}">
  <ds:schemaRefs>
    <ds:schemaRef ds:uri="http://schemas.microsoft.com/sharepoint/v3/contenttype/forms"/>
  </ds:schemaRefs>
</ds:datastoreItem>
</file>

<file path=customXml/itemProps4.xml><?xml version="1.0" encoding="utf-8"?>
<ds:datastoreItem xmlns:ds="http://schemas.openxmlformats.org/officeDocument/2006/customXml" ds:itemID="{01207446-2E5C-4FFF-9F74-3B6EAF3E4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CPSC</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Preferred Customer</dc:creator>
  <cp:lastModifiedBy>Gillham, Cynthia</cp:lastModifiedBy>
  <cp:revision>53</cp:revision>
  <cp:lastPrinted>2019-03-01T00:13:00Z</cp:lastPrinted>
  <dcterms:created xsi:type="dcterms:W3CDTF">2022-08-02T21:20:00Z</dcterms:created>
  <dcterms:modified xsi:type="dcterms:W3CDTF">2025-09-22T19:05:00Z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0x010100510ACB156F469B4A93A5D430B492853F</vt:lpwstr>
  </property>
  <property fmtid="{D5CDD505-2E9C-101B-9397-08002B2CF9AE}" pid="3" name="MediaServiceImageTags">
    <vt:lpwstr/>
  </property>
</Properties>
</file>