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57A" w:rsidRPr="006D60B9" w:rsidP="00B2157A" w14:paraId="005FDF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6D60B9">
        <w:rPr>
          <w:rFonts w:ascii="Helvetica" w:hAnsi="Helvetica"/>
          <w:b/>
          <w:sz w:val="28"/>
        </w:rPr>
        <w:t>Supporting Statement for Paperwork Reduction Act Submissions</w:t>
      </w:r>
    </w:p>
    <w:p w:rsidR="00B2157A" w:rsidRPr="006D60B9" w:rsidP="00B2157A" w14:paraId="790A1A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2157A" w:rsidRPr="006D60B9" w:rsidP="00B2157A" w14:paraId="13A1E7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6D60B9">
        <w:rPr>
          <w:b/>
          <w:sz w:val="22"/>
          <w:szCs w:val="22"/>
        </w:rPr>
        <w:t xml:space="preserve">A. </w:t>
      </w:r>
      <w:r w:rsidRPr="006D60B9">
        <w:rPr>
          <w:b/>
          <w:sz w:val="22"/>
          <w:szCs w:val="22"/>
        </w:rPr>
        <w:tab/>
        <w:t>Justi</w:t>
      </w:r>
      <w:r w:rsidRPr="006D60B9">
        <w:rPr>
          <w:b/>
          <w:color w:val="000000"/>
          <w:sz w:val="22"/>
          <w:szCs w:val="22"/>
        </w:rPr>
        <w:t>fication</w:t>
      </w:r>
    </w:p>
    <w:p w:rsidR="00B2157A" w:rsidRPr="006D60B9" w:rsidP="00B2157A" w14:paraId="4545B9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00B2157A" w:rsidRPr="006D60B9" w:rsidP="00B2157A" w14:paraId="1EF98905" w14:textId="77777777">
      <w:pPr>
        <w:keepLines/>
        <w:tabs>
          <w:tab w:val="left" w:pos="360"/>
        </w:tabs>
        <w:spacing w:after="80"/>
        <w:ind w:left="360" w:hanging="360"/>
        <w:rPr>
          <w:b/>
          <w:bCs/>
          <w:color w:val="000000"/>
          <w:sz w:val="22"/>
          <w:szCs w:val="22"/>
        </w:rPr>
      </w:pPr>
      <w:r w:rsidRPr="006D60B9">
        <w:rPr>
          <w:b/>
          <w:bCs/>
          <w:color w:val="000000"/>
          <w:sz w:val="22"/>
          <w:szCs w:val="22"/>
        </w:rPr>
        <w:t>1.</w:t>
      </w:r>
      <w:r w:rsidRPr="006D60B9">
        <w:rPr>
          <w:b/>
          <w:bCs/>
          <w:color w:val="000000"/>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157A" w:rsidRPr="006D60B9" w:rsidP="00B2157A" w14:paraId="660A3DD6" w14:textId="77777777">
      <w:pPr>
        <w:keepLines/>
        <w:tabs>
          <w:tab w:val="left" w:pos="360"/>
        </w:tabs>
        <w:spacing w:after="80"/>
        <w:ind w:left="360"/>
        <w:rPr>
          <w:color w:val="000000"/>
          <w:sz w:val="22"/>
          <w:szCs w:val="22"/>
        </w:rPr>
      </w:pPr>
      <w:r w:rsidRPr="006D60B9">
        <w:rPr>
          <w:color w:val="000000"/>
          <w:sz w:val="22"/>
          <w:szCs w:val="22"/>
        </w:rPr>
        <w:t xml:space="preserve">Procedures to assure sound management practices by public housing agencies (PHAs) are required by Section 6(c)(4) of the United States Housing Act of 1937 and Section 11 of the Consolidated Annual Contributions Contract (ACC). The ACC is between a PHA and the United States of America, acting by and through the Secretary of HUD, and requires PHAs to prepare and have approved by their Board of Commissioners an annual operating budget in a manner and using such forms as prescribed by HUD.  </w:t>
      </w:r>
    </w:p>
    <w:p w:rsidR="00B2157A" w:rsidRPr="006D60B9" w:rsidP="00B2157A" w14:paraId="31F31D59" w14:textId="77777777">
      <w:pPr>
        <w:keepLines/>
        <w:tabs>
          <w:tab w:val="left" w:pos="360"/>
        </w:tabs>
        <w:spacing w:after="80"/>
        <w:ind w:left="360"/>
        <w:rPr>
          <w:color w:val="000000"/>
          <w:sz w:val="22"/>
          <w:szCs w:val="22"/>
        </w:rPr>
      </w:pPr>
      <w:r w:rsidRPr="006D60B9">
        <w:rPr>
          <w:color w:val="000000"/>
          <w:sz w:val="22"/>
          <w:szCs w:val="22"/>
        </w:rPr>
        <w:t xml:space="preserve">The 24 Code of Federal Regulations (CFR) 990.280 instructs that all PHAs “shall develop and maintain a system of budgeting and account for each project in a manner that allows for analysis of the actual revenues and expenses associated with each property.” 24 CFR 990.285 dictates that “Each PHA shall distribute the project-based budgets and year-end financial statements to the Chairman and to each member of the PHA Board of Commissioners, and to such other state and local public officials as HUD may specify.” PHAs are required to submit a board resolution evidencing approval of the budget to HUD on an annual basis. The authority granted in 24 CFR 990.285 (b) and (c), HUD may require PHAs to submit their operating budget and updated operating budget with actuals. </w:t>
      </w:r>
    </w:p>
    <w:p w:rsidR="00B2157A" w:rsidRPr="006D60B9" w:rsidP="00B2157A" w14:paraId="56B9BAAB" w14:textId="77777777">
      <w:pPr>
        <w:keepLines/>
        <w:tabs>
          <w:tab w:val="left" w:pos="360"/>
        </w:tabs>
        <w:spacing w:after="80"/>
        <w:ind w:left="360"/>
        <w:rPr>
          <w:color w:val="000000"/>
          <w:sz w:val="22"/>
          <w:szCs w:val="22"/>
        </w:rPr>
      </w:pPr>
      <w:r w:rsidRPr="006D60B9">
        <w:rPr>
          <w:color w:val="000000"/>
          <w:sz w:val="22"/>
          <w:szCs w:val="22"/>
        </w:rPr>
        <w:t>Copies of applicable regulations are attached to this PRA submission.</w:t>
      </w:r>
    </w:p>
    <w:p w:rsidR="00B2157A" w:rsidRPr="006D60B9" w:rsidP="00B2157A" w14:paraId="2E3B1C12" w14:textId="77777777">
      <w:pPr>
        <w:tabs>
          <w:tab w:val="left" w:pos="360"/>
        </w:tabs>
        <w:rPr>
          <w:color w:val="000000"/>
          <w:sz w:val="22"/>
          <w:szCs w:val="22"/>
        </w:rPr>
      </w:pPr>
    </w:p>
    <w:p w:rsidR="00B2157A" w:rsidRPr="00487496" w:rsidP="00B2157A" w14:paraId="2CB0B23C" w14:textId="77777777">
      <w:pPr>
        <w:keepLines/>
        <w:tabs>
          <w:tab w:val="left" w:pos="360"/>
        </w:tabs>
        <w:spacing w:after="80"/>
        <w:ind w:left="360" w:hanging="360"/>
        <w:rPr>
          <w:b/>
          <w:bCs/>
          <w:color w:val="000000"/>
          <w:sz w:val="22"/>
          <w:szCs w:val="22"/>
        </w:rPr>
      </w:pPr>
      <w:r w:rsidRPr="006D60B9">
        <w:rPr>
          <w:b/>
          <w:bCs/>
          <w:color w:val="000000"/>
          <w:sz w:val="22"/>
          <w:szCs w:val="22"/>
        </w:rPr>
        <w:t>2.</w:t>
      </w:r>
      <w:r w:rsidRPr="006D60B9">
        <w:rPr>
          <w:b/>
          <w:bCs/>
          <w:color w:val="000000"/>
          <w:sz w:val="22"/>
          <w:szCs w:val="22"/>
        </w:rPr>
        <w:tab/>
        <w:t xml:space="preserve">Indicate how, by whom, and for what purpose the information is to be used. Except for a new collection, indicate the actual use the agency has made of the information received from the </w:t>
      </w:r>
      <w:r w:rsidRPr="00487496">
        <w:rPr>
          <w:b/>
          <w:bCs/>
          <w:color w:val="000000"/>
          <w:sz w:val="22"/>
          <w:szCs w:val="22"/>
        </w:rPr>
        <w:t>current collection.</w:t>
      </w:r>
    </w:p>
    <w:p w:rsidR="00B2157A" w:rsidRPr="006D60B9" w:rsidP="00B2157A" w14:paraId="11B27D85" w14:textId="4C8DEA35">
      <w:pPr>
        <w:keepLines/>
        <w:tabs>
          <w:tab w:val="left" w:pos="360"/>
        </w:tabs>
        <w:spacing w:after="80"/>
        <w:ind w:left="360"/>
        <w:rPr>
          <w:color w:val="000000"/>
          <w:sz w:val="22"/>
          <w:szCs w:val="22"/>
        </w:rPr>
      </w:pPr>
      <w:r>
        <w:rPr>
          <w:color w:val="000000"/>
          <w:sz w:val="22"/>
          <w:szCs w:val="22"/>
        </w:rPr>
        <w:t xml:space="preserve">Public Housing and Indian (PIH) Office of Public Housing Programs Financial Management Division (FMD) </w:t>
      </w:r>
      <w:r w:rsidRPr="00487496" w:rsidR="00646E35">
        <w:rPr>
          <w:color w:val="000000"/>
          <w:sz w:val="22"/>
          <w:szCs w:val="22"/>
        </w:rPr>
        <w:t>requests that PHAs</w:t>
      </w:r>
      <w:r w:rsidRPr="00487496" w:rsidR="00582C14">
        <w:rPr>
          <w:color w:val="000000"/>
          <w:sz w:val="22"/>
          <w:szCs w:val="22"/>
        </w:rPr>
        <w:t xml:space="preserve"> or the PHA’s </w:t>
      </w:r>
      <w:r w:rsidRPr="00487496" w:rsidR="00224141">
        <w:rPr>
          <w:color w:val="000000"/>
          <w:sz w:val="22"/>
          <w:szCs w:val="22"/>
        </w:rPr>
        <w:t>board chair</w:t>
      </w:r>
      <w:r w:rsidRPr="00487496" w:rsidR="00646E35">
        <w:rPr>
          <w:color w:val="000000"/>
          <w:sz w:val="22"/>
          <w:szCs w:val="22"/>
        </w:rPr>
        <w:t xml:space="preserve"> provide the </w:t>
      </w:r>
      <w:r w:rsidRPr="00487496" w:rsidR="00AD1199">
        <w:rPr>
          <w:color w:val="000000"/>
          <w:sz w:val="22"/>
          <w:szCs w:val="22"/>
        </w:rPr>
        <w:t>HUD-52574</w:t>
      </w:r>
      <w:r w:rsidRPr="00487496" w:rsidR="00582C14">
        <w:rPr>
          <w:color w:val="000000"/>
          <w:sz w:val="22"/>
          <w:szCs w:val="22"/>
        </w:rPr>
        <w:t xml:space="preserve"> to HUD using the Public Housing</w:t>
      </w:r>
      <w:r w:rsidRPr="006D60B9" w:rsidR="00582C14">
        <w:rPr>
          <w:color w:val="000000"/>
          <w:sz w:val="22"/>
          <w:szCs w:val="22"/>
        </w:rPr>
        <w:t xml:space="preserve"> Portal</w:t>
      </w:r>
      <w:r w:rsidR="00582C14">
        <w:rPr>
          <w:color w:val="000000"/>
          <w:sz w:val="22"/>
          <w:szCs w:val="22"/>
        </w:rPr>
        <w:t xml:space="preserve"> (“Portal”)</w:t>
      </w:r>
      <w:r w:rsidRPr="006D60B9" w:rsidR="00646E35">
        <w:rPr>
          <w:color w:val="000000"/>
          <w:sz w:val="22"/>
          <w:szCs w:val="22"/>
        </w:rPr>
        <w:t xml:space="preserve">. The PHA’s board chair </w:t>
      </w:r>
      <w:r w:rsidR="00224141">
        <w:rPr>
          <w:color w:val="000000"/>
          <w:sz w:val="22"/>
          <w:szCs w:val="22"/>
        </w:rPr>
        <w:t xml:space="preserve">may </w:t>
      </w:r>
      <w:r w:rsidRPr="006D60B9" w:rsidR="00646E35">
        <w:rPr>
          <w:color w:val="000000"/>
          <w:sz w:val="22"/>
          <w:szCs w:val="22"/>
        </w:rPr>
        <w:t>sign the HUD-52574 with a</w:t>
      </w:r>
      <w:r w:rsidR="00F01CE0">
        <w:rPr>
          <w:color w:val="000000"/>
          <w:sz w:val="22"/>
          <w:szCs w:val="22"/>
        </w:rPr>
        <w:t>n electronic signature or</w:t>
      </w:r>
      <w:r w:rsidRPr="006D60B9" w:rsidR="00646E35">
        <w:rPr>
          <w:color w:val="000000"/>
          <w:sz w:val="22"/>
          <w:szCs w:val="22"/>
        </w:rPr>
        <w:t xml:space="preserve"> wet signature. When the PHA’s board chair signs the </w:t>
      </w:r>
      <w:r w:rsidRPr="006D60B9" w:rsidR="00224141">
        <w:rPr>
          <w:color w:val="000000"/>
          <w:sz w:val="22"/>
          <w:szCs w:val="22"/>
        </w:rPr>
        <w:t>HUD-52574</w:t>
      </w:r>
      <w:r w:rsidRPr="006D60B9" w:rsidR="00646E35">
        <w:rPr>
          <w:color w:val="000000"/>
          <w:sz w:val="22"/>
          <w:szCs w:val="22"/>
        </w:rPr>
        <w:t xml:space="preserve">, the board chair is certifying that the PHA’s board completed their fiduciaries responsibilities hold a PHA board meeting to review and approve the PHA’s operating budget. FMD requires this certification before FMD disburses the PHA’s OpFund Grants. PIH Field Offices (FO) is responsible to verify the PHA uploaded the forms and FMD is responsible to maintain the Portal which accepts and stores the forms. </w:t>
      </w:r>
    </w:p>
    <w:p w:rsidR="00B2157A" w:rsidRPr="006D60B9" w:rsidP="00B2157A" w14:paraId="07860301" w14:textId="77777777">
      <w:pPr>
        <w:keepLines/>
        <w:tabs>
          <w:tab w:val="left" w:pos="360"/>
        </w:tabs>
        <w:spacing w:after="80"/>
        <w:ind w:left="360"/>
        <w:rPr>
          <w:color w:val="000000"/>
          <w:sz w:val="22"/>
          <w:szCs w:val="22"/>
        </w:rPr>
      </w:pPr>
      <w:r w:rsidRPr="006D60B9">
        <w:rPr>
          <w:color w:val="000000"/>
          <w:sz w:val="22"/>
          <w:szCs w:val="22"/>
        </w:rPr>
        <w:t xml:space="preserve">This information collection includes the burden hours to create the operating budget that the PHA board reviews. PHAs keep and create a budget for each public housing development. HUD does not require all PHAs and PHA boards to submit their budget or updates to the budget with actual financial data to HUD. Instead, PIH Office of Field Operations (OFO) may request certain PHAs to provide their operating budget and updates to the budget with actual financial data for review. PHAs are not required to create or provide OFO or FMD with an operating budget in any specific format. The PHAs, as part of their normal business operations create and update an operating budget and may continue to use their format. </w:t>
      </w:r>
    </w:p>
    <w:p w:rsidR="00B2157A" w:rsidRPr="006D60B9" w:rsidP="00B2157A" w14:paraId="3B2DECDE" w14:textId="77777777">
      <w:pPr>
        <w:tabs>
          <w:tab w:val="left" w:pos="360"/>
        </w:tabs>
        <w:rPr>
          <w:color w:val="000000"/>
          <w:sz w:val="22"/>
          <w:szCs w:val="22"/>
        </w:rPr>
      </w:pPr>
    </w:p>
    <w:p w:rsidR="00B2157A" w:rsidRPr="006D60B9" w:rsidP="00B2157A" w14:paraId="6BE4E0A1" w14:textId="77777777">
      <w:pPr>
        <w:keepLines/>
        <w:tabs>
          <w:tab w:val="left" w:pos="360"/>
        </w:tabs>
        <w:spacing w:after="80"/>
        <w:ind w:left="360" w:hanging="360"/>
        <w:rPr>
          <w:b/>
          <w:bCs/>
          <w:color w:val="000000"/>
          <w:sz w:val="22"/>
          <w:szCs w:val="22"/>
        </w:rPr>
      </w:pPr>
      <w:r w:rsidRPr="006D60B9">
        <w:rPr>
          <w:b/>
          <w:bCs/>
          <w:color w:val="000000"/>
          <w:sz w:val="22"/>
          <w:szCs w:val="22"/>
        </w:rPr>
        <w:t>3.</w:t>
      </w:r>
      <w:r w:rsidRPr="006D60B9">
        <w:rPr>
          <w:b/>
          <w:bCs/>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(item 13b1 of OMB form 83-i).</w:t>
      </w:r>
    </w:p>
    <w:p w:rsidR="00B2157A" w:rsidRPr="006D60B9" w:rsidP="00B2157A" w14:paraId="468A747A" w14:textId="0BBFA48D">
      <w:pPr>
        <w:keepLines/>
        <w:tabs>
          <w:tab w:val="left" w:pos="360"/>
        </w:tabs>
        <w:spacing w:after="80"/>
        <w:ind w:left="360"/>
        <w:rPr>
          <w:color w:val="000000"/>
          <w:sz w:val="22"/>
          <w:szCs w:val="22"/>
        </w:rPr>
      </w:pPr>
      <w:r w:rsidRPr="006D60B9">
        <w:rPr>
          <w:color w:val="000000"/>
          <w:sz w:val="22"/>
          <w:szCs w:val="22"/>
        </w:rPr>
        <w:t>FMD collects the</w:t>
      </w:r>
      <w:r w:rsidR="00F01CE0">
        <w:rPr>
          <w:color w:val="000000"/>
          <w:sz w:val="22"/>
          <w:szCs w:val="22"/>
        </w:rPr>
        <w:t xml:space="preserve"> electronic form HUD-52574 with the PHA’s board chair’s electronic signature or the</w:t>
      </w:r>
      <w:r w:rsidRPr="006D60B9">
        <w:rPr>
          <w:color w:val="000000"/>
          <w:sz w:val="22"/>
          <w:szCs w:val="22"/>
        </w:rPr>
        <w:t xml:space="preserve"> PDF form HUD-52574 with the PHA’s board chair</w:t>
      </w:r>
      <w:r w:rsidR="00F01CE0">
        <w:rPr>
          <w:color w:val="000000"/>
          <w:sz w:val="22"/>
          <w:szCs w:val="22"/>
        </w:rPr>
        <w:t>’</w:t>
      </w:r>
      <w:r w:rsidRPr="006D60B9">
        <w:rPr>
          <w:color w:val="000000"/>
          <w:sz w:val="22"/>
          <w:szCs w:val="22"/>
        </w:rPr>
        <w:t>s wet signature uploaded through the Portal. The Portal is a secure web platform used by PHAs, FMD, and PIH Field Offices. The Portal is currently being used to perform data collection for the Operating Fund program. Because of this, program participants are familiar with the user interface and the Portal itself. FMD plans to collect this information through a web-based platform called the Portal. The Portal has been operational since CY 2017 and is used by program participants data collection elements under 24 CFR 990.</w:t>
      </w:r>
    </w:p>
    <w:p w:rsidR="00B2157A" w:rsidRPr="006D60B9" w:rsidP="00B2157A" w14:paraId="48A34D0D" w14:textId="5218792F">
      <w:pPr>
        <w:keepLines/>
        <w:tabs>
          <w:tab w:val="left" w:pos="360"/>
        </w:tabs>
        <w:spacing w:after="80"/>
        <w:ind w:left="360"/>
        <w:rPr>
          <w:color w:val="000000"/>
          <w:sz w:val="22"/>
          <w:szCs w:val="22"/>
        </w:rPr>
      </w:pPr>
      <w:r w:rsidRPr="006D60B9">
        <w:rPr>
          <w:color w:val="000000"/>
          <w:sz w:val="22"/>
          <w:szCs w:val="22"/>
        </w:rPr>
        <w:t xml:space="preserve">Screen shots of the Portal page where the PHA uploads the HUD-52574 are attached to this PRA submission </w:t>
      </w:r>
    </w:p>
    <w:p w:rsidR="00B2157A" w:rsidRPr="006D60B9" w:rsidP="00B2157A" w14:paraId="3BCFD8AB" w14:textId="77777777">
      <w:pPr>
        <w:keepLines/>
        <w:tabs>
          <w:tab w:val="left" w:pos="360"/>
        </w:tabs>
        <w:spacing w:after="80"/>
        <w:ind w:left="360"/>
        <w:rPr>
          <w:color w:val="000000"/>
          <w:sz w:val="22"/>
          <w:szCs w:val="22"/>
        </w:rPr>
      </w:pPr>
      <w:r w:rsidRPr="006D60B9">
        <w:rPr>
          <w:color w:val="000000"/>
          <w:sz w:val="22"/>
          <w:szCs w:val="22"/>
        </w:rPr>
        <w:t xml:space="preserve">OFO may request to review the PHA’s operating budget and updates with actual financial data. OFO requests the PHA provide budgets by email or during a site visit. OFO does not have a budget form or specified format for the PHA to create or maintain their operating budget and updates with actual financial data. OFO may require PHAs to submit their operating budget and updates with actual financial data via email. </w:t>
      </w:r>
    </w:p>
    <w:p w:rsidR="00B2157A" w:rsidRPr="006D60B9" w:rsidP="00B2157A" w14:paraId="2FB7F602" w14:textId="77777777">
      <w:pPr>
        <w:tabs>
          <w:tab w:val="left" w:pos="360"/>
        </w:tabs>
        <w:ind w:left="360" w:hanging="360"/>
        <w:rPr>
          <w:color w:val="000000"/>
          <w:sz w:val="22"/>
          <w:szCs w:val="22"/>
        </w:rPr>
      </w:pPr>
    </w:p>
    <w:p w:rsidR="00B2157A" w:rsidRPr="006D60B9" w:rsidP="00B2157A" w14:paraId="3F65750E" w14:textId="77777777">
      <w:pPr>
        <w:keepLines/>
        <w:tabs>
          <w:tab w:val="left" w:pos="360"/>
        </w:tabs>
        <w:spacing w:after="80"/>
        <w:ind w:left="360" w:hanging="360"/>
        <w:rPr>
          <w:b/>
          <w:bCs/>
          <w:color w:val="000000"/>
          <w:sz w:val="22"/>
          <w:szCs w:val="22"/>
        </w:rPr>
      </w:pPr>
      <w:r w:rsidRPr="006D60B9">
        <w:rPr>
          <w:b/>
          <w:bCs/>
          <w:color w:val="000000"/>
          <w:sz w:val="22"/>
          <w:szCs w:val="22"/>
        </w:rPr>
        <w:t>4.</w:t>
      </w:r>
      <w:r w:rsidRPr="006D60B9">
        <w:rPr>
          <w:b/>
          <w:bCs/>
          <w:color w:val="000000"/>
          <w:sz w:val="22"/>
          <w:szCs w:val="22"/>
        </w:rPr>
        <w:tab/>
        <w:t>Describe efforts to identify duplication. Show specifically why any similar information already available cannot be used or modified for use for the purposes described in Item 2 above.</w:t>
      </w:r>
    </w:p>
    <w:p w:rsidR="00B2157A" w:rsidRPr="006D60B9" w:rsidP="00B2157A" w14:paraId="32487B1F" w14:textId="77777777">
      <w:pPr>
        <w:keepLines/>
        <w:tabs>
          <w:tab w:val="left" w:pos="360"/>
        </w:tabs>
        <w:spacing w:after="80"/>
        <w:ind w:left="360"/>
        <w:rPr>
          <w:color w:val="000000"/>
          <w:sz w:val="22"/>
          <w:szCs w:val="22"/>
        </w:rPr>
      </w:pPr>
      <w:r w:rsidRPr="006D60B9">
        <w:rPr>
          <w:color w:val="000000"/>
          <w:sz w:val="22"/>
          <w:szCs w:val="22"/>
        </w:rPr>
        <w:t xml:space="preserve">The requirements for submission of a board resolution and submission of budgets, on a case-by-case basis as required by HUD, have been in place since 24 CFR 990 became effective in 2007.  There is limited potential for duplication.  This PRA covers the submission of full budgets and budget v. actuals.  All PHAs have been required to create such budgets and have them approved by their Boards on an annual basis.  However, the vast majority of PHAs are not required to submit them to HUD.   The regulation permits HUD to require PHAs to submit budgets.  Generally, that is only done where PHAs have performance issues.  The limited risk of duplication exists for PHAs that receive Shortfall funding, but efforts have been made to mitigate this.  Limited duplication could occur where a PHA is receiving Shortfall funding.  Shortfall Funding requires PHAs to submit budget and budget v. actuals.  The duplication could occur in those instances where the FO also required the PHA to submit a budget.  This should be rare as the FO would take into consideration that a Shortfall budget is also being submitted.  </w:t>
      </w:r>
    </w:p>
    <w:p w:rsidR="00B2157A" w:rsidRPr="006D60B9" w:rsidP="00B2157A" w14:paraId="21A8105B" w14:textId="77777777">
      <w:pPr>
        <w:tabs>
          <w:tab w:val="left" w:pos="360"/>
        </w:tabs>
        <w:ind w:left="360" w:hanging="360"/>
        <w:rPr>
          <w:color w:val="000000"/>
          <w:sz w:val="22"/>
          <w:szCs w:val="22"/>
        </w:rPr>
      </w:pPr>
    </w:p>
    <w:p w:rsidR="00B2157A" w:rsidRPr="006D60B9" w:rsidP="00B2157A" w14:paraId="47884076" w14:textId="77777777">
      <w:pPr>
        <w:keepLines/>
        <w:tabs>
          <w:tab w:val="left" w:pos="360"/>
        </w:tabs>
        <w:spacing w:after="80"/>
        <w:ind w:left="360" w:hanging="360"/>
        <w:rPr>
          <w:b/>
          <w:bCs/>
          <w:color w:val="000000"/>
          <w:sz w:val="22"/>
          <w:szCs w:val="22"/>
        </w:rPr>
      </w:pPr>
      <w:r w:rsidRPr="006D60B9">
        <w:rPr>
          <w:b/>
          <w:bCs/>
          <w:color w:val="000000"/>
          <w:sz w:val="22"/>
          <w:szCs w:val="22"/>
        </w:rPr>
        <w:t>5.</w:t>
      </w:r>
      <w:r w:rsidRPr="006D60B9">
        <w:rPr>
          <w:b/>
          <w:bCs/>
          <w:color w:val="000000"/>
          <w:sz w:val="22"/>
          <w:szCs w:val="22"/>
        </w:rPr>
        <w:tab/>
        <w:t>Does the collection of information impact small businesses or other small entities (item 5 of OMB form 83-i)?  Describe any methods used to minimize burden.</w:t>
      </w:r>
    </w:p>
    <w:p w:rsidR="00B2157A" w:rsidRPr="006D60B9" w:rsidP="00B2157A" w14:paraId="511DBAB2" w14:textId="77777777">
      <w:pPr>
        <w:keepLines/>
        <w:tabs>
          <w:tab w:val="left" w:pos="360"/>
        </w:tabs>
        <w:spacing w:after="80"/>
        <w:ind w:left="360"/>
        <w:rPr>
          <w:color w:val="000000"/>
          <w:sz w:val="22"/>
          <w:szCs w:val="22"/>
        </w:rPr>
      </w:pPr>
      <w:r w:rsidRPr="006D60B9">
        <w:rPr>
          <w:color w:val="000000"/>
          <w:sz w:val="22"/>
          <w:szCs w:val="22"/>
        </w:rPr>
        <w:t xml:space="preserve">This information collection is not required from small businesses or other small entities and does not impact small businesses and small entities. </w:t>
      </w:r>
    </w:p>
    <w:p w:rsidR="00B2157A" w:rsidRPr="006D60B9" w:rsidP="00B2157A" w14:paraId="7C90119B" w14:textId="77777777">
      <w:pPr>
        <w:tabs>
          <w:tab w:val="left" w:pos="360"/>
        </w:tabs>
        <w:ind w:left="360" w:hanging="360"/>
        <w:rPr>
          <w:color w:val="000000"/>
          <w:sz w:val="22"/>
          <w:szCs w:val="22"/>
        </w:rPr>
      </w:pPr>
    </w:p>
    <w:p w:rsidR="00B2157A" w:rsidRPr="006D60B9" w:rsidP="00B2157A" w14:paraId="3E006A6F" w14:textId="77777777">
      <w:pPr>
        <w:keepLines/>
        <w:tabs>
          <w:tab w:val="left" w:pos="360"/>
        </w:tabs>
        <w:spacing w:after="80"/>
        <w:ind w:left="360" w:hanging="360"/>
        <w:rPr>
          <w:b/>
          <w:bCs/>
          <w:color w:val="000000"/>
          <w:sz w:val="22"/>
          <w:szCs w:val="22"/>
        </w:rPr>
      </w:pPr>
      <w:r w:rsidRPr="006D60B9">
        <w:rPr>
          <w:b/>
          <w:bCs/>
          <w:color w:val="000000"/>
          <w:sz w:val="22"/>
          <w:szCs w:val="22"/>
        </w:rPr>
        <w:t>6.</w:t>
      </w:r>
      <w:r w:rsidRPr="006D60B9">
        <w:rPr>
          <w:b/>
          <w:bCs/>
          <w:color w:val="000000"/>
          <w:sz w:val="22"/>
          <w:szCs w:val="22"/>
        </w:rPr>
        <w:tab/>
        <w:t>Describe the consequence to Federal program or policy activities if the collection is not conducted or is conducted less frequently, as well as any technical or legal obstacles to reducing burden.</w:t>
      </w:r>
    </w:p>
    <w:p w:rsidR="00B2157A" w:rsidRPr="006D60B9" w:rsidP="00B2157A" w14:paraId="30FFF95E" w14:textId="77777777">
      <w:pPr>
        <w:keepLines/>
        <w:ind w:left="360"/>
        <w:rPr>
          <w:sz w:val="22"/>
          <w:szCs w:val="22"/>
        </w:rPr>
      </w:pPr>
      <w:r w:rsidRPr="006D60B9">
        <w:rPr>
          <w:sz w:val="22"/>
          <w:szCs w:val="22"/>
        </w:rPr>
        <w:t xml:space="preserve">Congress Appropriates approximately $5 billion in Operating Funds annually to PHAs.  The PHA board has a fiduciary responsibility over the PHA’s funding, and it is incumbent on the board to review and approve the PHA’s Operating Funds. This collection indicates to HUD that the PHA provided the board with their operating budget and the board approved that budget as required by 24 CFR 990. Without the collection of Board resolutions, PHAs would be in non-compliance with the regulatory requirement to submit Board resolutions.  Further, HUD would not receive even this minimal level of validation that Boards are performing their fiduciary duty.  Without the collection of budgets, HUD would not have the necessary tools to conduct monitoring and oversight needed to ensure that PHAs with performance issues improve.   </w:t>
      </w:r>
    </w:p>
    <w:p w:rsidR="00B2157A" w:rsidRPr="006D60B9" w:rsidP="00B2157A" w14:paraId="670E6B34" w14:textId="77777777">
      <w:pPr>
        <w:keepLines/>
        <w:tabs>
          <w:tab w:val="left" w:pos="360"/>
        </w:tabs>
        <w:spacing w:after="80"/>
        <w:ind w:left="360" w:hanging="360"/>
        <w:rPr>
          <w:color w:val="000000"/>
          <w:sz w:val="22"/>
          <w:szCs w:val="22"/>
        </w:rPr>
      </w:pPr>
    </w:p>
    <w:p w:rsidR="00B2157A" w:rsidRPr="006D60B9" w:rsidP="00B2157A" w14:paraId="2F33A4D9" w14:textId="77777777">
      <w:pPr>
        <w:numPr>
          <w:ilvl w:val="0"/>
          <w:numId w:val="2"/>
        </w:numPr>
        <w:overflowPunct/>
        <w:autoSpaceDE/>
        <w:autoSpaceDN/>
        <w:adjustRightInd/>
        <w:spacing w:after="200" w:line="276" w:lineRule="auto"/>
        <w:contextualSpacing/>
        <w:textAlignment w:val="auto"/>
        <w:rPr>
          <w:rFonts w:eastAsia="Calibri"/>
          <w:sz w:val="22"/>
          <w:szCs w:val="22"/>
        </w:rPr>
      </w:pPr>
      <w:r w:rsidRPr="006D60B9">
        <w:rPr>
          <w:rFonts w:eastAsia="Calibri"/>
          <w:b/>
          <w:sz w:val="22"/>
          <w:szCs w:val="22"/>
        </w:rPr>
        <w:t>Explain any special circumstances that would cause an information to be collected in a manner:</w:t>
      </w:r>
    </w:p>
    <w:p w:rsidR="00B2157A" w:rsidRPr="006D60B9" w:rsidP="00B2157A" w14:paraId="6B47F571" w14:textId="77777777">
      <w:pPr>
        <w:keepLines/>
        <w:numPr>
          <w:ilvl w:val="0"/>
          <w:numId w:val="1"/>
        </w:numPr>
        <w:tabs>
          <w:tab w:val="left" w:pos="360"/>
        </w:tabs>
        <w:spacing w:before="80" w:after="80"/>
        <w:rPr>
          <w:rFonts w:eastAsia="Calibri"/>
          <w:sz w:val="22"/>
          <w:szCs w:val="22"/>
        </w:rPr>
      </w:pPr>
      <w:bookmarkStart w:id="0" w:name="_Hlk494808620"/>
      <w:r w:rsidRPr="006D60B9">
        <w:rPr>
          <w:rFonts w:eastAsia="Calibri"/>
          <w:sz w:val="22"/>
          <w:szCs w:val="22"/>
        </w:rPr>
        <w:t xml:space="preserve">requiring respondents to report information to the agency more than quarterly; HUD may request  PHAs to submit updates to their operating budget with actuals every two months. </w:t>
      </w:r>
    </w:p>
    <w:p w:rsidR="00B2157A" w:rsidRPr="006D60B9" w:rsidP="00B2157A" w14:paraId="429FDD5F"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requiring respondents to prepare a written response to a collection of information in fewer than 30 days after receipt of it; Not Applicable.</w:t>
      </w:r>
    </w:p>
    <w:p w:rsidR="00B2157A" w:rsidRPr="006D60B9" w:rsidP="00B2157A" w14:paraId="09FC5FF4"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requiring respondents to submit more than an original and two copies of any document; Not Applicable.</w:t>
      </w:r>
    </w:p>
    <w:p w:rsidR="00B2157A" w:rsidRPr="006D60B9" w:rsidP="00B2157A" w14:paraId="31F9D055"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requiring respondents to retain records other than health, medical, government contract, grant-in-aid, or tax records for more than three years; Not Applicable.</w:t>
      </w:r>
    </w:p>
    <w:p w:rsidR="00B2157A" w:rsidRPr="006D60B9" w:rsidP="00B2157A" w14:paraId="57BA2BA9"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in connection with a statistical survey, that is not designed to produce valid and reliable results than can be generalized to the universe of the study; Not Applicable.</w:t>
      </w:r>
    </w:p>
    <w:p w:rsidR="00B2157A" w:rsidRPr="006D60B9" w:rsidP="00B2157A" w14:paraId="1C29E9FC"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requiring the use of statistical data classification that has not been reviewed and approved by OMB; Not Applicable.</w:t>
      </w:r>
    </w:p>
    <w:p w:rsidR="00B2157A" w:rsidRPr="006D60B9" w:rsidP="00B2157A" w14:paraId="0F021821"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Not Applicable or </w:t>
      </w:r>
    </w:p>
    <w:p w:rsidR="00B2157A" w:rsidRPr="006D60B9" w:rsidP="00B2157A" w14:paraId="5E646A93" w14:textId="77777777">
      <w:pPr>
        <w:keepLines/>
        <w:numPr>
          <w:ilvl w:val="0"/>
          <w:numId w:val="1"/>
        </w:numPr>
        <w:tabs>
          <w:tab w:val="left" w:pos="360"/>
        </w:tabs>
        <w:spacing w:before="80" w:after="80"/>
        <w:rPr>
          <w:rFonts w:eastAsia="Calibri"/>
          <w:sz w:val="22"/>
          <w:szCs w:val="22"/>
        </w:rPr>
      </w:pPr>
      <w:r w:rsidRPr="006D60B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 Not Applicable.</w:t>
      </w:r>
    </w:p>
    <w:bookmarkEnd w:id="0"/>
    <w:p w:rsidR="00B2157A" w:rsidRPr="006D60B9" w:rsidP="00B2157A" w14:paraId="4D597945" w14:textId="77777777">
      <w:pPr>
        <w:tabs>
          <w:tab w:val="left" w:pos="360"/>
        </w:tabs>
        <w:rPr>
          <w:color w:val="000000"/>
          <w:sz w:val="22"/>
          <w:szCs w:val="22"/>
        </w:rPr>
      </w:pPr>
    </w:p>
    <w:p w:rsidR="00B2157A" w:rsidRPr="006D60B9" w:rsidP="00B2157A" w14:paraId="7C8E2D2C" w14:textId="77777777">
      <w:pPr>
        <w:keepLines/>
        <w:tabs>
          <w:tab w:val="left" w:pos="360"/>
        </w:tabs>
        <w:spacing w:after="80"/>
        <w:ind w:left="360" w:hanging="360"/>
        <w:rPr>
          <w:b/>
          <w:bCs/>
          <w:color w:val="000000"/>
          <w:sz w:val="22"/>
          <w:szCs w:val="22"/>
        </w:rPr>
      </w:pPr>
      <w:r w:rsidRPr="006D60B9">
        <w:rPr>
          <w:b/>
          <w:bCs/>
          <w:color w:val="000000"/>
          <w:sz w:val="22"/>
          <w:szCs w:val="22"/>
        </w:rPr>
        <w:t>8.</w:t>
      </w:r>
      <w:r w:rsidRPr="006D60B9">
        <w:rPr>
          <w:b/>
          <w:bCs/>
          <w:color w:val="000000"/>
          <w:sz w:val="22"/>
          <w:szCs w:val="22"/>
        </w:rPr>
        <w:tab/>
        <w:t xml:space="preserve">Identify the date and page number of the </w:t>
      </w:r>
      <w:r w:rsidRPr="006D60B9">
        <w:rPr>
          <w:b/>
          <w:bCs/>
          <w:i/>
          <w:iCs/>
          <w:color w:val="000000"/>
          <w:sz w:val="22"/>
          <w:szCs w:val="22"/>
        </w:rPr>
        <w:t>Federal Register</w:t>
      </w:r>
      <w:r w:rsidRPr="006D60B9">
        <w:rPr>
          <w:b/>
          <w:bCs/>
          <w:color w:val="000000"/>
          <w:sz w:val="22"/>
          <w:szCs w:val="22"/>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00B2157A" w:rsidRPr="006D60B9" w:rsidP="00B2157A" w14:paraId="7567DA68" w14:textId="4D3CB17E">
      <w:pPr>
        <w:keepLines/>
        <w:tabs>
          <w:tab w:val="left" w:pos="360"/>
        </w:tabs>
        <w:spacing w:after="80"/>
        <w:ind w:left="360"/>
        <w:rPr>
          <w:color w:val="000000"/>
          <w:sz w:val="22"/>
          <w:szCs w:val="22"/>
        </w:rPr>
      </w:pPr>
      <w:r w:rsidRPr="006D60B9">
        <w:rPr>
          <w:color w:val="000000"/>
          <w:sz w:val="22"/>
          <w:szCs w:val="22"/>
        </w:rPr>
        <w:t xml:space="preserve">HUD published a Notice of Proposed Information Collection for public comments in the Federal Register, Volume </w:t>
      </w:r>
      <w:r w:rsidRPr="006D60B9" w:rsidR="00534374">
        <w:rPr>
          <w:color w:val="000000"/>
          <w:sz w:val="22"/>
          <w:szCs w:val="22"/>
        </w:rPr>
        <w:t>87</w:t>
      </w:r>
      <w:r w:rsidRPr="006D60B9">
        <w:rPr>
          <w:color w:val="000000"/>
          <w:sz w:val="22"/>
          <w:szCs w:val="22"/>
        </w:rPr>
        <w:t xml:space="preserve">; Number </w:t>
      </w:r>
      <w:r w:rsidRPr="006D60B9" w:rsidR="00534374">
        <w:rPr>
          <w:color w:val="000000"/>
          <w:sz w:val="22"/>
          <w:szCs w:val="22"/>
        </w:rPr>
        <w:t>144</w:t>
      </w:r>
      <w:r w:rsidRPr="006D60B9">
        <w:rPr>
          <w:color w:val="000000"/>
          <w:sz w:val="22"/>
          <w:szCs w:val="22"/>
        </w:rPr>
        <w:t xml:space="preserve">; Page </w:t>
      </w:r>
      <w:r w:rsidRPr="006D60B9" w:rsidR="00534374">
        <w:rPr>
          <w:color w:val="000000"/>
          <w:sz w:val="22"/>
          <w:szCs w:val="22"/>
        </w:rPr>
        <w:t>45354</w:t>
      </w:r>
      <w:r w:rsidRPr="006D60B9">
        <w:rPr>
          <w:color w:val="000000"/>
          <w:sz w:val="22"/>
          <w:szCs w:val="22"/>
        </w:rPr>
        <w:t xml:space="preserve"> on </w:t>
      </w:r>
      <w:r w:rsidRPr="006D60B9" w:rsidR="00534374">
        <w:rPr>
          <w:color w:val="000000"/>
          <w:sz w:val="22"/>
          <w:szCs w:val="22"/>
        </w:rPr>
        <w:t>July 28</w:t>
      </w:r>
      <w:r w:rsidRPr="006D60B9">
        <w:rPr>
          <w:color w:val="000000"/>
          <w:sz w:val="22"/>
          <w:szCs w:val="22"/>
        </w:rPr>
        <w:t xml:space="preserve">, 2022.  The public was given until </w:t>
      </w:r>
      <w:r w:rsidRPr="006D60B9" w:rsidR="00534374">
        <w:rPr>
          <w:color w:val="000000"/>
          <w:sz w:val="22"/>
          <w:szCs w:val="22"/>
        </w:rPr>
        <w:t>September 26,</w:t>
      </w:r>
      <w:r w:rsidRPr="006D60B9">
        <w:rPr>
          <w:color w:val="000000"/>
          <w:sz w:val="22"/>
          <w:szCs w:val="22"/>
        </w:rPr>
        <w:t xml:space="preserve"> 2022, to submit comments on the Proposed Information Collection.  HUD received no public comments on this Proposed Information Collection.</w:t>
      </w:r>
    </w:p>
    <w:p w:rsidR="00B2157A" w:rsidRPr="006D60B9" w:rsidP="00B2157A" w14:paraId="2C32B780" w14:textId="77777777">
      <w:pPr>
        <w:tabs>
          <w:tab w:val="left" w:pos="360"/>
        </w:tabs>
        <w:ind w:left="360" w:hanging="360"/>
        <w:rPr>
          <w:color w:val="000000"/>
          <w:sz w:val="22"/>
          <w:szCs w:val="22"/>
        </w:rPr>
      </w:pPr>
    </w:p>
    <w:p w:rsidR="00B2157A" w:rsidRPr="006D60B9" w:rsidP="00B2157A" w14:paraId="30B67CBF" w14:textId="77777777">
      <w:pPr>
        <w:keepLines/>
        <w:tabs>
          <w:tab w:val="left" w:pos="360"/>
        </w:tabs>
        <w:spacing w:after="80"/>
        <w:ind w:left="360" w:hanging="360"/>
        <w:rPr>
          <w:b/>
          <w:bCs/>
          <w:color w:val="000000"/>
          <w:sz w:val="22"/>
          <w:szCs w:val="22"/>
        </w:rPr>
      </w:pPr>
      <w:r w:rsidRPr="006D60B9">
        <w:rPr>
          <w:b/>
          <w:bCs/>
          <w:color w:val="000000"/>
          <w:sz w:val="22"/>
          <w:szCs w:val="22"/>
        </w:rPr>
        <w:t>9.</w:t>
      </w:r>
      <w:r w:rsidRPr="006D60B9">
        <w:rPr>
          <w:b/>
          <w:bCs/>
          <w:color w:val="000000"/>
          <w:sz w:val="22"/>
          <w:szCs w:val="22"/>
        </w:rPr>
        <w:tab/>
        <w:t>Explain any decision to provide any payment or gift to respondents, other than re-enumeration of contractors or grantees.</w:t>
      </w:r>
    </w:p>
    <w:p w:rsidR="00B2157A" w:rsidRPr="006D60B9" w:rsidP="00B2157A" w14:paraId="63DC7DA8" w14:textId="77777777">
      <w:pPr>
        <w:tabs>
          <w:tab w:val="left" w:pos="360"/>
        </w:tabs>
        <w:ind w:left="720" w:hanging="360"/>
        <w:rPr>
          <w:color w:val="000000"/>
          <w:sz w:val="22"/>
          <w:szCs w:val="22"/>
        </w:rPr>
      </w:pPr>
      <w:r w:rsidRPr="006D60B9">
        <w:rPr>
          <w:color w:val="000000"/>
          <w:sz w:val="22"/>
          <w:szCs w:val="22"/>
        </w:rPr>
        <w:t>No payments or gifts to respondents are provided.</w:t>
      </w:r>
    </w:p>
    <w:p w:rsidR="00B2157A" w:rsidRPr="006D60B9" w:rsidP="00B2157A" w14:paraId="1CCD80CE" w14:textId="77777777">
      <w:pPr>
        <w:tabs>
          <w:tab w:val="left" w:pos="360"/>
        </w:tabs>
        <w:ind w:left="360" w:hanging="360"/>
        <w:rPr>
          <w:color w:val="000000"/>
          <w:sz w:val="22"/>
          <w:szCs w:val="22"/>
        </w:rPr>
      </w:pPr>
    </w:p>
    <w:p w:rsidR="00B2157A" w:rsidRPr="006D60B9" w:rsidP="00B2157A" w14:paraId="12D33276" w14:textId="77777777">
      <w:pPr>
        <w:keepLines/>
        <w:tabs>
          <w:tab w:val="left" w:pos="360"/>
        </w:tabs>
        <w:spacing w:after="80"/>
        <w:ind w:left="360" w:hanging="360"/>
        <w:rPr>
          <w:b/>
          <w:bCs/>
          <w:color w:val="000000"/>
          <w:sz w:val="22"/>
          <w:szCs w:val="22"/>
        </w:rPr>
      </w:pPr>
      <w:r w:rsidRPr="006D60B9">
        <w:rPr>
          <w:b/>
          <w:bCs/>
          <w:color w:val="000000"/>
          <w:sz w:val="22"/>
          <w:szCs w:val="22"/>
        </w:rPr>
        <w:t>10.</w:t>
      </w:r>
      <w:r w:rsidRPr="006D60B9">
        <w:rPr>
          <w:b/>
          <w:bCs/>
          <w:color w:val="000000"/>
          <w:sz w:val="22"/>
          <w:szCs w:val="22"/>
        </w:rPr>
        <w:tab/>
        <w:t>Describe any assurance of confidentiality provided to respondents and the basis for assurance in statute, regulation or agency policy.</w:t>
      </w:r>
    </w:p>
    <w:p w:rsidR="00B2157A" w:rsidRPr="006D60B9" w:rsidP="00B2157A" w14:paraId="4B438141" w14:textId="77777777">
      <w:pPr>
        <w:tabs>
          <w:tab w:val="left" w:pos="360"/>
        </w:tabs>
        <w:ind w:left="360"/>
        <w:rPr>
          <w:color w:val="000000"/>
          <w:sz w:val="22"/>
          <w:szCs w:val="22"/>
        </w:rPr>
      </w:pPr>
      <w:r w:rsidRPr="006D60B9">
        <w:rPr>
          <w:color w:val="000000"/>
          <w:sz w:val="22"/>
          <w:szCs w:val="22"/>
        </w:rPr>
        <w:t>No assurance of confidentiality is needed nor are any provided.</w:t>
      </w:r>
    </w:p>
    <w:p w:rsidR="00B2157A" w:rsidRPr="006D60B9" w:rsidP="00B2157A" w14:paraId="77C270C7" w14:textId="77777777">
      <w:pPr>
        <w:tabs>
          <w:tab w:val="left" w:pos="360"/>
        </w:tabs>
        <w:ind w:left="360" w:hanging="360"/>
        <w:rPr>
          <w:color w:val="000000"/>
          <w:sz w:val="22"/>
          <w:szCs w:val="22"/>
        </w:rPr>
      </w:pPr>
    </w:p>
    <w:p w:rsidR="00B2157A" w:rsidRPr="006D60B9" w:rsidP="00B2157A" w14:paraId="796D7E25" w14:textId="77777777">
      <w:pPr>
        <w:keepLines/>
        <w:tabs>
          <w:tab w:val="left" w:pos="360"/>
        </w:tabs>
        <w:spacing w:after="80"/>
        <w:ind w:left="360" w:hanging="360"/>
        <w:rPr>
          <w:b/>
          <w:bCs/>
          <w:color w:val="000000"/>
          <w:sz w:val="22"/>
          <w:szCs w:val="22"/>
        </w:rPr>
      </w:pPr>
      <w:r w:rsidRPr="006D60B9">
        <w:rPr>
          <w:b/>
          <w:bCs/>
          <w:color w:val="000000"/>
          <w:sz w:val="22"/>
          <w:szCs w:val="22"/>
        </w:rPr>
        <w:t>11.</w:t>
      </w:r>
      <w:r w:rsidRPr="006D60B9">
        <w:rPr>
          <w:b/>
          <w:bCs/>
          <w:color w:val="000000"/>
          <w:sz w:val="22"/>
          <w:szCs w:val="22"/>
        </w:rPr>
        <w:tab/>
        <w:t>Provide additional justification for any questions of a sensitive nature, such as sexual behavior and attitudes, religious beliefs, and other matters that are commonly considered private</w:t>
      </w:r>
    </w:p>
    <w:p w:rsidR="00B2157A" w:rsidRPr="006D60B9" w:rsidP="00B2157A" w14:paraId="788D5B62" w14:textId="77777777">
      <w:pPr>
        <w:pStyle w:val="BodyTextIndent2"/>
        <w:rPr>
          <w:sz w:val="22"/>
          <w:szCs w:val="22"/>
        </w:rPr>
      </w:pPr>
      <w:r w:rsidRPr="006D60B9">
        <w:rPr>
          <w:sz w:val="22"/>
          <w:szCs w:val="22"/>
        </w:rPr>
        <w:t>No sensitive questions are being asked.</w:t>
      </w:r>
    </w:p>
    <w:p w:rsidR="00B2157A" w:rsidRPr="006D60B9" w:rsidP="00B2157A" w14:paraId="61F7A7E0" w14:textId="77777777">
      <w:pPr>
        <w:keepLines/>
        <w:tabs>
          <w:tab w:val="left" w:pos="360"/>
        </w:tabs>
        <w:spacing w:after="80"/>
        <w:ind w:left="360" w:hanging="360"/>
        <w:rPr>
          <w:b/>
          <w:bCs/>
          <w:color w:val="000000"/>
          <w:sz w:val="22"/>
          <w:szCs w:val="22"/>
        </w:rPr>
      </w:pPr>
      <w:r w:rsidRPr="006D60B9">
        <w:rPr>
          <w:b/>
          <w:bCs/>
          <w:color w:val="000000"/>
          <w:sz w:val="22"/>
          <w:szCs w:val="22"/>
        </w:rPr>
        <w:t>12.</w:t>
      </w:r>
      <w:r w:rsidRPr="006D60B9">
        <w:rPr>
          <w:b/>
          <w:bCs/>
          <w:color w:val="000000"/>
          <w:sz w:val="22"/>
          <w:szCs w:val="22"/>
        </w:rPr>
        <w:tab/>
        <w:t>Provide estimates of the hour burden of the collection of information. The statement should: * Indicate the number of respondents, frequency of response, annual hour burden, and an explanation of how the burden was estimated.  Read the complete instructions on the form 83i.</w:t>
      </w:r>
    </w:p>
    <w:p w:rsidR="00B2157A" w:rsidRPr="006D60B9" w:rsidP="00B2157A" w14:paraId="74F01E27" w14:textId="77777777">
      <w:pPr>
        <w:overflowPunct/>
        <w:autoSpaceDE/>
        <w:autoSpaceDN/>
        <w:adjustRightInd/>
        <w:spacing w:line="259" w:lineRule="auto"/>
        <w:ind w:left="360"/>
        <w:textAlignment w:val="auto"/>
        <w:rPr>
          <w:sz w:val="22"/>
          <w:szCs w:val="22"/>
        </w:rPr>
      </w:pPr>
      <w:r w:rsidRPr="006D60B9">
        <w:rPr>
          <w:sz w:val="22"/>
          <w:szCs w:val="22"/>
        </w:rPr>
        <w:t xml:space="preserve">The estimated burden hours for the collection of this data reflect the public housing authority’s (PHA) experience with inputting data into the form and that PHAs are required by federal regulation and local laws to develop an operating budget, to hold regular board meetings, and for the board to review and approve the PHA’s operating budget. HUD estimates that the annual information collection requirements for this collection for one form (form HUD-52574) averages 0.17 hours (10 minutes) per form for approximately 3,000 total responses for a total of 510 burden hours. The form asks the respondent, the PHA’s board chair, that they certify the board approved the PHA operating budget for each of the 6,300 public housing development. HUD estimates that it takes 1 hour to complete an operating budget for a total of 6,300 burden hours. For certain PHAs, HUD requires the PHA to update their budget with actuals five times a year. HUD may request up to five updated operating budgets with actual from PHAs. HUD estimates this request represents 25% of the total public housing developments, or 1,575 public housing developments. HUD estimates that it takes 1 hour to update an operating budget with actuals for a total of 4,500 burden hours. </w:t>
      </w:r>
    </w:p>
    <w:p w:rsidR="00B2157A" w:rsidRPr="006D60B9" w:rsidP="00B2157A" w14:paraId="3AC1BFF2" w14:textId="77777777">
      <w:pPr>
        <w:overflowPunct/>
        <w:autoSpaceDE/>
        <w:autoSpaceDN/>
        <w:adjustRightInd/>
        <w:spacing w:line="259" w:lineRule="auto"/>
        <w:textAlignment w:val="auto"/>
        <w:rPr>
          <w:sz w:val="22"/>
          <w:szCs w:val="22"/>
        </w:rPr>
      </w:pPr>
    </w:p>
    <w:p w:rsidR="00B2157A" w:rsidP="00B2157A" w14:paraId="35ED7178" w14:textId="77777777">
      <w:pPr>
        <w:overflowPunct/>
        <w:autoSpaceDE/>
        <w:autoSpaceDN/>
        <w:adjustRightInd/>
        <w:ind w:left="360"/>
        <w:textAlignment w:val="auto"/>
        <w:rPr>
          <w:sz w:val="22"/>
          <w:szCs w:val="22"/>
        </w:rPr>
      </w:pPr>
      <w:r w:rsidRPr="006D60B9">
        <w:rPr>
          <w:sz w:val="22"/>
          <w:szCs w:val="22"/>
        </w:rPr>
        <w:t>The estimated annualized cost to respondents is based on the 2022 general pay schedule for a GS-11, Step 1, rate for Washington-Baltimore-Arlington, DC-MD-WV-PA (an average salary for a financial analyst) that is $35.91 per hour.</w:t>
      </w:r>
    </w:p>
    <w:p w:rsidR="00B2157A" w:rsidRPr="00FC6446" w:rsidP="00B2157A" w14:paraId="7126D82A" w14:textId="77777777">
      <w:pPr>
        <w:rPr>
          <w:sz w:val="22"/>
          <w:szCs w:val="22"/>
        </w:rPr>
      </w:pPr>
    </w:p>
    <w:tbl>
      <w:tblPr>
        <w:tblW w:w="10890"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5"/>
        <w:gridCol w:w="1265"/>
        <w:gridCol w:w="1620"/>
        <w:gridCol w:w="1260"/>
        <w:gridCol w:w="1260"/>
        <w:gridCol w:w="1080"/>
        <w:gridCol w:w="360"/>
        <w:gridCol w:w="990"/>
        <w:gridCol w:w="270"/>
        <w:gridCol w:w="1260"/>
      </w:tblGrid>
      <w:tr w14:paraId="53C4DB40" w14:textId="77777777" w:rsidTr="006D60B9">
        <w:tblPrEx>
          <w:tblW w:w="10890"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1525" w:type="dxa"/>
            <w:tcBorders>
              <w:top w:val="single" w:sz="4" w:space="0" w:color="auto"/>
              <w:left w:val="single" w:sz="4" w:space="0" w:color="auto"/>
            </w:tcBorders>
            <w:shd w:val="clear" w:color="auto" w:fill="DEEBF6" w:themeFill="accent5" w:themeFillTint="33"/>
            <w:vAlign w:val="center"/>
          </w:tcPr>
          <w:p w:rsidR="00B2157A" w:rsidRPr="00F36A13" w:rsidP="0049265F" w14:paraId="7A3FBFB6" w14:textId="77777777">
            <w:pPr>
              <w:jc w:val="center"/>
              <w:rPr>
                <w:b/>
                <w:sz w:val="18"/>
                <w:szCs w:val="18"/>
              </w:rPr>
            </w:pPr>
            <w:r w:rsidRPr="00F36A13">
              <w:rPr>
                <w:b/>
                <w:sz w:val="18"/>
                <w:szCs w:val="18"/>
              </w:rPr>
              <w:t>Information</w:t>
            </w:r>
          </w:p>
          <w:p w:rsidR="00B2157A" w:rsidRPr="00F36A13" w:rsidP="0049265F" w14:paraId="7AAA9E14" w14:textId="77777777">
            <w:pPr>
              <w:jc w:val="center"/>
              <w:rPr>
                <w:b/>
                <w:sz w:val="18"/>
                <w:szCs w:val="18"/>
              </w:rPr>
            </w:pPr>
            <w:r w:rsidRPr="00F36A13">
              <w:rPr>
                <w:b/>
                <w:sz w:val="18"/>
                <w:szCs w:val="18"/>
              </w:rPr>
              <w:t>Collection</w:t>
            </w:r>
          </w:p>
        </w:tc>
        <w:tc>
          <w:tcPr>
            <w:tcW w:w="1265" w:type="dxa"/>
            <w:tcBorders>
              <w:top w:val="single" w:sz="4" w:space="0" w:color="auto"/>
            </w:tcBorders>
            <w:shd w:val="clear" w:color="auto" w:fill="DEEBF6" w:themeFill="accent5" w:themeFillTint="33"/>
            <w:vAlign w:val="center"/>
          </w:tcPr>
          <w:p w:rsidR="00B2157A" w:rsidRPr="00F36A13" w:rsidP="0049265F" w14:paraId="7E7F53EE" w14:textId="77777777">
            <w:pPr>
              <w:jc w:val="center"/>
              <w:rPr>
                <w:b/>
                <w:sz w:val="18"/>
                <w:szCs w:val="18"/>
              </w:rPr>
            </w:pPr>
            <w:r w:rsidRPr="00F36A13">
              <w:rPr>
                <w:b/>
                <w:sz w:val="18"/>
                <w:szCs w:val="18"/>
              </w:rPr>
              <w:t>Number of</w:t>
            </w:r>
          </w:p>
          <w:p w:rsidR="00B2157A" w:rsidRPr="00F36A13" w:rsidP="0049265F" w14:paraId="75C3DC9A" w14:textId="77777777">
            <w:pPr>
              <w:jc w:val="center"/>
              <w:rPr>
                <w:b/>
                <w:sz w:val="18"/>
                <w:szCs w:val="18"/>
              </w:rPr>
            </w:pPr>
            <w:r w:rsidRPr="00F36A13">
              <w:rPr>
                <w:b/>
                <w:sz w:val="18"/>
                <w:szCs w:val="18"/>
              </w:rPr>
              <w:t>Respondents</w:t>
            </w:r>
          </w:p>
        </w:tc>
        <w:tc>
          <w:tcPr>
            <w:tcW w:w="1620" w:type="dxa"/>
            <w:tcBorders>
              <w:top w:val="single" w:sz="4" w:space="0" w:color="auto"/>
            </w:tcBorders>
            <w:shd w:val="clear" w:color="auto" w:fill="DEEBF6" w:themeFill="accent5" w:themeFillTint="33"/>
            <w:vAlign w:val="center"/>
          </w:tcPr>
          <w:p w:rsidR="00B2157A" w:rsidRPr="00F36A13" w:rsidP="0049265F" w14:paraId="75F2E59F" w14:textId="77777777">
            <w:pPr>
              <w:jc w:val="center"/>
              <w:rPr>
                <w:b/>
                <w:sz w:val="18"/>
                <w:szCs w:val="18"/>
              </w:rPr>
            </w:pPr>
            <w:r w:rsidRPr="00F36A13">
              <w:rPr>
                <w:b/>
                <w:sz w:val="18"/>
                <w:szCs w:val="18"/>
              </w:rPr>
              <w:t>Average Number of Reponses per Respondent</w:t>
            </w:r>
          </w:p>
        </w:tc>
        <w:tc>
          <w:tcPr>
            <w:tcW w:w="1260" w:type="dxa"/>
            <w:tcBorders>
              <w:top w:val="single" w:sz="4" w:space="0" w:color="auto"/>
            </w:tcBorders>
            <w:shd w:val="clear" w:color="auto" w:fill="DEEBF6" w:themeFill="accent5" w:themeFillTint="33"/>
            <w:vAlign w:val="center"/>
          </w:tcPr>
          <w:p w:rsidR="00B2157A" w:rsidRPr="00F36A13" w:rsidP="0049265F" w14:paraId="025FF156" w14:textId="77777777">
            <w:pPr>
              <w:jc w:val="center"/>
              <w:rPr>
                <w:b/>
                <w:sz w:val="18"/>
                <w:szCs w:val="18"/>
              </w:rPr>
            </w:pPr>
            <w:r w:rsidRPr="00F36A13">
              <w:rPr>
                <w:b/>
                <w:sz w:val="18"/>
                <w:szCs w:val="18"/>
              </w:rPr>
              <w:t>Total Annual Responses</w:t>
            </w:r>
          </w:p>
        </w:tc>
        <w:tc>
          <w:tcPr>
            <w:tcW w:w="1260" w:type="dxa"/>
            <w:tcBorders>
              <w:top w:val="single" w:sz="4" w:space="0" w:color="auto"/>
            </w:tcBorders>
            <w:shd w:val="clear" w:color="auto" w:fill="DEEBF6" w:themeFill="accent5" w:themeFillTint="33"/>
            <w:vAlign w:val="center"/>
          </w:tcPr>
          <w:p w:rsidR="00B2157A" w:rsidRPr="00F36A13" w:rsidP="0049265F" w14:paraId="35BA2B5D" w14:textId="77777777">
            <w:pPr>
              <w:jc w:val="center"/>
              <w:rPr>
                <w:b/>
                <w:sz w:val="18"/>
                <w:szCs w:val="18"/>
              </w:rPr>
            </w:pPr>
            <w:r w:rsidRPr="00F36A13">
              <w:rPr>
                <w:b/>
                <w:sz w:val="18"/>
                <w:szCs w:val="18"/>
              </w:rPr>
              <w:t>Burden Hours per Response</w:t>
            </w:r>
          </w:p>
        </w:tc>
        <w:tc>
          <w:tcPr>
            <w:tcW w:w="1080" w:type="dxa"/>
            <w:tcBorders>
              <w:top w:val="single" w:sz="4" w:space="0" w:color="auto"/>
            </w:tcBorders>
            <w:shd w:val="clear" w:color="auto" w:fill="FEF2CC" w:themeFill="accent4" w:themeFillTint="33"/>
            <w:vAlign w:val="center"/>
          </w:tcPr>
          <w:p w:rsidR="00B2157A" w:rsidRPr="00F36A13" w:rsidP="0049265F" w14:paraId="421E4E54" w14:textId="77777777">
            <w:pPr>
              <w:jc w:val="center"/>
              <w:rPr>
                <w:b/>
                <w:sz w:val="18"/>
                <w:szCs w:val="18"/>
              </w:rPr>
            </w:pPr>
            <w:r w:rsidRPr="00F36A13">
              <w:rPr>
                <w:b/>
                <w:sz w:val="18"/>
                <w:szCs w:val="18"/>
              </w:rPr>
              <w:t xml:space="preserve">Total </w:t>
            </w:r>
            <w:r>
              <w:rPr>
                <w:b/>
                <w:sz w:val="18"/>
                <w:szCs w:val="18"/>
              </w:rPr>
              <w:t xml:space="preserve">Burden </w:t>
            </w:r>
            <w:r w:rsidRPr="00F36A13">
              <w:rPr>
                <w:b/>
                <w:sz w:val="18"/>
                <w:szCs w:val="18"/>
              </w:rPr>
              <w:t>Hours</w:t>
            </w:r>
          </w:p>
        </w:tc>
        <w:tc>
          <w:tcPr>
            <w:tcW w:w="360" w:type="dxa"/>
            <w:tcBorders>
              <w:top w:val="single" w:sz="4" w:space="0" w:color="auto"/>
            </w:tcBorders>
            <w:shd w:val="clear" w:color="auto" w:fill="FEF2CC" w:themeFill="accent4" w:themeFillTint="33"/>
            <w:vAlign w:val="center"/>
          </w:tcPr>
          <w:p w:rsidR="00B2157A" w:rsidRPr="00F36A13" w:rsidP="0049265F" w14:paraId="1FAFB832" w14:textId="77777777">
            <w:pPr>
              <w:jc w:val="center"/>
              <w:rPr>
                <w:b/>
                <w:sz w:val="18"/>
                <w:szCs w:val="18"/>
              </w:rPr>
            </w:pPr>
            <w:r>
              <w:rPr>
                <w:b/>
                <w:sz w:val="18"/>
                <w:szCs w:val="18"/>
              </w:rPr>
              <w:t>X</w:t>
            </w:r>
          </w:p>
        </w:tc>
        <w:tc>
          <w:tcPr>
            <w:tcW w:w="990" w:type="dxa"/>
            <w:tcBorders>
              <w:top w:val="single" w:sz="4" w:space="0" w:color="auto"/>
            </w:tcBorders>
            <w:shd w:val="clear" w:color="auto" w:fill="FEF2CC" w:themeFill="accent4" w:themeFillTint="33"/>
            <w:vAlign w:val="center"/>
          </w:tcPr>
          <w:p w:rsidR="00B2157A" w:rsidRPr="00F36A13" w:rsidP="0049265F" w14:paraId="333A1B2D" w14:textId="77777777">
            <w:pPr>
              <w:jc w:val="center"/>
              <w:rPr>
                <w:b/>
                <w:sz w:val="18"/>
                <w:szCs w:val="18"/>
              </w:rPr>
            </w:pPr>
            <w:r w:rsidRPr="00F36A13">
              <w:rPr>
                <w:b/>
                <w:sz w:val="18"/>
                <w:szCs w:val="18"/>
              </w:rPr>
              <w:t>Hourly Cost</w:t>
            </w:r>
          </w:p>
        </w:tc>
        <w:tc>
          <w:tcPr>
            <w:tcW w:w="270" w:type="dxa"/>
            <w:tcBorders>
              <w:top w:val="single" w:sz="4" w:space="0" w:color="auto"/>
            </w:tcBorders>
            <w:shd w:val="clear" w:color="auto" w:fill="FEF2CC" w:themeFill="accent4" w:themeFillTint="33"/>
            <w:vAlign w:val="center"/>
          </w:tcPr>
          <w:p w:rsidR="00B2157A" w:rsidRPr="00F36A13" w:rsidP="0049265F" w14:paraId="57314BFD" w14:textId="77777777">
            <w:pPr>
              <w:jc w:val="center"/>
              <w:rPr>
                <w:b/>
                <w:sz w:val="18"/>
                <w:szCs w:val="18"/>
              </w:rPr>
            </w:pPr>
            <w:r>
              <w:rPr>
                <w:b/>
                <w:sz w:val="18"/>
                <w:szCs w:val="18"/>
              </w:rPr>
              <w:t>=</w:t>
            </w:r>
          </w:p>
        </w:tc>
        <w:tc>
          <w:tcPr>
            <w:tcW w:w="1260" w:type="dxa"/>
            <w:tcBorders>
              <w:top w:val="single" w:sz="4" w:space="0" w:color="auto"/>
            </w:tcBorders>
            <w:shd w:val="clear" w:color="auto" w:fill="FEF2CC" w:themeFill="accent4" w:themeFillTint="33"/>
            <w:vAlign w:val="center"/>
          </w:tcPr>
          <w:p w:rsidR="00B2157A" w:rsidRPr="00F36A13" w:rsidP="0049265F" w14:paraId="193CFD0F" w14:textId="77777777">
            <w:pPr>
              <w:jc w:val="center"/>
              <w:rPr>
                <w:b/>
                <w:sz w:val="18"/>
                <w:szCs w:val="18"/>
              </w:rPr>
            </w:pPr>
            <w:r w:rsidRPr="00F36A13">
              <w:rPr>
                <w:b/>
                <w:sz w:val="18"/>
                <w:szCs w:val="18"/>
              </w:rPr>
              <w:t>Total Annual Cost</w:t>
            </w:r>
          </w:p>
        </w:tc>
      </w:tr>
      <w:tr w14:paraId="7E8247BF" w14:textId="77777777" w:rsidTr="006D60B9">
        <w:tblPrEx>
          <w:tblW w:w="10890" w:type="dxa"/>
          <w:tblInd w:w="-770" w:type="dxa"/>
          <w:tblLayout w:type="fixed"/>
          <w:tblLook w:val="00A0"/>
        </w:tblPrEx>
        <w:tc>
          <w:tcPr>
            <w:tcW w:w="1525" w:type="dxa"/>
            <w:tcBorders>
              <w:left w:val="single" w:sz="4" w:space="0" w:color="auto"/>
            </w:tcBorders>
            <w:vAlign w:val="center"/>
          </w:tcPr>
          <w:p w:rsidR="00B2157A" w:rsidRPr="00392443" w:rsidP="0049265F" w14:paraId="421C05EF" w14:textId="77777777">
            <w:pPr>
              <w:jc w:val="center"/>
              <w:rPr>
                <w:sz w:val="18"/>
                <w:szCs w:val="18"/>
              </w:rPr>
            </w:pPr>
            <w:r w:rsidRPr="00392443">
              <w:rPr>
                <w:rFonts w:eastAsia="Calibri"/>
                <w:color w:val="000000" w:themeColor="text1"/>
              </w:rPr>
              <w:t>HUD-52574</w:t>
            </w:r>
          </w:p>
        </w:tc>
        <w:tc>
          <w:tcPr>
            <w:tcW w:w="1265" w:type="dxa"/>
            <w:vAlign w:val="center"/>
          </w:tcPr>
          <w:p w:rsidR="00B2157A" w:rsidRPr="00392443" w:rsidP="0049265F" w14:paraId="481C79F1" w14:textId="77777777">
            <w:pPr>
              <w:jc w:val="center"/>
              <w:rPr>
                <w:sz w:val="18"/>
                <w:szCs w:val="18"/>
              </w:rPr>
            </w:pPr>
            <w:r>
              <w:rPr>
                <w:rFonts w:eastAsia="Calibri"/>
                <w:color w:val="000000" w:themeColor="text1"/>
              </w:rPr>
              <w:t>3,000</w:t>
            </w:r>
          </w:p>
        </w:tc>
        <w:tc>
          <w:tcPr>
            <w:tcW w:w="1620" w:type="dxa"/>
            <w:vAlign w:val="center"/>
          </w:tcPr>
          <w:p w:rsidR="00B2157A" w:rsidRPr="00392443" w:rsidP="0049265F" w14:paraId="077EDD68" w14:textId="77777777">
            <w:pPr>
              <w:jc w:val="center"/>
              <w:rPr>
                <w:sz w:val="18"/>
                <w:szCs w:val="18"/>
              </w:rPr>
            </w:pPr>
            <w:r w:rsidRPr="00392443">
              <w:rPr>
                <w:rFonts w:eastAsia="Calibri"/>
                <w:color w:val="000000" w:themeColor="text1"/>
              </w:rPr>
              <w:t>1</w:t>
            </w:r>
          </w:p>
        </w:tc>
        <w:tc>
          <w:tcPr>
            <w:tcW w:w="1260" w:type="dxa"/>
            <w:vAlign w:val="center"/>
          </w:tcPr>
          <w:p w:rsidR="00B2157A" w:rsidRPr="00392443" w:rsidP="0049265F" w14:paraId="2900A3DE" w14:textId="77777777">
            <w:pPr>
              <w:jc w:val="center"/>
              <w:rPr>
                <w:sz w:val="18"/>
                <w:szCs w:val="18"/>
              </w:rPr>
            </w:pPr>
            <w:r>
              <w:rPr>
                <w:rFonts w:eastAsia="Calibri"/>
                <w:color w:val="000000" w:themeColor="text1"/>
              </w:rPr>
              <w:t>3,000</w:t>
            </w:r>
          </w:p>
        </w:tc>
        <w:tc>
          <w:tcPr>
            <w:tcW w:w="1260" w:type="dxa"/>
            <w:vAlign w:val="center"/>
          </w:tcPr>
          <w:p w:rsidR="00B2157A" w:rsidRPr="00392443" w:rsidP="0049265F" w14:paraId="189B4142" w14:textId="77777777">
            <w:pPr>
              <w:jc w:val="center"/>
              <w:rPr>
                <w:sz w:val="18"/>
                <w:szCs w:val="18"/>
              </w:rPr>
            </w:pPr>
            <w:r>
              <w:rPr>
                <w:sz w:val="18"/>
                <w:szCs w:val="18"/>
              </w:rPr>
              <w:t>0.17</w:t>
            </w:r>
          </w:p>
        </w:tc>
        <w:tc>
          <w:tcPr>
            <w:tcW w:w="1080" w:type="dxa"/>
            <w:shd w:val="clear" w:color="auto" w:fill="FEF2CC" w:themeFill="accent4" w:themeFillTint="33"/>
            <w:vAlign w:val="center"/>
          </w:tcPr>
          <w:p w:rsidR="00B2157A" w:rsidRPr="00392443" w:rsidP="0049265F" w14:paraId="17235101" w14:textId="77777777">
            <w:pPr>
              <w:jc w:val="center"/>
              <w:rPr>
                <w:sz w:val="18"/>
                <w:szCs w:val="18"/>
              </w:rPr>
            </w:pPr>
            <w:r>
              <w:rPr>
                <w:rFonts w:eastAsia="Calibri"/>
                <w:color w:val="000000" w:themeColor="text1"/>
              </w:rPr>
              <w:t>510</w:t>
            </w:r>
          </w:p>
        </w:tc>
        <w:tc>
          <w:tcPr>
            <w:tcW w:w="360" w:type="dxa"/>
            <w:shd w:val="clear" w:color="auto" w:fill="FEF2CC" w:themeFill="accent4" w:themeFillTint="33"/>
          </w:tcPr>
          <w:p w:rsidR="00B2157A" w:rsidP="0049265F" w14:paraId="40E7468A" w14:textId="77777777">
            <w:pPr>
              <w:jc w:val="center"/>
              <w:rPr>
                <w:rFonts w:eastAsia="Calibri"/>
                <w:color w:val="000000" w:themeColor="text1"/>
              </w:rPr>
            </w:pPr>
          </w:p>
        </w:tc>
        <w:tc>
          <w:tcPr>
            <w:tcW w:w="990" w:type="dxa"/>
            <w:shd w:val="clear" w:color="auto" w:fill="FEF2CC" w:themeFill="accent4" w:themeFillTint="33"/>
            <w:vAlign w:val="center"/>
          </w:tcPr>
          <w:p w:rsidR="00B2157A" w:rsidRPr="00392443" w:rsidP="0049265F" w14:paraId="0389F84C" w14:textId="77777777">
            <w:pPr>
              <w:jc w:val="center"/>
              <w:rPr>
                <w:sz w:val="18"/>
                <w:szCs w:val="18"/>
              </w:rPr>
            </w:pPr>
            <w:r>
              <w:rPr>
                <w:rFonts w:eastAsia="Calibri"/>
                <w:color w:val="000000" w:themeColor="text1"/>
              </w:rPr>
              <w:t>$35.91</w:t>
            </w:r>
          </w:p>
        </w:tc>
        <w:tc>
          <w:tcPr>
            <w:tcW w:w="270" w:type="dxa"/>
            <w:shd w:val="clear" w:color="auto" w:fill="FEF2CC" w:themeFill="accent4" w:themeFillTint="33"/>
          </w:tcPr>
          <w:p w:rsidR="00B2157A" w:rsidP="0049265F" w14:paraId="5F073F1E" w14:textId="77777777">
            <w:pPr>
              <w:jc w:val="center"/>
              <w:rPr>
                <w:b/>
                <w:sz w:val="18"/>
                <w:szCs w:val="18"/>
              </w:rPr>
            </w:pPr>
          </w:p>
        </w:tc>
        <w:tc>
          <w:tcPr>
            <w:tcW w:w="1260" w:type="dxa"/>
            <w:shd w:val="clear" w:color="auto" w:fill="FEF2CC" w:themeFill="accent4" w:themeFillTint="33"/>
            <w:vAlign w:val="center"/>
          </w:tcPr>
          <w:p w:rsidR="00B2157A" w:rsidRPr="00392443" w:rsidP="0049265F" w14:paraId="340D54FD" w14:textId="77777777">
            <w:pPr>
              <w:jc w:val="center"/>
              <w:rPr>
                <w:b/>
                <w:sz w:val="18"/>
                <w:szCs w:val="18"/>
              </w:rPr>
            </w:pPr>
            <w:r>
              <w:rPr>
                <w:b/>
                <w:sz w:val="18"/>
                <w:szCs w:val="18"/>
              </w:rPr>
              <w:t>$18,314</w:t>
            </w:r>
          </w:p>
        </w:tc>
      </w:tr>
      <w:tr w14:paraId="7A5E0B0C" w14:textId="77777777" w:rsidTr="006D60B9">
        <w:tblPrEx>
          <w:tblW w:w="10890" w:type="dxa"/>
          <w:tblInd w:w="-770" w:type="dxa"/>
          <w:tblLayout w:type="fixed"/>
          <w:tblLook w:val="00A0"/>
        </w:tblPrEx>
        <w:tc>
          <w:tcPr>
            <w:tcW w:w="1525" w:type="dxa"/>
            <w:tcBorders>
              <w:left w:val="single" w:sz="4" w:space="0" w:color="auto"/>
              <w:bottom w:val="single" w:sz="4" w:space="0" w:color="auto"/>
            </w:tcBorders>
            <w:vAlign w:val="center"/>
          </w:tcPr>
          <w:p w:rsidR="00B2157A" w:rsidRPr="00392443" w:rsidP="0049265F" w14:paraId="6707626B" w14:textId="77777777">
            <w:pPr>
              <w:jc w:val="center"/>
              <w:rPr>
                <w:sz w:val="18"/>
                <w:szCs w:val="18"/>
              </w:rPr>
            </w:pPr>
            <w:r>
              <w:rPr>
                <w:rFonts w:eastAsia="Calibri"/>
                <w:color w:val="000000" w:themeColor="text1"/>
              </w:rPr>
              <w:t>PHA Operating Budget</w:t>
            </w:r>
          </w:p>
        </w:tc>
        <w:tc>
          <w:tcPr>
            <w:tcW w:w="1265" w:type="dxa"/>
            <w:tcBorders>
              <w:bottom w:val="single" w:sz="4" w:space="0" w:color="auto"/>
            </w:tcBorders>
            <w:vAlign w:val="center"/>
          </w:tcPr>
          <w:p w:rsidR="00B2157A" w:rsidRPr="00392443" w:rsidP="0049265F" w14:paraId="2157A2C7" w14:textId="77777777">
            <w:pPr>
              <w:jc w:val="center"/>
              <w:rPr>
                <w:sz w:val="18"/>
                <w:szCs w:val="18"/>
              </w:rPr>
            </w:pPr>
            <w:r w:rsidRPr="00392443">
              <w:rPr>
                <w:rFonts w:eastAsia="Calibri"/>
                <w:color w:val="000000" w:themeColor="text1"/>
              </w:rPr>
              <w:t>3,</w:t>
            </w:r>
            <w:r>
              <w:rPr>
                <w:rFonts w:eastAsia="Calibri"/>
                <w:color w:val="000000" w:themeColor="text1"/>
              </w:rPr>
              <w:t>0</w:t>
            </w:r>
            <w:r w:rsidRPr="00392443">
              <w:rPr>
                <w:rFonts w:eastAsia="Calibri"/>
                <w:color w:val="000000" w:themeColor="text1"/>
              </w:rPr>
              <w:t>00</w:t>
            </w:r>
          </w:p>
        </w:tc>
        <w:tc>
          <w:tcPr>
            <w:tcW w:w="1620" w:type="dxa"/>
            <w:tcBorders>
              <w:bottom w:val="single" w:sz="4" w:space="0" w:color="auto"/>
            </w:tcBorders>
            <w:vAlign w:val="center"/>
          </w:tcPr>
          <w:p w:rsidR="00B2157A" w:rsidRPr="006C7ED4" w:rsidP="0049265F" w14:paraId="3A0C6218" w14:textId="77777777">
            <w:pPr>
              <w:jc w:val="center"/>
              <w:rPr>
                <w:rFonts w:eastAsia="Calibri"/>
                <w:color w:val="000000" w:themeColor="text1"/>
              </w:rPr>
            </w:pPr>
            <w:r>
              <w:rPr>
                <w:rFonts w:eastAsia="Calibri"/>
                <w:color w:val="000000" w:themeColor="text1"/>
              </w:rPr>
              <w:t>2.1</w:t>
            </w:r>
          </w:p>
        </w:tc>
        <w:tc>
          <w:tcPr>
            <w:tcW w:w="1260" w:type="dxa"/>
            <w:tcBorders>
              <w:bottom w:val="single" w:sz="4" w:space="0" w:color="auto"/>
            </w:tcBorders>
            <w:vAlign w:val="center"/>
          </w:tcPr>
          <w:p w:rsidR="00B2157A" w:rsidRPr="00392443" w:rsidP="0049265F" w14:paraId="081BF63C" w14:textId="77777777">
            <w:pPr>
              <w:jc w:val="center"/>
              <w:rPr>
                <w:sz w:val="18"/>
                <w:szCs w:val="18"/>
              </w:rPr>
            </w:pPr>
            <w:r>
              <w:rPr>
                <w:rFonts w:eastAsia="Calibri"/>
                <w:color w:val="000000" w:themeColor="text1"/>
              </w:rPr>
              <w:t>6,300</w:t>
            </w:r>
          </w:p>
        </w:tc>
        <w:tc>
          <w:tcPr>
            <w:tcW w:w="1260" w:type="dxa"/>
            <w:tcBorders>
              <w:bottom w:val="single" w:sz="4" w:space="0" w:color="auto"/>
            </w:tcBorders>
            <w:vAlign w:val="center"/>
          </w:tcPr>
          <w:p w:rsidR="00B2157A" w:rsidRPr="00392443" w:rsidP="0049265F" w14:paraId="33C20229" w14:textId="77777777">
            <w:pPr>
              <w:jc w:val="center"/>
              <w:rPr>
                <w:sz w:val="18"/>
                <w:szCs w:val="18"/>
              </w:rPr>
            </w:pPr>
            <w:r>
              <w:rPr>
                <w:rFonts w:eastAsia="Calibri"/>
                <w:color w:val="000000" w:themeColor="text1"/>
              </w:rPr>
              <w:t>1</w:t>
            </w:r>
          </w:p>
        </w:tc>
        <w:tc>
          <w:tcPr>
            <w:tcW w:w="1080" w:type="dxa"/>
            <w:tcBorders>
              <w:bottom w:val="single" w:sz="4" w:space="0" w:color="auto"/>
            </w:tcBorders>
            <w:shd w:val="clear" w:color="auto" w:fill="FEF2CC" w:themeFill="accent4" w:themeFillTint="33"/>
            <w:vAlign w:val="center"/>
          </w:tcPr>
          <w:p w:rsidR="00B2157A" w:rsidRPr="00392443" w:rsidP="0049265F" w14:paraId="34D9B8BC" w14:textId="77777777">
            <w:pPr>
              <w:jc w:val="center"/>
              <w:rPr>
                <w:sz w:val="18"/>
                <w:szCs w:val="18"/>
              </w:rPr>
            </w:pPr>
            <w:r>
              <w:rPr>
                <w:rFonts w:eastAsia="Calibri"/>
                <w:color w:val="000000" w:themeColor="text1"/>
              </w:rPr>
              <w:t>6,300</w:t>
            </w:r>
          </w:p>
        </w:tc>
        <w:tc>
          <w:tcPr>
            <w:tcW w:w="360" w:type="dxa"/>
            <w:tcBorders>
              <w:bottom w:val="single" w:sz="4" w:space="0" w:color="auto"/>
            </w:tcBorders>
            <w:shd w:val="clear" w:color="auto" w:fill="FEF2CC" w:themeFill="accent4" w:themeFillTint="33"/>
          </w:tcPr>
          <w:p w:rsidR="00B2157A" w:rsidRPr="00392443" w:rsidP="0049265F" w14:paraId="1F90D5F9" w14:textId="77777777">
            <w:pPr>
              <w:jc w:val="center"/>
              <w:rPr>
                <w:rFonts w:eastAsia="Calibri"/>
                <w:color w:val="000000" w:themeColor="text1"/>
              </w:rPr>
            </w:pPr>
          </w:p>
        </w:tc>
        <w:tc>
          <w:tcPr>
            <w:tcW w:w="990" w:type="dxa"/>
            <w:tcBorders>
              <w:bottom w:val="single" w:sz="4" w:space="0" w:color="auto"/>
            </w:tcBorders>
            <w:shd w:val="clear" w:color="auto" w:fill="FEF2CC" w:themeFill="accent4" w:themeFillTint="33"/>
            <w:vAlign w:val="center"/>
          </w:tcPr>
          <w:p w:rsidR="00B2157A" w:rsidRPr="00392443" w:rsidP="0049265F" w14:paraId="126D647C" w14:textId="77777777">
            <w:pPr>
              <w:jc w:val="center"/>
              <w:rPr>
                <w:sz w:val="18"/>
                <w:szCs w:val="18"/>
              </w:rPr>
            </w:pPr>
            <w:r w:rsidRPr="00392443">
              <w:rPr>
                <w:rFonts w:eastAsia="Calibri"/>
                <w:color w:val="000000" w:themeColor="text1"/>
              </w:rPr>
              <w:t>$</w:t>
            </w:r>
            <w:r>
              <w:rPr>
                <w:rFonts w:eastAsia="Calibri"/>
                <w:color w:val="000000" w:themeColor="text1"/>
              </w:rPr>
              <w:t>35.91</w:t>
            </w:r>
          </w:p>
        </w:tc>
        <w:tc>
          <w:tcPr>
            <w:tcW w:w="270" w:type="dxa"/>
            <w:tcBorders>
              <w:bottom w:val="single" w:sz="4" w:space="0" w:color="auto"/>
            </w:tcBorders>
            <w:shd w:val="clear" w:color="auto" w:fill="FEF2CC" w:themeFill="accent4" w:themeFillTint="33"/>
          </w:tcPr>
          <w:p w:rsidR="00B2157A" w:rsidRPr="00392443" w:rsidP="0049265F" w14:paraId="09B4B747" w14:textId="77777777">
            <w:pPr>
              <w:jc w:val="center"/>
              <w:rPr>
                <w:rFonts w:eastAsia="Calibri"/>
                <w:b/>
                <w:bCs/>
                <w:color w:val="000000" w:themeColor="text1"/>
              </w:rPr>
            </w:pPr>
          </w:p>
        </w:tc>
        <w:tc>
          <w:tcPr>
            <w:tcW w:w="1260" w:type="dxa"/>
            <w:tcBorders>
              <w:bottom w:val="single" w:sz="4" w:space="0" w:color="auto"/>
            </w:tcBorders>
            <w:shd w:val="clear" w:color="auto" w:fill="FEF2CC" w:themeFill="accent4" w:themeFillTint="33"/>
            <w:vAlign w:val="center"/>
          </w:tcPr>
          <w:p w:rsidR="00B2157A" w:rsidRPr="00392443" w:rsidP="0049265F" w14:paraId="74E7C42E" w14:textId="77777777">
            <w:pPr>
              <w:jc w:val="center"/>
              <w:rPr>
                <w:b/>
                <w:sz w:val="18"/>
                <w:szCs w:val="18"/>
              </w:rPr>
            </w:pPr>
            <w:r w:rsidRPr="00392443">
              <w:rPr>
                <w:rFonts w:eastAsia="Calibri"/>
                <w:b/>
                <w:bCs/>
                <w:color w:val="000000" w:themeColor="text1"/>
              </w:rPr>
              <w:t>$</w:t>
            </w:r>
            <w:r>
              <w:rPr>
                <w:rFonts w:eastAsia="Calibri"/>
                <w:b/>
                <w:bCs/>
                <w:color w:val="000000" w:themeColor="text1"/>
              </w:rPr>
              <w:t>226,233</w:t>
            </w:r>
          </w:p>
        </w:tc>
      </w:tr>
      <w:tr w14:paraId="2E37A5F7" w14:textId="77777777" w:rsidTr="006D60B9">
        <w:tblPrEx>
          <w:tblW w:w="10890" w:type="dxa"/>
          <w:tblInd w:w="-770" w:type="dxa"/>
          <w:tblLayout w:type="fixed"/>
          <w:tblLook w:val="00A0"/>
        </w:tblPrEx>
        <w:tc>
          <w:tcPr>
            <w:tcW w:w="1525" w:type="dxa"/>
            <w:tcBorders>
              <w:left w:val="single" w:sz="4" w:space="0" w:color="auto"/>
              <w:bottom w:val="single" w:sz="4" w:space="0" w:color="auto"/>
            </w:tcBorders>
            <w:vAlign w:val="center"/>
          </w:tcPr>
          <w:p w:rsidR="00B2157A" w:rsidP="0049265F" w14:paraId="04DAD2C2" w14:textId="77777777">
            <w:pPr>
              <w:jc w:val="center"/>
              <w:rPr>
                <w:rFonts w:eastAsia="Calibri"/>
                <w:color w:val="000000" w:themeColor="text1"/>
              </w:rPr>
            </w:pPr>
            <w:r>
              <w:rPr>
                <w:rFonts w:eastAsia="Calibri"/>
                <w:color w:val="000000" w:themeColor="text1"/>
              </w:rPr>
              <w:t>PHA Operating Budget Actuals</w:t>
            </w:r>
          </w:p>
        </w:tc>
        <w:tc>
          <w:tcPr>
            <w:tcW w:w="1265" w:type="dxa"/>
            <w:tcBorders>
              <w:bottom w:val="single" w:sz="4" w:space="0" w:color="auto"/>
            </w:tcBorders>
            <w:vAlign w:val="center"/>
          </w:tcPr>
          <w:p w:rsidR="00B2157A" w:rsidRPr="00392443" w:rsidP="0049265F" w14:paraId="59D418A5" w14:textId="77777777">
            <w:pPr>
              <w:jc w:val="center"/>
              <w:rPr>
                <w:rFonts w:eastAsia="Calibri"/>
                <w:color w:val="000000" w:themeColor="text1"/>
              </w:rPr>
            </w:pPr>
            <w:r>
              <w:rPr>
                <w:rFonts w:eastAsia="Calibri"/>
                <w:color w:val="000000" w:themeColor="text1"/>
              </w:rPr>
              <w:t>350</w:t>
            </w:r>
          </w:p>
        </w:tc>
        <w:tc>
          <w:tcPr>
            <w:tcW w:w="1620" w:type="dxa"/>
            <w:tcBorders>
              <w:bottom w:val="single" w:sz="4" w:space="0" w:color="auto"/>
            </w:tcBorders>
            <w:vAlign w:val="center"/>
          </w:tcPr>
          <w:p w:rsidR="00B2157A" w:rsidP="0049265F" w14:paraId="38C24650" w14:textId="77777777">
            <w:pPr>
              <w:jc w:val="center"/>
              <w:rPr>
                <w:rFonts w:eastAsia="Calibri"/>
                <w:color w:val="000000" w:themeColor="text1"/>
              </w:rPr>
            </w:pPr>
            <w:r>
              <w:rPr>
                <w:rFonts w:eastAsia="Calibri"/>
                <w:color w:val="000000" w:themeColor="text1"/>
              </w:rPr>
              <w:t>5</w:t>
            </w:r>
          </w:p>
        </w:tc>
        <w:tc>
          <w:tcPr>
            <w:tcW w:w="1260" w:type="dxa"/>
            <w:tcBorders>
              <w:bottom w:val="single" w:sz="4" w:space="0" w:color="auto"/>
            </w:tcBorders>
            <w:vAlign w:val="center"/>
          </w:tcPr>
          <w:p w:rsidR="00B2157A" w:rsidP="0049265F" w14:paraId="101032C6" w14:textId="77777777">
            <w:pPr>
              <w:jc w:val="center"/>
              <w:rPr>
                <w:rFonts w:eastAsia="Calibri"/>
                <w:color w:val="000000" w:themeColor="text1"/>
              </w:rPr>
            </w:pPr>
            <w:r>
              <w:rPr>
                <w:rFonts w:eastAsia="Calibri"/>
                <w:color w:val="000000" w:themeColor="text1"/>
              </w:rPr>
              <w:t>4,500</w:t>
            </w:r>
          </w:p>
        </w:tc>
        <w:tc>
          <w:tcPr>
            <w:tcW w:w="1260" w:type="dxa"/>
            <w:tcBorders>
              <w:bottom w:val="single" w:sz="4" w:space="0" w:color="auto"/>
            </w:tcBorders>
            <w:vAlign w:val="center"/>
          </w:tcPr>
          <w:p w:rsidR="00B2157A" w:rsidP="0049265F" w14:paraId="587882E3" w14:textId="77777777">
            <w:pPr>
              <w:jc w:val="center"/>
              <w:rPr>
                <w:rFonts w:eastAsia="Calibri"/>
                <w:color w:val="000000" w:themeColor="text1"/>
              </w:rPr>
            </w:pPr>
            <w:r>
              <w:rPr>
                <w:rFonts w:eastAsia="Calibri"/>
                <w:color w:val="000000" w:themeColor="text1"/>
              </w:rPr>
              <w:t>1</w:t>
            </w:r>
          </w:p>
        </w:tc>
        <w:tc>
          <w:tcPr>
            <w:tcW w:w="1080" w:type="dxa"/>
            <w:tcBorders>
              <w:bottom w:val="single" w:sz="4" w:space="0" w:color="auto"/>
            </w:tcBorders>
            <w:shd w:val="clear" w:color="auto" w:fill="FEF2CC" w:themeFill="accent4" w:themeFillTint="33"/>
            <w:vAlign w:val="center"/>
          </w:tcPr>
          <w:p w:rsidR="00B2157A" w:rsidP="0049265F" w14:paraId="224217B5" w14:textId="77777777">
            <w:pPr>
              <w:jc w:val="center"/>
              <w:rPr>
                <w:rFonts w:eastAsia="Calibri"/>
                <w:color w:val="000000" w:themeColor="text1"/>
              </w:rPr>
            </w:pPr>
            <w:r>
              <w:rPr>
                <w:rFonts w:eastAsia="Calibri"/>
                <w:color w:val="000000" w:themeColor="text1"/>
              </w:rPr>
              <w:t>4,500</w:t>
            </w:r>
          </w:p>
        </w:tc>
        <w:tc>
          <w:tcPr>
            <w:tcW w:w="360" w:type="dxa"/>
            <w:tcBorders>
              <w:bottom w:val="single" w:sz="4" w:space="0" w:color="auto"/>
            </w:tcBorders>
            <w:shd w:val="clear" w:color="auto" w:fill="FEF2CC" w:themeFill="accent4" w:themeFillTint="33"/>
          </w:tcPr>
          <w:p w:rsidR="00B2157A" w:rsidRPr="00392443" w:rsidP="0049265F" w14:paraId="5C943B0A" w14:textId="77777777">
            <w:pPr>
              <w:jc w:val="center"/>
              <w:rPr>
                <w:rFonts w:eastAsia="Calibri"/>
                <w:color w:val="000000" w:themeColor="text1"/>
              </w:rPr>
            </w:pPr>
          </w:p>
        </w:tc>
        <w:tc>
          <w:tcPr>
            <w:tcW w:w="990" w:type="dxa"/>
            <w:tcBorders>
              <w:bottom w:val="single" w:sz="4" w:space="0" w:color="auto"/>
            </w:tcBorders>
            <w:shd w:val="clear" w:color="auto" w:fill="FEF2CC" w:themeFill="accent4" w:themeFillTint="33"/>
            <w:vAlign w:val="center"/>
          </w:tcPr>
          <w:p w:rsidR="00B2157A" w:rsidRPr="00392443" w:rsidP="0049265F" w14:paraId="3DA9E8FE" w14:textId="77777777">
            <w:pPr>
              <w:jc w:val="center"/>
              <w:rPr>
                <w:rFonts w:eastAsia="Calibri"/>
                <w:color w:val="000000" w:themeColor="text1"/>
              </w:rPr>
            </w:pPr>
            <w:r w:rsidRPr="00392443">
              <w:rPr>
                <w:rFonts w:eastAsia="Calibri"/>
                <w:color w:val="000000" w:themeColor="text1"/>
              </w:rPr>
              <w:t>$</w:t>
            </w:r>
            <w:r>
              <w:rPr>
                <w:rFonts w:eastAsia="Calibri"/>
                <w:color w:val="000000" w:themeColor="text1"/>
              </w:rPr>
              <w:t>35.91</w:t>
            </w:r>
          </w:p>
        </w:tc>
        <w:tc>
          <w:tcPr>
            <w:tcW w:w="270" w:type="dxa"/>
            <w:tcBorders>
              <w:bottom w:val="single" w:sz="4" w:space="0" w:color="auto"/>
            </w:tcBorders>
            <w:shd w:val="clear" w:color="auto" w:fill="FEF2CC" w:themeFill="accent4" w:themeFillTint="33"/>
          </w:tcPr>
          <w:p w:rsidR="00B2157A" w:rsidP="0049265F" w14:paraId="3A5C2381" w14:textId="77777777">
            <w:pPr>
              <w:jc w:val="center"/>
              <w:rPr>
                <w:rFonts w:eastAsia="Calibri"/>
                <w:b/>
                <w:bCs/>
                <w:color w:val="000000" w:themeColor="text1"/>
              </w:rPr>
            </w:pPr>
          </w:p>
        </w:tc>
        <w:tc>
          <w:tcPr>
            <w:tcW w:w="1260" w:type="dxa"/>
            <w:tcBorders>
              <w:bottom w:val="single" w:sz="4" w:space="0" w:color="auto"/>
            </w:tcBorders>
            <w:shd w:val="clear" w:color="auto" w:fill="FEF2CC" w:themeFill="accent4" w:themeFillTint="33"/>
            <w:vAlign w:val="center"/>
          </w:tcPr>
          <w:p w:rsidR="00B2157A" w:rsidRPr="00392443" w:rsidP="0049265F" w14:paraId="7BCACD6C" w14:textId="77777777">
            <w:pPr>
              <w:jc w:val="center"/>
              <w:rPr>
                <w:rFonts w:eastAsia="Calibri"/>
                <w:b/>
                <w:bCs/>
                <w:color w:val="000000" w:themeColor="text1"/>
              </w:rPr>
            </w:pPr>
            <w:r>
              <w:rPr>
                <w:rFonts w:eastAsia="Calibri"/>
                <w:b/>
                <w:bCs/>
                <w:color w:val="000000" w:themeColor="text1"/>
              </w:rPr>
              <w:t>$161,595</w:t>
            </w:r>
          </w:p>
        </w:tc>
      </w:tr>
      <w:tr w14:paraId="68367214" w14:textId="77777777" w:rsidTr="006D60B9">
        <w:tblPrEx>
          <w:tblW w:w="10890" w:type="dxa"/>
          <w:tblInd w:w="-770" w:type="dxa"/>
          <w:tblLayout w:type="fixed"/>
          <w:tblLook w:val="00A0"/>
        </w:tblPrEx>
        <w:tc>
          <w:tcPr>
            <w:tcW w:w="1525" w:type="dxa"/>
            <w:tcBorders>
              <w:left w:val="single" w:sz="4" w:space="0" w:color="auto"/>
              <w:bottom w:val="single" w:sz="4" w:space="0" w:color="auto"/>
            </w:tcBorders>
            <w:vAlign w:val="center"/>
          </w:tcPr>
          <w:p w:rsidR="00B2157A" w:rsidRPr="006A6D87" w:rsidP="0049265F" w14:paraId="27E6C6C7" w14:textId="77777777">
            <w:pPr>
              <w:jc w:val="center"/>
              <w:rPr>
                <w:rFonts w:eastAsia="Calibri"/>
                <w:b/>
                <w:bCs/>
                <w:color w:val="000000" w:themeColor="text1"/>
              </w:rPr>
            </w:pPr>
            <w:r w:rsidRPr="006A6D87">
              <w:rPr>
                <w:rFonts w:eastAsia="Calibri"/>
                <w:b/>
                <w:bCs/>
                <w:color w:val="000000" w:themeColor="text1"/>
              </w:rPr>
              <w:t>Total</w:t>
            </w:r>
          </w:p>
        </w:tc>
        <w:tc>
          <w:tcPr>
            <w:tcW w:w="1265" w:type="dxa"/>
            <w:tcBorders>
              <w:bottom w:val="single" w:sz="4" w:space="0" w:color="auto"/>
            </w:tcBorders>
            <w:vAlign w:val="center"/>
          </w:tcPr>
          <w:p w:rsidR="00B2157A" w:rsidRPr="006A6D87" w:rsidP="0049265F" w14:paraId="5B649629" w14:textId="77777777">
            <w:pPr>
              <w:jc w:val="center"/>
              <w:rPr>
                <w:rFonts w:eastAsia="Calibri"/>
                <w:b/>
                <w:bCs/>
                <w:color w:val="000000" w:themeColor="text1"/>
              </w:rPr>
            </w:pPr>
            <w:r w:rsidRPr="006A6D87">
              <w:rPr>
                <w:rFonts w:eastAsia="Calibri"/>
                <w:b/>
                <w:bCs/>
                <w:color w:val="000000" w:themeColor="text1"/>
              </w:rPr>
              <w:t>6,000</w:t>
            </w:r>
          </w:p>
        </w:tc>
        <w:tc>
          <w:tcPr>
            <w:tcW w:w="1620" w:type="dxa"/>
            <w:tcBorders>
              <w:bottom w:val="single" w:sz="4" w:space="0" w:color="auto"/>
            </w:tcBorders>
            <w:vAlign w:val="center"/>
          </w:tcPr>
          <w:p w:rsidR="00B2157A" w:rsidRPr="006A6D87" w:rsidP="0049265F" w14:paraId="3CE182E1" w14:textId="77777777">
            <w:pPr>
              <w:jc w:val="center"/>
              <w:rPr>
                <w:rFonts w:eastAsia="Calibri"/>
                <w:b/>
                <w:bCs/>
                <w:color w:val="000000" w:themeColor="text1"/>
              </w:rPr>
            </w:pPr>
          </w:p>
        </w:tc>
        <w:tc>
          <w:tcPr>
            <w:tcW w:w="1260" w:type="dxa"/>
            <w:tcBorders>
              <w:bottom w:val="single" w:sz="4" w:space="0" w:color="auto"/>
            </w:tcBorders>
            <w:vAlign w:val="center"/>
          </w:tcPr>
          <w:p w:rsidR="00B2157A" w:rsidRPr="006A6D87" w:rsidP="0049265F" w14:paraId="3266BF5D" w14:textId="77777777">
            <w:pPr>
              <w:jc w:val="center"/>
              <w:rPr>
                <w:rFonts w:eastAsia="Calibri"/>
                <w:b/>
                <w:bCs/>
                <w:color w:val="000000" w:themeColor="text1"/>
              </w:rPr>
            </w:pPr>
            <w:r w:rsidRPr="006A6D87">
              <w:rPr>
                <w:rFonts w:eastAsia="Calibri"/>
                <w:b/>
                <w:bCs/>
                <w:color w:val="000000" w:themeColor="text1"/>
              </w:rPr>
              <w:t>13,800</w:t>
            </w:r>
          </w:p>
        </w:tc>
        <w:tc>
          <w:tcPr>
            <w:tcW w:w="1260" w:type="dxa"/>
            <w:tcBorders>
              <w:bottom w:val="single" w:sz="4" w:space="0" w:color="auto"/>
            </w:tcBorders>
            <w:vAlign w:val="center"/>
          </w:tcPr>
          <w:p w:rsidR="00B2157A" w:rsidRPr="006A6D87" w:rsidP="0049265F" w14:paraId="2AC83385" w14:textId="77777777">
            <w:pPr>
              <w:jc w:val="center"/>
              <w:rPr>
                <w:rFonts w:eastAsia="Calibri"/>
                <w:b/>
                <w:bCs/>
                <w:color w:val="000000" w:themeColor="text1"/>
              </w:rPr>
            </w:pPr>
          </w:p>
        </w:tc>
        <w:tc>
          <w:tcPr>
            <w:tcW w:w="1080" w:type="dxa"/>
            <w:tcBorders>
              <w:bottom w:val="single" w:sz="4" w:space="0" w:color="auto"/>
            </w:tcBorders>
            <w:shd w:val="clear" w:color="auto" w:fill="FEF2CC" w:themeFill="accent4" w:themeFillTint="33"/>
            <w:vAlign w:val="center"/>
          </w:tcPr>
          <w:p w:rsidR="00B2157A" w:rsidRPr="006A6D87" w:rsidP="0049265F" w14:paraId="5D6D3BE6" w14:textId="77777777">
            <w:pPr>
              <w:jc w:val="center"/>
              <w:rPr>
                <w:rFonts w:eastAsia="Calibri"/>
                <w:b/>
                <w:bCs/>
                <w:color w:val="000000" w:themeColor="text1"/>
              </w:rPr>
            </w:pPr>
            <w:r w:rsidRPr="006A6D87">
              <w:rPr>
                <w:rFonts w:eastAsia="Calibri"/>
                <w:b/>
                <w:bCs/>
                <w:color w:val="000000" w:themeColor="text1"/>
              </w:rPr>
              <w:t>11,310</w:t>
            </w:r>
          </w:p>
        </w:tc>
        <w:tc>
          <w:tcPr>
            <w:tcW w:w="360" w:type="dxa"/>
            <w:tcBorders>
              <w:bottom w:val="single" w:sz="4" w:space="0" w:color="auto"/>
            </w:tcBorders>
            <w:shd w:val="clear" w:color="auto" w:fill="FEF2CC" w:themeFill="accent4" w:themeFillTint="33"/>
          </w:tcPr>
          <w:p w:rsidR="00B2157A" w:rsidRPr="006A6D87" w:rsidP="0049265F" w14:paraId="429FC471" w14:textId="77777777">
            <w:pPr>
              <w:jc w:val="center"/>
              <w:rPr>
                <w:rFonts w:eastAsia="Calibri"/>
                <w:b/>
                <w:bCs/>
                <w:color w:val="000000" w:themeColor="text1"/>
              </w:rPr>
            </w:pPr>
          </w:p>
        </w:tc>
        <w:tc>
          <w:tcPr>
            <w:tcW w:w="990" w:type="dxa"/>
            <w:tcBorders>
              <w:bottom w:val="single" w:sz="4" w:space="0" w:color="auto"/>
            </w:tcBorders>
            <w:shd w:val="clear" w:color="auto" w:fill="FEF2CC" w:themeFill="accent4" w:themeFillTint="33"/>
            <w:vAlign w:val="center"/>
          </w:tcPr>
          <w:p w:rsidR="00B2157A" w:rsidRPr="006A6D87" w:rsidP="0049265F" w14:paraId="063FED62" w14:textId="77777777">
            <w:pPr>
              <w:jc w:val="center"/>
              <w:rPr>
                <w:rFonts w:eastAsia="Calibri"/>
                <w:b/>
                <w:bCs/>
                <w:color w:val="000000" w:themeColor="text1"/>
              </w:rPr>
            </w:pPr>
          </w:p>
        </w:tc>
        <w:tc>
          <w:tcPr>
            <w:tcW w:w="270" w:type="dxa"/>
            <w:tcBorders>
              <w:bottom w:val="single" w:sz="4" w:space="0" w:color="auto"/>
            </w:tcBorders>
            <w:shd w:val="clear" w:color="auto" w:fill="FEF2CC" w:themeFill="accent4" w:themeFillTint="33"/>
          </w:tcPr>
          <w:p w:rsidR="00B2157A" w:rsidRPr="006A6D87" w:rsidP="0049265F" w14:paraId="5D828345" w14:textId="77777777">
            <w:pPr>
              <w:jc w:val="center"/>
              <w:rPr>
                <w:rFonts w:eastAsia="Calibri"/>
                <w:b/>
                <w:bCs/>
                <w:color w:val="000000" w:themeColor="text1"/>
              </w:rPr>
            </w:pPr>
          </w:p>
        </w:tc>
        <w:tc>
          <w:tcPr>
            <w:tcW w:w="1260" w:type="dxa"/>
            <w:tcBorders>
              <w:bottom w:val="single" w:sz="4" w:space="0" w:color="auto"/>
            </w:tcBorders>
            <w:shd w:val="clear" w:color="auto" w:fill="FEF2CC" w:themeFill="accent4" w:themeFillTint="33"/>
            <w:vAlign w:val="center"/>
          </w:tcPr>
          <w:p w:rsidR="00B2157A" w:rsidRPr="006A6D87" w:rsidP="0049265F" w14:paraId="72F2D085" w14:textId="77777777">
            <w:pPr>
              <w:jc w:val="center"/>
              <w:rPr>
                <w:rFonts w:eastAsia="Calibri"/>
                <w:b/>
                <w:bCs/>
                <w:color w:val="000000" w:themeColor="text1"/>
              </w:rPr>
            </w:pPr>
            <w:r w:rsidRPr="006A6D87">
              <w:rPr>
                <w:rFonts w:eastAsia="Calibri"/>
                <w:b/>
                <w:bCs/>
                <w:color w:val="000000" w:themeColor="text1"/>
              </w:rPr>
              <w:t>$406,142</w:t>
            </w:r>
          </w:p>
        </w:tc>
      </w:tr>
    </w:tbl>
    <w:p w:rsidR="00B2157A" w:rsidP="00B2157A" w14:paraId="0BC35B89" w14:textId="77777777">
      <w:pPr>
        <w:tabs>
          <w:tab w:val="left" w:pos="360"/>
        </w:tabs>
        <w:rPr>
          <w:color w:val="000000"/>
          <w:sz w:val="18"/>
        </w:rPr>
      </w:pPr>
    </w:p>
    <w:p w:rsidR="00B2157A" w:rsidRPr="006D60B9" w:rsidP="00B2157A" w14:paraId="609B4A52" w14:textId="77777777">
      <w:pPr>
        <w:ind w:left="360"/>
        <w:rPr>
          <w:color w:val="000000"/>
          <w:sz w:val="22"/>
          <w:szCs w:val="22"/>
        </w:rPr>
      </w:pPr>
      <w:r w:rsidRPr="006D60B9">
        <w:rPr>
          <w:color w:val="000000"/>
          <w:sz w:val="22"/>
          <w:szCs w:val="22"/>
        </w:rPr>
        <w:t>There no more than 6,000 total respondents, which are 3,000 PHA board chairs who complete the HUD-52574 and 3,000 PHAs that complete the PHA Operating Budgets and a slice of PHAs that complete Operating Budget Actuals.</w:t>
      </w:r>
    </w:p>
    <w:p w:rsidR="00B2157A" w:rsidRPr="006D60B9" w:rsidP="00B2157A" w14:paraId="407F046E" w14:textId="77777777">
      <w:pPr>
        <w:tabs>
          <w:tab w:val="left" w:pos="360"/>
        </w:tabs>
        <w:rPr>
          <w:color w:val="000000"/>
          <w:sz w:val="18"/>
        </w:rPr>
      </w:pPr>
    </w:p>
    <w:p w:rsidR="00B2157A" w:rsidRPr="006D60B9" w:rsidP="00B2157A" w14:paraId="63D9C53A" w14:textId="77777777">
      <w:pPr>
        <w:keepLines/>
        <w:tabs>
          <w:tab w:val="left" w:pos="360"/>
        </w:tabs>
        <w:spacing w:after="80"/>
        <w:ind w:left="360" w:hanging="360"/>
        <w:rPr>
          <w:b/>
          <w:bCs/>
          <w:color w:val="000000"/>
          <w:sz w:val="22"/>
          <w:szCs w:val="22"/>
        </w:rPr>
      </w:pPr>
      <w:r w:rsidRPr="006D60B9">
        <w:rPr>
          <w:b/>
          <w:bCs/>
          <w:color w:val="000000"/>
          <w:sz w:val="22"/>
          <w:szCs w:val="22"/>
        </w:rPr>
        <w:t>13.</w:t>
      </w:r>
      <w:r w:rsidRPr="006D60B9">
        <w:rPr>
          <w:b/>
          <w:bCs/>
          <w:color w:val="000000"/>
          <w:sz w:val="22"/>
          <w:szCs w:val="22"/>
        </w:rPr>
        <w:tab/>
        <w:t>Estimate of the annual cost to respondents or recordkeepers (do not include the cost of hour burden shown in Items 12 and 14).  Read the complete instructions on the form 83i.</w:t>
      </w:r>
    </w:p>
    <w:p w:rsidR="00B2157A" w:rsidRPr="006D60B9" w:rsidP="00B2157A" w14:paraId="34703709" w14:textId="77777777">
      <w:pPr>
        <w:tabs>
          <w:tab w:val="left" w:pos="360"/>
        </w:tabs>
        <w:rPr>
          <w:color w:val="000000"/>
          <w:sz w:val="22"/>
          <w:szCs w:val="22"/>
        </w:rPr>
      </w:pPr>
      <w:r w:rsidRPr="006D60B9">
        <w:rPr>
          <w:color w:val="000000"/>
          <w:sz w:val="22"/>
          <w:szCs w:val="22"/>
        </w:rPr>
        <w:tab/>
        <w:t>There will be no additional costs to the respondents.</w:t>
      </w:r>
    </w:p>
    <w:p w:rsidR="00B2157A" w:rsidRPr="006D60B9" w:rsidP="00B2157A" w14:paraId="4FFC1C80" w14:textId="77777777">
      <w:pPr>
        <w:tabs>
          <w:tab w:val="left" w:pos="360"/>
        </w:tabs>
        <w:ind w:left="360" w:hanging="360"/>
        <w:rPr>
          <w:color w:val="000000"/>
          <w:sz w:val="22"/>
          <w:szCs w:val="22"/>
        </w:rPr>
      </w:pPr>
    </w:p>
    <w:p w:rsidR="00B2157A" w:rsidRPr="00910965" w:rsidP="00B2157A" w14:paraId="15DE383D" w14:textId="77777777">
      <w:pPr>
        <w:keepLines/>
        <w:tabs>
          <w:tab w:val="left" w:pos="360"/>
        </w:tabs>
        <w:spacing w:after="80"/>
        <w:ind w:left="360" w:hanging="360"/>
        <w:rPr>
          <w:b/>
          <w:bCs/>
          <w:color w:val="000000"/>
          <w:sz w:val="22"/>
          <w:szCs w:val="22"/>
        </w:rPr>
      </w:pPr>
      <w:r w:rsidRPr="006D60B9">
        <w:rPr>
          <w:b/>
          <w:bCs/>
          <w:color w:val="000000"/>
          <w:sz w:val="22"/>
          <w:szCs w:val="22"/>
        </w:rPr>
        <w:t>14.</w:t>
      </w:r>
      <w:r w:rsidRPr="006D60B9">
        <w:rPr>
          <w:b/>
          <w:bCs/>
          <w:color w:val="000000"/>
          <w:sz w:val="22"/>
          <w:szCs w:val="22"/>
        </w:rPr>
        <w:tab/>
        <w:t>Estimate annualized</w:t>
      </w:r>
      <w:r w:rsidRPr="00910965">
        <w:rPr>
          <w:b/>
          <w:bCs/>
          <w:color w:val="000000"/>
          <w:sz w:val="22"/>
          <w:szCs w:val="22"/>
        </w:rPr>
        <w:t xml:space="preserve"> costs to the Federal government.</w:t>
      </w:r>
    </w:p>
    <w:p w:rsidR="00B2157A" w:rsidP="00B2157A" w14:paraId="0920388E" w14:textId="77777777">
      <w:pPr>
        <w:ind w:left="360"/>
        <w:rPr>
          <w:sz w:val="22"/>
          <w:szCs w:val="22"/>
        </w:rPr>
      </w:pPr>
      <w:r w:rsidRPr="00910965">
        <w:rPr>
          <w:sz w:val="22"/>
          <w:szCs w:val="22"/>
        </w:rPr>
        <w:t xml:space="preserve">The estimated annualized cost to the federal government is based on the 2022 general pay schedule for a GS-13, Step 1 rate for Washington-Baltimore-Arlington, DC-MD-WV-PA (an average salary for a management analyst) that is $51.18 per hour.  It is estimated that it takes 0.17 hours (10 minutes) to review each form and 1 hour to review a PHA operating budget and to review a PHA operating budget updated with actuals. </w:t>
      </w:r>
    </w:p>
    <w:p w:rsidR="00B2157A" w:rsidRPr="00910965" w:rsidP="00B2157A" w14:paraId="3426627F" w14:textId="77777777">
      <w:pPr>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1415"/>
        <w:gridCol w:w="1363"/>
        <w:gridCol w:w="1316"/>
        <w:gridCol w:w="1168"/>
        <w:gridCol w:w="377"/>
        <w:gridCol w:w="859"/>
        <w:gridCol w:w="343"/>
        <w:gridCol w:w="1073"/>
      </w:tblGrid>
      <w:tr w14:paraId="6E080B9B" w14:textId="77777777" w:rsidTr="004926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67" w:type="dxa"/>
            <w:shd w:val="clear" w:color="auto" w:fill="DEEBF6" w:themeFill="accent5" w:themeFillTint="33"/>
            <w:vAlign w:val="center"/>
          </w:tcPr>
          <w:p w:rsidR="00B2157A" w:rsidRPr="001012C0" w:rsidP="0049265F" w14:paraId="3F9D83D8" w14:textId="77777777">
            <w:pPr>
              <w:overflowPunct/>
              <w:autoSpaceDE/>
              <w:autoSpaceDN/>
              <w:adjustRightInd/>
              <w:jc w:val="center"/>
              <w:textAlignment w:val="auto"/>
              <w:rPr>
                <w:b/>
                <w:bCs/>
                <w:sz w:val="22"/>
                <w:szCs w:val="22"/>
              </w:rPr>
            </w:pPr>
            <w:r>
              <w:rPr>
                <w:b/>
                <w:bCs/>
                <w:sz w:val="22"/>
                <w:szCs w:val="22"/>
              </w:rPr>
              <w:t>Information Collection</w:t>
            </w:r>
          </w:p>
        </w:tc>
        <w:tc>
          <w:tcPr>
            <w:tcW w:w="1415" w:type="dxa"/>
            <w:shd w:val="clear" w:color="auto" w:fill="DEEBF6" w:themeFill="accent5" w:themeFillTint="33"/>
            <w:vAlign w:val="center"/>
          </w:tcPr>
          <w:p w:rsidR="00B2157A" w:rsidRPr="001012C0" w:rsidP="0049265F" w14:paraId="18D7C9EA" w14:textId="77777777">
            <w:pPr>
              <w:overflowPunct/>
              <w:autoSpaceDE/>
              <w:autoSpaceDN/>
              <w:adjustRightInd/>
              <w:jc w:val="center"/>
              <w:textAlignment w:val="auto"/>
              <w:rPr>
                <w:b/>
                <w:bCs/>
                <w:sz w:val="22"/>
                <w:szCs w:val="22"/>
              </w:rPr>
            </w:pPr>
            <w:r w:rsidRPr="001012C0">
              <w:rPr>
                <w:b/>
                <w:bCs/>
                <w:sz w:val="22"/>
                <w:szCs w:val="22"/>
              </w:rPr>
              <w:t>No. of Respondents</w:t>
            </w:r>
          </w:p>
        </w:tc>
        <w:tc>
          <w:tcPr>
            <w:tcW w:w="1693" w:type="dxa"/>
            <w:shd w:val="clear" w:color="auto" w:fill="DEEBF6" w:themeFill="accent5" w:themeFillTint="33"/>
            <w:vAlign w:val="center"/>
          </w:tcPr>
          <w:p w:rsidR="00B2157A" w:rsidRPr="001012C0" w:rsidP="0049265F" w14:paraId="2969E4AF" w14:textId="77777777">
            <w:pPr>
              <w:overflowPunct/>
              <w:autoSpaceDE/>
              <w:autoSpaceDN/>
              <w:adjustRightInd/>
              <w:jc w:val="center"/>
              <w:textAlignment w:val="auto"/>
              <w:rPr>
                <w:b/>
                <w:bCs/>
                <w:sz w:val="22"/>
                <w:szCs w:val="22"/>
              </w:rPr>
            </w:pPr>
            <w:r>
              <w:rPr>
                <w:b/>
                <w:bCs/>
                <w:sz w:val="22"/>
                <w:szCs w:val="22"/>
              </w:rPr>
              <w:t>Total Annual Responses</w:t>
            </w:r>
          </w:p>
        </w:tc>
        <w:tc>
          <w:tcPr>
            <w:tcW w:w="1718" w:type="dxa"/>
            <w:shd w:val="clear" w:color="auto" w:fill="DEEBF6" w:themeFill="accent5" w:themeFillTint="33"/>
            <w:vAlign w:val="center"/>
          </w:tcPr>
          <w:p w:rsidR="00B2157A" w:rsidRPr="001012C0" w:rsidP="0049265F" w14:paraId="5E76DCC6" w14:textId="77777777">
            <w:pPr>
              <w:overflowPunct/>
              <w:autoSpaceDE/>
              <w:autoSpaceDN/>
              <w:adjustRightInd/>
              <w:jc w:val="center"/>
              <w:textAlignment w:val="auto"/>
              <w:rPr>
                <w:b/>
                <w:bCs/>
                <w:sz w:val="22"/>
                <w:szCs w:val="22"/>
              </w:rPr>
            </w:pPr>
            <w:r w:rsidRPr="001012C0">
              <w:rPr>
                <w:b/>
                <w:bCs/>
                <w:sz w:val="22"/>
                <w:szCs w:val="22"/>
              </w:rPr>
              <w:t>Burden Hours</w:t>
            </w:r>
            <w:r>
              <w:rPr>
                <w:b/>
                <w:bCs/>
                <w:sz w:val="22"/>
                <w:szCs w:val="22"/>
              </w:rPr>
              <w:t xml:space="preserve"> per Response</w:t>
            </w:r>
          </w:p>
        </w:tc>
        <w:tc>
          <w:tcPr>
            <w:tcW w:w="1611" w:type="dxa"/>
            <w:shd w:val="clear" w:color="auto" w:fill="FEF2CC" w:themeFill="accent4" w:themeFillTint="33"/>
            <w:vAlign w:val="center"/>
          </w:tcPr>
          <w:p w:rsidR="00B2157A" w:rsidRPr="001012C0" w:rsidP="0049265F" w14:paraId="1100718C" w14:textId="77777777">
            <w:pPr>
              <w:keepNext/>
              <w:jc w:val="center"/>
              <w:outlineLvl w:val="6"/>
              <w:rPr>
                <w:b/>
                <w:bCs/>
                <w:sz w:val="22"/>
                <w:szCs w:val="22"/>
              </w:rPr>
            </w:pPr>
            <w:r>
              <w:rPr>
                <w:b/>
                <w:bCs/>
                <w:sz w:val="22"/>
                <w:szCs w:val="22"/>
              </w:rPr>
              <w:t>Total Burden Hours</w:t>
            </w:r>
          </w:p>
        </w:tc>
        <w:tc>
          <w:tcPr>
            <w:tcW w:w="380" w:type="dxa"/>
            <w:shd w:val="clear" w:color="auto" w:fill="FEF2CC" w:themeFill="accent4" w:themeFillTint="33"/>
            <w:vAlign w:val="center"/>
          </w:tcPr>
          <w:p w:rsidR="00B2157A" w:rsidRPr="001012C0" w:rsidP="0049265F" w14:paraId="5910C4A0" w14:textId="77777777">
            <w:pPr>
              <w:keepNext/>
              <w:jc w:val="center"/>
              <w:outlineLvl w:val="6"/>
              <w:rPr>
                <w:b/>
                <w:bCs/>
                <w:sz w:val="22"/>
                <w:szCs w:val="22"/>
              </w:rPr>
            </w:pPr>
            <w:r w:rsidRPr="001012C0">
              <w:rPr>
                <w:b/>
                <w:bCs/>
                <w:sz w:val="22"/>
                <w:szCs w:val="22"/>
              </w:rPr>
              <w:t>X</w:t>
            </w:r>
          </w:p>
        </w:tc>
        <w:tc>
          <w:tcPr>
            <w:tcW w:w="928" w:type="dxa"/>
            <w:shd w:val="clear" w:color="auto" w:fill="FEF2CC" w:themeFill="accent4" w:themeFillTint="33"/>
            <w:vAlign w:val="center"/>
          </w:tcPr>
          <w:p w:rsidR="00B2157A" w:rsidRPr="001012C0" w:rsidP="0049265F" w14:paraId="735413E0" w14:textId="77777777">
            <w:pPr>
              <w:keepNext/>
              <w:jc w:val="center"/>
              <w:outlineLvl w:val="6"/>
              <w:rPr>
                <w:b/>
                <w:bCs/>
                <w:sz w:val="22"/>
                <w:szCs w:val="22"/>
              </w:rPr>
            </w:pPr>
            <w:r w:rsidRPr="001012C0">
              <w:rPr>
                <w:b/>
                <w:bCs/>
                <w:sz w:val="22"/>
                <w:szCs w:val="22"/>
              </w:rPr>
              <w:t>Hr. Rate</w:t>
            </w:r>
          </w:p>
        </w:tc>
        <w:tc>
          <w:tcPr>
            <w:tcW w:w="347" w:type="dxa"/>
            <w:shd w:val="clear" w:color="auto" w:fill="FEF2CC" w:themeFill="accent4" w:themeFillTint="33"/>
            <w:vAlign w:val="center"/>
          </w:tcPr>
          <w:p w:rsidR="00B2157A" w:rsidRPr="001012C0" w:rsidP="0049265F" w14:paraId="7B8B6BD6" w14:textId="77777777">
            <w:pPr>
              <w:overflowPunct/>
              <w:autoSpaceDE/>
              <w:autoSpaceDN/>
              <w:adjustRightInd/>
              <w:jc w:val="center"/>
              <w:textAlignment w:val="auto"/>
              <w:rPr>
                <w:sz w:val="22"/>
                <w:szCs w:val="22"/>
              </w:rPr>
            </w:pPr>
            <w:r w:rsidRPr="001012C0">
              <w:rPr>
                <w:sz w:val="22"/>
                <w:szCs w:val="22"/>
              </w:rPr>
              <w:t>=</w:t>
            </w:r>
          </w:p>
        </w:tc>
        <w:tc>
          <w:tcPr>
            <w:tcW w:w="1131" w:type="dxa"/>
            <w:shd w:val="clear" w:color="auto" w:fill="FEF2CC" w:themeFill="accent4" w:themeFillTint="33"/>
            <w:vAlign w:val="center"/>
          </w:tcPr>
          <w:p w:rsidR="00B2157A" w:rsidRPr="001012C0" w:rsidP="0049265F" w14:paraId="2EB4ED80" w14:textId="77777777">
            <w:pPr>
              <w:keepNext/>
              <w:jc w:val="center"/>
              <w:outlineLvl w:val="6"/>
              <w:rPr>
                <w:b/>
                <w:bCs/>
                <w:sz w:val="22"/>
                <w:szCs w:val="22"/>
              </w:rPr>
            </w:pPr>
            <w:r w:rsidRPr="001012C0">
              <w:rPr>
                <w:b/>
                <w:bCs/>
                <w:sz w:val="22"/>
                <w:szCs w:val="22"/>
              </w:rPr>
              <w:t>Annual Cost</w:t>
            </w:r>
          </w:p>
        </w:tc>
      </w:tr>
      <w:tr w14:paraId="4D6DC8AF" w14:textId="77777777" w:rsidTr="0049265F">
        <w:tblPrEx>
          <w:tblW w:w="0" w:type="auto"/>
          <w:tblLook w:val="0000"/>
        </w:tblPrEx>
        <w:tc>
          <w:tcPr>
            <w:tcW w:w="1567" w:type="dxa"/>
            <w:vAlign w:val="center"/>
          </w:tcPr>
          <w:p w:rsidR="00B2157A" w:rsidRPr="001012C0" w:rsidP="0049265F" w14:paraId="45B23DC8" w14:textId="77777777">
            <w:pPr>
              <w:overflowPunct/>
              <w:autoSpaceDE/>
              <w:autoSpaceDN/>
              <w:adjustRightInd/>
              <w:jc w:val="center"/>
              <w:textAlignment w:val="auto"/>
              <w:rPr>
                <w:sz w:val="22"/>
                <w:szCs w:val="22"/>
              </w:rPr>
            </w:pPr>
            <w:r w:rsidRPr="00392443">
              <w:rPr>
                <w:rFonts w:eastAsia="Calibri"/>
                <w:color w:val="000000" w:themeColor="text1"/>
              </w:rPr>
              <w:t>HUD-52574</w:t>
            </w:r>
          </w:p>
        </w:tc>
        <w:tc>
          <w:tcPr>
            <w:tcW w:w="1415" w:type="dxa"/>
            <w:vAlign w:val="center"/>
          </w:tcPr>
          <w:p w:rsidR="00B2157A" w:rsidRPr="001012C0" w:rsidP="0049265F" w14:paraId="61F900E3" w14:textId="77777777">
            <w:pPr>
              <w:overflowPunct/>
              <w:autoSpaceDE/>
              <w:autoSpaceDN/>
              <w:adjustRightInd/>
              <w:jc w:val="center"/>
              <w:textAlignment w:val="auto"/>
              <w:rPr>
                <w:sz w:val="22"/>
                <w:szCs w:val="22"/>
              </w:rPr>
            </w:pPr>
            <w:r>
              <w:rPr>
                <w:sz w:val="22"/>
                <w:szCs w:val="22"/>
              </w:rPr>
              <w:t>3,000</w:t>
            </w:r>
          </w:p>
        </w:tc>
        <w:tc>
          <w:tcPr>
            <w:tcW w:w="1693" w:type="dxa"/>
            <w:vAlign w:val="center"/>
          </w:tcPr>
          <w:p w:rsidR="00B2157A" w:rsidP="0049265F" w14:paraId="28A3FF80" w14:textId="77777777">
            <w:pPr>
              <w:overflowPunct/>
              <w:autoSpaceDE/>
              <w:autoSpaceDN/>
              <w:adjustRightInd/>
              <w:jc w:val="center"/>
              <w:textAlignment w:val="auto"/>
              <w:rPr>
                <w:sz w:val="22"/>
                <w:szCs w:val="22"/>
              </w:rPr>
            </w:pPr>
            <w:r>
              <w:rPr>
                <w:sz w:val="22"/>
                <w:szCs w:val="22"/>
              </w:rPr>
              <w:t>3,000</w:t>
            </w:r>
          </w:p>
        </w:tc>
        <w:tc>
          <w:tcPr>
            <w:tcW w:w="1718" w:type="dxa"/>
            <w:vAlign w:val="center"/>
          </w:tcPr>
          <w:p w:rsidR="00B2157A" w:rsidRPr="001012C0" w:rsidP="0049265F" w14:paraId="368D8EB8" w14:textId="77777777">
            <w:pPr>
              <w:overflowPunct/>
              <w:autoSpaceDE/>
              <w:autoSpaceDN/>
              <w:adjustRightInd/>
              <w:jc w:val="center"/>
              <w:textAlignment w:val="auto"/>
              <w:rPr>
                <w:sz w:val="22"/>
                <w:szCs w:val="22"/>
              </w:rPr>
            </w:pPr>
            <w:r>
              <w:rPr>
                <w:sz w:val="22"/>
                <w:szCs w:val="22"/>
              </w:rPr>
              <w:t>0.17</w:t>
            </w:r>
          </w:p>
        </w:tc>
        <w:tc>
          <w:tcPr>
            <w:tcW w:w="1611" w:type="dxa"/>
            <w:shd w:val="clear" w:color="auto" w:fill="FEF2CC" w:themeFill="accent4" w:themeFillTint="33"/>
            <w:vAlign w:val="center"/>
          </w:tcPr>
          <w:p w:rsidR="00B2157A" w:rsidRPr="001012C0" w:rsidP="0049265F" w14:paraId="6FA8EBAD" w14:textId="77777777">
            <w:pPr>
              <w:overflowPunct/>
              <w:autoSpaceDE/>
              <w:autoSpaceDN/>
              <w:adjustRightInd/>
              <w:jc w:val="center"/>
              <w:textAlignment w:val="auto"/>
              <w:rPr>
                <w:sz w:val="22"/>
                <w:szCs w:val="22"/>
              </w:rPr>
            </w:pPr>
            <w:r>
              <w:rPr>
                <w:sz w:val="22"/>
                <w:szCs w:val="22"/>
              </w:rPr>
              <w:t>510</w:t>
            </w:r>
          </w:p>
        </w:tc>
        <w:tc>
          <w:tcPr>
            <w:tcW w:w="380" w:type="dxa"/>
            <w:shd w:val="clear" w:color="auto" w:fill="FEF2CC" w:themeFill="accent4" w:themeFillTint="33"/>
            <w:vAlign w:val="center"/>
          </w:tcPr>
          <w:p w:rsidR="00B2157A" w:rsidRPr="001012C0" w:rsidP="0049265F" w14:paraId="3E664CF3" w14:textId="77777777">
            <w:pPr>
              <w:overflowPunct/>
              <w:autoSpaceDE/>
              <w:autoSpaceDN/>
              <w:adjustRightInd/>
              <w:jc w:val="center"/>
              <w:textAlignment w:val="auto"/>
              <w:rPr>
                <w:sz w:val="22"/>
                <w:szCs w:val="22"/>
              </w:rPr>
            </w:pPr>
          </w:p>
        </w:tc>
        <w:tc>
          <w:tcPr>
            <w:tcW w:w="928" w:type="dxa"/>
            <w:shd w:val="clear" w:color="auto" w:fill="FEF2CC" w:themeFill="accent4" w:themeFillTint="33"/>
            <w:vAlign w:val="center"/>
          </w:tcPr>
          <w:p w:rsidR="00B2157A" w:rsidRPr="001012C0" w:rsidP="0049265F" w14:paraId="75A2DEEA" w14:textId="77777777">
            <w:pPr>
              <w:overflowPunct/>
              <w:autoSpaceDE/>
              <w:autoSpaceDN/>
              <w:adjustRightInd/>
              <w:jc w:val="center"/>
              <w:textAlignment w:val="auto"/>
              <w:rPr>
                <w:sz w:val="22"/>
                <w:szCs w:val="22"/>
              </w:rPr>
            </w:pPr>
            <w:r w:rsidRPr="001012C0">
              <w:rPr>
                <w:sz w:val="22"/>
                <w:szCs w:val="22"/>
              </w:rPr>
              <w:t>$</w:t>
            </w:r>
            <w:r>
              <w:rPr>
                <w:sz w:val="22"/>
                <w:szCs w:val="22"/>
              </w:rPr>
              <w:t>51.18</w:t>
            </w:r>
          </w:p>
        </w:tc>
        <w:tc>
          <w:tcPr>
            <w:tcW w:w="347" w:type="dxa"/>
            <w:shd w:val="clear" w:color="auto" w:fill="FEF2CC" w:themeFill="accent4" w:themeFillTint="33"/>
            <w:vAlign w:val="center"/>
          </w:tcPr>
          <w:p w:rsidR="00B2157A" w:rsidRPr="001012C0" w:rsidP="0049265F" w14:paraId="044EB2A5" w14:textId="77777777">
            <w:pPr>
              <w:overflowPunct/>
              <w:autoSpaceDE/>
              <w:autoSpaceDN/>
              <w:adjustRightInd/>
              <w:jc w:val="center"/>
              <w:textAlignment w:val="auto"/>
              <w:rPr>
                <w:sz w:val="22"/>
                <w:szCs w:val="22"/>
              </w:rPr>
            </w:pPr>
          </w:p>
        </w:tc>
        <w:tc>
          <w:tcPr>
            <w:tcW w:w="1131" w:type="dxa"/>
            <w:shd w:val="clear" w:color="auto" w:fill="FEF2CC" w:themeFill="accent4" w:themeFillTint="33"/>
            <w:vAlign w:val="center"/>
          </w:tcPr>
          <w:p w:rsidR="00B2157A" w:rsidRPr="001012C0" w:rsidP="0049265F" w14:paraId="5A280C54" w14:textId="77777777">
            <w:pPr>
              <w:overflowPunct/>
              <w:autoSpaceDE/>
              <w:autoSpaceDN/>
              <w:adjustRightInd/>
              <w:jc w:val="center"/>
              <w:textAlignment w:val="auto"/>
              <w:rPr>
                <w:sz w:val="22"/>
                <w:szCs w:val="22"/>
              </w:rPr>
            </w:pPr>
            <w:r w:rsidRPr="001012C0">
              <w:rPr>
                <w:sz w:val="22"/>
                <w:szCs w:val="22"/>
              </w:rPr>
              <w:t>$</w:t>
            </w:r>
            <w:r>
              <w:rPr>
                <w:sz w:val="22"/>
                <w:szCs w:val="22"/>
              </w:rPr>
              <w:t>26,102</w:t>
            </w:r>
          </w:p>
        </w:tc>
      </w:tr>
      <w:tr w14:paraId="331C5A89" w14:textId="77777777" w:rsidTr="0049265F">
        <w:tblPrEx>
          <w:tblW w:w="0" w:type="auto"/>
          <w:tblLook w:val="0000"/>
        </w:tblPrEx>
        <w:tc>
          <w:tcPr>
            <w:tcW w:w="1567" w:type="dxa"/>
            <w:vAlign w:val="center"/>
          </w:tcPr>
          <w:p w:rsidR="00B2157A" w:rsidRPr="001012C0" w:rsidP="0049265F" w14:paraId="07B8B712" w14:textId="77777777">
            <w:pPr>
              <w:overflowPunct/>
              <w:autoSpaceDE/>
              <w:autoSpaceDN/>
              <w:adjustRightInd/>
              <w:jc w:val="center"/>
              <w:textAlignment w:val="auto"/>
              <w:rPr>
                <w:sz w:val="22"/>
                <w:szCs w:val="22"/>
              </w:rPr>
            </w:pPr>
            <w:r>
              <w:rPr>
                <w:rFonts w:eastAsia="Calibri"/>
                <w:color w:val="000000" w:themeColor="text1"/>
              </w:rPr>
              <w:t>PHA Operating Budget</w:t>
            </w:r>
          </w:p>
        </w:tc>
        <w:tc>
          <w:tcPr>
            <w:tcW w:w="1415" w:type="dxa"/>
            <w:vAlign w:val="center"/>
          </w:tcPr>
          <w:p w:rsidR="00B2157A" w:rsidRPr="001012C0" w:rsidP="0049265F" w14:paraId="5453EAAE" w14:textId="77777777">
            <w:pPr>
              <w:overflowPunct/>
              <w:autoSpaceDE/>
              <w:autoSpaceDN/>
              <w:adjustRightInd/>
              <w:jc w:val="center"/>
              <w:textAlignment w:val="auto"/>
              <w:rPr>
                <w:sz w:val="22"/>
                <w:szCs w:val="22"/>
              </w:rPr>
            </w:pPr>
            <w:r>
              <w:rPr>
                <w:sz w:val="22"/>
                <w:szCs w:val="22"/>
              </w:rPr>
              <w:t>350</w:t>
            </w:r>
          </w:p>
        </w:tc>
        <w:tc>
          <w:tcPr>
            <w:tcW w:w="1693" w:type="dxa"/>
            <w:vAlign w:val="center"/>
          </w:tcPr>
          <w:p w:rsidR="00B2157A" w:rsidP="0049265F" w14:paraId="325EF771" w14:textId="77777777">
            <w:pPr>
              <w:overflowPunct/>
              <w:autoSpaceDE/>
              <w:autoSpaceDN/>
              <w:adjustRightInd/>
              <w:jc w:val="center"/>
              <w:textAlignment w:val="auto"/>
              <w:rPr>
                <w:sz w:val="22"/>
                <w:szCs w:val="22"/>
              </w:rPr>
            </w:pPr>
            <w:r>
              <w:rPr>
                <w:sz w:val="22"/>
                <w:szCs w:val="22"/>
              </w:rPr>
              <w:t>350</w:t>
            </w:r>
          </w:p>
        </w:tc>
        <w:tc>
          <w:tcPr>
            <w:tcW w:w="1718" w:type="dxa"/>
            <w:vAlign w:val="center"/>
          </w:tcPr>
          <w:p w:rsidR="00B2157A" w:rsidRPr="001012C0" w:rsidP="0049265F" w14:paraId="004788EA" w14:textId="77777777">
            <w:pPr>
              <w:overflowPunct/>
              <w:autoSpaceDE/>
              <w:autoSpaceDN/>
              <w:adjustRightInd/>
              <w:jc w:val="center"/>
              <w:textAlignment w:val="auto"/>
              <w:rPr>
                <w:sz w:val="22"/>
                <w:szCs w:val="22"/>
              </w:rPr>
            </w:pPr>
            <w:r>
              <w:rPr>
                <w:sz w:val="22"/>
                <w:szCs w:val="22"/>
              </w:rPr>
              <w:t>1</w:t>
            </w:r>
          </w:p>
        </w:tc>
        <w:tc>
          <w:tcPr>
            <w:tcW w:w="1611" w:type="dxa"/>
            <w:shd w:val="clear" w:color="auto" w:fill="FEF2CC" w:themeFill="accent4" w:themeFillTint="33"/>
            <w:vAlign w:val="center"/>
          </w:tcPr>
          <w:p w:rsidR="00B2157A" w:rsidRPr="001012C0" w:rsidP="0049265F" w14:paraId="535C2AD6" w14:textId="77777777">
            <w:pPr>
              <w:overflowPunct/>
              <w:autoSpaceDE/>
              <w:autoSpaceDN/>
              <w:adjustRightInd/>
              <w:jc w:val="center"/>
              <w:textAlignment w:val="auto"/>
              <w:rPr>
                <w:sz w:val="22"/>
                <w:szCs w:val="22"/>
              </w:rPr>
            </w:pPr>
            <w:r>
              <w:rPr>
                <w:sz w:val="22"/>
                <w:szCs w:val="22"/>
              </w:rPr>
              <w:t>350</w:t>
            </w:r>
          </w:p>
        </w:tc>
        <w:tc>
          <w:tcPr>
            <w:tcW w:w="380" w:type="dxa"/>
            <w:shd w:val="clear" w:color="auto" w:fill="FEF2CC" w:themeFill="accent4" w:themeFillTint="33"/>
            <w:vAlign w:val="center"/>
          </w:tcPr>
          <w:p w:rsidR="00B2157A" w:rsidRPr="001012C0" w:rsidP="0049265F" w14:paraId="11E42592" w14:textId="77777777">
            <w:pPr>
              <w:overflowPunct/>
              <w:autoSpaceDE/>
              <w:autoSpaceDN/>
              <w:adjustRightInd/>
              <w:jc w:val="center"/>
              <w:textAlignment w:val="auto"/>
              <w:rPr>
                <w:sz w:val="22"/>
                <w:szCs w:val="22"/>
              </w:rPr>
            </w:pPr>
          </w:p>
        </w:tc>
        <w:tc>
          <w:tcPr>
            <w:tcW w:w="928" w:type="dxa"/>
            <w:shd w:val="clear" w:color="auto" w:fill="FEF2CC" w:themeFill="accent4" w:themeFillTint="33"/>
            <w:vAlign w:val="center"/>
          </w:tcPr>
          <w:p w:rsidR="00B2157A" w:rsidRPr="001012C0" w:rsidP="0049265F" w14:paraId="7881FB06" w14:textId="77777777">
            <w:pPr>
              <w:overflowPunct/>
              <w:autoSpaceDE/>
              <w:autoSpaceDN/>
              <w:adjustRightInd/>
              <w:jc w:val="center"/>
              <w:textAlignment w:val="auto"/>
              <w:rPr>
                <w:sz w:val="22"/>
                <w:szCs w:val="22"/>
              </w:rPr>
            </w:pPr>
            <w:r w:rsidRPr="001012C0">
              <w:rPr>
                <w:sz w:val="22"/>
                <w:szCs w:val="22"/>
              </w:rPr>
              <w:t>$</w:t>
            </w:r>
            <w:r>
              <w:rPr>
                <w:sz w:val="22"/>
                <w:szCs w:val="22"/>
              </w:rPr>
              <w:t>51.18</w:t>
            </w:r>
          </w:p>
        </w:tc>
        <w:tc>
          <w:tcPr>
            <w:tcW w:w="347" w:type="dxa"/>
            <w:shd w:val="clear" w:color="auto" w:fill="FEF2CC" w:themeFill="accent4" w:themeFillTint="33"/>
            <w:vAlign w:val="center"/>
          </w:tcPr>
          <w:p w:rsidR="00B2157A" w:rsidRPr="001012C0" w:rsidP="0049265F" w14:paraId="2D87FCBB" w14:textId="77777777">
            <w:pPr>
              <w:overflowPunct/>
              <w:autoSpaceDE/>
              <w:autoSpaceDN/>
              <w:adjustRightInd/>
              <w:jc w:val="center"/>
              <w:textAlignment w:val="auto"/>
              <w:rPr>
                <w:sz w:val="22"/>
                <w:szCs w:val="22"/>
              </w:rPr>
            </w:pPr>
          </w:p>
        </w:tc>
        <w:tc>
          <w:tcPr>
            <w:tcW w:w="1131" w:type="dxa"/>
            <w:shd w:val="clear" w:color="auto" w:fill="FEF2CC" w:themeFill="accent4" w:themeFillTint="33"/>
            <w:vAlign w:val="center"/>
          </w:tcPr>
          <w:p w:rsidR="00B2157A" w:rsidRPr="001012C0" w:rsidP="0049265F" w14:paraId="54F76CF8" w14:textId="77777777">
            <w:pPr>
              <w:overflowPunct/>
              <w:autoSpaceDE/>
              <w:autoSpaceDN/>
              <w:adjustRightInd/>
              <w:jc w:val="center"/>
              <w:textAlignment w:val="auto"/>
              <w:rPr>
                <w:sz w:val="22"/>
                <w:szCs w:val="22"/>
              </w:rPr>
            </w:pPr>
            <w:r w:rsidRPr="001012C0">
              <w:rPr>
                <w:sz w:val="22"/>
                <w:szCs w:val="22"/>
              </w:rPr>
              <w:t>$</w:t>
            </w:r>
            <w:r>
              <w:rPr>
                <w:sz w:val="22"/>
                <w:szCs w:val="22"/>
              </w:rPr>
              <w:t>17,913</w:t>
            </w:r>
          </w:p>
        </w:tc>
      </w:tr>
      <w:tr w14:paraId="3D4C37EF" w14:textId="77777777" w:rsidTr="0049265F">
        <w:tblPrEx>
          <w:tblW w:w="0" w:type="auto"/>
          <w:tblLook w:val="0000"/>
        </w:tblPrEx>
        <w:tc>
          <w:tcPr>
            <w:tcW w:w="1567" w:type="dxa"/>
            <w:vAlign w:val="center"/>
          </w:tcPr>
          <w:p w:rsidR="00B2157A" w:rsidP="0049265F" w14:paraId="61C9F795" w14:textId="77777777">
            <w:pPr>
              <w:overflowPunct/>
              <w:autoSpaceDE/>
              <w:autoSpaceDN/>
              <w:adjustRightInd/>
              <w:jc w:val="center"/>
              <w:textAlignment w:val="auto"/>
              <w:rPr>
                <w:rFonts w:eastAsia="Calibri"/>
                <w:color w:val="000000" w:themeColor="text1"/>
              </w:rPr>
            </w:pPr>
            <w:r>
              <w:rPr>
                <w:rFonts w:eastAsia="Calibri"/>
                <w:color w:val="000000" w:themeColor="text1"/>
              </w:rPr>
              <w:t>PHA Operating Budget Actuals</w:t>
            </w:r>
          </w:p>
        </w:tc>
        <w:tc>
          <w:tcPr>
            <w:tcW w:w="1415" w:type="dxa"/>
            <w:vAlign w:val="center"/>
          </w:tcPr>
          <w:p w:rsidR="00B2157A" w:rsidRPr="001012C0" w:rsidP="0049265F" w14:paraId="1C2C09B7" w14:textId="77777777">
            <w:pPr>
              <w:overflowPunct/>
              <w:autoSpaceDE/>
              <w:autoSpaceDN/>
              <w:adjustRightInd/>
              <w:jc w:val="center"/>
              <w:textAlignment w:val="auto"/>
              <w:rPr>
                <w:sz w:val="22"/>
                <w:szCs w:val="22"/>
              </w:rPr>
            </w:pPr>
            <w:r>
              <w:rPr>
                <w:sz w:val="22"/>
                <w:szCs w:val="22"/>
              </w:rPr>
              <w:t>350</w:t>
            </w:r>
          </w:p>
        </w:tc>
        <w:tc>
          <w:tcPr>
            <w:tcW w:w="1693" w:type="dxa"/>
            <w:vAlign w:val="center"/>
          </w:tcPr>
          <w:p w:rsidR="00B2157A" w:rsidP="0049265F" w14:paraId="607D6B40" w14:textId="77777777">
            <w:pPr>
              <w:overflowPunct/>
              <w:autoSpaceDE/>
              <w:autoSpaceDN/>
              <w:adjustRightInd/>
              <w:jc w:val="center"/>
              <w:textAlignment w:val="auto"/>
              <w:rPr>
                <w:sz w:val="22"/>
                <w:szCs w:val="22"/>
              </w:rPr>
            </w:pPr>
            <w:r>
              <w:rPr>
                <w:sz w:val="22"/>
                <w:szCs w:val="22"/>
              </w:rPr>
              <w:t>1,750</w:t>
            </w:r>
          </w:p>
        </w:tc>
        <w:tc>
          <w:tcPr>
            <w:tcW w:w="1718" w:type="dxa"/>
            <w:vAlign w:val="center"/>
          </w:tcPr>
          <w:p w:rsidR="00B2157A" w:rsidP="0049265F" w14:paraId="468851D0" w14:textId="77777777">
            <w:pPr>
              <w:overflowPunct/>
              <w:autoSpaceDE/>
              <w:autoSpaceDN/>
              <w:adjustRightInd/>
              <w:jc w:val="center"/>
              <w:textAlignment w:val="auto"/>
              <w:rPr>
                <w:sz w:val="22"/>
                <w:szCs w:val="22"/>
              </w:rPr>
            </w:pPr>
            <w:r>
              <w:rPr>
                <w:sz w:val="22"/>
                <w:szCs w:val="22"/>
              </w:rPr>
              <w:t>1</w:t>
            </w:r>
          </w:p>
        </w:tc>
        <w:tc>
          <w:tcPr>
            <w:tcW w:w="1611" w:type="dxa"/>
            <w:shd w:val="clear" w:color="auto" w:fill="FEF2CC" w:themeFill="accent4" w:themeFillTint="33"/>
            <w:vAlign w:val="center"/>
          </w:tcPr>
          <w:p w:rsidR="00B2157A" w:rsidRPr="001012C0" w:rsidP="0049265F" w14:paraId="76B7710D" w14:textId="77777777">
            <w:pPr>
              <w:overflowPunct/>
              <w:autoSpaceDE/>
              <w:autoSpaceDN/>
              <w:adjustRightInd/>
              <w:jc w:val="center"/>
              <w:textAlignment w:val="auto"/>
              <w:rPr>
                <w:sz w:val="22"/>
                <w:szCs w:val="22"/>
              </w:rPr>
            </w:pPr>
            <w:r>
              <w:rPr>
                <w:sz w:val="22"/>
                <w:szCs w:val="22"/>
              </w:rPr>
              <w:t>1,750</w:t>
            </w:r>
          </w:p>
        </w:tc>
        <w:tc>
          <w:tcPr>
            <w:tcW w:w="380" w:type="dxa"/>
            <w:shd w:val="clear" w:color="auto" w:fill="FEF2CC" w:themeFill="accent4" w:themeFillTint="33"/>
            <w:vAlign w:val="center"/>
          </w:tcPr>
          <w:p w:rsidR="00B2157A" w:rsidRPr="001012C0" w:rsidP="0049265F" w14:paraId="7678ED6A" w14:textId="77777777">
            <w:pPr>
              <w:overflowPunct/>
              <w:autoSpaceDE/>
              <w:autoSpaceDN/>
              <w:adjustRightInd/>
              <w:jc w:val="center"/>
              <w:textAlignment w:val="auto"/>
              <w:rPr>
                <w:sz w:val="22"/>
                <w:szCs w:val="22"/>
              </w:rPr>
            </w:pPr>
          </w:p>
        </w:tc>
        <w:tc>
          <w:tcPr>
            <w:tcW w:w="928" w:type="dxa"/>
            <w:shd w:val="clear" w:color="auto" w:fill="FEF2CC" w:themeFill="accent4" w:themeFillTint="33"/>
            <w:vAlign w:val="center"/>
          </w:tcPr>
          <w:p w:rsidR="00B2157A" w:rsidRPr="001012C0" w:rsidP="0049265F" w14:paraId="1838F8B7" w14:textId="77777777">
            <w:pPr>
              <w:overflowPunct/>
              <w:autoSpaceDE/>
              <w:autoSpaceDN/>
              <w:adjustRightInd/>
              <w:jc w:val="center"/>
              <w:textAlignment w:val="auto"/>
              <w:rPr>
                <w:sz w:val="22"/>
                <w:szCs w:val="22"/>
              </w:rPr>
            </w:pPr>
            <w:r w:rsidRPr="001012C0">
              <w:rPr>
                <w:sz w:val="22"/>
                <w:szCs w:val="22"/>
              </w:rPr>
              <w:t>$</w:t>
            </w:r>
            <w:r>
              <w:rPr>
                <w:sz w:val="22"/>
                <w:szCs w:val="22"/>
              </w:rPr>
              <w:t>51.18</w:t>
            </w:r>
          </w:p>
        </w:tc>
        <w:tc>
          <w:tcPr>
            <w:tcW w:w="347" w:type="dxa"/>
            <w:shd w:val="clear" w:color="auto" w:fill="FEF2CC" w:themeFill="accent4" w:themeFillTint="33"/>
            <w:vAlign w:val="center"/>
          </w:tcPr>
          <w:p w:rsidR="00B2157A" w:rsidRPr="001012C0" w:rsidP="0049265F" w14:paraId="5CAA4C09" w14:textId="77777777">
            <w:pPr>
              <w:overflowPunct/>
              <w:autoSpaceDE/>
              <w:autoSpaceDN/>
              <w:adjustRightInd/>
              <w:jc w:val="center"/>
              <w:textAlignment w:val="auto"/>
              <w:rPr>
                <w:sz w:val="22"/>
                <w:szCs w:val="22"/>
              </w:rPr>
            </w:pPr>
          </w:p>
        </w:tc>
        <w:tc>
          <w:tcPr>
            <w:tcW w:w="1131" w:type="dxa"/>
            <w:shd w:val="clear" w:color="auto" w:fill="FEF2CC" w:themeFill="accent4" w:themeFillTint="33"/>
            <w:vAlign w:val="center"/>
          </w:tcPr>
          <w:p w:rsidR="00B2157A" w:rsidRPr="001012C0" w:rsidP="0049265F" w14:paraId="0C33E105" w14:textId="77777777">
            <w:pPr>
              <w:overflowPunct/>
              <w:autoSpaceDE/>
              <w:autoSpaceDN/>
              <w:adjustRightInd/>
              <w:jc w:val="center"/>
              <w:textAlignment w:val="auto"/>
              <w:rPr>
                <w:sz w:val="22"/>
                <w:szCs w:val="22"/>
              </w:rPr>
            </w:pPr>
            <w:r>
              <w:rPr>
                <w:sz w:val="22"/>
                <w:szCs w:val="22"/>
              </w:rPr>
              <w:t>$89,565</w:t>
            </w:r>
          </w:p>
        </w:tc>
      </w:tr>
      <w:tr w14:paraId="2DEBB891" w14:textId="77777777" w:rsidTr="0049265F">
        <w:tblPrEx>
          <w:tblW w:w="0" w:type="auto"/>
          <w:tblLook w:val="0000"/>
        </w:tblPrEx>
        <w:tc>
          <w:tcPr>
            <w:tcW w:w="6393" w:type="dxa"/>
            <w:gridSpan w:val="4"/>
            <w:vAlign w:val="center"/>
          </w:tcPr>
          <w:p w:rsidR="00B2157A" w:rsidRPr="001012C0" w:rsidP="0049265F" w14:paraId="300AB1BA" w14:textId="77777777">
            <w:pPr>
              <w:overflowPunct/>
              <w:autoSpaceDE/>
              <w:autoSpaceDN/>
              <w:adjustRightInd/>
              <w:jc w:val="center"/>
              <w:textAlignment w:val="auto"/>
              <w:rPr>
                <w:b/>
                <w:bCs/>
                <w:sz w:val="22"/>
                <w:szCs w:val="22"/>
              </w:rPr>
            </w:pPr>
          </w:p>
        </w:tc>
        <w:tc>
          <w:tcPr>
            <w:tcW w:w="3266" w:type="dxa"/>
            <w:gridSpan w:val="4"/>
            <w:shd w:val="clear" w:color="auto" w:fill="FEF2CC" w:themeFill="accent4" w:themeFillTint="33"/>
            <w:vAlign w:val="center"/>
          </w:tcPr>
          <w:p w:rsidR="00B2157A" w:rsidRPr="001012C0" w:rsidP="0049265F" w14:paraId="2551079C" w14:textId="77777777">
            <w:pPr>
              <w:overflowPunct/>
              <w:autoSpaceDE/>
              <w:autoSpaceDN/>
              <w:adjustRightInd/>
              <w:jc w:val="center"/>
              <w:textAlignment w:val="auto"/>
              <w:rPr>
                <w:sz w:val="22"/>
                <w:szCs w:val="22"/>
              </w:rPr>
            </w:pPr>
            <w:r w:rsidRPr="001012C0">
              <w:rPr>
                <w:b/>
                <w:bCs/>
                <w:sz w:val="22"/>
                <w:szCs w:val="22"/>
              </w:rPr>
              <w:t>Total</w:t>
            </w:r>
          </w:p>
        </w:tc>
        <w:tc>
          <w:tcPr>
            <w:tcW w:w="1131" w:type="dxa"/>
            <w:shd w:val="clear" w:color="auto" w:fill="FEF2CC" w:themeFill="accent4" w:themeFillTint="33"/>
            <w:vAlign w:val="center"/>
          </w:tcPr>
          <w:p w:rsidR="00B2157A" w:rsidRPr="001012C0" w:rsidP="0049265F" w14:paraId="309DB9C0" w14:textId="77777777">
            <w:pPr>
              <w:overflowPunct/>
              <w:autoSpaceDE/>
              <w:autoSpaceDN/>
              <w:adjustRightInd/>
              <w:spacing w:line="259" w:lineRule="auto"/>
              <w:jc w:val="center"/>
              <w:textAlignment w:val="auto"/>
              <w:rPr>
                <w:sz w:val="22"/>
                <w:szCs w:val="22"/>
              </w:rPr>
            </w:pPr>
            <w:r w:rsidRPr="001012C0">
              <w:rPr>
                <w:sz w:val="22"/>
                <w:szCs w:val="22"/>
              </w:rPr>
              <w:t>$</w:t>
            </w:r>
            <w:r>
              <w:rPr>
                <w:sz w:val="22"/>
                <w:szCs w:val="22"/>
              </w:rPr>
              <w:t>133,580</w:t>
            </w:r>
          </w:p>
        </w:tc>
      </w:tr>
    </w:tbl>
    <w:p w:rsidR="00B2157A" w:rsidRPr="001012C0" w:rsidP="00B2157A" w14:paraId="471466E5" w14:textId="77777777">
      <w:pPr>
        <w:tabs>
          <w:tab w:val="left" w:pos="360"/>
        </w:tabs>
        <w:rPr>
          <w:color w:val="000000"/>
          <w:sz w:val="22"/>
          <w:szCs w:val="22"/>
        </w:rPr>
      </w:pPr>
    </w:p>
    <w:p w:rsidR="00B2157A" w:rsidRPr="00910965" w:rsidP="00B2157A" w14:paraId="74BC3F52" w14:textId="77777777">
      <w:pPr>
        <w:keepLines/>
        <w:tabs>
          <w:tab w:val="left" w:pos="360"/>
        </w:tabs>
        <w:spacing w:after="80"/>
        <w:ind w:left="360" w:hanging="360"/>
        <w:rPr>
          <w:b/>
          <w:bCs/>
          <w:color w:val="000000"/>
          <w:sz w:val="22"/>
          <w:szCs w:val="22"/>
        </w:rPr>
      </w:pPr>
      <w:r w:rsidRPr="00910965">
        <w:rPr>
          <w:b/>
          <w:bCs/>
          <w:color w:val="000000"/>
          <w:sz w:val="22"/>
          <w:szCs w:val="22"/>
        </w:rPr>
        <w:t>15.</w:t>
      </w:r>
      <w:r w:rsidRPr="00910965">
        <w:rPr>
          <w:b/>
          <w:bCs/>
          <w:color w:val="000000"/>
          <w:sz w:val="22"/>
          <w:szCs w:val="22"/>
        </w:rPr>
        <w:tab/>
        <w:t>Explain any program changes or adjustments reported in items 13 and 14 of the OMB Form 83i.</w:t>
      </w:r>
    </w:p>
    <w:p w:rsidR="00B2157A" w:rsidRPr="00910965" w:rsidP="00B2157A" w14:paraId="74D62EB6" w14:textId="77777777">
      <w:pPr>
        <w:rPr>
          <w:color w:val="000000"/>
          <w:sz w:val="22"/>
          <w:szCs w:val="22"/>
        </w:rPr>
      </w:pPr>
      <w:r w:rsidRPr="00910965">
        <w:rPr>
          <w:color w:val="000000"/>
          <w:sz w:val="22"/>
          <w:szCs w:val="22"/>
        </w:rPr>
        <w:tab/>
      </w:r>
    </w:p>
    <w:p w:rsidR="00B2157A" w:rsidRPr="006D60B9" w:rsidP="00B2157A" w14:paraId="57CAFB1F" w14:textId="77777777">
      <w:pPr>
        <w:ind w:firstLine="360"/>
        <w:rPr>
          <w:iCs/>
          <w:sz w:val="22"/>
          <w:szCs w:val="22"/>
        </w:rPr>
      </w:pPr>
      <w:r w:rsidRPr="006D60B9">
        <w:rPr>
          <w:iCs/>
          <w:sz w:val="22"/>
          <w:szCs w:val="22"/>
        </w:rPr>
        <w:t>HUD made three changes to the collection.</w:t>
      </w:r>
    </w:p>
    <w:p w:rsidR="00B2157A" w:rsidRPr="006D60B9" w:rsidP="00B2157A" w14:paraId="2110A99B" w14:textId="77777777">
      <w:pPr>
        <w:pStyle w:val="ListParagraph"/>
        <w:numPr>
          <w:ilvl w:val="0"/>
          <w:numId w:val="3"/>
        </w:numPr>
        <w:spacing w:line="240" w:lineRule="auto"/>
        <w:rPr>
          <w:rFonts w:ascii="Times New Roman" w:hAnsi="Times New Roman"/>
          <w:iCs/>
        </w:rPr>
      </w:pPr>
      <w:r w:rsidRPr="006D60B9">
        <w:rPr>
          <w:rFonts w:ascii="Times New Roman" w:hAnsi="Times New Roman"/>
          <w:iCs/>
        </w:rPr>
        <w:t xml:space="preserve">HUD included the burden hours and costs to the Public Housing Authority (PHA) to create the operating budget. The PHA is required to create an operating budget per </w:t>
      </w:r>
      <w:r w:rsidRPr="006D60B9">
        <w:rPr>
          <w:rFonts w:ascii="Times New Roman" w:hAnsi="Times New Roman"/>
          <w:color w:val="000000"/>
        </w:rPr>
        <w:t xml:space="preserve">24 CFR 990.285. FMD and OFO does not have a budget form or specified format for the PHA to create or maintain their operating budget and updates with actual financial data. PHAs may use their own agency’s budget format or request assistance from their local PIH Field Office. This was not included in the last PRA submission. </w:t>
      </w:r>
    </w:p>
    <w:p w:rsidR="00B2157A" w:rsidRPr="006D60B9" w:rsidP="00B2157A" w14:paraId="174774E1" w14:textId="77777777">
      <w:pPr>
        <w:pStyle w:val="ListParagraph"/>
        <w:numPr>
          <w:ilvl w:val="0"/>
          <w:numId w:val="3"/>
        </w:numPr>
        <w:spacing w:line="240" w:lineRule="auto"/>
        <w:rPr>
          <w:rFonts w:ascii="Times New Roman" w:hAnsi="Times New Roman"/>
          <w:iCs/>
        </w:rPr>
      </w:pPr>
      <w:r w:rsidRPr="006D60B9">
        <w:rPr>
          <w:rFonts w:ascii="Times New Roman" w:hAnsi="Times New Roman"/>
          <w:iCs/>
        </w:rPr>
        <w:t xml:space="preserve">HUD added the burden hours to PHAs </w:t>
      </w:r>
      <w:r w:rsidRPr="006D60B9">
        <w:rPr>
          <w:rFonts w:ascii="Times New Roman" w:hAnsi="Times New Roman"/>
        </w:rPr>
        <w:t>to update their operating budget with actuals at least five times a year.</w:t>
      </w:r>
    </w:p>
    <w:p w:rsidR="00B2157A" w:rsidRPr="006D60B9" w:rsidP="00B2157A" w14:paraId="2B5B9FDA" w14:textId="77777777">
      <w:pPr>
        <w:pStyle w:val="ListParagraph"/>
        <w:numPr>
          <w:ilvl w:val="0"/>
          <w:numId w:val="3"/>
        </w:numPr>
        <w:spacing w:line="240" w:lineRule="auto"/>
        <w:rPr>
          <w:rFonts w:ascii="Times New Roman" w:hAnsi="Times New Roman"/>
          <w:iCs/>
        </w:rPr>
      </w:pPr>
      <w:r w:rsidRPr="006D60B9">
        <w:rPr>
          <w:rFonts w:ascii="Times New Roman" w:hAnsi="Times New Roman"/>
        </w:rPr>
        <w:t xml:space="preserve">HUD added </w:t>
      </w:r>
      <w:r w:rsidRPr="006D60B9">
        <w:rPr>
          <w:rFonts w:ascii="Times New Roman" w:hAnsi="Times New Roman"/>
          <w:iCs/>
        </w:rPr>
        <w:t xml:space="preserve">the burden hours and costs to HUD Field Office staff to review the operating budget and updated </w:t>
      </w:r>
      <w:r w:rsidRPr="006D60B9">
        <w:rPr>
          <w:rFonts w:ascii="Times New Roman" w:hAnsi="Times New Roman"/>
        </w:rPr>
        <w:t xml:space="preserve">operating budget with actuals from </w:t>
      </w:r>
      <w:r w:rsidRPr="006D60B9">
        <w:rPr>
          <w:rFonts w:ascii="Times New Roman" w:hAnsi="Times New Roman"/>
          <w:iCs/>
        </w:rPr>
        <w:t>PHAs</w:t>
      </w:r>
    </w:p>
    <w:p w:rsidR="00B2157A" w:rsidRPr="006D60B9" w:rsidP="00B2157A" w14:paraId="751025F0" w14:textId="77777777">
      <w:pPr>
        <w:keepLines/>
        <w:tabs>
          <w:tab w:val="left" w:pos="360"/>
        </w:tabs>
        <w:spacing w:after="80"/>
        <w:ind w:left="360" w:hanging="360"/>
        <w:rPr>
          <w:b/>
          <w:bCs/>
          <w:color w:val="000000"/>
          <w:sz w:val="22"/>
          <w:szCs w:val="22"/>
        </w:rPr>
      </w:pPr>
      <w:r w:rsidRPr="006D60B9">
        <w:rPr>
          <w:b/>
          <w:bCs/>
          <w:color w:val="000000"/>
          <w:sz w:val="22"/>
          <w:szCs w:val="22"/>
        </w:rPr>
        <w:t>16.</w:t>
      </w:r>
      <w:r w:rsidRPr="006D60B9">
        <w:rPr>
          <w:b/>
          <w:bCs/>
          <w:color w:val="000000"/>
          <w:sz w:val="22"/>
          <w:szCs w:val="22"/>
        </w:rPr>
        <w:tab/>
        <w:t>If the information will be published, outline plans for tabulation and publication.</w:t>
      </w:r>
    </w:p>
    <w:p w:rsidR="00B2157A" w:rsidRPr="006D60B9" w:rsidP="00B2157A" w14:paraId="078C6DCA" w14:textId="77777777">
      <w:pPr>
        <w:tabs>
          <w:tab w:val="left" w:pos="360"/>
        </w:tabs>
        <w:rPr>
          <w:sz w:val="22"/>
          <w:szCs w:val="22"/>
        </w:rPr>
      </w:pPr>
      <w:r w:rsidRPr="006D60B9">
        <w:rPr>
          <w:color w:val="000000"/>
          <w:sz w:val="22"/>
          <w:szCs w:val="22"/>
        </w:rPr>
        <w:tab/>
      </w:r>
      <w:r w:rsidRPr="006D60B9">
        <w:rPr>
          <w:sz w:val="22"/>
          <w:szCs w:val="22"/>
        </w:rPr>
        <w:t>The information collection will not be published.</w:t>
      </w:r>
    </w:p>
    <w:p w:rsidR="00B2157A" w:rsidRPr="006D60B9" w:rsidP="00B2157A" w14:paraId="315C8CC4" w14:textId="77777777">
      <w:pPr>
        <w:tabs>
          <w:tab w:val="left" w:pos="360"/>
        </w:tabs>
        <w:ind w:left="360" w:hanging="360"/>
        <w:rPr>
          <w:color w:val="000000"/>
          <w:sz w:val="22"/>
          <w:szCs w:val="22"/>
        </w:rPr>
      </w:pPr>
    </w:p>
    <w:p w:rsidR="00B2157A" w:rsidRPr="006D60B9" w:rsidP="00B2157A" w14:paraId="4690FF63" w14:textId="77777777">
      <w:pPr>
        <w:keepLines/>
        <w:tabs>
          <w:tab w:val="left" w:pos="360"/>
        </w:tabs>
        <w:spacing w:after="80"/>
        <w:ind w:left="360" w:hanging="360"/>
        <w:rPr>
          <w:b/>
          <w:bCs/>
          <w:color w:val="000000"/>
          <w:sz w:val="22"/>
          <w:szCs w:val="22"/>
        </w:rPr>
      </w:pPr>
      <w:r w:rsidRPr="006D60B9">
        <w:rPr>
          <w:b/>
          <w:bCs/>
          <w:color w:val="000000"/>
          <w:sz w:val="22"/>
          <w:szCs w:val="22"/>
        </w:rPr>
        <w:t>17.</w:t>
      </w:r>
      <w:r w:rsidRPr="006D60B9">
        <w:rPr>
          <w:b/>
          <w:bCs/>
          <w:color w:val="000000"/>
          <w:sz w:val="22"/>
          <w:szCs w:val="22"/>
        </w:rPr>
        <w:tab/>
        <w:t>If seeking approval to not display the expiration date for OMB approval of the information collection, explain the reasons that display would be inappropriate.</w:t>
      </w:r>
    </w:p>
    <w:p w:rsidR="00B2157A" w:rsidRPr="006D60B9" w:rsidP="00B2157A" w14:paraId="43A25E0B" w14:textId="77777777">
      <w:pPr>
        <w:ind w:left="360"/>
        <w:rPr>
          <w:sz w:val="22"/>
          <w:szCs w:val="22"/>
        </w:rPr>
      </w:pPr>
      <w:r w:rsidRPr="006D60B9">
        <w:rPr>
          <w:sz w:val="22"/>
          <w:szCs w:val="22"/>
        </w:rPr>
        <w:t>HUD is not seeking approval to not display the expiration date of the OMB approval.  The OMB number and expiration date will be displayed on a “Disclosure Statement” on each template after OMB approval is received.</w:t>
      </w:r>
    </w:p>
    <w:p w:rsidR="00B2157A" w:rsidRPr="006D60B9" w:rsidP="00B2157A" w14:paraId="46FEA71C" w14:textId="77777777">
      <w:pPr>
        <w:tabs>
          <w:tab w:val="left" w:pos="360"/>
        </w:tabs>
        <w:rPr>
          <w:color w:val="000000"/>
          <w:sz w:val="22"/>
          <w:szCs w:val="22"/>
        </w:rPr>
      </w:pPr>
    </w:p>
    <w:p w:rsidR="00B2157A" w:rsidRPr="006D60B9" w:rsidP="00B2157A" w14:paraId="325DB237" w14:textId="77777777">
      <w:pPr>
        <w:keepLines/>
        <w:tabs>
          <w:tab w:val="left" w:pos="360"/>
        </w:tabs>
        <w:spacing w:after="80"/>
        <w:ind w:left="360" w:hanging="360"/>
        <w:rPr>
          <w:b/>
          <w:bCs/>
          <w:color w:val="000000"/>
          <w:sz w:val="22"/>
          <w:szCs w:val="22"/>
        </w:rPr>
      </w:pPr>
      <w:r w:rsidRPr="006D60B9">
        <w:rPr>
          <w:b/>
          <w:bCs/>
          <w:color w:val="000000"/>
          <w:sz w:val="22"/>
          <w:szCs w:val="22"/>
        </w:rPr>
        <w:t>18.</w:t>
      </w:r>
      <w:r w:rsidRPr="006D60B9">
        <w:rPr>
          <w:b/>
          <w:bCs/>
          <w:color w:val="000000"/>
          <w:sz w:val="22"/>
          <w:szCs w:val="22"/>
        </w:rPr>
        <w:tab/>
        <w:t>Explain each exception to the certification statement identified in item 19.</w:t>
      </w:r>
    </w:p>
    <w:p w:rsidR="00B2157A" w:rsidRPr="006D60B9" w:rsidP="00B2157A" w14:paraId="4F8AC80A" w14:textId="77777777">
      <w:pPr>
        <w:tabs>
          <w:tab w:val="left" w:pos="360"/>
        </w:tabs>
        <w:ind w:left="360"/>
        <w:rPr>
          <w:color w:val="000000"/>
          <w:sz w:val="22"/>
          <w:szCs w:val="22"/>
        </w:rPr>
      </w:pPr>
      <w:r w:rsidRPr="006D60B9">
        <w:rPr>
          <w:sz w:val="22"/>
          <w:szCs w:val="22"/>
        </w:rPr>
        <w:t xml:space="preserve">There are no exceptions to item 19 of the OMB 83-I. </w:t>
      </w:r>
    </w:p>
    <w:p w:rsidR="00B2157A" w:rsidRPr="006D60B9" w:rsidP="00B2157A" w14:paraId="1A28FC3B" w14:textId="77777777">
      <w:pPr>
        <w:tabs>
          <w:tab w:val="left" w:pos="360"/>
        </w:tabs>
        <w:ind w:left="360" w:hanging="360"/>
        <w:rPr>
          <w:color w:val="000000"/>
          <w:sz w:val="22"/>
          <w:szCs w:val="22"/>
        </w:rPr>
      </w:pPr>
    </w:p>
    <w:p w:rsidR="00B2157A" w:rsidRPr="00910965" w:rsidP="00B2157A" w14:paraId="316119A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6D60B9">
        <w:rPr>
          <w:b/>
          <w:color w:val="000000"/>
          <w:sz w:val="22"/>
          <w:szCs w:val="22"/>
        </w:rPr>
        <w:t xml:space="preserve">B. </w:t>
      </w:r>
      <w:r w:rsidRPr="006D60B9">
        <w:rPr>
          <w:b/>
          <w:color w:val="000000"/>
          <w:sz w:val="22"/>
          <w:szCs w:val="22"/>
        </w:rPr>
        <w:tab/>
        <w:t>Collections of Information Employing Statistical Methods</w:t>
      </w:r>
    </w:p>
    <w:p w:rsidR="00B2157A" w:rsidRPr="00910965" w:rsidP="00B2157A" w14:paraId="75231587"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003E7A73" w14:paraId="2B98CB2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FD5E96"/>
    <w:multiLevelType w:val="hybridMultilevel"/>
    <w:tmpl w:val="44A4B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7F4D54"/>
    <w:multiLevelType w:val="hybridMultilevel"/>
    <w:tmpl w:val="B2FCDBA4"/>
    <w:lvl w:ilvl="0">
      <w:start w:val="1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580A04"/>
    <w:multiLevelType w:val="hybridMultilevel"/>
    <w:tmpl w:val="D892DF0C"/>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39915141">
    <w:abstractNumId w:val="1"/>
  </w:num>
  <w:num w:numId="2" w16cid:durableId="765879173">
    <w:abstractNumId w:val="3"/>
  </w:num>
  <w:num w:numId="3" w16cid:durableId="1125538304">
    <w:abstractNumId w:val="2"/>
  </w:num>
  <w:num w:numId="4" w16cid:durableId="192179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7A"/>
    <w:rsid w:val="001012C0"/>
    <w:rsid w:val="001A1EB4"/>
    <w:rsid w:val="00224141"/>
    <w:rsid w:val="00392443"/>
    <w:rsid w:val="003E7A73"/>
    <w:rsid w:val="004419C1"/>
    <w:rsid w:val="00487496"/>
    <w:rsid w:val="0049265F"/>
    <w:rsid w:val="004D4359"/>
    <w:rsid w:val="00500FB0"/>
    <w:rsid w:val="00534374"/>
    <w:rsid w:val="00542D2A"/>
    <w:rsid w:val="00582C14"/>
    <w:rsid w:val="005D2651"/>
    <w:rsid w:val="00646E35"/>
    <w:rsid w:val="006A6D87"/>
    <w:rsid w:val="006C7ED4"/>
    <w:rsid w:val="006D60B9"/>
    <w:rsid w:val="00821EB8"/>
    <w:rsid w:val="00910965"/>
    <w:rsid w:val="00983B9E"/>
    <w:rsid w:val="00AD1199"/>
    <w:rsid w:val="00B2157A"/>
    <w:rsid w:val="00B6233F"/>
    <w:rsid w:val="00CE456E"/>
    <w:rsid w:val="00E04AA6"/>
    <w:rsid w:val="00F01CE0"/>
    <w:rsid w:val="00F36A13"/>
    <w:rsid w:val="00FC64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8F5442"/>
  <w15:chartTrackingRefBased/>
  <w15:docId w15:val="{8651171C-9ACA-4578-B375-249A2F9A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157A"/>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uiPriority w:val="99"/>
    <w:unhideWhenUsed/>
    <w:rsid w:val="00B2157A"/>
    <w:pPr>
      <w:spacing w:after="120" w:line="480" w:lineRule="auto"/>
      <w:ind w:left="360"/>
    </w:pPr>
  </w:style>
  <w:style w:type="character" w:customStyle="1" w:styleId="BodyTextIndent2Char">
    <w:name w:val="Body Text Indent 2 Char"/>
    <w:basedOn w:val="DefaultParagraphFont"/>
    <w:link w:val="BodyTextIndent2"/>
    <w:uiPriority w:val="99"/>
    <w:rsid w:val="00B2157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19C1"/>
    <w:rPr>
      <w:sz w:val="16"/>
      <w:szCs w:val="16"/>
    </w:rPr>
  </w:style>
  <w:style w:type="paragraph" w:styleId="CommentText">
    <w:name w:val="annotation text"/>
    <w:basedOn w:val="Normal"/>
    <w:link w:val="CommentTextChar"/>
    <w:uiPriority w:val="99"/>
    <w:unhideWhenUsed/>
    <w:rsid w:val="004419C1"/>
  </w:style>
  <w:style w:type="character" w:customStyle="1" w:styleId="CommentTextChar">
    <w:name w:val="Comment Text Char"/>
    <w:basedOn w:val="DefaultParagraphFont"/>
    <w:link w:val="CommentText"/>
    <w:uiPriority w:val="99"/>
    <w:rsid w:val="004419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19C1"/>
    <w:rPr>
      <w:b/>
      <w:bCs/>
    </w:rPr>
  </w:style>
  <w:style w:type="character" w:customStyle="1" w:styleId="CommentSubjectChar">
    <w:name w:val="Comment Subject Char"/>
    <w:basedOn w:val="CommentTextChar"/>
    <w:link w:val="CommentSubject"/>
    <w:uiPriority w:val="99"/>
    <w:semiHidden/>
    <w:rsid w:val="004419C1"/>
    <w:rPr>
      <w:rFonts w:ascii="Times New Roman" w:eastAsia="Times New Roman" w:hAnsi="Times New Roman" w:cs="Times New Roman"/>
      <w:b/>
      <w:bCs/>
      <w:sz w:val="20"/>
      <w:szCs w:val="20"/>
    </w:rPr>
  </w:style>
  <w:style w:type="character" w:styleId="Hyperlink">
    <w:name w:val="Hyperlink"/>
    <w:basedOn w:val="DefaultParagraphFont"/>
    <w:rsid w:val="004419C1"/>
    <w:rPr>
      <w:color w:val="0563C1" w:themeColor="hyperlink"/>
      <w:u w:val="single"/>
    </w:rPr>
  </w:style>
  <w:style w:type="paragraph" w:styleId="Revision">
    <w:name w:val="Revision"/>
    <w:hidden/>
    <w:uiPriority w:val="99"/>
    <w:semiHidden/>
    <w:rsid w:val="00F01CE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Erica D</dc:creator>
  <cp:lastModifiedBy>Pollard, Colette</cp:lastModifiedBy>
  <cp:revision>2</cp:revision>
  <dcterms:created xsi:type="dcterms:W3CDTF">2024-04-22T20:56:00Z</dcterms:created>
  <dcterms:modified xsi:type="dcterms:W3CDTF">2024-04-22T20:56:00Z</dcterms:modified>
</cp:coreProperties>
</file>