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1E5B58" w:rsidP="149BEE33" w14:paraId="071656FD" w14:textId="77777777">
      <w:pPr>
        <w:jc w:val="center"/>
        <w:rPr>
          <w:szCs w:val="26"/>
        </w:rPr>
      </w:pPr>
      <w:r w:rsidRPr="001E5B58">
        <w:rPr>
          <w:szCs w:val="26"/>
        </w:rPr>
        <w:t>UNITED STATES OF AMERICA</w:t>
      </w:r>
    </w:p>
    <w:p w:rsidR="00A2604E" w:rsidRPr="001E5B58" w:rsidP="149BEE33" w14:paraId="7F13DD08" w14:textId="77777777">
      <w:pPr>
        <w:jc w:val="center"/>
        <w:rPr>
          <w:szCs w:val="26"/>
        </w:rPr>
      </w:pPr>
      <w:r w:rsidRPr="001E5B58">
        <w:rPr>
          <w:szCs w:val="26"/>
        </w:rPr>
        <w:t>FEDERAL ENERGY REGULATORY COMMISSION</w:t>
      </w:r>
    </w:p>
    <w:p w:rsidR="00A2604E" w:rsidRPr="001E5B58" w:rsidP="149BEE33" w14:paraId="381373CB" w14:textId="77777777">
      <w:pPr>
        <w:rPr>
          <w:szCs w:val="26"/>
        </w:rPr>
      </w:pPr>
    </w:p>
    <w:p w:rsidR="00A2604E" w:rsidRPr="001E5B58" w:rsidP="149BEE33" w14:paraId="5D4DFE33" w14:textId="2BD82187">
      <w:pPr>
        <w:jc w:val="center"/>
        <w:rPr>
          <w:szCs w:val="26"/>
        </w:rPr>
      </w:pPr>
      <w:r w:rsidRPr="001E5B58">
        <w:rPr>
          <w:szCs w:val="26"/>
        </w:rPr>
        <w:t>[</w:t>
      </w:r>
      <w:r w:rsidRPr="001E5B58" w:rsidR="004E4EAD">
        <w:rPr>
          <w:szCs w:val="26"/>
        </w:rPr>
        <w:t xml:space="preserve">Docket No. </w:t>
      </w:r>
      <w:r w:rsidRPr="001E5B58" w:rsidR="47BE6F5E">
        <w:rPr>
          <w:color w:val="000000" w:themeColor="text1"/>
          <w:szCs w:val="26"/>
        </w:rPr>
        <w:t>IC25-15-000</w:t>
      </w:r>
      <w:r w:rsidRPr="001E5B58">
        <w:rPr>
          <w:szCs w:val="26"/>
        </w:rPr>
        <w:t>]</w:t>
      </w:r>
    </w:p>
    <w:p w:rsidR="00A2604E" w:rsidRPr="001E5B58" w:rsidP="149BEE33" w14:paraId="141DC0FF" w14:textId="77777777">
      <w:pPr>
        <w:rPr>
          <w:szCs w:val="26"/>
        </w:rPr>
      </w:pPr>
    </w:p>
    <w:p w:rsidR="005A7903" w:rsidRPr="001E5B58" w:rsidP="149BEE33" w14:paraId="5481C1A4" w14:textId="77777777">
      <w:pPr>
        <w:jc w:val="center"/>
        <w:rPr>
          <w:szCs w:val="26"/>
        </w:rPr>
      </w:pPr>
      <w:r w:rsidRPr="001E5B58">
        <w:rPr>
          <w:szCs w:val="26"/>
        </w:rPr>
        <w:t>COMMISSION INFORMATION COLLECTION ACTIVITIES (FERC-</w:t>
      </w:r>
      <w:r w:rsidRPr="001E5B58" w:rsidR="00373968">
        <w:rPr>
          <w:szCs w:val="26"/>
        </w:rPr>
        <w:t>592</w:t>
      </w:r>
      <w:r w:rsidRPr="001E5B58">
        <w:rPr>
          <w:szCs w:val="26"/>
        </w:rPr>
        <w:t>); COMMENT REQUEST; EXTENSION</w:t>
      </w:r>
    </w:p>
    <w:p w:rsidR="00810D18" w:rsidRPr="001E5B58" w:rsidP="149BEE33" w14:paraId="10EE839A" w14:textId="77777777">
      <w:pPr>
        <w:rPr>
          <w:szCs w:val="26"/>
        </w:rPr>
      </w:pPr>
    </w:p>
    <w:p w:rsidR="005645BE" w:rsidP="001E5B58" w14:paraId="31D467A8" w14:textId="71A86127">
      <w:pPr>
        <w:jc w:val="center"/>
        <w:rPr>
          <w:szCs w:val="26"/>
        </w:rPr>
      </w:pPr>
      <w:r w:rsidRPr="001E5B58">
        <w:rPr>
          <w:szCs w:val="26"/>
        </w:rPr>
        <w:t>(December 12, 2025)</w:t>
      </w:r>
    </w:p>
    <w:p w:rsidR="001E5B58" w:rsidRPr="001E5B58" w:rsidP="001E5B58" w14:paraId="032C70DE" w14:textId="77777777">
      <w:pPr>
        <w:rPr>
          <w:szCs w:val="26"/>
        </w:rPr>
      </w:pPr>
    </w:p>
    <w:p w:rsidR="00A2604E" w:rsidRPr="001E5B58" w:rsidP="149BEE33" w14:paraId="750A053C" w14:textId="4FFF4EF5">
      <w:pPr>
        <w:rPr>
          <w:szCs w:val="26"/>
        </w:rPr>
      </w:pPr>
      <w:r w:rsidRPr="001E5B58">
        <w:rPr>
          <w:b/>
          <w:bCs/>
          <w:szCs w:val="26"/>
        </w:rPr>
        <w:t>AGENCY:</w:t>
      </w:r>
      <w:r w:rsidRPr="001E5B58" w:rsidR="43F71C08">
        <w:rPr>
          <w:szCs w:val="26"/>
        </w:rPr>
        <w:t xml:space="preserve"> </w:t>
      </w:r>
      <w:r w:rsidRPr="001E5B58">
        <w:rPr>
          <w:szCs w:val="26"/>
        </w:rPr>
        <w:t>Federal Energy Regulatory Commission.</w:t>
      </w:r>
    </w:p>
    <w:p w:rsidR="00A2604E" w:rsidRPr="001E5B58" w:rsidP="149BEE33" w14:paraId="1C77CE7A" w14:textId="77777777">
      <w:pPr>
        <w:rPr>
          <w:szCs w:val="26"/>
        </w:rPr>
      </w:pPr>
    </w:p>
    <w:p w:rsidR="00A2604E" w:rsidRPr="001E5B58" w:rsidP="149BEE33" w14:paraId="3B38E594" w14:textId="03B663C5">
      <w:pPr>
        <w:spacing w:line="480" w:lineRule="auto"/>
        <w:rPr>
          <w:szCs w:val="26"/>
        </w:rPr>
      </w:pPr>
      <w:r w:rsidRPr="001E5B58">
        <w:rPr>
          <w:b/>
          <w:bCs/>
          <w:szCs w:val="26"/>
        </w:rPr>
        <w:t>ACTION:</w:t>
      </w:r>
      <w:r w:rsidRPr="001E5B58" w:rsidR="43F71C08">
        <w:rPr>
          <w:szCs w:val="26"/>
        </w:rPr>
        <w:t xml:space="preserve"> </w:t>
      </w:r>
      <w:r w:rsidRPr="001E5B58">
        <w:rPr>
          <w:szCs w:val="26"/>
        </w:rPr>
        <w:t>Notice of information collection and request for comments.</w:t>
      </w:r>
    </w:p>
    <w:p w:rsidR="00A2604E" w:rsidRPr="001E5B58" w:rsidP="149BEE33" w14:paraId="10CC2EA4" w14:textId="7A4F3BAF">
      <w:pPr>
        <w:spacing w:line="480" w:lineRule="auto"/>
        <w:rPr>
          <w:szCs w:val="26"/>
        </w:rPr>
      </w:pPr>
      <w:r w:rsidRPr="001E5B58">
        <w:rPr>
          <w:b/>
          <w:bCs/>
          <w:szCs w:val="26"/>
        </w:rPr>
        <w:t>SUMMARY:</w:t>
      </w:r>
      <w:r w:rsidRPr="001E5B58" w:rsidR="43F71C08">
        <w:rPr>
          <w:szCs w:val="26"/>
        </w:rPr>
        <w:t xml:space="preserve"> </w:t>
      </w:r>
      <w:r w:rsidRPr="001E5B58" w:rsidR="005A7903">
        <w:rPr>
          <w:szCs w:val="26"/>
        </w:rPr>
        <w:t>In compliance with the requirements of the Paperwork Reduction Act of 1995, the Federal Energy Regulatory Commission (Commission or FERC) is soliciting public comment on the currently approved information collection, FERC-</w:t>
      </w:r>
      <w:r w:rsidRPr="001E5B58" w:rsidR="00373968">
        <w:rPr>
          <w:szCs w:val="26"/>
        </w:rPr>
        <w:t>592</w:t>
      </w:r>
      <w:r w:rsidRPr="001E5B58" w:rsidR="005A7903">
        <w:rPr>
          <w:szCs w:val="26"/>
        </w:rPr>
        <w:t xml:space="preserve"> (</w:t>
      </w:r>
      <w:r w:rsidRPr="001E5B58" w:rsidR="00373968">
        <w:rPr>
          <w:szCs w:val="26"/>
        </w:rPr>
        <w:t>Standards of Conduct for Transmission Provider and Marketing Affiliates of Interstate Pipelines</w:t>
      </w:r>
      <w:r w:rsidRPr="001E5B58" w:rsidR="005A7903">
        <w:rPr>
          <w:szCs w:val="26"/>
        </w:rPr>
        <w:t>)</w:t>
      </w:r>
      <w:r w:rsidRPr="001E5B58" w:rsidR="00036AEF">
        <w:rPr>
          <w:szCs w:val="26"/>
        </w:rPr>
        <w:t>,</w:t>
      </w:r>
      <w:r w:rsidRPr="001E5B58" w:rsidR="005A7903">
        <w:rPr>
          <w:szCs w:val="26"/>
        </w:rPr>
        <w:t xml:space="preserve"> which will be submitted to the Office of Management and Budget (OMB) for a review of the information collection requirements.</w:t>
      </w:r>
      <w:r w:rsidRPr="001E5B58" w:rsidR="7A62E129">
        <w:rPr>
          <w:szCs w:val="26"/>
        </w:rPr>
        <w:t xml:space="preserve"> </w:t>
      </w:r>
      <w:r w:rsidRPr="001E5B58" w:rsidR="7A62E129">
        <w:rPr>
          <w:color w:val="000000" w:themeColor="text1"/>
          <w:szCs w:val="26"/>
        </w:rPr>
        <w:t>There are no changes to the reporting requirements for this information collection.</w:t>
      </w:r>
    </w:p>
    <w:p w:rsidR="007C1916" w:rsidRPr="001E5B58" w:rsidP="149BEE33" w14:paraId="0426152F" w14:textId="741E73D4">
      <w:pPr>
        <w:spacing w:line="480" w:lineRule="auto"/>
        <w:rPr>
          <w:caps/>
          <w:szCs w:val="26"/>
        </w:rPr>
      </w:pPr>
      <w:r w:rsidRPr="001E5B58">
        <w:rPr>
          <w:b/>
          <w:bCs/>
          <w:szCs w:val="26"/>
        </w:rPr>
        <w:t>DATES:</w:t>
      </w:r>
      <w:r w:rsidRPr="001E5B58" w:rsidR="43F71C08">
        <w:rPr>
          <w:szCs w:val="26"/>
        </w:rPr>
        <w:t xml:space="preserve"> </w:t>
      </w:r>
      <w:r w:rsidRPr="001E5B58">
        <w:rPr>
          <w:szCs w:val="26"/>
        </w:rPr>
        <w:t xml:space="preserve">Comments on the collection of information are due </w:t>
      </w:r>
      <w:r w:rsidRPr="001E5B58">
        <w:rPr>
          <w:b/>
          <w:bCs/>
          <w:szCs w:val="26"/>
        </w:rPr>
        <w:t>[</w:t>
      </w:r>
      <w:r w:rsidRPr="001E5B58">
        <w:rPr>
          <w:b/>
          <w:bCs/>
          <w:caps/>
          <w:szCs w:val="26"/>
        </w:rPr>
        <w:t xml:space="preserve">Insert Date 30 days after </w:t>
      </w:r>
      <w:r w:rsidRPr="001E5B58" w:rsidR="00B65A09">
        <w:rPr>
          <w:b/>
          <w:bCs/>
          <w:caps/>
          <w:szCs w:val="26"/>
        </w:rPr>
        <w:t xml:space="preserve">date of </w:t>
      </w:r>
      <w:r w:rsidRPr="001E5B58">
        <w:rPr>
          <w:b/>
          <w:bCs/>
          <w:caps/>
          <w:szCs w:val="26"/>
        </w:rPr>
        <w:t>publication in the Federal Register]</w:t>
      </w:r>
      <w:r w:rsidRPr="001E5B58" w:rsidR="00B65A09">
        <w:rPr>
          <w:b/>
          <w:bCs/>
          <w:caps/>
          <w:szCs w:val="26"/>
        </w:rPr>
        <w:t>.</w:t>
      </w:r>
    </w:p>
    <w:p w:rsidR="4C82D671" w:rsidRPr="001E5B58" w:rsidP="149BEE33" w14:paraId="1C60164B" w14:textId="2C8DFA39">
      <w:pPr>
        <w:spacing w:line="480" w:lineRule="auto"/>
        <w:rPr>
          <w:color w:val="000000" w:themeColor="text1"/>
          <w:szCs w:val="26"/>
        </w:rPr>
      </w:pPr>
      <w:r w:rsidRPr="001E5B58">
        <w:rPr>
          <w:b/>
          <w:bCs/>
          <w:color w:val="000000" w:themeColor="text1"/>
          <w:szCs w:val="26"/>
        </w:rPr>
        <w:t>ADDRESSES:</w:t>
      </w:r>
      <w:r w:rsidRPr="001E5B58">
        <w:rPr>
          <w:color w:val="000000" w:themeColor="text1"/>
          <w:szCs w:val="26"/>
        </w:rPr>
        <w:t xml:space="preserve"> Send written comments on FERC-592 to OMB through </w:t>
      </w:r>
      <w:hyperlink r:id="rId10">
        <w:r w:rsidRPr="001E5B58">
          <w:rPr>
            <w:rStyle w:val="Hyperlink"/>
            <w:szCs w:val="26"/>
          </w:rPr>
          <w:t>https://www.reginfo.gov/public/do/PRA/icrPublicCommentRequest?ref_nbr=</w:t>
        </w:r>
        <w:r w:rsidRPr="001E5B58" w:rsidR="36C8DE82">
          <w:rPr>
            <w:rStyle w:val="Hyperlink"/>
            <w:szCs w:val="26"/>
          </w:rPr>
          <w:t xml:space="preserve"> 202509-1902-001</w:t>
        </w:r>
      </w:hyperlink>
      <w:r w:rsidRPr="001E5B58">
        <w:rPr>
          <w:color w:val="000000" w:themeColor="text1"/>
          <w:szCs w:val="26"/>
        </w:rPr>
        <w:t>.</w:t>
      </w:r>
      <w:r w:rsidRPr="001E5B58" w:rsidR="43F71C08">
        <w:rPr>
          <w:color w:val="000000" w:themeColor="text1"/>
          <w:szCs w:val="26"/>
        </w:rPr>
        <w:t xml:space="preserve"> </w:t>
      </w:r>
      <w:r w:rsidRPr="001E5B58">
        <w:rPr>
          <w:color w:val="000000" w:themeColor="text1"/>
          <w:szCs w:val="26"/>
        </w:rPr>
        <w:t xml:space="preserve">You can also visit </w:t>
      </w:r>
      <w:hyperlink r:id="rId11">
        <w:r w:rsidRPr="001E5B58">
          <w:rPr>
            <w:rStyle w:val="Hyperlink"/>
            <w:szCs w:val="26"/>
          </w:rPr>
          <w:t>https://www.reginfo.gov/public/do/PRAMain</w:t>
        </w:r>
      </w:hyperlink>
      <w:r w:rsidRPr="001E5B58">
        <w:rPr>
          <w:color w:val="000000" w:themeColor="text1"/>
          <w:szCs w:val="26"/>
        </w:rPr>
        <w:t xml:space="preserve"> and use the drop-down under “Currently under Review” to select the “Federal Energy Regulatory Commission” </w:t>
      </w:r>
      <w:r w:rsidRPr="001E5B58">
        <w:rPr>
          <w:color w:val="000000" w:themeColor="text1"/>
          <w:szCs w:val="26"/>
        </w:rPr>
        <w:t>where you can see the open opportunities to provide comments. Comments should be sent within 30 days of publication of this notice.</w:t>
      </w:r>
    </w:p>
    <w:p w:rsidR="4C82D671" w:rsidRPr="001E5B58" w:rsidP="0EA4442E" w14:paraId="04126BA1" w14:textId="0C03E921">
      <w:pPr>
        <w:spacing w:line="480" w:lineRule="auto"/>
        <w:rPr>
          <w:color w:val="000000" w:themeColor="text1"/>
          <w:szCs w:val="26"/>
        </w:rPr>
      </w:pPr>
      <w:r w:rsidRPr="001E5B58">
        <w:rPr>
          <w:color w:val="000000" w:themeColor="text1"/>
          <w:szCs w:val="26"/>
        </w:rPr>
        <w:t xml:space="preserve">Please </w:t>
      </w:r>
      <w:r w:rsidRPr="001E5B58" w:rsidR="3EA7AE6F">
        <w:rPr>
          <w:color w:val="000000" w:themeColor="text1"/>
          <w:szCs w:val="26"/>
        </w:rPr>
        <w:t xml:space="preserve">also </w:t>
      </w:r>
      <w:r w:rsidRPr="001E5B58">
        <w:rPr>
          <w:color w:val="000000" w:themeColor="text1"/>
          <w:szCs w:val="26"/>
        </w:rPr>
        <w:t xml:space="preserve">submit a copy of your comments to the Commission via email to </w:t>
      </w:r>
      <w:hyperlink r:id="rId12">
        <w:r w:rsidRPr="001E5B58">
          <w:rPr>
            <w:rStyle w:val="Hyperlink"/>
            <w:szCs w:val="26"/>
          </w:rPr>
          <w:t>DataClearance@FERC.gov</w:t>
        </w:r>
      </w:hyperlink>
      <w:r w:rsidRPr="001E5B58">
        <w:rPr>
          <w:color w:val="000000" w:themeColor="text1"/>
          <w:szCs w:val="26"/>
        </w:rPr>
        <w:t>. You must specify the Docket No. (IC25-15-000) and the FERC Information Collection number (FERC-592) in your email. If you are unable to file electronically, comments may be filed by USPS mail or by hand (including courier) delivery:</w:t>
      </w:r>
    </w:p>
    <w:p w:rsidR="4C82D671" w:rsidRPr="001E5B58" w:rsidP="149BEE33" w14:paraId="7993A225" w14:textId="5571218A">
      <w:pPr>
        <w:pStyle w:val="ListParagraph"/>
        <w:numPr>
          <w:ilvl w:val="0"/>
          <w:numId w:val="2"/>
        </w:numPr>
        <w:spacing w:line="480" w:lineRule="auto"/>
        <w:rPr>
          <w:color w:val="000000" w:themeColor="text1"/>
          <w:szCs w:val="26"/>
        </w:rPr>
      </w:pPr>
      <w:r w:rsidRPr="001E5B58">
        <w:rPr>
          <w:color w:val="000000" w:themeColor="text1"/>
          <w:szCs w:val="26"/>
        </w:rPr>
        <w:t>Mail via U.S. Postal Service Only: Federal Energy Regulatory Commission, Secretary of the Commission, 888 First Street, N.E., Washington, DC 20426.</w:t>
      </w:r>
    </w:p>
    <w:p w:rsidR="4C82D671" w:rsidRPr="001E5B58" w:rsidP="149BEE33" w14:paraId="08D7DE10" w14:textId="32FE45BD">
      <w:pPr>
        <w:pStyle w:val="ListParagraph"/>
        <w:numPr>
          <w:ilvl w:val="0"/>
          <w:numId w:val="2"/>
        </w:numPr>
        <w:spacing w:line="480" w:lineRule="auto"/>
        <w:rPr>
          <w:color w:val="000000" w:themeColor="text1"/>
          <w:szCs w:val="26"/>
        </w:rPr>
      </w:pPr>
      <w:r w:rsidRPr="001E5B58">
        <w:rPr>
          <w:color w:val="000000" w:themeColor="text1"/>
          <w:szCs w:val="26"/>
        </w:rPr>
        <w:t>All other delivery methods: Federal Energy Regulatory Commission, Secretary of the Commission, 12225 Wilkins Avenue, Rockville, MD 20852.</w:t>
      </w:r>
    </w:p>
    <w:p w:rsidR="4C82D671" w:rsidRPr="001E5B58" w:rsidP="40923FAD" w14:paraId="1899E811" w14:textId="497E8FFD">
      <w:pPr>
        <w:spacing w:line="480" w:lineRule="auto"/>
        <w:rPr>
          <w:color w:val="000000" w:themeColor="text1"/>
          <w:szCs w:val="26"/>
        </w:rPr>
      </w:pPr>
      <w:r w:rsidRPr="001E5B58">
        <w:rPr>
          <w:i/>
          <w:iCs/>
          <w:color w:val="000000" w:themeColor="text1"/>
          <w:szCs w:val="26"/>
        </w:rPr>
        <w:t>Docket</w:t>
      </w:r>
      <w:r w:rsidRPr="001E5B58">
        <w:rPr>
          <w:color w:val="000000" w:themeColor="text1"/>
          <w:szCs w:val="26"/>
        </w:rPr>
        <w:t>:</w:t>
      </w:r>
      <w:r w:rsidRPr="001E5B58" w:rsidR="43F71C08">
        <w:rPr>
          <w:color w:val="000000" w:themeColor="text1"/>
          <w:szCs w:val="26"/>
        </w:rPr>
        <w:t xml:space="preserve"> </w:t>
      </w:r>
      <w:r w:rsidRPr="001E5B58">
        <w:rPr>
          <w:color w:val="000000" w:themeColor="text1"/>
          <w:szCs w:val="26"/>
        </w:rPr>
        <w:t xml:space="preserve">To view comments and issuances in this docket, please visit </w:t>
      </w:r>
      <w:hyperlink r:id="rId13">
        <w:r w:rsidRPr="001E5B58">
          <w:rPr>
            <w:rStyle w:val="Hyperlink"/>
            <w:szCs w:val="26"/>
          </w:rPr>
          <w:t>https://elibrary.ferc.gov/eLibrary/search</w:t>
        </w:r>
      </w:hyperlink>
      <w:r w:rsidRPr="001E5B58">
        <w:rPr>
          <w:color w:val="000000" w:themeColor="text1"/>
          <w:szCs w:val="26"/>
        </w:rPr>
        <w:t xml:space="preserve">. </w:t>
      </w:r>
    </w:p>
    <w:p w:rsidR="4C82D671" w:rsidRPr="001E5B58" w:rsidP="149BEE33" w14:paraId="6275F88B" w14:textId="2F278744">
      <w:pPr>
        <w:spacing w:line="480" w:lineRule="auto"/>
        <w:rPr>
          <w:color w:val="000000" w:themeColor="text1"/>
          <w:szCs w:val="26"/>
        </w:rPr>
      </w:pPr>
      <w:r w:rsidRPr="001E5B58">
        <w:rPr>
          <w:b/>
          <w:bCs/>
          <w:color w:val="000000" w:themeColor="text1"/>
          <w:szCs w:val="26"/>
        </w:rPr>
        <w:t>FOR FURTHER INFORMATION CONTACT:</w:t>
      </w:r>
      <w:r w:rsidRPr="001E5B58" w:rsidR="43F71C08">
        <w:rPr>
          <w:color w:val="000000" w:themeColor="text1"/>
          <w:szCs w:val="26"/>
        </w:rPr>
        <w:t xml:space="preserve"> </w:t>
      </w:r>
      <w:r w:rsidRPr="001E5B58">
        <w:rPr>
          <w:color w:val="000000" w:themeColor="text1"/>
          <w:szCs w:val="26"/>
        </w:rPr>
        <w:t xml:space="preserve">Kayla Williams, (202) 502-6468. </w:t>
      </w:r>
      <w:hyperlink r:id="rId12">
        <w:r w:rsidRPr="001E5B58">
          <w:rPr>
            <w:rStyle w:val="Hyperlink"/>
            <w:szCs w:val="26"/>
          </w:rPr>
          <w:t>DataClearance@FERC.gov</w:t>
        </w:r>
      </w:hyperlink>
    </w:p>
    <w:p w:rsidR="00510E2B" w:rsidRPr="001E5B58" w:rsidP="149BEE33" w14:paraId="18CD3607" w14:textId="77777777">
      <w:pPr>
        <w:spacing w:line="480" w:lineRule="auto"/>
        <w:rPr>
          <w:szCs w:val="26"/>
        </w:rPr>
      </w:pPr>
      <w:r w:rsidRPr="001E5B58">
        <w:rPr>
          <w:b/>
          <w:bCs/>
          <w:szCs w:val="26"/>
        </w:rPr>
        <w:t>SUPPLEMENTARY INFORMATION:</w:t>
      </w:r>
      <w:r w:rsidRPr="001E5B58">
        <w:rPr>
          <w:szCs w:val="26"/>
        </w:rPr>
        <w:t xml:space="preserve"> </w:t>
      </w:r>
    </w:p>
    <w:p w:rsidR="00197214" w:rsidRPr="001E5B58" w:rsidP="149BEE33" w14:paraId="139E60B8" w14:textId="77777777">
      <w:pPr>
        <w:spacing w:line="480" w:lineRule="auto"/>
        <w:rPr>
          <w:szCs w:val="26"/>
        </w:rPr>
      </w:pPr>
      <w:r w:rsidRPr="001E5B58">
        <w:rPr>
          <w:i/>
          <w:iCs/>
          <w:szCs w:val="26"/>
        </w:rPr>
        <w:t>Title</w:t>
      </w:r>
      <w:r w:rsidRPr="001E5B58">
        <w:rPr>
          <w:szCs w:val="26"/>
        </w:rPr>
        <w:t>: Standards of Conduct for Transmission Provider</w:t>
      </w:r>
      <w:r w:rsidRPr="001E5B58" w:rsidR="003368A7">
        <w:rPr>
          <w:szCs w:val="26"/>
        </w:rPr>
        <w:t>s</w:t>
      </w:r>
      <w:r w:rsidRPr="001E5B58">
        <w:rPr>
          <w:szCs w:val="26"/>
        </w:rPr>
        <w:t xml:space="preserve"> and Marketing Affiliates of Interstate Pipelines</w:t>
      </w:r>
    </w:p>
    <w:p w:rsidR="00197214" w:rsidRPr="001E5B58" w:rsidP="149BEE33" w14:paraId="3DF132D5" w14:textId="77777777">
      <w:pPr>
        <w:spacing w:line="480" w:lineRule="auto"/>
        <w:rPr>
          <w:szCs w:val="26"/>
        </w:rPr>
      </w:pPr>
      <w:r w:rsidRPr="001E5B58">
        <w:rPr>
          <w:i/>
          <w:iCs/>
          <w:szCs w:val="26"/>
        </w:rPr>
        <w:t>OMB Control No.</w:t>
      </w:r>
      <w:r w:rsidRPr="001E5B58">
        <w:rPr>
          <w:szCs w:val="26"/>
        </w:rPr>
        <w:t>: 1902-0157</w:t>
      </w:r>
    </w:p>
    <w:p w:rsidR="00197214" w:rsidRPr="001E5B58" w:rsidP="149BEE33" w14:paraId="6937F3DC" w14:textId="66952261">
      <w:pPr>
        <w:spacing w:line="480" w:lineRule="auto"/>
        <w:rPr>
          <w:szCs w:val="26"/>
        </w:rPr>
      </w:pPr>
      <w:r w:rsidRPr="001E5B58">
        <w:rPr>
          <w:i/>
          <w:iCs/>
          <w:szCs w:val="26"/>
        </w:rPr>
        <w:t>Type of Request</w:t>
      </w:r>
      <w:r w:rsidRPr="001E5B58">
        <w:rPr>
          <w:szCs w:val="26"/>
        </w:rPr>
        <w:t>:</w:t>
      </w:r>
      <w:r w:rsidRPr="001E5B58" w:rsidR="43F71C08">
        <w:rPr>
          <w:szCs w:val="26"/>
        </w:rPr>
        <w:t xml:space="preserve"> </w:t>
      </w:r>
      <w:r w:rsidRPr="001E5B58">
        <w:rPr>
          <w:szCs w:val="26"/>
        </w:rPr>
        <w:t xml:space="preserve">Three-year extension of the FERC-592 information collection requirements with no changes to the current reporting requirements. </w:t>
      </w:r>
    </w:p>
    <w:p w:rsidR="00197214" w:rsidRPr="001E5B58" w:rsidP="0EA4442E" w14:paraId="38AC64F6" w14:textId="62CC3622">
      <w:pPr>
        <w:spacing w:line="480" w:lineRule="auto"/>
        <w:rPr>
          <w:szCs w:val="26"/>
        </w:rPr>
      </w:pPr>
      <w:r w:rsidRPr="001E5B58">
        <w:rPr>
          <w:i/>
          <w:iCs/>
          <w:szCs w:val="26"/>
        </w:rPr>
        <w:t xml:space="preserve">Abstract: </w:t>
      </w:r>
      <w:r w:rsidRPr="001E5B58">
        <w:rPr>
          <w:szCs w:val="26"/>
        </w:rPr>
        <w:t>The Commission uses the information maintained and posted by the respondents to monitor the pipeline's transportation, sales, and storage activities for its marketing affiliate</w:t>
      </w:r>
      <w:r w:rsidRPr="001E5B58" w:rsidR="00A078E7">
        <w:rPr>
          <w:szCs w:val="26"/>
        </w:rPr>
        <w:t>s</w:t>
      </w:r>
      <w:r w:rsidRPr="001E5B58">
        <w:rPr>
          <w:szCs w:val="26"/>
        </w:rPr>
        <w:t xml:space="preserve"> to deter undue discrimination by pipeline companies in favor of their marketing affiliates.</w:t>
      </w:r>
      <w:r w:rsidRPr="001E5B58" w:rsidR="43F71C08">
        <w:rPr>
          <w:szCs w:val="26"/>
        </w:rPr>
        <w:t xml:space="preserve"> </w:t>
      </w:r>
      <w:r w:rsidRPr="001E5B58">
        <w:rPr>
          <w:szCs w:val="26"/>
        </w:rPr>
        <w:t xml:space="preserve">Non-affiliated shippers and other entities (e.g. state commissions) also use the information to determine whether they have been harmed by affiliate preference and to prepare </w:t>
      </w:r>
      <w:r w:rsidRPr="001E5B58" w:rsidR="21C16492">
        <w:rPr>
          <w:szCs w:val="26"/>
        </w:rPr>
        <w:t>submissions and formulate positions in rate cases and other proceedings</w:t>
      </w:r>
      <w:r w:rsidRPr="001E5B58">
        <w:rPr>
          <w:szCs w:val="26"/>
        </w:rPr>
        <w:t>.</w:t>
      </w:r>
    </w:p>
    <w:p w:rsidR="00197214" w:rsidRPr="001E5B58" w:rsidP="149BEE33" w14:paraId="06315D11" w14:textId="427E5480">
      <w:pPr>
        <w:spacing w:line="480" w:lineRule="auto"/>
        <w:rPr>
          <w:b/>
          <w:bCs/>
          <w:szCs w:val="26"/>
        </w:rPr>
      </w:pPr>
      <w:r w:rsidRPr="001E5B58">
        <w:rPr>
          <w:b/>
          <w:bCs/>
          <w:szCs w:val="26"/>
        </w:rPr>
        <w:t>18 CFR Part 358 (Standards of Conduct)</w:t>
      </w:r>
    </w:p>
    <w:p w:rsidR="00197214" w:rsidRPr="001E5B58" w:rsidP="149BEE33" w14:paraId="2ECC1444" w14:textId="2A361132">
      <w:pPr>
        <w:spacing w:line="480" w:lineRule="auto"/>
        <w:rPr>
          <w:szCs w:val="26"/>
        </w:rPr>
      </w:pPr>
      <w:r w:rsidRPr="001E5B58">
        <w:rPr>
          <w:szCs w:val="26"/>
        </w:rPr>
        <w:t xml:space="preserve">Respondents maintain and provide the information required by 18 CFR Part 358 on their </w:t>
      </w:r>
      <w:r w:rsidRPr="001E5B58" w:rsidR="3C70AD85">
        <w:rPr>
          <w:szCs w:val="26"/>
        </w:rPr>
        <w:t xml:space="preserve">public </w:t>
      </w:r>
      <w:r w:rsidRPr="001E5B58">
        <w:rPr>
          <w:szCs w:val="26"/>
        </w:rPr>
        <w:t>websites.</w:t>
      </w:r>
      <w:r w:rsidRPr="001E5B58" w:rsidR="43F71C08">
        <w:rPr>
          <w:szCs w:val="26"/>
        </w:rPr>
        <w:t xml:space="preserve"> </w:t>
      </w:r>
      <w:r w:rsidRPr="001E5B58" w:rsidR="6D70F19B">
        <w:rPr>
          <w:szCs w:val="26"/>
        </w:rPr>
        <w:t>This requirement ensures that</w:t>
      </w:r>
      <w:r w:rsidRPr="001E5B58">
        <w:rPr>
          <w:szCs w:val="26"/>
        </w:rPr>
        <w:t xml:space="preserve"> non-affiliated shippers obtain comparable access to the non-public transportation information, which allows them to compete with marketing affiliates on a more equal basis.</w:t>
      </w:r>
    </w:p>
    <w:p w:rsidR="00197214" w:rsidRPr="001E5B58" w:rsidP="149BEE33" w14:paraId="66324C4B" w14:textId="77777777">
      <w:pPr>
        <w:spacing w:line="480" w:lineRule="auto"/>
        <w:rPr>
          <w:b/>
          <w:bCs/>
          <w:szCs w:val="26"/>
        </w:rPr>
      </w:pPr>
      <w:r w:rsidRPr="001E5B58">
        <w:rPr>
          <w:b/>
          <w:bCs/>
          <w:szCs w:val="26"/>
        </w:rPr>
        <w:t>18 CFR</w:t>
      </w:r>
      <w:r w:rsidRPr="001E5B58" w:rsidR="00671620">
        <w:rPr>
          <w:b/>
          <w:bCs/>
          <w:szCs w:val="26"/>
        </w:rPr>
        <w:t xml:space="preserve"> </w:t>
      </w:r>
      <w:r w:rsidRPr="001E5B58">
        <w:rPr>
          <w:b/>
          <w:bCs/>
          <w:szCs w:val="26"/>
        </w:rPr>
        <w:t>250.16, and the FERC-592 log/format</w:t>
      </w:r>
    </w:p>
    <w:p w:rsidR="00197214" w:rsidRPr="001E5B58" w:rsidP="149BEE33" w14:paraId="32A5C00D" w14:textId="4037DF51">
      <w:pPr>
        <w:spacing w:line="480" w:lineRule="auto"/>
        <w:rPr>
          <w:szCs w:val="26"/>
        </w:rPr>
      </w:pPr>
      <w:r w:rsidRPr="001E5B58">
        <w:rPr>
          <w:szCs w:val="26"/>
        </w:rPr>
        <w:t>This form (log/format) provides the electronic formats for maintaining information on discounted transportation transactions and capacity allocation to support monitoring of activities of interstate pipeline marketing affiliates.</w:t>
      </w:r>
      <w:r w:rsidRPr="001E5B58" w:rsidR="43F71C08">
        <w:rPr>
          <w:szCs w:val="26"/>
        </w:rPr>
        <w:t xml:space="preserve"> </w:t>
      </w:r>
    </w:p>
    <w:p w:rsidR="00197214" w:rsidRPr="001E5B58" w:rsidP="149BEE33" w14:paraId="1BC56E4B" w14:textId="77777777">
      <w:pPr>
        <w:spacing w:line="480" w:lineRule="auto"/>
        <w:rPr>
          <w:szCs w:val="26"/>
        </w:rPr>
      </w:pPr>
      <w:r w:rsidRPr="001E5B58">
        <w:rPr>
          <w:szCs w:val="26"/>
        </w:rPr>
        <w:t xml:space="preserve">Without this information collection: </w:t>
      </w:r>
    </w:p>
    <w:p w:rsidR="00197214" w:rsidRPr="001E5B58" w:rsidP="149BEE33" w14:paraId="0024F63C" w14:textId="723649FC">
      <w:pPr>
        <w:pStyle w:val="ListParagraph"/>
        <w:numPr>
          <w:ilvl w:val="0"/>
          <w:numId w:val="1"/>
        </w:numPr>
        <w:spacing w:line="480" w:lineRule="auto"/>
        <w:rPr>
          <w:szCs w:val="26"/>
        </w:rPr>
      </w:pPr>
      <w:r w:rsidRPr="001E5B58">
        <w:rPr>
          <w:szCs w:val="26"/>
        </w:rPr>
        <w:t xml:space="preserve">the Commission would </w:t>
      </w:r>
      <w:r w:rsidRPr="001E5B58" w:rsidR="3EF76BCF">
        <w:rPr>
          <w:szCs w:val="26"/>
        </w:rPr>
        <w:t>have difficulty</w:t>
      </w:r>
      <w:r w:rsidRPr="001E5B58">
        <w:rPr>
          <w:szCs w:val="26"/>
        </w:rPr>
        <w:t xml:space="preserve"> effectively monitor</w:t>
      </w:r>
      <w:r w:rsidRPr="001E5B58" w:rsidR="06D9CA26">
        <w:rPr>
          <w:szCs w:val="26"/>
        </w:rPr>
        <w:t>ing</w:t>
      </w:r>
      <w:r w:rsidRPr="001E5B58">
        <w:rPr>
          <w:szCs w:val="26"/>
        </w:rPr>
        <w:t xml:space="preserve"> whether pipelines are giving discriminatory preference to their marketing affiliates; and</w:t>
      </w:r>
    </w:p>
    <w:p w:rsidR="00197214" w:rsidRPr="001E5B58" w:rsidP="0EA4442E" w14:paraId="25071E1C" w14:textId="682D275E">
      <w:pPr>
        <w:pStyle w:val="ListParagraph"/>
        <w:numPr>
          <w:ilvl w:val="0"/>
          <w:numId w:val="1"/>
        </w:numPr>
        <w:spacing w:line="480" w:lineRule="auto"/>
        <w:rPr>
          <w:szCs w:val="26"/>
        </w:rPr>
      </w:pPr>
      <w:r w:rsidRPr="001E5B58">
        <w:rPr>
          <w:szCs w:val="26"/>
        </w:rPr>
        <w:t>non-affiliated shippers</w:t>
      </w:r>
      <w:r w:rsidRPr="001E5B58" w:rsidR="38268EA9">
        <w:rPr>
          <w:szCs w:val="26"/>
        </w:rPr>
        <w:t xml:space="preserve">, </w:t>
      </w:r>
      <w:r w:rsidRPr="001E5B58">
        <w:rPr>
          <w:szCs w:val="26"/>
        </w:rPr>
        <w:t>state commissions</w:t>
      </w:r>
      <w:r w:rsidRPr="001E5B58" w:rsidR="49FFA3C7">
        <w:rPr>
          <w:szCs w:val="26"/>
        </w:rPr>
        <w:t>,</w:t>
      </w:r>
      <w:r w:rsidRPr="001E5B58">
        <w:rPr>
          <w:szCs w:val="26"/>
        </w:rPr>
        <w:t xml:space="preserve"> and others would </w:t>
      </w:r>
      <w:r w:rsidRPr="001E5B58" w:rsidR="13F16070">
        <w:rPr>
          <w:szCs w:val="26"/>
        </w:rPr>
        <w:t>have difficulty</w:t>
      </w:r>
      <w:r w:rsidRPr="001E5B58">
        <w:rPr>
          <w:szCs w:val="26"/>
        </w:rPr>
        <w:t xml:space="preserve"> determin</w:t>
      </w:r>
      <w:r w:rsidRPr="001E5B58" w:rsidR="6AC1CE3E">
        <w:rPr>
          <w:szCs w:val="26"/>
        </w:rPr>
        <w:t>ing</w:t>
      </w:r>
      <w:r w:rsidRPr="001E5B58">
        <w:rPr>
          <w:szCs w:val="26"/>
        </w:rPr>
        <w:t xml:space="preserve"> </w:t>
      </w:r>
      <w:r w:rsidRPr="001E5B58" w:rsidR="5E4A481C">
        <w:rPr>
          <w:szCs w:val="26"/>
        </w:rPr>
        <w:t>whether</w:t>
      </w:r>
      <w:r w:rsidRPr="001E5B58">
        <w:rPr>
          <w:szCs w:val="26"/>
        </w:rPr>
        <w:t xml:space="preserve"> they have been harmed by affiliate preference </w:t>
      </w:r>
      <w:r w:rsidRPr="001E5B58" w:rsidR="3562D1D8">
        <w:rPr>
          <w:szCs w:val="26"/>
        </w:rPr>
        <w:t xml:space="preserve">and </w:t>
      </w:r>
      <w:r w:rsidRPr="001E5B58">
        <w:rPr>
          <w:szCs w:val="26"/>
        </w:rPr>
        <w:t>prepar</w:t>
      </w:r>
      <w:r w:rsidRPr="001E5B58" w:rsidR="4C1D7721">
        <w:rPr>
          <w:szCs w:val="26"/>
        </w:rPr>
        <w:t xml:space="preserve">ing submissions </w:t>
      </w:r>
      <w:r w:rsidRPr="001E5B58">
        <w:rPr>
          <w:szCs w:val="26"/>
        </w:rPr>
        <w:t xml:space="preserve">for </w:t>
      </w:r>
      <w:r w:rsidRPr="001E5B58" w:rsidR="40CCBC68">
        <w:rPr>
          <w:szCs w:val="26"/>
        </w:rPr>
        <w:t xml:space="preserve">rate cases and other </w:t>
      </w:r>
      <w:r w:rsidRPr="001E5B58">
        <w:rPr>
          <w:szCs w:val="26"/>
        </w:rPr>
        <w:t>proceedings.</w:t>
      </w:r>
    </w:p>
    <w:p w:rsidR="00197214" w:rsidRPr="001E5B58" w:rsidP="149BEE33" w14:paraId="1D1AE880" w14:textId="77777777">
      <w:pPr>
        <w:spacing w:line="480" w:lineRule="auto"/>
        <w:rPr>
          <w:szCs w:val="26"/>
        </w:rPr>
      </w:pPr>
      <w:r w:rsidRPr="001E5B58">
        <w:rPr>
          <w:i/>
          <w:iCs/>
          <w:szCs w:val="26"/>
        </w:rPr>
        <w:t xml:space="preserve">Type of Respondents: </w:t>
      </w:r>
      <w:r w:rsidRPr="001E5B58">
        <w:rPr>
          <w:szCs w:val="26"/>
        </w:rPr>
        <w:t>Natural gas pipelines.</w:t>
      </w:r>
    </w:p>
    <w:p w:rsidR="00197214" w:rsidRPr="001E5B58" w:rsidP="40923FAD" w14:paraId="3410D65E" w14:textId="77777777">
      <w:pPr>
        <w:spacing w:line="480" w:lineRule="auto"/>
        <w:rPr>
          <w:szCs w:val="26"/>
        </w:rPr>
      </w:pPr>
      <w:r w:rsidRPr="001E5B58">
        <w:rPr>
          <w:i/>
          <w:iCs/>
          <w:szCs w:val="26"/>
        </w:rPr>
        <w:t>Estimate of Annual Burden</w:t>
      </w:r>
      <w:r w:rsidRPr="001E5B58" w:rsidR="000C13EC">
        <w:rPr>
          <w:i/>
          <w:iCs/>
          <w:szCs w:val="26"/>
        </w:rPr>
        <w:t>:</w:t>
      </w:r>
      <w:r>
        <w:rPr>
          <w:szCs w:val="26"/>
          <w:vertAlign w:val="superscript"/>
        </w:rPr>
        <w:footnoteReference w:id="3"/>
      </w:r>
      <w:r w:rsidRPr="001E5B58">
        <w:rPr>
          <w:i/>
          <w:iCs/>
          <w:szCs w:val="26"/>
        </w:rPr>
        <w:t xml:space="preserve"> </w:t>
      </w:r>
      <w:r w:rsidRPr="001E5B58">
        <w:rPr>
          <w:szCs w:val="26"/>
        </w:rPr>
        <w:t>The Commission estimates the annual reporting burden and cost for the information collection as shown in the following table:</w:t>
      </w:r>
    </w:p>
    <w:p w:rsidR="00197214" w:rsidRPr="001E5B58" w:rsidP="40923FAD" w14:paraId="1538F16C" w14:textId="6C3CCD00">
      <w:pPr>
        <w:spacing w:line="480" w:lineRule="auto"/>
        <w:rPr>
          <w:szCs w:val="26"/>
        </w:rPr>
      </w:pPr>
    </w:p>
    <w:p w:rsidR="40923FAD" w:rsidRPr="001E5B58" w:rsidP="40923FAD" w14:paraId="0D2EEA24" w14:textId="232333EE">
      <w:pPr>
        <w:spacing w:line="480" w:lineRule="auto"/>
        <w:rPr>
          <w:szCs w:val="26"/>
        </w:rPr>
      </w:pPr>
    </w:p>
    <w:p w:rsidR="003A2C24" w:rsidRPr="001E5B58" w:rsidP="149BEE33" w14:paraId="74046737" w14:textId="77777777">
      <w:pPr>
        <w:rPr>
          <w:szCs w:val="26"/>
        </w:rPr>
      </w:pPr>
    </w:p>
    <w:tbl>
      <w:tblPr>
        <w:tblW w:w="86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2"/>
        <w:gridCol w:w="1531"/>
        <w:gridCol w:w="1404"/>
        <w:gridCol w:w="1342"/>
        <w:gridCol w:w="1404"/>
        <w:gridCol w:w="1531"/>
      </w:tblGrid>
      <w:tr w14:paraId="4FFFB237" w14:textId="77777777" w:rsidTr="6EC08137">
        <w:tblPrEx>
          <w:tblW w:w="86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1572" w:type="dxa"/>
            <w:shd w:val="clear" w:color="auto" w:fill="D9D9D9" w:themeFill="background1" w:themeFillShade="D9"/>
          </w:tcPr>
          <w:p w:rsidR="00197214" w:rsidRPr="001E5B58" w:rsidP="6EC08137" w14:paraId="21330541" w14:textId="3600B68A">
            <w:pPr>
              <w:jc w:val="center"/>
              <w:rPr>
                <w:b/>
                <w:bCs/>
                <w:szCs w:val="26"/>
              </w:rPr>
            </w:pPr>
            <w:r w:rsidRPr="001E5B58">
              <w:rPr>
                <w:b/>
                <w:bCs/>
                <w:szCs w:val="26"/>
              </w:rPr>
              <w:t>Number of Respondents</w:t>
            </w:r>
          </w:p>
          <w:p w:rsidR="00197214" w:rsidRPr="001E5B58" w:rsidP="149BEE33" w14:paraId="4348FBF7" w14:textId="67F54167">
            <w:pPr>
              <w:jc w:val="center"/>
              <w:rPr>
                <w:szCs w:val="26"/>
              </w:rPr>
            </w:pPr>
          </w:p>
          <w:p w:rsidR="00197214" w:rsidRPr="001E5B58" w:rsidP="149BEE33" w14:paraId="69B24425" w14:textId="2C082CE4">
            <w:pPr>
              <w:jc w:val="center"/>
              <w:rPr>
                <w:szCs w:val="26"/>
              </w:rPr>
            </w:pPr>
          </w:p>
          <w:p w:rsidR="00197214" w:rsidRPr="001E5B58" w:rsidP="6EC08137" w14:paraId="67F89703" w14:textId="7464EB43">
            <w:pPr>
              <w:jc w:val="center"/>
              <w:rPr>
                <w:b/>
                <w:bCs/>
                <w:szCs w:val="26"/>
              </w:rPr>
            </w:pPr>
            <w:r w:rsidRPr="001E5B58">
              <w:rPr>
                <w:szCs w:val="26"/>
              </w:rPr>
              <w:br/>
            </w:r>
            <w:r w:rsidRPr="001E5B58">
              <w:rPr>
                <w:b/>
                <w:bCs/>
                <w:szCs w:val="26"/>
              </w:rPr>
              <w:t>(1)</w:t>
            </w:r>
          </w:p>
        </w:tc>
        <w:tc>
          <w:tcPr>
            <w:tcW w:w="1475" w:type="dxa"/>
            <w:shd w:val="clear" w:color="auto" w:fill="D9D9D9" w:themeFill="background1" w:themeFillShade="D9"/>
          </w:tcPr>
          <w:p w:rsidR="00197214" w:rsidRPr="001E5B58" w:rsidP="149BEE33" w14:paraId="46C63138" w14:textId="77777777">
            <w:pPr>
              <w:jc w:val="center"/>
              <w:rPr>
                <w:b/>
                <w:bCs/>
                <w:szCs w:val="26"/>
              </w:rPr>
            </w:pPr>
            <w:r w:rsidRPr="001E5B58">
              <w:rPr>
                <w:b/>
                <w:bCs/>
                <w:szCs w:val="26"/>
              </w:rPr>
              <w:t>Annual Number of Responses per Respondent</w:t>
            </w:r>
          </w:p>
          <w:p w:rsidR="6EC08137" w:rsidRPr="001E5B58" w:rsidP="6EC08137" w14:paraId="79DCDD4E" w14:textId="7A33154E">
            <w:pPr>
              <w:jc w:val="center"/>
              <w:rPr>
                <w:b/>
                <w:bCs/>
                <w:szCs w:val="26"/>
              </w:rPr>
            </w:pPr>
          </w:p>
          <w:p w:rsidR="00197214" w:rsidRPr="001E5B58" w:rsidP="149BEE33" w14:paraId="3C5B1719" w14:textId="77777777">
            <w:pPr>
              <w:jc w:val="center"/>
              <w:rPr>
                <w:b/>
                <w:bCs/>
                <w:szCs w:val="26"/>
              </w:rPr>
            </w:pPr>
            <w:r w:rsidRPr="001E5B58">
              <w:rPr>
                <w:b/>
                <w:bCs/>
                <w:szCs w:val="26"/>
              </w:rPr>
              <w:t>(2)</w:t>
            </w:r>
          </w:p>
        </w:tc>
        <w:tc>
          <w:tcPr>
            <w:tcW w:w="1353" w:type="dxa"/>
            <w:shd w:val="clear" w:color="auto" w:fill="D9D9D9" w:themeFill="background1" w:themeFillShade="D9"/>
          </w:tcPr>
          <w:p w:rsidR="00197214" w:rsidRPr="001E5B58" w:rsidP="6EC08137" w14:paraId="4F9726C0" w14:textId="0A245256">
            <w:pPr>
              <w:jc w:val="center"/>
              <w:rPr>
                <w:b/>
                <w:bCs/>
                <w:szCs w:val="26"/>
              </w:rPr>
            </w:pPr>
            <w:r w:rsidRPr="001E5B58">
              <w:rPr>
                <w:b/>
                <w:bCs/>
                <w:szCs w:val="26"/>
              </w:rPr>
              <w:t>Total Number of Responses</w:t>
            </w:r>
          </w:p>
          <w:p w:rsidR="00197214" w:rsidRPr="001E5B58" w:rsidP="6EC08137" w14:paraId="760F4458" w14:textId="01031A29">
            <w:pPr>
              <w:jc w:val="center"/>
              <w:rPr>
                <w:b/>
                <w:bCs/>
                <w:szCs w:val="26"/>
              </w:rPr>
            </w:pPr>
          </w:p>
          <w:p w:rsidR="00197214" w:rsidRPr="001E5B58" w:rsidP="6EC08137" w14:paraId="3AEEDF3F" w14:textId="14932D78">
            <w:pPr>
              <w:jc w:val="center"/>
              <w:rPr>
                <w:b/>
                <w:bCs/>
                <w:szCs w:val="26"/>
              </w:rPr>
            </w:pPr>
          </w:p>
          <w:p w:rsidR="00197214" w:rsidRPr="001E5B58" w:rsidP="6EC08137" w14:paraId="5A6E2EB2" w14:textId="0D5E4503">
            <w:pPr>
              <w:jc w:val="center"/>
              <w:rPr>
                <w:b/>
                <w:bCs/>
                <w:szCs w:val="26"/>
              </w:rPr>
            </w:pPr>
          </w:p>
          <w:p w:rsidR="00197214" w:rsidRPr="001E5B58" w:rsidP="149BEE33" w14:paraId="0D91E730" w14:textId="6F48D9EB">
            <w:pPr>
              <w:jc w:val="center"/>
              <w:rPr>
                <w:b/>
                <w:bCs/>
                <w:szCs w:val="26"/>
              </w:rPr>
            </w:pPr>
            <w:r w:rsidRPr="001E5B58">
              <w:rPr>
                <w:b/>
                <w:bCs/>
                <w:szCs w:val="26"/>
              </w:rPr>
              <w:t xml:space="preserve"> (1)*(2)=(3)</w:t>
            </w:r>
          </w:p>
        </w:tc>
        <w:tc>
          <w:tcPr>
            <w:tcW w:w="1294" w:type="dxa"/>
            <w:shd w:val="clear" w:color="auto" w:fill="D9D9D9" w:themeFill="background1" w:themeFillShade="D9"/>
          </w:tcPr>
          <w:p w:rsidR="00197214" w:rsidRPr="001E5B58" w:rsidP="149BEE33" w14:paraId="315ECC65" w14:textId="77777777">
            <w:pPr>
              <w:jc w:val="center"/>
              <w:rPr>
                <w:b/>
                <w:bCs/>
                <w:szCs w:val="26"/>
              </w:rPr>
            </w:pPr>
            <w:r w:rsidRPr="001E5B58">
              <w:rPr>
                <w:b/>
                <w:bCs/>
                <w:szCs w:val="26"/>
              </w:rPr>
              <w:t>Average Burden &amp; Cost Per Response</w:t>
            </w:r>
            <w:r>
              <w:rPr>
                <w:szCs w:val="26"/>
                <w:vertAlign w:val="superscript"/>
              </w:rPr>
              <w:footnoteReference w:id="4"/>
            </w:r>
          </w:p>
          <w:p w:rsidR="6EC08137" w:rsidRPr="001E5B58" w:rsidP="6EC08137" w14:paraId="1CDDED5B" w14:textId="66D018FA">
            <w:pPr>
              <w:jc w:val="center"/>
              <w:rPr>
                <w:b/>
                <w:bCs/>
                <w:szCs w:val="26"/>
              </w:rPr>
            </w:pPr>
          </w:p>
          <w:p w:rsidR="00197214" w:rsidRPr="001E5B58" w:rsidP="149BEE33" w14:paraId="1CD3FBC3" w14:textId="77777777">
            <w:pPr>
              <w:jc w:val="center"/>
              <w:rPr>
                <w:b/>
                <w:bCs/>
                <w:szCs w:val="26"/>
              </w:rPr>
            </w:pPr>
            <w:r w:rsidRPr="001E5B58">
              <w:rPr>
                <w:b/>
                <w:bCs/>
                <w:szCs w:val="26"/>
              </w:rPr>
              <w:t>(4)</w:t>
            </w:r>
          </w:p>
        </w:tc>
        <w:tc>
          <w:tcPr>
            <w:tcW w:w="1440" w:type="dxa"/>
            <w:shd w:val="clear" w:color="auto" w:fill="D9D9D9" w:themeFill="background1" w:themeFillShade="D9"/>
          </w:tcPr>
          <w:p w:rsidR="00197214" w:rsidRPr="001E5B58" w:rsidP="149BEE33" w14:paraId="0B6E1CBE" w14:textId="77777777">
            <w:pPr>
              <w:jc w:val="center"/>
              <w:rPr>
                <w:b/>
                <w:bCs/>
                <w:szCs w:val="26"/>
              </w:rPr>
            </w:pPr>
            <w:r w:rsidRPr="001E5B58">
              <w:rPr>
                <w:b/>
                <w:bCs/>
                <w:szCs w:val="26"/>
              </w:rPr>
              <w:t>Total Annual Burden Hours &amp; Total Annual Cost</w:t>
            </w:r>
          </w:p>
          <w:p w:rsidR="00197214" w:rsidRPr="001E5B58" w:rsidP="149BEE33" w14:paraId="1A5161A5" w14:textId="77777777">
            <w:pPr>
              <w:jc w:val="center"/>
              <w:rPr>
                <w:b/>
                <w:bCs/>
                <w:szCs w:val="26"/>
              </w:rPr>
            </w:pPr>
            <w:r w:rsidRPr="001E5B58">
              <w:rPr>
                <w:b/>
                <w:bCs/>
                <w:szCs w:val="26"/>
              </w:rPr>
              <w:t>(3)*(4)=(5)</w:t>
            </w:r>
          </w:p>
        </w:tc>
        <w:tc>
          <w:tcPr>
            <w:tcW w:w="1485" w:type="dxa"/>
            <w:shd w:val="clear" w:color="auto" w:fill="D9D9D9" w:themeFill="background1" w:themeFillShade="D9"/>
          </w:tcPr>
          <w:p w:rsidR="00197214" w:rsidRPr="001E5B58" w:rsidP="149BEE33" w14:paraId="3F1BA865" w14:textId="77777777">
            <w:pPr>
              <w:jc w:val="center"/>
              <w:rPr>
                <w:b/>
                <w:bCs/>
                <w:szCs w:val="26"/>
              </w:rPr>
            </w:pPr>
            <w:r w:rsidRPr="001E5B58">
              <w:rPr>
                <w:b/>
                <w:bCs/>
                <w:szCs w:val="26"/>
              </w:rPr>
              <w:t>Cost per Respondent</w:t>
            </w:r>
          </w:p>
          <w:p w:rsidR="00197214" w:rsidRPr="001E5B58" w:rsidP="149BEE33" w14:paraId="23180009" w14:textId="77777777">
            <w:pPr>
              <w:jc w:val="center"/>
              <w:rPr>
                <w:b/>
                <w:bCs/>
                <w:szCs w:val="26"/>
              </w:rPr>
            </w:pPr>
            <w:r w:rsidRPr="001E5B58">
              <w:rPr>
                <w:b/>
                <w:bCs/>
                <w:szCs w:val="26"/>
              </w:rPr>
              <w:t>($)</w:t>
            </w:r>
          </w:p>
          <w:p w:rsidR="6EC08137" w:rsidRPr="001E5B58" w:rsidP="6EC08137" w14:paraId="4D48EB8D" w14:textId="4D738AA1">
            <w:pPr>
              <w:jc w:val="center"/>
              <w:rPr>
                <w:b/>
                <w:bCs/>
                <w:szCs w:val="26"/>
              </w:rPr>
            </w:pPr>
          </w:p>
          <w:p w:rsidR="6EC08137" w:rsidRPr="001E5B58" w:rsidP="6EC08137" w14:paraId="798E798D" w14:textId="435A8B16">
            <w:pPr>
              <w:jc w:val="center"/>
              <w:rPr>
                <w:b/>
                <w:bCs/>
                <w:szCs w:val="26"/>
              </w:rPr>
            </w:pPr>
          </w:p>
          <w:p w:rsidR="6EC08137" w:rsidRPr="001E5B58" w:rsidP="6EC08137" w14:paraId="026F7E73" w14:textId="1195F90A">
            <w:pPr>
              <w:jc w:val="center"/>
              <w:rPr>
                <w:b/>
                <w:bCs/>
                <w:szCs w:val="26"/>
              </w:rPr>
            </w:pPr>
          </w:p>
          <w:p w:rsidR="00197214" w:rsidRPr="001E5B58" w:rsidP="149BEE33" w14:paraId="6AC62ED6" w14:textId="77777777">
            <w:pPr>
              <w:jc w:val="center"/>
              <w:rPr>
                <w:b/>
                <w:bCs/>
                <w:szCs w:val="26"/>
              </w:rPr>
            </w:pPr>
            <w:r w:rsidRPr="001E5B58">
              <w:rPr>
                <w:b/>
                <w:bCs/>
                <w:szCs w:val="26"/>
              </w:rPr>
              <w:t>(5)÷(1)</w:t>
            </w:r>
          </w:p>
        </w:tc>
      </w:tr>
      <w:tr w14:paraId="0BD7291D" w14:textId="77777777" w:rsidTr="6EC08137">
        <w:tblPrEx>
          <w:tblW w:w="8619" w:type="dxa"/>
          <w:tblInd w:w="108" w:type="dxa"/>
          <w:tblLook w:val="01E0"/>
        </w:tblPrEx>
        <w:trPr>
          <w:cantSplit/>
        </w:trPr>
        <w:tc>
          <w:tcPr>
            <w:tcW w:w="1572" w:type="dxa"/>
            <w:vAlign w:val="bottom"/>
          </w:tcPr>
          <w:p w:rsidR="00197214" w:rsidRPr="001E5B58" w:rsidP="149BEE33" w14:paraId="1F64C62B" w14:textId="77777777">
            <w:pPr>
              <w:jc w:val="right"/>
              <w:rPr>
                <w:szCs w:val="26"/>
              </w:rPr>
            </w:pPr>
            <w:r w:rsidRPr="001E5B58">
              <w:rPr>
                <w:szCs w:val="26"/>
              </w:rPr>
              <w:t>85</w:t>
            </w:r>
          </w:p>
        </w:tc>
        <w:tc>
          <w:tcPr>
            <w:tcW w:w="1475" w:type="dxa"/>
            <w:vAlign w:val="bottom"/>
          </w:tcPr>
          <w:p w:rsidR="00197214" w:rsidRPr="001E5B58" w:rsidP="149BEE33" w14:paraId="78131F75" w14:textId="77777777">
            <w:pPr>
              <w:jc w:val="right"/>
              <w:rPr>
                <w:szCs w:val="26"/>
              </w:rPr>
            </w:pPr>
            <w:r w:rsidRPr="001E5B58">
              <w:rPr>
                <w:szCs w:val="26"/>
              </w:rPr>
              <w:t>1</w:t>
            </w:r>
          </w:p>
        </w:tc>
        <w:tc>
          <w:tcPr>
            <w:tcW w:w="1353" w:type="dxa"/>
            <w:vAlign w:val="bottom"/>
          </w:tcPr>
          <w:p w:rsidR="00197214" w:rsidRPr="001E5B58" w:rsidP="149BEE33" w14:paraId="10AAC26B" w14:textId="77777777">
            <w:pPr>
              <w:jc w:val="right"/>
              <w:rPr>
                <w:szCs w:val="26"/>
              </w:rPr>
            </w:pPr>
            <w:r w:rsidRPr="001E5B58">
              <w:rPr>
                <w:szCs w:val="26"/>
              </w:rPr>
              <w:t>85</w:t>
            </w:r>
          </w:p>
        </w:tc>
        <w:tc>
          <w:tcPr>
            <w:tcW w:w="1294" w:type="dxa"/>
            <w:vAlign w:val="bottom"/>
          </w:tcPr>
          <w:p w:rsidR="00197214" w:rsidRPr="001E5B58" w:rsidP="149BEE33" w14:paraId="01F1408B" w14:textId="77777777">
            <w:pPr>
              <w:jc w:val="right"/>
              <w:rPr>
                <w:szCs w:val="26"/>
              </w:rPr>
            </w:pPr>
            <w:r w:rsidRPr="001E5B58">
              <w:rPr>
                <w:szCs w:val="26"/>
              </w:rPr>
              <w:t>117 hrs.;</w:t>
            </w:r>
          </w:p>
          <w:p w:rsidR="00197214" w:rsidRPr="001E5B58" w:rsidP="149BEE33" w14:paraId="1F45B46B" w14:textId="5BF1545E">
            <w:pPr>
              <w:jc w:val="right"/>
              <w:rPr>
                <w:szCs w:val="26"/>
              </w:rPr>
            </w:pPr>
            <w:r w:rsidRPr="001E5B58">
              <w:rPr>
                <w:szCs w:val="26"/>
              </w:rPr>
              <w:t>$1</w:t>
            </w:r>
            <w:r w:rsidRPr="001E5B58" w:rsidR="2D70038E">
              <w:rPr>
                <w:szCs w:val="26"/>
              </w:rPr>
              <w:t>2,051</w:t>
            </w:r>
          </w:p>
        </w:tc>
        <w:tc>
          <w:tcPr>
            <w:tcW w:w="1440" w:type="dxa"/>
            <w:vAlign w:val="bottom"/>
          </w:tcPr>
          <w:p w:rsidR="00197214" w:rsidRPr="001E5B58" w:rsidP="149BEE33" w14:paraId="50272EE2" w14:textId="77777777">
            <w:pPr>
              <w:jc w:val="right"/>
              <w:rPr>
                <w:szCs w:val="26"/>
              </w:rPr>
            </w:pPr>
            <w:r w:rsidRPr="001E5B58">
              <w:rPr>
                <w:szCs w:val="26"/>
              </w:rPr>
              <w:t>9,945 hrs.;</w:t>
            </w:r>
          </w:p>
          <w:p w:rsidR="00197214" w:rsidRPr="001E5B58" w:rsidP="149BEE33" w14:paraId="0A3E85EC" w14:textId="3406478A">
            <w:pPr>
              <w:jc w:val="right"/>
              <w:rPr>
                <w:szCs w:val="26"/>
              </w:rPr>
            </w:pPr>
            <w:r w:rsidRPr="001E5B58">
              <w:rPr>
                <w:szCs w:val="26"/>
              </w:rPr>
              <w:t>$</w:t>
            </w:r>
            <w:r w:rsidRPr="001E5B58" w:rsidR="4847D669">
              <w:rPr>
                <w:color w:val="000000" w:themeColor="text1"/>
                <w:szCs w:val="26"/>
              </w:rPr>
              <w:t>1,024,335</w:t>
            </w:r>
          </w:p>
        </w:tc>
        <w:tc>
          <w:tcPr>
            <w:tcW w:w="1485" w:type="dxa"/>
            <w:vAlign w:val="bottom"/>
          </w:tcPr>
          <w:p w:rsidR="00197214" w:rsidRPr="001E5B58" w:rsidP="149BEE33" w14:paraId="1BA45ED7" w14:textId="2D759ECF">
            <w:pPr>
              <w:jc w:val="right"/>
              <w:rPr>
                <w:szCs w:val="26"/>
              </w:rPr>
            </w:pPr>
            <w:r w:rsidRPr="001E5B58">
              <w:rPr>
                <w:szCs w:val="26"/>
              </w:rPr>
              <w:t>$</w:t>
            </w:r>
            <w:r w:rsidRPr="001E5B58" w:rsidR="091EE729">
              <w:rPr>
                <w:color w:val="000000" w:themeColor="text1"/>
                <w:szCs w:val="26"/>
              </w:rPr>
              <w:t>12,051</w:t>
            </w:r>
          </w:p>
        </w:tc>
      </w:tr>
    </w:tbl>
    <w:p w:rsidR="0084158A" w:rsidRPr="001E5B58" w:rsidP="149BEE33" w14:paraId="5850EA31" w14:textId="77777777">
      <w:pPr>
        <w:tabs>
          <w:tab w:val="left" w:pos="630"/>
        </w:tabs>
        <w:spacing w:line="480" w:lineRule="auto"/>
        <w:rPr>
          <w:szCs w:val="26"/>
        </w:rPr>
      </w:pPr>
    </w:p>
    <w:p w:rsidR="0084158A" w:rsidRPr="001E5B58" w:rsidP="149BEE33" w14:paraId="33353D88" w14:textId="74EE4F12">
      <w:pPr>
        <w:spacing w:line="480" w:lineRule="auto"/>
        <w:ind w:firstLine="720"/>
        <w:rPr>
          <w:szCs w:val="26"/>
        </w:rPr>
      </w:pPr>
      <w:r w:rsidRPr="001E5B58">
        <w:rPr>
          <w:szCs w:val="26"/>
        </w:rPr>
        <w:t>Comments are invited on:</w:t>
      </w:r>
      <w:r w:rsidRPr="001E5B58" w:rsidR="43F71C08">
        <w:rPr>
          <w:szCs w:val="26"/>
        </w:rPr>
        <w:t xml:space="preserve"> </w:t>
      </w:r>
      <w:r w:rsidRPr="001E5B58">
        <w:rPr>
          <w:szCs w:val="26"/>
        </w:rPr>
        <w:t xml:space="preserve">(1) whether the collection of information is necessary for the proper performance of the functions of the Commission, </w:t>
      </w:r>
      <w:r w:rsidRPr="001E5B58">
        <w:rPr>
          <w:szCs w:val="26"/>
        </w:rPr>
        <w:t>including whether the information will have practical utility; (2) the accuracy of the agency’s estimate of the burden and cost of the collection</w:t>
      </w:r>
      <w:r w:rsidRPr="001E5B58" w:rsidR="006D552E">
        <w:rPr>
          <w:szCs w:val="26"/>
        </w:rPr>
        <w:t xml:space="preserve"> </w:t>
      </w:r>
      <w:r w:rsidRPr="001E5B58">
        <w:rPr>
          <w:szCs w:val="26"/>
        </w:rPr>
        <w:t>of information, including the validity of the methodology and assumptions used; (3) ways to enhance the quality, utility</w:t>
      </w:r>
      <w:r w:rsidRPr="001E5B58" w:rsidR="401321E1">
        <w:rPr>
          <w:szCs w:val="26"/>
        </w:rPr>
        <w:t>,</w:t>
      </w:r>
      <w:r w:rsidRPr="001E5B58">
        <w:rPr>
          <w:szCs w:val="26"/>
        </w:rPr>
        <w:t xml:space="preserve"> and clarity of the information collection; and (4) ways to minimize the burden of the collection of information on those who are to respond, including the use of automated collection techniques or other forms of information technology.</w:t>
      </w:r>
    </w:p>
    <w:p w:rsidR="0084158A" w:rsidRPr="001E5B58" w:rsidP="149BEE33" w14:paraId="1C865B2E" w14:textId="77777777">
      <w:pPr>
        <w:spacing w:line="480" w:lineRule="auto"/>
        <w:rPr>
          <w:szCs w:val="26"/>
        </w:rPr>
      </w:pPr>
    </w:p>
    <w:p w:rsidR="005A7903" w:rsidRPr="001E5B58" w:rsidP="149BEE33" w14:paraId="6964C634" w14:textId="31FD614E">
      <w:pPr>
        <w:ind w:firstLine="2174"/>
        <w:jc w:val="center"/>
        <w:rPr>
          <w:szCs w:val="26"/>
        </w:rPr>
      </w:pPr>
      <w:r w:rsidRPr="001E5B58">
        <w:rPr>
          <w:color w:val="000000" w:themeColor="text1"/>
          <w:szCs w:val="26"/>
        </w:rPr>
        <w:t>Debbie-Anne A. Reese</w:t>
      </w:r>
      <w:r w:rsidRPr="001E5B58">
        <w:rPr>
          <w:szCs w:val="26"/>
        </w:rPr>
        <w:t>,</w:t>
      </w:r>
    </w:p>
    <w:p w:rsidR="005A7903" w:rsidRPr="001E5B58" w:rsidP="149BEE33" w14:paraId="5A14B891" w14:textId="77777777">
      <w:pPr>
        <w:ind w:firstLine="2174"/>
        <w:jc w:val="center"/>
        <w:rPr>
          <w:szCs w:val="26"/>
        </w:rPr>
      </w:pPr>
      <w:r w:rsidRPr="001E5B58">
        <w:rPr>
          <w:szCs w:val="26"/>
        </w:rPr>
        <w:t>Secretary.</w:t>
      </w:r>
    </w:p>
    <w:p w:rsidR="005A7903" w:rsidRPr="001E5B58" w:rsidP="149BEE33" w14:paraId="67F9804B" w14:textId="77777777">
      <w:pPr>
        <w:rPr>
          <w:szCs w:val="26"/>
        </w:rPr>
      </w:pPr>
    </w:p>
    <w:p w:rsidR="005A7903" w:rsidRPr="001E5B58" w:rsidP="149BEE33" w14:paraId="69BBB37B" w14:textId="77777777">
      <w:pPr>
        <w:rPr>
          <w:szCs w:val="26"/>
        </w:rPr>
      </w:pPr>
    </w:p>
    <w:p w:rsidR="005A7903" w:rsidRPr="001E5B58" w:rsidP="149BEE33" w14:paraId="60E167A6" w14:textId="77777777">
      <w:pPr>
        <w:tabs>
          <w:tab w:val="left" w:pos="7880"/>
        </w:tabs>
        <w:spacing w:line="480" w:lineRule="auto"/>
        <w:rPr>
          <w:szCs w:val="26"/>
        </w:rPr>
      </w:pPr>
    </w:p>
    <w:sectPr w:rsidSect="00671620">
      <w:headerReference w:type="default" r:id="rId14"/>
      <w:pgSz w:w="12240" w:h="15840"/>
      <w:pgMar w:top="1440" w:right="1440" w:bottom="1440" w:left="21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2C24" w:rsidP="00B01B16" w14:paraId="42522FB5" w14:textId="77777777">
      <w:r>
        <w:separator/>
      </w:r>
    </w:p>
  </w:footnote>
  <w:footnote w:type="continuationSeparator" w:id="1">
    <w:p w:rsidR="003A2C24" w:rsidP="00B01B16" w14:paraId="3A235A82" w14:textId="77777777">
      <w:r>
        <w:continuationSeparator/>
      </w:r>
    </w:p>
  </w:footnote>
  <w:footnote w:type="continuationNotice" w:id="2">
    <w:p w:rsidR="003A2C24" w14:paraId="280D23EF" w14:textId="77777777"/>
  </w:footnote>
  <w:footnote w:id="3">
    <w:p w:rsidR="00197214" w:rsidRPr="001E5B58" w:rsidP="149BEE33" w14:paraId="038B426B" w14:textId="5673EFA4">
      <w:pPr>
        <w:pStyle w:val="FootnoteText"/>
        <w:rPr>
          <w:sz w:val="26"/>
          <w:szCs w:val="26"/>
        </w:rPr>
      </w:pPr>
      <w:r w:rsidRPr="001E5B58">
        <w:rPr>
          <w:rStyle w:val="FootnoteReference"/>
          <w:b w:val="0"/>
        </w:rPr>
        <w:footnoteRef/>
      </w:r>
      <w:r w:rsidRPr="001E5B58" w:rsidR="149BEE33">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CFR § 1320.3.</w:t>
      </w:r>
    </w:p>
  </w:footnote>
  <w:footnote w:id="4">
    <w:p w:rsidR="00197214" w:rsidRPr="001E5B58" w:rsidP="0EA4442E" w14:paraId="107FAC4F" w14:textId="29A18293">
      <w:pPr>
        <w:pStyle w:val="FootnoteText"/>
        <w:rPr>
          <w:sz w:val="26"/>
          <w:szCs w:val="26"/>
        </w:rPr>
      </w:pPr>
      <w:r w:rsidRPr="001E5B58">
        <w:rPr>
          <w:rStyle w:val="FootnoteReference"/>
          <w:b w:val="0"/>
        </w:rPr>
        <w:footnoteRef/>
      </w:r>
      <w:r w:rsidRPr="001E5B58" w:rsidR="0EA4442E">
        <w:rPr>
          <w:sz w:val="26"/>
          <w:szCs w:val="26"/>
        </w:rPr>
        <w:t xml:space="preserve"> The cost is based on FERC’s 2025 Commission-wide average salary cost (salary plus benefits) of $103.00/hour.  The Commission staff believes the FERC FTE (full-time equivalent) average cost for wages plus benefits is representative of the corresponding cost for the industry respondents.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B63" w:rsidP="00810D18" w14:paraId="1060619E" w14:textId="7ECFEAF2">
    <w:pPr>
      <w:pStyle w:val="Header"/>
    </w:pPr>
    <w:r>
      <w:t>Docket No. IC25-15-000</w:t>
    </w:r>
    <w:r>
      <w:tab/>
    </w:r>
    <w:r w:rsidRPr="0EA4442E">
      <w:rPr>
        <w:noProof/>
      </w:rPr>
      <w:fldChar w:fldCharType="begin"/>
    </w:r>
    <w:r>
      <w:instrText xml:space="preserve"> PAGE   \* MERGEFORMAT </w:instrText>
    </w:r>
    <w:r w:rsidRPr="0EA4442E">
      <w:fldChar w:fldCharType="separate"/>
    </w:r>
    <w:r w:rsidRPr="0EA4442E">
      <w:rPr>
        <w:noProof/>
      </w:rPr>
      <w:t>8</w:t>
    </w:r>
    <w:r w:rsidRPr="0EA4442E">
      <w:rPr>
        <w:noProof/>
      </w:rPr>
      <w:fldChar w:fldCharType="end"/>
    </w:r>
  </w:p>
  <w:p w:rsidR="00D43B63" w14:paraId="5C8DA4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A6B62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D76AFC"/>
    <w:multiLevelType w:val="hybridMultilevel"/>
    <w:tmpl w:val="0B32E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2CF3B7C0"/>
    <w:multiLevelType w:val="hybridMultilevel"/>
    <w:tmpl w:val="D080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BB3F89C"/>
    <w:multiLevelType w:val="hybridMultilevel"/>
    <w:tmpl w:val="561A9A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0546A19"/>
    <w:multiLevelType w:val="hybridMultilevel"/>
    <w:tmpl w:val="30881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A92585"/>
    <w:multiLevelType w:val="hybridMultilevel"/>
    <w:tmpl w:val="37181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80797593">
    <w:abstractNumId w:val="3"/>
  </w:num>
  <w:num w:numId="2" w16cid:durableId="1294746514">
    <w:abstractNumId w:val="6"/>
  </w:num>
  <w:num w:numId="3" w16cid:durableId="21459978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884153">
    <w:abstractNumId w:val="2"/>
  </w:num>
  <w:num w:numId="5" w16cid:durableId="319386639">
    <w:abstractNumId w:val="2"/>
  </w:num>
  <w:num w:numId="6" w16cid:durableId="1301958337">
    <w:abstractNumId w:val="1"/>
  </w:num>
  <w:num w:numId="7" w16cid:durableId="489057811">
    <w:abstractNumId w:val="8"/>
  </w:num>
  <w:num w:numId="8" w16cid:durableId="40516915">
    <w:abstractNumId w:val="0"/>
  </w:num>
  <w:num w:numId="9" w16cid:durableId="2099476629">
    <w:abstractNumId w:val="7"/>
  </w:num>
  <w:num w:numId="10" w16cid:durableId="665521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122E1"/>
    <w:rsid w:val="00016EDB"/>
    <w:rsid w:val="00023EA9"/>
    <w:rsid w:val="000241AE"/>
    <w:rsid w:val="0003365C"/>
    <w:rsid w:val="00034C49"/>
    <w:rsid w:val="00036AEF"/>
    <w:rsid w:val="000459B6"/>
    <w:rsid w:val="00056C5D"/>
    <w:rsid w:val="00062427"/>
    <w:rsid w:val="000861D3"/>
    <w:rsid w:val="00096CAD"/>
    <w:rsid w:val="000A0250"/>
    <w:rsid w:val="000A356C"/>
    <w:rsid w:val="000A7E68"/>
    <w:rsid w:val="000C13EC"/>
    <w:rsid w:val="000E2568"/>
    <w:rsid w:val="000F0B0E"/>
    <w:rsid w:val="0010087B"/>
    <w:rsid w:val="00112C9F"/>
    <w:rsid w:val="001240C7"/>
    <w:rsid w:val="001479DF"/>
    <w:rsid w:val="0015578A"/>
    <w:rsid w:val="00155DE9"/>
    <w:rsid w:val="00156BBB"/>
    <w:rsid w:val="001600DF"/>
    <w:rsid w:val="00171725"/>
    <w:rsid w:val="00181BF7"/>
    <w:rsid w:val="00191376"/>
    <w:rsid w:val="00197214"/>
    <w:rsid w:val="001A6AD6"/>
    <w:rsid w:val="001B78B8"/>
    <w:rsid w:val="001E5B58"/>
    <w:rsid w:val="001E6510"/>
    <w:rsid w:val="001F40D9"/>
    <w:rsid w:val="00200437"/>
    <w:rsid w:val="002023A4"/>
    <w:rsid w:val="00224BF2"/>
    <w:rsid w:val="00254C99"/>
    <w:rsid w:val="0027045E"/>
    <w:rsid w:val="0027452E"/>
    <w:rsid w:val="00293D56"/>
    <w:rsid w:val="002A7678"/>
    <w:rsid w:val="002B531B"/>
    <w:rsid w:val="002B7AA8"/>
    <w:rsid w:val="002D5237"/>
    <w:rsid w:val="002E0351"/>
    <w:rsid w:val="002F24E8"/>
    <w:rsid w:val="002F3E94"/>
    <w:rsid w:val="002F697A"/>
    <w:rsid w:val="00302F75"/>
    <w:rsid w:val="00303717"/>
    <w:rsid w:val="003060F0"/>
    <w:rsid w:val="003062C2"/>
    <w:rsid w:val="00310EFC"/>
    <w:rsid w:val="00311D90"/>
    <w:rsid w:val="003149BC"/>
    <w:rsid w:val="003321DB"/>
    <w:rsid w:val="00334F14"/>
    <w:rsid w:val="003368A7"/>
    <w:rsid w:val="00337BA7"/>
    <w:rsid w:val="0034195C"/>
    <w:rsid w:val="00343A03"/>
    <w:rsid w:val="00347056"/>
    <w:rsid w:val="00361371"/>
    <w:rsid w:val="00363638"/>
    <w:rsid w:val="00363F79"/>
    <w:rsid w:val="003673EC"/>
    <w:rsid w:val="00373968"/>
    <w:rsid w:val="00376525"/>
    <w:rsid w:val="0038431F"/>
    <w:rsid w:val="003960E0"/>
    <w:rsid w:val="003A1A72"/>
    <w:rsid w:val="003A2C24"/>
    <w:rsid w:val="003A3189"/>
    <w:rsid w:val="003C3E7A"/>
    <w:rsid w:val="003C5CBE"/>
    <w:rsid w:val="003C7BC3"/>
    <w:rsid w:val="003E44AD"/>
    <w:rsid w:val="003F5968"/>
    <w:rsid w:val="00406999"/>
    <w:rsid w:val="0040718A"/>
    <w:rsid w:val="00416A53"/>
    <w:rsid w:val="00423B53"/>
    <w:rsid w:val="00425DA2"/>
    <w:rsid w:val="00426898"/>
    <w:rsid w:val="00431704"/>
    <w:rsid w:val="00443282"/>
    <w:rsid w:val="0044338D"/>
    <w:rsid w:val="0045734B"/>
    <w:rsid w:val="004609EE"/>
    <w:rsid w:val="004759C4"/>
    <w:rsid w:val="00485A51"/>
    <w:rsid w:val="004879AA"/>
    <w:rsid w:val="0049480F"/>
    <w:rsid w:val="004B7B57"/>
    <w:rsid w:val="004C70C8"/>
    <w:rsid w:val="004C77EF"/>
    <w:rsid w:val="004D27A2"/>
    <w:rsid w:val="004E4EAD"/>
    <w:rsid w:val="004F26DA"/>
    <w:rsid w:val="004F3A94"/>
    <w:rsid w:val="00510E2B"/>
    <w:rsid w:val="00513DA8"/>
    <w:rsid w:val="00514B50"/>
    <w:rsid w:val="00516493"/>
    <w:rsid w:val="0054073B"/>
    <w:rsid w:val="00544991"/>
    <w:rsid w:val="0054746C"/>
    <w:rsid w:val="00551753"/>
    <w:rsid w:val="005645BE"/>
    <w:rsid w:val="005648E2"/>
    <w:rsid w:val="00566C57"/>
    <w:rsid w:val="0058081B"/>
    <w:rsid w:val="00585F73"/>
    <w:rsid w:val="005A0148"/>
    <w:rsid w:val="005A2F24"/>
    <w:rsid w:val="005A3F56"/>
    <w:rsid w:val="005A7903"/>
    <w:rsid w:val="005A7C58"/>
    <w:rsid w:val="005B4DA4"/>
    <w:rsid w:val="005C6D4E"/>
    <w:rsid w:val="005D16A1"/>
    <w:rsid w:val="005E6D8A"/>
    <w:rsid w:val="005F3DAA"/>
    <w:rsid w:val="005F726F"/>
    <w:rsid w:val="005F729D"/>
    <w:rsid w:val="00610DF7"/>
    <w:rsid w:val="006128A5"/>
    <w:rsid w:val="006144F3"/>
    <w:rsid w:val="0062085E"/>
    <w:rsid w:val="00634374"/>
    <w:rsid w:val="0063716C"/>
    <w:rsid w:val="006374BA"/>
    <w:rsid w:val="00637F43"/>
    <w:rsid w:val="00642602"/>
    <w:rsid w:val="00644A1B"/>
    <w:rsid w:val="00650FA1"/>
    <w:rsid w:val="006536D8"/>
    <w:rsid w:val="00654BA4"/>
    <w:rsid w:val="00666A01"/>
    <w:rsid w:val="00671620"/>
    <w:rsid w:val="00680D78"/>
    <w:rsid w:val="00692352"/>
    <w:rsid w:val="00695E65"/>
    <w:rsid w:val="006963BC"/>
    <w:rsid w:val="006A34AE"/>
    <w:rsid w:val="006A423E"/>
    <w:rsid w:val="006C6B0C"/>
    <w:rsid w:val="006D552E"/>
    <w:rsid w:val="006E10F4"/>
    <w:rsid w:val="006E75AA"/>
    <w:rsid w:val="006E7CBB"/>
    <w:rsid w:val="006F3647"/>
    <w:rsid w:val="00714F57"/>
    <w:rsid w:val="00727594"/>
    <w:rsid w:val="00727C5E"/>
    <w:rsid w:val="007349A2"/>
    <w:rsid w:val="007356B8"/>
    <w:rsid w:val="007417C3"/>
    <w:rsid w:val="00741C80"/>
    <w:rsid w:val="0074219E"/>
    <w:rsid w:val="0075009F"/>
    <w:rsid w:val="00754526"/>
    <w:rsid w:val="00772A54"/>
    <w:rsid w:val="00777183"/>
    <w:rsid w:val="00782ACA"/>
    <w:rsid w:val="007B588C"/>
    <w:rsid w:val="007C1916"/>
    <w:rsid w:val="007C6AC2"/>
    <w:rsid w:val="007C729C"/>
    <w:rsid w:val="007E2F40"/>
    <w:rsid w:val="007F64F2"/>
    <w:rsid w:val="00803CA2"/>
    <w:rsid w:val="00807CAC"/>
    <w:rsid w:val="00810D18"/>
    <w:rsid w:val="008115BF"/>
    <w:rsid w:val="00812B30"/>
    <w:rsid w:val="00821DAB"/>
    <w:rsid w:val="00824D81"/>
    <w:rsid w:val="0083158A"/>
    <w:rsid w:val="00836DF9"/>
    <w:rsid w:val="0084158A"/>
    <w:rsid w:val="00847229"/>
    <w:rsid w:val="00853ABC"/>
    <w:rsid w:val="0085755E"/>
    <w:rsid w:val="00872AB9"/>
    <w:rsid w:val="00881405"/>
    <w:rsid w:val="0089069F"/>
    <w:rsid w:val="00895DA2"/>
    <w:rsid w:val="00897359"/>
    <w:rsid w:val="008A020E"/>
    <w:rsid w:val="008B6E06"/>
    <w:rsid w:val="008C437D"/>
    <w:rsid w:val="008C572B"/>
    <w:rsid w:val="008D25B7"/>
    <w:rsid w:val="008D300A"/>
    <w:rsid w:val="008D5479"/>
    <w:rsid w:val="008D5932"/>
    <w:rsid w:val="008E0B8C"/>
    <w:rsid w:val="008E0DF5"/>
    <w:rsid w:val="008E243D"/>
    <w:rsid w:val="008E3273"/>
    <w:rsid w:val="008E5123"/>
    <w:rsid w:val="008E7400"/>
    <w:rsid w:val="00901A8D"/>
    <w:rsid w:val="00901C05"/>
    <w:rsid w:val="009179E9"/>
    <w:rsid w:val="00937284"/>
    <w:rsid w:val="00940C0F"/>
    <w:rsid w:val="00942B7D"/>
    <w:rsid w:val="0095311D"/>
    <w:rsid w:val="00954CCB"/>
    <w:rsid w:val="009744C8"/>
    <w:rsid w:val="00981886"/>
    <w:rsid w:val="00990FEC"/>
    <w:rsid w:val="009A1B08"/>
    <w:rsid w:val="009A6E91"/>
    <w:rsid w:val="009B4450"/>
    <w:rsid w:val="009B747B"/>
    <w:rsid w:val="009C25C4"/>
    <w:rsid w:val="009C4A13"/>
    <w:rsid w:val="009E0F58"/>
    <w:rsid w:val="009E5557"/>
    <w:rsid w:val="009E66F8"/>
    <w:rsid w:val="009F7DE3"/>
    <w:rsid w:val="00A038F9"/>
    <w:rsid w:val="00A078E7"/>
    <w:rsid w:val="00A1585A"/>
    <w:rsid w:val="00A2534D"/>
    <w:rsid w:val="00A25984"/>
    <w:rsid w:val="00A2604E"/>
    <w:rsid w:val="00A43A4A"/>
    <w:rsid w:val="00A507F0"/>
    <w:rsid w:val="00A664DF"/>
    <w:rsid w:val="00A713D0"/>
    <w:rsid w:val="00A72814"/>
    <w:rsid w:val="00A759B3"/>
    <w:rsid w:val="00A82A29"/>
    <w:rsid w:val="00A8344E"/>
    <w:rsid w:val="00A8690F"/>
    <w:rsid w:val="00A86D9E"/>
    <w:rsid w:val="00AA4050"/>
    <w:rsid w:val="00AA516A"/>
    <w:rsid w:val="00AA5B0E"/>
    <w:rsid w:val="00AC750B"/>
    <w:rsid w:val="00AC77B8"/>
    <w:rsid w:val="00AD4128"/>
    <w:rsid w:val="00AE1F12"/>
    <w:rsid w:val="00AE3A78"/>
    <w:rsid w:val="00AE4155"/>
    <w:rsid w:val="00AE4B7C"/>
    <w:rsid w:val="00AF349B"/>
    <w:rsid w:val="00B01B16"/>
    <w:rsid w:val="00B13EE3"/>
    <w:rsid w:val="00B22DCB"/>
    <w:rsid w:val="00B2382E"/>
    <w:rsid w:val="00B34A0B"/>
    <w:rsid w:val="00B447D7"/>
    <w:rsid w:val="00B46E93"/>
    <w:rsid w:val="00B46F03"/>
    <w:rsid w:val="00B5066A"/>
    <w:rsid w:val="00B55B8C"/>
    <w:rsid w:val="00B56882"/>
    <w:rsid w:val="00B65A09"/>
    <w:rsid w:val="00B76A1F"/>
    <w:rsid w:val="00B82F8C"/>
    <w:rsid w:val="00B85C58"/>
    <w:rsid w:val="00B961C3"/>
    <w:rsid w:val="00BA0FBC"/>
    <w:rsid w:val="00BA218C"/>
    <w:rsid w:val="00BA5479"/>
    <w:rsid w:val="00BB179A"/>
    <w:rsid w:val="00BB5E74"/>
    <w:rsid w:val="00BB7D82"/>
    <w:rsid w:val="00BC200B"/>
    <w:rsid w:val="00BD74AE"/>
    <w:rsid w:val="00BE3392"/>
    <w:rsid w:val="00BE3FE7"/>
    <w:rsid w:val="00BF29D8"/>
    <w:rsid w:val="00BF2D74"/>
    <w:rsid w:val="00BF38BC"/>
    <w:rsid w:val="00BF4CC8"/>
    <w:rsid w:val="00BF7AC7"/>
    <w:rsid w:val="00C1124F"/>
    <w:rsid w:val="00C37BFF"/>
    <w:rsid w:val="00C44372"/>
    <w:rsid w:val="00C51458"/>
    <w:rsid w:val="00C53580"/>
    <w:rsid w:val="00C55838"/>
    <w:rsid w:val="00C55F30"/>
    <w:rsid w:val="00C728C5"/>
    <w:rsid w:val="00C77EF7"/>
    <w:rsid w:val="00C81A97"/>
    <w:rsid w:val="00C820F1"/>
    <w:rsid w:val="00C91512"/>
    <w:rsid w:val="00CA6636"/>
    <w:rsid w:val="00CA6D76"/>
    <w:rsid w:val="00CA6EE4"/>
    <w:rsid w:val="00CB7448"/>
    <w:rsid w:val="00CB769C"/>
    <w:rsid w:val="00CC431F"/>
    <w:rsid w:val="00CD37C7"/>
    <w:rsid w:val="00CD57EB"/>
    <w:rsid w:val="00CD5C97"/>
    <w:rsid w:val="00CD786C"/>
    <w:rsid w:val="00CE3598"/>
    <w:rsid w:val="00CF4753"/>
    <w:rsid w:val="00CF71E0"/>
    <w:rsid w:val="00D0083B"/>
    <w:rsid w:val="00D16F24"/>
    <w:rsid w:val="00D42209"/>
    <w:rsid w:val="00D43B63"/>
    <w:rsid w:val="00D44183"/>
    <w:rsid w:val="00D50830"/>
    <w:rsid w:val="00D6077B"/>
    <w:rsid w:val="00D65D56"/>
    <w:rsid w:val="00D9761F"/>
    <w:rsid w:val="00DA529F"/>
    <w:rsid w:val="00DC5017"/>
    <w:rsid w:val="00DD18FF"/>
    <w:rsid w:val="00DD2ED3"/>
    <w:rsid w:val="00DD7F1B"/>
    <w:rsid w:val="00DE09FF"/>
    <w:rsid w:val="00E024B6"/>
    <w:rsid w:val="00E13A02"/>
    <w:rsid w:val="00E31680"/>
    <w:rsid w:val="00E34382"/>
    <w:rsid w:val="00E3662E"/>
    <w:rsid w:val="00E41DB9"/>
    <w:rsid w:val="00E655BE"/>
    <w:rsid w:val="00E75CE9"/>
    <w:rsid w:val="00E762BB"/>
    <w:rsid w:val="00E77B33"/>
    <w:rsid w:val="00E808B6"/>
    <w:rsid w:val="00E8661B"/>
    <w:rsid w:val="00E91E8A"/>
    <w:rsid w:val="00E91FD5"/>
    <w:rsid w:val="00E92E09"/>
    <w:rsid w:val="00EA6337"/>
    <w:rsid w:val="00EA689F"/>
    <w:rsid w:val="00EB119D"/>
    <w:rsid w:val="00EB749E"/>
    <w:rsid w:val="00ED2361"/>
    <w:rsid w:val="00ED2393"/>
    <w:rsid w:val="00EF1D00"/>
    <w:rsid w:val="00EF2866"/>
    <w:rsid w:val="00EF33BE"/>
    <w:rsid w:val="00EF6852"/>
    <w:rsid w:val="00F0383C"/>
    <w:rsid w:val="00F0669A"/>
    <w:rsid w:val="00F11631"/>
    <w:rsid w:val="00F12A43"/>
    <w:rsid w:val="00F24AB0"/>
    <w:rsid w:val="00F309CB"/>
    <w:rsid w:val="00F33E2E"/>
    <w:rsid w:val="00F44A0E"/>
    <w:rsid w:val="00F5445B"/>
    <w:rsid w:val="00F60C79"/>
    <w:rsid w:val="00F62A51"/>
    <w:rsid w:val="00F8646E"/>
    <w:rsid w:val="00F9675E"/>
    <w:rsid w:val="00FC3F00"/>
    <w:rsid w:val="00FE4B8E"/>
    <w:rsid w:val="00FF1D71"/>
    <w:rsid w:val="00FF3FE9"/>
    <w:rsid w:val="03D36E5D"/>
    <w:rsid w:val="06D9CA26"/>
    <w:rsid w:val="071931C9"/>
    <w:rsid w:val="084EFFBA"/>
    <w:rsid w:val="091EE729"/>
    <w:rsid w:val="0EA4442E"/>
    <w:rsid w:val="13F16070"/>
    <w:rsid w:val="149BEE33"/>
    <w:rsid w:val="14AB2B26"/>
    <w:rsid w:val="15642564"/>
    <w:rsid w:val="1BA25BB6"/>
    <w:rsid w:val="21C16492"/>
    <w:rsid w:val="286127B1"/>
    <w:rsid w:val="2BA4302B"/>
    <w:rsid w:val="2D70038E"/>
    <w:rsid w:val="30B79E4B"/>
    <w:rsid w:val="3228BF43"/>
    <w:rsid w:val="3562D1D8"/>
    <w:rsid w:val="36C8DE82"/>
    <w:rsid w:val="38268EA9"/>
    <w:rsid w:val="3C4127D2"/>
    <w:rsid w:val="3C70AD85"/>
    <w:rsid w:val="3CE5C531"/>
    <w:rsid w:val="3D2A49D2"/>
    <w:rsid w:val="3EA7AE6F"/>
    <w:rsid w:val="3EF76BCF"/>
    <w:rsid w:val="3FBA2F6F"/>
    <w:rsid w:val="401321E1"/>
    <w:rsid w:val="40923FAD"/>
    <w:rsid w:val="40CCBC68"/>
    <w:rsid w:val="41790DA6"/>
    <w:rsid w:val="4237707E"/>
    <w:rsid w:val="43F71C08"/>
    <w:rsid w:val="47BE6F5E"/>
    <w:rsid w:val="4847D669"/>
    <w:rsid w:val="48DB34BA"/>
    <w:rsid w:val="49CCE1A8"/>
    <w:rsid w:val="49FFA3C7"/>
    <w:rsid w:val="4C1D7721"/>
    <w:rsid w:val="4C82D671"/>
    <w:rsid w:val="4DEDA13C"/>
    <w:rsid w:val="4EA10B0B"/>
    <w:rsid w:val="5E4A481C"/>
    <w:rsid w:val="5F72CD90"/>
    <w:rsid w:val="6285A96D"/>
    <w:rsid w:val="6AC1CE3E"/>
    <w:rsid w:val="6D70F19B"/>
    <w:rsid w:val="6EC08137"/>
    <w:rsid w:val="788F7F85"/>
    <w:rsid w:val="7A62E129"/>
    <w:rsid w:val="7A945C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A582B"/>
  <w15:docId w15:val="{507A90D2-C88E-4222-B735-5AB4C3D9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rPr>
      <w:rFonts w:ascii="Times New Roman" w:eastAsia="Times New Roman" w:hAnsi="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3"/>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rPr>
      <w:rFonts w:ascii="Times New Roman" w:eastAsia="Times New Roman" w:hAnsi="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Calibri"/>
      <w:sz w:val="24"/>
    </w:rPr>
  </w:style>
  <w:style w:type="character" w:styleId="FollowedHyperlink">
    <w:name w:val="FollowedHyperlink"/>
    <w:uiPriority w:val="99"/>
    <w:semiHidden/>
    <w:unhideWhenUsed/>
    <w:rsid w:val="005D16A1"/>
    <w:rPr>
      <w:color w:val="954F72"/>
      <w:u w:val="single"/>
    </w:rPr>
  </w:style>
  <w:style w:type="character" w:styleId="UnresolvedMention">
    <w:name w:val="Unresolved Mention"/>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icrPublicCommentRequest?ref_nbr=202509-1902-001" TargetMode="External" /><Relationship Id="rId11" Type="http://schemas.openxmlformats.org/officeDocument/2006/relationships/hyperlink" Target="https://www.reginfo.gov/public/do/PRAMain" TargetMode="External" /><Relationship Id="rId12" Type="http://schemas.openxmlformats.org/officeDocument/2006/relationships/hyperlink" Target="mailto:DataClearance@FERC.gov" TargetMode="External" /><Relationship Id="rId13" Type="http://schemas.openxmlformats.org/officeDocument/2006/relationships/hyperlink" Target="https://elibrary.ferc.gov/eLibrary/search"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D2AF1162-AD6A-4639-8A37-A26289CFAC93}">
  <ds:schemaRefs>
    <ds:schemaRef ds:uri="http://schemas.openxmlformats.org/officeDocument/2006/bibliography"/>
  </ds:schemaRefs>
</ds:datastoreItem>
</file>

<file path=customXml/itemProps3.xml><?xml version="1.0" encoding="utf-8"?>
<ds:datastoreItem xmlns:ds="http://schemas.openxmlformats.org/officeDocument/2006/customXml" ds:itemID="{9648EA2F-FD73-4A2C-80F1-57924220926E}">
  <ds:schemaRefs>
    <ds:schemaRef ds:uri="Microsoft.SharePoint.Taxonomy.ContentTypeSync"/>
  </ds:schemaRefs>
</ds:datastoreItem>
</file>

<file path=customXml/itemProps4.xml><?xml version="1.0" encoding="utf-8"?>
<ds:datastoreItem xmlns:ds="http://schemas.openxmlformats.org/officeDocument/2006/customXml" ds:itemID="{B85CCD7A-EFEA-47A4-8BAD-B4770A95A5C8}">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5e8733a2-e908-454b-85cf-c9d17e1d0943"/>
    <ds:schemaRef ds:uri="http://www.w3.org/XML/1998/namespace"/>
  </ds:schemaRefs>
</ds:datastoreItem>
</file>

<file path=customXml/itemProps5.xml><?xml version="1.0" encoding="utf-8"?>
<ds:datastoreItem xmlns:ds="http://schemas.openxmlformats.org/officeDocument/2006/customXml" ds:itemID="{E6B2FAC6-089E-4A8E-A1F2-E4C59F7A7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1</TotalTime>
  <Pages>5</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2016-12-20T13:40:00Z</cp:lastPrinted>
  <dcterms:created xsi:type="dcterms:W3CDTF">2022-08-26T18:42:00Z</dcterms:created>
  <dcterms:modified xsi:type="dcterms:W3CDTF">2025-12-12T20:36:00Z</dcterms:modified>
</cp:coreProperties>
</file>