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486" w:rsidRPr="00F04621" w:rsidP="00F53486" w14:paraId="17ACE5B1" w14:textId="77777777">
      <w:pPr>
        <w:widowControl/>
        <w:tabs>
          <w:tab w:val="center" w:pos="5040"/>
        </w:tabs>
        <w:jc w:val="center"/>
      </w:pPr>
      <w:r w:rsidRPr="00F04621">
        <w:t>Supporting</w:t>
      </w:r>
      <w:r w:rsidRPr="00F04621" w:rsidR="00C42FEF">
        <w:t xml:space="preserve"> </w:t>
      </w:r>
      <w:r w:rsidRPr="00F04621">
        <w:t>Statement</w:t>
      </w:r>
      <w:r w:rsidRPr="00F04621" w:rsidR="00AA373D">
        <w:t xml:space="preserve"> for</w:t>
      </w:r>
    </w:p>
    <w:p w:rsidR="00246703" w:rsidRPr="00F04621" w:rsidP="00246703" w14:paraId="5EF47AA9" w14:textId="77777777">
      <w:pPr>
        <w:jc w:val="center"/>
        <w:rPr>
          <w:b/>
        </w:rPr>
      </w:pPr>
      <w:r w:rsidRPr="00F04621">
        <w:rPr>
          <w:b/>
        </w:rPr>
        <w:t>FERC-592</w:t>
      </w:r>
      <w:r w:rsidRPr="00F04621" w:rsidR="0064122E">
        <w:rPr>
          <w:b/>
        </w:rPr>
        <w:t xml:space="preserve">, </w:t>
      </w:r>
      <w:r w:rsidRPr="00F04621" w:rsidR="004B35C8">
        <w:rPr>
          <w:b/>
        </w:rPr>
        <w:t>Standards of Conduct for Transmission Providers and Marketing Affiliates of Interstate Pipelines</w:t>
      </w:r>
    </w:p>
    <w:p w:rsidR="00AA373D" w:rsidRPr="00F04621" w:rsidP="00AA373D" w14:paraId="64128A8C" w14:textId="77777777">
      <w:pPr>
        <w:widowControl/>
        <w:tabs>
          <w:tab w:val="center" w:pos="5040"/>
        </w:tabs>
        <w:jc w:val="center"/>
        <w:rPr>
          <w:b/>
          <w:bCs/>
        </w:rPr>
      </w:pPr>
    </w:p>
    <w:p w:rsidR="00F53486" w:rsidRPr="00F04621" w:rsidP="000A6C02" w14:paraId="3659FEF1" w14:textId="64F04967">
      <w:pPr>
        <w:rPr>
          <w:b/>
        </w:rPr>
      </w:pPr>
      <w:r w:rsidRPr="00F04621">
        <w:t xml:space="preserve">The Federal Energy Regulatory Commission (Commission or FERC) requests that the Office of Management and Budget (OMB) review and approve </w:t>
      </w:r>
      <w:r w:rsidRPr="00F04621" w:rsidR="00171F91">
        <w:rPr>
          <w:b/>
        </w:rPr>
        <w:t>FERC-592</w:t>
      </w:r>
      <w:r w:rsidRPr="00F04621" w:rsidR="0064122E">
        <w:rPr>
          <w:b/>
        </w:rPr>
        <w:t xml:space="preserve">, </w:t>
      </w:r>
      <w:r w:rsidRPr="00F04621" w:rsidR="004B35C8">
        <w:rPr>
          <w:b/>
        </w:rPr>
        <w:t>Standards of Conduct for Transmission Providers and Marketing Affiliates of Interstate Pipelines</w:t>
      </w:r>
      <w:r w:rsidRPr="00F04621">
        <w:rPr>
          <w:b/>
          <w:bCs/>
        </w:rPr>
        <w:t xml:space="preserve">, </w:t>
      </w:r>
      <w:r w:rsidRPr="00F04621">
        <w:t xml:space="preserve">for a </w:t>
      </w:r>
      <w:r w:rsidRPr="00F04621" w:rsidR="00C925E4">
        <w:t>three-</w:t>
      </w:r>
      <w:r w:rsidRPr="00F04621">
        <w:t>year period.</w:t>
      </w:r>
      <w:r w:rsidR="00B33C0D">
        <w:t xml:space="preserve"> </w:t>
      </w:r>
      <w:r w:rsidRPr="00F04621">
        <w:t>FER</w:t>
      </w:r>
      <w:r w:rsidRPr="00F04621" w:rsidR="00171F91">
        <w:t>C-592 (OMB Control No. 1902-0157</w:t>
      </w:r>
      <w:r w:rsidRPr="00F04621">
        <w:t>) is an existing Commission data collection</w:t>
      </w:r>
      <w:r w:rsidRPr="00F04621" w:rsidR="00264B89">
        <w:t>.</w:t>
      </w:r>
    </w:p>
    <w:p w:rsidR="00F53486" w:rsidRPr="00F04621" w:rsidP="00F53486" w14:paraId="35963479" w14:textId="77777777">
      <w:pPr>
        <w:widowControl/>
      </w:pPr>
    </w:p>
    <w:p w:rsidR="00F53486" w:rsidRPr="00F04621" w:rsidP="007129A6" w14:paraId="5E67E663" w14:textId="77777777">
      <w:pPr>
        <w:widowControl/>
        <w:numPr>
          <w:ilvl w:val="0"/>
          <w:numId w:val="9"/>
        </w:numPr>
        <w:tabs>
          <w:tab w:val="num" w:pos="720"/>
          <w:tab w:val="clear" w:pos="1080"/>
          <w:tab w:val="left" w:pos="1800"/>
        </w:tabs>
        <w:ind w:left="720" w:hanging="720"/>
        <w:rPr>
          <w:b/>
        </w:rPr>
      </w:pPr>
      <w:r w:rsidRPr="00F04621">
        <w:rPr>
          <w:b/>
        </w:rPr>
        <w:t>CIRCUMSTANCES THAT MAKE THE COLLECTION OF INFORMATION NECESSARY</w:t>
      </w:r>
    </w:p>
    <w:p w:rsidR="000B2D7B" w:rsidRPr="00F04621" w:rsidP="000B2D7B" w14:paraId="52FE5B66" w14:textId="77777777">
      <w:pPr>
        <w:widowControl/>
        <w:tabs>
          <w:tab w:val="left" w:pos="1800"/>
        </w:tabs>
        <w:rPr>
          <w:b/>
        </w:rPr>
      </w:pPr>
    </w:p>
    <w:p w:rsidR="00FD58ED" w:rsidRPr="00F04621" w:rsidP="00171F91" w14:paraId="0305466E" w14:textId="5571F5BB">
      <w:pPr>
        <w:widowControl/>
      </w:pPr>
      <w:r w:rsidRPr="570A8D1D">
        <w:t>This information collection assists the Commission in complying with sections 4 and 5 of the Natural Gas Act (NGA)</w:t>
      </w:r>
      <w:r>
        <w:rPr>
          <w:rStyle w:val="FootnoteReference"/>
          <w:b w:val="0"/>
          <w:sz w:val="24"/>
          <w:szCs w:val="24"/>
        </w:rPr>
        <w:footnoteReference w:id="3"/>
      </w:r>
      <w:r w:rsidR="00B33C0D">
        <w:rPr>
          <w:bCs/>
        </w:rPr>
        <w:t xml:space="preserve"> </w:t>
      </w:r>
      <w:r w:rsidRPr="570A8D1D">
        <w:t xml:space="preserve">which require </w:t>
      </w:r>
      <w:r w:rsidRPr="570A8D1D">
        <w:t>the Commission to</w:t>
      </w:r>
      <w:r w:rsidRPr="570A8D1D" w:rsidR="00171F91">
        <w:t xml:space="preserve"> ensure that pipeline rates and terms and conditions of service are just and reasonable and not unduly discriminatory</w:t>
      </w:r>
      <w:r w:rsidRPr="570A8D1D">
        <w:t xml:space="preserve"> or preferential.</w:t>
      </w:r>
      <w:r w:rsidR="00B33C0D">
        <w:rPr>
          <w:bCs/>
        </w:rPr>
        <w:t xml:space="preserve"> </w:t>
      </w:r>
      <w:r w:rsidRPr="570A8D1D" w:rsidR="007045D2">
        <w:t xml:space="preserve">As a result of these statutory provisions, </w:t>
      </w:r>
      <w:r w:rsidRPr="570A8D1D">
        <w:t xml:space="preserve">the Commission is responsible for promoting </w:t>
      </w:r>
      <w:r w:rsidRPr="00F04621" w:rsidR="00171F91">
        <w:t>competitive and efficient markets, while mitigating market power and preventing undue discrimination, especially for the Commission's "prime constituency, captive customers vulnerable to pipelines' market power."</w:t>
      </w:r>
      <w:r>
        <w:rPr>
          <w:rStyle w:val="FootnoteReference"/>
          <w:b w:val="0"/>
          <w:sz w:val="24"/>
          <w:szCs w:val="24"/>
        </w:rPr>
        <w:footnoteReference w:id="4"/>
      </w:r>
      <w:r w:rsidR="00B33C0D">
        <w:t xml:space="preserve"> </w:t>
      </w:r>
      <w:r w:rsidRPr="00F04621" w:rsidR="00171F91">
        <w:t>In short, the Commission</w:t>
      </w:r>
      <w:r w:rsidRPr="00F04621" w:rsidR="007045D2">
        <w:t xml:space="preserve"> must</w:t>
      </w:r>
      <w:r w:rsidRPr="00F04621" w:rsidR="00171F91">
        <w:t xml:space="preserve"> foster an efficient market that provides good alternatives to as many shippers as possible</w:t>
      </w:r>
      <w:r w:rsidRPr="00F04621" w:rsidR="00300C59">
        <w:t xml:space="preserve">, </w:t>
      </w:r>
      <w:r w:rsidRPr="00F04621" w:rsidR="00171F91">
        <w:t xml:space="preserve">while creating a regulatory framework </w:t>
      </w:r>
      <w:r w:rsidRPr="00F04621" w:rsidR="00300C59">
        <w:t xml:space="preserve">for protecting </w:t>
      </w:r>
      <w:r w:rsidRPr="00F04621" w:rsidR="00171F91">
        <w:t xml:space="preserve">captive customers </w:t>
      </w:r>
      <w:r w:rsidRPr="00F04621" w:rsidR="00300C59">
        <w:t xml:space="preserve">that lack </w:t>
      </w:r>
      <w:r w:rsidR="00B45F57">
        <w:t>viable</w:t>
      </w:r>
      <w:r w:rsidRPr="00F04621" w:rsidR="00B45F57">
        <w:t xml:space="preserve"> </w:t>
      </w:r>
      <w:r w:rsidRPr="00F04621" w:rsidR="00171F91">
        <w:t>alternatives.</w:t>
      </w:r>
    </w:p>
    <w:p w:rsidR="00FD58ED" w:rsidRPr="00F04621" w:rsidP="00171F91" w14:paraId="7C6B8C6D" w14:textId="77777777">
      <w:pPr>
        <w:widowControl/>
      </w:pPr>
    </w:p>
    <w:p w:rsidR="007E732F" w:rsidRPr="00F04621" w:rsidP="00171F91" w14:paraId="44F720B8" w14:textId="33284D06">
      <w:pPr>
        <w:widowControl/>
      </w:pPr>
      <w:r>
        <w:t xml:space="preserve">The </w:t>
      </w:r>
      <w:r w:rsidR="007045D2">
        <w:t xml:space="preserve">Commission implements </w:t>
      </w:r>
      <w:r>
        <w:t xml:space="preserve">this information collection in accordance with </w:t>
      </w:r>
      <w:r w:rsidR="007045D2">
        <w:t>18 CFR Part 358</w:t>
      </w:r>
      <w:r>
        <w:t xml:space="preserve"> and 18 CFR </w:t>
      </w:r>
      <w:r w:rsidR="000C3B68">
        <w:t>§</w:t>
      </w:r>
      <w:r>
        <w:t>250.16.</w:t>
      </w:r>
      <w:r w:rsidR="00B33C0D">
        <w:t xml:space="preserve"> </w:t>
      </w:r>
      <w:r>
        <w:t xml:space="preserve">These regulations </w:t>
      </w:r>
      <w:r w:rsidR="00255508">
        <w:t>only apply to interstate natural gas pipelines that engage in transportation transactions with th</w:t>
      </w:r>
      <w:r>
        <w:t>eir marketing affiliates.</w:t>
      </w:r>
    </w:p>
    <w:p w:rsidR="007E732F" w:rsidRPr="00F04621" w:rsidP="00171F91" w14:paraId="57AF0BA2" w14:textId="77777777">
      <w:pPr>
        <w:widowControl/>
      </w:pPr>
    </w:p>
    <w:p w:rsidR="00171F91" w:rsidRPr="00F04621" w:rsidP="00171F91" w14:paraId="715E290E" w14:textId="77777777">
      <w:pPr>
        <w:widowControl/>
      </w:pPr>
      <w:r w:rsidRPr="00F04621">
        <w:t>The Standards of C</w:t>
      </w:r>
      <w:r w:rsidRPr="00F04621" w:rsidR="00255508">
        <w:t>onduct</w:t>
      </w:r>
      <w:r w:rsidRPr="00F04621" w:rsidR="007E732F">
        <w:rPr>
          <w:rStyle w:val="FootnoteReference"/>
          <w:b w:val="0"/>
          <w:bCs/>
          <w:sz w:val="24"/>
          <w:szCs w:val="24"/>
        </w:rPr>
        <w:t xml:space="preserve"> </w:t>
      </w:r>
      <w:r w:rsidRPr="00F04621" w:rsidR="007E732F">
        <w:t>at Part 358</w:t>
      </w:r>
      <w:r w:rsidRPr="00F04621" w:rsidR="00255508">
        <w:t xml:space="preserve"> and related document retention/posting requirements enable the Commission and the public to monitor, deter</w:t>
      </w:r>
      <w:r w:rsidRPr="00F04621" w:rsidR="007E732F">
        <w:t xml:space="preserve">, and take action to </w:t>
      </w:r>
      <w:r w:rsidRPr="00F04621" w:rsidR="00255508">
        <w:t>prevent an interstate natural gas pipeline from giving its marketing affiliate an undue preference or engaging in unduly discriminatory behavior in favor of its marketing affiliate.</w:t>
      </w:r>
    </w:p>
    <w:p w:rsidR="00171F91" w:rsidRPr="00F04621" w:rsidP="00171F91" w14:paraId="4459EACF" w14:textId="77777777">
      <w:pPr>
        <w:widowControl/>
        <w:rPr>
          <w:bCs/>
        </w:rPr>
      </w:pPr>
    </w:p>
    <w:p w:rsidR="00171F91" w:rsidRPr="00F04621" w:rsidP="00171F91" w14:paraId="4891D041" w14:textId="77777777">
      <w:pPr>
        <w:widowControl/>
        <w:tabs>
          <w:tab w:val="left" w:pos="0"/>
        </w:tabs>
        <w:rPr>
          <w:b/>
        </w:rPr>
      </w:pPr>
      <w:r w:rsidRPr="00F04621">
        <w:rPr>
          <w:b/>
        </w:rPr>
        <w:t>18 CFR Part 358 (Standards of Conduct)</w:t>
      </w:r>
    </w:p>
    <w:p w:rsidR="00171F91" w:rsidRPr="00F04621" w:rsidP="00171F91" w14:paraId="1CEF2B47" w14:textId="77777777">
      <w:pPr>
        <w:widowControl/>
        <w:tabs>
          <w:tab w:val="left" w:pos="0"/>
        </w:tabs>
        <w:rPr>
          <w:b/>
        </w:rPr>
      </w:pPr>
    </w:p>
    <w:p w:rsidR="00171F91" w:rsidRPr="00F04621" w:rsidP="00171F91" w14:paraId="1E5BF838" w14:textId="33EE0224">
      <w:pPr>
        <w:widowControl/>
      </w:pPr>
      <w:r w:rsidRPr="00F04621">
        <w:t>Undue preferences toward marketing affiliates can occur through discriminatory behavior in favor of a marketing affiliate or by providing the marketing affiliate with preferential access to non-public transportation information.</w:t>
      </w:r>
      <w:r w:rsidR="00B33C0D">
        <w:t xml:space="preserve"> </w:t>
      </w:r>
      <w:r w:rsidRPr="00F04621">
        <w:t xml:space="preserve">The Commission believes that </w:t>
      </w:r>
      <w:r w:rsidRPr="00F04621" w:rsidR="007E732F">
        <w:t xml:space="preserve">all </w:t>
      </w:r>
      <w:r w:rsidRPr="00F04621">
        <w:t>transportation customers must have simultaneous access to the same information available to the Transmission Provider if truly nondiscriminatory transmission services are to be a reality.</w:t>
      </w:r>
      <w:r w:rsidR="00B33C0D">
        <w:t xml:space="preserve"> </w:t>
      </w:r>
      <w:r w:rsidRPr="00F04621" w:rsidR="00255508">
        <w:t xml:space="preserve">The Commission provides transportation customers access to select information and information with which the pipeline might favor its affiliate. Requiring </w:t>
      </w:r>
      <w:r w:rsidRPr="00F04621" w:rsidR="00255508">
        <w:t>transparency of that information ensures that all customers are treated in a non-discriminatory manner.</w:t>
      </w:r>
      <w:r w:rsidR="00B33C0D">
        <w:t xml:space="preserve"> </w:t>
      </w:r>
      <w:r w:rsidRPr="00F04621">
        <w:t>Accordingly, the Standards of Conduct requirements at Part 358 promote transparency.</w:t>
      </w:r>
    </w:p>
    <w:p w:rsidR="00171F91" w:rsidRPr="00F04621" w:rsidP="00171F91" w14:paraId="494E4360" w14:textId="77777777">
      <w:pPr>
        <w:widowControl/>
        <w:tabs>
          <w:tab w:val="left" w:pos="0"/>
        </w:tabs>
        <w:rPr>
          <w:b/>
          <w:bCs/>
          <w:u w:val="single"/>
        </w:rPr>
      </w:pPr>
    </w:p>
    <w:p w:rsidR="00171F91" w:rsidRPr="00F04621" w:rsidP="00171F91" w14:paraId="5A7B9B35" w14:textId="77777777">
      <w:pPr>
        <w:widowControl/>
        <w:rPr>
          <w:bCs/>
        </w:rPr>
      </w:pPr>
      <w:r w:rsidRPr="00F04621">
        <w:rPr>
          <w:bCs/>
        </w:rPr>
        <w:t>The information collection, retention, and posting requirements of Part 358 include:</w:t>
      </w:r>
    </w:p>
    <w:p w:rsidR="00E95878" w:rsidRPr="00F04621" w:rsidP="00171F91" w14:paraId="52FE1838" w14:textId="77777777">
      <w:pPr>
        <w:widowControl/>
        <w:rPr>
          <w:bCs/>
        </w:rPr>
      </w:pPr>
    </w:p>
    <w:p w:rsidR="00171F91" w:rsidRPr="00F04621" w:rsidP="00171F91" w14:paraId="78F3FF9F" w14:textId="77777777">
      <w:pPr>
        <w:widowControl/>
        <w:numPr>
          <w:ilvl w:val="1"/>
          <w:numId w:val="15"/>
        </w:numPr>
        <w:rPr>
          <w:bCs/>
        </w:rPr>
      </w:pPr>
      <w:r w:rsidRPr="00F04621">
        <w:rPr>
          <w:bCs/>
        </w:rPr>
        <w:t>Information disclosed to Marketing Affiliate [post with exceptions]</w:t>
      </w:r>
      <w:r w:rsidRPr="00F04621" w:rsidR="007305E0">
        <w:rPr>
          <w:bCs/>
        </w:rPr>
        <w:t>;</w:t>
      </w:r>
    </w:p>
    <w:p w:rsidR="00171F91" w:rsidRPr="00F04621" w:rsidP="00171F91" w14:paraId="43A26A73" w14:textId="77777777">
      <w:pPr>
        <w:widowControl/>
        <w:numPr>
          <w:ilvl w:val="1"/>
          <w:numId w:val="15"/>
        </w:numPr>
        <w:rPr>
          <w:bCs/>
        </w:rPr>
      </w:pPr>
      <w:r w:rsidRPr="00F04621">
        <w:rPr>
          <w:bCs/>
        </w:rPr>
        <w:t>Names &amp; addresses of Marketing Affiliates</w:t>
      </w:r>
      <w:r w:rsidRPr="00F04621" w:rsidR="007305E0">
        <w:rPr>
          <w:bCs/>
        </w:rPr>
        <w:t>;</w:t>
      </w:r>
    </w:p>
    <w:p w:rsidR="00171F91" w:rsidRPr="00F04621" w:rsidP="00171F91" w14:paraId="48DAA900" w14:textId="77777777">
      <w:pPr>
        <w:widowControl/>
        <w:numPr>
          <w:ilvl w:val="1"/>
          <w:numId w:val="15"/>
        </w:numPr>
        <w:rPr>
          <w:bCs/>
        </w:rPr>
      </w:pPr>
      <w:r w:rsidRPr="00F04621">
        <w:rPr>
          <w:bCs/>
        </w:rPr>
        <w:t>List of facilities shared with Marketing Affiliate</w:t>
      </w:r>
      <w:r w:rsidRPr="00F04621" w:rsidR="007305E0">
        <w:rPr>
          <w:bCs/>
        </w:rPr>
        <w:t>;</w:t>
      </w:r>
      <w:r w:rsidRPr="00F04621">
        <w:rPr>
          <w:bCs/>
        </w:rPr>
        <w:t xml:space="preserve"> </w:t>
      </w:r>
    </w:p>
    <w:p w:rsidR="00171F91" w:rsidRPr="00F04621" w:rsidP="00171F91" w14:paraId="07923C12" w14:textId="77777777">
      <w:pPr>
        <w:widowControl/>
        <w:numPr>
          <w:ilvl w:val="1"/>
          <w:numId w:val="15"/>
        </w:numPr>
        <w:rPr>
          <w:bCs/>
        </w:rPr>
      </w:pPr>
      <w:r w:rsidRPr="00F04621">
        <w:rPr>
          <w:bCs/>
        </w:rPr>
        <w:t xml:space="preserve">Job titles &amp; descriptions of </w:t>
      </w:r>
      <w:r w:rsidRPr="00F04621">
        <w:t>transmission function employees (“TFE”)</w:t>
      </w:r>
      <w:r w:rsidRPr="00F04621" w:rsidR="007305E0">
        <w:t>;</w:t>
      </w:r>
    </w:p>
    <w:p w:rsidR="00171F91" w:rsidRPr="00F04621" w:rsidP="00171F91" w14:paraId="10173491" w14:textId="77777777">
      <w:pPr>
        <w:widowControl/>
        <w:numPr>
          <w:ilvl w:val="1"/>
          <w:numId w:val="15"/>
        </w:numPr>
        <w:rPr>
          <w:bCs/>
        </w:rPr>
      </w:pPr>
      <w:r w:rsidRPr="00F04621">
        <w:rPr>
          <w:bCs/>
        </w:rPr>
        <w:t xml:space="preserve">Transfers of </w:t>
      </w:r>
      <w:r w:rsidRPr="00F04621">
        <w:t>TFE to a position as a marketing function employee, or the reverse</w:t>
      </w:r>
      <w:r w:rsidRPr="00F04621" w:rsidR="007305E0">
        <w:t>;</w:t>
      </w:r>
    </w:p>
    <w:p w:rsidR="00171F91" w:rsidRPr="00F04621" w:rsidP="00171F91" w14:paraId="654850BA" w14:textId="77777777">
      <w:pPr>
        <w:widowControl/>
        <w:numPr>
          <w:ilvl w:val="1"/>
          <w:numId w:val="15"/>
        </w:numPr>
        <w:rPr>
          <w:bCs/>
        </w:rPr>
      </w:pPr>
      <w:r w:rsidRPr="00F04621">
        <w:rPr>
          <w:bCs/>
        </w:rPr>
        <w:t xml:space="preserve">Potential merger partners; and </w:t>
      </w:r>
    </w:p>
    <w:p w:rsidR="007305E0" w:rsidRPr="00F04621" w:rsidP="00171F91" w14:paraId="224DD64D" w14:textId="77777777">
      <w:pPr>
        <w:widowControl/>
        <w:numPr>
          <w:ilvl w:val="1"/>
          <w:numId w:val="15"/>
        </w:numPr>
        <w:rPr>
          <w:bCs/>
        </w:rPr>
      </w:pPr>
      <w:r w:rsidRPr="00F04621">
        <w:rPr>
          <w:bCs/>
        </w:rPr>
        <w:t>Posting instructions describing how they implement the Standards of Conduct.</w:t>
      </w:r>
    </w:p>
    <w:p w:rsidR="00171F91" w:rsidRPr="00F04621" w:rsidP="00171F91" w14:paraId="1F22FC93" w14:textId="77777777"/>
    <w:p w:rsidR="00171F91" w:rsidRPr="00F04621" w:rsidP="570A8D1D" w14:paraId="1C405A83" w14:textId="1A844F0C">
      <w:pPr>
        <w:rPr>
          <w:b/>
          <w:bCs/>
        </w:rPr>
      </w:pPr>
      <w:r w:rsidRPr="570A8D1D">
        <w:rPr>
          <w:b/>
          <w:bCs/>
        </w:rPr>
        <w:t>18 CFR</w:t>
      </w:r>
      <w:r w:rsidRPr="570A8D1D" w:rsidR="00CF7E9F">
        <w:rPr>
          <w:b/>
          <w:bCs/>
        </w:rPr>
        <w:t xml:space="preserve"> </w:t>
      </w:r>
      <w:r w:rsidR="005A28B6">
        <w:t xml:space="preserve">§ </w:t>
      </w:r>
      <w:r w:rsidRPr="570A8D1D">
        <w:rPr>
          <w:b/>
          <w:bCs/>
        </w:rPr>
        <w:t>250.16, and the FERC-592 log/format</w:t>
      </w:r>
    </w:p>
    <w:p w:rsidR="00171F91" w:rsidRPr="00F04621" w:rsidP="00171F91" w14:paraId="6BDD1586" w14:textId="77777777">
      <w:pPr>
        <w:rPr>
          <w:b/>
        </w:rPr>
      </w:pPr>
    </w:p>
    <w:p w:rsidR="00FD58ED" w:rsidRPr="00F04621" w:rsidP="00171F91" w14:paraId="1B8FAFE4" w14:textId="0AB13DA2">
      <w:pPr>
        <w:widowControl/>
      </w:pPr>
      <w:r>
        <w:t>The regulation at 18 CFR</w:t>
      </w:r>
      <w:r w:rsidR="005A28B6">
        <w:t xml:space="preserve"> §</w:t>
      </w:r>
      <w:r>
        <w:t xml:space="preserve"> 250.16</w:t>
      </w:r>
      <w:r w:rsidR="002F0A33">
        <w:t>(c)(1) requires that any interstate pipeline that relies upon contract information or other data to allocate capacity to maintain a log showing, for each transportation contract (both for marking affiliates and non-affiliates), on its system:</w:t>
      </w:r>
    </w:p>
    <w:p w:rsidR="002F0A33" w:rsidRPr="00F04621" w:rsidP="00171F91" w14:paraId="725B7B31" w14:textId="77777777">
      <w:pPr>
        <w:widowControl/>
      </w:pPr>
    </w:p>
    <w:p w:rsidR="002F0A33" w:rsidRPr="00F04621" w:rsidP="002F0A33" w14:paraId="3A91FDF0" w14:textId="77777777">
      <w:pPr>
        <w:widowControl/>
        <w:numPr>
          <w:ilvl w:val="0"/>
          <w:numId w:val="21"/>
        </w:numPr>
      </w:pPr>
      <w:r w:rsidRPr="00F04621">
        <w:t>The shipper’s name (including a designation whether the shipper is a local distribution company, an interstate pipeline, an intrastate pipeline, an end-user, a producer, a marketer, or a pipeline sales operating unit);</w:t>
      </w:r>
    </w:p>
    <w:p w:rsidR="002F0A33" w:rsidRPr="00F04621" w:rsidP="002F0A33" w14:paraId="0DC7B2D6" w14:textId="77777777">
      <w:pPr>
        <w:widowControl/>
        <w:numPr>
          <w:ilvl w:val="0"/>
          <w:numId w:val="21"/>
        </w:numPr>
      </w:pPr>
      <w:r w:rsidRPr="00F04621">
        <w:t>The shipper’s affiliation with the pipeline;</w:t>
      </w:r>
    </w:p>
    <w:p w:rsidR="002F0A33" w:rsidRPr="00F04621" w:rsidP="002F0A33" w14:paraId="41247CA1" w14:textId="77777777">
      <w:pPr>
        <w:widowControl/>
        <w:numPr>
          <w:ilvl w:val="0"/>
          <w:numId w:val="21"/>
        </w:numPr>
      </w:pPr>
      <w:r w:rsidRPr="00F04621">
        <w:t>The contract number; and</w:t>
      </w:r>
    </w:p>
    <w:p w:rsidR="002F0A33" w:rsidRPr="00F04621" w:rsidP="002F0A33" w14:paraId="2FCE11DE" w14:textId="77777777">
      <w:pPr>
        <w:widowControl/>
        <w:numPr>
          <w:ilvl w:val="0"/>
          <w:numId w:val="21"/>
        </w:numPr>
      </w:pPr>
      <w:r w:rsidRPr="00F04621">
        <w:t>The applicable dates or other information used to allocate capacity under the pipeline’s tariff.</w:t>
      </w:r>
    </w:p>
    <w:p w:rsidR="00FD58ED" w:rsidRPr="00F04621" w:rsidP="00171F91" w14:paraId="0F904246" w14:textId="77777777">
      <w:pPr>
        <w:widowControl/>
      </w:pPr>
    </w:p>
    <w:p w:rsidR="00171F91" w:rsidRPr="00F04621" w:rsidP="00171F91" w14:paraId="2C4B3BFE" w14:textId="2E268B50">
      <w:pPr>
        <w:widowControl/>
      </w:pPr>
      <w:r w:rsidRPr="00F04621">
        <w:t xml:space="preserve">The FERC-592 log </w:t>
      </w:r>
      <w:r w:rsidRPr="00F04621">
        <w:t>provides the electronic formats for maintaining information on discounted transportation transactions and capacity allocation to support monitoring of activities of interstate pipeline marketing affiliates.</w:t>
      </w:r>
      <w:r w:rsidR="00B33C0D">
        <w:t xml:space="preserve"> </w:t>
      </w:r>
      <w:r w:rsidRPr="00F04621">
        <w:t>The log data relating to each contract must be maintained as long as the contract is used to allocate capacity and for three years after the contract data is no longer used for capacity allocation.</w:t>
      </w:r>
    </w:p>
    <w:p w:rsidR="00171F91" w:rsidRPr="00F04621" w:rsidP="00171F91" w14:paraId="5D493A77" w14:textId="77777777">
      <w:pPr>
        <w:widowControl/>
      </w:pPr>
    </w:p>
    <w:p w:rsidR="00171F91" w:rsidRPr="00F04621" w:rsidP="00171F91" w14:paraId="5D54D41A" w14:textId="74C8DADA">
      <w:pPr>
        <w:widowControl/>
      </w:pPr>
      <w:r>
        <w:t xml:space="preserve">The regulation at </w:t>
      </w:r>
      <w:r>
        <w:t xml:space="preserve">18 CFR </w:t>
      </w:r>
      <w:r w:rsidR="00AF6FC4">
        <w:t xml:space="preserve">§ </w:t>
      </w:r>
      <w:r>
        <w:t>250.16(c)(2) states</w:t>
      </w:r>
      <w:r w:rsidR="00D945EC">
        <w:t>,</w:t>
      </w:r>
      <w:r>
        <w:t xml:space="preserve"> “</w:t>
      </w:r>
      <w:r w:rsidR="00D945EC">
        <w:t>T</w:t>
      </w:r>
      <w:r>
        <w:t>he current log of allocation data for marketing affiliates must be posted on the pipeline’s Internet Web site....”</w:t>
      </w:r>
    </w:p>
    <w:p w:rsidR="00171F91" w:rsidRPr="00F04621" w:rsidP="00171F91" w14:paraId="1A59C05D" w14:textId="77777777">
      <w:pPr>
        <w:widowControl/>
      </w:pPr>
    </w:p>
    <w:p w:rsidR="00171F91" w:rsidRPr="00F04621" w:rsidP="00171F91" w14:paraId="00357E3D" w14:textId="4E758C39">
      <w:pPr>
        <w:widowControl/>
      </w:pPr>
      <w:r>
        <w:t xml:space="preserve">The regulation at </w:t>
      </w:r>
      <w:r>
        <w:t xml:space="preserve">18 CFR </w:t>
      </w:r>
      <w:r w:rsidR="00AF6FC4">
        <w:t xml:space="preserve">§ </w:t>
      </w:r>
      <w:r>
        <w:t xml:space="preserve">250.16(d)(1) states: “A pipeline that provides transportation service at a discounted rate must maintain, for each billing period, the following information: the name of the shipper being provided the discount; the affiliate's role in the transportation transaction (i.e. shipper, marketer, supplier, seller); the duration of the discount; the maximum rate or fee; the rate or fee actually charged during the billing period; and the quantity of gas scheduled at the discounted rate during the billing period </w:t>
      </w:r>
      <w:r>
        <w:t>for each delivery point. The discount information with respect to each transaction must be maintained for three years from the date the transaction commences.”</w:t>
      </w:r>
    </w:p>
    <w:p w:rsidR="00171F91" w:rsidRPr="00F04621" w:rsidP="00171F91" w14:paraId="1F38A475" w14:textId="77777777">
      <w:pPr>
        <w:widowControl/>
        <w:ind w:left="720"/>
      </w:pPr>
    </w:p>
    <w:p w:rsidR="00171F91" w:rsidRPr="00F04621" w:rsidP="00171F91" w14:paraId="5B09DC1E" w14:textId="7CB49DB2">
      <w:pPr>
        <w:widowControl/>
      </w:pPr>
      <w:r w:rsidRPr="00F04621">
        <w:t>The information required by 18 CFR</w:t>
      </w:r>
      <w:r w:rsidR="00AF6FC4">
        <w:t xml:space="preserve"> </w:t>
      </w:r>
      <w:r w:rsidRPr="000C3B68" w:rsidR="00AF6FC4">
        <w:t>§</w:t>
      </w:r>
      <w:r w:rsidRPr="00F04621" w:rsidR="00CF7E9F">
        <w:t xml:space="preserve"> </w:t>
      </w:r>
      <w:r w:rsidRPr="00F04621">
        <w:t>250.16 must be provided to the Commission upon request and must be made available to the public.</w:t>
      </w:r>
      <w:r>
        <w:rPr>
          <w:rStyle w:val="FootnoteReference"/>
          <w:b w:val="0"/>
          <w:sz w:val="24"/>
          <w:szCs w:val="24"/>
        </w:rPr>
        <w:footnoteReference w:id="5"/>
      </w:r>
      <w:r w:rsidRPr="00F04621">
        <w:t xml:space="preserve"> </w:t>
      </w:r>
    </w:p>
    <w:p w:rsidR="00171F91" w:rsidRPr="00F04621" w:rsidP="00171F91" w14:paraId="244E5B4B" w14:textId="77777777">
      <w:pPr>
        <w:widowControl/>
      </w:pPr>
    </w:p>
    <w:p w:rsidR="00F53486" w:rsidRPr="00F04621" w:rsidP="007129A6" w14:paraId="6D111167" w14:textId="77777777">
      <w:pPr>
        <w:widowControl/>
        <w:numPr>
          <w:ilvl w:val="0"/>
          <w:numId w:val="2"/>
        </w:numPr>
        <w:tabs>
          <w:tab w:val="num" w:pos="720"/>
          <w:tab w:val="clear" w:pos="1815"/>
        </w:tabs>
        <w:ind w:left="720" w:hanging="720"/>
        <w:rPr>
          <w:b/>
        </w:rPr>
      </w:pPr>
      <w:r w:rsidRPr="00F04621">
        <w:rPr>
          <w:b/>
        </w:rPr>
        <w:t xml:space="preserve">HOW, BY WHOM AND FOR WHAT PURPOSE IS THE INFORMATION TO BE USED AND THE CONSEQUENCES OF NOT COLLECTING THE INFORMATION </w:t>
      </w:r>
    </w:p>
    <w:p w:rsidR="00F53486" w:rsidRPr="00F04621" w:rsidP="00F53486" w14:paraId="42D58F5C" w14:textId="77777777">
      <w:pPr>
        <w:widowControl/>
        <w:ind w:left="1440"/>
      </w:pPr>
    </w:p>
    <w:p w:rsidR="00171F91" w:rsidRPr="00F04621" w:rsidP="570A8D1D" w14:paraId="15E9887A" w14:textId="539DE4A4">
      <w:pPr>
        <w:widowControl/>
      </w:pPr>
      <w:r>
        <w:t>The information maintained and posted by the respondents is used by the Commission to monitor the pipeline's transportation, sales, and storage activities for its marketing affiliate to deter undue discrimination by pipeline companies in favor of their marketing affiliates.</w:t>
      </w:r>
      <w:r w:rsidR="00B33C0D">
        <w:t xml:space="preserve"> </w:t>
      </w:r>
      <w:r>
        <w:t xml:space="preserve">The information is also used by non-affiliated shippers or others (such as state commissions) to determine whether they have been harmed by affiliate preference and, in some cases, to prepare </w:t>
      </w:r>
      <w:r w:rsidR="00513591">
        <w:t xml:space="preserve">submissions and formulate positions in rate cases and other </w:t>
      </w:r>
      <w:r>
        <w:t>proceedings.</w:t>
      </w:r>
    </w:p>
    <w:p w:rsidR="00171F91" w:rsidRPr="00F04621" w:rsidP="00171F91" w14:paraId="3B2571CF" w14:textId="77777777">
      <w:pPr>
        <w:widowControl/>
        <w:rPr>
          <w:b/>
        </w:rPr>
      </w:pPr>
    </w:p>
    <w:p w:rsidR="00171F91" w:rsidRPr="00F04621" w:rsidP="00171F91" w14:paraId="268BE299" w14:textId="52EE5148">
      <w:pPr>
        <w:widowControl/>
        <w:tabs>
          <w:tab w:val="left" w:pos="-1440"/>
        </w:tabs>
      </w:pPr>
      <w:r w:rsidRPr="00F04621">
        <w:t>The information required by Part 358 is maintained and provided by the respondents on their internet websites.</w:t>
      </w:r>
      <w:r w:rsidR="00B33C0D">
        <w:t xml:space="preserve"> </w:t>
      </w:r>
      <w:r w:rsidRPr="00F04621">
        <w:t>When a pipeline is required to post information on its internet website following a disclosure of non-public information to its marketing affiliate, non-affiliated shippers obtain comparable access to the non-public transportation information, which allows them to compete with marketing affiliates on a more equal basis.</w:t>
      </w:r>
    </w:p>
    <w:p w:rsidR="00171F91" w:rsidRPr="00F04621" w:rsidP="00171F91" w14:paraId="5F80DD99" w14:textId="77777777">
      <w:pPr>
        <w:rPr>
          <w:b/>
        </w:rPr>
      </w:pPr>
    </w:p>
    <w:p w:rsidR="004B35C8" w:rsidRPr="00F04621" w:rsidP="00EE79EC" w14:paraId="6DC22480" w14:textId="471D8642">
      <w:pPr>
        <w:widowControl/>
      </w:pPr>
      <w:r>
        <w:t>The information required by 18 CFR</w:t>
      </w:r>
      <w:r w:rsidR="00C903B6">
        <w:t xml:space="preserve"> §</w:t>
      </w:r>
      <w:r>
        <w:t xml:space="preserve"> 250.16 and the FERC-592 log assist the Commission in </w:t>
      </w:r>
      <w:r w:rsidR="00171F91">
        <w:t>effectively monitor</w:t>
      </w:r>
      <w:r>
        <w:t>ing</w:t>
      </w:r>
      <w:r w:rsidR="00171F91">
        <w:t xml:space="preserve"> whether pipelines are giving discriminatory preference to</w:t>
      </w:r>
      <w:r>
        <w:t xml:space="preserve"> their marketing affiliate</w:t>
      </w:r>
      <w:r>
        <w:t>s.</w:t>
      </w:r>
    </w:p>
    <w:p w:rsidR="00EE79EC" w:rsidRPr="00F04621" w:rsidP="00EE79EC" w14:paraId="4BFF2E3F" w14:textId="77777777">
      <w:pPr>
        <w:widowControl/>
      </w:pPr>
    </w:p>
    <w:p w:rsidR="00821D54" w:rsidP="00391349" w14:paraId="10353AEE" w14:textId="7A92768E">
      <w:pPr>
        <w:widowControl/>
      </w:pPr>
      <w:r w:rsidRPr="00F04621">
        <w:t>Without this collection of information</w:t>
      </w:r>
      <w:r w:rsidR="00391349">
        <w:t xml:space="preserve"> t</w:t>
      </w:r>
      <w:r w:rsidR="00B72740">
        <w:t>he Commission would have difficulty effectively monitoring whether pipelines are giving discriminatory preference to their marketing affiliates; and </w:t>
      </w:r>
      <w:r w:rsidR="00180ABE">
        <w:t>Non-affiliated shippers, state commissions, and others would have difficulty determining whether they have been harmed by affiliate preference and preparing submissions for rate cases and other proceedings. </w:t>
      </w:r>
    </w:p>
    <w:p w:rsidR="00391349" w:rsidRPr="00F04621" w:rsidP="00391349" w14:paraId="7695D8EC" w14:textId="77777777">
      <w:pPr>
        <w:widowControl/>
      </w:pPr>
    </w:p>
    <w:p w:rsidR="00F53486" w:rsidRPr="00F04621" w:rsidP="007129A6" w14:paraId="652272EF" w14:textId="77777777">
      <w:pPr>
        <w:widowControl/>
        <w:numPr>
          <w:ilvl w:val="0"/>
          <w:numId w:val="2"/>
        </w:numPr>
        <w:tabs>
          <w:tab w:val="clear" w:pos="1815"/>
        </w:tabs>
        <w:ind w:left="720" w:hanging="720"/>
      </w:pPr>
      <w:r w:rsidRPr="00F04621">
        <w:rPr>
          <w:b/>
        </w:rPr>
        <w:t>DESCRIBE ANY CONSIDERATION OF THE USE OF IMPROVED INFORMATION TECHNOLOGY TO REDUCE BURDEN AND THE TECHNICAL OR LEGAL OBSTACLES TO REDUCING BURDEN</w:t>
      </w:r>
    </w:p>
    <w:p w:rsidR="00577AB2" w:rsidRPr="00F04621" w:rsidP="00577AB2" w14:paraId="75A016AF" w14:textId="77777777">
      <w:pPr>
        <w:widowControl/>
      </w:pPr>
    </w:p>
    <w:p w:rsidR="00171F91" w:rsidRPr="00F04621" w:rsidP="00171F91" w14:paraId="19932BF1" w14:textId="3FA274EC">
      <w:pPr>
        <w:widowControl/>
      </w:pPr>
      <w:r>
        <w:t>T</w:t>
      </w:r>
      <w:r>
        <w:t>ransmissio</w:t>
      </w:r>
      <w:r w:rsidR="007305E0">
        <w:t>n customers are able to access Standards of C</w:t>
      </w:r>
      <w:r>
        <w:t>onduct information from interstate natural gas pipelines</w:t>
      </w:r>
      <w:r w:rsidR="00A42D79">
        <w:t xml:space="preserve"> via the internet</w:t>
      </w:r>
      <w:r>
        <w:t>.</w:t>
      </w:r>
      <w:r w:rsidR="00B33C0D">
        <w:t xml:space="preserve"> </w:t>
      </w:r>
      <w:r>
        <w:t>The Commission is committed to reducing the burden on the interstate natural gas pipelines and their shippers through the use of improved information technology.</w:t>
      </w:r>
      <w:r w:rsidR="00B33C0D">
        <w:t xml:space="preserve"> </w:t>
      </w:r>
      <w:r>
        <w:t>In 1987, when the Standards of Conduct were initially adopted, they included both filing and posting requirements.</w:t>
      </w:r>
      <w:r w:rsidR="00B33C0D">
        <w:t xml:space="preserve"> </w:t>
      </w:r>
      <w:r>
        <w:t xml:space="preserve">As the Commission has modified the obligations (to eliminate the filing requirements and to enhance the posting </w:t>
      </w:r>
      <w:r>
        <w:t xml:space="preserve">requirements), the technology has also improved, allowing transmission customers to have contemporaneous access to information. </w:t>
      </w:r>
    </w:p>
    <w:p w:rsidR="00171F91" w:rsidRPr="00F04621" w:rsidP="00171F91" w14:paraId="3E097379" w14:textId="77777777"/>
    <w:p w:rsidR="00171F91" w:rsidRPr="00F04621" w:rsidP="00171F91" w14:paraId="0B9FC845" w14:textId="3EB7583D">
      <w:pPr>
        <w:widowControl/>
      </w:pPr>
      <w:r w:rsidRPr="00F04621">
        <w:t>In FERC-592, the Commission is committed to the use of information technology.</w:t>
      </w:r>
      <w:r w:rsidR="00B33C0D">
        <w:t xml:space="preserve"> </w:t>
      </w:r>
      <w:r w:rsidRPr="00F04621">
        <w:t xml:space="preserve">Per 18 CFR 250.16, the Commission requires generally that </w:t>
      </w:r>
      <w:r w:rsidRPr="00F04621" w:rsidR="00EE79EC">
        <w:t>i</w:t>
      </w:r>
      <w:r w:rsidRPr="00F04621">
        <w:t>nterstate natural gas pipeline companies that conduct transportation transactions with its marketing or brokering affiliate must:</w:t>
      </w:r>
    </w:p>
    <w:p w:rsidR="00171F91" w:rsidRPr="00F04621" w:rsidP="00171F91" w14:paraId="0BD2B458" w14:textId="77777777">
      <w:pPr>
        <w:widowControl/>
        <w:ind w:firstLine="720"/>
      </w:pPr>
    </w:p>
    <w:p w:rsidR="00171F91" w:rsidRPr="00F04621" w:rsidP="00171F91" w14:paraId="2D5D4D11" w14:textId="77777777">
      <w:pPr>
        <w:widowControl/>
        <w:numPr>
          <w:ilvl w:val="1"/>
          <w:numId w:val="17"/>
        </w:numPr>
        <w:tabs>
          <w:tab w:val="num" w:pos="1080"/>
          <w:tab w:val="clear" w:pos="2160"/>
        </w:tabs>
        <w:ind w:left="1080"/>
      </w:pPr>
      <w:r w:rsidRPr="00F04621">
        <w:t>post “the current log of allocation data for marketing affiliates on their web sites…”</w:t>
      </w:r>
      <w:r w:rsidRPr="00F04621" w:rsidR="00E95878">
        <w:t>;</w:t>
      </w:r>
    </w:p>
    <w:p w:rsidR="00171F91" w:rsidRPr="00F04621" w:rsidP="00171F91" w14:paraId="6F624862" w14:textId="77777777">
      <w:pPr>
        <w:widowControl/>
        <w:numPr>
          <w:ilvl w:val="1"/>
          <w:numId w:val="18"/>
        </w:numPr>
        <w:tabs>
          <w:tab w:val="num" w:pos="1080"/>
          <w:tab w:val="clear" w:pos="2160"/>
        </w:tabs>
        <w:ind w:left="1080"/>
      </w:pPr>
      <w:r w:rsidRPr="00F04621">
        <w:t>maintain both the log of allocation of pipeline capacity and transportation discount information and make these logs available to the Commission or other parties to a Commission hearing</w:t>
      </w:r>
      <w:r w:rsidRPr="00F04621" w:rsidR="00E95878">
        <w:t>;</w:t>
      </w:r>
    </w:p>
    <w:p w:rsidR="00171F91" w:rsidRPr="00F04621" w:rsidP="00171F91" w14:paraId="287FD52F" w14:textId="77777777">
      <w:pPr>
        <w:widowControl/>
        <w:numPr>
          <w:ilvl w:val="1"/>
          <w:numId w:val="19"/>
        </w:numPr>
        <w:tabs>
          <w:tab w:val="num" w:pos="1080"/>
          <w:tab w:val="clear" w:pos="2160"/>
        </w:tabs>
        <w:ind w:left="1080"/>
      </w:pPr>
      <w:r w:rsidRPr="00F04621">
        <w:t>upon request by the Commission</w:t>
      </w:r>
      <w:r w:rsidRPr="00F04621" w:rsidR="00043FF8">
        <w:t>,</w:t>
      </w:r>
      <w:r w:rsidRPr="00F04621">
        <w:t xml:space="preserve"> provide the information consistent with instructions</w:t>
      </w:r>
      <w:r w:rsidRPr="00F04621" w:rsidR="00E95878">
        <w:t>; and</w:t>
      </w:r>
    </w:p>
    <w:p w:rsidR="00171F91" w:rsidRPr="00F04621" w:rsidP="00171F91" w14:paraId="4B223009" w14:textId="77777777">
      <w:pPr>
        <w:widowControl/>
        <w:numPr>
          <w:ilvl w:val="1"/>
          <w:numId w:val="19"/>
        </w:numPr>
        <w:tabs>
          <w:tab w:val="num" w:pos="1080"/>
          <w:tab w:val="clear" w:pos="2160"/>
        </w:tabs>
        <w:ind w:left="1080"/>
      </w:pPr>
      <w:r w:rsidRPr="00F04621">
        <w:t>maintain tariff provisions containing procedures used to resolve complaints by shippers and potential shippers, including a provision that the pipeline will respond within 48 hours and in writing within 30 days to such complaints.</w:t>
      </w:r>
    </w:p>
    <w:p w:rsidR="00171F91" w:rsidRPr="00F04621" w:rsidP="00171F91" w14:paraId="79999971" w14:textId="77777777">
      <w:pPr>
        <w:widowControl/>
      </w:pPr>
    </w:p>
    <w:p w:rsidR="0064122E" w:rsidRPr="00F04621" w:rsidP="00171F91" w14:paraId="14A06B88" w14:textId="77777777">
      <w:r w:rsidRPr="00F04621">
        <w:t>These requirements allow flexibility as to how interstate natural gas pipeline companies store and represent the data on their web sites and on their data storage systems.</w:t>
      </w:r>
    </w:p>
    <w:p w:rsidR="00F53486" w:rsidRPr="00F04621" w:rsidP="00F53486" w14:paraId="6949EE09" w14:textId="77777777">
      <w:pPr>
        <w:widowControl/>
      </w:pPr>
    </w:p>
    <w:p w:rsidR="00F53486" w:rsidRPr="00F04621" w:rsidP="007129A6" w14:paraId="543DC0DC" w14:textId="77777777">
      <w:pPr>
        <w:widowControl/>
        <w:tabs>
          <w:tab w:val="left" w:pos="720"/>
        </w:tabs>
        <w:ind w:left="720" w:hanging="720"/>
        <w:rPr>
          <w:b/>
        </w:rPr>
      </w:pPr>
      <w:r w:rsidRPr="00F04621">
        <w:rPr>
          <w:b/>
        </w:rPr>
        <w:t>4.</w:t>
      </w:r>
      <w:r w:rsidRPr="00F04621">
        <w:rPr>
          <w:b/>
        </w:rPr>
        <w:tab/>
        <w:t>DESCRIBE EFFORTS TO IDENTIFY DUPLICATION AND SHOW SPECIFICALLY WHY ANY SIMILAR INFORMATION ALREADY AVAILABLE CANNOT BE USED OR MODIFIED FOR USE FOR THE PURPOSE(S) DESCRIBED IN INSTRUCTION NO. 2.</w:t>
      </w:r>
    </w:p>
    <w:p w:rsidR="000A1237" w:rsidRPr="00F04621" w:rsidP="000A1237" w14:paraId="601C9FD9" w14:textId="77777777">
      <w:pPr>
        <w:widowControl/>
        <w:ind w:firstLine="720"/>
        <w:rPr>
          <w:b/>
        </w:rPr>
      </w:pPr>
    </w:p>
    <w:p w:rsidR="00171F91" w:rsidRPr="00F04621" w:rsidP="00171F91" w14:paraId="452D1F33" w14:textId="03A9EBCD">
      <w:pPr>
        <w:widowControl/>
      </w:pPr>
      <w:r w:rsidRPr="00F04621">
        <w:t>Commission filings and data requirements are periodically reviewed in conjunction with OMB clearance expiration dates.</w:t>
      </w:r>
      <w:r w:rsidR="00B33C0D">
        <w:t xml:space="preserve"> </w:t>
      </w:r>
      <w:r w:rsidRPr="00F04621">
        <w:t>This includes a review of the Commission's regulations and data requirements to identify any duplication.</w:t>
      </w:r>
      <w:r w:rsidR="00B33C0D">
        <w:t xml:space="preserve"> </w:t>
      </w:r>
    </w:p>
    <w:p w:rsidR="00171F91" w:rsidRPr="00F04621" w:rsidP="00171F91" w14:paraId="6F12B96C" w14:textId="77777777">
      <w:pPr>
        <w:widowControl/>
        <w:ind w:left="1080"/>
        <w:rPr>
          <w:b/>
        </w:rPr>
      </w:pPr>
    </w:p>
    <w:p w:rsidR="00FA21AA" w:rsidRPr="00F04621" w:rsidP="00171F91" w14:paraId="3C605288" w14:textId="26CC9FAC">
      <w:r>
        <w:t xml:space="preserve">The data maintenance and reporting requirements in 18 CFR </w:t>
      </w:r>
      <w:r w:rsidR="00F80ACD">
        <w:t xml:space="preserve">§ </w:t>
      </w:r>
      <w:r>
        <w:t xml:space="preserve">250.16 ensure that </w:t>
      </w:r>
      <w:r w:rsidR="007305E0">
        <w:t xml:space="preserve">interstate natural gas </w:t>
      </w:r>
      <w:r>
        <w:t xml:space="preserve">pipeline rates are just and reasonable and not unduly discriminatory </w:t>
      </w:r>
      <w:r w:rsidR="008E2841">
        <w:t>by</w:t>
      </w:r>
      <w:r>
        <w:t xml:space="preserve"> providing preferential treatment to their marketing affiliates.</w:t>
      </w:r>
      <w:r w:rsidR="00B33C0D">
        <w:t xml:space="preserve"> </w:t>
      </w:r>
      <w:r>
        <w:t>Discount information is also used in rate cases.</w:t>
      </w:r>
    </w:p>
    <w:p w:rsidR="00FA21AA" w:rsidRPr="00F04621" w:rsidP="00171F91" w14:paraId="564AED44" w14:textId="77777777"/>
    <w:p w:rsidR="00171F91" w:rsidRPr="00F04621" w:rsidP="00171F91" w14:paraId="137D3CF2" w14:textId="77777777"/>
    <w:p w:rsidR="00F53486" w:rsidRPr="00F04621" w:rsidP="007129A6" w14:paraId="4697D154" w14:textId="77777777">
      <w:pPr>
        <w:widowControl/>
        <w:tabs>
          <w:tab w:val="left" w:pos="720"/>
        </w:tabs>
        <w:ind w:left="720" w:hanging="720"/>
      </w:pPr>
      <w:r w:rsidRPr="00F04621">
        <w:rPr>
          <w:b/>
        </w:rPr>
        <w:t>5.</w:t>
      </w:r>
      <w:r w:rsidRPr="00F04621">
        <w:t xml:space="preserve"> </w:t>
      </w:r>
      <w:r w:rsidRPr="00F04621">
        <w:tab/>
      </w:r>
      <w:r w:rsidRPr="00F04621">
        <w:rPr>
          <w:b/>
        </w:rPr>
        <w:t>METHODS USED TO MINIMIZE BURDEN IN COLLECTION OF INFORMATION INVOLVING SMALL ENTITIES</w:t>
      </w:r>
      <w:r w:rsidRPr="00F04621">
        <w:t xml:space="preserve"> </w:t>
      </w:r>
    </w:p>
    <w:p w:rsidR="00F53486" w:rsidRPr="00F04621" w:rsidP="00F53486" w14:paraId="49464CF2" w14:textId="77777777">
      <w:pPr>
        <w:widowControl/>
        <w:ind w:left="1440" w:hanging="720"/>
      </w:pPr>
    </w:p>
    <w:p w:rsidR="00171F91" w:rsidRPr="00F04621" w:rsidP="00EE79EC" w14:paraId="2902BA0E" w14:textId="66133A64">
      <w:r>
        <w:t xml:space="preserve">The regulation at </w:t>
      </w:r>
      <w:r>
        <w:t>18 CFR</w:t>
      </w:r>
      <w:r w:rsidR="008E2841">
        <w:t xml:space="preserve"> §</w:t>
      </w:r>
      <w:r>
        <w:t xml:space="preserve"> 358.1(d) allows a transmission provider to seek a waiver from the Standards of Conduct.</w:t>
      </w:r>
      <w:r w:rsidR="00B33C0D">
        <w:t xml:space="preserve"> </w:t>
      </w:r>
      <w:r>
        <w:t>Several interstate natural gas pipelines have sought and received partial waivers of the Standards of Conduct based on their small size.</w:t>
      </w:r>
      <w:r w:rsidR="00B33C0D">
        <w:t xml:space="preserve"> </w:t>
      </w:r>
    </w:p>
    <w:p w:rsidR="00171F91" w:rsidRPr="00F04621" w:rsidP="00171F91" w14:paraId="68A87244" w14:textId="77777777">
      <w:pPr>
        <w:widowControl/>
      </w:pPr>
    </w:p>
    <w:p w:rsidR="00CB5260" w:rsidRPr="00F04621" w:rsidP="00171F91" w14:paraId="213489F9" w14:textId="53D8DE8B">
      <w:r>
        <w:t>Only transmission providers owning, operating, and/or controlling facilities used for the transportation of nat</w:t>
      </w:r>
      <w:r w:rsidR="007305E0">
        <w:t xml:space="preserve">ural gas in interstate commerce that engage in transportation </w:t>
      </w:r>
      <w:r w:rsidR="007305E0">
        <w:t xml:space="preserve">transactions with their marketing affiliates </w:t>
      </w:r>
      <w:r>
        <w:t>are required to comply with the requirements</w:t>
      </w:r>
      <w:r w:rsidR="00EE79EC">
        <w:t xml:space="preserve"> at 18 CFR </w:t>
      </w:r>
      <w:r w:rsidR="00EA39FF">
        <w:t xml:space="preserve">§ </w:t>
      </w:r>
      <w:r w:rsidR="00EE79EC">
        <w:t>250.16 and the FERC-592 log of data used to allocate capacity</w:t>
      </w:r>
      <w:r>
        <w:t>.</w:t>
      </w:r>
      <w:r w:rsidR="00B33C0D">
        <w:t xml:space="preserve"> </w:t>
      </w:r>
      <w:r w:rsidR="00EE79EC">
        <w:t xml:space="preserve">The Commission does not monitor the size of this limited category of transmission providers, but </w:t>
      </w:r>
      <w:r>
        <w:t>assumes that few of them are small entities.</w:t>
      </w:r>
    </w:p>
    <w:p w:rsidR="00CB5260" w:rsidRPr="00F04621" w:rsidP="00171F91" w14:paraId="779DE52D" w14:textId="77777777"/>
    <w:p w:rsidR="0064122E" w:rsidRPr="00F04621" w:rsidP="00171F91" w14:paraId="7F6DF9BD" w14:textId="77777777">
      <w:r w:rsidRPr="00F04621">
        <w:t>Because the information collected under FERC-592 is</w:t>
      </w:r>
      <w:r w:rsidRPr="00F04621" w:rsidR="00171F91">
        <w:t xml:space="preserve"> </w:t>
      </w:r>
      <w:r w:rsidRPr="00F04621">
        <w:t xml:space="preserve">publicly </w:t>
      </w:r>
      <w:r w:rsidRPr="00F04621" w:rsidR="00171F91">
        <w:t>available</w:t>
      </w:r>
      <w:r w:rsidRPr="00F04621">
        <w:t xml:space="preserve">, it seems possible that small entities may be among those that benefit from the information. </w:t>
      </w:r>
    </w:p>
    <w:p w:rsidR="00F53486" w:rsidRPr="00F04621" w:rsidP="00F53486" w14:paraId="3912B462" w14:textId="77777777">
      <w:pPr>
        <w:widowControl/>
        <w:ind w:left="1440"/>
      </w:pPr>
    </w:p>
    <w:p w:rsidR="007E2455" w:rsidRPr="00F04621" w:rsidP="007129A6" w14:paraId="1D9EDCA9" w14:textId="77777777">
      <w:pPr>
        <w:widowControl/>
        <w:numPr>
          <w:ilvl w:val="0"/>
          <w:numId w:val="3"/>
        </w:numPr>
        <w:tabs>
          <w:tab w:val="num" w:pos="720"/>
          <w:tab w:val="clear" w:pos="1080"/>
        </w:tabs>
        <w:ind w:left="720" w:hanging="720"/>
        <w:rPr>
          <w:b/>
        </w:rPr>
      </w:pPr>
      <w:r w:rsidRPr="00F04621">
        <w:rPr>
          <w:b/>
        </w:rPr>
        <w:t>CONSEQUENCE TO FEDERAL PROGRAM IF COLLECTION WERE CONDUCTED LESS FREQUENTLY</w:t>
      </w:r>
    </w:p>
    <w:p w:rsidR="007C11A8" w:rsidRPr="00F04621" w:rsidP="007C11A8" w14:paraId="7283F6B0" w14:textId="77777777">
      <w:pPr>
        <w:widowControl/>
        <w:rPr>
          <w:b/>
        </w:rPr>
      </w:pPr>
    </w:p>
    <w:p w:rsidR="0064122E" w:rsidRPr="00F04621" w:rsidP="0064122E" w14:paraId="4B9BC016" w14:textId="4A739F04">
      <w:r w:rsidRPr="00F04621">
        <w:t>If the data were not updated</w:t>
      </w:r>
      <w:r w:rsidRPr="00F04621" w:rsidR="009C5095">
        <w:t xml:space="preserve"> regularly, the Commission</w:t>
      </w:r>
      <w:r w:rsidRPr="00F04621" w:rsidR="00CB5260">
        <w:t xml:space="preserve">, public, </w:t>
      </w:r>
      <w:r w:rsidRPr="00F04621" w:rsidR="009C5095">
        <w:t>and i</w:t>
      </w:r>
      <w:r w:rsidRPr="00F04621">
        <w:t>ndustry would be placed at a disadvantage by not having the most current data available for competitive and regulatory purposes.</w:t>
      </w:r>
      <w:r w:rsidR="00B33C0D">
        <w:t xml:space="preserve"> </w:t>
      </w:r>
      <w:r w:rsidRPr="00F04621">
        <w:t>The Commission needs access to up-to-date information to monitor self-implementing activities of the transmission providers to ensure that transmission services are being provided in a nondiscriminatory manner.</w:t>
      </w:r>
    </w:p>
    <w:p w:rsidR="00F53486" w:rsidRPr="00F04621" w:rsidP="00056B57" w14:paraId="3124F977" w14:textId="77777777">
      <w:pPr>
        <w:widowControl/>
      </w:pPr>
    </w:p>
    <w:p w:rsidR="00F53486" w:rsidRPr="00F04621" w:rsidP="007129A6" w14:paraId="72830C2A" w14:textId="77777777">
      <w:pPr>
        <w:widowControl/>
        <w:tabs>
          <w:tab w:val="left" w:pos="720"/>
        </w:tabs>
        <w:ind w:left="720" w:hanging="720"/>
        <w:rPr>
          <w:b/>
        </w:rPr>
      </w:pPr>
      <w:r w:rsidRPr="00F04621">
        <w:rPr>
          <w:b/>
        </w:rPr>
        <w:t>7</w:t>
      </w:r>
      <w:r w:rsidRPr="00F04621">
        <w:t>.</w:t>
      </w:r>
      <w:r w:rsidRPr="00F04621">
        <w:tab/>
      </w:r>
      <w:r w:rsidRPr="00F04621">
        <w:rPr>
          <w:b/>
        </w:rPr>
        <w:t>EXPLAIN ANY SPECIAL CIRCUMSTANCES RELATING TO THE INFORMATION</w:t>
      </w:r>
    </w:p>
    <w:p w:rsidR="004B35C8" w:rsidRPr="00F04621" w:rsidP="004B35C8" w14:paraId="2876A178" w14:textId="77777777">
      <w:pPr>
        <w:widowControl/>
        <w:ind w:left="360" w:hanging="360"/>
        <w:rPr>
          <w:b/>
          <w:bCs/>
          <w:u w:val="single"/>
        </w:rPr>
      </w:pPr>
    </w:p>
    <w:p w:rsidR="00390518" w:rsidRPr="00F04621" w:rsidP="00F53486" w14:paraId="6A1D35F5" w14:textId="77777777">
      <w:pPr>
        <w:widowControl/>
      </w:pPr>
      <w:r w:rsidRPr="00F04621">
        <w:t>There are no special circumstances.</w:t>
      </w:r>
    </w:p>
    <w:p w:rsidR="00CB5260" w:rsidRPr="00F04621" w:rsidP="00F53486" w14:paraId="7DABEF23" w14:textId="77777777">
      <w:pPr>
        <w:widowControl/>
      </w:pPr>
    </w:p>
    <w:p w:rsidR="00F53486" w:rsidRPr="00F04621" w:rsidP="00A86DC2" w14:paraId="48020A93" w14:textId="41264D39">
      <w:pPr>
        <w:widowControl/>
        <w:tabs>
          <w:tab w:val="left" w:pos="720"/>
        </w:tabs>
        <w:ind w:left="720" w:hanging="720"/>
        <w:rPr>
          <w:b/>
        </w:rPr>
      </w:pPr>
      <w:r w:rsidRPr="00F04621">
        <w:rPr>
          <w:b/>
        </w:rPr>
        <w:t>8.</w:t>
      </w:r>
      <w:r w:rsidR="00B33C0D">
        <w:rPr>
          <w:b/>
        </w:rPr>
        <w:t xml:space="preserve"> </w:t>
      </w:r>
      <w:r w:rsidRPr="00F04621" w:rsidR="00A86DC2">
        <w:rPr>
          <w:b/>
        </w:rPr>
        <w:tab/>
      </w:r>
      <w:r w:rsidRPr="00F04621">
        <w:rPr>
          <w:b/>
        </w:rPr>
        <w:t>DESCRIBE EFFORTS TO CONSULT OUTSIDE THE AGENC</w:t>
      </w:r>
      <w:r w:rsidRPr="00F04621" w:rsidR="00DA3CB6">
        <w:rPr>
          <w:b/>
        </w:rPr>
        <w:t>Y:</w:t>
      </w:r>
      <w:r w:rsidR="00B33C0D">
        <w:rPr>
          <w:b/>
        </w:rPr>
        <w:t xml:space="preserve"> </w:t>
      </w:r>
      <w:r w:rsidRPr="00F04621">
        <w:rPr>
          <w:b/>
        </w:rPr>
        <w:t>SUMMARIZE PUBLIC COMMENTS AND THE AGENCY’S RESPONSE TO THESE COMMENTS</w:t>
      </w:r>
    </w:p>
    <w:p w:rsidR="00F53486" w:rsidRPr="00F04621" w:rsidP="00F53486" w14:paraId="115C82CC" w14:textId="77777777">
      <w:pPr>
        <w:widowControl/>
        <w:ind w:firstLine="720"/>
      </w:pPr>
    </w:p>
    <w:p w:rsidR="007F1C44" w:rsidRPr="00F04621" w:rsidP="007F1C44" w14:paraId="251273F9" w14:textId="7AFE9D13">
      <w:r w:rsidRPr="00F04621">
        <w:t>In accordance with OMB requirements, the Commission published a 60-day notice</w:t>
      </w:r>
      <w:r>
        <w:rPr>
          <w:rStyle w:val="FootnoteReference"/>
          <w:b w:val="0"/>
          <w:sz w:val="24"/>
          <w:szCs w:val="24"/>
        </w:rPr>
        <w:footnoteReference w:id="6"/>
      </w:r>
      <w:r w:rsidR="00B33C0D">
        <w:t xml:space="preserve"> </w:t>
      </w:r>
      <w:r w:rsidRPr="00F04621">
        <w:t>and a 30-day notice</w:t>
      </w:r>
      <w:r>
        <w:rPr>
          <w:rStyle w:val="FootnoteReference"/>
          <w:b w:val="0"/>
          <w:sz w:val="24"/>
          <w:szCs w:val="24"/>
        </w:rPr>
        <w:footnoteReference w:id="7"/>
      </w:r>
      <w:r w:rsidRPr="00F04621">
        <w:t xml:space="preserve"> to the public regarding this inf</w:t>
      </w:r>
      <w:r w:rsidRPr="00F04621" w:rsidR="00A90464">
        <w:t>ormation collection on</w:t>
      </w:r>
      <w:r w:rsidR="00B33C0D">
        <w:t xml:space="preserve"> </w:t>
      </w:r>
      <w:r w:rsidR="00BA57EC">
        <w:t>August 26, 2025</w:t>
      </w:r>
      <w:r w:rsidRPr="00F04621" w:rsidR="006571D2">
        <w:t xml:space="preserve"> </w:t>
      </w:r>
      <w:r w:rsidRPr="00F04621">
        <w:t xml:space="preserve">and </w:t>
      </w:r>
      <w:r w:rsidR="00C51616">
        <w:t>December 18, 2025</w:t>
      </w:r>
      <w:r w:rsidRPr="00F04621" w:rsidR="006571D2">
        <w:t>,</w:t>
      </w:r>
      <w:r w:rsidRPr="00F04621" w:rsidR="00264B89">
        <w:t xml:space="preserve"> respectively</w:t>
      </w:r>
      <w:r w:rsidRPr="00F04621">
        <w:t>. Within the public notice, the Commission noted that it would be requesting a three-year extension of the public reporting burden with no change to the existing requirements concerning the collection of data.</w:t>
      </w:r>
      <w:r w:rsidR="00B33C0D">
        <w:t xml:space="preserve"> </w:t>
      </w:r>
      <w:r w:rsidRPr="00F04621">
        <w:t xml:space="preserve">The Commission received </w:t>
      </w:r>
      <w:r w:rsidRPr="00F04621" w:rsidR="00E04957">
        <w:t>no</w:t>
      </w:r>
      <w:r w:rsidRPr="00F04621">
        <w:t xml:space="preserve"> comments </w:t>
      </w:r>
      <w:r w:rsidRPr="00F04621" w:rsidR="00E04957">
        <w:t>in response to the 60-day notice.</w:t>
      </w:r>
    </w:p>
    <w:p w:rsidR="000120F2" w:rsidRPr="00F04621" w:rsidP="007F1C44" w14:paraId="4FF7E335" w14:textId="77777777"/>
    <w:p w:rsidR="00CB20FD" w:rsidRPr="00F04621" w:rsidP="00EF4F7B" w14:paraId="34A45A1A" w14:textId="5F4FFBF1">
      <w:pPr>
        <w:pStyle w:val="LegalFormat"/>
      </w:pPr>
    </w:p>
    <w:p w:rsidR="00F53486" w:rsidRPr="00F04621" w:rsidP="00A86DC2" w14:paraId="20216C0B" w14:textId="77777777">
      <w:pPr>
        <w:widowControl/>
        <w:tabs>
          <w:tab w:val="left" w:pos="720"/>
        </w:tabs>
        <w:ind w:left="720" w:hanging="720"/>
        <w:rPr>
          <w:b/>
        </w:rPr>
      </w:pPr>
      <w:r w:rsidRPr="00F04621">
        <w:rPr>
          <w:b/>
        </w:rPr>
        <w:t>9.</w:t>
      </w:r>
      <w:r w:rsidRPr="00F04621">
        <w:t xml:space="preserve"> </w:t>
      </w:r>
      <w:r w:rsidRPr="00F04621">
        <w:tab/>
      </w:r>
      <w:r w:rsidRPr="00F04621">
        <w:rPr>
          <w:b/>
        </w:rPr>
        <w:t>EXPLAIN ANY PAYMENT OR GIFTS TO RESPONDENTS</w:t>
      </w:r>
    </w:p>
    <w:p w:rsidR="00F53486" w:rsidRPr="00F04621" w:rsidP="00F53486" w14:paraId="3D3A983F" w14:textId="77777777">
      <w:pPr>
        <w:widowControl/>
        <w:ind w:firstLine="720"/>
        <w:rPr>
          <w:b/>
        </w:rPr>
      </w:pPr>
    </w:p>
    <w:p w:rsidR="00CB20FD" w:rsidRPr="00F04621" w:rsidP="00C90BA2" w14:paraId="0BEF6FD9" w14:textId="77777777">
      <w:r w:rsidRPr="00F04621">
        <w:t xml:space="preserve"> </w:t>
      </w:r>
      <w:r w:rsidRPr="00F04621">
        <w:t xml:space="preserve">There are </w:t>
      </w:r>
      <w:r w:rsidRPr="00F04621" w:rsidR="00135FB3">
        <w:t>no pa</w:t>
      </w:r>
      <w:r w:rsidRPr="00F04621" w:rsidR="00970DF6">
        <w:t>yments or gifts to FERC-592</w:t>
      </w:r>
      <w:r w:rsidRPr="00F04621">
        <w:t xml:space="preserve"> respondents.</w:t>
      </w:r>
    </w:p>
    <w:p w:rsidR="00F53486" w:rsidRPr="00F04621" w:rsidP="00F53486" w14:paraId="7BA28BD4" w14:textId="77777777">
      <w:pPr>
        <w:widowControl/>
        <w:ind w:firstLine="720"/>
      </w:pPr>
    </w:p>
    <w:p w:rsidR="00F53486" w:rsidRPr="00F04621" w:rsidP="00A86DC2" w14:paraId="25DB4678" w14:textId="77777777">
      <w:pPr>
        <w:widowControl/>
        <w:tabs>
          <w:tab w:val="left" w:pos="720"/>
        </w:tabs>
        <w:ind w:left="720" w:hanging="720"/>
        <w:rPr>
          <w:b/>
        </w:rPr>
      </w:pPr>
      <w:r w:rsidRPr="00F04621">
        <w:rPr>
          <w:b/>
        </w:rPr>
        <w:t>10.</w:t>
      </w:r>
      <w:r w:rsidRPr="00F04621">
        <w:rPr>
          <w:b/>
        </w:rPr>
        <w:tab/>
        <w:t>DESCRIBE ANY ASSURANCE OF CONFIDENTIALITY</w:t>
      </w:r>
      <w:r w:rsidRPr="00F04621" w:rsidR="009A7A06">
        <w:rPr>
          <w:b/>
        </w:rPr>
        <w:t xml:space="preserve"> </w:t>
      </w:r>
      <w:r w:rsidRPr="00F04621">
        <w:rPr>
          <w:b/>
        </w:rPr>
        <w:t>PROVIDED TO RESPONDENTS</w:t>
      </w:r>
    </w:p>
    <w:p w:rsidR="00F53486" w:rsidRPr="00F04621" w:rsidP="00F53486" w14:paraId="682B2635" w14:textId="77777777">
      <w:pPr>
        <w:widowControl/>
        <w:ind w:firstLine="720"/>
        <w:rPr>
          <w:b/>
        </w:rPr>
      </w:pPr>
    </w:p>
    <w:p w:rsidR="00FA21AA" w:rsidRPr="00F04621" w:rsidP="00647CE2" w14:paraId="5A65BD6F" w14:textId="2CBAB443">
      <w:r w:rsidRPr="00F04621">
        <w:t>The Commission does not consider the filings within FERC-592 to be confidential.</w:t>
      </w:r>
      <w:r w:rsidR="00B33C0D">
        <w:t xml:space="preserve"> </w:t>
      </w:r>
      <w:r w:rsidRPr="00F04621">
        <w:t xml:space="preserve">Information provided with the filing may be submitted with a specific request for </w:t>
      </w:r>
      <w:r w:rsidRPr="00F04621">
        <w:t>confidential treatment to the extent permitted by law and pursuant to FERC's regulations.</w:t>
      </w:r>
    </w:p>
    <w:p w:rsidR="00FA21AA" w:rsidRPr="00F04621" w:rsidP="00C90BA2" w14:paraId="0C2120AC" w14:textId="77777777">
      <w:pPr>
        <w:widowControl/>
      </w:pPr>
    </w:p>
    <w:p w:rsidR="00F53486" w:rsidRPr="00F04621" w:rsidP="00A86DC2" w14:paraId="6DEF15B0" w14:textId="77777777">
      <w:pPr>
        <w:widowControl/>
        <w:tabs>
          <w:tab w:val="left" w:pos="720"/>
        </w:tabs>
        <w:ind w:left="720" w:hanging="720"/>
        <w:rPr>
          <w:b/>
        </w:rPr>
      </w:pPr>
      <w:r w:rsidRPr="00F04621">
        <w:rPr>
          <w:b/>
        </w:rPr>
        <w:t>11.</w:t>
      </w:r>
      <w:r w:rsidRPr="00F04621">
        <w:rPr>
          <w:b/>
        </w:rPr>
        <w:tab/>
      </w:r>
      <w:r w:rsidRPr="00F04621" w:rsidR="000A6C02">
        <w:rPr>
          <w:b/>
        </w:rPr>
        <w:t>PROVIDE ADDITIONAL JUSTIFICATION FOR ANY QUESTIONS OF A SENSITIVE NATURE, SUCH AS SEXUAL BEHAVIOR AND ATTITUDES, RELIGIOUS BELIEFS, AND OTHER MATTERS THAT ARE COMMONLY CONSIDERED PRIVATE</w:t>
      </w:r>
    </w:p>
    <w:p w:rsidR="00F53486" w:rsidRPr="00F04621" w:rsidP="00F53486" w14:paraId="081FEB6A" w14:textId="77777777">
      <w:pPr>
        <w:widowControl/>
        <w:rPr>
          <w:b/>
        </w:rPr>
      </w:pPr>
    </w:p>
    <w:p w:rsidR="00970DF6" w:rsidRPr="00F04621" w:rsidP="00970DF6" w14:paraId="4B96F954" w14:textId="7C672DDC">
      <w:pPr>
        <w:widowControl/>
      </w:pPr>
      <w:r w:rsidRPr="00F04621">
        <w:t>The Commission does not consider any of the questions within</w:t>
      </w:r>
      <w:r w:rsidRPr="00F04621">
        <w:t xml:space="preserve"> </w:t>
      </w:r>
      <w:r w:rsidRPr="00F04621">
        <w:t>FERC-592 of a sensitive nature that would be considered private.</w:t>
      </w:r>
    </w:p>
    <w:p w:rsidR="00F31A81" w:rsidRPr="00F04621" w:rsidP="00F53486" w14:paraId="79E7F1B7" w14:textId="77777777">
      <w:pPr>
        <w:widowControl/>
        <w:ind w:firstLine="720"/>
        <w:rPr>
          <w:b/>
        </w:rPr>
      </w:pPr>
    </w:p>
    <w:p w:rsidR="00F53486" w:rsidRPr="00F04621" w:rsidP="006F5C74" w14:paraId="5230F064" w14:textId="77777777">
      <w:pPr>
        <w:widowControl/>
        <w:tabs>
          <w:tab w:val="left" w:pos="720"/>
        </w:tabs>
        <w:ind w:left="720" w:hanging="720"/>
        <w:rPr>
          <w:b/>
        </w:rPr>
      </w:pPr>
      <w:r w:rsidRPr="00F04621">
        <w:rPr>
          <w:b/>
        </w:rPr>
        <w:t>12.</w:t>
      </w:r>
      <w:r w:rsidRPr="00F04621">
        <w:rPr>
          <w:b/>
        </w:rPr>
        <w:tab/>
      </w:r>
      <w:r w:rsidRPr="00F04621" w:rsidR="00FF5CA4">
        <w:rPr>
          <w:b/>
        </w:rPr>
        <w:t xml:space="preserve"> </w:t>
      </w:r>
      <w:r w:rsidRPr="00F04621">
        <w:rPr>
          <w:b/>
        </w:rPr>
        <w:t>ESTIMATED BURDEN OF COLLECTION OF INFORMATION</w:t>
      </w:r>
    </w:p>
    <w:p w:rsidR="00F53486" w:rsidRPr="00F04621" w:rsidP="00F53486" w14:paraId="3A83105C" w14:textId="77777777"/>
    <w:p w:rsidR="009A71A2" w:rsidRPr="00F04621" w:rsidP="63F52032" w14:paraId="53BDCA17" w14:textId="0573163E">
      <w:pPr>
        <w:widowControl/>
      </w:pPr>
      <w:r w:rsidRPr="00F04621">
        <w:t>The Commission estimates the Public Reporting Burden for this information collection as</w:t>
      </w:r>
      <w:r w:rsidRPr="00F04621" w:rsidR="00A4379D">
        <w:t xml:space="preserve"> follows</w:t>
      </w:r>
      <w:r w:rsidRPr="00F04621">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3"/>
        <w:gridCol w:w="1580"/>
        <w:gridCol w:w="1437"/>
        <w:gridCol w:w="1383"/>
        <w:gridCol w:w="1485"/>
        <w:gridCol w:w="1470"/>
      </w:tblGrid>
      <w:tr w14:paraId="1FF6A8CE" w14:textId="77777777">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0" w:type="auto"/>
            <w:shd w:val="clear" w:color="auto" w:fill="D9D9D9"/>
            <w:vAlign w:val="bottom"/>
          </w:tcPr>
          <w:p w:rsidR="00A4379D" w:rsidRPr="00F04621" w:rsidP="00A4379D" w14:paraId="32FEA774" w14:textId="77777777">
            <w:pPr>
              <w:widowControl/>
              <w:jc w:val="center"/>
              <w:rPr>
                <w:b/>
              </w:rPr>
            </w:pPr>
            <w:r w:rsidRPr="00F04621">
              <w:rPr>
                <w:b/>
              </w:rPr>
              <w:t>Number of Respondents</w:t>
            </w:r>
            <w:r w:rsidRPr="00F04621">
              <w:rPr>
                <w:b/>
              </w:rPr>
              <w:br/>
              <w:t>(1)</w:t>
            </w:r>
          </w:p>
        </w:tc>
        <w:tc>
          <w:tcPr>
            <w:tcW w:w="0" w:type="auto"/>
            <w:shd w:val="clear" w:color="auto" w:fill="D9D9D9"/>
            <w:vAlign w:val="bottom"/>
          </w:tcPr>
          <w:p w:rsidR="00A4379D" w:rsidRPr="00F04621" w:rsidP="00A4379D" w14:paraId="6E6AD179" w14:textId="77777777">
            <w:pPr>
              <w:widowControl/>
              <w:jc w:val="center"/>
              <w:rPr>
                <w:b/>
              </w:rPr>
            </w:pPr>
            <w:r w:rsidRPr="00F04621">
              <w:rPr>
                <w:b/>
              </w:rPr>
              <w:t>Annual Number of Responses per Respondent</w:t>
            </w:r>
          </w:p>
          <w:p w:rsidR="00A4379D" w:rsidRPr="00F04621" w:rsidP="00A4379D" w14:paraId="12F301FA" w14:textId="77777777">
            <w:pPr>
              <w:widowControl/>
              <w:jc w:val="center"/>
              <w:rPr>
                <w:b/>
              </w:rPr>
            </w:pPr>
            <w:r w:rsidRPr="00F04621">
              <w:rPr>
                <w:b/>
              </w:rPr>
              <w:t>(2)</w:t>
            </w:r>
          </w:p>
        </w:tc>
        <w:tc>
          <w:tcPr>
            <w:tcW w:w="0" w:type="auto"/>
            <w:shd w:val="clear" w:color="auto" w:fill="D9D9D9"/>
            <w:vAlign w:val="bottom"/>
          </w:tcPr>
          <w:p w:rsidR="00A4379D" w:rsidRPr="00F04621" w:rsidP="00A4379D" w14:paraId="0F9F8068" w14:textId="77777777">
            <w:pPr>
              <w:widowControl/>
              <w:jc w:val="center"/>
              <w:rPr>
                <w:b/>
              </w:rPr>
            </w:pPr>
            <w:r w:rsidRPr="00F04621">
              <w:rPr>
                <w:b/>
              </w:rPr>
              <w:t>Total Number of Responses (1)*(2)=(3)</w:t>
            </w:r>
          </w:p>
        </w:tc>
        <w:tc>
          <w:tcPr>
            <w:tcW w:w="0" w:type="auto"/>
            <w:shd w:val="clear" w:color="auto" w:fill="D9D9D9"/>
            <w:vAlign w:val="bottom"/>
          </w:tcPr>
          <w:p w:rsidR="00A4379D" w:rsidRPr="00F04621" w:rsidP="00A4379D" w14:paraId="750DCC2D" w14:textId="77777777">
            <w:pPr>
              <w:widowControl/>
              <w:jc w:val="center"/>
              <w:rPr>
                <w:b/>
              </w:rPr>
            </w:pPr>
            <w:r w:rsidRPr="00F04621">
              <w:rPr>
                <w:b/>
              </w:rPr>
              <w:t>Average Burden &amp; Cost Per Response</w:t>
            </w:r>
            <w:r>
              <w:rPr>
                <w:b/>
                <w:vertAlign w:val="superscript"/>
              </w:rPr>
              <w:footnoteReference w:id="8"/>
            </w:r>
          </w:p>
          <w:p w:rsidR="00A4379D" w:rsidRPr="00F04621" w:rsidP="00A4379D" w14:paraId="2D5ED59B" w14:textId="77777777">
            <w:pPr>
              <w:widowControl/>
              <w:jc w:val="center"/>
              <w:rPr>
                <w:b/>
              </w:rPr>
            </w:pPr>
            <w:r w:rsidRPr="00F04621">
              <w:rPr>
                <w:b/>
              </w:rPr>
              <w:t>(4)</w:t>
            </w:r>
          </w:p>
        </w:tc>
        <w:tc>
          <w:tcPr>
            <w:tcW w:w="0" w:type="auto"/>
            <w:shd w:val="clear" w:color="auto" w:fill="D9D9D9"/>
            <w:vAlign w:val="bottom"/>
          </w:tcPr>
          <w:p w:rsidR="00A4379D" w:rsidRPr="00F04621" w:rsidP="00A4379D" w14:paraId="2A356D82" w14:textId="77777777">
            <w:pPr>
              <w:widowControl/>
              <w:jc w:val="center"/>
              <w:rPr>
                <w:b/>
              </w:rPr>
            </w:pPr>
            <w:r w:rsidRPr="00F04621">
              <w:rPr>
                <w:b/>
              </w:rPr>
              <w:t>Total Annual Burden Hours &amp; Total Annual Cost</w:t>
            </w:r>
          </w:p>
          <w:p w:rsidR="00A4379D" w:rsidRPr="00F04621" w:rsidP="00A4379D" w14:paraId="5EB6D1AB" w14:textId="77777777">
            <w:pPr>
              <w:widowControl/>
              <w:jc w:val="center"/>
              <w:rPr>
                <w:b/>
              </w:rPr>
            </w:pPr>
            <w:r w:rsidRPr="00F04621">
              <w:rPr>
                <w:b/>
              </w:rPr>
              <w:t>(3)*(4)=(5)</w:t>
            </w:r>
          </w:p>
        </w:tc>
        <w:tc>
          <w:tcPr>
            <w:tcW w:w="0" w:type="auto"/>
            <w:shd w:val="clear" w:color="auto" w:fill="D9D9D9"/>
            <w:vAlign w:val="bottom"/>
          </w:tcPr>
          <w:p w:rsidR="00A4379D" w:rsidRPr="00F04621" w:rsidP="00A4379D" w14:paraId="269664DD" w14:textId="77777777">
            <w:pPr>
              <w:widowControl/>
              <w:jc w:val="center"/>
              <w:rPr>
                <w:b/>
              </w:rPr>
            </w:pPr>
            <w:r w:rsidRPr="00F04621">
              <w:rPr>
                <w:b/>
              </w:rPr>
              <w:t>Cost per Respondent</w:t>
            </w:r>
          </w:p>
          <w:p w:rsidR="00A4379D" w:rsidRPr="00F04621" w:rsidP="00A4379D" w14:paraId="72A840A8" w14:textId="77777777">
            <w:pPr>
              <w:widowControl/>
              <w:jc w:val="center"/>
              <w:rPr>
                <w:b/>
              </w:rPr>
            </w:pPr>
            <w:r w:rsidRPr="00F04621">
              <w:rPr>
                <w:b/>
              </w:rPr>
              <w:t>($)</w:t>
            </w:r>
          </w:p>
          <w:p w:rsidR="00A4379D" w:rsidRPr="00F04621" w:rsidP="00A4379D" w14:paraId="3BC56D16" w14:textId="77777777">
            <w:pPr>
              <w:widowControl/>
              <w:jc w:val="center"/>
              <w:rPr>
                <w:b/>
              </w:rPr>
            </w:pPr>
            <w:r w:rsidRPr="00F04621">
              <w:rPr>
                <w:b/>
              </w:rPr>
              <w:t>(5)÷(1)</w:t>
            </w:r>
          </w:p>
        </w:tc>
      </w:tr>
      <w:tr w14:paraId="6D2EACCB" w14:textId="77777777" w:rsidTr="00A4379D">
        <w:tblPrEx>
          <w:tblW w:w="0" w:type="auto"/>
          <w:tblInd w:w="-72" w:type="dxa"/>
          <w:tblLook w:val="01E0"/>
        </w:tblPrEx>
        <w:trPr>
          <w:cantSplit/>
        </w:trPr>
        <w:tc>
          <w:tcPr>
            <w:tcW w:w="0" w:type="auto"/>
            <w:vAlign w:val="bottom"/>
          </w:tcPr>
          <w:p w:rsidR="00A4379D" w:rsidRPr="00F04621" w:rsidP="00A4379D" w14:paraId="54B6A912" w14:textId="77777777">
            <w:pPr>
              <w:widowControl/>
              <w:jc w:val="right"/>
            </w:pPr>
            <w:r w:rsidRPr="00F04621">
              <w:t>85</w:t>
            </w:r>
          </w:p>
        </w:tc>
        <w:tc>
          <w:tcPr>
            <w:tcW w:w="0" w:type="auto"/>
            <w:vAlign w:val="bottom"/>
          </w:tcPr>
          <w:p w:rsidR="00A4379D" w:rsidRPr="00F04621" w:rsidP="00A4379D" w14:paraId="7E810741" w14:textId="77777777">
            <w:pPr>
              <w:widowControl/>
              <w:jc w:val="right"/>
            </w:pPr>
            <w:r w:rsidRPr="00F04621">
              <w:t>1</w:t>
            </w:r>
          </w:p>
        </w:tc>
        <w:tc>
          <w:tcPr>
            <w:tcW w:w="0" w:type="auto"/>
            <w:vAlign w:val="bottom"/>
          </w:tcPr>
          <w:p w:rsidR="00A4379D" w:rsidRPr="00F04621" w:rsidP="00A4379D" w14:paraId="37004226" w14:textId="77777777">
            <w:pPr>
              <w:widowControl/>
              <w:jc w:val="right"/>
            </w:pPr>
            <w:r w:rsidRPr="00F04621">
              <w:t>85</w:t>
            </w:r>
          </w:p>
        </w:tc>
        <w:tc>
          <w:tcPr>
            <w:tcW w:w="0" w:type="auto"/>
            <w:vAlign w:val="bottom"/>
          </w:tcPr>
          <w:p w:rsidR="00A4379D" w:rsidRPr="00F04621" w:rsidP="00A4379D" w14:paraId="1FF67742" w14:textId="77777777">
            <w:pPr>
              <w:widowControl/>
              <w:jc w:val="right"/>
            </w:pPr>
            <w:r w:rsidRPr="00F04621">
              <w:t>117 hrs.;</w:t>
            </w:r>
          </w:p>
          <w:p w:rsidR="00A4379D" w:rsidRPr="00F04621" w:rsidP="00A4379D" w14:paraId="4D49F571" w14:textId="64DB97E3">
            <w:pPr>
              <w:widowControl/>
              <w:jc w:val="right"/>
            </w:pPr>
            <w:r w:rsidRPr="00F04621">
              <w:t>$</w:t>
            </w:r>
            <w:r w:rsidR="6122ED3E">
              <w:t>12</w:t>
            </w:r>
            <w:r w:rsidR="005D759D">
              <w:t>,051</w:t>
            </w:r>
          </w:p>
        </w:tc>
        <w:tc>
          <w:tcPr>
            <w:tcW w:w="0" w:type="auto"/>
            <w:vAlign w:val="bottom"/>
          </w:tcPr>
          <w:p w:rsidR="00A4379D" w:rsidRPr="00F04621" w:rsidP="00A4379D" w14:paraId="2959E16B" w14:textId="77777777">
            <w:pPr>
              <w:widowControl/>
              <w:jc w:val="right"/>
            </w:pPr>
            <w:r w:rsidRPr="00F04621">
              <w:t xml:space="preserve"> 9,945 hrs.;</w:t>
            </w:r>
          </w:p>
          <w:p w:rsidR="00A4379D" w:rsidRPr="00F04621" w:rsidP="00A4379D" w14:paraId="782998E3" w14:textId="03C75E98">
            <w:pPr>
              <w:widowControl/>
              <w:jc w:val="right"/>
            </w:pPr>
            <w:r w:rsidRPr="00F04621">
              <w:t>$</w:t>
            </w:r>
            <w:r w:rsidR="6122ED3E">
              <w:t>1</w:t>
            </w:r>
            <w:r w:rsidR="005D759D">
              <w:t>,024,335</w:t>
            </w:r>
          </w:p>
        </w:tc>
        <w:tc>
          <w:tcPr>
            <w:tcW w:w="0" w:type="auto"/>
            <w:vAlign w:val="bottom"/>
          </w:tcPr>
          <w:p w:rsidR="00A4379D" w:rsidRPr="00F04621" w:rsidP="00A4379D" w14:paraId="6EDB468E" w14:textId="445D2DA6">
            <w:pPr>
              <w:widowControl/>
              <w:jc w:val="right"/>
            </w:pPr>
            <w:r w:rsidRPr="00F04621">
              <w:t>$</w:t>
            </w:r>
            <w:r w:rsidR="6122ED3E">
              <w:t>12</w:t>
            </w:r>
            <w:r w:rsidR="005D759D">
              <w:t>,051</w:t>
            </w:r>
          </w:p>
        </w:tc>
      </w:tr>
    </w:tbl>
    <w:p w:rsidR="00A4379D" w:rsidRPr="00F04621" w:rsidP="00F53486" w14:paraId="32A7E7A6" w14:textId="77777777">
      <w:pPr>
        <w:widowControl/>
        <w:ind w:firstLine="720"/>
      </w:pPr>
    </w:p>
    <w:p w:rsidR="00F53486" w:rsidRPr="00F04621" w:rsidP="00B05B7C" w14:paraId="6E6EA78A" w14:textId="77777777">
      <w:pPr>
        <w:widowControl/>
        <w:numPr>
          <w:ilvl w:val="0"/>
          <w:numId w:val="4"/>
        </w:numPr>
        <w:tabs>
          <w:tab w:val="left" w:pos="720"/>
        </w:tabs>
        <w:ind w:left="720" w:hanging="720"/>
        <w:rPr>
          <w:b/>
        </w:rPr>
      </w:pPr>
      <w:r w:rsidRPr="00F04621">
        <w:rPr>
          <w:b/>
        </w:rPr>
        <w:t xml:space="preserve"> </w:t>
      </w:r>
      <w:r w:rsidRPr="00F04621">
        <w:rPr>
          <w:b/>
        </w:rPr>
        <w:t>ESTIMATE OF</w:t>
      </w:r>
      <w:r w:rsidRPr="00F04621">
        <w:rPr>
          <w:b/>
        </w:rPr>
        <w:t xml:space="preserve"> TOTAL ANNUAL COST OF BURDEN TO</w:t>
      </w:r>
    </w:p>
    <w:p w:rsidR="00F53486" w:rsidRPr="00F04621" w:rsidP="00B05B7C" w14:paraId="261E49FA" w14:textId="77777777">
      <w:pPr>
        <w:widowControl/>
        <w:tabs>
          <w:tab w:val="left" w:pos="720"/>
        </w:tabs>
        <w:rPr>
          <w:b/>
        </w:rPr>
      </w:pPr>
      <w:r w:rsidRPr="00F04621">
        <w:rPr>
          <w:b/>
        </w:rPr>
        <w:tab/>
        <w:t xml:space="preserve"> </w:t>
      </w:r>
      <w:r w:rsidRPr="00F04621">
        <w:rPr>
          <w:b/>
        </w:rPr>
        <w:t>RESPONDENTS</w:t>
      </w:r>
    </w:p>
    <w:p w:rsidR="005B500A" w:rsidRPr="00F04621" w:rsidP="00305758" w14:paraId="7308C493" w14:textId="77777777">
      <w:pPr>
        <w:widowControl/>
      </w:pPr>
    </w:p>
    <w:p w:rsidR="003B6C82" w:rsidP="00181B23" w14:paraId="326A238E" w14:textId="77777777">
      <w:pPr>
        <w:widowControl/>
      </w:pPr>
      <w:r w:rsidRPr="00F04621">
        <w:t xml:space="preserve">There </w:t>
      </w:r>
      <w:r w:rsidRPr="00F04621" w:rsidR="00181B23">
        <w:t>are no non-labor costs. All costs are related to burden hours and are addressed in Questions #12 and #15</w:t>
      </w:r>
      <w:r w:rsidRPr="00F04621">
        <w:t>.</w:t>
      </w:r>
    </w:p>
    <w:p w:rsidR="00C51616" w:rsidP="00181B23" w14:paraId="05EA0C2A" w14:textId="77777777">
      <w:pPr>
        <w:widowControl/>
      </w:pPr>
    </w:p>
    <w:p w:rsidR="00C51616" w:rsidRPr="00F04621" w:rsidP="00181B23" w14:paraId="0EA9BD74" w14:textId="7EE15A81">
      <w:pPr>
        <w:widowControl/>
      </w:pPr>
      <w:r>
        <w:br w:type="page"/>
      </w:r>
    </w:p>
    <w:p w:rsidR="00FF5CA4" w:rsidRPr="00F04621" w:rsidP="003B6C82" w14:paraId="2CE2C4A5" w14:textId="68FE18B9">
      <w:pPr>
        <w:widowControl/>
        <w:rPr>
          <w:b/>
        </w:rPr>
      </w:pPr>
      <w:r w:rsidRPr="00F04621">
        <w:rPr>
          <w:b/>
        </w:rPr>
        <w:t>14.</w:t>
      </w:r>
      <w:r w:rsidRPr="00F04621">
        <w:tab/>
      </w:r>
      <w:r w:rsidRPr="00F04621">
        <w:t xml:space="preserve"> </w:t>
      </w:r>
      <w:r w:rsidRPr="00F04621">
        <w:rPr>
          <w:b/>
        </w:rPr>
        <w:t>ESTIM</w:t>
      </w:r>
      <w:r w:rsidRPr="00F04621">
        <w:rPr>
          <w:b/>
        </w:rPr>
        <w:t>ATED ANNUALIZED COST TO FEDERAL</w:t>
      </w:r>
    </w:p>
    <w:p w:rsidR="00F53486" w:rsidRPr="00F04621" w:rsidP="00B05B7C" w14:paraId="129EC16A" w14:textId="29BAA845">
      <w:pPr>
        <w:widowControl/>
        <w:tabs>
          <w:tab w:val="left" w:pos="720"/>
        </w:tabs>
        <w:ind w:left="720" w:hanging="720"/>
        <w:rPr>
          <w:b/>
        </w:rPr>
      </w:pPr>
      <w:r>
        <w:rPr>
          <w:b/>
        </w:rPr>
        <w:t xml:space="preserve">   </w:t>
      </w:r>
      <w:r w:rsidRPr="00F04621" w:rsidR="00FF5CA4">
        <w:rPr>
          <w:b/>
        </w:rPr>
        <w:t xml:space="preserve"> </w:t>
      </w:r>
      <w:r w:rsidRPr="00F04621" w:rsidR="00B05B7C">
        <w:rPr>
          <w:b/>
        </w:rPr>
        <w:tab/>
        <w:t xml:space="preserve"> </w:t>
      </w:r>
      <w:r w:rsidRPr="00F04621" w:rsidR="00A7570B">
        <w:rPr>
          <w:b/>
        </w:rPr>
        <w:t>GOVERNMENT</w:t>
      </w:r>
    </w:p>
    <w:p w:rsidR="00F53486" w:rsidRPr="00F04621" w:rsidP="00F53486" w14:paraId="6F6EC051" w14:textId="77777777">
      <w:pPr>
        <w:tabs>
          <w:tab w:val="left" w:pos="-1440"/>
        </w:tabs>
        <w:ind w:left="5040" w:hanging="43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8"/>
        <w:gridCol w:w="2953"/>
        <w:gridCol w:w="2965"/>
      </w:tblGrid>
      <w:tr w14:paraId="3D0D921D" w14:textId="77777777" w:rsidTr="007822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38" w:type="dxa"/>
            <w:shd w:val="clear" w:color="auto" w:fill="CCCCCC"/>
          </w:tcPr>
          <w:p w:rsidR="0053577B" w:rsidRPr="00F04621" w:rsidP="0053577B" w14:paraId="06D4E834" w14:textId="77777777"/>
        </w:tc>
        <w:tc>
          <w:tcPr>
            <w:tcW w:w="2953" w:type="dxa"/>
            <w:shd w:val="clear" w:color="auto" w:fill="CCCCCC"/>
          </w:tcPr>
          <w:p w:rsidR="0053577B" w:rsidRPr="00F04621" w:rsidP="0053577B" w14:paraId="30DCC146" w14:textId="77777777">
            <w:pPr>
              <w:rPr>
                <w:b/>
              </w:rPr>
            </w:pPr>
            <w:r w:rsidRPr="00F04621">
              <w:rPr>
                <w:b/>
              </w:rPr>
              <w:t>Number of Employees (FTEs)</w:t>
            </w:r>
          </w:p>
        </w:tc>
        <w:tc>
          <w:tcPr>
            <w:tcW w:w="2965" w:type="dxa"/>
            <w:shd w:val="clear" w:color="auto" w:fill="CCCCCC"/>
          </w:tcPr>
          <w:p w:rsidR="0053577B" w:rsidRPr="00F04621" w:rsidP="0053577B" w14:paraId="1FEF5E9E" w14:textId="77777777">
            <w:pPr>
              <w:rPr>
                <w:b/>
              </w:rPr>
            </w:pPr>
            <w:r w:rsidRPr="00F04621">
              <w:rPr>
                <w:b/>
              </w:rPr>
              <w:t>Estimated Annual Federal Cost</w:t>
            </w:r>
          </w:p>
        </w:tc>
      </w:tr>
      <w:tr w14:paraId="17E1BCED" w14:textId="77777777" w:rsidTr="00181B23">
        <w:tblPrEx>
          <w:tblW w:w="0" w:type="auto"/>
          <w:tblLook w:val="01E0"/>
        </w:tblPrEx>
        <w:tc>
          <w:tcPr>
            <w:tcW w:w="2938" w:type="dxa"/>
          </w:tcPr>
          <w:p w:rsidR="007822C4" w:rsidRPr="00F04621" w:rsidP="0053577B" w14:paraId="4CAB3DA6" w14:textId="77777777">
            <w:r w:rsidRPr="00F04621">
              <w:t>PRA</w:t>
            </w:r>
            <w:r>
              <w:rPr>
                <w:rStyle w:val="FootnoteReference"/>
                <w:b w:val="0"/>
                <w:sz w:val="24"/>
                <w:szCs w:val="24"/>
              </w:rPr>
              <w:footnoteReference w:id="9"/>
            </w:r>
            <w:r w:rsidRPr="00F04621">
              <w:rPr>
                <w:b/>
              </w:rPr>
              <w:t xml:space="preserve"> </w:t>
            </w:r>
            <w:r w:rsidRPr="00F04621">
              <w:t>Administration Cost</w:t>
            </w:r>
            <w:r>
              <w:rPr>
                <w:vertAlign w:val="superscript"/>
              </w:rPr>
              <w:footnoteReference w:id="10"/>
            </w:r>
            <w:r w:rsidRPr="00F04621">
              <w:rPr>
                <w:vertAlign w:val="superscript"/>
              </w:rPr>
              <w:t xml:space="preserve"> </w:t>
            </w:r>
          </w:p>
        </w:tc>
        <w:tc>
          <w:tcPr>
            <w:tcW w:w="2953" w:type="dxa"/>
          </w:tcPr>
          <w:p w:rsidR="007822C4" w:rsidRPr="00F04621" w:rsidP="0053577B" w14:paraId="6068DE59" w14:textId="77777777">
            <w:pPr>
              <w:jc w:val="right"/>
            </w:pPr>
            <w:r w:rsidRPr="00F04621">
              <w:t>-</w:t>
            </w:r>
          </w:p>
        </w:tc>
        <w:tc>
          <w:tcPr>
            <w:tcW w:w="2965" w:type="dxa"/>
          </w:tcPr>
          <w:p w:rsidR="007822C4" w:rsidRPr="00F04621" w:rsidP="00181B23" w14:paraId="3226DC64" w14:textId="79074156">
            <w:pPr>
              <w:jc w:val="right"/>
            </w:pPr>
            <w:r w:rsidRPr="00F04621">
              <w:t>$</w:t>
            </w:r>
            <w:r w:rsidR="55DE49F9">
              <w:t>7</w:t>
            </w:r>
            <w:r w:rsidR="00C01972">
              <w:t>,978</w:t>
            </w:r>
          </w:p>
        </w:tc>
      </w:tr>
      <w:tr w14:paraId="07A83CFA" w14:textId="77777777" w:rsidTr="00181B23">
        <w:tblPrEx>
          <w:tblW w:w="0" w:type="auto"/>
          <w:tblLook w:val="01E0"/>
        </w:tblPrEx>
        <w:tc>
          <w:tcPr>
            <w:tcW w:w="2938" w:type="dxa"/>
          </w:tcPr>
          <w:p w:rsidR="00181B23" w:rsidRPr="00F04621" w:rsidP="0053577B" w14:paraId="4A198658" w14:textId="77777777">
            <w:r w:rsidRPr="00F04621">
              <w:t>Data Processing and Analysis</w:t>
            </w:r>
            <w:r>
              <w:rPr>
                <w:rStyle w:val="FootnoteReference"/>
                <w:b w:val="0"/>
                <w:sz w:val="24"/>
                <w:szCs w:val="24"/>
              </w:rPr>
              <w:footnoteReference w:id="11"/>
            </w:r>
          </w:p>
        </w:tc>
        <w:tc>
          <w:tcPr>
            <w:tcW w:w="2953" w:type="dxa"/>
          </w:tcPr>
          <w:p w:rsidR="00181B23" w:rsidRPr="00F04621" w:rsidP="0053577B" w14:paraId="5043CB4A" w14:textId="77777777">
            <w:pPr>
              <w:jc w:val="right"/>
            </w:pPr>
            <w:r w:rsidRPr="00F04621">
              <w:t>1</w:t>
            </w:r>
          </w:p>
        </w:tc>
        <w:tc>
          <w:tcPr>
            <w:tcW w:w="2965" w:type="dxa"/>
          </w:tcPr>
          <w:p w:rsidR="00181B23" w:rsidRPr="00F04621" w:rsidP="00181B23" w14:paraId="53DAB03F" w14:textId="7D907440">
            <w:pPr>
              <w:jc w:val="right"/>
            </w:pPr>
            <w:r>
              <w:t>$</w:t>
            </w:r>
            <w:r w:rsidR="60827CA4">
              <w:t>214,093</w:t>
            </w:r>
          </w:p>
        </w:tc>
      </w:tr>
      <w:tr w14:paraId="7B6653C4" w14:textId="77777777">
        <w:tblPrEx>
          <w:tblW w:w="0" w:type="auto"/>
          <w:tblLook w:val="01E0"/>
        </w:tblPrEx>
        <w:tc>
          <w:tcPr>
            <w:tcW w:w="2938" w:type="dxa"/>
          </w:tcPr>
          <w:p w:rsidR="00181B23" w:rsidRPr="00F04621" w:rsidP="0053577B" w14:paraId="5C37FF5C" w14:textId="77777777">
            <w:r w:rsidRPr="00F04621">
              <w:t>FERC Total</w:t>
            </w:r>
          </w:p>
        </w:tc>
        <w:tc>
          <w:tcPr>
            <w:tcW w:w="2953" w:type="dxa"/>
            <w:tcBorders>
              <w:bottom w:val="single" w:sz="4" w:space="0" w:color="auto"/>
            </w:tcBorders>
            <w:shd w:val="clear" w:color="auto" w:fill="BFBFBF"/>
          </w:tcPr>
          <w:p w:rsidR="00181B23" w:rsidRPr="00F04621" w:rsidP="0053577B" w14:paraId="6B4C63A1" w14:textId="77777777">
            <w:pPr>
              <w:jc w:val="right"/>
            </w:pPr>
          </w:p>
        </w:tc>
        <w:tc>
          <w:tcPr>
            <w:tcW w:w="2965" w:type="dxa"/>
          </w:tcPr>
          <w:p w:rsidR="00181B23" w:rsidRPr="00F04621" w:rsidP="00181B23" w14:paraId="6C971750" w14:textId="063B376F">
            <w:pPr>
              <w:jc w:val="right"/>
            </w:pPr>
            <w:r>
              <w:t>$</w:t>
            </w:r>
            <w:r w:rsidR="46048C1A">
              <w:t>2</w:t>
            </w:r>
            <w:r w:rsidR="000763F1">
              <w:t>22,071</w:t>
            </w:r>
          </w:p>
        </w:tc>
      </w:tr>
    </w:tbl>
    <w:p w:rsidR="00F53486" w:rsidRPr="00F04621" w:rsidP="00F53486" w14:paraId="1FA88236" w14:textId="77777777">
      <w:pPr>
        <w:widowControl/>
      </w:pPr>
    </w:p>
    <w:p w:rsidR="0088764F" w:rsidRPr="00F04621" w:rsidP="004F1164" w14:paraId="1E981CC6" w14:textId="4A74EEEE">
      <w:pPr>
        <w:tabs>
          <w:tab w:val="center" w:pos="4680"/>
        </w:tabs>
      </w:pPr>
      <w:r w:rsidRPr="00F04621">
        <w:t>The Commission bases its estimate of the “Analysis and Processing of filings” cost to the Federal Government on salaries and benefits for professional and clerical support.</w:t>
      </w:r>
      <w:r w:rsidR="00B33C0D">
        <w:t xml:space="preserve"> </w:t>
      </w:r>
      <w:r w:rsidRPr="00F04621">
        <w:t>This estimated cost represents staff analysis, decision making, and review of any actual filings made in response to the information collection.</w:t>
      </w:r>
      <w:r w:rsidRPr="00F04621" w:rsidR="009237E8">
        <w:t xml:space="preserve"> </w:t>
      </w:r>
    </w:p>
    <w:p w:rsidR="00F53486" w:rsidRPr="00F04621" w:rsidP="00F53486" w14:paraId="4C949286" w14:textId="77777777"/>
    <w:p w:rsidR="00F53486" w:rsidRPr="00F04621" w:rsidP="00A941B2" w14:paraId="7AC5FA2A" w14:textId="504B3138">
      <w:pPr>
        <w:widowControl/>
        <w:tabs>
          <w:tab w:val="left" w:pos="720"/>
        </w:tabs>
        <w:ind w:left="720" w:hanging="720"/>
        <w:rPr>
          <w:b/>
        </w:rPr>
      </w:pPr>
      <w:r w:rsidRPr="00F04621">
        <w:rPr>
          <w:b/>
        </w:rPr>
        <w:t>15.</w:t>
      </w:r>
      <w:r w:rsidRPr="00F04621">
        <w:rPr>
          <w:b/>
        </w:rPr>
        <w:tab/>
        <w:t>REASONS FOR CHANGES IN BURDEN INCLUDING THE NEED</w:t>
      </w:r>
      <w:r w:rsidR="00B33C0D">
        <w:rPr>
          <w:b/>
        </w:rPr>
        <w:t xml:space="preserve"> </w:t>
      </w:r>
      <w:r w:rsidRPr="00F04621">
        <w:rPr>
          <w:b/>
        </w:rPr>
        <w:t>FOR ANY INCREASE</w:t>
      </w:r>
    </w:p>
    <w:p w:rsidR="00CA23F7" w:rsidRPr="00F04621" w:rsidP="00F53486" w14:paraId="181B1525" w14:textId="77777777">
      <w:pPr>
        <w:widowControl/>
        <w:ind w:firstLine="720"/>
        <w:rPr>
          <w:b/>
        </w:rPr>
      </w:pPr>
    </w:p>
    <w:p w:rsidR="00557D16" w:rsidRPr="00F04621" w:rsidP="00840A39" w14:paraId="295199EC" w14:textId="6C936FAE">
      <w:pPr>
        <w:widowControl/>
      </w:pPr>
      <w:r>
        <w:t>There are no changes</w:t>
      </w:r>
      <w:r w:rsidR="00840A39">
        <w:t xml:space="preserve"> to the reporting requirements</w:t>
      </w:r>
      <w:r w:rsidR="00B17BEB">
        <w:t xml:space="preserve"> or proposed burden</w:t>
      </w:r>
      <w:r>
        <w:t>.</w:t>
      </w:r>
      <w:r w:rsidR="00B33C0D">
        <w:t xml:space="preserve"> </w:t>
      </w:r>
    </w:p>
    <w:p w:rsidR="00CA23F7" w:rsidP="00CA23F7" w14:paraId="351790CF" w14:textId="37679CAD"/>
    <w:p w:rsidR="000C12A0" w:rsidRPr="00F04621" w:rsidP="63F52032" w14:paraId="1991C920" w14:textId="133BD308">
      <w:pPr>
        <w:widowControl/>
        <w:rPr>
          <w:b/>
        </w:rPr>
      </w:pPr>
    </w:p>
    <w:p w:rsidR="00F53486" w:rsidRPr="00F04621" w:rsidP="00A941B2" w14:paraId="08DD8E39" w14:textId="77777777">
      <w:pPr>
        <w:widowControl/>
        <w:numPr>
          <w:ilvl w:val="0"/>
          <w:numId w:val="5"/>
        </w:numPr>
        <w:tabs>
          <w:tab w:val="num" w:pos="720"/>
          <w:tab w:val="clear" w:pos="1080"/>
        </w:tabs>
        <w:ind w:left="720" w:hanging="720"/>
        <w:rPr>
          <w:b/>
        </w:rPr>
      </w:pPr>
      <w:r w:rsidRPr="00F04621">
        <w:rPr>
          <w:b/>
        </w:rPr>
        <w:t xml:space="preserve"> </w:t>
      </w:r>
      <w:r w:rsidRPr="00F04621">
        <w:rPr>
          <w:b/>
        </w:rPr>
        <w:t>TIME SCHEDULE FOR PUBLICATION OF DATA</w:t>
      </w:r>
    </w:p>
    <w:p w:rsidR="00F53486" w:rsidRPr="00F04621" w:rsidP="00F53486" w14:paraId="36A5D0A9" w14:textId="77777777">
      <w:pPr>
        <w:widowControl/>
        <w:ind w:left="720"/>
        <w:rPr>
          <w:b/>
        </w:rPr>
      </w:pPr>
    </w:p>
    <w:p w:rsidR="00801837" w:rsidRPr="00F04621" w:rsidP="00801837" w14:paraId="1242C6D4" w14:textId="0C8104B3">
      <w:pPr>
        <w:widowControl/>
      </w:pPr>
      <w:r w:rsidRPr="00F04621">
        <w:t>There are no tabulating, statistical or tabulating analysis or publication plans for the collection of information.</w:t>
      </w:r>
      <w:r w:rsidR="00B33C0D">
        <w:t xml:space="preserve"> </w:t>
      </w:r>
      <w:r w:rsidRPr="00F04621">
        <w:t>The data are used for regulatory purposes only.</w:t>
      </w:r>
    </w:p>
    <w:p w:rsidR="00F53486" w:rsidRPr="00F04621" w:rsidP="00F53486" w14:paraId="26D267EB" w14:textId="77777777">
      <w:pPr>
        <w:widowControl/>
        <w:ind w:firstLine="720"/>
      </w:pPr>
    </w:p>
    <w:p w:rsidR="00F53486" w:rsidRPr="00F04621" w:rsidP="00A941B2" w14:paraId="70E95EFC" w14:textId="77777777">
      <w:pPr>
        <w:widowControl/>
        <w:tabs>
          <w:tab w:val="left" w:pos="720"/>
        </w:tabs>
        <w:ind w:left="720" w:hanging="720"/>
        <w:rPr>
          <w:b/>
        </w:rPr>
      </w:pPr>
      <w:r w:rsidRPr="00F04621">
        <w:rPr>
          <w:b/>
        </w:rPr>
        <w:t>17.</w:t>
      </w:r>
      <w:r w:rsidRPr="00F04621">
        <w:tab/>
      </w:r>
      <w:r w:rsidRPr="00F04621" w:rsidR="00FF5CA4">
        <w:t xml:space="preserve"> </w:t>
      </w:r>
      <w:r w:rsidRPr="00F04621">
        <w:rPr>
          <w:b/>
        </w:rPr>
        <w:t>DISPLAY OF EXPIRATION DATE</w:t>
      </w:r>
    </w:p>
    <w:p w:rsidR="00F53486" w:rsidRPr="00F04621" w:rsidP="00F53486" w14:paraId="43EDE7BA" w14:textId="77777777">
      <w:pPr>
        <w:widowControl/>
        <w:ind w:firstLine="720"/>
        <w:rPr>
          <w:b/>
        </w:rPr>
      </w:pPr>
    </w:p>
    <w:p w:rsidR="00F9091C" w:rsidRPr="00F04621" w:rsidP="00244A09" w14:paraId="18DF9FEB" w14:textId="45761F00">
      <w:r>
        <w:t xml:space="preserve">The expiration date is displayed in a table posted on ferc.gov at </w:t>
      </w:r>
      <w:r w:rsidR="00996246">
        <w:t>https://data.ferc.gov/ferc-information-collections-management/information-collections-approved/</w:t>
      </w:r>
    </w:p>
    <w:p w:rsidR="00F53486" w:rsidRPr="00F04621" w:rsidP="00F53486" w14:paraId="5606A993" w14:textId="77777777">
      <w:pPr>
        <w:widowControl/>
        <w:ind w:firstLine="720"/>
      </w:pPr>
    </w:p>
    <w:p w:rsidR="00F53486" w:rsidRPr="00F04621" w:rsidP="00A941B2" w14:paraId="58A456E0" w14:textId="77777777">
      <w:pPr>
        <w:widowControl/>
        <w:numPr>
          <w:ilvl w:val="0"/>
          <w:numId w:val="6"/>
        </w:numPr>
        <w:tabs>
          <w:tab w:val="num" w:pos="720"/>
          <w:tab w:val="clear" w:pos="1080"/>
        </w:tabs>
        <w:ind w:left="720" w:hanging="720"/>
        <w:rPr>
          <w:b/>
        </w:rPr>
      </w:pPr>
      <w:r w:rsidRPr="00F04621">
        <w:rPr>
          <w:b/>
        </w:rPr>
        <w:t xml:space="preserve"> EXCEPTIONS TO THE CERTIFICATION STATEMENT</w:t>
      </w:r>
    </w:p>
    <w:p w:rsidR="00F53486" w:rsidRPr="00F04621" w:rsidP="00F53486" w14:paraId="33A5AD7C" w14:textId="77777777">
      <w:pPr>
        <w:widowControl/>
        <w:ind w:left="720"/>
        <w:rPr>
          <w:b/>
        </w:rPr>
      </w:pPr>
    </w:p>
    <w:p w:rsidR="00801837" w:rsidRPr="00F04621" w:rsidP="00801837" w14:paraId="75FD4D47" w14:textId="77777777">
      <w:r w:rsidRPr="00F04621">
        <w:t>There are no exceptions.</w:t>
      </w:r>
    </w:p>
    <w:p w:rsidR="00112165" w:rsidRPr="00F04621" w:rsidP="00801837" w14:paraId="118A97D4" w14:textId="77777777">
      <w:pPr>
        <w:widowControl/>
        <w:ind w:firstLine="720"/>
      </w:pPr>
    </w:p>
    <w:sectPr w:rsidSect="003D38A7">
      <w:headerReference w:type="default" r:id="rId6"/>
      <w:footerReference w:type="even" r:id="rId7"/>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3E39F38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570B" w:rsidP="00F53486" w14:paraId="50406FD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68FA923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16C5">
      <w:rPr>
        <w:rStyle w:val="PageNumber"/>
        <w:noProof/>
      </w:rPr>
      <w:t>1</w:t>
    </w:r>
    <w:r>
      <w:rPr>
        <w:rStyle w:val="PageNumber"/>
      </w:rPr>
      <w:fldChar w:fldCharType="end"/>
    </w:r>
  </w:p>
  <w:p w:rsidR="00A7570B" w:rsidP="00F53486" w14:paraId="6FC8ECF3"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7196" w14:paraId="4AD900EC" w14:textId="77777777">
      <w:r>
        <w:separator/>
      </w:r>
    </w:p>
  </w:footnote>
  <w:footnote w:type="continuationSeparator" w:id="1">
    <w:p w:rsidR="00857196" w14:paraId="1FE3B50A" w14:textId="77777777">
      <w:r>
        <w:continuationSeparator/>
      </w:r>
    </w:p>
  </w:footnote>
  <w:footnote w:type="continuationNotice" w:id="2">
    <w:p w:rsidR="00857196" w14:paraId="3D667123" w14:textId="77777777"/>
  </w:footnote>
  <w:footnote w:id="3">
    <w:p w:rsidR="009B7112" w:rsidRPr="00D84AE8" w:rsidP="009B7112" w14:paraId="04C02A47" w14:textId="5083641B">
      <w:pPr>
        <w:pStyle w:val="FootnoteText"/>
        <w:spacing w:after="0"/>
        <w:ind w:firstLine="0"/>
        <w:rPr>
          <w:bCs/>
          <w:sz w:val="20"/>
        </w:rPr>
      </w:pPr>
      <w:r w:rsidRPr="00D84AE8">
        <w:rPr>
          <w:rStyle w:val="FootnoteReference"/>
          <w:b w:val="0"/>
          <w:bCs/>
          <w:sz w:val="20"/>
          <w:szCs w:val="20"/>
        </w:rPr>
        <w:footnoteRef/>
      </w:r>
      <w:r w:rsidRPr="00D84AE8">
        <w:rPr>
          <w:bCs/>
          <w:sz w:val="20"/>
        </w:rPr>
        <w:t xml:space="preserve"> 15 U.S.C. </w:t>
      </w:r>
      <w:r w:rsidRPr="005A28B6" w:rsidR="005A28B6">
        <w:rPr>
          <w:bCs/>
          <w:sz w:val="20"/>
        </w:rPr>
        <w:t>§</w:t>
      </w:r>
      <w:r w:rsidR="005A28B6">
        <w:rPr>
          <w:bCs/>
          <w:sz w:val="20"/>
        </w:rPr>
        <w:t xml:space="preserve"> </w:t>
      </w:r>
      <w:r w:rsidRPr="00D84AE8">
        <w:rPr>
          <w:bCs/>
          <w:sz w:val="20"/>
        </w:rPr>
        <w:t>717</w:t>
      </w:r>
      <w:r w:rsidRPr="00D84AE8" w:rsidR="00FD58ED">
        <w:rPr>
          <w:bCs/>
          <w:sz w:val="20"/>
        </w:rPr>
        <w:t>c</w:t>
      </w:r>
      <w:r w:rsidRPr="00D84AE8" w:rsidR="007E732F">
        <w:rPr>
          <w:bCs/>
          <w:sz w:val="20"/>
        </w:rPr>
        <w:t xml:space="preserve"> and 717d.</w:t>
      </w:r>
    </w:p>
  </w:footnote>
  <w:footnote w:id="4">
    <w:p w:rsidR="00171F91" w:rsidRPr="00264B89" w:rsidP="00A90464" w14:paraId="5B228C61" w14:textId="77777777">
      <w:pPr>
        <w:tabs>
          <w:tab w:val="left" w:pos="-1440"/>
        </w:tabs>
        <w:rPr>
          <w:sz w:val="26"/>
          <w:szCs w:val="20"/>
        </w:rPr>
      </w:pPr>
      <w:r w:rsidRPr="00D84AE8">
        <w:rPr>
          <w:rStyle w:val="FootnoteReference"/>
          <w:b w:val="0"/>
          <w:bCs/>
          <w:sz w:val="20"/>
          <w:szCs w:val="20"/>
        </w:rPr>
        <w:footnoteRef/>
      </w:r>
      <w:r w:rsidRPr="00D84AE8">
        <w:rPr>
          <w:bCs/>
          <w:sz w:val="20"/>
          <w:szCs w:val="20"/>
        </w:rPr>
        <w:t xml:space="preserve"> </w:t>
      </w:r>
      <w:r w:rsidRPr="00D84AE8">
        <w:rPr>
          <w:bCs/>
          <w:i/>
          <w:iCs/>
          <w:sz w:val="20"/>
          <w:szCs w:val="20"/>
        </w:rPr>
        <w:t>United Distribution Companies v. FERC</w:t>
      </w:r>
      <w:r w:rsidRPr="00D84AE8">
        <w:rPr>
          <w:bCs/>
          <w:sz w:val="20"/>
          <w:szCs w:val="20"/>
        </w:rPr>
        <w:t>, 88 F.3d 1105, 1123 (D.C. Cir. 1996).</w:t>
      </w:r>
    </w:p>
  </w:footnote>
  <w:footnote w:id="5">
    <w:p w:rsidR="00171F91" w:rsidRPr="00D631EA" w:rsidP="00A90464" w14:paraId="577053FB" w14:textId="77777777">
      <w:pPr>
        <w:pStyle w:val="FootnoteText"/>
        <w:spacing w:after="0"/>
        <w:ind w:firstLine="0"/>
        <w:rPr>
          <w:sz w:val="20"/>
        </w:rPr>
      </w:pPr>
      <w:r w:rsidRPr="00D631EA">
        <w:rPr>
          <w:rStyle w:val="FootnoteReference"/>
          <w:b w:val="0"/>
          <w:bCs/>
          <w:sz w:val="20"/>
          <w:szCs w:val="20"/>
        </w:rPr>
        <w:footnoteRef/>
      </w:r>
      <w:r w:rsidRPr="00D631EA">
        <w:rPr>
          <w:sz w:val="20"/>
        </w:rPr>
        <w:t xml:space="preserve"> 18</w:t>
      </w:r>
      <w:r w:rsidRPr="00D631EA" w:rsidR="00264B89">
        <w:rPr>
          <w:sz w:val="20"/>
        </w:rPr>
        <w:t xml:space="preserve"> </w:t>
      </w:r>
      <w:r w:rsidRPr="00D631EA">
        <w:rPr>
          <w:sz w:val="20"/>
        </w:rPr>
        <w:t xml:space="preserve">CFR </w:t>
      </w:r>
      <w:r w:rsidRPr="00D631EA" w:rsidR="00CF7E9F">
        <w:rPr>
          <w:sz w:val="20"/>
        </w:rPr>
        <w:t xml:space="preserve">§§ </w:t>
      </w:r>
      <w:r w:rsidRPr="00D631EA">
        <w:rPr>
          <w:sz w:val="20"/>
        </w:rPr>
        <w:t>250.16 (c)(3) and (d)(2)</w:t>
      </w:r>
      <w:r w:rsidRPr="00D631EA" w:rsidR="00CF7E9F">
        <w:rPr>
          <w:sz w:val="20"/>
        </w:rPr>
        <w:t>.</w:t>
      </w:r>
    </w:p>
  </w:footnote>
  <w:footnote w:id="6">
    <w:p w:rsidR="007F1C44" w:rsidRPr="00D631EA" w:rsidP="00A90464" w14:paraId="0B52AFDC" w14:textId="592CF7BE">
      <w:pPr>
        <w:pStyle w:val="FootnoteText"/>
        <w:spacing w:after="0"/>
        <w:ind w:firstLine="0"/>
        <w:rPr>
          <w:sz w:val="20"/>
        </w:rPr>
      </w:pPr>
      <w:r w:rsidRPr="00D631EA">
        <w:rPr>
          <w:rStyle w:val="FootnoteReference"/>
          <w:b w:val="0"/>
          <w:bCs/>
          <w:sz w:val="20"/>
          <w:szCs w:val="20"/>
        </w:rPr>
        <w:footnoteRef/>
      </w:r>
      <w:r w:rsidRPr="00D631EA" w:rsidR="00A90464">
        <w:rPr>
          <w:sz w:val="20"/>
        </w:rPr>
        <w:t xml:space="preserve"> </w:t>
      </w:r>
      <w:r w:rsidR="003A7FB7">
        <w:rPr>
          <w:sz w:val="20"/>
        </w:rPr>
        <w:t>90 FR 41557</w:t>
      </w:r>
      <w:r w:rsidRPr="00D631EA" w:rsidR="00FA21AA">
        <w:rPr>
          <w:sz w:val="20"/>
        </w:rPr>
        <w:t>.</w:t>
      </w:r>
    </w:p>
  </w:footnote>
  <w:footnote w:id="7">
    <w:p w:rsidR="007F1C44" w:rsidRPr="00647CE2" w:rsidP="00A90464" w14:paraId="7E313F12" w14:textId="4046F84E">
      <w:pPr>
        <w:pStyle w:val="FootnoteText"/>
        <w:spacing w:after="0"/>
        <w:ind w:firstLine="0"/>
        <w:rPr>
          <w:sz w:val="26"/>
        </w:rPr>
      </w:pPr>
      <w:r w:rsidRPr="00D631EA">
        <w:rPr>
          <w:rStyle w:val="FootnoteReference"/>
          <w:b w:val="0"/>
          <w:bCs/>
          <w:sz w:val="20"/>
          <w:szCs w:val="20"/>
        </w:rPr>
        <w:footnoteRef/>
      </w:r>
      <w:r w:rsidRPr="00D631EA">
        <w:rPr>
          <w:b/>
          <w:bCs/>
          <w:sz w:val="20"/>
        </w:rPr>
        <w:t xml:space="preserve"> </w:t>
      </w:r>
      <w:r w:rsidRPr="0097177D" w:rsidR="0097177D">
        <w:rPr>
          <w:sz w:val="20"/>
        </w:rPr>
        <w:t>90 FR 59105</w:t>
      </w:r>
      <w:r w:rsidRPr="00D631EA" w:rsidR="007E732F">
        <w:rPr>
          <w:sz w:val="20"/>
        </w:rPr>
        <w:t>.</w:t>
      </w:r>
    </w:p>
  </w:footnote>
  <w:footnote w:id="8">
    <w:p w:rsidR="00A4379D" w:rsidRPr="003E691D" w:rsidP="006A36B9" w14:paraId="424D7F90" w14:textId="38F472A2">
      <w:pPr>
        <w:pStyle w:val="FootnoteText"/>
        <w:spacing w:after="0"/>
        <w:ind w:firstLine="0"/>
        <w:rPr>
          <w:sz w:val="20"/>
        </w:rPr>
      </w:pPr>
      <w:r w:rsidRPr="003E691D">
        <w:rPr>
          <w:rStyle w:val="FootnoteReference"/>
          <w:b w:val="0"/>
          <w:bCs/>
          <w:sz w:val="20"/>
          <w:szCs w:val="20"/>
        </w:rPr>
        <w:footnoteRef/>
      </w:r>
      <w:r w:rsidRPr="003E691D">
        <w:rPr>
          <w:sz w:val="20"/>
        </w:rPr>
        <w:t xml:space="preserve"> The Commission staff estimates that the industry’s hourly cost for wages plus benefits is similar to the Commission’s $</w:t>
      </w:r>
      <w:r w:rsidRPr="003E691D" w:rsidR="007964A2">
        <w:rPr>
          <w:sz w:val="20"/>
        </w:rPr>
        <w:t>103</w:t>
      </w:r>
      <w:r w:rsidRPr="003E691D">
        <w:rPr>
          <w:sz w:val="20"/>
        </w:rPr>
        <w:t xml:space="preserve"> FY 202</w:t>
      </w:r>
      <w:r w:rsidRPr="003E691D" w:rsidR="007964A2">
        <w:rPr>
          <w:sz w:val="20"/>
        </w:rPr>
        <w:t>5</w:t>
      </w:r>
      <w:r w:rsidRPr="003E691D">
        <w:rPr>
          <w:sz w:val="20"/>
        </w:rPr>
        <w:t xml:space="preserve"> average hourly cost for wages and benefits.</w:t>
      </w:r>
    </w:p>
  </w:footnote>
  <w:footnote w:id="9">
    <w:p w:rsidR="00181B23" w:rsidRPr="00F67A27" w:rsidP="00A90464" w14:paraId="3223920D" w14:textId="77777777">
      <w:pPr>
        <w:pStyle w:val="FootnoteText"/>
        <w:spacing w:after="0"/>
        <w:ind w:firstLine="0"/>
        <w:rPr>
          <w:sz w:val="20"/>
        </w:rPr>
      </w:pPr>
      <w:r w:rsidRPr="00F67A27">
        <w:rPr>
          <w:rStyle w:val="FootnoteReference"/>
          <w:b w:val="0"/>
          <w:bCs/>
          <w:sz w:val="20"/>
          <w:szCs w:val="20"/>
        </w:rPr>
        <w:footnoteRef/>
      </w:r>
      <w:r w:rsidRPr="00F67A27">
        <w:rPr>
          <w:sz w:val="20"/>
        </w:rPr>
        <w:t xml:space="preserve"> Paperwork Reduction Act of 1995 (PRA).</w:t>
      </w:r>
    </w:p>
  </w:footnote>
  <w:footnote w:id="10">
    <w:p w:rsidR="00181B23" w:rsidRPr="00F67A27" w:rsidP="00A90464" w14:paraId="19A6D54A" w14:textId="77777777">
      <w:pPr>
        <w:pStyle w:val="FootnoteText"/>
        <w:spacing w:after="0"/>
        <w:ind w:firstLine="0"/>
        <w:rPr>
          <w:sz w:val="20"/>
        </w:rPr>
      </w:pPr>
      <w:r w:rsidRPr="00F67A27">
        <w:rPr>
          <w:rStyle w:val="FootnoteReference"/>
          <w:b w:val="0"/>
          <w:bCs/>
          <w:sz w:val="20"/>
          <w:szCs w:val="20"/>
        </w:rPr>
        <w:footnoteRef/>
      </w:r>
      <w:r w:rsidRPr="00F67A27">
        <w:rPr>
          <w:sz w:val="20"/>
        </w:rPr>
        <w:t xml:space="preserve"> The P</w:t>
      </w:r>
      <w:r w:rsidRPr="00F67A27" w:rsidR="00F25F5D">
        <w:rPr>
          <w:sz w:val="20"/>
        </w:rPr>
        <w:t xml:space="preserve">RA Administration Cost </w:t>
      </w:r>
      <w:r w:rsidRPr="00F67A27">
        <w:rPr>
          <w:sz w:val="20"/>
        </w:rPr>
        <w:t>includes preparing supporting statements, notices, and other activities associated with Paperwork Reduction Act compliance.</w:t>
      </w:r>
    </w:p>
  </w:footnote>
  <w:footnote w:id="11">
    <w:p w:rsidR="00F9091C" w:rsidRPr="00A90464" w:rsidP="00A90464" w14:paraId="3051462F" w14:textId="5D1EA4F2">
      <w:pPr>
        <w:pStyle w:val="FootnoteText"/>
        <w:spacing w:after="0"/>
        <w:ind w:firstLine="0"/>
        <w:rPr>
          <w:sz w:val="20"/>
        </w:rPr>
      </w:pPr>
      <w:r w:rsidRPr="00F67A27">
        <w:rPr>
          <w:rStyle w:val="FootnoteReference"/>
          <w:b w:val="0"/>
          <w:bCs/>
          <w:sz w:val="20"/>
          <w:szCs w:val="20"/>
        </w:rPr>
        <w:footnoteRef/>
      </w:r>
      <w:r w:rsidRPr="00F67A27">
        <w:rPr>
          <w:sz w:val="20"/>
        </w:rPr>
        <w:t xml:space="preserve"> T</w:t>
      </w:r>
      <w:r w:rsidRPr="00F67A27" w:rsidR="00A90464">
        <w:rPr>
          <w:sz w:val="20"/>
        </w:rPr>
        <w:t>he FTE cost figure uses the 20</w:t>
      </w:r>
      <w:r w:rsidRPr="00F67A27" w:rsidR="0088764F">
        <w:rPr>
          <w:sz w:val="20"/>
        </w:rPr>
        <w:t>2</w:t>
      </w:r>
      <w:r w:rsidRPr="00F67A27" w:rsidR="000A55A9">
        <w:rPr>
          <w:sz w:val="20"/>
        </w:rPr>
        <w:t>5</w:t>
      </w:r>
      <w:r w:rsidRPr="00F67A27">
        <w:rPr>
          <w:sz w:val="20"/>
        </w:rPr>
        <w:t xml:space="preserve"> FERC averag</w:t>
      </w:r>
      <w:r w:rsidRPr="00F67A27" w:rsidR="00A90464">
        <w:rPr>
          <w:sz w:val="20"/>
        </w:rPr>
        <w:t>e salary plus benefits (</w:t>
      </w:r>
      <w:r w:rsidRPr="00F67A27" w:rsidR="00EB338D">
        <w:rPr>
          <w:sz w:val="20"/>
        </w:rPr>
        <w:t>$</w:t>
      </w:r>
      <w:r w:rsidRPr="00F67A27" w:rsidR="000A55A9">
        <w:rPr>
          <w:sz w:val="20"/>
        </w:rPr>
        <w:t>214,093</w:t>
      </w:r>
      <w:r w:rsidRPr="00F67A27" w:rsidR="00EB338D">
        <w:rPr>
          <w:sz w:val="20"/>
        </w:rPr>
        <w:t>/year or $</w:t>
      </w:r>
      <w:r w:rsidRPr="00F67A27" w:rsidR="000A55A9">
        <w:rPr>
          <w:sz w:val="20"/>
        </w:rPr>
        <w:t>103</w:t>
      </w:r>
      <w:r w:rsidRPr="00F67A27" w:rsidR="00EB338D">
        <w:rPr>
          <w:sz w:val="20"/>
        </w:rPr>
        <w:t>/hour</w:t>
      </w:r>
      <w:r w:rsidRPr="00F67A27" w:rsidR="00A90464">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B89" w:rsidRPr="009E577C" w14:paraId="427C0E4B" w14:textId="77777777">
    <w:pPr>
      <w:spacing w:line="240" w:lineRule="exact"/>
    </w:pPr>
    <w:r w:rsidRPr="009E577C">
      <w:t>FER</w:t>
    </w:r>
    <w:r w:rsidRPr="009E577C" w:rsidR="00171F91">
      <w:t>C-592 (OMB Control No. 1902-0157</w:t>
    </w:r>
    <w:r w:rsidRPr="009E577C">
      <w:t>)</w:t>
    </w:r>
  </w:p>
  <w:p w:rsidR="00A7570B" w14:paraId="2C3D1C61" w14:textId="5B2A8153">
    <w:pPr>
      <w:spacing w:line="240" w:lineRule="exact"/>
      <w:rPr>
        <w:sz w:val="26"/>
        <w:szCs w:val="26"/>
      </w:rPr>
    </w:pPr>
    <w:r w:rsidRPr="009E577C">
      <w:t xml:space="preserve">Docket No. </w:t>
    </w:r>
    <w:r w:rsidRPr="009E577C" w:rsidR="009E577C">
      <w:t>IC25-15-000]</w:t>
    </w:r>
    <w:r w:rsidRPr="009E577C">
      <w:tab/>
    </w:r>
    <w:r>
      <w:rPr>
        <w:sz w:val="26"/>
        <w:szCs w:val="26"/>
      </w:rPr>
      <w:tab/>
    </w:r>
    <w:r>
      <w:rPr>
        <w:sz w:val="26"/>
        <w:szCs w:val="26"/>
      </w:rPr>
      <w:tab/>
    </w:r>
    <w:r>
      <w:rPr>
        <w:sz w:val="26"/>
        <w:szCs w:val="26"/>
      </w:rPr>
      <w:tab/>
    </w:r>
    <w:r>
      <w:rPr>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2AE7EA"/>
    <w:multiLevelType w:val="hybridMultilevel"/>
    <w:tmpl w:val="C3A138AC"/>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0C552D5"/>
    <w:multiLevelType w:val="hybridMultilevel"/>
    <w:tmpl w:val="001BB747"/>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C873CCE"/>
    <w:multiLevelType w:val="hybridMultilevel"/>
    <w:tmpl w:val="F54C1BF6"/>
    <w:lvl w:ilvl="0">
      <w:start w:val="1"/>
      <w:numFmt w:val="bullet"/>
      <w:lvlText w:val=""/>
      <w:lvlJc w:val="left"/>
      <w:pPr>
        <w:tabs>
          <w:tab w:val="num" w:pos="2160"/>
        </w:tabs>
        <w:ind w:left="2160" w:hanging="360"/>
      </w:pPr>
      <w:rPr>
        <w:rFonts w:ascii="Symbol" w:hAnsi="Symbol" w:hint="default"/>
        <w:sz w:val="26"/>
        <w:szCs w:val="26"/>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D651A1B"/>
    <w:multiLevelType w:val="hybridMultilevel"/>
    <w:tmpl w:val="734EEF40"/>
    <w:lvl w:ilvl="0">
      <w:start w:val="13"/>
      <w:numFmt w:val="decimal"/>
      <w:lvlText w:val="%1."/>
      <w:lvlJc w:val="left"/>
      <w:pPr>
        <w:tabs>
          <w:tab w:val="num" w:pos="24840"/>
        </w:tabs>
        <w:ind w:left="24840" w:hanging="360"/>
      </w:pPr>
      <w:rPr>
        <w:rFonts w:hint="default"/>
      </w:rPr>
    </w:lvl>
    <w:lvl w:ilvl="1" w:tentative="1">
      <w:start w:val="1"/>
      <w:numFmt w:val="lowerLetter"/>
      <w:lvlText w:val="%2."/>
      <w:lvlJc w:val="left"/>
      <w:pPr>
        <w:tabs>
          <w:tab w:val="num" w:pos="25560"/>
        </w:tabs>
        <w:ind w:left="25560" w:hanging="360"/>
      </w:pPr>
    </w:lvl>
    <w:lvl w:ilvl="2" w:tentative="1">
      <w:start w:val="1"/>
      <w:numFmt w:val="lowerRoman"/>
      <w:lvlText w:val="%3."/>
      <w:lvlJc w:val="right"/>
      <w:pPr>
        <w:tabs>
          <w:tab w:val="num" w:pos="26280"/>
        </w:tabs>
        <w:ind w:left="26280" w:hanging="180"/>
      </w:pPr>
    </w:lvl>
    <w:lvl w:ilvl="3" w:tentative="1">
      <w:start w:val="1"/>
      <w:numFmt w:val="decimal"/>
      <w:lvlText w:val="%4."/>
      <w:lvlJc w:val="left"/>
      <w:pPr>
        <w:tabs>
          <w:tab w:val="num" w:pos="27000"/>
        </w:tabs>
        <w:ind w:left="27000" w:hanging="360"/>
      </w:pPr>
    </w:lvl>
    <w:lvl w:ilvl="4" w:tentative="1">
      <w:start w:val="1"/>
      <w:numFmt w:val="lowerLetter"/>
      <w:lvlText w:val="%5."/>
      <w:lvlJc w:val="left"/>
      <w:pPr>
        <w:tabs>
          <w:tab w:val="num" w:pos="27720"/>
        </w:tabs>
        <w:ind w:left="27720" w:hanging="360"/>
      </w:pPr>
    </w:lvl>
    <w:lvl w:ilvl="5" w:tentative="1">
      <w:start w:val="1"/>
      <w:numFmt w:val="lowerRoman"/>
      <w:lvlText w:val="%6."/>
      <w:lvlJc w:val="right"/>
      <w:pPr>
        <w:tabs>
          <w:tab w:val="num" w:pos="28440"/>
        </w:tabs>
        <w:ind w:left="28440" w:hanging="180"/>
      </w:pPr>
    </w:lvl>
    <w:lvl w:ilvl="6" w:tentative="1">
      <w:start w:val="1"/>
      <w:numFmt w:val="decimal"/>
      <w:lvlText w:val="%7."/>
      <w:lvlJc w:val="left"/>
      <w:pPr>
        <w:tabs>
          <w:tab w:val="num" w:pos="29160"/>
        </w:tabs>
        <w:ind w:left="29160" w:hanging="360"/>
      </w:pPr>
    </w:lvl>
    <w:lvl w:ilvl="7" w:tentative="1">
      <w:start w:val="1"/>
      <w:numFmt w:val="lowerLetter"/>
      <w:lvlText w:val="%8."/>
      <w:lvlJc w:val="left"/>
      <w:pPr>
        <w:tabs>
          <w:tab w:val="num" w:pos="29880"/>
        </w:tabs>
        <w:ind w:left="29880" w:hanging="360"/>
      </w:pPr>
    </w:lvl>
    <w:lvl w:ilvl="8" w:tentative="1">
      <w:start w:val="1"/>
      <w:numFmt w:val="lowerRoman"/>
      <w:lvlText w:val="%9."/>
      <w:lvlJc w:val="right"/>
      <w:pPr>
        <w:tabs>
          <w:tab w:val="num" w:pos="30600"/>
        </w:tabs>
        <w:ind w:left="30600" w:hanging="180"/>
      </w:pPr>
    </w:lvl>
  </w:abstractNum>
  <w:abstractNum w:abstractNumId="4">
    <w:nsid w:val="1448341B"/>
    <w:multiLevelType w:val="hybridMultilevel"/>
    <w:tmpl w:val="403224A0"/>
    <w:lvl w:ilvl="0">
      <w:start w:val="1"/>
      <w:numFmt w:val="bullet"/>
      <w:lvlText w:val=""/>
      <w:lvlJc w:val="left"/>
      <w:pPr>
        <w:tabs>
          <w:tab w:val="num" w:pos="1440"/>
        </w:tabs>
        <w:ind w:left="1440" w:hanging="360"/>
      </w:pPr>
      <w:rPr>
        <w:rFonts w:ascii="Symbol" w:hAnsi="Symbol" w:hint="default"/>
        <w:sz w:val="26"/>
        <w:szCs w:val="2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FF140A"/>
    <w:multiLevelType w:val="hybridMultilevel"/>
    <w:tmpl w:val="DECA9992"/>
    <w:lvl w:ilvl="0">
      <w:start w:val="1"/>
      <w:numFmt w:val="lowerLetter"/>
      <w:lvlText w:val="%1."/>
      <w:lvlJc w:val="left"/>
      <w:pPr>
        <w:tabs>
          <w:tab w:val="num" w:pos="2520"/>
        </w:tabs>
        <w:ind w:left="2520" w:hanging="360"/>
      </w:pPr>
      <w:rPr>
        <w:rFonts w:hint="default"/>
        <w:b/>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0285AF5"/>
    <w:multiLevelType w:val="hybridMultilevel"/>
    <w:tmpl w:val="BF769E0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1295045"/>
    <w:multiLevelType w:val="hybridMultilevel"/>
    <w:tmpl w:val="517C984E"/>
    <w:lvl w:ilvl="0">
      <w:start w:val="1"/>
      <w:numFmt w:val="decimal"/>
      <w:lvlText w:val="%1."/>
      <w:lvlJc w:val="left"/>
      <w:pPr>
        <w:tabs>
          <w:tab w:val="num" w:pos="1080"/>
        </w:tabs>
        <w:ind w:left="1080" w:hanging="720"/>
      </w:pPr>
      <w:rPr>
        <w:rFonts w:hint="default"/>
        <w:u w:val="none"/>
      </w:rPr>
    </w:lvl>
    <w:lvl w:ilvl="1">
      <w:start w:val="1"/>
      <w:numFmt w:val="decimal"/>
      <w:lvlText w:val="(%2)"/>
      <w:lvlJc w:val="left"/>
      <w:pPr>
        <w:tabs>
          <w:tab w:val="num" w:pos="1455"/>
        </w:tabs>
        <w:ind w:left="1455" w:hanging="375"/>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31224A2"/>
    <w:multiLevelType w:val="hybridMultilevel"/>
    <w:tmpl w:val="2CDC4B60"/>
    <w:lvl w:ilvl="0">
      <w:start w:val="1"/>
      <w:numFmt w:val="bullet"/>
      <w:lvlText w:val=""/>
      <w:lvlJc w:val="left"/>
      <w:pPr>
        <w:ind w:left="1110" w:hanging="360"/>
      </w:pPr>
      <w:rPr>
        <w:rFonts w:ascii="Symbol" w:hAnsi="Symbol" w:hint="default"/>
      </w:rPr>
    </w:lvl>
    <w:lvl w:ilvl="1" w:tentative="1">
      <w:start w:val="1"/>
      <w:numFmt w:val="bullet"/>
      <w:lvlText w:val="o"/>
      <w:lvlJc w:val="left"/>
      <w:pPr>
        <w:ind w:left="1830" w:hanging="360"/>
      </w:pPr>
      <w:rPr>
        <w:rFonts w:ascii="Courier New" w:hAnsi="Courier New" w:cs="Courier New" w:hint="default"/>
      </w:rPr>
    </w:lvl>
    <w:lvl w:ilvl="2" w:tentative="1">
      <w:start w:val="1"/>
      <w:numFmt w:val="bullet"/>
      <w:lvlText w:val=""/>
      <w:lvlJc w:val="left"/>
      <w:pPr>
        <w:ind w:left="2550" w:hanging="360"/>
      </w:pPr>
      <w:rPr>
        <w:rFonts w:ascii="Wingdings" w:hAnsi="Wingdings" w:hint="default"/>
      </w:rPr>
    </w:lvl>
    <w:lvl w:ilvl="3" w:tentative="1">
      <w:start w:val="1"/>
      <w:numFmt w:val="bullet"/>
      <w:lvlText w:val=""/>
      <w:lvlJc w:val="left"/>
      <w:pPr>
        <w:ind w:left="3270" w:hanging="360"/>
      </w:pPr>
      <w:rPr>
        <w:rFonts w:ascii="Symbol" w:hAnsi="Symbol" w:hint="default"/>
      </w:rPr>
    </w:lvl>
    <w:lvl w:ilvl="4" w:tentative="1">
      <w:start w:val="1"/>
      <w:numFmt w:val="bullet"/>
      <w:lvlText w:val="o"/>
      <w:lvlJc w:val="left"/>
      <w:pPr>
        <w:ind w:left="3990" w:hanging="360"/>
      </w:pPr>
      <w:rPr>
        <w:rFonts w:ascii="Courier New" w:hAnsi="Courier New" w:cs="Courier New" w:hint="default"/>
      </w:rPr>
    </w:lvl>
    <w:lvl w:ilvl="5" w:tentative="1">
      <w:start w:val="1"/>
      <w:numFmt w:val="bullet"/>
      <w:lvlText w:val=""/>
      <w:lvlJc w:val="left"/>
      <w:pPr>
        <w:ind w:left="4710" w:hanging="360"/>
      </w:pPr>
      <w:rPr>
        <w:rFonts w:ascii="Wingdings" w:hAnsi="Wingdings" w:hint="default"/>
      </w:rPr>
    </w:lvl>
    <w:lvl w:ilvl="6" w:tentative="1">
      <w:start w:val="1"/>
      <w:numFmt w:val="bullet"/>
      <w:lvlText w:val=""/>
      <w:lvlJc w:val="left"/>
      <w:pPr>
        <w:ind w:left="5430" w:hanging="360"/>
      </w:pPr>
      <w:rPr>
        <w:rFonts w:ascii="Symbol" w:hAnsi="Symbol" w:hint="default"/>
      </w:rPr>
    </w:lvl>
    <w:lvl w:ilvl="7" w:tentative="1">
      <w:start w:val="1"/>
      <w:numFmt w:val="bullet"/>
      <w:lvlText w:val="o"/>
      <w:lvlJc w:val="left"/>
      <w:pPr>
        <w:ind w:left="6150" w:hanging="360"/>
      </w:pPr>
      <w:rPr>
        <w:rFonts w:ascii="Courier New" w:hAnsi="Courier New" w:cs="Courier New" w:hint="default"/>
      </w:rPr>
    </w:lvl>
    <w:lvl w:ilvl="8" w:tentative="1">
      <w:start w:val="1"/>
      <w:numFmt w:val="bullet"/>
      <w:lvlText w:val=""/>
      <w:lvlJc w:val="left"/>
      <w:pPr>
        <w:ind w:left="6870" w:hanging="360"/>
      </w:pPr>
      <w:rPr>
        <w:rFonts w:ascii="Wingdings" w:hAnsi="Wingdings" w:hint="default"/>
      </w:rPr>
    </w:lvl>
  </w:abstractNum>
  <w:abstractNum w:abstractNumId="10">
    <w:nsid w:val="32B3306C"/>
    <w:multiLevelType w:val="hybridMultilevel"/>
    <w:tmpl w:val="9C609F50"/>
    <w:lvl w:ilvl="0">
      <w:start w:val="2"/>
      <w:numFmt w:val="decimal"/>
      <w:lvlText w:val="%1."/>
      <w:lvlJc w:val="left"/>
      <w:pPr>
        <w:tabs>
          <w:tab w:val="num" w:pos="1815"/>
        </w:tabs>
        <w:ind w:left="1815" w:hanging="109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41D11FF3"/>
    <w:multiLevelType w:val="hybridMultilevel"/>
    <w:tmpl w:val="D29B6F6A"/>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474B4AF2"/>
    <w:multiLevelType w:val="hybridMultilevel"/>
    <w:tmpl w:val="C85E7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4DFC13E7"/>
    <w:multiLevelType w:val="hybridMultilevel"/>
    <w:tmpl w:val="7B9C90EE"/>
    <w:lvl w:ilvl="0">
      <w:start w:val="1"/>
      <w:numFmt w:val="bullet"/>
      <w:lvlText w:val=""/>
      <w:lvlJc w:val="left"/>
      <w:pPr>
        <w:tabs>
          <w:tab w:val="num" w:pos="2160"/>
        </w:tabs>
        <w:ind w:left="2160" w:hanging="360"/>
      </w:pPr>
      <w:rPr>
        <w:rFonts w:ascii="Symbol" w:hAnsi="Symbol" w:hint="default"/>
        <w:sz w:val="26"/>
        <w:szCs w:val="26"/>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5294444C"/>
    <w:multiLevelType w:val="hybridMultilevel"/>
    <w:tmpl w:val="E6D41222"/>
    <w:lvl w:ilvl="0">
      <w:start w:val="1"/>
      <w:numFmt w:val="bullet"/>
      <w:lvlText w:val=""/>
      <w:lvlJc w:val="left"/>
      <w:pPr>
        <w:tabs>
          <w:tab w:val="num" w:pos="2160"/>
        </w:tabs>
        <w:ind w:left="2160" w:hanging="360"/>
      </w:pPr>
      <w:rPr>
        <w:rFonts w:ascii="Symbol" w:hAnsi="Symbol" w:hint="default"/>
        <w:sz w:val="26"/>
        <w:szCs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sz w:val="26"/>
        <w:szCs w:val="26"/>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56F06CC6"/>
    <w:multiLevelType w:val="hybridMultilevel"/>
    <w:tmpl w:val="A038F154"/>
    <w:lvl w:ilvl="0">
      <w:start w:val="1"/>
      <w:numFmt w:val="decimal"/>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95E01C6"/>
    <w:multiLevelType w:val="hybridMultilevel"/>
    <w:tmpl w:val="8702D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CE18228"/>
    <w:multiLevelType w:val="hybridMultilevel"/>
    <w:tmpl w:val="9A7EF4B6"/>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72044DE7"/>
    <w:multiLevelType w:val="hybridMultilevel"/>
    <w:tmpl w:val="C3B69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E4A5A00"/>
    <w:multiLevelType w:val="hybridMultilevel"/>
    <w:tmpl w:val="E267F0B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831486644">
    <w:abstractNumId w:val="18"/>
  </w:num>
  <w:num w:numId="2" w16cid:durableId="1982734973">
    <w:abstractNumId w:val="10"/>
  </w:num>
  <w:num w:numId="3" w16cid:durableId="1978605598">
    <w:abstractNumId w:val="17"/>
  </w:num>
  <w:num w:numId="4" w16cid:durableId="1887372975">
    <w:abstractNumId w:val="3"/>
  </w:num>
  <w:num w:numId="5" w16cid:durableId="2141486131">
    <w:abstractNumId w:val="6"/>
  </w:num>
  <w:num w:numId="6" w16cid:durableId="1295217223">
    <w:abstractNumId w:val="13"/>
  </w:num>
  <w:num w:numId="7" w16cid:durableId="1884247380">
    <w:abstractNumId w:val="5"/>
  </w:num>
  <w:num w:numId="8" w16cid:durableId="1133477634">
    <w:abstractNumId w:val="16"/>
  </w:num>
  <w:num w:numId="9" w16cid:durableId="1018317163">
    <w:abstractNumId w:val="7"/>
  </w:num>
  <w:num w:numId="10" w16cid:durableId="953487040">
    <w:abstractNumId w:val="20"/>
  </w:num>
  <w:num w:numId="11" w16cid:durableId="1429152369">
    <w:abstractNumId w:val="22"/>
  </w:num>
  <w:num w:numId="12" w16cid:durableId="1986859705">
    <w:abstractNumId w:val="0"/>
  </w:num>
  <w:num w:numId="13" w16cid:durableId="363213011">
    <w:abstractNumId w:val="1"/>
  </w:num>
  <w:num w:numId="14" w16cid:durableId="351686689">
    <w:abstractNumId w:val="11"/>
  </w:num>
  <w:num w:numId="15" w16cid:durableId="276185245">
    <w:abstractNumId w:val="8"/>
  </w:num>
  <w:num w:numId="16" w16cid:durableId="1933931442">
    <w:abstractNumId w:val="4"/>
  </w:num>
  <w:num w:numId="17" w16cid:durableId="847792506">
    <w:abstractNumId w:val="14"/>
  </w:num>
  <w:num w:numId="18" w16cid:durableId="1425418873">
    <w:abstractNumId w:val="15"/>
  </w:num>
  <w:num w:numId="19" w16cid:durableId="1909606651">
    <w:abstractNumId w:val="2"/>
  </w:num>
  <w:num w:numId="20" w16cid:durableId="1378044903">
    <w:abstractNumId w:val="19"/>
  </w:num>
  <w:num w:numId="21" w16cid:durableId="1756633114">
    <w:abstractNumId w:val="12"/>
  </w:num>
  <w:num w:numId="22" w16cid:durableId="963315224">
    <w:abstractNumId w:val="21"/>
  </w:num>
  <w:num w:numId="23" w16cid:durableId="19305744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0"/>
    <w:footnote w:id="1"/>
    <w:footnote w:id="2"/>
  </w:foot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1B"/>
    <w:rsid w:val="00000363"/>
    <w:rsid w:val="00000E56"/>
    <w:rsid w:val="00001A60"/>
    <w:rsid w:val="00002B47"/>
    <w:rsid w:val="00002FFB"/>
    <w:rsid w:val="000059CB"/>
    <w:rsid w:val="00005A6A"/>
    <w:rsid w:val="0000646C"/>
    <w:rsid w:val="00007461"/>
    <w:rsid w:val="00010709"/>
    <w:rsid w:val="00010F9E"/>
    <w:rsid w:val="000120F2"/>
    <w:rsid w:val="00012456"/>
    <w:rsid w:val="00012C95"/>
    <w:rsid w:val="00012F33"/>
    <w:rsid w:val="00013533"/>
    <w:rsid w:val="00016043"/>
    <w:rsid w:val="000178F8"/>
    <w:rsid w:val="00020750"/>
    <w:rsid w:val="00021144"/>
    <w:rsid w:val="00021480"/>
    <w:rsid w:val="00021C4B"/>
    <w:rsid w:val="000222D5"/>
    <w:rsid w:val="00027A2E"/>
    <w:rsid w:val="00027DC3"/>
    <w:rsid w:val="0003097E"/>
    <w:rsid w:val="000317A1"/>
    <w:rsid w:val="00033652"/>
    <w:rsid w:val="000356C4"/>
    <w:rsid w:val="00040B30"/>
    <w:rsid w:val="00041919"/>
    <w:rsid w:val="00043F30"/>
    <w:rsid w:val="00043FF8"/>
    <w:rsid w:val="000446C0"/>
    <w:rsid w:val="00045684"/>
    <w:rsid w:val="00046D56"/>
    <w:rsid w:val="00046F8A"/>
    <w:rsid w:val="000505EB"/>
    <w:rsid w:val="0005088D"/>
    <w:rsid w:val="0005159C"/>
    <w:rsid w:val="000515DB"/>
    <w:rsid w:val="000521BF"/>
    <w:rsid w:val="00052C67"/>
    <w:rsid w:val="00056B57"/>
    <w:rsid w:val="00060041"/>
    <w:rsid w:val="0006213B"/>
    <w:rsid w:val="00062746"/>
    <w:rsid w:val="000637B3"/>
    <w:rsid w:val="00065E45"/>
    <w:rsid w:val="00066E9C"/>
    <w:rsid w:val="00071CC3"/>
    <w:rsid w:val="000763F1"/>
    <w:rsid w:val="00076AE2"/>
    <w:rsid w:val="000818B7"/>
    <w:rsid w:val="00081E83"/>
    <w:rsid w:val="000841A8"/>
    <w:rsid w:val="0008557F"/>
    <w:rsid w:val="00087FF0"/>
    <w:rsid w:val="000903C1"/>
    <w:rsid w:val="00094779"/>
    <w:rsid w:val="0009760A"/>
    <w:rsid w:val="000A0764"/>
    <w:rsid w:val="000A1237"/>
    <w:rsid w:val="000A55A9"/>
    <w:rsid w:val="000A6C02"/>
    <w:rsid w:val="000B2B42"/>
    <w:rsid w:val="000B2D7B"/>
    <w:rsid w:val="000B2F75"/>
    <w:rsid w:val="000B48AE"/>
    <w:rsid w:val="000B603A"/>
    <w:rsid w:val="000B746B"/>
    <w:rsid w:val="000C0490"/>
    <w:rsid w:val="000C12A0"/>
    <w:rsid w:val="000C3447"/>
    <w:rsid w:val="000C3B68"/>
    <w:rsid w:val="000C772D"/>
    <w:rsid w:val="000D1984"/>
    <w:rsid w:val="000D62B6"/>
    <w:rsid w:val="000D65EF"/>
    <w:rsid w:val="000D6A7D"/>
    <w:rsid w:val="000D7294"/>
    <w:rsid w:val="000D7724"/>
    <w:rsid w:val="000D7C85"/>
    <w:rsid w:val="000E0677"/>
    <w:rsid w:val="000E10F7"/>
    <w:rsid w:val="000E25FE"/>
    <w:rsid w:val="000E3740"/>
    <w:rsid w:val="000E3C9A"/>
    <w:rsid w:val="000E7EAE"/>
    <w:rsid w:val="000F0C44"/>
    <w:rsid w:val="000F2028"/>
    <w:rsid w:val="000F285F"/>
    <w:rsid w:val="000F4D2A"/>
    <w:rsid w:val="000F7368"/>
    <w:rsid w:val="00105DF4"/>
    <w:rsid w:val="001117C2"/>
    <w:rsid w:val="00111D7B"/>
    <w:rsid w:val="00112165"/>
    <w:rsid w:val="0011326F"/>
    <w:rsid w:val="00117587"/>
    <w:rsid w:val="001178F6"/>
    <w:rsid w:val="00120591"/>
    <w:rsid w:val="0012164F"/>
    <w:rsid w:val="0012166C"/>
    <w:rsid w:val="001216AC"/>
    <w:rsid w:val="00121B59"/>
    <w:rsid w:val="00124C55"/>
    <w:rsid w:val="00124E90"/>
    <w:rsid w:val="001261D4"/>
    <w:rsid w:val="00126CA1"/>
    <w:rsid w:val="00130B16"/>
    <w:rsid w:val="00130E0A"/>
    <w:rsid w:val="00134D2A"/>
    <w:rsid w:val="00135FB3"/>
    <w:rsid w:val="00140B74"/>
    <w:rsid w:val="0014112C"/>
    <w:rsid w:val="0014123A"/>
    <w:rsid w:val="00142A35"/>
    <w:rsid w:val="00143007"/>
    <w:rsid w:val="00143200"/>
    <w:rsid w:val="00144F33"/>
    <w:rsid w:val="001465D9"/>
    <w:rsid w:val="0014696E"/>
    <w:rsid w:val="00150BC2"/>
    <w:rsid w:val="00151456"/>
    <w:rsid w:val="00152123"/>
    <w:rsid w:val="00152AFE"/>
    <w:rsid w:val="00152F33"/>
    <w:rsid w:val="00152FA5"/>
    <w:rsid w:val="00156B00"/>
    <w:rsid w:val="00156B03"/>
    <w:rsid w:val="0015749E"/>
    <w:rsid w:val="001612F8"/>
    <w:rsid w:val="001617D0"/>
    <w:rsid w:val="00162E14"/>
    <w:rsid w:val="001630DC"/>
    <w:rsid w:val="001644A0"/>
    <w:rsid w:val="001644A3"/>
    <w:rsid w:val="0016491A"/>
    <w:rsid w:val="00166462"/>
    <w:rsid w:val="00171CB2"/>
    <w:rsid w:val="00171F91"/>
    <w:rsid w:val="00173047"/>
    <w:rsid w:val="0018066C"/>
    <w:rsid w:val="001809C5"/>
    <w:rsid w:val="00180ABE"/>
    <w:rsid w:val="00181179"/>
    <w:rsid w:val="001817AD"/>
    <w:rsid w:val="00181B23"/>
    <w:rsid w:val="001827BF"/>
    <w:rsid w:val="00182E32"/>
    <w:rsid w:val="00185391"/>
    <w:rsid w:val="00186743"/>
    <w:rsid w:val="001873FE"/>
    <w:rsid w:val="0018747B"/>
    <w:rsid w:val="00187886"/>
    <w:rsid w:val="00192270"/>
    <w:rsid w:val="00196226"/>
    <w:rsid w:val="00197F8F"/>
    <w:rsid w:val="001A007E"/>
    <w:rsid w:val="001A35BC"/>
    <w:rsid w:val="001A496C"/>
    <w:rsid w:val="001A6698"/>
    <w:rsid w:val="001A76AB"/>
    <w:rsid w:val="001A76CF"/>
    <w:rsid w:val="001B00E6"/>
    <w:rsid w:val="001B06D4"/>
    <w:rsid w:val="001B15A7"/>
    <w:rsid w:val="001B5147"/>
    <w:rsid w:val="001B7A77"/>
    <w:rsid w:val="001C0C2E"/>
    <w:rsid w:val="001C7E97"/>
    <w:rsid w:val="001D4A35"/>
    <w:rsid w:val="001D4E11"/>
    <w:rsid w:val="001D7CA4"/>
    <w:rsid w:val="001E00FC"/>
    <w:rsid w:val="001E10EA"/>
    <w:rsid w:val="001E1A33"/>
    <w:rsid w:val="001E207F"/>
    <w:rsid w:val="001E4E81"/>
    <w:rsid w:val="001E6077"/>
    <w:rsid w:val="001F22E7"/>
    <w:rsid w:val="001F4264"/>
    <w:rsid w:val="00204BD0"/>
    <w:rsid w:val="0020642E"/>
    <w:rsid w:val="00206639"/>
    <w:rsid w:val="002069A8"/>
    <w:rsid w:val="00206BB3"/>
    <w:rsid w:val="00207C5A"/>
    <w:rsid w:val="00207DC8"/>
    <w:rsid w:val="00211146"/>
    <w:rsid w:val="002119FB"/>
    <w:rsid w:val="00214318"/>
    <w:rsid w:val="00214610"/>
    <w:rsid w:val="002154BE"/>
    <w:rsid w:val="00217BBB"/>
    <w:rsid w:val="00222CFC"/>
    <w:rsid w:val="002263B3"/>
    <w:rsid w:val="00226598"/>
    <w:rsid w:val="00226D28"/>
    <w:rsid w:val="00230220"/>
    <w:rsid w:val="0023772B"/>
    <w:rsid w:val="00240632"/>
    <w:rsid w:val="0024121D"/>
    <w:rsid w:val="00242D03"/>
    <w:rsid w:val="0024436C"/>
    <w:rsid w:val="00244A09"/>
    <w:rsid w:val="00244CC1"/>
    <w:rsid w:val="00245529"/>
    <w:rsid w:val="00246703"/>
    <w:rsid w:val="00252D14"/>
    <w:rsid w:val="00254D10"/>
    <w:rsid w:val="00255508"/>
    <w:rsid w:val="002561B9"/>
    <w:rsid w:val="00256BC8"/>
    <w:rsid w:val="00260F32"/>
    <w:rsid w:val="00261F7F"/>
    <w:rsid w:val="00263093"/>
    <w:rsid w:val="00264B89"/>
    <w:rsid w:val="0026611F"/>
    <w:rsid w:val="002677EF"/>
    <w:rsid w:val="00267856"/>
    <w:rsid w:val="00270F2B"/>
    <w:rsid w:val="0027117C"/>
    <w:rsid w:val="0027232A"/>
    <w:rsid w:val="00274C0D"/>
    <w:rsid w:val="00280494"/>
    <w:rsid w:val="0028075E"/>
    <w:rsid w:val="002832DA"/>
    <w:rsid w:val="002835ED"/>
    <w:rsid w:val="00283D03"/>
    <w:rsid w:val="002843A1"/>
    <w:rsid w:val="002850FF"/>
    <w:rsid w:val="002861B6"/>
    <w:rsid w:val="00290E64"/>
    <w:rsid w:val="00293003"/>
    <w:rsid w:val="0029437C"/>
    <w:rsid w:val="0029499F"/>
    <w:rsid w:val="002A028B"/>
    <w:rsid w:val="002A2918"/>
    <w:rsid w:val="002A43A4"/>
    <w:rsid w:val="002A64EE"/>
    <w:rsid w:val="002A74E1"/>
    <w:rsid w:val="002A756F"/>
    <w:rsid w:val="002B552F"/>
    <w:rsid w:val="002B62A0"/>
    <w:rsid w:val="002B6A78"/>
    <w:rsid w:val="002B6CE1"/>
    <w:rsid w:val="002C0D75"/>
    <w:rsid w:val="002C0ECB"/>
    <w:rsid w:val="002C12FC"/>
    <w:rsid w:val="002C1DAC"/>
    <w:rsid w:val="002C48E7"/>
    <w:rsid w:val="002C558A"/>
    <w:rsid w:val="002D006E"/>
    <w:rsid w:val="002D2879"/>
    <w:rsid w:val="002D46F0"/>
    <w:rsid w:val="002D4EC2"/>
    <w:rsid w:val="002E069A"/>
    <w:rsid w:val="002E1BC3"/>
    <w:rsid w:val="002E3C6D"/>
    <w:rsid w:val="002E3D93"/>
    <w:rsid w:val="002E51DE"/>
    <w:rsid w:val="002E57FB"/>
    <w:rsid w:val="002E768D"/>
    <w:rsid w:val="002E7CF3"/>
    <w:rsid w:val="002F05EC"/>
    <w:rsid w:val="002F0A06"/>
    <w:rsid w:val="002F0A33"/>
    <w:rsid w:val="002F0BD5"/>
    <w:rsid w:val="002F1A9A"/>
    <w:rsid w:val="002F28D4"/>
    <w:rsid w:val="002F6E9E"/>
    <w:rsid w:val="00300C59"/>
    <w:rsid w:val="00302481"/>
    <w:rsid w:val="00302B8E"/>
    <w:rsid w:val="00303779"/>
    <w:rsid w:val="00305758"/>
    <w:rsid w:val="003063A4"/>
    <w:rsid w:val="003078D4"/>
    <w:rsid w:val="003078DD"/>
    <w:rsid w:val="003116C5"/>
    <w:rsid w:val="003147E9"/>
    <w:rsid w:val="00317F6A"/>
    <w:rsid w:val="003200B8"/>
    <w:rsid w:val="003215A7"/>
    <w:rsid w:val="003217CF"/>
    <w:rsid w:val="00322511"/>
    <w:rsid w:val="00322850"/>
    <w:rsid w:val="0033774F"/>
    <w:rsid w:val="003377D5"/>
    <w:rsid w:val="00337993"/>
    <w:rsid w:val="003421DE"/>
    <w:rsid w:val="00344460"/>
    <w:rsid w:val="00345D0C"/>
    <w:rsid w:val="003517F8"/>
    <w:rsid w:val="003558D2"/>
    <w:rsid w:val="003564A5"/>
    <w:rsid w:val="00356954"/>
    <w:rsid w:val="00357C43"/>
    <w:rsid w:val="003600A3"/>
    <w:rsid w:val="00363D30"/>
    <w:rsid w:val="003641A4"/>
    <w:rsid w:val="003660A1"/>
    <w:rsid w:val="00366330"/>
    <w:rsid w:val="00367FD7"/>
    <w:rsid w:val="00370613"/>
    <w:rsid w:val="003714DE"/>
    <w:rsid w:val="00371FE9"/>
    <w:rsid w:val="003735B7"/>
    <w:rsid w:val="003747FD"/>
    <w:rsid w:val="00375625"/>
    <w:rsid w:val="00376893"/>
    <w:rsid w:val="00377DAF"/>
    <w:rsid w:val="00377FD7"/>
    <w:rsid w:val="00380A8B"/>
    <w:rsid w:val="003819B1"/>
    <w:rsid w:val="003840C6"/>
    <w:rsid w:val="0038584E"/>
    <w:rsid w:val="00387D9F"/>
    <w:rsid w:val="00390518"/>
    <w:rsid w:val="003910C0"/>
    <w:rsid w:val="00391349"/>
    <w:rsid w:val="00391F34"/>
    <w:rsid w:val="003950FD"/>
    <w:rsid w:val="00396D51"/>
    <w:rsid w:val="003A1D7A"/>
    <w:rsid w:val="003A2F16"/>
    <w:rsid w:val="003A429A"/>
    <w:rsid w:val="003A65F6"/>
    <w:rsid w:val="003A7313"/>
    <w:rsid w:val="003A7FB7"/>
    <w:rsid w:val="003B0489"/>
    <w:rsid w:val="003B2AD3"/>
    <w:rsid w:val="003B2E64"/>
    <w:rsid w:val="003B6C82"/>
    <w:rsid w:val="003B7EED"/>
    <w:rsid w:val="003C120B"/>
    <w:rsid w:val="003C1F91"/>
    <w:rsid w:val="003C43FB"/>
    <w:rsid w:val="003C5BBF"/>
    <w:rsid w:val="003D3040"/>
    <w:rsid w:val="003D38A7"/>
    <w:rsid w:val="003E19AF"/>
    <w:rsid w:val="003E3C7E"/>
    <w:rsid w:val="003E5AEE"/>
    <w:rsid w:val="003E691D"/>
    <w:rsid w:val="003F0178"/>
    <w:rsid w:val="003F3330"/>
    <w:rsid w:val="003F35D5"/>
    <w:rsid w:val="003F4092"/>
    <w:rsid w:val="003F440D"/>
    <w:rsid w:val="003F4AAC"/>
    <w:rsid w:val="00400101"/>
    <w:rsid w:val="00400271"/>
    <w:rsid w:val="00405933"/>
    <w:rsid w:val="00405A82"/>
    <w:rsid w:val="004063CE"/>
    <w:rsid w:val="00406959"/>
    <w:rsid w:val="00406DBA"/>
    <w:rsid w:val="00407010"/>
    <w:rsid w:val="004103A0"/>
    <w:rsid w:val="00411626"/>
    <w:rsid w:val="00412248"/>
    <w:rsid w:val="004127D0"/>
    <w:rsid w:val="00412EC0"/>
    <w:rsid w:val="0041485E"/>
    <w:rsid w:val="0041677A"/>
    <w:rsid w:val="004179C8"/>
    <w:rsid w:val="00420560"/>
    <w:rsid w:val="0042183B"/>
    <w:rsid w:val="004222C5"/>
    <w:rsid w:val="004237DF"/>
    <w:rsid w:val="00426BD5"/>
    <w:rsid w:val="0042746E"/>
    <w:rsid w:val="00427BBB"/>
    <w:rsid w:val="00431749"/>
    <w:rsid w:val="00431982"/>
    <w:rsid w:val="00435FF2"/>
    <w:rsid w:val="004405BF"/>
    <w:rsid w:val="00441AA9"/>
    <w:rsid w:val="00441F39"/>
    <w:rsid w:val="0044342B"/>
    <w:rsid w:val="00443646"/>
    <w:rsid w:val="00444881"/>
    <w:rsid w:val="00450921"/>
    <w:rsid w:val="0045481D"/>
    <w:rsid w:val="00454F4D"/>
    <w:rsid w:val="0046023F"/>
    <w:rsid w:val="0046046E"/>
    <w:rsid w:val="0046104B"/>
    <w:rsid w:val="004620FA"/>
    <w:rsid w:val="00462D0B"/>
    <w:rsid w:val="00464372"/>
    <w:rsid w:val="00465410"/>
    <w:rsid w:val="00470CBD"/>
    <w:rsid w:val="00472307"/>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A00E2"/>
    <w:rsid w:val="004A1449"/>
    <w:rsid w:val="004A2F0F"/>
    <w:rsid w:val="004A362D"/>
    <w:rsid w:val="004A43CC"/>
    <w:rsid w:val="004B03DE"/>
    <w:rsid w:val="004B05F7"/>
    <w:rsid w:val="004B0791"/>
    <w:rsid w:val="004B35C8"/>
    <w:rsid w:val="004B46A3"/>
    <w:rsid w:val="004B4EF4"/>
    <w:rsid w:val="004C11C4"/>
    <w:rsid w:val="004C352A"/>
    <w:rsid w:val="004C6CC5"/>
    <w:rsid w:val="004C715D"/>
    <w:rsid w:val="004D1FFC"/>
    <w:rsid w:val="004D5C73"/>
    <w:rsid w:val="004E0D31"/>
    <w:rsid w:val="004E2BF1"/>
    <w:rsid w:val="004E5D48"/>
    <w:rsid w:val="004E7782"/>
    <w:rsid w:val="004E7BE2"/>
    <w:rsid w:val="004F1164"/>
    <w:rsid w:val="004F15BA"/>
    <w:rsid w:val="004F3304"/>
    <w:rsid w:val="004F5B8F"/>
    <w:rsid w:val="004F67DA"/>
    <w:rsid w:val="004F782A"/>
    <w:rsid w:val="00501B2D"/>
    <w:rsid w:val="00504289"/>
    <w:rsid w:val="00506EC4"/>
    <w:rsid w:val="005134C9"/>
    <w:rsid w:val="00513591"/>
    <w:rsid w:val="00514A60"/>
    <w:rsid w:val="00515252"/>
    <w:rsid w:val="005154D6"/>
    <w:rsid w:val="005172C6"/>
    <w:rsid w:val="005219CF"/>
    <w:rsid w:val="0052351C"/>
    <w:rsid w:val="00523E93"/>
    <w:rsid w:val="00524507"/>
    <w:rsid w:val="00524ACB"/>
    <w:rsid w:val="00525B7E"/>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4D6F"/>
    <w:rsid w:val="005463DB"/>
    <w:rsid w:val="005475F7"/>
    <w:rsid w:val="00551866"/>
    <w:rsid w:val="00551F3A"/>
    <w:rsid w:val="00556AC8"/>
    <w:rsid w:val="005573F3"/>
    <w:rsid w:val="00557D16"/>
    <w:rsid w:val="005607C9"/>
    <w:rsid w:val="005611A6"/>
    <w:rsid w:val="00561335"/>
    <w:rsid w:val="00562389"/>
    <w:rsid w:val="005626E0"/>
    <w:rsid w:val="0056274A"/>
    <w:rsid w:val="00563876"/>
    <w:rsid w:val="00563F43"/>
    <w:rsid w:val="005643C5"/>
    <w:rsid w:val="0056619E"/>
    <w:rsid w:val="0056623B"/>
    <w:rsid w:val="00567FC5"/>
    <w:rsid w:val="00572058"/>
    <w:rsid w:val="005738A0"/>
    <w:rsid w:val="00576897"/>
    <w:rsid w:val="0057746D"/>
    <w:rsid w:val="00577AB2"/>
    <w:rsid w:val="00580595"/>
    <w:rsid w:val="0058061F"/>
    <w:rsid w:val="005820A9"/>
    <w:rsid w:val="005838B4"/>
    <w:rsid w:val="00583E7C"/>
    <w:rsid w:val="00584E02"/>
    <w:rsid w:val="005916D2"/>
    <w:rsid w:val="005939C1"/>
    <w:rsid w:val="00593A8A"/>
    <w:rsid w:val="00596032"/>
    <w:rsid w:val="00596216"/>
    <w:rsid w:val="005A28B6"/>
    <w:rsid w:val="005A4901"/>
    <w:rsid w:val="005A675D"/>
    <w:rsid w:val="005B2143"/>
    <w:rsid w:val="005B3DE7"/>
    <w:rsid w:val="005B500A"/>
    <w:rsid w:val="005B5E21"/>
    <w:rsid w:val="005B629A"/>
    <w:rsid w:val="005B774B"/>
    <w:rsid w:val="005C0E05"/>
    <w:rsid w:val="005C10C9"/>
    <w:rsid w:val="005C12A4"/>
    <w:rsid w:val="005C1AED"/>
    <w:rsid w:val="005C1C67"/>
    <w:rsid w:val="005C2F83"/>
    <w:rsid w:val="005C55ED"/>
    <w:rsid w:val="005C68CA"/>
    <w:rsid w:val="005C6B50"/>
    <w:rsid w:val="005D0285"/>
    <w:rsid w:val="005D0CDE"/>
    <w:rsid w:val="005D3558"/>
    <w:rsid w:val="005D3C29"/>
    <w:rsid w:val="005D759D"/>
    <w:rsid w:val="005E01D4"/>
    <w:rsid w:val="005E513B"/>
    <w:rsid w:val="005E7108"/>
    <w:rsid w:val="005F0A50"/>
    <w:rsid w:val="005F2929"/>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2C90"/>
    <w:rsid w:val="00615E89"/>
    <w:rsid w:val="00617678"/>
    <w:rsid w:val="00620FD4"/>
    <w:rsid w:val="00623688"/>
    <w:rsid w:val="0062370A"/>
    <w:rsid w:val="00623F94"/>
    <w:rsid w:val="006243CC"/>
    <w:rsid w:val="00625C24"/>
    <w:rsid w:val="00625E46"/>
    <w:rsid w:val="006322DD"/>
    <w:rsid w:val="00633A78"/>
    <w:rsid w:val="006347C0"/>
    <w:rsid w:val="0063541B"/>
    <w:rsid w:val="0063692D"/>
    <w:rsid w:val="00637DDD"/>
    <w:rsid w:val="0064122E"/>
    <w:rsid w:val="0064704F"/>
    <w:rsid w:val="00647951"/>
    <w:rsid w:val="00647CE2"/>
    <w:rsid w:val="00650847"/>
    <w:rsid w:val="00650ACC"/>
    <w:rsid w:val="006531D6"/>
    <w:rsid w:val="00653DCD"/>
    <w:rsid w:val="0065555A"/>
    <w:rsid w:val="006562D9"/>
    <w:rsid w:val="006571D2"/>
    <w:rsid w:val="006571FF"/>
    <w:rsid w:val="0066040D"/>
    <w:rsid w:val="00660E00"/>
    <w:rsid w:val="00661999"/>
    <w:rsid w:val="00661EED"/>
    <w:rsid w:val="006624D7"/>
    <w:rsid w:val="0066711C"/>
    <w:rsid w:val="00671B10"/>
    <w:rsid w:val="0067250E"/>
    <w:rsid w:val="00674A7C"/>
    <w:rsid w:val="00683538"/>
    <w:rsid w:val="00686250"/>
    <w:rsid w:val="00690A8D"/>
    <w:rsid w:val="006914F3"/>
    <w:rsid w:val="0069287A"/>
    <w:rsid w:val="00692EFE"/>
    <w:rsid w:val="00693BAF"/>
    <w:rsid w:val="0069412C"/>
    <w:rsid w:val="00694A73"/>
    <w:rsid w:val="006965F8"/>
    <w:rsid w:val="00696BDA"/>
    <w:rsid w:val="00697B54"/>
    <w:rsid w:val="006A36B9"/>
    <w:rsid w:val="006A3D47"/>
    <w:rsid w:val="006A4285"/>
    <w:rsid w:val="006A53D8"/>
    <w:rsid w:val="006A5BFE"/>
    <w:rsid w:val="006A6533"/>
    <w:rsid w:val="006A6FAC"/>
    <w:rsid w:val="006B0205"/>
    <w:rsid w:val="006B0402"/>
    <w:rsid w:val="006B11A4"/>
    <w:rsid w:val="006B200C"/>
    <w:rsid w:val="006B2BE2"/>
    <w:rsid w:val="006B4206"/>
    <w:rsid w:val="006B4C3F"/>
    <w:rsid w:val="006B5BFA"/>
    <w:rsid w:val="006B6A9B"/>
    <w:rsid w:val="006B71A4"/>
    <w:rsid w:val="006B7800"/>
    <w:rsid w:val="006C3153"/>
    <w:rsid w:val="006C31BD"/>
    <w:rsid w:val="006C4690"/>
    <w:rsid w:val="006C5B7B"/>
    <w:rsid w:val="006C6BC8"/>
    <w:rsid w:val="006C76B2"/>
    <w:rsid w:val="006C7D65"/>
    <w:rsid w:val="006D00C3"/>
    <w:rsid w:val="006D258F"/>
    <w:rsid w:val="006D5678"/>
    <w:rsid w:val="006D5CDC"/>
    <w:rsid w:val="006D6F07"/>
    <w:rsid w:val="006E2736"/>
    <w:rsid w:val="006E55DF"/>
    <w:rsid w:val="006E56E7"/>
    <w:rsid w:val="006F17A9"/>
    <w:rsid w:val="006F2ED9"/>
    <w:rsid w:val="006F3F3B"/>
    <w:rsid w:val="006F5682"/>
    <w:rsid w:val="006F5C74"/>
    <w:rsid w:val="006F6478"/>
    <w:rsid w:val="006F7C84"/>
    <w:rsid w:val="006F7DA9"/>
    <w:rsid w:val="006F7F61"/>
    <w:rsid w:val="007028B3"/>
    <w:rsid w:val="00702A4D"/>
    <w:rsid w:val="0070318D"/>
    <w:rsid w:val="00703CD0"/>
    <w:rsid w:val="007045D2"/>
    <w:rsid w:val="0070582B"/>
    <w:rsid w:val="00706590"/>
    <w:rsid w:val="00706D2B"/>
    <w:rsid w:val="00710C5B"/>
    <w:rsid w:val="007129A6"/>
    <w:rsid w:val="00714D85"/>
    <w:rsid w:val="007152BF"/>
    <w:rsid w:val="00716B4A"/>
    <w:rsid w:val="00721C06"/>
    <w:rsid w:val="007239F5"/>
    <w:rsid w:val="0072461F"/>
    <w:rsid w:val="007251C2"/>
    <w:rsid w:val="00726047"/>
    <w:rsid w:val="0072643A"/>
    <w:rsid w:val="007305E0"/>
    <w:rsid w:val="00730FBC"/>
    <w:rsid w:val="00731302"/>
    <w:rsid w:val="00731CBD"/>
    <w:rsid w:val="00732235"/>
    <w:rsid w:val="00732E8E"/>
    <w:rsid w:val="00733C05"/>
    <w:rsid w:val="00734E43"/>
    <w:rsid w:val="00735376"/>
    <w:rsid w:val="00737F36"/>
    <w:rsid w:val="00741864"/>
    <w:rsid w:val="00742267"/>
    <w:rsid w:val="00744765"/>
    <w:rsid w:val="00744FF8"/>
    <w:rsid w:val="0074688A"/>
    <w:rsid w:val="0075010F"/>
    <w:rsid w:val="007503D1"/>
    <w:rsid w:val="00751054"/>
    <w:rsid w:val="00751B92"/>
    <w:rsid w:val="00751D4F"/>
    <w:rsid w:val="007525AE"/>
    <w:rsid w:val="007531D9"/>
    <w:rsid w:val="007546C3"/>
    <w:rsid w:val="00757ABF"/>
    <w:rsid w:val="00757B8C"/>
    <w:rsid w:val="00760E29"/>
    <w:rsid w:val="00764BA4"/>
    <w:rsid w:val="007653B0"/>
    <w:rsid w:val="00765980"/>
    <w:rsid w:val="00766850"/>
    <w:rsid w:val="00767146"/>
    <w:rsid w:val="00767464"/>
    <w:rsid w:val="007676F9"/>
    <w:rsid w:val="00770533"/>
    <w:rsid w:val="00772A21"/>
    <w:rsid w:val="00773922"/>
    <w:rsid w:val="00775B42"/>
    <w:rsid w:val="00775E68"/>
    <w:rsid w:val="007767A9"/>
    <w:rsid w:val="00777446"/>
    <w:rsid w:val="007776A6"/>
    <w:rsid w:val="00780254"/>
    <w:rsid w:val="007822C4"/>
    <w:rsid w:val="0078241C"/>
    <w:rsid w:val="007924A3"/>
    <w:rsid w:val="00793159"/>
    <w:rsid w:val="00793699"/>
    <w:rsid w:val="007941E5"/>
    <w:rsid w:val="00794D00"/>
    <w:rsid w:val="00795FED"/>
    <w:rsid w:val="007964A2"/>
    <w:rsid w:val="007965C3"/>
    <w:rsid w:val="007965FF"/>
    <w:rsid w:val="007A0C6E"/>
    <w:rsid w:val="007A0F4D"/>
    <w:rsid w:val="007A22B7"/>
    <w:rsid w:val="007A24D6"/>
    <w:rsid w:val="007A416A"/>
    <w:rsid w:val="007A5F1B"/>
    <w:rsid w:val="007A73C2"/>
    <w:rsid w:val="007A775E"/>
    <w:rsid w:val="007A7FA8"/>
    <w:rsid w:val="007B059B"/>
    <w:rsid w:val="007B160B"/>
    <w:rsid w:val="007B241B"/>
    <w:rsid w:val="007B26EC"/>
    <w:rsid w:val="007B501F"/>
    <w:rsid w:val="007B5683"/>
    <w:rsid w:val="007B5FA4"/>
    <w:rsid w:val="007B6040"/>
    <w:rsid w:val="007B742B"/>
    <w:rsid w:val="007C0665"/>
    <w:rsid w:val="007C0750"/>
    <w:rsid w:val="007C11A8"/>
    <w:rsid w:val="007C3607"/>
    <w:rsid w:val="007C3BD7"/>
    <w:rsid w:val="007C5354"/>
    <w:rsid w:val="007C559A"/>
    <w:rsid w:val="007C6DBF"/>
    <w:rsid w:val="007D26E5"/>
    <w:rsid w:val="007D3283"/>
    <w:rsid w:val="007D6A14"/>
    <w:rsid w:val="007D73E2"/>
    <w:rsid w:val="007E181A"/>
    <w:rsid w:val="007E1DA0"/>
    <w:rsid w:val="007E1EF1"/>
    <w:rsid w:val="007E2455"/>
    <w:rsid w:val="007E68EB"/>
    <w:rsid w:val="007E732F"/>
    <w:rsid w:val="007F1BCD"/>
    <w:rsid w:val="007F1C44"/>
    <w:rsid w:val="007F774D"/>
    <w:rsid w:val="00801837"/>
    <w:rsid w:val="00801E38"/>
    <w:rsid w:val="008031F9"/>
    <w:rsid w:val="00803BA3"/>
    <w:rsid w:val="00804657"/>
    <w:rsid w:val="008059B1"/>
    <w:rsid w:val="008059F5"/>
    <w:rsid w:val="00807B11"/>
    <w:rsid w:val="00807EE8"/>
    <w:rsid w:val="008141E2"/>
    <w:rsid w:val="008143F7"/>
    <w:rsid w:val="00815A3F"/>
    <w:rsid w:val="0082030A"/>
    <w:rsid w:val="00820D5E"/>
    <w:rsid w:val="00821D54"/>
    <w:rsid w:val="008241D8"/>
    <w:rsid w:val="00824EF5"/>
    <w:rsid w:val="00824F4A"/>
    <w:rsid w:val="00825406"/>
    <w:rsid w:val="0082566B"/>
    <w:rsid w:val="008266F7"/>
    <w:rsid w:val="00826C7C"/>
    <w:rsid w:val="008308FC"/>
    <w:rsid w:val="00832116"/>
    <w:rsid w:val="008339D1"/>
    <w:rsid w:val="00834733"/>
    <w:rsid w:val="00835890"/>
    <w:rsid w:val="008368A8"/>
    <w:rsid w:val="00837365"/>
    <w:rsid w:val="0084057F"/>
    <w:rsid w:val="00840681"/>
    <w:rsid w:val="00840A39"/>
    <w:rsid w:val="008416A7"/>
    <w:rsid w:val="008449DF"/>
    <w:rsid w:val="0084540E"/>
    <w:rsid w:val="00851401"/>
    <w:rsid w:val="00853324"/>
    <w:rsid w:val="008544BC"/>
    <w:rsid w:val="00857196"/>
    <w:rsid w:val="00857C13"/>
    <w:rsid w:val="0086309F"/>
    <w:rsid w:val="0086311B"/>
    <w:rsid w:val="008654FD"/>
    <w:rsid w:val="00866A9B"/>
    <w:rsid w:val="00867F63"/>
    <w:rsid w:val="008700C2"/>
    <w:rsid w:val="00871B10"/>
    <w:rsid w:val="008736EB"/>
    <w:rsid w:val="00875BCD"/>
    <w:rsid w:val="0087699F"/>
    <w:rsid w:val="008773A3"/>
    <w:rsid w:val="00881C8A"/>
    <w:rsid w:val="008823E6"/>
    <w:rsid w:val="008825A5"/>
    <w:rsid w:val="00883133"/>
    <w:rsid w:val="00883692"/>
    <w:rsid w:val="00883F07"/>
    <w:rsid w:val="0088764F"/>
    <w:rsid w:val="00891178"/>
    <w:rsid w:val="00891376"/>
    <w:rsid w:val="00894DE8"/>
    <w:rsid w:val="00894FE3"/>
    <w:rsid w:val="008950E2"/>
    <w:rsid w:val="00895629"/>
    <w:rsid w:val="00897406"/>
    <w:rsid w:val="0089783A"/>
    <w:rsid w:val="00897A22"/>
    <w:rsid w:val="008A1FE1"/>
    <w:rsid w:val="008A4DB4"/>
    <w:rsid w:val="008A52AE"/>
    <w:rsid w:val="008A5681"/>
    <w:rsid w:val="008A57C8"/>
    <w:rsid w:val="008A58F5"/>
    <w:rsid w:val="008A643C"/>
    <w:rsid w:val="008B0F73"/>
    <w:rsid w:val="008B2F87"/>
    <w:rsid w:val="008B383A"/>
    <w:rsid w:val="008B48F3"/>
    <w:rsid w:val="008B4C83"/>
    <w:rsid w:val="008B5057"/>
    <w:rsid w:val="008B59B5"/>
    <w:rsid w:val="008B6C3B"/>
    <w:rsid w:val="008B7AEA"/>
    <w:rsid w:val="008C5749"/>
    <w:rsid w:val="008D03D9"/>
    <w:rsid w:val="008D1F20"/>
    <w:rsid w:val="008D46D4"/>
    <w:rsid w:val="008D7A1E"/>
    <w:rsid w:val="008E075B"/>
    <w:rsid w:val="008E1B21"/>
    <w:rsid w:val="008E1EC6"/>
    <w:rsid w:val="008E2841"/>
    <w:rsid w:val="008E672D"/>
    <w:rsid w:val="008E7D98"/>
    <w:rsid w:val="008F0BC5"/>
    <w:rsid w:val="008F1820"/>
    <w:rsid w:val="008F4BAE"/>
    <w:rsid w:val="008F4F08"/>
    <w:rsid w:val="00900190"/>
    <w:rsid w:val="00900EB6"/>
    <w:rsid w:val="00901BB8"/>
    <w:rsid w:val="0090248F"/>
    <w:rsid w:val="00902942"/>
    <w:rsid w:val="00902F6A"/>
    <w:rsid w:val="009063AA"/>
    <w:rsid w:val="00906B1C"/>
    <w:rsid w:val="009106ED"/>
    <w:rsid w:val="00912ECE"/>
    <w:rsid w:val="0091536C"/>
    <w:rsid w:val="009161AD"/>
    <w:rsid w:val="0091686D"/>
    <w:rsid w:val="009168DB"/>
    <w:rsid w:val="00917EB8"/>
    <w:rsid w:val="009237E8"/>
    <w:rsid w:val="00927E38"/>
    <w:rsid w:val="00931848"/>
    <w:rsid w:val="00942ACF"/>
    <w:rsid w:val="0094411B"/>
    <w:rsid w:val="00947B47"/>
    <w:rsid w:val="00947F24"/>
    <w:rsid w:val="00956997"/>
    <w:rsid w:val="00957087"/>
    <w:rsid w:val="00960B2B"/>
    <w:rsid w:val="009623A8"/>
    <w:rsid w:val="009624C6"/>
    <w:rsid w:val="009659A2"/>
    <w:rsid w:val="00966976"/>
    <w:rsid w:val="00970097"/>
    <w:rsid w:val="00970DF6"/>
    <w:rsid w:val="0097177D"/>
    <w:rsid w:val="00972A23"/>
    <w:rsid w:val="00980E7D"/>
    <w:rsid w:val="0098123A"/>
    <w:rsid w:val="009819F4"/>
    <w:rsid w:val="009831E4"/>
    <w:rsid w:val="009832F8"/>
    <w:rsid w:val="00983F30"/>
    <w:rsid w:val="00985427"/>
    <w:rsid w:val="00986B0D"/>
    <w:rsid w:val="00986FDF"/>
    <w:rsid w:val="00992281"/>
    <w:rsid w:val="00996246"/>
    <w:rsid w:val="00996B2E"/>
    <w:rsid w:val="00997824"/>
    <w:rsid w:val="009A1DB6"/>
    <w:rsid w:val="009A24BD"/>
    <w:rsid w:val="009A2B83"/>
    <w:rsid w:val="009A3A3B"/>
    <w:rsid w:val="009A6C8C"/>
    <w:rsid w:val="009A71A2"/>
    <w:rsid w:val="009A7235"/>
    <w:rsid w:val="009A7A06"/>
    <w:rsid w:val="009B0922"/>
    <w:rsid w:val="009B1A51"/>
    <w:rsid w:val="009B2B80"/>
    <w:rsid w:val="009B7112"/>
    <w:rsid w:val="009C0270"/>
    <w:rsid w:val="009C0B57"/>
    <w:rsid w:val="009C453E"/>
    <w:rsid w:val="009C4D63"/>
    <w:rsid w:val="009C5095"/>
    <w:rsid w:val="009C5270"/>
    <w:rsid w:val="009C6109"/>
    <w:rsid w:val="009C6269"/>
    <w:rsid w:val="009C6EA9"/>
    <w:rsid w:val="009D30F1"/>
    <w:rsid w:val="009D4559"/>
    <w:rsid w:val="009D4B17"/>
    <w:rsid w:val="009D6706"/>
    <w:rsid w:val="009D7587"/>
    <w:rsid w:val="009E289E"/>
    <w:rsid w:val="009E4973"/>
    <w:rsid w:val="009E4A26"/>
    <w:rsid w:val="009E577C"/>
    <w:rsid w:val="009E590B"/>
    <w:rsid w:val="009E611A"/>
    <w:rsid w:val="009E6915"/>
    <w:rsid w:val="009E6A77"/>
    <w:rsid w:val="009F0794"/>
    <w:rsid w:val="009F09E1"/>
    <w:rsid w:val="009F18B6"/>
    <w:rsid w:val="009F373D"/>
    <w:rsid w:val="009F3DF7"/>
    <w:rsid w:val="009F4FF1"/>
    <w:rsid w:val="009F7377"/>
    <w:rsid w:val="009F7F3E"/>
    <w:rsid w:val="00A11160"/>
    <w:rsid w:val="00A1717D"/>
    <w:rsid w:val="00A1769E"/>
    <w:rsid w:val="00A214D1"/>
    <w:rsid w:val="00A2188D"/>
    <w:rsid w:val="00A22602"/>
    <w:rsid w:val="00A229EF"/>
    <w:rsid w:val="00A252F8"/>
    <w:rsid w:val="00A257CF"/>
    <w:rsid w:val="00A26CAA"/>
    <w:rsid w:val="00A32287"/>
    <w:rsid w:val="00A323F7"/>
    <w:rsid w:val="00A32D6F"/>
    <w:rsid w:val="00A35A27"/>
    <w:rsid w:val="00A360F4"/>
    <w:rsid w:val="00A37DD6"/>
    <w:rsid w:val="00A41266"/>
    <w:rsid w:val="00A41520"/>
    <w:rsid w:val="00A42A73"/>
    <w:rsid w:val="00A42D79"/>
    <w:rsid w:val="00A4379D"/>
    <w:rsid w:val="00A43F32"/>
    <w:rsid w:val="00A46103"/>
    <w:rsid w:val="00A46BBC"/>
    <w:rsid w:val="00A502B9"/>
    <w:rsid w:val="00A514DA"/>
    <w:rsid w:val="00A5351E"/>
    <w:rsid w:val="00A54324"/>
    <w:rsid w:val="00A55225"/>
    <w:rsid w:val="00A56A25"/>
    <w:rsid w:val="00A5788F"/>
    <w:rsid w:val="00A57D3A"/>
    <w:rsid w:val="00A6027F"/>
    <w:rsid w:val="00A613B1"/>
    <w:rsid w:val="00A61FEA"/>
    <w:rsid w:val="00A63757"/>
    <w:rsid w:val="00A63F63"/>
    <w:rsid w:val="00A64615"/>
    <w:rsid w:val="00A64D39"/>
    <w:rsid w:val="00A64F4E"/>
    <w:rsid w:val="00A652BE"/>
    <w:rsid w:val="00A67D4B"/>
    <w:rsid w:val="00A72438"/>
    <w:rsid w:val="00A74341"/>
    <w:rsid w:val="00A7570B"/>
    <w:rsid w:val="00A77F9E"/>
    <w:rsid w:val="00A81EB5"/>
    <w:rsid w:val="00A83018"/>
    <w:rsid w:val="00A84A9D"/>
    <w:rsid w:val="00A86DC2"/>
    <w:rsid w:val="00A90464"/>
    <w:rsid w:val="00A9060D"/>
    <w:rsid w:val="00A906EA"/>
    <w:rsid w:val="00A92AD3"/>
    <w:rsid w:val="00A933D3"/>
    <w:rsid w:val="00A94001"/>
    <w:rsid w:val="00A941B2"/>
    <w:rsid w:val="00A945AA"/>
    <w:rsid w:val="00A95CA2"/>
    <w:rsid w:val="00A97F38"/>
    <w:rsid w:val="00AA1685"/>
    <w:rsid w:val="00AA373D"/>
    <w:rsid w:val="00AA4749"/>
    <w:rsid w:val="00AA499B"/>
    <w:rsid w:val="00AA56D9"/>
    <w:rsid w:val="00AA7C70"/>
    <w:rsid w:val="00AA7E16"/>
    <w:rsid w:val="00AA7E17"/>
    <w:rsid w:val="00AB04AA"/>
    <w:rsid w:val="00AB0A99"/>
    <w:rsid w:val="00AB4B0E"/>
    <w:rsid w:val="00AB6149"/>
    <w:rsid w:val="00AB70CA"/>
    <w:rsid w:val="00AB7CE1"/>
    <w:rsid w:val="00AC29AE"/>
    <w:rsid w:val="00AC2E52"/>
    <w:rsid w:val="00AC45CA"/>
    <w:rsid w:val="00AC6B01"/>
    <w:rsid w:val="00AD03AC"/>
    <w:rsid w:val="00AD20B1"/>
    <w:rsid w:val="00AD2BA7"/>
    <w:rsid w:val="00AD37E5"/>
    <w:rsid w:val="00AD3E72"/>
    <w:rsid w:val="00AD4109"/>
    <w:rsid w:val="00AD4224"/>
    <w:rsid w:val="00AE03A8"/>
    <w:rsid w:val="00AE3DBA"/>
    <w:rsid w:val="00AE4C02"/>
    <w:rsid w:val="00AE4C65"/>
    <w:rsid w:val="00AE62F6"/>
    <w:rsid w:val="00AE72A7"/>
    <w:rsid w:val="00AE76F8"/>
    <w:rsid w:val="00AE7CC9"/>
    <w:rsid w:val="00AE7F2D"/>
    <w:rsid w:val="00AF0CAC"/>
    <w:rsid w:val="00AF205F"/>
    <w:rsid w:val="00AF2652"/>
    <w:rsid w:val="00AF4FA5"/>
    <w:rsid w:val="00AF6FC4"/>
    <w:rsid w:val="00B007FF"/>
    <w:rsid w:val="00B00B95"/>
    <w:rsid w:val="00B05B7C"/>
    <w:rsid w:val="00B06752"/>
    <w:rsid w:val="00B069B9"/>
    <w:rsid w:val="00B10CA6"/>
    <w:rsid w:val="00B157E8"/>
    <w:rsid w:val="00B15E55"/>
    <w:rsid w:val="00B16238"/>
    <w:rsid w:val="00B1661B"/>
    <w:rsid w:val="00B16781"/>
    <w:rsid w:val="00B17BEB"/>
    <w:rsid w:val="00B17D41"/>
    <w:rsid w:val="00B21628"/>
    <w:rsid w:val="00B22689"/>
    <w:rsid w:val="00B227E1"/>
    <w:rsid w:val="00B242B7"/>
    <w:rsid w:val="00B2558A"/>
    <w:rsid w:val="00B255A6"/>
    <w:rsid w:val="00B268AC"/>
    <w:rsid w:val="00B268B3"/>
    <w:rsid w:val="00B26C44"/>
    <w:rsid w:val="00B27B75"/>
    <w:rsid w:val="00B31EA5"/>
    <w:rsid w:val="00B333D2"/>
    <w:rsid w:val="00B33C0D"/>
    <w:rsid w:val="00B36CC0"/>
    <w:rsid w:val="00B37129"/>
    <w:rsid w:val="00B377A8"/>
    <w:rsid w:val="00B4017D"/>
    <w:rsid w:val="00B43419"/>
    <w:rsid w:val="00B44F76"/>
    <w:rsid w:val="00B45F57"/>
    <w:rsid w:val="00B46C8B"/>
    <w:rsid w:val="00B51773"/>
    <w:rsid w:val="00B51ADE"/>
    <w:rsid w:val="00B53FC8"/>
    <w:rsid w:val="00B54BCE"/>
    <w:rsid w:val="00B57E0D"/>
    <w:rsid w:val="00B57E8F"/>
    <w:rsid w:val="00B6383C"/>
    <w:rsid w:val="00B63D77"/>
    <w:rsid w:val="00B6400A"/>
    <w:rsid w:val="00B64533"/>
    <w:rsid w:val="00B64C37"/>
    <w:rsid w:val="00B665DC"/>
    <w:rsid w:val="00B67536"/>
    <w:rsid w:val="00B70169"/>
    <w:rsid w:val="00B705B0"/>
    <w:rsid w:val="00B70BF5"/>
    <w:rsid w:val="00B71558"/>
    <w:rsid w:val="00B72740"/>
    <w:rsid w:val="00B740A1"/>
    <w:rsid w:val="00B7441B"/>
    <w:rsid w:val="00B752DF"/>
    <w:rsid w:val="00B75595"/>
    <w:rsid w:val="00B759FA"/>
    <w:rsid w:val="00B76D95"/>
    <w:rsid w:val="00B80A0C"/>
    <w:rsid w:val="00B822B3"/>
    <w:rsid w:val="00B83C35"/>
    <w:rsid w:val="00B8408B"/>
    <w:rsid w:val="00B91803"/>
    <w:rsid w:val="00B935D7"/>
    <w:rsid w:val="00B970FF"/>
    <w:rsid w:val="00B97206"/>
    <w:rsid w:val="00B975A9"/>
    <w:rsid w:val="00BA19E7"/>
    <w:rsid w:val="00BA260A"/>
    <w:rsid w:val="00BA2F67"/>
    <w:rsid w:val="00BA3B0E"/>
    <w:rsid w:val="00BA473D"/>
    <w:rsid w:val="00BA57EC"/>
    <w:rsid w:val="00BA7BC8"/>
    <w:rsid w:val="00BB0476"/>
    <w:rsid w:val="00BB1D25"/>
    <w:rsid w:val="00BB30D5"/>
    <w:rsid w:val="00BB3901"/>
    <w:rsid w:val="00BC0770"/>
    <w:rsid w:val="00BC3AD4"/>
    <w:rsid w:val="00BC47A5"/>
    <w:rsid w:val="00BC5702"/>
    <w:rsid w:val="00BC6BCC"/>
    <w:rsid w:val="00BC78F7"/>
    <w:rsid w:val="00BD3EB5"/>
    <w:rsid w:val="00BD5AB0"/>
    <w:rsid w:val="00BE1B19"/>
    <w:rsid w:val="00BE1C66"/>
    <w:rsid w:val="00BE2035"/>
    <w:rsid w:val="00BE3A47"/>
    <w:rsid w:val="00BF1860"/>
    <w:rsid w:val="00BF41A9"/>
    <w:rsid w:val="00BF5D88"/>
    <w:rsid w:val="00C015D3"/>
    <w:rsid w:val="00C01972"/>
    <w:rsid w:val="00C03A3C"/>
    <w:rsid w:val="00C04D0A"/>
    <w:rsid w:val="00C069D9"/>
    <w:rsid w:val="00C0761A"/>
    <w:rsid w:val="00C10304"/>
    <w:rsid w:val="00C11E2B"/>
    <w:rsid w:val="00C13AD8"/>
    <w:rsid w:val="00C174E8"/>
    <w:rsid w:val="00C200D9"/>
    <w:rsid w:val="00C21BD5"/>
    <w:rsid w:val="00C24336"/>
    <w:rsid w:val="00C25055"/>
    <w:rsid w:val="00C26B0D"/>
    <w:rsid w:val="00C306A2"/>
    <w:rsid w:val="00C332BC"/>
    <w:rsid w:val="00C342F7"/>
    <w:rsid w:val="00C36B99"/>
    <w:rsid w:val="00C37143"/>
    <w:rsid w:val="00C377D7"/>
    <w:rsid w:val="00C42FEF"/>
    <w:rsid w:val="00C51616"/>
    <w:rsid w:val="00C51B80"/>
    <w:rsid w:val="00C524BB"/>
    <w:rsid w:val="00C5357E"/>
    <w:rsid w:val="00C53C77"/>
    <w:rsid w:val="00C54108"/>
    <w:rsid w:val="00C55329"/>
    <w:rsid w:val="00C60156"/>
    <w:rsid w:val="00C60E60"/>
    <w:rsid w:val="00C6129C"/>
    <w:rsid w:val="00C73442"/>
    <w:rsid w:val="00C74091"/>
    <w:rsid w:val="00C76300"/>
    <w:rsid w:val="00C763FB"/>
    <w:rsid w:val="00C77D66"/>
    <w:rsid w:val="00C80B08"/>
    <w:rsid w:val="00C82A73"/>
    <w:rsid w:val="00C8360C"/>
    <w:rsid w:val="00C8586F"/>
    <w:rsid w:val="00C85A55"/>
    <w:rsid w:val="00C903B6"/>
    <w:rsid w:val="00C90BA2"/>
    <w:rsid w:val="00C90ED6"/>
    <w:rsid w:val="00C9111F"/>
    <w:rsid w:val="00C925E4"/>
    <w:rsid w:val="00C938D0"/>
    <w:rsid w:val="00C93E27"/>
    <w:rsid w:val="00C94769"/>
    <w:rsid w:val="00C95036"/>
    <w:rsid w:val="00C96042"/>
    <w:rsid w:val="00C969AA"/>
    <w:rsid w:val="00C96EA8"/>
    <w:rsid w:val="00C9766D"/>
    <w:rsid w:val="00C9781A"/>
    <w:rsid w:val="00CA10E6"/>
    <w:rsid w:val="00CA1680"/>
    <w:rsid w:val="00CA23F7"/>
    <w:rsid w:val="00CA27B2"/>
    <w:rsid w:val="00CA4042"/>
    <w:rsid w:val="00CA53C5"/>
    <w:rsid w:val="00CA662B"/>
    <w:rsid w:val="00CA6C2E"/>
    <w:rsid w:val="00CB09D0"/>
    <w:rsid w:val="00CB1857"/>
    <w:rsid w:val="00CB20FD"/>
    <w:rsid w:val="00CB2CF3"/>
    <w:rsid w:val="00CB4207"/>
    <w:rsid w:val="00CB48F5"/>
    <w:rsid w:val="00CB5260"/>
    <w:rsid w:val="00CB576C"/>
    <w:rsid w:val="00CB6D8B"/>
    <w:rsid w:val="00CC0D24"/>
    <w:rsid w:val="00CC301C"/>
    <w:rsid w:val="00CC3779"/>
    <w:rsid w:val="00CC4231"/>
    <w:rsid w:val="00CC460B"/>
    <w:rsid w:val="00CD1588"/>
    <w:rsid w:val="00CD39CB"/>
    <w:rsid w:val="00CD6482"/>
    <w:rsid w:val="00CE2AEB"/>
    <w:rsid w:val="00CE2FE3"/>
    <w:rsid w:val="00CE37FB"/>
    <w:rsid w:val="00CE450C"/>
    <w:rsid w:val="00CE45D7"/>
    <w:rsid w:val="00CE4953"/>
    <w:rsid w:val="00CE656C"/>
    <w:rsid w:val="00CF3B1D"/>
    <w:rsid w:val="00CF5531"/>
    <w:rsid w:val="00CF70FD"/>
    <w:rsid w:val="00CF7E9F"/>
    <w:rsid w:val="00CF7F44"/>
    <w:rsid w:val="00D035B7"/>
    <w:rsid w:val="00D0741E"/>
    <w:rsid w:val="00D07B70"/>
    <w:rsid w:val="00D14B3A"/>
    <w:rsid w:val="00D14D99"/>
    <w:rsid w:val="00D14EA1"/>
    <w:rsid w:val="00D16C33"/>
    <w:rsid w:val="00D17ECC"/>
    <w:rsid w:val="00D20F09"/>
    <w:rsid w:val="00D222C7"/>
    <w:rsid w:val="00D24F6C"/>
    <w:rsid w:val="00D2693D"/>
    <w:rsid w:val="00D35EB4"/>
    <w:rsid w:val="00D36947"/>
    <w:rsid w:val="00D4079E"/>
    <w:rsid w:val="00D40921"/>
    <w:rsid w:val="00D42016"/>
    <w:rsid w:val="00D423DB"/>
    <w:rsid w:val="00D42E77"/>
    <w:rsid w:val="00D43527"/>
    <w:rsid w:val="00D45B60"/>
    <w:rsid w:val="00D45F95"/>
    <w:rsid w:val="00D52043"/>
    <w:rsid w:val="00D607C5"/>
    <w:rsid w:val="00D631EA"/>
    <w:rsid w:val="00D642FA"/>
    <w:rsid w:val="00D649E8"/>
    <w:rsid w:val="00D66DCA"/>
    <w:rsid w:val="00D67620"/>
    <w:rsid w:val="00D7380A"/>
    <w:rsid w:val="00D74C14"/>
    <w:rsid w:val="00D755FB"/>
    <w:rsid w:val="00D76CD3"/>
    <w:rsid w:val="00D76D4B"/>
    <w:rsid w:val="00D77B4E"/>
    <w:rsid w:val="00D803E2"/>
    <w:rsid w:val="00D83270"/>
    <w:rsid w:val="00D845B3"/>
    <w:rsid w:val="00D84AE8"/>
    <w:rsid w:val="00D8569B"/>
    <w:rsid w:val="00D85A98"/>
    <w:rsid w:val="00D86D60"/>
    <w:rsid w:val="00D87C69"/>
    <w:rsid w:val="00D9001A"/>
    <w:rsid w:val="00D90E8D"/>
    <w:rsid w:val="00D92947"/>
    <w:rsid w:val="00D945EC"/>
    <w:rsid w:val="00DA3CB6"/>
    <w:rsid w:val="00DA5EC5"/>
    <w:rsid w:val="00DA751F"/>
    <w:rsid w:val="00DB19F7"/>
    <w:rsid w:val="00DB2269"/>
    <w:rsid w:val="00DB2B90"/>
    <w:rsid w:val="00DB2C75"/>
    <w:rsid w:val="00DB574A"/>
    <w:rsid w:val="00DB7E85"/>
    <w:rsid w:val="00DC03E9"/>
    <w:rsid w:val="00DC1459"/>
    <w:rsid w:val="00DD044E"/>
    <w:rsid w:val="00DD1B86"/>
    <w:rsid w:val="00DD3B45"/>
    <w:rsid w:val="00DD4A02"/>
    <w:rsid w:val="00DD5145"/>
    <w:rsid w:val="00DD6032"/>
    <w:rsid w:val="00DD6EDC"/>
    <w:rsid w:val="00DD743A"/>
    <w:rsid w:val="00DE326A"/>
    <w:rsid w:val="00DE36E3"/>
    <w:rsid w:val="00DE4C21"/>
    <w:rsid w:val="00DF3932"/>
    <w:rsid w:val="00DF3DAF"/>
    <w:rsid w:val="00DF403D"/>
    <w:rsid w:val="00DF526C"/>
    <w:rsid w:val="00DF5657"/>
    <w:rsid w:val="00DF56D2"/>
    <w:rsid w:val="00DF6C93"/>
    <w:rsid w:val="00E00009"/>
    <w:rsid w:val="00E01770"/>
    <w:rsid w:val="00E04957"/>
    <w:rsid w:val="00E049FB"/>
    <w:rsid w:val="00E05E6B"/>
    <w:rsid w:val="00E06D01"/>
    <w:rsid w:val="00E07C53"/>
    <w:rsid w:val="00E10452"/>
    <w:rsid w:val="00E10E3F"/>
    <w:rsid w:val="00E11853"/>
    <w:rsid w:val="00E11A17"/>
    <w:rsid w:val="00E11DC7"/>
    <w:rsid w:val="00E12BAB"/>
    <w:rsid w:val="00E1645C"/>
    <w:rsid w:val="00E2028D"/>
    <w:rsid w:val="00E21C63"/>
    <w:rsid w:val="00E248A7"/>
    <w:rsid w:val="00E310B1"/>
    <w:rsid w:val="00E32BD2"/>
    <w:rsid w:val="00E34627"/>
    <w:rsid w:val="00E355FA"/>
    <w:rsid w:val="00E367BE"/>
    <w:rsid w:val="00E37A46"/>
    <w:rsid w:val="00E40EEE"/>
    <w:rsid w:val="00E40FA3"/>
    <w:rsid w:val="00E43889"/>
    <w:rsid w:val="00E43F21"/>
    <w:rsid w:val="00E51CEB"/>
    <w:rsid w:val="00E5262E"/>
    <w:rsid w:val="00E53D3C"/>
    <w:rsid w:val="00E546E4"/>
    <w:rsid w:val="00E54B1B"/>
    <w:rsid w:val="00E55E3E"/>
    <w:rsid w:val="00E57768"/>
    <w:rsid w:val="00E601A5"/>
    <w:rsid w:val="00E607D0"/>
    <w:rsid w:val="00E7121C"/>
    <w:rsid w:val="00E724E2"/>
    <w:rsid w:val="00E767B1"/>
    <w:rsid w:val="00E80561"/>
    <w:rsid w:val="00E80806"/>
    <w:rsid w:val="00E80E3F"/>
    <w:rsid w:val="00E82962"/>
    <w:rsid w:val="00E83396"/>
    <w:rsid w:val="00E8561F"/>
    <w:rsid w:val="00E90009"/>
    <w:rsid w:val="00E9162F"/>
    <w:rsid w:val="00E91D53"/>
    <w:rsid w:val="00E9218B"/>
    <w:rsid w:val="00E925D1"/>
    <w:rsid w:val="00E93003"/>
    <w:rsid w:val="00E95878"/>
    <w:rsid w:val="00E95B96"/>
    <w:rsid w:val="00E965B4"/>
    <w:rsid w:val="00EA169F"/>
    <w:rsid w:val="00EA1D0E"/>
    <w:rsid w:val="00EA2040"/>
    <w:rsid w:val="00EA3831"/>
    <w:rsid w:val="00EA39FF"/>
    <w:rsid w:val="00EA3DDC"/>
    <w:rsid w:val="00EA4A6C"/>
    <w:rsid w:val="00EA4FA3"/>
    <w:rsid w:val="00EA5739"/>
    <w:rsid w:val="00EA79DC"/>
    <w:rsid w:val="00EB1A81"/>
    <w:rsid w:val="00EB25EA"/>
    <w:rsid w:val="00EB2C39"/>
    <w:rsid w:val="00EB2DC1"/>
    <w:rsid w:val="00EB32AE"/>
    <w:rsid w:val="00EB338D"/>
    <w:rsid w:val="00EB3430"/>
    <w:rsid w:val="00EB5E00"/>
    <w:rsid w:val="00EB5F70"/>
    <w:rsid w:val="00EB5FF4"/>
    <w:rsid w:val="00EB6BC5"/>
    <w:rsid w:val="00EB7300"/>
    <w:rsid w:val="00EC0D8E"/>
    <w:rsid w:val="00EC106E"/>
    <w:rsid w:val="00EC3F0A"/>
    <w:rsid w:val="00EC3F47"/>
    <w:rsid w:val="00EC5527"/>
    <w:rsid w:val="00EC6C18"/>
    <w:rsid w:val="00ED1657"/>
    <w:rsid w:val="00ED1A36"/>
    <w:rsid w:val="00ED1A49"/>
    <w:rsid w:val="00ED30BD"/>
    <w:rsid w:val="00ED4AF3"/>
    <w:rsid w:val="00ED6398"/>
    <w:rsid w:val="00ED64B1"/>
    <w:rsid w:val="00ED67F4"/>
    <w:rsid w:val="00ED6C10"/>
    <w:rsid w:val="00ED765D"/>
    <w:rsid w:val="00ED7941"/>
    <w:rsid w:val="00EE28C1"/>
    <w:rsid w:val="00EE365B"/>
    <w:rsid w:val="00EE79EC"/>
    <w:rsid w:val="00EF0A3A"/>
    <w:rsid w:val="00EF129C"/>
    <w:rsid w:val="00EF4877"/>
    <w:rsid w:val="00EF4F7B"/>
    <w:rsid w:val="00EF5788"/>
    <w:rsid w:val="00EF6071"/>
    <w:rsid w:val="00EF6C8B"/>
    <w:rsid w:val="00F012F7"/>
    <w:rsid w:val="00F04621"/>
    <w:rsid w:val="00F04A56"/>
    <w:rsid w:val="00F062A3"/>
    <w:rsid w:val="00F1031B"/>
    <w:rsid w:val="00F1392D"/>
    <w:rsid w:val="00F1681A"/>
    <w:rsid w:val="00F1763C"/>
    <w:rsid w:val="00F17D46"/>
    <w:rsid w:val="00F20FCC"/>
    <w:rsid w:val="00F22B09"/>
    <w:rsid w:val="00F23E09"/>
    <w:rsid w:val="00F240DC"/>
    <w:rsid w:val="00F24678"/>
    <w:rsid w:val="00F25F5D"/>
    <w:rsid w:val="00F300A2"/>
    <w:rsid w:val="00F31A81"/>
    <w:rsid w:val="00F342CE"/>
    <w:rsid w:val="00F349BE"/>
    <w:rsid w:val="00F40298"/>
    <w:rsid w:val="00F411FA"/>
    <w:rsid w:val="00F42623"/>
    <w:rsid w:val="00F45917"/>
    <w:rsid w:val="00F46014"/>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120D"/>
    <w:rsid w:val="00F66D93"/>
    <w:rsid w:val="00F67A27"/>
    <w:rsid w:val="00F701EB"/>
    <w:rsid w:val="00F724FF"/>
    <w:rsid w:val="00F727AE"/>
    <w:rsid w:val="00F76F2B"/>
    <w:rsid w:val="00F77EF2"/>
    <w:rsid w:val="00F8011E"/>
    <w:rsid w:val="00F80ACD"/>
    <w:rsid w:val="00F80EC1"/>
    <w:rsid w:val="00F83318"/>
    <w:rsid w:val="00F83C59"/>
    <w:rsid w:val="00F842FE"/>
    <w:rsid w:val="00F84330"/>
    <w:rsid w:val="00F84AB6"/>
    <w:rsid w:val="00F85077"/>
    <w:rsid w:val="00F857D6"/>
    <w:rsid w:val="00F86995"/>
    <w:rsid w:val="00F9091C"/>
    <w:rsid w:val="00F90D8D"/>
    <w:rsid w:val="00F91748"/>
    <w:rsid w:val="00F9550D"/>
    <w:rsid w:val="00F9694B"/>
    <w:rsid w:val="00F96F55"/>
    <w:rsid w:val="00FA21AA"/>
    <w:rsid w:val="00FA222E"/>
    <w:rsid w:val="00FA24F9"/>
    <w:rsid w:val="00FA2A52"/>
    <w:rsid w:val="00FA4FCC"/>
    <w:rsid w:val="00FA56BB"/>
    <w:rsid w:val="00FA5CA1"/>
    <w:rsid w:val="00FA68B5"/>
    <w:rsid w:val="00FA7686"/>
    <w:rsid w:val="00FB2E56"/>
    <w:rsid w:val="00FB3FEB"/>
    <w:rsid w:val="00FB40FB"/>
    <w:rsid w:val="00FB6E66"/>
    <w:rsid w:val="00FB770F"/>
    <w:rsid w:val="00FC050D"/>
    <w:rsid w:val="00FC275D"/>
    <w:rsid w:val="00FC3183"/>
    <w:rsid w:val="00FC3B1B"/>
    <w:rsid w:val="00FC4FCC"/>
    <w:rsid w:val="00FC6081"/>
    <w:rsid w:val="00FD15FE"/>
    <w:rsid w:val="00FD1824"/>
    <w:rsid w:val="00FD58ED"/>
    <w:rsid w:val="00FD5ED2"/>
    <w:rsid w:val="00FE02E2"/>
    <w:rsid w:val="00FE0589"/>
    <w:rsid w:val="00FE0A38"/>
    <w:rsid w:val="00FE0EED"/>
    <w:rsid w:val="00FE4D6F"/>
    <w:rsid w:val="00FF1425"/>
    <w:rsid w:val="00FF2851"/>
    <w:rsid w:val="00FF5CA4"/>
    <w:rsid w:val="00FF6512"/>
    <w:rsid w:val="00FF7E47"/>
    <w:rsid w:val="31CA4CEF"/>
    <w:rsid w:val="46048C1A"/>
    <w:rsid w:val="55DE49F9"/>
    <w:rsid w:val="570A8D1D"/>
    <w:rsid w:val="5EAF15D6"/>
    <w:rsid w:val="60827CA4"/>
    <w:rsid w:val="6122ED3E"/>
    <w:rsid w:val="63F52032"/>
    <w:rsid w:val="78DD48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77E6E9"/>
  <w15:docId w15:val="{C55642A7-25BD-4F05-828B-351D6C01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1"/>
    <w:rsid w:val="00487256"/>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87256"/>
    <w:rPr>
      <w:rFonts w:ascii="Times New Roman" w:hAnsi="Times New Roman"/>
      <w:b/>
      <w:sz w:val="26"/>
      <w:szCs w:val="26"/>
      <w:vertAlign w:val="superscript"/>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n,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HTML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HTML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 Char Char,Footnote Text Char Char Char Char,Footnote Text Char Char Char1,Footnote Text Char Char2,Footnote Text Char1 Char Char,Footnote Text Char1 Char1,Footnote Text Char1 Char1 Char Cha,Footnote Text Char2 Char,fn Char"/>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rsid w:val="00C90ED6"/>
    <w:rPr>
      <w:rFonts w:ascii="Tahoma" w:hAnsi="Tahoma" w:cs="Tahoma"/>
      <w:sz w:val="16"/>
      <w:szCs w:val="16"/>
    </w:rPr>
  </w:style>
  <w:style w:type="character" w:styleId="CommentReference">
    <w:name w:val="annotation reference"/>
    <w:rsid w:val="00A214D1"/>
    <w:rPr>
      <w:sz w:val="16"/>
      <w:szCs w:val="16"/>
    </w:rPr>
  </w:style>
  <w:style w:type="paragraph" w:styleId="CommentText">
    <w:name w:val="annotation text"/>
    <w:basedOn w:val="Normal"/>
    <w:rsid w:val="00A214D1"/>
    <w:rPr>
      <w:sz w:val="20"/>
      <w:szCs w:val="20"/>
    </w:rPr>
  </w:style>
  <w:style w:type="paragraph" w:styleId="CommentSubject">
    <w:name w:val="annotation subject"/>
    <w:basedOn w:val="CommentText"/>
    <w:next w:val="CommentText"/>
    <w:rsid w:val="00A214D1"/>
    <w:rPr>
      <w:b/>
      <w:bCs/>
    </w:rPr>
  </w:style>
  <w:style w:type="paragraph" w:styleId="Revision">
    <w:name w:val="Revision"/>
    <w:hidden/>
    <w:rsid w:val="007129A6"/>
    <w:rPr>
      <w:sz w:val="24"/>
      <w:szCs w:val="24"/>
    </w:rPr>
  </w:style>
  <w:style w:type="character" w:customStyle="1" w:styleId="FootnoteTextChar2">
    <w:name w:val="Footnote Text Char2"/>
    <w:aliases w:val=" Char Char1,Char Char,Footnote Text Char Char Char Char1,Footnote Text Char Char Char2,Footnote Text Char Char1 Char1,Footnote Text Char Char3,Footnote Text Char1 Char Char1,Footnote Text Char1 Char2,fn Char1,ft Char"/>
    <w:link w:val="FootnoteText"/>
    <w:locked/>
    <w:rsid w:val="0020642E"/>
    <w:rPr>
      <w:sz w:val="24"/>
    </w:rPr>
  </w:style>
  <w:style w:type="paragraph" w:styleId="BodyText2">
    <w:name w:val="Body Text 2"/>
    <w:basedOn w:val="Normal"/>
    <w:link w:val="BodyText2Char"/>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rsid w:val="0020642E"/>
    <w:rPr>
      <w:rFonts w:ascii="Calibri" w:eastAsia="Calibri" w:hAnsi="Calibri"/>
      <w:sz w:val="22"/>
      <w:szCs w:val="22"/>
    </w:rPr>
  </w:style>
  <w:style w:type="character" w:customStyle="1" w:styleId="FERCparanumberChar1">
    <w:name w:val="FERC paranumber Char1"/>
    <w:link w:val="FERCparanumber"/>
    <w:rsid w:val="00171F91"/>
    <w:rPr>
      <w:sz w:val="24"/>
      <w:szCs w:val="24"/>
    </w:rPr>
  </w:style>
  <w:style w:type="character" w:styleId="UnresolvedMention">
    <w:name w:val="Unresolved Mention"/>
    <w:rsid w:val="00C97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B95CD-EE53-46BC-9B1C-C19B4BA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2093</Words>
  <Characters>12312</Characters>
  <Application>Microsoft Office Word</Application>
  <DocSecurity>0</DocSecurity>
  <Lines>332</Lines>
  <Paragraphs>121</Paragraphs>
  <ScaleCrop>false</ScaleCrop>
  <Company>FERC</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Dowding</dc:creator>
  <cp:lastModifiedBy>Ken Ambrose</cp:lastModifiedBy>
  <cp:revision>64</cp:revision>
  <cp:lastPrinted>2009-06-08T17:25:00Z</cp:lastPrinted>
  <dcterms:created xsi:type="dcterms:W3CDTF">2022-08-31T15:35:00Z</dcterms:created>
  <dcterms:modified xsi:type="dcterms:W3CDTF">2025-12-19T13:31:00Z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bd24d06a-0e85-4d57-b1e0-ba34b1abc708_ActionId">
    <vt:lpwstr>43460394-5960-4cbc-91fa-53aa642ae5fb</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2025-10-23T14:26:31Z</vt:lpwstr>
  </property>
  <property fmtid="{D5CDD505-2E9C-101B-9397-08002B2CF9AE}" pid="9" name="MSIP_Label_bd24d06a-0e85-4d57-b1e0-ba34b1abc708_SiteId">
    <vt:lpwstr>19caa9e9-04ff-43fa-885f-d77fac387903</vt:lpwstr>
  </property>
  <property fmtid="{D5CDD505-2E9C-101B-9397-08002B2CF9AE}" pid="10" name="MSIP_Label_bd24d06a-0e85-4d57-b1e0-ba34b1abc708_Tag">
    <vt:lpwstr>10, 0, 1, 1</vt:lpwstr>
  </property>
  <property fmtid="{D5CDD505-2E9C-101B-9397-08002B2CF9AE}" pid="11" name="_DocHome">
    <vt:i4>1935980585</vt:i4>
  </property>
  <property fmtid="{D5CDD505-2E9C-101B-9397-08002B2CF9AE}" pid="12" name="_NewReviewCycle">
    <vt:lpwstr/>
  </property>
</Properties>
</file>