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4403" w:rsidP="00D34403" w14:paraId="0E545E8F" w14:textId="30E25921">
      <w:pPr>
        <w:tabs>
          <w:tab w:val="left" w:pos="0"/>
          <w:tab w:val="left" w:pos="360"/>
          <w:tab w:val="right" w:pos="9000"/>
          <w:tab w:val="left" w:pos="9360"/>
        </w:tabs>
        <w:suppressAutoHyphens/>
        <w:spacing w:after="0" w:line="240" w:lineRule="auto"/>
        <w:rPr>
          <w:rFonts w:ascii="Times New Roman" w:eastAsia="Times New Roman" w:hAnsi="Times New Roman" w:cs="Times New Roman"/>
          <w:color w:val="FFFFFF"/>
          <w:sz w:val="24"/>
          <w:szCs w:val="24"/>
        </w:rPr>
      </w:pPr>
      <w:r w:rsidRPr="00D34403">
        <w:rPr>
          <w:rFonts w:ascii="Times New Roman" w:eastAsia="Times New Roman" w:hAnsi="Times New Roman" w:cs="Times New Roman"/>
          <w:sz w:val="24"/>
          <w:szCs w:val="24"/>
        </w:rPr>
        <w:t>OMB Number: 1820-0608</w:t>
      </w:r>
    </w:p>
    <w:p w:rsidR="003445E5" w:rsidRPr="00D34403" w:rsidP="00D34403" w14:paraId="0087132B" w14:textId="77777777">
      <w:pPr>
        <w:tabs>
          <w:tab w:val="left" w:pos="0"/>
          <w:tab w:val="left" w:pos="360"/>
          <w:tab w:val="right" w:pos="9000"/>
          <w:tab w:val="left" w:pos="9360"/>
        </w:tabs>
        <w:suppressAutoHyphens/>
        <w:spacing w:after="0" w:line="240" w:lineRule="auto"/>
        <w:rPr>
          <w:rFonts w:ascii="Times New Roman" w:eastAsia="Times New Roman" w:hAnsi="Times New Roman" w:cs="Times New Roman"/>
          <w:color w:val="FFFFFF"/>
          <w:sz w:val="24"/>
          <w:szCs w:val="24"/>
        </w:rPr>
      </w:pPr>
    </w:p>
    <w:p w:rsidR="00D34403" w:rsidRPr="00D34403" w:rsidP="00D34403" w14:paraId="55BC4553" w14:textId="77777777">
      <w:pPr>
        <w:spacing w:after="0" w:line="240" w:lineRule="auto"/>
        <w:jc w:val="center"/>
        <w:outlineLvl w:val="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SUPPORTING STATEMENT</w:t>
      </w:r>
    </w:p>
    <w:p w:rsidR="00D34403" w:rsidRPr="00D34403" w:rsidP="00D34403" w14:paraId="32BC75E4" w14:textId="77777777">
      <w:pPr>
        <w:spacing w:after="0" w:line="240" w:lineRule="auto"/>
        <w:jc w:val="center"/>
        <w:outlineLvl w:val="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FOR PAPERWORK REDUCTION ACT SUBMISSION</w:t>
      </w:r>
    </w:p>
    <w:p w:rsidR="00D34403" w:rsidRPr="00D34403" w:rsidP="00D34403" w14:paraId="03038585" w14:textId="77777777">
      <w:pPr>
        <w:tabs>
          <w:tab w:val="left" w:pos="0"/>
        </w:tabs>
        <w:suppressAutoHyphens/>
        <w:spacing w:after="0" w:line="240" w:lineRule="auto"/>
        <w:rPr>
          <w:rFonts w:ascii="Times New Roman" w:eastAsia="Times New Roman" w:hAnsi="Times New Roman" w:cs="Times New Roman"/>
          <w:sz w:val="24"/>
          <w:szCs w:val="24"/>
        </w:rPr>
      </w:pPr>
    </w:p>
    <w:p w:rsidR="00D34403" w:rsidRPr="00D34403" w:rsidP="00D34403" w14:paraId="3926030D" w14:textId="77777777">
      <w:pPr>
        <w:numPr>
          <w:ilvl w:val="0"/>
          <w:numId w:val="4"/>
        </w:numPr>
        <w:suppressAutoHyphens/>
        <w:spacing w:after="0" w:line="240" w:lineRule="exact"/>
        <w:rPr>
          <w:rFonts w:ascii="Times New Roman" w:eastAsia="Times New Roman" w:hAnsi="Times New Roman" w:cs="Times New Roman"/>
          <w:b/>
          <w:sz w:val="24"/>
          <w:szCs w:val="24"/>
        </w:rPr>
      </w:pPr>
      <w:r w:rsidRPr="00D34403">
        <w:rPr>
          <w:rFonts w:ascii="Times New Roman" w:eastAsia="Times New Roman" w:hAnsi="Times New Roman" w:cs="Times New Roman"/>
          <w:b/>
          <w:bCs/>
          <w:sz w:val="24"/>
          <w:szCs w:val="24"/>
        </w:rPr>
        <w:t>Explain the circumstances</w:t>
      </w:r>
      <w:r w:rsidRPr="00D34403">
        <w:rPr>
          <w:rFonts w:ascii="Times New Roman" w:eastAsia="Times New Roman" w:hAnsi="Times New Roman" w:cs="Times New Roman"/>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D34403" w:rsidRPr="00D34403" w:rsidP="00D34403" w14:paraId="024FEB5C" w14:textId="77777777">
      <w:pPr>
        <w:suppressAutoHyphens/>
        <w:spacing w:after="0" w:line="240" w:lineRule="exact"/>
        <w:ind w:left="720"/>
        <w:rPr>
          <w:rFonts w:ascii="Times New Roman" w:eastAsia="Times New Roman" w:hAnsi="Times New Roman" w:cs="Times New Roman"/>
          <w:b/>
          <w:sz w:val="24"/>
          <w:szCs w:val="24"/>
        </w:rPr>
      </w:pPr>
    </w:p>
    <w:p w:rsidR="00D34403" w:rsidRPr="00D34403" w:rsidP="00D34403" w14:paraId="4F04E689" w14:textId="4C05A6E7">
      <w:pPr>
        <w:suppressAutoHyphens/>
        <w:spacing w:after="0" w:line="240" w:lineRule="exact"/>
        <w:ind w:left="720"/>
        <w:contextualSpacing/>
        <w:rPr>
          <w:rFonts w:ascii="Times New Roman" w:eastAsia="Times New Roman" w:hAnsi="Times New Roman" w:cs="Times New Roman"/>
          <w:sz w:val="24"/>
          <w:szCs w:val="24"/>
        </w:rPr>
      </w:pPr>
      <w:r w:rsidRPr="00373092">
        <w:rPr>
          <w:rFonts w:ascii="Times New Roman" w:eastAsia="Times New Roman" w:hAnsi="Times New Roman" w:cs="Times New Roman"/>
          <w:sz w:val="24"/>
          <w:szCs w:val="24"/>
        </w:rPr>
        <w:t>This is a</w:t>
      </w:r>
      <w:r w:rsidR="003C001D">
        <w:rPr>
          <w:rFonts w:ascii="Times New Roman" w:eastAsia="Times New Roman" w:hAnsi="Times New Roman" w:cs="Times New Roman"/>
          <w:sz w:val="24"/>
          <w:szCs w:val="24"/>
        </w:rPr>
        <w:t xml:space="preserve"> </w:t>
      </w:r>
      <w:r w:rsidR="009F66CC">
        <w:rPr>
          <w:rFonts w:ascii="Times New Roman" w:eastAsia="Times New Roman" w:hAnsi="Times New Roman" w:cs="Times New Roman"/>
          <w:sz w:val="24"/>
          <w:szCs w:val="24"/>
        </w:rPr>
        <w:t xml:space="preserve">revision </w:t>
      </w:r>
      <w:r w:rsidRPr="00373092">
        <w:rPr>
          <w:rFonts w:ascii="Times New Roman" w:eastAsia="Times New Roman" w:hAnsi="Times New Roman" w:cs="Times New Roman"/>
          <w:sz w:val="24"/>
          <w:szCs w:val="24"/>
        </w:rPr>
        <w:t>request for RSA-1820-0608, Independent Living Services for Older Individuals Who are Blind Annual Report (7-OB).</w:t>
      </w:r>
      <w:r w:rsidR="003B2BCD">
        <w:rPr>
          <w:rFonts w:ascii="Times New Roman" w:eastAsia="Times New Roman" w:hAnsi="Times New Roman" w:cs="Times New Roman"/>
          <w:sz w:val="24"/>
          <w:szCs w:val="24"/>
        </w:rPr>
        <w:t xml:space="preserve"> Section 7</w:t>
      </w:r>
      <w:r w:rsidRPr="00D34403">
        <w:rPr>
          <w:rFonts w:ascii="Times New Roman" w:eastAsia="Times New Roman" w:hAnsi="Times New Roman" w:cs="Times New Roman"/>
          <w:sz w:val="24"/>
          <w:szCs w:val="24"/>
        </w:rPr>
        <w:t xml:space="preserve">52(h)(2) of the Rehabilitation Act of 1973, as amended by Title IV of the Workforce Innovation and Opportunity Act (Rehabilitation Act), and the implementing regulations in 34 C.F.R. § 367.31(c) require each grantee under the Independent Living Services for Older Individuals Who Are Blind (IL-OIB) program to submit an annual report to the Commissioner of the Rehabilitation Services Administration (RSA) on essential demographic, service, and outcome information.  </w:t>
      </w:r>
    </w:p>
    <w:p w:rsidR="00D34403" w:rsidRPr="00D34403" w:rsidP="00D34403" w14:paraId="0A0D05DE" w14:textId="77777777">
      <w:pPr>
        <w:suppressAutoHyphens/>
        <w:spacing w:after="0" w:line="240" w:lineRule="exact"/>
        <w:ind w:left="720"/>
        <w:contextualSpacing/>
        <w:rPr>
          <w:rFonts w:ascii="Times New Roman" w:eastAsia="Times New Roman" w:hAnsi="Times New Roman" w:cs="Times New Roman"/>
          <w:sz w:val="24"/>
          <w:szCs w:val="24"/>
        </w:rPr>
      </w:pPr>
    </w:p>
    <w:p w:rsidR="00204375" w:rsidP="00D34403" w14:paraId="0FE33850" w14:textId="77777777">
      <w:pPr>
        <w:suppressAutoHyphens/>
        <w:spacing w:after="0" w:line="240" w:lineRule="exact"/>
        <w:ind w:left="720"/>
        <w:contextualSpacing/>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revisions to the currently approved form and instructions</w:t>
      </w:r>
      <w:r>
        <w:rPr>
          <w:rFonts w:ascii="Times New Roman" w:eastAsia="Times New Roman" w:hAnsi="Times New Roman" w:cs="Times New Roman"/>
          <w:sz w:val="24"/>
          <w:szCs w:val="24"/>
        </w:rPr>
        <w:t xml:space="preserve"> are twofold:</w:t>
      </w:r>
    </w:p>
    <w:p w:rsidR="00204375" w:rsidP="00204375" w14:paraId="4929D106" w14:textId="30CAB475">
      <w:pPr>
        <w:pStyle w:val="ListParagraph"/>
        <w:numPr>
          <w:ilvl w:val="0"/>
          <w:numId w:val="6"/>
        </w:numPr>
        <w:suppressAutoHyphens/>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04375" w:rsidR="00900C9D">
        <w:rPr>
          <w:rFonts w:ascii="Times New Roman" w:eastAsia="Times New Roman" w:hAnsi="Times New Roman" w:cs="Times New Roman"/>
          <w:sz w:val="24"/>
          <w:szCs w:val="24"/>
        </w:rPr>
        <w:t>larif</w:t>
      </w:r>
      <w:r w:rsidRPr="00204375" w:rsidR="007D4C19">
        <w:rPr>
          <w:rFonts w:ascii="Times New Roman" w:eastAsia="Times New Roman" w:hAnsi="Times New Roman" w:cs="Times New Roman"/>
          <w:sz w:val="24"/>
          <w:szCs w:val="24"/>
        </w:rPr>
        <w:t>ications to</w:t>
      </w:r>
      <w:r w:rsidRPr="00204375" w:rsidR="00900C9D">
        <w:rPr>
          <w:rFonts w:ascii="Times New Roman" w:eastAsia="Times New Roman" w:hAnsi="Times New Roman" w:cs="Times New Roman"/>
          <w:sz w:val="24"/>
          <w:szCs w:val="24"/>
        </w:rPr>
        <w:t xml:space="preserve"> the signature instructions</w:t>
      </w:r>
      <w:r w:rsidRPr="00204375" w:rsidR="009B6ABF">
        <w:rPr>
          <w:rFonts w:ascii="Times New Roman" w:eastAsia="Times New Roman" w:hAnsi="Times New Roman" w:cs="Times New Roman"/>
          <w:sz w:val="24"/>
          <w:szCs w:val="24"/>
        </w:rPr>
        <w:t xml:space="preserve">. </w:t>
      </w:r>
      <w:r w:rsidRPr="00204375" w:rsidR="00FB2F94">
        <w:rPr>
          <w:rFonts w:ascii="Times New Roman" w:eastAsia="Times New Roman" w:hAnsi="Times New Roman" w:cs="Times New Roman"/>
          <w:sz w:val="24"/>
          <w:szCs w:val="24"/>
        </w:rPr>
        <w:t xml:space="preserve"> RSA is proposing</w:t>
      </w:r>
      <w:r w:rsidRPr="00204375" w:rsidR="007D4C19">
        <w:rPr>
          <w:rFonts w:ascii="Times New Roman" w:eastAsia="Times New Roman" w:hAnsi="Times New Roman" w:cs="Times New Roman"/>
          <w:sz w:val="24"/>
          <w:szCs w:val="24"/>
        </w:rPr>
        <w:t xml:space="preserve"> this</w:t>
      </w:r>
      <w:r w:rsidRPr="00204375" w:rsidR="00FB2F94">
        <w:rPr>
          <w:rFonts w:ascii="Times New Roman" w:eastAsia="Times New Roman" w:hAnsi="Times New Roman" w:cs="Times New Roman"/>
          <w:sz w:val="24"/>
          <w:szCs w:val="24"/>
        </w:rPr>
        <w:t xml:space="preserve"> edit </w:t>
      </w:r>
      <w:r w:rsidRPr="00204375" w:rsidR="000A127C">
        <w:rPr>
          <w:rFonts w:ascii="Times New Roman" w:eastAsia="Times New Roman" w:hAnsi="Times New Roman" w:cs="Times New Roman"/>
          <w:sz w:val="24"/>
          <w:szCs w:val="24"/>
        </w:rPr>
        <w:t xml:space="preserve">to </w:t>
      </w:r>
      <w:r w:rsidRPr="00204375" w:rsidR="00E35AC7">
        <w:rPr>
          <w:rFonts w:ascii="Times New Roman" w:eastAsia="Times New Roman" w:hAnsi="Times New Roman" w:cs="Times New Roman"/>
          <w:sz w:val="24"/>
          <w:szCs w:val="24"/>
        </w:rPr>
        <w:t xml:space="preserve">reduce confusion for State agencies regarding who should sign the 7-OB report. </w:t>
      </w:r>
    </w:p>
    <w:p w:rsidR="00D34403" w:rsidRPr="00204375" w:rsidP="00204375" w14:paraId="30A6D5F0" w14:textId="6267F4DE">
      <w:pPr>
        <w:pStyle w:val="ListParagraph"/>
        <w:numPr>
          <w:ilvl w:val="0"/>
          <w:numId w:val="6"/>
        </w:numPr>
        <w:suppressAutoHyphens/>
        <w:spacing w:after="0" w:line="240" w:lineRule="exact"/>
        <w:rPr>
          <w:rFonts w:ascii="Times New Roman" w:eastAsia="Times New Roman" w:hAnsi="Times New Roman" w:cs="Times New Roman"/>
          <w:sz w:val="24"/>
          <w:szCs w:val="24"/>
        </w:rPr>
      </w:pPr>
      <w:r w:rsidRPr="00204375">
        <w:rPr>
          <w:rFonts w:ascii="Times New Roman" w:eastAsia="Times New Roman" w:hAnsi="Times New Roman" w:cs="Times New Roman"/>
          <w:sz w:val="24"/>
          <w:szCs w:val="24"/>
        </w:rPr>
        <w:t xml:space="preserve">RSA </w:t>
      </w:r>
      <w:r w:rsidRPr="00204375" w:rsidR="0044533A">
        <w:rPr>
          <w:rFonts w:ascii="Times New Roman" w:eastAsia="Times New Roman" w:hAnsi="Times New Roman" w:cs="Times New Roman"/>
          <w:sz w:val="24"/>
          <w:szCs w:val="24"/>
        </w:rPr>
        <w:t xml:space="preserve">is </w:t>
      </w:r>
      <w:r w:rsidRPr="00204375" w:rsidR="00F06615">
        <w:rPr>
          <w:rFonts w:ascii="Times New Roman" w:eastAsia="Times New Roman" w:hAnsi="Times New Roman" w:cs="Times New Roman"/>
          <w:sz w:val="24"/>
          <w:szCs w:val="24"/>
        </w:rPr>
        <w:t xml:space="preserve">also </w:t>
      </w:r>
      <w:r w:rsidRPr="00204375" w:rsidR="0044533A">
        <w:rPr>
          <w:rFonts w:ascii="Times New Roman" w:eastAsia="Times New Roman" w:hAnsi="Times New Roman" w:cs="Times New Roman"/>
          <w:sz w:val="24"/>
          <w:szCs w:val="24"/>
        </w:rPr>
        <w:t>proposing to remove question</w:t>
      </w:r>
      <w:r w:rsidRPr="00204375" w:rsidR="00090526">
        <w:rPr>
          <w:rFonts w:ascii="Times New Roman" w:eastAsia="Times New Roman" w:hAnsi="Times New Roman" w:cs="Times New Roman"/>
          <w:sz w:val="24"/>
          <w:szCs w:val="24"/>
        </w:rPr>
        <w:t>s</w:t>
      </w:r>
      <w:r w:rsidRPr="00204375" w:rsidR="0044533A">
        <w:rPr>
          <w:rFonts w:ascii="Times New Roman" w:eastAsia="Times New Roman" w:hAnsi="Times New Roman" w:cs="Times New Roman"/>
          <w:sz w:val="24"/>
          <w:szCs w:val="24"/>
        </w:rPr>
        <w:t xml:space="preserve"> that are not statutorily required. Grantees may continue collecting these data at their discretion</w:t>
      </w:r>
      <w:r w:rsidRPr="00204375" w:rsidR="0013274F">
        <w:rPr>
          <w:rFonts w:ascii="Times New Roman" w:eastAsia="Times New Roman" w:hAnsi="Times New Roman" w:cs="Times New Roman"/>
          <w:sz w:val="24"/>
          <w:szCs w:val="24"/>
        </w:rPr>
        <w:t>, but they would not be required to report them to RSA.</w:t>
      </w:r>
    </w:p>
    <w:p w:rsidR="00F06615" w:rsidP="00D34403" w14:paraId="75D55F30" w14:textId="77777777">
      <w:pPr>
        <w:suppressAutoHyphens/>
        <w:spacing w:after="0" w:line="240" w:lineRule="exact"/>
        <w:ind w:left="720"/>
        <w:contextualSpacing/>
        <w:rPr>
          <w:rFonts w:ascii="Times New Roman" w:eastAsia="Times New Roman" w:hAnsi="Times New Roman" w:cs="Times New Roman"/>
          <w:sz w:val="24"/>
          <w:szCs w:val="24"/>
        </w:rPr>
      </w:pPr>
    </w:p>
    <w:p w:rsidR="00F06615" w:rsidP="00D34403" w14:paraId="72991304" w14:textId="09106F80">
      <w:pPr>
        <w:suppressAutoHyphens/>
        <w:spacing w:after="0" w:line="240" w:lineRule="exact"/>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RSA notes that the </w:t>
      </w:r>
      <w:r w:rsidR="00082D1C">
        <w:rPr>
          <w:rFonts w:ascii="Times New Roman" w:eastAsia="Times New Roman" w:hAnsi="Times New Roman" w:cs="Times New Roman"/>
          <w:sz w:val="24"/>
          <w:szCs w:val="24"/>
        </w:rPr>
        <w:t xml:space="preserve">7-OB </w:t>
      </w:r>
      <w:r>
        <w:rPr>
          <w:rFonts w:ascii="Times New Roman" w:eastAsia="Times New Roman" w:hAnsi="Times New Roman" w:cs="Times New Roman"/>
          <w:sz w:val="24"/>
          <w:szCs w:val="24"/>
        </w:rPr>
        <w:t xml:space="preserve">instrument now </w:t>
      </w:r>
      <w:r w:rsidR="0081327E">
        <w:rPr>
          <w:rFonts w:ascii="Times New Roman" w:eastAsia="Times New Roman" w:hAnsi="Times New Roman" w:cs="Times New Roman"/>
          <w:sz w:val="24"/>
          <w:szCs w:val="24"/>
        </w:rPr>
        <w:t>reflects</w:t>
      </w:r>
      <w:r w:rsidR="00263FD8">
        <w:rPr>
          <w:rFonts w:ascii="Times New Roman" w:eastAsia="Times New Roman" w:hAnsi="Times New Roman" w:cs="Times New Roman"/>
          <w:sz w:val="24"/>
          <w:szCs w:val="24"/>
        </w:rPr>
        <w:t xml:space="preserve"> </w:t>
      </w:r>
      <w:r w:rsidR="00805B6C">
        <w:rPr>
          <w:rFonts w:ascii="Times New Roman" w:eastAsia="Times New Roman" w:hAnsi="Times New Roman" w:cs="Times New Roman"/>
          <w:sz w:val="24"/>
          <w:szCs w:val="24"/>
        </w:rPr>
        <w:t>updates</w:t>
      </w:r>
      <w:r w:rsidR="009A722E">
        <w:rPr>
          <w:rFonts w:ascii="Times New Roman" w:eastAsia="Times New Roman" w:hAnsi="Times New Roman" w:cs="Times New Roman"/>
          <w:sz w:val="24"/>
          <w:szCs w:val="24"/>
        </w:rPr>
        <w:t xml:space="preserve"> </w:t>
      </w:r>
      <w:r w:rsidR="001D3750">
        <w:rPr>
          <w:rFonts w:ascii="Times New Roman" w:eastAsia="Times New Roman" w:hAnsi="Times New Roman" w:cs="Times New Roman"/>
          <w:sz w:val="24"/>
          <w:szCs w:val="24"/>
        </w:rPr>
        <w:t>with references to</w:t>
      </w:r>
      <w:r w:rsidR="007C7439">
        <w:rPr>
          <w:rFonts w:ascii="Times New Roman" w:eastAsia="Times New Roman" w:hAnsi="Times New Roman" w:cs="Times New Roman"/>
          <w:sz w:val="24"/>
          <w:szCs w:val="24"/>
        </w:rPr>
        <w:t xml:space="preserve"> sex, per changes </w:t>
      </w:r>
      <w:r w:rsidR="00094CAE">
        <w:rPr>
          <w:rFonts w:ascii="Times New Roman" w:eastAsia="Times New Roman" w:hAnsi="Times New Roman" w:cs="Times New Roman"/>
          <w:sz w:val="24"/>
          <w:szCs w:val="24"/>
        </w:rPr>
        <w:t>previously</w:t>
      </w:r>
      <w:r w:rsidR="007C7439">
        <w:rPr>
          <w:rFonts w:ascii="Times New Roman" w:eastAsia="Times New Roman" w:hAnsi="Times New Roman" w:cs="Times New Roman"/>
          <w:sz w:val="24"/>
          <w:szCs w:val="24"/>
        </w:rPr>
        <w:t xml:space="preserve"> approved by OMB</w:t>
      </w:r>
      <w:r w:rsidR="001D3750">
        <w:rPr>
          <w:rFonts w:ascii="Times New Roman" w:eastAsia="Times New Roman" w:hAnsi="Times New Roman" w:cs="Times New Roman"/>
          <w:sz w:val="24"/>
          <w:szCs w:val="24"/>
        </w:rPr>
        <w:t xml:space="preserve"> and required by Executive Order </w:t>
      </w:r>
      <w:r w:rsidRPr="00B0613F" w:rsidR="00B0613F">
        <w:rPr>
          <w:rFonts w:ascii="Times New Roman" w:eastAsia="Times New Roman" w:hAnsi="Times New Roman" w:cs="Times New Roman"/>
          <w:sz w:val="24"/>
          <w:szCs w:val="24"/>
        </w:rPr>
        <w:t>14168</w:t>
      </w:r>
      <w:r w:rsidR="007C7439">
        <w:rPr>
          <w:rFonts w:ascii="Times New Roman" w:eastAsia="Times New Roman" w:hAnsi="Times New Roman" w:cs="Times New Roman"/>
          <w:sz w:val="24"/>
          <w:szCs w:val="24"/>
        </w:rPr>
        <w:t>.</w:t>
      </w:r>
    </w:p>
    <w:p w:rsidR="00D34403" w:rsidRPr="00D34403" w:rsidP="007C7439" w14:paraId="0B6A2C30" w14:textId="77777777">
      <w:pPr>
        <w:suppressAutoHyphens/>
        <w:spacing w:after="0" w:line="240" w:lineRule="exact"/>
        <w:rPr>
          <w:rFonts w:ascii="Times New Roman" w:eastAsia="Times New Roman" w:hAnsi="Times New Roman" w:cs="Times New Roman"/>
          <w:sz w:val="24"/>
          <w:szCs w:val="24"/>
        </w:rPr>
      </w:pPr>
    </w:p>
    <w:p w:rsidR="00D34403" w:rsidRPr="00D34403" w:rsidP="00D34403" w14:paraId="032DD24E" w14:textId="77777777">
      <w:pPr>
        <w:numPr>
          <w:ilvl w:val="0"/>
          <w:numId w:val="4"/>
        </w:numPr>
        <w:suppressAutoHyphens/>
        <w:spacing w:after="0" w:line="240" w:lineRule="exact"/>
        <w:rPr>
          <w:rFonts w:ascii="Times New Roman" w:eastAsia="Times New Roman" w:hAnsi="Times New Roman" w:cs="Times New Roman"/>
          <w:sz w:val="24"/>
          <w:szCs w:val="24"/>
        </w:rPr>
      </w:pPr>
      <w:r w:rsidRPr="00D34403">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D34403" w:rsidRPr="00D34403" w:rsidP="00D34403" w14:paraId="0FE9BBE7" w14:textId="77777777">
      <w:pPr>
        <w:suppressAutoHyphens/>
        <w:spacing w:after="0" w:line="240" w:lineRule="exact"/>
        <w:ind w:left="720"/>
        <w:rPr>
          <w:rFonts w:ascii="Times New Roman" w:eastAsia="Times New Roman" w:hAnsi="Times New Roman" w:cs="Times New Roman"/>
          <w:sz w:val="24"/>
          <w:szCs w:val="24"/>
        </w:rPr>
      </w:pPr>
    </w:p>
    <w:p w:rsidR="00D34403" w:rsidRPr="00D34403" w:rsidP="00D34403" w14:paraId="14DA3DED" w14:textId="77777777">
      <w:pPr>
        <w:suppressAutoHyphens/>
        <w:spacing w:after="0" w:line="240" w:lineRule="exact"/>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RSA collects is used to evaluate the effectiveness of the IL-OIB program, including calculating the Government Performance and Results Act (GPRA) measures. The information also provides RSA with a uniform and efficient method of monitoring the program for compliance with statutory and regulatory requirements. Information gathered by this data collection is also used in RSA’s annual report to Congress and in Congressional budget justifications.</w:t>
      </w:r>
    </w:p>
    <w:p w:rsidR="00D34403" w:rsidRPr="00D34403" w:rsidP="00D34403" w14:paraId="13866FA3" w14:textId="77777777">
      <w:pPr>
        <w:suppressAutoHyphens/>
        <w:spacing w:after="0" w:line="240" w:lineRule="exact"/>
        <w:rPr>
          <w:rFonts w:ascii="Times New Roman" w:eastAsia="Times New Roman" w:hAnsi="Times New Roman" w:cs="Times New Roman"/>
          <w:sz w:val="24"/>
          <w:szCs w:val="24"/>
        </w:rPr>
      </w:pPr>
    </w:p>
    <w:p w:rsidR="00D34403" w:rsidRPr="00D34403" w:rsidP="00D34403" w14:paraId="27757F15" w14:textId="77777777">
      <w:pPr>
        <w:numPr>
          <w:ilvl w:val="0"/>
          <w:numId w:val="4"/>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w:t>
      </w:r>
      <w:r w:rsidRPr="00D34403">
        <w:rPr>
          <w:rFonts w:ascii="Times New Roman" w:eastAsia="Times New Roman" w:hAnsi="Times New Roman" w:cs="Times New Roman"/>
          <w:b/>
          <w:sz w:val="24"/>
          <w:szCs w:val="24"/>
        </w:rPr>
        <w:t>consideration given to using technology to reduce burden. If there is an increase or decrease in burden related to using technology (e.g. using an electronic form, system or website from paper), please explain in number 12.</w:t>
      </w:r>
    </w:p>
    <w:p w:rsidR="00D34403" w:rsidRPr="00D34403" w:rsidP="00D34403" w14:paraId="61990B50" w14:textId="77777777">
      <w:pPr>
        <w:tabs>
          <w:tab w:val="left" w:pos="-720"/>
        </w:tabs>
        <w:suppressAutoHyphens/>
        <w:spacing w:after="0" w:line="240" w:lineRule="auto"/>
        <w:ind w:left="720"/>
        <w:rPr>
          <w:rFonts w:ascii="Times New Roman" w:eastAsia="Times New Roman" w:hAnsi="Times New Roman" w:cs="Times New Roman"/>
          <w:sz w:val="24"/>
          <w:szCs w:val="24"/>
        </w:rPr>
      </w:pPr>
    </w:p>
    <w:p w:rsidR="00D34403" w:rsidRPr="00D34403" w:rsidP="00D34403" w14:paraId="4753EF3A" w14:textId="77777777">
      <w:pPr>
        <w:tabs>
          <w:tab w:val="left" w:pos="-720"/>
        </w:tabs>
        <w:suppressAutoHyphens/>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 xml:space="preserve">This collection uses the online reporting system through the RSA Management Information System (MIS), enabling all States to submit their information electronically. This system provides respondents a mechanism for submitting required information more quickly and easily. MIS also auto-calculates numbers and identifies errors before reports can be submitted, which reduces both State and Federal Government burden by allowing States to correct errors quickly and easily before the reports are submitted to the Federal Government for review.  </w:t>
      </w:r>
    </w:p>
    <w:p w:rsidR="00D34403" w:rsidRPr="00D34403" w:rsidP="00D34403" w14:paraId="7A0D64E0" w14:textId="77777777">
      <w:pPr>
        <w:tabs>
          <w:tab w:val="left" w:pos="-720"/>
        </w:tabs>
        <w:suppressAutoHyphens/>
        <w:spacing w:after="0" w:line="240" w:lineRule="auto"/>
        <w:ind w:left="720"/>
        <w:rPr>
          <w:rFonts w:ascii="Times New Roman" w:eastAsia="Times New Roman" w:hAnsi="Times New Roman" w:cs="Times New Roman"/>
          <w:sz w:val="24"/>
          <w:szCs w:val="24"/>
        </w:rPr>
      </w:pPr>
    </w:p>
    <w:p w:rsidR="00D34403" w:rsidRPr="00D34403" w:rsidP="00D34403" w14:paraId="6EE3D949" w14:textId="77777777">
      <w:pPr>
        <w:numPr>
          <w:ilvl w:val="0"/>
          <w:numId w:val="4"/>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D34403" w:rsidRPr="00D34403" w:rsidP="00D34403" w14:paraId="3613C5B9"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2F951BF5"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This is the only data collection instrument used for this purpose. There is no duplication of the data collected here with any other information collection.</w:t>
      </w:r>
    </w:p>
    <w:p w:rsidR="00D34403" w:rsidRPr="00D34403" w:rsidP="00D34403" w14:paraId="065E4001" w14:textId="77777777">
      <w:pPr>
        <w:numPr>
          <w:ilvl w:val="0"/>
          <w:numId w:val="4"/>
        </w:numPr>
        <w:spacing w:before="240"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34403" w:rsidRPr="00D34403" w:rsidP="00D34403" w14:paraId="68CA0A1A" w14:textId="77777777">
      <w:pPr>
        <w:spacing w:after="0" w:line="240" w:lineRule="auto"/>
        <w:ind w:left="720"/>
        <w:rPr>
          <w:rFonts w:ascii="Times New Roman" w:eastAsia="Times New Roman" w:hAnsi="Times New Roman" w:cs="Times New Roman"/>
          <w:sz w:val="24"/>
          <w:szCs w:val="24"/>
        </w:rPr>
      </w:pPr>
    </w:p>
    <w:p w:rsidR="00D34403" w:rsidRPr="00D34403" w:rsidP="00D34403" w14:paraId="29F279F0" w14:textId="77777777">
      <w:pPr>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This collection does not impact small businesses or other small entities.</w:t>
      </w:r>
    </w:p>
    <w:p w:rsidR="00D34403" w:rsidRPr="00D34403" w:rsidP="00D34403" w14:paraId="563CB4A4" w14:textId="77777777">
      <w:pPr>
        <w:spacing w:after="0" w:line="240" w:lineRule="auto"/>
        <w:ind w:left="720"/>
        <w:rPr>
          <w:rFonts w:ascii="Times New Roman" w:eastAsia="Times New Roman" w:hAnsi="Times New Roman" w:cs="Times New Roman"/>
          <w:sz w:val="24"/>
          <w:szCs w:val="24"/>
        </w:rPr>
      </w:pPr>
    </w:p>
    <w:p w:rsidR="00D34403" w:rsidRPr="00D34403" w:rsidP="00D34403" w14:paraId="71EAEA37" w14:textId="77777777">
      <w:pPr>
        <w:numPr>
          <w:ilvl w:val="0"/>
          <w:numId w:val="4"/>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D34403" w:rsidRPr="00D34403" w:rsidP="00D34403" w14:paraId="5C283CBC"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0EAEE2C6"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An annual collection is required under Section 752(h)(2) of the Rehabilitation Act and is necessary for the RSA Commissioner to respond to the legislative requirement for an annual report to the President and to Congress as mandated by Section 13 of the Rehabilitation Act. These data must also be collected annually for RSA to determine whether grantees are making substantial progress toward achieving their goals and objectives.</w:t>
      </w:r>
    </w:p>
    <w:p w:rsidR="00D34403" w:rsidRPr="00D34403" w:rsidP="00D34403" w14:paraId="663E7DAD"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06683516" w14:textId="77777777">
      <w:pPr>
        <w:numPr>
          <w:ilvl w:val="0"/>
          <w:numId w:val="4"/>
        </w:numPr>
        <w:tabs>
          <w:tab w:val="left" w:pos="-720"/>
        </w:tabs>
        <w:suppressAutoHyphens/>
        <w:spacing w:after="0" w:line="240" w:lineRule="auto"/>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Explain any special circumstances that would cause an information collection to be conducted in a manner:</w:t>
      </w:r>
    </w:p>
    <w:p w:rsidR="00D34403" w:rsidRPr="00D34403" w:rsidP="00D34403" w14:paraId="66C93B4C"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50F4B630"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report information to the agency more often than quarterly;</w:t>
      </w:r>
    </w:p>
    <w:p w:rsidR="00D34403" w:rsidRPr="00D34403" w:rsidP="00D34403" w14:paraId="56FE38A3" w14:textId="77777777">
      <w:pPr>
        <w:numPr>
          <w:ilvl w:val="12"/>
          <w:numId w:val="0"/>
        </w:numPr>
        <w:tabs>
          <w:tab w:val="left" w:pos="-720"/>
        </w:tabs>
        <w:suppressAutoHyphens/>
        <w:spacing w:after="0" w:line="240" w:lineRule="auto"/>
        <w:ind w:left="340"/>
        <w:rPr>
          <w:rFonts w:ascii="Times New Roman" w:eastAsia="Times New Roman" w:hAnsi="Times New Roman" w:cs="Times New Roman"/>
          <w:b/>
          <w:sz w:val="24"/>
          <w:szCs w:val="24"/>
        </w:rPr>
      </w:pPr>
    </w:p>
    <w:p w:rsidR="00D34403" w:rsidRPr="00D34403" w:rsidP="00D34403" w14:paraId="71CF9FF3"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D34403" w:rsidRPr="00D34403" w:rsidP="00D34403" w14:paraId="45382C35"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1704BBB5"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submit more than an original and two copies of any document;</w:t>
      </w:r>
    </w:p>
    <w:p w:rsidR="00D34403" w:rsidRPr="00D34403" w:rsidP="00D34403" w14:paraId="2BA1C90D"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78AAB755"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D34403" w:rsidRPr="00D34403" w:rsidP="00D34403" w14:paraId="48484040"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16D5A135"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in connection with a statistical survey, that is not designed to produce valid and reliable results than can be generalized to the universe of study;</w:t>
      </w:r>
    </w:p>
    <w:p w:rsidR="00D34403" w:rsidRPr="00D34403" w:rsidP="00D34403" w14:paraId="1C962C72"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4833E21D"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the use of a statistical data classification that has not been reviewed and approved by OMB;</w:t>
      </w:r>
    </w:p>
    <w:p w:rsidR="00D34403" w:rsidRPr="00D34403" w:rsidP="00D34403" w14:paraId="09763E11"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1837C940"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D34403" w:rsidRPr="00D34403" w:rsidP="00D34403" w14:paraId="2F306322"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6E57E2BF"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34403" w:rsidRPr="00D34403" w:rsidP="00D34403" w14:paraId="3CA29998" w14:textId="77777777">
      <w:pPr>
        <w:spacing w:after="0" w:line="240" w:lineRule="auto"/>
        <w:ind w:left="720"/>
        <w:contextualSpacing/>
        <w:rPr>
          <w:rFonts w:ascii="Times New Roman" w:eastAsia="Times New Roman" w:hAnsi="Times New Roman" w:cs="Times New Roman"/>
          <w:b/>
          <w:sz w:val="24"/>
          <w:szCs w:val="24"/>
        </w:rPr>
      </w:pPr>
    </w:p>
    <w:p w:rsidR="00D34403" w:rsidRPr="00D34403" w:rsidP="00D34403" w14:paraId="44EB3EC0" w14:textId="77777777">
      <w:pPr>
        <w:tabs>
          <w:tab w:val="left" w:pos="-720"/>
        </w:tabs>
        <w:suppressAutoHyphens/>
        <w:spacing w:after="0" w:line="240" w:lineRule="auto"/>
        <w:ind w:left="108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There are no special circumstances that would require this information to be collected in a manner as described in the eight bullets in this question.</w:t>
      </w:r>
    </w:p>
    <w:p w:rsidR="00D34403" w:rsidRPr="00D34403" w:rsidP="00D34403" w14:paraId="0FD3201F"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31840CF8" w14:textId="77777777">
      <w:pPr>
        <w:numPr>
          <w:ilvl w:val="0"/>
          <w:numId w:val="5"/>
        </w:numPr>
        <w:tabs>
          <w:tab w:val="left" w:pos="-720"/>
          <w:tab w:val="left" w:pos="375"/>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As applicable, state that the Department has published the 60 and 30 Federal Register notices as required by 5 CFR 1320.8(d), soliciting comments on the information collection prior to submission to OMB.</w:t>
      </w:r>
    </w:p>
    <w:p w:rsidR="00D34403" w:rsidRPr="00D34403" w:rsidP="00D34403" w14:paraId="31F2596A" w14:textId="77777777">
      <w:pPr>
        <w:tabs>
          <w:tab w:val="left" w:pos="-720"/>
          <w:tab w:val="left" w:pos="375"/>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395D10C0" w14:textId="26B2E162">
      <w:pPr>
        <w:tabs>
          <w:tab w:val="left" w:pos="-720"/>
          <w:tab w:val="left" w:pos="375"/>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 xml:space="preserve">Include a citation for the </w:t>
      </w:r>
      <w:r w:rsidRPr="00D34403" w:rsidR="00EC1C69">
        <w:rPr>
          <w:rFonts w:ascii="Times New Roman" w:eastAsia="Times New Roman" w:hAnsi="Times New Roman" w:cs="Times New Roman"/>
          <w:b/>
          <w:sz w:val="24"/>
          <w:szCs w:val="24"/>
        </w:rPr>
        <w:t>60-day</w:t>
      </w:r>
      <w:r w:rsidRPr="00D34403">
        <w:rPr>
          <w:rFonts w:ascii="Times New Roman" w:eastAsia="Times New Roman" w:hAnsi="Times New Roman" w:cs="Times New Roman"/>
          <w:b/>
          <w:sz w:val="24"/>
          <w:szCs w:val="24"/>
        </w:rPr>
        <w:t xml:space="preserve"> comment period (e.g. Vol. 84 FR ##### and the date of publication). Summarize public comments received in response to the </w:t>
      </w:r>
      <w:r w:rsidRPr="00D34403" w:rsidR="00EC1C69">
        <w:rPr>
          <w:rFonts w:ascii="Times New Roman" w:eastAsia="Times New Roman" w:hAnsi="Times New Roman" w:cs="Times New Roman"/>
          <w:b/>
          <w:sz w:val="24"/>
          <w:szCs w:val="24"/>
        </w:rPr>
        <w:t>60-day</w:t>
      </w:r>
      <w:r w:rsidRPr="00D34403">
        <w:rPr>
          <w:rFonts w:ascii="Times New Roman" w:eastAsia="Times New Roman" w:hAnsi="Times New Roman" w:cs="Times New Roman"/>
          <w:b/>
          <w:sz w:val="24"/>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D34403" w:rsidRPr="00D34403" w:rsidP="00D34403" w14:paraId="4258560A" w14:textId="77777777">
      <w:pPr>
        <w:tabs>
          <w:tab w:val="left" w:pos="-720"/>
          <w:tab w:val="left" w:pos="375"/>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51E991A0" w14:textId="377D405F">
      <w:pPr>
        <w:tabs>
          <w:tab w:val="left" w:pos="-720"/>
          <w:tab w:val="left" w:pos="375"/>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 xml:space="preserve">For the </w:t>
      </w:r>
      <w:r w:rsidRPr="00D34403" w:rsidR="00EC1C69">
        <w:rPr>
          <w:rFonts w:ascii="Times New Roman" w:eastAsia="Times New Roman" w:hAnsi="Times New Roman" w:cs="Times New Roman"/>
          <w:b/>
          <w:sz w:val="24"/>
          <w:szCs w:val="24"/>
        </w:rPr>
        <w:t>30-day</w:t>
      </w:r>
      <w:r w:rsidRPr="00D34403">
        <w:rPr>
          <w:rFonts w:ascii="Times New Roman" w:eastAsia="Times New Roman" w:hAnsi="Times New Roman" w:cs="Times New Roman"/>
          <w:b/>
          <w:sz w:val="24"/>
          <w:szCs w:val="24"/>
        </w:rPr>
        <w:t xml:space="preserve"> notice, indicate that a notice will be published.</w:t>
      </w:r>
    </w:p>
    <w:p w:rsidR="00D34403" w:rsidRPr="00D34403" w:rsidP="00D34403" w14:paraId="088498B8" w14:textId="77777777">
      <w:pPr>
        <w:tabs>
          <w:tab w:val="left" w:pos="-720"/>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4403" w:rsidRPr="00D34403" w:rsidP="00D34403" w14:paraId="61E38C67"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718E4925" w14:textId="77777777">
      <w:pPr>
        <w:tabs>
          <w:tab w:val="left" w:pos="-720"/>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34403" w:rsidRPr="00D34403" w:rsidP="00D34403" w14:paraId="7A9908B3"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P="00D34403" w14:paraId="5BEFA965"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 xml:space="preserve">During initial development, the National Council of State Agencies for the Blind and nearly 90 percent of the IL-OIB project directors reviewed the collection instrument and instructions. RSA considered all comments and suggestions and adopted several recommendations. In the spring of each year, RSA meets with the IL-OIB directors, and one of the topics always addressed is a review of any questions or concerns about this information collection. </w:t>
      </w:r>
      <w:r w:rsidRPr="00FB03B2">
        <w:rPr>
          <w:rFonts w:ascii="Times New Roman" w:eastAsia="Times New Roman" w:hAnsi="Times New Roman" w:cs="Times New Roman"/>
          <w:bCs/>
          <w:sz w:val="24"/>
          <w:szCs w:val="24"/>
        </w:rPr>
        <w:t>The proposed changes in this form and instructions were made in response to questions about the need for greater clarity and streamlining.</w:t>
      </w:r>
      <w:r w:rsidRPr="00D34403">
        <w:rPr>
          <w:rFonts w:ascii="Times New Roman" w:eastAsia="Times New Roman" w:hAnsi="Times New Roman" w:cs="Times New Roman"/>
          <w:bCs/>
          <w:sz w:val="24"/>
          <w:szCs w:val="24"/>
        </w:rPr>
        <w:t xml:space="preserve">   </w:t>
      </w:r>
    </w:p>
    <w:p w:rsidR="001D5242" w:rsidP="00D34403" w14:paraId="144276F7" w14:textId="77777777">
      <w:pPr>
        <w:tabs>
          <w:tab w:val="left" w:pos="-720"/>
        </w:tabs>
        <w:suppressAutoHyphens/>
        <w:spacing w:after="0" w:line="240" w:lineRule="auto"/>
        <w:ind w:left="720"/>
        <w:rPr>
          <w:rFonts w:ascii="Times New Roman" w:eastAsia="Times New Roman" w:hAnsi="Times New Roman" w:cs="Times New Roman"/>
          <w:bCs/>
          <w:sz w:val="24"/>
          <w:szCs w:val="24"/>
        </w:rPr>
      </w:pPr>
    </w:p>
    <w:p w:rsidR="001D5242" w:rsidRPr="00D34403" w:rsidP="00D34403" w14:paraId="54DA8B17" w14:textId="0E3E950E">
      <w:pPr>
        <w:tabs>
          <w:tab w:val="left" w:pos="-720"/>
        </w:tabs>
        <w:suppressAutoHyphens/>
        <w:spacing w:after="0" w:line="240" w:lineRule="auto"/>
        <w:ind w:left="720"/>
        <w:rPr>
          <w:rFonts w:ascii="Times New Roman" w:eastAsia="Times New Roman" w:hAnsi="Times New Roman" w:cs="Times New Roman"/>
          <w:bCs/>
          <w:sz w:val="24"/>
          <w:szCs w:val="24"/>
        </w:rPr>
      </w:pPr>
      <w:r w:rsidRPr="00FB03B2">
        <w:rPr>
          <w:rFonts w:ascii="Times New Roman" w:eastAsia="Times New Roman" w:hAnsi="Times New Roman" w:cs="Times New Roman"/>
          <w:bCs/>
          <w:sz w:val="24"/>
          <w:szCs w:val="24"/>
        </w:rPr>
        <w:t>The Department publish</w:t>
      </w:r>
      <w:r w:rsidR="003C34CF">
        <w:rPr>
          <w:rFonts w:ascii="Times New Roman" w:eastAsia="Times New Roman" w:hAnsi="Times New Roman" w:cs="Times New Roman"/>
          <w:bCs/>
          <w:sz w:val="24"/>
          <w:szCs w:val="24"/>
        </w:rPr>
        <w:t>ed</w:t>
      </w:r>
      <w:r w:rsidR="00ED671A">
        <w:rPr>
          <w:rFonts w:ascii="Times New Roman" w:eastAsia="Times New Roman" w:hAnsi="Times New Roman" w:cs="Times New Roman"/>
          <w:bCs/>
          <w:sz w:val="24"/>
          <w:szCs w:val="24"/>
        </w:rPr>
        <w:t>,</w:t>
      </w:r>
      <w:r w:rsidR="003C34CF">
        <w:rPr>
          <w:rFonts w:ascii="Times New Roman" w:eastAsia="Times New Roman" w:hAnsi="Times New Roman" w:cs="Times New Roman"/>
          <w:bCs/>
          <w:sz w:val="24"/>
          <w:szCs w:val="24"/>
        </w:rPr>
        <w:t xml:space="preserve"> in September 2025</w:t>
      </w:r>
      <w:r w:rsidR="00ED671A">
        <w:rPr>
          <w:rFonts w:ascii="Times New Roman" w:eastAsia="Times New Roman" w:hAnsi="Times New Roman" w:cs="Times New Roman"/>
          <w:bCs/>
          <w:sz w:val="24"/>
          <w:szCs w:val="24"/>
        </w:rPr>
        <w:t>,</w:t>
      </w:r>
      <w:r w:rsidRPr="00FB03B2">
        <w:rPr>
          <w:rFonts w:ascii="Times New Roman" w:eastAsia="Times New Roman" w:hAnsi="Times New Roman" w:cs="Times New Roman"/>
          <w:bCs/>
          <w:sz w:val="24"/>
          <w:szCs w:val="24"/>
        </w:rPr>
        <w:t xml:space="preserve"> a</w:t>
      </w:r>
      <w:r w:rsidRPr="00FB03B2" w:rsidR="00FB2F94">
        <w:rPr>
          <w:rFonts w:ascii="Times New Roman" w:eastAsia="Times New Roman" w:hAnsi="Times New Roman" w:cs="Times New Roman"/>
          <w:bCs/>
          <w:sz w:val="24"/>
          <w:szCs w:val="24"/>
        </w:rPr>
        <w:t xml:space="preserve"> 60-day Federal Register Notice</w:t>
      </w:r>
      <w:r w:rsidRPr="00FB03B2" w:rsidR="00180853">
        <w:rPr>
          <w:rFonts w:ascii="Times New Roman" w:eastAsia="Times New Roman" w:hAnsi="Times New Roman" w:cs="Times New Roman"/>
          <w:bCs/>
          <w:sz w:val="24"/>
          <w:szCs w:val="24"/>
        </w:rPr>
        <w:t xml:space="preserve"> to solicit public feedback on this ICR. </w:t>
      </w:r>
      <w:r w:rsidR="003C34CF">
        <w:rPr>
          <w:rFonts w:ascii="Times New Roman" w:eastAsia="Times New Roman" w:hAnsi="Times New Roman" w:cs="Times New Roman"/>
          <w:bCs/>
          <w:sz w:val="24"/>
          <w:szCs w:val="24"/>
        </w:rPr>
        <w:t>T</w:t>
      </w:r>
      <w:r w:rsidRPr="00FB03B2" w:rsidR="00180853">
        <w:rPr>
          <w:rFonts w:ascii="Times New Roman" w:eastAsia="Times New Roman" w:hAnsi="Times New Roman" w:cs="Times New Roman"/>
          <w:bCs/>
          <w:sz w:val="24"/>
          <w:szCs w:val="24"/>
        </w:rPr>
        <w:t>he Department consider</w:t>
      </w:r>
      <w:r w:rsidR="003C34CF">
        <w:rPr>
          <w:rFonts w:ascii="Times New Roman" w:eastAsia="Times New Roman" w:hAnsi="Times New Roman" w:cs="Times New Roman"/>
          <w:bCs/>
          <w:sz w:val="24"/>
          <w:szCs w:val="24"/>
        </w:rPr>
        <w:t>ed</w:t>
      </w:r>
      <w:r w:rsidRPr="00FB03B2" w:rsidR="00180853">
        <w:rPr>
          <w:rFonts w:ascii="Times New Roman" w:eastAsia="Times New Roman" w:hAnsi="Times New Roman" w:cs="Times New Roman"/>
          <w:bCs/>
          <w:sz w:val="24"/>
          <w:szCs w:val="24"/>
        </w:rPr>
        <w:t xml:space="preserve"> the comments received and </w:t>
      </w:r>
      <w:r w:rsidRPr="00FB03B2" w:rsidR="00F238AD">
        <w:rPr>
          <w:rFonts w:ascii="Times New Roman" w:eastAsia="Times New Roman" w:hAnsi="Times New Roman" w:cs="Times New Roman"/>
          <w:bCs/>
          <w:sz w:val="24"/>
          <w:szCs w:val="24"/>
        </w:rPr>
        <w:t>adjust</w:t>
      </w:r>
      <w:r w:rsidR="003C34CF">
        <w:rPr>
          <w:rFonts w:ascii="Times New Roman" w:eastAsia="Times New Roman" w:hAnsi="Times New Roman" w:cs="Times New Roman"/>
          <w:bCs/>
          <w:sz w:val="24"/>
          <w:szCs w:val="24"/>
        </w:rPr>
        <w:t>ed</w:t>
      </w:r>
      <w:r w:rsidRPr="00FB03B2" w:rsidR="00F238AD">
        <w:rPr>
          <w:rFonts w:ascii="Times New Roman" w:eastAsia="Times New Roman" w:hAnsi="Times New Roman" w:cs="Times New Roman"/>
          <w:bCs/>
          <w:sz w:val="24"/>
          <w:szCs w:val="24"/>
        </w:rPr>
        <w:t xml:space="preserve"> this ICR where appropriate. The Department will then publish in the Federal Register a 30-day notice</w:t>
      </w:r>
      <w:r w:rsidRPr="00FB03B2" w:rsidR="00224333">
        <w:rPr>
          <w:rFonts w:ascii="Times New Roman" w:eastAsia="Times New Roman" w:hAnsi="Times New Roman" w:cs="Times New Roman"/>
          <w:bCs/>
          <w:sz w:val="24"/>
          <w:szCs w:val="24"/>
        </w:rPr>
        <w:t xml:space="preserve"> to receive further public feedback. After that comment period ends, the Department will again consider any comments received and make adjustments to this ICR where appropriate.</w:t>
      </w:r>
    </w:p>
    <w:p w:rsidR="00D34403" w:rsidRPr="00D34403" w:rsidP="00D34403" w14:paraId="5F16D562" w14:textId="77777777">
      <w:pPr>
        <w:tabs>
          <w:tab w:val="left" w:pos="-720"/>
        </w:tabs>
        <w:suppressAutoHyphens/>
        <w:spacing w:after="0" w:line="240" w:lineRule="auto"/>
        <w:ind w:left="720"/>
        <w:rPr>
          <w:rFonts w:ascii="Times New Roman" w:eastAsia="Times New Roman" w:hAnsi="Times New Roman" w:cs="Times New Roman"/>
          <w:sz w:val="24"/>
          <w:szCs w:val="24"/>
        </w:rPr>
      </w:pPr>
    </w:p>
    <w:p w:rsidR="00D34403" w:rsidRPr="00D34403" w:rsidP="00D34403" w14:paraId="0A04FD40" w14:textId="77777777">
      <w:pPr>
        <w:numPr>
          <w:ilvl w:val="0"/>
          <w:numId w:val="5"/>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Explain any decision to provide any payment or gift to respondents, other than remuneration of contractors or grantees with meaningful justification.</w:t>
      </w:r>
    </w:p>
    <w:p w:rsidR="00D34403" w:rsidRPr="00D34403" w:rsidP="00D34403" w14:paraId="7C744242"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131EDF28"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No payment or gift has been provided to respondents.</w:t>
      </w:r>
    </w:p>
    <w:p w:rsidR="00D34403" w:rsidRPr="00D34403" w:rsidP="00D34403" w14:paraId="2263BAB4"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66FE5591" w14:textId="77777777">
      <w:pPr>
        <w:numPr>
          <w:ilvl w:val="0"/>
          <w:numId w:val="5"/>
        </w:numPr>
        <w:tabs>
          <w:tab w:val="left" w:pos="-720"/>
        </w:tabs>
        <w:suppressAutoHyphens/>
        <w:spacing w:after="0" w:line="240" w:lineRule="auto"/>
        <w:ind w:hanging="547"/>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Fonts w:ascii="Times New Roman" w:eastAsia="Times New Roman" w:hAnsi="Times New Roman" w:cs="Times New Roman"/>
          <w:b/>
          <w:sz w:val="24"/>
          <w:szCs w:val="24"/>
          <w:vertAlign w:val="superscript"/>
        </w:rPr>
        <w:footnoteReference w:id="2"/>
      </w:r>
      <w:r w:rsidRPr="00D34403">
        <w:rPr>
          <w:rFonts w:ascii="Times New Roman" w:eastAsia="Times New Roman" w:hAnsi="Times New Roman" w:cs="Times New Roman"/>
          <w:b/>
          <w:sz w:val="24"/>
          <w:szCs w:val="24"/>
        </w:rPr>
        <w:t xml:space="preserve"> If the collection is subject to the Privacy Act, </w:t>
      </w:r>
      <w:r w:rsidRPr="00D34403">
        <w:rPr>
          <w:rFonts w:ascii="Times New Roman" w:eastAsia="Times New Roman" w:hAnsi="Times New Roman" w:cs="Times New Roman"/>
          <w:b/>
          <w:sz w:val="24"/>
          <w:szCs w:val="24"/>
        </w:rPr>
        <w:t>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34403" w:rsidRPr="00D34403" w:rsidP="00D34403" w14:paraId="46259522"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2AD7240D" w14:textId="77777777">
      <w:pPr>
        <w:tabs>
          <w:tab w:val="left" w:pos="-720"/>
        </w:tabs>
        <w:suppressAutoHyphens/>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collection does not contain specific or personal information.</w:t>
      </w:r>
    </w:p>
    <w:p w:rsidR="00D34403" w:rsidRPr="00D34403" w:rsidP="00D34403" w14:paraId="1A8ED360"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744FDCBE" w14:textId="77777777">
      <w:pPr>
        <w:numPr>
          <w:ilvl w:val="0"/>
          <w:numId w:val="5"/>
        </w:numPr>
        <w:tabs>
          <w:tab w:val="left" w:pos="-720"/>
        </w:tabs>
        <w:suppressAutoHyphens/>
        <w:spacing w:after="0" w:line="240" w:lineRule="auto"/>
        <w:ind w:hanging="54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4403" w:rsidRPr="00D34403" w:rsidP="00D34403" w14:paraId="36D4612E"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0CA0FACE" w14:textId="77777777">
      <w:pPr>
        <w:tabs>
          <w:tab w:val="left" w:pos="-720"/>
        </w:tabs>
        <w:suppressAutoHyphens/>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collection does not contain any questions of a sensitive nature.</w:t>
      </w:r>
    </w:p>
    <w:p w:rsidR="00D34403" w:rsidRPr="00D34403" w:rsidP="00D34403" w14:paraId="16C26331" w14:textId="77777777">
      <w:pPr>
        <w:tabs>
          <w:tab w:val="left" w:pos="-720"/>
        </w:tabs>
        <w:suppressAutoHyphens/>
        <w:spacing w:after="0" w:line="240" w:lineRule="auto"/>
        <w:ind w:left="180"/>
        <w:rPr>
          <w:rFonts w:ascii="Times New Roman" w:eastAsia="Times New Roman" w:hAnsi="Times New Roman" w:cs="Times New Roman"/>
          <w:sz w:val="24"/>
          <w:szCs w:val="24"/>
        </w:rPr>
      </w:pPr>
    </w:p>
    <w:p w:rsidR="00D34403" w:rsidRPr="00065BBB" w:rsidP="00D34403" w14:paraId="3A6404AD" w14:textId="77777777">
      <w:pPr>
        <w:numPr>
          <w:ilvl w:val="0"/>
          <w:numId w:val="5"/>
        </w:numPr>
        <w:tabs>
          <w:tab w:val="left" w:pos="-720"/>
        </w:tabs>
        <w:suppressAutoHyphens/>
        <w:spacing w:after="0" w:line="240" w:lineRule="auto"/>
        <w:ind w:hanging="540"/>
        <w:contextualSpacing/>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Provide estimates of the hour burden for this current information collection request.  The statement should:</w:t>
      </w:r>
    </w:p>
    <w:p w:rsidR="00D34403" w:rsidRPr="00065BBB" w:rsidP="00D34403" w14:paraId="2A142B54"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065BBB" w:rsidP="00D34403" w14:paraId="62CEFE1F"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D34403" w:rsidRPr="00065BBB" w:rsidP="00D34403" w14:paraId="39F7C57A"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Please do not include increases in burden and respondents numerically in this table. Explain these changes in number 15.</w:t>
      </w:r>
    </w:p>
    <w:p w:rsidR="00D34403" w:rsidRPr="00065BBB" w:rsidP="00D34403" w14:paraId="715FA778"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sz w:val="24"/>
          <w:szCs w:val="24"/>
        </w:rPr>
      </w:pPr>
      <w:r w:rsidRPr="00065BBB">
        <w:rPr>
          <w:rFonts w:ascii="Times New Roman" w:eastAsia="Times New Roman" w:hAnsi="Times New Roman" w:cs="Times New Roman"/>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D34403" w:rsidRPr="00065BBB" w:rsidP="00D34403" w14:paraId="7DA891BD"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If this request for approval covers more than one form, provide separate hour burden estimates for each form and aggregate the hour burden in the table below.</w:t>
      </w:r>
    </w:p>
    <w:p w:rsidR="00D34403" w:rsidRPr="00065BBB" w:rsidP="00D34403" w14:paraId="46EBF646" w14:textId="77777777">
      <w:pPr>
        <w:numPr>
          <w:ilvl w:val="0"/>
          <w:numId w:val="2"/>
        </w:numPr>
        <w:tabs>
          <w:tab w:val="left" w:pos="-720"/>
          <w:tab w:val="left" w:pos="1247"/>
        </w:tabs>
        <w:suppressAutoHyphens/>
        <w:spacing w:after="0" w:line="240" w:lineRule="auto"/>
        <w:ind w:left="1166"/>
        <w:rPr>
          <w:rFonts w:ascii="Times New Roman" w:eastAsia="Times New Roman" w:hAnsi="Times New Roman" w:cs="Times New Roman"/>
          <w:sz w:val="24"/>
          <w:szCs w:val="24"/>
        </w:rPr>
      </w:pPr>
      <w:r w:rsidRPr="00065BBB">
        <w:rPr>
          <w:rFonts w:ascii="Times New Roman" w:eastAsia="Times New Roman" w:hAnsi="Times New Roman" w:cs="Times New Roman"/>
          <w:b/>
          <w:sz w:val="24"/>
          <w:szCs w:val="24"/>
        </w:rPr>
        <w:t xml:space="preserve">Provide estimates of annualized cost to respondents of the hour burdens for collections of information, identifying and using appropriate wage rate categories. </w:t>
      </w:r>
      <w:hyperlink r:id="rId8" w:history="1">
        <w:r w:rsidRPr="00065BBB">
          <w:rPr>
            <w:rFonts w:ascii="Times New Roman" w:eastAsia="Times New Roman" w:hAnsi="Times New Roman" w:cs="Times New Roman"/>
            <w:b/>
            <w:color w:val="0000FF"/>
            <w:sz w:val="24"/>
            <w:szCs w:val="24"/>
            <w:u w:val="single"/>
          </w:rPr>
          <w:t>Use this site</w:t>
        </w:r>
      </w:hyperlink>
      <w:r w:rsidRPr="00065BBB">
        <w:rPr>
          <w:rFonts w:ascii="Times New Roman" w:eastAsia="Times New Roman" w:hAnsi="Times New Roman" w:cs="Times New Roman"/>
          <w:b/>
          <w:sz w:val="24"/>
          <w:szCs w:val="24"/>
        </w:rPr>
        <w:t xml:space="preserve"> to research the appropriate wage rate. The cost of </w:t>
      </w:r>
      <w:r w:rsidRPr="00065BBB">
        <w:rPr>
          <w:rFonts w:ascii="Times New Roman" w:eastAsia="Times New Roman" w:hAnsi="Times New Roman" w:cs="Times New Roman"/>
          <w:b/>
          <w:sz w:val="24"/>
          <w:szCs w:val="24"/>
        </w:rPr>
        <w:t>contracting out or paying outside parties for information collection activities should not be included here.  Instead, this cost should be included in Item 14. If there is no cost to respondents, indicate by entering 0 in the chart below and/or provide a statement.</w:t>
      </w:r>
    </w:p>
    <w:p w:rsidR="00D34403" w:rsidRPr="00065BBB" w:rsidP="00D34403" w14:paraId="6553A395"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C57A64" w:rsidRPr="00065BBB" w:rsidP="00D34403" w14:paraId="45FFA788"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D34403" w:rsidRPr="00065BBB" w:rsidP="00D34403" w14:paraId="7BCAED36" w14:textId="3AEE2A3B">
      <w:pPr>
        <w:tabs>
          <w:tab w:val="left" w:pos="-720"/>
        </w:tabs>
        <w:suppressAutoHyphens/>
        <w:spacing w:after="0" w:line="240" w:lineRule="auto"/>
        <w:ind w:left="720"/>
        <w:rPr>
          <w:rFonts w:ascii="Times New Roman" w:eastAsia="Times New Roman" w:hAnsi="Times New Roman" w:cs="Times New Roman"/>
          <w:bCs/>
          <w:sz w:val="26"/>
          <w:szCs w:val="26"/>
        </w:rPr>
      </w:pPr>
      <w:r w:rsidRPr="00065BBB">
        <w:rPr>
          <w:rFonts w:ascii="Times New Roman" w:eastAsia="Times New Roman" w:hAnsi="Times New Roman" w:cs="Times New Roman"/>
          <w:bCs/>
          <w:sz w:val="26"/>
          <w:szCs w:val="26"/>
        </w:rPr>
        <w:t>Based on previous iterations, the 56 respondents will take approximately 5 hours to complete the 7-OB Report</w:t>
      </w:r>
      <w:r w:rsidRPr="00065BBB" w:rsidR="00FB2F94">
        <w:rPr>
          <w:rFonts w:ascii="Times New Roman" w:eastAsia="Times New Roman" w:hAnsi="Times New Roman" w:cs="Times New Roman"/>
          <w:bCs/>
          <w:sz w:val="26"/>
          <w:szCs w:val="26"/>
        </w:rPr>
        <w:t>.</w:t>
      </w:r>
    </w:p>
    <w:p w:rsidR="00D34403" w:rsidRPr="00065BBB" w:rsidP="00D34403" w14:paraId="32FB2488" w14:textId="77777777">
      <w:pPr>
        <w:tabs>
          <w:tab w:val="left" w:pos="-720"/>
        </w:tabs>
        <w:suppressAutoHyphens/>
        <w:spacing w:after="0" w:line="240" w:lineRule="auto"/>
        <w:ind w:left="720"/>
        <w:contextualSpacing/>
        <w:rPr>
          <w:rFonts w:ascii="Times New Roman" w:eastAsia="Times New Roman" w:hAnsi="Times New Roman" w:cs="Times New Roman"/>
          <w:sz w:val="24"/>
          <w:szCs w:val="24"/>
        </w:rPr>
      </w:pPr>
    </w:p>
    <w:p w:rsidR="00D34403" w:rsidRPr="00065BBB" w:rsidP="00D34403" w14:paraId="67B54F3E" w14:textId="77777777">
      <w:pPr>
        <w:spacing w:after="200" w:line="240" w:lineRule="auto"/>
        <w:jc w:val="center"/>
        <w:rPr>
          <w:rFonts w:ascii="Times New Roman" w:eastAsia="Times New Roman" w:hAnsi="Times New Roman" w:cs="Times New Roman"/>
          <w:b/>
          <w:bCs/>
          <w:color w:val="000000"/>
          <w:sz w:val="24"/>
          <w:szCs w:val="24"/>
        </w:rPr>
      </w:pPr>
      <w:r w:rsidRPr="00065BBB">
        <w:rPr>
          <w:rFonts w:ascii="Times New Roman" w:eastAsia="Times New Roman" w:hAnsi="Times New Roman" w:cs="Times New Roman"/>
          <w:b/>
          <w:bCs/>
          <w:color w:val="000000"/>
          <w:sz w:val="24"/>
          <w:szCs w:val="24"/>
        </w:rPr>
        <w:t xml:space="preserve">Estimated </w:t>
      </w:r>
      <w:r w:rsidRPr="00065BBB" w:rsidR="00D83F84">
        <w:rPr>
          <w:rFonts w:ascii="Times New Roman" w:eastAsia="Times New Roman" w:hAnsi="Times New Roman" w:cs="Times New Roman"/>
          <w:b/>
          <w:bCs/>
          <w:color w:val="000000"/>
          <w:sz w:val="24"/>
          <w:szCs w:val="24"/>
        </w:rPr>
        <w:t>A</w:t>
      </w:r>
      <w:r w:rsidRPr="00065BBB">
        <w:rPr>
          <w:rFonts w:ascii="Times New Roman" w:eastAsia="Times New Roman" w:hAnsi="Times New Roman" w:cs="Times New Roman"/>
          <w:b/>
          <w:bCs/>
          <w:color w:val="000000"/>
          <w:sz w:val="24"/>
          <w:szCs w:val="24"/>
        </w:rPr>
        <w:t>nnual Burden and Respondent Cos</w:t>
      </w:r>
      <w:r w:rsidRPr="00065BBB" w:rsidR="00D83F84">
        <w:rPr>
          <w:rFonts w:ascii="Times New Roman" w:eastAsia="Times New Roman" w:hAnsi="Times New Roman" w:cs="Times New Roman"/>
          <w:b/>
          <w:bCs/>
          <w:color w:val="000000"/>
          <w:sz w:val="24"/>
          <w:szCs w:val="24"/>
        </w:rPr>
        <w:t>t</w:t>
      </w:r>
      <w:r w:rsidRPr="00065BBB">
        <w:rPr>
          <w:rFonts w:ascii="Times New Roman" w:eastAsia="Times New Roman" w:hAnsi="Times New Roman" w:cs="Times New Roman"/>
          <w:b/>
          <w:bCs/>
          <w:color w:val="000000"/>
          <w:sz w:val="24"/>
          <w:szCs w:val="24"/>
        </w:rPr>
        <w:t>s Table</w:t>
      </w:r>
      <w:r w:rsidRPr="00065BBB" w:rsidR="00036418">
        <w:rPr>
          <w:rFonts w:ascii="Times New Roman" w:eastAsia="Times New Roman" w:hAnsi="Times New Roman" w:cs="Times New Roman"/>
          <w:b/>
          <w:bCs/>
          <w:color w:val="000000"/>
          <w:sz w:val="24"/>
          <w:szCs w:val="24"/>
        </w:rPr>
        <w:t xml:space="preserve">. </w:t>
      </w:r>
    </w:p>
    <w:tbl>
      <w:tblPr>
        <w:tblStyle w:val="TableGridLight1"/>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67E9C275" w14:textId="77777777" w:rsidTr="007369F7">
        <w:tblPrEx>
          <w:tblW w:w="11335" w:type="dxa"/>
          <w:tblLayout w:type="fixed"/>
          <w:tblLook w:val="0020"/>
        </w:tblPrEx>
        <w:trPr>
          <w:tblHeader/>
        </w:trPr>
        <w:tc>
          <w:tcPr>
            <w:tcW w:w="1345" w:type="dxa"/>
          </w:tcPr>
          <w:p w:rsidR="00D34403" w:rsidRPr="00065BBB" w:rsidP="00D34403" w14:paraId="31ADF58F" w14:textId="77777777">
            <w:pPr>
              <w:jc w:val="center"/>
            </w:pPr>
          </w:p>
          <w:p w:rsidR="00D34403" w:rsidRPr="00065BBB" w:rsidP="00D34403" w14:paraId="79B24856" w14:textId="77777777">
            <w:pPr>
              <w:jc w:val="center"/>
            </w:pPr>
          </w:p>
          <w:p w:rsidR="00D34403" w:rsidRPr="00065BBB" w:rsidP="00D34403" w14:paraId="478DFFD5" w14:textId="77777777">
            <w:pPr>
              <w:jc w:val="center"/>
            </w:pPr>
            <w:r w:rsidRPr="00065BBB">
              <w:t>Information Activity or IC (with type of respondent)</w:t>
            </w:r>
          </w:p>
        </w:tc>
        <w:tc>
          <w:tcPr>
            <w:tcW w:w="1265" w:type="dxa"/>
          </w:tcPr>
          <w:p w:rsidR="00D34403" w:rsidRPr="00065BBB" w:rsidP="00D34403" w14:paraId="2D9C5A22" w14:textId="77777777">
            <w:pPr>
              <w:jc w:val="center"/>
            </w:pPr>
          </w:p>
          <w:p w:rsidR="00D34403" w:rsidRPr="00065BBB" w:rsidP="00D34403" w14:paraId="623A9654" w14:textId="77777777">
            <w:pPr>
              <w:jc w:val="center"/>
            </w:pPr>
          </w:p>
          <w:p w:rsidR="00D34403" w:rsidRPr="00065BBB" w:rsidP="00D34403" w14:paraId="7CA5F565" w14:textId="77777777">
            <w:pPr>
              <w:jc w:val="center"/>
            </w:pPr>
            <w:r w:rsidRPr="00065BBB">
              <w:t xml:space="preserve">Sample Size </w:t>
            </w:r>
          </w:p>
        </w:tc>
        <w:tc>
          <w:tcPr>
            <w:tcW w:w="1255" w:type="dxa"/>
          </w:tcPr>
          <w:p w:rsidR="00D34403" w:rsidRPr="00065BBB" w:rsidP="00D34403" w14:paraId="05C41E94" w14:textId="77777777">
            <w:pPr>
              <w:jc w:val="center"/>
            </w:pPr>
          </w:p>
          <w:p w:rsidR="00D34403" w:rsidRPr="00065BBB" w:rsidP="00D34403" w14:paraId="4FD5C30B" w14:textId="77777777">
            <w:pPr>
              <w:shd w:val="clear" w:color="auto" w:fill="F2F2F2"/>
              <w:jc w:val="center"/>
            </w:pPr>
          </w:p>
          <w:p w:rsidR="00D34403" w:rsidRPr="00065BBB" w:rsidP="00D34403" w14:paraId="56A86E70" w14:textId="77777777">
            <w:pPr>
              <w:shd w:val="clear" w:color="auto" w:fill="F2F2F2"/>
              <w:jc w:val="center"/>
            </w:pPr>
            <w:r w:rsidRPr="00065BBB">
              <w:rPr>
                <w:shd w:val="clear" w:color="auto" w:fill="F2F2F2"/>
              </w:rPr>
              <w:t>Respondent Response Rate</w:t>
            </w:r>
          </w:p>
        </w:tc>
        <w:tc>
          <w:tcPr>
            <w:tcW w:w="1275" w:type="dxa"/>
          </w:tcPr>
          <w:p w:rsidR="00C57A64" w:rsidRPr="00065BBB" w:rsidP="00D34403" w14:paraId="16A198AE" w14:textId="77777777">
            <w:pPr>
              <w:jc w:val="center"/>
            </w:pPr>
          </w:p>
          <w:p w:rsidR="00C57A64" w:rsidRPr="00065BBB" w:rsidP="00D34403" w14:paraId="506B0475" w14:textId="77777777">
            <w:pPr>
              <w:jc w:val="center"/>
            </w:pPr>
          </w:p>
          <w:p w:rsidR="00D34403" w:rsidRPr="00065BBB" w:rsidP="00D34403" w14:paraId="3496CDA7" w14:textId="77777777">
            <w:pPr>
              <w:jc w:val="center"/>
            </w:pPr>
            <w:r w:rsidRPr="00065BBB">
              <w:t>Number of Respondents</w:t>
            </w:r>
          </w:p>
        </w:tc>
        <w:tc>
          <w:tcPr>
            <w:tcW w:w="1080" w:type="dxa"/>
          </w:tcPr>
          <w:p w:rsidR="00D34403" w:rsidRPr="00065BBB" w:rsidP="00D34403" w14:paraId="185C4EA5" w14:textId="77777777">
            <w:pPr>
              <w:jc w:val="center"/>
            </w:pPr>
          </w:p>
          <w:p w:rsidR="00D34403" w:rsidRPr="00065BBB" w:rsidP="00D34403" w14:paraId="2841D4A7" w14:textId="77777777">
            <w:pPr>
              <w:jc w:val="center"/>
            </w:pPr>
          </w:p>
          <w:p w:rsidR="00D34403" w:rsidRPr="00065BBB" w:rsidP="00D34403" w14:paraId="0087D3CD" w14:textId="77777777">
            <w:pPr>
              <w:jc w:val="center"/>
            </w:pPr>
            <w:r w:rsidRPr="00065BBB">
              <w:t>Number of Responses</w:t>
            </w:r>
          </w:p>
        </w:tc>
        <w:tc>
          <w:tcPr>
            <w:tcW w:w="1335" w:type="dxa"/>
          </w:tcPr>
          <w:p w:rsidR="00D34403" w:rsidRPr="00065BBB" w:rsidP="00D34403" w14:paraId="75D51DBC" w14:textId="77777777">
            <w:pPr>
              <w:jc w:val="center"/>
            </w:pPr>
          </w:p>
          <w:p w:rsidR="00D34403" w:rsidRPr="00065BBB" w:rsidP="00D34403" w14:paraId="0BE2B355" w14:textId="77777777">
            <w:pPr>
              <w:jc w:val="center"/>
            </w:pPr>
            <w:r w:rsidRPr="00065BBB">
              <w:t>Average Burden Hours per Response</w:t>
            </w:r>
          </w:p>
        </w:tc>
        <w:tc>
          <w:tcPr>
            <w:tcW w:w="900" w:type="dxa"/>
          </w:tcPr>
          <w:p w:rsidR="00D34403" w:rsidRPr="00065BBB" w:rsidP="00D34403" w14:paraId="13067077" w14:textId="77777777">
            <w:pPr>
              <w:jc w:val="center"/>
            </w:pPr>
          </w:p>
          <w:p w:rsidR="00D34403" w:rsidRPr="00065BBB" w:rsidP="00D34403" w14:paraId="79153BA0" w14:textId="77777777">
            <w:r w:rsidRPr="00065BBB">
              <w:t>Total Annual Burden Hours</w:t>
            </w:r>
          </w:p>
        </w:tc>
        <w:tc>
          <w:tcPr>
            <w:tcW w:w="1530" w:type="dxa"/>
          </w:tcPr>
          <w:p w:rsidR="00D34403" w:rsidRPr="00065BBB" w:rsidP="00D34403" w14:paraId="3E9D6462" w14:textId="77777777">
            <w:pPr>
              <w:jc w:val="center"/>
            </w:pPr>
          </w:p>
          <w:p w:rsidR="00D34403" w:rsidRPr="00065BBB" w:rsidP="00D34403" w14:paraId="3720D5CC" w14:textId="77777777">
            <w:pPr>
              <w:jc w:val="center"/>
            </w:pPr>
          </w:p>
          <w:p w:rsidR="00D34403" w:rsidRPr="00065BBB" w:rsidP="00D34403" w14:paraId="01B6D6EB" w14:textId="77777777">
            <w:pPr>
              <w:jc w:val="center"/>
            </w:pPr>
            <w:r w:rsidRPr="00065BBB">
              <w:t>Estimated Respondent Average Hourly Wage</w:t>
            </w:r>
          </w:p>
        </w:tc>
        <w:tc>
          <w:tcPr>
            <w:tcW w:w="1350" w:type="dxa"/>
          </w:tcPr>
          <w:p w:rsidR="00D34403" w:rsidRPr="00065BBB" w:rsidP="00D34403" w14:paraId="5E5FA6BF" w14:textId="77777777">
            <w:pPr>
              <w:jc w:val="center"/>
            </w:pPr>
          </w:p>
          <w:p w:rsidR="00D34403" w:rsidRPr="00065BBB" w:rsidP="00D34403" w14:paraId="168CE221" w14:textId="77777777">
            <w:pPr>
              <w:jc w:val="center"/>
            </w:pPr>
          </w:p>
          <w:p w:rsidR="00D34403" w:rsidRPr="00065BBB" w:rsidP="00D34403" w14:paraId="35CBD651" w14:textId="77777777">
            <w:pPr>
              <w:jc w:val="center"/>
            </w:pPr>
            <w:r w:rsidRPr="00065BBB">
              <w:t>Total Annual Costs (hourly wage x total burden hours)</w:t>
            </w:r>
          </w:p>
        </w:tc>
      </w:tr>
      <w:tr w14:paraId="57E40677" w14:textId="77777777" w:rsidTr="007369F7">
        <w:tblPrEx>
          <w:tblW w:w="11335" w:type="dxa"/>
          <w:tblLayout w:type="fixed"/>
          <w:tblLook w:val="0020"/>
        </w:tblPrEx>
        <w:tc>
          <w:tcPr>
            <w:tcW w:w="1345" w:type="dxa"/>
          </w:tcPr>
          <w:p w:rsidR="00D34403" w:rsidRPr="00065BBB" w:rsidP="00D34403" w14:paraId="0DD5E4F7" w14:textId="77777777">
            <w:pPr>
              <w:rPr>
                <w:sz w:val="24"/>
                <w:szCs w:val="24"/>
              </w:rPr>
            </w:pPr>
            <w:r w:rsidRPr="00065BBB">
              <w:rPr>
                <w:sz w:val="24"/>
                <w:szCs w:val="24"/>
              </w:rPr>
              <w:t>(7-OB)</w:t>
            </w:r>
          </w:p>
        </w:tc>
        <w:tc>
          <w:tcPr>
            <w:tcW w:w="1265" w:type="dxa"/>
          </w:tcPr>
          <w:p w:rsidR="00D34403" w:rsidRPr="00065BBB" w:rsidP="00D34403" w14:paraId="61BD7EC4" w14:textId="77777777">
            <w:pPr>
              <w:rPr>
                <w:sz w:val="24"/>
                <w:szCs w:val="24"/>
              </w:rPr>
            </w:pPr>
            <w:r w:rsidRPr="00065BBB">
              <w:rPr>
                <w:sz w:val="24"/>
                <w:szCs w:val="24"/>
              </w:rPr>
              <w:t>56</w:t>
            </w:r>
          </w:p>
        </w:tc>
        <w:tc>
          <w:tcPr>
            <w:tcW w:w="1255" w:type="dxa"/>
          </w:tcPr>
          <w:p w:rsidR="00D34403" w:rsidRPr="00065BBB" w:rsidP="00D34403" w14:paraId="3DB51765" w14:textId="77777777">
            <w:pPr>
              <w:rPr>
                <w:sz w:val="24"/>
                <w:szCs w:val="24"/>
              </w:rPr>
            </w:pPr>
            <w:r w:rsidRPr="00065BBB">
              <w:rPr>
                <w:sz w:val="24"/>
                <w:szCs w:val="24"/>
              </w:rPr>
              <w:t>100%</w:t>
            </w:r>
          </w:p>
        </w:tc>
        <w:tc>
          <w:tcPr>
            <w:tcW w:w="1275" w:type="dxa"/>
          </w:tcPr>
          <w:p w:rsidR="00D34403" w:rsidRPr="00065BBB" w:rsidP="00D34403" w14:paraId="674F50A3" w14:textId="77777777">
            <w:pPr>
              <w:rPr>
                <w:sz w:val="24"/>
                <w:szCs w:val="24"/>
              </w:rPr>
            </w:pPr>
            <w:r w:rsidRPr="00065BBB">
              <w:rPr>
                <w:sz w:val="24"/>
                <w:szCs w:val="24"/>
              </w:rPr>
              <w:t>56</w:t>
            </w:r>
          </w:p>
        </w:tc>
        <w:tc>
          <w:tcPr>
            <w:tcW w:w="1080" w:type="dxa"/>
          </w:tcPr>
          <w:p w:rsidR="00D34403" w:rsidRPr="00065BBB" w:rsidP="00A23792" w14:paraId="68D559F9" w14:textId="77777777">
            <w:pPr>
              <w:rPr>
                <w:b/>
                <w:bCs/>
                <w:sz w:val="24"/>
                <w:szCs w:val="24"/>
              </w:rPr>
            </w:pPr>
            <w:r w:rsidRPr="00065BBB">
              <w:rPr>
                <w:b/>
                <w:bCs/>
                <w:sz w:val="24"/>
                <w:szCs w:val="24"/>
              </w:rPr>
              <w:t>56</w:t>
            </w:r>
          </w:p>
        </w:tc>
        <w:tc>
          <w:tcPr>
            <w:tcW w:w="1335" w:type="dxa"/>
          </w:tcPr>
          <w:p w:rsidR="00D34403" w:rsidRPr="00065BBB" w:rsidP="00A23792" w14:paraId="5BE9A0B6" w14:textId="77777777">
            <w:pPr>
              <w:rPr>
                <w:sz w:val="24"/>
                <w:szCs w:val="24"/>
              </w:rPr>
            </w:pPr>
            <w:r w:rsidRPr="00065BBB">
              <w:rPr>
                <w:sz w:val="24"/>
                <w:szCs w:val="24"/>
              </w:rPr>
              <w:t>5</w:t>
            </w:r>
          </w:p>
        </w:tc>
        <w:tc>
          <w:tcPr>
            <w:tcW w:w="900" w:type="dxa"/>
          </w:tcPr>
          <w:p w:rsidR="00D34403" w:rsidRPr="00065BBB" w:rsidP="00D34403" w14:paraId="2CC75E9A" w14:textId="77777777">
            <w:pPr>
              <w:rPr>
                <w:b/>
                <w:bCs/>
                <w:sz w:val="24"/>
                <w:szCs w:val="24"/>
              </w:rPr>
            </w:pPr>
            <w:r w:rsidRPr="00065BBB">
              <w:rPr>
                <w:b/>
                <w:bCs/>
                <w:sz w:val="24"/>
                <w:szCs w:val="24"/>
              </w:rPr>
              <w:t>280</w:t>
            </w:r>
          </w:p>
        </w:tc>
        <w:tc>
          <w:tcPr>
            <w:tcW w:w="1530" w:type="dxa"/>
          </w:tcPr>
          <w:p w:rsidR="00D34403" w:rsidRPr="00065BBB" w:rsidP="00D34403" w14:paraId="778516C7" w14:textId="77777777">
            <w:pPr>
              <w:rPr>
                <w:sz w:val="24"/>
                <w:szCs w:val="24"/>
              </w:rPr>
            </w:pPr>
            <w:r w:rsidRPr="00065BBB">
              <w:rPr>
                <w:sz w:val="24"/>
                <w:szCs w:val="24"/>
              </w:rPr>
              <w:t>36</w:t>
            </w:r>
          </w:p>
        </w:tc>
        <w:tc>
          <w:tcPr>
            <w:tcW w:w="1350" w:type="dxa"/>
          </w:tcPr>
          <w:p w:rsidR="00D34403" w:rsidRPr="00065BBB" w:rsidP="00D34403" w14:paraId="47C7D285" w14:textId="77777777">
            <w:pPr>
              <w:rPr>
                <w:sz w:val="24"/>
                <w:szCs w:val="24"/>
              </w:rPr>
            </w:pPr>
            <w:r w:rsidRPr="00065BBB">
              <w:rPr>
                <w:sz w:val="24"/>
                <w:szCs w:val="24"/>
              </w:rPr>
              <w:t>10080.00</w:t>
            </w:r>
          </w:p>
        </w:tc>
      </w:tr>
      <w:tr w14:paraId="62E0786F" w14:textId="77777777" w:rsidTr="007369F7">
        <w:tblPrEx>
          <w:tblW w:w="11335" w:type="dxa"/>
          <w:tblLayout w:type="fixed"/>
          <w:tblLook w:val="0020"/>
        </w:tblPrEx>
        <w:tc>
          <w:tcPr>
            <w:tcW w:w="1345" w:type="dxa"/>
          </w:tcPr>
          <w:p w:rsidR="00D34403" w:rsidRPr="00065BBB" w:rsidP="00D34403" w14:paraId="61D8EE60" w14:textId="77777777">
            <w:pPr>
              <w:rPr>
                <w:sz w:val="24"/>
                <w:szCs w:val="24"/>
              </w:rPr>
            </w:pPr>
          </w:p>
        </w:tc>
        <w:tc>
          <w:tcPr>
            <w:tcW w:w="1265" w:type="dxa"/>
          </w:tcPr>
          <w:p w:rsidR="00D34403" w:rsidRPr="00065BBB" w:rsidP="00D34403" w14:paraId="5A3DCF56" w14:textId="77777777">
            <w:pPr>
              <w:rPr>
                <w:sz w:val="24"/>
                <w:szCs w:val="24"/>
              </w:rPr>
            </w:pPr>
          </w:p>
        </w:tc>
        <w:tc>
          <w:tcPr>
            <w:tcW w:w="1255" w:type="dxa"/>
          </w:tcPr>
          <w:p w:rsidR="00D34403" w:rsidRPr="00065BBB" w:rsidP="00D34403" w14:paraId="1047F6C1" w14:textId="77777777">
            <w:pPr>
              <w:rPr>
                <w:sz w:val="24"/>
                <w:szCs w:val="24"/>
              </w:rPr>
            </w:pPr>
          </w:p>
        </w:tc>
        <w:tc>
          <w:tcPr>
            <w:tcW w:w="1275" w:type="dxa"/>
          </w:tcPr>
          <w:p w:rsidR="00D34403" w:rsidRPr="00065BBB" w:rsidP="00D34403" w14:paraId="33D1FBCB" w14:textId="77777777">
            <w:pPr>
              <w:rPr>
                <w:sz w:val="24"/>
                <w:szCs w:val="24"/>
              </w:rPr>
            </w:pPr>
          </w:p>
        </w:tc>
        <w:tc>
          <w:tcPr>
            <w:tcW w:w="1080" w:type="dxa"/>
          </w:tcPr>
          <w:p w:rsidR="00D34403" w:rsidRPr="00065BBB" w:rsidP="00D34403" w14:paraId="19B55EA2" w14:textId="77777777">
            <w:pPr>
              <w:jc w:val="center"/>
              <w:rPr>
                <w:sz w:val="24"/>
                <w:szCs w:val="24"/>
              </w:rPr>
            </w:pPr>
          </w:p>
        </w:tc>
        <w:tc>
          <w:tcPr>
            <w:tcW w:w="1335" w:type="dxa"/>
          </w:tcPr>
          <w:p w:rsidR="00D34403" w:rsidRPr="00065BBB" w:rsidP="00D34403" w14:paraId="5DFC360E" w14:textId="77777777">
            <w:pPr>
              <w:jc w:val="center"/>
              <w:rPr>
                <w:sz w:val="24"/>
                <w:szCs w:val="24"/>
              </w:rPr>
            </w:pPr>
          </w:p>
        </w:tc>
        <w:tc>
          <w:tcPr>
            <w:tcW w:w="900" w:type="dxa"/>
          </w:tcPr>
          <w:p w:rsidR="00D34403" w:rsidRPr="00065BBB" w:rsidP="00D34403" w14:paraId="2FB2A2AF" w14:textId="77777777">
            <w:pPr>
              <w:rPr>
                <w:sz w:val="24"/>
                <w:szCs w:val="24"/>
              </w:rPr>
            </w:pPr>
          </w:p>
        </w:tc>
        <w:tc>
          <w:tcPr>
            <w:tcW w:w="1530" w:type="dxa"/>
          </w:tcPr>
          <w:p w:rsidR="00D34403" w:rsidRPr="00065BBB" w:rsidP="00D34403" w14:paraId="7317E71E" w14:textId="77777777">
            <w:pPr>
              <w:rPr>
                <w:sz w:val="24"/>
                <w:szCs w:val="24"/>
              </w:rPr>
            </w:pPr>
          </w:p>
        </w:tc>
        <w:tc>
          <w:tcPr>
            <w:tcW w:w="1350" w:type="dxa"/>
          </w:tcPr>
          <w:p w:rsidR="00D34403" w:rsidRPr="00065BBB" w:rsidP="00D34403" w14:paraId="770A580A" w14:textId="77777777">
            <w:pPr>
              <w:rPr>
                <w:sz w:val="24"/>
                <w:szCs w:val="24"/>
              </w:rPr>
            </w:pPr>
          </w:p>
        </w:tc>
      </w:tr>
      <w:tr w14:paraId="7AFB2822" w14:textId="77777777" w:rsidTr="007369F7">
        <w:tblPrEx>
          <w:tblW w:w="11335" w:type="dxa"/>
          <w:tblLayout w:type="fixed"/>
          <w:tblLook w:val="0020"/>
        </w:tblPrEx>
        <w:tc>
          <w:tcPr>
            <w:tcW w:w="1345" w:type="dxa"/>
          </w:tcPr>
          <w:p w:rsidR="00D34403" w:rsidRPr="00065BBB" w:rsidP="00D34403" w14:paraId="58791D74" w14:textId="77777777">
            <w:pPr>
              <w:rPr>
                <w:sz w:val="24"/>
                <w:szCs w:val="24"/>
              </w:rPr>
            </w:pPr>
          </w:p>
        </w:tc>
        <w:tc>
          <w:tcPr>
            <w:tcW w:w="1265" w:type="dxa"/>
          </w:tcPr>
          <w:p w:rsidR="00D34403" w:rsidRPr="00065BBB" w:rsidP="00D34403" w14:paraId="396BD0E5" w14:textId="77777777">
            <w:pPr>
              <w:rPr>
                <w:sz w:val="24"/>
                <w:szCs w:val="24"/>
              </w:rPr>
            </w:pPr>
          </w:p>
        </w:tc>
        <w:tc>
          <w:tcPr>
            <w:tcW w:w="1255" w:type="dxa"/>
          </w:tcPr>
          <w:p w:rsidR="00D34403" w:rsidRPr="00065BBB" w:rsidP="00D34403" w14:paraId="7839AE4A" w14:textId="77777777">
            <w:pPr>
              <w:rPr>
                <w:sz w:val="24"/>
                <w:szCs w:val="24"/>
              </w:rPr>
            </w:pPr>
          </w:p>
        </w:tc>
        <w:tc>
          <w:tcPr>
            <w:tcW w:w="1275" w:type="dxa"/>
          </w:tcPr>
          <w:p w:rsidR="00D34403" w:rsidRPr="00065BBB" w:rsidP="00D34403" w14:paraId="57E04990" w14:textId="77777777">
            <w:pPr>
              <w:rPr>
                <w:sz w:val="24"/>
                <w:szCs w:val="24"/>
              </w:rPr>
            </w:pPr>
          </w:p>
        </w:tc>
        <w:tc>
          <w:tcPr>
            <w:tcW w:w="1080" w:type="dxa"/>
          </w:tcPr>
          <w:p w:rsidR="00D34403" w:rsidRPr="00065BBB" w:rsidP="00D34403" w14:paraId="5272FCBE" w14:textId="77777777">
            <w:pPr>
              <w:jc w:val="center"/>
              <w:rPr>
                <w:sz w:val="24"/>
                <w:szCs w:val="24"/>
              </w:rPr>
            </w:pPr>
          </w:p>
        </w:tc>
        <w:tc>
          <w:tcPr>
            <w:tcW w:w="1335" w:type="dxa"/>
          </w:tcPr>
          <w:p w:rsidR="00D34403" w:rsidRPr="00065BBB" w:rsidP="00D34403" w14:paraId="2056E04A" w14:textId="77777777">
            <w:pPr>
              <w:jc w:val="center"/>
              <w:rPr>
                <w:sz w:val="24"/>
                <w:szCs w:val="24"/>
              </w:rPr>
            </w:pPr>
          </w:p>
        </w:tc>
        <w:tc>
          <w:tcPr>
            <w:tcW w:w="900" w:type="dxa"/>
          </w:tcPr>
          <w:p w:rsidR="00D34403" w:rsidRPr="00065BBB" w:rsidP="00D34403" w14:paraId="3FE73380" w14:textId="77777777">
            <w:pPr>
              <w:rPr>
                <w:sz w:val="24"/>
                <w:szCs w:val="24"/>
              </w:rPr>
            </w:pPr>
          </w:p>
        </w:tc>
        <w:tc>
          <w:tcPr>
            <w:tcW w:w="1530" w:type="dxa"/>
          </w:tcPr>
          <w:p w:rsidR="00D34403" w:rsidRPr="00065BBB" w:rsidP="00D34403" w14:paraId="23AF8D51" w14:textId="77777777">
            <w:pPr>
              <w:rPr>
                <w:sz w:val="24"/>
                <w:szCs w:val="24"/>
              </w:rPr>
            </w:pPr>
          </w:p>
        </w:tc>
        <w:tc>
          <w:tcPr>
            <w:tcW w:w="1350" w:type="dxa"/>
          </w:tcPr>
          <w:p w:rsidR="00D34403" w:rsidRPr="00065BBB" w:rsidP="00D34403" w14:paraId="20CD31C5" w14:textId="77777777">
            <w:pPr>
              <w:rPr>
                <w:sz w:val="24"/>
                <w:szCs w:val="24"/>
              </w:rPr>
            </w:pPr>
          </w:p>
        </w:tc>
      </w:tr>
      <w:tr w14:paraId="4C7D4DF1" w14:textId="77777777" w:rsidTr="007369F7">
        <w:tblPrEx>
          <w:tblW w:w="11335" w:type="dxa"/>
          <w:tblLayout w:type="fixed"/>
          <w:tblLook w:val="0020"/>
        </w:tblPrEx>
        <w:tc>
          <w:tcPr>
            <w:tcW w:w="1345" w:type="dxa"/>
          </w:tcPr>
          <w:p w:rsidR="00D34403" w:rsidRPr="00065BBB" w:rsidP="00D34403" w14:paraId="103F8AD4" w14:textId="77777777">
            <w:pPr>
              <w:rPr>
                <w:sz w:val="24"/>
                <w:szCs w:val="24"/>
              </w:rPr>
            </w:pPr>
          </w:p>
        </w:tc>
        <w:tc>
          <w:tcPr>
            <w:tcW w:w="1265" w:type="dxa"/>
          </w:tcPr>
          <w:p w:rsidR="00D34403" w:rsidRPr="00065BBB" w:rsidP="00D34403" w14:paraId="70BD9ED6" w14:textId="77777777">
            <w:pPr>
              <w:rPr>
                <w:sz w:val="24"/>
                <w:szCs w:val="24"/>
              </w:rPr>
            </w:pPr>
          </w:p>
        </w:tc>
        <w:tc>
          <w:tcPr>
            <w:tcW w:w="1255" w:type="dxa"/>
          </w:tcPr>
          <w:p w:rsidR="00D34403" w:rsidRPr="00065BBB" w:rsidP="00D34403" w14:paraId="35835DF2" w14:textId="77777777">
            <w:pPr>
              <w:rPr>
                <w:sz w:val="24"/>
                <w:szCs w:val="24"/>
              </w:rPr>
            </w:pPr>
          </w:p>
        </w:tc>
        <w:tc>
          <w:tcPr>
            <w:tcW w:w="1275" w:type="dxa"/>
          </w:tcPr>
          <w:p w:rsidR="00D34403" w:rsidRPr="00065BBB" w:rsidP="00D34403" w14:paraId="0BB7DD77" w14:textId="77777777">
            <w:pPr>
              <w:rPr>
                <w:sz w:val="24"/>
                <w:szCs w:val="24"/>
              </w:rPr>
            </w:pPr>
          </w:p>
        </w:tc>
        <w:tc>
          <w:tcPr>
            <w:tcW w:w="1080" w:type="dxa"/>
          </w:tcPr>
          <w:p w:rsidR="00D34403" w:rsidRPr="00065BBB" w:rsidP="00D34403" w14:paraId="27B7DBD3" w14:textId="77777777">
            <w:pPr>
              <w:rPr>
                <w:sz w:val="24"/>
                <w:szCs w:val="24"/>
              </w:rPr>
            </w:pPr>
          </w:p>
        </w:tc>
        <w:tc>
          <w:tcPr>
            <w:tcW w:w="1335" w:type="dxa"/>
          </w:tcPr>
          <w:p w:rsidR="00D34403" w:rsidRPr="00065BBB" w:rsidP="00D34403" w14:paraId="5378ECF7" w14:textId="77777777">
            <w:pPr>
              <w:rPr>
                <w:sz w:val="24"/>
                <w:szCs w:val="24"/>
              </w:rPr>
            </w:pPr>
          </w:p>
        </w:tc>
        <w:tc>
          <w:tcPr>
            <w:tcW w:w="900" w:type="dxa"/>
          </w:tcPr>
          <w:p w:rsidR="00D34403" w:rsidRPr="00065BBB" w:rsidP="00D34403" w14:paraId="6127AC3A" w14:textId="77777777">
            <w:pPr>
              <w:rPr>
                <w:sz w:val="24"/>
                <w:szCs w:val="24"/>
              </w:rPr>
            </w:pPr>
          </w:p>
        </w:tc>
        <w:tc>
          <w:tcPr>
            <w:tcW w:w="1530" w:type="dxa"/>
          </w:tcPr>
          <w:p w:rsidR="00D34403" w:rsidRPr="00065BBB" w:rsidP="00D34403" w14:paraId="4A070782" w14:textId="77777777">
            <w:pPr>
              <w:rPr>
                <w:sz w:val="24"/>
                <w:szCs w:val="24"/>
              </w:rPr>
            </w:pPr>
          </w:p>
        </w:tc>
        <w:tc>
          <w:tcPr>
            <w:tcW w:w="1350" w:type="dxa"/>
          </w:tcPr>
          <w:p w:rsidR="00D34403" w:rsidRPr="00065BBB" w:rsidP="00D34403" w14:paraId="0AB7E949" w14:textId="77777777">
            <w:pPr>
              <w:rPr>
                <w:sz w:val="24"/>
                <w:szCs w:val="24"/>
              </w:rPr>
            </w:pPr>
          </w:p>
        </w:tc>
      </w:tr>
      <w:tr w14:paraId="2F04F342" w14:textId="77777777" w:rsidTr="007369F7">
        <w:tblPrEx>
          <w:tblW w:w="11335" w:type="dxa"/>
          <w:tblLayout w:type="fixed"/>
          <w:tblLook w:val="0020"/>
        </w:tblPrEx>
        <w:tc>
          <w:tcPr>
            <w:tcW w:w="1345" w:type="dxa"/>
          </w:tcPr>
          <w:p w:rsidR="00D34403" w:rsidRPr="00065BBB" w:rsidP="00D34403" w14:paraId="7E23E7C5" w14:textId="77777777">
            <w:pPr>
              <w:rPr>
                <w:sz w:val="24"/>
                <w:szCs w:val="24"/>
              </w:rPr>
            </w:pPr>
            <w:r w:rsidRPr="00065BBB">
              <w:rPr>
                <w:sz w:val="24"/>
                <w:szCs w:val="24"/>
              </w:rPr>
              <w:t>Annualized Totals</w:t>
            </w:r>
          </w:p>
        </w:tc>
        <w:tc>
          <w:tcPr>
            <w:tcW w:w="1265" w:type="dxa"/>
          </w:tcPr>
          <w:p w:rsidR="00D34403" w:rsidRPr="00065BBB" w:rsidP="00D34403" w14:paraId="427F6CDF" w14:textId="77777777">
            <w:pPr>
              <w:rPr>
                <w:sz w:val="24"/>
                <w:szCs w:val="24"/>
              </w:rPr>
            </w:pPr>
            <w:r w:rsidRPr="00065BBB">
              <w:rPr>
                <w:sz w:val="24"/>
                <w:szCs w:val="24"/>
              </w:rPr>
              <w:t>56</w:t>
            </w:r>
          </w:p>
        </w:tc>
        <w:tc>
          <w:tcPr>
            <w:tcW w:w="1255" w:type="dxa"/>
          </w:tcPr>
          <w:p w:rsidR="00D34403" w:rsidRPr="00065BBB" w:rsidP="00D34403" w14:paraId="2D808E0A" w14:textId="77777777">
            <w:pPr>
              <w:rPr>
                <w:sz w:val="24"/>
                <w:szCs w:val="24"/>
              </w:rPr>
            </w:pPr>
            <w:r w:rsidRPr="00065BBB">
              <w:rPr>
                <w:sz w:val="24"/>
                <w:szCs w:val="24"/>
              </w:rPr>
              <w:t>100%</w:t>
            </w:r>
          </w:p>
        </w:tc>
        <w:tc>
          <w:tcPr>
            <w:tcW w:w="1275" w:type="dxa"/>
          </w:tcPr>
          <w:p w:rsidR="00D34403" w:rsidRPr="00065BBB" w:rsidP="00D34403" w14:paraId="37D5E61B" w14:textId="77777777">
            <w:pPr>
              <w:rPr>
                <w:sz w:val="24"/>
                <w:szCs w:val="24"/>
              </w:rPr>
            </w:pPr>
            <w:r w:rsidRPr="00065BBB">
              <w:rPr>
                <w:sz w:val="24"/>
                <w:szCs w:val="24"/>
              </w:rPr>
              <w:t>56</w:t>
            </w:r>
          </w:p>
        </w:tc>
        <w:tc>
          <w:tcPr>
            <w:tcW w:w="1080" w:type="dxa"/>
          </w:tcPr>
          <w:p w:rsidR="00D34403" w:rsidRPr="00065BBB" w:rsidP="00D34403" w14:paraId="23E976CC" w14:textId="77777777">
            <w:pPr>
              <w:rPr>
                <w:b/>
                <w:bCs/>
                <w:sz w:val="24"/>
                <w:szCs w:val="24"/>
              </w:rPr>
            </w:pPr>
            <w:r w:rsidRPr="00065BBB">
              <w:rPr>
                <w:b/>
                <w:bCs/>
                <w:sz w:val="24"/>
                <w:szCs w:val="24"/>
              </w:rPr>
              <w:t>56</w:t>
            </w:r>
          </w:p>
        </w:tc>
        <w:tc>
          <w:tcPr>
            <w:tcW w:w="1335" w:type="dxa"/>
          </w:tcPr>
          <w:p w:rsidR="00D34403" w:rsidRPr="00065BBB" w:rsidP="00D34403" w14:paraId="4E7F338B" w14:textId="77777777">
            <w:pPr>
              <w:rPr>
                <w:sz w:val="24"/>
                <w:szCs w:val="24"/>
              </w:rPr>
            </w:pPr>
            <w:r w:rsidRPr="00065BBB">
              <w:rPr>
                <w:sz w:val="24"/>
                <w:szCs w:val="24"/>
              </w:rPr>
              <w:t>5</w:t>
            </w:r>
          </w:p>
        </w:tc>
        <w:tc>
          <w:tcPr>
            <w:tcW w:w="900" w:type="dxa"/>
          </w:tcPr>
          <w:p w:rsidR="00D34403" w:rsidRPr="00065BBB" w:rsidP="00D34403" w14:paraId="00E9479F" w14:textId="77777777">
            <w:pPr>
              <w:rPr>
                <w:b/>
                <w:bCs/>
                <w:sz w:val="24"/>
                <w:szCs w:val="24"/>
              </w:rPr>
            </w:pPr>
            <w:r w:rsidRPr="00065BBB">
              <w:rPr>
                <w:b/>
                <w:bCs/>
                <w:sz w:val="24"/>
                <w:szCs w:val="24"/>
              </w:rPr>
              <w:t>280</w:t>
            </w:r>
          </w:p>
        </w:tc>
        <w:tc>
          <w:tcPr>
            <w:tcW w:w="1530" w:type="dxa"/>
          </w:tcPr>
          <w:p w:rsidR="00D34403" w:rsidRPr="00065BBB" w:rsidP="00D34403" w14:paraId="106D565D" w14:textId="77777777">
            <w:pPr>
              <w:rPr>
                <w:sz w:val="24"/>
                <w:szCs w:val="24"/>
              </w:rPr>
            </w:pPr>
            <w:r w:rsidRPr="00065BBB">
              <w:rPr>
                <w:sz w:val="24"/>
                <w:szCs w:val="24"/>
              </w:rPr>
              <w:t>36</w:t>
            </w:r>
          </w:p>
        </w:tc>
        <w:tc>
          <w:tcPr>
            <w:tcW w:w="1350" w:type="dxa"/>
          </w:tcPr>
          <w:p w:rsidR="00D34403" w:rsidRPr="00065BBB" w:rsidP="00D34403" w14:paraId="4D96D8B8" w14:textId="77777777">
            <w:pPr>
              <w:rPr>
                <w:sz w:val="24"/>
                <w:szCs w:val="24"/>
              </w:rPr>
            </w:pPr>
            <w:r w:rsidRPr="00065BBB">
              <w:rPr>
                <w:sz w:val="24"/>
                <w:szCs w:val="24"/>
              </w:rPr>
              <w:t>10080.00</w:t>
            </w:r>
          </w:p>
        </w:tc>
      </w:tr>
    </w:tbl>
    <w:p w:rsidR="00D34403" w:rsidRPr="00065BBB" w:rsidP="00D34403" w14:paraId="6BF4F60D" w14:textId="77777777">
      <w:pPr>
        <w:tabs>
          <w:tab w:val="left" w:pos="-720"/>
        </w:tabs>
        <w:suppressAutoHyphens/>
        <w:spacing w:after="0" w:line="240" w:lineRule="auto"/>
        <w:ind w:left="-864" w:right="-864"/>
        <w:contextualSpacing/>
        <w:rPr>
          <w:rFonts w:ascii="Times New Roman" w:eastAsia="Times New Roman" w:hAnsi="Times New Roman" w:cs="Times New Roman"/>
          <w:b/>
          <w:bCs/>
          <w:i/>
          <w:iCs/>
          <w:sz w:val="24"/>
          <w:szCs w:val="24"/>
        </w:rPr>
      </w:pPr>
    </w:p>
    <w:p w:rsidR="00D34403" w:rsidRPr="00065BBB" w:rsidP="00D34403" w14:paraId="2F905113" w14:textId="77777777">
      <w:pPr>
        <w:tabs>
          <w:tab w:val="left" w:pos="-720"/>
        </w:tabs>
        <w:suppressAutoHyphens/>
        <w:spacing w:after="0" w:line="240" w:lineRule="auto"/>
        <w:ind w:left="-864" w:right="-864"/>
        <w:contextualSpacing/>
        <w:rPr>
          <w:rFonts w:ascii="Times New Roman" w:eastAsia="Times New Roman" w:hAnsi="Times New Roman" w:cs="Times New Roman"/>
          <w:b/>
          <w:bCs/>
          <w:i/>
          <w:iCs/>
        </w:rPr>
      </w:pPr>
      <w:r w:rsidRPr="00065BBB">
        <w:rPr>
          <w:rFonts w:ascii="Times New Roman" w:eastAsia="Times New Roman" w:hAnsi="Times New Roman" w:cs="Times New Roman"/>
          <w:b/>
          <w:bCs/>
          <w:i/>
          <w:iCs/>
        </w:rPr>
        <w:t>Please ensure the annual total burden, respondents and response match those entered in IC Data Parts 1 and 2, and the response per respondent matches the Paperwork Burden Statement that must be included on all forms.</w:t>
      </w:r>
    </w:p>
    <w:p w:rsidR="00D34403" w:rsidRPr="00065BBB" w:rsidP="00D34403" w14:paraId="4E832596" w14:textId="77777777">
      <w:pPr>
        <w:tabs>
          <w:tab w:val="left" w:pos="-720"/>
        </w:tabs>
        <w:suppressAutoHyphens/>
        <w:spacing w:after="0" w:line="240" w:lineRule="auto"/>
        <w:ind w:left="720"/>
        <w:contextualSpacing/>
        <w:rPr>
          <w:rFonts w:ascii="Times New Roman" w:eastAsia="Times New Roman" w:hAnsi="Times New Roman" w:cs="Times New Roman"/>
          <w:sz w:val="24"/>
          <w:szCs w:val="24"/>
        </w:rPr>
      </w:pPr>
    </w:p>
    <w:p w:rsidR="00D34403" w:rsidRPr="00065BBB" w:rsidP="00D34403" w14:paraId="1845C39C" w14:textId="77777777">
      <w:pPr>
        <w:numPr>
          <w:ilvl w:val="0"/>
          <w:numId w:val="5"/>
        </w:numPr>
        <w:tabs>
          <w:tab w:val="left" w:pos="-720"/>
        </w:tabs>
        <w:suppressAutoHyphens/>
        <w:spacing w:after="0" w:line="240" w:lineRule="auto"/>
        <w:ind w:hanging="540"/>
        <w:contextualSpacing/>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Provide an estimate of the total annual cost burden to respondents or record keepers resulting from the collection of information.  (Do not include the cost of any hour burden shown in Items 12 and 14.)</w:t>
      </w:r>
    </w:p>
    <w:p w:rsidR="00D34403" w:rsidRPr="00065BBB" w:rsidP="00D34403" w14:paraId="476E0286"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065BBB" w:rsidP="00D34403" w14:paraId="6263BA20" w14:textId="77777777">
      <w:pPr>
        <w:numPr>
          <w:ilvl w:val="0"/>
          <w:numId w:val="1"/>
        </w:numPr>
        <w:tabs>
          <w:tab w:val="left" w:pos="-720"/>
        </w:tabs>
        <w:suppressAutoHyphens/>
        <w:spacing w:after="0" w:line="240" w:lineRule="auto"/>
        <w:ind w:left="1350" w:hanging="450"/>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D34403" w:rsidRPr="00065BBB" w:rsidP="00D34403" w14:paraId="26E84999" w14:textId="77777777">
      <w:pPr>
        <w:numPr>
          <w:ilvl w:val="12"/>
          <w:numId w:val="0"/>
        </w:numPr>
        <w:tabs>
          <w:tab w:val="left" w:pos="-720"/>
        </w:tabs>
        <w:suppressAutoHyphens/>
        <w:spacing w:after="0" w:line="240" w:lineRule="auto"/>
        <w:ind w:left="340"/>
        <w:rPr>
          <w:rFonts w:ascii="Times New Roman" w:eastAsia="Times New Roman" w:hAnsi="Times New Roman" w:cs="Times New Roman"/>
          <w:sz w:val="24"/>
          <w:szCs w:val="24"/>
        </w:rPr>
      </w:pPr>
    </w:p>
    <w:p w:rsidR="00D34403" w:rsidRPr="00065BBB" w:rsidP="00D34403" w14:paraId="385C429B" w14:textId="77777777">
      <w:pPr>
        <w:numPr>
          <w:ilvl w:val="0"/>
          <w:numId w:val="1"/>
        </w:numPr>
        <w:tabs>
          <w:tab w:val="left" w:pos="-720"/>
          <w:tab w:val="left" w:pos="1247"/>
        </w:tabs>
        <w:suppressAutoHyphens/>
        <w:spacing w:after="0" w:line="240" w:lineRule="auto"/>
        <w:ind w:left="1260"/>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4403" w:rsidRPr="00065BBB" w:rsidP="00D34403" w14:paraId="46740DD9" w14:textId="77777777">
      <w:pPr>
        <w:tabs>
          <w:tab w:val="left" w:pos="-720"/>
          <w:tab w:val="left" w:pos="1247"/>
        </w:tabs>
        <w:suppressAutoHyphens/>
        <w:spacing w:after="0" w:line="240" w:lineRule="auto"/>
        <w:ind w:left="340"/>
        <w:rPr>
          <w:rFonts w:ascii="Times New Roman" w:eastAsia="Times New Roman" w:hAnsi="Times New Roman" w:cs="Times New Roman"/>
          <w:b/>
          <w:sz w:val="24"/>
          <w:szCs w:val="24"/>
        </w:rPr>
      </w:pPr>
    </w:p>
    <w:p w:rsidR="00D34403" w:rsidRPr="00065BBB" w:rsidP="00D34403" w14:paraId="6D4419FE" w14:textId="77777777">
      <w:pPr>
        <w:numPr>
          <w:ilvl w:val="0"/>
          <w:numId w:val="1"/>
        </w:numPr>
        <w:tabs>
          <w:tab w:val="left" w:pos="-720"/>
          <w:tab w:val="left" w:pos="1247"/>
        </w:tabs>
        <w:suppressAutoHyphens/>
        <w:spacing w:after="0" w:line="240" w:lineRule="auto"/>
        <w:ind w:left="1260"/>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D34403" w:rsidRPr="00065BBB" w:rsidP="00D34403" w14:paraId="68A60F25"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065BBB" w:rsidP="00D34403" w14:paraId="459FF19B" w14:textId="77777777">
      <w:pPr>
        <w:tabs>
          <w:tab w:val="left" w:pos="-720"/>
        </w:tabs>
        <w:suppressAutoHyphens/>
        <w:spacing w:after="0" w:line="240" w:lineRule="auto"/>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ab/>
        <w:t>Total Annualized Capital/Startup Cost</w:t>
      </w:r>
      <w:r w:rsidRPr="00065BBB">
        <w:rPr>
          <w:rFonts w:ascii="Times New Roman" w:eastAsia="Times New Roman" w:hAnsi="Times New Roman" w:cs="Times New Roman"/>
          <w:b/>
          <w:sz w:val="24"/>
          <w:szCs w:val="24"/>
        </w:rPr>
        <w:tab/>
        <w:t xml:space="preserve">: </w:t>
      </w:r>
      <w:r w:rsidRPr="00065BBB">
        <w:rPr>
          <w:rFonts w:ascii="Times New Roman" w:eastAsia="Times New Roman" w:hAnsi="Times New Roman" w:cs="Times New Roman"/>
          <w:bCs/>
          <w:sz w:val="24"/>
          <w:szCs w:val="24"/>
        </w:rPr>
        <w:t>0.00</w:t>
      </w:r>
    </w:p>
    <w:p w:rsidR="00D34403" w:rsidRPr="00065BBB" w:rsidP="00D34403" w14:paraId="2404A81E" w14:textId="77777777">
      <w:pPr>
        <w:tabs>
          <w:tab w:val="left" w:pos="-720"/>
        </w:tabs>
        <w:suppressAutoHyphens/>
        <w:spacing w:after="0" w:line="240" w:lineRule="auto"/>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ab/>
        <w:t>Total Annual Costs (O&amp;M)</w:t>
      </w:r>
      <w:r w:rsidRPr="00065BBB">
        <w:rPr>
          <w:rFonts w:ascii="Times New Roman" w:eastAsia="Times New Roman" w:hAnsi="Times New Roman" w:cs="Times New Roman"/>
          <w:b/>
          <w:sz w:val="24"/>
          <w:szCs w:val="24"/>
        </w:rPr>
        <w:tab/>
      </w:r>
      <w:r w:rsidRPr="00065BBB">
        <w:rPr>
          <w:rFonts w:ascii="Times New Roman" w:eastAsia="Times New Roman" w:hAnsi="Times New Roman" w:cs="Times New Roman"/>
          <w:b/>
          <w:sz w:val="24"/>
          <w:szCs w:val="24"/>
        </w:rPr>
        <w:tab/>
      </w:r>
      <w:r w:rsidRPr="00065BBB">
        <w:rPr>
          <w:rFonts w:ascii="Times New Roman" w:eastAsia="Times New Roman" w:hAnsi="Times New Roman" w:cs="Times New Roman"/>
          <w:b/>
          <w:sz w:val="24"/>
          <w:szCs w:val="24"/>
        </w:rPr>
        <w:tab/>
        <w:t xml:space="preserve">: </w:t>
      </w:r>
      <w:r w:rsidRPr="00065BBB">
        <w:rPr>
          <w:rFonts w:ascii="Times New Roman" w:eastAsia="Times New Roman" w:hAnsi="Times New Roman" w:cs="Times New Roman"/>
          <w:bCs/>
          <w:sz w:val="24"/>
          <w:szCs w:val="24"/>
        </w:rPr>
        <w:t>0.00</w:t>
      </w:r>
    </w:p>
    <w:p w:rsidR="00D34403" w:rsidRPr="00065BBB" w:rsidP="00D34403" w14:paraId="61B25473" w14:textId="77777777">
      <w:pPr>
        <w:tabs>
          <w:tab w:val="left" w:pos="-720"/>
        </w:tabs>
        <w:suppressAutoHyphens/>
        <w:spacing w:after="0" w:line="240" w:lineRule="auto"/>
        <w:rPr>
          <w:rFonts w:ascii="Times New Roman" w:eastAsia="Times New Roman" w:hAnsi="Times New Roman" w:cs="Times New Roman"/>
          <w:bCs/>
          <w:sz w:val="24"/>
          <w:szCs w:val="24"/>
        </w:rPr>
      </w:pPr>
      <w:r w:rsidRPr="00065BBB">
        <w:rPr>
          <w:rFonts w:ascii="Times New Roman" w:eastAsia="Times New Roman" w:hAnsi="Times New Roman" w:cs="Times New Roman"/>
          <w:b/>
          <w:sz w:val="24"/>
          <w:szCs w:val="24"/>
        </w:rPr>
        <w:tab/>
        <w:t>Total Annualized Costs Requested</w:t>
      </w:r>
      <w:r w:rsidRPr="00065BBB">
        <w:rPr>
          <w:rFonts w:ascii="Times New Roman" w:eastAsia="Times New Roman" w:hAnsi="Times New Roman" w:cs="Times New Roman"/>
          <w:b/>
          <w:sz w:val="24"/>
          <w:szCs w:val="24"/>
        </w:rPr>
        <w:tab/>
      </w:r>
      <w:r w:rsidRPr="00065BBB">
        <w:rPr>
          <w:rFonts w:ascii="Times New Roman" w:eastAsia="Times New Roman" w:hAnsi="Times New Roman" w:cs="Times New Roman"/>
          <w:b/>
          <w:sz w:val="24"/>
          <w:szCs w:val="24"/>
        </w:rPr>
        <w:tab/>
        <w:t xml:space="preserve">: </w:t>
      </w:r>
      <w:r w:rsidRPr="00065BBB">
        <w:rPr>
          <w:rFonts w:ascii="Times New Roman" w:eastAsia="Times New Roman" w:hAnsi="Times New Roman" w:cs="Times New Roman"/>
          <w:bCs/>
          <w:sz w:val="24"/>
          <w:szCs w:val="24"/>
        </w:rPr>
        <w:t>0.00</w:t>
      </w:r>
    </w:p>
    <w:p w:rsidR="00D34403" w:rsidRPr="00065BBB" w:rsidP="00D34403" w14:paraId="115E998B" w14:textId="77777777">
      <w:pPr>
        <w:tabs>
          <w:tab w:val="left" w:pos="-720"/>
        </w:tabs>
        <w:suppressAutoHyphens/>
        <w:spacing w:after="0" w:line="240" w:lineRule="auto"/>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ab/>
      </w:r>
    </w:p>
    <w:p w:rsidR="00D34403" w:rsidRPr="00065BBB" w:rsidP="00D34403" w14:paraId="75353432" w14:textId="77777777">
      <w:pPr>
        <w:tabs>
          <w:tab w:val="left" w:pos="-720"/>
        </w:tabs>
        <w:suppressAutoHyphens/>
        <w:spacing w:after="0" w:line="240" w:lineRule="auto"/>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ab/>
        <w:t>No additional operational expenses are required.</w:t>
      </w:r>
    </w:p>
    <w:p w:rsidR="00D34403" w:rsidRPr="00065BBB" w:rsidP="00D34403" w14:paraId="1520660A"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065BBB" w:rsidP="00D34403" w14:paraId="16F75B7C" w14:textId="77777777">
      <w:pPr>
        <w:numPr>
          <w:ilvl w:val="0"/>
          <w:numId w:val="5"/>
        </w:numPr>
        <w:tabs>
          <w:tab w:val="left" w:pos="-720"/>
        </w:tabs>
        <w:suppressAutoHyphens/>
        <w:spacing w:after="0" w:line="240" w:lineRule="auto"/>
        <w:ind w:left="900" w:hanging="540"/>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4403" w:rsidRPr="00065BBB" w:rsidP="00D34403" w14:paraId="2A7D7353"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065BBB" w:rsidP="00D34403" w14:paraId="29BDF160" w14:textId="77777777">
      <w:pPr>
        <w:tabs>
          <w:tab w:val="left" w:pos="-720"/>
        </w:tabs>
        <w:suppressAutoHyphens/>
        <w:spacing w:after="0" w:line="240" w:lineRule="auto"/>
        <w:ind w:left="1440"/>
        <w:contextualSpacing/>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a.</w:t>
      </w:r>
      <w:r w:rsidRPr="00065BBB">
        <w:rPr>
          <w:rFonts w:ascii="Times New Roman" w:eastAsia="Times New Roman" w:hAnsi="Times New Roman" w:cs="Times New Roman"/>
          <w:sz w:val="24"/>
          <w:szCs w:val="24"/>
        </w:rPr>
        <w:tab/>
        <w:t xml:space="preserve">Review of each written request </w:t>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t>- - 2.0 hours</w:t>
      </w:r>
    </w:p>
    <w:p w:rsidR="00D34403" w:rsidRPr="00065BBB" w:rsidP="00D34403" w14:paraId="76E1A885"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ab/>
        <w:t>b.</w:t>
      </w:r>
      <w:r w:rsidRPr="00065BBB">
        <w:rPr>
          <w:rFonts w:ascii="Times New Roman" w:eastAsia="Times New Roman" w:hAnsi="Times New Roman" w:cs="Times New Roman"/>
          <w:sz w:val="24"/>
          <w:szCs w:val="24"/>
        </w:rPr>
        <w:tab/>
        <w:t xml:space="preserve">Number of written requests to review </w:t>
      </w:r>
      <w:r w:rsidRPr="00065BBB">
        <w:rPr>
          <w:rFonts w:ascii="Times New Roman" w:eastAsia="Times New Roman" w:hAnsi="Times New Roman" w:cs="Times New Roman"/>
          <w:sz w:val="24"/>
          <w:szCs w:val="24"/>
        </w:rPr>
        <w:tab/>
        <w:t>- - 56</w:t>
      </w:r>
    </w:p>
    <w:p w:rsidR="00D34403" w:rsidRPr="00065BBB" w:rsidP="00D34403" w14:paraId="4A0ADC72"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ab/>
        <w:t>c.</w:t>
      </w:r>
      <w:r w:rsidRPr="00065BBB">
        <w:rPr>
          <w:rFonts w:ascii="Times New Roman" w:eastAsia="Times New Roman" w:hAnsi="Times New Roman" w:cs="Times New Roman"/>
          <w:sz w:val="24"/>
          <w:szCs w:val="24"/>
        </w:rPr>
        <w:tab/>
        <w:t>Total time to review written requests</w:t>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t>- - 112 hours</w:t>
      </w:r>
    </w:p>
    <w:p w:rsidR="00D34403" w:rsidRPr="00065BBB" w:rsidP="00D34403" w14:paraId="1DB7CB12"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ab/>
        <w:t>d.</w:t>
      </w:r>
      <w:r w:rsidRPr="00065BBB">
        <w:rPr>
          <w:rFonts w:ascii="Times New Roman" w:eastAsia="Times New Roman" w:hAnsi="Times New Roman" w:cs="Times New Roman"/>
          <w:sz w:val="24"/>
          <w:szCs w:val="24"/>
        </w:rPr>
        <w:tab/>
        <w:t>Federal hourly rate of salary</w:t>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t>- - $71</w:t>
      </w:r>
    </w:p>
    <w:p w:rsidR="00D34403" w:rsidRPr="00065BBB" w:rsidP="00D34403" w14:paraId="2EF63A39"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ab/>
        <w:t>e.</w:t>
      </w:r>
      <w:r w:rsidRPr="00065BBB">
        <w:rPr>
          <w:rFonts w:ascii="Times New Roman" w:eastAsia="Times New Roman" w:hAnsi="Times New Roman" w:cs="Times New Roman"/>
          <w:sz w:val="24"/>
          <w:szCs w:val="24"/>
        </w:rPr>
        <w:tab/>
        <w:t>Total cost</w:t>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r>
      <w:r w:rsidRPr="00065BBB">
        <w:rPr>
          <w:rFonts w:ascii="Times New Roman" w:eastAsia="Times New Roman" w:hAnsi="Times New Roman" w:cs="Times New Roman"/>
          <w:sz w:val="24"/>
          <w:szCs w:val="24"/>
        </w:rPr>
        <w:tab/>
        <w:t>- - $7,952</w:t>
      </w:r>
    </w:p>
    <w:p w:rsidR="00D34403" w:rsidRPr="00065BBB" w:rsidP="00D34403" w14:paraId="37245787"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p>
    <w:p w:rsidR="00D34403" w:rsidRPr="00065BBB" w:rsidP="00D34403" w14:paraId="083EA013" w14:textId="77777777">
      <w:pPr>
        <w:tabs>
          <w:tab w:val="left" w:pos="-720"/>
        </w:tabs>
        <w:suppressAutoHyphens/>
        <w:spacing w:after="0" w:line="240" w:lineRule="auto"/>
        <w:ind w:left="907"/>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The average review and approval of an ED RSA-7-OB form takes two hours. The RSA staff person who reviews the completed forms is paid at an average rate of $71 per hour. The cost of the review and approval process is 2 hours x $71/hour x 56 reports = $7,952, annual Federal cost.</w:t>
      </w:r>
    </w:p>
    <w:p w:rsidR="00D34403" w:rsidRPr="00065BBB" w:rsidP="00D34403" w14:paraId="658FBE0F" w14:textId="77777777">
      <w:pPr>
        <w:tabs>
          <w:tab w:val="left" w:pos="-720"/>
        </w:tabs>
        <w:suppressAutoHyphens/>
        <w:spacing w:after="0" w:line="240" w:lineRule="auto"/>
        <w:ind w:left="907"/>
        <w:rPr>
          <w:rFonts w:ascii="Times New Roman" w:eastAsia="Times New Roman" w:hAnsi="Times New Roman" w:cs="Times New Roman"/>
          <w:sz w:val="24"/>
          <w:szCs w:val="24"/>
        </w:rPr>
      </w:pPr>
    </w:p>
    <w:p w:rsidR="00D34403" w:rsidRPr="008A13BA" w:rsidP="008A13BA" w14:paraId="502F203B" w14:textId="309FDFBD">
      <w:pPr>
        <w:numPr>
          <w:ilvl w:val="0"/>
          <w:numId w:val="5"/>
        </w:numPr>
        <w:tabs>
          <w:tab w:val="left" w:pos="-720"/>
        </w:tabs>
        <w:suppressAutoHyphens/>
        <w:spacing w:after="0" w:line="240" w:lineRule="auto"/>
        <w:ind w:hanging="547"/>
        <w:rPr>
          <w:rFonts w:ascii="Times New Roman" w:eastAsia="Times New Roman" w:hAnsi="Times New Roman" w:cs="Times New Roman"/>
          <w:b/>
          <w:sz w:val="24"/>
          <w:szCs w:val="24"/>
        </w:rPr>
      </w:pPr>
      <w:r w:rsidRPr="00065BBB">
        <w:rPr>
          <w:rFonts w:ascii="Times New Roman" w:eastAsia="Times New Roman" w:hAnsi="Times New Roman" w:cs="Times New Roman"/>
          <w:b/>
          <w:sz w:val="24"/>
          <w:szCs w:val="24"/>
        </w:rPr>
        <w:t xml:space="preserve">Explain the reasons for any program changes or adjustments. Generally, adjustments in burden result from re-estimating burden and/or from economic phenomenon outside of an agency’s control (e.g., correcting a burden estimate or an </w:t>
      </w:r>
      <w:r w:rsidRPr="00065BBB">
        <w:rPr>
          <w:rFonts w:ascii="Times New Roman" w:eastAsia="Times New Roman" w:hAnsi="Times New Roman" w:cs="Times New Roman"/>
          <w:b/>
          <w:sz w:val="24"/>
          <w:szCs w:val="24"/>
        </w:rPr>
        <w:t xml:space="preserve">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D34403" w:rsidRPr="00065BBB" w:rsidP="00D34403" w14:paraId="3AF45159" w14:textId="77777777">
      <w:pPr>
        <w:tabs>
          <w:tab w:val="left" w:pos="-720"/>
        </w:tabs>
        <w:suppressAutoHyphens/>
        <w:spacing w:after="0" w:line="240" w:lineRule="auto"/>
        <w:ind w:left="720"/>
        <w:rPr>
          <w:rFonts w:ascii="Times New Roman" w:eastAsia="Times New Roman" w:hAnsi="Times New Roman" w:cs="Times New Roman"/>
          <w:b/>
          <w:sz w:val="26"/>
          <w:szCs w:val="26"/>
        </w:rPr>
      </w:pPr>
      <w:r w:rsidRPr="00065BBB">
        <w:rPr>
          <w:rFonts w:ascii="Times New Roman" w:eastAsia="Times New Roman" w:hAnsi="Times New Roman" w:cs="Times New Roman"/>
          <w:b/>
          <w:sz w:val="26"/>
          <w:szCs w:val="26"/>
        </w:rPr>
        <w:t xml:space="preserve">Provide a descriptive narrative for the reasons of any change in addition </w:t>
      </w:r>
      <w:r w:rsidRPr="00065BBB" w:rsidR="00B9462F">
        <w:rPr>
          <w:rFonts w:ascii="Times New Roman" w:eastAsia="Times New Roman" w:hAnsi="Times New Roman" w:cs="Times New Roman"/>
          <w:b/>
          <w:sz w:val="26"/>
          <w:szCs w:val="26"/>
        </w:rPr>
        <w:t xml:space="preserve">to </w:t>
      </w:r>
      <w:r w:rsidRPr="00065BBB">
        <w:rPr>
          <w:rFonts w:ascii="Times New Roman" w:eastAsia="Times New Roman" w:hAnsi="Times New Roman" w:cs="Times New Roman"/>
          <w:b/>
          <w:sz w:val="26"/>
          <w:szCs w:val="26"/>
        </w:rPr>
        <w:t>completing the table with the burden hour change(s) here.</w:t>
      </w:r>
    </w:p>
    <w:p w:rsidR="00D34403" w:rsidRPr="00065BBB" w:rsidP="00D34403" w14:paraId="49E19BF9" w14:textId="77777777">
      <w:pPr>
        <w:tabs>
          <w:tab w:val="left" w:pos="-720"/>
        </w:tabs>
        <w:suppressAutoHyphens/>
        <w:spacing w:after="0" w:line="240" w:lineRule="auto"/>
        <w:rPr>
          <w:rFonts w:ascii="Times New Roman" w:eastAsia="Times New Roman" w:hAnsi="Times New Roman" w:cs="Times New Roman"/>
          <w:b/>
          <w:sz w:val="24"/>
          <w:szCs w:val="24"/>
        </w:rPr>
      </w:pPr>
    </w:p>
    <w:tbl>
      <w:tblPr>
        <w:tblStyle w:val="TableGrid"/>
        <w:tblW w:w="9445" w:type="dxa"/>
        <w:tblLook w:val="04A0"/>
      </w:tblPr>
      <w:tblGrid>
        <w:gridCol w:w="2048"/>
        <w:gridCol w:w="2048"/>
        <w:gridCol w:w="2829"/>
        <w:gridCol w:w="2520"/>
      </w:tblGrid>
      <w:tr w14:paraId="5A710220" w14:textId="77777777" w:rsidTr="00D34403">
        <w:tblPrEx>
          <w:tblW w:w="9445" w:type="dxa"/>
          <w:tblLook w:val="04A0"/>
        </w:tblPrEx>
        <w:tc>
          <w:tcPr>
            <w:tcW w:w="2048" w:type="dxa"/>
            <w:shd w:val="clear" w:color="auto" w:fill="D9D9D9"/>
          </w:tcPr>
          <w:p w:rsidR="00D34403" w:rsidRPr="00065BBB" w:rsidP="00D34403" w14:paraId="6F2974B9" w14:textId="77777777">
            <w:pPr>
              <w:tabs>
                <w:tab w:val="left" w:pos="-720"/>
              </w:tabs>
              <w:suppressAutoHyphens/>
              <w:rPr>
                <w:b/>
                <w:sz w:val="24"/>
                <w:szCs w:val="24"/>
              </w:rPr>
            </w:pPr>
          </w:p>
        </w:tc>
        <w:tc>
          <w:tcPr>
            <w:tcW w:w="2048" w:type="dxa"/>
          </w:tcPr>
          <w:p w:rsidR="00D34403" w:rsidRPr="00065BBB" w:rsidP="00D34403" w14:paraId="246FD22C" w14:textId="77777777">
            <w:pPr>
              <w:tabs>
                <w:tab w:val="left" w:pos="-720"/>
              </w:tabs>
              <w:suppressAutoHyphens/>
              <w:rPr>
                <w:b/>
                <w:sz w:val="24"/>
                <w:szCs w:val="24"/>
              </w:rPr>
            </w:pPr>
            <w:r w:rsidRPr="00065BBB">
              <w:rPr>
                <w:b/>
                <w:sz w:val="24"/>
                <w:szCs w:val="24"/>
              </w:rPr>
              <w:t>Program Change Due to New Statute</w:t>
            </w:r>
          </w:p>
        </w:tc>
        <w:tc>
          <w:tcPr>
            <w:tcW w:w="2829" w:type="dxa"/>
          </w:tcPr>
          <w:p w:rsidR="00D34403" w:rsidRPr="00065BBB" w:rsidP="00D34403" w14:paraId="70DEAA4A" w14:textId="77777777">
            <w:pPr>
              <w:tabs>
                <w:tab w:val="left" w:pos="-720"/>
              </w:tabs>
              <w:suppressAutoHyphens/>
              <w:rPr>
                <w:b/>
                <w:sz w:val="24"/>
                <w:szCs w:val="24"/>
              </w:rPr>
            </w:pPr>
            <w:r w:rsidRPr="00065BBB">
              <w:rPr>
                <w:b/>
                <w:sz w:val="24"/>
                <w:szCs w:val="24"/>
              </w:rPr>
              <w:t>Program Change Due to Agency Discretion</w:t>
            </w:r>
          </w:p>
        </w:tc>
        <w:tc>
          <w:tcPr>
            <w:tcW w:w="2520" w:type="dxa"/>
          </w:tcPr>
          <w:p w:rsidR="00D34403" w:rsidRPr="00065BBB" w:rsidP="00D34403" w14:paraId="2937BD97" w14:textId="77777777">
            <w:pPr>
              <w:tabs>
                <w:tab w:val="left" w:pos="-720"/>
              </w:tabs>
              <w:suppressAutoHyphens/>
              <w:rPr>
                <w:b/>
                <w:sz w:val="24"/>
                <w:szCs w:val="24"/>
              </w:rPr>
            </w:pPr>
            <w:r w:rsidRPr="00065BBB">
              <w:rPr>
                <w:b/>
                <w:sz w:val="24"/>
                <w:szCs w:val="24"/>
              </w:rPr>
              <w:t>Change Due to Adjustment in Agency Estimate</w:t>
            </w:r>
          </w:p>
        </w:tc>
      </w:tr>
      <w:tr w14:paraId="7057AE52" w14:textId="77777777" w:rsidTr="007369F7">
        <w:tblPrEx>
          <w:tblW w:w="9445" w:type="dxa"/>
          <w:tblLook w:val="04A0"/>
        </w:tblPrEx>
        <w:tc>
          <w:tcPr>
            <w:tcW w:w="2048" w:type="dxa"/>
          </w:tcPr>
          <w:p w:rsidR="00D34403" w:rsidRPr="00065BBB" w:rsidP="00D34403" w14:paraId="3C6B6F46" w14:textId="77777777">
            <w:pPr>
              <w:tabs>
                <w:tab w:val="left" w:pos="-720"/>
              </w:tabs>
              <w:suppressAutoHyphens/>
              <w:rPr>
                <w:b/>
                <w:sz w:val="24"/>
                <w:szCs w:val="24"/>
              </w:rPr>
            </w:pPr>
            <w:r w:rsidRPr="00065BBB">
              <w:rPr>
                <w:b/>
                <w:sz w:val="24"/>
                <w:szCs w:val="24"/>
              </w:rPr>
              <w:t>Total Burden</w:t>
            </w:r>
          </w:p>
        </w:tc>
        <w:tc>
          <w:tcPr>
            <w:tcW w:w="2048" w:type="dxa"/>
          </w:tcPr>
          <w:p w:rsidR="00D34403" w:rsidRPr="00065BBB" w:rsidP="00D34403" w14:paraId="0098AE9E" w14:textId="77777777">
            <w:pPr>
              <w:tabs>
                <w:tab w:val="left" w:pos="-720"/>
              </w:tabs>
              <w:suppressAutoHyphens/>
              <w:rPr>
                <w:b/>
                <w:sz w:val="24"/>
                <w:szCs w:val="24"/>
              </w:rPr>
            </w:pPr>
          </w:p>
        </w:tc>
        <w:tc>
          <w:tcPr>
            <w:tcW w:w="2829" w:type="dxa"/>
          </w:tcPr>
          <w:p w:rsidR="00D34403" w:rsidRPr="00065BBB" w:rsidP="00D34403" w14:paraId="7C6FA33C" w14:textId="363A1B19">
            <w:pPr>
              <w:tabs>
                <w:tab w:val="left" w:pos="-720"/>
              </w:tabs>
              <w:suppressAutoHyphens/>
              <w:rPr>
                <w:b/>
                <w:sz w:val="24"/>
                <w:szCs w:val="24"/>
              </w:rPr>
            </w:pPr>
            <w:r>
              <w:rPr>
                <w:b/>
                <w:sz w:val="24"/>
                <w:szCs w:val="24"/>
              </w:rPr>
              <w:t>-56 hours</w:t>
            </w:r>
          </w:p>
        </w:tc>
        <w:tc>
          <w:tcPr>
            <w:tcW w:w="2520" w:type="dxa"/>
          </w:tcPr>
          <w:p w:rsidR="00D34403" w:rsidRPr="00065BBB" w:rsidP="00D34403" w14:paraId="61D62BB5" w14:textId="77777777">
            <w:pPr>
              <w:tabs>
                <w:tab w:val="left" w:pos="-720"/>
              </w:tabs>
              <w:suppressAutoHyphens/>
              <w:rPr>
                <w:b/>
                <w:sz w:val="24"/>
                <w:szCs w:val="24"/>
              </w:rPr>
            </w:pPr>
          </w:p>
        </w:tc>
      </w:tr>
      <w:tr w14:paraId="73F4EE5A" w14:textId="77777777" w:rsidTr="007369F7">
        <w:tblPrEx>
          <w:tblW w:w="9445" w:type="dxa"/>
          <w:tblLook w:val="04A0"/>
        </w:tblPrEx>
        <w:tc>
          <w:tcPr>
            <w:tcW w:w="2048" w:type="dxa"/>
          </w:tcPr>
          <w:p w:rsidR="00D34403" w:rsidRPr="00065BBB" w:rsidP="00D34403" w14:paraId="6EC76B62" w14:textId="43D0508E">
            <w:pPr>
              <w:tabs>
                <w:tab w:val="left" w:pos="-720"/>
              </w:tabs>
              <w:suppressAutoHyphens/>
              <w:rPr>
                <w:b/>
                <w:sz w:val="24"/>
                <w:szCs w:val="24"/>
              </w:rPr>
            </w:pPr>
            <w:r w:rsidRPr="00065BBB">
              <w:rPr>
                <w:b/>
                <w:sz w:val="24"/>
                <w:szCs w:val="24"/>
              </w:rPr>
              <w:t>Total Responses</w:t>
            </w:r>
          </w:p>
        </w:tc>
        <w:tc>
          <w:tcPr>
            <w:tcW w:w="2048" w:type="dxa"/>
          </w:tcPr>
          <w:p w:rsidR="00D34403" w:rsidRPr="00065BBB" w:rsidP="00D34403" w14:paraId="736F8882" w14:textId="77777777">
            <w:pPr>
              <w:tabs>
                <w:tab w:val="left" w:pos="-720"/>
              </w:tabs>
              <w:suppressAutoHyphens/>
              <w:rPr>
                <w:b/>
                <w:sz w:val="24"/>
                <w:szCs w:val="24"/>
              </w:rPr>
            </w:pPr>
          </w:p>
        </w:tc>
        <w:tc>
          <w:tcPr>
            <w:tcW w:w="2829" w:type="dxa"/>
          </w:tcPr>
          <w:p w:rsidR="00D34403" w:rsidRPr="00065BBB" w:rsidP="00D34403" w14:paraId="18D4D173" w14:textId="1A810569">
            <w:pPr>
              <w:tabs>
                <w:tab w:val="left" w:pos="-720"/>
              </w:tabs>
              <w:suppressAutoHyphens/>
              <w:rPr>
                <w:b/>
                <w:sz w:val="24"/>
                <w:szCs w:val="24"/>
              </w:rPr>
            </w:pPr>
            <w:r w:rsidRPr="00415EF7">
              <w:rPr>
                <w:b/>
                <w:sz w:val="24"/>
                <w:szCs w:val="24"/>
              </w:rPr>
              <w:t>56 responses</w:t>
            </w:r>
          </w:p>
        </w:tc>
        <w:tc>
          <w:tcPr>
            <w:tcW w:w="2520" w:type="dxa"/>
          </w:tcPr>
          <w:p w:rsidR="00D34403" w:rsidRPr="00065BBB" w:rsidP="00D34403" w14:paraId="3773E3BF" w14:textId="77777777">
            <w:pPr>
              <w:tabs>
                <w:tab w:val="left" w:pos="-720"/>
              </w:tabs>
              <w:suppressAutoHyphens/>
              <w:rPr>
                <w:b/>
                <w:sz w:val="24"/>
                <w:szCs w:val="24"/>
              </w:rPr>
            </w:pPr>
          </w:p>
        </w:tc>
      </w:tr>
      <w:tr w14:paraId="0A44BA3F" w14:textId="77777777" w:rsidTr="007369F7">
        <w:tblPrEx>
          <w:tblW w:w="9445" w:type="dxa"/>
          <w:tblLook w:val="04A0"/>
        </w:tblPrEx>
        <w:tc>
          <w:tcPr>
            <w:tcW w:w="2048" w:type="dxa"/>
          </w:tcPr>
          <w:p w:rsidR="00D34403" w:rsidRPr="00065BBB" w:rsidP="00D34403" w14:paraId="1668D5FA" w14:textId="77777777">
            <w:pPr>
              <w:tabs>
                <w:tab w:val="left" w:pos="-720"/>
              </w:tabs>
              <w:suppressAutoHyphens/>
              <w:rPr>
                <w:b/>
                <w:sz w:val="24"/>
                <w:szCs w:val="24"/>
              </w:rPr>
            </w:pPr>
            <w:r w:rsidRPr="00065BBB">
              <w:rPr>
                <w:b/>
                <w:sz w:val="24"/>
                <w:szCs w:val="24"/>
              </w:rPr>
              <w:t>Total Costs (if applicable)</w:t>
            </w:r>
          </w:p>
        </w:tc>
        <w:tc>
          <w:tcPr>
            <w:tcW w:w="2048" w:type="dxa"/>
          </w:tcPr>
          <w:p w:rsidR="00D34403" w:rsidRPr="00065BBB" w:rsidP="00D34403" w14:paraId="4EE5A538" w14:textId="77777777">
            <w:pPr>
              <w:tabs>
                <w:tab w:val="left" w:pos="-720"/>
              </w:tabs>
              <w:suppressAutoHyphens/>
              <w:rPr>
                <w:b/>
                <w:sz w:val="24"/>
                <w:szCs w:val="24"/>
              </w:rPr>
            </w:pPr>
          </w:p>
        </w:tc>
        <w:tc>
          <w:tcPr>
            <w:tcW w:w="2829" w:type="dxa"/>
          </w:tcPr>
          <w:p w:rsidR="00D34403" w:rsidRPr="00065BBB" w:rsidP="00D34403" w14:paraId="5B004788" w14:textId="5E22CDB4">
            <w:pPr>
              <w:tabs>
                <w:tab w:val="left" w:pos="-720"/>
              </w:tabs>
              <w:suppressAutoHyphens/>
              <w:rPr>
                <w:b/>
                <w:sz w:val="24"/>
                <w:szCs w:val="24"/>
              </w:rPr>
            </w:pPr>
            <w:r>
              <w:rPr>
                <w:b/>
                <w:sz w:val="24"/>
                <w:szCs w:val="24"/>
              </w:rPr>
              <w:t>-</w:t>
            </w:r>
            <w:r w:rsidRPr="00415EF7" w:rsidR="0085314F">
              <w:rPr>
                <w:b/>
                <w:sz w:val="24"/>
                <w:szCs w:val="24"/>
              </w:rPr>
              <w:t>$2,016</w:t>
            </w:r>
          </w:p>
        </w:tc>
        <w:tc>
          <w:tcPr>
            <w:tcW w:w="2520" w:type="dxa"/>
          </w:tcPr>
          <w:p w:rsidR="00D34403" w:rsidRPr="00065BBB" w:rsidP="00D34403" w14:paraId="34C525B7" w14:textId="77777777">
            <w:pPr>
              <w:tabs>
                <w:tab w:val="left" w:pos="-720"/>
              </w:tabs>
              <w:suppressAutoHyphens/>
              <w:rPr>
                <w:b/>
                <w:sz w:val="24"/>
                <w:szCs w:val="24"/>
              </w:rPr>
            </w:pPr>
          </w:p>
        </w:tc>
      </w:tr>
    </w:tbl>
    <w:p w:rsidR="00D34403" w:rsidRPr="00065BBB" w:rsidP="00D34403" w14:paraId="09A9B16C"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4E0827FE" w14:textId="4339C774">
      <w:pPr>
        <w:tabs>
          <w:tab w:val="left" w:pos="-720"/>
        </w:tabs>
        <w:suppressAutoHyphens/>
        <w:spacing w:after="0" w:line="240" w:lineRule="auto"/>
        <w:ind w:left="720"/>
        <w:rPr>
          <w:rFonts w:ascii="Times New Roman" w:eastAsia="Times New Roman" w:hAnsi="Times New Roman" w:cs="Times New Roman"/>
          <w:sz w:val="24"/>
          <w:szCs w:val="24"/>
        </w:rPr>
      </w:pPr>
      <w:r w:rsidRPr="00065BBB">
        <w:rPr>
          <w:rFonts w:ascii="Times New Roman" w:eastAsia="Times New Roman" w:hAnsi="Times New Roman" w:cs="Times New Roman"/>
          <w:sz w:val="24"/>
          <w:szCs w:val="24"/>
        </w:rPr>
        <w:t xml:space="preserve">This information collection has been revised at the Department’s discretion. </w:t>
      </w:r>
      <w:r w:rsidRPr="00065BBB" w:rsidR="00FB0271">
        <w:rPr>
          <w:rFonts w:ascii="Times New Roman" w:eastAsia="Times New Roman" w:hAnsi="Times New Roman" w:cs="Times New Roman"/>
          <w:sz w:val="24"/>
          <w:szCs w:val="24"/>
        </w:rPr>
        <w:t>RSA is proposing to remove questions that are not statutorily required. Grantees may continue collecting these data at their discretion, but they would not be required to report them to RSA.</w:t>
      </w:r>
      <w:r w:rsidRPr="00065BBB" w:rsidR="00C27A0C">
        <w:rPr>
          <w:rFonts w:ascii="Times New Roman" w:eastAsia="Times New Roman" w:hAnsi="Times New Roman" w:cs="Times New Roman"/>
          <w:sz w:val="24"/>
          <w:szCs w:val="24"/>
        </w:rPr>
        <w:t xml:space="preserve"> This removal of questions reduces </w:t>
      </w:r>
      <w:r w:rsidRPr="00065BBB" w:rsidR="00025471">
        <w:rPr>
          <w:rFonts w:ascii="Times New Roman" w:eastAsia="Times New Roman" w:hAnsi="Times New Roman" w:cs="Times New Roman"/>
          <w:sz w:val="24"/>
          <w:szCs w:val="24"/>
        </w:rPr>
        <w:t>respondents’ burden by approximately 1 hour per response, for a total of 56 hours in total.</w:t>
      </w:r>
      <w:r w:rsidRPr="00065BBB" w:rsidR="00CC39D4">
        <w:rPr>
          <w:rFonts w:ascii="Times New Roman" w:eastAsia="Times New Roman" w:hAnsi="Times New Roman" w:cs="Times New Roman"/>
          <w:sz w:val="24"/>
          <w:szCs w:val="24"/>
        </w:rPr>
        <w:t xml:space="preserve"> The cost of this savings to respondents, based on</w:t>
      </w:r>
      <w:r w:rsidRPr="00065BBB" w:rsidR="00CC39D4">
        <w:t xml:space="preserve"> an </w:t>
      </w:r>
      <w:r w:rsidRPr="00065BBB" w:rsidR="00CC39D4">
        <w:rPr>
          <w:rFonts w:ascii="Times New Roman" w:eastAsia="Times New Roman" w:hAnsi="Times New Roman" w:cs="Times New Roman"/>
          <w:sz w:val="24"/>
          <w:szCs w:val="24"/>
        </w:rPr>
        <w:t xml:space="preserve">estimated respondent average hourly wage of $36/hour, is </w:t>
      </w:r>
      <w:r w:rsidRPr="00065BBB" w:rsidR="0085314F">
        <w:rPr>
          <w:rFonts w:ascii="Times New Roman" w:eastAsia="Times New Roman" w:hAnsi="Times New Roman" w:cs="Times New Roman"/>
          <w:sz w:val="24"/>
          <w:szCs w:val="24"/>
        </w:rPr>
        <w:t>$2,016.</w:t>
      </w:r>
    </w:p>
    <w:p w:rsidR="00D34403" w:rsidRPr="00D34403" w:rsidP="00D34403" w14:paraId="29F3181C" w14:textId="77777777">
      <w:pPr>
        <w:tabs>
          <w:tab w:val="left" w:pos="-720"/>
        </w:tabs>
        <w:suppressAutoHyphens/>
        <w:spacing w:after="0" w:line="240" w:lineRule="auto"/>
        <w:ind w:left="720"/>
        <w:rPr>
          <w:rFonts w:ascii="Times New Roman" w:eastAsia="Times New Roman" w:hAnsi="Times New Roman" w:cs="Times New Roman"/>
          <w:sz w:val="24"/>
          <w:szCs w:val="24"/>
        </w:rPr>
      </w:pPr>
    </w:p>
    <w:p w:rsidR="00D34403" w:rsidRPr="00D34403" w:rsidP="00D34403" w14:paraId="6DF0C608" w14:textId="77777777">
      <w:pPr>
        <w:numPr>
          <w:ilvl w:val="0"/>
          <w:numId w:val="5"/>
        </w:numPr>
        <w:tabs>
          <w:tab w:val="left" w:pos="-720"/>
        </w:tabs>
        <w:suppressAutoHyphens/>
        <w:spacing w:after="0" w:line="240" w:lineRule="auto"/>
        <w:ind w:left="806" w:hanging="446"/>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4403" w:rsidRPr="00D34403" w:rsidP="00D34403" w14:paraId="48EA1545"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573ED55A" w14:textId="77777777">
      <w:pPr>
        <w:tabs>
          <w:tab w:val="left" w:pos="-720"/>
        </w:tabs>
        <w:suppressAutoHyphens/>
        <w:spacing w:after="0" w:line="240" w:lineRule="auto"/>
        <w:ind w:left="806"/>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collected will not be published for statistical use.</w:t>
      </w:r>
    </w:p>
    <w:p w:rsidR="00D34403" w:rsidRPr="00D34403" w:rsidP="00D34403" w14:paraId="208BBD02"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2BDEAB01" w14:textId="77777777">
      <w:pPr>
        <w:numPr>
          <w:ilvl w:val="0"/>
          <w:numId w:val="5"/>
        </w:numPr>
        <w:tabs>
          <w:tab w:val="left" w:pos="-720"/>
        </w:tabs>
        <w:suppressAutoHyphens/>
        <w:spacing w:after="0" w:line="240" w:lineRule="auto"/>
        <w:ind w:left="907" w:hanging="547"/>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D34403" w:rsidRPr="00D34403" w:rsidP="00D34403" w14:paraId="1852FE76" w14:textId="77777777">
      <w:pPr>
        <w:tabs>
          <w:tab w:val="left" w:pos="-720"/>
        </w:tabs>
        <w:suppressAutoHyphens/>
        <w:spacing w:after="0" w:line="240" w:lineRule="auto"/>
        <w:ind w:left="360"/>
        <w:rPr>
          <w:rFonts w:ascii="Times New Roman" w:eastAsia="Times New Roman" w:hAnsi="Times New Roman" w:cs="Times New Roman"/>
          <w:b/>
          <w:sz w:val="24"/>
          <w:szCs w:val="24"/>
        </w:rPr>
      </w:pPr>
    </w:p>
    <w:p w:rsidR="00D34403" w:rsidRPr="00D34403" w:rsidP="00D34403" w14:paraId="42F8B814" w14:textId="77777777">
      <w:pPr>
        <w:tabs>
          <w:tab w:val="left" w:pos="-720"/>
        </w:tabs>
        <w:suppressAutoHyphens/>
        <w:spacing w:after="0" w:line="240" w:lineRule="auto"/>
        <w:ind w:left="360"/>
        <w:rPr>
          <w:rFonts w:ascii="Times New Roman" w:eastAsia="Times New Roman" w:hAnsi="Times New Roman" w:cs="Times New Roman"/>
          <w:bCs/>
          <w:sz w:val="24"/>
          <w:szCs w:val="24"/>
        </w:rPr>
      </w:pPr>
      <w:r w:rsidRPr="00D34403">
        <w:rPr>
          <w:rFonts w:ascii="Times New Roman" w:eastAsia="Times New Roman" w:hAnsi="Times New Roman" w:cs="Times New Roman"/>
          <w:b/>
          <w:sz w:val="24"/>
          <w:szCs w:val="24"/>
        </w:rPr>
        <w:tab/>
        <w:t xml:space="preserve">   </w:t>
      </w:r>
      <w:r w:rsidRPr="00D34403">
        <w:rPr>
          <w:rFonts w:ascii="Times New Roman" w:eastAsia="Times New Roman" w:hAnsi="Times New Roman" w:cs="Times New Roman"/>
          <w:bCs/>
          <w:sz w:val="24"/>
          <w:szCs w:val="24"/>
        </w:rPr>
        <w:t>This document is not seeking OMB approval to not display the expiration date.</w:t>
      </w:r>
    </w:p>
    <w:p w:rsidR="00D34403" w:rsidRPr="00D34403" w:rsidP="00D34403" w14:paraId="5ABAAE7B" w14:textId="77777777">
      <w:pPr>
        <w:tabs>
          <w:tab w:val="left" w:pos="-720"/>
        </w:tabs>
        <w:suppressAutoHyphens/>
        <w:spacing w:after="0" w:line="240" w:lineRule="auto"/>
        <w:ind w:left="360"/>
        <w:rPr>
          <w:rFonts w:ascii="Times New Roman" w:eastAsia="Times New Roman" w:hAnsi="Times New Roman" w:cs="Times New Roman"/>
          <w:sz w:val="24"/>
          <w:szCs w:val="24"/>
        </w:rPr>
      </w:pPr>
    </w:p>
    <w:p w:rsidR="00D34403" w:rsidRPr="00D34403" w:rsidP="00D34403" w14:paraId="46C48F02" w14:textId="77777777">
      <w:pPr>
        <w:numPr>
          <w:ilvl w:val="0"/>
          <w:numId w:val="5"/>
        </w:numPr>
        <w:tabs>
          <w:tab w:val="left" w:pos="-720"/>
        </w:tabs>
        <w:suppressAutoHyphens/>
        <w:spacing w:after="0" w:line="240" w:lineRule="auto"/>
        <w:ind w:left="900" w:hanging="540"/>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Explain each exception to the certification statement identified in the Certification of Paperwork Reduction Act.</w:t>
      </w:r>
    </w:p>
    <w:p w:rsidR="00D34403" w:rsidRPr="00D34403" w:rsidP="00D34403" w14:paraId="7DAF0FE5" w14:textId="77777777">
      <w:pPr>
        <w:tabs>
          <w:tab w:val="left" w:pos="-720"/>
        </w:tabs>
        <w:suppressAutoHyphens/>
        <w:spacing w:after="0" w:line="240" w:lineRule="auto"/>
        <w:ind w:left="900"/>
        <w:contextualSpacing/>
        <w:rPr>
          <w:rFonts w:ascii="Times New Roman" w:eastAsia="Times New Roman" w:hAnsi="Times New Roman" w:cs="Times New Roman"/>
          <w:b/>
          <w:sz w:val="24"/>
          <w:szCs w:val="24"/>
        </w:rPr>
      </w:pPr>
    </w:p>
    <w:p w:rsidR="00D34403" w:rsidRPr="00D34403" w:rsidP="00D34403" w14:paraId="4001D208" w14:textId="77777777">
      <w:pPr>
        <w:tabs>
          <w:tab w:val="left" w:pos="-720"/>
        </w:tabs>
        <w:suppressAutoHyphens/>
        <w:spacing w:after="0" w:line="240" w:lineRule="auto"/>
        <w:ind w:left="900"/>
        <w:contextualSpacing/>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 xml:space="preserve">This document meets each of the criteria outlined in the "Certification for Paperwork </w:t>
      </w:r>
    </w:p>
    <w:p w:rsidR="00017FCF" w:rsidRPr="008A13BA" w:rsidP="008A13BA" w14:paraId="4BA37925" w14:textId="0679BB4D">
      <w:pPr>
        <w:tabs>
          <w:tab w:val="left" w:pos="-720"/>
        </w:tabs>
        <w:suppressAutoHyphens/>
        <w:spacing w:after="0" w:line="240" w:lineRule="auto"/>
        <w:ind w:left="900"/>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Cs/>
          <w:sz w:val="24"/>
          <w:szCs w:val="24"/>
        </w:rPr>
        <w:t>Reduction Act Submissions."</w:t>
      </w:r>
    </w:p>
    <w:sectPr w:rsidSect="00043C32">
      <w:footerReference w:type="default" r:id="rId9"/>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C8F" w14:paraId="3DFC0DB3" w14:textId="77777777">
    <w:pPr>
      <w:spacing w:before="140" w:line="100" w:lineRule="exact"/>
      <w:rPr>
        <w:sz w:val="10"/>
      </w:rPr>
    </w:pPr>
  </w:p>
  <w:p w:rsidR="00B84C8F" w14:paraId="09A65336" w14:textId="77777777">
    <w:pPr>
      <w:tabs>
        <w:tab w:val="left" w:pos="0"/>
      </w:tabs>
      <w:suppressAutoHyphens/>
    </w:pPr>
  </w:p>
  <w:p w:rsidR="00B84C8F" w14:paraId="4CD30786"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wps:spPr>
                    <wps:txbx>
                      <w:txbxContent>
                        <w:p w:rsidR="00B84C8F"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B84C8F" w:rsidRPr="00534B4A" w14:paraId="6DBD0B45"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1162" w:rsidP="00D34403" w14:paraId="0B139339" w14:textId="77777777">
      <w:pPr>
        <w:spacing w:after="0" w:line="240" w:lineRule="auto"/>
      </w:pPr>
      <w:r>
        <w:separator/>
      </w:r>
    </w:p>
  </w:footnote>
  <w:footnote w:type="continuationSeparator" w:id="1">
    <w:p w:rsidR="004B1162" w:rsidP="00D34403" w14:paraId="6A07A336" w14:textId="77777777">
      <w:pPr>
        <w:spacing w:after="0" w:line="240" w:lineRule="auto"/>
      </w:pPr>
      <w:r>
        <w:continuationSeparator/>
      </w:r>
    </w:p>
  </w:footnote>
  <w:footnote w:id="2">
    <w:p w:rsidR="00D34403" w:rsidP="00D34403" w14:paraId="6CFE748A" w14:textId="77777777">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82000FD"/>
    <w:multiLevelType w:val="hybridMultilevel"/>
    <w:tmpl w:val="443874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1736363">
    <w:abstractNumId w:val="0"/>
  </w:num>
  <w:num w:numId="2" w16cid:durableId="859971414">
    <w:abstractNumId w:val="2"/>
  </w:num>
  <w:num w:numId="3" w16cid:durableId="1741782419">
    <w:abstractNumId w:val="1"/>
  </w:num>
  <w:num w:numId="4" w16cid:durableId="1948271300">
    <w:abstractNumId w:val="4"/>
  </w:num>
  <w:num w:numId="5" w16cid:durableId="1035347943">
    <w:abstractNumId w:val="5"/>
  </w:num>
  <w:num w:numId="6" w16cid:durableId="653143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03"/>
    <w:rsid w:val="00013EDF"/>
    <w:rsid w:val="00017FCF"/>
    <w:rsid w:val="000236DC"/>
    <w:rsid w:val="00025471"/>
    <w:rsid w:val="00036418"/>
    <w:rsid w:val="00065BBB"/>
    <w:rsid w:val="00082D1C"/>
    <w:rsid w:val="00090526"/>
    <w:rsid w:val="00094CAE"/>
    <w:rsid w:val="00097542"/>
    <w:rsid w:val="000A127C"/>
    <w:rsid w:val="000C0E11"/>
    <w:rsid w:val="000D565E"/>
    <w:rsid w:val="0011789F"/>
    <w:rsid w:val="0013274F"/>
    <w:rsid w:val="00177C51"/>
    <w:rsid w:val="00180853"/>
    <w:rsid w:val="001C6956"/>
    <w:rsid w:val="001D02A7"/>
    <w:rsid w:val="001D226F"/>
    <w:rsid w:val="001D3750"/>
    <w:rsid w:val="001D5242"/>
    <w:rsid w:val="00204375"/>
    <w:rsid w:val="00213EF6"/>
    <w:rsid w:val="00224333"/>
    <w:rsid w:val="002544B0"/>
    <w:rsid w:val="00263FD8"/>
    <w:rsid w:val="0028038A"/>
    <w:rsid w:val="00295586"/>
    <w:rsid w:val="00311A19"/>
    <w:rsid w:val="003445E5"/>
    <w:rsid w:val="00352518"/>
    <w:rsid w:val="003533D8"/>
    <w:rsid w:val="00373092"/>
    <w:rsid w:val="003B2BCD"/>
    <w:rsid w:val="003C001D"/>
    <w:rsid w:val="003C34CF"/>
    <w:rsid w:val="00415EF7"/>
    <w:rsid w:val="00417906"/>
    <w:rsid w:val="0044533A"/>
    <w:rsid w:val="00484145"/>
    <w:rsid w:val="004966DA"/>
    <w:rsid w:val="004B1162"/>
    <w:rsid w:val="004E4AC3"/>
    <w:rsid w:val="00516E10"/>
    <w:rsid w:val="00534B4A"/>
    <w:rsid w:val="005510B3"/>
    <w:rsid w:val="005E596B"/>
    <w:rsid w:val="00611A21"/>
    <w:rsid w:val="00644070"/>
    <w:rsid w:val="006B098A"/>
    <w:rsid w:val="006B1BBE"/>
    <w:rsid w:val="006C44C1"/>
    <w:rsid w:val="00750A45"/>
    <w:rsid w:val="007C7439"/>
    <w:rsid w:val="007D4C19"/>
    <w:rsid w:val="0080281D"/>
    <w:rsid w:val="00805B6C"/>
    <w:rsid w:val="0081327E"/>
    <w:rsid w:val="00825550"/>
    <w:rsid w:val="00852C5E"/>
    <w:rsid w:val="0085314F"/>
    <w:rsid w:val="008A13BA"/>
    <w:rsid w:val="008D7F6D"/>
    <w:rsid w:val="00900C9D"/>
    <w:rsid w:val="00913223"/>
    <w:rsid w:val="009370AE"/>
    <w:rsid w:val="00944477"/>
    <w:rsid w:val="009A722E"/>
    <w:rsid w:val="009B6ABF"/>
    <w:rsid w:val="009B7C9B"/>
    <w:rsid w:val="009F66CC"/>
    <w:rsid w:val="00A04791"/>
    <w:rsid w:val="00A04DAD"/>
    <w:rsid w:val="00A23792"/>
    <w:rsid w:val="00A45354"/>
    <w:rsid w:val="00A74CDA"/>
    <w:rsid w:val="00A93AF1"/>
    <w:rsid w:val="00B0613F"/>
    <w:rsid w:val="00B66BB9"/>
    <w:rsid w:val="00B84C8F"/>
    <w:rsid w:val="00B9462F"/>
    <w:rsid w:val="00BD12E9"/>
    <w:rsid w:val="00BE7FFB"/>
    <w:rsid w:val="00C27A0C"/>
    <w:rsid w:val="00C57351"/>
    <w:rsid w:val="00C57A64"/>
    <w:rsid w:val="00CC0CF4"/>
    <w:rsid w:val="00CC39D4"/>
    <w:rsid w:val="00CF6672"/>
    <w:rsid w:val="00D34403"/>
    <w:rsid w:val="00D83F84"/>
    <w:rsid w:val="00DB6AA4"/>
    <w:rsid w:val="00DE355A"/>
    <w:rsid w:val="00DF7D51"/>
    <w:rsid w:val="00E078A9"/>
    <w:rsid w:val="00E35AC7"/>
    <w:rsid w:val="00E8036D"/>
    <w:rsid w:val="00EC0BAF"/>
    <w:rsid w:val="00EC1C69"/>
    <w:rsid w:val="00EC4500"/>
    <w:rsid w:val="00ED671A"/>
    <w:rsid w:val="00EE6155"/>
    <w:rsid w:val="00F06615"/>
    <w:rsid w:val="00F13E7B"/>
    <w:rsid w:val="00F238AD"/>
    <w:rsid w:val="00F66734"/>
    <w:rsid w:val="00F85E49"/>
    <w:rsid w:val="00F958F0"/>
    <w:rsid w:val="00FB0271"/>
    <w:rsid w:val="00FB03B2"/>
    <w:rsid w:val="00FB2F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ADEBCF"/>
  <w15:chartTrackingRefBased/>
  <w15:docId w15:val="{711A75A8-2506-45DF-BEA9-031F4247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4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403"/>
    <w:rPr>
      <w:sz w:val="20"/>
      <w:szCs w:val="20"/>
    </w:rPr>
  </w:style>
  <w:style w:type="character" w:styleId="FootnoteReference">
    <w:name w:val="footnote reference"/>
    <w:uiPriority w:val="99"/>
    <w:rsid w:val="00D34403"/>
    <w:rPr>
      <w:rFonts w:ascii="Courier" w:hAnsi="Courier" w:cs="Times New Roman"/>
      <w:sz w:val="24"/>
      <w:vertAlign w:val="superscript"/>
      <w:lang w:val="en-US"/>
    </w:rPr>
  </w:style>
  <w:style w:type="table" w:styleId="TableGrid">
    <w:name w:val="Table Grid"/>
    <w:basedOn w:val="TableNormal"/>
    <w:uiPriority w:val="59"/>
    <w:rsid w:val="00D34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4403"/>
    <w:rPr>
      <w:sz w:val="16"/>
      <w:szCs w:val="16"/>
    </w:rPr>
  </w:style>
  <w:style w:type="paragraph" w:styleId="CommentText">
    <w:name w:val="annotation text"/>
    <w:basedOn w:val="Normal"/>
    <w:link w:val="CommentTextChar"/>
    <w:uiPriority w:val="99"/>
    <w:semiHidden/>
    <w:unhideWhenUsed/>
    <w:rsid w:val="00D34403"/>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D34403"/>
    <w:rPr>
      <w:rFonts w:ascii="Courier" w:eastAsia="Times New Roman" w:hAnsi="Courier" w:cs="Times New Roman"/>
      <w:sz w:val="20"/>
      <w:szCs w:val="20"/>
    </w:rPr>
  </w:style>
  <w:style w:type="table" w:customStyle="1" w:styleId="TableGridLight1">
    <w:name w:val="Table Grid Light1"/>
    <w:basedOn w:val="TableNormal"/>
    <w:next w:val="GridTableLight"/>
    <w:uiPriority w:val="40"/>
    <w:rsid w:val="00D34403"/>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D34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BE7FF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7FFB"/>
    <w:rPr>
      <w:rFonts w:ascii="Courier" w:eastAsia="Times New Roman" w:hAnsi="Courier" w:cs="Times New Roman"/>
      <w:b/>
      <w:bCs/>
      <w:sz w:val="20"/>
      <w:szCs w:val="20"/>
    </w:rPr>
  </w:style>
  <w:style w:type="paragraph" w:styleId="Revision">
    <w:name w:val="Revision"/>
    <w:hidden/>
    <w:uiPriority w:val="99"/>
    <w:semiHidden/>
    <w:rsid w:val="00CC0CF4"/>
    <w:pPr>
      <w:spacing w:after="0" w:line="240" w:lineRule="auto"/>
    </w:pPr>
  </w:style>
  <w:style w:type="paragraph" w:styleId="ListParagraph">
    <w:name w:val="List Paragraph"/>
    <w:basedOn w:val="Normal"/>
    <w:uiPriority w:val="34"/>
    <w:qFormat/>
    <w:rsid w:val="00204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bls.gov/oes/current/oes_nat.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2fcaa72111390c8ab55f6cab72fb7946">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30fd1bc62f4e89131fdd6727abfdc17b"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Props1.xml><?xml version="1.0" encoding="utf-8"?>
<ds:datastoreItem xmlns:ds="http://schemas.openxmlformats.org/officeDocument/2006/customXml" ds:itemID="{1862D025-75C6-4A67-A51C-6EA138A13ACE}">
  <ds:schemaRefs>
    <ds:schemaRef ds:uri="http://schemas.microsoft.com/sharepoint/v3/contenttype/forms"/>
  </ds:schemaRefs>
</ds:datastoreItem>
</file>

<file path=customXml/itemProps2.xml><?xml version="1.0" encoding="utf-8"?>
<ds:datastoreItem xmlns:ds="http://schemas.openxmlformats.org/officeDocument/2006/customXml" ds:itemID="{3D2A8211-FB6D-41D8-8260-BF7C39961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72e4b-1164-4ded-91bd-45b70d19c881"/>
    <ds:schemaRef ds:uri="a8f4f48c-d55d-4625-8121-08fdad9dc02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DA346-1CDA-42C8-BE79-2D9109123DF4}">
  <ds:schemaRefs>
    <ds:schemaRef ds:uri="http://purl.org/dc/terms/"/>
    <ds:schemaRef ds:uri="http://www.w3.org/XML/1998/namespace"/>
    <ds:schemaRef ds:uri="http://purl.org/dc/dcmitype/"/>
    <ds:schemaRef ds:uri="http://schemas.microsoft.com/office/2006/documentManagement/types"/>
    <ds:schemaRef ds:uri="e2772e4b-1164-4ded-91bd-45b70d19c881"/>
    <ds:schemaRef ds:uri="2a2db8c4-56ab-4882-a5d0-0fe8165c6658"/>
    <ds:schemaRef ds:uri="http://purl.org/dc/elements/1.1/"/>
    <ds:schemaRef ds:uri="a8f4f48c-d55d-4625-8121-08fdad9dc02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2930</Words>
  <Characters>16936</Characters>
  <Application>Microsoft Office Word</Application>
  <DocSecurity>0</DocSecurity>
  <Lines>338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Jeffords</dc:creator>
  <cp:lastModifiedBy>Vitelli, Edward</cp:lastModifiedBy>
  <cp:revision>2</cp:revision>
  <dcterms:created xsi:type="dcterms:W3CDTF">2025-12-15T19:23:00Z</dcterms:created>
  <dcterms:modified xsi:type="dcterms:W3CDTF">2025-12-15T19:23:00Z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