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077EB4" w:rsidP="009E3D48" w14:paraId="50A89E21" w14:textId="156B8CAC">
      <w:pPr>
        <w:jc w:val="center"/>
        <w:rPr>
          <w:rFonts w:asciiTheme="minorHAnsi" w:hAnsiTheme="minorHAnsi"/>
          <w:sz w:val="22"/>
        </w:rPr>
      </w:pPr>
      <w:r w:rsidRPr="00077EB4">
        <w:rPr>
          <w:rFonts w:asciiTheme="minorHAnsi" w:hAnsiTheme="minorHAnsi"/>
          <w:sz w:val="22"/>
        </w:rPr>
        <w:t>SUPPORTING STATEMENT</w:t>
      </w:r>
    </w:p>
    <w:p w:rsidR="00A24315" w:rsidRPr="00077EB4" w:rsidP="009E3D48" w14:paraId="6FC7474B" w14:textId="1849FFBA">
      <w:pPr>
        <w:jc w:val="center"/>
        <w:rPr>
          <w:rFonts w:asciiTheme="minorHAnsi" w:hAnsiTheme="minorHAnsi"/>
          <w:sz w:val="22"/>
        </w:rPr>
      </w:pPr>
      <w:r w:rsidRPr="00077EB4">
        <w:rPr>
          <w:rFonts w:asciiTheme="minorHAnsi" w:hAnsiTheme="minorHAnsi"/>
          <w:sz w:val="22"/>
        </w:rPr>
        <w:t>Internal Revenue Service (IRS)</w:t>
      </w:r>
    </w:p>
    <w:p w:rsidR="00F86546" w:rsidRPr="00077EB4" w:rsidP="009E3D48" w14:paraId="69E4372B" w14:textId="236FD8ED">
      <w:pPr>
        <w:jc w:val="center"/>
        <w:rPr>
          <w:rFonts w:asciiTheme="minorHAnsi" w:hAnsiTheme="minorHAnsi"/>
          <w:sz w:val="22"/>
        </w:rPr>
      </w:pPr>
      <w:r>
        <w:rPr>
          <w:rFonts w:asciiTheme="minorHAnsi" w:hAnsiTheme="minorHAnsi"/>
          <w:sz w:val="22"/>
        </w:rPr>
        <w:t>T</w:t>
      </w:r>
      <w:r w:rsidR="007D35FC">
        <w:rPr>
          <w:rFonts w:asciiTheme="minorHAnsi" w:hAnsiTheme="minorHAnsi"/>
          <w:sz w:val="22"/>
        </w:rPr>
        <w:t>reasury Decision (TD)</w:t>
      </w:r>
      <w:r>
        <w:rPr>
          <w:rFonts w:asciiTheme="minorHAnsi" w:hAnsiTheme="minorHAnsi"/>
          <w:sz w:val="22"/>
        </w:rPr>
        <w:t xml:space="preserve"> 8458, </w:t>
      </w:r>
      <w:r w:rsidRPr="00077EB4">
        <w:rPr>
          <w:rFonts w:asciiTheme="minorHAnsi" w:hAnsiTheme="minorHAnsi"/>
          <w:sz w:val="22"/>
        </w:rPr>
        <w:t>Real Estate Mortgage Investment Conduits</w:t>
      </w:r>
    </w:p>
    <w:p w:rsidR="00F87A66" w:rsidRPr="00077EB4" w:rsidP="009E3D48" w14:paraId="5F8521A1" w14:textId="214A3849">
      <w:pPr>
        <w:jc w:val="center"/>
        <w:rPr>
          <w:rFonts w:asciiTheme="minorHAnsi" w:hAnsiTheme="minorHAnsi"/>
          <w:sz w:val="22"/>
        </w:rPr>
      </w:pPr>
      <w:r w:rsidRPr="00077EB4">
        <w:rPr>
          <w:rFonts w:asciiTheme="minorHAnsi" w:hAnsiTheme="minorHAnsi"/>
          <w:sz w:val="22"/>
        </w:rPr>
        <w:t>OMB Control Number 1545-</w:t>
      </w:r>
      <w:r w:rsidRPr="00077EB4" w:rsidR="00032F24">
        <w:rPr>
          <w:rFonts w:asciiTheme="minorHAnsi" w:hAnsiTheme="minorHAnsi"/>
          <w:sz w:val="22"/>
        </w:rPr>
        <w:t>1276</w:t>
      </w:r>
    </w:p>
    <w:p w:rsidR="009E3D48" w:rsidRPr="00DC1585" w:rsidP="009E3D48" w14:paraId="1167FBAD" w14:textId="77777777">
      <w:pPr>
        <w:rPr>
          <w:rFonts w:asciiTheme="minorHAnsi" w:hAnsiTheme="minorHAnsi"/>
          <w:b/>
          <w:bCs/>
          <w:sz w:val="22"/>
          <w:u w:val="single"/>
        </w:rPr>
      </w:pPr>
    </w:p>
    <w:p w:rsidR="009E3D48" w:rsidRPr="00F54DD7" w:rsidP="00F54DD7" w14:paraId="5D2EDBAF" w14:textId="77777777">
      <w:pPr>
        <w:pStyle w:val="Level1"/>
        <w:numPr>
          <w:ilvl w:val="0"/>
          <w:numId w:val="1"/>
        </w:numPr>
        <w:tabs>
          <w:tab w:val="left" w:pos="-1440"/>
          <w:tab w:val="num" w:pos="720"/>
        </w:tabs>
        <w:ind w:hanging="720"/>
        <w:rPr>
          <w:rFonts w:asciiTheme="minorHAnsi" w:hAnsiTheme="minorHAnsi"/>
          <w:sz w:val="22"/>
          <w:szCs w:val="22"/>
          <w:u w:val="single"/>
        </w:rPr>
      </w:pPr>
      <w:r w:rsidRPr="00F54DD7">
        <w:rPr>
          <w:rFonts w:asciiTheme="minorHAnsi" w:hAnsiTheme="minorHAnsi"/>
          <w:sz w:val="22"/>
          <w:szCs w:val="22"/>
          <w:u w:val="single"/>
        </w:rPr>
        <w:t xml:space="preserve">CIRCUMSTANCES NECESSITATING COLLECTION OF INFORMATION </w:t>
      </w:r>
    </w:p>
    <w:p w:rsidR="00197CEF" w:rsidRPr="00F54DD7" w:rsidP="00F54DD7" w14:paraId="69AEBF7C" w14:textId="77777777">
      <w:pPr>
        <w:widowControl w:val="0"/>
        <w:autoSpaceDE w:val="0"/>
        <w:autoSpaceDN w:val="0"/>
        <w:adjustRightInd w:val="0"/>
        <w:ind w:left="720"/>
        <w:rPr>
          <w:rFonts w:eastAsia="Times New Roman" w:asciiTheme="minorHAnsi" w:hAnsiTheme="minorHAnsi" w:cs="Times New Roman"/>
          <w:sz w:val="22"/>
        </w:rPr>
      </w:pPr>
      <w:r w:rsidRPr="00F54DD7">
        <w:rPr>
          <w:rFonts w:eastAsia="Times New Roman" w:asciiTheme="minorHAnsi" w:hAnsiTheme="minorHAnsi" w:cs="Times New Roman"/>
          <w:sz w:val="22"/>
        </w:rPr>
        <w:t xml:space="preserve">      </w:t>
      </w:r>
    </w:p>
    <w:p w:rsidR="00032F24" w:rsidRPr="00F54DD7" w:rsidP="00F54DD7" w14:paraId="46C30BC4" w14:textId="248F7FBC">
      <w:pPr>
        <w:widowControl w:val="0"/>
        <w:autoSpaceDE w:val="0"/>
        <w:autoSpaceDN w:val="0"/>
        <w:adjustRightInd w:val="0"/>
        <w:ind w:left="720"/>
        <w:rPr>
          <w:rFonts w:eastAsia="Times New Roman" w:asciiTheme="minorHAnsi" w:hAnsiTheme="minorHAnsi" w:cs="Times New Roman"/>
          <w:sz w:val="22"/>
        </w:rPr>
      </w:pPr>
      <w:bookmarkStart w:id="0" w:name="_Hlk3889996"/>
      <w:r>
        <w:rPr>
          <w:rFonts w:eastAsia="Times New Roman" w:asciiTheme="minorHAnsi" w:hAnsiTheme="minorHAnsi" w:cs="Times New Roman"/>
          <w:sz w:val="22"/>
        </w:rPr>
        <w:t>Internal Revenue Code (</w:t>
      </w:r>
      <w:r w:rsidR="005F5B56">
        <w:rPr>
          <w:rFonts w:eastAsia="Times New Roman" w:asciiTheme="minorHAnsi" w:hAnsiTheme="minorHAnsi" w:cs="Times New Roman"/>
          <w:sz w:val="22"/>
        </w:rPr>
        <w:t>IRC</w:t>
      </w:r>
      <w:r>
        <w:rPr>
          <w:rFonts w:eastAsia="Times New Roman" w:asciiTheme="minorHAnsi" w:hAnsiTheme="minorHAnsi" w:cs="Times New Roman"/>
          <w:sz w:val="22"/>
        </w:rPr>
        <w:t>)</w:t>
      </w:r>
      <w:r w:rsidR="0061018F">
        <w:rPr>
          <w:rFonts w:eastAsia="Times New Roman" w:asciiTheme="minorHAnsi" w:hAnsiTheme="minorHAnsi" w:cs="Times New Roman"/>
          <w:sz w:val="22"/>
        </w:rPr>
        <w:t xml:space="preserve"> </w:t>
      </w:r>
      <w:r w:rsidR="00F73A96">
        <w:rPr>
          <w:rFonts w:eastAsia="Times New Roman" w:asciiTheme="minorHAnsi" w:hAnsiTheme="minorHAnsi" w:cs="Times New Roman"/>
          <w:sz w:val="22"/>
        </w:rPr>
        <w:t>s</w:t>
      </w:r>
      <w:r w:rsidR="0061018F">
        <w:rPr>
          <w:rFonts w:eastAsia="Times New Roman" w:asciiTheme="minorHAnsi" w:hAnsiTheme="minorHAnsi" w:cs="Times New Roman"/>
          <w:sz w:val="22"/>
        </w:rPr>
        <w:t>ection 860E(e) imposes an excise tax on any transfer of a residual interest in a Real Estate Mortgage Investment Conduits (REMIC) to a disqualified organization. IRC section</w:t>
      </w:r>
      <w:r w:rsidR="009720B2">
        <w:rPr>
          <w:rFonts w:eastAsia="Times New Roman" w:asciiTheme="minorHAnsi" w:hAnsiTheme="minorHAnsi" w:cs="Times New Roman"/>
          <w:sz w:val="22"/>
        </w:rPr>
        <w:t>s</w:t>
      </w:r>
      <w:r w:rsidR="0061018F">
        <w:rPr>
          <w:rFonts w:eastAsia="Times New Roman" w:asciiTheme="minorHAnsi" w:hAnsiTheme="minorHAnsi" w:cs="Times New Roman"/>
          <w:sz w:val="22"/>
        </w:rPr>
        <w:t xml:space="preserve"> 860E(e)(4) and </w:t>
      </w:r>
      <w:r w:rsidR="004722A6">
        <w:rPr>
          <w:rFonts w:eastAsia="Times New Roman" w:asciiTheme="minorHAnsi" w:hAnsiTheme="minorHAnsi" w:cs="Times New Roman"/>
          <w:sz w:val="22"/>
        </w:rPr>
        <w:t xml:space="preserve">860E(e)(6)(D) provide relief of the excise tax when the transferee or record holder of the residual interest furnishes an affidavit </w:t>
      </w:r>
      <w:r w:rsidR="009720B2">
        <w:rPr>
          <w:rFonts w:eastAsia="Times New Roman" w:asciiTheme="minorHAnsi" w:hAnsiTheme="minorHAnsi" w:cs="Times New Roman"/>
          <w:sz w:val="22"/>
        </w:rPr>
        <w:t xml:space="preserve">to the transferor or pass-thru entity </w:t>
      </w:r>
      <w:r w:rsidR="004722A6">
        <w:rPr>
          <w:rFonts w:eastAsia="Times New Roman" w:asciiTheme="minorHAnsi" w:hAnsiTheme="minorHAnsi" w:cs="Times New Roman"/>
          <w:sz w:val="22"/>
        </w:rPr>
        <w:t xml:space="preserve">stating that they are not a disqualified organization. </w:t>
      </w:r>
      <w:r w:rsidR="0061018F">
        <w:rPr>
          <w:rFonts w:eastAsia="Times New Roman" w:asciiTheme="minorHAnsi" w:hAnsiTheme="minorHAnsi" w:cs="Times New Roman"/>
          <w:sz w:val="22"/>
        </w:rPr>
        <w:t xml:space="preserve">TD 8458 contains final regulations and guidance relating to </w:t>
      </w:r>
      <w:r w:rsidR="004722A6">
        <w:rPr>
          <w:rFonts w:eastAsia="Times New Roman" w:asciiTheme="minorHAnsi" w:hAnsiTheme="minorHAnsi" w:cs="Times New Roman"/>
          <w:sz w:val="22"/>
        </w:rPr>
        <w:t xml:space="preserve">the IRC requirements for a </w:t>
      </w:r>
      <w:r w:rsidR="0061018F">
        <w:rPr>
          <w:rFonts w:eastAsia="Times New Roman" w:asciiTheme="minorHAnsi" w:hAnsiTheme="minorHAnsi" w:cs="Times New Roman"/>
          <w:sz w:val="22"/>
        </w:rPr>
        <w:t>REMIC</w:t>
      </w:r>
      <w:r w:rsidRPr="00F54DD7" w:rsidR="005F5B56">
        <w:rPr>
          <w:rFonts w:eastAsia="Times New Roman" w:asciiTheme="minorHAnsi" w:hAnsiTheme="minorHAnsi" w:cs="Times New Roman"/>
          <w:sz w:val="22"/>
        </w:rPr>
        <w:t>.</w:t>
      </w:r>
    </w:p>
    <w:p w:rsidR="00032F24" w:rsidRPr="00F54DD7" w:rsidP="00F54DD7" w14:paraId="5D1B0CC3" w14:textId="71C58C59">
      <w:pPr>
        <w:widowControl w:val="0"/>
        <w:autoSpaceDE w:val="0"/>
        <w:autoSpaceDN w:val="0"/>
        <w:adjustRightInd w:val="0"/>
        <w:ind w:left="720"/>
        <w:rPr>
          <w:rFonts w:eastAsia="Times New Roman" w:asciiTheme="minorHAnsi" w:hAnsiTheme="minorHAnsi" w:cs="Times New Roman"/>
          <w:sz w:val="22"/>
        </w:rPr>
      </w:pPr>
    </w:p>
    <w:p w:rsidR="002C4786" w:rsidRPr="00F54DD7" w:rsidP="00F54DD7" w14:paraId="04AC2A30" w14:textId="284256FB">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Treasury Regulations</w:t>
      </w:r>
      <w:r w:rsidR="007D35FC">
        <w:rPr>
          <w:rFonts w:eastAsia="Times New Roman" w:asciiTheme="minorHAnsi" w:hAnsiTheme="minorHAnsi" w:cs="Times New Roman"/>
          <w:sz w:val="22"/>
        </w:rPr>
        <w:t xml:space="preserve"> (TR)</w:t>
      </w:r>
      <w:r>
        <w:rPr>
          <w:rFonts w:eastAsia="Times New Roman" w:asciiTheme="minorHAnsi" w:hAnsiTheme="minorHAnsi" w:cs="Times New Roman"/>
          <w:sz w:val="22"/>
        </w:rPr>
        <w:t xml:space="preserve"> </w:t>
      </w:r>
      <w:r w:rsidR="007D35FC">
        <w:rPr>
          <w:rFonts w:eastAsia="Times New Roman" w:asciiTheme="minorHAnsi" w:hAnsiTheme="minorHAnsi" w:cs="Times New Roman"/>
          <w:sz w:val="22"/>
        </w:rPr>
        <w:t>S</w:t>
      </w:r>
      <w:r w:rsidRPr="00F54DD7">
        <w:rPr>
          <w:rFonts w:eastAsia="Times New Roman" w:asciiTheme="minorHAnsi" w:hAnsiTheme="minorHAnsi" w:cs="Times New Roman"/>
          <w:sz w:val="22"/>
        </w:rPr>
        <w:t>ection 1.860E-2(a)(5) requires the REMIC</w:t>
      </w:r>
      <w:r>
        <w:rPr>
          <w:rFonts w:eastAsia="Times New Roman" w:asciiTheme="minorHAnsi" w:hAnsiTheme="minorHAnsi" w:cs="Times New Roman"/>
          <w:sz w:val="22"/>
        </w:rPr>
        <w:t>, upon</w:t>
      </w:r>
      <w:r w:rsidR="009D1164">
        <w:rPr>
          <w:rFonts w:eastAsia="Times New Roman" w:asciiTheme="minorHAnsi" w:hAnsiTheme="minorHAnsi" w:cs="Times New Roman"/>
          <w:sz w:val="22"/>
        </w:rPr>
        <w:t xml:space="preserve"> request of the party responsible for the tax liability,</w:t>
      </w:r>
      <w:r w:rsidRPr="00F54DD7">
        <w:rPr>
          <w:rFonts w:eastAsia="Times New Roman" w:asciiTheme="minorHAnsi" w:hAnsiTheme="minorHAnsi" w:cs="Times New Roman"/>
          <w:sz w:val="22"/>
        </w:rPr>
        <w:t xml:space="preserve"> to furnish information sufficient to compute the present value of the anticipated excess inclusions. </w:t>
      </w:r>
    </w:p>
    <w:p w:rsidR="002C4786" w:rsidRPr="00F54DD7" w:rsidP="00F54DD7" w14:paraId="5BDB3021" w14:textId="77777777">
      <w:pPr>
        <w:widowControl w:val="0"/>
        <w:autoSpaceDE w:val="0"/>
        <w:autoSpaceDN w:val="0"/>
        <w:adjustRightInd w:val="0"/>
        <w:ind w:left="720"/>
        <w:rPr>
          <w:rFonts w:eastAsia="Times New Roman" w:asciiTheme="minorHAnsi" w:hAnsiTheme="minorHAnsi" w:cs="Times New Roman"/>
          <w:sz w:val="22"/>
        </w:rPr>
      </w:pPr>
    </w:p>
    <w:p w:rsidR="002C4786" w:rsidRPr="00F54DD7" w:rsidP="00F54DD7" w14:paraId="6D21AA2C" w14:textId="46F31CDB">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TR S</w:t>
      </w:r>
      <w:r w:rsidRPr="00F54DD7">
        <w:rPr>
          <w:rFonts w:eastAsia="Times New Roman" w:asciiTheme="minorHAnsi" w:hAnsiTheme="minorHAnsi" w:cs="Times New Roman"/>
          <w:sz w:val="22"/>
        </w:rPr>
        <w:t xml:space="preserve">ections 1.860E-2(a)(7) and 1.860E-2(b)(2) provide </w:t>
      </w:r>
      <w:r w:rsidR="009D1164">
        <w:rPr>
          <w:rFonts w:eastAsia="Times New Roman" w:asciiTheme="minorHAnsi" w:hAnsiTheme="minorHAnsi" w:cs="Times New Roman"/>
          <w:sz w:val="22"/>
        </w:rPr>
        <w:t>require</w:t>
      </w:r>
      <w:r w:rsidR="009720B2">
        <w:rPr>
          <w:rFonts w:eastAsia="Times New Roman" w:asciiTheme="minorHAnsi" w:hAnsiTheme="minorHAnsi" w:cs="Times New Roman"/>
          <w:sz w:val="22"/>
        </w:rPr>
        <w:t xml:space="preserve">ments for the affidavits provided by the transferee or record holder of a residual interest in a REMIC as required by IRC </w:t>
      </w:r>
      <w:r>
        <w:rPr>
          <w:rFonts w:eastAsia="Times New Roman" w:asciiTheme="minorHAnsi" w:hAnsiTheme="minorHAnsi" w:cs="Times New Roman"/>
          <w:sz w:val="22"/>
        </w:rPr>
        <w:t>S</w:t>
      </w:r>
      <w:r w:rsidR="009720B2">
        <w:rPr>
          <w:rFonts w:eastAsia="Times New Roman" w:asciiTheme="minorHAnsi" w:hAnsiTheme="minorHAnsi" w:cs="Times New Roman"/>
          <w:sz w:val="22"/>
        </w:rPr>
        <w:t>ections 860E(e)(4) and 860E(e)(6)(D)</w:t>
      </w:r>
      <w:r w:rsidRPr="00F54DD7">
        <w:rPr>
          <w:rFonts w:eastAsia="Times New Roman" w:asciiTheme="minorHAnsi" w:hAnsiTheme="minorHAnsi" w:cs="Times New Roman"/>
          <w:sz w:val="22"/>
        </w:rPr>
        <w:t>.</w:t>
      </w:r>
    </w:p>
    <w:p w:rsidR="00E37E63" w:rsidRPr="00F54DD7" w:rsidP="00F54DD7" w14:paraId="24EE820E" w14:textId="7F4AA179">
      <w:pPr>
        <w:widowControl w:val="0"/>
        <w:autoSpaceDE w:val="0"/>
        <w:autoSpaceDN w:val="0"/>
        <w:adjustRightInd w:val="0"/>
        <w:ind w:left="720"/>
        <w:rPr>
          <w:rFonts w:eastAsia="Times New Roman" w:asciiTheme="minorHAnsi" w:hAnsiTheme="minorHAnsi" w:cs="Times New Roman"/>
          <w:sz w:val="22"/>
        </w:rPr>
      </w:pPr>
      <w:r w:rsidRPr="00F54DD7">
        <w:rPr>
          <w:rFonts w:eastAsia="Times New Roman" w:asciiTheme="minorHAnsi" w:hAnsiTheme="minorHAnsi" w:cs="Times New Roman"/>
          <w:sz w:val="22"/>
        </w:rPr>
        <w:t xml:space="preserve"> </w:t>
      </w:r>
      <w:r w:rsidRPr="00F54DD7" w:rsidR="00576A09">
        <w:rPr>
          <w:rFonts w:eastAsia="Times New Roman" w:asciiTheme="minorHAnsi" w:hAnsiTheme="minorHAnsi" w:cs="Times New Roman"/>
          <w:sz w:val="22"/>
        </w:rPr>
        <w:t xml:space="preserve">   </w:t>
      </w:r>
      <w:bookmarkEnd w:id="0"/>
      <w:r w:rsidRPr="00F54DD7">
        <w:rPr>
          <w:rFonts w:eastAsia="Times New Roman" w:asciiTheme="minorHAnsi" w:hAnsiTheme="minorHAnsi" w:cs="Times New Roman"/>
          <w:sz w:val="22"/>
        </w:rPr>
        <w:t xml:space="preserve"> </w:t>
      </w:r>
    </w:p>
    <w:p w:rsidR="009E3D48" w:rsidRPr="00F54DD7" w:rsidP="00F54DD7" w14:paraId="6D001791" w14:textId="5026F024">
      <w:pPr>
        <w:pStyle w:val="Level1"/>
        <w:numPr>
          <w:ilvl w:val="0"/>
          <w:numId w:val="1"/>
        </w:numPr>
        <w:tabs>
          <w:tab w:val="left" w:pos="-1440"/>
          <w:tab w:val="num" w:pos="720"/>
        </w:tabs>
        <w:ind w:hanging="720"/>
        <w:rPr>
          <w:rFonts w:asciiTheme="minorHAnsi" w:hAnsiTheme="minorHAnsi"/>
          <w:sz w:val="22"/>
          <w:szCs w:val="22"/>
          <w:u w:val="single"/>
        </w:rPr>
      </w:pPr>
      <w:r w:rsidRPr="00F54DD7">
        <w:rPr>
          <w:rFonts w:asciiTheme="minorHAnsi" w:hAnsiTheme="minorHAnsi"/>
          <w:sz w:val="22"/>
          <w:szCs w:val="22"/>
          <w:u w:val="single"/>
        </w:rPr>
        <w:t xml:space="preserve">USE OF DATA </w:t>
      </w:r>
    </w:p>
    <w:p w:rsidR="00F672EA" w:rsidRPr="00BB7726" w:rsidP="00BB7726" w14:paraId="00D777C3" w14:textId="633F4E71">
      <w:pPr>
        <w:widowControl w:val="0"/>
        <w:autoSpaceDE w:val="0"/>
        <w:autoSpaceDN w:val="0"/>
        <w:adjustRightInd w:val="0"/>
        <w:ind w:left="720"/>
        <w:rPr>
          <w:rFonts w:eastAsia="Times New Roman" w:asciiTheme="minorHAnsi" w:hAnsiTheme="minorHAnsi" w:cs="Times New Roman"/>
          <w:sz w:val="22"/>
        </w:rPr>
      </w:pPr>
    </w:p>
    <w:p w:rsidR="00F672EA" w:rsidRPr="00BB7726" w:rsidP="00BB7726" w14:paraId="6337B774" w14:textId="20A2B485">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The transferor of the residual interest in a REMIC will use the data provided by the REMIC to calculate their excise tax liability</w:t>
      </w:r>
      <w:r w:rsidR="006253D2">
        <w:rPr>
          <w:rFonts w:eastAsia="Times New Roman" w:asciiTheme="minorHAnsi" w:hAnsiTheme="minorHAnsi" w:cs="Times New Roman"/>
          <w:sz w:val="22"/>
        </w:rPr>
        <w:t xml:space="preserve"> when the transferee is a disqualified organization</w:t>
      </w:r>
      <w:r w:rsidRPr="00BB7726">
        <w:rPr>
          <w:rFonts w:eastAsia="Times New Roman" w:asciiTheme="minorHAnsi" w:hAnsiTheme="minorHAnsi" w:cs="Times New Roman"/>
          <w:sz w:val="22"/>
        </w:rPr>
        <w:t xml:space="preserve">. </w:t>
      </w:r>
      <w:r w:rsidR="006253D2">
        <w:rPr>
          <w:rFonts w:eastAsia="Times New Roman" w:asciiTheme="minorHAnsi" w:hAnsiTheme="minorHAnsi" w:cs="Times New Roman"/>
          <w:sz w:val="22"/>
        </w:rPr>
        <w:t xml:space="preserve">The affidavits will be used as evidence that </w:t>
      </w:r>
      <w:r w:rsidR="00F8663F">
        <w:rPr>
          <w:rFonts w:eastAsia="Times New Roman" w:asciiTheme="minorHAnsi" w:hAnsiTheme="minorHAnsi" w:cs="Times New Roman"/>
          <w:sz w:val="22"/>
        </w:rPr>
        <w:t>the excise</w:t>
      </w:r>
      <w:r w:rsidR="006253D2">
        <w:rPr>
          <w:rFonts w:eastAsia="Times New Roman" w:asciiTheme="minorHAnsi" w:hAnsiTheme="minorHAnsi" w:cs="Times New Roman"/>
          <w:sz w:val="22"/>
        </w:rPr>
        <w:t xml:space="preserve"> tax shall </w:t>
      </w:r>
      <w:r w:rsidR="00F8663F">
        <w:rPr>
          <w:rFonts w:eastAsia="Times New Roman" w:asciiTheme="minorHAnsi" w:hAnsiTheme="minorHAnsi" w:cs="Times New Roman"/>
          <w:sz w:val="22"/>
        </w:rPr>
        <w:t xml:space="preserve">not </w:t>
      </w:r>
      <w:r w:rsidR="006253D2">
        <w:rPr>
          <w:rFonts w:eastAsia="Times New Roman" w:asciiTheme="minorHAnsi" w:hAnsiTheme="minorHAnsi" w:cs="Times New Roman"/>
          <w:sz w:val="22"/>
        </w:rPr>
        <w:t xml:space="preserve">be imposed </w:t>
      </w:r>
      <w:r w:rsidR="00F8663F">
        <w:rPr>
          <w:rFonts w:eastAsia="Times New Roman" w:asciiTheme="minorHAnsi" w:hAnsiTheme="minorHAnsi" w:cs="Times New Roman"/>
          <w:sz w:val="22"/>
        </w:rPr>
        <w:t>when the party receiving or holding the residual interest is not a disqualified organization.</w:t>
      </w:r>
    </w:p>
    <w:p w:rsidR="009E3D48" w:rsidRPr="00BB7726" w:rsidP="00BB7726" w14:paraId="379516A1" w14:textId="77777777">
      <w:pPr>
        <w:widowControl w:val="0"/>
        <w:autoSpaceDE w:val="0"/>
        <w:autoSpaceDN w:val="0"/>
        <w:adjustRightInd w:val="0"/>
        <w:ind w:left="720"/>
        <w:rPr>
          <w:rFonts w:eastAsia="Times New Roman" w:asciiTheme="minorHAnsi" w:hAnsiTheme="minorHAnsi" w:cs="Times New Roman"/>
          <w:sz w:val="22"/>
        </w:rPr>
      </w:pPr>
    </w:p>
    <w:p w:rsidR="009E3D48" w:rsidRPr="00F54DD7" w:rsidP="00F54DD7" w14:paraId="28FFE6BE" w14:textId="77777777">
      <w:pPr>
        <w:pStyle w:val="Level1"/>
        <w:numPr>
          <w:ilvl w:val="0"/>
          <w:numId w:val="1"/>
        </w:numPr>
        <w:tabs>
          <w:tab w:val="left" w:pos="-1440"/>
          <w:tab w:val="num" w:pos="720"/>
        </w:tabs>
        <w:ind w:hanging="720"/>
        <w:rPr>
          <w:rFonts w:asciiTheme="minorHAnsi" w:hAnsiTheme="minorHAnsi"/>
          <w:sz w:val="22"/>
          <w:szCs w:val="22"/>
          <w:u w:val="single"/>
        </w:rPr>
      </w:pPr>
      <w:r w:rsidRPr="00F54DD7">
        <w:rPr>
          <w:rFonts w:asciiTheme="minorHAnsi" w:hAnsiTheme="minorHAnsi"/>
          <w:sz w:val="22"/>
          <w:szCs w:val="22"/>
          <w:u w:val="single"/>
        </w:rPr>
        <w:t xml:space="preserve">USE OF IMPROVED INFORMATION TECHNOLOGY TO REDUCE BURDEN </w:t>
      </w:r>
    </w:p>
    <w:p w:rsidR="009E3D48" w:rsidRPr="00BB7726" w:rsidP="00BB7726" w14:paraId="7C43BFAA" w14:textId="77777777">
      <w:pPr>
        <w:widowControl w:val="0"/>
        <w:autoSpaceDE w:val="0"/>
        <w:autoSpaceDN w:val="0"/>
        <w:adjustRightInd w:val="0"/>
        <w:ind w:left="720"/>
        <w:rPr>
          <w:rFonts w:eastAsia="Times New Roman" w:asciiTheme="minorHAnsi" w:hAnsiTheme="minorHAnsi" w:cs="Times New Roman"/>
          <w:sz w:val="22"/>
        </w:rPr>
      </w:pPr>
    </w:p>
    <w:p w:rsidR="00801000" w:rsidRPr="00BB7726" w:rsidP="00BB7726" w14:paraId="4E1CE93F" w14:textId="2FCABD0F">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 xml:space="preserve">Electronic filing </w:t>
      </w:r>
      <w:r w:rsidR="006F5F78">
        <w:rPr>
          <w:rFonts w:eastAsia="Times New Roman" w:asciiTheme="minorHAnsi" w:hAnsiTheme="minorHAnsi" w:cs="Times New Roman"/>
          <w:sz w:val="22"/>
        </w:rPr>
        <w:t xml:space="preserve">is not possible because there are no reporting requirements associated with these regulations. </w:t>
      </w:r>
      <w:r w:rsidRPr="00FA29E2" w:rsidR="00FA29E2">
        <w:rPr>
          <w:rFonts w:eastAsia="Times New Roman" w:asciiTheme="minorHAnsi" w:hAnsiTheme="minorHAnsi" w:cs="Times New Roman"/>
          <w:sz w:val="22"/>
        </w:rPr>
        <w:t>Improved information technology may be used as agreed upon by the parties involved in the transaction.</w:t>
      </w:r>
    </w:p>
    <w:p w:rsidR="00E20185" w:rsidRPr="00BB7726" w:rsidP="00BB7726" w14:paraId="462D05E8" w14:textId="77777777">
      <w:pPr>
        <w:widowControl w:val="0"/>
        <w:autoSpaceDE w:val="0"/>
        <w:autoSpaceDN w:val="0"/>
        <w:adjustRightInd w:val="0"/>
        <w:ind w:left="720"/>
        <w:rPr>
          <w:rFonts w:eastAsia="Times New Roman" w:asciiTheme="minorHAnsi" w:hAnsiTheme="minorHAnsi" w:cs="Times New Roman"/>
          <w:sz w:val="22"/>
        </w:rPr>
      </w:pPr>
    </w:p>
    <w:p w:rsidR="009E3D48" w:rsidRPr="00F54DD7" w:rsidP="00F54DD7" w14:paraId="48485DF6" w14:textId="77777777">
      <w:pPr>
        <w:pStyle w:val="Level1"/>
        <w:numPr>
          <w:ilvl w:val="0"/>
          <w:numId w:val="1"/>
        </w:numPr>
        <w:tabs>
          <w:tab w:val="left" w:pos="-1440"/>
          <w:tab w:val="num" w:pos="720"/>
        </w:tabs>
        <w:ind w:hanging="720"/>
        <w:rPr>
          <w:rFonts w:asciiTheme="minorHAnsi" w:hAnsiTheme="minorHAnsi"/>
          <w:sz w:val="22"/>
          <w:szCs w:val="22"/>
          <w:u w:val="single"/>
        </w:rPr>
      </w:pPr>
      <w:r w:rsidRPr="00F54DD7">
        <w:rPr>
          <w:rFonts w:asciiTheme="minorHAnsi" w:hAnsiTheme="minorHAnsi"/>
          <w:sz w:val="22"/>
          <w:szCs w:val="22"/>
          <w:u w:val="single"/>
        </w:rPr>
        <w:t xml:space="preserve">EFFORTS TO IDENTIFY DUPLICATION </w:t>
      </w:r>
    </w:p>
    <w:p w:rsidR="009E3D48" w:rsidRPr="00BB7726" w:rsidP="00BB7726" w14:paraId="1B49878D" w14:textId="77777777">
      <w:pPr>
        <w:widowControl w:val="0"/>
        <w:autoSpaceDE w:val="0"/>
        <w:autoSpaceDN w:val="0"/>
        <w:adjustRightInd w:val="0"/>
        <w:ind w:left="720"/>
        <w:rPr>
          <w:rFonts w:eastAsia="Times New Roman" w:asciiTheme="minorHAnsi" w:hAnsiTheme="minorHAnsi" w:cs="Times New Roman"/>
          <w:sz w:val="22"/>
        </w:rPr>
      </w:pPr>
    </w:p>
    <w:p w:rsidR="001D050E" w:rsidRPr="00BB7726" w:rsidP="00BB7726" w14:paraId="6EE1F640" w14:textId="7AE83AF5">
      <w:pPr>
        <w:widowControl w:val="0"/>
        <w:autoSpaceDE w:val="0"/>
        <w:autoSpaceDN w:val="0"/>
        <w:adjustRightInd w:val="0"/>
        <w:ind w:left="720"/>
        <w:rPr>
          <w:rFonts w:eastAsia="Times New Roman" w:asciiTheme="minorHAnsi" w:hAnsiTheme="minorHAnsi" w:cs="Times New Roman"/>
          <w:sz w:val="22"/>
        </w:rPr>
      </w:pPr>
      <w:r w:rsidRPr="00BB7726">
        <w:rPr>
          <w:rFonts w:eastAsia="Times New Roman" w:asciiTheme="minorHAnsi" w:hAnsiTheme="minorHAnsi" w:cs="Times New Roman"/>
          <w:sz w:val="22"/>
        </w:rPr>
        <w:t xml:space="preserve">The information obtained through this collection is unique and is not </w:t>
      </w:r>
      <w:r w:rsidRPr="00BB7726">
        <w:rPr>
          <w:rFonts w:eastAsia="Times New Roman" w:asciiTheme="minorHAnsi" w:hAnsiTheme="minorHAnsi" w:cs="Times New Roman"/>
          <w:sz w:val="22"/>
        </w:rPr>
        <w:t>already available or use or adaption from another source.</w:t>
      </w:r>
    </w:p>
    <w:p w:rsidR="009E3D48" w:rsidRPr="00BB7726" w:rsidP="00BB7726" w14:paraId="6DB0E0C5" w14:textId="77777777">
      <w:pPr>
        <w:widowControl w:val="0"/>
        <w:autoSpaceDE w:val="0"/>
        <w:autoSpaceDN w:val="0"/>
        <w:adjustRightInd w:val="0"/>
        <w:ind w:left="720"/>
        <w:rPr>
          <w:rFonts w:eastAsia="Times New Roman" w:asciiTheme="minorHAnsi" w:hAnsiTheme="minorHAnsi" w:cs="Times New Roman"/>
          <w:sz w:val="22"/>
        </w:rPr>
      </w:pPr>
    </w:p>
    <w:p w:rsidR="009E3D48" w:rsidRPr="00F54DD7" w:rsidP="00F54DD7" w14:paraId="35ABD895" w14:textId="77777777">
      <w:pPr>
        <w:pStyle w:val="Level1"/>
        <w:numPr>
          <w:ilvl w:val="0"/>
          <w:numId w:val="1"/>
        </w:numPr>
        <w:tabs>
          <w:tab w:val="left" w:pos="-1440"/>
          <w:tab w:val="num" w:pos="720"/>
        </w:tabs>
        <w:ind w:hanging="720"/>
        <w:rPr>
          <w:rFonts w:asciiTheme="minorHAnsi" w:hAnsiTheme="minorHAnsi"/>
          <w:sz w:val="22"/>
          <w:szCs w:val="22"/>
          <w:u w:val="single"/>
        </w:rPr>
      </w:pPr>
      <w:r w:rsidRPr="00F54DD7">
        <w:rPr>
          <w:rFonts w:asciiTheme="minorHAnsi" w:hAnsiTheme="minorHAnsi"/>
          <w:sz w:val="22"/>
          <w:szCs w:val="22"/>
          <w:u w:val="single"/>
        </w:rPr>
        <w:t xml:space="preserve">METHODS TO MINIMIZE BURDEN ON SMALL BUSINESSES OR OTHER SMALL ENTITIES </w:t>
      </w:r>
    </w:p>
    <w:p w:rsidR="009E3D48" w:rsidRPr="00BB7726" w:rsidP="00BB7726" w14:paraId="1CA09F14" w14:textId="77777777">
      <w:pPr>
        <w:widowControl w:val="0"/>
        <w:autoSpaceDE w:val="0"/>
        <w:autoSpaceDN w:val="0"/>
        <w:adjustRightInd w:val="0"/>
        <w:ind w:left="720"/>
        <w:rPr>
          <w:rFonts w:eastAsia="Times New Roman" w:asciiTheme="minorHAnsi" w:hAnsiTheme="minorHAnsi" w:cs="Times New Roman"/>
          <w:sz w:val="22"/>
        </w:rPr>
      </w:pPr>
    </w:p>
    <w:p w:rsidR="009E3D48" w:rsidRPr="00BB7726" w:rsidP="00BB7726" w14:paraId="590378AA" w14:textId="7BD03469">
      <w:pPr>
        <w:widowControl w:val="0"/>
        <w:autoSpaceDE w:val="0"/>
        <w:autoSpaceDN w:val="0"/>
        <w:adjustRightInd w:val="0"/>
        <w:ind w:left="720"/>
        <w:rPr>
          <w:rFonts w:eastAsia="Times New Roman" w:asciiTheme="minorHAnsi" w:hAnsiTheme="minorHAnsi" w:cs="Times New Roman"/>
          <w:sz w:val="22"/>
        </w:rPr>
      </w:pPr>
      <w:r w:rsidRPr="006F5F78">
        <w:rPr>
          <w:rFonts w:eastAsia="Times New Roman" w:asciiTheme="minorHAnsi" w:hAnsiTheme="minorHAnsi" w:cs="Times New Roman"/>
          <w:sz w:val="22"/>
        </w:rPr>
        <w:t xml:space="preserve">There is no burden on small businesses or entities by this collection due to the inapplicability of </w:t>
      </w:r>
      <w:r>
        <w:rPr>
          <w:rFonts w:eastAsia="Times New Roman" w:asciiTheme="minorHAnsi" w:hAnsiTheme="minorHAnsi" w:cs="Times New Roman"/>
          <w:sz w:val="22"/>
        </w:rPr>
        <w:t>IRC</w:t>
      </w:r>
      <w:r w:rsidR="007D35FC">
        <w:rPr>
          <w:rFonts w:eastAsia="Times New Roman" w:asciiTheme="minorHAnsi" w:hAnsiTheme="minorHAnsi" w:cs="Times New Roman"/>
          <w:sz w:val="22"/>
        </w:rPr>
        <w:t xml:space="preserve"> S</w:t>
      </w:r>
      <w:r>
        <w:rPr>
          <w:rFonts w:eastAsia="Times New Roman" w:asciiTheme="minorHAnsi" w:hAnsiTheme="minorHAnsi" w:cs="Times New Roman"/>
          <w:sz w:val="22"/>
        </w:rPr>
        <w:t>ection 860E.</w:t>
      </w:r>
    </w:p>
    <w:p w:rsidR="009E3D48" w:rsidRPr="00BB7726" w:rsidP="00BB7726" w14:paraId="7538E6A6" w14:textId="77777777">
      <w:pPr>
        <w:widowControl w:val="0"/>
        <w:autoSpaceDE w:val="0"/>
        <w:autoSpaceDN w:val="0"/>
        <w:adjustRightInd w:val="0"/>
        <w:ind w:left="720"/>
        <w:rPr>
          <w:rFonts w:eastAsia="Times New Roman" w:asciiTheme="minorHAnsi" w:hAnsiTheme="minorHAnsi" w:cs="Times New Roman"/>
          <w:sz w:val="22"/>
        </w:rPr>
      </w:pPr>
    </w:p>
    <w:p w:rsidR="009E3D48" w:rsidRPr="00F54DD7" w:rsidP="00F54DD7" w14:paraId="22F566CB" w14:textId="77777777">
      <w:pPr>
        <w:pStyle w:val="Level1"/>
        <w:numPr>
          <w:ilvl w:val="0"/>
          <w:numId w:val="1"/>
        </w:numPr>
        <w:tabs>
          <w:tab w:val="left" w:pos="-1440"/>
          <w:tab w:val="num" w:pos="720"/>
        </w:tabs>
        <w:ind w:hanging="720"/>
        <w:rPr>
          <w:rFonts w:asciiTheme="minorHAnsi" w:hAnsiTheme="minorHAnsi"/>
          <w:sz w:val="22"/>
          <w:szCs w:val="22"/>
          <w:u w:val="single"/>
        </w:rPr>
      </w:pPr>
      <w:r w:rsidRPr="00F54DD7">
        <w:rPr>
          <w:rFonts w:asciiTheme="minorHAnsi" w:hAnsiTheme="minorHAnsi"/>
          <w:sz w:val="22"/>
          <w:szCs w:val="22"/>
          <w:u w:val="single"/>
        </w:rPr>
        <w:t xml:space="preserve">CONSEQUENCES OF LESS FREQUENT COLLECTION ON FEDERAL PROGRAMS OR POLICY ACTIVITIES </w:t>
      </w:r>
    </w:p>
    <w:p w:rsidR="009E3D48" w:rsidRPr="00F87A66" w:rsidP="009E3D48" w14:paraId="3B753038" w14:textId="77777777">
      <w:pPr>
        <w:tabs>
          <w:tab w:val="left" w:pos="540"/>
        </w:tabs>
        <w:ind w:left="540" w:hanging="540"/>
        <w:rPr>
          <w:rFonts w:asciiTheme="minorHAnsi" w:hAnsiTheme="minorHAnsi"/>
          <w:sz w:val="22"/>
        </w:rPr>
      </w:pPr>
    </w:p>
    <w:p w:rsidR="00A24315" w:rsidRPr="00BB7726" w:rsidP="00BB7726" w14:paraId="19C7B035" w14:textId="554FE621">
      <w:pPr>
        <w:widowControl w:val="0"/>
        <w:autoSpaceDE w:val="0"/>
        <w:autoSpaceDN w:val="0"/>
        <w:adjustRightInd w:val="0"/>
        <w:ind w:left="720"/>
        <w:rPr>
          <w:rFonts w:eastAsia="Times New Roman" w:asciiTheme="minorHAnsi" w:hAnsiTheme="minorHAnsi" w:cs="Times New Roman"/>
          <w:sz w:val="22"/>
        </w:rPr>
      </w:pPr>
      <w:r w:rsidRPr="00D7793C">
        <w:rPr>
          <w:rFonts w:eastAsia="Times New Roman" w:asciiTheme="minorHAnsi" w:hAnsiTheme="minorHAnsi" w:cs="Times New Roman"/>
          <w:sz w:val="22"/>
        </w:rPr>
        <w:t>Consequences of less frequent collection on federal programs or policy activities would consist of decreased amount of taxes collected by the IRS, inaccurate and untimely filing of tax returns, and an increase in tax violations.</w:t>
      </w:r>
    </w:p>
    <w:p w:rsidR="009E3D48" w:rsidRPr="00F87A66" w:rsidP="00C74ADF" w14:paraId="1CBFAF42" w14:textId="77777777">
      <w:pPr>
        <w:tabs>
          <w:tab w:val="left" w:pos="540"/>
        </w:tabs>
        <w:ind w:left="540" w:hanging="540"/>
        <w:rPr>
          <w:rFonts w:asciiTheme="minorHAnsi" w:hAnsiTheme="minorHAnsi"/>
          <w:sz w:val="22"/>
        </w:rPr>
      </w:pPr>
    </w:p>
    <w:p w:rsidR="009E3D48" w:rsidRPr="00BB7726" w:rsidP="00BB7726" w14:paraId="00B32DD4" w14:textId="77777777">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 xml:space="preserve">SPECIAL CIRCUMSTANCES REQUIRING DATA COLLECTION TO BE INCONSISTENT WITH GUIDELINES IN 5 CFR 1320.5(d)(2) </w:t>
      </w:r>
    </w:p>
    <w:p w:rsidR="009E3D48" w:rsidRPr="00BB7726" w:rsidP="00BB7726" w14:paraId="74F1CFFD" w14:textId="77777777">
      <w:pPr>
        <w:widowControl w:val="0"/>
        <w:autoSpaceDE w:val="0"/>
        <w:autoSpaceDN w:val="0"/>
        <w:adjustRightInd w:val="0"/>
        <w:ind w:left="720"/>
        <w:rPr>
          <w:rFonts w:eastAsia="Times New Roman" w:asciiTheme="minorHAnsi" w:hAnsiTheme="minorHAnsi" w:cs="Times New Roman"/>
          <w:sz w:val="22"/>
        </w:rPr>
      </w:pPr>
    </w:p>
    <w:p w:rsidR="009E3D48" w:rsidRPr="00BB7726" w:rsidP="00BB7726" w14:paraId="7BC52308" w14:textId="244692F7">
      <w:pPr>
        <w:widowControl w:val="0"/>
        <w:autoSpaceDE w:val="0"/>
        <w:autoSpaceDN w:val="0"/>
        <w:adjustRightInd w:val="0"/>
        <w:ind w:left="720"/>
        <w:rPr>
          <w:rFonts w:eastAsia="Times New Roman" w:asciiTheme="minorHAnsi" w:hAnsiTheme="minorHAnsi" w:cs="Times New Roman"/>
          <w:sz w:val="22"/>
        </w:rPr>
      </w:pPr>
      <w:r w:rsidRPr="00BB7726">
        <w:rPr>
          <w:rFonts w:eastAsia="Times New Roman" w:asciiTheme="minorHAnsi" w:hAnsiTheme="minorHAnsi" w:cs="Times New Roman"/>
          <w:sz w:val="22"/>
        </w:rPr>
        <w:t xml:space="preserve">There are no special circumstances requiring data collection to be inconsistent with </w:t>
      </w:r>
      <w:r w:rsidR="009E64D8">
        <w:rPr>
          <w:rFonts w:eastAsia="Times New Roman" w:asciiTheme="minorHAnsi" w:hAnsiTheme="minorHAnsi" w:cs="Times New Roman"/>
          <w:sz w:val="22"/>
        </w:rPr>
        <w:t>g</w:t>
      </w:r>
      <w:r w:rsidRPr="00BB7726">
        <w:rPr>
          <w:rFonts w:eastAsia="Times New Roman" w:asciiTheme="minorHAnsi" w:hAnsiTheme="minorHAnsi" w:cs="Times New Roman"/>
          <w:sz w:val="22"/>
        </w:rPr>
        <w:t>uidelines in 5 CFR 1320.5(d)(2).</w:t>
      </w:r>
    </w:p>
    <w:p w:rsidR="009E3D48" w:rsidRPr="00BB7726" w:rsidP="00BB7726" w14:paraId="54DDD487" w14:textId="77777777">
      <w:pPr>
        <w:widowControl w:val="0"/>
        <w:autoSpaceDE w:val="0"/>
        <w:autoSpaceDN w:val="0"/>
        <w:adjustRightInd w:val="0"/>
        <w:ind w:left="720"/>
        <w:rPr>
          <w:rFonts w:eastAsia="Times New Roman" w:asciiTheme="minorHAnsi" w:hAnsiTheme="minorHAnsi" w:cs="Times New Roman"/>
          <w:sz w:val="22"/>
        </w:rPr>
      </w:pPr>
    </w:p>
    <w:p w:rsidR="009E3D48" w:rsidRPr="00BB7726" w:rsidP="00BB7726" w14:paraId="5D2F2B2A" w14:textId="77777777">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 xml:space="preserve">CONSULTATION WITH INDIVIDUALS OUTSIDE OF THE AGENCY ON AVAILABILITY OF DATA, FREQUENCY OF COLLECTION, CLARITY OF INSTRUCTIONS AND FORMS, AND DATA ELEMENTS </w:t>
      </w:r>
    </w:p>
    <w:p w:rsidR="009E3D48" w:rsidRPr="00BB7726" w:rsidP="00BB7726" w14:paraId="7597C837" w14:textId="77777777">
      <w:pPr>
        <w:widowControl w:val="0"/>
        <w:autoSpaceDE w:val="0"/>
        <w:autoSpaceDN w:val="0"/>
        <w:adjustRightInd w:val="0"/>
        <w:ind w:left="720"/>
        <w:rPr>
          <w:rFonts w:eastAsia="Times New Roman" w:asciiTheme="minorHAnsi" w:hAnsiTheme="minorHAnsi" w:cs="Times New Roman"/>
          <w:sz w:val="22"/>
        </w:rPr>
      </w:pPr>
    </w:p>
    <w:p w:rsidR="009E3D48" w:rsidP="00BB7726" w14:paraId="328BB991" w14:textId="48782877">
      <w:pPr>
        <w:widowControl w:val="0"/>
        <w:autoSpaceDE w:val="0"/>
        <w:autoSpaceDN w:val="0"/>
        <w:adjustRightInd w:val="0"/>
        <w:ind w:left="720"/>
        <w:rPr>
          <w:rFonts w:eastAsia="Times New Roman" w:asciiTheme="minorHAnsi" w:hAnsiTheme="minorHAnsi" w:cs="Times New Roman"/>
          <w:sz w:val="22"/>
        </w:rPr>
      </w:pPr>
      <w:r w:rsidRPr="00F73FCF">
        <w:rPr>
          <w:rFonts w:eastAsia="Times New Roman" w:asciiTheme="minorHAnsi" w:hAnsiTheme="minorHAnsi" w:cs="Times New Roman"/>
          <w:sz w:val="22"/>
        </w:rPr>
        <w:t>The IRS received no comments during the public comment period in response to the Federal Register notice (</w:t>
      </w:r>
      <w:r w:rsidR="0087133D">
        <w:rPr>
          <w:rFonts w:eastAsia="Times New Roman" w:asciiTheme="minorHAnsi" w:hAnsiTheme="minorHAnsi" w:cs="Times New Roman"/>
          <w:sz w:val="22"/>
        </w:rPr>
        <w:t>90</w:t>
      </w:r>
      <w:r w:rsidRPr="00F73FCF">
        <w:rPr>
          <w:rFonts w:eastAsia="Times New Roman" w:asciiTheme="minorHAnsi" w:hAnsiTheme="minorHAnsi" w:cs="Times New Roman"/>
          <w:sz w:val="22"/>
        </w:rPr>
        <w:t xml:space="preserve"> FR </w:t>
      </w:r>
      <w:r w:rsidR="0087133D">
        <w:rPr>
          <w:rFonts w:eastAsia="Times New Roman" w:asciiTheme="minorHAnsi" w:hAnsiTheme="minorHAnsi" w:cs="Times New Roman"/>
          <w:sz w:val="22"/>
        </w:rPr>
        <w:t>46304</w:t>
      </w:r>
      <w:r w:rsidRPr="00F73FCF">
        <w:rPr>
          <w:rFonts w:eastAsia="Times New Roman" w:asciiTheme="minorHAnsi" w:hAnsiTheme="minorHAnsi" w:cs="Times New Roman"/>
          <w:sz w:val="22"/>
        </w:rPr>
        <w:t xml:space="preserve">), dated </w:t>
      </w:r>
      <w:r w:rsidR="0087133D">
        <w:rPr>
          <w:rFonts w:eastAsia="Times New Roman" w:asciiTheme="minorHAnsi" w:hAnsiTheme="minorHAnsi" w:cs="Times New Roman"/>
          <w:sz w:val="22"/>
        </w:rPr>
        <w:t>September 25, 2025</w:t>
      </w:r>
      <w:r w:rsidRPr="00F73FCF">
        <w:rPr>
          <w:rFonts w:eastAsia="Times New Roman" w:asciiTheme="minorHAnsi" w:hAnsiTheme="minorHAnsi" w:cs="Times New Roman"/>
          <w:sz w:val="22"/>
        </w:rPr>
        <w:t>.</w:t>
      </w:r>
    </w:p>
    <w:p w:rsidR="00F73FCF" w:rsidRPr="00BB7726" w:rsidP="00BB7726" w14:paraId="01BC4906" w14:textId="77777777">
      <w:pPr>
        <w:widowControl w:val="0"/>
        <w:autoSpaceDE w:val="0"/>
        <w:autoSpaceDN w:val="0"/>
        <w:adjustRightInd w:val="0"/>
        <w:ind w:left="720"/>
        <w:rPr>
          <w:rFonts w:eastAsia="Times New Roman" w:asciiTheme="minorHAnsi" w:hAnsiTheme="minorHAnsi" w:cs="Times New Roman"/>
          <w:sz w:val="22"/>
        </w:rPr>
      </w:pPr>
    </w:p>
    <w:p w:rsidR="009E3D48" w:rsidRPr="00BB7726" w:rsidP="00BB7726" w14:paraId="355AB31D" w14:textId="77777777">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 xml:space="preserve">EXPLANATION OF DECISION TO PROVIDE ANY PAYMENT OR GIFT TO RESPONDENTS </w:t>
      </w:r>
    </w:p>
    <w:p w:rsidR="009E3D48" w:rsidRPr="00BB7726" w:rsidP="00BB7726" w14:paraId="7396254A" w14:textId="77777777">
      <w:pPr>
        <w:widowControl w:val="0"/>
        <w:autoSpaceDE w:val="0"/>
        <w:autoSpaceDN w:val="0"/>
        <w:adjustRightInd w:val="0"/>
        <w:ind w:left="720"/>
        <w:rPr>
          <w:rFonts w:eastAsia="Times New Roman" w:asciiTheme="minorHAnsi" w:hAnsiTheme="minorHAnsi" w:cs="Times New Roman"/>
          <w:sz w:val="22"/>
        </w:rPr>
      </w:pPr>
    </w:p>
    <w:p w:rsidR="00A24315" w:rsidRPr="00BB7726" w:rsidP="00BB7726" w14:paraId="62218C34" w14:textId="3F42AE38">
      <w:pPr>
        <w:widowControl w:val="0"/>
        <w:autoSpaceDE w:val="0"/>
        <w:autoSpaceDN w:val="0"/>
        <w:adjustRightInd w:val="0"/>
        <w:ind w:left="720"/>
        <w:rPr>
          <w:rFonts w:eastAsia="Times New Roman" w:asciiTheme="minorHAnsi" w:hAnsiTheme="minorHAnsi" w:cs="Times New Roman"/>
          <w:sz w:val="22"/>
        </w:rPr>
      </w:pPr>
      <w:r w:rsidRPr="00BB7726">
        <w:rPr>
          <w:rFonts w:eastAsia="Times New Roman" w:asciiTheme="minorHAnsi" w:hAnsiTheme="minorHAnsi" w:cs="Times New Roman"/>
          <w:sz w:val="22"/>
        </w:rPr>
        <w:t>No payment or gift has been provided to any respondents.</w:t>
      </w:r>
    </w:p>
    <w:p w:rsidR="009E3D48" w:rsidRPr="00BB7726" w:rsidP="00BB7726" w14:paraId="3C0C9EB4" w14:textId="77777777">
      <w:pPr>
        <w:widowControl w:val="0"/>
        <w:autoSpaceDE w:val="0"/>
        <w:autoSpaceDN w:val="0"/>
        <w:adjustRightInd w:val="0"/>
        <w:ind w:left="720"/>
        <w:rPr>
          <w:rFonts w:eastAsia="Times New Roman" w:asciiTheme="minorHAnsi" w:hAnsiTheme="minorHAnsi" w:cs="Times New Roman"/>
          <w:sz w:val="22"/>
        </w:rPr>
      </w:pPr>
    </w:p>
    <w:p w:rsidR="009E3D48" w:rsidRPr="00BB7726" w:rsidP="00BB7726" w14:paraId="4B3123E0" w14:textId="77777777">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 xml:space="preserve">ASSURANCE OF CONFIDENTIALITY OF RESPONSES </w:t>
      </w:r>
    </w:p>
    <w:p w:rsidR="009E3D48" w:rsidRPr="00BB7726" w:rsidP="00BB7726" w14:paraId="373A22F7" w14:textId="77777777">
      <w:pPr>
        <w:widowControl w:val="0"/>
        <w:autoSpaceDE w:val="0"/>
        <w:autoSpaceDN w:val="0"/>
        <w:adjustRightInd w:val="0"/>
        <w:ind w:left="720"/>
        <w:rPr>
          <w:rFonts w:eastAsia="Times New Roman" w:asciiTheme="minorHAnsi" w:hAnsiTheme="minorHAnsi" w:cs="Times New Roman"/>
          <w:sz w:val="22"/>
        </w:rPr>
      </w:pPr>
    </w:p>
    <w:p w:rsidR="007C52FB" w:rsidRPr="00BB7726" w:rsidP="00BB7726" w14:paraId="3BAEA2FD" w14:textId="7C228291">
      <w:pPr>
        <w:widowControl w:val="0"/>
        <w:autoSpaceDE w:val="0"/>
        <w:autoSpaceDN w:val="0"/>
        <w:adjustRightInd w:val="0"/>
        <w:ind w:left="720"/>
        <w:rPr>
          <w:rFonts w:eastAsia="Times New Roman" w:asciiTheme="minorHAnsi" w:hAnsiTheme="minorHAnsi" w:cs="Times New Roman"/>
          <w:sz w:val="22"/>
        </w:rPr>
      </w:pPr>
      <w:r w:rsidRPr="00BB7726">
        <w:rPr>
          <w:rFonts w:eastAsia="Times New Roman" w:asciiTheme="minorHAnsi" w:hAnsiTheme="minorHAnsi" w:cs="Times New Roman"/>
          <w:sz w:val="22"/>
        </w:rPr>
        <w:t>Generally, tax returns and tax return information are confidential as required by 26 U.S.C. 6103.</w:t>
      </w:r>
    </w:p>
    <w:p w:rsidR="00183523" w:rsidRPr="00BB7726" w:rsidP="00BB7726" w14:paraId="35AF912A" w14:textId="77777777">
      <w:pPr>
        <w:widowControl w:val="0"/>
        <w:autoSpaceDE w:val="0"/>
        <w:autoSpaceDN w:val="0"/>
        <w:adjustRightInd w:val="0"/>
        <w:ind w:left="720"/>
        <w:rPr>
          <w:rFonts w:eastAsia="Times New Roman" w:asciiTheme="minorHAnsi" w:hAnsiTheme="minorHAnsi" w:cs="Times New Roman"/>
          <w:sz w:val="22"/>
        </w:rPr>
      </w:pPr>
    </w:p>
    <w:p w:rsidR="009E3D48" w:rsidRPr="00BB7726" w:rsidP="00BB7726" w14:paraId="2B60B626" w14:textId="306D7744">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JUSTIFICATION OF SENSITIVE QUESTIONS</w:t>
      </w:r>
      <w:r w:rsidRPr="00BB7726">
        <w:rPr>
          <w:rFonts w:asciiTheme="minorHAnsi" w:hAnsiTheme="minorHAnsi"/>
          <w:sz w:val="22"/>
          <w:szCs w:val="22"/>
          <w:u w:val="single"/>
        </w:rPr>
        <w:t xml:space="preserve"> </w:t>
      </w:r>
    </w:p>
    <w:p w:rsidR="00430F18" w:rsidRPr="00BB7726" w:rsidP="00BB7726" w14:paraId="7285405F" w14:textId="65E41FBB">
      <w:pPr>
        <w:widowControl w:val="0"/>
        <w:autoSpaceDE w:val="0"/>
        <w:autoSpaceDN w:val="0"/>
        <w:adjustRightInd w:val="0"/>
        <w:ind w:left="720"/>
        <w:rPr>
          <w:rFonts w:eastAsia="Times New Roman" w:asciiTheme="minorHAnsi" w:hAnsiTheme="minorHAnsi" w:cs="Times New Roman"/>
          <w:sz w:val="22"/>
        </w:rPr>
      </w:pPr>
    </w:p>
    <w:p w:rsidR="007C52FB" w:rsidP="00BB7726" w14:paraId="3838AAFE" w14:textId="72675D0B">
      <w:pPr>
        <w:widowControl w:val="0"/>
        <w:autoSpaceDE w:val="0"/>
        <w:autoSpaceDN w:val="0"/>
        <w:adjustRightInd w:val="0"/>
        <w:ind w:left="720"/>
        <w:rPr>
          <w:rFonts w:eastAsia="Times New Roman" w:asciiTheme="minorHAnsi" w:hAnsiTheme="minorHAnsi" w:cs="Times New Roman"/>
          <w:sz w:val="22"/>
        </w:rPr>
      </w:pPr>
      <w:r w:rsidRPr="00982A08">
        <w:rPr>
          <w:rFonts w:eastAsia="Times New Roman" w:asciiTheme="minorHAnsi" w:hAnsiTheme="minorHAnsi" w:cs="Times New Roman"/>
          <w:sz w:val="22"/>
        </w:rPr>
        <w:t xml:space="preserve">There is no </w:t>
      </w:r>
      <w:r w:rsidR="001275F7">
        <w:rPr>
          <w:rFonts w:eastAsia="Times New Roman" w:asciiTheme="minorHAnsi" w:hAnsiTheme="minorHAnsi" w:cs="Times New Roman"/>
          <w:sz w:val="22"/>
        </w:rPr>
        <w:t xml:space="preserve">sensitive </w:t>
      </w:r>
      <w:r w:rsidRPr="00982A08">
        <w:rPr>
          <w:rFonts w:eastAsia="Times New Roman" w:asciiTheme="minorHAnsi" w:hAnsiTheme="minorHAnsi" w:cs="Times New Roman"/>
          <w:sz w:val="22"/>
        </w:rPr>
        <w:t>Personally Identifiable Information (PII) collected</w:t>
      </w:r>
      <w:r w:rsidR="0023364D">
        <w:rPr>
          <w:rFonts w:eastAsia="Times New Roman" w:asciiTheme="minorHAnsi" w:hAnsiTheme="minorHAnsi" w:cs="Times New Roman"/>
          <w:sz w:val="22"/>
        </w:rPr>
        <w:t xml:space="preserve"> by the agency</w:t>
      </w:r>
      <w:r w:rsidRPr="00982A08">
        <w:rPr>
          <w:rFonts w:eastAsia="Times New Roman" w:asciiTheme="minorHAnsi" w:hAnsiTheme="minorHAnsi" w:cs="Times New Roman"/>
          <w:sz w:val="22"/>
        </w:rPr>
        <w:t xml:space="preserve">. </w:t>
      </w:r>
      <w:r w:rsidRPr="005469FB" w:rsidR="005469FB">
        <w:rPr>
          <w:rFonts w:eastAsia="Times New Roman" w:asciiTheme="minorHAnsi" w:hAnsiTheme="minorHAnsi" w:cs="Times New Roman"/>
          <w:sz w:val="22"/>
        </w:rPr>
        <w:t>Information is being shared by the parties involved in the transfer of residual interest in a REMIC and only provided to the IRS during an inquiry or audit.</w:t>
      </w:r>
    </w:p>
    <w:p w:rsidR="0086699E" w:rsidRPr="00BB7726" w:rsidP="00BB7726" w14:paraId="11B15DF8" w14:textId="77777777">
      <w:pPr>
        <w:widowControl w:val="0"/>
        <w:autoSpaceDE w:val="0"/>
        <w:autoSpaceDN w:val="0"/>
        <w:adjustRightInd w:val="0"/>
        <w:ind w:left="720"/>
        <w:rPr>
          <w:rFonts w:eastAsia="Times New Roman" w:asciiTheme="minorHAnsi" w:hAnsiTheme="minorHAnsi" w:cs="Times New Roman"/>
          <w:sz w:val="22"/>
        </w:rPr>
      </w:pPr>
    </w:p>
    <w:p w:rsidR="00B860C5" w:rsidRPr="00BB7726" w:rsidP="00BB7726" w14:paraId="15C93539" w14:textId="77777777">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ESTIMATED BURDEN</w:t>
      </w:r>
      <w:r w:rsidRPr="00BB7726" w:rsidR="009E3D48">
        <w:rPr>
          <w:rFonts w:asciiTheme="minorHAnsi" w:hAnsiTheme="minorHAnsi"/>
          <w:sz w:val="22"/>
          <w:szCs w:val="22"/>
          <w:u w:val="single"/>
        </w:rPr>
        <w:t xml:space="preserve"> OF INFORMATION COLLECTION </w:t>
      </w:r>
    </w:p>
    <w:p w:rsidR="00F86E0A" w:rsidRPr="00BB7726" w:rsidP="00BB7726" w14:paraId="630B7E95" w14:textId="77777777">
      <w:pPr>
        <w:widowControl w:val="0"/>
        <w:autoSpaceDE w:val="0"/>
        <w:autoSpaceDN w:val="0"/>
        <w:adjustRightInd w:val="0"/>
        <w:ind w:left="720"/>
        <w:rPr>
          <w:rFonts w:eastAsia="Times New Roman" w:asciiTheme="minorHAnsi" w:hAnsiTheme="minorHAnsi" w:cs="Times New Roman"/>
          <w:sz w:val="22"/>
        </w:rPr>
      </w:pPr>
    </w:p>
    <w:p w:rsidR="00430F18" w:rsidRPr="00BB7726" w:rsidP="00BB7726" w14:paraId="67A3D0CE" w14:textId="1DC5096A">
      <w:pPr>
        <w:widowControl w:val="0"/>
        <w:autoSpaceDE w:val="0"/>
        <w:autoSpaceDN w:val="0"/>
        <w:adjustRightInd w:val="0"/>
        <w:ind w:left="720"/>
        <w:rPr>
          <w:rFonts w:eastAsia="Times New Roman" w:asciiTheme="minorHAnsi" w:hAnsiTheme="minorHAnsi" w:cs="Times New Roman"/>
          <w:sz w:val="22"/>
        </w:rPr>
      </w:pPr>
      <w:r w:rsidRPr="00BB7726">
        <w:rPr>
          <w:rFonts w:eastAsia="Times New Roman" w:asciiTheme="minorHAnsi" w:hAnsiTheme="minorHAnsi" w:cs="Times New Roman"/>
          <w:sz w:val="22"/>
        </w:rPr>
        <w:t xml:space="preserve">Section 1.860E-2(a)(5) requires the REMIC to furnish, on request of the party responsible for the tax, information sufficient to compute the present value of the anticipated excess inclusions. </w:t>
      </w:r>
    </w:p>
    <w:p w:rsidR="00430F18" w:rsidRPr="00BB7726" w:rsidP="00BB7726" w14:paraId="79FC6A32" w14:textId="02696875">
      <w:pPr>
        <w:widowControl w:val="0"/>
        <w:autoSpaceDE w:val="0"/>
        <w:autoSpaceDN w:val="0"/>
        <w:adjustRightInd w:val="0"/>
        <w:ind w:left="720"/>
        <w:rPr>
          <w:rFonts w:eastAsia="Times New Roman" w:asciiTheme="minorHAnsi" w:hAnsiTheme="minorHAnsi" w:cs="Times New Roman"/>
          <w:sz w:val="22"/>
        </w:rPr>
      </w:pPr>
      <w:r w:rsidRPr="00BB7726">
        <w:rPr>
          <w:rFonts w:eastAsia="Times New Roman" w:asciiTheme="minorHAnsi" w:hAnsiTheme="minorHAnsi" w:cs="Times New Roman"/>
          <w:sz w:val="22"/>
        </w:rPr>
        <w:t xml:space="preserve">It is estimated that 100 respondents will spend 1.5 hours each to prepare and furnish the information. The </w:t>
      </w:r>
      <w:r w:rsidR="009775C1">
        <w:rPr>
          <w:rFonts w:eastAsia="Times New Roman" w:asciiTheme="minorHAnsi" w:hAnsiTheme="minorHAnsi" w:cs="Times New Roman"/>
          <w:sz w:val="22"/>
        </w:rPr>
        <w:t>third-party disclosure</w:t>
      </w:r>
      <w:r w:rsidRPr="00BB7726" w:rsidR="009775C1">
        <w:rPr>
          <w:rFonts w:eastAsia="Times New Roman" w:asciiTheme="minorHAnsi" w:hAnsiTheme="minorHAnsi" w:cs="Times New Roman"/>
          <w:sz w:val="22"/>
        </w:rPr>
        <w:t xml:space="preserve"> </w:t>
      </w:r>
      <w:r w:rsidRPr="00BB7726">
        <w:rPr>
          <w:rFonts w:eastAsia="Times New Roman" w:asciiTheme="minorHAnsi" w:hAnsiTheme="minorHAnsi" w:cs="Times New Roman"/>
          <w:sz w:val="22"/>
        </w:rPr>
        <w:t>burden for this requirement is 150 hours.</w:t>
      </w:r>
    </w:p>
    <w:p w:rsidR="00430F18" w:rsidRPr="00BB7726" w:rsidP="00BB7726" w14:paraId="6382EBC2" w14:textId="77777777">
      <w:pPr>
        <w:widowControl w:val="0"/>
        <w:autoSpaceDE w:val="0"/>
        <w:autoSpaceDN w:val="0"/>
        <w:adjustRightInd w:val="0"/>
        <w:ind w:left="720"/>
        <w:rPr>
          <w:rFonts w:eastAsia="Times New Roman" w:asciiTheme="minorHAnsi" w:hAnsiTheme="minorHAnsi" w:cs="Times New Roman"/>
          <w:sz w:val="22"/>
        </w:rPr>
      </w:pPr>
    </w:p>
    <w:p w:rsidR="00641BA3" w:rsidRPr="00BB7726" w:rsidP="00BB7726" w14:paraId="739ECCA6" w14:textId="7893F41F">
      <w:pPr>
        <w:widowControl w:val="0"/>
        <w:autoSpaceDE w:val="0"/>
        <w:autoSpaceDN w:val="0"/>
        <w:adjustRightInd w:val="0"/>
        <w:ind w:left="720"/>
        <w:rPr>
          <w:rFonts w:eastAsia="Times New Roman" w:asciiTheme="minorHAnsi" w:hAnsiTheme="minorHAnsi" w:cs="Times New Roman"/>
          <w:sz w:val="22"/>
        </w:rPr>
      </w:pPr>
      <w:r w:rsidRPr="00BB7726">
        <w:rPr>
          <w:rFonts w:eastAsia="Times New Roman" w:asciiTheme="minorHAnsi" w:hAnsiTheme="minorHAnsi" w:cs="Times New Roman"/>
          <w:sz w:val="22"/>
        </w:rPr>
        <w:t xml:space="preserve">Sections 1.860E-2(a)(7) and 1.860E-2(b)(2) provide that the tax will not be imposed if the record holder furnishes to the pass-thru or transferor an affidavit stating that the record holder </w:t>
      </w:r>
      <w:r w:rsidR="00B85BFF">
        <w:rPr>
          <w:rFonts w:eastAsia="Times New Roman" w:asciiTheme="minorHAnsi" w:hAnsiTheme="minorHAnsi" w:cs="Times New Roman"/>
          <w:sz w:val="22"/>
        </w:rPr>
        <w:t xml:space="preserve">or transferee </w:t>
      </w:r>
      <w:r w:rsidRPr="00BB7726">
        <w:rPr>
          <w:rFonts w:eastAsia="Times New Roman" w:asciiTheme="minorHAnsi" w:hAnsiTheme="minorHAnsi" w:cs="Times New Roman"/>
          <w:sz w:val="22"/>
        </w:rPr>
        <w:t xml:space="preserve">is not a disqualified party. It is estimated that 1,500 respondents will spend .25 hours each to prepare and furnish the information. The third-party </w:t>
      </w:r>
      <w:r w:rsidRPr="00BB7726">
        <w:rPr>
          <w:rFonts w:eastAsia="Times New Roman" w:asciiTheme="minorHAnsi" w:hAnsiTheme="minorHAnsi" w:cs="Times New Roman"/>
          <w:sz w:val="22"/>
        </w:rPr>
        <w:t>disclosure burden for this requirement is 375 hours.</w:t>
      </w:r>
    </w:p>
    <w:p w:rsidR="00430F18" w:rsidP="00BB7726" w14:paraId="701FD907" w14:textId="2F436BB6">
      <w:pPr>
        <w:widowControl w:val="0"/>
        <w:autoSpaceDE w:val="0"/>
        <w:autoSpaceDN w:val="0"/>
        <w:adjustRightInd w:val="0"/>
        <w:ind w:left="720"/>
        <w:rPr>
          <w:rFonts w:eastAsia="Times New Roman" w:asciiTheme="minorHAnsi" w:hAnsiTheme="minorHAnsi" w:cs="Times New Roman"/>
          <w:sz w:val="22"/>
        </w:rPr>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5"/>
        <w:gridCol w:w="2250"/>
        <w:gridCol w:w="1170"/>
        <w:gridCol w:w="1157"/>
        <w:gridCol w:w="1004"/>
        <w:gridCol w:w="990"/>
        <w:gridCol w:w="921"/>
      </w:tblGrid>
      <w:tr w14:paraId="5D1CE2DF" w14:textId="77777777" w:rsidTr="00733721">
        <w:tblPrEx>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345" w:type="dxa"/>
            <w:shd w:val="clear" w:color="auto" w:fill="auto"/>
            <w:vAlign w:val="center"/>
          </w:tcPr>
          <w:p w:rsidR="00733721" w:rsidRPr="00124949" w:rsidP="002102AC" w14:paraId="752F62E5" w14:textId="77777777">
            <w:pPr>
              <w:keepNext/>
              <w:keepLines/>
              <w:numPr>
                <w:ilvl w:val="12"/>
                <w:numId w:val="0"/>
              </w:numPr>
              <w:jc w:val="center"/>
              <w:rPr>
                <w:rFonts w:ascii="Arial Narrow" w:hAnsi="Arial Narrow"/>
                <w:b/>
                <w:sz w:val="18"/>
                <w:szCs w:val="18"/>
              </w:rPr>
            </w:pPr>
            <w:bookmarkStart w:id="1" w:name="_Hlk103748992"/>
            <w:r w:rsidRPr="00124949">
              <w:rPr>
                <w:rFonts w:ascii="Arial Narrow" w:hAnsi="Arial Narrow"/>
                <w:b/>
                <w:sz w:val="18"/>
                <w:szCs w:val="18"/>
              </w:rPr>
              <w:t>Authority</w:t>
            </w:r>
          </w:p>
        </w:tc>
        <w:tc>
          <w:tcPr>
            <w:tcW w:w="2250" w:type="dxa"/>
            <w:vAlign w:val="center"/>
          </w:tcPr>
          <w:p w:rsidR="00733721" w:rsidRPr="00124949" w:rsidP="002102AC" w14:paraId="35F1EF37"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Description</w:t>
            </w:r>
          </w:p>
        </w:tc>
        <w:tc>
          <w:tcPr>
            <w:tcW w:w="1170" w:type="dxa"/>
            <w:vAlign w:val="center"/>
          </w:tcPr>
          <w:p w:rsidR="00733721" w:rsidRPr="00124949" w:rsidP="002102AC" w14:paraId="1D72ECEB"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of Respondents</w:t>
            </w:r>
          </w:p>
        </w:tc>
        <w:tc>
          <w:tcPr>
            <w:tcW w:w="1157" w:type="dxa"/>
            <w:vAlign w:val="center"/>
          </w:tcPr>
          <w:p w:rsidR="00733721" w:rsidRPr="00124949" w:rsidP="002102AC" w14:paraId="5CF7C857"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Responses per Respondent</w:t>
            </w:r>
          </w:p>
        </w:tc>
        <w:tc>
          <w:tcPr>
            <w:tcW w:w="1004" w:type="dxa"/>
            <w:shd w:val="clear" w:color="auto" w:fill="auto"/>
            <w:vAlign w:val="center"/>
          </w:tcPr>
          <w:p w:rsidR="00733721" w:rsidRPr="00124949" w:rsidP="002102AC" w14:paraId="28CD8AB2"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Annual Responses</w:t>
            </w:r>
          </w:p>
        </w:tc>
        <w:tc>
          <w:tcPr>
            <w:tcW w:w="990" w:type="dxa"/>
            <w:vAlign w:val="center"/>
          </w:tcPr>
          <w:p w:rsidR="00733721" w:rsidRPr="00124949" w:rsidP="002102AC" w14:paraId="704EA760"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Hours per Response</w:t>
            </w:r>
          </w:p>
        </w:tc>
        <w:tc>
          <w:tcPr>
            <w:tcW w:w="921" w:type="dxa"/>
            <w:shd w:val="clear" w:color="auto" w:fill="auto"/>
            <w:vAlign w:val="center"/>
          </w:tcPr>
          <w:p w:rsidR="00733721" w:rsidRPr="00124949" w:rsidP="002102AC" w14:paraId="1478107A"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Total Burden Hours</w:t>
            </w:r>
          </w:p>
        </w:tc>
      </w:tr>
      <w:tr w14:paraId="26CB8974" w14:textId="77777777" w:rsidTr="00733721">
        <w:tblPrEx>
          <w:tblW w:w="8837" w:type="dxa"/>
          <w:jc w:val="center"/>
          <w:tblLook w:val="04A0"/>
        </w:tblPrEx>
        <w:trPr>
          <w:jc w:val="center"/>
        </w:trPr>
        <w:tc>
          <w:tcPr>
            <w:tcW w:w="1345" w:type="dxa"/>
            <w:shd w:val="clear" w:color="auto" w:fill="auto"/>
            <w:vAlign w:val="center"/>
          </w:tcPr>
          <w:p w:rsidR="00733721" w:rsidRPr="00EB35C8" w:rsidP="002102AC" w14:paraId="38387AF3" w14:textId="20D914EA">
            <w:pPr>
              <w:keepNext/>
              <w:keepLines/>
              <w:numPr>
                <w:ilvl w:val="12"/>
                <w:numId w:val="0"/>
              </w:numPr>
              <w:jc w:val="center"/>
              <w:rPr>
                <w:rFonts w:ascii="Arial Narrow" w:hAnsi="Arial Narrow"/>
                <w:sz w:val="18"/>
                <w:szCs w:val="18"/>
              </w:rPr>
            </w:pPr>
            <w:r>
              <w:rPr>
                <w:rFonts w:ascii="Arial Narrow" w:hAnsi="Arial Narrow"/>
                <w:sz w:val="18"/>
                <w:szCs w:val="18"/>
              </w:rPr>
              <w:t xml:space="preserve">IRC </w:t>
            </w:r>
            <w:r w:rsidR="008A32AA">
              <w:rPr>
                <w:rFonts w:ascii="Arial Narrow" w:hAnsi="Arial Narrow"/>
                <w:sz w:val="18"/>
                <w:szCs w:val="18"/>
              </w:rPr>
              <w:t>§ 860E</w:t>
            </w:r>
          </w:p>
        </w:tc>
        <w:tc>
          <w:tcPr>
            <w:tcW w:w="2250" w:type="dxa"/>
            <w:vAlign w:val="center"/>
          </w:tcPr>
          <w:p w:rsidR="00733721" w:rsidRPr="00EB35C8" w:rsidP="002102AC" w14:paraId="69D1925E" w14:textId="7E4E1994">
            <w:pPr>
              <w:keepNext/>
              <w:keepLines/>
              <w:numPr>
                <w:ilvl w:val="12"/>
                <w:numId w:val="0"/>
              </w:numPr>
              <w:jc w:val="center"/>
              <w:rPr>
                <w:rFonts w:ascii="Arial Narrow" w:hAnsi="Arial Narrow"/>
                <w:sz w:val="18"/>
                <w:szCs w:val="18"/>
              </w:rPr>
            </w:pPr>
            <w:r w:rsidRPr="00EB35C8">
              <w:rPr>
                <w:rFonts w:ascii="Arial Narrow" w:hAnsi="Arial Narrow"/>
                <w:sz w:val="18"/>
                <w:szCs w:val="18"/>
              </w:rPr>
              <w:t xml:space="preserve">Information sufficient to compute the present value of the </w:t>
            </w:r>
            <w:r w:rsidRPr="00EB35C8">
              <w:rPr>
                <w:rFonts w:ascii="Arial Narrow" w:hAnsi="Arial Narrow"/>
                <w:sz w:val="18"/>
                <w:szCs w:val="18"/>
              </w:rPr>
              <w:t>anticipated excess inclusions</w:t>
            </w:r>
          </w:p>
        </w:tc>
        <w:tc>
          <w:tcPr>
            <w:tcW w:w="1170" w:type="dxa"/>
            <w:vAlign w:val="center"/>
          </w:tcPr>
          <w:p w:rsidR="00733721" w:rsidRPr="00EB35C8" w:rsidP="002102AC" w14:paraId="27E9150A" w14:textId="573EDF40">
            <w:pPr>
              <w:keepNext/>
              <w:keepLines/>
              <w:numPr>
                <w:ilvl w:val="12"/>
                <w:numId w:val="0"/>
              </w:numPr>
              <w:jc w:val="center"/>
              <w:rPr>
                <w:rFonts w:ascii="Arial Narrow" w:hAnsi="Arial Narrow"/>
                <w:sz w:val="18"/>
                <w:szCs w:val="18"/>
              </w:rPr>
            </w:pPr>
            <w:r w:rsidRPr="00EB35C8">
              <w:rPr>
                <w:rFonts w:ascii="Arial Narrow" w:hAnsi="Arial Narrow"/>
                <w:sz w:val="18"/>
                <w:szCs w:val="18"/>
              </w:rPr>
              <w:t>100</w:t>
            </w:r>
          </w:p>
        </w:tc>
        <w:tc>
          <w:tcPr>
            <w:tcW w:w="1157" w:type="dxa"/>
            <w:vAlign w:val="center"/>
          </w:tcPr>
          <w:p w:rsidR="00733721" w:rsidRPr="00EB35C8" w:rsidP="002102AC" w14:paraId="33D8E1E5" w14:textId="3D1AB4D4">
            <w:pPr>
              <w:keepNext/>
              <w:keepLines/>
              <w:numPr>
                <w:ilvl w:val="12"/>
                <w:numId w:val="0"/>
              </w:numPr>
              <w:jc w:val="center"/>
              <w:rPr>
                <w:rFonts w:ascii="Arial Narrow" w:hAnsi="Arial Narrow"/>
                <w:sz w:val="18"/>
                <w:szCs w:val="18"/>
              </w:rPr>
            </w:pPr>
            <w:r w:rsidRPr="00EB35C8">
              <w:rPr>
                <w:rFonts w:ascii="Arial Narrow" w:hAnsi="Arial Narrow"/>
                <w:sz w:val="18"/>
                <w:szCs w:val="18"/>
              </w:rPr>
              <w:t>1</w:t>
            </w:r>
          </w:p>
        </w:tc>
        <w:tc>
          <w:tcPr>
            <w:tcW w:w="1004" w:type="dxa"/>
            <w:shd w:val="clear" w:color="auto" w:fill="auto"/>
            <w:vAlign w:val="center"/>
          </w:tcPr>
          <w:p w:rsidR="00733721" w:rsidRPr="00EB35C8" w:rsidP="002102AC" w14:paraId="225EF00D" w14:textId="34D4EC67">
            <w:pPr>
              <w:keepNext/>
              <w:keepLines/>
              <w:numPr>
                <w:ilvl w:val="12"/>
                <w:numId w:val="0"/>
              </w:numPr>
              <w:jc w:val="center"/>
              <w:rPr>
                <w:rFonts w:ascii="Arial Narrow" w:hAnsi="Arial Narrow"/>
                <w:sz w:val="18"/>
                <w:szCs w:val="18"/>
              </w:rPr>
            </w:pPr>
            <w:r w:rsidRPr="00EB35C8">
              <w:rPr>
                <w:rFonts w:ascii="Arial Narrow" w:hAnsi="Arial Narrow"/>
                <w:sz w:val="18"/>
                <w:szCs w:val="18"/>
              </w:rPr>
              <w:t>100</w:t>
            </w:r>
          </w:p>
        </w:tc>
        <w:tc>
          <w:tcPr>
            <w:tcW w:w="990" w:type="dxa"/>
            <w:vAlign w:val="center"/>
          </w:tcPr>
          <w:p w:rsidR="00733721" w:rsidRPr="00EB35C8" w:rsidP="002102AC" w14:paraId="2F2BDEBE" w14:textId="204A55EF">
            <w:pPr>
              <w:keepNext/>
              <w:keepLines/>
              <w:numPr>
                <w:ilvl w:val="12"/>
                <w:numId w:val="0"/>
              </w:numPr>
              <w:jc w:val="center"/>
              <w:rPr>
                <w:rFonts w:ascii="Arial Narrow" w:hAnsi="Arial Narrow"/>
                <w:sz w:val="18"/>
                <w:szCs w:val="18"/>
              </w:rPr>
            </w:pPr>
            <w:r w:rsidRPr="00EB35C8">
              <w:rPr>
                <w:rFonts w:ascii="Arial Narrow" w:hAnsi="Arial Narrow"/>
                <w:sz w:val="18"/>
                <w:szCs w:val="18"/>
              </w:rPr>
              <w:t>1.5</w:t>
            </w:r>
          </w:p>
        </w:tc>
        <w:tc>
          <w:tcPr>
            <w:tcW w:w="921" w:type="dxa"/>
            <w:shd w:val="clear" w:color="auto" w:fill="auto"/>
            <w:vAlign w:val="center"/>
          </w:tcPr>
          <w:p w:rsidR="00733721" w:rsidRPr="00EB35C8" w:rsidP="002102AC" w14:paraId="410CE575" w14:textId="69131E0C">
            <w:pPr>
              <w:keepNext/>
              <w:keepLines/>
              <w:numPr>
                <w:ilvl w:val="12"/>
                <w:numId w:val="0"/>
              </w:numPr>
              <w:jc w:val="center"/>
              <w:rPr>
                <w:rFonts w:ascii="Arial Narrow" w:hAnsi="Arial Narrow"/>
                <w:sz w:val="18"/>
                <w:szCs w:val="18"/>
              </w:rPr>
            </w:pPr>
            <w:r w:rsidRPr="00EB35C8">
              <w:rPr>
                <w:rFonts w:ascii="Arial Narrow" w:hAnsi="Arial Narrow"/>
                <w:sz w:val="18"/>
                <w:szCs w:val="18"/>
              </w:rPr>
              <w:t>150</w:t>
            </w:r>
          </w:p>
        </w:tc>
      </w:tr>
      <w:tr w14:paraId="6F056650" w14:textId="77777777" w:rsidTr="00733721">
        <w:tblPrEx>
          <w:tblW w:w="8837" w:type="dxa"/>
          <w:jc w:val="center"/>
          <w:tblLook w:val="04A0"/>
        </w:tblPrEx>
        <w:trPr>
          <w:jc w:val="center"/>
        </w:trPr>
        <w:tc>
          <w:tcPr>
            <w:tcW w:w="1345" w:type="dxa"/>
            <w:shd w:val="clear" w:color="auto" w:fill="auto"/>
            <w:vAlign w:val="center"/>
          </w:tcPr>
          <w:p w:rsidR="00733721" w:rsidRPr="00EB35C8" w:rsidP="002102AC" w14:paraId="5211416B" w14:textId="430428A1">
            <w:pPr>
              <w:keepNext/>
              <w:keepLines/>
              <w:numPr>
                <w:ilvl w:val="12"/>
                <w:numId w:val="0"/>
              </w:numPr>
              <w:jc w:val="center"/>
              <w:rPr>
                <w:rFonts w:ascii="Arial Narrow" w:hAnsi="Arial Narrow"/>
                <w:sz w:val="18"/>
                <w:szCs w:val="18"/>
              </w:rPr>
            </w:pPr>
            <w:r>
              <w:rPr>
                <w:rFonts w:ascii="Arial Narrow" w:hAnsi="Arial Narrow"/>
                <w:sz w:val="18"/>
                <w:szCs w:val="18"/>
              </w:rPr>
              <w:t>IRC § 860E</w:t>
            </w:r>
          </w:p>
        </w:tc>
        <w:tc>
          <w:tcPr>
            <w:tcW w:w="2250" w:type="dxa"/>
            <w:vAlign w:val="center"/>
          </w:tcPr>
          <w:p w:rsidR="00733721" w:rsidRPr="00EB35C8" w:rsidP="002102AC" w14:paraId="7B0776F1" w14:textId="5360DA2E">
            <w:pPr>
              <w:keepNext/>
              <w:keepLines/>
              <w:numPr>
                <w:ilvl w:val="12"/>
                <w:numId w:val="0"/>
              </w:numPr>
              <w:jc w:val="center"/>
              <w:rPr>
                <w:rFonts w:ascii="Arial Narrow" w:hAnsi="Arial Narrow"/>
                <w:sz w:val="18"/>
                <w:szCs w:val="18"/>
              </w:rPr>
            </w:pPr>
            <w:r w:rsidRPr="00EB35C8">
              <w:rPr>
                <w:rFonts w:ascii="Arial Narrow" w:hAnsi="Arial Narrow"/>
                <w:sz w:val="18"/>
                <w:szCs w:val="18"/>
              </w:rPr>
              <w:t>Affidavit stating that the record holder is not a disqualified party</w:t>
            </w:r>
          </w:p>
        </w:tc>
        <w:tc>
          <w:tcPr>
            <w:tcW w:w="1170" w:type="dxa"/>
            <w:vAlign w:val="center"/>
          </w:tcPr>
          <w:p w:rsidR="00733721" w:rsidRPr="00EB35C8" w:rsidP="002102AC" w14:paraId="686AE9EB" w14:textId="4142C3E8">
            <w:pPr>
              <w:keepNext/>
              <w:keepLines/>
              <w:numPr>
                <w:ilvl w:val="12"/>
                <w:numId w:val="0"/>
              </w:numPr>
              <w:jc w:val="center"/>
              <w:rPr>
                <w:rFonts w:ascii="Arial Narrow" w:hAnsi="Arial Narrow"/>
                <w:sz w:val="18"/>
                <w:szCs w:val="18"/>
              </w:rPr>
            </w:pPr>
            <w:r w:rsidRPr="00EB35C8">
              <w:rPr>
                <w:rFonts w:ascii="Arial Narrow" w:hAnsi="Arial Narrow"/>
                <w:sz w:val="18"/>
                <w:szCs w:val="18"/>
              </w:rPr>
              <w:t>1,500</w:t>
            </w:r>
          </w:p>
        </w:tc>
        <w:tc>
          <w:tcPr>
            <w:tcW w:w="1157" w:type="dxa"/>
            <w:vAlign w:val="center"/>
          </w:tcPr>
          <w:p w:rsidR="00733721" w:rsidRPr="00EB35C8" w:rsidP="002102AC" w14:paraId="689CCBA3" w14:textId="449800D5">
            <w:pPr>
              <w:keepNext/>
              <w:keepLines/>
              <w:numPr>
                <w:ilvl w:val="12"/>
                <w:numId w:val="0"/>
              </w:numPr>
              <w:jc w:val="center"/>
              <w:rPr>
                <w:rFonts w:ascii="Arial Narrow" w:hAnsi="Arial Narrow"/>
                <w:sz w:val="18"/>
                <w:szCs w:val="18"/>
              </w:rPr>
            </w:pPr>
            <w:r w:rsidRPr="00EB35C8">
              <w:rPr>
                <w:rFonts w:ascii="Arial Narrow" w:hAnsi="Arial Narrow"/>
                <w:sz w:val="18"/>
                <w:szCs w:val="18"/>
              </w:rPr>
              <w:t>1</w:t>
            </w:r>
          </w:p>
        </w:tc>
        <w:tc>
          <w:tcPr>
            <w:tcW w:w="1004" w:type="dxa"/>
            <w:shd w:val="clear" w:color="auto" w:fill="auto"/>
            <w:vAlign w:val="center"/>
          </w:tcPr>
          <w:p w:rsidR="00733721" w:rsidRPr="00EB35C8" w:rsidP="002102AC" w14:paraId="623D224D" w14:textId="45641B9D">
            <w:pPr>
              <w:keepNext/>
              <w:keepLines/>
              <w:numPr>
                <w:ilvl w:val="12"/>
                <w:numId w:val="0"/>
              </w:numPr>
              <w:jc w:val="center"/>
              <w:rPr>
                <w:rFonts w:ascii="Arial Narrow" w:hAnsi="Arial Narrow"/>
                <w:sz w:val="18"/>
                <w:szCs w:val="18"/>
              </w:rPr>
            </w:pPr>
            <w:r w:rsidRPr="00EB35C8">
              <w:rPr>
                <w:rFonts w:ascii="Arial Narrow" w:hAnsi="Arial Narrow"/>
                <w:sz w:val="18"/>
                <w:szCs w:val="18"/>
              </w:rPr>
              <w:t>1,500</w:t>
            </w:r>
          </w:p>
        </w:tc>
        <w:tc>
          <w:tcPr>
            <w:tcW w:w="990" w:type="dxa"/>
            <w:vAlign w:val="center"/>
          </w:tcPr>
          <w:p w:rsidR="00733721" w:rsidRPr="00EB35C8" w:rsidP="002102AC" w14:paraId="5E59C800" w14:textId="7F0109FC">
            <w:pPr>
              <w:keepNext/>
              <w:keepLines/>
              <w:numPr>
                <w:ilvl w:val="12"/>
                <w:numId w:val="0"/>
              </w:numPr>
              <w:jc w:val="center"/>
              <w:rPr>
                <w:rFonts w:ascii="Arial Narrow" w:hAnsi="Arial Narrow"/>
                <w:sz w:val="18"/>
                <w:szCs w:val="18"/>
              </w:rPr>
            </w:pPr>
            <w:r w:rsidRPr="00EB35C8">
              <w:rPr>
                <w:rFonts w:ascii="Arial Narrow" w:hAnsi="Arial Narrow"/>
                <w:sz w:val="18"/>
                <w:szCs w:val="18"/>
              </w:rPr>
              <w:t>.25</w:t>
            </w:r>
          </w:p>
        </w:tc>
        <w:tc>
          <w:tcPr>
            <w:tcW w:w="921" w:type="dxa"/>
            <w:shd w:val="clear" w:color="auto" w:fill="auto"/>
            <w:vAlign w:val="center"/>
          </w:tcPr>
          <w:p w:rsidR="00733721" w:rsidRPr="00EB35C8" w:rsidP="002102AC" w14:paraId="355A94A6" w14:textId="1D00D5C8">
            <w:pPr>
              <w:keepNext/>
              <w:keepLines/>
              <w:numPr>
                <w:ilvl w:val="12"/>
                <w:numId w:val="0"/>
              </w:numPr>
              <w:jc w:val="center"/>
              <w:rPr>
                <w:rFonts w:ascii="Arial Narrow" w:hAnsi="Arial Narrow"/>
                <w:sz w:val="18"/>
                <w:szCs w:val="18"/>
              </w:rPr>
            </w:pPr>
            <w:r w:rsidRPr="00EB35C8">
              <w:rPr>
                <w:rFonts w:ascii="Arial Narrow" w:hAnsi="Arial Narrow"/>
                <w:sz w:val="18"/>
                <w:szCs w:val="18"/>
              </w:rPr>
              <w:t>375</w:t>
            </w:r>
          </w:p>
        </w:tc>
      </w:tr>
      <w:tr w14:paraId="0952FF7B" w14:textId="77777777" w:rsidTr="00733721">
        <w:tblPrEx>
          <w:tblW w:w="8837" w:type="dxa"/>
          <w:jc w:val="center"/>
          <w:tblLook w:val="04A0"/>
        </w:tblPrEx>
        <w:trPr>
          <w:jc w:val="center"/>
        </w:trPr>
        <w:tc>
          <w:tcPr>
            <w:tcW w:w="1345" w:type="dxa"/>
            <w:shd w:val="clear" w:color="auto" w:fill="auto"/>
            <w:vAlign w:val="center"/>
          </w:tcPr>
          <w:p w:rsidR="00733721" w:rsidRPr="00EB35C8" w:rsidP="002102AC" w14:paraId="6964F9B6" w14:textId="77777777">
            <w:pPr>
              <w:keepNext/>
              <w:keepLines/>
              <w:numPr>
                <w:ilvl w:val="12"/>
                <w:numId w:val="0"/>
              </w:numPr>
              <w:jc w:val="center"/>
              <w:rPr>
                <w:rFonts w:ascii="Arial Narrow" w:hAnsi="Arial Narrow"/>
                <w:b/>
                <w:bCs/>
                <w:sz w:val="18"/>
                <w:szCs w:val="18"/>
              </w:rPr>
            </w:pPr>
            <w:r w:rsidRPr="00EB35C8">
              <w:rPr>
                <w:rFonts w:ascii="Arial Narrow" w:hAnsi="Arial Narrow"/>
                <w:b/>
                <w:bCs/>
                <w:sz w:val="18"/>
                <w:szCs w:val="18"/>
              </w:rPr>
              <w:t>Totals</w:t>
            </w:r>
          </w:p>
        </w:tc>
        <w:tc>
          <w:tcPr>
            <w:tcW w:w="2250" w:type="dxa"/>
            <w:vAlign w:val="center"/>
          </w:tcPr>
          <w:p w:rsidR="00733721" w:rsidRPr="00EB35C8" w:rsidP="002102AC" w14:paraId="61CC9B66" w14:textId="77777777">
            <w:pPr>
              <w:keepNext/>
              <w:keepLines/>
              <w:numPr>
                <w:ilvl w:val="12"/>
                <w:numId w:val="0"/>
              </w:numPr>
              <w:jc w:val="center"/>
              <w:rPr>
                <w:rFonts w:ascii="Arial Narrow" w:hAnsi="Arial Narrow"/>
                <w:b/>
                <w:bCs/>
                <w:sz w:val="18"/>
                <w:szCs w:val="18"/>
              </w:rPr>
            </w:pPr>
          </w:p>
        </w:tc>
        <w:tc>
          <w:tcPr>
            <w:tcW w:w="1170" w:type="dxa"/>
            <w:vAlign w:val="center"/>
          </w:tcPr>
          <w:p w:rsidR="00733721" w:rsidRPr="00EB35C8" w:rsidP="002102AC" w14:paraId="0172818F" w14:textId="501B29AD">
            <w:pPr>
              <w:keepNext/>
              <w:keepLines/>
              <w:numPr>
                <w:ilvl w:val="12"/>
                <w:numId w:val="0"/>
              </w:numPr>
              <w:jc w:val="center"/>
              <w:rPr>
                <w:rFonts w:ascii="Arial Narrow" w:hAnsi="Arial Narrow"/>
                <w:b/>
                <w:bCs/>
                <w:sz w:val="18"/>
                <w:szCs w:val="18"/>
              </w:rPr>
            </w:pPr>
            <w:r w:rsidRPr="00EB35C8">
              <w:rPr>
                <w:rFonts w:ascii="Arial Narrow" w:hAnsi="Arial Narrow"/>
                <w:b/>
                <w:bCs/>
                <w:sz w:val="18"/>
                <w:szCs w:val="18"/>
              </w:rPr>
              <w:t>1,600</w:t>
            </w:r>
          </w:p>
        </w:tc>
        <w:tc>
          <w:tcPr>
            <w:tcW w:w="1157" w:type="dxa"/>
            <w:vAlign w:val="center"/>
          </w:tcPr>
          <w:p w:rsidR="00733721" w:rsidRPr="00EB35C8" w:rsidP="002102AC" w14:paraId="20E0F4D6" w14:textId="77777777">
            <w:pPr>
              <w:keepNext/>
              <w:keepLines/>
              <w:numPr>
                <w:ilvl w:val="12"/>
                <w:numId w:val="0"/>
              </w:numPr>
              <w:jc w:val="center"/>
              <w:rPr>
                <w:rFonts w:ascii="Arial Narrow" w:hAnsi="Arial Narrow"/>
                <w:b/>
                <w:bCs/>
                <w:sz w:val="18"/>
                <w:szCs w:val="18"/>
              </w:rPr>
            </w:pPr>
          </w:p>
        </w:tc>
        <w:tc>
          <w:tcPr>
            <w:tcW w:w="1004" w:type="dxa"/>
            <w:shd w:val="clear" w:color="auto" w:fill="auto"/>
            <w:vAlign w:val="center"/>
          </w:tcPr>
          <w:p w:rsidR="00733721" w:rsidRPr="00EB35C8" w:rsidP="002102AC" w14:paraId="711D7DD2" w14:textId="630C9D00">
            <w:pPr>
              <w:keepNext/>
              <w:keepLines/>
              <w:numPr>
                <w:ilvl w:val="12"/>
                <w:numId w:val="0"/>
              </w:numPr>
              <w:jc w:val="center"/>
              <w:rPr>
                <w:rFonts w:ascii="Arial Narrow" w:hAnsi="Arial Narrow"/>
                <w:b/>
                <w:bCs/>
                <w:sz w:val="18"/>
                <w:szCs w:val="18"/>
              </w:rPr>
            </w:pPr>
            <w:r w:rsidRPr="00EB35C8">
              <w:rPr>
                <w:rFonts w:ascii="Arial Narrow" w:hAnsi="Arial Narrow"/>
                <w:b/>
                <w:bCs/>
                <w:sz w:val="18"/>
                <w:szCs w:val="18"/>
              </w:rPr>
              <w:t>1,600</w:t>
            </w:r>
          </w:p>
        </w:tc>
        <w:tc>
          <w:tcPr>
            <w:tcW w:w="990" w:type="dxa"/>
            <w:vAlign w:val="center"/>
          </w:tcPr>
          <w:p w:rsidR="00733721" w:rsidRPr="00EB35C8" w:rsidP="002102AC" w14:paraId="1370E2F5" w14:textId="4E1153A6">
            <w:pPr>
              <w:keepNext/>
              <w:keepLines/>
              <w:numPr>
                <w:ilvl w:val="12"/>
                <w:numId w:val="0"/>
              </w:numPr>
              <w:jc w:val="center"/>
              <w:rPr>
                <w:rFonts w:ascii="Arial Narrow" w:hAnsi="Arial Narrow"/>
                <w:b/>
                <w:bCs/>
                <w:sz w:val="18"/>
                <w:szCs w:val="18"/>
              </w:rPr>
            </w:pPr>
            <w:r w:rsidRPr="00EB35C8">
              <w:rPr>
                <w:rFonts w:ascii="Arial Narrow" w:hAnsi="Arial Narrow"/>
                <w:b/>
                <w:bCs/>
                <w:sz w:val="18"/>
                <w:szCs w:val="18"/>
              </w:rPr>
              <w:t>.32</w:t>
            </w:r>
          </w:p>
        </w:tc>
        <w:tc>
          <w:tcPr>
            <w:tcW w:w="921" w:type="dxa"/>
            <w:shd w:val="clear" w:color="auto" w:fill="auto"/>
            <w:vAlign w:val="center"/>
          </w:tcPr>
          <w:p w:rsidR="00733721" w:rsidRPr="00EB35C8" w:rsidP="002102AC" w14:paraId="6CBF7E09" w14:textId="5278F7AE">
            <w:pPr>
              <w:keepNext/>
              <w:keepLines/>
              <w:numPr>
                <w:ilvl w:val="12"/>
                <w:numId w:val="0"/>
              </w:numPr>
              <w:jc w:val="center"/>
              <w:rPr>
                <w:rFonts w:ascii="Arial Narrow" w:hAnsi="Arial Narrow"/>
                <w:b/>
                <w:bCs/>
                <w:sz w:val="18"/>
                <w:szCs w:val="18"/>
              </w:rPr>
            </w:pPr>
            <w:r w:rsidRPr="00EB35C8">
              <w:rPr>
                <w:rFonts w:ascii="Arial Narrow" w:hAnsi="Arial Narrow"/>
                <w:b/>
                <w:bCs/>
                <w:sz w:val="18"/>
                <w:szCs w:val="18"/>
              </w:rPr>
              <w:t>525</w:t>
            </w:r>
          </w:p>
        </w:tc>
      </w:tr>
    </w:tbl>
    <w:bookmarkEnd w:id="1"/>
    <w:p w:rsidR="00F86E0A" w:rsidP="006007BC" w14:paraId="6C19BB91" w14:textId="589444BF">
      <w:pPr>
        <w:autoSpaceDE w:val="0"/>
        <w:autoSpaceDN w:val="0"/>
        <w:adjustRightInd w:val="0"/>
        <w:ind w:left="540"/>
        <w:rPr>
          <w:rFonts w:cs="Times New Roman"/>
          <w:szCs w:val="24"/>
        </w:rPr>
      </w:pPr>
      <w:r>
        <w:rPr>
          <w:rFonts w:cs="Times New Roman"/>
          <w:szCs w:val="24"/>
        </w:rPr>
        <w:tab/>
      </w:r>
    </w:p>
    <w:p w:rsidR="00F86546" w:rsidRPr="00DC1585" w:rsidP="006007BC" w14:paraId="4B1E2EA6" w14:textId="77777777">
      <w:pPr>
        <w:autoSpaceDE w:val="0"/>
        <w:autoSpaceDN w:val="0"/>
        <w:adjustRightInd w:val="0"/>
        <w:ind w:left="540"/>
        <w:rPr>
          <w:szCs w:val="24"/>
        </w:rPr>
      </w:pPr>
    </w:p>
    <w:p w:rsidR="009E3D48" w:rsidRPr="00BB7726" w:rsidP="00BB7726" w14:paraId="323D91D4" w14:textId="77777777">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 xml:space="preserve">ESTIMATED TOTAL ANNUAL COST BURDEN TO RESPONDENTS </w:t>
      </w:r>
    </w:p>
    <w:p w:rsidR="009E3D48" w:rsidRPr="00BB7726" w:rsidP="00BB7726" w14:paraId="7F103812" w14:textId="77777777">
      <w:pPr>
        <w:widowControl w:val="0"/>
        <w:autoSpaceDE w:val="0"/>
        <w:autoSpaceDN w:val="0"/>
        <w:adjustRightInd w:val="0"/>
        <w:ind w:left="720"/>
        <w:rPr>
          <w:rFonts w:eastAsia="Times New Roman" w:asciiTheme="minorHAnsi" w:hAnsiTheme="minorHAnsi" w:cs="Times New Roman"/>
          <w:sz w:val="22"/>
        </w:rPr>
      </w:pPr>
    </w:p>
    <w:p w:rsidR="00641BA3" w:rsidRPr="00BB7726" w:rsidP="00BB7726" w14:paraId="2C440460" w14:textId="4AF0DB0B">
      <w:pPr>
        <w:widowControl w:val="0"/>
        <w:autoSpaceDE w:val="0"/>
        <w:autoSpaceDN w:val="0"/>
        <w:adjustRightInd w:val="0"/>
        <w:ind w:left="720"/>
        <w:rPr>
          <w:rFonts w:eastAsia="Times New Roman" w:asciiTheme="minorHAnsi" w:hAnsiTheme="minorHAnsi" w:cs="Times New Roman"/>
          <w:sz w:val="22"/>
        </w:rPr>
      </w:pPr>
      <w:r w:rsidRPr="004A2485">
        <w:rPr>
          <w:rFonts w:eastAsia="Times New Roman" w:asciiTheme="minorHAnsi" w:hAnsiTheme="minorHAnsi" w:cs="Times New Roman"/>
          <w:sz w:val="22"/>
        </w:rPr>
        <w:t>There are no annualized costs to the respondents beyond providing information and keeping records as part of customary and usual business or private practices.</w:t>
      </w:r>
    </w:p>
    <w:p w:rsidR="009E3D48" w:rsidRPr="00BB7726" w:rsidP="00BB7726" w14:paraId="486897D6" w14:textId="77777777">
      <w:pPr>
        <w:widowControl w:val="0"/>
        <w:autoSpaceDE w:val="0"/>
        <w:autoSpaceDN w:val="0"/>
        <w:adjustRightInd w:val="0"/>
        <w:ind w:left="720"/>
        <w:rPr>
          <w:rFonts w:eastAsia="Times New Roman" w:asciiTheme="minorHAnsi" w:hAnsiTheme="minorHAnsi" w:cs="Times New Roman"/>
          <w:sz w:val="22"/>
        </w:rPr>
      </w:pPr>
    </w:p>
    <w:p w:rsidR="009E3D48" w:rsidRPr="00BB7726" w:rsidP="00BB7726" w14:paraId="6F95D916" w14:textId="77777777">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 xml:space="preserve">ESTIMATED ANNUALIZED COST TO THE FEDERAL GOVERNMENT </w:t>
      </w:r>
    </w:p>
    <w:p w:rsidR="00D463E0" w:rsidRPr="00BB7726" w:rsidP="00BB7726" w14:paraId="62B613DB" w14:textId="77777777">
      <w:pPr>
        <w:widowControl w:val="0"/>
        <w:autoSpaceDE w:val="0"/>
        <w:autoSpaceDN w:val="0"/>
        <w:adjustRightInd w:val="0"/>
        <w:ind w:left="720"/>
        <w:rPr>
          <w:rFonts w:eastAsia="Times New Roman" w:asciiTheme="minorHAnsi" w:hAnsiTheme="minorHAnsi" w:cs="Times New Roman"/>
          <w:sz w:val="22"/>
        </w:rPr>
      </w:pPr>
    </w:p>
    <w:p w:rsidR="00A53B6F" w:rsidRPr="00BB7726" w:rsidP="00BB7726" w14:paraId="15878D8B" w14:textId="16B41231">
      <w:pPr>
        <w:widowControl w:val="0"/>
        <w:autoSpaceDE w:val="0"/>
        <w:autoSpaceDN w:val="0"/>
        <w:adjustRightInd w:val="0"/>
        <w:ind w:left="720"/>
        <w:rPr>
          <w:rFonts w:eastAsia="Times New Roman" w:asciiTheme="minorHAnsi" w:hAnsiTheme="minorHAnsi" w:cs="Times New Roman"/>
          <w:sz w:val="22"/>
        </w:rPr>
      </w:pPr>
      <w:r>
        <w:rPr>
          <w:rFonts w:asciiTheme="minorHAnsi" w:hAnsiTheme="minorHAnsi" w:cstheme="minorHAnsi"/>
          <w:sz w:val="22"/>
        </w:rPr>
        <w:t>There are no annualized costs to the Federal government outside of regular agency activities such as taxpayer assistance and enforcement</w:t>
      </w:r>
      <w:r w:rsidRPr="00BB7726" w:rsidR="00F86546">
        <w:rPr>
          <w:rFonts w:eastAsia="Times New Roman" w:asciiTheme="minorHAnsi" w:hAnsiTheme="minorHAnsi" w:cs="Times New Roman"/>
          <w:sz w:val="22"/>
        </w:rPr>
        <w:t>.</w:t>
      </w:r>
    </w:p>
    <w:p w:rsidR="00F86E0A" w:rsidRPr="00BB7726" w:rsidP="00BB7726" w14:paraId="4509FE38" w14:textId="77777777">
      <w:pPr>
        <w:widowControl w:val="0"/>
        <w:autoSpaceDE w:val="0"/>
        <w:autoSpaceDN w:val="0"/>
        <w:adjustRightInd w:val="0"/>
        <w:ind w:left="720"/>
        <w:rPr>
          <w:rFonts w:eastAsia="Times New Roman" w:asciiTheme="minorHAnsi" w:hAnsiTheme="minorHAnsi" w:cs="Times New Roman"/>
          <w:sz w:val="22"/>
        </w:rPr>
      </w:pPr>
    </w:p>
    <w:p w:rsidR="00DB3926" w:rsidRPr="00BB7726" w:rsidP="00BB7726" w14:paraId="2B6A75B9" w14:textId="3ADE6840">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 xml:space="preserve">REASONS FOR CHANGE IN BURDEN </w:t>
      </w:r>
    </w:p>
    <w:p w:rsidR="00F86546" w:rsidRPr="00BB7726" w:rsidP="00BB7726" w14:paraId="0152411C" w14:textId="38DD1CF2">
      <w:pPr>
        <w:widowControl w:val="0"/>
        <w:autoSpaceDE w:val="0"/>
        <w:autoSpaceDN w:val="0"/>
        <w:adjustRightInd w:val="0"/>
        <w:ind w:left="720"/>
        <w:rPr>
          <w:rFonts w:eastAsia="Times New Roman" w:asciiTheme="minorHAnsi" w:hAnsiTheme="minorHAnsi" w:cs="Times New Roman"/>
          <w:sz w:val="22"/>
        </w:rPr>
      </w:pPr>
    </w:p>
    <w:p w:rsidR="00F86546" w:rsidRPr="00BB7726" w:rsidP="00BB7726" w14:paraId="15AC426A" w14:textId="05AE7018">
      <w:pPr>
        <w:widowControl w:val="0"/>
        <w:autoSpaceDE w:val="0"/>
        <w:autoSpaceDN w:val="0"/>
        <w:adjustRightInd w:val="0"/>
        <w:ind w:left="720"/>
        <w:rPr>
          <w:rFonts w:eastAsia="Times New Roman" w:asciiTheme="minorHAnsi" w:hAnsiTheme="minorHAnsi" w:cs="Times New Roman"/>
          <w:sz w:val="22"/>
        </w:rPr>
      </w:pPr>
      <w:r w:rsidRPr="00BB7726">
        <w:rPr>
          <w:rFonts w:eastAsia="Times New Roman" w:asciiTheme="minorHAnsi" w:hAnsiTheme="minorHAnsi" w:cs="Times New Roman"/>
          <w:sz w:val="22"/>
        </w:rPr>
        <w:t>There is no change in the paperwork burden previously approved by OMB. The agency is making this submission to renew the OMB approval.</w:t>
      </w:r>
    </w:p>
    <w:p w:rsidR="00DB3926" w:rsidRPr="00BB7726" w:rsidP="00BB7726" w14:paraId="2E3309B5" w14:textId="77777777">
      <w:pPr>
        <w:widowControl w:val="0"/>
        <w:autoSpaceDE w:val="0"/>
        <w:autoSpaceDN w:val="0"/>
        <w:adjustRightInd w:val="0"/>
        <w:ind w:left="720"/>
        <w:rPr>
          <w:rFonts w:eastAsia="Times New Roman" w:asciiTheme="minorHAnsi" w:hAnsiTheme="minorHAnsi" w:cs="Times New Roman"/>
          <w:sz w:val="22"/>
        </w:rPr>
      </w:pPr>
    </w:p>
    <w:p w:rsidR="009E3D48" w:rsidRPr="00BB7726" w:rsidP="00BB7726" w14:paraId="77A6F58B" w14:textId="77777777">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 xml:space="preserve">PLANS FOR TABULATION, STATISTICAL ANALYSIS AND PUBLICATION </w:t>
      </w:r>
    </w:p>
    <w:p w:rsidR="009E3D48" w:rsidRPr="00BB7726" w:rsidP="00BB7726" w14:paraId="5B26C7D6" w14:textId="77777777">
      <w:pPr>
        <w:widowControl w:val="0"/>
        <w:autoSpaceDE w:val="0"/>
        <w:autoSpaceDN w:val="0"/>
        <w:adjustRightInd w:val="0"/>
        <w:ind w:left="720"/>
        <w:rPr>
          <w:rFonts w:eastAsia="Times New Roman" w:asciiTheme="minorHAnsi" w:hAnsiTheme="minorHAnsi" w:cs="Times New Roman"/>
          <w:sz w:val="22"/>
        </w:rPr>
      </w:pPr>
    </w:p>
    <w:p w:rsidR="0004104E" w:rsidRPr="00BB7726" w:rsidP="00BB7726" w14:paraId="79CD3DC5" w14:textId="100EF3BB">
      <w:pPr>
        <w:widowControl w:val="0"/>
        <w:autoSpaceDE w:val="0"/>
        <w:autoSpaceDN w:val="0"/>
        <w:adjustRightInd w:val="0"/>
        <w:ind w:left="720"/>
        <w:rPr>
          <w:rFonts w:eastAsia="Times New Roman" w:asciiTheme="minorHAnsi" w:hAnsiTheme="minorHAnsi" w:cs="Times New Roman"/>
          <w:sz w:val="22"/>
        </w:rPr>
      </w:pPr>
      <w:r w:rsidRPr="00BB7726">
        <w:rPr>
          <w:rFonts w:eastAsia="Times New Roman" w:asciiTheme="minorHAnsi" w:hAnsiTheme="minorHAnsi" w:cs="Times New Roman"/>
          <w:sz w:val="22"/>
        </w:rPr>
        <w:t>There are no plans for tabulation, statistical analysis, and publication.</w:t>
      </w:r>
    </w:p>
    <w:p w:rsidR="00D463E0" w:rsidRPr="00BB7726" w:rsidP="00BB7726" w14:paraId="51C7B762" w14:textId="77777777">
      <w:pPr>
        <w:widowControl w:val="0"/>
        <w:autoSpaceDE w:val="0"/>
        <w:autoSpaceDN w:val="0"/>
        <w:adjustRightInd w:val="0"/>
        <w:ind w:left="720"/>
        <w:rPr>
          <w:rFonts w:eastAsia="Times New Roman" w:asciiTheme="minorHAnsi" w:hAnsiTheme="minorHAnsi" w:cs="Times New Roman"/>
          <w:sz w:val="22"/>
        </w:rPr>
      </w:pPr>
    </w:p>
    <w:p w:rsidR="009E3D48" w:rsidRPr="00BB7726" w:rsidP="00BB7726" w14:paraId="75D31E83" w14:textId="77777777">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 xml:space="preserve">REASONS WHY DISPLAYING THE OMB EXPIRATION DATE IS INAPPROPRIATE </w:t>
      </w:r>
    </w:p>
    <w:p w:rsidR="009E3D48" w:rsidRPr="00F87A66" w:rsidP="009E3D48" w14:paraId="3F4687B8" w14:textId="77777777">
      <w:pPr>
        <w:tabs>
          <w:tab w:val="left" w:pos="540"/>
        </w:tabs>
        <w:ind w:left="540" w:hanging="540"/>
        <w:rPr>
          <w:rFonts w:asciiTheme="minorHAnsi" w:hAnsiTheme="minorHAnsi"/>
          <w:b/>
          <w:sz w:val="22"/>
        </w:rPr>
      </w:pPr>
    </w:p>
    <w:p w:rsidR="00D463E0" w:rsidP="00BB7726" w14:paraId="6FAA601C" w14:textId="25DF04DA">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 xml:space="preserve">The </w:t>
      </w:r>
      <w:r w:rsidRPr="00ED5AD4">
        <w:rPr>
          <w:rFonts w:eastAsia="Times New Roman" w:asciiTheme="minorHAnsi" w:hAnsiTheme="minorHAnsi" w:cs="Times New Roman"/>
          <w:sz w:val="22"/>
        </w:rPr>
        <w:t>IRS believe</w:t>
      </w:r>
      <w:r w:rsidR="00D26762">
        <w:rPr>
          <w:rFonts w:eastAsia="Times New Roman" w:asciiTheme="minorHAnsi" w:hAnsiTheme="minorHAnsi" w:cs="Times New Roman"/>
          <w:sz w:val="22"/>
        </w:rPr>
        <w:t>s</w:t>
      </w:r>
      <w:r w:rsidRPr="00ED5AD4">
        <w:rPr>
          <w:rFonts w:eastAsia="Times New Roman" w:asciiTheme="minorHAnsi" w:hAnsiTheme="minorHAnsi" w:cs="Times New Roman"/>
          <w:sz w:val="22"/>
        </w:rPr>
        <w:t xml:space="preserve"> that displaying the OMB expiration date is inappropriate because it could cause confusion by leading taxpayers to believe that the </w:t>
      </w:r>
      <w:r w:rsidR="009036FF">
        <w:rPr>
          <w:rFonts w:eastAsia="Times New Roman" w:asciiTheme="minorHAnsi" w:hAnsiTheme="minorHAnsi" w:cs="Times New Roman"/>
          <w:sz w:val="22"/>
        </w:rPr>
        <w:t>regulations expire</w:t>
      </w:r>
      <w:r w:rsidRPr="00ED5AD4">
        <w:rPr>
          <w:rFonts w:eastAsia="Times New Roman" w:asciiTheme="minorHAnsi" w:hAnsiTheme="minorHAnsi" w:cs="Times New Roman"/>
          <w:sz w:val="22"/>
        </w:rPr>
        <w:t xml:space="preserve"> as of the expiration date. </w:t>
      </w:r>
      <w:r w:rsidRPr="00ED5AD4">
        <w:rPr>
          <w:rFonts w:eastAsia="Times New Roman" w:asciiTheme="minorHAnsi" w:hAnsiTheme="minorHAnsi" w:cs="Times New Roman"/>
          <w:sz w:val="22"/>
        </w:rPr>
        <w:t>Taxpayers are not likely to be aware that the IRS intends to request renewal of the OMB approval and obtain a new expiration date before the old one expires.</w:t>
      </w:r>
    </w:p>
    <w:p w:rsidR="009036FF" w:rsidRPr="00BB7726" w:rsidP="00BB7726" w14:paraId="39B72680" w14:textId="77777777">
      <w:pPr>
        <w:widowControl w:val="0"/>
        <w:autoSpaceDE w:val="0"/>
        <w:autoSpaceDN w:val="0"/>
        <w:adjustRightInd w:val="0"/>
        <w:ind w:left="720"/>
        <w:rPr>
          <w:rFonts w:eastAsia="Times New Roman" w:asciiTheme="minorHAnsi" w:hAnsiTheme="minorHAnsi" w:cs="Times New Roman"/>
          <w:sz w:val="22"/>
        </w:rPr>
      </w:pPr>
    </w:p>
    <w:p w:rsidR="009E3D48" w:rsidP="00BB7726" w14:paraId="7635FE24" w14:textId="77777777">
      <w:pPr>
        <w:pStyle w:val="Level1"/>
        <w:numPr>
          <w:ilvl w:val="0"/>
          <w:numId w:val="1"/>
        </w:numPr>
        <w:tabs>
          <w:tab w:val="left" w:pos="-1440"/>
          <w:tab w:val="num" w:pos="720"/>
        </w:tabs>
        <w:ind w:hanging="720"/>
        <w:rPr>
          <w:rFonts w:asciiTheme="minorHAnsi" w:hAnsiTheme="minorHAnsi"/>
          <w:sz w:val="22"/>
          <w:szCs w:val="22"/>
          <w:u w:val="single"/>
        </w:rPr>
      </w:pPr>
      <w:r w:rsidRPr="00BB7726">
        <w:rPr>
          <w:rFonts w:asciiTheme="minorHAnsi" w:hAnsiTheme="minorHAnsi"/>
          <w:sz w:val="22"/>
          <w:szCs w:val="22"/>
          <w:u w:val="single"/>
        </w:rPr>
        <w:t>EXCEPTIONS TO THE CERTIFICATION STATEMENT</w:t>
      </w:r>
    </w:p>
    <w:p w:rsidR="009036FF" w:rsidRPr="00BB7726" w:rsidP="00B500E5" w14:paraId="1A7787DA" w14:textId="77777777">
      <w:pPr>
        <w:pStyle w:val="Level1"/>
        <w:tabs>
          <w:tab w:val="left" w:pos="-1440"/>
        </w:tabs>
        <w:ind w:left="720"/>
        <w:rPr>
          <w:rFonts w:asciiTheme="minorHAnsi" w:hAnsiTheme="minorHAnsi"/>
          <w:sz w:val="22"/>
          <w:szCs w:val="22"/>
          <w:u w:val="single"/>
        </w:rPr>
      </w:pPr>
    </w:p>
    <w:p w:rsidR="00E7628E" w:rsidRPr="00E7628E" w:rsidP="00E7628E" w14:paraId="7B14CD1D" w14:textId="77777777">
      <w:pPr>
        <w:widowControl w:val="0"/>
        <w:autoSpaceDE w:val="0"/>
        <w:autoSpaceDN w:val="0"/>
        <w:adjustRightInd w:val="0"/>
        <w:ind w:left="720"/>
        <w:rPr>
          <w:rFonts w:eastAsia="Times New Roman" w:asciiTheme="minorHAnsi" w:hAnsiTheme="minorHAnsi" w:cs="Times New Roman"/>
          <w:sz w:val="22"/>
        </w:rPr>
      </w:pPr>
      <w:r w:rsidRPr="00E7628E">
        <w:rPr>
          <w:rFonts w:eastAsia="Times New Roman" w:asciiTheme="minorHAnsi" w:hAnsiTheme="minorHAnsi" w:cs="Times New Roman"/>
          <w:sz w:val="22"/>
        </w:rPr>
        <w:t>There are no exceptions to the certification statement.</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7A7D7424" w14:textId="77777777">
        <w:pPr>
          <w:pStyle w:val="Footer"/>
          <w:jc w:val="right"/>
        </w:pPr>
        <w:r>
          <w:fldChar w:fldCharType="begin"/>
        </w:r>
        <w:r>
          <w:instrText xml:space="preserve"> PAGE   \* MERGEFORMAT </w:instrText>
        </w:r>
        <w:r>
          <w:fldChar w:fldCharType="separate"/>
        </w:r>
        <w:r w:rsidR="00FB43B0">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797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32F24"/>
    <w:rsid w:val="000357F9"/>
    <w:rsid w:val="0004104E"/>
    <w:rsid w:val="000720DB"/>
    <w:rsid w:val="0007317C"/>
    <w:rsid w:val="00077EB4"/>
    <w:rsid w:val="000841A5"/>
    <w:rsid w:val="00097F65"/>
    <w:rsid w:val="000A3A41"/>
    <w:rsid w:val="000B32B0"/>
    <w:rsid w:val="000D26FB"/>
    <w:rsid w:val="000E741D"/>
    <w:rsid w:val="0012304F"/>
    <w:rsid w:val="0012312C"/>
    <w:rsid w:val="00124949"/>
    <w:rsid w:val="001275F7"/>
    <w:rsid w:val="00132F0E"/>
    <w:rsid w:val="00144CE5"/>
    <w:rsid w:val="00153E5B"/>
    <w:rsid w:val="001616BC"/>
    <w:rsid w:val="0016207D"/>
    <w:rsid w:val="00163E8B"/>
    <w:rsid w:val="00182BE3"/>
    <w:rsid w:val="00183523"/>
    <w:rsid w:val="0018442D"/>
    <w:rsid w:val="00187B33"/>
    <w:rsid w:val="00190335"/>
    <w:rsid w:val="0019453D"/>
    <w:rsid w:val="00197CEF"/>
    <w:rsid w:val="001B5BD6"/>
    <w:rsid w:val="001D050E"/>
    <w:rsid w:val="001D1550"/>
    <w:rsid w:val="001F656C"/>
    <w:rsid w:val="002102AC"/>
    <w:rsid w:val="002107A4"/>
    <w:rsid w:val="0021575D"/>
    <w:rsid w:val="0023364D"/>
    <w:rsid w:val="00235AD5"/>
    <w:rsid w:val="002456AB"/>
    <w:rsid w:val="002600AF"/>
    <w:rsid w:val="002736EC"/>
    <w:rsid w:val="00277A26"/>
    <w:rsid w:val="002911BE"/>
    <w:rsid w:val="002A463C"/>
    <w:rsid w:val="002C05CE"/>
    <w:rsid w:val="002C4786"/>
    <w:rsid w:val="002C7C4B"/>
    <w:rsid w:val="002D5DA2"/>
    <w:rsid w:val="002E0ED0"/>
    <w:rsid w:val="002E399E"/>
    <w:rsid w:val="00302B66"/>
    <w:rsid w:val="00313D91"/>
    <w:rsid w:val="003178E8"/>
    <w:rsid w:val="00325972"/>
    <w:rsid w:val="003709BF"/>
    <w:rsid w:val="00377A8D"/>
    <w:rsid w:val="003965E9"/>
    <w:rsid w:val="003D2173"/>
    <w:rsid w:val="003F6658"/>
    <w:rsid w:val="00430F18"/>
    <w:rsid w:val="00451FBD"/>
    <w:rsid w:val="00453441"/>
    <w:rsid w:val="00455DF9"/>
    <w:rsid w:val="004606C9"/>
    <w:rsid w:val="0047046A"/>
    <w:rsid w:val="004722A6"/>
    <w:rsid w:val="004A2485"/>
    <w:rsid w:val="004A6CD9"/>
    <w:rsid w:val="004B776F"/>
    <w:rsid w:val="004C6454"/>
    <w:rsid w:val="004E28A3"/>
    <w:rsid w:val="004E6B1C"/>
    <w:rsid w:val="004F7317"/>
    <w:rsid w:val="005247E6"/>
    <w:rsid w:val="005469FB"/>
    <w:rsid w:val="00550E5B"/>
    <w:rsid w:val="00576A09"/>
    <w:rsid w:val="00583C88"/>
    <w:rsid w:val="005B773F"/>
    <w:rsid w:val="005D75B6"/>
    <w:rsid w:val="005E6135"/>
    <w:rsid w:val="005F5B56"/>
    <w:rsid w:val="006007BC"/>
    <w:rsid w:val="006031DF"/>
    <w:rsid w:val="0061018F"/>
    <w:rsid w:val="00617F74"/>
    <w:rsid w:val="006215AA"/>
    <w:rsid w:val="006253D2"/>
    <w:rsid w:val="00637C90"/>
    <w:rsid w:val="00641BA3"/>
    <w:rsid w:val="00642DB9"/>
    <w:rsid w:val="00651FD9"/>
    <w:rsid w:val="006546DD"/>
    <w:rsid w:val="00694B45"/>
    <w:rsid w:val="006A4019"/>
    <w:rsid w:val="006A7D3C"/>
    <w:rsid w:val="006B08BA"/>
    <w:rsid w:val="006C4BAC"/>
    <w:rsid w:val="006E668F"/>
    <w:rsid w:val="006F5F78"/>
    <w:rsid w:val="00700CA4"/>
    <w:rsid w:val="00716113"/>
    <w:rsid w:val="00732204"/>
    <w:rsid w:val="00733721"/>
    <w:rsid w:val="00736DBB"/>
    <w:rsid w:val="00745F68"/>
    <w:rsid w:val="00750E5E"/>
    <w:rsid w:val="00770EAA"/>
    <w:rsid w:val="007B107E"/>
    <w:rsid w:val="007C52FB"/>
    <w:rsid w:val="007C611A"/>
    <w:rsid w:val="007D0EA2"/>
    <w:rsid w:val="007D35FC"/>
    <w:rsid w:val="007F2A63"/>
    <w:rsid w:val="00801000"/>
    <w:rsid w:val="008208C7"/>
    <w:rsid w:val="00843237"/>
    <w:rsid w:val="0084728B"/>
    <w:rsid w:val="00856BC0"/>
    <w:rsid w:val="0086699E"/>
    <w:rsid w:val="0087133D"/>
    <w:rsid w:val="00895855"/>
    <w:rsid w:val="008A247E"/>
    <w:rsid w:val="008A32AA"/>
    <w:rsid w:val="008C28BD"/>
    <w:rsid w:val="008C3C85"/>
    <w:rsid w:val="008C61F0"/>
    <w:rsid w:val="008F35C9"/>
    <w:rsid w:val="009015EE"/>
    <w:rsid w:val="009036FF"/>
    <w:rsid w:val="009078DC"/>
    <w:rsid w:val="009166BB"/>
    <w:rsid w:val="00923F27"/>
    <w:rsid w:val="009302A1"/>
    <w:rsid w:val="00946CFC"/>
    <w:rsid w:val="00952241"/>
    <w:rsid w:val="0096150B"/>
    <w:rsid w:val="00964FD7"/>
    <w:rsid w:val="009720B2"/>
    <w:rsid w:val="009775C1"/>
    <w:rsid w:val="009778B8"/>
    <w:rsid w:val="00982A08"/>
    <w:rsid w:val="00996DDD"/>
    <w:rsid w:val="009975B2"/>
    <w:rsid w:val="009A2892"/>
    <w:rsid w:val="009B164F"/>
    <w:rsid w:val="009D1164"/>
    <w:rsid w:val="009E3D48"/>
    <w:rsid w:val="009E64D8"/>
    <w:rsid w:val="00A0430F"/>
    <w:rsid w:val="00A12E47"/>
    <w:rsid w:val="00A163F1"/>
    <w:rsid w:val="00A24315"/>
    <w:rsid w:val="00A35947"/>
    <w:rsid w:val="00A53B6F"/>
    <w:rsid w:val="00A633B2"/>
    <w:rsid w:val="00A648C2"/>
    <w:rsid w:val="00A751EF"/>
    <w:rsid w:val="00A8420B"/>
    <w:rsid w:val="00A873B0"/>
    <w:rsid w:val="00A87639"/>
    <w:rsid w:val="00AA034F"/>
    <w:rsid w:val="00AC6E22"/>
    <w:rsid w:val="00AE0BE9"/>
    <w:rsid w:val="00B041DE"/>
    <w:rsid w:val="00B23E9D"/>
    <w:rsid w:val="00B248B3"/>
    <w:rsid w:val="00B500E5"/>
    <w:rsid w:val="00B50658"/>
    <w:rsid w:val="00B70C5C"/>
    <w:rsid w:val="00B85BFF"/>
    <w:rsid w:val="00B860C5"/>
    <w:rsid w:val="00BA1E49"/>
    <w:rsid w:val="00BA31E7"/>
    <w:rsid w:val="00BB7726"/>
    <w:rsid w:val="00BD00E4"/>
    <w:rsid w:val="00BD1F42"/>
    <w:rsid w:val="00BD3BF9"/>
    <w:rsid w:val="00BE131C"/>
    <w:rsid w:val="00C128C6"/>
    <w:rsid w:val="00C14F69"/>
    <w:rsid w:val="00C25CB7"/>
    <w:rsid w:val="00C2679C"/>
    <w:rsid w:val="00C37688"/>
    <w:rsid w:val="00C526C2"/>
    <w:rsid w:val="00C5319F"/>
    <w:rsid w:val="00C60B89"/>
    <w:rsid w:val="00C74ADF"/>
    <w:rsid w:val="00CA0115"/>
    <w:rsid w:val="00CA65F8"/>
    <w:rsid w:val="00CB358B"/>
    <w:rsid w:val="00CD1B91"/>
    <w:rsid w:val="00CD3213"/>
    <w:rsid w:val="00CF61FE"/>
    <w:rsid w:val="00D01D12"/>
    <w:rsid w:val="00D01E6A"/>
    <w:rsid w:val="00D04DF8"/>
    <w:rsid w:val="00D06D68"/>
    <w:rsid w:val="00D07FD5"/>
    <w:rsid w:val="00D26762"/>
    <w:rsid w:val="00D41860"/>
    <w:rsid w:val="00D463E0"/>
    <w:rsid w:val="00D47DDC"/>
    <w:rsid w:val="00D7081B"/>
    <w:rsid w:val="00D76BA5"/>
    <w:rsid w:val="00D7793C"/>
    <w:rsid w:val="00D91961"/>
    <w:rsid w:val="00D92C35"/>
    <w:rsid w:val="00DB3926"/>
    <w:rsid w:val="00DC1585"/>
    <w:rsid w:val="00DD050B"/>
    <w:rsid w:val="00DF446C"/>
    <w:rsid w:val="00DF6A65"/>
    <w:rsid w:val="00E14807"/>
    <w:rsid w:val="00E20185"/>
    <w:rsid w:val="00E26FB6"/>
    <w:rsid w:val="00E378C3"/>
    <w:rsid w:val="00E37E63"/>
    <w:rsid w:val="00E7194C"/>
    <w:rsid w:val="00E729D0"/>
    <w:rsid w:val="00E7628E"/>
    <w:rsid w:val="00E80358"/>
    <w:rsid w:val="00E823E6"/>
    <w:rsid w:val="00EB0140"/>
    <w:rsid w:val="00EB35C8"/>
    <w:rsid w:val="00EB5D43"/>
    <w:rsid w:val="00EB6683"/>
    <w:rsid w:val="00EC0F2D"/>
    <w:rsid w:val="00EC5468"/>
    <w:rsid w:val="00ED3A16"/>
    <w:rsid w:val="00ED5AD4"/>
    <w:rsid w:val="00F011BC"/>
    <w:rsid w:val="00F02F40"/>
    <w:rsid w:val="00F240B3"/>
    <w:rsid w:val="00F54DD7"/>
    <w:rsid w:val="00F672EA"/>
    <w:rsid w:val="00F678C5"/>
    <w:rsid w:val="00F73A96"/>
    <w:rsid w:val="00F73FCF"/>
    <w:rsid w:val="00F82330"/>
    <w:rsid w:val="00F86546"/>
    <w:rsid w:val="00F8663F"/>
    <w:rsid w:val="00F86E0A"/>
    <w:rsid w:val="00F87A66"/>
    <w:rsid w:val="00F972DB"/>
    <w:rsid w:val="00FA29E2"/>
    <w:rsid w:val="00FB0C4B"/>
    <w:rsid w:val="00FB42DF"/>
    <w:rsid w:val="00FB43B0"/>
    <w:rsid w:val="00FB7B94"/>
    <w:rsid w:val="00FD1B34"/>
    <w:rsid w:val="00FD38BA"/>
    <w:rsid w:val="00FE38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19738"/>
  <w15:docId w15:val="{0D0B0287-D92F-45EC-9A51-D4B3D25A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styleId="CommentReference">
    <w:name w:val="annotation reference"/>
    <w:basedOn w:val="DefaultParagraphFont"/>
    <w:uiPriority w:val="99"/>
    <w:semiHidden/>
    <w:unhideWhenUsed/>
    <w:rsid w:val="00B50658"/>
    <w:rPr>
      <w:sz w:val="16"/>
      <w:szCs w:val="16"/>
    </w:rPr>
  </w:style>
  <w:style w:type="paragraph" w:styleId="CommentText">
    <w:name w:val="annotation text"/>
    <w:basedOn w:val="Normal"/>
    <w:link w:val="CommentTextChar"/>
    <w:uiPriority w:val="99"/>
    <w:unhideWhenUsed/>
    <w:rsid w:val="00B50658"/>
    <w:rPr>
      <w:sz w:val="20"/>
      <w:szCs w:val="20"/>
    </w:rPr>
  </w:style>
  <w:style w:type="character" w:customStyle="1" w:styleId="CommentTextChar">
    <w:name w:val="Comment Text Char"/>
    <w:basedOn w:val="DefaultParagraphFont"/>
    <w:link w:val="CommentText"/>
    <w:uiPriority w:val="99"/>
    <w:rsid w:val="00B50658"/>
    <w:rPr>
      <w:sz w:val="20"/>
      <w:szCs w:val="20"/>
    </w:rPr>
  </w:style>
  <w:style w:type="paragraph" w:styleId="CommentSubject">
    <w:name w:val="annotation subject"/>
    <w:basedOn w:val="CommentText"/>
    <w:next w:val="CommentText"/>
    <w:link w:val="CommentSubjectChar"/>
    <w:uiPriority w:val="99"/>
    <w:semiHidden/>
    <w:unhideWhenUsed/>
    <w:rsid w:val="00B50658"/>
    <w:rPr>
      <w:b/>
      <w:bCs/>
    </w:rPr>
  </w:style>
  <w:style w:type="character" w:customStyle="1" w:styleId="CommentSubjectChar">
    <w:name w:val="Comment Subject Char"/>
    <w:basedOn w:val="CommentTextChar"/>
    <w:link w:val="CommentSubject"/>
    <w:uiPriority w:val="99"/>
    <w:semiHidden/>
    <w:rsid w:val="00B50658"/>
    <w:rPr>
      <w:b/>
      <w:bCs/>
      <w:sz w:val="20"/>
      <w:szCs w:val="20"/>
    </w:rPr>
  </w:style>
  <w:style w:type="paragraph" w:customStyle="1" w:styleId="Level1">
    <w:name w:val="Level 1"/>
    <w:basedOn w:val="Normal"/>
    <w:rsid w:val="00F54DD7"/>
    <w:pPr>
      <w:widowControl w:val="0"/>
      <w:autoSpaceDE w:val="0"/>
      <w:autoSpaceDN w:val="0"/>
      <w:adjustRightInd w:val="0"/>
      <w:outlineLvl w:val="0"/>
    </w:pPr>
    <w:rPr>
      <w:rFonts w:ascii="Courier" w:eastAsia="Times New Roman" w:hAnsi="Courier" w:cs="Times New Roman"/>
      <w:szCs w:val="24"/>
    </w:rPr>
  </w:style>
  <w:style w:type="paragraph" w:styleId="Revision">
    <w:name w:val="Revision"/>
    <w:hidden/>
    <w:uiPriority w:val="99"/>
    <w:semiHidden/>
    <w:rsid w:val="00642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34A604-6E6C-43A5-B0B8-7618E04EA68B}">
  <ds:schemaRefs>
    <ds:schemaRef ds:uri="http://schemas.openxmlformats.org/officeDocument/2006/bibliography"/>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Jon R. Callahan</cp:lastModifiedBy>
  <cp:revision>4</cp:revision>
  <dcterms:created xsi:type="dcterms:W3CDTF">2025-12-16T12:31:00Z</dcterms:created>
  <dcterms:modified xsi:type="dcterms:W3CDTF">2025-12-16T12:39:00Z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