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915" w:rsidP="0001175D" w14:paraId="61F56307" w14:textId="1296A0D1">
      <w:pPr>
        <w:pStyle w:val="Title"/>
        <w:spacing w:after="0"/>
        <w:rPr>
          <w:rFonts w:cs="Times New Roman"/>
        </w:rPr>
      </w:pPr>
      <w:r w:rsidRPr="0091092F">
        <w:rPr>
          <w:rFonts w:cs="Times New Roman"/>
        </w:rPr>
        <w:t>SUPPORTING STATEMENT</w:t>
      </w:r>
      <w:r w:rsidR="00801EFD">
        <w:rPr>
          <w:rFonts w:cs="Times New Roman"/>
        </w:rPr>
        <w:t xml:space="preserve"> FOR </w:t>
      </w:r>
      <w:r w:rsidRPr="00AE0947" w:rsidR="00801EFD">
        <w:rPr>
          <w:rFonts w:cs="Times New Roman"/>
        </w:rPr>
        <w:t xml:space="preserve">THE </w:t>
      </w:r>
      <w:r w:rsidR="000C2503">
        <w:rPr>
          <w:rFonts w:cs="Times New Roman"/>
        </w:rPr>
        <w:t>MINORITY AIDS IN</w:t>
      </w:r>
      <w:r w:rsidR="0001175D">
        <w:rPr>
          <w:rFonts w:cs="Times New Roman"/>
        </w:rPr>
        <w:t>ITIATIVE</w:t>
      </w:r>
      <w:r w:rsidR="00ED0EB1">
        <w:rPr>
          <w:rFonts w:cs="Times New Roman"/>
        </w:rPr>
        <w:t>:</w:t>
      </w:r>
      <w:r w:rsidR="003B2535">
        <w:rPr>
          <w:rFonts w:cs="Times New Roman"/>
        </w:rPr>
        <w:t xml:space="preserve"> SUBSTANCE USE DISORDER PRE</w:t>
      </w:r>
      <w:r w:rsidR="00A33AA3">
        <w:rPr>
          <w:rFonts w:cs="Times New Roman"/>
        </w:rPr>
        <w:t xml:space="preserve">VENTION AND TREATMENT PILOT PROGRAM </w:t>
      </w:r>
    </w:p>
    <w:p w:rsidR="000F51C7" w:rsidP="0001175D" w14:paraId="3EF60847" w14:textId="3DC775A8">
      <w:pPr>
        <w:pStyle w:val="Title"/>
        <w:spacing w:after="0"/>
        <w:rPr>
          <w:rFonts w:cs="Times New Roman"/>
        </w:rPr>
      </w:pPr>
      <w:r>
        <w:rPr>
          <w:rFonts w:cs="Times New Roman"/>
        </w:rPr>
        <w:t>DATA COLLECTION INSTRUMENTS</w:t>
      </w:r>
    </w:p>
    <w:p w:rsidR="00972643" w:rsidRPr="00865EF9" w:rsidP="00A4121E" w14:paraId="7A321FE7" w14:textId="77777777">
      <w:pPr>
        <w:spacing w:before="120" w:after="0"/>
        <w:rPr>
          <w:rFonts w:eastAsia="Cambria"/>
          <w:b/>
        </w:rPr>
      </w:pPr>
      <w:r w:rsidRPr="00865EF9">
        <w:rPr>
          <w:rFonts w:eastAsia="Cambria"/>
          <w:b/>
        </w:rPr>
        <w:t>Check off which applies:</w:t>
      </w:r>
    </w:p>
    <w:p w:rsidR="00972643" w:rsidRPr="00865EF9" w:rsidP="00972643" w14:paraId="6FFEC9BD" w14:textId="472A39A2">
      <w:pPr>
        <w:spacing w:after="0"/>
        <w:rPr>
          <w:rFonts w:eastAsia="Cambria"/>
        </w:rPr>
      </w:pPr>
      <w:sdt>
        <w:sdtPr>
          <w:rPr>
            <w:rFonts w:eastAsia="Cambria"/>
          </w:rPr>
          <w:id w:val="-890880799"/>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865EF9">
        <w:rPr>
          <w:rFonts w:eastAsia="Cambria"/>
        </w:rPr>
        <w:t xml:space="preserve"> New </w:t>
      </w:r>
    </w:p>
    <w:p w:rsidR="00972643" w:rsidRPr="00865EF9" w:rsidP="00972643" w14:paraId="1C8E5C5C" w14:textId="77777777">
      <w:pPr>
        <w:spacing w:after="0"/>
        <w:rPr>
          <w:rFonts w:eastAsia="Cambria"/>
        </w:rPr>
      </w:pPr>
      <w:sdt>
        <w:sdtPr>
          <w:rPr>
            <w:rFonts w:eastAsia="Cambria"/>
          </w:rPr>
          <w:id w:val="-3305310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65EF9">
        <w:rPr>
          <w:rFonts w:eastAsia="Cambria"/>
        </w:rPr>
        <w:t xml:space="preserve"> Revision </w:t>
      </w:r>
      <w:r w:rsidRPr="00865EF9">
        <w:rPr>
          <w:rFonts w:eastAsia="Cambria"/>
        </w:rPr>
        <w:tab/>
        <w:t xml:space="preserve"> </w:t>
      </w:r>
      <w:r w:rsidRPr="00865EF9">
        <w:rPr>
          <w:rFonts w:eastAsia="Cambria"/>
        </w:rPr>
        <w:tab/>
      </w:r>
      <w:r w:rsidRPr="00865EF9">
        <w:rPr>
          <w:rFonts w:eastAsia="Cambria"/>
        </w:rPr>
        <w:tab/>
      </w:r>
    </w:p>
    <w:p w:rsidR="00972643" w:rsidRPr="00865EF9" w:rsidP="00972643" w14:paraId="1C7A0346" w14:textId="77777777">
      <w:pPr>
        <w:spacing w:after="0"/>
        <w:rPr>
          <w:rFonts w:eastAsia="Cambria"/>
        </w:rPr>
      </w:pPr>
      <w:sdt>
        <w:sdtPr>
          <w:rPr>
            <w:rFonts w:eastAsia="Cambria"/>
          </w:rPr>
          <w:id w:val="-1627156151"/>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Reinstatement with Change </w:t>
      </w:r>
    </w:p>
    <w:p w:rsidR="00972643" w:rsidRPr="00865EF9" w:rsidP="00972643" w14:paraId="0FDC63B5" w14:textId="77777777">
      <w:pPr>
        <w:spacing w:after="0"/>
        <w:rPr>
          <w:rFonts w:eastAsia="Cambria"/>
        </w:rPr>
      </w:pPr>
      <w:sdt>
        <w:sdtPr>
          <w:rPr>
            <w:rFonts w:eastAsia="Cambria"/>
          </w:rPr>
          <w:id w:val="-1343470911"/>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Reinstatement without Change </w:t>
      </w:r>
    </w:p>
    <w:p w:rsidR="00972643" w:rsidRPr="00865EF9" w:rsidP="00972643" w14:paraId="14E9D0FA" w14:textId="1750636A">
      <w:pPr>
        <w:spacing w:after="0"/>
        <w:rPr>
          <w:rFonts w:eastAsia="Cambria"/>
        </w:rPr>
      </w:pPr>
      <w:sdt>
        <w:sdtPr>
          <w:rPr>
            <w:rFonts w:eastAsia="Cambria"/>
          </w:rPr>
          <w:id w:val="19509665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65EF9">
        <w:rPr>
          <w:rFonts w:eastAsia="Cambria"/>
        </w:rPr>
        <w:t xml:space="preserve"> Extension</w:t>
      </w:r>
    </w:p>
    <w:p w:rsidR="00972643" w:rsidRPr="00865EF9" w:rsidP="00972643" w14:paraId="6902BF77" w14:textId="77777777">
      <w:pPr>
        <w:spacing w:after="0"/>
        <w:rPr>
          <w:rFonts w:eastAsia="Cambria"/>
        </w:rPr>
      </w:pPr>
      <w:sdt>
        <w:sdtPr>
          <w:rPr>
            <w:rFonts w:eastAsia="Cambria"/>
          </w:rPr>
          <w:id w:val="-936752193"/>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Emergency</w:t>
      </w:r>
    </w:p>
    <w:p w:rsidR="00972643" w:rsidRPr="00865EF9" w:rsidP="00972643" w14:paraId="29781E5C" w14:textId="77777777">
      <w:pPr>
        <w:spacing w:after="0"/>
        <w:rPr>
          <w:rFonts w:eastAsia="Cambria"/>
        </w:rPr>
      </w:pPr>
      <w:sdt>
        <w:sdtPr>
          <w:rPr>
            <w:rFonts w:eastAsia="Cambria"/>
          </w:rPr>
          <w:id w:val="-248038668"/>
          <w14:checkbox>
            <w14:checked w14:val="0"/>
            <w14:checkedState w14:val="2612" w14:font="MS Gothic"/>
            <w14:uncheckedState w14:val="2610" w14:font="MS Gothic"/>
          </w14:checkbox>
        </w:sdtPr>
        <w:sdtContent>
          <w:r w:rsidRPr="00865EF9">
            <w:rPr>
              <w:rFonts w:ascii="MS Gothic" w:eastAsia="MS Gothic" w:hAnsi="MS Gothic" w:cs="MS Gothic"/>
            </w:rPr>
            <w:t>☐</w:t>
          </w:r>
        </w:sdtContent>
      </w:sdt>
      <w:r w:rsidRPr="00865EF9">
        <w:rPr>
          <w:rFonts w:eastAsia="Cambria"/>
        </w:rPr>
        <w:t xml:space="preserve"> Existing</w:t>
      </w:r>
    </w:p>
    <w:p w:rsidR="00D767EF" w:rsidRPr="0091092F" w:rsidP="00A4121E" w14:paraId="7106FB90" w14:textId="77777777">
      <w:pPr>
        <w:pStyle w:val="Heading1"/>
        <w:spacing w:before="240"/>
        <w:rPr>
          <w:rFonts w:ascii="Times New Roman" w:hAnsi="Times New Roman" w:cs="Times New Roman"/>
          <w:color w:val="auto"/>
          <w:sz w:val="24"/>
          <w:szCs w:val="24"/>
        </w:rPr>
      </w:pPr>
      <w:r w:rsidRPr="0091092F">
        <w:rPr>
          <w:rFonts w:ascii="Times New Roman" w:hAnsi="Times New Roman" w:cs="Times New Roman"/>
          <w:color w:val="auto"/>
          <w:sz w:val="24"/>
          <w:szCs w:val="24"/>
        </w:rPr>
        <w:t>JUSTIFICATION</w:t>
      </w:r>
    </w:p>
    <w:p w:rsidR="000F51C7" w:rsidRPr="0091092F" w:rsidP="00173311" w14:paraId="7B0AA11D" w14:textId="0175CC92">
      <w:pPr>
        <w:pStyle w:val="Heading1"/>
        <w:numPr>
          <w:ilvl w:val="0"/>
          <w:numId w:val="0"/>
        </w:numPr>
        <w:tabs>
          <w:tab w:val="left" w:pos="720"/>
        </w:tabs>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w:t>
      </w:r>
      <w:r w:rsidR="00173311">
        <w:rPr>
          <w:rFonts w:ascii="Times New Roman" w:hAnsi="Times New Roman" w:cs="Times New Roman"/>
          <w:color w:val="auto"/>
          <w:sz w:val="24"/>
          <w:szCs w:val="24"/>
        </w:rPr>
        <w:tab/>
      </w:r>
      <w:r w:rsidRPr="0091092F" w:rsidR="0003189F">
        <w:rPr>
          <w:rFonts w:ascii="Times New Roman" w:hAnsi="Times New Roman" w:cs="Times New Roman"/>
          <w:color w:val="auto"/>
          <w:sz w:val="24"/>
          <w:szCs w:val="24"/>
        </w:rPr>
        <w:t>Circumstances of Information Collection</w:t>
      </w:r>
    </w:p>
    <w:p w:rsidR="001756F5" w:rsidRPr="0091092F" w:rsidP="001756F5" w14:paraId="3DFF7994" w14:textId="77777777">
      <w:pPr>
        <w:spacing w:after="0"/>
        <w:rPr>
          <w:rFonts w:cs="Times New Roman"/>
          <w:sz w:val="24"/>
          <w:szCs w:val="24"/>
        </w:rPr>
      </w:pPr>
    </w:p>
    <w:p w:rsidR="008B65AE" w:rsidP="0063293C" w14:paraId="6E55353A" w14:textId="082ACAE6">
      <w:pPr>
        <w:spacing w:after="0"/>
        <w:rPr>
          <w:rStyle w:val="normaltextrun"/>
          <w:sz w:val="24"/>
          <w:szCs w:val="24"/>
        </w:rPr>
      </w:pPr>
      <w:r w:rsidRPr="000473FB">
        <w:rPr>
          <w:rStyle w:val="normaltextrun"/>
          <w:sz w:val="24"/>
          <w:szCs w:val="24"/>
        </w:rPr>
        <w:t>The Substance Abuse and Mental Health Services Administration’s (SAMHSA) Center for Substance Abuse Prevention (CSAP)</w:t>
      </w:r>
      <w:r w:rsidR="00EE0499">
        <w:rPr>
          <w:rStyle w:val="normaltextrun"/>
          <w:sz w:val="24"/>
          <w:szCs w:val="24"/>
        </w:rPr>
        <w:t xml:space="preserve"> and Center for Substance Abuse Treatment (CSAT)</w:t>
      </w:r>
      <w:r w:rsidRPr="000473FB">
        <w:rPr>
          <w:rStyle w:val="normaltextrun"/>
          <w:sz w:val="24"/>
          <w:szCs w:val="24"/>
        </w:rPr>
        <w:t xml:space="preserve"> </w:t>
      </w:r>
      <w:r w:rsidRPr="6B1DAC6F" w:rsidR="04C1FA5D">
        <w:rPr>
          <w:rStyle w:val="normaltextrun"/>
          <w:sz w:val="24"/>
          <w:szCs w:val="24"/>
        </w:rPr>
        <w:t>are</w:t>
      </w:r>
      <w:r w:rsidRPr="000473FB">
        <w:rPr>
          <w:rStyle w:val="normaltextrun"/>
          <w:sz w:val="24"/>
          <w:szCs w:val="24"/>
        </w:rPr>
        <w:t xml:space="preserve"> requesting approval from the Office of Management and Budget (OMB) </w:t>
      </w:r>
      <w:r w:rsidR="00EA2A00">
        <w:rPr>
          <w:rStyle w:val="normaltextrun"/>
          <w:sz w:val="24"/>
          <w:szCs w:val="24"/>
        </w:rPr>
        <w:t xml:space="preserve">to monitor </w:t>
      </w:r>
      <w:r w:rsidR="00A76B4B">
        <w:rPr>
          <w:rStyle w:val="normaltextrun"/>
          <w:sz w:val="24"/>
          <w:szCs w:val="24"/>
        </w:rPr>
        <w:t>the</w:t>
      </w:r>
      <w:r w:rsidR="00EA2A00">
        <w:rPr>
          <w:rStyle w:val="normaltextrun"/>
          <w:sz w:val="24"/>
          <w:szCs w:val="24"/>
        </w:rPr>
        <w:t xml:space="preserve"> </w:t>
      </w:r>
      <w:r w:rsidRPr="00572245" w:rsidR="00572245">
        <w:rPr>
          <w:rStyle w:val="normaltextrun"/>
          <w:sz w:val="24"/>
          <w:szCs w:val="24"/>
        </w:rPr>
        <w:t xml:space="preserve">Minority AIDS Initiative: </w:t>
      </w:r>
      <w:r w:rsidRPr="00572245" w:rsidR="00ED0EB1">
        <w:rPr>
          <w:rStyle w:val="normaltextrun"/>
          <w:sz w:val="24"/>
          <w:szCs w:val="24"/>
        </w:rPr>
        <w:t xml:space="preserve">Substance Use Disorder </w:t>
      </w:r>
      <w:r w:rsidRPr="00572245" w:rsidR="00572245">
        <w:rPr>
          <w:rStyle w:val="normaltextrun"/>
          <w:sz w:val="24"/>
          <w:szCs w:val="24"/>
        </w:rPr>
        <w:t xml:space="preserve">Prevention and Treatment </w:t>
      </w:r>
      <w:r w:rsidR="00ED0EB1">
        <w:rPr>
          <w:rStyle w:val="normaltextrun"/>
          <w:sz w:val="24"/>
          <w:szCs w:val="24"/>
        </w:rPr>
        <w:t>Pilot Program</w:t>
      </w:r>
      <w:r w:rsidR="00572245">
        <w:rPr>
          <w:rStyle w:val="normaltextrun"/>
          <w:sz w:val="24"/>
          <w:szCs w:val="24"/>
        </w:rPr>
        <w:t xml:space="preserve"> </w:t>
      </w:r>
      <w:r w:rsidR="006420D5">
        <w:rPr>
          <w:rStyle w:val="normaltextrun"/>
          <w:sz w:val="24"/>
          <w:szCs w:val="24"/>
        </w:rPr>
        <w:t xml:space="preserve">(MAI </w:t>
      </w:r>
      <w:r w:rsidR="00F4290F">
        <w:rPr>
          <w:rStyle w:val="normaltextrun"/>
          <w:sz w:val="24"/>
          <w:szCs w:val="24"/>
        </w:rPr>
        <w:t xml:space="preserve">PT </w:t>
      </w:r>
      <w:r w:rsidR="006420D5">
        <w:rPr>
          <w:rStyle w:val="normaltextrun"/>
          <w:sz w:val="24"/>
          <w:szCs w:val="24"/>
        </w:rPr>
        <w:t>Pi</w:t>
      </w:r>
      <w:r w:rsidR="00EE0EE9">
        <w:rPr>
          <w:rStyle w:val="normaltextrun"/>
          <w:sz w:val="24"/>
          <w:szCs w:val="24"/>
        </w:rPr>
        <w:t xml:space="preserve">lot) </w:t>
      </w:r>
      <w:r w:rsidRPr="000473FB">
        <w:rPr>
          <w:rStyle w:val="normaltextrun"/>
          <w:sz w:val="24"/>
          <w:szCs w:val="24"/>
        </w:rPr>
        <w:t xml:space="preserve">through administration of a suite of data collection instruments for grant compliance and programmatic performance monitoring. This package describes the data collection activities and proposed instruments. </w:t>
      </w:r>
      <w:r w:rsidR="00641999">
        <w:rPr>
          <w:rStyle w:val="normaltextrun"/>
          <w:sz w:val="24"/>
          <w:szCs w:val="24"/>
        </w:rPr>
        <w:t>Two instruments</w:t>
      </w:r>
      <w:r w:rsidR="0080730E">
        <w:rPr>
          <w:rStyle w:val="normaltextrun"/>
          <w:sz w:val="24"/>
          <w:szCs w:val="24"/>
        </w:rPr>
        <w:t xml:space="preserve"> will facilitate g</w:t>
      </w:r>
      <w:r w:rsidRPr="000473FB">
        <w:rPr>
          <w:rStyle w:val="normaltextrun"/>
          <w:sz w:val="24"/>
          <w:szCs w:val="24"/>
        </w:rPr>
        <w:t>rant compliance monitoring</w:t>
      </w:r>
      <w:r w:rsidR="0080730E">
        <w:rPr>
          <w:rStyle w:val="normaltextrun"/>
          <w:sz w:val="24"/>
          <w:szCs w:val="24"/>
        </w:rPr>
        <w:t xml:space="preserve">, and the third instrument </w:t>
      </w:r>
      <w:r>
        <w:rPr>
          <w:rStyle w:val="normaltextrun"/>
          <w:sz w:val="24"/>
          <w:szCs w:val="24"/>
        </w:rPr>
        <w:t>is designed for program performance monitoring.</w:t>
      </w:r>
    </w:p>
    <w:p w:rsidR="00B325EE" w:rsidP="0063293C" w14:paraId="19B3BED5" w14:textId="77777777">
      <w:pPr>
        <w:spacing w:after="0"/>
        <w:rPr>
          <w:rStyle w:val="normaltextrun"/>
          <w:sz w:val="24"/>
          <w:szCs w:val="24"/>
        </w:rPr>
      </w:pPr>
    </w:p>
    <w:p w:rsidR="00A74DC6" w14:paraId="4336AC0E" w14:textId="26C132D3">
      <w:pPr>
        <w:pStyle w:val="ListParagraph"/>
        <w:numPr>
          <w:ilvl w:val="0"/>
          <w:numId w:val="18"/>
        </w:numPr>
        <w:spacing w:after="0"/>
        <w:rPr>
          <w:rStyle w:val="normaltextrun"/>
          <w:sz w:val="24"/>
          <w:szCs w:val="24"/>
        </w:rPr>
      </w:pPr>
      <w:r w:rsidRPr="47E3C7F9">
        <w:rPr>
          <w:rFonts w:cs="Times New Roman"/>
          <w:sz w:val="24"/>
          <w:szCs w:val="24"/>
        </w:rPr>
        <w:t xml:space="preserve">The </w:t>
      </w:r>
      <w:r w:rsidRPr="47E3C7F9">
        <w:rPr>
          <w:rFonts w:cs="Times New Roman"/>
          <w:i/>
          <w:iCs/>
          <w:sz w:val="24"/>
          <w:szCs w:val="24"/>
        </w:rPr>
        <w:t>MAI PT Pilot Organizational Readiness Assessment (MAI</w:t>
      </w:r>
      <w:r w:rsidRPr="47E3C7F9" w:rsidR="008F0FD8">
        <w:rPr>
          <w:rFonts w:cs="Times New Roman"/>
          <w:i/>
          <w:iCs/>
          <w:sz w:val="24"/>
          <w:szCs w:val="24"/>
        </w:rPr>
        <w:t>-O</w:t>
      </w:r>
      <w:r w:rsidRPr="47E3C7F9">
        <w:rPr>
          <w:rFonts w:cs="Times New Roman"/>
          <w:i/>
          <w:iCs/>
          <w:sz w:val="24"/>
          <w:szCs w:val="24"/>
        </w:rPr>
        <w:t>RA)</w:t>
      </w:r>
      <w:r w:rsidRPr="47E3C7F9">
        <w:rPr>
          <w:rFonts w:cs="Times New Roman"/>
          <w:sz w:val="24"/>
          <w:szCs w:val="24"/>
        </w:rPr>
        <w:t xml:space="preserve"> </w:t>
      </w:r>
      <w:r w:rsidRPr="47E3C7F9" w:rsidR="00DB21E2">
        <w:rPr>
          <w:rFonts w:cs="Times New Roman"/>
          <w:sz w:val="24"/>
          <w:szCs w:val="24"/>
        </w:rPr>
        <w:t xml:space="preserve">is </w:t>
      </w:r>
      <w:r w:rsidRPr="47E3C7F9" w:rsidR="007442ED">
        <w:rPr>
          <w:rFonts w:cs="Times New Roman"/>
          <w:sz w:val="24"/>
          <w:szCs w:val="24"/>
        </w:rPr>
        <w:t xml:space="preserve">a one-time self-assessment tool </w:t>
      </w:r>
      <w:r w:rsidRPr="47E3C7F9">
        <w:rPr>
          <w:rFonts w:cs="Times New Roman"/>
          <w:sz w:val="24"/>
          <w:szCs w:val="24"/>
        </w:rPr>
        <w:t>intended to guide MAI PT Pilot grant recipients to objectively assess their capacity to provide substance use prevention, substance use disorder or co-occurring mental health disorder treatment, and HIV, viral hepatitis, and sexually transmitted infection prevention, screening, testing, and referral services for racial and ethnic</w:t>
      </w:r>
      <w:r w:rsidRPr="47E3C7F9" w:rsidR="56429620">
        <w:rPr>
          <w:rFonts w:cs="Times New Roman"/>
          <w:sz w:val="24"/>
          <w:szCs w:val="24"/>
        </w:rPr>
        <w:t xml:space="preserve"> minority</w:t>
      </w:r>
      <w:r w:rsidRPr="47E3C7F9">
        <w:rPr>
          <w:rFonts w:cs="Times New Roman"/>
          <w:sz w:val="24"/>
          <w:szCs w:val="24"/>
        </w:rPr>
        <w:t xml:space="preserve"> individuals vulnerable to these conditions.</w:t>
      </w:r>
      <w:r w:rsidRPr="47E3C7F9" w:rsidR="00BA6F12">
        <w:rPr>
          <w:rStyle w:val="CommentReference"/>
          <w:sz w:val="24"/>
          <w:szCs w:val="24"/>
        </w:rPr>
        <w:t xml:space="preserve"> Results from the </w:t>
      </w:r>
      <w:r w:rsidRPr="47E3C7F9" w:rsidR="0002437E">
        <w:rPr>
          <w:rStyle w:val="CommentReference"/>
          <w:sz w:val="24"/>
          <w:szCs w:val="24"/>
        </w:rPr>
        <w:t>MAI</w:t>
      </w:r>
      <w:r w:rsidRPr="47E3C7F9" w:rsidR="005F0093">
        <w:rPr>
          <w:rStyle w:val="CommentReference"/>
          <w:sz w:val="24"/>
          <w:szCs w:val="24"/>
        </w:rPr>
        <w:t>-</w:t>
      </w:r>
      <w:r w:rsidRPr="47E3C7F9" w:rsidR="0002437E">
        <w:rPr>
          <w:rStyle w:val="CommentReference"/>
          <w:sz w:val="24"/>
          <w:szCs w:val="24"/>
        </w:rPr>
        <w:t>ORA</w:t>
      </w:r>
      <w:r w:rsidRPr="47E3C7F9" w:rsidR="00BA6F12">
        <w:rPr>
          <w:rStyle w:val="normaltextrun"/>
          <w:sz w:val="24"/>
          <w:szCs w:val="24"/>
        </w:rPr>
        <w:t xml:space="preserve"> will allow </w:t>
      </w:r>
      <w:r w:rsidRPr="47E3C7F9" w:rsidR="5D83DFAC">
        <w:rPr>
          <w:rStyle w:val="normaltextrun"/>
          <w:sz w:val="24"/>
          <w:szCs w:val="24"/>
        </w:rPr>
        <w:t>SAMHSA</w:t>
      </w:r>
      <w:r w:rsidRPr="47E3C7F9" w:rsidR="00BA6F12">
        <w:rPr>
          <w:rStyle w:val="normaltextrun"/>
          <w:sz w:val="24"/>
          <w:szCs w:val="24"/>
        </w:rPr>
        <w:t xml:space="preserve"> to determine grantee readiness and capacity to implement their grant program, so that </w:t>
      </w:r>
      <w:r w:rsidRPr="47E3C7F9" w:rsidR="3805A04D">
        <w:rPr>
          <w:rStyle w:val="normaltextrun"/>
          <w:sz w:val="24"/>
          <w:szCs w:val="24"/>
        </w:rPr>
        <w:t>SAMHSA</w:t>
      </w:r>
      <w:r w:rsidRPr="47E3C7F9" w:rsidR="00BA6F12">
        <w:rPr>
          <w:rStyle w:val="normaltextrun"/>
          <w:sz w:val="24"/>
          <w:szCs w:val="24"/>
        </w:rPr>
        <w:t xml:space="preserve"> can provide additional support, as needed, to ensure grant compliance.</w:t>
      </w:r>
    </w:p>
    <w:p w:rsidR="00360020" w:rsidRPr="00BA6F12" w:rsidP="00360020" w14:paraId="5B6BC3F1" w14:textId="77777777">
      <w:pPr>
        <w:pStyle w:val="ListParagraph"/>
        <w:spacing w:after="0"/>
        <w:rPr>
          <w:rStyle w:val="normaltextrun"/>
          <w:sz w:val="24"/>
          <w:szCs w:val="24"/>
        </w:rPr>
      </w:pPr>
    </w:p>
    <w:p w:rsidR="0004474D" w:rsidRPr="0004474D" w:rsidP="0004474D" w14:paraId="709D24CD" w14:textId="6AB73990">
      <w:pPr>
        <w:pStyle w:val="ListParagraph"/>
        <w:numPr>
          <w:ilvl w:val="0"/>
          <w:numId w:val="18"/>
        </w:numPr>
        <w:spacing w:after="0"/>
        <w:rPr>
          <w:rStyle w:val="normaltextrun"/>
          <w:sz w:val="24"/>
          <w:szCs w:val="24"/>
        </w:rPr>
      </w:pPr>
      <w:r w:rsidRPr="49073563">
        <w:rPr>
          <w:rStyle w:val="normaltextrun"/>
          <w:sz w:val="24"/>
          <w:szCs w:val="24"/>
        </w:rPr>
        <w:t xml:space="preserve">The </w:t>
      </w:r>
      <w:r w:rsidRPr="49073563" w:rsidR="00B334F8">
        <w:rPr>
          <w:rStyle w:val="normaltextrun"/>
          <w:i/>
          <w:iCs/>
          <w:sz w:val="24"/>
          <w:szCs w:val="24"/>
        </w:rPr>
        <w:t>M</w:t>
      </w:r>
      <w:r w:rsidRPr="49073563" w:rsidR="00F2591E">
        <w:rPr>
          <w:rStyle w:val="normaltextrun"/>
          <w:i/>
          <w:iCs/>
          <w:sz w:val="24"/>
          <w:szCs w:val="24"/>
        </w:rPr>
        <w:t>AI PT Pilot</w:t>
      </w:r>
      <w:r w:rsidRPr="49073563" w:rsidR="00B334F8">
        <w:rPr>
          <w:rStyle w:val="normaltextrun"/>
          <w:i/>
          <w:iCs/>
          <w:sz w:val="24"/>
          <w:szCs w:val="24"/>
        </w:rPr>
        <w:t xml:space="preserve"> </w:t>
      </w:r>
      <w:r w:rsidRPr="49073563" w:rsidR="008E31AA">
        <w:rPr>
          <w:rStyle w:val="normaltextrun"/>
          <w:i/>
          <w:iCs/>
          <w:sz w:val="24"/>
          <w:szCs w:val="24"/>
        </w:rPr>
        <w:t xml:space="preserve">Programmatic </w:t>
      </w:r>
      <w:r w:rsidRPr="49073563" w:rsidR="005E6DD0">
        <w:rPr>
          <w:rStyle w:val="normaltextrun"/>
          <w:i/>
          <w:iCs/>
          <w:sz w:val="24"/>
          <w:szCs w:val="24"/>
        </w:rPr>
        <w:t>Progress Report</w:t>
      </w:r>
      <w:r w:rsidRPr="49073563" w:rsidR="00296C65">
        <w:rPr>
          <w:rStyle w:val="normaltextrun"/>
          <w:i/>
          <w:iCs/>
          <w:sz w:val="24"/>
          <w:szCs w:val="24"/>
        </w:rPr>
        <w:t xml:space="preserve"> </w:t>
      </w:r>
      <w:r w:rsidRPr="49073563" w:rsidR="00CE3608">
        <w:rPr>
          <w:rStyle w:val="normaltextrun"/>
          <w:i/>
          <w:iCs/>
          <w:sz w:val="24"/>
          <w:szCs w:val="24"/>
        </w:rPr>
        <w:t>(</w:t>
      </w:r>
      <w:r w:rsidRPr="49073563" w:rsidR="00AF0E9B">
        <w:rPr>
          <w:rStyle w:val="normaltextrun"/>
          <w:i/>
          <w:iCs/>
          <w:sz w:val="24"/>
          <w:szCs w:val="24"/>
        </w:rPr>
        <w:t>MAI</w:t>
      </w:r>
      <w:r w:rsidRPr="49073563" w:rsidR="008F0FD8">
        <w:rPr>
          <w:rStyle w:val="normaltextrun"/>
          <w:i/>
          <w:iCs/>
          <w:sz w:val="24"/>
          <w:szCs w:val="24"/>
        </w:rPr>
        <w:t>-</w:t>
      </w:r>
      <w:r w:rsidRPr="49073563" w:rsidR="00836B73">
        <w:rPr>
          <w:rStyle w:val="normaltextrun"/>
          <w:i/>
          <w:iCs/>
          <w:sz w:val="24"/>
          <w:szCs w:val="24"/>
        </w:rPr>
        <w:t>PPR)</w:t>
      </w:r>
      <w:r w:rsidRPr="49073563" w:rsidR="00CB6322">
        <w:rPr>
          <w:rStyle w:val="normaltextrun"/>
          <w:sz w:val="24"/>
          <w:szCs w:val="24"/>
        </w:rPr>
        <w:t xml:space="preserve"> </w:t>
      </w:r>
      <w:r w:rsidRPr="49073563" w:rsidR="003E2C67">
        <w:rPr>
          <w:rStyle w:val="normaltextrun"/>
          <w:sz w:val="24"/>
          <w:szCs w:val="24"/>
        </w:rPr>
        <w:t xml:space="preserve">is a template </w:t>
      </w:r>
      <w:r w:rsidRPr="49073563" w:rsidR="001E345D">
        <w:rPr>
          <w:rStyle w:val="normaltextrun"/>
          <w:sz w:val="24"/>
          <w:szCs w:val="24"/>
        </w:rPr>
        <w:t xml:space="preserve">that </w:t>
      </w:r>
      <w:r w:rsidRPr="49073563" w:rsidR="003E2C67">
        <w:rPr>
          <w:rStyle w:val="normaltextrun"/>
          <w:sz w:val="24"/>
          <w:szCs w:val="24"/>
        </w:rPr>
        <w:t xml:space="preserve">grantees </w:t>
      </w:r>
      <w:r w:rsidRPr="49073563" w:rsidR="001E345D">
        <w:rPr>
          <w:rStyle w:val="normaltextrun"/>
          <w:sz w:val="24"/>
          <w:szCs w:val="24"/>
        </w:rPr>
        <w:t>will</w:t>
      </w:r>
      <w:r w:rsidRPr="49073563" w:rsidR="003E2C67">
        <w:rPr>
          <w:rStyle w:val="normaltextrun"/>
          <w:sz w:val="24"/>
          <w:szCs w:val="24"/>
        </w:rPr>
        <w:t xml:space="preserve"> use to report annual progress</w:t>
      </w:r>
      <w:r w:rsidRPr="49073563" w:rsidR="003B1A49">
        <w:rPr>
          <w:rStyle w:val="normaltextrun"/>
          <w:sz w:val="24"/>
          <w:szCs w:val="24"/>
        </w:rPr>
        <w:t xml:space="preserve"> and </w:t>
      </w:r>
      <w:r w:rsidRPr="49073563" w:rsidR="00CB6322">
        <w:rPr>
          <w:rStyle w:val="normaltextrun"/>
          <w:sz w:val="24"/>
          <w:szCs w:val="24"/>
        </w:rPr>
        <w:t xml:space="preserve">will be used </w:t>
      </w:r>
      <w:r w:rsidRPr="49073563" w:rsidR="003B1A49">
        <w:rPr>
          <w:rStyle w:val="normaltextrun"/>
          <w:sz w:val="24"/>
          <w:szCs w:val="24"/>
        </w:rPr>
        <w:t xml:space="preserve">to </w:t>
      </w:r>
      <w:r w:rsidRPr="49073563" w:rsidR="00D35D39">
        <w:rPr>
          <w:rStyle w:val="normaltextrun"/>
          <w:sz w:val="24"/>
          <w:szCs w:val="24"/>
        </w:rPr>
        <w:t xml:space="preserve">monitor </w:t>
      </w:r>
      <w:r w:rsidRPr="49073563" w:rsidR="00EC04C4">
        <w:rPr>
          <w:rStyle w:val="normaltextrun"/>
          <w:sz w:val="24"/>
          <w:szCs w:val="24"/>
        </w:rPr>
        <w:t>grant compliance</w:t>
      </w:r>
      <w:r w:rsidRPr="49073563" w:rsidR="0071247A">
        <w:rPr>
          <w:rStyle w:val="normaltextrun"/>
          <w:sz w:val="24"/>
          <w:szCs w:val="24"/>
        </w:rPr>
        <w:t>.</w:t>
      </w:r>
    </w:p>
    <w:p w:rsidR="0004474D" w:rsidP="0063293C" w14:paraId="3E00EC0D" w14:textId="77777777">
      <w:pPr>
        <w:spacing w:after="0"/>
        <w:rPr>
          <w:rStyle w:val="normaltextrun"/>
          <w:sz w:val="24"/>
          <w:szCs w:val="24"/>
        </w:rPr>
      </w:pPr>
    </w:p>
    <w:p w:rsidR="0098443B" w:rsidP="0004474D" w14:paraId="5D487CD3" w14:textId="68003C36">
      <w:pPr>
        <w:pStyle w:val="ListParagraph"/>
        <w:numPr>
          <w:ilvl w:val="0"/>
          <w:numId w:val="18"/>
        </w:numPr>
        <w:spacing w:after="0"/>
        <w:rPr>
          <w:sz w:val="24"/>
          <w:szCs w:val="24"/>
        </w:rPr>
      </w:pPr>
      <w:r w:rsidRPr="06EDF83A">
        <w:rPr>
          <w:rStyle w:val="normaltextrun"/>
          <w:sz w:val="24"/>
          <w:szCs w:val="24"/>
        </w:rPr>
        <w:t xml:space="preserve">The </w:t>
      </w:r>
      <w:r w:rsidRPr="06EDF83A">
        <w:rPr>
          <w:rStyle w:val="normaltextrun"/>
          <w:i/>
          <w:iCs/>
          <w:sz w:val="24"/>
          <w:szCs w:val="24"/>
        </w:rPr>
        <w:t>MAI PT Pilot</w:t>
      </w:r>
      <w:r w:rsidRPr="06EDF83A" w:rsidR="00B334F8">
        <w:rPr>
          <w:rStyle w:val="normaltextrun"/>
          <w:i/>
          <w:iCs/>
          <w:sz w:val="24"/>
          <w:szCs w:val="24"/>
        </w:rPr>
        <w:t xml:space="preserve"> </w:t>
      </w:r>
      <w:r w:rsidRPr="06EDF83A" w:rsidR="00C50C91">
        <w:rPr>
          <w:rStyle w:val="normaltextrun"/>
          <w:i/>
          <w:iCs/>
          <w:sz w:val="24"/>
          <w:szCs w:val="24"/>
        </w:rPr>
        <w:t>Online Reporting Tool (</w:t>
      </w:r>
      <w:r w:rsidRPr="06EDF83A" w:rsidR="00725D81">
        <w:rPr>
          <w:rStyle w:val="normaltextrun"/>
          <w:i/>
          <w:iCs/>
          <w:sz w:val="24"/>
          <w:szCs w:val="24"/>
        </w:rPr>
        <w:t>MAI</w:t>
      </w:r>
      <w:r w:rsidRPr="06EDF83A" w:rsidR="008F0FD8">
        <w:rPr>
          <w:rStyle w:val="normaltextrun"/>
          <w:i/>
          <w:iCs/>
          <w:sz w:val="24"/>
          <w:szCs w:val="24"/>
        </w:rPr>
        <w:t>-</w:t>
      </w:r>
      <w:r w:rsidRPr="06EDF83A" w:rsidR="00725D81">
        <w:rPr>
          <w:rStyle w:val="normaltextrun"/>
          <w:i/>
          <w:iCs/>
          <w:sz w:val="24"/>
          <w:szCs w:val="24"/>
        </w:rPr>
        <w:t>PORT</w:t>
      </w:r>
      <w:r w:rsidRPr="06EDF83A" w:rsidR="00C50C91">
        <w:rPr>
          <w:rStyle w:val="normaltextrun"/>
          <w:i/>
          <w:iCs/>
          <w:sz w:val="24"/>
          <w:szCs w:val="24"/>
        </w:rPr>
        <w:t>)</w:t>
      </w:r>
      <w:r w:rsidRPr="06EDF83A" w:rsidR="00322AAB">
        <w:rPr>
          <w:rStyle w:val="normaltextrun"/>
          <w:sz w:val="24"/>
          <w:szCs w:val="24"/>
        </w:rPr>
        <w:t xml:space="preserve"> will be </w:t>
      </w:r>
      <w:r w:rsidRPr="06EDF83A" w:rsidR="006274E4">
        <w:rPr>
          <w:rStyle w:val="normaltextrun"/>
          <w:sz w:val="24"/>
          <w:szCs w:val="24"/>
        </w:rPr>
        <w:t>used to conduct programmatic performance monitoring</w:t>
      </w:r>
      <w:r w:rsidRPr="06EDF83A" w:rsidR="00057DAD">
        <w:rPr>
          <w:rStyle w:val="normaltextrun"/>
          <w:sz w:val="24"/>
          <w:szCs w:val="24"/>
        </w:rPr>
        <w:t xml:space="preserve">. </w:t>
      </w:r>
      <w:r w:rsidRPr="06EDF83A" w:rsidR="00E71691">
        <w:rPr>
          <w:rStyle w:val="normaltextrun"/>
          <w:sz w:val="24"/>
          <w:szCs w:val="24"/>
        </w:rPr>
        <w:t>Th</w:t>
      </w:r>
      <w:r w:rsidRPr="06EDF83A" w:rsidR="00472C7A">
        <w:rPr>
          <w:rStyle w:val="normaltextrun"/>
          <w:sz w:val="24"/>
          <w:szCs w:val="24"/>
        </w:rPr>
        <w:t>e MAI</w:t>
      </w:r>
      <w:r w:rsidRPr="06EDF83A" w:rsidR="0042409F">
        <w:rPr>
          <w:rStyle w:val="normaltextrun"/>
          <w:sz w:val="24"/>
          <w:szCs w:val="24"/>
        </w:rPr>
        <w:t>-</w:t>
      </w:r>
      <w:r w:rsidRPr="06EDF83A" w:rsidR="00BE2096">
        <w:rPr>
          <w:rStyle w:val="normaltextrun"/>
          <w:sz w:val="24"/>
          <w:szCs w:val="24"/>
        </w:rPr>
        <w:t xml:space="preserve">PORT </w:t>
      </w:r>
      <w:r w:rsidRPr="06EDF83A" w:rsidR="00127210">
        <w:rPr>
          <w:rStyle w:val="normaltextrun"/>
          <w:sz w:val="24"/>
          <w:szCs w:val="24"/>
        </w:rPr>
        <w:t xml:space="preserve">is comprised of </w:t>
      </w:r>
      <w:r w:rsidRPr="06EDF83A" w:rsidR="00DC421D">
        <w:rPr>
          <w:rStyle w:val="normaltextrun"/>
          <w:sz w:val="24"/>
          <w:szCs w:val="24"/>
        </w:rPr>
        <w:t>t</w:t>
      </w:r>
      <w:r w:rsidRPr="06EDF83A" w:rsidR="00240F19">
        <w:rPr>
          <w:rStyle w:val="normaltextrun"/>
          <w:sz w:val="24"/>
          <w:szCs w:val="24"/>
        </w:rPr>
        <w:t>wo</w:t>
      </w:r>
      <w:r w:rsidRPr="06EDF83A" w:rsidR="00DC421D">
        <w:rPr>
          <w:rStyle w:val="normaltextrun"/>
          <w:sz w:val="24"/>
          <w:szCs w:val="24"/>
        </w:rPr>
        <w:t xml:space="preserve"> </w:t>
      </w:r>
      <w:r w:rsidRPr="06EDF83A" w:rsidR="00252938">
        <w:rPr>
          <w:rStyle w:val="normaltextrun"/>
          <w:sz w:val="24"/>
          <w:szCs w:val="24"/>
        </w:rPr>
        <w:t xml:space="preserve">main </w:t>
      </w:r>
      <w:r w:rsidRPr="06EDF83A" w:rsidR="001B58EA">
        <w:rPr>
          <w:rStyle w:val="normaltextrun"/>
          <w:sz w:val="24"/>
          <w:szCs w:val="24"/>
        </w:rPr>
        <w:t>sections</w:t>
      </w:r>
      <w:r w:rsidRPr="06EDF83A" w:rsidR="00127210">
        <w:rPr>
          <w:rStyle w:val="normaltextrun"/>
          <w:sz w:val="24"/>
          <w:szCs w:val="24"/>
        </w:rPr>
        <w:t xml:space="preserve">: 1) </w:t>
      </w:r>
      <w:r w:rsidRPr="06EDF83A" w:rsidR="00971609">
        <w:rPr>
          <w:rStyle w:val="normaltextrun"/>
          <w:sz w:val="24"/>
          <w:szCs w:val="24"/>
        </w:rPr>
        <w:t>A</w:t>
      </w:r>
      <w:r w:rsidRPr="06EDF83A" w:rsidR="00DA66E5">
        <w:rPr>
          <w:rStyle w:val="normaltextrun"/>
          <w:sz w:val="24"/>
          <w:szCs w:val="24"/>
        </w:rPr>
        <w:t>nnual Targets Report</w:t>
      </w:r>
      <w:r w:rsidRPr="06EDF83A" w:rsidR="00127210">
        <w:rPr>
          <w:rStyle w:val="normaltextrun"/>
          <w:sz w:val="24"/>
          <w:szCs w:val="24"/>
        </w:rPr>
        <w:t xml:space="preserve"> </w:t>
      </w:r>
      <w:r w:rsidR="003F1A50">
        <w:rPr>
          <w:rStyle w:val="normaltextrun"/>
          <w:sz w:val="24"/>
          <w:szCs w:val="24"/>
        </w:rPr>
        <w:t>(AT</w:t>
      </w:r>
      <w:r w:rsidR="00E27EA4">
        <w:rPr>
          <w:rStyle w:val="normaltextrun"/>
          <w:sz w:val="24"/>
          <w:szCs w:val="24"/>
        </w:rPr>
        <w:t>R</w:t>
      </w:r>
      <w:r w:rsidR="003F1A50">
        <w:rPr>
          <w:rStyle w:val="normaltextrun"/>
          <w:sz w:val="24"/>
          <w:szCs w:val="24"/>
        </w:rPr>
        <w:t xml:space="preserve">) </w:t>
      </w:r>
      <w:r w:rsidRPr="06EDF83A" w:rsidR="00127210">
        <w:rPr>
          <w:rStyle w:val="normaltextrun"/>
          <w:sz w:val="24"/>
          <w:szCs w:val="24"/>
        </w:rPr>
        <w:t xml:space="preserve">section </w:t>
      </w:r>
      <w:r w:rsidRPr="06EDF83A" w:rsidR="007A28AE">
        <w:rPr>
          <w:rStyle w:val="normaltextrun"/>
          <w:sz w:val="24"/>
          <w:szCs w:val="24"/>
        </w:rPr>
        <w:t xml:space="preserve">for </w:t>
      </w:r>
      <w:r w:rsidRPr="06EDF83A" w:rsidR="00E9129B">
        <w:rPr>
          <w:rStyle w:val="normaltextrun"/>
          <w:sz w:val="24"/>
          <w:szCs w:val="24"/>
        </w:rPr>
        <w:t xml:space="preserve">MAI PT Pilot </w:t>
      </w:r>
      <w:r w:rsidRPr="06EDF83A" w:rsidR="000E3AEA">
        <w:rPr>
          <w:rStyle w:val="normaltextrun"/>
          <w:sz w:val="24"/>
          <w:szCs w:val="24"/>
        </w:rPr>
        <w:t xml:space="preserve">grant recipients </w:t>
      </w:r>
      <w:r w:rsidRPr="06EDF83A" w:rsidR="00127210">
        <w:rPr>
          <w:rStyle w:val="normaltextrun"/>
          <w:sz w:val="24"/>
          <w:szCs w:val="24"/>
        </w:rPr>
        <w:t xml:space="preserve">to report annual </w:t>
      </w:r>
      <w:r w:rsidRPr="06EDF83A" w:rsidR="00FE4A4C">
        <w:rPr>
          <w:rStyle w:val="normaltextrun"/>
          <w:sz w:val="24"/>
          <w:szCs w:val="24"/>
        </w:rPr>
        <w:t xml:space="preserve">federal fiscal year </w:t>
      </w:r>
      <w:r w:rsidRPr="06EDF83A" w:rsidR="00127210">
        <w:rPr>
          <w:rStyle w:val="normaltextrun"/>
          <w:sz w:val="24"/>
          <w:szCs w:val="24"/>
        </w:rPr>
        <w:t xml:space="preserve">programmatic goals, </w:t>
      </w:r>
      <w:r w:rsidRPr="06EDF83A" w:rsidR="00240F19">
        <w:rPr>
          <w:rStyle w:val="normaltextrun"/>
          <w:sz w:val="24"/>
          <w:szCs w:val="24"/>
        </w:rPr>
        <w:t xml:space="preserve">and </w:t>
      </w:r>
      <w:r w:rsidRPr="06EDF83A" w:rsidR="00127210">
        <w:rPr>
          <w:rStyle w:val="normaltextrun"/>
          <w:sz w:val="24"/>
          <w:szCs w:val="24"/>
        </w:rPr>
        <w:t xml:space="preserve">2) Quarterly </w:t>
      </w:r>
      <w:r w:rsidRPr="06EDF83A" w:rsidR="00DA66E5">
        <w:rPr>
          <w:rStyle w:val="normaltextrun"/>
          <w:sz w:val="24"/>
          <w:szCs w:val="24"/>
        </w:rPr>
        <w:t>Performance Report</w:t>
      </w:r>
      <w:r w:rsidRPr="06EDF83A" w:rsidR="006D6DDF">
        <w:rPr>
          <w:rStyle w:val="normaltextrun"/>
          <w:sz w:val="24"/>
          <w:szCs w:val="24"/>
        </w:rPr>
        <w:t xml:space="preserve"> </w:t>
      </w:r>
      <w:r w:rsidR="003F1A50">
        <w:rPr>
          <w:rStyle w:val="normaltextrun"/>
          <w:sz w:val="24"/>
          <w:szCs w:val="24"/>
        </w:rPr>
        <w:t xml:space="preserve">(QPR) </w:t>
      </w:r>
      <w:r w:rsidRPr="06EDF83A" w:rsidR="00C76BFB">
        <w:rPr>
          <w:rStyle w:val="normaltextrun"/>
          <w:sz w:val="24"/>
          <w:szCs w:val="24"/>
        </w:rPr>
        <w:t>for</w:t>
      </w:r>
      <w:r w:rsidRPr="06EDF83A" w:rsidR="00127210">
        <w:rPr>
          <w:rStyle w:val="normaltextrun"/>
          <w:sz w:val="24"/>
          <w:szCs w:val="24"/>
        </w:rPr>
        <w:t xml:space="preserve"> </w:t>
      </w:r>
      <w:r w:rsidRPr="06EDF83A" w:rsidR="00732947">
        <w:rPr>
          <w:rStyle w:val="normaltextrun"/>
          <w:sz w:val="24"/>
          <w:szCs w:val="24"/>
        </w:rPr>
        <w:t>grantee</w:t>
      </w:r>
      <w:r w:rsidRPr="06EDF83A" w:rsidR="007B515F">
        <w:rPr>
          <w:rStyle w:val="normaltextrun"/>
          <w:sz w:val="24"/>
          <w:szCs w:val="24"/>
        </w:rPr>
        <w:t>s</w:t>
      </w:r>
      <w:r w:rsidRPr="06EDF83A" w:rsidR="00732947">
        <w:rPr>
          <w:rStyle w:val="normaltextrun"/>
          <w:sz w:val="24"/>
          <w:szCs w:val="24"/>
        </w:rPr>
        <w:t xml:space="preserve"> </w:t>
      </w:r>
      <w:r w:rsidRPr="06EDF83A" w:rsidR="00127210">
        <w:rPr>
          <w:rStyle w:val="normaltextrun"/>
          <w:sz w:val="24"/>
          <w:szCs w:val="24"/>
        </w:rPr>
        <w:t>to report grant activities</w:t>
      </w:r>
      <w:r w:rsidRPr="06EDF83A" w:rsidR="00FE4A4C">
        <w:rPr>
          <w:rStyle w:val="normaltextrun"/>
          <w:sz w:val="24"/>
          <w:szCs w:val="24"/>
        </w:rPr>
        <w:t xml:space="preserve"> implemented during each federal fiscal quarter</w:t>
      </w:r>
      <w:r w:rsidRPr="06EDF83A" w:rsidR="00127210">
        <w:rPr>
          <w:rStyle w:val="normaltextrun"/>
          <w:sz w:val="24"/>
          <w:szCs w:val="24"/>
        </w:rPr>
        <w:t>.</w:t>
      </w:r>
      <w:r w:rsidRPr="06EDF83A" w:rsidR="00190765">
        <w:rPr>
          <w:rStyle w:val="normaltextrun"/>
          <w:sz w:val="24"/>
          <w:szCs w:val="24"/>
        </w:rPr>
        <w:t xml:space="preserve"> </w:t>
      </w:r>
      <w:r w:rsidRPr="06EDF83A" w:rsidR="00081CA6">
        <w:rPr>
          <w:rFonts w:cs="Times New Roman"/>
          <w:sz w:val="24"/>
          <w:szCs w:val="24"/>
        </w:rPr>
        <w:t xml:space="preserve">In developing the </w:t>
      </w:r>
      <w:r w:rsidRPr="06EDF83A" w:rsidR="00FB3E85">
        <w:rPr>
          <w:rFonts w:cs="Times New Roman"/>
          <w:sz w:val="24"/>
          <w:szCs w:val="24"/>
        </w:rPr>
        <w:t>MAI</w:t>
      </w:r>
      <w:r w:rsidRPr="06EDF83A" w:rsidR="0042409F">
        <w:rPr>
          <w:rFonts w:cs="Times New Roman"/>
          <w:sz w:val="24"/>
          <w:szCs w:val="24"/>
        </w:rPr>
        <w:t>-</w:t>
      </w:r>
      <w:r w:rsidRPr="06EDF83A" w:rsidR="00FB3E85">
        <w:rPr>
          <w:rFonts w:cs="Times New Roman"/>
          <w:sz w:val="24"/>
          <w:szCs w:val="24"/>
        </w:rPr>
        <w:t xml:space="preserve">PORT </w:t>
      </w:r>
      <w:r w:rsidR="003F1A50">
        <w:rPr>
          <w:rFonts w:cs="Times New Roman"/>
          <w:sz w:val="24"/>
          <w:szCs w:val="24"/>
        </w:rPr>
        <w:t>AT</w:t>
      </w:r>
      <w:r w:rsidR="007A2879">
        <w:rPr>
          <w:rFonts w:cs="Times New Roman"/>
          <w:sz w:val="24"/>
          <w:szCs w:val="24"/>
        </w:rPr>
        <w:t>R</w:t>
      </w:r>
      <w:r w:rsidR="003F1A50">
        <w:rPr>
          <w:rFonts w:cs="Times New Roman"/>
          <w:sz w:val="24"/>
          <w:szCs w:val="24"/>
        </w:rPr>
        <w:t xml:space="preserve"> and QPR</w:t>
      </w:r>
      <w:r w:rsidRPr="06EDF83A" w:rsidR="00081CA6">
        <w:rPr>
          <w:rFonts w:cs="Times New Roman"/>
          <w:sz w:val="24"/>
          <w:szCs w:val="24"/>
        </w:rPr>
        <w:t xml:space="preserve">, </w:t>
      </w:r>
      <w:r w:rsidRPr="06EDF83A" w:rsidR="28AF3AFB">
        <w:rPr>
          <w:rFonts w:cs="Times New Roman"/>
          <w:sz w:val="24"/>
          <w:szCs w:val="24"/>
        </w:rPr>
        <w:t xml:space="preserve">SAMHSA </w:t>
      </w:r>
      <w:r w:rsidRPr="06EDF83A" w:rsidR="00081CA6">
        <w:rPr>
          <w:rFonts w:cs="Times New Roman"/>
          <w:sz w:val="24"/>
          <w:szCs w:val="24"/>
        </w:rPr>
        <w:t>sought the ability to elicit programmatic information that demonstrates impact at the program aggregate level</w:t>
      </w:r>
      <w:r w:rsidRPr="06EDF83A" w:rsidR="00720723">
        <w:rPr>
          <w:rFonts w:cs="Times New Roman"/>
          <w:sz w:val="24"/>
          <w:szCs w:val="24"/>
        </w:rPr>
        <w:t>.</w:t>
      </w:r>
      <w:r w:rsidRPr="06EDF83A" w:rsidR="00190765">
        <w:rPr>
          <w:rFonts w:cs="Times New Roman"/>
          <w:sz w:val="24"/>
          <w:szCs w:val="24"/>
        </w:rPr>
        <w:t xml:space="preserve"> </w:t>
      </w:r>
    </w:p>
    <w:p w:rsidR="00CD78A2" w:rsidP="0063293C" w14:paraId="0134269F" w14:textId="6486FAD7">
      <w:pPr>
        <w:spacing w:after="0"/>
        <w:rPr>
          <w:rFonts w:cs="Times New Roman"/>
          <w:sz w:val="24"/>
          <w:szCs w:val="24"/>
        </w:rPr>
      </w:pPr>
      <w:r w:rsidRPr="47E3C7F9">
        <w:rPr>
          <w:rFonts w:cs="Times New Roman"/>
          <w:sz w:val="24"/>
          <w:szCs w:val="24"/>
        </w:rPr>
        <w:t>D</w:t>
      </w:r>
      <w:r w:rsidRPr="47E3C7F9" w:rsidR="00720723">
        <w:rPr>
          <w:rFonts w:cs="Times New Roman"/>
          <w:sz w:val="24"/>
          <w:szCs w:val="24"/>
        </w:rPr>
        <w:t xml:space="preserve">ata </w:t>
      </w:r>
      <w:r w:rsidRPr="47E3C7F9" w:rsidR="0063293C">
        <w:rPr>
          <w:rFonts w:cs="Times New Roman"/>
          <w:sz w:val="24"/>
          <w:szCs w:val="24"/>
        </w:rPr>
        <w:t xml:space="preserve">collected through </w:t>
      </w:r>
      <w:r w:rsidRPr="47E3C7F9" w:rsidR="00CF5119">
        <w:rPr>
          <w:rFonts w:cs="Times New Roman"/>
          <w:sz w:val="24"/>
          <w:szCs w:val="24"/>
        </w:rPr>
        <w:t>the MAI-PORT</w:t>
      </w:r>
      <w:r w:rsidRPr="47E3C7F9" w:rsidR="0063293C">
        <w:rPr>
          <w:rFonts w:cs="Times New Roman"/>
          <w:sz w:val="24"/>
          <w:szCs w:val="24"/>
        </w:rPr>
        <w:t xml:space="preserve"> are necessary to ensure SAMHSA and grantees comply with requirements under the Government Performance and Results Act Modernization Act of 2010 (GPRA) that requires regular reporting of performance measures. Additionally, data collected through </w:t>
      </w:r>
      <w:r w:rsidRPr="47E3C7F9" w:rsidR="00344D73">
        <w:rPr>
          <w:rFonts w:cs="Times New Roman"/>
          <w:sz w:val="24"/>
          <w:szCs w:val="24"/>
        </w:rPr>
        <w:t>these tools</w:t>
      </w:r>
      <w:r w:rsidRPr="47E3C7F9" w:rsidR="00124622">
        <w:rPr>
          <w:rStyle w:val="normaltextrun"/>
          <w:sz w:val="24"/>
          <w:szCs w:val="24"/>
        </w:rPr>
        <w:t xml:space="preserve"> </w:t>
      </w:r>
      <w:r w:rsidRPr="47E3C7F9" w:rsidR="009256C7">
        <w:rPr>
          <w:rStyle w:val="normaltextrun"/>
          <w:sz w:val="24"/>
          <w:szCs w:val="24"/>
        </w:rPr>
        <w:t xml:space="preserve">will </w:t>
      </w:r>
      <w:r w:rsidRPr="47E3C7F9" w:rsidR="0063293C">
        <w:rPr>
          <w:rFonts w:cs="Times New Roman"/>
          <w:sz w:val="24"/>
          <w:szCs w:val="24"/>
        </w:rPr>
        <w:t xml:space="preserve">provide critical information to SAMHSA’s </w:t>
      </w:r>
      <w:r w:rsidRPr="47E3C7F9" w:rsidR="00B30033">
        <w:rPr>
          <w:rFonts w:cs="Times New Roman"/>
          <w:sz w:val="24"/>
          <w:szCs w:val="24"/>
        </w:rPr>
        <w:t xml:space="preserve">Government </w:t>
      </w:r>
      <w:r w:rsidRPr="47E3C7F9" w:rsidR="0063293C">
        <w:rPr>
          <w:rFonts w:cs="Times New Roman"/>
          <w:sz w:val="24"/>
          <w:szCs w:val="24"/>
        </w:rPr>
        <w:t xml:space="preserve">Project Officers </w:t>
      </w:r>
      <w:r w:rsidRPr="47E3C7F9" w:rsidR="5ADA628C">
        <w:rPr>
          <w:rFonts w:cs="Times New Roman"/>
          <w:sz w:val="24"/>
          <w:szCs w:val="24"/>
        </w:rPr>
        <w:t>(GPOs)</w:t>
      </w:r>
      <w:r w:rsidRPr="47E3C7F9" w:rsidR="0063293C">
        <w:rPr>
          <w:rFonts w:cs="Times New Roman"/>
          <w:sz w:val="24"/>
          <w:szCs w:val="24"/>
        </w:rPr>
        <w:t xml:space="preserve"> related to grant oversight, including barriers and facilitators that the grantees have experienced, and an understanding of the technical assistance needed to help grantees implement their programs. The information also provides a mechanism to ensure grantees are meeting the requirements of the grant funding announcement as outlined in their notice of grant award. </w:t>
      </w:r>
      <w:r w:rsidRPr="47E3C7F9" w:rsidR="004B6743">
        <w:rPr>
          <w:rFonts w:cs="Times New Roman"/>
          <w:sz w:val="24"/>
          <w:szCs w:val="24"/>
        </w:rPr>
        <w:t>In addition, t</w:t>
      </w:r>
      <w:r w:rsidRPr="47E3C7F9" w:rsidR="00B657D8">
        <w:rPr>
          <w:rFonts w:cs="Times New Roman"/>
          <w:sz w:val="24"/>
          <w:szCs w:val="24"/>
        </w:rPr>
        <w:t>he tool</w:t>
      </w:r>
      <w:r w:rsidRPr="47E3C7F9" w:rsidR="005A1756">
        <w:rPr>
          <w:rFonts w:cs="Times New Roman"/>
          <w:sz w:val="24"/>
          <w:szCs w:val="24"/>
        </w:rPr>
        <w:t>s</w:t>
      </w:r>
      <w:r w:rsidRPr="47E3C7F9" w:rsidR="00B657D8">
        <w:rPr>
          <w:rFonts w:cs="Times New Roman"/>
          <w:sz w:val="24"/>
          <w:szCs w:val="24"/>
        </w:rPr>
        <w:t xml:space="preserve"> reflect CSAP</w:t>
      </w:r>
      <w:r w:rsidR="008C0BAE">
        <w:rPr>
          <w:rFonts w:cs="Times New Roman"/>
          <w:sz w:val="24"/>
          <w:szCs w:val="24"/>
        </w:rPr>
        <w:t xml:space="preserve"> </w:t>
      </w:r>
      <w:r w:rsidRPr="47E3C7F9" w:rsidR="00662130">
        <w:rPr>
          <w:rFonts w:cs="Times New Roman"/>
          <w:sz w:val="24"/>
          <w:szCs w:val="24"/>
        </w:rPr>
        <w:t xml:space="preserve">and </w:t>
      </w:r>
      <w:r w:rsidRPr="47E3C7F9" w:rsidR="00EC7DD1">
        <w:rPr>
          <w:rFonts w:cs="Times New Roman"/>
          <w:sz w:val="24"/>
          <w:szCs w:val="24"/>
        </w:rPr>
        <w:t>CSAT</w:t>
      </w:r>
      <w:r w:rsidRPr="47E3C7F9" w:rsidR="00B657D8">
        <w:rPr>
          <w:rFonts w:cs="Times New Roman"/>
          <w:sz w:val="24"/>
          <w:szCs w:val="24"/>
        </w:rPr>
        <w:t xml:space="preserve">’s desire to elicit pertinent program level data that can be used not only </w:t>
      </w:r>
      <w:r w:rsidRPr="47E3C7F9" w:rsidR="004C6ABC">
        <w:rPr>
          <w:rFonts w:cs="Times New Roman"/>
          <w:sz w:val="24"/>
          <w:szCs w:val="24"/>
        </w:rPr>
        <w:t xml:space="preserve">to </w:t>
      </w:r>
      <w:r w:rsidRPr="47E3C7F9" w:rsidR="00B657D8">
        <w:rPr>
          <w:rFonts w:cs="Times New Roman"/>
          <w:sz w:val="24"/>
          <w:szCs w:val="24"/>
        </w:rPr>
        <w:t xml:space="preserve">guide future programs and practices, but also </w:t>
      </w:r>
      <w:r w:rsidRPr="47E3C7F9" w:rsidR="004C6ABC">
        <w:rPr>
          <w:rFonts w:cs="Times New Roman"/>
          <w:sz w:val="24"/>
          <w:szCs w:val="24"/>
        </w:rPr>
        <w:t xml:space="preserve">to </w:t>
      </w:r>
      <w:r w:rsidRPr="47E3C7F9" w:rsidR="00B657D8">
        <w:rPr>
          <w:rFonts w:cs="Times New Roman"/>
          <w:sz w:val="24"/>
          <w:szCs w:val="24"/>
        </w:rPr>
        <w:t>respond to stakeholder, congressional</w:t>
      </w:r>
      <w:r w:rsidRPr="47E3C7F9" w:rsidR="4423F089">
        <w:rPr>
          <w:rFonts w:cs="Times New Roman"/>
          <w:sz w:val="24"/>
          <w:szCs w:val="24"/>
        </w:rPr>
        <w:t>,</w:t>
      </w:r>
      <w:r w:rsidRPr="47E3C7F9" w:rsidR="00B657D8">
        <w:rPr>
          <w:rFonts w:cs="Times New Roman"/>
          <w:sz w:val="24"/>
          <w:szCs w:val="24"/>
        </w:rPr>
        <w:t xml:space="preserve"> and agency inquiries.</w:t>
      </w:r>
    </w:p>
    <w:p w:rsidR="00CF5119" w:rsidRPr="0050720B" w:rsidP="0063293C" w14:paraId="695B10BA" w14:textId="77777777">
      <w:pPr>
        <w:spacing w:after="0"/>
        <w:rPr>
          <w:rFonts w:cs="Times New Roman"/>
          <w:sz w:val="24"/>
          <w:szCs w:val="24"/>
        </w:rPr>
      </w:pPr>
    </w:p>
    <w:p w:rsidR="00953B75" w:rsidRPr="009256C7" w:rsidP="00953B75" w14:paraId="4E6D3A20" w14:textId="4B14238E">
      <w:pPr>
        <w:pStyle w:val="paragraph"/>
        <w:spacing w:before="0" w:beforeAutospacing="0" w:after="0" w:afterAutospacing="0"/>
        <w:textAlignment w:val="baseline"/>
      </w:pPr>
      <w:r>
        <w:rPr>
          <w:rStyle w:val="normaltextrun"/>
        </w:rPr>
        <w:t xml:space="preserve">SAMHSA requests approval for the following </w:t>
      </w:r>
      <w:r w:rsidR="00766EF6">
        <w:rPr>
          <w:rStyle w:val="normaltextrun"/>
        </w:rPr>
        <w:t>suite o</w:t>
      </w:r>
      <w:r w:rsidR="0089237F">
        <w:rPr>
          <w:rStyle w:val="normaltextrun"/>
        </w:rPr>
        <w:t xml:space="preserve">f data collection instruments as shown in </w:t>
      </w:r>
      <w:r w:rsidR="007D003E">
        <w:rPr>
          <w:rStyle w:val="normaltextrun"/>
        </w:rPr>
        <w:t>Table 1</w:t>
      </w:r>
      <w:r w:rsidRPr="5924AFAC" w:rsidR="007D003E">
        <w:rPr>
          <w:rStyle w:val="eop"/>
        </w:rPr>
        <w:t>.</w:t>
      </w:r>
    </w:p>
    <w:p w:rsidR="00C03228" w:rsidRPr="00D163BF" w:rsidP="00D163BF" w14:paraId="497CAA3E" w14:textId="5EA4C8EA">
      <w:pPr>
        <w:pStyle w:val="ExhibitTitle"/>
        <w:spacing w:before="240" w:after="60"/>
        <w:rPr>
          <w:rFonts w:cs="Times New Roman"/>
          <w:sz w:val="24"/>
          <w:szCs w:val="24"/>
        </w:rPr>
      </w:pPr>
      <w:r w:rsidRPr="00D163BF">
        <w:rPr>
          <w:rFonts w:cs="Times New Roman"/>
          <w:sz w:val="24"/>
          <w:szCs w:val="24"/>
        </w:rPr>
        <w:t>Table</w:t>
      </w:r>
      <w:r w:rsidRPr="00D163BF">
        <w:rPr>
          <w:rFonts w:cs="Times New Roman"/>
          <w:sz w:val="24"/>
          <w:szCs w:val="24"/>
        </w:rPr>
        <w:t xml:space="preserve"> </w:t>
      </w:r>
      <w:r w:rsidRPr="00D163BF" w:rsidR="004B5AA0">
        <w:rPr>
          <w:rFonts w:cs="Times New Roman"/>
          <w:sz w:val="24"/>
          <w:szCs w:val="24"/>
        </w:rPr>
        <w:t>1</w:t>
      </w:r>
      <w:r w:rsidRPr="00D163BF">
        <w:rPr>
          <w:rFonts w:cs="Times New Roman"/>
          <w:sz w:val="24"/>
          <w:szCs w:val="24"/>
        </w:rPr>
        <w:t>. Data Collection Tools</w:t>
      </w:r>
    </w:p>
    <w:tbl>
      <w:tblPr>
        <w:tblStyle w:val="TableGrid"/>
        <w:tblW w:w="9535" w:type="dxa"/>
        <w:tblLayout w:type="fixed"/>
        <w:tblLook w:val="04A0"/>
      </w:tblPr>
      <w:tblGrid>
        <w:gridCol w:w="8095"/>
        <w:gridCol w:w="1440"/>
      </w:tblGrid>
      <w:tr w14:paraId="32C2A326" w14:textId="77777777" w:rsidTr="49073563">
        <w:tblPrEx>
          <w:tblW w:w="9535" w:type="dxa"/>
          <w:tblLayout w:type="fixed"/>
          <w:tblLook w:val="04A0"/>
        </w:tblPrEx>
        <w:trPr>
          <w:tblHeader/>
        </w:trPr>
        <w:tc>
          <w:tcPr>
            <w:tcW w:w="8095" w:type="dxa"/>
            <w:vAlign w:val="center"/>
          </w:tcPr>
          <w:p w:rsidR="00EB72C1" w:rsidRPr="00662503" w:rsidP="009256C7" w14:paraId="45C9EF1E" w14:textId="1021B14D">
            <w:pPr>
              <w:spacing w:after="0"/>
              <w:jc w:val="center"/>
              <w:textAlignment w:val="baseline"/>
              <w:rPr>
                <w:rFonts w:eastAsia="Times New Roman" w:cs="Times New Roman"/>
                <w:b/>
                <w:bCs/>
                <w:sz w:val="24"/>
                <w:szCs w:val="24"/>
              </w:rPr>
            </w:pPr>
            <w:r>
              <w:rPr>
                <w:rFonts w:eastAsia="Times New Roman" w:cs="Times New Roman"/>
                <w:b/>
                <w:bCs/>
                <w:sz w:val="24"/>
                <w:szCs w:val="24"/>
              </w:rPr>
              <w:t>Instrument Name</w:t>
            </w:r>
          </w:p>
        </w:tc>
        <w:tc>
          <w:tcPr>
            <w:tcW w:w="1440" w:type="dxa"/>
            <w:vAlign w:val="center"/>
          </w:tcPr>
          <w:p w:rsidR="00EB72C1" w:rsidRPr="009256C7" w:rsidP="009256C7" w14:paraId="6EE7194D" w14:textId="4D4DE821">
            <w:pPr>
              <w:spacing w:after="0"/>
              <w:jc w:val="center"/>
              <w:textAlignment w:val="baseline"/>
              <w:rPr>
                <w:rFonts w:eastAsia="Times New Roman" w:cs="Times New Roman"/>
                <w:b/>
                <w:bCs/>
                <w:sz w:val="24"/>
                <w:szCs w:val="24"/>
              </w:rPr>
            </w:pPr>
            <w:r>
              <w:rPr>
                <w:rFonts w:eastAsia="Times New Roman" w:cs="Times New Roman"/>
                <w:b/>
                <w:bCs/>
                <w:sz w:val="24"/>
                <w:szCs w:val="24"/>
              </w:rPr>
              <w:t>Attachment</w:t>
            </w:r>
          </w:p>
        </w:tc>
      </w:tr>
      <w:tr w14:paraId="22814959" w14:textId="77777777" w:rsidTr="49073563">
        <w:tblPrEx>
          <w:tblW w:w="9535" w:type="dxa"/>
          <w:tblLayout w:type="fixed"/>
          <w:tblLook w:val="04A0"/>
        </w:tblPrEx>
        <w:trPr>
          <w:tblHeader/>
        </w:trPr>
        <w:tc>
          <w:tcPr>
            <w:tcW w:w="8095" w:type="dxa"/>
            <w:vAlign w:val="center"/>
          </w:tcPr>
          <w:p w:rsidR="00EC1870" w:rsidRPr="00662503" w:rsidP="00F44F08" w14:paraId="77463938" w14:textId="72BC9A0A">
            <w:pPr>
              <w:spacing w:after="0"/>
              <w:textAlignment w:val="baseline"/>
              <w:rPr>
                <w:rFonts w:eastAsia="Times New Roman" w:cs="Times New Roman"/>
                <w:b/>
                <w:bCs/>
                <w:sz w:val="24"/>
                <w:szCs w:val="24"/>
              </w:rPr>
            </w:pPr>
            <w:r>
              <w:rPr>
                <w:rFonts w:eastAsia="Times New Roman" w:cs="Times New Roman"/>
                <w:b/>
                <w:bCs/>
                <w:sz w:val="24"/>
                <w:szCs w:val="24"/>
              </w:rPr>
              <w:t>Grant Level Compliance</w:t>
            </w:r>
          </w:p>
        </w:tc>
        <w:tc>
          <w:tcPr>
            <w:tcW w:w="1440" w:type="dxa"/>
            <w:vAlign w:val="center"/>
          </w:tcPr>
          <w:p w:rsidR="00EB72C1" w:rsidRPr="00EC1870" w:rsidP="009256C7" w14:paraId="5C0E0FCE" w14:textId="2FF39EB1">
            <w:pPr>
              <w:spacing w:after="0"/>
              <w:jc w:val="center"/>
              <w:textAlignment w:val="baseline"/>
              <w:rPr>
                <w:rFonts w:eastAsia="Times New Roman" w:cs="Times New Roman"/>
                <w:sz w:val="24"/>
                <w:szCs w:val="24"/>
              </w:rPr>
            </w:pPr>
          </w:p>
        </w:tc>
      </w:tr>
      <w:tr w14:paraId="68A340D8" w14:textId="77777777" w:rsidTr="49073563">
        <w:tblPrEx>
          <w:tblW w:w="9535" w:type="dxa"/>
          <w:tblLayout w:type="fixed"/>
          <w:tblLook w:val="04A0"/>
        </w:tblPrEx>
        <w:tc>
          <w:tcPr>
            <w:tcW w:w="8095" w:type="dxa"/>
            <w:vAlign w:val="center"/>
          </w:tcPr>
          <w:p w:rsidR="001131D5" w:rsidRPr="00CE3608" w:rsidP="001131D5" w14:paraId="4E4A0EC7" w14:textId="0DEA07ED">
            <w:pPr>
              <w:spacing w:after="0"/>
              <w:ind w:left="246"/>
              <w:rPr>
                <w:sz w:val="24"/>
                <w:szCs w:val="24"/>
              </w:rPr>
            </w:pPr>
            <w:r w:rsidRPr="49073563">
              <w:rPr>
                <w:sz w:val="24"/>
                <w:szCs w:val="24"/>
              </w:rPr>
              <w:t>MAI PT Pilot Organizational Readiness Assessment (MAI</w:t>
            </w:r>
            <w:r w:rsidRPr="49073563" w:rsidR="00E8350B">
              <w:rPr>
                <w:sz w:val="24"/>
                <w:szCs w:val="24"/>
              </w:rPr>
              <w:t>-</w:t>
            </w:r>
            <w:r w:rsidRPr="49073563">
              <w:rPr>
                <w:sz w:val="24"/>
                <w:szCs w:val="24"/>
              </w:rPr>
              <w:t>ORA)</w:t>
            </w:r>
          </w:p>
        </w:tc>
        <w:tc>
          <w:tcPr>
            <w:tcW w:w="1440" w:type="dxa"/>
            <w:vAlign w:val="center"/>
          </w:tcPr>
          <w:p w:rsidR="001131D5" w:rsidP="001131D5" w14:paraId="0A25D684" w14:textId="3334960C">
            <w:pPr>
              <w:spacing w:after="0"/>
              <w:jc w:val="center"/>
              <w:textAlignment w:val="baseline"/>
              <w:rPr>
                <w:rFonts w:eastAsia="Times New Roman" w:cs="Times New Roman"/>
                <w:sz w:val="24"/>
                <w:szCs w:val="24"/>
              </w:rPr>
            </w:pPr>
            <w:r>
              <w:rPr>
                <w:rFonts w:eastAsia="Times New Roman" w:cs="Times New Roman"/>
                <w:sz w:val="24"/>
                <w:szCs w:val="24"/>
              </w:rPr>
              <w:t>1</w:t>
            </w:r>
          </w:p>
        </w:tc>
      </w:tr>
      <w:tr w14:paraId="44B024DF" w14:textId="77777777" w:rsidTr="49073563">
        <w:tblPrEx>
          <w:tblW w:w="9535" w:type="dxa"/>
          <w:tblLayout w:type="fixed"/>
          <w:tblLook w:val="04A0"/>
        </w:tblPrEx>
        <w:trPr>
          <w:tblHeader/>
        </w:trPr>
        <w:tc>
          <w:tcPr>
            <w:tcW w:w="8095" w:type="dxa"/>
            <w:vAlign w:val="center"/>
          </w:tcPr>
          <w:p w:rsidR="00B325EE" w:rsidRPr="004A259C" w:rsidP="001131D5" w14:paraId="01DF47A3" w14:textId="2F6E8209">
            <w:pPr>
              <w:spacing w:after="0"/>
              <w:ind w:left="246"/>
              <w:rPr>
                <w:sz w:val="24"/>
                <w:szCs w:val="24"/>
              </w:rPr>
            </w:pPr>
            <w:r w:rsidRPr="49073563">
              <w:rPr>
                <w:sz w:val="24"/>
                <w:szCs w:val="24"/>
              </w:rPr>
              <w:t>M</w:t>
            </w:r>
            <w:r w:rsidRPr="49073563" w:rsidR="0066133F">
              <w:rPr>
                <w:sz w:val="24"/>
                <w:szCs w:val="24"/>
              </w:rPr>
              <w:t>AI PT Pilot</w:t>
            </w:r>
            <w:r w:rsidRPr="49073563" w:rsidR="00696A64">
              <w:rPr>
                <w:sz w:val="24"/>
                <w:szCs w:val="24"/>
              </w:rPr>
              <w:t xml:space="preserve"> </w:t>
            </w:r>
            <w:r w:rsidRPr="49073563">
              <w:rPr>
                <w:sz w:val="24"/>
                <w:szCs w:val="24"/>
              </w:rPr>
              <w:t>Programmatic</w:t>
            </w:r>
            <w:r w:rsidRPr="49073563" w:rsidR="00B334F8">
              <w:rPr>
                <w:sz w:val="24"/>
                <w:szCs w:val="24"/>
              </w:rPr>
              <w:t xml:space="preserve"> </w:t>
            </w:r>
            <w:r w:rsidRPr="49073563">
              <w:rPr>
                <w:sz w:val="24"/>
                <w:szCs w:val="24"/>
              </w:rPr>
              <w:t xml:space="preserve">Progress Report </w:t>
            </w:r>
            <w:r w:rsidRPr="49073563" w:rsidR="00662130">
              <w:rPr>
                <w:sz w:val="24"/>
                <w:szCs w:val="24"/>
              </w:rPr>
              <w:t>(</w:t>
            </w:r>
            <w:r w:rsidRPr="49073563">
              <w:rPr>
                <w:sz w:val="24"/>
                <w:szCs w:val="24"/>
              </w:rPr>
              <w:t>MAI</w:t>
            </w:r>
            <w:r w:rsidRPr="49073563" w:rsidR="00E8350B">
              <w:rPr>
                <w:sz w:val="24"/>
                <w:szCs w:val="24"/>
              </w:rPr>
              <w:t>-</w:t>
            </w:r>
            <w:r w:rsidRPr="49073563">
              <w:rPr>
                <w:sz w:val="24"/>
                <w:szCs w:val="24"/>
              </w:rPr>
              <w:t>PPR)</w:t>
            </w:r>
          </w:p>
        </w:tc>
        <w:tc>
          <w:tcPr>
            <w:tcW w:w="1440" w:type="dxa"/>
            <w:vAlign w:val="center"/>
          </w:tcPr>
          <w:p w:rsidR="00B325EE" w:rsidRPr="003A7B64" w:rsidP="001131D5" w14:paraId="6DCBF62E" w14:textId="0597A969">
            <w:pPr>
              <w:spacing w:after="0"/>
              <w:jc w:val="center"/>
              <w:textAlignment w:val="baseline"/>
              <w:rPr>
                <w:rFonts w:eastAsia="Times New Roman" w:cs="Times New Roman"/>
                <w:sz w:val="24"/>
                <w:szCs w:val="24"/>
              </w:rPr>
            </w:pPr>
            <w:r>
              <w:rPr>
                <w:rFonts w:eastAsia="Times New Roman" w:cs="Times New Roman"/>
                <w:sz w:val="24"/>
                <w:szCs w:val="24"/>
              </w:rPr>
              <w:t>2</w:t>
            </w:r>
          </w:p>
        </w:tc>
      </w:tr>
      <w:tr w14:paraId="636B1B4F" w14:textId="77777777" w:rsidTr="49073563">
        <w:tblPrEx>
          <w:tblW w:w="9535" w:type="dxa"/>
          <w:tblLayout w:type="fixed"/>
          <w:tblLook w:val="04A0"/>
        </w:tblPrEx>
        <w:trPr>
          <w:tblHeader/>
        </w:trPr>
        <w:tc>
          <w:tcPr>
            <w:tcW w:w="8095" w:type="dxa"/>
            <w:vAlign w:val="center"/>
          </w:tcPr>
          <w:p w:rsidR="00B45026" w:rsidRPr="004A259C" w:rsidP="001131D5" w14:paraId="11CB3EEB" w14:textId="2736FB53">
            <w:pPr>
              <w:spacing w:after="0"/>
              <w:textAlignment w:val="baseline"/>
              <w:rPr>
                <w:rFonts w:eastAsia="Times New Roman" w:cs="Times New Roman"/>
                <w:b/>
                <w:bCs/>
                <w:sz w:val="24"/>
                <w:szCs w:val="24"/>
              </w:rPr>
            </w:pPr>
            <w:r w:rsidRPr="004A259C">
              <w:rPr>
                <w:rFonts w:eastAsia="Times New Roman" w:cs="Times New Roman"/>
                <w:b/>
                <w:bCs/>
                <w:sz w:val="24"/>
                <w:szCs w:val="24"/>
              </w:rPr>
              <w:t>Program Level Performance Monitoring</w:t>
            </w:r>
          </w:p>
        </w:tc>
        <w:tc>
          <w:tcPr>
            <w:tcW w:w="1440" w:type="dxa"/>
            <w:vAlign w:val="center"/>
          </w:tcPr>
          <w:p w:rsidR="00C03228" w:rsidRPr="009256C7" w:rsidP="001131D5" w14:paraId="3D3989E0" w14:textId="20876D8B">
            <w:pPr>
              <w:spacing w:after="0"/>
              <w:jc w:val="center"/>
              <w:textAlignment w:val="baseline"/>
              <w:rPr>
                <w:rFonts w:eastAsia="Times New Roman" w:cs="Times New Roman"/>
                <w:b/>
                <w:bCs/>
                <w:sz w:val="24"/>
                <w:szCs w:val="24"/>
              </w:rPr>
            </w:pPr>
          </w:p>
        </w:tc>
      </w:tr>
      <w:tr w14:paraId="32658B68" w14:textId="77777777" w:rsidTr="49073563">
        <w:tblPrEx>
          <w:tblW w:w="9535" w:type="dxa"/>
          <w:tblLayout w:type="fixed"/>
          <w:tblLook w:val="04A0"/>
        </w:tblPrEx>
        <w:trPr>
          <w:tblHeader/>
        </w:trPr>
        <w:tc>
          <w:tcPr>
            <w:tcW w:w="8095" w:type="dxa"/>
            <w:vAlign w:val="center"/>
          </w:tcPr>
          <w:p w:rsidR="00CE3608" w:rsidRPr="00CE3608" w:rsidP="001131D5" w14:paraId="50702A5B" w14:textId="3EE5E803">
            <w:pPr>
              <w:spacing w:after="0"/>
              <w:ind w:left="246"/>
              <w:rPr>
                <w:rFonts w:eastAsia="Times New Roman" w:cs="Times New Roman"/>
                <w:sz w:val="24"/>
                <w:szCs w:val="24"/>
              </w:rPr>
            </w:pPr>
            <w:r w:rsidRPr="49073563">
              <w:rPr>
                <w:rFonts w:eastAsia="Times New Roman" w:cs="Times New Roman"/>
                <w:sz w:val="24"/>
                <w:szCs w:val="24"/>
              </w:rPr>
              <w:t>MAI PT Pilot</w:t>
            </w:r>
            <w:r w:rsidRPr="49073563" w:rsidR="00696A64">
              <w:rPr>
                <w:sz w:val="24"/>
                <w:szCs w:val="24"/>
              </w:rPr>
              <w:t xml:space="preserve"> </w:t>
            </w:r>
            <w:r w:rsidRPr="49073563">
              <w:rPr>
                <w:rFonts w:eastAsia="Times New Roman" w:cs="Times New Roman"/>
                <w:sz w:val="24"/>
                <w:szCs w:val="24"/>
              </w:rPr>
              <w:t>Online Reporting Tool (MAI</w:t>
            </w:r>
            <w:r w:rsidRPr="49073563" w:rsidR="00E8350B">
              <w:rPr>
                <w:rFonts w:eastAsia="Times New Roman" w:cs="Times New Roman"/>
                <w:sz w:val="24"/>
                <w:szCs w:val="24"/>
              </w:rPr>
              <w:t>-</w:t>
            </w:r>
            <w:r w:rsidRPr="49073563">
              <w:rPr>
                <w:rFonts w:eastAsia="Times New Roman" w:cs="Times New Roman"/>
                <w:sz w:val="24"/>
                <w:szCs w:val="24"/>
              </w:rPr>
              <w:t>PORT)</w:t>
            </w:r>
          </w:p>
        </w:tc>
        <w:tc>
          <w:tcPr>
            <w:tcW w:w="1440" w:type="dxa"/>
            <w:vAlign w:val="center"/>
          </w:tcPr>
          <w:p w:rsidR="00920C0A" w:rsidRPr="00BF313A" w:rsidP="001131D5" w14:paraId="7A15D3A6" w14:textId="08F6C776">
            <w:pPr>
              <w:spacing w:after="0"/>
              <w:jc w:val="center"/>
              <w:textAlignment w:val="baseline"/>
              <w:rPr>
                <w:rFonts w:eastAsia="Times New Roman" w:cs="Times New Roman"/>
                <w:sz w:val="24"/>
                <w:szCs w:val="24"/>
              </w:rPr>
            </w:pPr>
            <w:r>
              <w:rPr>
                <w:rFonts w:eastAsia="Times New Roman" w:cs="Times New Roman"/>
                <w:sz w:val="24"/>
                <w:szCs w:val="24"/>
              </w:rPr>
              <w:t>3</w:t>
            </w:r>
          </w:p>
        </w:tc>
      </w:tr>
    </w:tbl>
    <w:p w:rsidR="00953B75" w:rsidP="00C03228" w14:paraId="3F70F5D9" w14:textId="660B801A">
      <w:pPr>
        <w:spacing w:after="0"/>
        <w:textAlignment w:val="baseline"/>
        <w:rPr>
          <w:rFonts w:cs="Times New Roman"/>
          <w:sz w:val="24"/>
          <w:szCs w:val="24"/>
        </w:rPr>
      </w:pPr>
    </w:p>
    <w:p w:rsidR="0028098C" w:rsidRPr="00634CBB" w:rsidP="00D350A0" w14:paraId="10BA2EF0" w14:textId="33B0CD6B">
      <w:pPr>
        <w:spacing w:after="0"/>
        <w:rPr>
          <w:rFonts w:cs="Times New Roman"/>
          <w:b/>
          <w:sz w:val="24"/>
          <w:szCs w:val="24"/>
        </w:rPr>
      </w:pPr>
      <w:r w:rsidRPr="005E0EA3">
        <w:rPr>
          <w:rFonts w:cs="Times New Roman"/>
          <w:b/>
          <w:sz w:val="24"/>
          <w:szCs w:val="24"/>
        </w:rPr>
        <w:t xml:space="preserve">Background and </w:t>
      </w:r>
      <w:r w:rsidRPr="005E0EA3">
        <w:rPr>
          <w:rFonts w:cs="Times New Roman"/>
          <w:b/>
          <w:sz w:val="24"/>
          <w:szCs w:val="24"/>
        </w:rPr>
        <w:t>Purpose</w:t>
      </w:r>
    </w:p>
    <w:p w:rsidR="008D0EE7" w:rsidP="0058412D" w14:paraId="5CC0BCC8" w14:textId="77777777">
      <w:pPr>
        <w:spacing w:after="0"/>
        <w:rPr>
          <w:rFonts w:cs="Times New Roman"/>
          <w:bCs/>
          <w:sz w:val="24"/>
          <w:szCs w:val="24"/>
        </w:rPr>
      </w:pPr>
    </w:p>
    <w:p w:rsidR="004C584A" w:rsidP="47E3C7F9" w14:paraId="239AD1E5" w14:textId="7DA09DD3">
      <w:pPr>
        <w:spacing w:after="0"/>
        <w:rPr>
          <w:rFonts w:cs="Times New Roman"/>
          <w:sz w:val="24"/>
          <w:szCs w:val="24"/>
        </w:rPr>
      </w:pPr>
      <w:r w:rsidRPr="47E3C7F9">
        <w:rPr>
          <w:rFonts w:cs="Times New Roman"/>
          <w:sz w:val="24"/>
          <w:szCs w:val="24"/>
        </w:rPr>
        <w:t>A</w:t>
      </w:r>
      <w:r w:rsidRPr="47E3C7F9" w:rsidR="003627FC">
        <w:rPr>
          <w:rFonts w:cs="Times New Roman"/>
          <w:sz w:val="24"/>
          <w:szCs w:val="24"/>
        </w:rPr>
        <w:t xml:space="preserve">ccording to the </w:t>
      </w:r>
      <w:r w:rsidRPr="47E3C7F9" w:rsidR="00D11255">
        <w:rPr>
          <w:rFonts w:cs="Times New Roman"/>
          <w:sz w:val="24"/>
          <w:szCs w:val="24"/>
        </w:rPr>
        <w:t>Centers for Disease Control and Prevention (CD</w:t>
      </w:r>
      <w:r w:rsidRPr="47E3C7F9" w:rsidR="00CE6CEE">
        <w:rPr>
          <w:rFonts w:cs="Times New Roman"/>
          <w:sz w:val="24"/>
          <w:szCs w:val="24"/>
        </w:rPr>
        <w:t>C</w:t>
      </w:r>
      <w:r w:rsidRPr="47E3C7F9" w:rsidR="00D11255">
        <w:rPr>
          <w:rFonts w:cs="Times New Roman"/>
          <w:sz w:val="24"/>
          <w:szCs w:val="24"/>
        </w:rPr>
        <w:t>),</w:t>
      </w:r>
      <w:r w:rsidRPr="47E3C7F9">
        <w:rPr>
          <w:rFonts w:cs="Times New Roman"/>
          <w:sz w:val="24"/>
          <w:szCs w:val="24"/>
        </w:rPr>
        <w:t xml:space="preserve"> t</w:t>
      </w:r>
      <w:r w:rsidRPr="47E3C7F9" w:rsidR="00CE77C4">
        <w:rPr>
          <w:rFonts w:cs="Times New Roman"/>
          <w:sz w:val="24"/>
          <w:szCs w:val="24"/>
        </w:rPr>
        <w:t>he spread of HIV in the United States is mainly through anal or vaginal sex or by sharing drug-use equipment</w:t>
      </w:r>
      <w:r w:rsidRPr="47E3C7F9" w:rsidR="00D11255">
        <w:rPr>
          <w:rFonts w:cs="Times New Roman"/>
          <w:sz w:val="24"/>
          <w:szCs w:val="24"/>
        </w:rPr>
        <w:t>.</w:t>
      </w:r>
      <w:r w:rsidRPr="47E3C7F9" w:rsidR="00177476">
        <w:rPr>
          <w:rFonts w:cs="Times New Roman"/>
          <w:sz w:val="24"/>
          <w:szCs w:val="24"/>
        </w:rPr>
        <w:t xml:space="preserve"> </w:t>
      </w:r>
      <w:r w:rsidRPr="47E3C7F9" w:rsidR="00F97FE6">
        <w:rPr>
          <w:rFonts w:cs="Times New Roman"/>
          <w:sz w:val="24"/>
          <w:szCs w:val="24"/>
        </w:rPr>
        <w:t>Although these</w:t>
      </w:r>
      <w:r w:rsidRPr="47E3C7F9" w:rsidR="00CE77C4">
        <w:rPr>
          <w:rFonts w:cs="Times New Roman"/>
          <w:sz w:val="24"/>
          <w:szCs w:val="24"/>
        </w:rPr>
        <w:t xml:space="preserve"> risk factors </w:t>
      </w:r>
      <w:r w:rsidRPr="47E3C7F9" w:rsidR="00221C29">
        <w:rPr>
          <w:rFonts w:cs="Times New Roman"/>
          <w:sz w:val="24"/>
          <w:szCs w:val="24"/>
        </w:rPr>
        <w:t>are</w:t>
      </w:r>
      <w:r w:rsidRPr="47E3C7F9" w:rsidR="00CE77C4">
        <w:rPr>
          <w:rFonts w:cs="Times New Roman"/>
          <w:sz w:val="24"/>
          <w:szCs w:val="24"/>
        </w:rPr>
        <w:t xml:space="preserve"> the same for everyone, due to a range of social, economic, and demographic factors, such as stigma, discrimination, income, education, and geographic region, some racial and ethnic groups are more affected than others.</w:t>
      </w:r>
      <w:r w:rsidRPr="47E3C7F9" w:rsidR="00681F21">
        <w:rPr>
          <w:rFonts w:cs="Times New Roman"/>
          <w:sz w:val="24"/>
          <w:szCs w:val="24"/>
        </w:rPr>
        <w:t xml:space="preserve"> In 2021, CDC reported that although Black/African Americans represented 13 percent of the US population, they accounted for 42 percent (15,305) of the 36,801 new HIV diagnoses; Latino/Hispanic people represent 18.7 percent of the US population but accounted for 29 percent (10,494) of HIV diagnoses</w:t>
      </w:r>
      <w:r w:rsidRPr="47E3C7F9" w:rsidR="000754AA">
        <w:rPr>
          <w:rFonts w:cs="Times New Roman"/>
          <w:sz w:val="24"/>
          <w:szCs w:val="24"/>
        </w:rPr>
        <w:t xml:space="preserve"> (CDC, 2024</w:t>
      </w:r>
      <w:r w:rsidRPr="47E3C7F9" w:rsidR="007771C8">
        <w:rPr>
          <w:rFonts w:cs="Times New Roman"/>
          <w:sz w:val="24"/>
          <w:szCs w:val="24"/>
        </w:rPr>
        <w:t xml:space="preserve">; </w:t>
      </w:r>
      <w:r w:rsidRPr="47E3C7F9" w:rsidR="00567CD3">
        <w:rPr>
          <w:rFonts w:cs="Times New Roman"/>
          <w:sz w:val="24"/>
          <w:szCs w:val="24"/>
        </w:rPr>
        <w:t>United States Census Bureau,</w:t>
      </w:r>
      <w:r w:rsidRPr="47E3C7F9" w:rsidR="00085D29">
        <w:rPr>
          <w:rFonts w:cs="Times New Roman"/>
          <w:sz w:val="24"/>
          <w:szCs w:val="24"/>
        </w:rPr>
        <w:t xml:space="preserve"> </w:t>
      </w:r>
      <w:r w:rsidRPr="47E3C7F9" w:rsidR="00567CD3">
        <w:rPr>
          <w:rFonts w:cs="Times New Roman"/>
          <w:sz w:val="24"/>
          <w:szCs w:val="24"/>
        </w:rPr>
        <w:t>2024)</w:t>
      </w:r>
      <w:r w:rsidRPr="47E3C7F9" w:rsidR="00AC7F00">
        <w:rPr>
          <w:rFonts w:cs="Times New Roman"/>
          <w:sz w:val="24"/>
          <w:szCs w:val="24"/>
        </w:rPr>
        <w:t>.</w:t>
      </w:r>
      <w:r>
        <w:rPr>
          <w:rStyle w:val="FootnoteReference"/>
          <w:rFonts w:ascii="Times New Roman" w:hAnsi="Times New Roman" w:cs="Times New Roman"/>
          <w:sz w:val="24"/>
          <w:szCs w:val="24"/>
        </w:rPr>
        <w:footnoteReference w:id="3"/>
      </w:r>
      <w:r w:rsidRPr="00563CA8" w:rsidR="007D25F0">
        <w:rPr>
          <w:rFonts w:cs="Times New Roman"/>
          <w:sz w:val="24"/>
          <w:szCs w:val="24"/>
          <w:vertAlign w:val="superscript"/>
        </w:rPr>
        <w:t>,</w:t>
      </w:r>
      <w:r>
        <w:rPr>
          <w:rStyle w:val="FootnoteReference"/>
          <w:rFonts w:ascii="Times New Roman" w:hAnsi="Times New Roman" w:cs="Times New Roman"/>
          <w:sz w:val="24"/>
          <w:szCs w:val="24"/>
        </w:rPr>
        <w:footnoteReference w:id="4"/>
      </w:r>
      <w:r w:rsidRPr="47E3C7F9" w:rsidR="000754AA">
        <w:rPr>
          <w:rFonts w:cs="Times New Roman"/>
          <w:sz w:val="24"/>
          <w:szCs w:val="24"/>
        </w:rPr>
        <w:t xml:space="preserve"> </w:t>
      </w:r>
      <w:r w:rsidRPr="47E3C7F9" w:rsidR="00681F21">
        <w:rPr>
          <w:rFonts w:cs="Times New Roman"/>
          <w:sz w:val="24"/>
          <w:szCs w:val="24"/>
        </w:rPr>
        <w:t>Between 2017 and 2021, A</w:t>
      </w:r>
      <w:r w:rsidRPr="47E3C7F9" w:rsidR="008F0360">
        <w:rPr>
          <w:rFonts w:cs="Times New Roman"/>
          <w:sz w:val="24"/>
          <w:szCs w:val="24"/>
        </w:rPr>
        <w:t xml:space="preserve">merican </w:t>
      </w:r>
      <w:r w:rsidRPr="47E3C7F9" w:rsidR="00681F21">
        <w:rPr>
          <w:rFonts w:cs="Times New Roman"/>
          <w:sz w:val="24"/>
          <w:szCs w:val="24"/>
        </w:rPr>
        <w:t>I</w:t>
      </w:r>
      <w:r w:rsidRPr="47E3C7F9" w:rsidR="008F0360">
        <w:rPr>
          <w:rFonts w:cs="Times New Roman"/>
          <w:sz w:val="24"/>
          <w:szCs w:val="24"/>
        </w:rPr>
        <w:t>ndian</w:t>
      </w:r>
      <w:r w:rsidRPr="47E3C7F9" w:rsidR="00681F21">
        <w:rPr>
          <w:rFonts w:cs="Times New Roman"/>
          <w:sz w:val="24"/>
          <w:szCs w:val="24"/>
        </w:rPr>
        <w:t>/A</w:t>
      </w:r>
      <w:r w:rsidRPr="47E3C7F9" w:rsidR="008F0360">
        <w:rPr>
          <w:rFonts w:cs="Times New Roman"/>
          <w:sz w:val="24"/>
          <w:szCs w:val="24"/>
        </w:rPr>
        <w:t xml:space="preserve">laska </w:t>
      </w:r>
      <w:r w:rsidRPr="47E3C7F9" w:rsidR="00681F21">
        <w:rPr>
          <w:rFonts w:cs="Times New Roman"/>
          <w:sz w:val="24"/>
          <w:szCs w:val="24"/>
        </w:rPr>
        <w:t>N</w:t>
      </w:r>
      <w:r w:rsidRPr="47E3C7F9" w:rsidR="008F0360">
        <w:rPr>
          <w:rFonts w:cs="Times New Roman"/>
          <w:sz w:val="24"/>
          <w:szCs w:val="24"/>
        </w:rPr>
        <w:t>ative (AI/AN)</w:t>
      </w:r>
      <w:r w:rsidRPr="47E3C7F9" w:rsidR="00681F21">
        <w:rPr>
          <w:rFonts w:cs="Times New Roman"/>
          <w:sz w:val="24"/>
          <w:szCs w:val="24"/>
        </w:rPr>
        <w:t>, Native Hawaiian and other Pacific Islander populations were the only demographic group identified by the CDC with an increase in HIV diagnoses in the United States</w:t>
      </w:r>
      <w:r w:rsidRPr="47E3C7F9" w:rsidR="00AC7F00">
        <w:rPr>
          <w:rFonts w:cs="Times New Roman"/>
          <w:sz w:val="24"/>
          <w:szCs w:val="24"/>
        </w:rPr>
        <w:t xml:space="preserve"> (CDC, 2024).</w:t>
      </w:r>
      <w:bookmarkStart w:id="0" w:name="_Ref163134161"/>
      <w:r>
        <w:rPr>
          <w:rStyle w:val="FootnoteReference"/>
          <w:rFonts w:ascii="Times New Roman" w:hAnsi="Times New Roman" w:cs="Times New Roman"/>
          <w:sz w:val="24"/>
          <w:szCs w:val="24"/>
        </w:rPr>
        <w:footnoteReference w:id="5"/>
      </w:r>
      <w:bookmarkEnd w:id="0"/>
      <w:r w:rsidRPr="47E3C7F9" w:rsidR="00DB3468">
        <w:rPr>
          <w:rFonts w:cs="Times New Roman"/>
          <w:sz w:val="24"/>
          <w:szCs w:val="24"/>
        </w:rPr>
        <w:t xml:space="preserve"> </w:t>
      </w:r>
      <w:r w:rsidR="001522BA">
        <w:t>Of the 31,800 new HIV infections in 2022, CDC reports that 71% (22,500) were among gay and bisexual men.</w:t>
      </w:r>
      <w:r>
        <w:rPr>
          <w:rStyle w:val="FootnoteReference"/>
          <w:rFonts w:ascii="Times New Roman" w:hAnsi="Times New Roman" w:cs="Times New Roman"/>
          <w:sz w:val="24"/>
          <w:szCs w:val="24"/>
        </w:rPr>
        <w:footnoteReference w:id="6"/>
      </w:r>
    </w:p>
    <w:p w:rsidR="001F3907" w:rsidP="0058412D" w14:paraId="0084F46B" w14:textId="77777777">
      <w:pPr>
        <w:spacing w:after="0"/>
        <w:rPr>
          <w:rFonts w:cs="Times New Roman"/>
          <w:bCs/>
          <w:sz w:val="24"/>
          <w:szCs w:val="24"/>
        </w:rPr>
      </w:pPr>
    </w:p>
    <w:p w:rsidR="00DB3468" w:rsidP="47E3C7F9" w14:paraId="0F041BA2" w14:textId="13CD54C1">
      <w:pPr>
        <w:spacing w:after="0"/>
        <w:rPr>
          <w:rFonts w:cs="Times New Roman"/>
          <w:sz w:val="24"/>
          <w:szCs w:val="24"/>
        </w:rPr>
      </w:pPr>
      <w:r w:rsidRPr="47E3C7F9">
        <w:rPr>
          <w:rFonts w:cs="Times New Roman"/>
          <w:sz w:val="24"/>
          <w:szCs w:val="24"/>
        </w:rPr>
        <w:t xml:space="preserve">Viral hepatitis also impacts some racial and ethnic groups disproportionally. </w:t>
      </w:r>
      <w:r w:rsidRPr="47E3C7F9" w:rsidR="004E7C72">
        <w:rPr>
          <w:rFonts w:cs="Times New Roman"/>
          <w:sz w:val="24"/>
          <w:szCs w:val="24"/>
        </w:rPr>
        <w:t>In</w:t>
      </w:r>
      <w:r w:rsidRPr="47E3C7F9">
        <w:rPr>
          <w:rFonts w:cs="Times New Roman"/>
          <w:sz w:val="24"/>
          <w:szCs w:val="24"/>
        </w:rPr>
        <w:t xml:space="preserve"> 2020, non-Hispanic blacks were 1.4 times as likely to die from viral hepatitis, as compared to non-Hispanic whites</w:t>
      </w:r>
      <w:r w:rsidRPr="47E3C7F9" w:rsidR="00F214F6">
        <w:rPr>
          <w:rFonts w:cs="Times New Roman"/>
          <w:sz w:val="24"/>
          <w:szCs w:val="24"/>
        </w:rPr>
        <w:t xml:space="preserve"> (Office of Minority Health, 2022)</w:t>
      </w:r>
      <w:r w:rsidRPr="47E3C7F9" w:rsidR="00640BE1">
        <w:rPr>
          <w:rFonts w:cs="Times New Roman"/>
          <w:sz w:val="24"/>
          <w:szCs w:val="24"/>
        </w:rPr>
        <w:t>. N</w:t>
      </w:r>
      <w:r w:rsidRPr="47E3C7F9">
        <w:rPr>
          <w:rFonts w:cs="Times New Roman"/>
          <w:sz w:val="24"/>
          <w:szCs w:val="24"/>
        </w:rPr>
        <w:t xml:space="preserve">on-Hispanic </w:t>
      </w:r>
      <w:r w:rsidRPr="47E3C7F9" w:rsidR="57B0037A">
        <w:rPr>
          <w:rFonts w:cs="Times New Roman"/>
          <w:sz w:val="24"/>
          <w:szCs w:val="24"/>
        </w:rPr>
        <w:t>B</w:t>
      </w:r>
      <w:r w:rsidRPr="47E3C7F9">
        <w:rPr>
          <w:rFonts w:cs="Times New Roman"/>
          <w:sz w:val="24"/>
          <w:szCs w:val="24"/>
        </w:rPr>
        <w:t xml:space="preserve">lacks were almost twice as likely to </w:t>
      </w:r>
      <w:r w:rsidRPr="47E3C7F9">
        <w:rPr>
          <w:rFonts w:cs="Times New Roman"/>
          <w:sz w:val="24"/>
          <w:szCs w:val="24"/>
        </w:rPr>
        <w:t xml:space="preserve">die from hepatitis C as compared to the </w:t>
      </w:r>
      <w:r w:rsidRPr="47E3C7F9" w:rsidR="35B2D967">
        <w:rPr>
          <w:rFonts w:cs="Times New Roman"/>
          <w:sz w:val="24"/>
          <w:szCs w:val="24"/>
        </w:rPr>
        <w:t>W</w:t>
      </w:r>
      <w:r w:rsidRPr="47E3C7F9">
        <w:rPr>
          <w:rFonts w:cs="Times New Roman"/>
          <w:sz w:val="24"/>
          <w:szCs w:val="24"/>
        </w:rPr>
        <w:t>hite population</w:t>
      </w:r>
      <w:r w:rsidRPr="47E3C7F9" w:rsidR="003521CE">
        <w:rPr>
          <w:rFonts w:cs="Times New Roman"/>
          <w:sz w:val="24"/>
          <w:szCs w:val="24"/>
        </w:rPr>
        <w:t>,</w:t>
      </w:r>
      <w:r w:rsidRPr="47E3C7F9" w:rsidR="00640BE1">
        <w:rPr>
          <w:rFonts w:cs="Times New Roman"/>
          <w:sz w:val="24"/>
          <w:szCs w:val="24"/>
        </w:rPr>
        <w:t xml:space="preserve"> and w</w:t>
      </w:r>
      <w:r w:rsidRPr="47E3C7F9">
        <w:rPr>
          <w:rFonts w:cs="Times New Roman"/>
          <w:sz w:val="24"/>
          <w:szCs w:val="24"/>
        </w:rPr>
        <w:t xml:space="preserve">hile having comparable case rates for hepatitis B in 2020, non-Hispanic </w:t>
      </w:r>
      <w:r w:rsidRPr="47E3C7F9" w:rsidR="2550A3D0">
        <w:rPr>
          <w:rFonts w:cs="Times New Roman"/>
          <w:sz w:val="24"/>
          <w:szCs w:val="24"/>
        </w:rPr>
        <w:t>B</w:t>
      </w:r>
      <w:r w:rsidRPr="47E3C7F9">
        <w:rPr>
          <w:rFonts w:cs="Times New Roman"/>
          <w:sz w:val="24"/>
          <w:szCs w:val="24"/>
        </w:rPr>
        <w:t xml:space="preserve">lacks were 2.5 times more likely to die from hepatitis B than non-Hispanic </w:t>
      </w:r>
      <w:r w:rsidRPr="47E3C7F9" w:rsidR="402258B9">
        <w:rPr>
          <w:rFonts w:cs="Times New Roman"/>
          <w:sz w:val="24"/>
          <w:szCs w:val="24"/>
        </w:rPr>
        <w:t>W</w:t>
      </w:r>
      <w:r w:rsidRPr="47E3C7F9">
        <w:rPr>
          <w:rFonts w:cs="Times New Roman"/>
          <w:sz w:val="24"/>
          <w:szCs w:val="24"/>
        </w:rPr>
        <w:t>hites</w:t>
      </w:r>
      <w:r w:rsidRPr="47E3C7F9" w:rsidR="00FD05D7">
        <w:rPr>
          <w:rFonts w:cs="Times New Roman"/>
          <w:sz w:val="24"/>
          <w:szCs w:val="24"/>
        </w:rPr>
        <w:t xml:space="preserve"> (Office of Minority Health, 2022</w:t>
      </w:r>
      <w:r w:rsidRPr="47E3C7F9" w:rsidR="008233F8">
        <w:rPr>
          <w:rFonts w:cs="Times New Roman"/>
          <w:sz w:val="24"/>
          <w:szCs w:val="24"/>
        </w:rPr>
        <w:t>).</w:t>
      </w:r>
      <w:r w:rsidRPr="47E3C7F9" w:rsidR="00C87C09">
        <w:rPr>
          <w:rFonts w:cs="Times New Roman"/>
          <w:sz w:val="24"/>
          <w:szCs w:val="24"/>
        </w:rPr>
        <w:t xml:space="preserve"> </w:t>
      </w:r>
      <w:r w:rsidRPr="47E3C7F9">
        <w:rPr>
          <w:rFonts w:cs="Times New Roman"/>
          <w:sz w:val="24"/>
          <w:szCs w:val="24"/>
        </w:rPr>
        <w:t>Additio</w:t>
      </w:r>
      <w:r w:rsidRPr="47E3C7F9" w:rsidR="00672518">
        <w:rPr>
          <w:rFonts w:cs="Times New Roman"/>
          <w:sz w:val="24"/>
          <w:szCs w:val="24"/>
        </w:rPr>
        <w:t xml:space="preserve">nally, </w:t>
      </w:r>
      <w:r w:rsidRPr="47E3C7F9" w:rsidR="00EB0588">
        <w:rPr>
          <w:rFonts w:cs="Times New Roman"/>
          <w:sz w:val="24"/>
          <w:szCs w:val="24"/>
        </w:rPr>
        <w:t>the percentage of people aged 12 or older with past year substance use disorder (SUD)</w:t>
      </w:r>
      <w:r w:rsidRPr="47E3C7F9" w:rsidR="005546D9">
        <w:rPr>
          <w:rFonts w:cs="Times New Roman"/>
          <w:sz w:val="24"/>
          <w:szCs w:val="24"/>
        </w:rPr>
        <w:t xml:space="preserve"> differed by race and ethnicity</w:t>
      </w:r>
      <w:r w:rsidRPr="47E3C7F9" w:rsidR="00BA59A4">
        <w:rPr>
          <w:rFonts w:cs="Times New Roman"/>
          <w:sz w:val="24"/>
          <w:szCs w:val="24"/>
        </w:rPr>
        <w:t xml:space="preserve"> with </w:t>
      </w:r>
      <w:r w:rsidRPr="47E3C7F9" w:rsidR="00BA43E4">
        <w:rPr>
          <w:rFonts w:cs="Times New Roman"/>
          <w:sz w:val="24"/>
          <w:szCs w:val="24"/>
        </w:rPr>
        <w:t>the highest rates among American Indian/Alaska Native</w:t>
      </w:r>
      <w:r w:rsidRPr="47E3C7F9" w:rsidR="009E4C77">
        <w:rPr>
          <w:rFonts w:cs="Times New Roman"/>
          <w:sz w:val="24"/>
          <w:szCs w:val="24"/>
        </w:rPr>
        <w:t xml:space="preserve"> populations (24.0</w:t>
      </w:r>
      <w:r w:rsidRPr="47E3C7F9" w:rsidR="00561FBA">
        <w:rPr>
          <w:rFonts w:cs="Times New Roman"/>
          <w:sz w:val="24"/>
          <w:szCs w:val="24"/>
        </w:rPr>
        <w:t xml:space="preserve"> percent</w:t>
      </w:r>
      <w:r w:rsidRPr="47E3C7F9" w:rsidR="009E4C77">
        <w:rPr>
          <w:rFonts w:cs="Times New Roman"/>
          <w:sz w:val="24"/>
          <w:szCs w:val="24"/>
        </w:rPr>
        <w:t xml:space="preserve">), followed by  non-Hispanic </w:t>
      </w:r>
      <w:r w:rsidRPr="47E3C7F9" w:rsidR="32EA7D00">
        <w:rPr>
          <w:rFonts w:cs="Times New Roman"/>
          <w:sz w:val="24"/>
          <w:szCs w:val="24"/>
        </w:rPr>
        <w:t xml:space="preserve">Black </w:t>
      </w:r>
      <w:r w:rsidRPr="47E3C7F9" w:rsidR="009E4C77">
        <w:rPr>
          <w:rFonts w:cs="Times New Roman"/>
          <w:sz w:val="24"/>
          <w:szCs w:val="24"/>
        </w:rPr>
        <w:t>populations (</w:t>
      </w:r>
      <w:r w:rsidRPr="47E3C7F9" w:rsidR="000A7CD8">
        <w:rPr>
          <w:rFonts w:cs="Times New Roman"/>
          <w:sz w:val="24"/>
          <w:szCs w:val="24"/>
        </w:rPr>
        <w:t>18.4</w:t>
      </w:r>
      <w:r w:rsidRPr="47E3C7F9" w:rsidR="00561FBA">
        <w:rPr>
          <w:rFonts w:cs="Times New Roman"/>
          <w:sz w:val="24"/>
          <w:szCs w:val="24"/>
        </w:rPr>
        <w:t xml:space="preserve"> percent</w:t>
      </w:r>
      <w:r w:rsidRPr="47E3C7F9" w:rsidR="000A7CD8">
        <w:rPr>
          <w:rFonts w:cs="Times New Roman"/>
          <w:sz w:val="24"/>
          <w:szCs w:val="24"/>
        </w:rPr>
        <w:t>)</w:t>
      </w:r>
      <w:r w:rsidRPr="47E3C7F9" w:rsidR="00AC7F00">
        <w:rPr>
          <w:rFonts w:cs="Times New Roman"/>
          <w:sz w:val="24"/>
          <w:szCs w:val="24"/>
        </w:rPr>
        <w:t xml:space="preserve"> (SAMHSA, 2023).</w:t>
      </w:r>
      <w:r>
        <w:rPr>
          <w:rStyle w:val="FootnoteReference"/>
          <w:rFonts w:ascii="Times New Roman" w:hAnsi="Times New Roman" w:cs="Times New Roman"/>
          <w:sz w:val="24"/>
          <w:szCs w:val="24"/>
        </w:rPr>
        <w:footnoteReference w:id="7"/>
      </w:r>
    </w:p>
    <w:p w:rsidR="0078036E" w:rsidP="0058412D" w14:paraId="0405049A" w14:textId="77777777">
      <w:pPr>
        <w:spacing w:after="0"/>
        <w:rPr>
          <w:rFonts w:cs="Times New Roman"/>
          <w:bCs/>
          <w:sz w:val="24"/>
          <w:szCs w:val="24"/>
        </w:rPr>
      </w:pPr>
    </w:p>
    <w:p w:rsidR="0078036E" w:rsidRPr="005301D4" w:rsidP="47E3C7F9" w14:paraId="1C234B96" w14:textId="44E4ECC8">
      <w:pPr>
        <w:spacing w:after="0"/>
        <w:rPr>
          <w:rFonts w:cs="Times New Roman"/>
          <w:sz w:val="24"/>
          <w:szCs w:val="24"/>
        </w:rPr>
      </w:pPr>
      <w:r w:rsidRPr="005301D4">
        <w:rPr>
          <w:rFonts w:cs="Times New Roman"/>
          <w:sz w:val="24"/>
          <w:szCs w:val="24"/>
        </w:rPr>
        <w:t xml:space="preserve">The data </w:t>
      </w:r>
      <w:r w:rsidRPr="005301D4" w:rsidR="006F4E7F">
        <w:rPr>
          <w:rFonts w:cs="Times New Roman"/>
          <w:sz w:val="24"/>
          <w:szCs w:val="24"/>
        </w:rPr>
        <w:t>clearly show the disproportionate burden faced b</w:t>
      </w:r>
      <w:r w:rsidRPr="005301D4" w:rsidR="00557EE5">
        <w:rPr>
          <w:rFonts w:cs="Times New Roman"/>
          <w:sz w:val="24"/>
          <w:szCs w:val="24"/>
        </w:rPr>
        <w:t xml:space="preserve">y racial and ethnic </w:t>
      </w:r>
      <w:r w:rsidRPr="005301D4" w:rsidR="03BAC11A">
        <w:rPr>
          <w:rFonts w:cs="Times New Roman"/>
          <w:sz w:val="24"/>
          <w:szCs w:val="24"/>
        </w:rPr>
        <w:t xml:space="preserve">minority </w:t>
      </w:r>
      <w:r w:rsidRPr="005301D4" w:rsidR="00557EE5">
        <w:rPr>
          <w:rFonts w:cs="Times New Roman"/>
          <w:sz w:val="24"/>
          <w:szCs w:val="24"/>
        </w:rPr>
        <w:t>groups</w:t>
      </w:r>
      <w:r w:rsidRPr="005301D4" w:rsidR="003E66A9">
        <w:rPr>
          <w:rFonts w:cs="Times New Roman"/>
          <w:sz w:val="24"/>
          <w:szCs w:val="24"/>
        </w:rPr>
        <w:t xml:space="preserve"> and that these three issues</w:t>
      </w:r>
      <w:r w:rsidRPr="005301D4" w:rsidR="004D4E28">
        <w:rPr>
          <w:rFonts w:cs="Times New Roman"/>
          <w:sz w:val="24"/>
          <w:szCs w:val="24"/>
        </w:rPr>
        <w:t xml:space="preserve"> should not be regarded as separate diseases acting independently, rather as a </w:t>
      </w:r>
      <w:r w:rsidRPr="005301D4" w:rsidR="004D4E28">
        <w:rPr>
          <w:rFonts w:cs="Times New Roman"/>
          <w:sz w:val="24"/>
          <w:szCs w:val="24"/>
        </w:rPr>
        <w:t>syndemic</w:t>
      </w:r>
      <w:r w:rsidRPr="005301D4" w:rsidR="004D4E28">
        <w:rPr>
          <w:rFonts w:cs="Times New Roman"/>
          <w:sz w:val="24"/>
          <w:szCs w:val="24"/>
        </w:rPr>
        <w:t xml:space="preserve">. </w:t>
      </w:r>
      <w:r w:rsidRPr="005301D4">
        <w:rPr>
          <w:rFonts w:cs="Times New Roman"/>
          <w:sz w:val="24"/>
          <w:szCs w:val="24"/>
        </w:rPr>
        <w:t>To address thi</w:t>
      </w:r>
      <w:r w:rsidRPr="005301D4" w:rsidR="00E23CFB">
        <w:rPr>
          <w:rFonts w:cs="Times New Roman"/>
          <w:sz w:val="24"/>
          <w:szCs w:val="24"/>
        </w:rPr>
        <w:t>s</w:t>
      </w:r>
      <w:r w:rsidRPr="005301D4">
        <w:rPr>
          <w:rFonts w:cs="Times New Roman"/>
          <w:sz w:val="24"/>
          <w:szCs w:val="24"/>
        </w:rPr>
        <w:t>, SAMHSA i</w:t>
      </w:r>
      <w:r w:rsidRPr="005301D4" w:rsidR="003645AF">
        <w:rPr>
          <w:rFonts w:cs="Times New Roman"/>
          <w:sz w:val="24"/>
          <w:szCs w:val="24"/>
        </w:rPr>
        <w:t xml:space="preserve">s </w:t>
      </w:r>
      <w:r w:rsidRPr="005301D4" w:rsidR="00E23CFB">
        <w:rPr>
          <w:rFonts w:cs="Times New Roman"/>
          <w:sz w:val="24"/>
          <w:szCs w:val="24"/>
        </w:rPr>
        <w:t xml:space="preserve">taking a </w:t>
      </w:r>
      <w:r w:rsidRPr="005301D4" w:rsidR="00E23CFB">
        <w:rPr>
          <w:rFonts w:cs="Times New Roman"/>
          <w:sz w:val="24"/>
          <w:szCs w:val="24"/>
        </w:rPr>
        <w:t>syndemic</w:t>
      </w:r>
      <w:r w:rsidRPr="005301D4" w:rsidR="00E23CFB">
        <w:rPr>
          <w:rFonts w:cs="Times New Roman"/>
          <w:sz w:val="24"/>
          <w:szCs w:val="24"/>
        </w:rPr>
        <w:t xml:space="preserve"> approach </w:t>
      </w:r>
      <w:r w:rsidRPr="005301D4" w:rsidR="008F0360">
        <w:rPr>
          <w:rFonts w:cs="Times New Roman"/>
          <w:sz w:val="24"/>
          <w:szCs w:val="24"/>
        </w:rPr>
        <w:t xml:space="preserve">to </w:t>
      </w:r>
      <w:r w:rsidRPr="005301D4" w:rsidR="2E15E49D">
        <w:rPr>
          <w:rFonts w:cs="Times New Roman"/>
          <w:sz w:val="24"/>
          <w:szCs w:val="24"/>
        </w:rPr>
        <w:t>the prevention</w:t>
      </w:r>
      <w:r w:rsidRPr="005301D4" w:rsidR="144DE551">
        <w:rPr>
          <w:rFonts w:cs="Times New Roman"/>
          <w:sz w:val="24"/>
          <w:szCs w:val="24"/>
        </w:rPr>
        <w:t xml:space="preserve"> and treatment</w:t>
      </w:r>
      <w:r w:rsidRPr="005301D4" w:rsidR="2E15E49D">
        <w:rPr>
          <w:rFonts w:cs="Times New Roman"/>
          <w:sz w:val="24"/>
          <w:szCs w:val="24"/>
        </w:rPr>
        <w:t xml:space="preserve"> of </w:t>
      </w:r>
      <w:r w:rsidRPr="005301D4" w:rsidR="008F0360">
        <w:rPr>
          <w:rFonts w:cs="Times New Roman"/>
          <w:sz w:val="24"/>
          <w:szCs w:val="24"/>
        </w:rPr>
        <w:t>HIV, viral hepatitis, and substance use disorder</w:t>
      </w:r>
      <w:r w:rsidRPr="005301D4" w:rsidR="7649C94A">
        <w:rPr>
          <w:rFonts w:cs="Times New Roman"/>
          <w:sz w:val="24"/>
          <w:szCs w:val="24"/>
        </w:rPr>
        <w:t>s</w:t>
      </w:r>
      <w:r w:rsidRPr="005301D4" w:rsidR="008F0360">
        <w:rPr>
          <w:rFonts w:cs="Times New Roman"/>
          <w:sz w:val="24"/>
          <w:szCs w:val="24"/>
        </w:rPr>
        <w:t xml:space="preserve"> through the MAI PT Pilot program. </w:t>
      </w:r>
      <w:r w:rsidRPr="005301D4">
        <w:rPr>
          <w:rFonts w:cs="Times New Roman"/>
          <w:sz w:val="24"/>
          <w:szCs w:val="24"/>
        </w:rPr>
        <w:t>The purpose of this program is to provide substance use prevention, SUD treatment, HIV, and viral hepatitis prevention and treatment services for racial and ethnic</w:t>
      </w:r>
      <w:r w:rsidRPr="005301D4" w:rsidR="19B151DC">
        <w:rPr>
          <w:rFonts w:cs="Times New Roman"/>
          <w:sz w:val="24"/>
          <w:szCs w:val="24"/>
        </w:rPr>
        <w:t xml:space="preserve"> minorities that are</w:t>
      </w:r>
      <w:r w:rsidRPr="005301D4">
        <w:rPr>
          <w:rFonts w:cs="Times New Roman"/>
          <w:sz w:val="24"/>
          <w:szCs w:val="24"/>
        </w:rPr>
        <w:t xml:space="preserve"> medically underserved </w:t>
      </w:r>
      <w:r w:rsidRPr="005301D4" w:rsidR="2017E840">
        <w:rPr>
          <w:rFonts w:cs="Times New Roman"/>
          <w:sz w:val="24"/>
          <w:szCs w:val="24"/>
        </w:rPr>
        <w:t xml:space="preserve">and </w:t>
      </w:r>
      <w:r w:rsidRPr="005301D4">
        <w:rPr>
          <w:rFonts w:cs="Times New Roman"/>
          <w:sz w:val="24"/>
          <w:szCs w:val="24"/>
        </w:rPr>
        <w:t>vulnerable to  SUD and/or mental health condition</w:t>
      </w:r>
      <w:r w:rsidRPr="005301D4" w:rsidR="57623AFB">
        <w:rPr>
          <w:rFonts w:cs="Times New Roman"/>
          <w:sz w:val="24"/>
          <w:szCs w:val="24"/>
        </w:rPr>
        <w:t>s</w:t>
      </w:r>
      <w:r w:rsidRPr="005301D4">
        <w:rPr>
          <w:rFonts w:cs="Times New Roman"/>
          <w:sz w:val="24"/>
          <w:szCs w:val="24"/>
        </w:rPr>
        <w:t>, HIV, viral hepatitis, and other infectious disease</w:t>
      </w:r>
      <w:r w:rsidRPr="005301D4" w:rsidR="47B5359E">
        <w:rPr>
          <w:rFonts w:cs="Times New Roman"/>
          <w:sz w:val="24"/>
          <w:szCs w:val="24"/>
        </w:rPr>
        <w:t>s</w:t>
      </w:r>
      <w:r w:rsidRPr="005301D4">
        <w:rPr>
          <w:rFonts w:cs="Times New Roman"/>
          <w:sz w:val="24"/>
          <w:szCs w:val="24"/>
        </w:rPr>
        <w:t xml:space="preserve"> (e.g., </w:t>
      </w:r>
      <w:r w:rsidRPr="00A4121E" w:rsidR="003F1A50">
        <w:rPr>
          <w:sz w:val="24"/>
          <w:szCs w:val="24"/>
        </w:rPr>
        <w:t>sexually transmitted infection (STI)</w:t>
      </w:r>
      <w:r w:rsidRPr="005301D4">
        <w:rPr>
          <w:rFonts w:cs="Times New Roman"/>
          <w:sz w:val="24"/>
          <w:szCs w:val="24"/>
        </w:rPr>
        <w:t>). The populations of focus for this program are individuals who are particularly vulnerable to or living with HIV/AIDS, including an emphasis on gay, bisexual, and other men who have sex with men, men who have sex with men and women (MSMW), Black, Latino, and</w:t>
      </w:r>
      <w:r w:rsidRPr="005301D4" w:rsidR="00733833">
        <w:rPr>
          <w:rFonts w:cs="Times New Roman"/>
          <w:sz w:val="24"/>
          <w:szCs w:val="24"/>
        </w:rPr>
        <w:t xml:space="preserve"> </w:t>
      </w:r>
      <w:r w:rsidRPr="005301D4">
        <w:rPr>
          <w:rFonts w:cs="Times New Roman"/>
          <w:sz w:val="24"/>
          <w:szCs w:val="24"/>
        </w:rPr>
        <w:t>AI/AN men who have sex with men (MSM), Asian and Pacific Islander, Black women, transgender men and women, youth aged 13–24 years, and People who Inject Drugs (PWID).</w:t>
      </w:r>
    </w:p>
    <w:p w:rsidR="004C584A" w:rsidP="0058412D" w14:paraId="2ADB232D" w14:textId="77777777">
      <w:pPr>
        <w:spacing w:after="0"/>
        <w:rPr>
          <w:rFonts w:cs="Times New Roman"/>
          <w:bCs/>
          <w:sz w:val="24"/>
          <w:szCs w:val="24"/>
        </w:rPr>
      </w:pPr>
    </w:p>
    <w:p w:rsidR="00A5402F" w:rsidRPr="00733833" w:rsidP="47E3C7F9" w14:paraId="15D99E06" w14:textId="19CF4428">
      <w:pPr>
        <w:spacing w:after="0"/>
        <w:rPr>
          <w:rFonts w:cs="Times New Roman"/>
          <w:sz w:val="24"/>
          <w:szCs w:val="24"/>
        </w:rPr>
      </w:pPr>
      <w:r w:rsidRPr="48B69F44">
        <w:rPr>
          <w:rFonts w:cs="Times New Roman"/>
          <w:sz w:val="24"/>
          <w:szCs w:val="24"/>
        </w:rPr>
        <w:t xml:space="preserve">SAMHSA’s MAI PT Pilot is informed by the key strategies and priority jurisdictions outlined in the </w:t>
      </w:r>
      <w:r w:rsidRPr="48B69F44" w:rsidR="7BC8B0E4">
        <w:rPr>
          <w:rFonts w:cs="Times New Roman"/>
          <w:sz w:val="24"/>
          <w:szCs w:val="24"/>
        </w:rPr>
        <w:t>"</w:t>
      </w:r>
      <w:r w:rsidRPr="48B69F44">
        <w:rPr>
          <w:rFonts w:cs="Times New Roman"/>
          <w:sz w:val="24"/>
          <w:szCs w:val="24"/>
        </w:rPr>
        <w:t xml:space="preserve">Ending the HIV Epidemic in the U.S. (EHE) initiative, </w:t>
      </w:r>
      <w:r w:rsidRPr="48B69F44" w:rsidR="293B52EB">
        <w:rPr>
          <w:rFonts w:cs="Times New Roman"/>
          <w:sz w:val="24"/>
          <w:szCs w:val="24"/>
        </w:rPr>
        <w:t>"</w:t>
      </w:r>
      <w:r w:rsidRPr="48B69F44" w:rsidR="17974891">
        <w:rPr>
          <w:rFonts w:cs="Times New Roman"/>
          <w:sz w:val="24"/>
          <w:szCs w:val="24"/>
        </w:rPr>
        <w:t xml:space="preserve">Viral </w:t>
      </w:r>
      <w:r w:rsidRPr="48B69F44">
        <w:rPr>
          <w:rFonts w:cs="Times New Roman"/>
          <w:sz w:val="24"/>
          <w:szCs w:val="24"/>
        </w:rPr>
        <w:t>Hepatitis National Strategic Plan</w:t>
      </w:r>
      <w:r w:rsidR="00131E24">
        <w:rPr>
          <w:rFonts w:cs="Times New Roman"/>
          <w:sz w:val="24"/>
          <w:szCs w:val="24"/>
        </w:rPr>
        <w:t>,</w:t>
      </w:r>
      <w:r w:rsidRPr="48B69F44" w:rsidR="42B63975">
        <w:rPr>
          <w:rFonts w:cs="Times New Roman"/>
          <w:sz w:val="24"/>
          <w:szCs w:val="24"/>
        </w:rPr>
        <w:t>”</w:t>
      </w:r>
      <w:r w:rsidR="008738B9">
        <w:rPr>
          <w:rFonts w:cs="Times New Roman"/>
          <w:sz w:val="24"/>
          <w:szCs w:val="24"/>
        </w:rPr>
        <w:t xml:space="preserve"> </w:t>
      </w:r>
      <w:r w:rsidRPr="48B69F44">
        <w:rPr>
          <w:rFonts w:cs="Times New Roman"/>
          <w:sz w:val="24"/>
          <w:szCs w:val="24"/>
        </w:rPr>
        <w:t xml:space="preserve">and </w:t>
      </w:r>
      <w:r w:rsidR="00441EC6">
        <w:rPr>
          <w:rFonts w:cs="Times New Roman"/>
          <w:sz w:val="24"/>
          <w:szCs w:val="24"/>
        </w:rPr>
        <w:t>“</w:t>
      </w:r>
      <w:r w:rsidRPr="48B69F44">
        <w:rPr>
          <w:rFonts w:cs="Times New Roman"/>
          <w:sz w:val="24"/>
          <w:szCs w:val="24"/>
        </w:rPr>
        <w:t>STI National Strategic Plan.</w:t>
      </w:r>
      <w:r w:rsidRPr="48B69F44" w:rsidR="27F4B223">
        <w:rPr>
          <w:rFonts w:cs="Times New Roman"/>
          <w:sz w:val="24"/>
          <w:szCs w:val="24"/>
        </w:rPr>
        <w:t>”</w:t>
      </w:r>
      <w:r w:rsidRPr="48B69F44">
        <w:rPr>
          <w:rFonts w:cs="Times New Roman"/>
          <w:sz w:val="24"/>
          <w:szCs w:val="24"/>
        </w:rPr>
        <w:t xml:space="preserve"> The program also supports the National HIV/AIDS Strategy (NHAS) and 2023-2026 SAMHSA Strategic Plan. Recipients will be expected to take a </w:t>
      </w:r>
      <w:r w:rsidRPr="48B69F44">
        <w:rPr>
          <w:rFonts w:cs="Times New Roman"/>
          <w:sz w:val="24"/>
          <w:szCs w:val="24"/>
        </w:rPr>
        <w:t>syndemic</w:t>
      </w:r>
      <w:r w:rsidRPr="48B69F44">
        <w:rPr>
          <w:rFonts w:cs="Times New Roman"/>
          <w:sz w:val="24"/>
          <w:szCs w:val="24"/>
        </w:rPr>
        <w:t xml:space="preserve"> approach to SUD, HIV, viral hepatitis</w:t>
      </w:r>
      <w:r w:rsidRPr="48B69F44" w:rsidR="005706D2">
        <w:rPr>
          <w:rFonts w:cs="Times New Roman"/>
          <w:sz w:val="24"/>
          <w:szCs w:val="24"/>
        </w:rPr>
        <w:t>, and STI</w:t>
      </w:r>
      <w:r w:rsidRPr="48B69F44">
        <w:rPr>
          <w:rFonts w:cs="Times New Roman"/>
          <w:sz w:val="24"/>
          <w:szCs w:val="24"/>
        </w:rPr>
        <w:t xml:space="preserve"> by providing SUD prevention and treatment to racial and ethnic individuals at risk for or living with HIV. </w:t>
      </w:r>
      <w:r w:rsidRPr="48B69F44" w:rsidR="00733833">
        <w:rPr>
          <w:rFonts w:cs="Times New Roman"/>
          <w:sz w:val="24"/>
          <w:szCs w:val="24"/>
        </w:rPr>
        <w:t xml:space="preserve">MAI PT Pilot </w:t>
      </w:r>
      <w:r w:rsidRPr="48B69F44">
        <w:rPr>
          <w:sz w:val="24"/>
          <w:szCs w:val="24"/>
        </w:rPr>
        <w:t>is authorized under Sections 509 and 516 of the Public Health Service Act, as amended.</w:t>
      </w:r>
    </w:p>
    <w:p w:rsidR="000842FF" w:rsidP="00A5402F" w14:paraId="76295B77" w14:textId="77777777">
      <w:pPr>
        <w:spacing w:after="0"/>
        <w:rPr>
          <w:rFonts w:cs="Times New Roman"/>
          <w:bCs/>
          <w:sz w:val="24"/>
          <w:szCs w:val="24"/>
        </w:rPr>
      </w:pPr>
    </w:p>
    <w:p w:rsidR="000F51C7" w:rsidP="0055501A" w14:paraId="04442898" w14:textId="46ED7A18">
      <w:pPr>
        <w:pStyle w:val="Heading1"/>
        <w:numPr>
          <w:ilvl w:val="0"/>
          <w:numId w:val="0"/>
        </w:numPr>
        <w:tabs>
          <w:tab w:val="left" w:pos="720"/>
        </w:tabs>
        <w:spacing w:before="0" w:after="0"/>
        <w:rPr>
          <w:rFonts w:ascii="Times New Roman" w:hAnsi="Times New Roman" w:cs="Times New Roman"/>
          <w:color w:val="auto"/>
          <w:sz w:val="24"/>
          <w:szCs w:val="24"/>
        </w:rPr>
      </w:pPr>
      <w:r w:rsidRPr="0055501A">
        <w:rPr>
          <w:rFonts w:ascii="Times New Roman" w:hAnsi="Times New Roman" w:cs="Times New Roman"/>
          <w:color w:val="auto"/>
          <w:sz w:val="24"/>
          <w:szCs w:val="24"/>
        </w:rPr>
        <w:t>A.2</w:t>
      </w:r>
      <w:r w:rsidRPr="0055501A" w:rsidR="005C6E54">
        <w:rPr>
          <w:rFonts w:ascii="Times New Roman" w:hAnsi="Times New Roman" w:cs="Times New Roman"/>
          <w:color w:val="auto"/>
          <w:sz w:val="24"/>
          <w:szCs w:val="24"/>
        </w:rPr>
        <w:t>.</w:t>
      </w:r>
      <w:r w:rsidRPr="0055501A" w:rsidR="0055501A">
        <w:rPr>
          <w:rFonts w:ascii="Times New Roman" w:hAnsi="Times New Roman" w:cs="Times New Roman"/>
          <w:color w:val="auto"/>
          <w:sz w:val="24"/>
          <w:szCs w:val="24"/>
        </w:rPr>
        <w:tab/>
      </w:r>
      <w:r w:rsidRPr="0055501A" w:rsidR="0003189F">
        <w:rPr>
          <w:rFonts w:ascii="Times New Roman" w:hAnsi="Times New Roman" w:cs="Times New Roman"/>
          <w:color w:val="auto"/>
          <w:sz w:val="24"/>
          <w:szCs w:val="24"/>
        </w:rPr>
        <w:t>Purpose and Use of Information</w:t>
      </w:r>
    </w:p>
    <w:p w:rsidR="0055501A" w:rsidP="00823EF6" w14:paraId="182B056C" w14:textId="77777777">
      <w:pPr>
        <w:spacing w:after="0"/>
        <w:rPr>
          <w:rFonts w:cs="Times New Roman"/>
          <w:sz w:val="24"/>
          <w:szCs w:val="24"/>
        </w:rPr>
      </w:pPr>
    </w:p>
    <w:p w:rsidR="00A24FB7" w:rsidP="00823EF6" w14:paraId="37D5110C" w14:textId="5D470E9A">
      <w:pPr>
        <w:spacing w:after="0"/>
        <w:rPr>
          <w:rFonts w:cs="Times New Roman"/>
          <w:sz w:val="24"/>
          <w:szCs w:val="24"/>
        </w:rPr>
      </w:pPr>
      <w:r w:rsidRPr="00E60B88">
        <w:rPr>
          <w:rFonts w:cs="Times New Roman"/>
          <w:sz w:val="24"/>
          <w:szCs w:val="24"/>
        </w:rPr>
        <w:t xml:space="preserve">The </w:t>
      </w:r>
      <w:r w:rsidR="007B0B11">
        <w:rPr>
          <w:rFonts w:cs="Times New Roman"/>
          <w:sz w:val="24"/>
          <w:szCs w:val="24"/>
        </w:rPr>
        <w:t>MAI-ORA,</w:t>
      </w:r>
      <w:r w:rsidRPr="00E60B88" w:rsidR="007B0B11">
        <w:rPr>
          <w:rFonts w:cs="Times New Roman"/>
          <w:sz w:val="24"/>
          <w:szCs w:val="24"/>
        </w:rPr>
        <w:t xml:space="preserve"> </w:t>
      </w:r>
      <w:r w:rsidRPr="00E60B88" w:rsidR="001155B7">
        <w:rPr>
          <w:rFonts w:cs="Times New Roman"/>
          <w:sz w:val="24"/>
          <w:szCs w:val="24"/>
        </w:rPr>
        <w:t>MAI</w:t>
      </w:r>
      <w:r w:rsidR="0012123C">
        <w:rPr>
          <w:rFonts w:cs="Times New Roman"/>
          <w:sz w:val="24"/>
          <w:szCs w:val="24"/>
        </w:rPr>
        <w:t>-</w:t>
      </w:r>
      <w:r w:rsidRPr="00E60B88" w:rsidR="00E60B88">
        <w:rPr>
          <w:rFonts w:cs="Times New Roman"/>
          <w:sz w:val="24"/>
          <w:szCs w:val="24"/>
        </w:rPr>
        <w:t>PPR</w:t>
      </w:r>
      <w:r w:rsidR="007B0B11">
        <w:rPr>
          <w:rFonts w:cs="Times New Roman"/>
          <w:sz w:val="24"/>
          <w:szCs w:val="24"/>
        </w:rPr>
        <w:t xml:space="preserve"> and</w:t>
      </w:r>
      <w:r w:rsidR="00993F2A">
        <w:rPr>
          <w:rFonts w:cs="Times New Roman"/>
          <w:sz w:val="24"/>
          <w:szCs w:val="24"/>
        </w:rPr>
        <w:t xml:space="preserve"> </w:t>
      </w:r>
      <w:r w:rsidRPr="00E60B88" w:rsidR="004A6471">
        <w:rPr>
          <w:rFonts w:cs="Times New Roman"/>
          <w:sz w:val="24"/>
          <w:szCs w:val="24"/>
        </w:rPr>
        <w:t>MAI</w:t>
      </w:r>
      <w:r w:rsidR="0012123C">
        <w:rPr>
          <w:rFonts w:cs="Times New Roman"/>
          <w:sz w:val="24"/>
          <w:szCs w:val="24"/>
        </w:rPr>
        <w:t>-</w:t>
      </w:r>
      <w:r w:rsidRPr="00E60B88" w:rsidR="00E60B88">
        <w:rPr>
          <w:rFonts w:cs="Times New Roman"/>
          <w:sz w:val="24"/>
          <w:szCs w:val="24"/>
        </w:rPr>
        <w:t>PORT</w:t>
      </w:r>
      <w:r w:rsidR="007B0B11">
        <w:rPr>
          <w:rFonts w:cs="Times New Roman"/>
          <w:sz w:val="24"/>
          <w:szCs w:val="24"/>
        </w:rPr>
        <w:t xml:space="preserve"> </w:t>
      </w:r>
      <w:r w:rsidRPr="00E60B88">
        <w:rPr>
          <w:rFonts w:cs="Times New Roman"/>
          <w:sz w:val="24"/>
          <w:szCs w:val="24"/>
        </w:rPr>
        <w:t xml:space="preserve">are tools that will enable GPOs and </w:t>
      </w:r>
      <w:r w:rsidRPr="00E60B88" w:rsidR="00F7204D">
        <w:rPr>
          <w:rFonts w:cs="Times New Roman"/>
          <w:sz w:val="24"/>
          <w:szCs w:val="24"/>
        </w:rPr>
        <w:t xml:space="preserve">other CSAP </w:t>
      </w:r>
      <w:r w:rsidRPr="00E60B88" w:rsidR="004A6471">
        <w:rPr>
          <w:rFonts w:cs="Times New Roman"/>
          <w:sz w:val="24"/>
          <w:szCs w:val="24"/>
        </w:rPr>
        <w:t>and CSAT</w:t>
      </w:r>
      <w:r w:rsidRPr="00E60B88" w:rsidR="00C472A3">
        <w:rPr>
          <w:rFonts w:cs="Times New Roman"/>
          <w:sz w:val="24"/>
          <w:szCs w:val="24"/>
        </w:rPr>
        <w:t xml:space="preserve"> </w:t>
      </w:r>
      <w:r w:rsidRPr="00E60B88" w:rsidR="00F7204D">
        <w:rPr>
          <w:rFonts w:cs="Times New Roman"/>
          <w:sz w:val="24"/>
          <w:szCs w:val="24"/>
        </w:rPr>
        <w:t xml:space="preserve">staff </w:t>
      </w:r>
      <w:r w:rsidRPr="00E60B88" w:rsidR="00D53B76">
        <w:rPr>
          <w:rFonts w:cs="Times New Roman"/>
          <w:sz w:val="24"/>
          <w:szCs w:val="24"/>
        </w:rPr>
        <w:t>to monitor grantee activities</w:t>
      </w:r>
      <w:r w:rsidRPr="00E60B88" w:rsidR="005A2F3E">
        <w:rPr>
          <w:rFonts w:cs="Times New Roman"/>
          <w:sz w:val="24"/>
          <w:szCs w:val="24"/>
        </w:rPr>
        <w:t>.</w:t>
      </w:r>
      <w:r w:rsidR="00190765">
        <w:rPr>
          <w:rFonts w:cs="Times New Roman"/>
          <w:sz w:val="24"/>
          <w:szCs w:val="24"/>
        </w:rPr>
        <w:t xml:space="preserve"> </w:t>
      </w:r>
      <w:r w:rsidRPr="00E60B88" w:rsidR="00287BC9">
        <w:rPr>
          <w:rFonts w:cs="Times New Roman"/>
          <w:sz w:val="24"/>
          <w:szCs w:val="24"/>
        </w:rPr>
        <w:t xml:space="preserve">The </w:t>
      </w:r>
      <w:r w:rsidRPr="00E60B88" w:rsidR="00E60B88">
        <w:rPr>
          <w:rFonts w:cs="Times New Roman"/>
          <w:sz w:val="24"/>
          <w:szCs w:val="24"/>
        </w:rPr>
        <w:t>MAI</w:t>
      </w:r>
      <w:r w:rsidR="0012123C">
        <w:rPr>
          <w:rFonts w:cs="Times New Roman"/>
          <w:sz w:val="24"/>
          <w:szCs w:val="24"/>
        </w:rPr>
        <w:t>-</w:t>
      </w:r>
      <w:r w:rsidRPr="00E60B88" w:rsidR="00E60B88">
        <w:rPr>
          <w:rFonts w:cs="Times New Roman"/>
          <w:sz w:val="24"/>
          <w:szCs w:val="24"/>
        </w:rPr>
        <w:t>P</w:t>
      </w:r>
      <w:r w:rsidRPr="00E60B88" w:rsidR="00287BC9">
        <w:rPr>
          <w:rFonts w:cs="Times New Roman"/>
          <w:sz w:val="24"/>
          <w:szCs w:val="24"/>
        </w:rPr>
        <w:t>ORT gathers information through a web-based data collection system that uses clickable radio b</w:t>
      </w:r>
      <w:r w:rsidR="00287BC9">
        <w:rPr>
          <w:rFonts w:cs="Times New Roman"/>
          <w:sz w:val="24"/>
          <w:szCs w:val="24"/>
        </w:rPr>
        <w:t>uttons, check boxes, drop-down choice</w:t>
      </w:r>
      <w:r w:rsidR="00864259">
        <w:rPr>
          <w:rFonts w:cs="Times New Roman"/>
          <w:sz w:val="24"/>
          <w:szCs w:val="24"/>
        </w:rPr>
        <w:t xml:space="preserve"> items, and a limited number of open-ended text boxes as releva</w:t>
      </w:r>
      <w:r w:rsidR="00F01F51">
        <w:rPr>
          <w:rFonts w:cs="Times New Roman"/>
          <w:sz w:val="24"/>
          <w:szCs w:val="24"/>
        </w:rPr>
        <w:t>nt. It also allows grantees to upload required documents requested by their GPO and as required in their Notice of Funding Announcement</w:t>
      </w:r>
      <w:r w:rsidR="007707DB">
        <w:rPr>
          <w:rFonts w:cs="Times New Roman"/>
          <w:sz w:val="24"/>
          <w:szCs w:val="24"/>
        </w:rPr>
        <w:t xml:space="preserve"> (NOFO)</w:t>
      </w:r>
      <w:r w:rsidR="00F01F51">
        <w:rPr>
          <w:rFonts w:cs="Times New Roman"/>
          <w:sz w:val="24"/>
          <w:szCs w:val="24"/>
        </w:rPr>
        <w:t xml:space="preserve">. </w:t>
      </w:r>
      <w:r w:rsidR="00844F1D">
        <w:rPr>
          <w:rFonts w:cs="Times New Roman"/>
          <w:sz w:val="24"/>
          <w:szCs w:val="24"/>
        </w:rPr>
        <w:t xml:space="preserve">The </w:t>
      </w:r>
      <w:r w:rsidR="000D7E7F">
        <w:rPr>
          <w:rFonts w:cs="Times New Roman"/>
          <w:sz w:val="24"/>
          <w:szCs w:val="24"/>
        </w:rPr>
        <w:t>MAI</w:t>
      </w:r>
      <w:r w:rsidR="007707DB">
        <w:rPr>
          <w:rFonts w:cs="Times New Roman"/>
          <w:sz w:val="24"/>
          <w:szCs w:val="24"/>
        </w:rPr>
        <w:t>-</w:t>
      </w:r>
      <w:r w:rsidR="000D7E7F">
        <w:rPr>
          <w:rFonts w:cs="Times New Roman"/>
          <w:sz w:val="24"/>
          <w:szCs w:val="24"/>
        </w:rPr>
        <w:t xml:space="preserve">PORT </w:t>
      </w:r>
      <w:r w:rsidR="00844F1D">
        <w:rPr>
          <w:rFonts w:cs="Times New Roman"/>
          <w:sz w:val="24"/>
          <w:szCs w:val="24"/>
        </w:rPr>
        <w:t>will</w:t>
      </w:r>
      <w:r w:rsidR="00716F6C">
        <w:rPr>
          <w:rFonts w:cs="Times New Roman"/>
          <w:sz w:val="24"/>
          <w:szCs w:val="24"/>
        </w:rPr>
        <w:t xml:space="preserve"> </w:t>
      </w:r>
      <w:r w:rsidR="00D63AC8">
        <w:rPr>
          <w:rFonts w:cs="Times New Roman"/>
          <w:sz w:val="24"/>
          <w:szCs w:val="24"/>
        </w:rPr>
        <w:t>likely be completed by the grantee Project Director, Evaluator, or designee</w:t>
      </w:r>
      <w:r w:rsidR="00E44016">
        <w:rPr>
          <w:rFonts w:cs="Times New Roman"/>
          <w:sz w:val="24"/>
          <w:szCs w:val="24"/>
        </w:rPr>
        <w:t xml:space="preserve">. </w:t>
      </w:r>
      <w:r w:rsidRPr="000842FF" w:rsidR="00E44016">
        <w:rPr>
          <w:rFonts w:cs="Times New Roman"/>
          <w:sz w:val="24"/>
          <w:szCs w:val="24"/>
        </w:rPr>
        <w:t xml:space="preserve">The </w:t>
      </w:r>
      <w:r w:rsidR="003F1A50">
        <w:rPr>
          <w:rFonts w:cs="Times New Roman"/>
          <w:sz w:val="24"/>
          <w:szCs w:val="24"/>
        </w:rPr>
        <w:t>ATR</w:t>
      </w:r>
      <w:r w:rsidR="00BD7667">
        <w:rPr>
          <w:rFonts w:cs="Times New Roman"/>
          <w:sz w:val="24"/>
          <w:szCs w:val="24"/>
        </w:rPr>
        <w:t xml:space="preserve"> </w:t>
      </w:r>
      <w:r w:rsidRPr="000842FF" w:rsidR="00E44016">
        <w:rPr>
          <w:rFonts w:cs="Times New Roman"/>
          <w:sz w:val="24"/>
          <w:szCs w:val="24"/>
        </w:rPr>
        <w:t xml:space="preserve">section will be completed annually and the </w:t>
      </w:r>
      <w:r w:rsidR="003F1A50">
        <w:rPr>
          <w:rFonts w:cs="Times New Roman"/>
          <w:sz w:val="24"/>
          <w:szCs w:val="24"/>
        </w:rPr>
        <w:t>QPR</w:t>
      </w:r>
      <w:r w:rsidRPr="000842FF">
        <w:rPr>
          <w:rFonts w:cs="Times New Roman"/>
          <w:sz w:val="24"/>
          <w:szCs w:val="24"/>
        </w:rPr>
        <w:t xml:space="preserve"> section</w:t>
      </w:r>
      <w:r w:rsidRPr="000842FF" w:rsidR="00E4654D">
        <w:rPr>
          <w:rFonts w:cs="Times New Roman"/>
          <w:sz w:val="24"/>
          <w:szCs w:val="24"/>
        </w:rPr>
        <w:t xml:space="preserve"> each quarter.</w:t>
      </w:r>
      <w:r w:rsidR="003C406A">
        <w:rPr>
          <w:rFonts w:cs="Times New Roman"/>
          <w:sz w:val="24"/>
          <w:szCs w:val="24"/>
        </w:rPr>
        <w:t xml:space="preserve"> </w:t>
      </w:r>
      <w:r w:rsidR="009B46E3">
        <w:rPr>
          <w:rFonts w:cs="Times New Roman"/>
          <w:sz w:val="24"/>
          <w:szCs w:val="24"/>
        </w:rPr>
        <w:t xml:space="preserve">The </w:t>
      </w:r>
      <w:r w:rsidR="006B5D93">
        <w:rPr>
          <w:rFonts w:cs="Times New Roman"/>
          <w:sz w:val="24"/>
          <w:szCs w:val="24"/>
        </w:rPr>
        <w:t xml:space="preserve">MAI-ORA </w:t>
      </w:r>
      <w:r w:rsidR="00285780">
        <w:rPr>
          <w:rFonts w:cs="Times New Roman"/>
          <w:sz w:val="24"/>
          <w:szCs w:val="24"/>
        </w:rPr>
        <w:t>will only be completed once</w:t>
      </w:r>
      <w:r w:rsidR="00CE5A39">
        <w:rPr>
          <w:rFonts w:cs="Times New Roman"/>
          <w:sz w:val="24"/>
          <w:szCs w:val="24"/>
        </w:rPr>
        <w:t xml:space="preserve"> within the first four months of the grant</w:t>
      </w:r>
      <w:r w:rsidR="001F23DC">
        <w:rPr>
          <w:rFonts w:cs="Times New Roman"/>
          <w:sz w:val="24"/>
          <w:szCs w:val="24"/>
        </w:rPr>
        <w:t xml:space="preserve"> and will be uploaded to </w:t>
      </w:r>
      <w:r w:rsidR="00500567">
        <w:rPr>
          <w:rFonts w:cs="Times New Roman"/>
          <w:sz w:val="24"/>
          <w:szCs w:val="24"/>
        </w:rPr>
        <w:t xml:space="preserve">SPARS. The </w:t>
      </w:r>
      <w:r w:rsidR="008F0FB9">
        <w:rPr>
          <w:rFonts w:cs="Times New Roman"/>
          <w:sz w:val="24"/>
          <w:szCs w:val="24"/>
        </w:rPr>
        <w:t>MAI</w:t>
      </w:r>
      <w:r w:rsidR="005E59CA">
        <w:rPr>
          <w:rFonts w:cs="Times New Roman"/>
          <w:sz w:val="24"/>
          <w:szCs w:val="24"/>
        </w:rPr>
        <w:t>-</w:t>
      </w:r>
      <w:r w:rsidR="008F0FB9">
        <w:rPr>
          <w:rFonts w:cs="Times New Roman"/>
          <w:sz w:val="24"/>
          <w:szCs w:val="24"/>
        </w:rPr>
        <w:t>P</w:t>
      </w:r>
      <w:r w:rsidR="000842FF">
        <w:rPr>
          <w:rFonts w:cs="Times New Roman"/>
          <w:sz w:val="24"/>
          <w:szCs w:val="24"/>
        </w:rPr>
        <w:t>P</w:t>
      </w:r>
      <w:r w:rsidR="008F0FB9">
        <w:rPr>
          <w:rFonts w:cs="Times New Roman"/>
          <w:sz w:val="24"/>
          <w:szCs w:val="24"/>
        </w:rPr>
        <w:t xml:space="preserve">R </w:t>
      </w:r>
      <w:r w:rsidR="00CE5A39">
        <w:rPr>
          <w:rFonts w:cs="Times New Roman"/>
          <w:sz w:val="24"/>
          <w:szCs w:val="24"/>
        </w:rPr>
        <w:t xml:space="preserve">will be completed </w:t>
      </w:r>
      <w:r w:rsidRPr="00BD7667" w:rsidR="00365F3B">
        <w:rPr>
          <w:rFonts w:cs="Times New Roman"/>
          <w:sz w:val="24"/>
          <w:szCs w:val="24"/>
        </w:rPr>
        <w:t>annually</w:t>
      </w:r>
      <w:r w:rsidR="00500567">
        <w:rPr>
          <w:rFonts w:cs="Times New Roman"/>
          <w:sz w:val="24"/>
          <w:szCs w:val="24"/>
        </w:rPr>
        <w:t xml:space="preserve"> and </w:t>
      </w:r>
      <w:r w:rsidR="00682B9B">
        <w:rPr>
          <w:rFonts w:cs="Times New Roman"/>
          <w:sz w:val="24"/>
          <w:szCs w:val="24"/>
        </w:rPr>
        <w:t xml:space="preserve">will be uploaded to </w:t>
      </w:r>
      <w:r w:rsidR="00D86B84">
        <w:rPr>
          <w:rFonts w:cs="Times New Roman"/>
          <w:sz w:val="24"/>
          <w:szCs w:val="24"/>
        </w:rPr>
        <w:t xml:space="preserve">the grantee’s official electronic grant folder, located in </w:t>
      </w:r>
      <w:r w:rsidRPr="00D86B84" w:rsidR="00D86B84">
        <w:rPr>
          <w:rFonts w:cs="Times New Roman"/>
          <w:sz w:val="24"/>
          <w:szCs w:val="24"/>
        </w:rPr>
        <w:t xml:space="preserve">electronic </w:t>
      </w:r>
      <w:r w:rsidRPr="6B1DAC6F" w:rsidR="00D86B84">
        <w:rPr>
          <w:rFonts w:cs="Times New Roman"/>
          <w:sz w:val="24"/>
          <w:szCs w:val="24"/>
        </w:rPr>
        <w:t>Research</w:t>
      </w:r>
      <w:r w:rsidRPr="00D86B84" w:rsidR="00D86B84">
        <w:rPr>
          <w:rFonts w:cs="Times New Roman"/>
          <w:sz w:val="24"/>
          <w:szCs w:val="24"/>
        </w:rPr>
        <w:t xml:space="preserve"> Administration (eRA) Commons</w:t>
      </w:r>
      <w:r w:rsidR="00072A56">
        <w:rPr>
          <w:rFonts w:cs="Times New Roman"/>
          <w:sz w:val="24"/>
          <w:szCs w:val="24"/>
        </w:rPr>
        <w:t>.</w:t>
      </w:r>
      <w:r w:rsidR="0039417D">
        <w:rPr>
          <w:rFonts w:cs="Times New Roman"/>
          <w:sz w:val="24"/>
          <w:szCs w:val="24"/>
        </w:rPr>
        <w:t xml:space="preserve"> </w:t>
      </w:r>
    </w:p>
    <w:p w:rsidR="00A24FB7" w:rsidP="00823EF6" w14:paraId="03DD81C2" w14:textId="77777777">
      <w:pPr>
        <w:spacing w:after="0"/>
        <w:rPr>
          <w:rFonts w:cs="Times New Roman"/>
          <w:sz w:val="24"/>
          <w:szCs w:val="24"/>
        </w:rPr>
      </w:pPr>
    </w:p>
    <w:p w:rsidR="00823EF6" w:rsidRPr="00383977" w:rsidP="00823EF6" w14:paraId="7B358748" w14:textId="20294D74">
      <w:pPr>
        <w:spacing w:after="0"/>
        <w:rPr>
          <w:rFonts w:cs="Times New Roman"/>
          <w:sz w:val="24"/>
          <w:szCs w:val="24"/>
        </w:rPr>
      </w:pPr>
      <w:r w:rsidRPr="00383977">
        <w:rPr>
          <w:rFonts w:cs="Times New Roman"/>
          <w:sz w:val="24"/>
          <w:szCs w:val="24"/>
        </w:rPr>
        <w:t xml:space="preserve">The information is used by individuals at three different levels: 1) Assistant Secretary for Mental Health and Substance Use, </w:t>
      </w:r>
      <w:r w:rsidR="009627F3">
        <w:rPr>
          <w:rFonts w:cs="Times New Roman"/>
          <w:sz w:val="24"/>
          <w:szCs w:val="24"/>
        </w:rPr>
        <w:t xml:space="preserve">U.S. Department of </w:t>
      </w:r>
      <w:r w:rsidR="00942B8D">
        <w:rPr>
          <w:rFonts w:cs="Times New Roman"/>
          <w:sz w:val="24"/>
          <w:szCs w:val="24"/>
        </w:rPr>
        <w:t>Health and Human Services (HHS)</w:t>
      </w:r>
      <w:r w:rsidR="00996975">
        <w:rPr>
          <w:rFonts w:cs="Times New Roman"/>
          <w:sz w:val="24"/>
          <w:szCs w:val="24"/>
        </w:rPr>
        <w:t>,</w:t>
      </w:r>
      <w:r w:rsidRPr="00383977">
        <w:rPr>
          <w:rFonts w:cs="Times New Roman"/>
          <w:sz w:val="24"/>
          <w:szCs w:val="24"/>
        </w:rPr>
        <w:t xml:space="preserve"> and SAMHSA leadership, 2) program-level SAMHSA staff</w:t>
      </w:r>
      <w:r w:rsidR="00574B3C">
        <w:rPr>
          <w:rFonts w:cs="Times New Roman"/>
          <w:sz w:val="24"/>
          <w:szCs w:val="24"/>
        </w:rPr>
        <w:t>,</w:t>
      </w:r>
      <w:r w:rsidRPr="00383977">
        <w:rPr>
          <w:rFonts w:cs="Times New Roman"/>
          <w:sz w:val="24"/>
          <w:szCs w:val="24"/>
        </w:rPr>
        <w:t xml:space="preserve"> including CSAP</w:t>
      </w:r>
      <w:r w:rsidR="00CC5DA1">
        <w:rPr>
          <w:rFonts w:cs="Times New Roman"/>
          <w:sz w:val="24"/>
          <w:szCs w:val="24"/>
        </w:rPr>
        <w:t xml:space="preserve"> and CSAT</w:t>
      </w:r>
      <w:r w:rsidRPr="00383977">
        <w:rPr>
          <w:rFonts w:cs="Times New Roman"/>
          <w:sz w:val="24"/>
          <w:szCs w:val="24"/>
        </w:rPr>
        <w:t xml:space="preserve"> leadership and GPOs, and 3) grantees:</w:t>
      </w:r>
      <w:r w:rsidR="00190765">
        <w:rPr>
          <w:rFonts w:cs="Times New Roman"/>
          <w:sz w:val="24"/>
          <w:szCs w:val="24"/>
        </w:rPr>
        <w:t xml:space="preserve"> </w:t>
      </w:r>
    </w:p>
    <w:p w:rsidR="00823EF6" w:rsidRPr="00383977" w:rsidP="00823EF6" w14:paraId="4F93D0DD" w14:textId="77777777">
      <w:pPr>
        <w:spacing w:after="0"/>
        <w:rPr>
          <w:rFonts w:cs="Times New Roman"/>
          <w:sz w:val="24"/>
          <w:szCs w:val="24"/>
        </w:rPr>
      </w:pPr>
    </w:p>
    <w:p w:rsidR="00823EF6" w:rsidRPr="008D272E" w:rsidP="008D272E" w14:paraId="74C083ED" w14:textId="1DF7EF41">
      <w:pPr>
        <w:pStyle w:val="ListParagraph"/>
        <w:numPr>
          <w:ilvl w:val="0"/>
          <w:numId w:val="18"/>
        </w:numPr>
        <w:spacing w:after="0"/>
        <w:rPr>
          <w:rFonts w:cs="Times New Roman"/>
          <w:sz w:val="24"/>
          <w:szCs w:val="24"/>
        </w:rPr>
      </w:pPr>
      <w:r w:rsidRPr="008D272E">
        <w:rPr>
          <w:rFonts w:cs="Times New Roman"/>
          <w:b/>
          <w:bCs/>
          <w:sz w:val="24"/>
          <w:szCs w:val="24"/>
        </w:rPr>
        <w:t>Assistant Secretary Level</w:t>
      </w:r>
      <w:r w:rsidRPr="008D272E">
        <w:rPr>
          <w:rFonts w:cs="Times New Roman"/>
          <w:sz w:val="24"/>
          <w:szCs w:val="24"/>
        </w:rPr>
        <w:t xml:space="preserve"> – The information is used to inform the Assistant Secretary for Mental Health and Substance Use of the performance and outcomes of the programs funded through the Agency. The performance is based on the goals of the grant program. This information serves as the basis of the annual GPRA report to Congress contained in the Justifications of Budget Estimates.</w:t>
      </w:r>
      <w:r w:rsidRPr="008D272E" w:rsidR="00190765">
        <w:rPr>
          <w:rFonts w:cs="Times New Roman"/>
          <w:sz w:val="24"/>
          <w:szCs w:val="24"/>
        </w:rPr>
        <w:t xml:space="preserve"> </w:t>
      </w:r>
    </w:p>
    <w:p w:rsidR="00823EF6" w:rsidRPr="00383977" w:rsidP="00823EF6" w14:paraId="18920C8B" w14:textId="77777777">
      <w:pPr>
        <w:spacing w:after="0"/>
        <w:rPr>
          <w:rFonts w:cs="Times New Roman"/>
          <w:sz w:val="24"/>
          <w:szCs w:val="24"/>
        </w:rPr>
      </w:pPr>
    </w:p>
    <w:p w:rsidR="00823EF6" w:rsidRPr="00383977" w:rsidP="00496CC3" w14:paraId="35F7E446" w14:textId="0A080117">
      <w:pPr>
        <w:pStyle w:val="ListParagraph"/>
        <w:numPr>
          <w:ilvl w:val="0"/>
          <w:numId w:val="18"/>
        </w:numPr>
        <w:spacing w:after="0"/>
        <w:rPr>
          <w:rFonts w:cs="Times New Roman"/>
          <w:sz w:val="24"/>
          <w:szCs w:val="24"/>
        </w:rPr>
      </w:pPr>
      <w:r>
        <w:rPr>
          <w:rFonts w:cs="Times New Roman"/>
          <w:b/>
          <w:bCs/>
          <w:sz w:val="24"/>
          <w:szCs w:val="24"/>
        </w:rPr>
        <w:t>Program</w:t>
      </w:r>
      <w:r w:rsidRPr="00504A11">
        <w:rPr>
          <w:rFonts w:cs="Times New Roman"/>
          <w:b/>
          <w:bCs/>
          <w:sz w:val="24"/>
          <w:szCs w:val="24"/>
        </w:rPr>
        <w:t xml:space="preserve"> </w:t>
      </w:r>
      <w:r w:rsidRPr="00504A11">
        <w:rPr>
          <w:rFonts w:cs="Times New Roman"/>
          <w:b/>
          <w:bCs/>
          <w:sz w:val="24"/>
          <w:szCs w:val="24"/>
        </w:rPr>
        <w:t>Level</w:t>
      </w:r>
      <w:r w:rsidRPr="00383977">
        <w:rPr>
          <w:rFonts w:cs="Times New Roman"/>
          <w:sz w:val="24"/>
          <w:szCs w:val="24"/>
        </w:rPr>
        <w:t xml:space="preserve"> – In addition to providing information about the performance of the various programs, the information is used to monitor and manage individual grant projects within each program. The information is used by GPOs to identify program strengths and weaknesses, to provide an informed basis for providing technical assistance and other support to grantees, to inform funding decisions, and to identify potential issues for additional evaluation. </w:t>
      </w:r>
    </w:p>
    <w:p w:rsidR="00823EF6" w:rsidRPr="00383977" w:rsidP="00823EF6" w14:paraId="01FD189E" w14:textId="77777777">
      <w:pPr>
        <w:spacing w:after="0"/>
        <w:rPr>
          <w:rFonts w:cs="Times New Roman"/>
          <w:sz w:val="24"/>
          <w:szCs w:val="24"/>
        </w:rPr>
      </w:pPr>
    </w:p>
    <w:p w:rsidR="00065517" w:rsidP="00496CC3" w14:paraId="033A3FD0" w14:textId="123A15BD">
      <w:pPr>
        <w:pStyle w:val="ListParagraph"/>
        <w:numPr>
          <w:ilvl w:val="0"/>
          <w:numId w:val="18"/>
        </w:numPr>
        <w:spacing w:after="0"/>
        <w:rPr>
          <w:rFonts w:cs="Times New Roman"/>
          <w:sz w:val="24"/>
          <w:szCs w:val="24"/>
        </w:rPr>
      </w:pPr>
      <w:r w:rsidRPr="000C60B9">
        <w:rPr>
          <w:rFonts w:cs="Times New Roman"/>
          <w:b/>
          <w:bCs/>
          <w:sz w:val="24"/>
          <w:szCs w:val="24"/>
        </w:rPr>
        <w:t>Grantee Level</w:t>
      </w:r>
      <w:r w:rsidRPr="00383977">
        <w:rPr>
          <w:rFonts w:cs="Times New Roman"/>
          <w:sz w:val="24"/>
          <w:szCs w:val="24"/>
        </w:rPr>
        <w:t xml:space="preserve"> – In addition to monitoring performance and outcomes, the grantee staff use the information to </w:t>
      </w:r>
      <w:r w:rsidR="009C213C">
        <w:rPr>
          <w:rFonts w:cs="Times New Roman"/>
          <w:sz w:val="24"/>
          <w:szCs w:val="24"/>
        </w:rPr>
        <w:t xml:space="preserve">monitor </w:t>
      </w:r>
      <w:r w:rsidRPr="00065517">
        <w:rPr>
          <w:rFonts w:cs="Times New Roman"/>
          <w:sz w:val="24"/>
          <w:szCs w:val="24"/>
        </w:rPr>
        <w:t>the requirements of the grant funding announcement as outlined in their notice of grant award</w:t>
      </w:r>
      <w:r>
        <w:rPr>
          <w:rFonts w:cs="Times New Roman"/>
          <w:sz w:val="24"/>
          <w:szCs w:val="24"/>
        </w:rPr>
        <w:t>.</w:t>
      </w:r>
    </w:p>
    <w:p w:rsidR="00065517" w:rsidRPr="00065517" w:rsidP="00065517" w14:paraId="6ABC899C" w14:textId="77777777">
      <w:pPr>
        <w:spacing w:after="0"/>
        <w:ind w:left="720"/>
        <w:rPr>
          <w:rFonts w:cs="Times New Roman"/>
          <w:sz w:val="24"/>
          <w:szCs w:val="24"/>
        </w:rPr>
      </w:pPr>
    </w:p>
    <w:p w:rsidR="00D66329" w:rsidP="004F6C0E" w14:paraId="2976E7C8" w14:textId="713D2107">
      <w:pPr>
        <w:spacing w:after="0"/>
        <w:contextualSpacing/>
        <w:rPr>
          <w:rFonts w:cs="Times New Roman"/>
          <w:sz w:val="24"/>
          <w:szCs w:val="24"/>
        </w:rPr>
      </w:pPr>
      <w:r>
        <w:rPr>
          <w:rFonts w:cs="Times New Roman"/>
          <w:sz w:val="24"/>
          <w:szCs w:val="24"/>
        </w:rPr>
        <w:t>In summary</w:t>
      </w:r>
      <w:r w:rsidRPr="00D66329">
        <w:rPr>
          <w:rFonts w:cs="Times New Roman"/>
          <w:sz w:val="24"/>
          <w:szCs w:val="24"/>
        </w:rPr>
        <w:t xml:space="preserve">, </w:t>
      </w:r>
      <w:r w:rsidR="00882DAE">
        <w:rPr>
          <w:rFonts w:cs="Times New Roman"/>
          <w:sz w:val="24"/>
          <w:szCs w:val="24"/>
        </w:rPr>
        <w:t xml:space="preserve">the data collected through </w:t>
      </w:r>
      <w:r w:rsidR="00F32770">
        <w:rPr>
          <w:rFonts w:cs="Times New Roman"/>
          <w:sz w:val="24"/>
          <w:szCs w:val="24"/>
        </w:rPr>
        <w:t>these three</w:t>
      </w:r>
      <w:r w:rsidRPr="00D66329" w:rsidR="00CC5DA1">
        <w:rPr>
          <w:rFonts w:cs="Times New Roman"/>
          <w:sz w:val="24"/>
          <w:szCs w:val="24"/>
        </w:rPr>
        <w:t xml:space="preserve"> </w:t>
      </w:r>
      <w:r w:rsidR="0076295F">
        <w:rPr>
          <w:rFonts w:cs="Times New Roman"/>
          <w:sz w:val="24"/>
          <w:szCs w:val="24"/>
        </w:rPr>
        <w:t xml:space="preserve">data collection instruments </w:t>
      </w:r>
      <w:r w:rsidRPr="00D66329">
        <w:rPr>
          <w:rFonts w:cs="Times New Roman"/>
          <w:sz w:val="24"/>
          <w:szCs w:val="24"/>
        </w:rPr>
        <w:t xml:space="preserve">will be a crucial resource for CSAP </w:t>
      </w:r>
      <w:r w:rsidR="00A674C4">
        <w:rPr>
          <w:rFonts w:cs="Times New Roman"/>
          <w:sz w:val="24"/>
          <w:szCs w:val="24"/>
        </w:rPr>
        <w:t xml:space="preserve">and CSAT </w:t>
      </w:r>
      <w:r w:rsidRPr="00D66329">
        <w:rPr>
          <w:rFonts w:cs="Times New Roman"/>
          <w:sz w:val="24"/>
          <w:szCs w:val="24"/>
        </w:rPr>
        <w:t>in setting prevention policy priorities, measuring program performance, and designing and promoting optimally effective prevention program initiatives.</w:t>
      </w:r>
    </w:p>
    <w:p w:rsidR="00D66329" w:rsidRPr="0091092F" w:rsidP="00DE4DF1" w14:paraId="56525FBF" w14:textId="77777777">
      <w:pPr>
        <w:spacing w:after="0"/>
        <w:contextualSpacing/>
        <w:rPr>
          <w:rFonts w:cs="Times New Roman"/>
          <w:sz w:val="24"/>
          <w:szCs w:val="24"/>
        </w:rPr>
      </w:pPr>
    </w:p>
    <w:p w:rsidR="00604618" w:rsidRPr="005301D4" w:rsidP="0055501A" w14:paraId="54D66A6A" w14:textId="7623263C">
      <w:pPr>
        <w:pStyle w:val="Heading1"/>
        <w:numPr>
          <w:ilvl w:val="0"/>
          <w:numId w:val="0"/>
        </w:numPr>
        <w:tabs>
          <w:tab w:val="left" w:pos="720"/>
        </w:tabs>
        <w:spacing w:before="0" w:after="0"/>
        <w:rPr>
          <w:rFonts w:ascii="Times New Roman" w:hAnsi="Times New Roman" w:cs="Times New Roman"/>
          <w:color w:val="auto"/>
          <w:sz w:val="24"/>
          <w:szCs w:val="24"/>
        </w:rPr>
      </w:pPr>
      <w:r w:rsidRPr="0055501A">
        <w:rPr>
          <w:rFonts w:ascii="Times New Roman" w:hAnsi="Times New Roman" w:cs="Times New Roman"/>
          <w:color w:val="auto"/>
          <w:sz w:val="24"/>
          <w:szCs w:val="24"/>
        </w:rPr>
        <w:t>A</w:t>
      </w:r>
      <w:r w:rsidRPr="005301D4">
        <w:rPr>
          <w:rFonts w:ascii="Times New Roman" w:hAnsi="Times New Roman" w:cs="Times New Roman"/>
          <w:color w:val="auto"/>
          <w:sz w:val="24"/>
          <w:szCs w:val="24"/>
        </w:rPr>
        <w:t>.3</w:t>
      </w:r>
      <w:r w:rsidRPr="005301D4" w:rsidR="00050CA7">
        <w:rPr>
          <w:rFonts w:ascii="Times New Roman" w:hAnsi="Times New Roman" w:cs="Times New Roman"/>
          <w:color w:val="auto"/>
          <w:sz w:val="24"/>
          <w:szCs w:val="24"/>
        </w:rPr>
        <w:t>.</w:t>
      </w:r>
      <w:r w:rsidRPr="005301D4" w:rsidR="0055501A">
        <w:rPr>
          <w:rFonts w:ascii="Times New Roman" w:hAnsi="Times New Roman" w:cs="Times New Roman"/>
          <w:color w:val="auto"/>
          <w:sz w:val="24"/>
          <w:szCs w:val="24"/>
        </w:rPr>
        <w:tab/>
      </w:r>
      <w:r w:rsidRPr="005301D4" w:rsidR="0003189F">
        <w:rPr>
          <w:rFonts w:ascii="Times New Roman" w:hAnsi="Times New Roman" w:cs="Times New Roman"/>
          <w:color w:val="auto"/>
          <w:sz w:val="24"/>
          <w:szCs w:val="24"/>
        </w:rPr>
        <w:t>Use of Information Technology</w:t>
      </w:r>
    </w:p>
    <w:p w:rsidR="000373DE" w:rsidRPr="005301D4" w:rsidP="0066536D" w14:paraId="563104FA" w14:textId="77777777">
      <w:pPr>
        <w:spacing w:after="0"/>
        <w:rPr>
          <w:rFonts w:cs="Times New Roman"/>
          <w:b/>
          <w:bCs/>
          <w:sz w:val="24"/>
          <w:szCs w:val="24"/>
        </w:rPr>
      </w:pPr>
    </w:p>
    <w:p w:rsidR="0066536D" w:rsidRPr="005301D4" w:rsidP="0066536D" w14:paraId="654B28E1" w14:textId="6CC17EF9">
      <w:pPr>
        <w:spacing w:after="0"/>
        <w:rPr>
          <w:rFonts w:cs="Times New Roman"/>
          <w:b/>
          <w:bCs/>
          <w:sz w:val="24"/>
          <w:szCs w:val="24"/>
        </w:rPr>
      </w:pPr>
      <w:r w:rsidRPr="005301D4">
        <w:rPr>
          <w:rFonts w:cs="Times New Roman"/>
          <w:b/>
          <w:bCs/>
          <w:sz w:val="24"/>
          <w:szCs w:val="24"/>
        </w:rPr>
        <w:t xml:space="preserve">Grant Level Compliance </w:t>
      </w:r>
    </w:p>
    <w:p w:rsidR="000373DE" w:rsidRPr="005301D4" w:rsidP="0066536D" w14:paraId="0C4A22CD" w14:textId="77777777">
      <w:pPr>
        <w:spacing w:after="0"/>
        <w:rPr>
          <w:rFonts w:cs="Times New Roman"/>
          <w:b/>
          <w:bCs/>
          <w:sz w:val="24"/>
          <w:szCs w:val="24"/>
        </w:rPr>
      </w:pPr>
    </w:p>
    <w:p w:rsidR="00116450" w:rsidRPr="005301D4" w:rsidP="00E277DD" w14:paraId="5A9D87E2" w14:textId="5F3A0F4D">
      <w:pPr>
        <w:rPr>
          <w:rFonts w:cs="Times New Roman"/>
          <w:b/>
          <w:bCs/>
          <w:sz w:val="24"/>
          <w:szCs w:val="24"/>
        </w:rPr>
      </w:pPr>
      <w:r w:rsidRPr="00A4121E">
        <w:rPr>
          <w:rFonts w:cs="Times New Roman"/>
          <w:sz w:val="24"/>
          <w:szCs w:val="24"/>
        </w:rPr>
        <w:t xml:space="preserve">All SAMHSA awards require </w:t>
      </w:r>
      <w:r w:rsidRPr="00A4121E" w:rsidR="00E277DD">
        <w:rPr>
          <w:rFonts w:cs="Times New Roman"/>
          <w:sz w:val="24"/>
          <w:szCs w:val="24"/>
        </w:rPr>
        <w:t>grantees</w:t>
      </w:r>
      <w:r w:rsidRPr="00A4121E">
        <w:rPr>
          <w:rFonts w:cs="Times New Roman"/>
          <w:sz w:val="24"/>
          <w:szCs w:val="24"/>
        </w:rPr>
        <w:t xml:space="preserve"> to submit progress reports</w:t>
      </w:r>
      <w:r w:rsidRPr="00A4121E" w:rsidR="006768BC">
        <w:rPr>
          <w:rFonts w:cs="Times New Roman"/>
          <w:sz w:val="24"/>
          <w:szCs w:val="24"/>
        </w:rPr>
        <w:t xml:space="preserve"> through </w:t>
      </w:r>
      <w:r w:rsidRPr="00A4121E" w:rsidR="00147022">
        <w:rPr>
          <w:rFonts w:cs="Times New Roman"/>
          <w:sz w:val="24"/>
          <w:szCs w:val="24"/>
        </w:rPr>
        <w:t>the eRA</w:t>
      </w:r>
      <w:r w:rsidRPr="00A4121E" w:rsidR="003946A1">
        <w:rPr>
          <w:rFonts w:cs="Times New Roman"/>
          <w:sz w:val="24"/>
          <w:szCs w:val="24"/>
        </w:rPr>
        <w:t xml:space="preserve"> Commons</w:t>
      </w:r>
      <w:r w:rsidRPr="00A4121E" w:rsidR="00F64FED">
        <w:rPr>
          <w:rFonts w:cs="Times New Roman"/>
          <w:sz w:val="24"/>
          <w:szCs w:val="24"/>
        </w:rPr>
        <w:t xml:space="preserve">, </w:t>
      </w:r>
      <w:r w:rsidRPr="00A4121E" w:rsidR="008C0E08">
        <w:rPr>
          <w:rFonts w:cs="Times New Roman"/>
          <w:sz w:val="24"/>
          <w:szCs w:val="24"/>
        </w:rPr>
        <w:t>an end-to-end Grants Management</w:t>
      </w:r>
      <w:r w:rsidRPr="00A4121E" w:rsidR="00F64FED">
        <w:rPr>
          <w:rFonts w:cs="Times New Roman"/>
          <w:sz w:val="24"/>
          <w:szCs w:val="24"/>
        </w:rPr>
        <w:t xml:space="preserve"> system</w:t>
      </w:r>
      <w:r w:rsidR="00AE1B58">
        <w:rPr>
          <w:rFonts w:cs="Times New Roman"/>
          <w:sz w:val="24"/>
          <w:szCs w:val="24"/>
        </w:rPr>
        <w:t>.</w:t>
      </w:r>
      <w:r w:rsidRPr="00A4121E" w:rsidR="00676922">
        <w:rPr>
          <w:rFonts w:cs="Times New Roman"/>
          <w:sz w:val="24"/>
          <w:szCs w:val="24"/>
        </w:rPr>
        <w:t xml:space="preserve"> </w:t>
      </w:r>
      <w:r w:rsidRPr="00A4121E" w:rsidR="00BC3FEA">
        <w:rPr>
          <w:rFonts w:cs="Times New Roman"/>
          <w:sz w:val="24"/>
          <w:szCs w:val="24"/>
        </w:rPr>
        <w:t>(</w:t>
      </w:r>
      <w:r w:rsidR="00AE1B58">
        <w:rPr>
          <w:rFonts w:cs="Times New Roman"/>
          <w:sz w:val="24"/>
          <w:szCs w:val="24"/>
        </w:rPr>
        <w:t xml:space="preserve">See </w:t>
      </w:r>
      <w:r w:rsidRPr="00A4121E" w:rsidR="00BC3FEA">
        <w:rPr>
          <w:rFonts w:cs="Times New Roman"/>
          <w:sz w:val="24"/>
          <w:szCs w:val="24"/>
        </w:rPr>
        <w:t>Exhibit 1)</w:t>
      </w:r>
      <w:r w:rsidRPr="00A4121E" w:rsidR="00F64FED">
        <w:rPr>
          <w:rFonts w:cs="Times New Roman"/>
          <w:sz w:val="24"/>
          <w:szCs w:val="24"/>
        </w:rPr>
        <w:t>.</w:t>
      </w:r>
      <w:r w:rsidRPr="00A4121E" w:rsidR="00190765">
        <w:rPr>
          <w:rFonts w:cs="Times New Roman"/>
          <w:sz w:val="24"/>
          <w:szCs w:val="24"/>
        </w:rPr>
        <w:t xml:space="preserve"> </w:t>
      </w:r>
      <w:r w:rsidRPr="00A4121E">
        <w:rPr>
          <w:rFonts w:cs="Times New Roman"/>
          <w:sz w:val="24"/>
          <w:szCs w:val="24"/>
        </w:rPr>
        <w:t xml:space="preserve">The frequency (ranging from quarterly to annually) and program-specific instructions for preparation and submission of these reports </w:t>
      </w:r>
      <w:r w:rsidRPr="00A4121E" w:rsidR="00E277DD">
        <w:rPr>
          <w:rFonts w:cs="Times New Roman"/>
          <w:sz w:val="24"/>
          <w:szCs w:val="24"/>
        </w:rPr>
        <w:t>are</w:t>
      </w:r>
      <w:r w:rsidRPr="00A4121E">
        <w:rPr>
          <w:rFonts w:cs="Times New Roman"/>
          <w:sz w:val="24"/>
          <w:szCs w:val="24"/>
        </w:rPr>
        <w:t xml:space="preserve"> identified </w:t>
      </w:r>
      <w:r w:rsidRPr="00A4121E" w:rsidR="00E277DD">
        <w:rPr>
          <w:rFonts w:cs="Times New Roman"/>
          <w:sz w:val="24"/>
          <w:szCs w:val="24"/>
        </w:rPr>
        <w:t>in</w:t>
      </w:r>
      <w:r w:rsidRPr="00A4121E">
        <w:rPr>
          <w:rFonts w:cs="Times New Roman"/>
          <w:sz w:val="24"/>
          <w:szCs w:val="24"/>
        </w:rPr>
        <w:t xml:space="preserve"> the terms and conditions </w:t>
      </w:r>
      <w:r w:rsidRPr="00A4121E" w:rsidR="00E277DD">
        <w:rPr>
          <w:rFonts w:cs="Times New Roman"/>
          <w:sz w:val="24"/>
          <w:szCs w:val="24"/>
        </w:rPr>
        <w:t>found in the Notice of Award</w:t>
      </w:r>
      <w:r w:rsidRPr="00A4121E">
        <w:rPr>
          <w:rFonts w:cs="Times New Roman"/>
          <w:sz w:val="24"/>
          <w:szCs w:val="24"/>
        </w:rPr>
        <w:t xml:space="preserve">. </w:t>
      </w:r>
      <w:r w:rsidRPr="00A4121E" w:rsidR="00351B1A">
        <w:rPr>
          <w:rFonts w:cs="Times New Roman"/>
          <w:sz w:val="24"/>
          <w:szCs w:val="24"/>
        </w:rPr>
        <w:t xml:space="preserve">Grant recipients of the </w:t>
      </w:r>
      <w:r w:rsidRPr="00A4121E" w:rsidR="004C38DB">
        <w:rPr>
          <w:rFonts w:cs="Times New Roman"/>
          <w:sz w:val="24"/>
          <w:szCs w:val="24"/>
        </w:rPr>
        <w:t>MAI PT Pilot will u</w:t>
      </w:r>
      <w:r w:rsidRPr="00A4121E" w:rsidR="00144DCB">
        <w:rPr>
          <w:rFonts w:cs="Times New Roman"/>
          <w:sz w:val="24"/>
          <w:szCs w:val="24"/>
        </w:rPr>
        <w:t xml:space="preserve">tilize eRA for submission of the </w:t>
      </w:r>
      <w:r w:rsidRPr="00A4121E" w:rsidR="004C38DB">
        <w:rPr>
          <w:rFonts w:cs="Times New Roman"/>
          <w:sz w:val="24"/>
          <w:szCs w:val="24"/>
        </w:rPr>
        <w:t>MAI</w:t>
      </w:r>
      <w:r w:rsidRPr="00A4121E" w:rsidR="00D8176F">
        <w:rPr>
          <w:rFonts w:cs="Times New Roman"/>
          <w:sz w:val="24"/>
          <w:szCs w:val="24"/>
        </w:rPr>
        <w:t xml:space="preserve">- PPR </w:t>
      </w:r>
      <w:r w:rsidRPr="00A4121E" w:rsidR="004C38DB">
        <w:rPr>
          <w:rFonts w:cs="Times New Roman"/>
          <w:sz w:val="24"/>
          <w:szCs w:val="24"/>
        </w:rPr>
        <w:t>for grant compliance</w:t>
      </w:r>
      <w:r w:rsidRPr="00A4121E" w:rsidR="00144DCB">
        <w:rPr>
          <w:rFonts w:cs="Times New Roman"/>
          <w:sz w:val="24"/>
          <w:szCs w:val="24"/>
        </w:rPr>
        <w:t>.</w:t>
      </w:r>
    </w:p>
    <w:p w:rsidR="0058166D" w:rsidP="00A4121E" w14:paraId="2BD4081D" w14:textId="104A6D45">
      <w:pPr>
        <w:widowControl w:val="0"/>
        <w:rPr>
          <w:rFonts w:cs="Times New Roman"/>
          <w:sz w:val="24"/>
          <w:szCs w:val="24"/>
        </w:rPr>
      </w:pPr>
      <w:r w:rsidRPr="005301D4">
        <w:rPr>
          <w:rFonts w:cs="Times New Roman"/>
          <w:sz w:val="24"/>
          <w:szCs w:val="24"/>
        </w:rPr>
        <w:t>The system requires a web browser and access to the Internet.</w:t>
      </w:r>
      <w:r w:rsidRPr="005301D4" w:rsidR="00190765">
        <w:rPr>
          <w:rFonts w:cs="Times New Roman"/>
          <w:sz w:val="24"/>
          <w:szCs w:val="24"/>
        </w:rPr>
        <w:t xml:space="preserve"> </w:t>
      </w:r>
      <w:r w:rsidRPr="005301D4">
        <w:rPr>
          <w:rFonts w:cs="Times New Roman"/>
          <w:sz w:val="24"/>
          <w:szCs w:val="24"/>
        </w:rPr>
        <w:t>Users are able to access the system 24 hours a day, 7 days a week, aside from scheduled maintenance windows, through the use of an encrypted username and password.</w:t>
      </w:r>
      <w:r w:rsidRPr="005301D4" w:rsidR="00190765">
        <w:rPr>
          <w:rFonts w:cs="Times New Roman"/>
          <w:sz w:val="24"/>
          <w:szCs w:val="24"/>
        </w:rPr>
        <w:t xml:space="preserve"> </w:t>
      </w:r>
      <w:r w:rsidRPr="005301D4">
        <w:rPr>
          <w:rFonts w:cs="Times New Roman"/>
          <w:sz w:val="24"/>
          <w:szCs w:val="24"/>
        </w:rPr>
        <w:t>Levels of access have been defined for users based on their authority and responsibilities regarding the data and reports.</w:t>
      </w:r>
      <w:r w:rsidRPr="005301D4" w:rsidR="00190765">
        <w:rPr>
          <w:rFonts w:cs="Times New Roman"/>
          <w:sz w:val="24"/>
          <w:szCs w:val="24"/>
        </w:rPr>
        <w:t xml:space="preserve"> </w:t>
      </w:r>
    </w:p>
    <w:p w:rsidR="00632A8E" w14:paraId="7496C9D2" w14:textId="77777777">
      <w:pPr>
        <w:spacing w:after="0"/>
        <w:rPr>
          <w:rFonts w:cs="Times New Roman"/>
          <w:b/>
          <w:bCs/>
          <w:sz w:val="24"/>
          <w:szCs w:val="24"/>
        </w:rPr>
      </w:pPr>
      <w:r>
        <w:rPr>
          <w:rFonts w:cs="Times New Roman"/>
          <w:sz w:val="24"/>
          <w:szCs w:val="24"/>
        </w:rPr>
        <w:br w:type="page"/>
      </w:r>
    </w:p>
    <w:p w:rsidR="00D31A71" w:rsidP="00A4121E" w14:paraId="610DC1B7" w14:textId="1280DC79">
      <w:pPr>
        <w:pStyle w:val="ExhibitTitle"/>
        <w:keepNext w:val="0"/>
        <w:widowControl w:val="0"/>
        <w:spacing w:before="240" w:after="60"/>
        <w:rPr>
          <w:rFonts w:cs="Times New Roman"/>
          <w:sz w:val="24"/>
          <w:szCs w:val="24"/>
        </w:rPr>
      </w:pPr>
      <w:r>
        <w:rPr>
          <w:rFonts w:cs="Times New Roman"/>
          <w:sz w:val="24"/>
          <w:szCs w:val="24"/>
        </w:rPr>
        <w:t xml:space="preserve">Exhibit 1. </w:t>
      </w:r>
      <w:r w:rsidR="00116450">
        <w:rPr>
          <w:rFonts w:cs="Times New Roman"/>
          <w:sz w:val="24"/>
          <w:szCs w:val="24"/>
        </w:rPr>
        <w:t>Main Screen of</w:t>
      </w:r>
      <w:r>
        <w:rPr>
          <w:rFonts w:cs="Times New Roman"/>
          <w:sz w:val="24"/>
          <w:szCs w:val="24"/>
        </w:rPr>
        <w:t xml:space="preserve"> eR</w:t>
      </w:r>
      <w:r w:rsidR="00116450">
        <w:rPr>
          <w:rFonts w:cs="Times New Roman"/>
          <w:sz w:val="24"/>
          <w:szCs w:val="24"/>
        </w:rPr>
        <w:t>A</w:t>
      </w:r>
    </w:p>
    <w:p w:rsidR="00D31A71" w:rsidRPr="00921A53" w:rsidP="00A4121E" w14:paraId="5DF59B8C" w14:textId="2E48C891">
      <w:pPr>
        <w:widowControl w:val="0"/>
        <w:spacing w:after="0"/>
        <w:rPr>
          <w:rFonts w:cs="Times New Roman"/>
          <w:sz w:val="24"/>
          <w:szCs w:val="24"/>
        </w:rPr>
      </w:pPr>
      <w:r>
        <w:rPr>
          <w:rFonts w:cs="Times New Roman"/>
          <w:noProof/>
          <w:sz w:val="24"/>
          <w:szCs w:val="24"/>
        </w:rPr>
        <w:drawing>
          <wp:inline distT="0" distB="0" distL="0" distR="0">
            <wp:extent cx="425323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4483" b="22889"/>
                    <a:stretch>
                      <a:fillRect/>
                    </a:stretch>
                  </pic:blipFill>
                  <pic:spPr bwMode="auto">
                    <a:xfrm>
                      <a:off x="0" y="0"/>
                      <a:ext cx="4254045" cy="20577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C66FD" w:rsidP="00A4121E" w14:paraId="70775D4F" w14:textId="77777777">
      <w:pPr>
        <w:widowControl w:val="0"/>
        <w:spacing w:after="0"/>
        <w:rPr>
          <w:rFonts w:cs="Times New Roman"/>
          <w:b/>
          <w:sz w:val="24"/>
          <w:szCs w:val="24"/>
        </w:rPr>
      </w:pPr>
      <w:r w:rsidRPr="00BD745C">
        <w:rPr>
          <w:rFonts w:cs="Times New Roman"/>
          <w:b/>
          <w:sz w:val="24"/>
          <w:szCs w:val="24"/>
        </w:rPr>
        <w:t>Program Level Performance Monitoring</w:t>
      </w:r>
    </w:p>
    <w:p w:rsidR="00C27337" w:rsidRPr="00BD745C" w:rsidP="00A4121E" w14:paraId="50ED666F" w14:textId="77777777">
      <w:pPr>
        <w:widowControl w:val="0"/>
        <w:spacing w:after="0"/>
        <w:rPr>
          <w:rFonts w:cs="Times New Roman"/>
          <w:b/>
          <w:sz w:val="24"/>
          <w:szCs w:val="24"/>
        </w:rPr>
      </w:pPr>
    </w:p>
    <w:p w:rsidR="00B10332" w:rsidRPr="00B10332" w:rsidP="00A4121E" w14:paraId="2135795D" w14:textId="6DE4DD2A">
      <w:pPr>
        <w:widowControl w:val="0"/>
        <w:rPr>
          <w:rFonts w:cs="Times New Roman"/>
          <w:sz w:val="24"/>
          <w:szCs w:val="24"/>
        </w:rPr>
      </w:pPr>
      <w:r w:rsidRPr="00B10332">
        <w:rPr>
          <w:rFonts w:cs="Times New Roman"/>
          <w:sz w:val="24"/>
          <w:szCs w:val="24"/>
        </w:rPr>
        <w:t xml:space="preserve">CSAP </w:t>
      </w:r>
      <w:r w:rsidR="00893162">
        <w:rPr>
          <w:rFonts w:cs="Times New Roman"/>
          <w:sz w:val="24"/>
          <w:szCs w:val="24"/>
        </w:rPr>
        <w:t xml:space="preserve">and CSAT </w:t>
      </w:r>
      <w:r w:rsidRPr="00B10332">
        <w:rPr>
          <w:rFonts w:cs="Times New Roman"/>
          <w:sz w:val="24"/>
          <w:szCs w:val="24"/>
        </w:rPr>
        <w:t>grant programs collect information using a variety of methods, including paper-and-pencil and electronic methods. This project will not interfere with ongoing program collection operations that facilitate information collection at each site.</w:t>
      </w:r>
      <w:r w:rsidR="00190765">
        <w:rPr>
          <w:rFonts w:cs="Times New Roman"/>
          <w:sz w:val="24"/>
          <w:szCs w:val="24"/>
        </w:rPr>
        <w:t xml:space="preserve"> </w:t>
      </w:r>
      <w:r w:rsidRPr="00B10332">
        <w:rPr>
          <w:rFonts w:cs="Times New Roman"/>
          <w:sz w:val="24"/>
          <w:szCs w:val="24"/>
        </w:rPr>
        <w:t xml:space="preserve"> </w:t>
      </w:r>
    </w:p>
    <w:p w:rsidR="005D16A0" w:rsidP="00017B68" w14:paraId="37202DF2" w14:textId="393CC7FC">
      <w:pPr>
        <w:spacing w:after="0"/>
        <w:rPr>
          <w:rFonts w:cs="Times New Roman"/>
          <w:sz w:val="24"/>
          <w:szCs w:val="24"/>
        </w:rPr>
      </w:pPr>
      <w:r w:rsidRPr="008E6EEE">
        <w:rPr>
          <w:rFonts w:cs="Times New Roman"/>
          <w:sz w:val="24"/>
          <w:szCs w:val="24"/>
        </w:rPr>
        <w:t xml:space="preserve">To maximize data accuracy and reliability, </w:t>
      </w:r>
      <w:r w:rsidRPr="008E6EEE" w:rsidR="009C6A9A">
        <w:rPr>
          <w:rFonts w:cs="Times New Roman"/>
          <w:sz w:val="24"/>
          <w:szCs w:val="24"/>
        </w:rPr>
        <w:t>a web-based data collection and entry system, SAMHSA’s Performance Accountability and Reporting System (SPARS), has been developed and is currently used and available to all programs for data collection</w:t>
      </w:r>
      <w:r w:rsidRPr="008E6EEE" w:rsidR="00DB2CFC">
        <w:rPr>
          <w:rFonts w:cs="Times New Roman"/>
          <w:sz w:val="24"/>
          <w:szCs w:val="24"/>
        </w:rPr>
        <w:t xml:space="preserve">. </w:t>
      </w:r>
      <w:r w:rsidR="00962B74">
        <w:rPr>
          <w:rFonts w:cs="Times New Roman"/>
          <w:sz w:val="24"/>
          <w:szCs w:val="24"/>
        </w:rPr>
        <w:t xml:space="preserve">MAI PT Pilot grant recipients will utilize this system to submit </w:t>
      </w:r>
      <w:r w:rsidR="00FB3F89">
        <w:rPr>
          <w:rFonts w:cs="Times New Roman"/>
          <w:sz w:val="24"/>
          <w:szCs w:val="24"/>
        </w:rPr>
        <w:t>program level performance data via the MAI</w:t>
      </w:r>
      <w:r w:rsidR="00585280">
        <w:rPr>
          <w:rFonts w:cs="Times New Roman"/>
          <w:sz w:val="24"/>
          <w:szCs w:val="24"/>
        </w:rPr>
        <w:t>-</w:t>
      </w:r>
      <w:r w:rsidR="00825C83">
        <w:rPr>
          <w:rFonts w:cs="Times New Roman"/>
          <w:sz w:val="24"/>
          <w:szCs w:val="24"/>
        </w:rPr>
        <w:t>PORT</w:t>
      </w:r>
      <w:r w:rsidR="00C16220">
        <w:rPr>
          <w:rFonts w:cs="Times New Roman"/>
          <w:sz w:val="24"/>
          <w:szCs w:val="24"/>
        </w:rPr>
        <w:t xml:space="preserve"> and to upload</w:t>
      </w:r>
      <w:r w:rsidR="008C55EE">
        <w:rPr>
          <w:rFonts w:cs="Times New Roman"/>
          <w:sz w:val="24"/>
          <w:szCs w:val="24"/>
        </w:rPr>
        <w:t xml:space="preserve"> the MAI-ORA</w:t>
      </w:r>
      <w:r w:rsidR="001E6521">
        <w:rPr>
          <w:rFonts w:cs="Times New Roman"/>
          <w:sz w:val="24"/>
          <w:szCs w:val="24"/>
        </w:rPr>
        <w:t xml:space="preserve"> upon completion</w:t>
      </w:r>
      <w:r w:rsidR="00825C83">
        <w:rPr>
          <w:rFonts w:cs="Times New Roman"/>
          <w:sz w:val="24"/>
          <w:szCs w:val="24"/>
        </w:rPr>
        <w:t xml:space="preserve">. </w:t>
      </w:r>
      <w:r w:rsidRPr="008E6EEE" w:rsidR="008E6EEE">
        <w:rPr>
          <w:rFonts w:cs="Times New Roman"/>
          <w:sz w:val="24"/>
          <w:szCs w:val="24"/>
        </w:rPr>
        <w:t>The system requires a web browser and access to the Internet. Users are able to access the system 24 hours a day, 7 days a week, aside from scheduled maintenance windows, through the use of an encrypted username and password.</w:t>
      </w:r>
      <w:r>
        <w:rPr>
          <w:rFonts w:cs="Times New Roman"/>
          <w:sz w:val="24"/>
          <w:szCs w:val="24"/>
        </w:rPr>
        <w:t xml:space="preserve"> </w:t>
      </w:r>
      <w:r w:rsidRPr="005D16A0">
        <w:rPr>
          <w:rFonts w:cs="Times New Roman"/>
          <w:sz w:val="24"/>
          <w:szCs w:val="24"/>
        </w:rPr>
        <w:t>Levels of access have been defined for users based on their authority and responsibilities regarding the data and reports</w:t>
      </w:r>
      <w:r>
        <w:rPr>
          <w:rFonts w:cs="Times New Roman"/>
          <w:sz w:val="24"/>
          <w:szCs w:val="24"/>
        </w:rPr>
        <w:t>.</w:t>
      </w:r>
      <w:r w:rsidR="00190765">
        <w:rPr>
          <w:rFonts w:cs="Times New Roman"/>
          <w:sz w:val="24"/>
          <w:szCs w:val="24"/>
        </w:rPr>
        <w:t xml:space="preserve"> </w:t>
      </w:r>
    </w:p>
    <w:p w:rsidR="005D16A0" w:rsidP="00017B68" w14:paraId="602DD9EB" w14:textId="77777777">
      <w:pPr>
        <w:spacing w:after="0"/>
        <w:rPr>
          <w:rFonts w:cs="Times New Roman"/>
          <w:sz w:val="24"/>
          <w:szCs w:val="24"/>
        </w:rPr>
      </w:pPr>
    </w:p>
    <w:p w:rsidR="00B10332" w:rsidP="004E00AD" w14:paraId="513699F9" w14:textId="37C23ADE">
      <w:pPr>
        <w:spacing w:after="0"/>
        <w:rPr>
          <w:rFonts w:cs="Times New Roman"/>
          <w:sz w:val="24"/>
          <w:szCs w:val="24"/>
        </w:rPr>
      </w:pPr>
      <w:r w:rsidRPr="005D16A0">
        <w:rPr>
          <w:rFonts w:cs="Times New Roman"/>
          <w:sz w:val="24"/>
          <w:szCs w:val="24"/>
        </w:rPr>
        <w:t>Upon logging into a system-assigned account, grantees are able to enter data on their program</w:t>
      </w:r>
      <w:r w:rsidR="00190765">
        <w:rPr>
          <w:rFonts w:cs="Times New Roman"/>
          <w:sz w:val="24"/>
          <w:szCs w:val="24"/>
        </w:rPr>
        <w:t>,</w:t>
      </w:r>
      <w:r w:rsidRPr="005D16A0">
        <w:rPr>
          <w:rFonts w:cs="Times New Roman"/>
          <w:sz w:val="24"/>
          <w:szCs w:val="24"/>
        </w:rPr>
        <w:t xml:space="preserve"> upload documents for project officer review</w:t>
      </w:r>
      <w:r w:rsidR="00190765">
        <w:rPr>
          <w:rFonts w:cs="Times New Roman"/>
          <w:sz w:val="24"/>
          <w:szCs w:val="24"/>
        </w:rPr>
        <w:t>,</w:t>
      </w:r>
      <w:r w:rsidRPr="005D16A0">
        <w:rPr>
          <w:rFonts w:cs="Times New Roman"/>
          <w:sz w:val="24"/>
          <w:szCs w:val="24"/>
        </w:rPr>
        <w:t xml:space="preserve"> and generate reports of their activities. Skip patterns facilitate navigation through the instrument by only displaying items that apply to the respondent, based on information already entered into the system. The system also allows SAMHSA GPOs to review and approve submitted reports or ask grantee</w:t>
      </w:r>
      <w:r w:rsidR="00190765">
        <w:rPr>
          <w:rFonts w:cs="Times New Roman"/>
          <w:sz w:val="24"/>
          <w:szCs w:val="24"/>
        </w:rPr>
        <w:t>s</w:t>
      </w:r>
      <w:r w:rsidRPr="005D16A0">
        <w:rPr>
          <w:rFonts w:cs="Times New Roman"/>
          <w:sz w:val="24"/>
          <w:szCs w:val="24"/>
        </w:rPr>
        <w:t xml:space="preserve"> to provide additional information regarding their activities. GPOs also have the capability to generate online summary reports on grantee progress.</w:t>
      </w:r>
      <w:r w:rsidR="004E00AD">
        <w:rPr>
          <w:rFonts w:cs="Times New Roman"/>
          <w:sz w:val="24"/>
          <w:szCs w:val="24"/>
        </w:rPr>
        <w:t xml:space="preserve"> </w:t>
      </w:r>
      <w:r w:rsidRPr="005D16A0" w:rsidR="00DB2CFC">
        <w:rPr>
          <w:rFonts w:cs="Times New Roman"/>
          <w:sz w:val="24"/>
          <w:szCs w:val="24"/>
        </w:rPr>
        <w:t xml:space="preserve">A screenshot of the data entry screen on SPARS is below (Exhibit </w:t>
      </w:r>
      <w:r w:rsidR="00E95276">
        <w:rPr>
          <w:rFonts w:cs="Times New Roman"/>
          <w:sz w:val="24"/>
          <w:szCs w:val="24"/>
        </w:rPr>
        <w:t>2</w:t>
      </w:r>
      <w:r w:rsidRPr="005D16A0" w:rsidR="00DB2CFC">
        <w:rPr>
          <w:rFonts w:cs="Times New Roman"/>
          <w:sz w:val="24"/>
          <w:szCs w:val="24"/>
        </w:rPr>
        <w:t>):</w:t>
      </w:r>
    </w:p>
    <w:p w:rsidR="00C670CC" w:rsidP="0048387E" w14:paraId="69E7CD30" w14:textId="77777777">
      <w:pPr>
        <w:rPr>
          <w:rFonts w:cs="Times New Roman"/>
          <w:sz w:val="24"/>
          <w:szCs w:val="24"/>
        </w:rPr>
      </w:pPr>
    </w:p>
    <w:p w:rsidR="00604618" w:rsidP="00D163BF" w14:paraId="14875688" w14:textId="7203E883">
      <w:pPr>
        <w:pStyle w:val="ExhibitTitle"/>
        <w:spacing w:before="240" w:after="60"/>
        <w:rPr>
          <w:rFonts w:cs="Times New Roman"/>
          <w:sz w:val="24"/>
          <w:szCs w:val="24"/>
        </w:rPr>
      </w:pPr>
      <w:r>
        <w:rPr>
          <w:rFonts w:cs="Times New Roman"/>
          <w:sz w:val="24"/>
          <w:szCs w:val="24"/>
        </w:rPr>
        <w:t xml:space="preserve">Exhibit </w:t>
      </w:r>
      <w:r w:rsidR="00D31A71">
        <w:rPr>
          <w:rFonts w:cs="Times New Roman"/>
          <w:sz w:val="24"/>
          <w:szCs w:val="24"/>
        </w:rPr>
        <w:t>2</w:t>
      </w:r>
      <w:r>
        <w:rPr>
          <w:rFonts w:cs="Times New Roman"/>
          <w:sz w:val="24"/>
          <w:szCs w:val="24"/>
        </w:rPr>
        <w:t>.</w:t>
      </w:r>
      <w:r w:rsidR="00190765">
        <w:rPr>
          <w:rFonts w:cs="Times New Roman"/>
          <w:sz w:val="24"/>
          <w:szCs w:val="24"/>
        </w:rPr>
        <w:t xml:space="preserve"> </w:t>
      </w:r>
      <w:r w:rsidR="004E00AD">
        <w:rPr>
          <w:rFonts w:cs="Times New Roman"/>
          <w:sz w:val="24"/>
          <w:szCs w:val="24"/>
        </w:rPr>
        <w:t>SPARS Data Entry Screen.</w:t>
      </w:r>
    </w:p>
    <w:p w:rsidR="009C6A9A" w:rsidP="0048387E" w14:paraId="1D30CF22" w14:textId="742164DD">
      <w:pPr>
        <w:rPr>
          <w:rFonts w:cs="Times New Roman"/>
          <w:sz w:val="24"/>
          <w:szCs w:val="24"/>
        </w:rPr>
      </w:pPr>
      <w:r>
        <w:rPr>
          <w:rFonts w:cs="Times New Roman"/>
          <w:noProof/>
          <w:sz w:val="24"/>
          <w:szCs w:val="24"/>
        </w:rPr>
        <w:drawing>
          <wp:inline distT="0" distB="0" distL="0" distR="0">
            <wp:extent cx="5918200" cy="2743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r="4352" b="7692"/>
                    <a:stretch>
                      <a:fillRect/>
                    </a:stretch>
                  </pic:blipFill>
                  <pic:spPr bwMode="auto">
                    <a:xfrm>
                      <a:off x="0" y="0"/>
                      <a:ext cx="5918200" cy="27432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F51C7" w:rsidRPr="005301D4" w:rsidP="00EE07FD" w14:paraId="47678E44" w14:textId="4D2823C9">
      <w:pPr>
        <w:pStyle w:val="Heading1"/>
        <w:numPr>
          <w:ilvl w:val="0"/>
          <w:numId w:val="0"/>
        </w:numPr>
        <w:tabs>
          <w:tab w:val="left" w:pos="720"/>
        </w:tabs>
        <w:spacing w:before="0" w:after="0"/>
        <w:rPr>
          <w:rFonts w:ascii="Times New Roman" w:hAnsi="Times New Roman" w:cs="Times New Roman"/>
          <w:color w:val="auto"/>
          <w:sz w:val="24"/>
          <w:szCs w:val="24"/>
        </w:rPr>
      </w:pPr>
      <w:r w:rsidRPr="005301D4">
        <w:rPr>
          <w:rFonts w:ascii="Times New Roman" w:hAnsi="Times New Roman" w:cs="Times New Roman"/>
          <w:color w:val="auto"/>
          <w:sz w:val="24"/>
          <w:szCs w:val="24"/>
        </w:rPr>
        <w:t>A.4</w:t>
      </w:r>
      <w:r w:rsidRPr="005301D4" w:rsidR="00050CA7">
        <w:rPr>
          <w:rFonts w:ascii="Times New Roman" w:hAnsi="Times New Roman" w:cs="Times New Roman"/>
          <w:color w:val="auto"/>
          <w:sz w:val="24"/>
          <w:szCs w:val="24"/>
        </w:rPr>
        <w:t>.</w:t>
      </w:r>
      <w:r w:rsidRPr="005301D4" w:rsidR="00190765">
        <w:rPr>
          <w:rFonts w:ascii="Times New Roman" w:hAnsi="Times New Roman" w:cs="Times New Roman"/>
          <w:color w:val="auto"/>
          <w:sz w:val="24"/>
          <w:szCs w:val="24"/>
        </w:rPr>
        <w:t xml:space="preserve"> </w:t>
      </w:r>
      <w:r w:rsidRPr="005301D4">
        <w:rPr>
          <w:rFonts w:ascii="Times New Roman" w:hAnsi="Times New Roman" w:cs="Times New Roman"/>
          <w:color w:val="auto"/>
          <w:sz w:val="24"/>
          <w:szCs w:val="24"/>
        </w:rPr>
        <w:t xml:space="preserve"> </w:t>
      </w:r>
      <w:r w:rsidRPr="005301D4" w:rsidR="0003189F">
        <w:rPr>
          <w:rFonts w:ascii="Times New Roman" w:hAnsi="Times New Roman" w:cs="Times New Roman"/>
          <w:color w:val="auto"/>
          <w:sz w:val="24"/>
          <w:szCs w:val="24"/>
        </w:rPr>
        <w:t>Effort to Identify Duplication</w:t>
      </w:r>
    </w:p>
    <w:p w:rsidR="000373DE" w:rsidRPr="00A4121E" w:rsidP="00EE07FD" w14:paraId="06D5B97D" w14:textId="77777777">
      <w:pPr>
        <w:keepNext/>
        <w:keepLines/>
        <w:spacing w:after="0"/>
        <w:rPr>
          <w:sz w:val="24"/>
          <w:szCs w:val="24"/>
        </w:rPr>
      </w:pPr>
    </w:p>
    <w:p w:rsidR="00174E88" w:rsidRPr="005301D4" w:rsidP="00EE07FD" w14:paraId="346434EC" w14:textId="78FF7996">
      <w:pPr>
        <w:keepNext/>
        <w:keepLines/>
        <w:rPr>
          <w:rFonts w:cs="Times New Roman"/>
          <w:sz w:val="24"/>
          <w:szCs w:val="24"/>
        </w:rPr>
      </w:pPr>
      <w:r w:rsidRPr="005301D4">
        <w:rPr>
          <w:rFonts w:cs="Times New Roman"/>
          <w:sz w:val="24"/>
          <w:szCs w:val="24"/>
        </w:rPr>
        <w:t xml:space="preserve">The items collected are necessary to assess grantee performance. CSAP </w:t>
      </w:r>
      <w:r w:rsidRPr="005301D4" w:rsidR="00893162">
        <w:rPr>
          <w:rFonts w:cs="Times New Roman"/>
          <w:sz w:val="24"/>
          <w:szCs w:val="24"/>
        </w:rPr>
        <w:t xml:space="preserve">and CSAT </w:t>
      </w:r>
      <w:r w:rsidRPr="005301D4" w:rsidR="00BB0483">
        <w:rPr>
          <w:rFonts w:cs="Times New Roman"/>
          <w:sz w:val="24"/>
          <w:szCs w:val="24"/>
        </w:rPr>
        <w:t>are</w:t>
      </w:r>
      <w:r w:rsidRPr="005301D4">
        <w:rPr>
          <w:rFonts w:cs="Times New Roman"/>
          <w:sz w:val="24"/>
          <w:szCs w:val="24"/>
        </w:rPr>
        <w:t xml:space="preserve"> promoting the use of consistent performance and outcomes measures across all CSAP </w:t>
      </w:r>
      <w:r w:rsidRPr="005301D4" w:rsidR="00893162">
        <w:rPr>
          <w:rFonts w:cs="Times New Roman"/>
          <w:sz w:val="24"/>
          <w:szCs w:val="24"/>
        </w:rPr>
        <w:t xml:space="preserve">and CSAT </w:t>
      </w:r>
      <w:r w:rsidRPr="005301D4">
        <w:rPr>
          <w:rFonts w:cs="Times New Roman"/>
          <w:sz w:val="24"/>
          <w:szCs w:val="24"/>
        </w:rPr>
        <w:t>grant programs</w:t>
      </w:r>
      <w:r w:rsidRPr="005301D4" w:rsidR="00190765">
        <w:rPr>
          <w:rFonts w:cs="Times New Roman"/>
          <w:sz w:val="24"/>
          <w:szCs w:val="24"/>
        </w:rPr>
        <w:t>. T</w:t>
      </w:r>
      <w:r w:rsidRPr="005301D4">
        <w:rPr>
          <w:rFonts w:cs="Times New Roman"/>
          <w:sz w:val="24"/>
          <w:szCs w:val="24"/>
        </w:rPr>
        <w:t xml:space="preserve">his effort will result in less overlap and duplication and will substantially reduce the burden on grantees that results from data demands associated with individual programs. </w:t>
      </w:r>
    </w:p>
    <w:p w:rsidR="000F51C7" w:rsidRPr="005301D4" w:rsidP="0043300B" w14:paraId="6AC99440" w14:textId="037DB006">
      <w:pPr>
        <w:rPr>
          <w:rFonts w:cs="Times New Roman"/>
          <w:sz w:val="24"/>
          <w:szCs w:val="24"/>
        </w:rPr>
      </w:pPr>
      <w:r w:rsidRPr="005301D4">
        <w:rPr>
          <w:rFonts w:cs="Times New Roman"/>
          <w:sz w:val="24"/>
          <w:szCs w:val="24"/>
        </w:rPr>
        <w:t>SAMHSA will work closely with the grantees to identify whether other data are being collected by the grantee, which may be redundant to</w:t>
      </w:r>
      <w:r w:rsidRPr="005301D4" w:rsidR="008777C0">
        <w:rPr>
          <w:rFonts w:cs="Times New Roman"/>
          <w:sz w:val="24"/>
          <w:szCs w:val="24"/>
        </w:rPr>
        <w:t xml:space="preserve"> the respective CSAP </w:t>
      </w:r>
      <w:r w:rsidRPr="005301D4" w:rsidR="00893162">
        <w:rPr>
          <w:rFonts w:cs="Times New Roman"/>
          <w:sz w:val="24"/>
          <w:szCs w:val="24"/>
        </w:rPr>
        <w:t xml:space="preserve">and CSAT </w:t>
      </w:r>
      <w:r w:rsidRPr="005301D4" w:rsidR="008777C0">
        <w:rPr>
          <w:rFonts w:cs="Times New Roman"/>
          <w:sz w:val="24"/>
          <w:szCs w:val="24"/>
        </w:rPr>
        <w:t>grant programs</w:t>
      </w:r>
      <w:r w:rsidRPr="005301D4">
        <w:rPr>
          <w:rFonts w:cs="Times New Roman"/>
          <w:sz w:val="24"/>
          <w:szCs w:val="24"/>
        </w:rPr>
        <w:t>. When duplication is identified, SAMHSA and the grantees will identify a plan to reduce the duplicative efforts and streamline the data items to reduce burden.</w:t>
      </w:r>
      <w:r w:rsidRPr="005301D4" w:rsidR="00190765">
        <w:rPr>
          <w:rFonts w:cs="Times New Roman"/>
          <w:sz w:val="24"/>
          <w:szCs w:val="24"/>
        </w:rPr>
        <w:t xml:space="preserve"> </w:t>
      </w:r>
      <w:r w:rsidRPr="005301D4">
        <w:rPr>
          <w:rFonts w:cs="Times New Roman"/>
          <w:sz w:val="24"/>
          <w:szCs w:val="24"/>
        </w:rPr>
        <w:t xml:space="preserve"> </w:t>
      </w:r>
    </w:p>
    <w:p w:rsidR="000F51C7" w:rsidRPr="005301D4" w:rsidP="000373DE" w14:paraId="52495B60" w14:textId="7DE0B43D">
      <w:pPr>
        <w:pStyle w:val="Heading1"/>
        <w:numPr>
          <w:ilvl w:val="0"/>
          <w:numId w:val="0"/>
        </w:numPr>
        <w:tabs>
          <w:tab w:val="left" w:pos="720"/>
        </w:tabs>
        <w:spacing w:before="0" w:after="0"/>
        <w:rPr>
          <w:rFonts w:ascii="Times New Roman" w:hAnsi="Times New Roman" w:cs="Times New Roman"/>
          <w:color w:val="auto"/>
          <w:sz w:val="24"/>
          <w:szCs w:val="24"/>
        </w:rPr>
      </w:pPr>
      <w:r w:rsidRPr="005301D4">
        <w:rPr>
          <w:rFonts w:ascii="Times New Roman" w:hAnsi="Times New Roman" w:cs="Times New Roman"/>
          <w:color w:val="auto"/>
          <w:sz w:val="24"/>
          <w:szCs w:val="24"/>
        </w:rPr>
        <w:t>A.5</w:t>
      </w:r>
      <w:r w:rsidRPr="005301D4" w:rsidR="00050CA7">
        <w:rPr>
          <w:rFonts w:ascii="Times New Roman" w:hAnsi="Times New Roman" w:cs="Times New Roman"/>
          <w:color w:val="auto"/>
          <w:sz w:val="24"/>
          <w:szCs w:val="24"/>
        </w:rPr>
        <w:t>.</w:t>
      </w:r>
      <w:r w:rsidRPr="005301D4" w:rsidR="00190765">
        <w:rPr>
          <w:rFonts w:ascii="Times New Roman" w:hAnsi="Times New Roman" w:cs="Times New Roman"/>
          <w:color w:val="auto"/>
          <w:sz w:val="24"/>
          <w:szCs w:val="24"/>
        </w:rPr>
        <w:t xml:space="preserve"> </w:t>
      </w:r>
      <w:r w:rsidRPr="005301D4" w:rsidR="005C6E54">
        <w:rPr>
          <w:rFonts w:ascii="Times New Roman" w:hAnsi="Times New Roman" w:cs="Times New Roman"/>
          <w:color w:val="auto"/>
          <w:sz w:val="24"/>
          <w:szCs w:val="24"/>
        </w:rPr>
        <w:t xml:space="preserve"> </w:t>
      </w:r>
      <w:r w:rsidRPr="005301D4" w:rsidR="0003189F">
        <w:rPr>
          <w:rFonts w:ascii="Times New Roman" w:hAnsi="Times New Roman" w:cs="Times New Roman"/>
          <w:color w:val="auto"/>
          <w:sz w:val="24"/>
          <w:szCs w:val="24"/>
        </w:rPr>
        <w:t>Involvement of Small Entities</w:t>
      </w:r>
    </w:p>
    <w:p w:rsidR="000373DE" w:rsidRPr="00A4121E" w:rsidP="000373DE" w14:paraId="71A9C63A" w14:textId="77777777">
      <w:pPr>
        <w:spacing w:after="0"/>
        <w:rPr>
          <w:sz w:val="24"/>
          <w:szCs w:val="24"/>
        </w:rPr>
      </w:pPr>
    </w:p>
    <w:p w:rsidR="00D4561F" w:rsidRPr="005301D4" w:rsidP="005C6E54" w14:paraId="31CEF442" w14:textId="4D27E20A">
      <w:pPr>
        <w:rPr>
          <w:rFonts w:cs="Times New Roman"/>
          <w:sz w:val="24"/>
          <w:szCs w:val="24"/>
        </w:rPr>
      </w:pPr>
      <w:r w:rsidRPr="005301D4">
        <w:rPr>
          <w:rFonts w:cs="Times New Roman"/>
          <w:sz w:val="24"/>
          <w:szCs w:val="24"/>
        </w:rPr>
        <w:t xml:space="preserve">Grantees will usually consist of </w:t>
      </w:r>
      <w:r w:rsidRPr="005301D4" w:rsidR="0066126B">
        <w:rPr>
          <w:rFonts w:cs="Times New Roman"/>
          <w:sz w:val="24"/>
          <w:szCs w:val="24"/>
        </w:rPr>
        <w:t>s</w:t>
      </w:r>
      <w:r w:rsidRPr="005301D4">
        <w:rPr>
          <w:rFonts w:cs="Times New Roman"/>
          <w:sz w:val="24"/>
          <w:szCs w:val="24"/>
        </w:rPr>
        <w:t>tate agencies, tribal organizations, and other jurisdictions.</w:t>
      </w:r>
      <w:r w:rsidRPr="005301D4" w:rsidR="00190765">
        <w:rPr>
          <w:rFonts w:cs="Times New Roman"/>
          <w:sz w:val="24"/>
          <w:szCs w:val="24"/>
        </w:rPr>
        <w:t xml:space="preserve"> </w:t>
      </w:r>
      <w:r w:rsidRPr="005301D4">
        <w:rPr>
          <w:rFonts w:cs="Times New Roman"/>
          <w:sz w:val="24"/>
          <w:szCs w:val="24"/>
        </w:rPr>
        <w:t>Every effort has been made to minimize the number of data items collected from all programs down to the least number of items necessary to accomplish the objectives described within and meet GPRA reporting requirements. Therefore, there is no significant impact to small entities.</w:t>
      </w:r>
    </w:p>
    <w:p w:rsidR="000F51C7" w:rsidP="000373DE" w14:paraId="2B3D54CE" w14:textId="2842A7F0">
      <w:pPr>
        <w:pStyle w:val="Heading1"/>
        <w:numPr>
          <w:ilvl w:val="0"/>
          <w:numId w:val="0"/>
        </w:numPr>
        <w:tabs>
          <w:tab w:val="left" w:pos="720"/>
        </w:tabs>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A.6</w:t>
      </w:r>
      <w:r w:rsidRPr="0091092F" w:rsidR="00050CA7">
        <w:rPr>
          <w:rFonts w:ascii="Times New Roman" w:hAnsi="Times New Roman" w:cs="Times New Roman"/>
          <w:color w:val="auto"/>
          <w:sz w:val="24"/>
          <w:szCs w:val="24"/>
        </w:rPr>
        <w:t>.</w:t>
      </w:r>
      <w:r w:rsidR="00190765">
        <w:rPr>
          <w:rFonts w:ascii="Times New Roman" w:hAnsi="Times New Roman" w:cs="Times New Roman"/>
          <w:color w:val="auto"/>
          <w:sz w:val="24"/>
          <w:szCs w:val="24"/>
        </w:rPr>
        <w:t xml:space="preserve"> </w:t>
      </w:r>
      <w:r w:rsidRPr="0091092F">
        <w:rPr>
          <w:rFonts w:ascii="Times New Roman" w:hAnsi="Times New Roman" w:cs="Times New Roman"/>
          <w:color w:val="auto"/>
          <w:sz w:val="24"/>
          <w:szCs w:val="24"/>
        </w:rPr>
        <w:t xml:space="preserve"> </w:t>
      </w:r>
      <w:r w:rsidRPr="0091092F" w:rsidR="0003189F">
        <w:rPr>
          <w:rFonts w:ascii="Times New Roman" w:hAnsi="Times New Roman" w:cs="Times New Roman"/>
          <w:color w:val="auto"/>
          <w:sz w:val="24"/>
          <w:szCs w:val="24"/>
        </w:rPr>
        <w:t>Consequences If Information Collected Less Frequently</w:t>
      </w:r>
    </w:p>
    <w:p w:rsidR="000373DE" w:rsidRPr="000373DE" w:rsidP="000373DE" w14:paraId="015E63C8" w14:textId="77777777">
      <w:pPr>
        <w:spacing w:after="0"/>
      </w:pPr>
    </w:p>
    <w:p w:rsidR="000F51C7" w:rsidRPr="00B7392A" w:rsidP="008234A0" w14:paraId="6AEB2871" w14:textId="71BCD5A4">
      <w:pPr>
        <w:rPr>
          <w:rFonts w:cs="Times New Roman"/>
          <w:sz w:val="24"/>
          <w:szCs w:val="24"/>
        </w:rPr>
      </w:pPr>
      <w:r w:rsidRPr="00B7392A">
        <w:rPr>
          <w:rFonts w:cs="Times New Roman"/>
          <w:sz w:val="24"/>
          <w:szCs w:val="24"/>
        </w:rPr>
        <w:t xml:space="preserve">The multiple data collection points for the </w:t>
      </w:r>
      <w:r w:rsidR="00026B11">
        <w:rPr>
          <w:rFonts w:cs="Times New Roman"/>
          <w:sz w:val="24"/>
          <w:szCs w:val="24"/>
        </w:rPr>
        <w:t xml:space="preserve">suite of data collection </w:t>
      </w:r>
      <w:r w:rsidR="00DC331E">
        <w:rPr>
          <w:rFonts w:cs="Times New Roman"/>
          <w:sz w:val="24"/>
          <w:szCs w:val="24"/>
        </w:rPr>
        <w:t>instruments</w:t>
      </w:r>
      <w:r w:rsidRPr="00B7392A">
        <w:rPr>
          <w:rFonts w:cs="Times New Roman"/>
          <w:sz w:val="24"/>
          <w:szCs w:val="24"/>
        </w:rPr>
        <w:t xml:space="preserve"> are necessary to track </w:t>
      </w:r>
      <w:r w:rsidRPr="00B7392A" w:rsidR="00BE0DE4">
        <w:rPr>
          <w:rFonts w:cs="Times New Roman"/>
          <w:sz w:val="24"/>
          <w:szCs w:val="24"/>
        </w:rPr>
        <w:t xml:space="preserve">and </w:t>
      </w:r>
      <w:r w:rsidRPr="00B7392A" w:rsidR="003171A0">
        <w:rPr>
          <w:rFonts w:cs="Times New Roman"/>
          <w:sz w:val="24"/>
          <w:szCs w:val="24"/>
        </w:rPr>
        <w:t xml:space="preserve">monitor </w:t>
      </w:r>
      <w:r w:rsidRPr="0093314A" w:rsidR="0093314A">
        <w:rPr>
          <w:rFonts w:cs="Times New Roman"/>
          <w:sz w:val="24"/>
          <w:szCs w:val="24"/>
        </w:rPr>
        <w:t>grant compliance and programmatic performance monitoring</w:t>
      </w:r>
      <w:r w:rsidR="009F7F12">
        <w:rPr>
          <w:rFonts w:cs="Times New Roman"/>
          <w:sz w:val="24"/>
          <w:szCs w:val="24"/>
        </w:rPr>
        <w:t xml:space="preserve"> over time</w:t>
      </w:r>
      <w:r w:rsidRPr="00B7392A">
        <w:rPr>
          <w:rFonts w:cs="Times New Roman"/>
          <w:sz w:val="24"/>
          <w:szCs w:val="24"/>
        </w:rPr>
        <w:t>.</w:t>
      </w:r>
      <w:r w:rsidRPr="00B7392A" w:rsidR="006D6CC7">
        <w:rPr>
          <w:rFonts w:cs="Times New Roman"/>
          <w:sz w:val="24"/>
          <w:szCs w:val="24"/>
        </w:rPr>
        <w:t xml:space="preserve"> </w:t>
      </w:r>
      <w:r w:rsidRPr="00B7392A" w:rsidR="00C57B53">
        <w:rPr>
          <w:rFonts w:cs="Times New Roman"/>
          <w:sz w:val="24"/>
          <w:szCs w:val="24"/>
        </w:rPr>
        <w:t>In addition</w:t>
      </w:r>
      <w:r w:rsidR="00565AEB">
        <w:rPr>
          <w:rFonts w:cs="Times New Roman"/>
          <w:sz w:val="24"/>
          <w:szCs w:val="24"/>
        </w:rPr>
        <w:t>,</w:t>
      </w:r>
      <w:r w:rsidRPr="00B7392A" w:rsidR="00C57B53">
        <w:rPr>
          <w:rFonts w:cs="Times New Roman"/>
          <w:sz w:val="24"/>
          <w:szCs w:val="24"/>
        </w:rPr>
        <w:t xml:space="preserve"> </w:t>
      </w:r>
      <w:r w:rsidRPr="00B7392A" w:rsidR="003171A0">
        <w:rPr>
          <w:rFonts w:cs="Times New Roman"/>
          <w:sz w:val="24"/>
          <w:szCs w:val="24"/>
        </w:rPr>
        <w:t>SAMHSA</w:t>
      </w:r>
      <w:r w:rsidRPr="00B7392A" w:rsidR="008234A0">
        <w:rPr>
          <w:rFonts w:cs="Times New Roman"/>
          <w:sz w:val="24"/>
          <w:szCs w:val="24"/>
        </w:rPr>
        <w:t xml:space="preserve"> will use the data for the </w:t>
      </w:r>
      <w:r w:rsidRPr="00B7392A" w:rsidR="00C57B53">
        <w:rPr>
          <w:rFonts w:cs="Times New Roman"/>
          <w:sz w:val="24"/>
          <w:szCs w:val="24"/>
        </w:rPr>
        <w:t xml:space="preserve">purposes </w:t>
      </w:r>
      <w:r w:rsidRPr="00B7392A" w:rsidR="008C7E1E">
        <w:rPr>
          <w:rFonts w:cs="Times New Roman"/>
          <w:sz w:val="24"/>
          <w:szCs w:val="24"/>
        </w:rPr>
        <w:t>of</w:t>
      </w:r>
      <w:r w:rsidRPr="00B7392A" w:rsidR="003171A0">
        <w:rPr>
          <w:rFonts w:cs="Times New Roman"/>
          <w:sz w:val="24"/>
          <w:szCs w:val="24"/>
        </w:rPr>
        <w:t xml:space="preserve"> </w:t>
      </w:r>
      <w:r w:rsidRPr="00B7392A" w:rsidR="00C57B53">
        <w:rPr>
          <w:rFonts w:cs="Times New Roman"/>
          <w:sz w:val="24"/>
          <w:szCs w:val="24"/>
        </w:rPr>
        <w:t>evaluation</w:t>
      </w:r>
      <w:r w:rsidR="00190765">
        <w:rPr>
          <w:rFonts w:cs="Times New Roman"/>
          <w:sz w:val="24"/>
          <w:szCs w:val="24"/>
        </w:rPr>
        <w:t>, as appropriate</w:t>
      </w:r>
      <w:r w:rsidR="00836B22">
        <w:rPr>
          <w:rFonts w:cs="Times New Roman"/>
          <w:sz w:val="24"/>
          <w:szCs w:val="24"/>
        </w:rPr>
        <w:t>.</w:t>
      </w:r>
      <w:r w:rsidRPr="00B7392A" w:rsidR="00C57B53">
        <w:rPr>
          <w:rFonts w:cs="Times New Roman"/>
          <w:sz w:val="24"/>
          <w:szCs w:val="24"/>
        </w:rPr>
        <w:t xml:space="preserve"> </w:t>
      </w:r>
      <w:r w:rsidRPr="00B7392A" w:rsidR="00033D97">
        <w:rPr>
          <w:rFonts w:cs="Times New Roman"/>
          <w:sz w:val="24"/>
          <w:szCs w:val="24"/>
        </w:rPr>
        <w:t xml:space="preserve">Less frequent reporting will </w:t>
      </w:r>
      <w:r w:rsidRPr="00B7392A" w:rsidR="008707FD">
        <w:rPr>
          <w:rFonts w:cs="Times New Roman"/>
          <w:sz w:val="24"/>
          <w:szCs w:val="24"/>
        </w:rPr>
        <w:t xml:space="preserve">affect </w:t>
      </w:r>
      <w:r w:rsidRPr="00B7392A" w:rsidR="00033D97">
        <w:rPr>
          <w:rFonts w:cs="Times New Roman"/>
          <w:sz w:val="24"/>
          <w:szCs w:val="24"/>
        </w:rPr>
        <w:t>SAMHSA</w:t>
      </w:r>
      <w:r w:rsidRPr="00B7392A" w:rsidR="00D80583">
        <w:rPr>
          <w:rFonts w:cs="Times New Roman"/>
          <w:sz w:val="24"/>
          <w:szCs w:val="24"/>
        </w:rPr>
        <w:t>’</w:t>
      </w:r>
      <w:r w:rsidRPr="00B7392A" w:rsidR="00033D97">
        <w:rPr>
          <w:rFonts w:cs="Times New Roman"/>
          <w:sz w:val="24"/>
          <w:szCs w:val="24"/>
        </w:rPr>
        <w:t>s and the grantees</w:t>
      </w:r>
      <w:r w:rsidRPr="00B7392A" w:rsidR="00D80583">
        <w:rPr>
          <w:rFonts w:cs="Times New Roman"/>
          <w:sz w:val="24"/>
          <w:szCs w:val="24"/>
        </w:rPr>
        <w:t>’</w:t>
      </w:r>
      <w:r w:rsidRPr="00B7392A" w:rsidR="00033D97">
        <w:rPr>
          <w:rFonts w:cs="Times New Roman"/>
          <w:sz w:val="24"/>
          <w:szCs w:val="24"/>
        </w:rPr>
        <w:t xml:space="preserve"> ability to do so</w:t>
      </w:r>
      <w:r w:rsidRPr="00B7392A" w:rsidR="008707FD">
        <w:rPr>
          <w:rFonts w:cs="Times New Roman"/>
          <w:sz w:val="24"/>
          <w:szCs w:val="24"/>
        </w:rPr>
        <w:t xml:space="preserve"> effectively</w:t>
      </w:r>
      <w:r w:rsidRPr="00B7392A" w:rsidR="00033D97">
        <w:rPr>
          <w:rFonts w:cs="Times New Roman"/>
          <w:sz w:val="24"/>
          <w:szCs w:val="24"/>
        </w:rPr>
        <w:t xml:space="preserve">. </w:t>
      </w:r>
      <w:r w:rsidRPr="00B7392A" w:rsidR="00A5527F">
        <w:rPr>
          <w:rFonts w:cs="Times New Roman"/>
          <w:sz w:val="24"/>
          <w:szCs w:val="24"/>
        </w:rPr>
        <w:t>For example, SAMHSA</w:t>
      </w:r>
      <w:r w:rsidRPr="00B7392A" w:rsidR="00F143F6">
        <w:rPr>
          <w:rFonts w:cs="Times New Roman"/>
          <w:sz w:val="24"/>
          <w:szCs w:val="24"/>
        </w:rPr>
        <w:t>’s</w:t>
      </w:r>
      <w:r w:rsidRPr="00B7392A" w:rsidR="00A5527F">
        <w:rPr>
          <w:rFonts w:cs="Times New Roman"/>
          <w:sz w:val="24"/>
          <w:szCs w:val="24"/>
        </w:rPr>
        <w:t xml:space="preserve"> federal requirements require them to report on performance and </w:t>
      </w:r>
      <w:r w:rsidRPr="00B7392A" w:rsidR="005F10F2">
        <w:rPr>
          <w:rFonts w:cs="Times New Roman"/>
          <w:sz w:val="24"/>
          <w:szCs w:val="24"/>
        </w:rPr>
        <w:t>GPRA measures once each year.</w:t>
      </w:r>
      <w:r w:rsidRPr="00B7392A" w:rsidR="00597919">
        <w:rPr>
          <w:rFonts w:cs="Times New Roman"/>
          <w:sz w:val="24"/>
          <w:szCs w:val="24"/>
        </w:rPr>
        <w:t xml:space="preserve"> </w:t>
      </w:r>
      <w:r w:rsidRPr="00B7392A" w:rsidR="004C5DB6">
        <w:rPr>
          <w:rFonts w:cs="Times New Roman"/>
          <w:sz w:val="24"/>
          <w:szCs w:val="24"/>
        </w:rPr>
        <w:t>F</w:t>
      </w:r>
      <w:r w:rsidRPr="00B7392A" w:rsidR="008234A0">
        <w:rPr>
          <w:rFonts w:cs="Times New Roman"/>
          <w:sz w:val="24"/>
          <w:szCs w:val="24"/>
        </w:rPr>
        <w:t xml:space="preserve">ederal </w:t>
      </w:r>
      <w:r w:rsidRPr="00B7392A" w:rsidR="00A5527F">
        <w:rPr>
          <w:rFonts w:cs="Times New Roman"/>
          <w:sz w:val="24"/>
          <w:szCs w:val="24"/>
        </w:rPr>
        <w:t xml:space="preserve">health disparities </w:t>
      </w:r>
      <w:r w:rsidRPr="00B7392A" w:rsidR="00597919">
        <w:rPr>
          <w:rFonts w:cs="Times New Roman"/>
          <w:sz w:val="24"/>
          <w:szCs w:val="24"/>
        </w:rPr>
        <w:t>priorities require</w:t>
      </w:r>
      <w:r w:rsidRPr="00B7392A" w:rsidR="00A5527F">
        <w:rPr>
          <w:rFonts w:cs="Times New Roman"/>
          <w:sz w:val="24"/>
          <w:szCs w:val="24"/>
        </w:rPr>
        <w:t xml:space="preserve"> </w:t>
      </w:r>
      <w:r w:rsidRPr="00B7392A" w:rsidR="008234A0">
        <w:rPr>
          <w:rFonts w:cs="Times New Roman"/>
          <w:sz w:val="24"/>
          <w:szCs w:val="24"/>
        </w:rPr>
        <w:t xml:space="preserve">periodic </w:t>
      </w:r>
      <w:r w:rsidRPr="00B7392A" w:rsidR="00A5527F">
        <w:rPr>
          <w:rFonts w:cs="Times New Roman"/>
          <w:sz w:val="24"/>
          <w:szCs w:val="24"/>
        </w:rPr>
        <w:t>report</w:t>
      </w:r>
      <w:r w:rsidRPr="00B7392A" w:rsidR="00597919">
        <w:rPr>
          <w:rFonts w:cs="Times New Roman"/>
          <w:sz w:val="24"/>
          <w:szCs w:val="24"/>
        </w:rPr>
        <w:t>s of</w:t>
      </w:r>
      <w:r w:rsidRPr="00B7392A" w:rsidR="00A5527F">
        <w:rPr>
          <w:rFonts w:cs="Times New Roman"/>
          <w:sz w:val="24"/>
          <w:szCs w:val="24"/>
        </w:rPr>
        <w:t xml:space="preserve"> the </w:t>
      </w:r>
      <w:r w:rsidRPr="00B7392A" w:rsidR="008234A0">
        <w:rPr>
          <w:rFonts w:cs="Times New Roman"/>
          <w:sz w:val="24"/>
          <w:szCs w:val="24"/>
        </w:rPr>
        <w:t>activities used to address those priorities</w:t>
      </w:r>
      <w:r w:rsidRPr="00B7392A" w:rsidR="00A5527F">
        <w:rPr>
          <w:rFonts w:cs="Times New Roman"/>
          <w:sz w:val="24"/>
          <w:szCs w:val="24"/>
        </w:rPr>
        <w:t>.</w:t>
      </w:r>
    </w:p>
    <w:p w:rsidR="000F51C7" w:rsidRPr="005301D4" w:rsidP="005C6E54" w14:paraId="5A7B6D70" w14:textId="7E957FF5">
      <w:pPr>
        <w:rPr>
          <w:rFonts w:cs="Times New Roman"/>
          <w:sz w:val="24"/>
          <w:szCs w:val="24"/>
        </w:rPr>
      </w:pPr>
      <w:r w:rsidRPr="005301D4">
        <w:rPr>
          <w:rFonts w:cs="Times New Roman"/>
          <w:sz w:val="24"/>
          <w:szCs w:val="24"/>
        </w:rPr>
        <w:t>SAMHSA</w:t>
      </w:r>
      <w:r w:rsidRPr="005301D4" w:rsidR="002717E2">
        <w:rPr>
          <w:rFonts w:cs="Times New Roman"/>
          <w:sz w:val="24"/>
          <w:szCs w:val="24"/>
        </w:rPr>
        <w:t xml:space="preserve"> has made </w:t>
      </w:r>
      <w:r w:rsidRPr="005301D4" w:rsidR="000B509D">
        <w:rPr>
          <w:rFonts w:cs="Times New Roman"/>
          <w:sz w:val="24"/>
          <w:szCs w:val="24"/>
        </w:rPr>
        <w:t xml:space="preserve">every </w:t>
      </w:r>
      <w:r w:rsidRPr="005301D4" w:rsidR="002717E2">
        <w:rPr>
          <w:rFonts w:cs="Times New Roman"/>
          <w:sz w:val="24"/>
          <w:szCs w:val="24"/>
        </w:rPr>
        <w:t xml:space="preserve">effort to ensure that data </w:t>
      </w:r>
      <w:r w:rsidRPr="005301D4" w:rsidR="008707FD">
        <w:rPr>
          <w:rFonts w:cs="Times New Roman"/>
          <w:sz w:val="24"/>
          <w:szCs w:val="24"/>
        </w:rPr>
        <w:t xml:space="preserve">are </w:t>
      </w:r>
      <w:r w:rsidRPr="005301D4" w:rsidR="002717E2">
        <w:rPr>
          <w:rFonts w:cs="Times New Roman"/>
          <w:sz w:val="24"/>
          <w:szCs w:val="24"/>
        </w:rPr>
        <w:t>collected only when necessary and that extraneous collection will</w:t>
      </w:r>
      <w:r w:rsidRPr="005301D4" w:rsidR="00C57B53">
        <w:rPr>
          <w:rFonts w:cs="Times New Roman"/>
          <w:sz w:val="24"/>
          <w:szCs w:val="24"/>
        </w:rPr>
        <w:t xml:space="preserve"> not</w:t>
      </w:r>
      <w:r w:rsidRPr="005301D4" w:rsidR="002717E2">
        <w:rPr>
          <w:rFonts w:cs="Times New Roman"/>
          <w:sz w:val="24"/>
          <w:szCs w:val="24"/>
        </w:rPr>
        <w:t xml:space="preserve"> be conducted.</w:t>
      </w:r>
      <w:r w:rsidRPr="005301D4" w:rsidR="00190765">
        <w:rPr>
          <w:rFonts w:cs="Times New Roman"/>
          <w:sz w:val="24"/>
          <w:szCs w:val="24"/>
        </w:rPr>
        <w:t xml:space="preserve"> </w:t>
      </w:r>
      <w:r w:rsidRPr="005301D4" w:rsidR="00DD6EB7">
        <w:rPr>
          <w:rFonts w:cs="Times New Roman"/>
          <w:sz w:val="24"/>
          <w:szCs w:val="24"/>
        </w:rPr>
        <w:t>As part of this effort, c</w:t>
      </w:r>
      <w:r w:rsidRPr="005301D4" w:rsidR="00821E30">
        <w:rPr>
          <w:rFonts w:cs="Times New Roman"/>
          <w:sz w:val="24"/>
          <w:szCs w:val="24"/>
        </w:rPr>
        <w:t xml:space="preserve">ognitive testing will be performed </w:t>
      </w:r>
      <w:r w:rsidRPr="005301D4" w:rsidR="00DD6EB7">
        <w:rPr>
          <w:rFonts w:cs="Times New Roman"/>
          <w:sz w:val="24"/>
          <w:szCs w:val="24"/>
        </w:rPr>
        <w:t xml:space="preserve">that will include CSAP </w:t>
      </w:r>
      <w:r w:rsidRPr="005301D4" w:rsidR="006670C9">
        <w:rPr>
          <w:rFonts w:cs="Times New Roman"/>
          <w:sz w:val="24"/>
          <w:szCs w:val="24"/>
        </w:rPr>
        <w:t xml:space="preserve">and CSAT </w:t>
      </w:r>
      <w:r w:rsidRPr="005301D4" w:rsidR="00DD6EB7">
        <w:rPr>
          <w:rFonts w:cs="Times New Roman"/>
          <w:sz w:val="24"/>
          <w:szCs w:val="24"/>
        </w:rPr>
        <w:t>grantees.</w:t>
      </w:r>
      <w:r w:rsidRPr="005301D4" w:rsidR="00190765">
        <w:rPr>
          <w:rFonts w:cs="Times New Roman"/>
          <w:sz w:val="24"/>
          <w:szCs w:val="24"/>
        </w:rPr>
        <w:t xml:space="preserve"> </w:t>
      </w:r>
      <w:r w:rsidRPr="005301D4" w:rsidR="003C7EB2">
        <w:rPr>
          <w:rFonts w:cs="Times New Roman"/>
          <w:sz w:val="24"/>
          <w:szCs w:val="24"/>
        </w:rPr>
        <w:t>Feedback that is received</w:t>
      </w:r>
      <w:r w:rsidRPr="005301D4" w:rsidR="00BC53CD">
        <w:rPr>
          <w:rFonts w:cs="Times New Roman"/>
          <w:sz w:val="24"/>
          <w:szCs w:val="24"/>
        </w:rPr>
        <w:t xml:space="preserve"> from the </w:t>
      </w:r>
      <w:r w:rsidRPr="005301D4" w:rsidR="002C5BEE">
        <w:rPr>
          <w:rFonts w:cs="Times New Roman"/>
          <w:sz w:val="24"/>
          <w:szCs w:val="24"/>
        </w:rPr>
        <w:t xml:space="preserve">cognitive testing </w:t>
      </w:r>
      <w:r w:rsidRPr="005301D4" w:rsidR="003C7EB2">
        <w:rPr>
          <w:rFonts w:cs="Times New Roman"/>
          <w:sz w:val="24"/>
          <w:szCs w:val="24"/>
        </w:rPr>
        <w:t>may</w:t>
      </w:r>
      <w:r w:rsidRPr="005301D4" w:rsidR="00F730F4">
        <w:rPr>
          <w:rFonts w:cs="Times New Roman"/>
          <w:sz w:val="24"/>
          <w:szCs w:val="24"/>
        </w:rPr>
        <w:t xml:space="preserve"> result in revisions to the </w:t>
      </w:r>
      <w:r w:rsidRPr="005301D4" w:rsidR="0066126B">
        <w:rPr>
          <w:rFonts w:cs="Times New Roman"/>
          <w:sz w:val="24"/>
          <w:szCs w:val="24"/>
        </w:rPr>
        <w:t xml:space="preserve">MAI-ORA, </w:t>
      </w:r>
      <w:r w:rsidRPr="005301D4" w:rsidR="00190765">
        <w:rPr>
          <w:rFonts w:cs="Times New Roman"/>
          <w:sz w:val="24"/>
          <w:szCs w:val="24"/>
        </w:rPr>
        <w:t>MAI-PPR</w:t>
      </w:r>
      <w:r w:rsidRPr="005301D4" w:rsidR="007F42E5">
        <w:rPr>
          <w:rFonts w:cs="Times New Roman"/>
          <w:sz w:val="24"/>
          <w:szCs w:val="24"/>
        </w:rPr>
        <w:t xml:space="preserve">, </w:t>
      </w:r>
      <w:r w:rsidRPr="005301D4" w:rsidR="0066126B">
        <w:rPr>
          <w:rFonts w:cs="Times New Roman"/>
          <w:sz w:val="24"/>
          <w:szCs w:val="24"/>
        </w:rPr>
        <w:t>and MAI-</w:t>
      </w:r>
      <w:r w:rsidRPr="005301D4" w:rsidR="006670C9">
        <w:rPr>
          <w:rFonts w:cs="Times New Roman"/>
          <w:sz w:val="24"/>
          <w:szCs w:val="24"/>
        </w:rPr>
        <w:t>PORT</w:t>
      </w:r>
      <w:r w:rsidRPr="005301D4" w:rsidR="00F730F4">
        <w:rPr>
          <w:rFonts w:cs="Times New Roman"/>
          <w:sz w:val="24"/>
          <w:szCs w:val="24"/>
        </w:rPr>
        <w:t>.</w:t>
      </w:r>
      <w:r w:rsidRPr="005301D4" w:rsidR="002C5BEE">
        <w:rPr>
          <w:rFonts w:cs="Times New Roman"/>
          <w:sz w:val="24"/>
          <w:szCs w:val="24"/>
        </w:rPr>
        <w:t xml:space="preserve"> </w:t>
      </w:r>
    </w:p>
    <w:p w:rsidR="000F51C7" w:rsidRPr="005301D4" w:rsidP="000373DE" w14:paraId="4C223B3A" w14:textId="5C14E982">
      <w:pPr>
        <w:tabs>
          <w:tab w:val="left" w:pos="720"/>
        </w:tabs>
        <w:spacing w:after="0"/>
        <w:rPr>
          <w:rFonts w:cs="Times New Roman"/>
          <w:b/>
          <w:bCs/>
          <w:sz w:val="24"/>
          <w:szCs w:val="24"/>
        </w:rPr>
      </w:pPr>
      <w:r w:rsidRPr="005301D4">
        <w:rPr>
          <w:rFonts w:cs="Times New Roman"/>
          <w:b/>
          <w:bCs/>
          <w:sz w:val="24"/>
          <w:szCs w:val="24"/>
        </w:rPr>
        <w:t>A.7</w:t>
      </w:r>
      <w:r w:rsidRPr="005301D4" w:rsidR="00050CA7">
        <w:rPr>
          <w:rFonts w:cs="Times New Roman"/>
          <w:b/>
          <w:bCs/>
          <w:sz w:val="24"/>
          <w:szCs w:val="24"/>
        </w:rPr>
        <w:t>.</w:t>
      </w:r>
      <w:r w:rsidRPr="005301D4" w:rsidR="00E13BFC">
        <w:rPr>
          <w:rFonts w:cs="Times New Roman"/>
          <w:b/>
          <w:bCs/>
          <w:sz w:val="24"/>
          <w:szCs w:val="24"/>
        </w:rPr>
        <w:tab/>
      </w:r>
      <w:r w:rsidRPr="005301D4" w:rsidR="0003189F">
        <w:rPr>
          <w:rFonts w:cs="Times New Roman"/>
          <w:b/>
          <w:bCs/>
          <w:sz w:val="24"/>
          <w:szCs w:val="24"/>
        </w:rPr>
        <w:t xml:space="preserve">Consistency </w:t>
      </w:r>
      <w:r w:rsidRPr="005301D4" w:rsidR="008707FD">
        <w:rPr>
          <w:rFonts w:cs="Times New Roman"/>
          <w:b/>
          <w:bCs/>
          <w:sz w:val="24"/>
          <w:szCs w:val="24"/>
        </w:rPr>
        <w:t xml:space="preserve">With </w:t>
      </w:r>
      <w:r w:rsidRPr="005301D4" w:rsidR="0003189F">
        <w:rPr>
          <w:rFonts w:cs="Times New Roman"/>
          <w:b/>
          <w:bCs/>
          <w:sz w:val="24"/>
          <w:szCs w:val="24"/>
        </w:rPr>
        <w:t>the Guidelines in 5 CFR 1320.5(d)(2)</w:t>
      </w:r>
    </w:p>
    <w:p w:rsidR="000373DE" w:rsidRPr="00A4121E" w:rsidP="000373DE" w14:paraId="3628B192" w14:textId="77777777">
      <w:pPr>
        <w:spacing w:after="0"/>
        <w:rPr>
          <w:sz w:val="24"/>
          <w:szCs w:val="24"/>
        </w:rPr>
      </w:pPr>
    </w:p>
    <w:p w:rsidR="000F51C7" w:rsidRPr="001C083D" w:rsidP="004D3354" w14:paraId="5846FC3B" w14:textId="13ADB8BF">
      <w:pPr>
        <w:rPr>
          <w:rFonts w:cs="Times New Roman"/>
          <w:sz w:val="24"/>
          <w:szCs w:val="24"/>
        </w:rPr>
      </w:pPr>
      <w:r w:rsidRPr="00E658B4">
        <w:rPr>
          <w:rFonts w:cs="Times New Roman"/>
          <w:sz w:val="24"/>
          <w:szCs w:val="24"/>
        </w:rPr>
        <w:t>This information collection complies with the guidelines in 5 CFR 1320.5(d)(2).</w:t>
      </w:r>
      <w:r w:rsidRPr="00E658B4" w:rsidR="009E7C6E">
        <w:rPr>
          <w:rFonts w:cs="Times New Roman"/>
          <w:sz w:val="24"/>
          <w:szCs w:val="24"/>
        </w:rPr>
        <w:t xml:space="preserve"> However, SAMHSA seeks an exception </w:t>
      </w:r>
      <w:r w:rsidRPr="00A4121E" w:rsidR="003600EC">
        <w:rPr>
          <w:rFonts w:cs="Times New Roman"/>
          <w:sz w:val="24"/>
          <w:szCs w:val="24"/>
        </w:rPr>
        <w:t>to OMB’s Revisions to OMB's Statistical Policy Directive No. 15: Standards for Maintaining, Collecting, and Presenting Federal Data on Race and Ethnicity posted to the federal register on 3/29/2024.</w:t>
      </w:r>
      <w:r w:rsidRPr="00E658B4" w:rsidR="003600EC">
        <w:rPr>
          <w:rFonts w:cs="Times New Roman"/>
          <w:sz w:val="24"/>
          <w:szCs w:val="24"/>
        </w:rPr>
        <w:t xml:space="preserve"> </w:t>
      </w:r>
      <w:r w:rsidRPr="001C083D" w:rsidR="00362D65">
        <w:rPr>
          <w:rStyle w:val="normaltextrun"/>
          <w:sz w:val="24"/>
          <w:szCs w:val="24"/>
        </w:rPr>
        <w:t>Specifically, SAMHSA is requesting to use the minimum categories outlined in Figure 3 of the Directive No. 15 for the MAI-PORT instrument. The MAI-PORT is not a tool designed for program participants to complete. Rather, it is a way for grantees to report aggregate information about their program. Definitions and examples of each race and ethnicity category are found in the instrument</w:t>
      </w:r>
      <w:r w:rsidRPr="001C083D" w:rsidR="009B7AED">
        <w:rPr>
          <w:rStyle w:val="normaltextrun"/>
          <w:sz w:val="24"/>
          <w:szCs w:val="24"/>
        </w:rPr>
        <w:t>’</w:t>
      </w:r>
      <w:r w:rsidRPr="001C083D" w:rsidR="00362D65">
        <w:rPr>
          <w:rStyle w:val="normaltextrun"/>
          <w:sz w:val="24"/>
          <w:szCs w:val="24"/>
        </w:rPr>
        <w:t xml:space="preserve">s Appendix A - List of Definitions. OMB’s approach using more detailed categories outlined in Figure 1 of Directive No. 15 would require grantees to submit a massive </w:t>
      </w:r>
      <w:r w:rsidRPr="001C083D" w:rsidR="00AF2B1A">
        <w:rPr>
          <w:rStyle w:val="normaltextrun"/>
          <w:sz w:val="24"/>
          <w:szCs w:val="24"/>
        </w:rPr>
        <w:t>number</w:t>
      </w:r>
      <w:r w:rsidRPr="001C083D" w:rsidR="00362D65">
        <w:rPr>
          <w:rStyle w:val="normaltextrun"/>
          <w:sz w:val="24"/>
          <w:szCs w:val="24"/>
        </w:rPr>
        <w:t xml:space="preserve"> of written responses to SAMHSA. We would ultimately aggregate this information, and it could be very burdensome for grantees to report. We don’t need the write-in responses; we only need the total of individuals that provide a written response.</w:t>
      </w:r>
      <w:r w:rsidRPr="001C083D" w:rsidR="008B292C">
        <w:rPr>
          <w:rStyle w:val="normaltextrun"/>
          <w:sz w:val="24"/>
          <w:szCs w:val="24"/>
        </w:rPr>
        <w:t xml:space="preserve"> In addition, </w:t>
      </w:r>
      <w:r w:rsidRPr="001C083D" w:rsidR="00112A5D">
        <w:rPr>
          <w:rFonts w:cs="Times New Roman"/>
          <w:sz w:val="24"/>
          <w:szCs w:val="24"/>
        </w:rPr>
        <w:t xml:space="preserve">because </w:t>
      </w:r>
      <w:r w:rsidRPr="001C083D" w:rsidR="003600EC">
        <w:rPr>
          <w:rFonts w:cs="Times New Roman"/>
          <w:sz w:val="24"/>
          <w:szCs w:val="24"/>
        </w:rPr>
        <w:t xml:space="preserve">SAMHSA </w:t>
      </w:r>
      <w:r w:rsidRPr="001C083D" w:rsidR="00263501">
        <w:rPr>
          <w:rStyle w:val="normaltextrun"/>
          <w:sz w:val="24"/>
          <w:szCs w:val="24"/>
        </w:rPr>
        <w:t>is asking grantees to report aggregate-level data for race/ethnicity on the</w:t>
      </w:r>
      <w:r w:rsidRPr="001C083D" w:rsidR="008077E4">
        <w:rPr>
          <w:rStyle w:val="normaltextrun"/>
          <w:sz w:val="24"/>
          <w:szCs w:val="24"/>
        </w:rPr>
        <w:t xml:space="preserve"> MAI-PORT, </w:t>
      </w:r>
      <w:r w:rsidRPr="001C083D" w:rsidR="008077E4">
        <w:rPr>
          <w:rFonts w:cs="Times New Roman"/>
          <w:sz w:val="24"/>
          <w:szCs w:val="24"/>
        </w:rPr>
        <w:t>we</w:t>
      </w:r>
      <w:r w:rsidRPr="001C083D" w:rsidR="001C083D">
        <w:rPr>
          <w:rFonts w:cs="Times New Roman"/>
          <w:sz w:val="24"/>
          <w:szCs w:val="24"/>
        </w:rPr>
        <w:t xml:space="preserve"> have included</w:t>
      </w:r>
      <w:r w:rsidRPr="001C083D" w:rsidR="00405B23">
        <w:rPr>
          <w:rFonts w:cs="Times New Roman"/>
          <w:sz w:val="24"/>
          <w:szCs w:val="24"/>
        </w:rPr>
        <w:t xml:space="preserve"> an “other” category for each </w:t>
      </w:r>
      <w:r w:rsidRPr="001C083D" w:rsidR="00646F6D">
        <w:rPr>
          <w:rFonts w:cs="Times New Roman"/>
          <w:sz w:val="24"/>
          <w:szCs w:val="24"/>
        </w:rPr>
        <w:t>higher</w:t>
      </w:r>
      <w:r w:rsidRPr="001C083D" w:rsidR="00953B0E">
        <w:rPr>
          <w:rFonts w:cs="Times New Roman"/>
          <w:sz w:val="24"/>
          <w:szCs w:val="24"/>
        </w:rPr>
        <w:t xml:space="preserve">-level </w:t>
      </w:r>
      <w:r w:rsidRPr="001C083D" w:rsidR="00405B23">
        <w:rPr>
          <w:rFonts w:cs="Times New Roman"/>
          <w:sz w:val="24"/>
          <w:szCs w:val="24"/>
        </w:rPr>
        <w:t xml:space="preserve">race/ethnicity </w:t>
      </w:r>
      <w:r w:rsidRPr="001C083D" w:rsidR="007516A4">
        <w:rPr>
          <w:rFonts w:cs="Times New Roman"/>
          <w:sz w:val="24"/>
          <w:szCs w:val="24"/>
        </w:rPr>
        <w:t>category</w:t>
      </w:r>
      <w:r w:rsidRPr="001C083D" w:rsidR="00861893">
        <w:rPr>
          <w:rFonts w:cs="Times New Roman"/>
          <w:sz w:val="24"/>
          <w:szCs w:val="24"/>
        </w:rPr>
        <w:t>. Including this “other” category will allow</w:t>
      </w:r>
      <w:r w:rsidRPr="001C083D" w:rsidR="007516A4">
        <w:rPr>
          <w:rFonts w:cs="Times New Roman"/>
          <w:sz w:val="24"/>
          <w:szCs w:val="24"/>
        </w:rPr>
        <w:t xml:space="preserve"> grantees </w:t>
      </w:r>
      <w:r w:rsidRPr="001C083D" w:rsidR="00861893">
        <w:rPr>
          <w:rFonts w:cs="Times New Roman"/>
          <w:sz w:val="24"/>
          <w:szCs w:val="24"/>
        </w:rPr>
        <w:t>to</w:t>
      </w:r>
      <w:r w:rsidRPr="001C083D" w:rsidR="007516A4">
        <w:rPr>
          <w:rFonts w:cs="Times New Roman"/>
          <w:sz w:val="24"/>
          <w:szCs w:val="24"/>
        </w:rPr>
        <w:t xml:space="preserve"> report additional race/ethnicity </w:t>
      </w:r>
      <w:r w:rsidRPr="001C083D" w:rsidR="000F5C34">
        <w:rPr>
          <w:rFonts w:cs="Times New Roman"/>
          <w:sz w:val="24"/>
          <w:szCs w:val="24"/>
        </w:rPr>
        <w:t>details</w:t>
      </w:r>
      <w:r w:rsidRPr="001C083D" w:rsidR="007516A4">
        <w:rPr>
          <w:rFonts w:cs="Times New Roman"/>
          <w:sz w:val="24"/>
          <w:szCs w:val="24"/>
        </w:rPr>
        <w:t xml:space="preserve"> </w:t>
      </w:r>
      <w:r w:rsidRPr="001C083D" w:rsidR="0050771A">
        <w:rPr>
          <w:rFonts w:cs="Times New Roman"/>
          <w:sz w:val="24"/>
          <w:szCs w:val="24"/>
        </w:rPr>
        <w:t>reflective of their grant</w:t>
      </w:r>
      <w:r w:rsidRPr="001C083D" w:rsidR="00DC28EA">
        <w:rPr>
          <w:rFonts w:cs="Times New Roman"/>
          <w:sz w:val="24"/>
          <w:szCs w:val="24"/>
        </w:rPr>
        <w:t xml:space="preserve"> populations of focus</w:t>
      </w:r>
      <w:r w:rsidRPr="001C083D" w:rsidR="00E658B4">
        <w:rPr>
          <w:rFonts w:cs="Times New Roman"/>
          <w:sz w:val="24"/>
          <w:szCs w:val="24"/>
        </w:rPr>
        <w:t xml:space="preserve"> </w:t>
      </w:r>
      <w:r w:rsidRPr="001C083D" w:rsidR="00B97811">
        <w:rPr>
          <w:rFonts w:cs="Times New Roman"/>
          <w:sz w:val="24"/>
          <w:szCs w:val="24"/>
        </w:rPr>
        <w:t>that are</w:t>
      </w:r>
      <w:r w:rsidRPr="001C083D" w:rsidR="00583429">
        <w:rPr>
          <w:rFonts w:cs="Times New Roman"/>
          <w:sz w:val="24"/>
          <w:szCs w:val="24"/>
        </w:rPr>
        <w:t xml:space="preserve"> not</w:t>
      </w:r>
      <w:r w:rsidRPr="001C083D" w:rsidR="00B9357A">
        <w:rPr>
          <w:rFonts w:cs="Times New Roman"/>
          <w:sz w:val="24"/>
          <w:szCs w:val="24"/>
        </w:rPr>
        <w:t xml:space="preserve"> included among the detailed race/ethnicity categories provided.</w:t>
      </w:r>
      <w:r w:rsidRPr="001C083D" w:rsidR="000F0D35">
        <w:rPr>
          <w:rFonts w:cs="Times New Roman"/>
          <w:sz w:val="24"/>
          <w:szCs w:val="24"/>
        </w:rPr>
        <w:t xml:space="preserve"> </w:t>
      </w:r>
    </w:p>
    <w:p w:rsidR="000F51C7" w:rsidRPr="005301D4" w:rsidP="000373DE" w14:paraId="36474D4F" w14:textId="33FC5C46">
      <w:pPr>
        <w:pStyle w:val="Heading1"/>
        <w:numPr>
          <w:ilvl w:val="0"/>
          <w:numId w:val="0"/>
        </w:numPr>
        <w:tabs>
          <w:tab w:val="left" w:pos="720"/>
        </w:tabs>
        <w:spacing w:before="0" w:after="0"/>
        <w:rPr>
          <w:rFonts w:ascii="Times New Roman" w:hAnsi="Times New Roman" w:cs="Times New Roman"/>
          <w:color w:val="auto"/>
          <w:sz w:val="24"/>
          <w:szCs w:val="24"/>
        </w:rPr>
      </w:pPr>
      <w:r w:rsidRPr="005301D4">
        <w:rPr>
          <w:rFonts w:ascii="Times New Roman" w:hAnsi="Times New Roman" w:cs="Times New Roman"/>
          <w:color w:val="auto"/>
          <w:sz w:val="24"/>
          <w:szCs w:val="24"/>
        </w:rPr>
        <w:t>A.8.</w:t>
      </w:r>
      <w:r w:rsidRPr="005301D4" w:rsidR="00E13BFC">
        <w:rPr>
          <w:rFonts w:ascii="Times New Roman" w:hAnsi="Times New Roman" w:cs="Times New Roman"/>
          <w:color w:val="auto"/>
          <w:sz w:val="24"/>
          <w:szCs w:val="24"/>
        </w:rPr>
        <w:tab/>
      </w:r>
      <w:r w:rsidRPr="005301D4" w:rsidR="0003189F">
        <w:rPr>
          <w:rFonts w:ascii="Times New Roman" w:hAnsi="Times New Roman" w:cs="Times New Roman"/>
          <w:color w:val="auto"/>
          <w:sz w:val="24"/>
          <w:szCs w:val="24"/>
        </w:rPr>
        <w:t>Consultation Outside the Agency</w:t>
      </w:r>
    </w:p>
    <w:p w:rsidR="000373DE" w:rsidRPr="00A4121E" w:rsidP="000373DE" w14:paraId="4605260C" w14:textId="77777777">
      <w:pPr>
        <w:spacing w:after="0"/>
        <w:rPr>
          <w:sz w:val="24"/>
          <w:szCs w:val="24"/>
        </w:rPr>
      </w:pPr>
    </w:p>
    <w:p w:rsidR="000F51C7" w:rsidRPr="005301D4" w:rsidP="005C6E54" w14:paraId="686D9C6C" w14:textId="5B5E514F">
      <w:pPr>
        <w:rPr>
          <w:rFonts w:cs="Times New Roman"/>
          <w:sz w:val="24"/>
          <w:szCs w:val="24"/>
        </w:rPr>
      </w:pPr>
      <w:r w:rsidRPr="005301D4">
        <w:rPr>
          <w:rFonts w:cs="Times New Roman"/>
          <w:sz w:val="24"/>
          <w:szCs w:val="24"/>
        </w:rPr>
        <w:t xml:space="preserve">The notice required by 5 CFR 1320.8(d) was published in the </w:t>
      </w:r>
      <w:r w:rsidRPr="005301D4">
        <w:rPr>
          <w:rFonts w:cs="Times New Roman"/>
          <w:i/>
          <w:sz w:val="24"/>
          <w:szCs w:val="24"/>
        </w:rPr>
        <w:t>Federal Register</w:t>
      </w:r>
      <w:r w:rsidRPr="005301D4">
        <w:rPr>
          <w:rFonts w:cs="Times New Roman"/>
          <w:sz w:val="24"/>
          <w:szCs w:val="24"/>
        </w:rPr>
        <w:t xml:space="preserve"> </w:t>
      </w:r>
      <w:r w:rsidRPr="005301D4">
        <w:rPr>
          <w:rFonts w:cs="Times New Roman"/>
          <w:sz w:val="24"/>
          <w:szCs w:val="24"/>
        </w:rPr>
        <w:t>on</w:t>
      </w:r>
      <w:r w:rsidRPr="005301D4" w:rsidR="001756F5">
        <w:rPr>
          <w:rFonts w:cs="Times New Roman"/>
          <w:sz w:val="24"/>
          <w:szCs w:val="24"/>
        </w:rPr>
        <w:t xml:space="preserve"> </w:t>
      </w:r>
      <w:r w:rsidRPr="005301D4" w:rsidR="006D4529">
        <w:rPr>
          <w:rFonts w:cs="Times New Roman"/>
          <w:sz w:val="24"/>
          <w:szCs w:val="24"/>
        </w:rPr>
        <w:t xml:space="preserve"> [</w:t>
      </w:r>
      <w:r w:rsidR="00E26CEF">
        <w:rPr>
          <w:rFonts w:cs="Times New Roman"/>
          <w:sz w:val="24"/>
          <w:szCs w:val="24"/>
        </w:rPr>
        <w:t xml:space="preserve">July </w:t>
      </w:r>
      <w:r w:rsidR="0060178A">
        <w:rPr>
          <w:rFonts w:cs="Times New Roman"/>
          <w:sz w:val="24"/>
          <w:szCs w:val="24"/>
        </w:rPr>
        <w:t>5</w:t>
      </w:r>
      <w:r w:rsidR="00E26CEF">
        <w:rPr>
          <w:rFonts w:cs="Times New Roman"/>
          <w:sz w:val="24"/>
          <w:szCs w:val="24"/>
        </w:rPr>
        <w:t>, 2024</w:t>
      </w:r>
      <w:r w:rsidRPr="005301D4" w:rsidR="005902F6">
        <w:rPr>
          <w:rFonts w:cs="Times New Roman"/>
          <w:sz w:val="24"/>
          <w:szCs w:val="24"/>
        </w:rPr>
        <w:t xml:space="preserve"> (</w:t>
      </w:r>
      <w:r w:rsidR="007125B6">
        <w:rPr>
          <w:rFonts w:cs="Times New Roman"/>
          <w:sz w:val="24"/>
          <w:szCs w:val="24"/>
        </w:rPr>
        <w:t>89</w:t>
      </w:r>
      <w:r w:rsidRPr="005301D4" w:rsidR="007125B6">
        <w:rPr>
          <w:rFonts w:cs="Times New Roman"/>
          <w:sz w:val="24"/>
          <w:szCs w:val="24"/>
        </w:rPr>
        <w:t xml:space="preserve"> </w:t>
      </w:r>
      <w:r w:rsidRPr="005301D4" w:rsidR="005C7DF4">
        <w:rPr>
          <w:rFonts w:cs="Times New Roman"/>
          <w:sz w:val="24"/>
          <w:szCs w:val="24"/>
        </w:rPr>
        <w:t xml:space="preserve">FR </w:t>
      </w:r>
      <w:r w:rsidR="007125B6">
        <w:rPr>
          <w:rFonts w:cs="Times New Roman"/>
          <w:sz w:val="24"/>
          <w:szCs w:val="24"/>
        </w:rPr>
        <w:t>55631</w:t>
      </w:r>
      <w:r w:rsidRPr="005301D4" w:rsidR="005C7DF4">
        <w:rPr>
          <w:rFonts w:cs="Times New Roman"/>
          <w:sz w:val="24"/>
          <w:szCs w:val="24"/>
        </w:rPr>
        <w:t>)</w:t>
      </w:r>
      <w:r w:rsidRPr="005301D4" w:rsidR="001756F5">
        <w:rPr>
          <w:rFonts w:cs="Times New Roman"/>
          <w:sz w:val="24"/>
          <w:szCs w:val="24"/>
        </w:rPr>
        <w:t>.</w:t>
      </w:r>
      <w:r w:rsidRPr="005301D4" w:rsidR="002360B8">
        <w:rPr>
          <w:rFonts w:cs="Times New Roman"/>
          <w:sz w:val="24"/>
          <w:szCs w:val="24"/>
        </w:rPr>
        <w:t xml:space="preserve"> No comments were received.</w:t>
      </w:r>
    </w:p>
    <w:p w:rsidR="000F51C7" w:rsidRPr="005301D4" w:rsidP="00E13BFC" w14:paraId="005887D1" w14:textId="7284B6EE">
      <w:pPr>
        <w:pStyle w:val="Heading1"/>
        <w:numPr>
          <w:ilvl w:val="0"/>
          <w:numId w:val="0"/>
        </w:numPr>
        <w:tabs>
          <w:tab w:val="left" w:pos="720"/>
        </w:tabs>
        <w:spacing w:before="0"/>
        <w:rPr>
          <w:rFonts w:ascii="Times New Roman" w:hAnsi="Times New Roman" w:cs="Times New Roman"/>
          <w:color w:val="auto"/>
          <w:sz w:val="24"/>
          <w:szCs w:val="24"/>
        </w:rPr>
      </w:pPr>
      <w:r w:rsidRPr="005301D4">
        <w:rPr>
          <w:rFonts w:ascii="Times New Roman" w:hAnsi="Times New Roman" w:cs="Times New Roman"/>
          <w:color w:val="auto"/>
          <w:sz w:val="24"/>
          <w:szCs w:val="24"/>
        </w:rPr>
        <w:t>A.9.</w:t>
      </w:r>
      <w:r w:rsidRPr="005301D4" w:rsidR="00E13BFC">
        <w:rPr>
          <w:rFonts w:ascii="Times New Roman" w:hAnsi="Times New Roman" w:cs="Times New Roman"/>
          <w:color w:val="auto"/>
          <w:sz w:val="24"/>
          <w:szCs w:val="24"/>
        </w:rPr>
        <w:tab/>
      </w:r>
      <w:r w:rsidRPr="005301D4" w:rsidR="00043BE1">
        <w:rPr>
          <w:rFonts w:ascii="Times New Roman" w:hAnsi="Times New Roman" w:cs="Times New Roman"/>
          <w:color w:val="auto"/>
          <w:sz w:val="24"/>
          <w:szCs w:val="24"/>
        </w:rPr>
        <w:t>Payment to Respondents</w:t>
      </w:r>
    </w:p>
    <w:p w:rsidR="000F51C7" w:rsidRPr="005301D4" w:rsidP="005C6E54" w14:paraId="5F5F04C9" w14:textId="77777777">
      <w:pPr>
        <w:rPr>
          <w:rFonts w:cs="Times New Roman"/>
          <w:sz w:val="24"/>
          <w:szCs w:val="24"/>
        </w:rPr>
      </w:pPr>
      <w:r w:rsidRPr="005301D4">
        <w:rPr>
          <w:rFonts w:cs="Times New Roman"/>
          <w:bCs/>
          <w:sz w:val="24"/>
          <w:szCs w:val="24"/>
        </w:rPr>
        <w:t>No cash incentives or gifts will be given to respondents.</w:t>
      </w:r>
    </w:p>
    <w:p w:rsidR="000F51C7" w:rsidRPr="0091092F" w:rsidP="00E13BFC" w14:paraId="5B478523" w14:textId="635636DD">
      <w:pPr>
        <w:pStyle w:val="Heading1"/>
        <w:numPr>
          <w:ilvl w:val="0"/>
          <w:numId w:val="0"/>
        </w:numPr>
        <w:tabs>
          <w:tab w:val="left" w:pos="720"/>
        </w:tabs>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A.10.</w:t>
      </w:r>
      <w:r w:rsidR="00E13BFC">
        <w:rPr>
          <w:rFonts w:ascii="Times New Roman" w:hAnsi="Times New Roman" w:cs="Times New Roman"/>
          <w:color w:val="auto"/>
          <w:sz w:val="24"/>
          <w:szCs w:val="24"/>
        </w:rPr>
        <w:tab/>
      </w:r>
      <w:r w:rsidRPr="0091092F" w:rsidR="00043BE1">
        <w:rPr>
          <w:rFonts w:ascii="Times New Roman" w:hAnsi="Times New Roman" w:cs="Times New Roman"/>
          <w:color w:val="auto"/>
          <w:sz w:val="24"/>
          <w:szCs w:val="24"/>
        </w:rPr>
        <w:t>Assurance of Confidentiality</w:t>
      </w:r>
    </w:p>
    <w:p w:rsidR="00B37871" w:rsidRPr="005301D4" w:rsidP="00827BEB" w14:paraId="7F165E7E" w14:textId="0BC194DC">
      <w:pPr>
        <w:rPr>
          <w:rFonts w:cs="Times New Roman"/>
          <w:sz w:val="24"/>
          <w:szCs w:val="24"/>
        </w:rPr>
      </w:pPr>
      <w:r w:rsidRPr="00A4121E">
        <w:rPr>
          <w:sz w:val="24"/>
          <w:szCs w:val="24"/>
        </w:rPr>
        <w:t xml:space="preserve">Data will be kept private to the extent allowed by law. </w:t>
      </w:r>
      <w:r w:rsidRPr="005301D4" w:rsidR="00EF3790">
        <w:rPr>
          <w:rFonts w:cs="Times New Roman"/>
          <w:sz w:val="24"/>
          <w:szCs w:val="24"/>
        </w:rPr>
        <w:t xml:space="preserve">SAMHSA has statutory authority to collect data under </w:t>
      </w:r>
      <w:r w:rsidRPr="005301D4" w:rsidR="005900B7">
        <w:rPr>
          <w:rFonts w:cs="Times New Roman"/>
          <w:sz w:val="24"/>
          <w:szCs w:val="24"/>
        </w:rPr>
        <w:t>GPRA</w:t>
      </w:r>
      <w:r w:rsidRPr="005301D4" w:rsidR="00EF3790">
        <w:rPr>
          <w:rFonts w:cs="Times New Roman"/>
          <w:sz w:val="24"/>
          <w:szCs w:val="24"/>
        </w:rPr>
        <w:t xml:space="preserve"> (Public Law 1103(a), Title 31) and is subject to the Privacy Act for the protection of these data.</w:t>
      </w:r>
      <w:r w:rsidRPr="005301D4" w:rsidR="00190765">
        <w:rPr>
          <w:rFonts w:cs="Times New Roman"/>
          <w:sz w:val="24"/>
          <w:szCs w:val="24"/>
        </w:rPr>
        <w:t xml:space="preserve"> </w:t>
      </w:r>
      <w:r w:rsidRPr="005301D4" w:rsidR="00EF3790">
        <w:rPr>
          <w:rFonts w:cs="Times New Roman"/>
          <w:sz w:val="24"/>
          <w:szCs w:val="24"/>
        </w:rPr>
        <w:t xml:space="preserve">Only aggregate data will be collected with the </w:t>
      </w:r>
      <w:r w:rsidRPr="005301D4" w:rsidR="00101B9B">
        <w:rPr>
          <w:rFonts w:cs="Times New Roman"/>
          <w:sz w:val="24"/>
          <w:szCs w:val="24"/>
        </w:rPr>
        <w:t xml:space="preserve">MAI-ORA, MAI-PPR, and MAI-PORT </w:t>
      </w:r>
      <w:r w:rsidRPr="005301D4" w:rsidR="007B1695">
        <w:rPr>
          <w:rFonts w:cs="Times New Roman"/>
          <w:sz w:val="24"/>
          <w:szCs w:val="24"/>
        </w:rPr>
        <w:t>instruments.</w:t>
      </w:r>
      <w:r w:rsidRPr="005301D4" w:rsidR="00190765">
        <w:rPr>
          <w:rFonts w:cs="Times New Roman"/>
          <w:sz w:val="24"/>
          <w:szCs w:val="24"/>
        </w:rPr>
        <w:t xml:space="preserve"> </w:t>
      </w:r>
      <w:r w:rsidRPr="005301D4" w:rsidR="009B6C59">
        <w:rPr>
          <w:rFonts w:cs="Times New Roman"/>
          <w:sz w:val="24"/>
          <w:szCs w:val="24"/>
        </w:rPr>
        <w:t>SAMHSA and its contractors will not receive identifiable client records</w:t>
      </w:r>
      <w:r w:rsidRPr="005301D4">
        <w:rPr>
          <w:rFonts w:cs="Times New Roman"/>
          <w:sz w:val="24"/>
          <w:szCs w:val="24"/>
        </w:rPr>
        <w:t xml:space="preserve"> from the grantee staff</w:t>
      </w:r>
      <w:r w:rsidRPr="005301D4" w:rsidR="009B6C59">
        <w:rPr>
          <w:rFonts w:cs="Times New Roman"/>
          <w:sz w:val="24"/>
          <w:szCs w:val="24"/>
        </w:rPr>
        <w:t>.</w:t>
      </w:r>
      <w:r w:rsidRPr="005301D4" w:rsidR="00593B96">
        <w:rPr>
          <w:rFonts w:cs="Times New Roman"/>
          <w:sz w:val="24"/>
          <w:szCs w:val="24"/>
        </w:rPr>
        <w:t xml:space="preserve"> </w:t>
      </w:r>
      <w:r w:rsidRPr="005301D4" w:rsidR="0078688B">
        <w:rPr>
          <w:rFonts w:cs="Times New Roman"/>
          <w:sz w:val="24"/>
          <w:szCs w:val="24"/>
        </w:rPr>
        <w:t xml:space="preserve">Grantee staff will provide information about their organizations and activities, rather than </w:t>
      </w:r>
      <w:r w:rsidRPr="005301D4" w:rsidR="001C097C">
        <w:rPr>
          <w:rFonts w:cs="Times New Roman"/>
          <w:sz w:val="24"/>
          <w:szCs w:val="24"/>
        </w:rPr>
        <w:t xml:space="preserve">detailed </w:t>
      </w:r>
      <w:r w:rsidRPr="005301D4" w:rsidR="0078688B">
        <w:rPr>
          <w:rFonts w:cs="Times New Roman"/>
          <w:sz w:val="24"/>
          <w:szCs w:val="24"/>
        </w:rPr>
        <w:t xml:space="preserve">information about </w:t>
      </w:r>
      <w:r w:rsidRPr="005301D4" w:rsidR="00801436">
        <w:rPr>
          <w:rFonts w:cs="Times New Roman"/>
          <w:sz w:val="24"/>
          <w:szCs w:val="24"/>
        </w:rPr>
        <w:t xml:space="preserve">each </w:t>
      </w:r>
      <w:r w:rsidRPr="005301D4">
        <w:rPr>
          <w:rFonts w:cs="Times New Roman"/>
          <w:sz w:val="24"/>
          <w:szCs w:val="24"/>
        </w:rPr>
        <w:t xml:space="preserve">individual they serve. </w:t>
      </w:r>
    </w:p>
    <w:p w:rsidR="00827BEB" w:rsidRPr="005301D4" w:rsidP="00827BEB" w14:paraId="00D96478" w14:textId="4FF18208">
      <w:pPr>
        <w:rPr>
          <w:rFonts w:cs="Times New Roman"/>
          <w:sz w:val="24"/>
          <w:szCs w:val="24"/>
        </w:rPr>
      </w:pPr>
      <w:r w:rsidRPr="005301D4">
        <w:rPr>
          <w:rFonts w:cs="Times New Roman"/>
          <w:sz w:val="24"/>
          <w:szCs w:val="24"/>
        </w:rPr>
        <w:t xml:space="preserve">The contracting team takes responsibility for ensuring that the Web and data system is properly maintained and monitored. Server staff will follow standard procedures for applying security patches and conducting routine maintenance for system updates. Data will be stored on a password-protected server, and access to data in the system will be handled by a hierarchy of </w:t>
      </w:r>
      <w:r w:rsidRPr="005301D4">
        <w:rPr>
          <w:rFonts w:cs="Times New Roman"/>
          <w:sz w:val="24"/>
          <w:szCs w:val="24"/>
        </w:rPr>
        <w:t xml:space="preserve">user roles, with each role conferring only the minimum access to system data needed to perform the necessary functions of the role. </w:t>
      </w:r>
    </w:p>
    <w:p w:rsidR="00827BEB" w:rsidRPr="005301D4" w:rsidP="00827BEB" w14:paraId="2EEFF1B0" w14:textId="77777777">
      <w:pPr>
        <w:rPr>
          <w:rFonts w:cs="Times New Roman"/>
          <w:sz w:val="24"/>
          <w:szCs w:val="24"/>
        </w:rPr>
      </w:pPr>
      <w:r w:rsidRPr="005301D4">
        <w:rPr>
          <w:rFonts w:cs="Times New Roman"/>
          <w:sz w:val="24"/>
          <w:szCs w:val="24"/>
        </w:rPr>
        <w:t xml:space="preserve">While not collecting individual-level data, contractor staff are trained on the importance of privacy and in handling sensitive data. </w:t>
      </w:r>
    </w:p>
    <w:p w:rsidR="000F51C7" w:rsidRPr="0091092F" w:rsidP="00E13BFC" w14:paraId="68BD6CCA" w14:textId="43C950AA">
      <w:pPr>
        <w:pStyle w:val="Heading1"/>
        <w:numPr>
          <w:ilvl w:val="0"/>
          <w:numId w:val="0"/>
        </w:numPr>
        <w:tabs>
          <w:tab w:val="left" w:pos="720"/>
        </w:tabs>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A.11.</w:t>
      </w:r>
      <w:r w:rsidR="00E13BFC">
        <w:rPr>
          <w:rFonts w:ascii="Times New Roman" w:hAnsi="Times New Roman" w:cs="Times New Roman"/>
          <w:color w:val="auto"/>
          <w:sz w:val="24"/>
          <w:szCs w:val="24"/>
        </w:rPr>
        <w:tab/>
      </w:r>
      <w:r w:rsidRPr="0091092F" w:rsidR="00043BE1">
        <w:rPr>
          <w:rFonts w:ascii="Times New Roman" w:hAnsi="Times New Roman" w:cs="Times New Roman"/>
          <w:color w:val="auto"/>
          <w:sz w:val="24"/>
          <w:szCs w:val="24"/>
        </w:rPr>
        <w:t>Questions of a Sensitive Nature</w:t>
      </w:r>
    </w:p>
    <w:p w:rsidR="000F51C7" w:rsidRPr="0091092F" w:rsidP="005C6E54" w14:paraId="46038136" w14:textId="4379B387">
      <w:pPr>
        <w:rPr>
          <w:rFonts w:cs="Times New Roman"/>
          <w:sz w:val="24"/>
          <w:szCs w:val="24"/>
        </w:rPr>
      </w:pPr>
      <w:r w:rsidRPr="47E3C7F9">
        <w:rPr>
          <w:rFonts w:cs="Times New Roman"/>
          <w:sz w:val="24"/>
          <w:szCs w:val="24"/>
        </w:rPr>
        <w:t xml:space="preserve">SAMHSA’s mission is to improve the quality and availability of prevention, early intervention, treatment, and rehabilitation services for mental and substance use disorders, including co-occurring disorders, to improve health and reduce illness, death, disability, and cost to society. </w:t>
      </w:r>
      <w:r w:rsidRPr="47E3C7F9" w:rsidR="00C431C5">
        <w:rPr>
          <w:rFonts w:cs="Times New Roman"/>
          <w:sz w:val="24"/>
          <w:szCs w:val="24"/>
        </w:rPr>
        <w:t>These</w:t>
      </w:r>
      <w:r w:rsidRPr="47E3C7F9">
        <w:rPr>
          <w:rFonts w:cs="Times New Roman"/>
          <w:sz w:val="24"/>
          <w:szCs w:val="24"/>
        </w:rPr>
        <w:t xml:space="preserve"> </w:t>
      </w:r>
      <w:r w:rsidRPr="47E3C7F9" w:rsidR="007B1695">
        <w:rPr>
          <w:rFonts w:cs="Times New Roman"/>
          <w:sz w:val="24"/>
          <w:szCs w:val="24"/>
        </w:rPr>
        <w:t xml:space="preserve">instruments </w:t>
      </w:r>
      <w:r w:rsidRPr="47E3C7F9" w:rsidR="00F703C2">
        <w:rPr>
          <w:rFonts w:cs="Times New Roman"/>
          <w:sz w:val="24"/>
          <w:szCs w:val="24"/>
        </w:rPr>
        <w:t xml:space="preserve">will be </w:t>
      </w:r>
      <w:r w:rsidRPr="47E3C7F9">
        <w:rPr>
          <w:rFonts w:cs="Times New Roman"/>
          <w:sz w:val="24"/>
          <w:szCs w:val="24"/>
        </w:rPr>
        <w:t xml:space="preserve">used to report on performance at the aggregate level. There are no questions of a sensitive nature that are asked of individuals as the data collection is focused </w:t>
      </w:r>
      <w:r w:rsidRPr="47E3C7F9">
        <w:rPr>
          <w:rFonts w:cs="Times New Roman"/>
          <w:sz w:val="24"/>
          <w:szCs w:val="24"/>
        </w:rPr>
        <w:t>at</w:t>
      </w:r>
      <w:r w:rsidRPr="47E3C7F9">
        <w:rPr>
          <w:rFonts w:cs="Times New Roman"/>
          <w:sz w:val="24"/>
          <w:szCs w:val="24"/>
        </w:rPr>
        <w:t xml:space="preserve"> the grantee level and not the individual participant level.</w:t>
      </w:r>
      <w:r w:rsidRPr="47E3C7F9" w:rsidR="00190765">
        <w:rPr>
          <w:rFonts w:cs="Times New Roman"/>
          <w:sz w:val="24"/>
          <w:szCs w:val="24"/>
        </w:rPr>
        <w:t xml:space="preserve"> </w:t>
      </w:r>
    </w:p>
    <w:p w:rsidR="000F51C7" w:rsidRPr="0091092F" w:rsidP="00745BDC" w14:paraId="0F80C9D0" w14:textId="469166B8">
      <w:pPr>
        <w:pStyle w:val="Heading1"/>
        <w:numPr>
          <w:ilvl w:val="0"/>
          <w:numId w:val="0"/>
        </w:numPr>
        <w:tabs>
          <w:tab w:val="left" w:pos="720"/>
        </w:tabs>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w:t>
      </w:r>
      <w:r w:rsidRPr="0091092F" w:rsidR="00206553">
        <w:rPr>
          <w:rFonts w:ascii="Times New Roman" w:hAnsi="Times New Roman" w:cs="Times New Roman"/>
          <w:color w:val="auto"/>
          <w:sz w:val="24"/>
          <w:szCs w:val="24"/>
        </w:rPr>
        <w:t>.12</w:t>
      </w:r>
      <w:r w:rsidRPr="0091092F" w:rsidR="00050CA7">
        <w:rPr>
          <w:rFonts w:ascii="Times New Roman" w:hAnsi="Times New Roman" w:cs="Times New Roman"/>
          <w:color w:val="auto"/>
          <w:sz w:val="24"/>
          <w:szCs w:val="24"/>
        </w:rPr>
        <w:t>.</w:t>
      </w:r>
      <w:r w:rsidR="00135F00">
        <w:rPr>
          <w:rFonts w:ascii="Times New Roman" w:hAnsi="Times New Roman" w:cs="Times New Roman"/>
          <w:color w:val="auto"/>
          <w:sz w:val="24"/>
          <w:szCs w:val="24"/>
        </w:rPr>
        <w:tab/>
      </w:r>
      <w:r w:rsidRPr="0091092F" w:rsidR="00043BE1">
        <w:rPr>
          <w:rFonts w:ascii="Times New Roman" w:hAnsi="Times New Roman" w:cs="Times New Roman"/>
          <w:color w:val="auto"/>
          <w:sz w:val="24"/>
          <w:szCs w:val="24"/>
        </w:rPr>
        <w:t>Estimates of Annualized Hour Burden</w:t>
      </w:r>
    </w:p>
    <w:p w:rsidR="00BB01EC" w:rsidRPr="00BB01EC" w:rsidP="0092340A" w14:paraId="2B383282" w14:textId="6E881B9A">
      <w:pPr>
        <w:rPr>
          <w:rFonts w:cs="Times New Roman"/>
          <w:sz w:val="24"/>
          <w:szCs w:val="24"/>
        </w:rPr>
      </w:pPr>
      <w:r>
        <w:rPr>
          <w:rFonts w:cs="Times New Roman"/>
          <w:sz w:val="24"/>
          <w:szCs w:val="24"/>
        </w:rPr>
        <w:t>Table 2</w:t>
      </w:r>
      <w:r w:rsidR="006E5BFF">
        <w:rPr>
          <w:rFonts w:cs="Times New Roman"/>
          <w:sz w:val="24"/>
          <w:szCs w:val="24"/>
        </w:rPr>
        <w:t xml:space="preserve"> and Table 3</w:t>
      </w:r>
      <w:r w:rsidRPr="00BB01EC">
        <w:rPr>
          <w:rFonts w:cs="Times New Roman"/>
          <w:sz w:val="24"/>
          <w:szCs w:val="24"/>
        </w:rPr>
        <w:t xml:space="preserve"> provides an overview of the data collection method, frequency of data collection, and number of </w:t>
      </w:r>
      <w:r w:rsidR="00301176">
        <w:rPr>
          <w:rFonts w:cs="Times New Roman"/>
          <w:sz w:val="24"/>
          <w:szCs w:val="24"/>
        </w:rPr>
        <w:t>data collections for each</w:t>
      </w:r>
      <w:r w:rsidRPr="00BB01EC">
        <w:rPr>
          <w:rFonts w:cs="Times New Roman"/>
          <w:sz w:val="24"/>
          <w:szCs w:val="24"/>
        </w:rPr>
        <w:t xml:space="preserve"> data collection instruments.</w:t>
      </w:r>
    </w:p>
    <w:p w:rsidR="00C23120" w:rsidRPr="00D163BF" w:rsidP="00D163BF" w14:paraId="32E63794" w14:textId="78F775E3">
      <w:pPr>
        <w:pStyle w:val="ExhibitTitle"/>
        <w:spacing w:before="240" w:after="60"/>
        <w:rPr>
          <w:rFonts w:cs="Times New Roman"/>
          <w:sz w:val="24"/>
          <w:szCs w:val="24"/>
        </w:rPr>
      </w:pPr>
      <w:r w:rsidRPr="00D163BF">
        <w:rPr>
          <w:rFonts w:cs="Times New Roman"/>
          <w:sz w:val="24"/>
          <w:szCs w:val="24"/>
        </w:rPr>
        <w:t>Table 2</w:t>
      </w:r>
      <w:r w:rsidRPr="00D163BF" w:rsidR="0092340A">
        <w:rPr>
          <w:rFonts w:cs="Times New Roman"/>
          <w:sz w:val="24"/>
          <w:szCs w:val="24"/>
        </w:rPr>
        <w:t xml:space="preserve">. </w:t>
      </w:r>
      <w:r w:rsidRPr="00D163BF">
        <w:rPr>
          <w:rFonts w:cs="Times New Roman"/>
          <w:sz w:val="24"/>
          <w:szCs w:val="24"/>
        </w:rPr>
        <w:t>Grant Compliance</w:t>
      </w:r>
      <w:r w:rsidRPr="00D163BF" w:rsidR="00190765">
        <w:rPr>
          <w:rFonts w:cs="Times New Roman"/>
          <w:sz w:val="24"/>
          <w:szCs w:val="24"/>
        </w:rPr>
        <w:t>: MAI-ORA and MAI-PPR</w:t>
      </w:r>
    </w:p>
    <w:tbl>
      <w:tblPr>
        <w:tblStyle w:val="TableGrid"/>
        <w:tblW w:w="9153" w:type="dxa"/>
        <w:tblLook w:val="04A0"/>
      </w:tblPr>
      <w:tblGrid>
        <w:gridCol w:w="1525"/>
        <w:gridCol w:w="1800"/>
        <w:gridCol w:w="1620"/>
        <w:gridCol w:w="2880"/>
        <w:gridCol w:w="1328"/>
      </w:tblGrid>
      <w:tr w14:paraId="45BCCFCC" w14:textId="77777777" w:rsidTr="00DF71B1">
        <w:tblPrEx>
          <w:tblW w:w="9153" w:type="dxa"/>
          <w:tblLook w:val="04A0"/>
        </w:tblPrEx>
        <w:trPr>
          <w:tblHeader/>
        </w:trPr>
        <w:tc>
          <w:tcPr>
            <w:tcW w:w="1525" w:type="dxa"/>
            <w:shd w:val="clear" w:color="auto" w:fill="8DB3E2" w:themeFill="text2" w:themeFillTint="66"/>
            <w:vAlign w:val="center"/>
          </w:tcPr>
          <w:p w:rsidR="00C23120" w:rsidRPr="00DF71B1" w14:paraId="44EEFCC3" w14:textId="77777777">
            <w:pPr>
              <w:spacing w:after="0"/>
              <w:jc w:val="center"/>
              <w:rPr>
                <w:b/>
                <w:bCs/>
                <w:sz w:val="20"/>
                <w:szCs w:val="20"/>
              </w:rPr>
            </w:pPr>
            <w:r w:rsidRPr="00DF71B1">
              <w:rPr>
                <w:b/>
                <w:bCs/>
                <w:sz w:val="20"/>
                <w:szCs w:val="20"/>
              </w:rPr>
              <w:t>Instrument</w:t>
            </w:r>
          </w:p>
        </w:tc>
        <w:tc>
          <w:tcPr>
            <w:tcW w:w="1800" w:type="dxa"/>
            <w:shd w:val="clear" w:color="auto" w:fill="8DB3E2" w:themeFill="text2" w:themeFillTint="66"/>
            <w:vAlign w:val="center"/>
          </w:tcPr>
          <w:p w:rsidR="00C23120" w:rsidRPr="00DF71B1" w14:paraId="1F639012" w14:textId="77777777">
            <w:pPr>
              <w:spacing w:after="0"/>
              <w:jc w:val="center"/>
              <w:rPr>
                <w:b/>
                <w:bCs/>
                <w:sz w:val="20"/>
                <w:szCs w:val="20"/>
              </w:rPr>
            </w:pPr>
            <w:r w:rsidRPr="00DF71B1">
              <w:rPr>
                <w:b/>
                <w:bCs/>
                <w:sz w:val="20"/>
                <w:szCs w:val="20"/>
              </w:rPr>
              <w:t>Data Collection Method</w:t>
            </w:r>
          </w:p>
        </w:tc>
        <w:tc>
          <w:tcPr>
            <w:tcW w:w="1620" w:type="dxa"/>
            <w:shd w:val="clear" w:color="auto" w:fill="8DB3E2" w:themeFill="text2" w:themeFillTint="66"/>
            <w:vAlign w:val="center"/>
          </w:tcPr>
          <w:p w:rsidR="00C23120" w:rsidRPr="00DF71B1" w14:paraId="499AC41A" w14:textId="77777777">
            <w:pPr>
              <w:spacing w:after="0"/>
              <w:jc w:val="center"/>
              <w:rPr>
                <w:b/>
                <w:bCs/>
                <w:sz w:val="20"/>
                <w:szCs w:val="20"/>
              </w:rPr>
            </w:pPr>
            <w:r w:rsidRPr="00DF71B1">
              <w:rPr>
                <w:b/>
                <w:bCs/>
                <w:sz w:val="20"/>
                <w:szCs w:val="20"/>
              </w:rPr>
              <w:t>Frequency of Data Collection</w:t>
            </w:r>
          </w:p>
        </w:tc>
        <w:tc>
          <w:tcPr>
            <w:tcW w:w="2880" w:type="dxa"/>
            <w:shd w:val="clear" w:color="auto" w:fill="8DB3E2" w:themeFill="text2" w:themeFillTint="66"/>
            <w:vAlign w:val="center"/>
          </w:tcPr>
          <w:p w:rsidR="00C23120" w:rsidRPr="00DF71B1" w14:paraId="5161F0D0" w14:textId="77777777">
            <w:pPr>
              <w:spacing w:after="0"/>
              <w:jc w:val="center"/>
              <w:rPr>
                <w:b/>
                <w:bCs/>
                <w:sz w:val="20"/>
                <w:szCs w:val="20"/>
              </w:rPr>
            </w:pPr>
            <w:r w:rsidRPr="00DF71B1">
              <w:rPr>
                <w:b/>
                <w:bCs/>
                <w:sz w:val="20"/>
                <w:szCs w:val="20"/>
              </w:rPr>
              <w:t>Maximum Number of Data Collections</w:t>
            </w:r>
          </w:p>
        </w:tc>
        <w:tc>
          <w:tcPr>
            <w:tcW w:w="1328" w:type="dxa"/>
            <w:shd w:val="clear" w:color="auto" w:fill="8DB3E2" w:themeFill="text2" w:themeFillTint="66"/>
            <w:vAlign w:val="center"/>
          </w:tcPr>
          <w:p w:rsidR="00C23120" w:rsidRPr="00DF71B1" w14:paraId="35602D76" w14:textId="77777777">
            <w:pPr>
              <w:spacing w:after="0"/>
              <w:jc w:val="center"/>
              <w:rPr>
                <w:b/>
                <w:bCs/>
                <w:sz w:val="20"/>
                <w:szCs w:val="20"/>
              </w:rPr>
            </w:pPr>
            <w:r w:rsidRPr="00DF71B1">
              <w:rPr>
                <w:b/>
                <w:bCs/>
                <w:sz w:val="20"/>
                <w:szCs w:val="20"/>
              </w:rPr>
              <w:t>Attachment Number</w:t>
            </w:r>
          </w:p>
        </w:tc>
      </w:tr>
      <w:tr w14:paraId="7D8359D4" w14:textId="77777777" w:rsidTr="00DF71B1">
        <w:tblPrEx>
          <w:tblW w:w="9153" w:type="dxa"/>
          <w:tblLook w:val="04A0"/>
        </w:tblPrEx>
        <w:tc>
          <w:tcPr>
            <w:tcW w:w="1525" w:type="dxa"/>
          </w:tcPr>
          <w:p w:rsidR="00DF71B1" w:rsidRPr="00DF71B1" w:rsidP="00AE4A83" w14:paraId="22A849D3" w14:textId="335CC63A">
            <w:pPr>
              <w:spacing w:after="0"/>
              <w:rPr>
                <w:bCs/>
                <w:sz w:val="20"/>
                <w:szCs w:val="20"/>
              </w:rPr>
            </w:pPr>
            <w:r>
              <w:rPr>
                <w:bCs/>
                <w:sz w:val="20"/>
                <w:szCs w:val="20"/>
              </w:rPr>
              <w:t>MAI-ORA</w:t>
            </w:r>
          </w:p>
        </w:tc>
        <w:tc>
          <w:tcPr>
            <w:tcW w:w="1800" w:type="dxa"/>
          </w:tcPr>
          <w:p w:rsidR="00DF71B1" w:rsidRPr="00DF71B1" w:rsidP="00AE4A83" w14:paraId="2D24E8E3" w14:textId="06EE48DA">
            <w:pPr>
              <w:spacing w:after="0"/>
              <w:rPr>
                <w:sz w:val="20"/>
                <w:szCs w:val="20"/>
              </w:rPr>
            </w:pPr>
            <w:r w:rsidRPr="00DF71B1">
              <w:rPr>
                <w:sz w:val="20"/>
                <w:szCs w:val="20"/>
              </w:rPr>
              <w:t>Grantees submit into</w:t>
            </w:r>
            <w:r w:rsidR="003E6B1A">
              <w:rPr>
                <w:sz w:val="20"/>
                <w:szCs w:val="20"/>
              </w:rPr>
              <w:t xml:space="preserve"> SPARS </w:t>
            </w:r>
          </w:p>
        </w:tc>
        <w:tc>
          <w:tcPr>
            <w:tcW w:w="1620" w:type="dxa"/>
          </w:tcPr>
          <w:p w:rsidR="00DF71B1" w:rsidRPr="00DF71B1" w:rsidP="00AE4A83" w14:paraId="7C072002" w14:textId="77777777">
            <w:pPr>
              <w:spacing w:after="0"/>
              <w:rPr>
                <w:sz w:val="20"/>
                <w:szCs w:val="20"/>
              </w:rPr>
            </w:pPr>
            <w:r w:rsidRPr="00DF71B1">
              <w:rPr>
                <w:sz w:val="20"/>
                <w:szCs w:val="20"/>
              </w:rPr>
              <w:t xml:space="preserve">Once </w:t>
            </w:r>
          </w:p>
        </w:tc>
        <w:tc>
          <w:tcPr>
            <w:tcW w:w="2880" w:type="dxa"/>
          </w:tcPr>
          <w:p w:rsidR="00DF71B1" w:rsidRPr="00DF71B1" w:rsidP="00AE4A83" w14:paraId="3863DADF" w14:textId="1587360C">
            <w:pPr>
              <w:spacing w:after="0"/>
              <w:rPr>
                <w:sz w:val="20"/>
                <w:szCs w:val="20"/>
              </w:rPr>
            </w:pPr>
            <w:r>
              <w:rPr>
                <w:sz w:val="20"/>
                <w:szCs w:val="20"/>
              </w:rPr>
              <w:t>Once</w:t>
            </w:r>
            <w:r w:rsidRPr="00DF71B1">
              <w:rPr>
                <w:sz w:val="20"/>
                <w:szCs w:val="20"/>
              </w:rPr>
              <w:t xml:space="preserve"> in Year 1</w:t>
            </w:r>
          </w:p>
        </w:tc>
        <w:tc>
          <w:tcPr>
            <w:tcW w:w="1328" w:type="dxa"/>
            <w:vAlign w:val="center"/>
          </w:tcPr>
          <w:p w:rsidR="00DF71B1" w:rsidRPr="00DF71B1" w:rsidP="00AE4A83" w14:paraId="69D07773" w14:textId="054A97C5">
            <w:pPr>
              <w:spacing w:after="0"/>
              <w:jc w:val="center"/>
              <w:rPr>
                <w:sz w:val="20"/>
                <w:szCs w:val="20"/>
              </w:rPr>
            </w:pPr>
            <w:r w:rsidRPr="00DF71B1">
              <w:rPr>
                <w:sz w:val="20"/>
                <w:szCs w:val="20"/>
              </w:rPr>
              <w:t>1</w:t>
            </w:r>
          </w:p>
        </w:tc>
      </w:tr>
      <w:tr w14:paraId="24D89CBE" w14:textId="77777777" w:rsidTr="00DF71B1">
        <w:tblPrEx>
          <w:tblW w:w="9153" w:type="dxa"/>
          <w:tblLook w:val="04A0"/>
        </w:tblPrEx>
        <w:tc>
          <w:tcPr>
            <w:tcW w:w="1525" w:type="dxa"/>
          </w:tcPr>
          <w:p w:rsidR="00C23120" w:rsidRPr="00DF71B1" w14:paraId="777CAD55" w14:textId="709B046B">
            <w:pPr>
              <w:spacing w:after="0"/>
              <w:rPr>
                <w:sz w:val="20"/>
                <w:szCs w:val="20"/>
              </w:rPr>
            </w:pPr>
            <w:r>
              <w:rPr>
                <w:bCs/>
                <w:sz w:val="20"/>
                <w:szCs w:val="20"/>
              </w:rPr>
              <w:t>MAI-PPR</w:t>
            </w:r>
          </w:p>
        </w:tc>
        <w:tc>
          <w:tcPr>
            <w:tcW w:w="1800" w:type="dxa"/>
          </w:tcPr>
          <w:p w:rsidR="00C23120" w:rsidRPr="00DF71B1" w14:paraId="0512891F" w14:textId="77777777">
            <w:pPr>
              <w:spacing w:after="0"/>
              <w:rPr>
                <w:sz w:val="20"/>
                <w:szCs w:val="20"/>
              </w:rPr>
            </w:pPr>
            <w:r w:rsidRPr="00DF71B1">
              <w:rPr>
                <w:sz w:val="20"/>
                <w:szCs w:val="20"/>
              </w:rPr>
              <w:t>Grantees submit into eRA</w:t>
            </w:r>
          </w:p>
        </w:tc>
        <w:tc>
          <w:tcPr>
            <w:tcW w:w="1620" w:type="dxa"/>
          </w:tcPr>
          <w:p w:rsidR="00C23120" w:rsidRPr="00D84F3C" w14:paraId="33232BD3" w14:textId="7C2C042A">
            <w:pPr>
              <w:spacing w:after="0"/>
              <w:rPr>
                <w:sz w:val="20"/>
                <w:szCs w:val="20"/>
              </w:rPr>
            </w:pPr>
            <w:r w:rsidRPr="00D84F3C">
              <w:rPr>
                <w:sz w:val="20"/>
                <w:szCs w:val="20"/>
              </w:rPr>
              <w:t>A</w:t>
            </w:r>
            <w:r w:rsidRPr="00D84F3C" w:rsidR="0061056F">
              <w:rPr>
                <w:sz w:val="20"/>
                <w:szCs w:val="20"/>
              </w:rPr>
              <w:t>nnually</w:t>
            </w:r>
            <w:r w:rsidRPr="00D84F3C">
              <w:rPr>
                <w:sz w:val="20"/>
                <w:szCs w:val="20"/>
              </w:rPr>
              <w:t xml:space="preserve"> </w:t>
            </w:r>
          </w:p>
          <w:p w:rsidR="00C23120" w:rsidRPr="00D84F3C" w14:paraId="67551504" w14:textId="77777777">
            <w:pPr>
              <w:spacing w:after="0"/>
              <w:rPr>
                <w:sz w:val="20"/>
                <w:szCs w:val="20"/>
              </w:rPr>
            </w:pPr>
          </w:p>
        </w:tc>
        <w:tc>
          <w:tcPr>
            <w:tcW w:w="2880" w:type="dxa"/>
          </w:tcPr>
          <w:p w:rsidR="00794D90" w:rsidRPr="00D84F3C" w14:paraId="170A8E3D" w14:textId="1FC9CEDA">
            <w:pPr>
              <w:spacing w:after="0"/>
              <w:rPr>
                <w:sz w:val="20"/>
                <w:szCs w:val="20"/>
              </w:rPr>
            </w:pPr>
            <w:r w:rsidRPr="00D84F3C">
              <w:rPr>
                <w:sz w:val="20"/>
                <w:szCs w:val="20"/>
              </w:rPr>
              <w:t>A</w:t>
            </w:r>
            <w:r w:rsidRPr="00D84F3C" w:rsidR="00DF71B1">
              <w:rPr>
                <w:sz w:val="20"/>
                <w:szCs w:val="20"/>
              </w:rPr>
              <w:t>nnually</w:t>
            </w:r>
            <w:r w:rsidRPr="00D84F3C" w:rsidR="00C23120">
              <w:rPr>
                <w:sz w:val="20"/>
                <w:szCs w:val="20"/>
              </w:rPr>
              <w:t xml:space="preserve">: </w:t>
            </w:r>
            <w:r w:rsidRPr="00D84F3C">
              <w:rPr>
                <w:sz w:val="20"/>
                <w:szCs w:val="20"/>
              </w:rPr>
              <w:t>5</w:t>
            </w:r>
            <w:r w:rsidRPr="00D84F3C" w:rsidR="00C23120">
              <w:rPr>
                <w:sz w:val="20"/>
                <w:szCs w:val="20"/>
              </w:rPr>
              <w:t xml:space="preserve"> times </w:t>
            </w:r>
          </w:p>
          <w:p w:rsidR="00C23120" w:rsidRPr="00D84F3C" w:rsidP="002F762C" w14:paraId="2D34CA5F" w14:textId="716F4AA8">
            <w:pPr>
              <w:spacing w:after="0"/>
              <w:rPr>
                <w:sz w:val="20"/>
                <w:szCs w:val="20"/>
              </w:rPr>
            </w:pPr>
            <w:r w:rsidRPr="00D84F3C">
              <w:rPr>
                <w:sz w:val="20"/>
                <w:szCs w:val="20"/>
              </w:rPr>
              <w:t>(</w:t>
            </w:r>
            <w:r w:rsidR="00C2221B">
              <w:rPr>
                <w:sz w:val="20"/>
                <w:szCs w:val="20"/>
              </w:rPr>
              <w:t>1</w:t>
            </w:r>
            <w:r w:rsidRPr="00D84F3C" w:rsidR="00DF71B1">
              <w:rPr>
                <w:sz w:val="20"/>
                <w:szCs w:val="20"/>
              </w:rPr>
              <w:t xml:space="preserve"> time </w:t>
            </w:r>
            <w:r w:rsidRPr="00D84F3C">
              <w:rPr>
                <w:sz w:val="20"/>
                <w:szCs w:val="20"/>
              </w:rPr>
              <w:t>per year</w:t>
            </w:r>
            <w:r w:rsidR="002F762C">
              <w:rPr>
                <w:sz w:val="20"/>
                <w:szCs w:val="20"/>
              </w:rPr>
              <w:t xml:space="preserve"> in </w:t>
            </w:r>
            <w:r w:rsidRPr="00D84F3C">
              <w:rPr>
                <w:sz w:val="20"/>
                <w:szCs w:val="20"/>
              </w:rPr>
              <w:t>Years 1</w:t>
            </w:r>
            <w:r w:rsidR="002F762C">
              <w:rPr>
                <w:sz w:val="20"/>
                <w:szCs w:val="20"/>
              </w:rPr>
              <w:t>-</w:t>
            </w:r>
            <w:r w:rsidRPr="00D84F3C">
              <w:rPr>
                <w:sz w:val="20"/>
                <w:szCs w:val="20"/>
              </w:rPr>
              <w:t>5</w:t>
            </w:r>
            <w:r w:rsidR="002F762C">
              <w:rPr>
                <w:sz w:val="20"/>
                <w:szCs w:val="20"/>
              </w:rPr>
              <w:t>)</w:t>
            </w:r>
          </w:p>
        </w:tc>
        <w:tc>
          <w:tcPr>
            <w:tcW w:w="1328" w:type="dxa"/>
            <w:vAlign w:val="center"/>
          </w:tcPr>
          <w:p w:rsidR="00C23120" w:rsidRPr="00DF71B1" w14:paraId="5D446B63" w14:textId="1FC9FCF7">
            <w:pPr>
              <w:spacing w:after="0"/>
              <w:jc w:val="center"/>
              <w:rPr>
                <w:sz w:val="20"/>
                <w:szCs w:val="20"/>
              </w:rPr>
            </w:pPr>
            <w:r w:rsidRPr="00DF71B1">
              <w:rPr>
                <w:sz w:val="20"/>
                <w:szCs w:val="20"/>
              </w:rPr>
              <w:t>2</w:t>
            </w:r>
          </w:p>
        </w:tc>
      </w:tr>
    </w:tbl>
    <w:p w:rsidR="3E540513" w:rsidP="3E540513" w14:paraId="4A3A75A5" w14:textId="75FCB3D8">
      <w:pPr>
        <w:rPr>
          <w:sz w:val="24"/>
          <w:szCs w:val="24"/>
        </w:rPr>
      </w:pPr>
    </w:p>
    <w:p w:rsidR="0092340A" w:rsidRPr="00D163BF" w:rsidP="00D163BF" w14:paraId="53923950" w14:textId="413DB3E7">
      <w:pPr>
        <w:pStyle w:val="ExhibitTitle"/>
        <w:spacing w:before="240" w:after="60"/>
        <w:rPr>
          <w:rFonts w:cs="Times New Roman"/>
          <w:sz w:val="24"/>
          <w:szCs w:val="24"/>
        </w:rPr>
      </w:pPr>
      <w:r w:rsidRPr="00D163BF">
        <w:rPr>
          <w:rFonts w:cs="Times New Roman"/>
          <w:sz w:val="24"/>
          <w:szCs w:val="24"/>
        </w:rPr>
        <w:t xml:space="preserve">Table </w:t>
      </w:r>
      <w:r w:rsidRPr="00D163BF" w:rsidR="006E5BFF">
        <w:rPr>
          <w:rFonts w:cs="Times New Roman"/>
          <w:sz w:val="24"/>
          <w:szCs w:val="24"/>
        </w:rPr>
        <w:t>3</w:t>
      </w:r>
      <w:r w:rsidRPr="00D163BF">
        <w:rPr>
          <w:rFonts w:cs="Times New Roman"/>
          <w:sz w:val="24"/>
          <w:szCs w:val="24"/>
        </w:rPr>
        <w:t xml:space="preserve">. </w:t>
      </w:r>
      <w:r w:rsidRPr="00D163BF" w:rsidR="008837C4">
        <w:rPr>
          <w:rFonts w:cs="Times New Roman"/>
          <w:sz w:val="24"/>
          <w:szCs w:val="24"/>
        </w:rPr>
        <w:t xml:space="preserve">- </w:t>
      </w:r>
      <w:r w:rsidRPr="00D163BF" w:rsidR="00AD137C">
        <w:rPr>
          <w:rFonts w:cs="Times New Roman"/>
          <w:sz w:val="24"/>
          <w:szCs w:val="24"/>
        </w:rPr>
        <w:t>Program</w:t>
      </w:r>
      <w:r w:rsidRPr="00D163BF" w:rsidR="003034F1">
        <w:rPr>
          <w:rFonts w:cs="Times New Roman"/>
          <w:sz w:val="24"/>
          <w:szCs w:val="24"/>
        </w:rPr>
        <w:t xml:space="preserve"> Performance Monitoring</w:t>
      </w:r>
      <w:r w:rsidRPr="00D163BF" w:rsidR="00190765">
        <w:rPr>
          <w:rFonts w:cs="Times New Roman"/>
          <w:sz w:val="24"/>
          <w:szCs w:val="24"/>
        </w:rPr>
        <w:t>: MAI-PORT</w:t>
      </w:r>
    </w:p>
    <w:tbl>
      <w:tblPr>
        <w:tblStyle w:val="TableGrid"/>
        <w:tblW w:w="9153" w:type="dxa"/>
        <w:tblLook w:val="04A0"/>
      </w:tblPr>
      <w:tblGrid>
        <w:gridCol w:w="1615"/>
        <w:gridCol w:w="1530"/>
        <w:gridCol w:w="2520"/>
        <w:gridCol w:w="2160"/>
        <w:gridCol w:w="1328"/>
      </w:tblGrid>
      <w:tr w14:paraId="44141D65" w14:textId="77777777" w:rsidTr="00DF71B1">
        <w:tblPrEx>
          <w:tblW w:w="9153" w:type="dxa"/>
          <w:tblLook w:val="04A0"/>
        </w:tblPrEx>
        <w:trPr>
          <w:tblHeader/>
        </w:trPr>
        <w:tc>
          <w:tcPr>
            <w:tcW w:w="1615" w:type="dxa"/>
            <w:shd w:val="clear" w:color="auto" w:fill="8DB3E2" w:themeFill="text2" w:themeFillTint="66"/>
            <w:vAlign w:val="center"/>
          </w:tcPr>
          <w:p w:rsidR="0092340A" w:rsidRPr="00DF71B1" w:rsidP="006F704C" w14:paraId="2BAD9917" w14:textId="77777777">
            <w:pPr>
              <w:spacing w:after="0"/>
              <w:jc w:val="center"/>
              <w:rPr>
                <w:b/>
                <w:bCs/>
                <w:sz w:val="20"/>
                <w:szCs w:val="20"/>
              </w:rPr>
            </w:pPr>
            <w:r w:rsidRPr="00DF71B1">
              <w:rPr>
                <w:b/>
                <w:bCs/>
                <w:sz w:val="20"/>
                <w:szCs w:val="20"/>
              </w:rPr>
              <w:t>Instrument</w:t>
            </w:r>
          </w:p>
        </w:tc>
        <w:tc>
          <w:tcPr>
            <w:tcW w:w="1530" w:type="dxa"/>
            <w:shd w:val="clear" w:color="auto" w:fill="8DB3E2" w:themeFill="text2" w:themeFillTint="66"/>
            <w:vAlign w:val="center"/>
          </w:tcPr>
          <w:p w:rsidR="0092340A" w:rsidRPr="00DF71B1" w:rsidP="006F704C" w14:paraId="3DD6D7D4" w14:textId="77777777">
            <w:pPr>
              <w:spacing w:after="0"/>
              <w:jc w:val="center"/>
              <w:rPr>
                <w:b/>
                <w:bCs/>
                <w:sz w:val="20"/>
                <w:szCs w:val="20"/>
              </w:rPr>
            </w:pPr>
            <w:r w:rsidRPr="00DF71B1">
              <w:rPr>
                <w:b/>
                <w:bCs/>
                <w:sz w:val="20"/>
                <w:szCs w:val="20"/>
              </w:rPr>
              <w:t>Data Collection Method</w:t>
            </w:r>
          </w:p>
        </w:tc>
        <w:tc>
          <w:tcPr>
            <w:tcW w:w="2520" w:type="dxa"/>
            <w:shd w:val="clear" w:color="auto" w:fill="8DB3E2" w:themeFill="text2" w:themeFillTint="66"/>
            <w:vAlign w:val="center"/>
          </w:tcPr>
          <w:p w:rsidR="0092340A" w:rsidRPr="00DF71B1" w:rsidP="006F704C" w14:paraId="7622BD00" w14:textId="77777777">
            <w:pPr>
              <w:spacing w:after="0"/>
              <w:jc w:val="center"/>
              <w:rPr>
                <w:b/>
                <w:bCs/>
                <w:sz w:val="20"/>
                <w:szCs w:val="20"/>
              </w:rPr>
            </w:pPr>
            <w:r w:rsidRPr="00DF71B1">
              <w:rPr>
                <w:b/>
                <w:bCs/>
                <w:sz w:val="20"/>
                <w:szCs w:val="20"/>
              </w:rPr>
              <w:t>Frequency of Data Collection</w:t>
            </w:r>
          </w:p>
        </w:tc>
        <w:tc>
          <w:tcPr>
            <w:tcW w:w="2160" w:type="dxa"/>
            <w:shd w:val="clear" w:color="auto" w:fill="8DB3E2" w:themeFill="text2" w:themeFillTint="66"/>
            <w:vAlign w:val="center"/>
          </w:tcPr>
          <w:p w:rsidR="0092340A" w:rsidRPr="00DF71B1" w:rsidP="006F704C" w14:paraId="2DB992CD" w14:textId="77777777">
            <w:pPr>
              <w:spacing w:after="0"/>
              <w:jc w:val="center"/>
              <w:rPr>
                <w:b/>
                <w:bCs/>
                <w:sz w:val="20"/>
                <w:szCs w:val="20"/>
              </w:rPr>
            </w:pPr>
            <w:r w:rsidRPr="00DF71B1">
              <w:rPr>
                <w:b/>
                <w:bCs/>
                <w:sz w:val="20"/>
                <w:szCs w:val="20"/>
              </w:rPr>
              <w:t>Maximum Number of Data Collections</w:t>
            </w:r>
          </w:p>
        </w:tc>
        <w:tc>
          <w:tcPr>
            <w:tcW w:w="1328" w:type="dxa"/>
            <w:shd w:val="clear" w:color="auto" w:fill="8DB3E2" w:themeFill="text2" w:themeFillTint="66"/>
            <w:vAlign w:val="center"/>
          </w:tcPr>
          <w:p w:rsidR="0092340A" w:rsidRPr="00DF71B1" w:rsidP="006F704C" w14:paraId="4341883B" w14:textId="77777777">
            <w:pPr>
              <w:spacing w:after="0"/>
              <w:jc w:val="center"/>
              <w:rPr>
                <w:b/>
                <w:bCs/>
                <w:sz w:val="20"/>
                <w:szCs w:val="20"/>
              </w:rPr>
            </w:pPr>
            <w:r w:rsidRPr="00DF71B1">
              <w:rPr>
                <w:b/>
                <w:bCs/>
                <w:sz w:val="20"/>
                <w:szCs w:val="20"/>
              </w:rPr>
              <w:t>Attachment Number</w:t>
            </w:r>
          </w:p>
        </w:tc>
      </w:tr>
      <w:tr w14:paraId="1CC100EC" w14:textId="77777777" w:rsidTr="00DF71B1">
        <w:tblPrEx>
          <w:tblW w:w="9153" w:type="dxa"/>
          <w:tblLook w:val="04A0"/>
        </w:tblPrEx>
        <w:tc>
          <w:tcPr>
            <w:tcW w:w="1615" w:type="dxa"/>
          </w:tcPr>
          <w:p w:rsidR="008837C4" w:rsidRPr="00DF71B1" w:rsidP="00E43CE9" w14:paraId="52B87CFD" w14:textId="0540B688">
            <w:pPr>
              <w:spacing w:after="0"/>
              <w:rPr>
                <w:sz w:val="20"/>
                <w:szCs w:val="20"/>
              </w:rPr>
            </w:pPr>
            <w:r>
              <w:rPr>
                <w:bCs/>
                <w:sz w:val="20"/>
                <w:szCs w:val="20"/>
              </w:rPr>
              <w:t>MAI-PORT</w:t>
            </w:r>
          </w:p>
        </w:tc>
        <w:tc>
          <w:tcPr>
            <w:tcW w:w="1530" w:type="dxa"/>
          </w:tcPr>
          <w:p w:rsidR="008837C4" w:rsidRPr="00DF71B1" w:rsidP="00E43CE9" w14:paraId="0A9FD2D3" w14:textId="5A6B6DDA">
            <w:pPr>
              <w:spacing w:after="0"/>
              <w:rPr>
                <w:sz w:val="20"/>
                <w:szCs w:val="20"/>
              </w:rPr>
            </w:pPr>
            <w:r w:rsidRPr="00DF71B1">
              <w:rPr>
                <w:sz w:val="20"/>
                <w:szCs w:val="20"/>
              </w:rPr>
              <w:t>Grantees submit into SPARS</w:t>
            </w:r>
          </w:p>
        </w:tc>
        <w:tc>
          <w:tcPr>
            <w:tcW w:w="2520" w:type="dxa"/>
          </w:tcPr>
          <w:p w:rsidR="008837C4" w:rsidRPr="00DF71B1" w:rsidP="00E43CE9" w14:paraId="06D3993B" w14:textId="46F15DBE">
            <w:pPr>
              <w:spacing w:after="0"/>
              <w:rPr>
                <w:sz w:val="20"/>
                <w:szCs w:val="20"/>
              </w:rPr>
            </w:pPr>
            <w:r w:rsidRPr="00DF71B1">
              <w:rPr>
                <w:sz w:val="20"/>
                <w:szCs w:val="20"/>
              </w:rPr>
              <w:t>Yearly</w:t>
            </w:r>
            <w:r w:rsidRPr="00DF71B1" w:rsidR="009E3DC5">
              <w:rPr>
                <w:sz w:val="20"/>
                <w:szCs w:val="20"/>
              </w:rPr>
              <w:t xml:space="preserve">: </w:t>
            </w:r>
            <w:r w:rsidRPr="00DF71B1" w:rsidR="00E70A07">
              <w:rPr>
                <w:sz w:val="20"/>
                <w:szCs w:val="20"/>
              </w:rPr>
              <w:t xml:space="preserve">Annual </w:t>
            </w:r>
            <w:r w:rsidR="001B52CB">
              <w:rPr>
                <w:sz w:val="20"/>
                <w:szCs w:val="20"/>
              </w:rPr>
              <w:t>T</w:t>
            </w:r>
            <w:r w:rsidRPr="00DF71B1" w:rsidR="00E70A07">
              <w:rPr>
                <w:sz w:val="20"/>
                <w:szCs w:val="20"/>
              </w:rPr>
              <w:t>argets</w:t>
            </w:r>
            <w:r w:rsidR="001B52CB">
              <w:rPr>
                <w:sz w:val="20"/>
                <w:szCs w:val="20"/>
              </w:rPr>
              <w:t xml:space="preserve"> Report (ATR)</w:t>
            </w:r>
          </w:p>
          <w:p w:rsidR="006F704C" w:rsidRPr="00DF71B1" w:rsidP="00E43CE9" w14:paraId="1AD5E932" w14:textId="77777777">
            <w:pPr>
              <w:spacing w:after="0"/>
              <w:rPr>
                <w:sz w:val="20"/>
                <w:szCs w:val="20"/>
              </w:rPr>
            </w:pPr>
          </w:p>
          <w:p w:rsidR="008837C4" w:rsidRPr="00DF71B1" w:rsidP="00E43CE9" w14:paraId="3067A51F" w14:textId="0D108AE6">
            <w:pPr>
              <w:spacing w:after="0"/>
              <w:rPr>
                <w:sz w:val="20"/>
                <w:szCs w:val="20"/>
              </w:rPr>
            </w:pPr>
            <w:r w:rsidRPr="00DF71B1">
              <w:rPr>
                <w:sz w:val="20"/>
                <w:szCs w:val="20"/>
              </w:rPr>
              <w:t>Quarterly</w:t>
            </w:r>
            <w:r w:rsidRPr="00DF71B1" w:rsidR="009E3DC5">
              <w:rPr>
                <w:sz w:val="20"/>
                <w:szCs w:val="20"/>
              </w:rPr>
              <w:t>:</w:t>
            </w:r>
            <w:r w:rsidRPr="00DF71B1" w:rsidR="00FA51E5">
              <w:rPr>
                <w:sz w:val="20"/>
                <w:szCs w:val="20"/>
              </w:rPr>
              <w:t xml:space="preserve"> </w:t>
            </w:r>
            <w:r w:rsidR="001B52CB">
              <w:rPr>
                <w:sz w:val="20"/>
                <w:szCs w:val="20"/>
              </w:rPr>
              <w:t xml:space="preserve">Quarterly </w:t>
            </w:r>
            <w:r w:rsidRPr="00DF71B1" w:rsidR="00FA51E5">
              <w:rPr>
                <w:sz w:val="20"/>
                <w:szCs w:val="20"/>
              </w:rPr>
              <w:t xml:space="preserve">Performance </w:t>
            </w:r>
            <w:r w:rsidR="001B52CB">
              <w:rPr>
                <w:sz w:val="20"/>
                <w:szCs w:val="20"/>
              </w:rPr>
              <w:t>R</w:t>
            </w:r>
            <w:r w:rsidRPr="00DF71B1" w:rsidR="00FA51E5">
              <w:rPr>
                <w:sz w:val="20"/>
                <w:szCs w:val="20"/>
              </w:rPr>
              <w:t>eport</w:t>
            </w:r>
            <w:r w:rsidR="001B52CB">
              <w:rPr>
                <w:sz w:val="20"/>
                <w:szCs w:val="20"/>
              </w:rPr>
              <w:t xml:space="preserve"> (QPR)</w:t>
            </w:r>
          </w:p>
        </w:tc>
        <w:tc>
          <w:tcPr>
            <w:tcW w:w="2160" w:type="dxa"/>
          </w:tcPr>
          <w:p w:rsidR="006F00A6" w:rsidRPr="00DF71B1" w:rsidP="00E43CE9" w14:paraId="61A0AA76" w14:textId="77777777">
            <w:pPr>
              <w:spacing w:after="0"/>
              <w:rPr>
                <w:sz w:val="20"/>
                <w:szCs w:val="20"/>
              </w:rPr>
            </w:pPr>
            <w:r w:rsidRPr="00DF71B1">
              <w:rPr>
                <w:sz w:val="20"/>
                <w:szCs w:val="20"/>
              </w:rPr>
              <w:t xml:space="preserve">Yearly: </w:t>
            </w:r>
            <w:r w:rsidRPr="00DF71B1" w:rsidR="008837C4">
              <w:rPr>
                <w:sz w:val="20"/>
                <w:szCs w:val="20"/>
              </w:rPr>
              <w:t>5 times</w:t>
            </w:r>
            <w:r w:rsidRPr="00DF71B1" w:rsidR="006A2727">
              <w:rPr>
                <w:sz w:val="20"/>
                <w:szCs w:val="20"/>
              </w:rPr>
              <w:t xml:space="preserve"> </w:t>
            </w:r>
          </w:p>
          <w:p w:rsidR="008837C4" w:rsidRPr="00DF71B1" w:rsidP="00E43CE9" w14:paraId="13366025" w14:textId="2D987E22">
            <w:pPr>
              <w:spacing w:after="0"/>
              <w:rPr>
                <w:sz w:val="20"/>
                <w:szCs w:val="20"/>
              </w:rPr>
            </w:pPr>
            <w:r w:rsidRPr="00DF71B1">
              <w:rPr>
                <w:sz w:val="20"/>
                <w:szCs w:val="20"/>
              </w:rPr>
              <w:t>(</w:t>
            </w:r>
            <w:r w:rsidR="00C2221B">
              <w:rPr>
                <w:sz w:val="20"/>
                <w:szCs w:val="20"/>
              </w:rPr>
              <w:t>1</w:t>
            </w:r>
            <w:r w:rsidR="00C8438F">
              <w:rPr>
                <w:sz w:val="20"/>
                <w:szCs w:val="20"/>
              </w:rPr>
              <w:t xml:space="preserve"> time </w:t>
            </w:r>
            <w:r w:rsidRPr="00DF71B1">
              <w:rPr>
                <w:sz w:val="20"/>
                <w:szCs w:val="20"/>
              </w:rPr>
              <w:t>per year</w:t>
            </w:r>
            <w:r w:rsidR="00AC152E">
              <w:rPr>
                <w:sz w:val="20"/>
                <w:szCs w:val="20"/>
              </w:rPr>
              <w:t xml:space="preserve"> in Years 1-5</w:t>
            </w:r>
            <w:r w:rsidRPr="00DF71B1">
              <w:rPr>
                <w:sz w:val="20"/>
                <w:szCs w:val="20"/>
              </w:rPr>
              <w:t>)</w:t>
            </w:r>
            <w:r w:rsidRPr="00DF71B1">
              <w:rPr>
                <w:sz w:val="20"/>
                <w:szCs w:val="20"/>
              </w:rPr>
              <w:t xml:space="preserve"> </w:t>
            </w:r>
          </w:p>
          <w:p w:rsidR="006F704C" w:rsidRPr="00DF71B1" w:rsidP="00E43CE9" w14:paraId="49E79EA7" w14:textId="77777777">
            <w:pPr>
              <w:spacing w:after="0"/>
              <w:rPr>
                <w:sz w:val="20"/>
                <w:szCs w:val="20"/>
              </w:rPr>
            </w:pPr>
          </w:p>
          <w:p w:rsidR="008837C4" w:rsidRPr="00DF71B1" w:rsidP="00E43CE9" w14:paraId="281322AA" w14:textId="7A9FCB80">
            <w:pPr>
              <w:spacing w:after="0"/>
              <w:rPr>
                <w:sz w:val="20"/>
                <w:szCs w:val="20"/>
              </w:rPr>
            </w:pPr>
            <w:r w:rsidRPr="00DF71B1">
              <w:rPr>
                <w:sz w:val="20"/>
                <w:szCs w:val="20"/>
              </w:rPr>
              <w:t>Quarterly</w:t>
            </w:r>
            <w:r w:rsidRPr="00DF71B1" w:rsidR="001D65D3">
              <w:rPr>
                <w:sz w:val="20"/>
                <w:szCs w:val="20"/>
              </w:rPr>
              <w:t>:</w:t>
            </w:r>
            <w:r w:rsidRPr="00DF71B1">
              <w:rPr>
                <w:sz w:val="20"/>
                <w:szCs w:val="20"/>
              </w:rPr>
              <w:t xml:space="preserve"> </w:t>
            </w:r>
            <w:r w:rsidRPr="00DF71B1" w:rsidR="00D563E0">
              <w:rPr>
                <w:sz w:val="20"/>
                <w:szCs w:val="20"/>
              </w:rPr>
              <w:t>20 times</w:t>
            </w:r>
            <w:r w:rsidRPr="00DF71B1" w:rsidR="00FA51E5">
              <w:rPr>
                <w:sz w:val="20"/>
                <w:szCs w:val="20"/>
              </w:rPr>
              <w:t xml:space="preserve"> (</w:t>
            </w:r>
            <w:r w:rsidR="00C2221B">
              <w:rPr>
                <w:sz w:val="20"/>
                <w:szCs w:val="20"/>
              </w:rPr>
              <w:t>4</w:t>
            </w:r>
            <w:r w:rsidRPr="00DF71B1" w:rsidR="00FA51E5">
              <w:rPr>
                <w:sz w:val="20"/>
                <w:szCs w:val="20"/>
              </w:rPr>
              <w:t xml:space="preserve"> time</w:t>
            </w:r>
            <w:r w:rsidR="00190765">
              <w:rPr>
                <w:sz w:val="20"/>
                <w:szCs w:val="20"/>
              </w:rPr>
              <w:t>s</w:t>
            </w:r>
            <w:r w:rsidRPr="00DF71B1" w:rsidR="00FA51E5">
              <w:rPr>
                <w:sz w:val="20"/>
                <w:szCs w:val="20"/>
              </w:rPr>
              <w:t xml:space="preserve"> per year</w:t>
            </w:r>
            <w:r w:rsidR="002F762C">
              <w:rPr>
                <w:sz w:val="20"/>
                <w:szCs w:val="20"/>
              </w:rPr>
              <w:t xml:space="preserve"> in Years 1-5</w:t>
            </w:r>
            <w:r w:rsidRPr="00DF71B1" w:rsidR="00FA51E5">
              <w:rPr>
                <w:sz w:val="20"/>
                <w:szCs w:val="20"/>
              </w:rPr>
              <w:t>)</w:t>
            </w:r>
          </w:p>
        </w:tc>
        <w:tc>
          <w:tcPr>
            <w:tcW w:w="1328" w:type="dxa"/>
            <w:vAlign w:val="center"/>
          </w:tcPr>
          <w:p w:rsidR="008837C4" w:rsidRPr="00DF71B1" w:rsidP="006F704C" w14:paraId="0125A895" w14:textId="764D15C9">
            <w:pPr>
              <w:spacing w:after="0"/>
              <w:jc w:val="center"/>
              <w:rPr>
                <w:sz w:val="20"/>
                <w:szCs w:val="20"/>
              </w:rPr>
            </w:pPr>
            <w:r w:rsidRPr="00DF71B1">
              <w:rPr>
                <w:sz w:val="20"/>
                <w:szCs w:val="20"/>
              </w:rPr>
              <w:t>3</w:t>
            </w:r>
          </w:p>
        </w:tc>
      </w:tr>
    </w:tbl>
    <w:p w:rsidR="00AE1B58" w:rsidP="003B3781" w14:paraId="20BB7294" w14:textId="77777777">
      <w:pPr>
        <w:spacing w:after="0"/>
        <w:rPr>
          <w:rFonts w:cs="Times New Roman"/>
          <w:sz w:val="24"/>
          <w:szCs w:val="24"/>
        </w:rPr>
      </w:pPr>
    </w:p>
    <w:p w:rsidR="00BB01EC" w:rsidRPr="0069674B" w:rsidP="003B3781" w14:paraId="1A58ED9F" w14:textId="5D6FAFE3">
      <w:pPr>
        <w:spacing w:after="0"/>
        <w:rPr>
          <w:rFonts w:cs="Times New Roman"/>
          <w:sz w:val="24"/>
          <w:szCs w:val="24"/>
        </w:rPr>
      </w:pPr>
      <w:r w:rsidRPr="00147C2A">
        <w:rPr>
          <w:rFonts w:cs="Times New Roman"/>
          <w:sz w:val="24"/>
          <w:szCs w:val="24"/>
        </w:rPr>
        <w:t xml:space="preserve">The </w:t>
      </w:r>
      <w:r w:rsidR="00050F24">
        <w:rPr>
          <w:rFonts w:cs="Times New Roman"/>
          <w:sz w:val="24"/>
          <w:szCs w:val="24"/>
        </w:rPr>
        <w:t xml:space="preserve">estimated time </w:t>
      </w:r>
      <w:r w:rsidRPr="00147C2A">
        <w:rPr>
          <w:rFonts w:cs="Times New Roman"/>
          <w:sz w:val="24"/>
          <w:szCs w:val="24"/>
        </w:rPr>
        <w:t xml:space="preserve">to complete </w:t>
      </w:r>
      <w:r w:rsidR="000A5583">
        <w:rPr>
          <w:rFonts w:cs="Times New Roman"/>
          <w:sz w:val="24"/>
          <w:szCs w:val="24"/>
        </w:rPr>
        <w:t xml:space="preserve">each </w:t>
      </w:r>
      <w:r w:rsidRPr="00147C2A">
        <w:rPr>
          <w:rFonts w:cs="Times New Roman"/>
          <w:sz w:val="24"/>
          <w:szCs w:val="24"/>
        </w:rPr>
        <w:t xml:space="preserve">instrument </w:t>
      </w:r>
      <w:r w:rsidR="00050F24">
        <w:rPr>
          <w:rFonts w:cs="Times New Roman"/>
          <w:sz w:val="24"/>
          <w:szCs w:val="24"/>
        </w:rPr>
        <w:t>by year</w:t>
      </w:r>
      <w:r w:rsidR="00AC4407">
        <w:rPr>
          <w:rFonts w:cs="Times New Roman"/>
          <w:sz w:val="24"/>
          <w:szCs w:val="24"/>
        </w:rPr>
        <w:t xml:space="preserve"> </w:t>
      </w:r>
      <w:r w:rsidRPr="00147C2A">
        <w:rPr>
          <w:rFonts w:cs="Times New Roman"/>
          <w:sz w:val="24"/>
          <w:szCs w:val="24"/>
        </w:rPr>
        <w:t xml:space="preserve">is </w:t>
      </w:r>
      <w:r w:rsidR="00C65CD5">
        <w:rPr>
          <w:rFonts w:cs="Times New Roman"/>
          <w:sz w:val="24"/>
          <w:szCs w:val="24"/>
        </w:rPr>
        <w:t>shown</w:t>
      </w:r>
      <w:r w:rsidRPr="00147C2A">
        <w:rPr>
          <w:rFonts w:cs="Times New Roman"/>
          <w:sz w:val="24"/>
          <w:szCs w:val="24"/>
        </w:rPr>
        <w:t xml:space="preserve"> in Table</w:t>
      </w:r>
      <w:r w:rsidR="002756BD">
        <w:rPr>
          <w:rFonts w:cs="Times New Roman"/>
          <w:sz w:val="24"/>
          <w:szCs w:val="24"/>
        </w:rPr>
        <w:t>s</w:t>
      </w:r>
      <w:r w:rsidR="00A25FAC">
        <w:rPr>
          <w:rFonts w:cs="Times New Roman"/>
          <w:sz w:val="24"/>
          <w:szCs w:val="24"/>
        </w:rPr>
        <w:t xml:space="preserve"> 4</w:t>
      </w:r>
      <w:r w:rsidR="00C90350">
        <w:rPr>
          <w:rFonts w:cs="Times New Roman"/>
          <w:sz w:val="24"/>
          <w:szCs w:val="24"/>
        </w:rPr>
        <w:t xml:space="preserve"> </w:t>
      </w:r>
      <w:r w:rsidR="002756BD">
        <w:rPr>
          <w:rFonts w:cs="Times New Roman"/>
          <w:sz w:val="24"/>
          <w:szCs w:val="24"/>
        </w:rPr>
        <w:t xml:space="preserve">through </w:t>
      </w:r>
      <w:r w:rsidR="007E4CDF">
        <w:rPr>
          <w:rFonts w:cs="Times New Roman"/>
          <w:sz w:val="24"/>
          <w:szCs w:val="24"/>
        </w:rPr>
        <w:t>9.</w:t>
      </w:r>
      <w:r w:rsidR="00190765">
        <w:rPr>
          <w:rFonts w:cs="Times New Roman"/>
          <w:sz w:val="24"/>
          <w:szCs w:val="24"/>
        </w:rPr>
        <w:t xml:space="preserve"> </w:t>
      </w:r>
    </w:p>
    <w:p w:rsidR="00B70692" w14:paraId="73083941" w14:textId="77777777">
      <w:pPr>
        <w:spacing w:after="0"/>
        <w:rPr>
          <w:rFonts w:cs="Times New Roman"/>
          <w:b/>
          <w:bCs/>
          <w:sz w:val="24"/>
          <w:szCs w:val="24"/>
        </w:rPr>
      </w:pPr>
      <w:r>
        <w:rPr>
          <w:rFonts w:cs="Times New Roman"/>
          <w:sz w:val="24"/>
          <w:szCs w:val="24"/>
        </w:rPr>
        <w:br w:type="page"/>
      </w:r>
    </w:p>
    <w:p w:rsidR="00AC4407" w:rsidP="003B3781" w14:paraId="5DEEECFA" w14:textId="3AC357B3">
      <w:pPr>
        <w:pStyle w:val="ExhibitTitle"/>
        <w:spacing w:before="240" w:after="60"/>
        <w:rPr>
          <w:rFonts w:cs="Times New Roman"/>
          <w:sz w:val="24"/>
          <w:szCs w:val="24"/>
        </w:rPr>
      </w:pPr>
      <w:r>
        <w:rPr>
          <w:rFonts w:cs="Times New Roman"/>
          <w:sz w:val="24"/>
          <w:szCs w:val="24"/>
        </w:rPr>
        <w:t>Table 4</w:t>
      </w:r>
      <w:r w:rsidRPr="00A90983">
        <w:rPr>
          <w:rFonts w:cs="Times New Roman"/>
          <w:sz w:val="24"/>
          <w:szCs w:val="24"/>
        </w:rPr>
        <w:t>.</w:t>
      </w:r>
      <w:r>
        <w:rPr>
          <w:rFonts w:cs="Times New Roman"/>
          <w:sz w:val="24"/>
          <w:szCs w:val="24"/>
        </w:rPr>
        <w:t xml:space="preserve"> Estimates </w:t>
      </w:r>
      <w:r w:rsidR="009776E5">
        <w:rPr>
          <w:rFonts w:cs="Times New Roman"/>
          <w:sz w:val="24"/>
          <w:szCs w:val="24"/>
        </w:rPr>
        <w:t>of</w:t>
      </w:r>
      <w:r>
        <w:rPr>
          <w:rFonts w:cs="Times New Roman"/>
          <w:sz w:val="24"/>
          <w:szCs w:val="24"/>
        </w:rPr>
        <w:t xml:space="preserve"> Annual Burden for MAI PT</w:t>
      </w:r>
      <w:r w:rsidR="00D25895">
        <w:rPr>
          <w:rFonts w:cs="Times New Roman"/>
          <w:sz w:val="24"/>
          <w:szCs w:val="24"/>
        </w:rPr>
        <w:t xml:space="preserve"> Data Collection</w:t>
      </w:r>
      <w:r w:rsidR="00781731">
        <w:rPr>
          <w:rFonts w:cs="Times New Roman"/>
          <w:sz w:val="24"/>
          <w:szCs w:val="24"/>
        </w:rPr>
        <w:t>: Year 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6F48020F" w14:textId="77777777" w:rsidTr="00781731">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990D06" w:rsidRPr="00990D06" w:rsidP="00990D06" w14:paraId="655793F0"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990D06" w:rsidRPr="00990D06" w:rsidP="00990D06" w14:paraId="6BD35972"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990D06" w:rsidRPr="00990D06" w:rsidP="00990D06" w14:paraId="261B538A"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990D06" w:rsidRPr="00990D06" w:rsidP="00990D06" w14:paraId="0160A8F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990D06" w:rsidRPr="00990D06" w:rsidP="00990D06" w14:paraId="743F627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990D06" w:rsidRPr="00990D06" w:rsidP="00990D06" w14:paraId="3EB1AC20"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990D06" w:rsidRPr="00990D06" w:rsidP="00990D06" w14:paraId="412529D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990D06" w:rsidRPr="00990D06" w:rsidP="00990D06" w14:paraId="49C3956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28F061D4" w14:textId="77777777" w:rsidTr="008316F9">
        <w:tblPrEx>
          <w:tblW w:w="9355" w:type="dxa"/>
          <w:tblLayout w:type="fixed"/>
          <w:tblLook w:val="04A0"/>
        </w:tblPrEx>
        <w:trPr>
          <w:trHeight w:val="288"/>
        </w:trPr>
        <w:tc>
          <w:tcPr>
            <w:tcW w:w="1525" w:type="dxa"/>
            <w:shd w:val="clear" w:color="auto" w:fill="auto"/>
            <w:vAlign w:val="center"/>
            <w:hideMark/>
          </w:tcPr>
          <w:p w:rsidR="008316F9" w:rsidRPr="00990D06" w:rsidP="008316F9" w14:paraId="3883F1A3"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FFFFFF" w:themeFill="background1"/>
            <w:vAlign w:val="center"/>
            <w:hideMark/>
          </w:tcPr>
          <w:p w:rsidR="008316F9" w:rsidRPr="00990D06" w:rsidP="008316F9" w14:paraId="38D9BB2E" w14:textId="2D40FB94">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1281" w:type="dxa"/>
            <w:shd w:val="clear" w:color="auto" w:fill="FFFFFF" w:themeFill="background1"/>
            <w:vAlign w:val="center"/>
            <w:hideMark/>
          </w:tcPr>
          <w:p w:rsidR="008316F9" w:rsidRPr="00990D06" w:rsidP="008316F9" w14:paraId="13EE99B2" w14:textId="6DF1445C">
            <w:pPr>
              <w:spacing w:after="0"/>
              <w:jc w:val="center"/>
              <w:rPr>
                <w:rFonts w:eastAsia="Times New Roman" w:asciiTheme="minorHAnsi" w:hAnsiTheme="minorHAnsi" w:cstheme="minorHAnsi"/>
                <w:color w:val="000000"/>
                <w:sz w:val="20"/>
                <w:szCs w:val="20"/>
              </w:rPr>
            </w:pPr>
            <w:r w:rsidRPr="008316F9">
              <w:rPr>
                <w:bCs/>
                <w:color w:val="000000"/>
                <w:sz w:val="20"/>
                <w:szCs w:val="20"/>
              </w:rPr>
              <w:t>1</w:t>
            </w:r>
          </w:p>
        </w:tc>
        <w:tc>
          <w:tcPr>
            <w:tcW w:w="1170" w:type="dxa"/>
            <w:shd w:val="clear" w:color="auto" w:fill="FFFFFF" w:themeFill="background1"/>
            <w:vAlign w:val="center"/>
            <w:hideMark/>
          </w:tcPr>
          <w:p w:rsidR="008316F9" w:rsidRPr="00990D06" w:rsidP="008316F9" w14:paraId="438B0E2A" w14:textId="1AC87B57">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1017" w:type="dxa"/>
            <w:shd w:val="clear" w:color="auto" w:fill="FFFFFF" w:themeFill="background1"/>
            <w:vAlign w:val="center"/>
            <w:hideMark/>
          </w:tcPr>
          <w:p w:rsidR="008316F9" w:rsidRPr="00990D06" w:rsidP="008316F9" w14:paraId="48AB4C8E" w14:textId="5B8A47F0">
            <w:pPr>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FFFFFF" w:themeFill="background1"/>
            <w:vAlign w:val="center"/>
            <w:hideMark/>
          </w:tcPr>
          <w:p w:rsidR="008316F9" w:rsidRPr="00990D06" w:rsidP="008316F9" w14:paraId="6EA4C19E" w14:textId="62F6A983">
            <w:pPr>
              <w:spacing w:after="0"/>
              <w:jc w:val="center"/>
              <w:rPr>
                <w:rFonts w:eastAsia="Times New Roman" w:asciiTheme="minorHAnsi" w:hAnsiTheme="minorHAnsi" w:cstheme="minorHAnsi"/>
                <w:color w:val="000000"/>
                <w:sz w:val="20"/>
                <w:szCs w:val="20"/>
              </w:rPr>
            </w:pPr>
            <w:r>
              <w:rPr>
                <w:color w:val="000000"/>
                <w:sz w:val="20"/>
                <w:szCs w:val="20"/>
              </w:rPr>
              <w:t>112</w:t>
            </w:r>
          </w:p>
        </w:tc>
        <w:tc>
          <w:tcPr>
            <w:tcW w:w="923" w:type="dxa"/>
            <w:shd w:val="clear" w:color="auto" w:fill="FFFFFF" w:themeFill="background1"/>
            <w:vAlign w:val="center"/>
            <w:hideMark/>
          </w:tcPr>
          <w:p w:rsidR="008316F9" w:rsidRPr="00990D06" w:rsidP="008316F9" w14:paraId="41A4C907" w14:textId="737EB566">
            <w:pPr>
              <w:spacing w:after="0"/>
              <w:jc w:val="right"/>
              <w:rPr>
                <w:rFonts w:eastAsia="Times New Roman" w:asciiTheme="minorHAnsi" w:hAnsiTheme="minorHAnsi" w:cstheme="minorHAnsi"/>
                <w:color w:val="000000"/>
                <w:sz w:val="20"/>
                <w:szCs w:val="20"/>
              </w:rPr>
            </w:pPr>
            <w:r w:rsidRPr="008316F9">
              <w:rPr>
                <w:bCs/>
                <w:color w:val="000000"/>
                <w:sz w:val="20"/>
                <w:szCs w:val="20"/>
              </w:rPr>
              <w:t xml:space="preserve">$48.35 </w:t>
            </w:r>
          </w:p>
        </w:tc>
        <w:tc>
          <w:tcPr>
            <w:tcW w:w="1260" w:type="dxa"/>
            <w:shd w:val="clear" w:color="auto" w:fill="FFFFFF" w:themeFill="background1"/>
            <w:vAlign w:val="center"/>
            <w:hideMark/>
          </w:tcPr>
          <w:p w:rsidR="00774D8D" w:rsidP="008316F9" w14:paraId="3AED8C31" w14:textId="2BD1F2F0">
            <w:pPr>
              <w:spacing w:after="0"/>
              <w:jc w:val="right"/>
              <w:rPr>
                <w:color w:val="000000"/>
                <w:sz w:val="20"/>
                <w:szCs w:val="20"/>
              </w:rPr>
            </w:pPr>
          </w:p>
          <w:p w:rsidR="008316F9" w:rsidRPr="00990D06" w:rsidP="008316F9" w14:paraId="69C0EA7B" w14:textId="2EBA44C9">
            <w:pPr>
              <w:spacing w:after="0"/>
              <w:jc w:val="right"/>
              <w:rPr>
                <w:rFonts w:eastAsia="Times New Roman" w:asciiTheme="minorHAnsi" w:hAnsiTheme="minorHAnsi" w:cstheme="minorHAnsi"/>
                <w:color w:val="000000"/>
                <w:sz w:val="20"/>
                <w:szCs w:val="20"/>
              </w:rPr>
            </w:pPr>
            <w:r>
              <w:rPr>
                <w:color w:val="000000"/>
                <w:sz w:val="20"/>
                <w:szCs w:val="20"/>
              </w:rPr>
              <w:t>$5,415.20</w:t>
            </w:r>
            <w:r w:rsidRPr="008316F9">
              <w:rPr>
                <w:color w:val="000000"/>
                <w:sz w:val="20"/>
                <w:szCs w:val="20"/>
              </w:rPr>
              <w:t xml:space="preserve"> </w:t>
            </w:r>
          </w:p>
        </w:tc>
      </w:tr>
      <w:tr w14:paraId="59460029" w14:textId="77777777" w:rsidTr="008316F9">
        <w:tblPrEx>
          <w:tblW w:w="9355" w:type="dxa"/>
          <w:tblLayout w:type="fixed"/>
          <w:tblLook w:val="04A0"/>
        </w:tblPrEx>
        <w:trPr>
          <w:trHeight w:val="288"/>
        </w:trPr>
        <w:tc>
          <w:tcPr>
            <w:tcW w:w="1525" w:type="dxa"/>
            <w:shd w:val="clear" w:color="auto" w:fill="auto"/>
            <w:vAlign w:val="center"/>
            <w:hideMark/>
          </w:tcPr>
          <w:p w:rsidR="008316F9" w:rsidRPr="00990D06" w:rsidP="008316F9" w14:paraId="28E5C022"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FFFFFF" w:themeFill="background1"/>
            <w:vAlign w:val="center"/>
            <w:hideMark/>
          </w:tcPr>
          <w:p w:rsidR="008316F9" w:rsidRPr="00990D06" w:rsidP="008316F9" w14:paraId="1108A216" w14:textId="23177F6B">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1281" w:type="dxa"/>
            <w:shd w:val="clear" w:color="auto" w:fill="FFFFFF" w:themeFill="background1"/>
            <w:vAlign w:val="center"/>
            <w:hideMark/>
          </w:tcPr>
          <w:p w:rsidR="008316F9" w:rsidRPr="00990D06" w:rsidP="008316F9" w14:paraId="133ECF48" w14:textId="61C77E10">
            <w:pPr>
              <w:spacing w:after="0"/>
              <w:jc w:val="center"/>
              <w:rPr>
                <w:rFonts w:eastAsia="Times New Roman" w:asciiTheme="minorHAnsi" w:hAnsiTheme="minorHAnsi" w:cstheme="minorHAnsi"/>
                <w:color w:val="000000"/>
                <w:sz w:val="20"/>
                <w:szCs w:val="20"/>
              </w:rPr>
            </w:pPr>
            <w:r w:rsidRPr="008316F9">
              <w:rPr>
                <w:color w:val="000000"/>
                <w:sz w:val="20"/>
                <w:szCs w:val="20"/>
              </w:rPr>
              <w:t>1</w:t>
            </w:r>
          </w:p>
        </w:tc>
        <w:tc>
          <w:tcPr>
            <w:tcW w:w="1170" w:type="dxa"/>
            <w:shd w:val="clear" w:color="auto" w:fill="FFFFFF" w:themeFill="background1"/>
            <w:vAlign w:val="center"/>
            <w:hideMark/>
          </w:tcPr>
          <w:p w:rsidR="008316F9" w:rsidRPr="00990D06" w:rsidP="008316F9" w14:paraId="6BA2B3DA" w14:textId="431644D0">
            <w:pPr>
              <w:spacing w:after="0"/>
              <w:jc w:val="center"/>
              <w:rPr>
                <w:rFonts w:eastAsia="Times New Roman" w:asciiTheme="minorHAnsi" w:hAnsiTheme="minorHAnsi" w:cstheme="minorHAnsi"/>
                <w:color w:val="000000"/>
                <w:sz w:val="20"/>
                <w:szCs w:val="20"/>
              </w:rPr>
            </w:pPr>
            <w:r w:rsidRPr="008316F9">
              <w:rPr>
                <w:bCs/>
                <w:color w:val="000000"/>
                <w:sz w:val="20"/>
                <w:szCs w:val="20"/>
              </w:rPr>
              <w:t>8</w:t>
            </w:r>
          </w:p>
        </w:tc>
        <w:tc>
          <w:tcPr>
            <w:tcW w:w="1017" w:type="dxa"/>
            <w:shd w:val="clear" w:color="auto" w:fill="FFFFFF" w:themeFill="background1"/>
            <w:vAlign w:val="center"/>
            <w:hideMark/>
          </w:tcPr>
          <w:p w:rsidR="008316F9" w:rsidRPr="00990D06" w:rsidP="008316F9" w14:paraId="5BDAA2F6" w14:textId="5CD7C6F5">
            <w:pPr>
              <w:spacing w:after="0"/>
              <w:jc w:val="center"/>
              <w:rPr>
                <w:rFonts w:eastAsia="Times New Roman" w:asciiTheme="minorHAnsi" w:hAnsiTheme="minorHAnsi" w:cstheme="minorHAnsi"/>
                <w:color w:val="000000"/>
                <w:sz w:val="20"/>
                <w:szCs w:val="20"/>
              </w:rPr>
            </w:pPr>
            <w:r w:rsidRPr="008316F9">
              <w:rPr>
                <w:bCs/>
                <w:color w:val="000000"/>
                <w:sz w:val="20"/>
                <w:szCs w:val="20"/>
              </w:rPr>
              <w:t>3</w:t>
            </w:r>
          </w:p>
        </w:tc>
        <w:tc>
          <w:tcPr>
            <w:tcW w:w="873" w:type="dxa"/>
            <w:shd w:val="clear" w:color="auto" w:fill="FFFFFF" w:themeFill="background1"/>
            <w:vAlign w:val="center"/>
            <w:hideMark/>
          </w:tcPr>
          <w:p w:rsidR="008316F9" w:rsidRPr="00990D06" w:rsidP="008316F9" w14:paraId="6DAA9F71" w14:textId="4690FA56">
            <w:pPr>
              <w:spacing w:after="0"/>
              <w:jc w:val="center"/>
              <w:rPr>
                <w:rFonts w:eastAsia="Times New Roman" w:asciiTheme="minorHAnsi" w:hAnsiTheme="minorHAnsi" w:cstheme="minorHAnsi"/>
                <w:color w:val="000000"/>
                <w:sz w:val="20"/>
                <w:szCs w:val="20"/>
              </w:rPr>
            </w:pPr>
            <w:r w:rsidRPr="008316F9">
              <w:rPr>
                <w:color w:val="000000"/>
                <w:sz w:val="20"/>
                <w:szCs w:val="20"/>
              </w:rPr>
              <w:t>24</w:t>
            </w:r>
          </w:p>
        </w:tc>
        <w:tc>
          <w:tcPr>
            <w:tcW w:w="923" w:type="dxa"/>
            <w:shd w:val="clear" w:color="auto" w:fill="FFFFFF" w:themeFill="background1"/>
            <w:vAlign w:val="center"/>
            <w:hideMark/>
          </w:tcPr>
          <w:p w:rsidR="008316F9" w:rsidRPr="00990D06" w:rsidP="008316F9" w14:paraId="45B3975B" w14:textId="3B3FD16A">
            <w:pPr>
              <w:spacing w:after="0"/>
              <w:jc w:val="right"/>
              <w:rPr>
                <w:rFonts w:eastAsia="Times New Roman" w:asciiTheme="minorHAnsi" w:hAnsiTheme="minorHAnsi" w:cstheme="minorHAnsi"/>
                <w:color w:val="000000"/>
                <w:sz w:val="20"/>
                <w:szCs w:val="20"/>
              </w:rPr>
            </w:pPr>
            <w:r w:rsidRPr="008316F9">
              <w:rPr>
                <w:color w:val="000000"/>
                <w:sz w:val="20"/>
                <w:szCs w:val="20"/>
              </w:rPr>
              <w:t xml:space="preserve">$48.35 </w:t>
            </w:r>
          </w:p>
        </w:tc>
        <w:tc>
          <w:tcPr>
            <w:tcW w:w="1260" w:type="dxa"/>
            <w:shd w:val="clear" w:color="auto" w:fill="FFFFFF" w:themeFill="background1"/>
            <w:vAlign w:val="center"/>
            <w:hideMark/>
          </w:tcPr>
          <w:p w:rsidR="008316F9" w:rsidRPr="00990D06" w:rsidP="008316F9" w14:paraId="15C247B7" w14:textId="494233DC">
            <w:pPr>
              <w:spacing w:after="0"/>
              <w:jc w:val="right"/>
              <w:rPr>
                <w:rFonts w:eastAsia="Times New Roman" w:asciiTheme="minorHAnsi" w:hAnsiTheme="minorHAnsi" w:cstheme="minorHAnsi"/>
                <w:color w:val="000000"/>
                <w:sz w:val="20"/>
                <w:szCs w:val="20"/>
              </w:rPr>
            </w:pPr>
            <w:r w:rsidRPr="008316F9">
              <w:rPr>
                <w:color w:val="000000"/>
                <w:sz w:val="20"/>
                <w:szCs w:val="20"/>
              </w:rPr>
              <w:t xml:space="preserve">$1,160.40 </w:t>
            </w:r>
          </w:p>
        </w:tc>
      </w:tr>
      <w:tr w14:paraId="57473F95" w14:textId="77777777" w:rsidTr="008316F9">
        <w:tblPrEx>
          <w:tblW w:w="9355" w:type="dxa"/>
          <w:tblLayout w:type="fixed"/>
          <w:tblLook w:val="04A0"/>
        </w:tblPrEx>
        <w:trPr>
          <w:trHeight w:val="288"/>
        </w:trPr>
        <w:tc>
          <w:tcPr>
            <w:tcW w:w="1525" w:type="dxa"/>
            <w:shd w:val="clear" w:color="auto" w:fill="auto"/>
            <w:vAlign w:val="center"/>
            <w:hideMark/>
          </w:tcPr>
          <w:p w:rsidR="008316F9" w:rsidRPr="00990D06" w:rsidP="008316F9" w14:paraId="6D810613" w14:textId="2CF89CAB">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FFFFFF" w:themeFill="background1"/>
            <w:vAlign w:val="center"/>
            <w:hideMark/>
          </w:tcPr>
          <w:p w:rsidR="008316F9" w:rsidRPr="00990D06" w:rsidP="008316F9" w14:paraId="09D2F74C" w14:textId="37A17798">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1281" w:type="dxa"/>
            <w:shd w:val="clear" w:color="auto" w:fill="FFFFFF" w:themeFill="background1"/>
            <w:vAlign w:val="center"/>
            <w:hideMark/>
          </w:tcPr>
          <w:p w:rsidR="008316F9" w:rsidRPr="00990D06" w:rsidP="008316F9" w14:paraId="7D65E3C4" w14:textId="69A53E5B">
            <w:pPr>
              <w:spacing w:after="0"/>
              <w:jc w:val="center"/>
              <w:rPr>
                <w:rFonts w:eastAsia="Times New Roman" w:asciiTheme="minorHAnsi" w:hAnsiTheme="minorHAnsi" w:cstheme="minorHAnsi"/>
                <w:color w:val="000000"/>
                <w:sz w:val="20"/>
                <w:szCs w:val="20"/>
              </w:rPr>
            </w:pPr>
            <w:r w:rsidRPr="008316F9">
              <w:rPr>
                <w:bCs/>
                <w:color w:val="000000"/>
                <w:sz w:val="20"/>
                <w:szCs w:val="20"/>
              </w:rPr>
              <w:t>1</w:t>
            </w:r>
          </w:p>
        </w:tc>
        <w:tc>
          <w:tcPr>
            <w:tcW w:w="1170" w:type="dxa"/>
            <w:shd w:val="clear" w:color="auto" w:fill="FFFFFF" w:themeFill="background1"/>
            <w:vAlign w:val="center"/>
            <w:hideMark/>
          </w:tcPr>
          <w:p w:rsidR="008316F9" w:rsidRPr="00990D06" w:rsidP="008316F9" w14:paraId="48DFC925" w14:textId="1926BBC9">
            <w:pPr>
              <w:spacing w:after="0"/>
              <w:jc w:val="center"/>
              <w:rPr>
                <w:rFonts w:eastAsia="Times New Roman" w:asciiTheme="minorHAnsi" w:hAnsiTheme="minorHAnsi" w:cstheme="minorHAnsi"/>
                <w:color w:val="000000"/>
                <w:sz w:val="20"/>
                <w:szCs w:val="20"/>
              </w:rPr>
            </w:pPr>
            <w:r w:rsidRPr="008316F9">
              <w:rPr>
                <w:bCs/>
                <w:color w:val="000000"/>
                <w:sz w:val="20"/>
                <w:szCs w:val="20"/>
              </w:rPr>
              <w:t>8</w:t>
            </w:r>
          </w:p>
        </w:tc>
        <w:tc>
          <w:tcPr>
            <w:tcW w:w="1017" w:type="dxa"/>
            <w:shd w:val="clear" w:color="auto" w:fill="FFFFFF" w:themeFill="background1"/>
            <w:vAlign w:val="center"/>
            <w:hideMark/>
          </w:tcPr>
          <w:p w:rsidR="008316F9" w:rsidRPr="00990D06" w:rsidP="008316F9" w14:paraId="4C345C7E" w14:textId="329C87F0">
            <w:pPr>
              <w:spacing w:after="0"/>
              <w:jc w:val="center"/>
              <w:rPr>
                <w:rFonts w:eastAsia="Times New Roman" w:asciiTheme="minorHAnsi" w:hAnsiTheme="minorHAnsi" w:cstheme="minorHAnsi"/>
                <w:color w:val="000000"/>
                <w:sz w:val="20"/>
                <w:szCs w:val="20"/>
              </w:rPr>
            </w:pPr>
            <w:r w:rsidRPr="008316F9">
              <w:rPr>
                <w:bCs/>
                <w:color w:val="000000"/>
                <w:sz w:val="20"/>
                <w:szCs w:val="20"/>
              </w:rPr>
              <w:t>1</w:t>
            </w:r>
          </w:p>
        </w:tc>
        <w:tc>
          <w:tcPr>
            <w:tcW w:w="873" w:type="dxa"/>
            <w:shd w:val="clear" w:color="auto" w:fill="FFFFFF" w:themeFill="background1"/>
            <w:vAlign w:val="center"/>
            <w:hideMark/>
          </w:tcPr>
          <w:p w:rsidR="008316F9" w:rsidRPr="00990D06" w:rsidP="008316F9" w14:paraId="0FCD35A1" w14:textId="3E4A2245">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923" w:type="dxa"/>
            <w:shd w:val="clear" w:color="auto" w:fill="FFFFFF" w:themeFill="background1"/>
            <w:vAlign w:val="center"/>
            <w:hideMark/>
          </w:tcPr>
          <w:p w:rsidR="008316F9" w:rsidRPr="00990D06" w:rsidP="008316F9" w14:paraId="4E8F0B86" w14:textId="64DCBA05">
            <w:pPr>
              <w:spacing w:after="0"/>
              <w:jc w:val="right"/>
              <w:rPr>
                <w:rFonts w:eastAsia="Times New Roman" w:asciiTheme="minorHAnsi" w:hAnsiTheme="minorHAnsi" w:cstheme="minorHAnsi"/>
                <w:color w:val="000000"/>
                <w:sz w:val="20"/>
                <w:szCs w:val="20"/>
              </w:rPr>
            </w:pPr>
            <w:r w:rsidRPr="008316F9">
              <w:rPr>
                <w:bCs/>
                <w:color w:val="000000"/>
                <w:sz w:val="20"/>
                <w:szCs w:val="20"/>
              </w:rPr>
              <w:t xml:space="preserve">$48.35 </w:t>
            </w:r>
          </w:p>
        </w:tc>
        <w:tc>
          <w:tcPr>
            <w:tcW w:w="1260" w:type="dxa"/>
            <w:shd w:val="clear" w:color="auto" w:fill="FFFFFF" w:themeFill="background1"/>
            <w:vAlign w:val="center"/>
            <w:hideMark/>
          </w:tcPr>
          <w:p w:rsidR="008316F9" w:rsidRPr="00990D06" w:rsidP="008316F9" w14:paraId="60B9E9B2" w14:textId="647D2EE3">
            <w:pPr>
              <w:spacing w:after="0"/>
              <w:jc w:val="right"/>
              <w:rPr>
                <w:rFonts w:eastAsia="Times New Roman" w:asciiTheme="minorHAnsi" w:hAnsiTheme="minorHAnsi" w:cstheme="minorHAnsi"/>
                <w:color w:val="000000"/>
                <w:sz w:val="20"/>
                <w:szCs w:val="20"/>
              </w:rPr>
            </w:pPr>
            <w:r w:rsidRPr="008316F9">
              <w:rPr>
                <w:color w:val="000000"/>
                <w:sz w:val="20"/>
                <w:szCs w:val="20"/>
              </w:rPr>
              <w:t xml:space="preserve">$386.80 </w:t>
            </w:r>
          </w:p>
        </w:tc>
      </w:tr>
      <w:tr w14:paraId="56B91171" w14:textId="77777777" w:rsidTr="008316F9">
        <w:tblPrEx>
          <w:tblW w:w="9355" w:type="dxa"/>
          <w:tblLayout w:type="fixed"/>
          <w:tblLook w:val="04A0"/>
        </w:tblPrEx>
        <w:trPr>
          <w:trHeight w:val="288"/>
        </w:trPr>
        <w:tc>
          <w:tcPr>
            <w:tcW w:w="1525" w:type="dxa"/>
            <w:shd w:val="clear" w:color="auto" w:fill="auto"/>
            <w:vAlign w:val="center"/>
            <w:hideMark/>
          </w:tcPr>
          <w:p w:rsidR="008316F9" w:rsidRPr="00990D06" w:rsidP="008316F9" w14:paraId="635F22E0" w14:textId="6744241F">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FFFFFF" w:themeFill="background1"/>
            <w:vAlign w:val="center"/>
            <w:hideMark/>
          </w:tcPr>
          <w:p w:rsidR="008316F9" w:rsidRPr="00990D06" w:rsidP="008316F9" w14:paraId="53C9CCDB" w14:textId="13E7D64A">
            <w:pPr>
              <w:spacing w:after="0"/>
              <w:jc w:val="center"/>
              <w:rPr>
                <w:rFonts w:eastAsia="Times New Roman" w:asciiTheme="minorHAnsi" w:hAnsiTheme="minorHAnsi" w:cstheme="minorHAnsi"/>
                <w:color w:val="000000"/>
                <w:sz w:val="20"/>
                <w:szCs w:val="20"/>
              </w:rPr>
            </w:pPr>
            <w:r w:rsidRPr="008316F9">
              <w:rPr>
                <w:color w:val="000000"/>
                <w:sz w:val="20"/>
                <w:szCs w:val="20"/>
              </w:rPr>
              <w:t>8</w:t>
            </w:r>
          </w:p>
        </w:tc>
        <w:tc>
          <w:tcPr>
            <w:tcW w:w="1281" w:type="dxa"/>
            <w:shd w:val="clear" w:color="auto" w:fill="FFFFFF" w:themeFill="background1"/>
            <w:vAlign w:val="center"/>
            <w:hideMark/>
          </w:tcPr>
          <w:p w:rsidR="008316F9" w:rsidRPr="00990D06" w:rsidP="008316F9" w14:paraId="7FC4D375" w14:textId="6FB45819">
            <w:pPr>
              <w:spacing w:after="0"/>
              <w:jc w:val="center"/>
              <w:rPr>
                <w:rFonts w:eastAsia="Times New Roman" w:asciiTheme="minorHAnsi" w:hAnsiTheme="minorHAnsi" w:cstheme="minorHAnsi"/>
                <w:color w:val="000000"/>
                <w:sz w:val="20"/>
                <w:szCs w:val="20"/>
              </w:rPr>
            </w:pPr>
            <w:r w:rsidRPr="008316F9">
              <w:rPr>
                <w:bCs/>
                <w:color w:val="000000"/>
                <w:sz w:val="20"/>
                <w:szCs w:val="20"/>
              </w:rPr>
              <w:t>4</w:t>
            </w:r>
          </w:p>
        </w:tc>
        <w:tc>
          <w:tcPr>
            <w:tcW w:w="1170" w:type="dxa"/>
            <w:shd w:val="clear" w:color="auto" w:fill="FFFFFF" w:themeFill="background1"/>
            <w:vAlign w:val="center"/>
            <w:hideMark/>
          </w:tcPr>
          <w:p w:rsidR="008316F9" w:rsidRPr="00990D06" w:rsidP="008316F9" w14:paraId="3CF130E8" w14:textId="6D4666C8">
            <w:pPr>
              <w:spacing w:after="0"/>
              <w:jc w:val="center"/>
              <w:rPr>
                <w:rFonts w:eastAsia="Times New Roman" w:asciiTheme="minorHAnsi" w:hAnsiTheme="minorHAnsi" w:cstheme="minorHAnsi"/>
                <w:color w:val="000000"/>
                <w:sz w:val="20"/>
                <w:szCs w:val="20"/>
              </w:rPr>
            </w:pPr>
            <w:r w:rsidRPr="008316F9">
              <w:rPr>
                <w:color w:val="000000"/>
                <w:sz w:val="20"/>
                <w:szCs w:val="20"/>
              </w:rPr>
              <w:t>32</w:t>
            </w:r>
          </w:p>
        </w:tc>
        <w:tc>
          <w:tcPr>
            <w:tcW w:w="1017" w:type="dxa"/>
            <w:shd w:val="clear" w:color="auto" w:fill="FFFFFF" w:themeFill="background1"/>
            <w:vAlign w:val="center"/>
            <w:hideMark/>
          </w:tcPr>
          <w:p w:rsidR="008316F9" w:rsidRPr="00990D06" w:rsidP="008316F9" w14:paraId="0BEE026F" w14:textId="358DACF4">
            <w:pPr>
              <w:spacing w:after="0"/>
              <w:jc w:val="center"/>
              <w:rPr>
                <w:rFonts w:eastAsia="Times New Roman" w:asciiTheme="minorHAnsi" w:hAnsiTheme="minorHAnsi" w:cstheme="minorHAnsi"/>
                <w:color w:val="000000"/>
                <w:sz w:val="20"/>
                <w:szCs w:val="20"/>
              </w:rPr>
            </w:pPr>
            <w:r w:rsidRPr="008316F9">
              <w:rPr>
                <w:bCs/>
                <w:color w:val="000000"/>
                <w:sz w:val="20"/>
                <w:szCs w:val="20"/>
              </w:rPr>
              <w:t>2</w:t>
            </w:r>
          </w:p>
        </w:tc>
        <w:tc>
          <w:tcPr>
            <w:tcW w:w="873" w:type="dxa"/>
            <w:shd w:val="clear" w:color="auto" w:fill="FFFFFF" w:themeFill="background1"/>
            <w:vAlign w:val="center"/>
            <w:hideMark/>
          </w:tcPr>
          <w:p w:rsidR="008316F9" w:rsidRPr="00990D06" w:rsidP="008316F9" w14:paraId="44E0211C" w14:textId="46BC943F">
            <w:pPr>
              <w:spacing w:after="0"/>
              <w:jc w:val="center"/>
              <w:rPr>
                <w:rFonts w:eastAsia="Times New Roman" w:asciiTheme="minorHAnsi" w:hAnsiTheme="minorHAnsi" w:cstheme="minorHAnsi"/>
                <w:color w:val="000000"/>
                <w:sz w:val="20"/>
                <w:szCs w:val="20"/>
              </w:rPr>
            </w:pPr>
            <w:r w:rsidRPr="008316F9">
              <w:rPr>
                <w:color w:val="000000"/>
                <w:sz w:val="20"/>
                <w:szCs w:val="20"/>
              </w:rPr>
              <w:t>64</w:t>
            </w:r>
          </w:p>
        </w:tc>
        <w:tc>
          <w:tcPr>
            <w:tcW w:w="923" w:type="dxa"/>
            <w:shd w:val="clear" w:color="auto" w:fill="FFFFFF" w:themeFill="background1"/>
            <w:vAlign w:val="center"/>
            <w:hideMark/>
          </w:tcPr>
          <w:p w:rsidR="008316F9" w:rsidRPr="00990D06" w:rsidP="008316F9" w14:paraId="6562FF45" w14:textId="733B0897">
            <w:pPr>
              <w:spacing w:after="0"/>
              <w:jc w:val="right"/>
              <w:rPr>
                <w:rFonts w:eastAsia="Times New Roman" w:asciiTheme="minorHAnsi" w:hAnsiTheme="minorHAnsi" w:cstheme="minorHAnsi"/>
                <w:color w:val="000000"/>
                <w:sz w:val="20"/>
                <w:szCs w:val="20"/>
              </w:rPr>
            </w:pPr>
            <w:r w:rsidRPr="008316F9">
              <w:rPr>
                <w:bCs/>
                <w:color w:val="000000"/>
                <w:sz w:val="20"/>
                <w:szCs w:val="20"/>
              </w:rPr>
              <w:t xml:space="preserve">$48.35 </w:t>
            </w:r>
          </w:p>
        </w:tc>
        <w:tc>
          <w:tcPr>
            <w:tcW w:w="1260" w:type="dxa"/>
            <w:shd w:val="clear" w:color="auto" w:fill="FFFFFF" w:themeFill="background1"/>
            <w:vAlign w:val="center"/>
            <w:hideMark/>
          </w:tcPr>
          <w:p w:rsidR="008316F9" w:rsidRPr="00990D06" w:rsidP="008316F9" w14:paraId="21E7DA94" w14:textId="44731570">
            <w:pPr>
              <w:spacing w:after="0"/>
              <w:jc w:val="right"/>
              <w:rPr>
                <w:rFonts w:eastAsia="Times New Roman" w:asciiTheme="minorHAnsi" w:hAnsiTheme="minorHAnsi" w:cstheme="minorHAnsi"/>
                <w:color w:val="000000"/>
                <w:sz w:val="20"/>
                <w:szCs w:val="20"/>
              </w:rPr>
            </w:pPr>
            <w:r w:rsidRPr="008316F9">
              <w:rPr>
                <w:color w:val="000000"/>
                <w:sz w:val="20"/>
                <w:szCs w:val="20"/>
              </w:rPr>
              <w:t xml:space="preserve">$3,094.40 </w:t>
            </w:r>
          </w:p>
        </w:tc>
      </w:tr>
      <w:tr w14:paraId="1D785E8B" w14:textId="77777777" w:rsidTr="00856432">
        <w:tblPrEx>
          <w:tblW w:w="9355" w:type="dxa"/>
          <w:tblLayout w:type="fixed"/>
          <w:tblLook w:val="04A0"/>
        </w:tblPrEx>
        <w:trPr>
          <w:trHeight w:val="288"/>
        </w:trPr>
        <w:tc>
          <w:tcPr>
            <w:tcW w:w="1525" w:type="dxa"/>
            <w:shd w:val="clear" w:color="auto" w:fill="auto"/>
            <w:vAlign w:val="center"/>
            <w:hideMark/>
          </w:tcPr>
          <w:p w:rsidR="008316F9" w:rsidRPr="00990D06" w:rsidP="00856432" w14:paraId="14DF064D"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FFFFFF" w:themeFill="background1"/>
            <w:vAlign w:val="center"/>
            <w:hideMark/>
          </w:tcPr>
          <w:p w:rsidR="008316F9" w:rsidRPr="00990D06" w:rsidP="00856432" w14:paraId="4B01812D" w14:textId="3C2EF3CF">
            <w:pPr>
              <w:spacing w:after="0"/>
              <w:jc w:val="center"/>
              <w:rPr>
                <w:rFonts w:eastAsia="Times New Roman" w:asciiTheme="minorHAnsi" w:hAnsiTheme="minorHAnsi" w:cstheme="minorHAnsi"/>
                <w:b/>
                <w:bCs/>
                <w:color w:val="000000"/>
                <w:sz w:val="20"/>
                <w:szCs w:val="20"/>
              </w:rPr>
            </w:pPr>
            <w:r w:rsidRPr="007E4CDF">
              <w:rPr>
                <w:b/>
                <w:bCs/>
                <w:color w:val="000000"/>
                <w:sz w:val="20"/>
                <w:szCs w:val="20"/>
              </w:rPr>
              <w:t>8</w:t>
            </w:r>
          </w:p>
        </w:tc>
        <w:tc>
          <w:tcPr>
            <w:tcW w:w="1281" w:type="dxa"/>
            <w:shd w:val="clear" w:color="auto" w:fill="FFFFFF" w:themeFill="background1"/>
            <w:noWrap/>
            <w:vAlign w:val="center"/>
            <w:hideMark/>
          </w:tcPr>
          <w:p w:rsidR="008316F9" w:rsidRPr="00990D06" w:rsidP="00856432" w14:paraId="13C586F3" w14:textId="33118E2E">
            <w:pPr>
              <w:spacing w:after="0"/>
              <w:jc w:val="center"/>
              <w:rPr>
                <w:rFonts w:eastAsia="Times New Roman" w:asciiTheme="minorHAnsi" w:hAnsiTheme="minorHAnsi" w:cstheme="minorHAnsi"/>
                <w:b/>
                <w:bCs/>
                <w:color w:val="000000"/>
                <w:sz w:val="20"/>
                <w:szCs w:val="20"/>
              </w:rPr>
            </w:pPr>
            <w:r w:rsidRPr="007E4CDF">
              <w:rPr>
                <w:b/>
                <w:bCs/>
                <w:color w:val="000000"/>
                <w:sz w:val="20"/>
                <w:szCs w:val="20"/>
              </w:rPr>
              <w:t>7</w:t>
            </w:r>
          </w:p>
        </w:tc>
        <w:tc>
          <w:tcPr>
            <w:tcW w:w="1170" w:type="dxa"/>
            <w:shd w:val="clear" w:color="auto" w:fill="FFFFFF" w:themeFill="background1"/>
            <w:noWrap/>
            <w:vAlign w:val="center"/>
            <w:hideMark/>
          </w:tcPr>
          <w:p w:rsidR="008316F9" w:rsidRPr="00990D06" w:rsidP="00856432" w14:paraId="1BD6C576" w14:textId="5C5AA259">
            <w:pPr>
              <w:spacing w:after="0"/>
              <w:jc w:val="center"/>
              <w:rPr>
                <w:rFonts w:eastAsia="Times New Roman" w:asciiTheme="minorHAnsi" w:hAnsiTheme="minorHAnsi" w:cstheme="minorHAnsi"/>
                <w:b/>
                <w:bCs/>
                <w:color w:val="000000"/>
                <w:sz w:val="20"/>
                <w:szCs w:val="20"/>
              </w:rPr>
            </w:pPr>
            <w:r w:rsidRPr="00BA6E74">
              <w:rPr>
                <w:b/>
                <w:bCs/>
                <w:color w:val="FF0000"/>
                <w:sz w:val="20"/>
                <w:szCs w:val="20"/>
              </w:rPr>
              <w:t>56</w:t>
            </w:r>
          </w:p>
        </w:tc>
        <w:tc>
          <w:tcPr>
            <w:tcW w:w="1017" w:type="dxa"/>
            <w:shd w:val="clear" w:color="auto" w:fill="FFFFFF" w:themeFill="background1"/>
            <w:noWrap/>
            <w:vAlign w:val="center"/>
            <w:hideMark/>
          </w:tcPr>
          <w:p w:rsidR="008316F9" w:rsidRPr="00990D06" w:rsidP="00856432" w14:paraId="196207A7" w14:textId="3061ADB1">
            <w:pPr>
              <w:spacing w:after="0"/>
              <w:jc w:val="center"/>
              <w:rPr>
                <w:rFonts w:eastAsia="Times New Roman" w:asciiTheme="minorHAnsi" w:hAnsiTheme="minorHAnsi" w:cstheme="minorHAnsi"/>
                <w:b/>
                <w:bCs/>
                <w:color w:val="000000"/>
                <w:sz w:val="20"/>
                <w:szCs w:val="20"/>
              </w:rPr>
            </w:pPr>
            <w:r>
              <w:rPr>
                <w:b/>
                <w:bCs/>
                <w:color w:val="000000"/>
                <w:sz w:val="20"/>
                <w:szCs w:val="20"/>
              </w:rPr>
              <w:t>20</w:t>
            </w:r>
          </w:p>
        </w:tc>
        <w:tc>
          <w:tcPr>
            <w:tcW w:w="873" w:type="dxa"/>
            <w:shd w:val="clear" w:color="auto" w:fill="FFFFFF" w:themeFill="background1"/>
            <w:noWrap/>
            <w:vAlign w:val="center"/>
            <w:hideMark/>
          </w:tcPr>
          <w:p w:rsidR="008316F9" w:rsidRPr="00990D06" w:rsidP="00856432" w14:paraId="60CC4597" w14:textId="2E51243C">
            <w:pPr>
              <w:spacing w:after="0"/>
              <w:jc w:val="center"/>
              <w:rPr>
                <w:rFonts w:eastAsia="Times New Roman" w:asciiTheme="minorHAnsi" w:hAnsiTheme="minorHAnsi" w:cstheme="minorHAnsi"/>
                <w:b/>
                <w:bCs/>
                <w:color w:val="000000"/>
                <w:sz w:val="20"/>
                <w:szCs w:val="20"/>
              </w:rPr>
            </w:pPr>
            <w:r w:rsidRPr="00BA6E74">
              <w:rPr>
                <w:b/>
                <w:bCs/>
                <w:color w:val="FF0000"/>
                <w:sz w:val="20"/>
                <w:szCs w:val="20"/>
              </w:rPr>
              <w:t>208</w:t>
            </w:r>
          </w:p>
        </w:tc>
        <w:tc>
          <w:tcPr>
            <w:tcW w:w="923" w:type="dxa"/>
            <w:shd w:val="clear" w:color="auto" w:fill="FFFFFF" w:themeFill="background1"/>
            <w:noWrap/>
            <w:vAlign w:val="center"/>
            <w:hideMark/>
          </w:tcPr>
          <w:p w:rsidR="008316F9" w:rsidRPr="00990D06" w:rsidP="00856432" w14:paraId="1796AD57" w14:textId="4C5A6841">
            <w:pPr>
              <w:spacing w:after="0"/>
              <w:jc w:val="right"/>
              <w:rPr>
                <w:rFonts w:eastAsia="Times New Roman" w:asciiTheme="minorHAnsi" w:hAnsiTheme="minorHAnsi" w:cstheme="minorHAnsi"/>
                <w:b/>
                <w:bCs/>
                <w:color w:val="000000"/>
                <w:sz w:val="20"/>
                <w:szCs w:val="20"/>
              </w:rPr>
            </w:pPr>
            <w:r>
              <w:rPr>
                <w:b/>
                <w:bCs/>
                <w:color w:val="000000"/>
                <w:sz w:val="20"/>
                <w:szCs w:val="20"/>
              </w:rPr>
              <w:t>$</w:t>
            </w:r>
            <w:r w:rsidRPr="007E4CDF">
              <w:rPr>
                <w:b/>
                <w:bCs/>
                <w:color w:val="000000"/>
                <w:sz w:val="20"/>
                <w:szCs w:val="20"/>
              </w:rPr>
              <w:t>48.35</w:t>
            </w:r>
          </w:p>
        </w:tc>
        <w:tc>
          <w:tcPr>
            <w:tcW w:w="1260" w:type="dxa"/>
            <w:shd w:val="clear" w:color="auto" w:fill="FFFFFF" w:themeFill="background1"/>
            <w:noWrap/>
            <w:vAlign w:val="center"/>
            <w:hideMark/>
          </w:tcPr>
          <w:p w:rsidR="008316F9" w:rsidP="00856432" w14:paraId="6760D352" w14:textId="79E7EFD4">
            <w:pPr>
              <w:spacing w:after="0"/>
              <w:jc w:val="right"/>
              <w:rPr>
                <w:b/>
                <w:bCs/>
                <w:color w:val="000000"/>
                <w:sz w:val="20"/>
                <w:szCs w:val="20"/>
              </w:rPr>
            </w:pPr>
          </w:p>
          <w:p w:rsidR="009156A1" w:rsidRPr="00990D06" w:rsidP="00856432" w14:paraId="0A84A346" w14:textId="63EC08B6">
            <w:pPr>
              <w:spacing w:after="0"/>
              <w:jc w:val="right"/>
              <w:rPr>
                <w:rFonts w:eastAsia="Times New Roman" w:asciiTheme="minorHAnsi" w:hAnsiTheme="minorHAnsi" w:cstheme="minorHAnsi"/>
                <w:b/>
                <w:bCs/>
                <w:color w:val="000000"/>
                <w:sz w:val="20"/>
                <w:szCs w:val="20"/>
              </w:rPr>
            </w:pPr>
            <w:r>
              <w:rPr>
                <w:b/>
                <w:bCs/>
                <w:color w:val="000000"/>
                <w:sz w:val="20"/>
                <w:szCs w:val="20"/>
              </w:rPr>
              <w:t>$10,056.80</w:t>
            </w:r>
          </w:p>
        </w:tc>
      </w:tr>
    </w:tbl>
    <w:p w:rsidR="00C334B6" w:rsidRPr="000D4206" w:rsidP="00C334B6" w14:paraId="16777FE2" w14:textId="687BEC48">
      <w:pPr>
        <w:pStyle w:val="ExhibitNote1"/>
        <w:rPr>
          <w:rFonts w:cs="Times New Roman"/>
          <w:bCs/>
          <w:i/>
          <w:iCs/>
          <w:sz w:val="18"/>
          <w:szCs w:val="18"/>
        </w:rPr>
      </w:pPr>
      <w:r w:rsidRPr="000D4206">
        <w:rPr>
          <w:rFonts w:cs="Times New Roman"/>
          <w:i/>
          <w:iCs/>
          <w:sz w:val="18"/>
          <w:szCs w:val="18"/>
          <w:vertAlign w:val="superscript"/>
        </w:rPr>
        <w:t>1</w:t>
      </w:r>
      <w:r w:rsidR="003262D9">
        <w:rPr>
          <w:rFonts w:cs="Times New Roman"/>
          <w:bCs/>
          <w:i/>
          <w:iCs/>
          <w:sz w:val="18"/>
          <w:szCs w:val="18"/>
        </w:rPr>
        <w:t>Average h</w:t>
      </w:r>
      <w:r w:rsidR="00AD3733">
        <w:rPr>
          <w:rFonts w:cs="Times New Roman"/>
          <w:bCs/>
          <w:i/>
          <w:iCs/>
          <w:sz w:val="18"/>
          <w:szCs w:val="18"/>
        </w:rPr>
        <w:t>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781731" w:rsidRPr="009825F7" w:rsidP="003B3781" w14:paraId="41BB5ADC" w14:textId="6A8AEBA9">
      <w:pPr>
        <w:pStyle w:val="ExhibitTitle"/>
        <w:spacing w:before="240" w:after="60"/>
        <w:rPr>
          <w:rFonts w:cs="Times New Roman"/>
          <w:sz w:val="24"/>
          <w:szCs w:val="24"/>
        </w:rPr>
      </w:pPr>
      <w:r w:rsidRPr="009825F7">
        <w:rPr>
          <w:rFonts w:cs="Times New Roman"/>
          <w:sz w:val="24"/>
          <w:szCs w:val="24"/>
        </w:rPr>
        <w:t xml:space="preserve">Table 5. Estimates </w:t>
      </w:r>
      <w:r w:rsidR="009776E5">
        <w:rPr>
          <w:rFonts w:cs="Times New Roman"/>
          <w:sz w:val="24"/>
          <w:szCs w:val="24"/>
        </w:rPr>
        <w:t>of</w:t>
      </w:r>
      <w:r w:rsidRPr="009825F7">
        <w:rPr>
          <w:rFonts w:cs="Times New Roman"/>
          <w:sz w:val="24"/>
          <w:szCs w:val="24"/>
        </w:rPr>
        <w:t xml:space="preserve"> Annual Burden for MAI PT Data Collection: Year 2</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63997C3F" w14:textId="77777777" w:rsidTr="00AE4A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781731" w:rsidRPr="00990D06" w:rsidP="00AE4A83" w14:paraId="4B99765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781731" w:rsidRPr="00990D06" w:rsidP="00AE4A83" w14:paraId="595E18A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781731" w:rsidRPr="00990D06" w:rsidP="00AE4A83" w14:paraId="09E4ED8E"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781731" w:rsidRPr="00990D06" w:rsidP="00AE4A83" w14:paraId="2E7A121D"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781731" w:rsidRPr="00990D06" w:rsidP="00AE4A83" w14:paraId="1C15BED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781731" w:rsidRPr="00990D06" w:rsidP="00AE4A83" w14:paraId="09475C48"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781731" w:rsidRPr="00990D06" w:rsidP="00AE4A83" w14:paraId="11ABFAA5"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781731" w:rsidRPr="00990D06" w:rsidP="00AE4A83" w14:paraId="0DBB402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682C58C9"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563BC6" w14:paraId="124079CC"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auto"/>
            <w:vAlign w:val="center"/>
            <w:hideMark/>
          </w:tcPr>
          <w:p w:rsidR="00563BC6" w:rsidRPr="00990D06" w:rsidP="00563BC6" w14:paraId="4E8D32B8" w14:textId="7E14F001">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563BC6" w14:paraId="19DF8BBF" w14:textId="64959CC9">
            <w:pPr>
              <w:spacing w:after="0"/>
              <w:jc w:val="center"/>
              <w:rPr>
                <w:rFonts w:eastAsia="Times New Roman" w:asciiTheme="minorHAnsi" w:hAnsiTheme="minorHAnsi" w:cstheme="minorHAnsi"/>
                <w:color w:val="000000"/>
                <w:sz w:val="20"/>
                <w:szCs w:val="20"/>
              </w:rPr>
            </w:pPr>
            <w:r w:rsidRPr="00563BC6">
              <w:rPr>
                <w:bCs/>
                <w:color w:val="000000"/>
                <w:sz w:val="20"/>
                <w:szCs w:val="20"/>
              </w:rPr>
              <w:t>0</w:t>
            </w:r>
          </w:p>
        </w:tc>
        <w:tc>
          <w:tcPr>
            <w:tcW w:w="1170" w:type="dxa"/>
            <w:shd w:val="clear" w:color="auto" w:fill="auto"/>
            <w:vAlign w:val="center"/>
            <w:hideMark/>
          </w:tcPr>
          <w:p w:rsidR="00563BC6" w:rsidRPr="00990D06" w:rsidP="00563BC6" w14:paraId="3000DC21" w14:textId="2EAD2188">
            <w:pPr>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1017" w:type="dxa"/>
            <w:shd w:val="clear" w:color="auto" w:fill="auto"/>
            <w:vAlign w:val="center"/>
            <w:hideMark/>
          </w:tcPr>
          <w:p w:rsidR="00563BC6" w:rsidRPr="00990D06" w:rsidP="00563BC6" w14:paraId="2C09AB3E" w14:textId="51E896A5">
            <w:pPr>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auto"/>
            <w:vAlign w:val="center"/>
            <w:hideMark/>
          </w:tcPr>
          <w:p w:rsidR="00563BC6" w:rsidRPr="00990D06" w:rsidP="00563BC6" w14:paraId="09FB276B" w14:textId="6078DB5F">
            <w:pPr>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923" w:type="dxa"/>
            <w:shd w:val="clear" w:color="auto" w:fill="auto"/>
            <w:vAlign w:val="center"/>
            <w:hideMark/>
          </w:tcPr>
          <w:p w:rsidR="00563BC6" w:rsidRPr="00990D06" w:rsidP="00563BC6" w14:paraId="0323E8B3" w14:textId="5B432BC4">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563BC6" w14:paraId="13A2D0AE" w14:textId="1211C744">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$0.00 </w:t>
            </w:r>
          </w:p>
        </w:tc>
      </w:tr>
      <w:tr w14:paraId="7041F9CD"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563BC6" w14:paraId="085702FF"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auto"/>
            <w:vAlign w:val="center"/>
            <w:hideMark/>
          </w:tcPr>
          <w:p w:rsidR="00563BC6" w:rsidRPr="00990D06" w:rsidP="00563BC6" w14:paraId="0D1A9A4D" w14:textId="212568FF">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563BC6" w14:paraId="509E2F26" w14:textId="4B47081B">
            <w:pPr>
              <w:spacing w:after="0"/>
              <w:jc w:val="center"/>
              <w:rPr>
                <w:rFonts w:eastAsia="Times New Roman" w:asciiTheme="minorHAnsi" w:hAnsiTheme="minorHAnsi" w:cstheme="minorHAnsi"/>
                <w:color w:val="000000"/>
                <w:sz w:val="20"/>
                <w:szCs w:val="20"/>
              </w:rPr>
            </w:pPr>
            <w:r w:rsidRPr="00563BC6">
              <w:rPr>
                <w:color w:val="000000"/>
                <w:sz w:val="20"/>
                <w:szCs w:val="20"/>
              </w:rPr>
              <w:t>1</w:t>
            </w:r>
          </w:p>
        </w:tc>
        <w:tc>
          <w:tcPr>
            <w:tcW w:w="1170" w:type="dxa"/>
            <w:shd w:val="clear" w:color="auto" w:fill="auto"/>
            <w:vAlign w:val="center"/>
            <w:hideMark/>
          </w:tcPr>
          <w:p w:rsidR="00563BC6" w:rsidRPr="00990D06" w:rsidP="00563BC6" w14:paraId="5F83A0F7" w14:textId="7802334F">
            <w:pPr>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auto"/>
            <w:vAlign w:val="center"/>
            <w:hideMark/>
          </w:tcPr>
          <w:p w:rsidR="00563BC6" w:rsidRPr="00990D06" w:rsidP="00563BC6" w14:paraId="57C30D9A" w14:textId="058324E6">
            <w:pPr>
              <w:spacing w:after="0"/>
              <w:jc w:val="center"/>
              <w:rPr>
                <w:rFonts w:eastAsia="Times New Roman" w:asciiTheme="minorHAnsi" w:hAnsiTheme="minorHAnsi" w:cstheme="minorHAnsi"/>
                <w:color w:val="000000"/>
                <w:sz w:val="20"/>
                <w:szCs w:val="20"/>
              </w:rPr>
            </w:pPr>
            <w:r w:rsidRPr="00563BC6">
              <w:rPr>
                <w:bCs/>
                <w:color w:val="000000"/>
                <w:sz w:val="20"/>
                <w:szCs w:val="20"/>
              </w:rPr>
              <w:t>3</w:t>
            </w:r>
          </w:p>
        </w:tc>
        <w:tc>
          <w:tcPr>
            <w:tcW w:w="873" w:type="dxa"/>
            <w:shd w:val="clear" w:color="auto" w:fill="auto"/>
            <w:vAlign w:val="center"/>
            <w:hideMark/>
          </w:tcPr>
          <w:p w:rsidR="00563BC6" w:rsidRPr="00990D06" w:rsidP="00563BC6" w14:paraId="70EDC008" w14:textId="7C96CDA7">
            <w:pPr>
              <w:spacing w:after="0"/>
              <w:jc w:val="center"/>
              <w:rPr>
                <w:rFonts w:eastAsia="Times New Roman" w:asciiTheme="minorHAnsi" w:hAnsiTheme="minorHAnsi" w:cstheme="minorHAnsi"/>
                <w:color w:val="000000"/>
                <w:sz w:val="20"/>
                <w:szCs w:val="20"/>
              </w:rPr>
            </w:pPr>
            <w:r w:rsidRPr="00563BC6">
              <w:rPr>
                <w:color w:val="000000"/>
                <w:sz w:val="20"/>
                <w:szCs w:val="20"/>
              </w:rPr>
              <w:t>24</w:t>
            </w:r>
          </w:p>
        </w:tc>
        <w:tc>
          <w:tcPr>
            <w:tcW w:w="923" w:type="dxa"/>
            <w:shd w:val="clear" w:color="auto" w:fill="auto"/>
            <w:vAlign w:val="center"/>
            <w:hideMark/>
          </w:tcPr>
          <w:p w:rsidR="00563BC6" w:rsidRPr="00990D06" w:rsidP="00563BC6" w14:paraId="6BECF31B" w14:textId="37D8FD61">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$48.35 </w:t>
            </w:r>
          </w:p>
        </w:tc>
        <w:tc>
          <w:tcPr>
            <w:tcW w:w="1260" w:type="dxa"/>
            <w:shd w:val="clear" w:color="auto" w:fill="auto"/>
            <w:vAlign w:val="center"/>
            <w:hideMark/>
          </w:tcPr>
          <w:p w:rsidR="00563BC6" w:rsidRPr="00990D06" w:rsidP="00563BC6" w14:paraId="7C374AEA" w14:textId="4FE5BA97">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$1,160.40 </w:t>
            </w:r>
          </w:p>
        </w:tc>
      </w:tr>
      <w:tr w14:paraId="3F87029A"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563BC6" w14:paraId="2E1924FC"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auto"/>
            <w:vAlign w:val="center"/>
            <w:hideMark/>
          </w:tcPr>
          <w:p w:rsidR="00563BC6" w:rsidRPr="00990D06" w:rsidP="00563BC6" w14:paraId="15ACA699" w14:textId="5650C06A">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563BC6" w14:paraId="1B800743" w14:textId="5BCFD18C">
            <w:pPr>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1170" w:type="dxa"/>
            <w:shd w:val="clear" w:color="auto" w:fill="auto"/>
            <w:vAlign w:val="center"/>
            <w:hideMark/>
          </w:tcPr>
          <w:p w:rsidR="00563BC6" w:rsidRPr="00990D06" w:rsidP="00563BC6" w14:paraId="19A35A5A" w14:textId="6E17050F">
            <w:pPr>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auto"/>
            <w:vAlign w:val="center"/>
            <w:hideMark/>
          </w:tcPr>
          <w:p w:rsidR="00563BC6" w:rsidRPr="00990D06" w:rsidP="00563BC6" w14:paraId="2ACDED56" w14:textId="5B8BB6E6">
            <w:pPr>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873" w:type="dxa"/>
            <w:shd w:val="clear" w:color="auto" w:fill="auto"/>
            <w:vAlign w:val="center"/>
            <w:hideMark/>
          </w:tcPr>
          <w:p w:rsidR="00563BC6" w:rsidRPr="00990D06" w:rsidP="00563BC6" w14:paraId="3916D063" w14:textId="528A5A0B">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923" w:type="dxa"/>
            <w:shd w:val="clear" w:color="auto" w:fill="auto"/>
            <w:vAlign w:val="center"/>
            <w:hideMark/>
          </w:tcPr>
          <w:p w:rsidR="00563BC6" w:rsidRPr="00990D06" w:rsidP="00563BC6" w14:paraId="3B453F21" w14:textId="2EED9576">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563BC6" w14:paraId="6A93B4AB" w14:textId="63402CDF">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$386.80 </w:t>
            </w:r>
          </w:p>
        </w:tc>
      </w:tr>
      <w:tr w14:paraId="0DAE5A46"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563BC6" w14:paraId="397B98CD"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auto"/>
            <w:vAlign w:val="center"/>
            <w:hideMark/>
          </w:tcPr>
          <w:p w:rsidR="00563BC6" w:rsidRPr="00990D06" w:rsidP="00563BC6" w14:paraId="55A1B58E" w14:textId="7C2EEEA3">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563BC6" w14:paraId="37BEF48F" w14:textId="3F6F463D">
            <w:pPr>
              <w:spacing w:after="0"/>
              <w:jc w:val="center"/>
              <w:rPr>
                <w:rFonts w:eastAsia="Times New Roman" w:asciiTheme="minorHAnsi" w:hAnsiTheme="minorHAnsi" w:cstheme="minorHAnsi"/>
                <w:color w:val="000000"/>
                <w:sz w:val="20"/>
                <w:szCs w:val="20"/>
              </w:rPr>
            </w:pPr>
            <w:r w:rsidRPr="00563BC6">
              <w:rPr>
                <w:bCs/>
                <w:color w:val="000000"/>
                <w:sz w:val="20"/>
                <w:szCs w:val="20"/>
              </w:rPr>
              <w:t>4</w:t>
            </w:r>
          </w:p>
        </w:tc>
        <w:tc>
          <w:tcPr>
            <w:tcW w:w="1170" w:type="dxa"/>
            <w:shd w:val="clear" w:color="auto" w:fill="auto"/>
            <w:vAlign w:val="center"/>
            <w:hideMark/>
          </w:tcPr>
          <w:p w:rsidR="00563BC6" w:rsidRPr="00990D06" w:rsidP="00563BC6" w14:paraId="33B8E1F9" w14:textId="6329406C">
            <w:pPr>
              <w:spacing w:after="0"/>
              <w:jc w:val="center"/>
              <w:rPr>
                <w:rFonts w:eastAsia="Times New Roman" w:asciiTheme="minorHAnsi" w:hAnsiTheme="minorHAnsi" w:cstheme="minorHAnsi"/>
                <w:color w:val="000000"/>
                <w:sz w:val="20"/>
                <w:szCs w:val="20"/>
              </w:rPr>
            </w:pPr>
            <w:r w:rsidRPr="00563BC6">
              <w:rPr>
                <w:color w:val="000000"/>
                <w:sz w:val="20"/>
                <w:szCs w:val="20"/>
              </w:rPr>
              <w:t>32</w:t>
            </w:r>
          </w:p>
        </w:tc>
        <w:tc>
          <w:tcPr>
            <w:tcW w:w="1017" w:type="dxa"/>
            <w:shd w:val="clear" w:color="auto" w:fill="auto"/>
            <w:vAlign w:val="center"/>
            <w:hideMark/>
          </w:tcPr>
          <w:p w:rsidR="00563BC6" w:rsidRPr="00990D06" w:rsidP="00563BC6" w14:paraId="56C1E6FF" w14:textId="56D3EA33">
            <w:pPr>
              <w:spacing w:after="0"/>
              <w:jc w:val="center"/>
              <w:rPr>
                <w:rFonts w:eastAsia="Times New Roman" w:asciiTheme="minorHAnsi" w:hAnsiTheme="minorHAnsi" w:cstheme="minorHAnsi"/>
                <w:color w:val="000000"/>
                <w:sz w:val="20"/>
                <w:szCs w:val="20"/>
              </w:rPr>
            </w:pPr>
            <w:r w:rsidRPr="00563BC6">
              <w:rPr>
                <w:bCs/>
                <w:color w:val="000000"/>
                <w:sz w:val="20"/>
                <w:szCs w:val="20"/>
              </w:rPr>
              <w:t>2</w:t>
            </w:r>
          </w:p>
        </w:tc>
        <w:tc>
          <w:tcPr>
            <w:tcW w:w="873" w:type="dxa"/>
            <w:shd w:val="clear" w:color="auto" w:fill="auto"/>
            <w:vAlign w:val="center"/>
            <w:hideMark/>
          </w:tcPr>
          <w:p w:rsidR="00563BC6" w:rsidRPr="00990D06" w:rsidP="00563BC6" w14:paraId="67C7A0CC" w14:textId="32120B92">
            <w:pPr>
              <w:spacing w:after="0"/>
              <w:jc w:val="center"/>
              <w:rPr>
                <w:rFonts w:eastAsia="Times New Roman" w:asciiTheme="minorHAnsi" w:hAnsiTheme="minorHAnsi" w:cstheme="minorHAnsi"/>
                <w:color w:val="000000"/>
                <w:sz w:val="20"/>
                <w:szCs w:val="20"/>
              </w:rPr>
            </w:pPr>
            <w:r w:rsidRPr="00563BC6">
              <w:rPr>
                <w:color w:val="000000"/>
                <w:sz w:val="20"/>
                <w:szCs w:val="20"/>
              </w:rPr>
              <w:t>64</w:t>
            </w:r>
          </w:p>
        </w:tc>
        <w:tc>
          <w:tcPr>
            <w:tcW w:w="923" w:type="dxa"/>
            <w:shd w:val="clear" w:color="auto" w:fill="auto"/>
            <w:vAlign w:val="center"/>
            <w:hideMark/>
          </w:tcPr>
          <w:p w:rsidR="00563BC6" w:rsidRPr="00990D06" w:rsidP="00563BC6" w14:paraId="70709BFB" w14:textId="764A178E">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563BC6" w14:paraId="2B1CDF46" w14:textId="45451FB0">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$3,094.40 </w:t>
            </w:r>
          </w:p>
        </w:tc>
      </w:tr>
      <w:tr w14:paraId="1DAF1ABF" w14:textId="77777777" w:rsidTr="00054F66">
        <w:tblPrEx>
          <w:tblW w:w="9355" w:type="dxa"/>
          <w:tblLayout w:type="fixed"/>
          <w:tblLook w:val="04A0"/>
        </w:tblPrEx>
        <w:trPr>
          <w:trHeight w:val="288"/>
        </w:trPr>
        <w:tc>
          <w:tcPr>
            <w:tcW w:w="1525" w:type="dxa"/>
            <w:shd w:val="clear" w:color="auto" w:fill="auto"/>
            <w:vAlign w:val="center"/>
            <w:hideMark/>
          </w:tcPr>
          <w:p w:rsidR="00563BC6" w:rsidRPr="00990D06" w:rsidP="00563BC6" w14:paraId="74C9DABC"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auto"/>
            <w:vAlign w:val="center"/>
            <w:hideMark/>
          </w:tcPr>
          <w:p w:rsidR="00563BC6" w:rsidRPr="00990D06" w:rsidP="00054F66" w14:paraId="7ED95E0C" w14:textId="561FDA70">
            <w:pPr>
              <w:spacing w:after="0"/>
              <w:jc w:val="center"/>
              <w:rPr>
                <w:rFonts w:eastAsia="Times New Roman" w:asciiTheme="minorHAnsi" w:hAnsiTheme="minorHAnsi" w:cstheme="minorHAnsi"/>
                <w:b/>
                <w:bCs/>
                <w:color w:val="000000"/>
                <w:sz w:val="20"/>
                <w:szCs w:val="20"/>
              </w:rPr>
            </w:pPr>
            <w:r w:rsidRPr="00856432">
              <w:rPr>
                <w:rFonts w:eastAsia="Times New Roman" w:asciiTheme="minorHAnsi" w:hAnsiTheme="minorHAnsi" w:cstheme="minorHAnsi"/>
                <w:b/>
                <w:bCs/>
                <w:color w:val="000000"/>
                <w:sz w:val="20"/>
                <w:szCs w:val="20"/>
              </w:rPr>
              <w:t>8</w:t>
            </w:r>
          </w:p>
        </w:tc>
        <w:tc>
          <w:tcPr>
            <w:tcW w:w="1281" w:type="dxa"/>
            <w:shd w:val="clear" w:color="auto" w:fill="auto"/>
            <w:noWrap/>
            <w:vAlign w:val="center"/>
            <w:hideMark/>
          </w:tcPr>
          <w:p w:rsidR="00563BC6" w:rsidRPr="00990D06" w:rsidP="00054F66" w14:paraId="73F9E705" w14:textId="27DBC311">
            <w:pPr>
              <w:spacing w:after="0"/>
              <w:jc w:val="center"/>
              <w:rPr>
                <w:rFonts w:eastAsia="Times New Roman" w:asciiTheme="minorHAnsi" w:hAnsiTheme="minorHAnsi" w:cstheme="minorHAnsi"/>
                <w:b/>
                <w:bCs/>
                <w:color w:val="000000"/>
                <w:sz w:val="20"/>
                <w:szCs w:val="20"/>
              </w:rPr>
            </w:pPr>
            <w:r w:rsidRPr="00856432">
              <w:rPr>
                <w:rFonts w:eastAsia="Times New Roman" w:asciiTheme="minorHAnsi" w:hAnsiTheme="minorHAnsi" w:cstheme="minorHAnsi"/>
                <w:b/>
                <w:bCs/>
                <w:color w:val="000000"/>
                <w:sz w:val="20"/>
                <w:szCs w:val="20"/>
              </w:rPr>
              <w:t>6</w:t>
            </w:r>
          </w:p>
        </w:tc>
        <w:tc>
          <w:tcPr>
            <w:tcW w:w="1170" w:type="dxa"/>
            <w:shd w:val="clear" w:color="auto" w:fill="auto"/>
            <w:noWrap/>
            <w:vAlign w:val="center"/>
            <w:hideMark/>
          </w:tcPr>
          <w:p w:rsidR="00563BC6" w:rsidRPr="00990D06" w:rsidP="00054F66" w14:paraId="5520A3F9" w14:textId="3AF171D0">
            <w:pPr>
              <w:spacing w:after="0"/>
              <w:jc w:val="center"/>
              <w:rPr>
                <w:rFonts w:eastAsia="Times New Roman" w:asciiTheme="minorHAnsi" w:hAnsiTheme="minorHAnsi" w:cstheme="minorHAnsi"/>
                <w:b/>
                <w:bCs/>
                <w:color w:val="000000"/>
                <w:sz w:val="20"/>
                <w:szCs w:val="20"/>
              </w:rPr>
            </w:pPr>
            <w:r w:rsidRPr="00856432">
              <w:rPr>
                <w:rFonts w:eastAsia="Times New Roman" w:asciiTheme="minorHAnsi" w:hAnsiTheme="minorHAnsi" w:cstheme="minorHAnsi"/>
                <w:b/>
                <w:bCs/>
                <w:color w:val="000000"/>
                <w:sz w:val="20"/>
                <w:szCs w:val="20"/>
              </w:rPr>
              <w:t>48</w:t>
            </w:r>
          </w:p>
        </w:tc>
        <w:tc>
          <w:tcPr>
            <w:tcW w:w="1017" w:type="dxa"/>
            <w:shd w:val="clear" w:color="auto" w:fill="auto"/>
            <w:noWrap/>
            <w:vAlign w:val="center"/>
            <w:hideMark/>
          </w:tcPr>
          <w:p w:rsidR="00563BC6" w:rsidRPr="00990D06" w:rsidP="00054F66" w14:paraId="603F7CB8" w14:textId="62E810E1">
            <w:pPr>
              <w:spacing w:after="0"/>
              <w:jc w:val="center"/>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20</w:t>
            </w:r>
          </w:p>
        </w:tc>
        <w:tc>
          <w:tcPr>
            <w:tcW w:w="873" w:type="dxa"/>
            <w:shd w:val="clear" w:color="auto" w:fill="auto"/>
            <w:noWrap/>
            <w:vAlign w:val="center"/>
            <w:hideMark/>
          </w:tcPr>
          <w:p w:rsidR="00563BC6" w:rsidRPr="00990D06" w:rsidP="00054F66" w14:paraId="7EA082F2" w14:textId="5F363FA4">
            <w:pPr>
              <w:spacing w:after="0"/>
              <w:jc w:val="center"/>
              <w:rPr>
                <w:rFonts w:eastAsia="Times New Roman" w:asciiTheme="minorHAnsi" w:hAnsiTheme="minorHAnsi" w:cstheme="minorHAnsi"/>
                <w:b/>
                <w:bCs/>
                <w:color w:val="000000"/>
                <w:sz w:val="20"/>
                <w:szCs w:val="20"/>
              </w:rPr>
            </w:pPr>
            <w:r w:rsidRPr="00856432">
              <w:rPr>
                <w:rFonts w:eastAsia="Times New Roman" w:asciiTheme="minorHAnsi" w:hAnsiTheme="minorHAnsi" w:cstheme="minorHAnsi"/>
                <w:b/>
                <w:bCs/>
                <w:color w:val="000000"/>
                <w:sz w:val="20"/>
                <w:szCs w:val="20"/>
              </w:rPr>
              <w:t>96</w:t>
            </w:r>
          </w:p>
        </w:tc>
        <w:tc>
          <w:tcPr>
            <w:tcW w:w="923" w:type="dxa"/>
            <w:shd w:val="clear" w:color="auto" w:fill="auto"/>
            <w:noWrap/>
            <w:vAlign w:val="center"/>
            <w:hideMark/>
          </w:tcPr>
          <w:p w:rsidR="00563BC6" w:rsidRPr="00990D06" w:rsidP="00054F66" w14:paraId="6ECC7187" w14:textId="435E5E2E">
            <w:pPr>
              <w:spacing w:after="0"/>
              <w:jc w:val="right"/>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w:t>
            </w:r>
            <w:r w:rsidRPr="00856432">
              <w:rPr>
                <w:rFonts w:eastAsia="Times New Roman" w:asciiTheme="minorHAnsi" w:hAnsiTheme="minorHAnsi" w:cstheme="minorHAnsi"/>
                <w:b/>
                <w:bCs/>
                <w:color w:val="000000"/>
                <w:sz w:val="20"/>
                <w:szCs w:val="20"/>
              </w:rPr>
              <w:t>48.35</w:t>
            </w:r>
          </w:p>
        </w:tc>
        <w:tc>
          <w:tcPr>
            <w:tcW w:w="1260" w:type="dxa"/>
            <w:shd w:val="clear" w:color="auto" w:fill="auto"/>
            <w:noWrap/>
            <w:vAlign w:val="center"/>
            <w:hideMark/>
          </w:tcPr>
          <w:p w:rsidR="00563BC6" w:rsidRPr="00990D06" w:rsidP="00054F66" w14:paraId="342C2C5F" w14:textId="3D1180DC">
            <w:pPr>
              <w:spacing w:after="0"/>
              <w:jc w:val="right"/>
              <w:rPr>
                <w:rFonts w:eastAsia="Times New Roman" w:asciiTheme="minorHAnsi" w:hAnsiTheme="minorHAnsi" w:cstheme="minorHAnsi"/>
                <w:b/>
                <w:bCs/>
                <w:color w:val="000000"/>
                <w:sz w:val="20"/>
                <w:szCs w:val="20"/>
              </w:rPr>
            </w:pPr>
            <w:r w:rsidRPr="00856432">
              <w:rPr>
                <w:rFonts w:eastAsia="Times New Roman" w:asciiTheme="minorHAnsi" w:hAnsiTheme="minorHAnsi" w:cstheme="minorHAnsi"/>
                <w:b/>
                <w:bCs/>
                <w:color w:val="000000"/>
                <w:sz w:val="20"/>
                <w:szCs w:val="20"/>
              </w:rPr>
              <w:t xml:space="preserve">$4,641.60 </w:t>
            </w:r>
          </w:p>
        </w:tc>
      </w:tr>
    </w:tbl>
    <w:p w:rsidR="003262D9" w:rsidRPr="000D4206" w:rsidP="003262D9" w14:paraId="003828F8" w14:textId="77777777">
      <w:pPr>
        <w:pStyle w:val="ExhibitNote1"/>
        <w:rPr>
          <w:rFonts w:cs="Times New Roman"/>
          <w:bCs/>
          <w:i/>
          <w:iCs/>
          <w:sz w:val="18"/>
          <w:szCs w:val="18"/>
        </w:rPr>
      </w:pPr>
      <w:r w:rsidRPr="000D4206">
        <w:rPr>
          <w:rFonts w:cs="Times New Roman"/>
          <w:i/>
          <w:iCs/>
          <w:sz w:val="18"/>
          <w:szCs w:val="18"/>
          <w:vertAlign w:val="superscript"/>
        </w:rPr>
        <w:t>1</w:t>
      </w:r>
      <w:r>
        <w:rPr>
          <w:rFonts w:cs="Times New Roman"/>
          <w:bCs/>
          <w:i/>
          <w:iCs/>
          <w:sz w:val="18"/>
          <w:szCs w:val="18"/>
        </w:rPr>
        <w:t>Average ho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9825F7" w:rsidRPr="009825F7" w:rsidP="00C334B6" w14:paraId="695D10B3" w14:textId="536673EF">
      <w:pPr>
        <w:pStyle w:val="ExhibitTitle"/>
        <w:keepLines/>
        <w:spacing w:before="240" w:after="60"/>
        <w:rPr>
          <w:rFonts w:cs="Times New Roman"/>
          <w:sz w:val="24"/>
          <w:szCs w:val="24"/>
        </w:rPr>
      </w:pPr>
      <w:r w:rsidRPr="009825F7">
        <w:rPr>
          <w:rFonts w:cs="Times New Roman"/>
          <w:sz w:val="24"/>
          <w:szCs w:val="24"/>
        </w:rPr>
        <w:t xml:space="preserve">Table </w:t>
      </w:r>
      <w:r>
        <w:rPr>
          <w:rFonts w:cs="Times New Roman"/>
          <w:sz w:val="24"/>
          <w:szCs w:val="24"/>
        </w:rPr>
        <w:t>6</w:t>
      </w:r>
      <w:r w:rsidRPr="009825F7">
        <w:rPr>
          <w:rFonts w:cs="Times New Roman"/>
          <w:sz w:val="24"/>
          <w:szCs w:val="24"/>
        </w:rPr>
        <w:t xml:space="preserve">. Estimates </w:t>
      </w:r>
      <w:r w:rsidR="009776E5">
        <w:rPr>
          <w:rFonts w:cs="Times New Roman"/>
          <w:sz w:val="24"/>
          <w:szCs w:val="24"/>
        </w:rPr>
        <w:t>of</w:t>
      </w:r>
      <w:r w:rsidRPr="009825F7">
        <w:rPr>
          <w:rFonts w:cs="Times New Roman"/>
          <w:sz w:val="24"/>
          <w:szCs w:val="24"/>
        </w:rPr>
        <w:t xml:space="preserve"> Annual Burden for MAI PT Data Collection: Year </w:t>
      </w:r>
      <w:r>
        <w:rPr>
          <w:rFonts w:cs="Times New Roman"/>
          <w:sz w:val="24"/>
          <w:szCs w:val="24"/>
        </w:rPr>
        <w:t>3</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3AC36B6C" w14:textId="77777777" w:rsidTr="00AE4A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9825F7" w:rsidRPr="00990D06" w:rsidP="00C334B6" w14:paraId="6666EDC0"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9825F7" w:rsidRPr="00990D06" w:rsidP="00C334B6" w14:paraId="15BBDC08"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9825F7" w:rsidRPr="00990D06" w:rsidP="00C334B6" w14:paraId="62F4ED5B"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9825F7" w:rsidRPr="00990D06" w:rsidP="00C334B6" w14:paraId="69429CB7"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9825F7" w:rsidRPr="00990D06" w:rsidP="00C334B6" w14:paraId="3B82FE75"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9825F7" w:rsidRPr="00990D06" w:rsidP="00C334B6" w14:paraId="2B68B083"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9825F7" w:rsidRPr="00990D06" w:rsidP="00C334B6" w14:paraId="6A485B8B"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9825F7" w:rsidRPr="00990D06" w:rsidP="00C334B6" w14:paraId="74ECC80C" w14:textId="77777777">
            <w:pPr>
              <w:keepNext/>
              <w:keepLines/>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687F09D5"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C334B6" w14:paraId="75FCD9D6" w14:textId="77777777">
            <w:pPr>
              <w:keepNext/>
              <w:keepLines/>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auto"/>
            <w:vAlign w:val="center"/>
            <w:hideMark/>
          </w:tcPr>
          <w:p w:rsidR="00563BC6" w:rsidRPr="00990D06" w:rsidP="00C334B6" w14:paraId="003DCB26" w14:textId="14F51AE9">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C334B6" w14:paraId="5DA73390" w14:textId="5EC260E9">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0</w:t>
            </w:r>
          </w:p>
        </w:tc>
        <w:tc>
          <w:tcPr>
            <w:tcW w:w="1170" w:type="dxa"/>
            <w:shd w:val="clear" w:color="auto" w:fill="auto"/>
            <w:vAlign w:val="center"/>
            <w:hideMark/>
          </w:tcPr>
          <w:p w:rsidR="00563BC6" w:rsidRPr="00990D06" w:rsidP="00C334B6" w14:paraId="72721572" w14:textId="1C64DFD2">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1017" w:type="dxa"/>
            <w:shd w:val="clear" w:color="auto" w:fill="auto"/>
            <w:vAlign w:val="center"/>
            <w:hideMark/>
          </w:tcPr>
          <w:p w:rsidR="00563BC6" w:rsidRPr="00990D06" w:rsidP="00C334B6" w14:paraId="1DADA17D" w14:textId="7BDC78E0">
            <w:pPr>
              <w:keepNext/>
              <w:keepLines/>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auto"/>
            <w:vAlign w:val="center"/>
            <w:hideMark/>
          </w:tcPr>
          <w:p w:rsidR="00563BC6" w:rsidRPr="00990D06" w:rsidP="00C334B6" w14:paraId="2919019E" w14:textId="0739A858">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923" w:type="dxa"/>
            <w:shd w:val="clear" w:color="auto" w:fill="auto"/>
            <w:vAlign w:val="center"/>
            <w:hideMark/>
          </w:tcPr>
          <w:p w:rsidR="00563BC6" w:rsidRPr="00990D06" w:rsidP="00C334B6" w14:paraId="3F5FCFA2" w14:textId="62786F95">
            <w:pPr>
              <w:keepNext/>
              <w:keepLines/>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C334B6" w14:paraId="59AD4D65" w14:textId="3CDE681C">
            <w:pPr>
              <w:keepNext/>
              <w:keepLines/>
              <w:spacing w:after="0"/>
              <w:jc w:val="right"/>
              <w:rPr>
                <w:rFonts w:eastAsia="Times New Roman" w:asciiTheme="minorHAnsi" w:hAnsiTheme="minorHAnsi" w:cstheme="minorHAnsi"/>
                <w:color w:val="000000"/>
                <w:sz w:val="20"/>
                <w:szCs w:val="20"/>
              </w:rPr>
            </w:pPr>
            <w:r w:rsidRPr="00563BC6">
              <w:rPr>
                <w:color w:val="000000"/>
                <w:sz w:val="20"/>
                <w:szCs w:val="20"/>
              </w:rPr>
              <w:t xml:space="preserve">$0.00 </w:t>
            </w:r>
          </w:p>
        </w:tc>
      </w:tr>
      <w:tr w14:paraId="066A6CEC"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C334B6" w14:paraId="6CA93107" w14:textId="77777777">
            <w:pPr>
              <w:keepNext/>
              <w:keepLines/>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auto"/>
            <w:vAlign w:val="center"/>
            <w:hideMark/>
          </w:tcPr>
          <w:p w:rsidR="00563BC6" w:rsidRPr="00990D06" w:rsidP="00C334B6" w14:paraId="31CAD507" w14:textId="0B7A1F45">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C334B6" w14:paraId="4D5B2E35" w14:textId="28EA3461">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1</w:t>
            </w:r>
          </w:p>
        </w:tc>
        <w:tc>
          <w:tcPr>
            <w:tcW w:w="1170" w:type="dxa"/>
            <w:shd w:val="clear" w:color="auto" w:fill="auto"/>
            <w:vAlign w:val="center"/>
            <w:hideMark/>
          </w:tcPr>
          <w:p w:rsidR="00563BC6" w:rsidRPr="00990D06" w:rsidP="00C334B6" w14:paraId="3E0877BA" w14:textId="56B6F60F">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auto"/>
            <w:vAlign w:val="center"/>
            <w:hideMark/>
          </w:tcPr>
          <w:p w:rsidR="00563BC6" w:rsidRPr="00990D06" w:rsidP="00C334B6" w14:paraId="65E5F78E" w14:textId="6482F608">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3</w:t>
            </w:r>
          </w:p>
        </w:tc>
        <w:tc>
          <w:tcPr>
            <w:tcW w:w="873" w:type="dxa"/>
            <w:shd w:val="clear" w:color="auto" w:fill="auto"/>
            <w:vAlign w:val="center"/>
            <w:hideMark/>
          </w:tcPr>
          <w:p w:rsidR="00563BC6" w:rsidRPr="00990D06" w:rsidP="00C334B6" w14:paraId="4256EC63" w14:textId="2A7FA76C">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24</w:t>
            </w:r>
          </w:p>
        </w:tc>
        <w:tc>
          <w:tcPr>
            <w:tcW w:w="923" w:type="dxa"/>
            <w:shd w:val="clear" w:color="auto" w:fill="auto"/>
            <w:vAlign w:val="center"/>
            <w:hideMark/>
          </w:tcPr>
          <w:p w:rsidR="00563BC6" w:rsidRPr="00990D06" w:rsidP="00C334B6" w14:paraId="1BB757BA" w14:textId="758EBB94">
            <w:pPr>
              <w:keepNext/>
              <w:keepLines/>
              <w:spacing w:after="0"/>
              <w:jc w:val="right"/>
              <w:rPr>
                <w:rFonts w:eastAsia="Times New Roman" w:asciiTheme="minorHAnsi" w:hAnsiTheme="minorHAnsi" w:cstheme="minorHAnsi"/>
                <w:color w:val="000000"/>
                <w:sz w:val="20"/>
                <w:szCs w:val="20"/>
              </w:rPr>
            </w:pPr>
            <w:r w:rsidRPr="00563BC6">
              <w:rPr>
                <w:color w:val="000000"/>
                <w:sz w:val="20"/>
                <w:szCs w:val="20"/>
              </w:rPr>
              <w:t xml:space="preserve">$48.35 </w:t>
            </w:r>
          </w:p>
        </w:tc>
        <w:tc>
          <w:tcPr>
            <w:tcW w:w="1260" w:type="dxa"/>
            <w:shd w:val="clear" w:color="auto" w:fill="auto"/>
            <w:vAlign w:val="center"/>
            <w:hideMark/>
          </w:tcPr>
          <w:p w:rsidR="00563BC6" w:rsidRPr="00990D06" w:rsidP="00C334B6" w14:paraId="63AD322A" w14:textId="5E2F5139">
            <w:pPr>
              <w:keepNext/>
              <w:keepLines/>
              <w:spacing w:after="0"/>
              <w:jc w:val="right"/>
              <w:rPr>
                <w:rFonts w:eastAsia="Times New Roman" w:asciiTheme="minorHAnsi" w:hAnsiTheme="minorHAnsi" w:cstheme="minorHAnsi"/>
                <w:color w:val="000000"/>
                <w:sz w:val="20"/>
                <w:szCs w:val="20"/>
              </w:rPr>
            </w:pPr>
            <w:r w:rsidRPr="00563BC6">
              <w:rPr>
                <w:color w:val="000000"/>
                <w:sz w:val="20"/>
                <w:szCs w:val="20"/>
              </w:rPr>
              <w:t xml:space="preserve">$1,160.40 </w:t>
            </w:r>
          </w:p>
        </w:tc>
      </w:tr>
      <w:tr w14:paraId="6D0CDF58"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C334B6" w14:paraId="3BE15048" w14:textId="77777777">
            <w:pPr>
              <w:keepNext/>
              <w:keepLines/>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auto"/>
            <w:vAlign w:val="center"/>
            <w:hideMark/>
          </w:tcPr>
          <w:p w:rsidR="00563BC6" w:rsidRPr="00990D06" w:rsidP="00C334B6" w14:paraId="4DD1BCFC" w14:textId="72D79551">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C334B6" w14:paraId="024BFFCB" w14:textId="2D396C2F">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1170" w:type="dxa"/>
            <w:shd w:val="clear" w:color="auto" w:fill="auto"/>
            <w:vAlign w:val="center"/>
            <w:hideMark/>
          </w:tcPr>
          <w:p w:rsidR="00563BC6" w:rsidRPr="00990D06" w:rsidP="00C334B6" w14:paraId="38A0C5F8" w14:textId="60B75B4E">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auto"/>
            <w:vAlign w:val="center"/>
            <w:hideMark/>
          </w:tcPr>
          <w:p w:rsidR="00563BC6" w:rsidRPr="00990D06" w:rsidP="00C334B6" w14:paraId="0AD78FEB" w14:textId="4F988BBA">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873" w:type="dxa"/>
            <w:shd w:val="clear" w:color="auto" w:fill="auto"/>
            <w:vAlign w:val="center"/>
            <w:hideMark/>
          </w:tcPr>
          <w:p w:rsidR="00563BC6" w:rsidRPr="00990D06" w:rsidP="00C334B6" w14:paraId="0AB8E62B" w14:textId="59120B2D">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923" w:type="dxa"/>
            <w:shd w:val="clear" w:color="auto" w:fill="auto"/>
            <w:vAlign w:val="center"/>
            <w:hideMark/>
          </w:tcPr>
          <w:p w:rsidR="00563BC6" w:rsidRPr="00990D06" w:rsidP="00C334B6" w14:paraId="7262B125" w14:textId="4F3CE76C">
            <w:pPr>
              <w:keepNext/>
              <w:keepLines/>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C334B6" w14:paraId="4F32DB1E" w14:textId="48B620F0">
            <w:pPr>
              <w:keepNext/>
              <w:keepLines/>
              <w:spacing w:after="0"/>
              <w:jc w:val="right"/>
              <w:rPr>
                <w:rFonts w:eastAsia="Times New Roman" w:asciiTheme="minorHAnsi" w:hAnsiTheme="minorHAnsi" w:cstheme="minorHAnsi"/>
                <w:color w:val="000000"/>
                <w:sz w:val="20"/>
                <w:szCs w:val="20"/>
              </w:rPr>
            </w:pPr>
            <w:r w:rsidRPr="00563BC6">
              <w:rPr>
                <w:color w:val="000000"/>
                <w:sz w:val="20"/>
                <w:szCs w:val="20"/>
              </w:rPr>
              <w:t xml:space="preserve">$386.80 </w:t>
            </w:r>
          </w:p>
        </w:tc>
      </w:tr>
      <w:tr w14:paraId="5B796FEE" w14:textId="77777777" w:rsidTr="00AE4A83">
        <w:tblPrEx>
          <w:tblW w:w="9355" w:type="dxa"/>
          <w:tblLayout w:type="fixed"/>
          <w:tblLook w:val="04A0"/>
        </w:tblPrEx>
        <w:trPr>
          <w:trHeight w:val="288"/>
        </w:trPr>
        <w:tc>
          <w:tcPr>
            <w:tcW w:w="1525" w:type="dxa"/>
            <w:shd w:val="clear" w:color="auto" w:fill="auto"/>
            <w:vAlign w:val="center"/>
            <w:hideMark/>
          </w:tcPr>
          <w:p w:rsidR="00563BC6" w:rsidRPr="00990D06" w:rsidP="00C334B6" w14:paraId="21E11DD2" w14:textId="77777777">
            <w:pPr>
              <w:keepNext/>
              <w:keepLines/>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auto"/>
            <w:vAlign w:val="center"/>
            <w:hideMark/>
          </w:tcPr>
          <w:p w:rsidR="00563BC6" w:rsidRPr="00990D06" w:rsidP="00C334B6" w14:paraId="5441B5AA" w14:textId="28D35B2E">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auto"/>
            <w:vAlign w:val="center"/>
            <w:hideMark/>
          </w:tcPr>
          <w:p w:rsidR="00563BC6" w:rsidRPr="00990D06" w:rsidP="00C334B6" w14:paraId="77E31352" w14:textId="5ABAC1E1">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4</w:t>
            </w:r>
          </w:p>
        </w:tc>
        <w:tc>
          <w:tcPr>
            <w:tcW w:w="1170" w:type="dxa"/>
            <w:shd w:val="clear" w:color="auto" w:fill="auto"/>
            <w:vAlign w:val="center"/>
            <w:hideMark/>
          </w:tcPr>
          <w:p w:rsidR="00563BC6" w:rsidRPr="00990D06" w:rsidP="00C334B6" w14:paraId="5D692573" w14:textId="022224E3">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32</w:t>
            </w:r>
          </w:p>
        </w:tc>
        <w:tc>
          <w:tcPr>
            <w:tcW w:w="1017" w:type="dxa"/>
            <w:shd w:val="clear" w:color="auto" w:fill="auto"/>
            <w:vAlign w:val="center"/>
            <w:hideMark/>
          </w:tcPr>
          <w:p w:rsidR="00563BC6" w:rsidRPr="00990D06" w:rsidP="00C334B6" w14:paraId="25CEA5F0" w14:textId="29145E73">
            <w:pPr>
              <w:keepNext/>
              <w:keepLines/>
              <w:spacing w:after="0"/>
              <w:jc w:val="center"/>
              <w:rPr>
                <w:rFonts w:eastAsia="Times New Roman" w:asciiTheme="minorHAnsi" w:hAnsiTheme="minorHAnsi" w:cstheme="minorHAnsi"/>
                <w:color w:val="000000"/>
                <w:sz w:val="20"/>
                <w:szCs w:val="20"/>
              </w:rPr>
            </w:pPr>
            <w:r w:rsidRPr="00563BC6">
              <w:rPr>
                <w:bCs/>
                <w:color w:val="000000"/>
                <w:sz w:val="20"/>
                <w:szCs w:val="20"/>
              </w:rPr>
              <w:t>2</w:t>
            </w:r>
          </w:p>
        </w:tc>
        <w:tc>
          <w:tcPr>
            <w:tcW w:w="873" w:type="dxa"/>
            <w:shd w:val="clear" w:color="auto" w:fill="auto"/>
            <w:vAlign w:val="center"/>
            <w:hideMark/>
          </w:tcPr>
          <w:p w:rsidR="00563BC6" w:rsidRPr="00990D06" w:rsidP="00C334B6" w14:paraId="03C0B704" w14:textId="559D1036">
            <w:pPr>
              <w:keepNext/>
              <w:keepLines/>
              <w:spacing w:after="0"/>
              <w:jc w:val="center"/>
              <w:rPr>
                <w:rFonts w:eastAsia="Times New Roman" w:asciiTheme="minorHAnsi" w:hAnsiTheme="minorHAnsi" w:cstheme="minorHAnsi"/>
                <w:color w:val="000000"/>
                <w:sz w:val="20"/>
                <w:szCs w:val="20"/>
              </w:rPr>
            </w:pPr>
            <w:r w:rsidRPr="00563BC6">
              <w:rPr>
                <w:color w:val="000000"/>
                <w:sz w:val="20"/>
                <w:szCs w:val="20"/>
              </w:rPr>
              <w:t>64</w:t>
            </w:r>
          </w:p>
        </w:tc>
        <w:tc>
          <w:tcPr>
            <w:tcW w:w="923" w:type="dxa"/>
            <w:shd w:val="clear" w:color="auto" w:fill="auto"/>
            <w:vAlign w:val="center"/>
            <w:hideMark/>
          </w:tcPr>
          <w:p w:rsidR="00563BC6" w:rsidRPr="00990D06" w:rsidP="00C334B6" w14:paraId="1339CB3B" w14:textId="2CA12028">
            <w:pPr>
              <w:keepNext/>
              <w:keepLines/>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auto"/>
            <w:vAlign w:val="center"/>
            <w:hideMark/>
          </w:tcPr>
          <w:p w:rsidR="00563BC6" w:rsidRPr="00990D06" w:rsidP="00C334B6" w14:paraId="2B364172" w14:textId="1B622EFB">
            <w:pPr>
              <w:keepNext/>
              <w:keepLines/>
              <w:spacing w:after="0"/>
              <w:jc w:val="right"/>
              <w:rPr>
                <w:rFonts w:eastAsia="Times New Roman" w:asciiTheme="minorHAnsi" w:hAnsiTheme="minorHAnsi" w:cstheme="minorHAnsi"/>
                <w:color w:val="000000"/>
                <w:sz w:val="20"/>
                <w:szCs w:val="20"/>
              </w:rPr>
            </w:pPr>
            <w:r w:rsidRPr="00563BC6">
              <w:rPr>
                <w:color w:val="000000"/>
                <w:sz w:val="20"/>
                <w:szCs w:val="20"/>
              </w:rPr>
              <w:t xml:space="preserve">$3,094.40 </w:t>
            </w:r>
          </w:p>
        </w:tc>
      </w:tr>
      <w:tr w14:paraId="528A0285" w14:textId="77777777" w:rsidTr="00054F66">
        <w:tblPrEx>
          <w:tblW w:w="9355" w:type="dxa"/>
          <w:tblLayout w:type="fixed"/>
          <w:tblLook w:val="04A0"/>
        </w:tblPrEx>
        <w:trPr>
          <w:trHeight w:val="288"/>
        </w:trPr>
        <w:tc>
          <w:tcPr>
            <w:tcW w:w="1525" w:type="dxa"/>
            <w:shd w:val="clear" w:color="auto" w:fill="auto"/>
            <w:vAlign w:val="center"/>
            <w:hideMark/>
          </w:tcPr>
          <w:p w:rsidR="00563BC6" w:rsidRPr="00990D06" w:rsidP="00563BC6" w14:paraId="5CC7DC2B"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auto"/>
            <w:vAlign w:val="center"/>
            <w:hideMark/>
          </w:tcPr>
          <w:p w:rsidR="00563BC6" w:rsidRPr="00990D06" w:rsidP="00054F66" w14:paraId="7A564E3C" w14:textId="44087FAB">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8</w:t>
            </w:r>
          </w:p>
        </w:tc>
        <w:tc>
          <w:tcPr>
            <w:tcW w:w="1281" w:type="dxa"/>
            <w:shd w:val="clear" w:color="auto" w:fill="auto"/>
            <w:noWrap/>
            <w:vAlign w:val="center"/>
            <w:hideMark/>
          </w:tcPr>
          <w:p w:rsidR="00563BC6" w:rsidRPr="00990D06" w:rsidP="00054F66" w14:paraId="5C045439" w14:textId="1ED86351">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6</w:t>
            </w:r>
          </w:p>
        </w:tc>
        <w:tc>
          <w:tcPr>
            <w:tcW w:w="1170" w:type="dxa"/>
            <w:shd w:val="clear" w:color="auto" w:fill="auto"/>
            <w:noWrap/>
            <w:vAlign w:val="center"/>
            <w:hideMark/>
          </w:tcPr>
          <w:p w:rsidR="00563BC6" w:rsidRPr="00990D06" w:rsidP="00054F66" w14:paraId="2D1FF56F" w14:textId="7DEC6F6D">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48</w:t>
            </w:r>
          </w:p>
        </w:tc>
        <w:tc>
          <w:tcPr>
            <w:tcW w:w="1017" w:type="dxa"/>
            <w:shd w:val="clear" w:color="auto" w:fill="auto"/>
            <w:noWrap/>
            <w:vAlign w:val="center"/>
            <w:hideMark/>
          </w:tcPr>
          <w:p w:rsidR="00563BC6" w:rsidRPr="00990D06" w:rsidP="00054F66" w14:paraId="3E177E4A" w14:textId="54163437">
            <w:pPr>
              <w:spacing w:after="0"/>
              <w:jc w:val="center"/>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20</w:t>
            </w:r>
          </w:p>
        </w:tc>
        <w:tc>
          <w:tcPr>
            <w:tcW w:w="873" w:type="dxa"/>
            <w:shd w:val="clear" w:color="auto" w:fill="auto"/>
            <w:noWrap/>
            <w:vAlign w:val="center"/>
            <w:hideMark/>
          </w:tcPr>
          <w:p w:rsidR="00563BC6" w:rsidRPr="00990D06" w:rsidP="00054F66" w14:paraId="2654A3FE" w14:textId="43B3AE65">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96</w:t>
            </w:r>
          </w:p>
        </w:tc>
        <w:tc>
          <w:tcPr>
            <w:tcW w:w="923" w:type="dxa"/>
            <w:shd w:val="clear" w:color="auto" w:fill="auto"/>
            <w:noWrap/>
            <w:vAlign w:val="center"/>
            <w:hideMark/>
          </w:tcPr>
          <w:p w:rsidR="00563BC6" w:rsidRPr="00990D06" w:rsidP="00054F66" w14:paraId="18240937" w14:textId="09106011">
            <w:pPr>
              <w:spacing w:after="0"/>
              <w:jc w:val="right"/>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w:t>
            </w:r>
            <w:r w:rsidRPr="00054F66">
              <w:rPr>
                <w:rFonts w:eastAsia="Times New Roman" w:asciiTheme="minorHAnsi" w:hAnsiTheme="minorHAnsi" w:cstheme="minorHAnsi"/>
                <w:b/>
                <w:bCs/>
                <w:color w:val="000000"/>
                <w:sz w:val="20"/>
                <w:szCs w:val="20"/>
              </w:rPr>
              <w:t>48.35</w:t>
            </w:r>
          </w:p>
        </w:tc>
        <w:tc>
          <w:tcPr>
            <w:tcW w:w="1260" w:type="dxa"/>
            <w:shd w:val="clear" w:color="auto" w:fill="auto"/>
            <w:noWrap/>
            <w:vAlign w:val="center"/>
            <w:hideMark/>
          </w:tcPr>
          <w:p w:rsidR="00563BC6" w:rsidRPr="00990D06" w:rsidP="00054F66" w14:paraId="39823076" w14:textId="02B913AA">
            <w:pPr>
              <w:spacing w:after="0"/>
              <w:jc w:val="right"/>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 xml:space="preserve">$4,641.60 </w:t>
            </w:r>
          </w:p>
        </w:tc>
      </w:tr>
    </w:tbl>
    <w:p w:rsidR="003262D9" w:rsidRPr="000D4206" w:rsidP="003262D9" w14:paraId="16A53919" w14:textId="77777777">
      <w:pPr>
        <w:pStyle w:val="ExhibitNote1"/>
        <w:rPr>
          <w:rFonts w:cs="Times New Roman"/>
          <w:bCs/>
          <w:i/>
          <w:iCs/>
          <w:sz w:val="18"/>
          <w:szCs w:val="18"/>
        </w:rPr>
      </w:pPr>
      <w:r w:rsidRPr="000D4206">
        <w:rPr>
          <w:rFonts w:cs="Times New Roman"/>
          <w:i/>
          <w:iCs/>
          <w:sz w:val="18"/>
          <w:szCs w:val="18"/>
          <w:vertAlign w:val="superscript"/>
        </w:rPr>
        <w:t>1</w:t>
      </w:r>
      <w:r>
        <w:rPr>
          <w:rFonts w:cs="Times New Roman"/>
          <w:bCs/>
          <w:i/>
          <w:iCs/>
          <w:sz w:val="18"/>
          <w:szCs w:val="18"/>
        </w:rPr>
        <w:t>Average ho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B70692" w14:paraId="70411F84" w14:textId="77777777">
      <w:pPr>
        <w:spacing w:after="0"/>
        <w:rPr>
          <w:rFonts w:cs="Times New Roman"/>
          <w:b/>
          <w:bCs/>
          <w:sz w:val="24"/>
          <w:szCs w:val="24"/>
        </w:rPr>
      </w:pPr>
      <w:r>
        <w:rPr>
          <w:rFonts w:cs="Times New Roman"/>
          <w:sz w:val="24"/>
          <w:szCs w:val="24"/>
        </w:rPr>
        <w:br w:type="page"/>
      </w:r>
    </w:p>
    <w:p w:rsidR="009825F7" w:rsidRPr="009825F7" w:rsidP="003B3781" w14:paraId="16F0702A" w14:textId="262EE62D">
      <w:pPr>
        <w:pStyle w:val="ExhibitTitle"/>
        <w:spacing w:before="240" w:after="60"/>
        <w:rPr>
          <w:rFonts w:cs="Times New Roman"/>
          <w:sz w:val="24"/>
          <w:szCs w:val="24"/>
        </w:rPr>
      </w:pPr>
      <w:r w:rsidRPr="009825F7">
        <w:rPr>
          <w:rFonts w:cs="Times New Roman"/>
          <w:sz w:val="24"/>
          <w:szCs w:val="24"/>
        </w:rPr>
        <w:t xml:space="preserve">Table </w:t>
      </w:r>
      <w:r w:rsidR="005F2660">
        <w:rPr>
          <w:rFonts w:cs="Times New Roman"/>
          <w:sz w:val="24"/>
          <w:szCs w:val="24"/>
        </w:rPr>
        <w:t>7</w:t>
      </w:r>
      <w:r w:rsidRPr="009825F7">
        <w:rPr>
          <w:rFonts w:cs="Times New Roman"/>
          <w:sz w:val="24"/>
          <w:szCs w:val="24"/>
        </w:rPr>
        <w:t xml:space="preserve">. Estimates </w:t>
      </w:r>
      <w:r w:rsidR="009776E5">
        <w:rPr>
          <w:rFonts w:cs="Times New Roman"/>
          <w:sz w:val="24"/>
          <w:szCs w:val="24"/>
        </w:rPr>
        <w:t>of</w:t>
      </w:r>
      <w:r w:rsidRPr="009825F7">
        <w:rPr>
          <w:rFonts w:cs="Times New Roman"/>
          <w:sz w:val="24"/>
          <w:szCs w:val="24"/>
        </w:rPr>
        <w:t xml:space="preserve"> Annual Burden for MAI PT Data Collection: Year </w:t>
      </w:r>
      <w:r w:rsidR="005F2660">
        <w:rPr>
          <w:rFonts w:cs="Times New Roman"/>
          <w:sz w:val="24"/>
          <w:szCs w:val="24"/>
        </w:rPr>
        <w:t>4</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33DB9953" w14:textId="77777777" w:rsidTr="00AE4A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9825F7" w:rsidRPr="00990D06" w:rsidP="00AE4A83" w14:paraId="210BB0D5"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9825F7" w:rsidRPr="00990D06" w:rsidP="00AE4A83" w14:paraId="588BB05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9825F7" w:rsidRPr="00990D06" w:rsidP="00AE4A83" w14:paraId="01F91F6D"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9825F7" w:rsidRPr="00990D06" w:rsidP="00AE4A83" w14:paraId="4D374AF3"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9825F7" w:rsidRPr="00990D06" w:rsidP="00AE4A83" w14:paraId="5D432884"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9825F7" w:rsidRPr="00990D06" w:rsidP="00AE4A83" w14:paraId="7476316F"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9825F7" w:rsidRPr="00990D06" w:rsidP="00AE4A83" w14:paraId="7553553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9825F7" w:rsidRPr="00990D06" w:rsidP="00AE4A83" w14:paraId="18F96D1C"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030E7EDF" w14:textId="77777777" w:rsidTr="00563BC6">
        <w:tblPrEx>
          <w:tblW w:w="9355" w:type="dxa"/>
          <w:tblLayout w:type="fixed"/>
          <w:tblLook w:val="04A0"/>
        </w:tblPrEx>
        <w:trPr>
          <w:trHeight w:val="288"/>
        </w:trPr>
        <w:tc>
          <w:tcPr>
            <w:tcW w:w="1525" w:type="dxa"/>
            <w:shd w:val="clear" w:color="auto" w:fill="auto"/>
            <w:vAlign w:val="center"/>
            <w:hideMark/>
          </w:tcPr>
          <w:p w:rsidR="00563BC6" w:rsidRPr="00990D06" w:rsidP="00563BC6" w14:paraId="0A95C9F1"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FFFFFF" w:themeFill="background1"/>
            <w:vAlign w:val="center"/>
            <w:hideMark/>
          </w:tcPr>
          <w:p w:rsidR="00563BC6" w:rsidRPr="00990D06" w:rsidP="00563BC6" w14:paraId="2F70CC4A" w14:textId="5609D599">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FFFFFF" w:themeFill="background1"/>
            <w:vAlign w:val="center"/>
            <w:hideMark/>
          </w:tcPr>
          <w:p w:rsidR="00563BC6" w:rsidRPr="00990D06" w:rsidP="00563BC6" w14:paraId="1559ED08" w14:textId="04208C12">
            <w:pPr>
              <w:spacing w:after="0"/>
              <w:jc w:val="center"/>
              <w:rPr>
                <w:rFonts w:eastAsia="Times New Roman" w:asciiTheme="minorHAnsi" w:hAnsiTheme="minorHAnsi" w:cstheme="minorHAnsi"/>
                <w:color w:val="000000"/>
                <w:sz w:val="20"/>
                <w:szCs w:val="20"/>
              </w:rPr>
            </w:pPr>
            <w:r w:rsidRPr="00563BC6">
              <w:rPr>
                <w:bCs/>
                <w:color w:val="000000"/>
                <w:sz w:val="20"/>
                <w:szCs w:val="20"/>
              </w:rPr>
              <w:t>0</w:t>
            </w:r>
          </w:p>
        </w:tc>
        <w:tc>
          <w:tcPr>
            <w:tcW w:w="1170" w:type="dxa"/>
            <w:shd w:val="clear" w:color="auto" w:fill="FFFFFF" w:themeFill="background1"/>
            <w:vAlign w:val="center"/>
            <w:hideMark/>
          </w:tcPr>
          <w:p w:rsidR="00563BC6" w:rsidRPr="00990D06" w:rsidP="00563BC6" w14:paraId="35E6FD96" w14:textId="71E442EC">
            <w:pPr>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1017" w:type="dxa"/>
            <w:shd w:val="clear" w:color="auto" w:fill="FFFFFF" w:themeFill="background1"/>
            <w:vAlign w:val="center"/>
            <w:hideMark/>
          </w:tcPr>
          <w:p w:rsidR="00563BC6" w:rsidRPr="00990D06" w:rsidP="00563BC6" w14:paraId="799B2760" w14:textId="72DE1225">
            <w:pPr>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FFFFFF" w:themeFill="background1"/>
            <w:vAlign w:val="center"/>
            <w:hideMark/>
          </w:tcPr>
          <w:p w:rsidR="00563BC6" w:rsidRPr="00990D06" w:rsidP="00563BC6" w14:paraId="50427D71" w14:textId="698B2E35">
            <w:pPr>
              <w:spacing w:after="0"/>
              <w:jc w:val="center"/>
              <w:rPr>
                <w:rFonts w:eastAsia="Times New Roman" w:asciiTheme="minorHAnsi" w:hAnsiTheme="minorHAnsi" w:cstheme="minorHAnsi"/>
                <w:color w:val="000000"/>
                <w:sz w:val="20"/>
                <w:szCs w:val="20"/>
              </w:rPr>
            </w:pPr>
            <w:r w:rsidRPr="00563BC6">
              <w:rPr>
                <w:color w:val="000000"/>
                <w:sz w:val="20"/>
                <w:szCs w:val="20"/>
              </w:rPr>
              <w:t>0</w:t>
            </w:r>
          </w:p>
        </w:tc>
        <w:tc>
          <w:tcPr>
            <w:tcW w:w="923" w:type="dxa"/>
            <w:shd w:val="clear" w:color="auto" w:fill="FFFFFF" w:themeFill="background1"/>
            <w:vAlign w:val="center"/>
            <w:hideMark/>
          </w:tcPr>
          <w:p w:rsidR="00563BC6" w:rsidRPr="00990D06" w:rsidP="00563BC6" w14:paraId="21D343BA" w14:textId="7E5869B3">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FFFFFF" w:themeFill="background1"/>
            <w:vAlign w:val="center"/>
            <w:hideMark/>
          </w:tcPr>
          <w:p w:rsidR="00563BC6" w:rsidRPr="00990D06" w:rsidP="00563BC6" w14:paraId="40D9EAB8" w14:textId="305BF1F1">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$0.00 </w:t>
            </w:r>
          </w:p>
        </w:tc>
      </w:tr>
      <w:tr w14:paraId="1D648124" w14:textId="77777777" w:rsidTr="00563BC6">
        <w:tblPrEx>
          <w:tblW w:w="9355" w:type="dxa"/>
          <w:tblLayout w:type="fixed"/>
          <w:tblLook w:val="04A0"/>
        </w:tblPrEx>
        <w:trPr>
          <w:trHeight w:val="288"/>
        </w:trPr>
        <w:tc>
          <w:tcPr>
            <w:tcW w:w="1525" w:type="dxa"/>
            <w:shd w:val="clear" w:color="auto" w:fill="auto"/>
            <w:vAlign w:val="center"/>
            <w:hideMark/>
          </w:tcPr>
          <w:p w:rsidR="00563BC6" w:rsidRPr="00990D06" w:rsidP="00563BC6" w14:paraId="5E25E54F"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FFFFFF" w:themeFill="background1"/>
            <w:vAlign w:val="center"/>
            <w:hideMark/>
          </w:tcPr>
          <w:p w:rsidR="00563BC6" w:rsidRPr="00990D06" w:rsidP="00563BC6" w14:paraId="6EDAFFA9" w14:textId="64209660">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FFFFFF" w:themeFill="background1"/>
            <w:vAlign w:val="center"/>
            <w:hideMark/>
          </w:tcPr>
          <w:p w:rsidR="00563BC6" w:rsidRPr="00990D06" w:rsidP="00563BC6" w14:paraId="628EDFD1" w14:textId="18200F70">
            <w:pPr>
              <w:spacing w:after="0"/>
              <w:jc w:val="center"/>
              <w:rPr>
                <w:rFonts w:eastAsia="Times New Roman" w:asciiTheme="minorHAnsi" w:hAnsiTheme="minorHAnsi" w:cstheme="minorHAnsi"/>
                <w:color w:val="000000"/>
                <w:sz w:val="20"/>
                <w:szCs w:val="20"/>
              </w:rPr>
            </w:pPr>
            <w:r w:rsidRPr="00563BC6">
              <w:rPr>
                <w:color w:val="000000"/>
                <w:sz w:val="20"/>
                <w:szCs w:val="20"/>
              </w:rPr>
              <w:t>1</w:t>
            </w:r>
          </w:p>
        </w:tc>
        <w:tc>
          <w:tcPr>
            <w:tcW w:w="1170" w:type="dxa"/>
            <w:shd w:val="clear" w:color="auto" w:fill="FFFFFF" w:themeFill="background1"/>
            <w:vAlign w:val="center"/>
            <w:hideMark/>
          </w:tcPr>
          <w:p w:rsidR="00563BC6" w:rsidRPr="00990D06" w:rsidP="00563BC6" w14:paraId="1E2D44A5" w14:textId="21591C7A">
            <w:pPr>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FFFFFF" w:themeFill="background1"/>
            <w:vAlign w:val="center"/>
            <w:hideMark/>
          </w:tcPr>
          <w:p w:rsidR="00563BC6" w:rsidRPr="00990D06" w:rsidP="00563BC6" w14:paraId="49AF411D" w14:textId="6DAA53C0">
            <w:pPr>
              <w:spacing w:after="0"/>
              <w:jc w:val="center"/>
              <w:rPr>
                <w:rFonts w:eastAsia="Times New Roman" w:asciiTheme="minorHAnsi" w:hAnsiTheme="minorHAnsi" w:cstheme="minorHAnsi"/>
                <w:color w:val="000000"/>
                <w:sz w:val="20"/>
                <w:szCs w:val="20"/>
              </w:rPr>
            </w:pPr>
            <w:r w:rsidRPr="00563BC6">
              <w:rPr>
                <w:bCs/>
                <w:color w:val="000000"/>
                <w:sz w:val="20"/>
                <w:szCs w:val="20"/>
              </w:rPr>
              <w:t>3</w:t>
            </w:r>
          </w:p>
        </w:tc>
        <w:tc>
          <w:tcPr>
            <w:tcW w:w="873" w:type="dxa"/>
            <w:shd w:val="clear" w:color="auto" w:fill="FFFFFF" w:themeFill="background1"/>
            <w:vAlign w:val="center"/>
            <w:hideMark/>
          </w:tcPr>
          <w:p w:rsidR="00563BC6" w:rsidRPr="00990D06" w:rsidP="00563BC6" w14:paraId="6361C0D6" w14:textId="70F7BCE8">
            <w:pPr>
              <w:spacing w:after="0"/>
              <w:jc w:val="center"/>
              <w:rPr>
                <w:rFonts w:eastAsia="Times New Roman" w:asciiTheme="minorHAnsi" w:hAnsiTheme="minorHAnsi" w:cstheme="minorHAnsi"/>
                <w:color w:val="000000"/>
                <w:sz w:val="20"/>
                <w:szCs w:val="20"/>
              </w:rPr>
            </w:pPr>
            <w:r w:rsidRPr="00563BC6">
              <w:rPr>
                <w:color w:val="000000"/>
                <w:sz w:val="20"/>
                <w:szCs w:val="20"/>
              </w:rPr>
              <w:t>24</w:t>
            </w:r>
          </w:p>
        </w:tc>
        <w:tc>
          <w:tcPr>
            <w:tcW w:w="923" w:type="dxa"/>
            <w:shd w:val="clear" w:color="auto" w:fill="FFFFFF" w:themeFill="background1"/>
            <w:vAlign w:val="center"/>
            <w:hideMark/>
          </w:tcPr>
          <w:p w:rsidR="00563BC6" w:rsidRPr="00990D06" w:rsidP="00563BC6" w14:paraId="382FC0A3" w14:textId="6C1FF68D">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$48.35 </w:t>
            </w:r>
          </w:p>
        </w:tc>
        <w:tc>
          <w:tcPr>
            <w:tcW w:w="1260" w:type="dxa"/>
            <w:shd w:val="clear" w:color="auto" w:fill="FFFFFF" w:themeFill="background1"/>
            <w:vAlign w:val="center"/>
            <w:hideMark/>
          </w:tcPr>
          <w:p w:rsidR="00563BC6" w:rsidRPr="00990D06" w:rsidP="00563BC6" w14:paraId="1AFE0076" w14:textId="0D3C6013">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$1,160.40 </w:t>
            </w:r>
          </w:p>
        </w:tc>
      </w:tr>
      <w:tr w14:paraId="4832C0E9" w14:textId="77777777" w:rsidTr="00563BC6">
        <w:tblPrEx>
          <w:tblW w:w="9355" w:type="dxa"/>
          <w:tblLayout w:type="fixed"/>
          <w:tblLook w:val="04A0"/>
        </w:tblPrEx>
        <w:trPr>
          <w:trHeight w:val="288"/>
        </w:trPr>
        <w:tc>
          <w:tcPr>
            <w:tcW w:w="1525" w:type="dxa"/>
            <w:shd w:val="clear" w:color="auto" w:fill="auto"/>
            <w:vAlign w:val="center"/>
            <w:hideMark/>
          </w:tcPr>
          <w:p w:rsidR="00563BC6" w:rsidRPr="00990D06" w:rsidP="00563BC6" w14:paraId="33BB067D"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FFFFFF" w:themeFill="background1"/>
            <w:vAlign w:val="center"/>
            <w:hideMark/>
          </w:tcPr>
          <w:p w:rsidR="00563BC6" w:rsidRPr="00990D06" w:rsidP="00563BC6" w14:paraId="28F4BD08" w14:textId="570FA88E">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FFFFFF" w:themeFill="background1"/>
            <w:vAlign w:val="center"/>
            <w:hideMark/>
          </w:tcPr>
          <w:p w:rsidR="00563BC6" w:rsidRPr="00990D06" w:rsidP="00563BC6" w14:paraId="5004AAA8" w14:textId="4A1AE800">
            <w:pPr>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1170" w:type="dxa"/>
            <w:shd w:val="clear" w:color="auto" w:fill="FFFFFF" w:themeFill="background1"/>
            <w:vAlign w:val="center"/>
            <w:hideMark/>
          </w:tcPr>
          <w:p w:rsidR="00563BC6" w:rsidRPr="00990D06" w:rsidP="00563BC6" w14:paraId="5E13C533" w14:textId="7E02896B">
            <w:pPr>
              <w:spacing w:after="0"/>
              <w:jc w:val="center"/>
              <w:rPr>
                <w:rFonts w:eastAsia="Times New Roman" w:asciiTheme="minorHAnsi" w:hAnsiTheme="minorHAnsi" w:cstheme="minorHAnsi"/>
                <w:color w:val="000000"/>
                <w:sz w:val="20"/>
                <w:szCs w:val="20"/>
              </w:rPr>
            </w:pPr>
            <w:r w:rsidRPr="00563BC6">
              <w:rPr>
                <w:bCs/>
                <w:color w:val="000000"/>
                <w:sz w:val="20"/>
                <w:szCs w:val="20"/>
              </w:rPr>
              <w:t>8</w:t>
            </w:r>
          </w:p>
        </w:tc>
        <w:tc>
          <w:tcPr>
            <w:tcW w:w="1017" w:type="dxa"/>
            <w:shd w:val="clear" w:color="auto" w:fill="FFFFFF" w:themeFill="background1"/>
            <w:vAlign w:val="center"/>
            <w:hideMark/>
          </w:tcPr>
          <w:p w:rsidR="00563BC6" w:rsidRPr="00990D06" w:rsidP="00563BC6" w14:paraId="37810B05" w14:textId="47CCFAD4">
            <w:pPr>
              <w:spacing w:after="0"/>
              <w:jc w:val="center"/>
              <w:rPr>
                <w:rFonts w:eastAsia="Times New Roman" w:asciiTheme="minorHAnsi" w:hAnsiTheme="minorHAnsi" w:cstheme="minorHAnsi"/>
                <w:color w:val="000000"/>
                <w:sz w:val="20"/>
                <w:szCs w:val="20"/>
              </w:rPr>
            </w:pPr>
            <w:r w:rsidRPr="00563BC6">
              <w:rPr>
                <w:bCs/>
                <w:color w:val="000000"/>
                <w:sz w:val="20"/>
                <w:szCs w:val="20"/>
              </w:rPr>
              <w:t>1</w:t>
            </w:r>
          </w:p>
        </w:tc>
        <w:tc>
          <w:tcPr>
            <w:tcW w:w="873" w:type="dxa"/>
            <w:shd w:val="clear" w:color="auto" w:fill="FFFFFF" w:themeFill="background1"/>
            <w:vAlign w:val="center"/>
            <w:hideMark/>
          </w:tcPr>
          <w:p w:rsidR="00563BC6" w:rsidRPr="00990D06" w:rsidP="00563BC6" w14:paraId="6C90A252" w14:textId="532B80CF">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923" w:type="dxa"/>
            <w:shd w:val="clear" w:color="auto" w:fill="FFFFFF" w:themeFill="background1"/>
            <w:vAlign w:val="center"/>
            <w:hideMark/>
          </w:tcPr>
          <w:p w:rsidR="00563BC6" w:rsidRPr="00990D06" w:rsidP="00563BC6" w14:paraId="03B00606" w14:textId="6949A296">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FFFFFF" w:themeFill="background1"/>
            <w:vAlign w:val="center"/>
            <w:hideMark/>
          </w:tcPr>
          <w:p w:rsidR="00563BC6" w:rsidRPr="00990D06" w:rsidP="00563BC6" w14:paraId="12E3CCC1" w14:textId="1C60D294">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$386.80 </w:t>
            </w:r>
          </w:p>
        </w:tc>
      </w:tr>
      <w:tr w14:paraId="2EFF6570" w14:textId="77777777" w:rsidTr="00563BC6">
        <w:tblPrEx>
          <w:tblW w:w="9355" w:type="dxa"/>
          <w:tblLayout w:type="fixed"/>
          <w:tblLook w:val="04A0"/>
        </w:tblPrEx>
        <w:trPr>
          <w:trHeight w:val="288"/>
        </w:trPr>
        <w:tc>
          <w:tcPr>
            <w:tcW w:w="1525" w:type="dxa"/>
            <w:shd w:val="clear" w:color="auto" w:fill="auto"/>
            <w:vAlign w:val="center"/>
            <w:hideMark/>
          </w:tcPr>
          <w:p w:rsidR="00563BC6" w:rsidRPr="00990D06" w:rsidP="00563BC6" w14:paraId="5E1F7858"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FFFFFF" w:themeFill="background1"/>
            <w:vAlign w:val="center"/>
            <w:hideMark/>
          </w:tcPr>
          <w:p w:rsidR="00563BC6" w:rsidRPr="00990D06" w:rsidP="00563BC6" w14:paraId="7858AFAB" w14:textId="158A1773">
            <w:pPr>
              <w:spacing w:after="0"/>
              <w:jc w:val="center"/>
              <w:rPr>
                <w:rFonts w:eastAsia="Times New Roman" w:asciiTheme="minorHAnsi" w:hAnsiTheme="minorHAnsi" w:cstheme="minorHAnsi"/>
                <w:color w:val="000000"/>
                <w:sz w:val="20"/>
                <w:szCs w:val="20"/>
              </w:rPr>
            </w:pPr>
            <w:r w:rsidRPr="00563BC6">
              <w:rPr>
                <w:color w:val="000000"/>
                <w:sz w:val="20"/>
                <w:szCs w:val="20"/>
              </w:rPr>
              <w:t>8</w:t>
            </w:r>
          </w:p>
        </w:tc>
        <w:tc>
          <w:tcPr>
            <w:tcW w:w="1281" w:type="dxa"/>
            <w:shd w:val="clear" w:color="auto" w:fill="FFFFFF" w:themeFill="background1"/>
            <w:vAlign w:val="center"/>
            <w:hideMark/>
          </w:tcPr>
          <w:p w:rsidR="00563BC6" w:rsidRPr="00990D06" w:rsidP="00563BC6" w14:paraId="7D581BF1" w14:textId="6B1C99B0">
            <w:pPr>
              <w:spacing w:after="0"/>
              <w:jc w:val="center"/>
              <w:rPr>
                <w:rFonts w:eastAsia="Times New Roman" w:asciiTheme="minorHAnsi" w:hAnsiTheme="minorHAnsi" w:cstheme="minorHAnsi"/>
                <w:color w:val="000000"/>
                <w:sz w:val="20"/>
                <w:szCs w:val="20"/>
              </w:rPr>
            </w:pPr>
            <w:r w:rsidRPr="00563BC6">
              <w:rPr>
                <w:bCs/>
                <w:color w:val="000000"/>
                <w:sz w:val="20"/>
                <w:szCs w:val="20"/>
              </w:rPr>
              <w:t>4</w:t>
            </w:r>
          </w:p>
        </w:tc>
        <w:tc>
          <w:tcPr>
            <w:tcW w:w="1170" w:type="dxa"/>
            <w:shd w:val="clear" w:color="auto" w:fill="FFFFFF" w:themeFill="background1"/>
            <w:vAlign w:val="center"/>
            <w:hideMark/>
          </w:tcPr>
          <w:p w:rsidR="00563BC6" w:rsidRPr="00990D06" w:rsidP="00563BC6" w14:paraId="3834F140" w14:textId="2DE0F9A3">
            <w:pPr>
              <w:spacing w:after="0"/>
              <w:jc w:val="center"/>
              <w:rPr>
                <w:rFonts w:eastAsia="Times New Roman" w:asciiTheme="minorHAnsi" w:hAnsiTheme="minorHAnsi" w:cstheme="minorHAnsi"/>
                <w:color w:val="000000"/>
                <w:sz w:val="20"/>
                <w:szCs w:val="20"/>
              </w:rPr>
            </w:pPr>
            <w:r w:rsidRPr="00563BC6">
              <w:rPr>
                <w:color w:val="000000"/>
                <w:sz w:val="20"/>
                <w:szCs w:val="20"/>
              </w:rPr>
              <w:t>32</w:t>
            </w:r>
          </w:p>
        </w:tc>
        <w:tc>
          <w:tcPr>
            <w:tcW w:w="1017" w:type="dxa"/>
            <w:shd w:val="clear" w:color="auto" w:fill="FFFFFF" w:themeFill="background1"/>
            <w:vAlign w:val="center"/>
            <w:hideMark/>
          </w:tcPr>
          <w:p w:rsidR="00563BC6" w:rsidRPr="00990D06" w:rsidP="00563BC6" w14:paraId="6217F219" w14:textId="62BC2C5A">
            <w:pPr>
              <w:spacing w:after="0"/>
              <w:jc w:val="center"/>
              <w:rPr>
                <w:rFonts w:eastAsia="Times New Roman" w:asciiTheme="minorHAnsi" w:hAnsiTheme="minorHAnsi" w:cstheme="minorHAnsi"/>
                <w:color w:val="000000"/>
                <w:sz w:val="20"/>
                <w:szCs w:val="20"/>
              </w:rPr>
            </w:pPr>
            <w:r w:rsidRPr="00563BC6">
              <w:rPr>
                <w:bCs/>
                <w:color w:val="000000"/>
                <w:sz w:val="20"/>
                <w:szCs w:val="20"/>
              </w:rPr>
              <w:t>2</w:t>
            </w:r>
          </w:p>
        </w:tc>
        <w:tc>
          <w:tcPr>
            <w:tcW w:w="873" w:type="dxa"/>
            <w:shd w:val="clear" w:color="auto" w:fill="FFFFFF" w:themeFill="background1"/>
            <w:vAlign w:val="center"/>
            <w:hideMark/>
          </w:tcPr>
          <w:p w:rsidR="00563BC6" w:rsidRPr="00990D06" w:rsidP="00563BC6" w14:paraId="4BAF9EB8" w14:textId="28068603">
            <w:pPr>
              <w:spacing w:after="0"/>
              <w:jc w:val="center"/>
              <w:rPr>
                <w:rFonts w:eastAsia="Times New Roman" w:asciiTheme="minorHAnsi" w:hAnsiTheme="minorHAnsi" w:cstheme="minorHAnsi"/>
                <w:color w:val="000000"/>
                <w:sz w:val="20"/>
                <w:szCs w:val="20"/>
              </w:rPr>
            </w:pPr>
            <w:r w:rsidRPr="00563BC6">
              <w:rPr>
                <w:color w:val="000000"/>
                <w:sz w:val="20"/>
                <w:szCs w:val="20"/>
              </w:rPr>
              <w:t>64</w:t>
            </w:r>
          </w:p>
        </w:tc>
        <w:tc>
          <w:tcPr>
            <w:tcW w:w="923" w:type="dxa"/>
            <w:shd w:val="clear" w:color="auto" w:fill="FFFFFF" w:themeFill="background1"/>
            <w:vAlign w:val="center"/>
            <w:hideMark/>
          </w:tcPr>
          <w:p w:rsidR="00563BC6" w:rsidRPr="00990D06" w:rsidP="00563BC6" w14:paraId="2B68D96E" w14:textId="2023B098">
            <w:pPr>
              <w:spacing w:after="0"/>
              <w:jc w:val="right"/>
              <w:rPr>
                <w:rFonts w:eastAsia="Times New Roman" w:asciiTheme="minorHAnsi" w:hAnsiTheme="minorHAnsi" w:cstheme="minorHAnsi"/>
                <w:color w:val="000000"/>
                <w:sz w:val="20"/>
                <w:szCs w:val="20"/>
              </w:rPr>
            </w:pPr>
            <w:r w:rsidRPr="00563BC6">
              <w:rPr>
                <w:bCs/>
                <w:color w:val="000000"/>
                <w:sz w:val="20"/>
                <w:szCs w:val="20"/>
              </w:rPr>
              <w:t xml:space="preserve">$48.35 </w:t>
            </w:r>
          </w:p>
        </w:tc>
        <w:tc>
          <w:tcPr>
            <w:tcW w:w="1260" w:type="dxa"/>
            <w:shd w:val="clear" w:color="auto" w:fill="FFFFFF" w:themeFill="background1"/>
            <w:vAlign w:val="center"/>
            <w:hideMark/>
          </w:tcPr>
          <w:p w:rsidR="00563BC6" w:rsidRPr="00990D06" w:rsidP="00563BC6" w14:paraId="706A099B" w14:textId="20471E66">
            <w:pPr>
              <w:spacing w:after="0"/>
              <w:jc w:val="right"/>
              <w:rPr>
                <w:rFonts w:eastAsia="Times New Roman" w:asciiTheme="minorHAnsi" w:hAnsiTheme="minorHAnsi" w:cstheme="minorHAnsi"/>
                <w:color w:val="000000"/>
                <w:sz w:val="20"/>
                <w:szCs w:val="20"/>
              </w:rPr>
            </w:pPr>
            <w:r w:rsidRPr="00563BC6">
              <w:rPr>
                <w:color w:val="000000"/>
                <w:sz w:val="20"/>
                <w:szCs w:val="20"/>
              </w:rPr>
              <w:t xml:space="preserve">$3,094.40 </w:t>
            </w:r>
          </w:p>
        </w:tc>
      </w:tr>
      <w:tr w14:paraId="760C2FDD" w14:textId="77777777" w:rsidTr="00054F66">
        <w:tblPrEx>
          <w:tblW w:w="9355" w:type="dxa"/>
          <w:tblLayout w:type="fixed"/>
          <w:tblLook w:val="04A0"/>
        </w:tblPrEx>
        <w:trPr>
          <w:trHeight w:val="288"/>
        </w:trPr>
        <w:tc>
          <w:tcPr>
            <w:tcW w:w="1525" w:type="dxa"/>
            <w:shd w:val="clear" w:color="auto" w:fill="auto"/>
            <w:vAlign w:val="center"/>
            <w:hideMark/>
          </w:tcPr>
          <w:p w:rsidR="00563BC6" w:rsidRPr="00990D06" w:rsidP="00054F66" w14:paraId="16E34358"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FFFFFF" w:themeFill="background1"/>
            <w:vAlign w:val="center"/>
            <w:hideMark/>
          </w:tcPr>
          <w:p w:rsidR="00563BC6" w:rsidRPr="00990D06" w:rsidP="00054F66" w14:paraId="279B4FA7" w14:textId="58DB141E">
            <w:pPr>
              <w:spacing w:after="0"/>
              <w:jc w:val="center"/>
              <w:rPr>
                <w:rFonts w:eastAsia="Times New Roman" w:asciiTheme="minorHAnsi" w:hAnsiTheme="minorHAnsi" w:cstheme="minorHAnsi"/>
                <w:b/>
                <w:bCs/>
                <w:color w:val="000000"/>
                <w:sz w:val="20"/>
                <w:szCs w:val="20"/>
              </w:rPr>
            </w:pPr>
            <w:r w:rsidRPr="00054F66">
              <w:rPr>
                <w:b/>
                <w:bCs/>
                <w:color w:val="000000"/>
                <w:sz w:val="20"/>
                <w:szCs w:val="20"/>
              </w:rPr>
              <w:t>8</w:t>
            </w:r>
          </w:p>
        </w:tc>
        <w:tc>
          <w:tcPr>
            <w:tcW w:w="1281" w:type="dxa"/>
            <w:shd w:val="clear" w:color="auto" w:fill="FFFFFF" w:themeFill="background1"/>
            <w:noWrap/>
            <w:vAlign w:val="center"/>
            <w:hideMark/>
          </w:tcPr>
          <w:p w:rsidR="00563BC6" w:rsidRPr="00990D06" w:rsidP="00054F66" w14:paraId="0C4B747D" w14:textId="72C55F63">
            <w:pPr>
              <w:spacing w:after="0"/>
              <w:jc w:val="center"/>
              <w:rPr>
                <w:rFonts w:eastAsia="Times New Roman" w:asciiTheme="minorHAnsi" w:hAnsiTheme="minorHAnsi" w:cstheme="minorHAnsi"/>
                <w:b/>
                <w:bCs/>
                <w:color w:val="000000"/>
                <w:sz w:val="20"/>
                <w:szCs w:val="20"/>
              </w:rPr>
            </w:pPr>
            <w:r w:rsidRPr="00054F66">
              <w:rPr>
                <w:b/>
                <w:bCs/>
                <w:color w:val="000000"/>
                <w:sz w:val="20"/>
                <w:szCs w:val="20"/>
              </w:rPr>
              <w:t>6</w:t>
            </w:r>
          </w:p>
        </w:tc>
        <w:tc>
          <w:tcPr>
            <w:tcW w:w="1170" w:type="dxa"/>
            <w:shd w:val="clear" w:color="auto" w:fill="FFFFFF" w:themeFill="background1"/>
            <w:noWrap/>
            <w:vAlign w:val="center"/>
            <w:hideMark/>
          </w:tcPr>
          <w:p w:rsidR="00563BC6" w:rsidRPr="00990D06" w:rsidP="00054F66" w14:paraId="45C0A970" w14:textId="4A92FDDB">
            <w:pPr>
              <w:spacing w:after="0"/>
              <w:jc w:val="center"/>
              <w:rPr>
                <w:rFonts w:eastAsia="Times New Roman" w:asciiTheme="minorHAnsi" w:hAnsiTheme="minorHAnsi" w:cstheme="minorHAnsi"/>
                <w:b/>
                <w:bCs/>
                <w:color w:val="000000"/>
                <w:sz w:val="20"/>
                <w:szCs w:val="20"/>
              </w:rPr>
            </w:pPr>
            <w:r w:rsidRPr="00054F66">
              <w:rPr>
                <w:b/>
                <w:bCs/>
                <w:color w:val="000000"/>
                <w:sz w:val="20"/>
                <w:szCs w:val="20"/>
              </w:rPr>
              <w:t>48</w:t>
            </w:r>
          </w:p>
        </w:tc>
        <w:tc>
          <w:tcPr>
            <w:tcW w:w="1017" w:type="dxa"/>
            <w:shd w:val="clear" w:color="auto" w:fill="FFFFFF" w:themeFill="background1"/>
            <w:noWrap/>
            <w:vAlign w:val="center"/>
            <w:hideMark/>
          </w:tcPr>
          <w:p w:rsidR="00563BC6" w:rsidRPr="00990D06" w:rsidP="00054F66" w14:paraId="0B311937" w14:textId="4C6B126C">
            <w:pPr>
              <w:spacing w:after="0"/>
              <w:jc w:val="center"/>
              <w:rPr>
                <w:rFonts w:eastAsia="Times New Roman" w:asciiTheme="minorHAnsi" w:hAnsiTheme="minorHAnsi" w:cstheme="minorHAnsi"/>
                <w:b/>
                <w:bCs/>
                <w:color w:val="000000"/>
                <w:sz w:val="20"/>
                <w:szCs w:val="20"/>
              </w:rPr>
            </w:pPr>
            <w:r>
              <w:rPr>
                <w:b/>
                <w:bCs/>
                <w:color w:val="000000"/>
                <w:sz w:val="20"/>
                <w:szCs w:val="20"/>
              </w:rPr>
              <w:t>20</w:t>
            </w:r>
          </w:p>
        </w:tc>
        <w:tc>
          <w:tcPr>
            <w:tcW w:w="873" w:type="dxa"/>
            <w:shd w:val="clear" w:color="auto" w:fill="FFFFFF" w:themeFill="background1"/>
            <w:noWrap/>
            <w:vAlign w:val="center"/>
            <w:hideMark/>
          </w:tcPr>
          <w:p w:rsidR="00563BC6" w:rsidRPr="00990D06" w:rsidP="00054F66" w14:paraId="75A0F931" w14:textId="27EBD8D7">
            <w:pPr>
              <w:spacing w:after="0"/>
              <w:jc w:val="center"/>
              <w:rPr>
                <w:rFonts w:eastAsia="Times New Roman" w:asciiTheme="minorHAnsi" w:hAnsiTheme="minorHAnsi" w:cstheme="minorHAnsi"/>
                <w:b/>
                <w:bCs/>
                <w:color w:val="000000"/>
                <w:sz w:val="20"/>
                <w:szCs w:val="20"/>
              </w:rPr>
            </w:pPr>
            <w:r w:rsidRPr="00054F66">
              <w:rPr>
                <w:b/>
                <w:bCs/>
                <w:color w:val="000000"/>
                <w:sz w:val="20"/>
                <w:szCs w:val="20"/>
              </w:rPr>
              <w:t>96</w:t>
            </w:r>
          </w:p>
        </w:tc>
        <w:tc>
          <w:tcPr>
            <w:tcW w:w="923" w:type="dxa"/>
            <w:shd w:val="clear" w:color="auto" w:fill="FFFFFF" w:themeFill="background1"/>
            <w:noWrap/>
            <w:vAlign w:val="center"/>
            <w:hideMark/>
          </w:tcPr>
          <w:p w:rsidR="00563BC6" w:rsidRPr="00990D06" w:rsidP="00054F66" w14:paraId="3B84BF11" w14:textId="544217A2">
            <w:pPr>
              <w:spacing w:after="0"/>
              <w:jc w:val="right"/>
              <w:rPr>
                <w:rFonts w:eastAsia="Times New Roman" w:asciiTheme="minorHAnsi" w:hAnsiTheme="minorHAnsi" w:cstheme="minorHAnsi"/>
                <w:b/>
                <w:bCs/>
                <w:color w:val="000000"/>
                <w:sz w:val="20"/>
                <w:szCs w:val="20"/>
              </w:rPr>
            </w:pPr>
            <w:r w:rsidRPr="00054F66">
              <w:rPr>
                <w:b/>
                <w:bCs/>
                <w:color w:val="000000"/>
                <w:sz w:val="20"/>
                <w:szCs w:val="20"/>
              </w:rPr>
              <w:t>$</w:t>
            </w:r>
            <w:r w:rsidRPr="00054F66">
              <w:rPr>
                <w:b/>
                <w:bCs/>
                <w:color w:val="000000"/>
                <w:sz w:val="20"/>
                <w:szCs w:val="20"/>
              </w:rPr>
              <w:t>48.35</w:t>
            </w:r>
          </w:p>
        </w:tc>
        <w:tc>
          <w:tcPr>
            <w:tcW w:w="1260" w:type="dxa"/>
            <w:shd w:val="clear" w:color="auto" w:fill="FFFFFF" w:themeFill="background1"/>
            <w:noWrap/>
            <w:vAlign w:val="center"/>
            <w:hideMark/>
          </w:tcPr>
          <w:p w:rsidR="00563BC6" w:rsidRPr="00990D06" w:rsidP="00054F66" w14:paraId="6EA2C92A" w14:textId="0691892E">
            <w:pPr>
              <w:spacing w:after="0"/>
              <w:jc w:val="right"/>
              <w:rPr>
                <w:rFonts w:eastAsia="Times New Roman" w:asciiTheme="minorHAnsi" w:hAnsiTheme="minorHAnsi" w:cstheme="minorHAnsi"/>
                <w:b/>
                <w:bCs/>
                <w:color w:val="000000"/>
                <w:sz w:val="20"/>
                <w:szCs w:val="20"/>
              </w:rPr>
            </w:pPr>
            <w:r w:rsidRPr="00054F66">
              <w:rPr>
                <w:b/>
                <w:bCs/>
                <w:color w:val="000000"/>
                <w:sz w:val="20"/>
                <w:szCs w:val="20"/>
              </w:rPr>
              <w:t>$4,641.60</w:t>
            </w:r>
          </w:p>
        </w:tc>
      </w:tr>
    </w:tbl>
    <w:p w:rsidR="003262D9" w:rsidRPr="000D4206" w:rsidP="003262D9" w14:paraId="38E34F53" w14:textId="77777777">
      <w:pPr>
        <w:pStyle w:val="ExhibitNote1"/>
        <w:rPr>
          <w:rFonts w:cs="Times New Roman"/>
          <w:bCs/>
          <w:i/>
          <w:iCs/>
          <w:sz w:val="18"/>
          <w:szCs w:val="18"/>
        </w:rPr>
      </w:pPr>
      <w:r w:rsidRPr="000D4206">
        <w:rPr>
          <w:rFonts w:cs="Times New Roman"/>
          <w:i/>
          <w:iCs/>
          <w:sz w:val="18"/>
          <w:szCs w:val="18"/>
          <w:vertAlign w:val="superscript"/>
        </w:rPr>
        <w:t>1</w:t>
      </w:r>
      <w:r>
        <w:rPr>
          <w:rFonts w:cs="Times New Roman"/>
          <w:bCs/>
          <w:i/>
          <w:iCs/>
          <w:sz w:val="18"/>
          <w:szCs w:val="18"/>
        </w:rPr>
        <w:t>Average ho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5F2660" w:rsidRPr="009825F7" w:rsidP="003B3781" w14:paraId="5DD7881D" w14:textId="6482BDD0">
      <w:pPr>
        <w:pStyle w:val="ExhibitTitle"/>
        <w:spacing w:before="240" w:after="60"/>
        <w:rPr>
          <w:rFonts w:cs="Times New Roman"/>
          <w:sz w:val="24"/>
          <w:szCs w:val="24"/>
        </w:rPr>
      </w:pPr>
      <w:r w:rsidRPr="009825F7">
        <w:rPr>
          <w:rFonts w:cs="Times New Roman"/>
          <w:sz w:val="24"/>
          <w:szCs w:val="24"/>
        </w:rPr>
        <w:t xml:space="preserve">Table </w:t>
      </w:r>
      <w:r>
        <w:rPr>
          <w:rFonts w:cs="Times New Roman"/>
          <w:sz w:val="24"/>
          <w:szCs w:val="24"/>
        </w:rPr>
        <w:t>8</w:t>
      </w:r>
      <w:r w:rsidRPr="009825F7">
        <w:rPr>
          <w:rFonts w:cs="Times New Roman"/>
          <w:sz w:val="24"/>
          <w:szCs w:val="24"/>
        </w:rPr>
        <w:t xml:space="preserve">. Estimates </w:t>
      </w:r>
      <w:r w:rsidR="009776E5">
        <w:rPr>
          <w:rFonts w:cs="Times New Roman"/>
          <w:sz w:val="24"/>
          <w:szCs w:val="24"/>
        </w:rPr>
        <w:t>of</w:t>
      </w:r>
      <w:r w:rsidRPr="009825F7">
        <w:rPr>
          <w:rFonts w:cs="Times New Roman"/>
          <w:sz w:val="24"/>
          <w:szCs w:val="24"/>
        </w:rPr>
        <w:t xml:space="preserve"> Annual Burden for MAI PT Data Collection: Year </w:t>
      </w:r>
      <w:r>
        <w:rPr>
          <w:rFonts w:cs="Times New Roman"/>
          <w:sz w:val="24"/>
          <w:szCs w:val="24"/>
        </w:rPr>
        <w:t>5</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42443067" w14:textId="77777777" w:rsidTr="00AE4A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5F2660" w:rsidRPr="00990D06" w:rsidP="00AE4A83" w14:paraId="308DB5F3"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5F2660" w:rsidRPr="00990D06" w:rsidP="00AE4A83" w14:paraId="4789F6F4"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5F2660" w:rsidRPr="00990D06" w:rsidP="00AE4A83" w14:paraId="12D3DA04"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5F2660" w:rsidRPr="00990D06" w:rsidP="00AE4A83" w14:paraId="645F8A17"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5F2660" w:rsidRPr="00990D06" w:rsidP="00AE4A83" w14:paraId="40418EDD"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5F2660" w:rsidRPr="00990D06" w:rsidP="00AE4A83" w14:paraId="2E128D74"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5F2660" w:rsidRPr="00990D06" w:rsidP="00AE4A83" w14:paraId="18C95477"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5F2660" w:rsidRPr="00990D06" w:rsidP="00AE4A83" w14:paraId="7EBA0AF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758686EE" w14:textId="77777777" w:rsidTr="00AE4A83">
        <w:tblPrEx>
          <w:tblW w:w="9355" w:type="dxa"/>
          <w:tblLayout w:type="fixed"/>
          <w:tblLook w:val="04A0"/>
        </w:tblPrEx>
        <w:trPr>
          <w:trHeight w:val="288"/>
        </w:trPr>
        <w:tc>
          <w:tcPr>
            <w:tcW w:w="1525" w:type="dxa"/>
            <w:shd w:val="clear" w:color="auto" w:fill="auto"/>
            <w:vAlign w:val="center"/>
            <w:hideMark/>
          </w:tcPr>
          <w:p w:rsidR="00062B06" w:rsidRPr="00990D06" w:rsidP="00062B06" w14:paraId="4D01A494"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auto"/>
            <w:vAlign w:val="center"/>
            <w:hideMark/>
          </w:tcPr>
          <w:p w:rsidR="00062B06" w:rsidRPr="00990D06" w:rsidP="00062B06" w14:paraId="53138E57" w14:textId="4C658435">
            <w:pPr>
              <w:spacing w:after="0"/>
              <w:jc w:val="center"/>
              <w:rPr>
                <w:rFonts w:eastAsia="Times New Roman" w:asciiTheme="minorHAnsi" w:hAnsiTheme="minorHAnsi" w:cstheme="minorHAnsi"/>
                <w:color w:val="000000"/>
                <w:sz w:val="20"/>
                <w:szCs w:val="20"/>
              </w:rPr>
            </w:pPr>
            <w:r w:rsidRPr="00062B06">
              <w:rPr>
                <w:color w:val="000000"/>
                <w:sz w:val="20"/>
                <w:szCs w:val="20"/>
              </w:rPr>
              <w:t>8</w:t>
            </w:r>
          </w:p>
        </w:tc>
        <w:tc>
          <w:tcPr>
            <w:tcW w:w="1281" w:type="dxa"/>
            <w:shd w:val="clear" w:color="auto" w:fill="auto"/>
            <w:vAlign w:val="center"/>
            <w:hideMark/>
          </w:tcPr>
          <w:p w:rsidR="00062B06" w:rsidRPr="00990D06" w:rsidP="00062B06" w14:paraId="304891DF" w14:textId="70286190">
            <w:pPr>
              <w:spacing w:after="0"/>
              <w:jc w:val="center"/>
              <w:rPr>
                <w:rFonts w:eastAsia="Times New Roman" w:asciiTheme="minorHAnsi" w:hAnsiTheme="minorHAnsi" w:cstheme="minorHAnsi"/>
                <w:color w:val="000000"/>
                <w:sz w:val="20"/>
                <w:szCs w:val="20"/>
              </w:rPr>
            </w:pPr>
            <w:r w:rsidRPr="00062B06">
              <w:rPr>
                <w:bCs/>
                <w:color w:val="000000"/>
                <w:sz w:val="20"/>
                <w:szCs w:val="20"/>
              </w:rPr>
              <w:t>0</w:t>
            </w:r>
          </w:p>
        </w:tc>
        <w:tc>
          <w:tcPr>
            <w:tcW w:w="1170" w:type="dxa"/>
            <w:shd w:val="clear" w:color="auto" w:fill="auto"/>
            <w:vAlign w:val="center"/>
            <w:hideMark/>
          </w:tcPr>
          <w:p w:rsidR="00062B06" w:rsidRPr="00990D06" w:rsidP="00062B06" w14:paraId="6B10F1EC" w14:textId="55899741">
            <w:pPr>
              <w:spacing w:after="0"/>
              <w:jc w:val="center"/>
              <w:rPr>
                <w:rFonts w:eastAsia="Times New Roman" w:asciiTheme="minorHAnsi" w:hAnsiTheme="minorHAnsi" w:cstheme="minorHAnsi"/>
                <w:color w:val="000000"/>
                <w:sz w:val="20"/>
                <w:szCs w:val="20"/>
              </w:rPr>
            </w:pPr>
            <w:r w:rsidRPr="00062B06">
              <w:rPr>
                <w:color w:val="000000"/>
                <w:sz w:val="20"/>
                <w:szCs w:val="20"/>
              </w:rPr>
              <w:t>0</w:t>
            </w:r>
          </w:p>
        </w:tc>
        <w:tc>
          <w:tcPr>
            <w:tcW w:w="1017" w:type="dxa"/>
            <w:shd w:val="clear" w:color="auto" w:fill="auto"/>
            <w:vAlign w:val="center"/>
            <w:hideMark/>
          </w:tcPr>
          <w:p w:rsidR="00062B06" w:rsidRPr="00990D06" w:rsidP="00062B06" w14:paraId="041DE9BE" w14:textId="42AE922D">
            <w:pPr>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auto"/>
            <w:vAlign w:val="center"/>
            <w:hideMark/>
          </w:tcPr>
          <w:p w:rsidR="00062B06" w:rsidRPr="00990D06" w:rsidP="00062B06" w14:paraId="0A9CCD02" w14:textId="52693F8D">
            <w:pPr>
              <w:spacing w:after="0"/>
              <w:jc w:val="center"/>
              <w:rPr>
                <w:rFonts w:eastAsia="Times New Roman" w:asciiTheme="minorHAnsi" w:hAnsiTheme="minorHAnsi" w:cstheme="minorHAnsi"/>
                <w:color w:val="000000"/>
                <w:sz w:val="20"/>
                <w:szCs w:val="20"/>
              </w:rPr>
            </w:pPr>
            <w:r w:rsidRPr="00062B06">
              <w:rPr>
                <w:color w:val="000000"/>
                <w:sz w:val="20"/>
                <w:szCs w:val="20"/>
              </w:rPr>
              <w:t>0</w:t>
            </w:r>
          </w:p>
        </w:tc>
        <w:tc>
          <w:tcPr>
            <w:tcW w:w="923" w:type="dxa"/>
            <w:shd w:val="clear" w:color="auto" w:fill="auto"/>
            <w:vAlign w:val="center"/>
            <w:hideMark/>
          </w:tcPr>
          <w:p w:rsidR="00062B06" w:rsidRPr="00990D06" w:rsidP="00062B06" w14:paraId="3C7174EF" w14:textId="6D166EB1">
            <w:pPr>
              <w:spacing w:after="0"/>
              <w:jc w:val="right"/>
              <w:rPr>
                <w:rFonts w:eastAsia="Times New Roman" w:asciiTheme="minorHAnsi" w:hAnsiTheme="minorHAnsi" w:cstheme="minorHAnsi"/>
                <w:color w:val="000000"/>
                <w:sz w:val="20"/>
                <w:szCs w:val="20"/>
              </w:rPr>
            </w:pPr>
            <w:r w:rsidRPr="00062B06">
              <w:rPr>
                <w:bCs/>
                <w:color w:val="000000"/>
                <w:sz w:val="20"/>
                <w:szCs w:val="20"/>
              </w:rPr>
              <w:t xml:space="preserve">$48.35 </w:t>
            </w:r>
          </w:p>
        </w:tc>
        <w:tc>
          <w:tcPr>
            <w:tcW w:w="1260" w:type="dxa"/>
            <w:shd w:val="clear" w:color="auto" w:fill="auto"/>
            <w:vAlign w:val="center"/>
            <w:hideMark/>
          </w:tcPr>
          <w:p w:rsidR="00062B06" w:rsidRPr="00990D06" w:rsidP="00062B06" w14:paraId="679FB8EF" w14:textId="1E09F46C">
            <w:pPr>
              <w:spacing w:after="0"/>
              <w:jc w:val="right"/>
              <w:rPr>
                <w:rFonts w:eastAsia="Times New Roman" w:asciiTheme="minorHAnsi" w:hAnsiTheme="minorHAnsi" w:cstheme="minorHAnsi"/>
                <w:color w:val="000000"/>
                <w:sz w:val="20"/>
                <w:szCs w:val="20"/>
              </w:rPr>
            </w:pPr>
            <w:r w:rsidRPr="00062B06">
              <w:rPr>
                <w:color w:val="000000"/>
                <w:sz w:val="20"/>
                <w:szCs w:val="20"/>
              </w:rPr>
              <w:t xml:space="preserve">$0.00 </w:t>
            </w:r>
          </w:p>
        </w:tc>
      </w:tr>
      <w:tr w14:paraId="2C2F45B5" w14:textId="77777777" w:rsidTr="00AE4A83">
        <w:tblPrEx>
          <w:tblW w:w="9355" w:type="dxa"/>
          <w:tblLayout w:type="fixed"/>
          <w:tblLook w:val="04A0"/>
        </w:tblPrEx>
        <w:trPr>
          <w:trHeight w:val="288"/>
        </w:trPr>
        <w:tc>
          <w:tcPr>
            <w:tcW w:w="1525" w:type="dxa"/>
            <w:shd w:val="clear" w:color="auto" w:fill="auto"/>
            <w:vAlign w:val="center"/>
            <w:hideMark/>
          </w:tcPr>
          <w:p w:rsidR="00062B06" w:rsidRPr="00990D06" w:rsidP="00062B06" w14:paraId="44F35E0F"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auto"/>
            <w:vAlign w:val="center"/>
            <w:hideMark/>
          </w:tcPr>
          <w:p w:rsidR="00062B06" w:rsidRPr="00990D06" w:rsidP="00062B06" w14:paraId="476C3A31" w14:textId="3D06792C">
            <w:pPr>
              <w:spacing w:after="0"/>
              <w:jc w:val="center"/>
              <w:rPr>
                <w:rFonts w:eastAsia="Times New Roman" w:asciiTheme="minorHAnsi" w:hAnsiTheme="minorHAnsi" w:cstheme="minorHAnsi"/>
                <w:color w:val="000000"/>
                <w:sz w:val="20"/>
                <w:szCs w:val="20"/>
              </w:rPr>
            </w:pPr>
            <w:r w:rsidRPr="00062B06">
              <w:rPr>
                <w:color w:val="000000"/>
                <w:sz w:val="20"/>
                <w:szCs w:val="20"/>
              </w:rPr>
              <w:t>8</w:t>
            </w:r>
          </w:p>
        </w:tc>
        <w:tc>
          <w:tcPr>
            <w:tcW w:w="1281" w:type="dxa"/>
            <w:shd w:val="clear" w:color="auto" w:fill="auto"/>
            <w:vAlign w:val="center"/>
            <w:hideMark/>
          </w:tcPr>
          <w:p w:rsidR="00062B06" w:rsidRPr="00990D06" w:rsidP="00062B06" w14:paraId="1E01545A" w14:textId="4C0502FB">
            <w:pPr>
              <w:spacing w:after="0"/>
              <w:jc w:val="center"/>
              <w:rPr>
                <w:rFonts w:eastAsia="Times New Roman" w:asciiTheme="minorHAnsi" w:hAnsiTheme="minorHAnsi" w:cstheme="minorHAnsi"/>
                <w:color w:val="000000"/>
                <w:sz w:val="20"/>
                <w:szCs w:val="20"/>
              </w:rPr>
            </w:pPr>
            <w:r w:rsidRPr="00062B06">
              <w:rPr>
                <w:color w:val="000000"/>
                <w:sz w:val="20"/>
                <w:szCs w:val="20"/>
              </w:rPr>
              <w:t>1</w:t>
            </w:r>
          </w:p>
        </w:tc>
        <w:tc>
          <w:tcPr>
            <w:tcW w:w="1170" w:type="dxa"/>
            <w:shd w:val="clear" w:color="auto" w:fill="auto"/>
            <w:vAlign w:val="center"/>
            <w:hideMark/>
          </w:tcPr>
          <w:p w:rsidR="00062B06" w:rsidRPr="00990D06" w:rsidP="00062B06" w14:paraId="340DBF69" w14:textId="59A0CE6C">
            <w:pPr>
              <w:spacing w:after="0"/>
              <w:jc w:val="center"/>
              <w:rPr>
                <w:rFonts w:eastAsia="Times New Roman" w:asciiTheme="minorHAnsi" w:hAnsiTheme="minorHAnsi" w:cstheme="minorHAnsi"/>
                <w:color w:val="000000"/>
                <w:sz w:val="20"/>
                <w:szCs w:val="20"/>
              </w:rPr>
            </w:pPr>
            <w:r w:rsidRPr="00062B06">
              <w:rPr>
                <w:bCs/>
                <w:color w:val="000000"/>
                <w:sz w:val="20"/>
                <w:szCs w:val="20"/>
              </w:rPr>
              <w:t>8</w:t>
            </w:r>
          </w:p>
        </w:tc>
        <w:tc>
          <w:tcPr>
            <w:tcW w:w="1017" w:type="dxa"/>
            <w:shd w:val="clear" w:color="auto" w:fill="auto"/>
            <w:vAlign w:val="center"/>
            <w:hideMark/>
          </w:tcPr>
          <w:p w:rsidR="00062B06" w:rsidRPr="00990D06" w:rsidP="00062B06" w14:paraId="0E74FA43" w14:textId="0CEDB1B7">
            <w:pPr>
              <w:spacing w:after="0"/>
              <w:jc w:val="center"/>
              <w:rPr>
                <w:rFonts w:eastAsia="Times New Roman" w:asciiTheme="minorHAnsi" w:hAnsiTheme="minorHAnsi" w:cstheme="minorHAnsi"/>
                <w:color w:val="000000"/>
                <w:sz w:val="20"/>
                <w:szCs w:val="20"/>
              </w:rPr>
            </w:pPr>
            <w:r w:rsidRPr="00062B06">
              <w:rPr>
                <w:bCs/>
                <w:color w:val="000000"/>
                <w:sz w:val="20"/>
                <w:szCs w:val="20"/>
              </w:rPr>
              <w:t>3</w:t>
            </w:r>
          </w:p>
        </w:tc>
        <w:tc>
          <w:tcPr>
            <w:tcW w:w="873" w:type="dxa"/>
            <w:shd w:val="clear" w:color="auto" w:fill="auto"/>
            <w:vAlign w:val="center"/>
            <w:hideMark/>
          </w:tcPr>
          <w:p w:rsidR="00062B06" w:rsidRPr="00990D06" w:rsidP="00062B06" w14:paraId="38B18B05" w14:textId="211E687C">
            <w:pPr>
              <w:spacing w:after="0"/>
              <w:jc w:val="center"/>
              <w:rPr>
                <w:rFonts w:eastAsia="Times New Roman" w:asciiTheme="minorHAnsi" w:hAnsiTheme="minorHAnsi" w:cstheme="minorHAnsi"/>
                <w:color w:val="000000"/>
                <w:sz w:val="20"/>
                <w:szCs w:val="20"/>
              </w:rPr>
            </w:pPr>
            <w:r w:rsidRPr="00062B06">
              <w:rPr>
                <w:color w:val="000000"/>
                <w:sz w:val="20"/>
                <w:szCs w:val="20"/>
              </w:rPr>
              <w:t>24</w:t>
            </w:r>
          </w:p>
        </w:tc>
        <w:tc>
          <w:tcPr>
            <w:tcW w:w="923" w:type="dxa"/>
            <w:shd w:val="clear" w:color="auto" w:fill="auto"/>
            <w:vAlign w:val="center"/>
            <w:hideMark/>
          </w:tcPr>
          <w:p w:rsidR="00062B06" w:rsidRPr="00990D06" w:rsidP="00062B06" w14:paraId="0E2F1EE1" w14:textId="291D1097">
            <w:pPr>
              <w:spacing w:after="0"/>
              <w:jc w:val="right"/>
              <w:rPr>
                <w:rFonts w:eastAsia="Times New Roman" w:asciiTheme="minorHAnsi" w:hAnsiTheme="minorHAnsi" w:cstheme="minorHAnsi"/>
                <w:color w:val="000000"/>
                <w:sz w:val="20"/>
                <w:szCs w:val="20"/>
              </w:rPr>
            </w:pPr>
            <w:r w:rsidRPr="00062B06">
              <w:rPr>
                <w:color w:val="000000"/>
                <w:sz w:val="20"/>
                <w:szCs w:val="20"/>
              </w:rPr>
              <w:t xml:space="preserve">$48.35 </w:t>
            </w:r>
          </w:p>
        </w:tc>
        <w:tc>
          <w:tcPr>
            <w:tcW w:w="1260" w:type="dxa"/>
            <w:shd w:val="clear" w:color="auto" w:fill="auto"/>
            <w:vAlign w:val="center"/>
            <w:hideMark/>
          </w:tcPr>
          <w:p w:rsidR="00062B06" w:rsidRPr="00990D06" w:rsidP="00062B06" w14:paraId="40C04BF8" w14:textId="659AB96C">
            <w:pPr>
              <w:spacing w:after="0"/>
              <w:jc w:val="right"/>
              <w:rPr>
                <w:rFonts w:eastAsia="Times New Roman" w:asciiTheme="minorHAnsi" w:hAnsiTheme="minorHAnsi" w:cstheme="minorHAnsi"/>
                <w:color w:val="000000"/>
                <w:sz w:val="20"/>
                <w:szCs w:val="20"/>
              </w:rPr>
            </w:pPr>
            <w:r w:rsidRPr="00062B06">
              <w:rPr>
                <w:color w:val="000000"/>
                <w:sz w:val="20"/>
                <w:szCs w:val="20"/>
              </w:rPr>
              <w:t xml:space="preserve">$1,160.40 </w:t>
            </w:r>
          </w:p>
        </w:tc>
      </w:tr>
      <w:tr w14:paraId="1940933E" w14:textId="77777777" w:rsidTr="00AE4A83">
        <w:tblPrEx>
          <w:tblW w:w="9355" w:type="dxa"/>
          <w:tblLayout w:type="fixed"/>
          <w:tblLook w:val="04A0"/>
        </w:tblPrEx>
        <w:trPr>
          <w:trHeight w:val="288"/>
        </w:trPr>
        <w:tc>
          <w:tcPr>
            <w:tcW w:w="1525" w:type="dxa"/>
            <w:shd w:val="clear" w:color="auto" w:fill="auto"/>
            <w:vAlign w:val="center"/>
            <w:hideMark/>
          </w:tcPr>
          <w:p w:rsidR="00062B06" w:rsidRPr="00990D06" w:rsidP="00062B06" w14:paraId="2C91F7B6"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auto"/>
            <w:vAlign w:val="center"/>
            <w:hideMark/>
          </w:tcPr>
          <w:p w:rsidR="00062B06" w:rsidRPr="00990D06" w:rsidP="00062B06" w14:paraId="76D8DB7A" w14:textId="50C4F9BD">
            <w:pPr>
              <w:spacing w:after="0"/>
              <w:jc w:val="center"/>
              <w:rPr>
                <w:rFonts w:eastAsia="Times New Roman" w:asciiTheme="minorHAnsi" w:hAnsiTheme="minorHAnsi" w:cstheme="minorHAnsi"/>
                <w:color w:val="000000"/>
                <w:sz w:val="20"/>
                <w:szCs w:val="20"/>
              </w:rPr>
            </w:pPr>
            <w:r w:rsidRPr="00062B06">
              <w:rPr>
                <w:color w:val="000000"/>
                <w:sz w:val="20"/>
                <w:szCs w:val="20"/>
              </w:rPr>
              <w:t>8</w:t>
            </w:r>
          </w:p>
        </w:tc>
        <w:tc>
          <w:tcPr>
            <w:tcW w:w="1281" w:type="dxa"/>
            <w:shd w:val="clear" w:color="auto" w:fill="auto"/>
            <w:vAlign w:val="center"/>
            <w:hideMark/>
          </w:tcPr>
          <w:p w:rsidR="00062B06" w:rsidRPr="00990D06" w:rsidP="00062B06" w14:paraId="7868D9C4" w14:textId="35A8DFB0">
            <w:pPr>
              <w:spacing w:after="0"/>
              <w:jc w:val="center"/>
              <w:rPr>
                <w:rFonts w:eastAsia="Times New Roman" w:asciiTheme="minorHAnsi" w:hAnsiTheme="minorHAnsi" w:cstheme="minorHAnsi"/>
                <w:color w:val="000000"/>
                <w:sz w:val="20"/>
                <w:szCs w:val="20"/>
              </w:rPr>
            </w:pPr>
            <w:r w:rsidRPr="00062B06">
              <w:rPr>
                <w:bCs/>
                <w:color w:val="000000"/>
                <w:sz w:val="20"/>
                <w:szCs w:val="20"/>
              </w:rPr>
              <w:t>1</w:t>
            </w:r>
          </w:p>
        </w:tc>
        <w:tc>
          <w:tcPr>
            <w:tcW w:w="1170" w:type="dxa"/>
            <w:shd w:val="clear" w:color="auto" w:fill="auto"/>
            <w:vAlign w:val="center"/>
            <w:hideMark/>
          </w:tcPr>
          <w:p w:rsidR="00062B06" w:rsidRPr="00990D06" w:rsidP="00062B06" w14:paraId="69773D8B" w14:textId="7734D154">
            <w:pPr>
              <w:spacing w:after="0"/>
              <w:jc w:val="center"/>
              <w:rPr>
                <w:rFonts w:eastAsia="Times New Roman" w:asciiTheme="minorHAnsi" w:hAnsiTheme="minorHAnsi" w:cstheme="minorHAnsi"/>
                <w:color w:val="000000"/>
                <w:sz w:val="20"/>
                <w:szCs w:val="20"/>
              </w:rPr>
            </w:pPr>
            <w:r w:rsidRPr="00062B06">
              <w:rPr>
                <w:bCs/>
                <w:color w:val="000000"/>
                <w:sz w:val="20"/>
                <w:szCs w:val="20"/>
              </w:rPr>
              <w:t>8</w:t>
            </w:r>
          </w:p>
        </w:tc>
        <w:tc>
          <w:tcPr>
            <w:tcW w:w="1017" w:type="dxa"/>
            <w:shd w:val="clear" w:color="auto" w:fill="auto"/>
            <w:vAlign w:val="center"/>
            <w:hideMark/>
          </w:tcPr>
          <w:p w:rsidR="00062B06" w:rsidRPr="00990D06" w:rsidP="00062B06" w14:paraId="1E80FBC1" w14:textId="43C80F40">
            <w:pPr>
              <w:spacing w:after="0"/>
              <w:jc w:val="center"/>
              <w:rPr>
                <w:rFonts w:eastAsia="Times New Roman" w:asciiTheme="minorHAnsi" w:hAnsiTheme="minorHAnsi" w:cstheme="minorHAnsi"/>
                <w:color w:val="000000"/>
                <w:sz w:val="20"/>
                <w:szCs w:val="20"/>
              </w:rPr>
            </w:pPr>
            <w:r w:rsidRPr="00062B06">
              <w:rPr>
                <w:bCs/>
                <w:color w:val="000000"/>
                <w:sz w:val="20"/>
                <w:szCs w:val="20"/>
              </w:rPr>
              <w:t>1</w:t>
            </w:r>
          </w:p>
        </w:tc>
        <w:tc>
          <w:tcPr>
            <w:tcW w:w="873" w:type="dxa"/>
            <w:shd w:val="clear" w:color="auto" w:fill="auto"/>
            <w:vAlign w:val="center"/>
            <w:hideMark/>
          </w:tcPr>
          <w:p w:rsidR="00062B06" w:rsidRPr="00990D06" w:rsidP="00062B06" w14:paraId="5546D110" w14:textId="60415943">
            <w:pPr>
              <w:spacing w:after="0"/>
              <w:jc w:val="center"/>
              <w:rPr>
                <w:rFonts w:eastAsia="Times New Roman" w:asciiTheme="minorHAnsi" w:hAnsiTheme="minorHAnsi" w:cstheme="minorHAnsi"/>
                <w:color w:val="000000"/>
                <w:sz w:val="20"/>
                <w:szCs w:val="20"/>
              </w:rPr>
            </w:pPr>
            <w:r w:rsidRPr="00062B06">
              <w:rPr>
                <w:color w:val="000000"/>
                <w:sz w:val="20"/>
                <w:szCs w:val="20"/>
              </w:rPr>
              <w:t>8</w:t>
            </w:r>
          </w:p>
        </w:tc>
        <w:tc>
          <w:tcPr>
            <w:tcW w:w="923" w:type="dxa"/>
            <w:shd w:val="clear" w:color="auto" w:fill="auto"/>
            <w:vAlign w:val="center"/>
            <w:hideMark/>
          </w:tcPr>
          <w:p w:rsidR="00062B06" w:rsidRPr="00990D06" w:rsidP="00062B06" w14:paraId="18CF2443" w14:textId="14B003D0">
            <w:pPr>
              <w:spacing w:after="0"/>
              <w:jc w:val="right"/>
              <w:rPr>
                <w:rFonts w:eastAsia="Times New Roman" w:asciiTheme="minorHAnsi" w:hAnsiTheme="minorHAnsi" w:cstheme="minorHAnsi"/>
                <w:color w:val="000000"/>
                <w:sz w:val="20"/>
                <w:szCs w:val="20"/>
              </w:rPr>
            </w:pPr>
            <w:r w:rsidRPr="00062B06">
              <w:rPr>
                <w:bCs/>
                <w:color w:val="000000"/>
                <w:sz w:val="20"/>
                <w:szCs w:val="20"/>
              </w:rPr>
              <w:t xml:space="preserve">$48.35 </w:t>
            </w:r>
          </w:p>
        </w:tc>
        <w:tc>
          <w:tcPr>
            <w:tcW w:w="1260" w:type="dxa"/>
            <w:shd w:val="clear" w:color="auto" w:fill="auto"/>
            <w:vAlign w:val="center"/>
            <w:hideMark/>
          </w:tcPr>
          <w:p w:rsidR="00062B06" w:rsidRPr="00990D06" w:rsidP="00062B06" w14:paraId="5DAEE2D3" w14:textId="6B2E278B">
            <w:pPr>
              <w:spacing w:after="0"/>
              <w:jc w:val="right"/>
              <w:rPr>
                <w:rFonts w:eastAsia="Times New Roman" w:asciiTheme="minorHAnsi" w:hAnsiTheme="minorHAnsi" w:cstheme="minorHAnsi"/>
                <w:color w:val="000000"/>
                <w:sz w:val="20"/>
                <w:szCs w:val="20"/>
              </w:rPr>
            </w:pPr>
            <w:r w:rsidRPr="00062B06">
              <w:rPr>
                <w:color w:val="000000"/>
                <w:sz w:val="20"/>
                <w:szCs w:val="20"/>
              </w:rPr>
              <w:t xml:space="preserve">$386.80 </w:t>
            </w:r>
          </w:p>
        </w:tc>
      </w:tr>
      <w:tr w14:paraId="782668B1" w14:textId="77777777" w:rsidTr="00AE4A83">
        <w:tblPrEx>
          <w:tblW w:w="9355" w:type="dxa"/>
          <w:tblLayout w:type="fixed"/>
          <w:tblLook w:val="04A0"/>
        </w:tblPrEx>
        <w:trPr>
          <w:trHeight w:val="288"/>
        </w:trPr>
        <w:tc>
          <w:tcPr>
            <w:tcW w:w="1525" w:type="dxa"/>
            <w:shd w:val="clear" w:color="auto" w:fill="auto"/>
            <w:vAlign w:val="center"/>
            <w:hideMark/>
          </w:tcPr>
          <w:p w:rsidR="00062B06" w:rsidRPr="00990D06" w:rsidP="00062B06" w14:paraId="5D5D7C27"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auto"/>
            <w:vAlign w:val="center"/>
            <w:hideMark/>
          </w:tcPr>
          <w:p w:rsidR="00062B06" w:rsidRPr="00990D06" w:rsidP="00062B06" w14:paraId="6670BAB5" w14:textId="4C50A609">
            <w:pPr>
              <w:spacing w:after="0"/>
              <w:jc w:val="center"/>
              <w:rPr>
                <w:rFonts w:eastAsia="Times New Roman" w:asciiTheme="minorHAnsi" w:hAnsiTheme="minorHAnsi" w:cstheme="minorHAnsi"/>
                <w:color w:val="000000"/>
                <w:sz w:val="20"/>
                <w:szCs w:val="20"/>
              </w:rPr>
            </w:pPr>
            <w:r w:rsidRPr="00062B06">
              <w:rPr>
                <w:color w:val="000000"/>
                <w:sz w:val="20"/>
                <w:szCs w:val="20"/>
              </w:rPr>
              <w:t>8</w:t>
            </w:r>
          </w:p>
        </w:tc>
        <w:tc>
          <w:tcPr>
            <w:tcW w:w="1281" w:type="dxa"/>
            <w:shd w:val="clear" w:color="auto" w:fill="auto"/>
            <w:vAlign w:val="center"/>
            <w:hideMark/>
          </w:tcPr>
          <w:p w:rsidR="00062B06" w:rsidRPr="00990D06" w:rsidP="00062B06" w14:paraId="0DB7AA18" w14:textId="5C6F2C8A">
            <w:pPr>
              <w:spacing w:after="0"/>
              <w:jc w:val="center"/>
              <w:rPr>
                <w:rFonts w:eastAsia="Times New Roman" w:asciiTheme="minorHAnsi" w:hAnsiTheme="minorHAnsi" w:cstheme="minorHAnsi"/>
                <w:color w:val="000000"/>
                <w:sz w:val="20"/>
                <w:szCs w:val="20"/>
              </w:rPr>
            </w:pPr>
            <w:r w:rsidRPr="00062B06">
              <w:rPr>
                <w:bCs/>
                <w:color w:val="000000"/>
                <w:sz w:val="20"/>
                <w:szCs w:val="20"/>
              </w:rPr>
              <w:t>4</w:t>
            </w:r>
          </w:p>
        </w:tc>
        <w:tc>
          <w:tcPr>
            <w:tcW w:w="1170" w:type="dxa"/>
            <w:shd w:val="clear" w:color="auto" w:fill="auto"/>
            <w:vAlign w:val="center"/>
            <w:hideMark/>
          </w:tcPr>
          <w:p w:rsidR="00062B06" w:rsidRPr="00990D06" w:rsidP="00062B06" w14:paraId="5A050341" w14:textId="6BE4D0FB">
            <w:pPr>
              <w:spacing w:after="0"/>
              <w:jc w:val="center"/>
              <w:rPr>
                <w:rFonts w:eastAsia="Times New Roman" w:asciiTheme="minorHAnsi" w:hAnsiTheme="minorHAnsi" w:cstheme="minorHAnsi"/>
                <w:color w:val="000000"/>
                <w:sz w:val="20"/>
                <w:szCs w:val="20"/>
              </w:rPr>
            </w:pPr>
            <w:r w:rsidRPr="00062B06">
              <w:rPr>
                <w:color w:val="000000"/>
                <w:sz w:val="20"/>
                <w:szCs w:val="20"/>
              </w:rPr>
              <w:t>32</w:t>
            </w:r>
          </w:p>
        </w:tc>
        <w:tc>
          <w:tcPr>
            <w:tcW w:w="1017" w:type="dxa"/>
            <w:shd w:val="clear" w:color="auto" w:fill="auto"/>
            <w:vAlign w:val="center"/>
            <w:hideMark/>
          </w:tcPr>
          <w:p w:rsidR="00062B06" w:rsidRPr="00990D06" w:rsidP="00062B06" w14:paraId="0D5AB8B9" w14:textId="4F89143D">
            <w:pPr>
              <w:spacing w:after="0"/>
              <w:jc w:val="center"/>
              <w:rPr>
                <w:rFonts w:eastAsia="Times New Roman" w:asciiTheme="minorHAnsi" w:hAnsiTheme="minorHAnsi" w:cstheme="minorHAnsi"/>
                <w:color w:val="000000"/>
                <w:sz w:val="20"/>
                <w:szCs w:val="20"/>
              </w:rPr>
            </w:pPr>
            <w:r w:rsidRPr="00062B06">
              <w:rPr>
                <w:bCs/>
                <w:color w:val="000000"/>
                <w:sz w:val="20"/>
                <w:szCs w:val="20"/>
              </w:rPr>
              <w:t>2</w:t>
            </w:r>
          </w:p>
        </w:tc>
        <w:tc>
          <w:tcPr>
            <w:tcW w:w="873" w:type="dxa"/>
            <w:shd w:val="clear" w:color="auto" w:fill="auto"/>
            <w:vAlign w:val="center"/>
            <w:hideMark/>
          </w:tcPr>
          <w:p w:rsidR="00062B06" w:rsidRPr="00990D06" w:rsidP="00062B06" w14:paraId="6C6D3818" w14:textId="474575A1">
            <w:pPr>
              <w:spacing w:after="0"/>
              <w:jc w:val="center"/>
              <w:rPr>
                <w:rFonts w:eastAsia="Times New Roman" w:asciiTheme="minorHAnsi" w:hAnsiTheme="minorHAnsi" w:cstheme="minorHAnsi"/>
                <w:color w:val="000000"/>
                <w:sz w:val="20"/>
                <w:szCs w:val="20"/>
              </w:rPr>
            </w:pPr>
            <w:r w:rsidRPr="00062B06">
              <w:rPr>
                <w:color w:val="000000"/>
                <w:sz w:val="20"/>
                <w:szCs w:val="20"/>
              </w:rPr>
              <w:t>64</w:t>
            </w:r>
          </w:p>
        </w:tc>
        <w:tc>
          <w:tcPr>
            <w:tcW w:w="923" w:type="dxa"/>
            <w:shd w:val="clear" w:color="auto" w:fill="auto"/>
            <w:vAlign w:val="center"/>
            <w:hideMark/>
          </w:tcPr>
          <w:p w:rsidR="00062B06" w:rsidRPr="00990D06" w:rsidP="00062B06" w14:paraId="350DD4F9" w14:textId="7E0C65FC">
            <w:pPr>
              <w:spacing w:after="0"/>
              <w:jc w:val="right"/>
              <w:rPr>
                <w:rFonts w:eastAsia="Times New Roman" w:asciiTheme="minorHAnsi" w:hAnsiTheme="minorHAnsi" w:cstheme="minorHAnsi"/>
                <w:color w:val="000000"/>
                <w:sz w:val="20"/>
                <w:szCs w:val="20"/>
              </w:rPr>
            </w:pPr>
            <w:r w:rsidRPr="00062B06">
              <w:rPr>
                <w:bCs/>
                <w:color w:val="000000"/>
                <w:sz w:val="20"/>
                <w:szCs w:val="20"/>
              </w:rPr>
              <w:t xml:space="preserve">$48.35 </w:t>
            </w:r>
          </w:p>
        </w:tc>
        <w:tc>
          <w:tcPr>
            <w:tcW w:w="1260" w:type="dxa"/>
            <w:shd w:val="clear" w:color="auto" w:fill="auto"/>
            <w:vAlign w:val="center"/>
            <w:hideMark/>
          </w:tcPr>
          <w:p w:rsidR="00062B06" w:rsidRPr="00990D06" w:rsidP="00062B06" w14:paraId="6EB02FCB" w14:textId="7D20EF5B">
            <w:pPr>
              <w:spacing w:after="0"/>
              <w:jc w:val="right"/>
              <w:rPr>
                <w:rFonts w:eastAsia="Times New Roman" w:asciiTheme="minorHAnsi" w:hAnsiTheme="minorHAnsi" w:cstheme="minorHAnsi"/>
                <w:color w:val="000000"/>
                <w:sz w:val="20"/>
                <w:szCs w:val="20"/>
              </w:rPr>
            </w:pPr>
            <w:r w:rsidRPr="00062B06">
              <w:rPr>
                <w:color w:val="000000"/>
                <w:sz w:val="20"/>
                <w:szCs w:val="20"/>
              </w:rPr>
              <w:t xml:space="preserve">$3,094.40 </w:t>
            </w:r>
          </w:p>
        </w:tc>
      </w:tr>
      <w:tr w14:paraId="56D998CE" w14:textId="77777777" w:rsidTr="00054F66">
        <w:tblPrEx>
          <w:tblW w:w="9355" w:type="dxa"/>
          <w:tblLayout w:type="fixed"/>
          <w:tblLook w:val="04A0"/>
        </w:tblPrEx>
        <w:trPr>
          <w:trHeight w:val="288"/>
        </w:trPr>
        <w:tc>
          <w:tcPr>
            <w:tcW w:w="1525" w:type="dxa"/>
            <w:shd w:val="clear" w:color="auto" w:fill="auto"/>
            <w:vAlign w:val="center"/>
            <w:hideMark/>
          </w:tcPr>
          <w:p w:rsidR="00062B06" w:rsidRPr="00990D06" w:rsidP="00062B06" w14:paraId="748B4882"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auto"/>
            <w:vAlign w:val="center"/>
            <w:hideMark/>
          </w:tcPr>
          <w:p w:rsidR="00062B06" w:rsidRPr="00990D06" w:rsidP="00054F66" w14:paraId="1E6986F5" w14:textId="470B6842">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8</w:t>
            </w:r>
          </w:p>
        </w:tc>
        <w:tc>
          <w:tcPr>
            <w:tcW w:w="1281" w:type="dxa"/>
            <w:shd w:val="clear" w:color="auto" w:fill="auto"/>
            <w:noWrap/>
            <w:vAlign w:val="center"/>
            <w:hideMark/>
          </w:tcPr>
          <w:p w:rsidR="00062B06" w:rsidRPr="00990D06" w:rsidP="00054F66" w14:paraId="516B35DA" w14:textId="1E957076">
            <w:pPr>
              <w:spacing w:after="0"/>
              <w:jc w:val="center"/>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6</w:t>
            </w:r>
          </w:p>
        </w:tc>
        <w:tc>
          <w:tcPr>
            <w:tcW w:w="1170" w:type="dxa"/>
            <w:shd w:val="clear" w:color="auto" w:fill="auto"/>
            <w:noWrap/>
            <w:vAlign w:val="center"/>
            <w:hideMark/>
          </w:tcPr>
          <w:p w:rsidR="00062B06" w:rsidRPr="00990D06" w:rsidP="00054F66" w14:paraId="18FDC5AA" w14:textId="61DF272B">
            <w:pPr>
              <w:spacing w:after="0"/>
              <w:jc w:val="center"/>
              <w:rPr>
                <w:rFonts w:eastAsia="Times New Roman" w:asciiTheme="minorHAnsi" w:hAnsiTheme="minorHAnsi" w:cstheme="minorHAnsi"/>
                <w:b/>
                <w:bCs/>
                <w:color w:val="000000"/>
                <w:sz w:val="20"/>
                <w:szCs w:val="20"/>
              </w:rPr>
            </w:pPr>
            <w:r w:rsidRPr="00173225">
              <w:rPr>
                <w:rFonts w:eastAsia="Times New Roman" w:asciiTheme="minorHAnsi" w:hAnsiTheme="minorHAnsi" w:cstheme="minorHAnsi"/>
                <w:b/>
                <w:bCs/>
                <w:sz w:val="20"/>
                <w:szCs w:val="20"/>
              </w:rPr>
              <w:t>48</w:t>
            </w:r>
          </w:p>
        </w:tc>
        <w:tc>
          <w:tcPr>
            <w:tcW w:w="1017" w:type="dxa"/>
            <w:shd w:val="clear" w:color="auto" w:fill="auto"/>
            <w:noWrap/>
            <w:vAlign w:val="center"/>
            <w:hideMark/>
          </w:tcPr>
          <w:p w:rsidR="00062B06" w:rsidRPr="00173225" w:rsidP="00054F66" w14:paraId="5A94B996" w14:textId="3E2A9320">
            <w:pPr>
              <w:spacing w:after="0"/>
              <w:jc w:val="center"/>
              <w:rPr>
                <w:rFonts w:eastAsia="Times New Roman" w:asciiTheme="minorHAnsi" w:hAnsiTheme="minorHAnsi" w:cstheme="minorHAnsi"/>
                <w:b/>
                <w:bCs/>
                <w:sz w:val="20"/>
                <w:szCs w:val="20"/>
              </w:rPr>
            </w:pPr>
            <w:r w:rsidRPr="00173225">
              <w:rPr>
                <w:rFonts w:eastAsia="Times New Roman" w:asciiTheme="minorHAnsi" w:hAnsiTheme="minorHAnsi" w:cstheme="minorHAnsi"/>
                <w:b/>
                <w:bCs/>
                <w:sz w:val="20"/>
                <w:szCs w:val="20"/>
              </w:rPr>
              <w:t>20</w:t>
            </w:r>
          </w:p>
        </w:tc>
        <w:tc>
          <w:tcPr>
            <w:tcW w:w="873" w:type="dxa"/>
            <w:shd w:val="clear" w:color="auto" w:fill="auto"/>
            <w:noWrap/>
            <w:vAlign w:val="center"/>
            <w:hideMark/>
          </w:tcPr>
          <w:p w:rsidR="00062B06" w:rsidRPr="00173225" w:rsidP="00054F66" w14:paraId="16A09D7D" w14:textId="50C34417">
            <w:pPr>
              <w:spacing w:after="0"/>
              <w:jc w:val="center"/>
              <w:rPr>
                <w:rFonts w:eastAsia="Times New Roman" w:asciiTheme="minorHAnsi" w:hAnsiTheme="minorHAnsi" w:cstheme="minorHAnsi"/>
                <w:b/>
                <w:bCs/>
                <w:sz w:val="20"/>
                <w:szCs w:val="20"/>
              </w:rPr>
            </w:pPr>
            <w:r w:rsidRPr="00173225">
              <w:rPr>
                <w:rFonts w:eastAsia="Times New Roman" w:asciiTheme="minorHAnsi" w:hAnsiTheme="minorHAnsi" w:cstheme="minorHAnsi"/>
                <w:b/>
                <w:bCs/>
                <w:sz w:val="20"/>
                <w:szCs w:val="20"/>
              </w:rPr>
              <w:t>96</w:t>
            </w:r>
          </w:p>
        </w:tc>
        <w:tc>
          <w:tcPr>
            <w:tcW w:w="923" w:type="dxa"/>
            <w:shd w:val="clear" w:color="auto" w:fill="auto"/>
            <w:noWrap/>
            <w:vAlign w:val="center"/>
            <w:hideMark/>
          </w:tcPr>
          <w:p w:rsidR="00062B06" w:rsidRPr="00990D06" w:rsidP="00054F66" w14:paraId="2AC690C4" w14:textId="42CCE077">
            <w:pPr>
              <w:spacing w:after="0"/>
              <w:jc w:val="right"/>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w:t>
            </w:r>
            <w:r w:rsidRPr="00054F66">
              <w:rPr>
                <w:rFonts w:eastAsia="Times New Roman" w:asciiTheme="minorHAnsi" w:hAnsiTheme="minorHAnsi" w:cstheme="minorHAnsi"/>
                <w:b/>
                <w:bCs/>
                <w:color w:val="000000"/>
                <w:sz w:val="20"/>
                <w:szCs w:val="20"/>
              </w:rPr>
              <w:t>48.35</w:t>
            </w:r>
          </w:p>
        </w:tc>
        <w:tc>
          <w:tcPr>
            <w:tcW w:w="1260" w:type="dxa"/>
            <w:shd w:val="clear" w:color="auto" w:fill="auto"/>
            <w:noWrap/>
            <w:vAlign w:val="center"/>
            <w:hideMark/>
          </w:tcPr>
          <w:p w:rsidR="00062B06" w:rsidRPr="00990D06" w:rsidP="00054F66" w14:paraId="1EAC6634" w14:textId="6361D5D4">
            <w:pPr>
              <w:spacing w:after="0"/>
              <w:jc w:val="right"/>
              <w:rPr>
                <w:rFonts w:eastAsia="Times New Roman" w:asciiTheme="minorHAnsi" w:hAnsiTheme="minorHAnsi" w:cstheme="minorHAnsi"/>
                <w:b/>
                <w:bCs/>
                <w:color w:val="000000"/>
                <w:sz w:val="20"/>
                <w:szCs w:val="20"/>
              </w:rPr>
            </w:pPr>
            <w:r w:rsidRPr="00054F66">
              <w:rPr>
                <w:rFonts w:eastAsia="Times New Roman" w:asciiTheme="minorHAnsi" w:hAnsiTheme="minorHAnsi" w:cstheme="minorHAnsi"/>
                <w:b/>
                <w:bCs/>
                <w:color w:val="000000"/>
                <w:sz w:val="20"/>
                <w:szCs w:val="20"/>
              </w:rPr>
              <w:t xml:space="preserve">$4,641.60 </w:t>
            </w:r>
          </w:p>
        </w:tc>
      </w:tr>
    </w:tbl>
    <w:p w:rsidR="00AE49CA" w:rsidP="00CD746D" w14:paraId="57264EC8" w14:textId="1806F5B3">
      <w:pPr>
        <w:pStyle w:val="ExhibitNote1"/>
      </w:pPr>
      <w:r w:rsidRPr="000D4206">
        <w:rPr>
          <w:rFonts w:cs="Times New Roman"/>
          <w:i/>
          <w:iCs/>
          <w:sz w:val="18"/>
          <w:szCs w:val="18"/>
          <w:vertAlign w:val="superscript"/>
        </w:rPr>
        <w:t>1</w:t>
      </w:r>
      <w:r>
        <w:rPr>
          <w:rFonts w:cs="Times New Roman"/>
          <w:bCs/>
          <w:i/>
          <w:iCs/>
          <w:sz w:val="18"/>
          <w:szCs w:val="18"/>
        </w:rPr>
        <w:t>Average ho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062B06" w:rsidP="00AE49CA" w14:paraId="7CE4D875" w14:textId="1CED5017">
      <w:pPr>
        <w:pStyle w:val="ExhibitTitle"/>
        <w:spacing w:before="240" w:after="60"/>
        <w:rPr>
          <w:rFonts w:cs="Times New Roman"/>
          <w:sz w:val="24"/>
          <w:szCs w:val="24"/>
        </w:rPr>
      </w:pPr>
      <w:r>
        <w:rPr>
          <w:rFonts w:cs="Times New Roman"/>
          <w:sz w:val="24"/>
          <w:szCs w:val="24"/>
        </w:rPr>
        <w:t>Table 9. Estimates</w:t>
      </w:r>
      <w:r w:rsidRPr="009776E5" w:rsidR="009776E5">
        <w:rPr>
          <w:rFonts w:cs="Times New Roman"/>
          <w:sz w:val="24"/>
          <w:szCs w:val="24"/>
        </w:rPr>
        <w:t xml:space="preserve"> </w:t>
      </w:r>
      <w:r w:rsidR="009776E5">
        <w:rPr>
          <w:rFonts w:cs="Times New Roman"/>
          <w:sz w:val="24"/>
          <w:szCs w:val="24"/>
        </w:rPr>
        <w:t>of</w:t>
      </w:r>
      <w:r w:rsidRPr="009825F7" w:rsidR="009776E5">
        <w:rPr>
          <w:rFonts w:cs="Times New Roman"/>
          <w:sz w:val="24"/>
          <w:szCs w:val="24"/>
        </w:rPr>
        <w:t xml:space="preserve"> Annual Burden for MAI PT Data Collection</w:t>
      </w:r>
      <w:r w:rsidR="009776E5">
        <w:rPr>
          <w:rFonts w:cs="Times New Roman"/>
          <w:sz w:val="24"/>
          <w:szCs w:val="24"/>
        </w:rPr>
        <w:t>: All years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06"/>
        <w:gridCol w:w="1281"/>
        <w:gridCol w:w="1170"/>
        <w:gridCol w:w="1017"/>
        <w:gridCol w:w="873"/>
        <w:gridCol w:w="923"/>
        <w:gridCol w:w="1260"/>
      </w:tblGrid>
      <w:tr w14:paraId="71854AF4" w14:textId="77777777" w:rsidTr="00AE4A83">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525" w:type="dxa"/>
            <w:shd w:val="clear" w:color="000000" w:fill="8DB3E2"/>
            <w:vAlign w:val="center"/>
            <w:hideMark/>
          </w:tcPr>
          <w:p w:rsidR="00054F66" w:rsidRPr="00990D06" w:rsidP="00AE4A83" w14:paraId="780C73F9"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Instrument</w:t>
            </w:r>
          </w:p>
        </w:tc>
        <w:tc>
          <w:tcPr>
            <w:tcW w:w="1306" w:type="dxa"/>
            <w:shd w:val="clear" w:color="000000" w:fill="8DB3E2"/>
            <w:vAlign w:val="center"/>
            <w:hideMark/>
          </w:tcPr>
          <w:p w:rsidR="00054F66" w:rsidRPr="00990D06" w:rsidP="00AE4A83" w14:paraId="10CA0F58"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Number of Respondents</w:t>
            </w:r>
          </w:p>
        </w:tc>
        <w:tc>
          <w:tcPr>
            <w:tcW w:w="1281" w:type="dxa"/>
            <w:shd w:val="clear" w:color="000000" w:fill="8DB3E2"/>
            <w:vAlign w:val="center"/>
            <w:hideMark/>
          </w:tcPr>
          <w:p w:rsidR="00054F66" w:rsidRPr="00990D06" w:rsidP="00AE4A83" w14:paraId="32BB6E6C"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Responses per Respondent</w:t>
            </w:r>
          </w:p>
        </w:tc>
        <w:tc>
          <w:tcPr>
            <w:tcW w:w="1170" w:type="dxa"/>
            <w:shd w:val="clear" w:color="000000" w:fill="8DB3E2"/>
            <w:vAlign w:val="center"/>
            <w:hideMark/>
          </w:tcPr>
          <w:p w:rsidR="00054F66" w:rsidRPr="00990D06" w:rsidP="00AE4A83" w14:paraId="5B87FBB3"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Number of Responses</w:t>
            </w:r>
          </w:p>
        </w:tc>
        <w:tc>
          <w:tcPr>
            <w:tcW w:w="1017" w:type="dxa"/>
            <w:shd w:val="clear" w:color="000000" w:fill="8DB3E2"/>
            <w:vAlign w:val="center"/>
            <w:hideMark/>
          </w:tcPr>
          <w:p w:rsidR="00054F66" w:rsidRPr="00990D06" w:rsidP="00AE4A83" w14:paraId="0ACFF366"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Hours per Response</w:t>
            </w:r>
          </w:p>
        </w:tc>
        <w:tc>
          <w:tcPr>
            <w:tcW w:w="873" w:type="dxa"/>
            <w:shd w:val="clear" w:color="000000" w:fill="8DB3E2"/>
            <w:vAlign w:val="center"/>
            <w:hideMark/>
          </w:tcPr>
          <w:p w:rsidR="00054F66" w:rsidRPr="00990D06" w:rsidP="00AE4A83" w14:paraId="66B93CB6"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Burden Hours</w:t>
            </w:r>
          </w:p>
        </w:tc>
        <w:tc>
          <w:tcPr>
            <w:tcW w:w="923" w:type="dxa"/>
            <w:shd w:val="clear" w:color="000000" w:fill="8DB3E2"/>
            <w:vAlign w:val="center"/>
            <w:hideMark/>
          </w:tcPr>
          <w:p w:rsidR="00054F66" w:rsidRPr="00990D06" w:rsidP="00AE4A83" w14:paraId="6B5AF5D8"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Average Hourly Wage</w:t>
            </w:r>
            <w:r w:rsidRPr="00990D06">
              <w:rPr>
                <w:rFonts w:eastAsia="Times New Roman" w:asciiTheme="minorHAnsi" w:hAnsiTheme="minorHAnsi" w:cstheme="minorHAnsi"/>
                <w:b/>
                <w:bCs/>
                <w:color w:val="000000"/>
                <w:sz w:val="20"/>
                <w:szCs w:val="20"/>
                <w:vertAlign w:val="superscript"/>
              </w:rPr>
              <w:t>1</w:t>
            </w:r>
          </w:p>
        </w:tc>
        <w:tc>
          <w:tcPr>
            <w:tcW w:w="1260" w:type="dxa"/>
            <w:shd w:val="clear" w:color="000000" w:fill="8DB3E2"/>
            <w:vAlign w:val="center"/>
            <w:hideMark/>
          </w:tcPr>
          <w:p w:rsidR="00054F66" w:rsidRPr="00990D06" w:rsidP="00AE4A83" w14:paraId="1B96569B" w14:textId="77777777">
            <w:pPr>
              <w:spacing w:after="0"/>
              <w:jc w:val="center"/>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sz w:val="20"/>
                <w:szCs w:val="20"/>
              </w:rPr>
              <w:t>Total Respondent Cost</w:t>
            </w:r>
          </w:p>
        </w:tc>
      </w:tr>
      <w:tr w14:paraId="097664AE" w14:textId="77777777" w:rsidTr="00AE4A83">
        <w:tblPrEx>
          <w:tblW w:w="9355" w:type="dxa"/>
          <w:tblLayout w:type="fixed"/>
          <w:tblLook w:val="04A0"/>
        </w:tblPrEx>
        <w:trPr>
          <w:trHeight w:val="288"/>
        </w:trPr>
        <w:tc>
          <w:tcPr>
            <w:tcW w:w="1525" w:type="dxa"/>
            <w:shd w:val="clear" w:color="auto" w:fill="auto"/>
            <w:vAlign w:val="center"/>
            <w:hideMark/>
          </w:tcPr>
          <w:p w:rsidR="003B3781" w:rsidRPr="00990D06" w:rsidP="003B3781" w14:paraId="219959E5"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MAI-ORA</w:t>
            </w:r>
          </w:p>
        </w:tc>
        <w:tc>
          <w:tcPr>
            <w:tcW w:w="1306" w:type="dxa"/>
            <w:shd w:val="clear" w:color="auto" w:fill="auto"/>
            <w:vAlign w:val="center"/>
            <w:hideMark/>
          </w:tcPr>
          <w:p w:rsidR="003B3781" w:rsidRPr="00990D06" w:rsidP="003B3781" w14:paraId="131A655C" w14:textId="0BE7DDB7">
            <w:pPr>
              <w:spacing w:after="0"/>
              <w:jc w:val="center"/>
              <w:rPr>
                <w:rFonts w:eastAsia="Times New Roman" w:asciiTheme="minorHAnsi" w:hAnsiTheme="minorHAnsi" w:cstheme="minorHAnsi"/>
                <w:color w:val="000000"/>
                <w:sz w:val="20"/>
                <w:szCs w:val="20"/>
              </w:rPr>
            </w:pPr>
            <w:r w:rsidRPr="003B3781">
              <w:rPr>
                <w:color w:val="000000"/>
                <w:sz w:val="20"/>
                <w:szCs w:val="20"/>
              </w:rPr>
              <w:t>8</w:t>
            </w:r>
          </w:p>
        </w:tc>
        <w:tc>
          <w:tcPr>
            <w:tcW w:w="1281" w:type="dxa"/>
            <w:shd w:val="clear" w:color="auto" w:fill="auto"/>
            <w:vAlign w:val="center"/>
            <w:hideMark/>
          </w:tcPr>
          <w:p w:rsidR="003B3781" w:rsidRPr="00990D06" w:rsidP="003B3781" w14:paraId="76AF329D" w14:textId="58D64231">
            <w:pPr>
              <w:spacing w:after="0"/>
              <w:jc w:val="center"/>
              <w:rPr>
                <w:rFonts w:eastAsia="Times New Roman" w:asciiTheme="minorHAnsi" w:hAnsiTheme="minorHAnsi" w:cstheme="minorHAnsi"/>
                <w:color w:val="000000"/>
                <w:sz w:val="20"/>
                <w:szCs w:val="20"/>
              </w:rPr>
            </w:pPr>
            <w:r w:rsidRPr="003B3781">
              <w:rPr>
                <w:bCs/>
                <w:color w:val="000000"/>
                <w:sz w:val="20"/>
                <w:szCs w:val="20"/>
              </w:rPr>
              <w:t>1</w:t>
            </w:r>
          </w:p>
        </w:tc>
        <w:tc>
          <w:tcPr>
            <w:tcW w:w="1170" w:type="dxa"/>
            <w:shd w:val="clear" w:color="auto" w:fill="auto"/>
            <w:vAlign w:val="center"/>
            <w:hideMark/>
          </w:tcPr>
          <w:p w:rsidR="003B3781" w:rsidRPr="00990D06" w:rsidP="003B3781" w14:paraId="3A35BA14" w14:textId="1D75C719">
            <w:pPr>
              <w:spacing w:after="0"/>
              <w:jc w:val="center"/>
              <w:rPr>
                <w:rFonts w:eastAsia="Times New Roman" w:asciiTheme="minorHAnsi" w:hAnsiTheme="minorHAnsi" w:cstheme="minorHAnsi"/>
                <w:color w:val="000000"/>
                <w:sz w:val="20"/>
                <w:szCs w:val="20"/>
              </w:rPr>
            </w:pPr>
            <w:r w:rsidRPr="003B3781">
              <w:rPr>
                <w:color w:val="000000"/>
                <w:sz w:val="20"/>
                <w:szCs w:val="20"/>
              </w:rPr>
              <w:t>8</w:t>
            </w:r>
          </w:p>
        </w:tc>
        <w:tc>
          <w:tcPr>
            <w:tcW w:w="1017" w:type="dxa"/>
            <w:shd w:val="clear" w:color="auto" w:fill="auto"/>
            <w:vAlign w:val="center"/>
            <w:hideMark/>
          </w:tcPr>
          <w:p w:rsidR="003B3781" w:rsidRPr="00990D06" w:rsidP="003B3781" w14:paraId="3A3073A6" w14:textId="025B171C">
            <w:pPr>
              <w:spacing w:after="0"/>
              <w:jc w:val="center"/>
              <w:rPr>
                <w:rFonts w:eastAsia="Times New Roman" w:asciiTheme="minorHAnsi" w:hAnsiTheme="minorHAnsi" w:cstheme="minorHAnsi"/>
                <w:color w:val="000000"/>
                <w:sz w:val="20"/>
                <w:szCs w:val="20"/>
              </w:rPr>
            </w:pPr>
            <w:r>
              <w:rPr>
                <w:color w:val="000000"/>
                <w:sz w:val="20"/>
                <w:szCs w:val="20"/>
              </w:rPr>
              <w:t>14</w:t>
            </w:r>
          </w:p>
        </w:tc>
        <w:tc>
          <w:tcPr>
            <w:tcW w:w="873" w:type="dxa"/>
            <w:shd w:val="clear" w:color="auto" w:fill="auto"/>
            <w:vAlign w:val="center"/>
            <w:hideMark/>
          </w:tcPr>
          <w:p w:rsidR="003B3781" w:rsidRPr="00990D06" w:rsidP="003B3781" w14:paraId="6FD16DBC" w14:textId="7B923089">
            <w:pPr>
              <w:spacing w:after="0"/>
              <w:jc w:val="center"/>
              <w:rPr>
                <w:rFonts w:eastAsia="Times New Roman" w:asciiTheme="minorHAnsi" w:hAnsiTheme="minorHAnsi" w:cstheme="minorHAnsi"/>
                <w:color w:val="000000"/>
                <w:sz w:val="20"/>
                <w:szCs w:val="20"/>
              </w:rPr>
            </w:pPr>
            <w:r>
              <w:rPr>
                <w:color w:val="000000"/>
                <w:sz w:val="20"/>
                <w:szCs w:val="20"/>
              </w:rPr>
              <w:t>112</w:t>
            </w:r>
          </w:p>
        </w:tc>
        <w:tc>
          <w:tcPr>
            <w:tcW w:w="923" w:type="dxa"/>
            <w:shd w:val="clear" w:color="auto" w:fill="auto"/>
            <w:vAlign w:val="center"/>
            <w:hideMark/>
          </w:tcPr>
          <w:p w:rsidR="003B3781" w:rsidRPr="00990D06" w:rsidP="003B3781" w14:paraId="506BBB9C" w14:textId="7746EB70">
            <w:pPr>
              <w:spacing w:after="0"/>
              <w:jc w:val="right"/>
              <w:rPr>
                <w:rFonts w:eastAsia="Times New Roman" w:asciiTheme="minorHAnsi" w:hAnsiTheme="minorHAnsi" w:cstheme="minorHAnsi"/>
                <w:color w:val="000000"/>
                <w:sz w:val="20"/>
                <w:szCs w:val="20"/>
              </w:rPr>
            </w:pPr>
            <w:r w:rsidRPr="003B3781">
              <w:rPr>
                <w:bCs/>
                <w:color w:val="000000"/>
                <w:sz w:val="20"/>
                <w:szCs w:val="20"/>
              </w:rPr>
              <w:t xml:space="preserve">$48.35 </w:t>
            </w:r>
          </w:p>
        </w:tc>
        <w:tc>
          <w:tcPr>
            <w:tcW w:w="1260" w:type="dxa"/>
            <w:shd w:val="clear" w:color="auto" w:fill="auto"/>
            <w:vAlign w:val="center"/>
            <w:hideMark/>
          </w:tcPr>
          <w:p w:rsidR="00E90FCD" w:rsidP="003B3781" w14:paraId="74D4F349" w14:textId="325CEDC9">
            <w:pPr>
              <w:spacing w:after="0"/>
              <w:jc w:val="right"/>
              <w:rPr>
                <w:color w:val="000000"/>
                <w:sz w:val="20"/>
                <w:szCs w:val="20"/>
              </w:rPr>
            </w:pPr>
          </w:p>
          <w:p w:rsidR="003B3781" w:rsidRPr="00990D06" w:rsidP="003B3781" w14:paraId="50092251" w14:textId="321B05B9">
            <w:pPr>
              <w:spacing w:after="0"/>
              <w:jc w:val="right"/>
              <w:rPr>
                <w:rFonts w:eastAsia="Times New Roman" w:asciiTheme="minorHAnsi" w:hAnsiTheme="minorHAnsi" w:cstheme="minorHAnsi"/>
                <w:color w:val="000000"/>
                <w:sz w:val="20"/>
                <w:szCs w:val="20"/>
              </w:rPr>
            </w:pPr>
            <w:r>
              <w:rPr>
                <w:color w:val="000000"/>
                <w:sz w:val="20"/>
                <w:szCs w:val="20"/>
              </w:rPr>
              <w:t>$5,415.20</w:t>
            </w:r>
          </w:p>
        </w:tc>
      </w:tr>
      <w:tr w14:paraId="7A5349F9" w14:textId="77777777" w:rsidTr="00AE4A83">
        <w:tblPrEx>
          <w:tblW w:w="9355" w:type="dxa"/>
          <w:tblLayout w:type="fixed"/>
          <w:tblLook w:val="04A0"/>
        </w:tblPrEx>
        <w:trPr>
          <w:trHeight w:val="288"/>
        </w:trPr>
        <w:tc>
          <w:tcPr>
            <w:tcW w:w="1525" w:type="dxa"/>
            <w:shd w:val="clear" w:color="auto" w:fill="auto"/>
            <w:vAlign w:val="center"/>
            <w:hideMark/>
          </w:tcPr>
          <w:p w:rsidR="003B3781" w:rsidRPr="00990D06" w:rsidP="003B3781" w14:paraId="1E01263A"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MAI-PPR</w:t>
            </w:r>
          </w:p>
        </w:tc>
        <w:tc>
          <w:tcPr>
            <w:tcW w:w="1306" w:type="dxa"/>
            <w:shd w:val="clear" w:color="auto" w:fill="auto"/>
            <w:vAlign w:val="center"/>
            <w:hideMark/>
          </w:tcPr>
          <w:p w:rsidR="003B3781" w:rsidRPr="00990D06" w:rsidP="003B3781" w14:paraId="2D244FB2" w14:textId="6EF404E1">
            <w:pPr>
              <w:spacing w:after="0"/>
              <w:jc w:val="center"/>
              <w:rPr>
                <w:rFonts w:eastAsia="Times New Roman" w:asciiTheme="minorHAnsi" w:hAnsiTheme="minorHAnsi" w:cstheme="minorHAnsi"/>
                <w:color w:val="000000"/>
                <w:sz w:val="20"/>
                <w:szCs w:val="20"/>
              </w:rPr>
            </w:pPr>
            <w:r w:rsidRPr="003B3781">
              <w:rPr>
                <w:color w:val="000000"/>
                <w:sz w:val="20"/>
                <w:szCs w:val="20"/>
              </w:rPr>
              <w:t>8</w:t>
            </w:r>
          </w:p>
        </w:tc>
        <w:tc>
          <w:tcPr>
            <w:tcW w:w="1281" w:type="dxa"/>
            <w:shd w:val="clear" w:color="auto" w:fill="auto"/>
            <w:vAlign w:val="center"/>
            <w:hideMark/>
          </w:tcPr>
          <w:p w:rsidR="003B3781" w:rsidRPr="00990D06" w:rsidP="003B3781" w14:paraId="65122439" w14:textId="27410654">
            <w:pPr>
              <w:spacing w:after="0"/>
              <w:jc w:val="center"/>
              <w:rPr>
                <w:rFonts w:eastAsia="Times New Roman" w:asciiTheme="minorHAnsi" w:hAnsiTheme="minorHAnsi" w:cstheme="minorHAnsi"/>
                <w:color w:val="000000"/>
                <w:sz w:val="20"/>
                <w:szCs w:val="20"/>
              </w:rPr>
            </w:pPr>
            <w:r w:rsidRPr="003B3781">
              <w:rPr>
                <w:color w:val="000000"/>
                <w:sz w:val="20"/>
                <w:szCs w:val="20"/>
              </w:rPr>
              <w:t>5</w:t>
            </w:r>
          </w:p>
        </w:tc>
        <w:tc>
          <w:tcPr>
            <w:tcW w:w="1170" w:type="dxa"/>
            <w:shd w:val="clear" w:color="auto" w:fill="auto"/>
            <w:vAlign w:val="center"/>
            <w:hideMark/>
          </w:tcPr>
          <w:p w:rsidR="003B3781" w:rsidRPr="00990D06" w:rsidP="003B3781" w14:paraId="04048045" w14:textId="055A52EB">
            <w:pPr>
              <w:spacing w:after="0"/>
              <w:jc w:val="center"/>
              <w:rPr>
                <w:rFonts w:eastAsia="Times New Roman" w:asciiTheme="minorHAnsi" w:hAnsiTheme="minorHAnsi" w:cstheme="minorHAnsi"/>
                <w:color w:val="000000"/>
                <w:sz w:val="20"/>
                <w:szCs w:val="20"/>
              </w:rPr>
            </w:pPr>
            <w:r w:rsidRPr="003B3781">
              <w:rPr>
                <w:bCs/>
                <w:color w:val="000000"/>
                <w:sz w:val="20"/>
                <w:szCs w:val="20"/>
              </w:rPr>
              <w:t>40</w:t>
            </w:r>
          </w:p>
        </w:tc>
        <w:tc>
          <w:tcPr>
            <w:tcW w:w="1017" w:type="dxa"/>
            <w:shd w:val="clear" w:color="auto" w:fill="auto"/>
            <w:vAlign w:val="center"/>
            <w:hideMark/>
          </w:tcPr>
          <w:p w:rsidR="003B3781" w:rsidRPr="00990D06" w:rsidP="003B3781" w14:paraId="3BB97736" w14:textId="2935D576">
            <w:pPr>
              <w:spacing w:after="0"/>
              <w:jc w:val="center"/>
              <w:rPr>
                <w:rFonts w:eastAsia="Times New Roman" w:asciiTheme="minorHAnsi" w:hAnsiTheme="minorHAnsi" w:cstheme="minorHAnsi"/>
                <w:color w:val="000000"/>
                <w:sz w:val="20"/>
                <w:szCs w:val="20"/>
              </w:rPr>
            </w:pPr>
            <w:r w:rsidRPr="003B3781">
              <w:rPr>
                <w:bCs/>
                <w:color w:val="000000"/>
                <w:sz w:val="20"/>
                <w:szCs w:val="20"/>
              </w:rPr>
              <w:t>3</w:t>
            </w:r>
          </w:p>
        </w:tc>
        <w:tc>
          <w:tcPr>
            <w:tcW w:w="873" w:type="dxa"/>
            <w:shd w:val="clear" w:color="auto" w:fill="auto"/>
            <w:vAlign w:val="center"/>
            <w:hideMark/>
          </w:tcPr>
          <w:p w:rsidR="003B3781" w:rsidRPr="00990D06" w:rsidP="003B3781" w14:paraId="551F2988" w14:textId="00CF639F">
            <w:pPr>
              <w:spacing w:after="0"/>
              <w:jc w:val="center"/>
              <w:rPr>
                <w:rFonts w:eastAsia="Times New Roman" w:asciiTheme="minorHAnsi" w:hAnsiTheme="minorHAnsi" w:cstheme="minorHAnsi"/>
                <w:color w:val="000000"/>
                <w:sz w:val="20"/>
                <w:szCs w:val="20"/>
              </w:rPr>
            </w:pPr>
            <w:r w:rsidRPr="003B3781">
              <w:rPr>
                <w:color w:val="000000"/>
                <w:sz w:val="20"/>
                <w:szCs w:val="20"/>
              </w:rPr>
              <w:t>120</w:t>
            </w:r>
          </w:p>
        </w:tc>
        <w:tc>
          <w:tcPr>
            <w:tcW w:w="923" w:type="dxa"/>
            <w:shd w:val="clear" w:color="auto" w:fill="auto"/>
            <w:vAlign w:val="center"/>
            <w:hideMark/>
          </w:tcPr>
          <w:p w:rsidR="003B3781" w:rsidRPr="00990D06" w:rsidP="003B3781" w14:paraId="27893B39" w14:textId="7F003F73">
            <w:pPr>
              <w:spacing w:after="0"/>
              <w:jc w:val="right"/>
              <w:rPr>
                <w:rFonts w:eastAsia="Times New Roman" w:asciiTheme="minorHAnsi" w:hAnsiTheme="minorHAnsi" w:cstheme="minorHAnsi"/>
                <w:color w:val="000000"/>
                <w:sz w:val="20"/>
                <w:szCs w:val="20"/>
              </w:rPr>
            </w:pPr>
            <w:r w:rsidRPr="003B3781">
              <w:rPr>
                <w:color w:val="000000"/>
                <w:sz w:val="20"/>
                <w:szCs w:val="20"/>
              </w:rPr>
              <w:t xml:space="preserve">$48.35 </w:t>
            </w:r>
          </w:p>
        </w:tc>
        <w:tc>
          <w:tcPr>
            <w:tcW w:w="1260" w:type="dxa"/>
            <w:shd w:val="clear" w:color="auto" w:fill="auto"/>
            <w:vAlign w:val="center"/>
            <w:hideMark/>
          </w:tcPr>
          <w:p w:rsidR="003B3781" w:rsidRPr="00990D06" w:rsidP="003B3781" w14:paraId="56B1B400" w14:textId="5A57D160">
            <w:pPr>
              <w:spacing w:after="0"/>
              <w:jc w:val="right"/>
              <w:rPr>
                <w:rFonts w:eastAsia="Times New Roman" w:asciiTheme="minorHAnsi" w:hAnsiTheme="minorHAnsi" w:cstheme="minorHAnsi"/>
                <w:color w:val="000000"/>
                <w:sz w:val="20"/>
                <w:szCs w:val="20"/>
              </w:rPr>
            </w:pPr>
            <w:r w:rsidRPr="003B3781">
              <w:rPr>
                <w:color w:val="000000"/>
                <w:sz w:val="20"/>
                <w:szCs w:val="20"/>
              </w:rPr>
              <w:t xml:space="preserve">$5,802.00 </w:t>
            </w:r>
          </w:p>
        </w:tc>
      </w:tr>
      <w:tr w14:paraId="067A79B6" w14:textId="77777777" w:rsidTr="00AE4A83">
        <w:tblPrEx>
          <w:tblW w:w="9355" w:type="dxa"/>
          <w:tblLayout w:type="fixed"/>
          <w:tblLook w:val="04A0"/>
        </w:tblPrEx>
        <w:trPr>
          <w:trHeight w:val="288"/>
        </w:trPr>
        <w:tc>
          <w:tcPr>
            <w:tcW w:w="1525" w:type="dxa"/>
            <w:shd w:val="clear" w:color="auto" w:fill="auto"/>
            <w:vAlign w:val="center"/>
            <w:hideMark/>
          </w:tcPr>
          <w:p w:rsidR="003B3781" w:rsidRPr="00990D06" w:rsidP="003B3781" w14:paraId="6849DDD3"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ATR</w:t>
            </w:r>
          </w:p>
        </w:tc>
        <w:tc>
          <w:tcPr>
            <w:tcW w:w="1306" w:type="dxa"/>
            <w:shd w:val="clear" w:color="auto" w:fill="auto"/>
            <w:vAlign w:val="center"/>
            <w:hideMark/>
          </w:tcPr>
          <w:p w:rsidR="003B3781" w:rsidRPr="00990D06" w:rsidP="003B3781" w14:paraId="74CFD7F8" w14:textId="3221040F">
            <w:pPr>
              <w:spacing w:after="0"/>
              <w:jc w:val="center"/>
              <w:rPr>
                <w:rFonts w:eastAsia="Times New Roman" w:asciiTheme="minorHAnsi" w:hAnsiTheme="minorHAnsi" w:cstheme="minorHAnsi"/>
                <w:color w:val="000000"/>
                <w:sz w:val="20"/>
                <w:szCs w:val="20"/>
              </w:rPr>
            </w:pPr>
            <w:r w:rsidRPr="003B3781">
              <w:rPr>
                <w:color w:val="000000"/>
                <w:sz w:val="20"/>
                <w:szCs w:val="20"/>
              </w:rPr>
              <w:t>8</w:t>
            </w:r>
          </w:p>
        </w:tc>
        <w:tc>
          <w:tcPr>
            <w:tcW w:w="1281" w:type="dxa"/>
            <w:shd w:val="clear" w:color="auto" w:fill="auto"/>
            <w:vAlign w:val="center"/>
            <w:hideMark/>
          </w:tcPr>
          <w:p w:rsidR="003B3781" w:rsidRPr="00990D06" w:rsidP="003B3781" w14:paraId="649D29A5" w14:textId="63AEB2A0">
            <w:pPr>
              <w:spacing w:after="0"/>
              <w:jc w:val="center"/>
              <w:rPr>
                <w:rFonts w:eastAsia="Times New Roman" w:asciiTheme="minorHAnsi" w:hAnsiTheme="minorHAnsi" w:cstheme="minorHAnsi"/>
                <w:color w:val="000000"/>
                <w:sz w:val="20"/>
                <w:szCs w:val="20"/>
              </w:rPr>
            </w:pPr>
            <w:r w:rsidRPr="003B3781">
              <w:rPr>
                <w:bCs/>
                <w:color w:val="000000"/>
                <w:sz w:val="20"/>
                <w:szCs w:val="20"/>
              </w:rPr>
              <w:t>5</w:t>
            </w:r>
          </w:p>
        </w:tc>
        <w:tc>
          <w:tcPr>
            <w:tcW w:w="1170" w:type="dxa"/>
            <w:shd w:val="clear" w:color="auto" w:fill="auto"/>
            <w:vAlign w:val="center"/>
            <w:hideMark/>
          </w:tcPr>
          <w:p w:rsidR="003B3781" w:rsidRPr="00990D06" w:rsidP="003B3781" w14:paraId="7C539626" w14:textId="7B6F7347">
            <w:pPr>
              <w:spacing w:after="0"/>
              <w:jc w:val="center"/>
              <w:rPr>
                <w:rFonts w:eastAsia="Times New Roman" w:asciiTheme="minorHAnsi" w:hAnsiTheme="minorHAnsi" w:cstheme="minorHAnsi"/>
                <w:color w:val="000000"/>
                <w:sz w:val="20"/>
                <w:szCs w:val="20"/>
              </w:rPr>
            </w:pPr>
            <w:r w:rsidRPr="003B3781">
              <w:rPr>
                <w:bCs/>
                <w:color w:val="000000"/>
                <w:sz w:val="20"/>
                <w:szCs w:val="20"/>
              </w:rPr>
              <w:t>40</w:t>
            </w:r>
          </w:p>
        </w:tc>
        <w:tc>
          <w:tcPr>
            <w:tcW w:w="1017" w:type="dxa"/>
            <w:shd w:val="clear" w:color="auto" w:fill="auto"/>
            <w:vAlign w:val="center"/>
            <w:hideMark/>
          </w:tcPr>
          <w:p w:rsidR="003B3781" w:rsidRPr="00990D06" w:rsidP="003B3781" w14:paraId="2DB42FA2" w14:textId="72F39AEF">
            <w:pPr>
              <w:spacing w:after="0"/>
              <w:jc w:val="center"/>
              <w:rPr>
                <w:rFonts w:eastAsia="Times New Roman" w:asciiTheme="minorHAnsi" w:hAnsiTheme="minorHAnsi" w:cstheme="minorHAnsi"/>
                <w:color w:val="000000"/>
                <w:sz w:val="20"/>
                <w:szCs w:val="20"/>
              </w:rPr>
            </w:pPr>
            <w:r w:rsidRPr="003B3781">
              <w:rPr>
                <w:bCs/>
                <w:color w:val="000000"/>
                <w:sz w:val="20"/>
                <w:szCs w:val="20"/>
              </w:rPr>
              <w:t>1</w:t>
            </w:r>
          </w:p>
        </w:tc>
        <w:tc>
          <w:tcPr>
            <w:tcW w:w="873" w:type="dxa"/>
            <w:shd w:val="clear" w:color="auto" w:fill="auto"/>
            <w:vAlign w:val="center"/>
            <w:hideMark/>
          </w:tcPr>
          <w:p w:rsidR="003B3781" w:rsidRPr="00990D06" w:rsidP="003B3781" w14:paraId="74942F31" w14:textId="3A52BA77">
            <w:pPr>
              <w:spacing w:after="0"/>
              <w:jc w:val="center"/>
              <w:rPr>
                <w:rFonts w:eastAsia="Times New Roman" w:asciiTheme="minorHAnsi" w:hAnsiTheme="minorHAnsi" w:cstheme="minorHAnsi"/>
                <w:color w:val="000000"/>
                <w:sz w:val="20"/>
                <w:szCs w:val="20"/>
              </w:rPr>
            </w:pPr>
            <w:r w:rsidRPr="003B3781">
              <w:rPr>
                <w:color w:val="000000"/>
                <w:sz w:val="20"/>
                <w:szCs w:val="20"/>
              </w:rPr>
              <w:t>40</w:t>
            </w:r>
          </w:p>
        </w:tc>
        <w:tc>
          <w:tcPr>
            <w:tcW w:w="923" w:type="dxa"/>
            <w:shd w:val="clear" w:color="auto" w:fill="auto"/>
            <w:vAlign w:val="center"/>
            <w:hideMark/>
          </w:tcPr>
          <w:p w:rsidR="003B3781" w:rsidRPr="00990D06" w:rsidP="003B3781" w14:paraId="73E366BB" w14:textId="24646485">
            <w:pPr>
              <w:spacing w:after="0"/>
              <w:jc w:val="right"/>
              <w:rPr>
                <w:rFonts w:eastAsia="Times New Roman" w:asciiTheme="minorHAnsi" w:hAnsiTheme="minorHAnsi" w:cstheme="minorHAnsi"/>
                <w:color w:val="000000"/>
                <w:sz w:val="20"/>
                <w:szCs w:val="20"/>
              </w:rPr>
            </w:pPr>
            <w:r w:rsidRPr="003B3781">
              <w:rPr>
                <w:bCs/>
                <w:color w:val="000000"/>
                <w:sz w:val="20"/>
                <w:szCs w:val="20"/>
              </w:rPr>
              <w:t xml:space="preserve">$48.35 </w:t>
            </w:r>
          </w:p>
        </w:tc>
        <w:tc>
          <w:tcPr>
            <w:tcW w:w="1260" w:type="dxa"/>
            <w:shd w:val="clear" w:color="auto" w:fill="auto"/>
            <w:vAlign w:val="center"/>
            <w:hideMark/>
          </w:tcPr>
          <w:p w:rsidR="003B3781" w:rsidRPr="00990D06" w:rsidP="003B3781" w14:paraId="75E8FE8E" w14:textId="1C610999">
            <w:pPr>
              <w:spacing w:after="0"/>
              <w:jc w:val="right"/>
              <w:rPr>
                <w:rFonts w:eastAsia="Times New Roman" w:asciiTheme="minorHAnsi" w:hAnsiTheme="minorHAnsi" w:cstheme="minorHAnsi"/>
                <w:color w:val="000000"/>
                <w:sz w:val="20"/>
                <w:szCs w:val="20"/>
              </w:rPr>
            </w:pPr>
            <w:r w:rsidRPr="003B3781">
              <w:rPr>
                <w:color w:val="000000"/>
                <w:sz w:val="20"/>
                <w:szCs w:val="20"/>
              </w:rPr>
              <w:t xml:space="preserve">$1,934.00 </w:t>
            </w:r>
          </w:p>
        </w:tc>
      </w:tr>
      <w:tr w14:paraId="13993692" w14:textId="77777777" w:rsidTr="00AE4A83">
        <w:tblPrEx>
          <w:tblW w:w="9355" w:type="dxa"/>
          <w:tblLayout w:type="fixed"/>
          <w:tblLook w:val="04A0"/>
        </w:tblPrEx>
        <w:trPr>
          <w:trHeight w:val="288"/>
        </w:trPr>
        <w:tc>
          <w:tcPr>
            <w:tcW w:w="1525" w:type="dxa"/>
            <w:shd w:val="clear" w:color="auto" w:fill="auto"/>
            <w:vAlign w:val="center"/>
            <w:hideMark/>
          </w:tcPr>
          <w:p w:rsidR="003B3781" w:rsidRPr="00990D06" w:rsidP="003B3781" w14:paraId="239BF2CA" w14:textId="77777777">
            <w:pPr>
              <w:spacing w:after="0"/>
              <w:rPr>
                <w:rFonts w:eastAsia="Times New Roman" w:asciiTheme="minorHAnsi" w:hAnsiTheme="minorHAnsi" w:cstheme="minorHAnsi"/>
                <w:color w:val="000000"/>
                <w:sz w:val="20"/>
                <w:szCs w:val="20"/>
              </w:rPr>
            </w:pPr>
            <w:r w:rsidRPr="00990D06">
              <w:rPr>
                <w:rFonts w:eastAsia="Times New Roman" w:asciiTheme="minorHAnsi" w:hAnsiTheme="minorHAnsi" w:cstheme="minorHAnsi"/>
                <w:color w:val="000000"/>
                <w:sz w:val="20"/>
                <w:szCs w:val="20"/>
              </w:rPr>
              <w:t>MAI-PORT</w:t>
            </w:r>
            <w:r w:rsidRPr="009825F7">
              <w:rPr>
                <w:rFonts w:eastAsia="Times New Roman" w:asciiTheme="minorHAnsi" w:hAnsiTheme="minorHAnsi" w:cstheme="minorHAnsi"/>
                <w:color w:val="000000"/>
                <w:sz w:val="20"/>
                <w:szCs w:val="20"/>
              </w:rPr>
              <w:t>/</w:t>
            </w:r>
            <w:r w:rsidRPr="00990D06">
              <w:rPr>
                <w:rFonts w:eastAsia="Times New Roman" w:asciiTheme="minorHAnsi" w:hAnsiTheme="minorHAnsi" w:cstheme="minorHAnsi"/>
                <w:color w:val="000000"/>
                <w:sz w:val="20"/>
                <w:szCs w:val="20"/>
              </w:rPr>
              <w:t>QPR</w:t>
            </w:r>
          </w:p>
        </w:tc>
        <w:tc>
          <w:tcPr>
            <w:tcW w:w="1306" w:type="dxa"/>
            <w:shd w:val="clear" w:color="auto" w:fill="auto"/>
            <w:vAlign w:val="center"/>
            <w:hideMark/>
          </w:tcPr>
          <w:p w:rsidR="003B3781" w:rsidRPr="00990D06" w:rsidP="003B3781" w14:paraId="30BE07A6" w14:textId="67B81135">
            <w:pPr>
              <w:spacing w:after="0"/>
              <w:jc w:val="center"/>
              <w:rPr>
                <w:rFonts w:eastAsia="Times New Roman" w:asciiTheme="minorHAnsi" w:hAnsiTheme="minorHAnsi" w:cstheme="minorHAnsi"/>
                <w:color w:val="000000"/>
                <w:sz w:val="20"/>
                <w:szCs w:val="20"/>
              </w:rPr>
            </w:pPr>
            <w:r w:rsidRPr="003B3781">
              <w:rPr>
                <w:color w:val="000000"/>
                <w:sz w:val="20"/>
                <w:szCs w:val="20"/>
              </w:rPr>
              <w:t>8</w:t>
            </w:r>
          </w:p>
        </w:tc>
        <w:tc>
          <w:tcPr>
            <w:tcW w:w="1281" w:type="dxa"/>
            <w:shd w:val="clear" w:color="auto" w:fill="auto"/>
            <w:vAlign w:val="center"/>
            <w:hideMark/>
          </w:tcPr>
          <w:p w:rsidR="003B3781" w:rsidRPr="00990D06" w:rsidP="003B3781" w14:paraId="05384419" w14:textId="0FBAA9E1">
            <w:pPr>
              <w:spacing w:after="0"/>
              <w:jc w:val="center"/>
              <w:rPr>
                <w:rFonts w:eastAsia="Times New Roman" w:asciiTheme="minorHAnsi" w:hAnsiTheme="minorHAnsi" w:cstheme="minorHAnsi"/>
                <w:color w:val="000000"/>
                <w:sz w:val="20"/>
                <w:szCs w:val="20"/>
              </w:rPr>
            </w:pPr>
            <w:r w:rsidRPr="003B3781">
              <w:rPr>
                <w:bCs/>
                <w:color w:val="000000"/>
                <w:sz w:val="20"/>
                <w:szCs w:val="20"/>
              </w:rPr>
              <w:t>20</w:t>
            </w:r>
          </w:p>
        </w:tc>
        <w:tc>
          <w:tcPr>
            <w:tcW w:w="1170" w:type="dxa"/>
            <w:shd w:val="clear" w:color="auto" w:fill="auto"/>
            <w:vAlign w:val="center"/>
            <w:hideMark/>
          </w:tcPr>
          <w:p w:rsidR="003B3781" w:rsidRPr="00990D06" w:rsidP="003B3781" w14:paraId="5A992FEC" w14:textId="1E69BCAE">
            <w:pPr>
              <w:spacing w:after="0"/>
              <w:jc w:val="center"/>
              <w:rPr>
                <w:rFonts w:eastAsia="Times New Roman" w:asciiTheme="minorHAnsi" w:hAnsiTheme="minorHAnsi" w:cstheme="minorHAnsi"/>
                <w:color w:val="000000"/>
                <w:sz w:val="20"/>
                <w:szCs w:val="20"/>
              </w:rPr>
            </w:pPr>
            <w:r w:rsidRPr="003B3781">
              <w:rPr>
                <w:color w:val="000000"/>
                <w:sz w:val="20"/>
                <w:szCs w:val="20"/>
              </w:rPr>
              <w:t>160</w:t>
            </w:r>
          </w:p>
        </w:tc>
        <w:tc>
          <w:tcPr>
            <w:tcW w:w="1017" w:type="dxa"/>
            <w:shd w:val="clear" w:color="auto" w:fill="auto"/>
            <w:vAlign w:val="center"/>
            <w:hideMark/>
          </w:tcPr>
          <w:p w:rsidR="003B3781" w:rsidRPr="00990D06" w:rsidP="003B3781" w14:paraId="41D05D75" w14:textId="716B7956">
            <w:pPr>
              <w:spacing w:after="0"/>
              <w:jc w:val="center"/>
              <w:rPr>
                <w:rFonts w:eastAsia="Times New Roman" w:asciiTheme="minorHAnsi" w:hAnsiTheme="minorHAnsi" w:cstheme="minorHAnsi"/>
                <w:color w:val="000000"/>
                <w:sz w:val="20"/>
                <w:szCs w:val="20"/>
              </w:rPr>
            </w:pPr>
            <w:r w:rsidRPr="003B3781">
              <w:rPr>
                <w:bCs/>
                <w:color w:val="000000"/>
                <w:sz w:val="20"/>
                <w:szCs w:val="20"/>
              </w:rPr>
              <w:t>2</w:t>
            </w:r>
          </w:p>
        </w:tc>
        <w:tc>
          <w:tcPr>
            <w:tcW w:w="873" w:type="dxa"/>
            <w:shd w:val="clear" w:color="auto" w:fill="auto"/>
            <w:vAlign w:val="center"/>
            <w:hideMark/>
          </w:tcPr>
          <w:p w:rsidR="003B3781" w:rsidRPr="00990D06" w:rsidP="003B3781" w14:paraId="719E1A7B" w14:textId="752E1EEB">
            <w:pPr>
              <w:spacing w:after="0"/>
              <w:jc w:val="center"/>
              <w:rPr>
                <w:rFonts w:eastAsia="Times New Roman" w:asciiTheme="minorHAnsi" w:hAnsiTheme="minorHAnsi" w:cstheme="minorHAnsi"/>
                <w:color w:val="000000"/>
                <w:sz w:val="20"/>
                <w:szCs w:val="20"/>
              </w:rPr>
            </w:pPr>
            <w:r w:rsidRPr="003B3781">
              <w:rPr>
                <w:color w:val="000000"/>
                <w:sz w:val="20"/>
                <w:szCs w:val="20"/>
              </w:rPr>
              <w:t>320</w:t>
            </w:r>
          </w:p>
        </w:tc>
        <w:tc>
          <w:tcPr>
            <w:tcW w:w="923" w:type="dxa"/>
            <w:shd w:val="clear" w:color="auto" w:fill="auto"/>
            <w:vAlign w:val="center"/>
            <w:hideMark/>
          </w:tcPr>
          <w:p w:rsidR="003B3781" w:rsidRPr="00990D06" w:rsidP="003B3781" w14:paraId="596ADDBD" w14:textId="11469815">
            <w:pPr>
              <w:spacing w:after="0"/>
              <w:jc w:val="right"/>
              <w:rPr>
                <w:rFonts w:eastAsia="Times New Roman" w:asciiTheme="minorHAnsi" w:hAnsiTheme="minorHAnsi" w:cstheme="minorHAnsi"/>
                <w:color w:val="000000"/>
                <w:sz w:val="20"/>
                <w:szCs w:val="20"/>
              </w:rPr>
            </w:pPr>
            <w:r w:rsidRPr="003B3781">
              <w:rPr>
                <w:bCs/>
                <w:color w:val="000000"/>
                <w:sz w:val="20"/>
                <w:szCs w:val="20"/>
              </w:rPr>
              <w:t xml:space="preserve">$48.35 </w:t>
            </w:r>
          </w:p>
        </w:tc>
        <w:tc>
          <w:tcPr>
            <w:tcW w:w="1260" w:type="dxa"/>
            <w:shd w:val="clear" w:color="auto" w:fill="auto"/>
            <w:vAlign w:val="center"/>
            <w:hideMark/>
          </w:tcPr>
          <w:p w:rsidR="003B3781" w:rsidRPr="00990D06" w:rsidP="003B3781" w14:paraId="73C97BA4" w14:textId="639688FC">
            <w:pPr>
              <w:spacing w:after="0"/>
              <w:jc w:val="right"/>
              <w:rPr>
                <w:rFonts w:eastAsia="Times New Roman" w:asciiTheme="minorHAnsi" w:hAnsiTheme="minorHAnsi" w:cstheme="minorHAnsi"/>
                <w:color w:val="000000"/>
                <w:sz w:val="20"/>
                <w:szCs w:val="20"/>
              </w:rPr>
            </w:pPr>
            <w:r w:rsidRPr="003B3781">
              <w:rPr>
                <w:color w:val="000000"/>
                <w:sz w:val="20"/>
                <w:szCs w:val="20"/>
              </w:rPr>
              <w:t xml:space="preserve">$15,472.00 </w:t>
            </w:r>
          </w:p>
        </w:tc>
      </w:tr>
      <w:tr w14:paraId="5D68FF4C" w14:textId="77777777" w:rsidTr="00AE4A83">
        <w:tblPrEx>
          <w:tblW w:w="9355" w:type="dxa"/>
          <w:tblLayout w:type="fixed"/>
          <w:tblLook w:val="04A0"/>
        </w:tblPrEx>
        <w:trPr>
          <w:trHeight w:val="288"/>
        </w:trPr>
        <w:tc>
          <w:tcPr>
            <w:tcW w:w="1525" w:type="dxa"/>
            <w:shd w:val="clear" w:color="auto" w:fill="auto"/>
            <w:vAlign w:val="center"/>
            <w:hideMark/>
          </w:tcPr>
          <w:p w:rsidR="003B3781" w:rsidRPr="00990D06" w:rsidP="003B3781" w14:paraId="77CF3968" w14:textId="77777777">
            <w:pPr>
              <w:spacing w:after="0"/>
              <w:rPr>
                <w:rFonts w:eastAsia="Times New Roman" w:asciiTheme="minorHAnsi" w:hAnsiTheme="minorHAnsi" w:cstheme="minorHAnsi"/>
                <w:b/>
                <w:bCs/>
                <w:color w:val="000000"/>
                <w:sz w:val="20"/>
                <w:szCs w:val="20"/>
              </w:rPr>
            </w:pPr>
            <w:r w:rsidRPr="00990D06">
              <w:rPr>
                <w:rFonts w:eastAsia="Times New Roman" w:asciiTheme="minorHAnsi" w:hAnsiTheme="minorHAnsi" w:cstheme="minorHAnsi"/>
                <w:b/>
                <w:bCs/>
                <w:color w:val="000000"/>
                <w:sz w:val="20"/>
                <w:szCs w:val="20"/>
              </w:rPr>
              <w:t>TOTAL</w:t>
            </w:r>
          </w:p>
        </w:tc>
        <w:tc>
          <w:tcPr>
            <w:tcW w:w="1306" w:type="dxa"/>
            <w:shd w:val="clear" w:color="auto" w:fill="auto"/>
            <w:vAlign w:val="center"/>
            <w:hideMark/>
          </w:tcPr>
          <w:p w:rsidR="003B3781" w:rsidRPr="00990D06" w:rsidP="003B3781" w14:paraId="63DA37BA" w14:textId="4C59CDA5">
            <w:pPr>
              <w:spacing w:after="0"/>
              <w:jc w:val="center"/>
              <w:rPr>
                <w:rFonts w:eastAsia="Times New Roman" w:asciiTheme="minorHAnsi" w:hAnsiTheme="minorHAnsi" w:cstheme="minorHAnsi"/>
                <w:b/>
                <w:bCs/>
                <w:color w:val="000000"/>
                <w:sz w:val="20"/>
                <w:szCs w:val="20"/>
              </w:rPr>
            </w:pPr>
            <w:r w:rsidRPr="003B3781">
              <w:rPr>
                <w:b/>
                <w:bCs/>
                <w:color w:val="000000"/>
                <w:sz w:val="20"/>
                <w:szCs w:val="20"/>
              </w:rPr>
              <w:t>8</w:t>
            </w:r>
          </w:p>
        </w:tc>
        <w:tc>
          <w:tcPr>
            <w:tcW w:w="1281" w:type="dxa"/>
            <w:shd w:val="clear" w:color="auto" w:fill="auto"/>
            <w:noWrap/>
            <w:vAlign w:val="bottom"/>
            <w:hideMark/>
          </w:tcPr>
          <w:p w:rsidR="003B3781" w:rsidRPr="00990D06" w:rsidP="003B3781" w14:paraId="4598B89B" w14:textId="3CAC4FC5">
            <w:pPr>
              <w:spacing w:after="0"/>
              <w:jc w:val="center"/>
              <w:rPr>
                <w:rFonts w:eastAsia="Times New Roman" w:asciiTheme="minorHAnsi" w:hAnsiTheme="minorHAnsi" w:cstheme="minorHAnsi"/>
                <w:b/>
                <w:bCs/>
                <w:color w:val="000000"/>
                <w:sz w:val="20"/>
                <w:szCs w:val="20"/>
              </w:rPr>
            </w:pPr>
            <w:r w:rsidRPr="003B3781">
              <w:rPr>
                <w:b/>
                <w:bCs/>
                <w:color w:val="000000"/>
                <w:sz w:val="20"/>
                <w:szCs w:val="20"/>
              </w:rPr>
              <w:t>31</w:t>
            </w:r>
          </w:p>
        </w:tc>
        <w:tc>
          <w:tcPr>
            <w:tcW w:w="1170" w:type="dxa"/>
            <w:shd w:val="clear" w:color="auto" w:fill="auto"/>
            <w:noWrap/>
            <w:vAlign w:val="bottom"/>
            <w:hideMark/>
          </w:tcPr>
          <w:p w:rsidR="003B3781" w:rsidRPr="00990D06" w:rsidP="003B3781" w14:paraId="0EEEEA94" w14:textId="0D3DDCB5">
            <w:pPr>
              <w:spacing w:after="0"/>
              <w:jc w:val="center"/>
              <w:rPr>
                <w:rFonts w:eastAsia="Times New Roman" w:asciiTheme="minorHAnsi" w:hAnsiTheme="minorHAnsi" w:cstheme="minorHAnsi"/>
                <w:b/>
                <w:bCs/>
                <w:color w:val="000000"/>
                <w:sz w:val="20"/>
                <w:szCs w:val="20"/>
              </w:rPr>
            </w:pPr>
            <w:r w:rsidRPr="003B3781">
              <w:rPr>
                <w:b/>
                <w:bCs/>
                <w:color w:val="000000"/>
                <w:sz w:val="20"/>
                <w:szCs w:val="20"/>
              </w:rPr>
              <w:t>248</w:t>
            </w:r>
          </w:p>
        </w:tc>
        <w:tc>
          <w:tcPr>
            <w:tcW w:w="1017" w:type="dxa"/>
            <w:shd w:val="clear" w:color="auto" w:fill="auto"/>
            <w:noWrap/>
            <w:vAlign w:val="bottom"/>
            <w:hideMark/>
          </w:tcPr>
          <w:p w:rsidR="003B3781" w:rsidRPr="00990D06" w:rsidP="003B3781" w14:paraId="7EA9E230" w14:textId="51B74B8B">
            <w:pPr>
              <w:spacing w:after="0"/>
              <w:jc w:val="center"/>
              <w:rPr>
                <w:rFonts w:eastAsia="Times New Roman" w:asciiTheme="minorHAnsi" w:hAnsiTheme="minorHAnsi" w:cstheme="minorHAnsi"/>
                <w:b/>
                <w:bCs/>
                <w:color w:val="000000"/>
                <w:sz w:val="20"/>
                <w:szCs w:val="20"/>
              </w:rPr>
            </w:pPr>
            <w:r>
              <w:rPr>
                <w:b/>
                <w:bCs/>
                <w:color w:val="000000"/>
                <w:sz w:val="20"/>
                <w:szCs w:val="20"/>
              </w:rPr>
              <w:t>20</w:t>
            </w:r>
          </w:p>
        </w:tc>
        <w:tc>
          <w:tcPr>
            <w:tcW w:w="873" w:type="dxa"/>
            <w:shd w:val="clear" w:color="auto" w:fill="auto"/>
            <w:noWrap/>
            <w:vAlign w:val="bottom"/>
            <w:hideMark/>
          </w:tcPr>
          <w:p w:rsidR="003B3781" w:rsidRPr="00990D06" w:rsidP="003B3781" w14:paraId="56575501" w14:textId="7FD9FC51">
            <w:pPr>
              <w:spacing w:after="0"/>
              <w:jc w:val="center"/>
              <w:rPr>
                <w:rFonts w:eastAsia="Times New Roman" w:asciiTheme="minorHAnsi" w:hAnsiTheme="minorHAnsi" w:cstheme="minorHAnsi"/>
                <w:b/>
                <w:bCs/>
                <w:color w:val="000000"/>
                <w:sz w:val="20"/>
                <w:szCs w:val="20"/>
              </w:rPr>
            </w:pPr>
            <w:r>
              <w:rPr>
                <w:b/>
                <w:bCs/>
                <w:color w:val="000000"/>
                <w:sz w:val="20"/>
                <w:szCs w:val="20"/>
              </w:rPr>
              <w:t>592</w:t>
            </w:r>
          </w:p>
        </w:tc>
        <w:tc>
          <w:tcPr>
            <w:tcW w:w="923" w:type="dxa"/>
            <w:shd w:val="clear" w:color="auto" w:fill="auto"/>
            <w:noWrap/>
            <w:vAlign w:val="bottom"/>
            <w:hideMark/>
          </w:tcPr>
          <w:p w:rsidR="003B3781" w:rsidRPr="00990D06" w:rsidP="003B3781" w14:paraId="6F64F415" w14:textId="038D03A2">
            <w:pPr>
              <w:spacing w:after="0"/>
              <w:jc w:val="right"/>
              <w:rPr>
                <w:rFonts w:eastAsia="Times New Roman" w:asciiTheme="minorHAnsi" w:hAnsiTheme="minorHAnsi" w:cstheme="minorHAnsi"/>
                <w:b/>
                <w:bCs/>
                <w:color w:val="000000"/>
                <w:sz w:val="20"/>
                <w:szCs w:val="20"/>
              </w:rPr>
            </w:pPr>
            <w:r w:rsidRPr="003B3781">
              <w:rPr>
                <w:b/>
                <w:bCs/>
                <w:color w:val="000000"/>
                <w:sz w:val="20"/>
                <w:szCs w:val="20"/>
              </w:rPr>
              <w:t>48.35</w:t>
            </w:r>
          </w:p>
        </w:tc>
        <w:tc>
          <w:tcPr>
            <w:tcW w:w="1260" w:type="dxa"/>
            <w:shd w:val="clear" w:color="auto" w:fill="auto"/>
            <w:noWrap/>
            <w:vAlign w:val="center"/>
            <w:hideMark/>
          </w:tcPr>
          <w:p w:rsidR="003B3781" w:rsidP="003B3781" w14:paraId="5F2FE9F7" w14:textId="68B1B40C">
            <w:pPr>
              <w:spacing w:after="0"/>
              <w:jc w:val="right"/>
              <w:rPr>
                <w:b/>
                <w:bCs/>
                <w:color w:val="000000"/>
                <w:sz w:val="20"/>
                <w:szCs w:val="20"/>
              </w:rPr>
            </w:pPr>
          </w:p>
          <w:p w:rsidR="006523D4" w:rsidRPr="00990D06" w:rsidP="003B3781" w14:paraId="0EF4B8FA" w14:textId="49BC0CD7">
            <w:pPr>
              <w:spacing w:after="0"/>
              <w:jc w:val="right"/>
              <w:rPr>
                <w:rFonts w:eastAsia="Times New Roman" w:asciiTheme="minorHAnsi" w:hAnsiTheme="minorHAnsi" w:cstheme="minorHAnsi"/>
                <w:b/>
                <w:bCs/>
                <w:color w:val="000000"/>
                <w:sz w:val="20"/>
                <w:szCs w:val="20"/>
              </w:rPr>
            </w:pPr>
            <w:r>
              <w:rPr>
                <w:b/>
                <w:bCs/>
                <w:color w:val="000000"/>
                <w:sz w:val="20"/>
                <w:szCs w:val="20"/>
              </w:rPr>
              <w:t>$28,623.20</w:t>
            </w:r>
          </w:p>
        </w:tc>
      </w:tr>
    </w:tbl>
    <w:p w:rsidR="003262D9" w:rsidRPr="000D4206" w:rsidP="003262D9" w14:paraId="53DFFDD4" w14:textId="77777777">
      <w:pPr>
        <w:pStyle w:val="ExhibitNote1"/>
        <w:rPr>
          <w:rFonts w:cs="Times New Roman"/>
          <w:bCs/>
          <w:i/>
          <w:iCs/>
          <w:sz w:val="18"/>
          <w:szCs w:val="18"/>
        </w:rPr>
      </w:pPr>
      <w:r w:rsidRPr="000D4206">
        <w:rPr>
          <w:rFonts w:cs="Times New Roman"/>
          <w:i/>
          <w:iCs/>
          <w:sz w:val="18"/>
          <w:szCs w:val="18"/>
          <w:vertAlign w:val="superscript"/>
        </w:rPr>
        <w:t>1</w:t>
      </w:r>
      <w:r>
        <w:rPr>
          <w:rFonts w:cs="Times New Roman"/>
          <w:bCs/>
          <w:i/>
          <w:iCs/>
          <w:sz w:val="18"/>
          <w:szCs w:val="18"/>
        </w:rPr>
        <w:t>Average ho</w:t>
      </w:r>
      <w:r w:rsidRPr="000D4206">
        <w:rPr>
          <w:rFonts w:cs="Times New Roman"/>
          <w:bCs/>
          <w:i/>
          <w:iCs/>
          <w:sz w:val="18"/>
          <w:szCs w:val="18"/>
        </w:rPr>
        <w:t xml:space="preserve">urly wage is based on the mean hourly wage for state government managers, as reported in the 2022 Occupational Employment (OES) by the Bureau of Labor Statistics (BLS) found at </w:t>
      </w:r>
      <w:hyperlink r:id="rId11" w:anchor="11-0000" w:history="1">
        <w:r w:rsidRPr="000D4206">
          <w:rPr>
            <w:rStyle w:val="Hyperlink"/>
            <w:rFonts w:cs="Times New Roman"/>
            <w:bCs/>
            <w:i/>
            <w:iCs/>
            <w:sz w:val="18"/>
            <w:szCs w:val="18"/>
          </w:rPr>
          <w:t>https://www.bls.gov/oes/current/naics4_999200.htm#11-0000</w:t>
        </w:r>
      </w:hyperlink>
      <w:r w:rsidRPr="000D4206">
        <w:rPr>
          <w:rFonts w:cs="Times New Roman"/>
          <w:bCs/>
          <w:i/>
          <w:iCs/>
          <w:sz w:val="18"/>
          <w:szCs w:val="18"/>
        </w:rPr>
        <w:t xml:space="preserve"> Accessed on January 15, 2024.</w:t>
      </w:r>
    </w:p>
    <w:p w:rsidR="007F3316" w:rsidRPr="002803C3" w:rsidP="002803C3" w14:paraId="487A9CDF" w14:textId="77777777">
      <w:pPr>
        <w:pStyle w:val="ExhibitNote1"/>
        <w:rPr>
          <w:rFonts w:cs="Times New Roman"/>
          <w:sz w:val="24"/>
          <w:szCs w:val="24"/>
        </w:rPr>
      </w:pPr>
    </w:p>
    <w:p w:rsidR="00DA5BA5" w:rsidRPr="0091092F" w:rsidP="00135F00" w14:paraId="51B4F6B5" w14:textId="6A71429F">
      <w:pPr>
        <w:pStyle w:val="Heading1"/>
        <w:numPr>
          <w:ilvl w:val="0"/>
          <w:numId w:val="0"/>
        </w:numPr>
        <w:tabs>
          <w:tab w:val="left" w:pos="720"/>
        </w:tabs>
        <w:spacing w:before="0"/>
        <w:rPr>
          <w:rFonts w:ascii="Times New Roman" w:hAnsi="Times New Roman" w:cs="Times New Roman"/>
          <w:color w:val="auto"/>
          <w:sz w:val="24"/>
          <w:szCs w:val="24"/>
        </w:rPr>
      </w:pPr>
      <w:r w:rsidRPr="0091092F">
        <w:rPr>
          <w:rFonts w:ascii="Times New Roman" w:hAnsi="Times New Roman" w:cs="Times New Roman"/>
          <w:color w:val="auto"/>
          <w:sz w:val="24"/>
          <w:szCs w:val="24"/>
        </w:rPr>
        <w:t>A.13.</w:t>
      </w:r>
      <w:r w:rsidR="00190765">
        <w:rPr>
          <w:rFonts w:ascii="Times New Roman" w:hAnsi="Times New Roman" w:cs="Times New Roman"/>
          <w:color w:val="auto"/>
          <w:sz w:val="24"/>
          <w:szCs w:val="24"/>
        </w:rPr>
        <w:t xml:space="preserve">  </w:t>
      </w:r>
      <w:r w:rsidRPr="0091092F">
        <w:rPr>
          <w:rFonts w:ascii="Times New Roman" w:hAnsi="Times New Roman" w:cs="Times New Roman"/>
          <w:color w:val="auto"/>
          <w:sz w:val="24"/>
          <w:szCs w:val="24"/>
        </w:rPr>
        <w:t>Estimates of Annualized Cost Burden to Respondents</w:t>
      </w:r>
    </w:p>
    <w:p w:rsidR="00DA5BA5" w:rsidRPr="0091092F" w:rsidP="00DA5BA5" w14:paraId="30DF6493" w14:textId="77777777">
      <w:pPr>
        <w:spacing w:after="0"/>
        <w:rPr>
          <w:rFonts w:cs="Times New Roman"/>
          <w:sz w:val="24"/>
          <w:szCs w:val="24"/>
        </w:rPr>
      </w:pPr>
      <w:r w:rsidRPr="0091092F">
        <w:rPr>
          <w:rFonts w:cs="Times New Roman"/>
          <w:sz w:val="24"/>
          <w:szCs w:val="24"/>
        </w:rPr>
        <w:t>There are no respondent costs for capital or start-up or for operation or maintenance.</w:t>
      </w:r>
    </w:p>
    <w:p w:rsidR="002803C3" w:rsidRPr="0091092F" w:rsidP="00DA5BA5" w14:paraId="2A904336" w14:textId="77777777">
      <w:pPr>
        <w:spacing w:after="0"/>
        <w:rPr>
          <w:rFonts w:cs="Times New Roman"/>
          <w:sz w:val="24"/>
          <w:szCs w:val="24"/>
        </w:rPr>
      </w:pPr>
    </w:p>
    <w:p w:rsidR="00DA5BA5" w:rsidRPr="00D86001" w:rsidP="000C3F88" w14:paraId="0B7E476A" w14:textId="625E9D62">
      <w:pPr>
        <w:pStyle w:val="Heading1"/>
        <w:numPr>
          <w:ilvl w:val="0"/>
          <w:numId w:val="0"/>
        </w:numPr>
        <w:tabs>
          <w:tab w:val="left" w:pos="720"/>
        </w:tabs>
        <w:spacing w:before="0" w:after="0"/>
        <w:rPr>
          <w:rFonts w:ascii="Times New Roman" w:hAnsi="Times New Roman" w:cs="Times New Roman"/>
          <w:color w:val="auto"/>
          <w:sz w:val="24"/>
          <w:szCs w:val="24"/>
        </w:rPr>
      </w:pPr>
      <w:r w:rsidRPr="00D86001">
        <w:rPr>
          <w:rFonts w:ascii="Times New Roman" w:hAnsi="Times New Roman" w:cs="Times New Roman"/>
          <w:color w:val="auto"/>
          <w:sz w:val="24"/>
          <w:szCs w:val="24"/>
        </w:rPr>
        <w:t>A.14</w:t>
      </w:r>
      <w:r w:rsidRPr="00D86001" w:rsidR="00D86001">
        <w:rPr>
          <w:rFonts w:ascii="Times New Roman" w:hAnsi="Times New Roman" w:cs="Times New Roman"/>
          <w:color w:val="auto"/>
          <w:sz w:val="24"/>
          <w:szCs w:val="24"/>
        </w:rPr>
        <w:t>.</w:t>
      </w:r>
      <w:r w:rsidRPr="00D86001" w:rsidR="00D86001">
        <w:rPr>
          <w:rFonts w:ascii="Times New Roman" w:hAnsi="Times New Roman" w:cs="Times New Roman"/>
          <w:color w:val="auto"/>
          <w:sz w:val="24"/>
          <w:szCs w:val="24"/>
        </w:rPr>
        <w:tab/>
      </w:r>
      <w:r w:rsidRPr="00D86001">
        <w:rPr>
          <w:rFonts w:ascii="Times New Roman" w:hAnsi="Times New Roman" w:cs="Times New Roman"/>
          <w:color w:val="auto"/>
          <w:sz w:val="24"/>
          <w:szCs w:val="24"/>
        </w:rPr>
        <w:t>Estimates of Annualized Cost to the Government</w:t>
      </w:r>
    </w:p>
    <w:p w:rsidR="00DA5BA5" w:rsidP="000C3F88" w14:paraId="6EFDF5CA" w14:textId="77777777">
      <w:pPr>
        <w:keepNext/>
        <w:keepLines/>
        <w:spacing w:after="0"/>
        <w:rPr>
          <w:rFonts w:cs="Times New Roman"/>
          <w:sz w:val="24"/>
          <w:szCs w:val="24"/>
        </w:rPr>
      </w:pPr>
    </w:p>
    <w:p w:rsidR="005E3C19" w:rsidRPr="00351CC6" w:rsidP="00351CC6" w14:paraId="009F6BC2" w14:textId="50FC14AE">
      <w:pPr>
        <w:keepNext/>
        <w:keepLines/>
        <w:spacing w:after="0"/>
        <w:rPr>
          <w:rFonts w:cs="Times New Roman"/>
          <w:sz w:val="24"/>
          <w:szCs w:val="24"/>
        </w:rPr>
      </w:pPr>
      <w:r w:rsidRPr="005E3C19">
        <w:rPr>
          <w:rFonts w:cs="Times New Roman"/>
          <w:sz w:val="24"/>
          <w:szCs w:val="24"/>
        </w:rPr>
        <w:t xml:space="preserve">The total estimated cost to the government for the data collection from FY </w:t>
      </w:r>
      <w:r w:rsidR="00793030">
        <w:rPr>
          <w:rFonts w:cs="Times New Roman"/>
          <w:sz w:val="24"/>
          <w:szCs w:val="24"/>
        </w:rPr>
        <w:t>202</w:t>
      </w:r>
      <w:r w:rsidR="006A17DE">
        <w:rPr>
          <w:rFonts w:cs="Times New Roman"/>
          <w:sz w:val="24"/>
          <w:szCs w:val="24"/>
        </w:rPr>
        <w:t>5</w:t>
      </w:r>
      <w:r w:rsidR="00793030">
        <w:rPr>
          <w:rFonts w:cs="Times New Roman"/>
          <w:sz w:val="24"/>
          <w:szCs w:val="24"/>
        </w:rPr>
        <w:t xml:space="preserve"> </w:t>
      </w:r>
      <w:r w:rsidRPr="005E3C19">
        <w:rPr>
          <w:rFonts w:cs="Times New Roman"/>
          <w:sz w:val="24"/>
          <w:szCs w:val="24"/>
        </w:rPr>
        <w:t>through FY</w:t>
      </w:r>
      <w:r w:rsidR="00190765">
        <w:rPr>
          <w:rFonts w:cs="Times New Roman"/>
          <w:sz w:val="24"/>
          <w:szCs w:val="24"/>
        </w:rPr>
        <w:t xml:space="preserve"> </w:t>
      </w:r>
      <w:r w:rsidR="00793030">
        <w:rPr>
          <w:rFonts w:cs="Times New Roman"/>
          <w:sz w:val="24"/>
          <w:szCs w:val="24"/>
        </w:rPr>
        <w:t xml:space="preserve">2029 </w:t>
      </w:r>
      <w:r w:rsidRPr="006B638B">
        <w:rPr>
          <w:rFonts w:cs="Times New Roman"/>
          <w:sz w:val="24"/>
          <w:szCs w:val="24"/>
        </w:rPr>
        <w:t xml:space="preserve">is </w:t>
      </w:r>
      <w:r w:rsidRPr="006B638B" w:rsidR="006B7748">
        <w:rPr>
          <w:rFonts w:cs="Times New Roman"/>
          <w:sz w:val="24"/>
          <w:szCs w:val="24"/>
        </w:rPr>
        <w:t>$1,130</w:t>
      </w:r>
      <w:r w:rsidRPr="006B638B" w:rsidR="006B638B">
        <w:rPr>
          <w:rFonts w:cs="Times New Roman"/>
          <w:sz w:val="24"/>
          <w:szCs w:val="24"/>
        </w:rPr>
        <w:t>,261</w:t>
      </w:r>
      <w:r w:rsidRPr="006B638B" w:rsidR="006B7748">
        <w:rPr>
          <w:rFonts w:cs="Times New Roman"/>
          <w:sz w:val="24"/>
          <w:szCs w:val="24"/>
        </w:rPr>
        <w:t>.</w:t>
      </w:r>
      <w:r w:rsidR="00A32379">
        <w:rPr>
          <w:rFonts w:cs="Times New Roman"/>
          <w:sz w:val="24"/>
          <w:szCs w:val="24"/>
        </w:rPr>
        <w:t xml:space="preserve"> </w:t>
      </w:r>
      <w:r w:rsidRPr="005E3C19">
        <w:rPr>
          <w:rFonts w:cs="Times New Roman"/>
          <w:sz w:val="24"/>
          <w:szCs w:val="24"/>
        </w:rPr>
        <w:t xml:space="preserve">This includes approximately </w:t>
      </w:r>
      <w:r w:rsidRPr="00351CC6" w:rsidR="002036B4">
        <w:rPr>
          <w:rFonts w:cs="Times New Roman"/>
          <w:sz w:val="24"/>
          <w:szCs w:val="24"/>
        </w:rPr>
        <w:t>$</w:t>
      </w:r>
      <w:r w:rsidRPr="00351CC6" w:rsidR="002D7513">
        <w:rPr>
          <w:rFonts w:cs="Times New Roman"/>
          <w:sz w:val="24"/>
          <w:szCs w:val="24"/>
        </w:rPr>
        <w:t xml:space="preserve">145,837 </w:t>
      </w:r>
      <w:r w:rsidRPr="00351CC6">
        <w:rPr>
          <w:rFonts w:cs="Times New Roman"/>
          <w:sz w:val="24"/>
          <w:szCs w:val="24"/>
        </w:rPr>
        <w:t xml:space="preserve">per year for SAMHSA costs to manage/administer the data collection and analysis for 25% each of </w:t>
      </w:r>
      <w:r w:rsidRPr="00351CC6" w:rsidR="00E94D9A">
        <w:rPr>
          <w:rFonts w:cs="Times New Roman"/>
          <w:sz w:val="24"/>
          <w:szCs w:val="24"/>
        </w:rPr>
        <w:t xml:space="preserve">four </w:t>
      </w:r>
      <w:r w:rsidRPr="00351CC6">
        <w:rPr>
          <w:rFonts w:cs="Times New Roman"/>
          <w:sz w:val="24"/>
          <w:szCs w:val="24"/>
        </w:rPr>
        <w:t>employees</w:t>
      </w:r>
      <w:r w:rsidRPr="00351CC6" w:rsidR="00E94D9A">
        <w:rPr>
          <w:rFonts w:cs="Times New Roman"/>
          <w:sz w:val="24"/>
          <w:szCs w:val="24"/>
        </w:rPr>
        <w:t>, two from CSAP</w:t>
      </w:r>
      <w:r w:rsidRPr="00351CC6" w:rsidR="00413F45">
        <w:rPr>
          <w:rFonts w:cs="Times New Roman"/>
          <w:sz w:val="24"/>
          <w:szCs w:val="24"/>
        </w:rPr>
        <w:t xml:space="preserve"> and two from CSAT</w:t>
      </w:r>
      <w:r w:rsidRPr="00351CC6">
        <w:rPr>
          <w:rFonts w:cs="Times New Roman"/>
          <w:sz w:val="24"/>
          <w:szCs w:val="24"/>
        </w:rPr>
        <w:t xml:space="preserve"> (</w:t>
      </w:r>
      <w:r w:rsidRPr="00351CC6" w:rsidR="00553955">
        <w:rPr>
          <w:rFonts w:cs="Times New Roman"/>
          <w:sz w:val="24"/>
          <w:szCs w:val="24"/>
        </w:rPr>
        <w:t>GS-13-5</w:t>
      </w:r>
      <w:r w:rsidRPr="00351CC6" w:rsidR="00FF0BFB">
        <w:rPr>
          <w:rFonts w:cs="Times New Roman"/>
          <w:sz w:val="24"/>
          <w:szCs w:val="24"/>
        </w:rPr>
        <w:t>,</w:t>
      </w:r>
      <w:r w:rsidRPr="00351CC6" w:rsidR="00DA6923">
        <w:rPr>
          <w:rFonts w:cs="Times New Roman"/>
          <w:sz w:val="24"/>
          <w:szCs w:val="24"/>
        </w:rPr>
        <w:t xml:space="preserve"> $133,692</w:t>
      </w:r>
      <w:r w:rsidRPr="00351CC6" w:rsidR="00BA4D0B">
        <w:rPr>
          <w:rFonts w:cs="Times New Roman"/>
          <w:sz w:val="24"/>
          <w:szCs w:val="24"/>
        </w:rPr>
        <w:t xml:space="preserve"> and </w:t>
      </w:r>
      <w:r w:rsidRPr="00351CC6">
        <w:rPr>
          <w:rFonts w:cs="Times New Roman"/>
          <w:sz w:val="24"/>
          <w:szCs w:val="24"/>
        </w:rPr>
        <w:t>GS-14-</w:t>
      </w:r>
      <w:r w:rsidRPr="00351CC6" w:rsidR="00BF457E">
        <w:rPr>
          <w:rFonts w:cs="Times New Roman"/>
          <w:sz w:val="24"/>
          <w:szCs w:val="24"/>
        </w:rPr>
        <w:t>5</w:t>
      </w:r>
      <w:r w:rsidRPr="00351CC6">
        <w:rPr>
          <w:rFonts w:cs="Times New Roman"/>
          <w:sz w:val="24"/>
          <w:szCs w:val="24"/>
        </w:rPr>
        <w:t xml:space="preserve">, </w:t>
      </w:r>
      <w:r w:rsidRPr="00351CC6" w:rsidR="00555F84">
        <w:rPr>
          <w:rFonts w:cs="Times New Roman"/>
          <w:sz w:val="24"/>
          <w:szCs w:val="24"/>
        </w:rPr>
        <w:t>$157,982</w:t>
      </w:r>
      <w:r w:rsidRPr="00351CC6" w:rsidR="00754696">
        <w:rPr>
          <w:rFonts w:cs="Times New Roman"/>
          <w:sz w:val="24"/>
          <w:szCs w:val="24"/>
        </w:rPr>
        <w:t xml:space="preserve"> </w:t>
      </w:r>
      <w:r w:rsidRPr="00351CC6">
        <w:rPr>
          <w:rFonts w:cs="Times New Roman"/>
          <w:sz w:val="24"/>
          <w:szCs w:val="24"/>
        </w:rPr>
        <w:t>annual salary).</w:t>
      </w:r>
      <w:r w:rsidR="00351CC6">
        <w:rPr>
          <w:rFonts w:cs="Times New Roman"/>
          <w:sz w:val="24"/>
          <w:szCs w:val="24"/>
        </w:rPr>
        <w:t xml:space="preserve"> </w:t>
      </w:r>
      <w:r w:rsidR="000F2BE8">
        <w:rPr>
          <w:rFonts w:cs="Times New Roman"/>
          <w:sz w:val="24"/>
          <w:szCs w:val="24"/>
        </w:rPr>
        <w:t xml:space="preserve">This also includes </w:t>
      </w:r>
      <w:r w:rsidR="00351CC6">
        <w:rPr>
          <w:rFonts w:cs="Times New Roman"/>
          <w:sz w:val="24"/>
          <w:szCs w:val="24"/>
        </w:rPr>
        <w:t>a</w:t>
      </w:r>
      <w:r w:rsidRPr="00351CC6">
        <w:rPr>
          <w:rFonts w:cs="Times New Roman"/>
          <w:sz w:val="24"/>
          <w:szCs w:val="24"/>
        </w:rPr>
        <w:t xml:space="preserve">pproximately </w:t>
      </w:r>
      <w:r w:rsidRPr="00351CC6" w:rsidR="002D7A58">
        <w:rPr>
          <w:rFonts w:cs="Times New Roman"/>
          <w:sz w:val="24"/>
          <w:szCs w:val="24"/>
        </w:rPr>
        <w:t>$</w:t>
      </w:r>
      <w:r w:rsidRPr="00351CC6" w:rsidR="009C25BE">
        <w:rPr>
          <w:rFonts w:cs="Times New Roman"/>
          <w:sz w:val="24"/>
          <w:szCs w:val="24"/>
        </w:rPr>
        <w:t>80,215</w:t>
      </w:r>
      <w:r w:rsidRPr="00351CC6" w:rsidR="005F6626">
        <w:rPr>
          <w:rFonts w:cs="Times New Roman"/>
          <w:sz w:val="24"/>
          <w:szCs w:val="24"/>
        </w:rPr>
        <w:t xml:space="preserve"> </w:t>
      </w:r>
      <w:r w:rsidRPr="00351CC6">
        <w:rPr>
          <w:rFonts w:cs="Times New Roman"/>
          <w:sz w:val="24"/>
          <w:szCs w:val="24"/>
        </w:rPr>
        <w:t xml:space="preserve">per year </w:t>
      </w:r>
      <w:r w:rsidR="004772BD">
        <w:rPr>
          <w:rFonts w:cs="Times New Roman"/>
          <w:sz w:val="24"/>
          <w:szCs w:val="24"/>
        </w:rPr>
        <w:t xml:space="preserve">for </w:t>
      </w:r>
      <w:r w:rsidRPr="00351CC6">
        <w:rPr>
          <w:rFonts w:cs="Times New Roman"/>
          <w:sz w:val="24"/>
          <w:szCs w:val="24"/>
        </w:rPr>
        <w:t xml:space="preserve">SAMHSA costs to monitor and approve grantee reporting in these instruments (10% time of </w:t>
      </w:r>
      <w:r w:rsidRPr="00351CC6" w:rsidR="00BA5581">
        <w:rPr>
          <w:rFonts w:cs="Times New Roman"/>
          <w:sz w:val="24"/>
          <w:szCs w:val="24"/>
        </w:rPr>
        <w:t>6</w:t>
      </w:r>
      <w:r w:rsidRPr="00351CC6" w:rsidR="00D360F1">
        <w:rPr>
          <w:rFonts w:cs="Times New Roman"/>
          <w:sz w:val="24"/>
          <w:szCs w:val="24"/>
        </w:rPr>
        <w:t xml:space="preserve"> </w:t>
      </w:r>
      <w:r w:rsidRPr="00351CC6" w:rsidR="00D8176F">
        <w:rPr>
          <w:rFonts w:cs="Times New Roman"/>
          <w:sz w:val="24"/>
          <w:szCs w:val="24"/>
        </w:rPr>
        <w:t>GPOs</w:t>
      </w:r>
      <w:r w:rsidRPr="00351CC6" w:rsidR="00A05EF9">
        <w:rPr>
          <w:rFonts w:cs="Times New Roman"/>
          <w:sz w:val="24"/>
          <w:szCs w:val="24"/>
        </w:rPr>
        <w:t>, three from CSAP and three from CSAT</w:t>
      </w:r>
      <w:r w:rsidRPr="00351CC6">
        <w:rPr>
          <w:rFonts w:cs="Times New Roman"/>
          <w:sz w:val="24"/>
          <w:szCs w:val="24"/>
        </w:rPr>
        <w:t xml:space="preserve"> </w:t>
      </w:r>
      <w:r w:rsidRPr="00351CC6" w:rsidR="00E55C80">
        <w:rPr>
          <w:rFonts w:cs="Times New Roman"/>
          <w:sz w:val="24"/>
          <w:szCs w:val="24"/>
        </w:rPr>
        <w:t>(GS</w:t>
      </w:r>
      <w:r w:rsidRPr="00351CC6" w:rsidR="00CB4A77">
        <w:rPr>
          <w:rFonts w:cs="Times New Roman"/>
          <w:sz w:val="24"/>
          <w:szCs w:val="24"/>
        </w:rPr>
        <w:t>-13-5)</w:t>
      </w:r>
      <w:r w:rsidRPr="00351CC6">
        <w:rPr>
          <w:rFonts w:cs="Times New Roman"/>
          <w:sz w:val="24"/>
          <w:szCs w:val="24"/>
        </w:rPr>
        <w:t xml:space="preserve"> at </w:t>
      </w:r>
      <w:r w:rsidRPr="00351CC6" w:rsidR="00D360F1">
        <w:rPr>
          <w:rFonts w:cs="Times New Roman"/>
          <w:sz w:val="24"/>
          <w:szCs w:val="24"/>
        </w:rPr>
        <w:t>$</w:t>
      </w:r>
      <w:r w:rsidRPr="00351CC6" w:rsidR="00D827A9">
        <w:rPr>
          <w:rFonts w:cs="Times New Roman"/>
          <w:sz w:val="24"/>
          <w:szCs w:val="24"/>
        </w:rPr>
        <w:t>133,692</w:t>
      </w:r>
      <w:r w:rsidRPr="00351CC6" w:rsidR="006211D6">
        <w:rPr>
          <w:rFonts w:cs="Times New Roman"/>
          <w:sz w:val="24"/>
          <w:szCs w:val="24"/>
        </w:rPr>
        <w:t xml:space="preserve"> </w:t>
      </w:r>
      <w:r w:rsidRPr="00351CC6">
        <w:rPr>
          <w:rFonts w:cs="Times New Roman"/>
          <w:sz w:val="24"/>
          <w:szCs w:val="24"/>
        </w:rPr>
        <w:t xml:space="preserve">annual salary). The </w:t>
      </w:r>
      <w:r w:rsidRPr="00351CC6" w:rsidR="00254576">
        <w:rPr>
          <w:rFonts w:cs="Times New Roman"/>
          <w:sz w:val="24"/>
          <w:szCs w:val="24"/>
        </w:rPr>
        <w:t xml:space="preserve">total </w:t>
      </w:r>
      <w:r w:rsidRPr="00351CC6">
        <w:rPr>
          <w:rFonts w:cs="Times New Roman"/>
          <w:sz w:val="24"/>
          <w:szCs w:val="24"/>
        </w:rPr>
        <w:t>annualized cost is approximately</w:t>
      </w:r>
      <w:r w:rsidRPr="00351CC6" w:rsidR="005F6626">
        <w:rPr>
          <w:rFonts w:cs="Times New Roman"/>
          <w:sz w:val="24"/>
          <w:szCs w:val="24"/>
        </w:rPr>
        <w:t xml:space="preserve"> </w:t>
      </w:r>
      <w:r w:rsidRPr="00351CC6" w:rsidR="0096602D">
        <w:rPr>
          <w:rFonts w:cs="Times New Roman"/>
          <w:sz w:val="24"/>
          <w:szCs w:val="24"/>
        </w:rPr>
        <w:t>$</w:t>
      </w:r>
      <w:r w:rsidRPr="00351CC6" w:rsidR="005F42AA">
        <w:rPr>
          <w:rFonts w:cs="Times New Roman"/>
          <w:sz w:val="24"/>
          <w:szCs w:val="24"/>
        </w:rPr>
        <w:t>226,052.20</w:t>
      </w:r>
      <w:r w:rsidRPr="00351CC6">
        <w:rPr>
          <w:rFonts w:cs="Times New Roman"/>
          <w:sz w:val="24"/>
          <w:szCs w:val="24"/>
        </w:rPr>
        <w:t>.</w:t>
      </w:r>
    </w:p>
    <w:p w:rsidR="00C335E5" w:rsidRPr="0091092F" w:rsidP="00DA5BA5" w14:paraId="2312774C" w14:textId="77777777">
      <w:pPr>
        <w:spacing w:after="0"/>
        <w:rPr>
          <w:rFonts w:cs="Times New Roman"/>
          <w:sz w:val="24"/>
          <w:szCs w:val="24"/>
        </w:rPr>
      </w:pPr>
    </w:p>
    <w:p w:rsidR="00DA5BA5" w:rsidRPr="0091092F" w:rsidP="00D86001" w14:paraId="1FCB422B" w14:textId="539B1F3C">
      <w:pPr>
        <w:pStyle w:val="Heading1"/>
        <w:numPr>
          <w:ilvl w:val="0"/>
          <w:numId w:val="0"/>
        </w:numPr>
        <w:tabs>
          <w:tab w:val="left" w:pos="720"/>
        </w:tabs>
        <w:spacing w:before="0" w:after="0"/>
        <w:rPr>
          <w:rFonts w:ascii="Times New Roman" w:hAnsi="Times New Roman" w:cs="Times New Roman"/>
          <w:color w:val="auto"/>
          <w:sz w:val="24"/>
          <w:szCs w:val="24"/>
        </w:rPr>
      </w:pPr>
      <w:r w:rsidRPr="0091092F">
        <w:rPr>
          <w:rFonts w:ascii="Times New Roman" w:hAnsi="Times New Roman" w:cs="Times New Roman"/>
          <w:color w:val="auto"/>
          <w:sz w:val="24"/>
          <w:szCs w:val="24"/>
        </w:rPr>
        <w:t>A.15.</w:t>
      </w:r>
      <w:r w:rsidR="00D86001">
        <w:rPr>
          <w:rFonts w:ascii="Times New Roman" w:hAnsi="Times New Roman" w:cs="Times New Roman"/>
          <w:color w:val="auto"/>
          <w:sz w:val="24"/>
          <w:szCs w:val="24"/>
        </w:rPr>
        <w:tab/>
      </w:r>
      <w:r w:rsidRPr="0091092F">
        <w:rPr>
          <w:rFonts w:ascii="Times New Roman" w:hAnsi="Times New Roman" w:cs="Times New Roman"/>
          <w:color w:val="auto"/>
          <w:sz w:val="24"/>
          <w:szCs w:val="24"/>
        </w:rPr>
        <w:t>Changes in Burden</w:t>
      </w:r>
    </w:p>
    <w:p w:rsidR="00DA5BA5" w:rsidRPr="0091092F" w:rsidP="00DA5BA5" w14:paraId="53B621CB" w14:textId="77777777">
      <w:pPr>
        <w:spacing w:after="0"/>
        <w:rPr>
          <w:rFonts w:cs="Times New Roman"/>
          <w:sz w:val="24"/>
          <w:szCs w:val="24"/>
        </w:rPr>
      </w:pPr>
    </w:p>
    <w:p w:rsidR="007E04C2" w:rsidP="009C2ED4" w14:paraId="685B04D0" w14:textId="04551DAF">
      <w:pPr>
        <w:spacing w:after="0"/>
        <w:rPr>
          <w:rFonts w:cs="Times New Roman"/>
          <w:sz w:val="24"/>
          <w:szCs w:val="24"/>
        </w:rPr>
      </w:pPr>
      <w:r w:rsidRPr="009B6671">
        <w:rPr>
          <w:rFonts w:cs="Times New Roman"/>
          <w:sz w:val="24"/>
          <w:szCs w:val="24"/>
        </w:rPr>
        <w:t xml:space="preserve"> </w:t>
      </w:r>
      <w:r w:rsidRPr="001402F1">
        <w:rPr>
          <w:rFonts w:cs="Times New Roman"/>
          <w:sz w:val="24"/>
          <w:szCs w:val="24"/>
        </w:rPr>
        <w:t xml:space="preserve">Since the publication of the 60-day Federal Registry Notice, changes were made to the burden estimates. </w:t>
      </w:r>
      <w:r w:rsidRPr="00DA766B">
        <w:rPr>
          <w:rFonts w:cs="Times New Roman"/>
          <w:sz w:val="24"/>
          <w:szCs w:val="24"/>
        </w:rPr>
        <w:t>No comments were received during the 60-Day Federal Register comment period.</w:t>
      </w:r>
      <w:r>
        <w:rPr>
          <w:rFonts w:cs="Times New Roman"/>
          <w:sz w:val="24"/>
          <w:szCs w:val="24"/>
        </w:rPr>
        <w:t xml:space="preserve"> </w:t>
      </w:r>
      <w:r>
        <w:rPr>
          <w:rFonts w:cs="Times New Roman"/>
          <w:szCs w:val="24"/>
        </w:rPr>
        <w:t xml:space="preserve">However, </w:t>
      </w:r>
      <w:r w:rsidRPr="001402F1">
        <w:rPr>
          <w:rFonts w:cs="Times New Roman"/>
          <w:sz w:val="24"/>
          <w:szCs w:val="24"/>
        </w:rPr>
        <w:t>changes were made to the burden estimates</w:t>
      </w:r>
      <w:r>
        <w:rPr>
          <w:rFonts w:cs="Times New Roman"/>
          <w:szCs w:val="24"/>
        </w:rPr>
        <w:t xml:space="preserve"> based on the feedback received from respondents during the cognitive testing.</w:t>
      </w:r>
    </w:p>
    <w:p w:rsidR="007E04C2" w:rsidP="009C2ED4" w14:paraId="738BD009" w14:textId="77777777">
      <w:pPr>
        <w:spacing w:after="0"/>
        <w:rPr>
          <w:rFonts w:cs="Times New Roman"/>
          <w:sz w:val="24"/>
          <w:szCs w:val="24"/>
        </w:rPr>
      </w:pPr>
    </w:p>
    <w:p w:rsidR="000F51C7" w:rsidP="00D86001" w14:paraId="3DA14A0A" w14:textId="548B4BC8">
      <w:pPr>
        <w:pStyle w:val="Heading1"/>
        <w:numPr>
          <w:ilvl w:val="0"/>
          <w:numId w:val="0"/>
        </w:numPr>
        <w:tabs>
          <w:tab w:val="left" w:pos="720"/>
        </w:tabs>
        <w:spacing w:before="0" w:after="0"/>
        <w:rPr>
          <w:rFonts w:ascii="Times New Roman" w:hAnsi="Times New Roman" w:cs="Times New Roman"/>
          <w:color w:val="auto"/>
          <w:sz w:val="24"/>
          <w:szCs w:val="24"/>
        </w:rPr>
      </w:pPr>
      <w:r w:rsidRPr="00D86001">
        <w:rPr>
          <w:rFonts w:ascii="Times New Roman" w:hAnsi="Times New Roman" w:cs="Times New Roman"/>
          <w:color w:val="auto"/>
          <w:sz w:val="24"/>
          <w:szCs w:val="24"/>
        </w:rPr>
        <w:t>A.16.</w:t>
      </w:r>
      <w:r w:rsidRPr="00D86001" w:rsidR="00D86001">
        <w:rPr>
          <w:rFonts w:ascii="Times New Roman" w:hAnsi="Times New Roman" w:cs="Times New Roman"/>
          <w:color w:val="auto"/>
          <w:sz w:val="24"/>
          <w:szCs w:val="24"/>
        </w:rPr>
        <w:tab/>
      </w:r>
      <w:r w:rsidRPr="00D86001" w:rsidR="00043BE1">
        <w:rPr>
          <w:rFonts w:ascii="Times New Roman" w:hAnsi="Times New Roman" w:cs="Times New Roman"/>
          <w:color w:val="auto"/>
          <w:sz w:val="24"/>
          <w:szCs w:val="24"/>
        </w:rPr>
        <w:t>Time Schedule, Publications, and Analysis Plan</w:t>
      </w:r>
    </w:p>
    <w:p w:rsidR="00D86001" w:rsidRPr="00D86001" w:rsidP="00D86001" w14:paraId="62C5176B" w14:textId="77777777">
      <w:pPr>
        <w:spacing w:after="0"/>
      </w:pPr>
    </w:p>
    <w:p w:rsidR="008C075A" w:rsidRPr="0091092F" w:rsidP="007350E1" w14:paraId="6FA23686" w14:textId="77777777">
      <w:pPr>
        <w:pStyle w:val="Heading5"/>
        <w:rPr>
          <w:rFonts w:cs="Times New Roman"/>
          <w:sz w:val="24"/>
          <w:szCs w:val="24"/>
        </w:rPr>
      </w:pPr>
      <w:r w:rsidRPr="0091092F">
        <w:rPr>
          <w:rFonts w:cs="Times New Roman"/>
          <w:sz w:val="24"/>
          <w:szCs w:val="24"/>
        </w:rPr>
        <w:t>Time Schedule</w:t>
      </w:r>
      <w:r w:rsidRPr="0091092F" w:rsidR="0088591B">
        <w:rPr>
          <w:rFonts w:cs="Times New Roman"/>
          <w:sz w:val="24"/>
          <w:szCs w:val="24"/>
        </w:rPr>
        <w:t xml:space="preserve"> </w:t>
      </w:r>
    </w:p>
    <w:p w:rsidR="0002051F" w:rsidP="00490BCE" w14:paraId="1AF5985D" w14:textId="7CFE3466">
      <w:pPr>
        <w:pStyle w:val="ExhibitTitle"/>
        <w:spacing w:before="240" w:after="60"/>
        <w:rPr>
          <w:rFonts w:cs="Times New Roman"/>
          <w:sz w:val="24"/>
          <w:szCs w:val="24"/>
        </w:rPr>
      </w:pPr>
      <w:bookmarkStart w:id="1" w:name="_Toc46162795"/>
      <w:bookmarkStart w:id="2" w:name="_Toc54502997"/>
      <w:bookmarkStart w:id="3" w:name="_Toc93987697"/>
      <w:bookmarkStart w:id="4" w:name="_Toc131566258"/>
      <w:r>
        <w:rPr>
          <w:rFonts w:cs="Times New Roman"/>
          <w:sz w:val="24"/>
          <w:szCs w:val="24"/>
        </w:rPr>
        <w:t xml:space="preserve">Table 10. </w:t>
      </w:r>
      <w:r w:rsidRPr="0091092F" w:rsidR="004245A5">
        <w:rPr>
          <w:rFonts w:cs="Times New Roman"/>
          <w:sz w:val="24"/>
          <w:szCs w:val="24"/>
        </w:rPr>
        <w:t xml:space="preserve">Time Schedule for </w:t>
      </w:r>
      <w:bookmarkEnd w:id="1"/>
      <w:bookmarkEnd w:id="2"/>
      <w:bookmarkEnd w:id="3"/>
      <w:bookmarkEnd w:id="4"/>
      <w:r w:rsidRPr="0091092F" w:rsidR="004245A5">
        <w:rPr>
          <w:rFonts w:cs="Times New Roman"/>
          <w:sz w:val="24"/>
          <w:szCs w:val="24"/>
        </w:rPr>
        <w:t xml:space="preserve">Data Collection </w:t>
      </w:r>
    </w:p>
    <w:tbl>
      <w:tblPr>
        <w:tblW w:w="917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5579"/>
        <w:gridCol w:w="3600"/>
      </w:tblGrid>
      <w:tr w14:paraId="1561CB11" w14:textId="77777777" w:rsidTr="00A4121E">
        <w:tblPrEx>
          <w:tblW w:w="917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blHeader/>
        </w:trPr>
        <w:tc>
          <w:tcPr>
            <w:tcW w:w="5579" w:type="dxa"/>
            <w:shd w:val="clear" w:color="auto" w:fill="8DB3E2" w:themeFill="text2" w:themeFillTint="66"/>
            <w:vAlign w:val="center"/>
          </w:tcPr>
          <w:p w:rsidR="005952D8" w:rsidRPr="0091092F" w:rsidP="00833F42" w14:paraId="2F84BF2A" w14:textId="77777777">
            <w:pPr>
              <w:spacing w:after="0"/>
              <w:jc w:val="center"/>
              <w:rPr>
                <w:rFonts w:cs="Times New Roman"/>
                <w:b/>
                <w:bCs/>
                <w:sz w:val="24"/>
                <w:szCs w:val="24"/>
              </w:rPr>
            </w:pPr>
            <w:r w:rsidRPr="0091092F">
              <w:rPr>
                <w:rFonts w:cs="Times New Roman"/>
                <w:b/>
                <w:bCs/>
                <w:sz w:val="24"/>
                <w:szCs w:val="24"/>
              </w:rPr>
              <w:t>Activity</w:t>
            </w:r>
          </w:p>
        </w:tc>
        <w:tc>
          <w:tcPr>
            <w:tcW w:w="3600" w:type="dxa"/>
            <w:shd w:val="clear" w:color="auto" w:fill="8DB3E2" w:themeFill="text2" w:themeFillTint="66"/>
            <w:vAlign w:val="center"/>
          </w:tcPr>
          <w:p w:rsidR="005952D8" w:rsidRPr="0091092F" w:rsidP="00833F42" w14:paraId="12A66AF4" w14:textId="77777777">
            <w:pPr>
              <w:spacing w:after="0"/>
              <w:jc w:val="center"/>
              <w:rPr>
                <w:rFonts w:cs="Times New Roman"/>
                <w:b/>
                <w:bCs/>
                <w:sz w:val="24"/>
                <w:szCs w:val="24"/>
              </w:rPr>
            </w:pPr>
            <w:r w:rsidRPr="0091092F">
              <w:rPr>
                <w:rFonts w:cs="Times New Roman"/>
                <w:b/>
                <w:bCs/>
                <w:sz w:val="24"/>
                <w:szCs w:val="24"/>
              </w:rPr>
              <w:t>Time Schedule</w:t>
            </w:r>
          </w:p>
        </w:tc>
      </w:tr>
      <w:tr w14:paraId="30443792" w14:textId="77777777" w:rsidTr="00A4121E">
        <w:tblPrEx>
          <w:tblW w:w="9179" w:type="dxa"/>
          <w:tblInd w:w="86" w:type="dxa"/>
          <w:tblLayout w:type="fixed"/>
          <w:tblCellMar>
            <w:left w:w="86" w:type="dxa"/>
            <w:right w:w="86" w:type="dxa"/>
          </w:tblCellMar>
          <w:tblLook w:val="01E0"/>
        </w:tblPrEx>
        <w:trPr>
          <w:cantSplit/>
          <w:trHeight w:val="354"/>
        </w:trPr>
        <w:tc>
          <w:tcPr>
            <w:tcW w:w="5579" w:type="dxa"/>
            <w:vAlign w:val="center"/>
          </w:tcPr>
          <w:p w:rsidR="005952D8" w:rsidRPr="0091092F" w:rsidP="00501919" w14:paraId="63B7F608" w14:textId="77777777">
            <w:pPr>
              <w:spacing w:after="0"/>
              <w:rPr>
                <w:rFonts w:cs="Times New Roman"/>
                <w:sz w:val="24"/>
                <w:szCs w:val="24"/>
              </w:rPr>
            </w:pPr>
            <w:r w:rsidRPr="0091092F">
              <w:rPr>
                <w:rFonts w:cs="Times New Roman"/>
                <w:sz w:val="24"/>
                <w:szCs w:val="24"/>
              </w:rPr>
              <w:t>Obtain OMB approval for data collection</w:t>
            </w:r>
          </w:p>
        </w:tc>
        <w:tc>
          <w:tcPr>
            <w:tcW w:w="3600" w:type="dxa"/>
            <w:vAlign w:val="center"/>
          </w:tcPr>
          <w:p w:rsidR="005952D8" w:rsidRPr="0091092F" w:rsidP="00501919" w14:paraId="23668D37" w14:textId="0158BB52">
            <w:pPr>
              <w:spacing w:after="0"/>
              <w:rPr>
                <w:rFonts w:cs="Times New Roman"/>
                <w:sz w:val="24"/>
                <w:szCs w:val="24"/>
              </w:rPr>
            </w:pPr>
            <w:r>
              <w:rPr>
                <w:rFonts w:cs="Times New Roman"/>
                <w:sz w:val="24"/>
                <w:szCs w:val="24"/>
              </w:rPr>
              <w:t>December 2024</w:t>
            </w:r>
          </w:p>
        </w:tc>
      </w:tr>
      <w:tr w14:paraId="44474B5F" w14:textId="77777777" w:rsidTr="00A4121E">
        <w:tblPrEx>
          <w:tblW w:w="9179" w:type="dxa"/>
          <w:tblInd w:w="86" w:type="dxa"/>
          <w:tblLayout w:type="fixed"/>
          <w:tblCellMar>
            <w:left w:w="86" w:type="dxa"/>
            <w:right w:w="86" w:type="dxa"/>
          </w:tblCellMar>
          <w:tblLook w:val="01E0"/>
        </w:tblPrEx>
        <w:trPr>
          <w:cantSplit/>
        </w:trPr>
        <w:tc>
          <w:tcPr>
            <w:tcW w:w="5579" w:type="dxa"/>
            <w:vAlign w:val="center"/>
          </w:tcPr>
          <w:p w:rsidR="005952D8" w:rsidRPr="0091092F" w:rsidP="00501919" w14:paraId="4414A58B" w14:textId="449E3F15">
            <w:pPr>
              <w:spacing w:after="0"/>
              <w:rPr>
                <w:rFonts w:cs="Times New Roman"/>
                <w:sz w:val="24"/>
                <w:szCs w:val="24"/>
              </w:rPr>
            </w:pPr>
            <w:r w:rsidRPr="0091092F">
              <w:rPr>
                <w:rFonts w:cs="Times New Roman"/>
                <w:sz w:val="24"/>
                <w:szCs w:val="24"/>
              </w:rPr>
              <w:t>Collect data</w:t>
            </w:r>
          </w:p>
        </w:tc>
        <w:tc>
          <w:tcPr>
            <w:tcW w:w="3600" w:type="dxa"/>
            <w:vAlign w:val="center"/>
          </w:tcPr>
          <w:p w:rsidR="005952D8" w:rsidRPr="0091092F" w:rsidP="00501919" w14:paraId="671FA69A" w14:textId="75332CCE">
            <w:pPr>
              <w:spacing w:after="0"/>
              <w:rPr>
                <w:rFonts w:cs="Times New Roman"/>
                <w:sz w:val="24"/>
                <w:szCs w:val="24"/>
              </w:rPr>
            </w:pPr>
            <w:r>
              <w:rPr>
                <w:rFonts w:cs="Times New Roman"/>
                <w:sz w:val="24"/>
                <w:szCs w:val="24"/>
              </w:rPr>
              <w:t>January 2025</w:t>
            </w:r>
            <w:r w:rsidRPr="0091092F">
              <w:rPr>
                <w:rFonts w:cs="Times New Roman"/>
                <w:sz w:val="24"/>
                <w:szCs w:val="24"/>
              </w:rPr>
              <w:t>–September 202</w:t>
            </w:r>
            <w:r w:rsidR="00CD2928">
              <w:rPr>
                <w:rFonts w:cs="Times New Roman"/>
                <w:sz w:val="24"/>
                <w:szCs w:val="24"/>
              </w:rPr>
              <w:t>9</w:t>
            </w:r>
          </w:p>
        </w:tc>
      </w:tr>
      <w:tr w14:paraId="1FDBD96B" w14:textId="77777777" w:rsidTr="00A4121E">
        <w:tblPrEx>
          <w:tblW w:w="9179" w:type="dxa"/>
          <w:tblInd w:w="86" w:type="dxa"/>
          <w:tblLayout w:type="fixed"/>
          <w:tblCellMar>
            <w:left w:w="86" w:type="dxa"/>
            <w:right w:w="86" w:type="dxa"/>
          </w:tblCellMar>
          <w:tblLook w:val="01E0"/>
        </w:tblPrEx>
        <w:trPr>
          <w:cantSplit/>
        </w:trPr>
        <w:tc>
          <w:tcPr>
            <w:tcW w:w="5579" w:type="dxa"/>
            <w:vAlign w:val="center"/>
          </w:tcPr>
          <w:p w:rsidR="005952D8" w:rsidRPr="0091092F" w:rsidP="00501919" w14:paraId="2A12EBF3" w14:textId="2C286823">
            <w:pPr>
              <w:spacing w:after="0"/>
              <w:rPr>
                <w:rFonts w:cs="Times New Roman"/>
                <w:sz w:val="24"/>
                <w:szCs w:val="24"/>
              </w:rPr>
            </w:pPr>
            <w:r w:rsidRPr="0091092F">
              <w:rPr>
                <w:rFonts w:cs="Times New Roman"/>
                <w:sz w:val="24"/>
                <w:szCs w:val="24"/>
              </w:rPr>
              <w:t>Analyze data</w:t>
            </w:r>
          </w:p>
        </w:tc>
        <w:tc>
          <w:tcPr>
            <w:tcW w:w="3600" w:type="dxa"/>
            <w:vAlign w:val="center"/>
          </w:tcPr>
          <w:p w:rsidR="005952D8" w:rsidRPr="0091092F" w:rsidP="00501919" w14:paraId="32F298C7" w14:textId="1EFB3236">
            <w:pPr>
              <w:spacing w:after="0"/>
              <w:rPr>
                <w:rFonts w:cs="Times New Roman"/>
                <w:sz w:val="24"/>
                <w:szCs w:val="24"/>
              </w:rPr>
            </w:pPr>
            <w:r>
              <w:rPr>
                <w:rFonts w:cs="Times New Roman"/>
                <w:sz w:val="24"/>
                <w:szCs w:val="24"/>
              </w:rPr>
              <w:t>March 2025</w:t>
            </w:r>
            <w:r w:rsidRPr="0091092F">
              <w:rPr>
                <w:rFonts w:cs="Times New Roman"/>
                <w:sz w:val="24"/>
                <w:szCs w:val="24"/>
              </w:rPr>
              <w:t>–September 202</w:t>
            </w:r>
            <w:r w:rsidR="00CD2928">
              <w:rPr>
                <w:rFonts w:cs="Times New Roman"/>
                <w:sz w:val="24"/>
                <w:szCs w:val="24"/>
              </w:rPr>
              <w:t>9</w:t>
            </w:r>
          </w:p>
        </w:tc>
      </w:tr>
      <w:tr w14:paraId="08187346" w14:textId="77777777" w:rsidTr="00A4121E">
        <w:tblPrEx>
          <w:tblW w:w="9179" w:type="dxa"/>
          <w:tblInd w:w="86" w:type="dxa"/>
          <w:tblLayout w:type="fixed"/>
          <w:tblCellMar>
            <w:left w:w="86" w:type="dxa"/>
            <w:right w:w="86" w:type="dxa"/>
          </w:tblCellMar>
          <w:tblLook w:val="01E0"/>
        </w:tblPrEx>
        <w:trPr>
          <w:cantSplit/>
        </w:trPr>
        <w:tc>
          <w:tcPr>
            <w:tcW w:w="5579" w:type="dxa"/>
            <w:vAlign w:val="center"/>
          </w:tcPr>
          <w:p w:rsidR="005952D8" w:rsidRPr="0091092F" w:rsidP="00501919" w14:paraId="5030B084" w14:textId="5A0EA66E">
            <w:pPr>
              <w:spacing w:after="0"/>
              <w:rPr>
                <w:rFonts w:cs="Times New Roman"/>
                <w:sz w:val="24"/>
                <w:szCs w:val="24"/>
              </w:rPr>
            </w:pPr>
            <w:r w:rsidRPr="0091092F">
              <w:rPr>
                <w:rFonts w:cs="Times New Roman"/>
                <w:sz w:val="24"/>
                <w:szCs w:val="24"/>
              </w:rPr>
              <w:t>Disseminat</w:t>
            </w:r>
            <w:r w:rsidR="00212EC6">
              <w:rPr>
                <w:rFonts w:cs="Times New Roman"/>
                <w:sz w:val="24"/>
                <w:szCs w:val="24"/>
              </w:rPr>
              <w:t>e</w:t>
            </w:r>
            <w:r w:rsidRPr="0091092F">
              <w:rPr>
                <w:rFonts w:cs="Times New Roman"/>
                <w:sz w:val="24"/>
                <w:szCs w:val="24"/>
              </w:rPr>
              <w:t xml:space="preserve"> of findings</w:t>
            </w:r>
            <w:r w:rsidR="001C21B1">
              <w:rPr>
                <w:rFonts w:cs="Times New Roman"/>
                <w:sz w:val="24"/>
                <w:szCs w:val="24"/>
              </w:rPr>
              <w:t xml:space="preserve">: </w:t>
            </w:r>
            <w:r w:rsidRPr="0091092F">
              <w:rPr>
                <w:rFonts w:cs="Times New Roman"/>
                <w:sz w:val="24"/>
                <w:szCs w:val="24"/>
              </w:rPr>
              <w:t>Annual evaluation reports</w:t>
            </w:r>
          </w:p>
        </w:tc>
        <w:tc>
          <w:tcPr>
            <w:tcW w:w="3600" w:type="dxa"/>
            <w:vAlign w:val="center"/>
          </w:tcPr>
          <w:p w:rsidR="005952D8" w:rsidRPr="0091092F" w:rsidP="00501919" w14:paraId="76F09F34" w14:textId="77777777">
            <w:pPr>
              <w:spacing w:after="0"/>
              <w:rPr>
                <w:rFonts w:cs="Times New Roman"/>
                <w:sz w:val="24"/>
                <w:szCs w:val="24"/>
              </w:rPr>
            </w:pPr>
            <w:r w:rsidRPr="0091092F">
              <w:rPr>
                <w:rFonts w:cs="Times New Roman"/>
                <w:sz w:val="24"/>
                <w:szCs w:val="24"/>
              </w:rPr>
              <w:t>Ongoing for monitoring purposes.</w:t>
            </w:r>
          </w:p>
        </w:tc>
      </w:tr>
    </w:tbl>
    <w:p w:rsidR="00AE49CA" w:rsidP="006375C0" w14:paraId="524FF6F9" w14:textId="77777777">
      <w:pPr>
        <w:pStyle w:val="Heading5"/>
        <w:keepLines/>
        <w:rPr>
          <w:rFonts w:cs="Times New Roman"/>
          <w:sz w:val="24"/>
          <w:szCs w:val="24"/>
        </w:rPr>
      </w:pPr>
    </w:p>
    <w:p w:rsidR="008C075A" w:rsidRPr="0091092F" w:rsidP="006375C0" w14:paraId="5FBB519F" w14:textId="2118DFD7">
      <w:pPr>
        <w:pStyle w:val="Heading5"/>
        <w:keepLines/>
        <w:rPr>
          <w:rFonts w:cs="Times New Roman"/>
          <w:sz w:val="24"/>
          <w:szCs w:val="24"/>
        </w:rPr>
      </w:pPr>
      <w:r w:rsidRPr="0091092F">
        <w:rPr>
          <w:rFonts w:cs="Times New Roman"/>
          <w:sz w:val="24"/>
          <w:szCs w:val="24"/>
        </w:rPr>
        <w:t>Publications</w:t>
      </w:r>
    </w:p>
    <w:p w:rsidR="00C47EAD" w:rsidP="006375C0" w14:paraId="695E2989" w14:textId="4B3C375C">
      <w:pPr>
        <w:pStyle w:val="Standard"/>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 xml:space="preserve">Reports summarizing the </w:t>
      </w:r>
      <w:r w:rsidR="00A7789F">
        <w:rPr>
          <w:color w:val="000000" w:themeColor="text1"/>
          <w:szCs w:val="24"/>
        </w:rPr>
        <w:t>MAI</w:t>
      </w:r>
      <w:r w:rsidR="00C707E0">
        <w:rPr>
          <w:color w:val="000000" w:themeColor="text1"/>
          <w:szCs w:val="24"/>
        </w:rPr>
        <w:t>-</w:t>
      </w:r>
      <w:r w:rsidR="00F671FC">
        <w:rPr>
          <w:color w:val="000000" w:themeColor="text1"/>
          <w:szCs w:val="24"/>
        </w:rPr>
        <w:t xml:space="preserve">ORA, </w:t>
      </w:r>
      <w:r w:rsidR="00C707E0">
        <w:rPr>
          <w:color w:val="000000" w:themeColor="text1"/>
          <w:szCs w:val="24"/>
        </w:rPr>
        <w:t>MAI-</w:t>
      </w:r>
      <w:r w:rsidR="00A7789F">
        <w:rPr>
          <w:color w:val="000000" w:themeColor="text1"/>
          <w:szCs w:val="24"/>
        </w:rPr>
        <w:t>PPR</w:t>
      </w:r>
      <w:r w:rsidR="00F671FC">
        <w:rPr>
          <w:color w:val="000000" w:themeColor="text1"/>
          <w:szCs w:val="24"/>
        </w:rPr>
        <w:t>,</w:t>
      </w:r>
      <w:r w:rsidR="00A7789F">
        <w:rPr>
          <w:color w:val="000000" w:themeColor="text1"/>
          <w:szCs w:val="24"/>
        </w:rPr>
        <w:t xml:space="preserve"> </w:t>
      </w:r>
      <w:r w:rsidR="0010484A">
        <w:rPr>
          <w:color w:val="000000" w:themeColor="text1"/>
          <w:szCs w:val="24"/>
        </w:rPr>
        <w:t>and</w:t>
      </w:r>
      <w:r w:rsidR="00A7789F">
        <w:rPr>
          <w:color w:val="000000" w:themeColor="text1"/>
          <w:szCs w:val="24"/>
        </w:rPr>
        <w:t xml:space="preserve"> </w:t>
      </w:r>
      <w:r w:rsidR="00C707E0">
        <w:rPr>
          <w:color w:val="000000" w:themeColor="text1"/>
          <w:szCs w:val="24"/>
        </w:rPr>
        <w:t>MAI-</w:t>
      </w:r>
      <w:r w:rsidR="00A7789F">
        <w:rPr>
          <w:color w:val="000000" w:themeColor="text1"/>
          <w:szCs w:val="24"/>
        </w:rPr>
        <w:t xml:space="preserve">PORT </w:t>
      </w:r>
      <w:r>
        <w:rPr>
          <w:color w:val="000000" w:themeColor="text1"/>
          <w:szCs w:val="24"/>
        </w:rPr>
        <w:t>data</w:t>
      </w:r>
      <w:r w:rsidRPr="009F3543">
        <w:rPr>
          <w:color w:val="000000" w:themeColor="text1"/>
          <w:szCs w:val="24"/>
        </w:rPr>
        <w:t xml:space="preserve"> will be prepared for the internal use of SAMHSA. </w:t>
      </w:r>
      <w:r w:rsidR="00086A0E">
        <w:rPr>
          <w:szCs w:val="24"/>
        </w:rPr>
        <w:t>MAI</w:t>
      </w:r>
      <w:r w:rsidR="00C707E0">
        <w:rPr>
          <w:szCs w:val="24"/>
        </w:rPr>
        <w:t>-</w:t>
      </w:r>
      <w:r w:rsidR="00086A0E">
        <w:rPr>
          <w:szCs w:val="24"/>
        </w:rPr>
        <w:t>PORT</w:t>
      </w:r>
      <w:r w:rsidRPr="0091092F" w:rsidR="00086A0E">
        <w:rPr>
          <w:szCs w:val="24"/>
        </w:rPr>
        <w:t xml:space="preserve"> </w:t>
      </w:r>
      <w:r w:rsidRPr="0091092F" w:rsidR="00224456">
        <w:rPr>
          <w:szCs w:val="24"/>
        </w:rPr>
        <w:t xml:space="preserve">will primarily be used by SAMHSA </w:t>
      </w:r>
      <w:r w:rsidR="00224456">
        <w:rPr>
          <w:szCs w:val="24"/>
        </w:rPr>
        <w:t>Government GPOs</w:t>
      </w:r>
      <w:r w:rsidRPr="0091092F" w:rsidR="00224456">
        <w:rPr>
          <w:szCs w:val="24"/>
        </w:rPr>
        <w:t xml:space="preserve"> to monitor the progress of their grantees.</w:t>
      </w:r>
      <w:r w:rsidR="00190765">
        <w:rPr>
          <w:szCs w:val="24"/>
        </w:rPr>
        <w:t xml:space="preserve"> </w:t>
      </w:r>
      <w:r w:rsidR="000301C4">
        <w:rPr>
          <w:szCs w:val="24"/>
        </w:rPr>
        <w:t xml:space="preserve">Additional audiences </w:t>
      </w:r>
      <w:r w:rsidRPr="00C47EAD" w:rsidR="000301C4">
        <w:rPr>
          <w:szCs w:val="24"/>
        </w:rPr>
        <w:t>for these reports will include Congress, SAMHSA Contracting Officer’s Representatives (CORs), grantees, and the broader substance use prevention field (e.g., academia, researchers, policymakers, providers).</w:t>
      </w:r>
      <w:r w:rsidR="00190765">
        <w:rPr>
          <w:szCs w:val="24"/>
        </w:rPr>
        <w:t xml:space="preserve"> </w:t>
      </w:r>
      <w:r w:rsidR="00224456">
        <w:rPr>
          <w:szCs w:val="24"/>
        </w:rPr>
        <w:t xml:space="preserve">Also, </w:t>
      </w:r>
      <w:r w:rsidR="00BE025F">
        <w:rPr>
          <w:szCs w:val="24"/>
        </w:rPr>
        <w:t>data</w:t>
      </w:r>
      <w:r w:rsidRPr="0091092F" w:rsidR="00224456">
        <w:rPr>
          <w:szCs w:val="24"/>
        </w:rPr>
        <w:t xml:space="preserve"> from the reports will be used for evaluation purposes, as the process data may inform specific outcomes.</w:t>
      </w:r>
      <w:r w:rsidR="00190765">
        <w:rPr>
          <w:szCs w:val="24"/>
        </w:rPr>
        <w:t xml:space="preserve"> </w:t>
      </w:r>
    </w:p>
    <w:p w:rsidR="00DA09A9" w:rsidRPr="009F3543" w:rsidP="00DA09A9" w14:paraId="288E6CD9" w14:textId="65E41A4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The data also may be shared at professional conferences, such as American Public Health Association Annual Meeting and Expo</w:t>
      </w:r>
      <w:r w:rsidR="00041682">
        <w:rPr>
          <w:color w:val="000000" w:themeColor="text1"/>
          <w:szCs w:val="24"/>
        </w:rPr>
        <w:t xml:space="preserve">, </w:t>
      </w:r>
      <w:r w:rsidRPr="009F3543" w:rsidR="00041682">
        <w:rPr>
          <w:color w:val="000000" w:themeColor="text1"/>
          <w:szCs w:val="24"/>
        </w:rPr>
        <w:t>National Prevention Network</w:t>
      </w:r>
      <w:r w:rsidR="00041682">
        <w:rPr>
          <w:color w:val="000000" w:themeColor="text1"/>
          <w:szCs w:val="24"/>
        </w:rPr>
        <w:t xml:space="preserve">, </w:t>
      </w:r>
      <w:r w:rsidRPr="009F3543">
        <w:rPr>
          <w:color w:val="000000" w:themeColor="text1"/>
          <w:szCs w:val="24"/>
        </w:rPr>
        <w:t>SAMHSA’s Prevention Day</w:t>
      </w:r>
      <w:r>
        <w:rPr>
          <w:color w:val="000000" w:themeColor="text1"/>
          <w:szCs w:val="24"/>
        </w:rPr>
        <w:t xml:space="preserve">, </w:t>
      </w:r>
      <w:r w:rsidR="00041682">
        <w:rPr>
          <w:color w:val="000000" w:themeColor="text1"/>
          <w:szCs w:val="24"/>
        </w:rPr>
        <w:t>Society f</w:t>
      </w:r>
      <w:r w:rsidR="00B64024">
        <w:rPr>
          <w:color w:val="000000" w:themeColor="text1"/>
          <w:szCs w:val="24"/>
        </w:rPr>
        <w:t xml:space="preserve">or Prevention Research, </w:t>
      </w:r>
      <w:r>
        <w:rPr>
          <w:color w:val="000000" w:themeColor="text1"/>
          <w:szCs w:val="24"/>
        </w:rPr>
        <w:t>and other conferences</w:t>
      </w:r>
      <w:r w:rsidRPr="009F3543">
        <w:rPr>
          <w:szCs w:val="24"/>
        </w:rPr>
        <w:t xml:space="preserve">. </w:t>
      </w:r>
    </w:p>
    <w:p w:rsidR="00AE49CA" w14:paraId="5A525223" w14:textId="77777777">
      <w:pPr>
        <w:spacing w:after="0"/>
        <w:rPr>
          <w:rFonts w:cs="Times New Roman"/>
          <w:sz w:val="24"/>
          <w:szCs w:val="24"/>
          <w:u w:val="single"/>
        </w:rPr>
      </w:pPr>
      <w:r>
        <w:rPr>
          <w:rFonts w:cs="Times New Roman"/>
          <w:sz w:val="24"/>
          <w:szCs w:val="24"/>
        </w:rPr>
        <w:br w:type="page"/>
      </w:r>
    </w:p>
    <w:p w:rsidR="000F51C7" w:rsidRPr="0091092F" w:rsidP="007350E1" w14:paraId="4E1B2B12" w14:textId="3AA4AB74">
      <w:pPr>
        <w:pStyle w:val="Heading5"/>
        <w:rPr>
          <w:rFonts w:cs="Times New Roman"/>
          <w:sz w:val="24"/>
          <w:szCs w:val="24"/>
        </w:rPr>
      </w:pPr>
      <w:r w:rsidRPr="0091092F">
        <w:rPr>
          <w:rFonts w:cs="Times New Roman"/>
          <w:sz w:val="24"/>
          <w:szCs w:val="24"/>
        </w:rPr>
        <w:t>Analysis</w:t>
      </w:r>
    </w:p>
    <w:p w:rsidR="005A7346" w:rsidRPr="00F7330F" w:rsidP="00E57C00" w14:paraId="429BAB02" w14:textId="1F731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Both quantitative and qualitative analysis will be conducted. </w:t>
      </w:r>
    </w:p>
    <w:p w:rsidR="005A7346" w:rsidRPr="00F7330F" w:rsidP="004809A5" w14:paraId="6A6E8974" w14:textId="24A2D955">
      <w:pPr>
        <w:pStyle w:val="ListParagraph"/>
        <w:numPr>
          <w:ilvl w:val="0"/>
          <w:numId w:val="18"/>
        </w:numPr>
        <w:spacing w:before="120" w:after="120"/>
        <w:contextualSpacing w:val="0"/>
        <w:rPr>
          <w:sz w:val="24"/>
          <w:szCs w:val="24"/>
        </w:rPr>
      </w:pPr>
      <w:r w:rsidRPr="00F7330F">
        <w:rPr>
          <w:sz w:val="24"/>
          <w:szCs w:val="24"/>
        </w:rPr>
        <w:t>Quantitative analysis</w:t>
      </w:r>
      <w:r w:rsidR="00592C12">
        <w:rPr>
          <w:sz w:val="24"/>
          <w:szCs w:val="24"/>
        </w:rPr>
        <w:t xml:space="preserve"> will include d</w:t>
      </w:r>
      <w:r w:rsidRPr="00F7330F" w:rsidR="00B02FD2">
        <w:rPr>
          <w:sz w:val="24"/>
          <w:szCs w:val="24"/>
        </w:rPr>
        <w:t>escriptive statistical procedures, including frequency counts and percentages. Some cross-tabulations will be used to help identify patterns within the responses.</w:t>
      </w:r>
      <w:r w:rsidRPr="00F7330F">
        <w:rPr>
          <w:sz w:val="24"/>
          <w:szCs w:val="24"/>
        </w:rPr>
        <w:t xml:space="preserve"> </w:t>
      </w:r>
    </w:p>
    <w:p w:rsidR="00F86448" w:rsidRPr="00F7330F" w:rsidP="004809A5" w14:paraId="3423B50A" w14:textId="27E84F97">
      <w:pPr>
        <w:pStyle w:val="ListParagraph"/>
        <w:numPr>
          <w:ilvl w:val="0"/>
          <w:numId w:val="18"/>
        </w:numPr>
        <w:spacing w:before="120" w:after="120"/>
        <w:contextualSpacing w:val="0"/>
        <w:rPr>
          <w:sz w:val="24"/>
          <w:szCs w:val="24"/>
        </w:rPr>
      </w:pPr>
      <w:r w:rsidRPr="00F7330F">
        <w:rPr>
          <w:sz w:val="24"/>
          <w:szCs w:val="24"/>
        </w:rPr>
        <w:t>Qualitative analyses will focus primarily on open</w:t>
      </w:r>
      <w:r w:rsidR="005F60D5">
        <w:rPr>
          <w:sz w:val="24"/>
          <w:szCs w:val="24"/>
        </w:rPr>
        <w:t>-</w:t>
      </w:r>
      <w:r w:rsidRPr="00F7330F">
        <w:rPr>
          <w:sz w:val="24"/>
          <w:szCs w:val="24"/>
        </w:rPr>
        <w:t xml:space="preserve">ended responses grantees </w:t>
      </w:r>
      <w:r w:rsidR="005F60D5">
        <w:rPr>
          <w:sz w:val="24"/>
          <w:szCs w:val="24"/>
        </w:rPr>
        <w:t xml:space="preserve">will report regarding the </w:t>
      </w:r>
      <w:r w:rsidR="000A336C">
        <w:rPr>
          <w:sz w:val="24"/>
          <w:szCs w:val="24"/>
        </w:rPr>
        <w:t xml:space="preserve">results from </w:t>
      </w:r>
      <w:r w:rsidR="0012650D">
        <w:rPr>
          <w:sz w:val="24"/>
          <w:szCs w:val="24"/>
        </w:rPr>
        <w:t>the</w:t>
      </w:r>
      <w:r w:rsidR="001711C1">
        <w:rPr>
          <w:sz w:val="24"/>
          <w:szCs w:val="24"/>
        </w:rPr>
        <w:t xml:space="preserve">ir </w:t>
      </w:r>
      <w:r w:rsidR="005F60D5">
        <w:rPr>
          <w:sz w:val="24"/>
          <w:szCs w:val="24"/>
        </w:rPr>
        <w:t>MAI-ORA as well as their o</w:t>
      </w:r>
      <w:r w:rsidR="00F85F70">
        <w:rPr>
          <w:sz w:val="24"/>
          <w:szCs w:val="24"/>
        </w:rPr>
        <w:t xml:space="preserve">verall accomplishments, </w:t>
      </w:r>
      <w:r w:rsidR="003F08E5">
        <w:rPr>
          <w:sz w:val="24"/>
          <w:szCs w:val="24"/>
        </w:rPr>
        <w:t>challenges/barriers, successes and innovations</w:t>
      </w:r>
      <w:r w:rsidR="001A1009">
        <w:rPr>
          <w:sz w:val="24"/>
          <w:szCs w:val="24"/>
        </w:rPr>
        <w:t>,</w:t>
      </w:r>
      <w:r w:rsidR="003F08E5">
        <w:rPr>
          <w:sz w:val="24"/>
          <w:szCs w:val="24"/>
        </w:rPr>
        <w:t xml:space="preserve"> </w:t>
      </w:r>
      <w:r w:rsidRPr="00F7330F">
        <w:rPr>
          <w:sz w:val="24"/>
          <w:szCs w:val="24"/>
        </w:rPr>
        <w:t>accomplishments and barriers</w:t>
      </w:r>
      <w:r w:rsidR="005F60D5">
        <w:rPr>
          <w:sz w:val="24"/>
          <w:szCs w:val="24"/>
        </w:rPr>
        <w:t xml:space="preserve"> report in programmatic progress reports</w:t>
      </w:r>
      <w:r w:rsidRPr="00F7330F">
        <w:rPr>
          <w:sz w:val="24"/>
          <w:szCs w:val="24"/>
        </w:rPr>
        <w:t>.</w:t>
      </w:r>
    </w:p>
    <w:p w:rsidR="00F86448" w:rsidRPr="00F7330F" w:rsidP="00E57C00" w14:paraId="66CE15CB" w14:textId="4DFF6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Analysis will be at the aggregate </w:t>
      </w:r>
      <w:r w:rsidR="00845E04">
        <w:rPr>
          <w:sz w:val="24"/>
          <w:szCs w:val="24"/>
        </w:rPr>
        <w:t xml:space="preserve">level for all measures found in the </w:t>
      </w:r>
      <w:r w:rsidR="00086A0E">
        <w:rPr>
          <w:sz w:val="24"/>
          <w:szCs w:val="24"/>
        </w:rPr>
        <w:t>MAI</w:t>
      </w:r>
      <w:r w:rsidR="00C707E0">
        <w:rPr>
          <w:sz w:val="24"/>
          <w:szCs w:val="24"/>
        </w:rPr>
        <w:t>-</w:t>
      </w:r>
      <w:r w:rsidR="000C48F6">
        <w:rPr>
          <w:sz w:val="24"/>
          <w:szCs w:val="24"/>
        </w:rPr>
        <w:t xml:space="preserve">ORA, </w:t>
      </w:r>
      <w:r w:rsidRPr="00C707E0" w:rsidR="00C707E0">
        <w:rPr>
          <w:sz w:val="24"/>
          <w:szCs w:val="24"/>
        </w:rPr>
        <w:t>MAI-</w:t>
      </w:r>
      <w:r w:rsidR="00B53D6D">
        <w:rPr>
          <w:sz w:val="24"/>
          <w:szCs w:val="24"/>
        </w:rPr>
        <w:t>PPR</w:t>
      </w:r>
      <w:r w:rsidR="000C48F6">
        <w:rPr>
          <w:sz w:val="24"/>
          <w:szCs w:val="24"/>
        </w:rPr>
        <w:t>,</w:t>
      </w:r>
      <w:r w:rsidR="00B53D6D">
        <w:rPr>
          <w:sz w:val="24"/>
          <w:szCs w:val="24"/>
        </w:rPr>
        <w:t xml:space="preserve"> and </w:t>
      </w:r>
      <w:r w:rsidRPr="00C707E0" w:rsidR="00C707E0">
        <w:rPr>
          <w:sz w:val="24"/>
          <w:szCs w:val="24"/>
        </w:rPr>
        <w:t>MAI-</w:t>
      </w:r>
      <w:r w:rsidR="00B53D6D">
        <w:rPr>
          <w:sz w:val="24"/>
          <w:szCs w:val="24"/>
        </w:rPr>
        <w:t xml:space="preserve">PORT </w:t>
      </w:r>
      <w:r w:rsidR="00845E04">
        <w:rPr>
          <w:sz w:val="24"/>
          <w:szCs w:val="24"/>
        </w:rPr>
        <w:t>instrument</w:t>
      </w:r>
      <w:r w:rsidR="00DA09A9">
        <w:rPr>
          <w:sz w:val="24"/>
          <w:szCs w:val="24"/>
        </w:rPr>
        <w:t xml:space="preserve"> (Attachments 1 – </w:t>
      </w:r>
      <w:r w:rsidR="000C48F6">
        <w:rPr>
          <w:sz w:val="24"/>
          <w:szCs w:val="24"/>
        </w:rPr>
        <w:t>3</w:t>
      </w:r>
      <w:r w:rsidR="00DA09A9">
        <w:rPr>
          <w:sz w:val="24"/>
          <w:szCs w:val="24"/>
        </w:rPr>
        <w:t>).</w:t>
      </w:r>
      <w:r w:rsidR="00190765">
        <w:rPr>
          <w:sz w:val="24"/>
          <w:szCs w:val="24"/>
        </w:rPr>
        <w:t xml:space="preserve"> </w:t>
      </w:r>
    </w:p>
    <w:p w:rsidR="000F51C7" w:rsidRPr="00D86001" w:rsidP="00D86001" w14:paraId="34E3AB6C" w14:textId="77C25A90">
      <w:pPr>
        <w:pStyle w:val="Heading1"/>
        <w:numPr>
          <w:ilvl w:val="0"/>
          <w:numId w:val="0"/>
        </w:numPr>
        <w:tabs>
          <w:tab w:val="left" w:pos="720"/>
        </w:tabs>
        <w:spacing w:before="0" w:after="0"/>
        <w:rPr>
          <w:rFonts w:ascii="Times New Roman" w:hAnsi="Times New Roman" w:cs="Times New Roman"/>
          <w:color w:val="auto"/>
          <w:sz w:val="24"/>
          <w:szCs w:val="24"/>
        </w:rPr>
      </w:pPr>
      <w:r w:rsidRPr="00D86001">
        <w:rPr>
          <w:rFonts w:ascii="Times New Roman" w:hAnsi="Times New Roman" w:cs="Times New Roman"/>
          <w:color w:val="auto"/>
          <w:sz w:val="24"/>
          <w:szCs w:val="24"/>
        </w:rPr>
        <w:t xml:space="preserve">A.17 </w:t>
      </w:r>
      <w:r w:rsidRPr="00D86001" w:rsidR="00D86001">
        <w:rPr>
          <w:rFonts w:ascii="Times New Roman" w:hAnsi="Times New Roman" w:cs="Times New Roman"/>
          <w:color w:val="auto"/>
          <w:sz w:val="24"/>
          <w:szCs w:val="24"/>
        </w:rPr>
        <w:tab/>
      </w:r>
      <w:r w:rsidRPr="00D86001" w:rsidR="00043BE1">
        <w:rPr>
          <w:rFonts w:ascii="Times New Roman" w:hAnsi="Times New Roman" w:cs="Times New Roman"/>
          <w:color w:val="auto"/>
          <w:sz w:val="24"/>
          <w:szCs w:val="24"/>
        </w:rPr>
        <w:t>Display of Expiration Date</w:t>
      </w:r>
    </w:p>
    <w:p w:rsidR="00D86001" w:rsidRPr="00D86001" w:rsidP="00D86001" w14:paraId="430F0390" w14:textId="77777777">
      <w:pPr>
        <w:tabs>
          <w:tab w:val="left" w:pos="720"/>
        </w:tabs>
        <w:spacing w:after="0"/>
        <w:rPr>
          <w:b/>
          <w:bCs/>
        </w:rPr>
      </w:pPr>
    </w:p>
    <w:p w:rsidR="008368E1" w:rsidRPr="0091092F" w:rsidP="008368E1" w14:paraId="24837008" w14:textId="0A93D8E8">
      <w:pPr>
        <w:rPr>
          <w:rFonts w:cs="Times New Roman"/>
          <w:sz w:val="24"/>
          <w:szCs w:val="24"/>
        </w:rPr>
      </w:pPr>
      <w:r w:rsidRPr="0091092F">
        <w:rPr>
          <w:rFonts w:cs="Times New Roman"/>
          <w:sz w:val="24"/>
          <w:szCs w:val="24"/>
        </w:rPr>
        <w:t>OMB approval expira</w:t>
      </w:r>
      <w:r w:rsidRPr="0091092F" w:rsidR="00211E17">
        <w:rPr>
          <w:rFonts w:cs="Times New Roman"/>
          <w:sz w:val="24"/>
          <w:szCs w:val="24"/>
        </w:rPr>
        <w:t xml:space="preserve">tions dates will be displayed. </w:t>
      </w:r>
    </w:p>
    <w:p w:rsidR="008368E1" w:rsidP="00D86001" w14:paraId="0B0E908E" w14:textId="40B3D9EA">
      <w:pPr>
        <w:pStyle w:val="Heading1"/>
        <w:numPr>
          <w:ilvl w:val="0"/>
          <w:numId w:val="0"/>
        </w:numPr>
        <w:tabs>
          <w:tab w:val="left" w:pos="720"/>
        </w:tabs>
        <w:spacing w:before="0" w:after="0"/>
        <w:rPr>
          <w:rFonts w:ascii="Times New Roman" w:hAnsi="Times New Roman" w:cs="Times New Roman"/>
          <w:color w:val="auto"/>
          <w:sz w:val="24"/>
          <w:szCs w:val="24"/>
        </w:rPr>
      </w:pPr>
      <w:r w:rsidRPr="00D86001">
        <w:rPr>
          <w:rFonts w:ascii="Times New Roman" w:hAnsi="Times New Roman" w:cs="Times New Roman"/>
          <w:color w:val="auto"/>
          <w:sz w:val="24"/>
          <w:szCs w:val="24"/>
        </w:rPr>
        <w:t>A.18.</w:t>
      </w:r>
      <w:r w:rsidR="00D86001">
        <w:rPr>
          <w:rFonts w:ascii="Times New Roman" w:hAnsi="Times New Roman" w:cs="Times New Roman"/>
          <w:color w:val="auto"/>
          <w:sz w:val="24"/>
          <w:szCs w:val="24"/>
        </w:rPr>
        <w:tab/>
      </w:r>
      <w:r w:rsidRPr="00D86001">
        <w:rPr>
          <w:rFonts w:ascii="Times New Roman" w:hAnsi="Times New Roman" w:cs="Times New Roman"/>
          <w:color w:val="auto"/>
          <w:sz w:val="24"/>
          <w:szCs w:val="24"/>
        </w:rPr>
        <w:t>Exceptions to Certification for Statement</w:t>
      </w:r>
    </w:p>
    <w:p w:rsidR="00D86001" w:rsidRPr="00D86001" w:rsidP="00D86001" w14:paraId="113216BC" w14:textId="77777777">
      <w:pPr>
        <w:spacing w:after="0"/>
      </w:pPr>
    </w:p>
    <w:p w:rsidR="008368E1" w:rsidP="008368E1" w14:paraId="52517CED" w14:textId="21AEED7A">
      <w:pPr>
        <w:rPr>
          <w:rFonts w:cs="Times New Roman"/>
          <w:sz w:val="24"/>
          <w:szCs w:val="24"/>
        </w:rPr>
      </w:pPr>
      <w:r w:rsidRPr="0091092F">
        <w:rPr>
          <w:rFonts w:cs="Times New Roman"/>
          <w:sz w:val="24"/>
          <w:szCs w:val="24"/>
        </w:rPr>
        <w:t>There are no exceptions to the certification statement. The certifications are included in this submission</w:t>
      </w:r>
      <w:r w:rsidR="00696C29">
        <w:rPr>
          <w:rFonts w:cs="Times New Roman"/>
          <w:sz w:val="24"/>
          <w:szCs w:val="24"/>
        </w:rPr>
        <w:t>.</w:t>
      </w:r>
    </w:p>
    <w:p w:rsidR="00C77FD3" w:rsidRPr="0091092F" w:rsidP="008368E1" w14:paraId="7139F93D" w14:textId="77777777">
      <w:pPr>
        <w:rPr>
          <w:rFonts w:cs="Times New Roman"/>
          <w:sz w:val="24"/>
          <w:szCs w:val="24"/>
        </w:rPr>
      </w:pPr>
    </w:p>
    <w:p w:rsidR="00AF4755" w14:paraId="20620FD4" w14:textId="77777777">
      <w:pPr>
        <w:spacing w:after="0"/>
        <w:rPr>
          <w:rFonts w:cs="Times New Roman"/>
          <w:b/>
          <w:bCs/>
          <w:sz w:val="24"/>
          <w:szCs w:val="24"/>
        </w:rPr>
      </w:pPr>
      <w:r>
        <w:rPr>
          <w:rFonts w:cs="Times New Roman"/>
          <w:b/>
          <w:bCs/>
          <w:sz w:val="24"/>
          <w:szCs w:val="24"/>
        </w:rPr>
        <w:br w:type="page"/>
      </w:r>
    </w:p>
    <w:p w:rsidR="000F51C7" w:rsidRPr="0091092F" w:rsidP="00551E73" w14:paraId="466B0AB3" w14:textId="505D2505">
      <w:pPr>
        <w:ind w:left="2880" w:firstLine="720"/>
        <w:rPr>
          <w:rFonts w:cs="Times New Roman"/>
          <w:sz w:val="24"/>
          <w:szCs w:val="24"/>
        </w:rPr>
      </w:pPr>
      <w:r w:rsidRPr="0091092F">
        <w:rPr>
          <w:rFonts w:cs="Times New Roman"/>
          <w:b/>
          <w:bCs/>
          <w:sz w:val="24"/>
          <w:szCs w:val="24"/>
        </w:rPr>
        <w:t>REFERENCES</w:t>
      </w:r>
    </w:p>
    <w:p w:rsidR="00914FE4" w:rsidRPr="00AD1DD6" w:rsidP="00914FE4" w14:paraId="6B36FBCA" w14:textId="77777777">
      <w:pPr>
        <w:ind w:left="720" w:hanging="720"/>
        <w:rPr>
          <w:rFonts w:cs="Times New Roman"/>
          <w:bCs/>
          <w:sz w:val="24"/>
          <w:szCs w:val="24"/>
        </w:rPr>
      </w:pPr>
      <w:r w:rsidRPr="00552FCE">
        <w:rPr>
          <w:rFonts w:cs="Times New Roman"/>
          <w:bCs/>
          <w:sz w:val="24"/>
          <w:szCs w:val="24"/>
        </w:rPr>
        <w:t xml:space="preserve">Centers for Disease Control and Prevention. </w:t>
      </w:r>
      <w:r>
        <w:rPr>
          <w:rFonts w:cs="Times New Roman"/>
          <w:bCs/>
          <w:sz w:val="24"/>
          <w:szCs w:val="24"/>
        </w:rPr>
        <w:t xml:space="preserve">(2024, February 9). </w:t>
      </w:r>
      <w:r w:rsidRPr="00944B4E">
        <w:rPr>
          <w:rFonts w:cs="Times New Roman"/>
          <w:bCs/>
          <w:i/>
          <w:iCs/>
          <w:sz w:val="24"/>
          <w:szCs w:val="24"/>
        </w:rPr>
        <w:t xml:space="preserve">NCHHSTP </w:t>
      </w:r>
      <w:r w:rsidRPr="00944B4E">
        <w:rPr>
          <w:rFonts w:cs="Times New Roman"/>
          <w:bCs/>
          <w:i/>
          <w:iCs/>
          <w:sz w:val="24"/>
          <w:szCs w:val="24"/>
        </w:rPr>
        <w:t>AtlasPlus</w:t>
      </w:r>
      <w:r>
        <w:rPr>
          <w:rFonts w:cs="Times New Roman"/>
          <w:bCs/>
          <w:sz w:val="24"/>
          <w:szCs w:val="24"/>
        </w:rPr>
        <w:t xml:space="preserve">. Retrieved January 17, 2024, from </w:t>
      </w:r>
      <w:hyperlink r:id="rId12" w:history="1">
        <w:r w:rsidRPr="001500BE">
          <w:rPr>
            <w:rStyle w:val="Hyperlink"/>
            <w:rFonts w:cs="Times New Roman"/>
            <w:bCs/>
            <w:sz w:val="24"/>
            <w:szCs w:val="24"/>
          </w:rPr>
          <w:t>https://www.cdc.gov/nchhstp/atlas/index.htm</w:t>
        </w:r>
      </w:hyperlink>
      <w:r>
        <w:rPr>
          <w:rFonts w:cs="Times New Roman"/>
          <w:bCs/>
          <w:sz w:val="24"/>
          <w:szCs w:val="24"/>
        </w:rPr>
        <w:t xml:space="preserve"> </w:t>
      </w:r>
    </w:p>
    <w:p w:rsidR="00914FE4" w:rsidRPr="000B5073" w:rsidP="00914FE4" w14:paraId="376658F0" w14:textId="54C85450">
      <w:pPr>
        <w:pStyle w:val="FootnoteText"/>
        <w:ind w:left="720" w:hanging="720"/>
        <w:rPr>
          <w:rFonts w:cs="Times New Roman"/>
          <w:bCs/>
          <w:color w:val="0000FF" w:themeColor="hyperlink"/>
          <w:sz w:val="24"/>
          <w:szCs w:val="24"/>
          <w:u w:val="single"/>
        </w:rPr>
      </w:pPr>
      <w:r w:rsidRPr="008C00A6">
        <w:rPr>
          <w:rFonts w:cs="Times New Roman"/>
          <w:sz w:val="24"/>
          <w:szCs w:val="24"/>
        </w:rPr>
        <w:t>Office of Infectious Disease and HIV/AIDS Policy</w:t>
      </w:r>
      <w:r w:rsidR="002C4171">
        <w:rPr>
          <w:rFonts w:cs="Times New Roman"/>
          <w:sz w:val="24"/>
          <w:szCs w:val="24"/>
        </w:rPr>
        <w:t>.</w:t>
      </w:r>
      <w:r>
        <w:rPr>
          <w:rFonts w:cs="Times New Roman"/>
          <w:sz w:val="24"/>
          <w:szCs w:val="24"/>
        </w:rPr>
        <w:t xml:space="preserve"> (</w:t>
      </w:r>
      <w:r w:rsidR="0057480A">
        <w:rPr>
          <w:rFonts w:cs="Times New Roman"/>
          <w:sz w:val="24"/>
          <w:szCs w:val="24"/>
        </w:rPr>
        <w:t>2023</w:t>
      </w:r>
      <w:r w:rsidR="0057480A">
        <w:rPr>
          <w:rFonts w:cs="Times New Roman"/>
          <w:bCs/>
          <w:sz w:val="24"/>
          <w:szCs w:val="24"/>
        </w:rPr>
        <w:t xml:space="preserve">, December 4). </w:t>
      </w:r>
      <w:r w:rsidRPr="0057480A">
        <w:rPr>
          <w:rFonts w:cs="Times New Roman"/>
          <w:i/>
          <w:iCs/>
          <w:sz w:val="24"/>
          <w:szCs w:val="24"/>
        </w:rPr>
        <w:t>Ending</w:t>
      </w:r>
      <w:r w:rsidRPr="0057480A">
        <w:rPr>
          <w:rFonts w:cs="Times New Roman"/>
          <w:bCs/>
          <w:i/>
          <w:iCs/>
          <w:sz w:val="24"/>
          <w:szCs w:val="24"/>
        </w:rPr>
        <w:t xml:space="preserve"> </w:t>
      </w:r>
      <w:r w:rsidRPr="000A33C0">
        <w:rPr>
          <w:rFonts w:cs="Times New Roman"/>
          <w:bCs/>
          <w:i/>
          <w:iCs/>
          <w:sz w:val="24"/>
          <w:szCs w:val="24"/>
        </w:rPr>
        <w:t>the HIV Epidemic in the U.S.</w:t>
      </w:r>
      <w:r>
        <w:rPr>
          <w:rFonts w:cs="Times New Roman"/>
          <w:bCs/>
          <w:sz w:val="24"/>
          <w:szCs w:val="24"/>
        </w:rPr>
        <w:t xml:space="preserve"> </w:t>
      </w:r>
      <w:r w:rsidRPr="00914FE4" w:rsidR="001F2847">
        <w:rPr>
          <w:rFonts w:cs="Times New Roman"/>
          <w:sz w:val="24"/>
          <w:szCs w:val="24"/>
        </w:rPr>
        <w:t>U.S. Department of Health</w:t>
      </w:r>
      <w:r w:rsidRPr="00AA32AE" w:rsidR="001F2847">
        <w:rPr>
          <w:rFonts w:cs="Times New Roman"/>
          <w:sz w:val="24"/>
          <w:szCs w:val="24"/>
        </w:rPr>
        <w:t xml:space="preserve"> &amp; Human Services</w:t>
      </w:r>
      <w:r w:rsidR="001F2847">
        <w:rPr>
          <w:rFonts w:cs="Times New Roman"/>
          <w:sz w:val="24"/>
          <w:szCs w:val="24"/>
        </w:rPr>
        <w:t xml:space="preserve">. </w:t>
      </w:r>
      <w:hyperlink r:id="rId13" w:history="1">
        <w:r w:rsidRPr="00252D9A">
          <w:rPr>
            <w:rStyle w:val="Hyperlink"/>
            <w:rFonts w:cs="Times New Roman"/>
            <w:bCs/>
            <w:sz w:val="24"/>
            <w:szCs w:val="24"/>
          </w:rPr>
          <w:t>https://www.hiv.gov/federal-response/ending-the-hiv-epidemic/overview/</w:t>
        </w:r>
      </w:hyperlink>
    </w:p>
    <w:p w:rsidR="00914FE4" w:rsidP="00914FE4" w14:paraId="6C6EC008" w14:textId="77777777">
      <w:pPr>
        <w:pStyle w:val="FootnoteText"/>
        <w:ind w:left="720" w:hanging="720"/>
        <w:rPr>
          <w:rFonts w:cs="Times New Roman"/>
          <w:sz w:val="24"/>
          <w:szCs w:val="24"/>
          <w:highlight w:val="yellow"/>
        </w:rPr>
      </w:pPr>
    </w:p>
    <w:p w:rsidR="00914FE4" w:rsidRPr="00F05825" w:rsidP="00914FE4" w14:paraId="6FC9F2BB" w14:textId="77777777">
      <w:pPr>
        <w:pStyle w:val="FootnoteText"/>
        <w:ind w:left="720" w:hanging="720"/>
        <w:rPr>
          <w:rFonts w:cs="Times New Roman"/>
          <w:sz w:val="24"/>
          <w:szCs w:val="24"/>
        </w:rPr>
      </w:pPr>
      <w:r w:rsidRPr="00914FE4">
        <w:rPr>
          <w:rFonts w:cs="Times New Roman"/>
          <w:sz w:val="24"/>
          <w:szCs w:val="24"/>
        </w:rPr>
        <w:t xml:space="preserve">Office of Minority Health. (2022). </w:t>
      </w:r>
      <w:r w:rsidRPr="00914FE4">
        <w:rPr>
          <w:rFonts w:cs="Times New Roman"/>
          <w:i/>
          <w:iCs/>
          <w:sz w:val="24"/>
          <w:szCs w:val="24"/>
        </w:rPr>
        <w:t>Hepatitis and African Americans.</w:t>
      </w:r>
      <w:r w:rsidRPr="00914FE4">
        <w:rPr>
          <w:rFonts w:cs="Times New Roman"/>
          <w:sz w:val="24"/>
          <w:szCs w:val="24"/>
        </w:rPr>
        <w:t xml:space="preserve"> U.S. Department of Health</w:t>
      </w:r>
      <w:r w:rsidRPr="00AA32AE">
        <w:rPr>
          <w:rFonts w:cs="Times New Roman"/>
          <w:sz w:val="24"/>
          <w:szCs w:val="24"/>
        </w:rPr>
        <w:t xml:space="preserve"> &amp; Human Services</w:t>
      </w:r>
      <w:r>
        <w:rPr>
          <w:rFonts w:cs="Times New Roman"/>
          <w:sz w:val="24"/>
          <w:szCs w:val="24"/>
        </w:rPr>
        <w:t xml:space="preserve">. </w:t>
      </w:r>
      <w:hyperlink r:id="rId14" w:history="1">
        <w:r w:rsidRPr="001500BE">
          <w:rPr>
            <w:rStyle w:val="Hyperlink"/>
            <w:rFonts w:cs="Times New Roman"/>
            <w:sz w:val="24"/>
            <w:szCs w:val="24"/>
          </w:rPr>
          <w:t>https://minorityhealth.hhs.gov/hepatitis-and-african-americans</w:t>
        </w:r>
      </w:hyperlink>
      <w:r>
        <w:rPr>
          <w:rFonts w:cs="Times New Roman"/>
          <w:sz w:val="24"/>
          <w:szCs w:val="24"/>
        </w:rPr>
        <w:t xml:space="preserve"> </w:t>
      </w:r>
    </w:p>
    <w:p w:rsidR="00914FE4" w:rsidP="00914FE4" w14:paraId="3171EBA4" w14:textId="77777777">
      <w:pPr>
        <w:pStyle w:val="FootnoteText"/>
        <w:ind w:left="720" w:hanging="720"/>
        <w:rPr>
          <w:rFonts w:cs="Times New Roman"/>
          <w:sz w:val="24"/>
          <w:szCs w:val="24"/>
        </w:rPr>
      </w:pPr>
      <w:r>
        <w:rPr>
          <w:rFonts w:cs="Times New Roman"/>
          <w:sz w:val="24"/>
          <w:szCs w:val="24"/>
        </w:rPr>
        <w:t xml:space="preserve"> </w:t>
      </w:r>
    </w:p>
    <w:p w:rsidR="00914FE4" w:rsidP="00914FE4" w14:paraId="7A69C838" w14:textId="77777777">
      <w:pPr>
        <w:pStyle w:val="FootnoteText"/>
        <w:ind w:left="720" w:hanging="720"/>
        <w:rPr>
          <w:rFonts w:cs="Times New Roman"/>
          <w:sz w:val="24"/>
          <w:szCs w:val="24"/>
        </w:rPr>
      </w:pPr>
      <w:r w:rsidRPr="00AC7F00">
        <w:rPr>
          <w:rFonts w:cs="Times New Roman"/>
          <w:sz w:val="24"/>
          <w:szCs w:val="24"/>
        </w:rPr>
        <w:t xml:space="preserve">Substance </w:t>
      </w:r>
      <w:r w:rsidRPr="00252D9A">
        <w:rPr>
          <w:rFonts w:cs="Times New Roman"/>
          <w:sz w:val="24"/>
          <w:szCs w:val="24"/>
        </w:rPr>
        <w:t>Abuse and Mental Health Services Administration</w:t>
      </w:r>
      <w:r w:rsidRPr="00AC7F00">
        <w:rPr>
          <w:rFonts w:cs="Times New Roman"/>
          <w:sz w:val="24"/>
          <w:szCs w:val="24"/>
        </w:rPr>
        <w:t xml:space="preserve">. (2023). </w:t>
      </w:r>
      <w:r w:rsidRPr="00AE71D1">
        <w:rPr>
          <w:rFonts w:cs="Times New Roman"/>
          <w:i/>
          <w:iCs/>
          <w:sz w:val="24"/>
          <w:szCs w:val="24"/>
        </w:rPr>
        <w:t>Key substance use and mental health indicators in the United States: Results from the 2022 National Survey on Drug Use and Health</w:t>
      </w:r>
      <w:r>
        <w:rPr>
          <w:rFonts w:cs="Times New Roman"/>
          <w:i/>
          <w:iCs/>
          <w:sz w:val="24"/>
          <w:szCs w:val="24"/>
        </w:rPr>
        <w:t>.</w:t>
      </w:r>
      <w:r w:rsidRPr="00AC7F00">
        <w:rPr>
          <w:rFonts w:cs="Times New Roman"/>
          <w:sz w:val="24"/>
          <w:szCs w:val="24"/>
        </w:rPr>
        <w:t xml:space="preserve"> HHS Publication No. PEP23-07-01-006, NSDUH Series H-58. Center for Behavioral Health Statistics and Quality</w:t>
      </w:r>
      <w:r>
        <w:rPr>
          <w:rFonts w:cs="Times New Roman"/>
          <w:sz w:val="24"/>
          <w:szCs w:val="24"/>
        </w:rPr>
        <w:t xml:space="preserve">. </w:t>
      </w:r>
      <w:hyperlink r:id="rId15" w:history="1">
        <w:r w:rsidRPr="001500BE">
          <w:rPr>
            <w:rStyle w:val="Hyperlink"/>
            <w:rFonts w:cs="Times New Roman"/>
            <w:sz w:val="24"/>
            <w:szCs w:val="24"/>
          </w:rPr>
          <w:t>https://www.samhsa.gov/data/sites/default/files/reports/rpt42731/2022-nsduh-nnr.pdf</w:t>
        </w:r>
      </w:hyperlink>
      <w:r>
        <w:rPr>
          <w:rFonts w:cs="Times New Roman"/>
          <w:sz w:val="24"/>
          <w:szCs w:val="24"/>
        </w:rPr>
        <w:t xml:space="preserve"> </w:t>
      </w:r>
    </w:p>
    <w:p w:rsidR="00914FE4" w:rsidP="00914FE4" w14:paraId="4732FDC9" w14:textId="77777777">
      <w:pPr>
        <w:pStyle w:val="FootnoteText"/>
        <w:ind w:left="720" w:hanging="720"/>
        <w:rPr>
          <w:rFonts w:cs="Times New Roman"/>
          <w:sz w:val="24"/>
          <w:szCs w:val="24"/>
        </w:rPr>
      </w:pPr>
    </w:p>
    <w:p w:rsidR="00914FE4" w:rsidRPr="00252D9A" w:rsidP="00914FE4" w14:paraId="0A3EE229" w14:textId="77777777">
      <w:pPr>
        <w:pStyle w:val="FootnoteText"/>
        <w:ind w:left="720" w:hanging="720"/>
        <w:rPr>
          <w:rStyle w:val="Hyperlink"/>
          <w:rFonts w:cs="Times New Roman"/>
          <w:sz w:val="24"/>
          <w:szCs w:val="24"/>
        </w:rPr>
      </w:pPr>
      <w:r w:rsidRPr="00252D9A">
        <w:rPr>
          <w:rFonts w:cs="Times New Roman"/>
          <w:sz w:val="24"/>
          <w:szCs w:val="24"/>
        </w:rPr>
        <w:t>Substance Abuse and Mental Health Services Administration (SAMHSA).</w:t>
      </w:r>
      <w:r>
        <w:rPr>
          <w:rFonts w:cs="Times New Roman"/>
          <w:sz w:val="24"/>
          <w:szCs w:val="24"/>
        </w:rPr>
        <w:t xml:space="preserve"> (2020).</w:t>
      </w:r>
      <w:r w:rsidRPr="00252D9A">
        <w:rPr>
          <w:rFonts w:cs="Times New Roman"/>
          <w:sz w:val="24"/>
          <w:szCs w:val="24"/>
        </w:rPr>
        <w:t xml:space="preserve"> </w:t>
      </w:r>
      <w:r w:rsidRPr="00751091">
        <w:rPr>
          <w:rFonts w:cs="Times New Roman"/>
          <w:i/>
          <w:iCs/>
          <w:sz w:val="24"/>
          <w:szCs w:val="24"/>
        </w:rPr>
        <w:t>Prevention and Treatment of HIV Among People Living with Substance Use and/or Mental Disorders.</w:t>
      </w:r>
      <w:r w:rsidRPr="00252D9A">
        <w:rPr>
          <w:rFonts w:cs="Times New Roman"/>
          <w:sz w:val="24"/>
          <w:szCs w:val="24"/>
        </w:rPr>
        <w:t xml:space="preserve"> Publication No. PEP20-06-03-001</w:t>
      </w:r>
      <w:r>
        <w:rPr>
          <w:rFonts w:cs="Times New Roman"/>
          <w:sz w:val="24"/>
          <w:szCs w:val="24"/>
        </w:rPr>
        <w:t xml:space="preserve">. </w:t>
      </w:r>
      <w:r w:rsidRPr="00252D9A">
        <w:rPr>
          <w:rFonts w:cs="Times New Roman"/>
          <w:sz w:val="24"/>
          <w:szCs w:val="24"/>
        </w:rPr>
        <w:t>National Mental Health and Substance Use Policy Laboratory.</w:t>
      </w:r>
      <w:r>
        <w:rPr>
          <w:rFonts w:cs="Times New Roman"/>
          <w:sz w:val="24"/>
          <w:szCs w:val="24"/>
        </w:rPr>
        <w:t xml:space="preserve"> </w:t>
      </w:r>
      <w:hyperlink r:id="rId16" w:history="1">
        <w:r w:rsidRPr="00252D9A">
          <w:rPr>
            <w:rStyle w:val="Hyperlink"/>
            <w:rFonts w:cs="Times New Roman"/>
            <w:sz w:val="24"/>
            <w:szCs w:val="24"/>
          </w:rPr>
          <w:t>https://store.samhsa.gov/sites/default/files/pep20-06-03-001.pdf</w:t>
        </w:r>
      </w:hyperlink>
    </w:p>
    <w:p w:rsidR="00914FE4" w:rsidRPr="00252D9A" w:rsidP="00914FE4" w14:paraId="29770614" w14:textId="77777777">
      <w:pPr>
        <w:pStyle w:val="FootnoteText"/>
        <w:ind w:left="720" w:hanging="720"/>
        <w:rPr>
          <w:sz w:val="24"/>
          <w:szCs w:val="24"/>
        </w:rPr>
      </w:pPr>
    </w:p>
    <w:p w:rsidR="00914FE4" w:rsidP="00914FE4" w14:paraId="5630F62B" w14:textId="77777777">
      <w:pPr>
        <w:keepLines/>
        <w:ind w:left="720" w:hanging="720"/>
        <w:rPr>
          <w:rFonts w:cs="Times New Roman"/>
          <w:sz w:val="24"/>
          <w:szCs w:val="24"/>
        </w:rPr>
      </w:pPr>
      <w:r w:rsidRPr="00252D9A">
        <w:rPr>
          <w:rFonts w:cs="Times New Roman"/>
          <w:sz w:val="24"/>
          <w:szCs w:val="24"/>
        </w:rPr>
        <w:t>Substance Abuse and Mental Health Services Administration</w:t>
      </w:r>
      <w:r>
        <w:rPr>
          <w:rFonts w:cs="Times New Roman"/>
          <w:sz w:val="24"/>
          <w:szCs w:val="24"/>
        </w:rPr>
        <w:t>. (2023).</w:t>
      </w:r>
      <w:r w:rsidRPr="00252D9A">
        <w:rPr>
          <w:rFonts w:cs="Times New Roman"/>
          <w:sz w:val="24"/>
          <w:szCs w:val="24"/>
        </w:rPr>
        <w:t xml:space="preserve"> </w:t>
      </w:r>
      <w:r w:rsidRPr="00A73CFD">
        <w:rPr>
          <w:rFonts w:cs="Times New Roman"/>
          <w:i/>
          <w:iCs/>
          <w:sz w:val="24"/>
          <w:szCs w:val="24"/>
        </w:rPr>
        <w:t xml:space="preserve">Strategic Plan: Fiscal Year 2023-2026. </w:t>
      </w:r>
      <w:r w:rsidRPr="00252D9A">
        <w:rPr>
          <w:rFonts w:cs="Times New Roman"/>
          <w:sz w:val="24"/>
          <w:szCs w:val="24"/>
        </w:rPr>
        <w:t>Publication No. PEP23-06-00-00</w:t>
      </w:r>
      <w:r>
        <w:rPr>
          <w:rFonts w:cs="Times New Roman"/>
          <w:sz w:val="24"/>
          <w:szCs w:val="24"/>
        </w:rPr>
        <w:t>2.</w:t>
      </w:r>
      <w:r w:rsidRPr="00252D9A">
        <w:rPr>
          <w:rFonts w:cs="Times New Roman"/>
          <w:sz w:val="24"/>
          <w:szCs w:val="24"/>
        </w:rPr>
        <w:t xml:space="preserve"> National Mental Health and Substance Use Laboratory.</w:t>
      </w:r>
      <w:r>
        <w:rPr>
          <w:rFonts w:cs="Times New Roman"/>
          <w:sz w:val="24"/>
          <w:szCs w:val="24"/>
        </w:rPr>
        <w:t xml:space="preserve"> </w:t>
      </w:r>
      <w:hyperlink r:id="rId17" w:history="1">
        <w:r w:rsidRPr="00252D9A">
          <w:rPr>
            <w:rStyle w:val="Hyperlink"/>
            <w:rFonts w:cs="Times New Roman"/>
            <w:sz w:val="24"/>
            <w:szCs w:val="24"/>
          </w:rPr>
          <w:t>https://www.samhsa.gov/sites/default/files/samhsa-strategic-plan.pdf</w:t>
        </w:r>
      </w:hyperlink>
      <w:r w:rsidRPr="00252D9A">
        <w:rPr>
          <w:rFonts w:cs="Times New Roman"/>
          <w:sz w:val="24"/>
          <w:szCs w:val="24"/>
        </w:rPr>
        <w:t xml:space="preserve"> </w:t>
      </w:r>
    </w:p>
    <w:p w:rsidR="00914FE4" w:rsidP="00914FE4" w14:paraId="2F60C5B6" w14:textId="77777777">
      <w:pPr>
        <w:pStyle w:val="FootnoteText"/>
        <w:ind w:left="720" w:hanging="720"/>
        <w:rPr>
          <w:rFonts w:cs="Times New Roman"/>
          <w:sz w:val="24"/>
          <w:szCs w:val="24"/>
        </w:rPr>
      </w:pPr>
      <w:r w:rsidRPr="00DF15F7">
        <w:rPr>
          <w:rFonts w:cs="Times New Roman"/>
          <w:sz w:val="24"/>
          <w:szCs w:val="24"/>
        </w:rPr>
        <w:t xml:space="preserve">The White House. </w:t>
      </w:r>
      <w:r>
        <w:rPr>
          <w:rFonts w:cs="Times New Roman"/>
          <w:sz w:val="24"/>
          <w:szCs w:val="24"/>
        </w:rPr>
        <w:t>(</w:t>
      </w:r>
      <w:r w:rsidRPr="00DF15F7">
        <w:rPr>
          <w:rFonts w:cs="Times New Roman"/>
          <w:sz w:val="24"/>
          <w:szCs w:val="24"/>
        </w:rPr>
        <w:t>2021</w:t>
      </w:r>
      <w:r>
        <w:rPr>
          <w:rFonts w:cs="Times New Roman"/>
          <w:sz w:val="24"/>
          <w:szCs w:val="24"/>
        </w:rPr>
        <w:t>)</w:t>
      </w:r>
      <w:r w:rsidRPr="00DF15F7">
        <w:rPr>
          <w:rFonts w:cs="Times New Roman"/>
          <w:sz w:val="24"/>
          <w:szCs w:val="24"/>
        </w:rPr>
        <w:t xml:space="preserve">. </w:t>
      </w:r>
      <w:r w:rsidRPr="00DF15F7">
        <w:rPr>
          <w:rFonts w:cs="Times New Roman"/>
          <w:i/>
          <w:iCs/>
          <w:sz w:val="24"/>
          <w:szCs w:val="24"/>
        </w:rPr>
        <w:t>National HIV/AIDS Strategy for the United States 2022–2025.</w:t>
      </w:r>
      <w:r w:rsidRPr="00DF15F7">
        <w:rPr>
          <w:rFonts w:cs="Times New Roman"/>
          <w:sz w:val="24"/>
          <w:szCs w:val="24"/>
        </w:rPr>
        <w:t xml:space="preserve"> Washington, DC.</w:t>
      </w:r>
      <w:r>
        <w:rPr>
          <w:rFonts w:cs="Times New Roman"/>
          <w:sz w:val="24"/>
          <w:szCs w:val="24"/>
        </w:rPr>
        <w:t xml:space="preserve"> </w:t>
      </w:r>
      <w:hyperlink r:id="rId18" w:history="1">
        <w:r w:rsidRPr="001500BE">
          <w:rPr>
            <w:rStyle w:val="Hyperlink"/>
            <w:rFonts w:cs="Times New Roman"/>
            <w:sz w:val="24"/>
            <w:szCs w:val="24"/>
          </w:rPr>
          <w:t>https://files.hiv.gov/s3fs-public/NHAS-2022-2025.pdf</w:t>
        </w:r>
      </w:hyperlink>
      <w:r>
        <w:rPr>
          <w:rFonts w:cs="Times New Roman"/>
          <w:sz w:val="24"/>
          <w:szCs w:val="24"/>
        </w:rPr>
        <w:t xml:space="preserve"> </w:t>
      </w:r>
    </w:p>
    <w:p w:rsidR="00914FE4" w:rsidP="00914FE4" w14:paraId="2E8D94C9" w14:textId="77777777">
      <w:pPr>
        <w:pStyle w:val="FootnoteText"/>
        <w:ind w:left="720" w:hanging="720"/>
        <w:rPr>
          <w:rFonts w:cs="Times New Roman"/>
          <w:sz w:val="24"/>
          <w:szCs w:val="24"/>
        </w:rPr>
      </w:pPr>
    </w:p>
    <w:p w:rsidR="00914FE4" w:rsidP="00914FE4" w14:paraId="0891A94E" w14:textId="77777777">
      <w:pPr>
        <w:pStyle w:val="FootnoteText"/>
        <w:ind w:left="720" w:hanging="720"/>
        <w:rPr>
          <w:rFonts w:cs="Times New Roman"/>
          <w:sz w:val="24"/>
          <w:szCs w:val="24"/>
        </w:rPr>
      </w:pPr>
      <w:r w:rsidRPr="00765B27">
        <w:rPr>
          <w:rFonts w:cs="Times New Roman"/>
          <w:sz w:val="24"/>
          <w:szCs w:val="24"/>
        </w:rPr>
        <w:t xml:space="preserve">The White House. </w:t>
      </w:r>
      <w:r>
        <w:rPr>
          <w:rFonts w:cs="Times New Roman"/>
          <w:sz w:val="24"/>
          <w:szCs w:val="24"/>
        </w:rPr>
        <w:t>(</w:t>
      </w:r>
      <w:r w:rsidRPr="00765B27">
        <w:rPr>
          <w:rFonts w:cs="Times New Roman"/>
          <w:sz w:val="24"/>
          <w:szCs w:val="24"/>
        </w:rPr>
        <w:t>2022</w:t>
      </w:r>
      <w:r>
        <w:rPr>
          <w:rFonts w:cs="Times New Roman"/>
          <w:sz w:val="24"/>
          <w:szCs w:val="24"/>
        </w:rPr>
        <w:t>)</w:t>
      </w:r>
      <w:r w:rsidRPr="00765B27">
        <w:rPr>
          <w:rFonts w:cs="Times New Roman"/>
          <w:sz w:val="24"/>
          <w:szCs w:val="24"/>
        </w:rPr>
        <w:t xml:space="preserve">. </w:t>
      </w:r>
      <w:r w:rsidRPr="00EE2D4B">
        <w:rPr>
          <w:rFonts w:cs="Times New Roman"/>
          <w:i/>
          <w:iCs/>
          <w:sz w:val="24"/>
          <w:szCs w:val="24"/>
        </w:rPr>
        <w:t>National HIV/AIDS Strategy Federal Implementation Plan.</w:t>
      </w:r>
      <w:r w:rsidRPr="00765B27">
        <w:rPr>
          <w:rFonts w:cs="Times New Roman"/>
          <w:sz w:val="24"/>
          <w:szCs w:val="24"/>
        </w:rPr>
        <w:t xml:space="preserve"> </w:t>
      </w:r>
      <w:r>
        <w:rPr>
          <w:rFonts w:cs="Times New Roman"/>
          <w:sz w:val="24"/>
          <w:szCs w:val="24"/>
        </w:rPr>
        <w:t xml:space="preserve">Washington, DC. </w:t>
      </w:r>
      <w:hyperlink r:id="rId19" w:history="1">
        <w:r w:rsidRPr="001500BE">
          <w:rPr>
            <w:rStyle w:val="Hyperlink"/>
            <w:rFonts w:cs="Times New Roman"/>
            <w:sz w:val="24"/>
            <w:szCs w:val="24"/>
          </w:rPr>
          <w:t>https://files.hiv.gov/s3fs-public/2022-09/NHAS_Federal_Implementation_Plan.pdf</w:t>
        </w:r>
      </w:hyperlink>
    </w:p>
    <w:p w:rsidR="00914FE4" w:rsidP="00914FE4" w14:paraId="5718D759" w14:textId="77777777">
      <w:pPr>
        <w:keepLines/>
        <w:spacing w:after="0"/>
        <w:rPr>
          <w:rFonts w:cs="Times New Roman"/>
          <w:sz w:val="24"/>
          <w:szCs w:val="24"/>
        </w:rPr>
      </w:pPr>
    </w:p>
    <w:p w:rsidR="00914FE4" w:rsidRPr="007C3D23" w:rsidP="00914FE4" w14:paraId="6F0A4C24" w14:textId="77777777">
      <w:pPr>
        <w:keepLines/>
        <w:spacing w:after="0"/>
        <w:ind w:left="720" w:hanging="720"/>
        <w:rPr>
          <w:rFonts w:cs="Times New Roman"/>
          <w:color w:val="0000FF" w:themeColor="hyperlink"/>
          <w:sz w:val="24"/>
          <w:szCs w:val="24"/>
          <w:u w:val="single"/>
        </w:rPr>
      </w:pPr>
      <w:r w:rsidRPr="000B0D81">
        <w:rPr>
          <w:rFonts w:cs="Times New Roman"/>
          <w:sz w:val="24"/>
          <w:szCs w:val="24"/>
        </w:rPr>
        <w:t xml:space="preserve">U.S. Department of Health and Human Services. </w:t>
      </w:r>
      <w:r>
        <w:rPr>
          <w:rFonts w:cs="Times New Roman"/>
          <w:sz w:val="24"/>
          <w:szCs w:val="24"/>
        </w:rPr>
        <w:t>(</w:t>
      </w:r>
      <w:r w:rsidRPr="000B0D81">
        <w:rPr>
          <w:rFonts w:cs="Times New Roman"/>
          <w:sz w:val="24"/>
          <w:szCs w:val="24"/>
        </w:rPr>
        <w:t>2020</w:t>
      </w:r>
      <w:r>
        <w:rPr>
          <w:rFonts w:cs="Times New Roman"/>
          <w:sz w:val="24"/>
          <w:szCs w:val="24"/>
        </w:rPr>
        <w:t>)</w:t>
      </w:r>
      <w:r w:rsidRPr="000B0D81">
        <w:rPr>
          <w:rFonts w:cs="Times New Roman"/>
          <w:sz w:val="24"/>
          <w:szCs w:val="24"/>
        </w:rPr>
        <w:t xml:space="preserve">. </w:t>
      </w:r>
      <w:r w:rsidRPr="007C3D23">
        <w:rPr>
          <w:rFonts w:cs="Times New Roman"/>
          <w:i/>
          <w:iCs/>
          <w:sz w:val="24"/>
          <w:szCs w:val="24"/>
        </w:rPr>
        <w:t>Sexually Transmitted Infections National Strategic Plan for the United States: 2021–2025.</w:t>
      </w:r>
      <w:r w:rsidRPr="000B0D81">
        <w:rPr>
          <w:rFonts w:cs="Times New Roman"/>
          <w:sz w:val="24"/>
          <w:szCs w:val="24"/>
        </w:rPr>
        <w:t xml:space="preserve"> Washington, DC</w:t>
      </w:r>
      <w:r>
        <w:rPr>
          <w:rFonts w:cs="Times New Roman"/>
          <w:sz w:val="24"/>
          <w:szCs w:val="24"/>
        </w:rPr>
        <w:t xml:space="preserve">. </w:t>
      </w:r>
      <w:hyperlink r:id="rId20" w:history="1">
        <w:r w:rsidRPr="00252D9A">
          <w:rPr>
            <w:rStyle w:val="Hyperlink"/>
            <w:rFonts w:cs="Times New Roman"/>
            <w:sz w:val="24"/>
            <w:szCs w:val="24"/>
          </w:rPr>
          <w:t>https://www.hhs.gov/sites/default/files/STI-National-Strategic-Plan-2021-2025.pdf</w:t>
        </w:r>
      </w:hyperlink>
    </w:p>
    <w:p w:rsidR="00914FE4" w:rsidRPr="00EE2D4B" w:rsidP="00914FE4" w14:paraId="791806F9" w14:textId="77777777">
      <w:pPr>
        <w:pStyle w:val="FootnoteText"/>
        <w:ind w:left="720" w:hanging="720"/>
        <w:rPr>
          <w:rFonts w:cs="Times New Roman"/>
          <w:color w:val="0000FF" w:themeColor="hyperlink"/>
          <w:sz w:val="24"/>
          <w:szCs w:val="24"/>
          <w:u w:val="single"/>
        </w:rPr>
      </w:pPr>
    </w:p>
    <w:p w:rsidR="00914FE4" w:rsidP="00914FE4" w14:paraId="29D06F13" w14:textId="77777777">
      <w:pPr>
        <w:ind w:left="720" w:hanging="720"/>
        <w:rPr>
          <w:sz w:val="24"/>
          <w:szCs w:val="24"/>
        </w:rPr>
      </w:pPr>
      <w:r w:rsidRPr="002C1E20">
        <w:rPr>
          <w:sz w:val="24"/>
          <w:szCs w:val="24"/>
        </w:rPr>
        <w:t xml:space="preserve">U.S. Department of Health and Human Services. </w:t>
      </w:r>
      <w:r>
        <w:rPr>
          <w:sz w:val="24"/>
          <w:szCs w:val="24"/>
        </w:rPr>
        <w:t>(</w:t>
      </w:r>
      <w:r w:rsidRPr="002C1E20">
        <w:rPr>
          <w:sz w:val="24"/>
          <w:szCs w:val="24"/>
        </w:rPr>
        <w:t>2020</w:t>
      </w:r>
      <w:r>
        <w:rPr>
          <w:sz w:val="24"/>
          <w:szCs w:val="24"/>
        </w:rPr>
        <w:t>)</w:t>
      </w:r>
      <w:r w:rsidRPr="002C1E20">
        <w:rPr>
          <w:sz w:val="24"/>
          <w:szCs w:val="24"/>
        </w:rPr>
        <w:t xml:space="preserve">. </w:t>
      </w:r>
      <w:r w:rsidRPr="00913F62">
        <w:rPr>
          <w:i/>
          <w:iCs/>
          <w:sz w:val="24"/>
          <w:szCs w:val="24"/>
        </w:rPr>
        <w:t xml:space="preserve">Viral Hepatitis National Strategic Plan for the United States: A Roadmap to Elimination (2021–2025). </w:t>
      </w:r>
      <w:r w:rsidRPr="002C1E20">
        <w:rPr>
          <w:sz w:val="24"/>
          <w:szCs w:val="24"/>
        </w:rPr>
        <w:t>Washington, DC</w:t>
      </w:r>
      <w:r>
        <w:rPr>
          <w:sz w:val="24"/>
          <w:szCs w:val="24"/>
        </w:rPr>
        <w:t xml:space="preserve">. </w:t>
      </w:r>
      <w:hyperlink r:id="rId21" w:history="1">
        <w:r w:rsidRPr="001500BE">
          <w:rPr>
            <w:rStyle w:val="Hyperlink"/>
            <w:sz w:val="24"/>
            <w:szCs w:val="24"/>
          </w:rPr>
          <w:t>https://www.hhs.gov/sites/default/files/Viral-Hepatitis-National-Strategic-Plan-2021-2025.pdf</w:t>
        </w:r>
      </w:hyperlink>
    </w:p>
    <w:p w:rsidR="002821CF" w:rsidRPr="00022069" w:rsidP="00AE4A83" w14:paraId="340A489D" w14:textId="242F87A0">
      <w:pPr>
        <w:ind w:left="720" w:hanging="720"/>
        <w:rPr>
          <w:rFonts w:cs="Times New Roman"/>
          <w:bCs/>
          <w:sz w:val="24"/>
          <w:szCs w:val="24"/>
        </w:rPr>
      </w:pPr>
      <w:r w:rsidRPr="00AC7F00">
        <w:rPr>
          <w:sz w:val="24"/>
          <w:szCs w:val="24"/>
        </w:rPr>
        <w:t>United States Census Bureau.</w:t>
      </w:r>
      <w:r>
        <w:rPr>
          <w:sz w:val="24"/>
          <w:szCs w:val="24"/>
        </w:rPr>
        <w:t xml:space="preserve"> (2024).</w:t>
      </w:r>
      <w:r w:rsidRPr="00AC7F00">
        <w:rPr>
          <w:sz w:val="24"/>
          <w:szCs w:val="24"/>
        </w:rPr>
        <w:t xml:space="preserve"> </w:t>
      </w:r>
      <w:r w:rsidRPr="00763653">
        <w:rPr>
          <w:i/>
          <w:iCs/>
          <w:sz w:val="24"/>
          <w:szCs w:val="24"/>
        </w:rPr>
        <w:t>Quick Facts.</w:t>
      </w:r>
      <w:r w:rsidRPr="00AC7F00">
        <w:rPr>
          <w:sz w:val="24"/>
          <w:szCs w:val="24"/>
        </w:rPr>
        <w:t xml:space="preserve"> </w:t>
      </w:r>
      <w:r>
        <w:rPr>
          <w:sz w:val="24"/>
          <w:szCs w:val="24"/>
        </w:rPr>
        <w:t xml:space="preserve">Retrieved February 26, 2024, from </w:t>
      </w:r>
      <w:hyperlink r:id="rId22" w:history="1">
        <w:r w:rsidRPr="001500BE">
          <w:rPr>
            <w:rStyle w:val="Hyperlink"/>
            <w:sz w:val="24"/>
            <w:szCs w:val="24"/>
          </w:rPr>
          <w:t>https://www.census.gov/quickfacts/fact/table/US#</w:t>
        </w:r>
      </w:hyperlink>
    </w:p>
    <w:sectPr w:rsidSect="00350ACA">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2B1A" w:rsidP="00D30714" w14:paraId="42044CEB" w14:textId="54F738D4">
    <w:pPr>
      <w:pStyle w:val="Footer"/>
      <w:jc w:val="right"/>
    </w:pPr>
    <w:r>
      <w:fldChar w:fldCharType="begin"/>
    </w:r>
    <w:r>
      <w:instrText xml:space="preserve"> PAGE   \* MERGEFORMAT </w:instrText>
    </w:r>
    <w:r>
      <w:fldChar w:fldCharType="separate"/>
    </w:r>
    <w:r w:rsidR="004A632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511" w:rsidP="0001203A" w14:paraId="27BF0A9B" w14:textId="77777777">
      <w:pPr>
        <w:spacing w:after="0"/>
      </w:pPr>
      <w:r>
        <w:separator/>
      </w:r>
    </w:p>
  </w:footnote>
  <w:footnote w:type="continuationSeparator" w:id="1">
    <w:p w:rsidR="00745511" w:rsidP="0001203A" w14:paraId="03A40E3A" w14:textId="77777777">
      <w:pPr>
        <w:spacing w:after="0"/>
      </w:pPr>
      <w:r>
        <w:continuationSeparator/>
      </w:r>
    </w:p>
  </w:footnote>
  <w:footnote w:type="continuationNotice" w:id="2">
    <w:p w:rsidR="00745511" w14:paraId="0BCA1430" w14:textId="77777777">
      <w:pPr>
        <w:spacing w:after="0"/>
      </w:pPr>
    </w:p>
  </w:footnote>
  <w:footnote w:id="3">
    <w:p w:rsidR="007D25F0" w:rsidP="007D25F0" w14:paraId="7D807579" w14:textId="77777777">
      <w:pPr>
        <w:pStyle w:val="FootnoteText"/>
      </w:pPr>
      <w:r>
        <w:rPr>
          <w:rStyle w:val="FootnoteReference"/>
        </w:rPr>
        <w:footnoteRef/>
      </w:r>
      <w:r>
        <w:t xml:space="preserve"> </w:t>
      </w:r>
      <w:hyperlink r:id="rId1" w:history="1">
        <w:r>
          <w:rPr>
            <w:rStyle w:val="Hyperlink"/>
          </w:rPr>
          <w:t>2020 Census Illuminates Racial and Ethnic Composition of the Country</w:t>
        </w:r>
      </w:hyperlink>
      <w:r>
        <w:t xml:space="preserve"> </w:t>
      </w:r>
    </w:p>
  </w:footnote>
  <w:footnote w:id="4">
    <w:p w:rsidR="00211E1C" w:rsidP="00211E1C" w14:paraId="7F68AE4F" w14:textId="77777777">
      <w:pPr>
        <w:pStyle w:val="FootnoteText"/>
      </w:pPr>
      <w:r>
        <w:rPr>
          <w:rStyle w:val="FootnoteReference"/>
        </w:rPr>
        <w:footnoteRef/>
      </w:r>
      <w:r>
        <w:t xml:space="preserve"> </w:t>
      </w:r>
      <w:hyperlink r:id="rId2" w:history="1">
        <w:r>
          <w:rPr>
            <w:rStyle w:val="Hyperlink"/>
          </w:rPr>
          <w:t>HIV Diagnoses</w:t>
        </w:r>
      </w:hyperlink>
    </w:p>
  </w:footnote>
  <w:footnote w:id="5">
    <w:p w:rsidR="00247633" w:rsidP="00247633" w14:paraId="2CC5CAD9" w14:textId="77777777">
      <w:pPr>
        <w:pStyle w:val="FootnoteText"/>
      </w:pPr>
      <w:r w:rsidRPr="431196C2">
        <w:rPr>
          <w:rStyle w:val="FootnoteReference"/>
        </w:rPr>
        <w:footnoteRef/>
      </w:r>
      <w:r>
        <w:t xml:space="preserve"> </w:t>
      </w:r>
      <w:hyperlink r:id="rId3" w:history="1">
        <w:r>
          <w:rPr>
            <w:rStyle w:val="Hyperlink"/>
          </w:rPr>
          <w:t>HIV in the United States by Race/Ethnicity: HIV Diagnoses</w:t>
        </w:r>
      </w:hyperlink>
      <w:r>
        <w:t xml:space="preserve"> </w:t>
      </w:r>
    </w:p>
  </w:footnote>
  <w:footnote w:id="6">
    <w:p w:rsidR="001522BA" w:rsidP="001522BA" w14:paraId="5599A789" w14:textId="405E53BB">
      <w:pPr>
        <w:pStyle w:val="FootnoteText"/>
      </w:pPr>
      <w:r w:rsidRPr="00E952B1">
        <w:rPr>
          <w:rStyle w:val="FootnoteReference"/>
        </w:rPr>
        <w:footnoteRef/>
      </w:r>
      <w:r>
        <w:t xml:space="preserve"> </w:t>
      </w:r>
      <w:hyperlink r:id="rId4" w:history="1">
        <w:r w:rsidRPr="00246A9B" w:rsidR="00246A9B">
          <w:rPr>
            <w:rStyle w:val="Hyperlink"/>
          </w:rPr>
          <w:t>Fast Facts: HIV and Gay and Bisexual Men</w:t>
        </w:r>
      </w:hyperlink>
    </w:p>
  </w:footnote>
  <w:footnote w:id="7">
    <w:p w:rsidR="001D3164" w:rsidP="001D3164" w14:paraId="48EF9E35" w14:textId="77777777">
      <w:pPr>
        <w:pStyle w:val="FootnoteText"/>
      </w:pPr>
      <w:r>
        <w:rPr>
          <w:rStyle w:val="FootnoteReference"/>
        </w:rPr>
        <w:footnoteRef/>
      </w:r>
      <w:r>
        <w:t xml:space="preserve"> </w:t>
      </w:r>
      <w:r w:rsidRPr="008B6F4B">
        <w:t xml:space="preserve">Substance Abuse and Mental Health Services Administration. (2023). Strategic Plan: Fiscal Year 2023-2026. Publication No. PEP23-06-00-002. National Mental Health and Substance Use </w:t>
      </w:r>
      <w:r>
        <w:t xml:space="preserve">Policy </w:t>
      </w:r>
      <w:r w:rsidRPr="008B6F4B">
        <w:t xml:space="preserve">Laboratory. </w:t>
      </w:r>
      <w:hyperlink r:id="rId5" w:history="1">
        <w:r w:rsidRPr="00F257FC">
          <w:rPr>
            <w:rStyle w:val="Hyperlink"/>
          </w:rPr>
          <w:t>https://www.samhsa.gov/sites/default/files/samhsa-strategic-plan.pdf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09134DA2"/>
    <w:multiLevelType w:val="hybridMultilevel"/>
    <w:tmpl w:val="2646B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2E590F"/>
    <w:multiLevelType w:val="multilevel"/>
    <w:tmpl w:val="A0DE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45753"/>
    <w:multiLevelType w:val="hybridMultilevel"/>
    <w:tmpl w:val="ABA8C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EC1185"/>
    <w:multiLevelType w:val="multilevel"/>
    <w:tmpl w:val="23CA6E3A"/>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AA64C9E"/>
    <w:multiLevelType w:val="hybridMultilevel"/>
    <w:tmpl w:val="2D244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FC4E22"/>
    <w:multiLevelType w:val="hybridMultilevel"/>
    <w:tmpl w:val="8D6CE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AB3FB4"/>
    <w:multiLevelType w:val="hybridMultilevel"/>
    <w:tmpl w:val="15A4B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842E7E"/>
    <w:multiLevelType w:val="hybridMultilevel"/>
    <w:tmpl w:val="C8A29EDA"/>
    <w:lvl w:ilvl="0">
      <w:start w:val="1"/>
      <w:numFmt w:val="bullet"/>
      <w:pStyle w:val="List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6E2393"/>
    <w:multiLevelType w:val="hybridMultilevel"/>
    <w:tmpl w:val="F2F41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EB20A9"/>
    <w:multiLevelType w:val="hybridMultilevel"/>
    <w:tmpl w:val="01FA2798"/>
    <w:lvl w:ilvl="0">
      <w:start w:val="1"/>
      <w:numFmt w:val="decimal"/>
      <w:pStyle w:val="ListNumb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8C75A8"/>
    <w:multiLevelType w:val="hybridMultilevel"/>
    <w:tmpl w:val="EFBA33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13A03C4"/>
    <w:multiLevelType w:val="hybridMultilevel"/>
    <w:tmpl w:val="B01CBC8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42D369C9"/>
    <w:multiLevelType w:val="hybridMultilevel"/>
    <w:tmpl w:val="3B603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2B0804"/>
    <w:multiLevelType w:val="hybridMultilevel"/>
    <w:tmpl w:val="539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987B86"/>
    <w:multiLevelType w:val="hybridMultilevel"/>
    <w:tmpl w:val="3BACA1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8169E2"/>
    <w:multiLevelType w:val="multilevel"/>
    <w:tmpl w:val="C190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D256C4"/>
    <w:multiLevelType w:val="hybridMultilevel"/>
    <w:tmpl w:val="C1EE3E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DD28C6"/>
    <w:multiLevelType w:val="hybridMultilevel"/>
    <w:tmpl w:val="6A0CA47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0812217">
    <w:abstractNumId w:val="10"/>
  </w:num>
  <w:num w:numId="2" w16cid:durableId="1132597582">
    <w:abstractNumId w:val="8"/>
  </w:num>
  <w:num w:numId="3" w16cid:durableId="592520114">
    <w:abstractNumId w:val="0"/>
  </w:num>
  <w:num w:numId="4" w16cid:durableId="612250320">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5" w16cid:durableId="1577089761">
    <w:abstractNumId w:val="18"/>
  </w:num>
  <w:num w:numId="6" w16cid:durableId="839924971">
    <w:abstractNumId w:val="7"/>
  </w:num>
  <w:num w:numId="7" w16cid:durableId="2083139054">
    <w:abstractNumId w:val="4"/>
  </w:num>
  <w:num w:numId="8" w16cid:durableId="1481849227">
    <w:abstractNumId w:val="12"/>
  </w:num>
  <w:num w:numId="9" w16cid:durableId="5056168">
    <w:abstractNumId w:val="2"/>
  </w:num>
  <w:num w:numId="10" w16cid:durableId="389234998">
    <w:abstractNumId w:val="16"/>
  </w:num>
  <w:num w:numId="11" w16cid:durableId="1431193483">
    <w:abstractNumId w:val="1"/>
  </w:num>
  <w:num w:numId="12" w16cid:durableId="1929849491">
    <w:abstractNumId w:val="9"/>
  </w:num>
  <w:num w:numId="13" w16cid:durableId="1657412446">
    <w:abstractNumId w:val="6"/>
  </w:num>
  <w:num w:numId="14" w16cid:durableId="529032995">
    <w:abstractNumId w:val="3"/>
  </w:num>
  <w:num w:numId="15" w16cid:durableId="1846358557">
    <w:abstractNumId w:val="14"/>
  </w:num>
  <w:num w:numId="16" w16cid:durableId="2076196821">
    <w:abstractNumId w:val="17"/>
  </w:num>
  <w:num w:numId="17" w16cid:durableId="798451373">
    <w:abstractNumId w:val="13"/>
  </w:num>
  <w:num w:numId="18" w16cid:durableId="891114486">
    <w:abstractNumId w:val="15"/>
  </w:num>
  <w:num w:numId="19" w16cid:durableId="418058882">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0" w16cid:durableId="775759888">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1" w16cid:durableId="1472015259">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2" w16cid:durableId="166023532">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3" w16cid:durableId="231086594">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4" w16cid:durableId="473832105">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5" w16cid:durableId="1954631731">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6" w16cid:durableId="201752226">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7" w16cid:durableId="564947521">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8" w16cid:durableId="1031299561">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29" w16cid:durableId="843327484">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0" w16cid:durableId="1299847224">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1" w16cid:durableId="175995838">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2" w16cid:durableId="615256879">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3" w16cid:durableId="411896269">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4" w16cid:durableId="752241484">
    <w:abstractNumId w:val="4"/>
    <w:lvlOverride w:ilvl="0">
      <w:lvl w:ilvl="0">
        <w:start w:val="1"/>
        <w:numFmt w:val="upperLetter"/>
        <w:pStyle w:val="Heading1"/>
        <w:lvlText w:val="%1."/>
        <w:lvlJc w:val="left"/>
        <w:pPr>
          <w:ind w:left="360" w:hanging="360"/>
        </w:pPr>
        <w:rPr>
          <w:rFonts w:hint="default"/>
          <w:color w:val="auto"/>
        </w:rPr>
      </w:lvl>
    </w:lvlOverride>
    <w:lvlOverride w:ilvl="1">
      <w:lvl w:ilvl="1">
        <w:start w:val="1"/>
        <w:numFmt w:val="decimal"/>
        <w:pStyle w:val="Heading2"/>
        <w:lvlText w:val="%1.%2."/>
        <w:lvlJc w:val="left"/>
        <w:pPr>
          <w:ind w:left="9270" w:hanging="720"/>
        </w:pPr>
        <w:rPr>
          <w:rFonts w:hint="default"/>
          <w:color w:val="000000" w:themeColor="text1"/>
        </w:rPr>
      </w:lvl>
    </w:lvlOverride>
  </w:num>
  <w:num w:numId="35" w16cid:durableId="436021288">
    <w:abstractNumId w:val="11"/>
  </w:num>
  <w:num w:numId="36" w16cid:durableId="118181850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61"/>
    <w:rsid w:val="000009B5"/>
    <w:rsid w:val="00001BB0"/>
    <w:rsid w:val="00001E83"/>
    <w:rsid w:val="000021F3"/>
    <w:rsid w:val="000027F2"/>
    <w:rsid w:val="000039E9"/>
    <w:rsid w:val="00005E40"/>
    <w:rsid w:val="000063FB"/>
    <w:rsid w:val="00006C6F"/>
    <w:rsid w:val="0000753C"/>
    <w:rsid w:val="00007A88"/>
    <w:rsid w:val="00007BFF"/>
    <w:rsid w:val="00007E1F"/>
    <w:rsid w:val="00007F97"/>
    <w:rsid w:val="00010C73"/>
    <w:rsid w:val="0001175D"/>
    <w:rsid w:val="00011943"/>
    <w:rsid w:val="00011BC9"/>
    <w:rsid w:val="0001203A"/>
    <w:rsid w:val="00012297"/>
    <w:rsid w:val="0001253A"/>
    <w:rsid w:val="00013BEA"/>
    <w:rsid w:val="000140C4"/>
    <w:rsid w:val="000140F7"/>
    <w:rsid w:val="000144F7"/>
    <w:rsid w:val="00014582"/>
    <w:rsid w:val="000146E9"/>
    <w:rsid w:val="000147E5"/>
    <w:rsid w:val="00014C5F"/>
    <w:rsid w:val="00015063"/>
    <w:rsid w:val="0001570C"/>
    <w:rsid w:val="00015E99"/>
    <w:rsid w:val="000162F3"/>
    <w:rsid w:val="00016B12"/>
    <w:rsid w:val="00017B68"/>
    <w:rsid w:val="00017EF0"/>
    <w:rsid w:val="0002051F"/>
    <w:rsid w:val="0002060F"/>
    <w:rsid w:val="00022069"/>
    <w:rsid w:val="00022596"/>
    <w:rsid w:val="00022A35"/>
    <w:rsid w:val="00022C34"/>
    <w:rsid w:val="0002311B"/>
    <w:rsid w:val="00023C7D"/>
    <w:rsid w:val="00023CDE"/>
    <w:rsid w:val="000241BA"/>
    <w:rsid w:val="0002437C"/>
    <w:rsid w:val="0002437E"/>
    <w:rsid w:val="00024893"/>
    <w:rsid w:val="000248D0"/>
    <w:rsid w:val="00024D44"/>
    <w:rsid w:val="00024F5D"/>
    <w:rsid w:val="0002531E"/>
    <w:rsid w:val="0002554A"/>
    <w:rsid w:val="000255CD"/>
    <w:rsid w:val="00026B11"/>
    <w:rsid w:val="00026EA6"/>
    <w:rsid w:val="00027179"/>
    <w:rsid w:val="000278B1"/>
    <w:rsid w:val="000301C4"/>
    <w:rsid w:val="0003189F"/>
    <w:rsid w:val="00031F0A"/>
    <w:rsid w:val="00032D99"/>
    <w:rsid w:val="00032F77"/>
    <w:rsid w:val="0003303D"/>
    <w:rsid w:val="00033D97"/>
    <w:rsid w:val="00033F61"/>
    <w:rsid w:val="00034FF1"/>
    <w:rsid w:val="00035CF1"/>
    <w:rsid w:val="00035EC1"/>
    <w:rsid w:val="0003705A"/>
    <w:rsid w:val="000373DE"/>
    <w:rsid w:val="000374D9"/>
    <w:rsid w:val="00037D56"/>
    <w:rsid w:val="00037EE7"/>
    <w:rsid w:val="00040016"/>
    <w:rsid w:val="0004034F"/>
    <w:rsid w:val="00040A0F"/>
    <w:rsid w:val="00040B55"/>
    <w:rsid w:val="000411DE"/>
    <w:rsid w:val="0004166C"/>
    <w:rsid w:val="00041682"/>
    <w:rsid w:val="00042240"/>
    <w:rsid w:val="0004243B"/>
    <w:rsid w:val="00042529"/>
    <w:rsid w:val="00043013"/>
    <w:rsid w:val="00043BE1"/>
    <w:rsid w:val="00043E7A"/>
    <w:rsid w:val="0004474D"/>
    <w:rsid w:val="00044B51"/>
    <w:rsid w:val="00046065"/>
    <w:rsid w:val="000462DA"/>
    <w:rsid w:val="000465F0"/>
    <w:rsid w:val="000473FB"/>
    <w:rsid w:val="00050146"/>
    <w:rsid w:val="00050261"/>
    <w:rsid w:val="00050541"/>
    <w:rsid w:val="00050CA7"/>
    <w:rsid w:val="00050F24"/>
    <w:rsid w:val="000518B0"/>
    <w:rsid w:val="00051CA8"/>
    <w:rsid w:val="0005251A"/>
    <w:rsid w:val="0005378C"/>
    <w:rsid w:val="00053D02"/>
    <w:rsid w:val="00054EEE"/>
    <w:rsid w:val="00054F66"/>
    <w:rsid w:val="00055598"/>
    <w:rsid w:val="00056412"/>
    <w:rsid w:val="000565D4"/>
    <w:rsid w:val="0005734E"/>
    <w:rsid w:val="00057DAD"/>
    <w:rsid w:val="0006134F"/>
    <w:rsid w:val="00062B06"/>
    <w:rsid w:val="00062DE1"/>
    <w:rsid w:val="00063899"/>
    <w:rsid w:val="000639A5"/>
    <w:rsid w:val="00063F0A"/>
    <w:rsid w:val="00064037"/>
    <w:rsid w:val="00065517"/>
    <w:rsid w:val="0006560C"/>
    <w:rsid w:val="00065AFD"/>
    <w:rsid w:val="000663ED"/>
    <w:rsid w:val="0007083F"/>
    <w:rsid w:val="00071359"/>
    <w:rsid w:val="00071DEA"/>
    <w:rsid w:val="00072033"/>
    <w:rsid w:val="00072421"/>
    <w:rsid w:val="00072A56"/>
    <w:rsid w:val="00072B81"/>
    <w:rsid w:val="00073C37"/>
    <w:rsid w:val="000748BB"/>
    <w:rsid w:val="00074A9A"/>
    <w:rsid w:val="000754AA"/>
    <w:rsid w:val="00075929"/>
    <w:rsid w:val="00075CC9"/>
    <w:rsid w:val="00076618"/>
    <w:rsid w:val="00076846"/>
    <w:rsid w:val="00076D0D"/>
    <w:rsid w:val="0007748E"/>
    <w:rsid w:val="00077540"/>
    <w:rsid w:val="000775D5"/>
    <w:rsid w:val="00077ED3"/>
    <w:rsid w:val="00080570"/>
    <w:rsid w:val="000808BE"/>
    <w:rsid w:val="000808EE"/>
    <w:rsid w:val="00080A95"/>
    <w:rsid w:val="0008173D"/>
    <w:rsid w:val="00081875"/>
    <w:rsid w:val="00081A75"/>
    <w:rsid w:val="00081CA6"/>
    <w:rsid w:val="00082370"/>
    <w:rsid w:val="00082E9B"/>
    <w:rsid w:val="000832FC"/>
    <w:rsid w:val="000842FF"/>
    <w:rsid w:val="00084300"/>
    <w:rsid w:val="00084C53"/>
    <w:rsid w:val="00085B7E"/>
    <w:rsid w:val="00085D29"/>
    <w:rsid w:val="00086A0E"/>
    <w:rsid w:val="00087DC5"/>
    <w:rsid w:val="00090230"/>
    <w:rsid w:val="00090829"/>
    <w:rsid w:val="00091EBD"/>
    <w:rsid w:val="00092E8E"/>
    <w:rsid w:val="00092F50"/>
    <w:rsid w:val="0009329A"/>
    <w:rsid w:val="000934ED"/>
    <w:rsid w:val="00093C4F"/>
    <w:rsid w:val="000941E7"/>
    <w:rsid w:val="0009468A"/>
    <w:rsid w:val="0009536A"/>
    <w:rsid w:val="000958AA"/>
    <w:rsid w:val="000968B1"/>
    <w:rsid w:val="00096979"/>
    <w:rsid w:val="00096CFC"/>
    <w:rsid w:val="000975E0"/>
    <w:rsid w:val="000A00B9"/>
    <w:rsid w:val="000A1064"/>
    <w:rsid w:val="000A18E1"/>
    <w:rsid w:val="000A1F66"/>
    <w:rsid w:val="000A3119"/>
    <w:rsid w:val="000A336C"/>
    <w:rsid w:val="000A33C0"/>
    <w:rsid w:val="000A3BCE"/>
    <w:rsid w:val="000A3D66"/>
    <w:rsid w:val="000A5583"/>
    <w:rsid w:val="000A641C"/>
    <w:rsid w:val="000A6A55"/>
    <w:rsid w:val="000A6A86"/>
    <w:rsid w:val="000A7314"/>
    <w:rsid w:val="000A73ED"/>
    <w:rsid w:val="000A766C"/>
    <w:rsid w:val="000A7CD8"/>
    <w:rsid w:val="000B0859"/>
    <w:rsid w:val="000B0D00"/>
    <w:rsid w:val="000B0D81"/>
    <w:rsid w:val="000B2D55"/>
    <w:rsid w:val="000B33A1"/>
    <w:rsid w:val="000B369A"/>
    <w:rsid w:val="000B3DFD"/>
    <w:rsid w:val="000B4740"/>
    <w:rsid w:val="000B4A69"/>
    <w:rsid w:val="000B5073"/>
    <w:rsid w:val="000B509D"/>
    <w:rsid w:val="000B5AEC"/>
    <w:rsid w:val="000B6112"/>
    <w:rsid w:val="000B6E4A"/>
    <w:rsid w:val="000B71B9"/>
    <w:rsid w:val="000B7263"/>
    <w:rsid w:val="000C0933"/>
    <w:rsid w:val="000C13C0"/>
    <w:rsid w:val="000C1A22"/>
    <w:rsid w:val="000C1C4D"/>
    <w:rsid w:val="000C227B"/>
    <w:rsid w:val="000C23FA"/>
    <w:rsid w:val="000C2503"/>
    <w:rsid w:val="000C2DC9"/>
    <w:rsid w:val="000C2E50"/>
    <w:rsid w:val="000C3580"/>
    <w:rsid w:val="000C35FA"/>
    <w:rsid w:val="000C3F88"/>
    <w:rsid w:val="000C48F6"/>
    <w:rsid w:val="000C4CD6"/>
    <w:rsid w:val="000C4FDB"/>
    <w:rsid w:val="000C50AA"/>
    <w:rsid w:val="000C60B9"/>
    <w:rsid w:val="000C64C7"/>
    <w:rsid w:val="000C6794"/>
    <w:rsid w:val="000C6B03"/>
    <w:rsid w:val="000C6D2B"/>
    <w:rsid w:val="000C70D4"/>
    <w:rsid w:val="000C70FC"/>
    <w:rsid w:val="000C7105"/>
    <w:rsid w:val="000C779E"/>
    <w:rsid w:val="000C7C73"/>
    <w:rsid w:val="000D0E3C"/>
    <w:rsid w:val="000D1709"/>
    <w:rsid w:val="000D2EDA"/>
    <w:rsid w:val="000D394E"/>
    <w:rsid w:val="000D3EBD"/>
    <w:rsid w:val="000D4206"/>
    <w:rsid w:val="000D4599"/>
    <w:rsid w:val="000D5016"/>
    <w:rsid w:val="000D58CC"/>
    <w:rsid w:val="000D65DB"/>
    <w:rsid w:val="000D66BB"/>
    <w:rsid w:val="000D7E7F"/>
    <w:rsid w:val="000E055F"/>
    <w:rsid w:val="000E1849"/>
    <w:rsid w:val="000E1AB9"/>
    <w:rsid w:val="000E1BA1"/>
    <w:rsid w:val="000E2057"/>
    <w:rsid w:val="000E2067"/>
    <w:rsid w:val="000E2643"/>
    <w:rsid w:val="000E312E"/>
    <w:rsid w:val="000E3AEA"/>
    <w:rsid w:val="000E424E"/>
    <w:rsid w:val="000E4A41"/>
    <w:rsid w:val="000E56CD"/>
    <w:rsid w:val="000E5C66"/>
    <w:rsid w:val="000E5E42"/>
    <w:rsid w:val="000E645F"/>
    <w:rsid w:val="000E68E3"/>
    <w:rsid w:val="000E6C64"/>
    <w:rsid w:val="000F0D35"/>
    <w:rsid w:val="000F0DEA"/>
    <w:rsid w:val="000F108D"/>
    <w:rsid w:val="000F2BE8"/>
    <w:rsid w:val="000F2DDE"/>
    <w:rsid w:val="000F3099"/>
    <w:rsid w:val="000F3146"/>
    <w:rsid w:val="000F3DC0"/>
    <w:rsid w:val="000F3E82"/>
    <w:rsid w:val="000F423F"/>
    <w:rsid w:val="000F4268"/>
    <w:rsid w:val="000F44C8"/>
    <w:rsid w:val="000F4EBB"/>
    <w:rsid w:val="000F51C7"/>
    <w:rsid w:val="000F5412"/>
    <w:rsid w:val="000F570C"/>
    <w:rsid w:val="000F5816"/>
    <w:rsid w:val="000F5883"/>
    <w:rsid w:val="000F5C34"/>
    <w:rsid w:val="000F62C7"/>
    <w:rsid w:val="000F6D58"/>
    <w:rsid w:val="000F6E10"/>
    <w:rsid w:val="001003A8"/>
    <w:rsid w:val="00101B9B"/>
    <w:rsid w:val="00102E7C"/>
    <w:rsid w:val="001033AF"/>
    <w:rsid w:val="001038B9"/>
    <w:rsid w:val="00103901"/>
    <w:rsid w:val="00103BEB"/>
    <w:rsid w:val="00104129"/>
    <w:rsid w:val="00104224"/>
    <w:rsid w:val="001042D4"/>
    <w:rsid w:val="0010484A"/>
    <w:rsid w:val="00104F3B"/>
    <w:rsid w:val="00104F6A"/>
    <w:rsid w:val="0010541C"/>
    <w:rsid w:val="00106389"/>
    <w:rsid w:val="00106A11"/>
    <w:rsid w:val="00106B3B"/>
    <w:rsid w:val="00106E5C"/>
    <w:rsid w:val="00106F3D"/>
    <w:rsid w:val="001072E2"/>
    <w:rsid w:val="001073D3"/>
    <w:rsid w:val="00107558"/>
    <w:rsid w:val="00107D81"/>
    <w:rsid w:val="00107D8A"/>
    <w:rsid w:val="00107E48"/>
    <w:rsid w:val="00107FA8"/>
    <w:rsid w:val="001112A9"/>
    <w:rsid w:val="00111491"/>
    <w:rsid w:val="001114FA"/>
    <w:rsid w:val="00112995"/>
    <w:rsid w:val="00112A5D"/>
    <w:rsid w:val="00112D44"/>
    <w:rsid w:val="001131D5"/>
    <w:rsid w:val="00113488"/>
    <w:rsid w:val="001135BF"/>
    <w:rsid w:val="0011365E"/>
    <w:rsid w:val="00113783"/>
    <w:rsid w:val="00113CF8"/>
    <w:rsid w:val="001142E2"/>
    <w:rsid w:val="001155B7"/>
    <w:rsid w:val="00115715"/>
    <w:rsid w:val="00115877"/>
    <w:rsid w:val="00116450"/>
    <w:rsid w:val="0011680E"/>
    <w:rsid w:val="0011698B"/>
    <w:rsid w:val="00116E76"/>
    <w:rsid w:val="00117266"/>
    <w:rsid w:val="0011766E"/>
    <w:rsid w:val="0011791A"/>
    <w:rsid w:val="00117CBA"/>
    <w:rsid w:val="00120D6A"/>
    <w:rsid w:val="00120EED"/>
    <w:rsid w:val="0012123C"/>
    <w:rsid w:val="001221A5"/>
    <w:rsid w:val="001227C6"/>
    <w:rsid w:val="0012285E"/>
    <w:rsid w:val="001228E2"/>
    <w:rsid w:val="001236AF"/>
    <w:rsid w:val="00123789"/>
    <w:rsid w:val="00123F48"/>
    <w:rsid w:val="001242D9"/>
    <w:rsid w:val="00124622"/>
    <w:rsid w:val="001246B4"/>
    <w:rsid w:val="00124901"/>
    <w:rsid w:val="00126438"/>
    <w:rsid w:val="0012650D"/>
    <w:rsid w:val="00126C44"/>
    <w:rsid w:val="00127210"/>
    <w:rsid w:val="0012767E"/>
    <w:rsid w:val="001304DA"/>
    <w:rsid w:val="00130B22"/>
    <w:rsid w:val="00131394"/>
    <w:rsid w:val="00131E24"/>
    <w:rsid w:val="001325F1"/>
    <w:rsid w:val="0013266F"/>
    <w:rsid w:val="00133858"/>
    <w:rsid w:val="00134491"/>
    <w:rsid w:val="00134D7C"/>
    <w:rsid w:val="001356C6"/>
    <w:rsid w:val="001358E8"/>
    <w:rsid w:val="00135A1E"/>
    <w:rsid w:val="00135F00"/>
    <w:rsid w:val="00137A9F"/>
    <w:rsid w:val="00137D6B"/>
    <w:rsid w:val="00140090"/>
    <w:rsid w:val="001402CB"/>
    <w:rsid w:val="001402F1"/>
    <w:rsid w:val="00140F4D"/>
    <w:rsid w:val="00141587"/>
    <w:rsid w:val="00143440"/>
    <w:rsid w:val="00143656"/>
    <w:rsid w:val="00144DCB"/>
    <w:rsid w:val="00145336"/>
    <w:rsid w:val="00145E65"/>
    <w:rsid w:val="00145FAB"/>
    <w:rsid w:val="00146202"/>
    <w:rsid w:val="00146465"/>
    <w:rsid w:val="001464F3"/>
    <w:rsid w:val="001467DD"/>
    <w:rsid w:val="00147022"/>
    <w:rsid w:val="001478C5"/>
    <w:rsid w:val="0014796A"/>
    <w:rsid w:val="0014796B"/>
    <w:rsid w:val="00147C2A"/>
    <w:rsid w:val="00150085"/>
    <w:rsid w:val="001500BE"/>
    <w:rsid w:val="0015027D"/>
    <w:rsid w:val="0015064A"/>
    <w:rsid w:val="001511F4"/>
    <w:rsid w:val="001513EA"/>
    <w:rsid w:val="00151580"/>
    <w:rsid w:val="0015187F"/>
    <w:rsid w:val="00151900"/>
    <w:rsid w:val="00151C53"/>
    <w:rsid w:val="001522BA"/>
    <w:rsid w:val="00152964"/>
    <w:rsid w:val="00153893"/>
    <w:rsid w:val="00153DD0"/>
    <w:rsid w:val="00154735"/>
    <w:rsid w:val="00154BAF"/>
    <w:rsid w:val="00155225"/>
    <w:rsid w:val="001560FA"/>
    <w:rsid w:val="00157573"/>
    <w:rsid w:val="00160ED0"/>
    <w:rsid w:val="0016149F"/>
    <w:rsid w:val="001615BE"/>
    <w:rsid w:val="00161C2B"/>
    <w:rsid w:val="00161E45"/>
    <w:rsid w:val="00161FA0"/>
    <w:rsid w:val="0016281F"/>
    <w:rsid w:val="00163ABC"/>
    <w:rsid w:val="001645B2"/>
    <w:rsid w:val="0016474D"/>
    <w:rsid w:val="001647C9"/>
    <w:rsid w:val="00164EF8"/>
    <w:rsid w:val="00164FB3"/>
    <w:rsid w:val="00165739"/>
    <w:rsid w:val="00165B9C"/>
    <w:rsid w:val="00166366"/>
    <w:rsid w:val="0016709B"/>
    <w:rsid w:val="00167DB3"/>
    <w:rsid w:val="001711C1"/>
    <w:rsid w:val="00172386"/>
    <w:rsid w:val="001724DA"/>
    <w:rsid w:val="00173225"/>
    <w:rsid w:val="00173311"/>
    <w:rsid w:val="00173524"/>
    <w:rsid w:val="0017392C"/>
    <w:rsid w:val="00173AA5"/>
    <w:rsid w:val="00174E88"/>
    <w:rsid w:val="001756F5"/>
    <w:rsid w:val="001760D3"/>
    <w:rsid w:val="00176511"/>
    <w:rsid w:val="00176584"/>
    <w:rsid w:val="00177358"/>
    <w:rsid w:val="00177476"/>
    <w:rsid w:val="00177885"/>
    <w:rsid w:val="00177B3C"/>
    <w:rsid w:val="00180E29"/>
    <w:rsid w:val="00181765"/>
    <w:rsid w:val="001819BD"/>
    <w:rsid w:val="00181D85"/>
    <w:rsid w:val="0018247D"/>
    <w:rsid w:val="001826B4"/>
    <w:rsid w:val="001829C0"/>
    <w:rsid w:val="001833A1"/>
    <w:rsid w:val="00183827"/>
    <w:rsid w:val="00184F1B"/>
    <w:rsid w:val="0018530C"/>
    <w:rsid w:val="0018545A"/>
    <w:rsid w:val="00185D32"/>
    <w:rsid w:val="001864EF"/>
    <w:rsid w:val="001866E7"/>
    <w:rsid w:val="00187241"/>
    <w:rsid w:val="0018737C"/>
    <w:rsid w:val="00187AF8"/>
    <w:rsid w:val="00190000"/>
    <w:rsid w:val="0019042F"/>
    <w:rsid w:val="00190765"/>
    <w:rsid w:val="00190960"/>
    <w:rsid w:val="00190A0D"/>
    <w:rsid w:val="001914FD"/>
    <w:rsid w:val="0019164B"/>
    <w:rsid w:val="00192447"/>
    <w:rsid w:val="00193DCB"/>
    <w:rsid w:val="001947A5"/>
    <w:rsid w:val="001954A0"/>
    <w:rsid w:val="00195ECB"/>
    <w:rsid w:val="00196163"/>
    <w:rsid w:val="001965DF"/>
    <w:rsid w:val="001968BD"/>
    <w:rsid w:val="00196B50"/>
    <w:rsid w:val="00196E98"/>
    <w:rsid w:val="001A1009"/>
    <w:rsid w:val="001A1395"/>
    <w:rsid w:val="001A1B19"/>
    <w:rsid w:val="001A1BB7"/>
    <w:rsid w:val="001A1CE0"/>
    <w:rsid w:val="001A24C0"/>
    <w:rsid w:val="001A326B"/>
    <w:rsid w:val="001A53FA"/>
    <w:rsid w:val="001A5A3F"/>
    <w:rsid w:val="001A5AE7"/>
    <w:rsid w:val="001A60CF"/>
    <w:rsid w:val="001A6B03"/>
    <w:rsid w:val="001A74D2"/>
    <w:rsid w:val="001B062D"/>
    <w:rsid w:val="001B113C"/>
    <w:rsid w:val="001B11CD"/>
    <w:rsid w:val="001B1708"/>
    <w:rsid w:val="001B2114"/>
    <w:rsid w:val="001B2899"/>
    <w:rsid w:val="001B305E"/>
    <w:rsid w:val="001B3318"/>
    <w:rsid w:val="001B45A1"/>
    <w:rsid w:val="001B46B8"/>
    <w:rsid w:val="001B4707"/>
    <w:rsid w:val="001B52CB"/>
    <w:rsid w:val="001B58EA"/>
    <w:rsid w:val="001B5EE3"/>
    <w:rsid w:val="001B60DC"/>
    <w:rsid w:val="001B63A6"/>
    <w:rsid w:val="001B63D5"/>
    <w:rsid w:val="001B6974"/>
    <w:rsid w:val="001B705F"/>
    <w:rsid w:val="001B7B5C"/>
    <w:rsid w:val="001C006B"/>
    <w:rsid w:val="001C016C"/>
    <w:rsid w:val="001C076E"/>
    <w:rsid w:val="001C083D"/>
    <w:rsid w:val="001C097C"/>
    <w:rsid w:val="001C18FA"/>
    <w:rsid w:val="001C21B1"/>
    <w:rsid w:val="001C2AC1"/>
    <w:rsid w:val="001C3283"/>
    <w:rsid w:val="001C3673"/>
    <w:rsid w:val="001C388D"/>
    <w:rsid w:val="001C4477"/>
    <w:rsid w:val="001C44FF"/>
    <w:rsid w:val="001C455B"/>
    <w:rsid w:val="001C553F"/>
    <w:rsid w:val="001C5705"/>
    <w:rsid w:val="001C5D84"/>
    <w:rsid w:val="001C77A4"/>
    <w:rsid w:val="001D12F3"/>
    <w:rsid w:val="001D270D"/>
    <w:rsid w:val="001D272F"/>
    <w:rsid w:val="001D2C4F"/>
    <w:rsid w:val="001D3164"/>
    <w:rsid w:val="001D3ABE"/>
    <w:rsid w:val="001D3CF2"/>
    <w:rsid w:val="001D3D5B"/>
    <w:rsid w:val="001D48BD"/>
    <w:rsid w:val="001D50C2"/>
    <w:rsid w:val="001D5711"/>
    <w:rsid w:val="001D58A3"/>
    <w:rsid w:val="001D5DAA"/>
    <w:rsid w:val="001D65D3"/>
    <w:rsid w:val="001D6647"/>
    <w:rsid w:val="001D67D7"/>
    <w:rsid w:val="001D6CA5"/>
    <w:rsid w:val="001D752F"/>
    <w:rsid w:val="001D7578"/>
    <w:rsid w:val="001D79DC"/>
    <w:rsid w:val="001E0304"/>
    <w:rsid w:val="001E0D5B"/>
    <w:rsid w:val="001E10B5"/>
    <w:rsid w:val="001E2281"/>
    <w:rsid w:val="001E345D"/>
    <w:rsid w:val="001E3A71"/>
    <w:rsid w:val="001E3BD2"/>
    <w:rsid w:val="001E3D15"/>
    <w:rsid w:val="001E3E50"/>
    <w:rsid w:val="001E445C"/>
    <w:rsid w:val="001E4873"/>
    <w:rsid w:val="001E5246"/>
    <w:rsid w:val="001E5A40"/>
    <w:rsid w:val="001E5A60"/>
    <w:rsid w:val="001E6521"/>
    <w:rsid w:val="001E6710"/>
    <w:rsid w:val="001E6A16"/>
    <w:rsid w:val="001E6BC9"/>
    <w:rsid w:val="001E788C"/>
    <w:rsid w:val="001E7A04"/>
    <w:rsid w:val="001E7A0F"/>
    <w:rsid w:val="001F2172"/>
    <w:rsid w:val="001F21AA"/>
    <w:rsid w:val="001F23DC"/>
    <w:rsid w:val="001F2612"/>
    <w:rsid w:val="001F2847"/>
    <w:rsid w:val="001F2EF8"/>
    <w:rsid w:val="001F3262"/>
    <w:rsid w:val="001F32DF"/>
    <w:rsid w:val="001F32F6"/>
    <w:rsid w:val="001F3580"/>
    <w:rsid w:val="001F379D"/>
    <w:rsid w:val="001F3907"/>
    <w:rsid w:val="001F3C92"/>
    <w:rsid w:val="001F42AB"/>
    <w:rsid w:val="001F464B"/>
    <w:rsid w:val="001F4938"/>
    <w:rsid w:val="001F4B87"/>
    <w:rsid w:val="001F4F64"/>
    <w:rsid w:val="001F51AF"/>
    <w:rsid w:val="001F531F"/>
    <w:rsid w:val="001F549E"/>
    <w:rsid w:val="001F5DEB"/>
    <w:rsid w:val="001F5FB0"/>
    <w:rsid w:val="001F6D18"/>
    <w:rsid w:val="001F6D37"/>
    <w:rsid w:val="001F6EE5"/>
    <w:rsid w:val="0020122F"/>
    <w:rsid w:val="002030E8"/>
    <w:rsid w:val="0020340E"/>
    <w:rsid w:val="002036B4"/>
    <w:rsid w:val="00203827"/>
    <w:rsid w:val="0020386A"/>
    <w:rsid w:val="00204059"/>
    <w:rsid w:val="002043EF"/>
    <w:rsid w:val="0020541E"/>
    <w:rsid w:val="002056BF"/>
    <w:rsid w:val="00206006"/>
    <w:rsid w:val="00206553"/>
    <w:rsid w:val="00206823"/>
    <w:rsid w:val="00206C5F"/>
    <w:rsid w:val="00206E60"/>
    <w:rsid w:val="00206E61"/>
    <w:rsid w:val="00207412"/>
    <w:rsid w:val="00207D7E"/>
    <w:rsid w:val="0021061F"/>
    <w:rsid w:val="002115D5"/>
    <w:rsid w:val="00211E17"/>
    <w:rsid w:val="00211E1C"/>
    <w:rsid w:val="002126BB"/>
    <w:rsid w:val="00212C3F"/>
    <w:rsid w:val="00212EC6"/>
    <w:rsid w:val="002132F4"/>
    <w:rsid w:val="00213D76"/>
    <w:rsid w:val="00214783"/>
    <w:rsid w:val="0021550D"/>
    <w:rsid w:val="00216BF8"/>
    <w:rsid w:val="00217452"/>
    <w:rsid w:val="00217714"/>
    <w:rsid w:val="0022034A"/>
    <w:rsid w:val="002209D0"/>
    <w:rsid w:val="00221C29"/>
    <w:rsid w:val="00222081"/>
    <w:rsid w:val="00222333"/>
    <w:rsid w:val="00223183"/>
    <w:rsid w:val="00223EC8"/>
    <w:rsid w:val="00224123"/>
    <w:rsid w:val="0022416B"/>
    <w:rsid w:val="00224456"/>
    <w:rsid w:val="00224477"/>
    <w:rsid w:val="00224548"/>
    <w:rsid w:val="0022625C"/>
    <w:rsid w:val="00226584"/>
    <w:rsid w:val="00226B2E"/>
    <w:rsid w:val="00227B23"/>
    <w:rsid w:val="002303AE"/>
    <w:rsid w:val="00230590"/>
    <w:rsid w:val="00230764"/>
    <w:rsid w:val="002309BE"/>
    <w:rsid w:val="00231814"/>
    <w:rsid w:val="002323B6"/>
    <w:rsid w:val="00233337"/>
    <w:rsid w:val="0023352E"/>
    <w:rsid w:val="00233718"/>
    <w:rsid w:val="00234546"/>
    <w:rsid w:val="00234D5B"/>
    <w:rsid w:val="00234DB4"/>
    <w:rsid w:val="00235349"/>
    <w:rsid w:val="00235CDD"/>
    <w:rsid w:val="002360B8"/>
    <w:rsid w:val="002362CA"/>
    <w:rsid w:val="002362E5"/>
    <w:rsid w:val="0023647B"/>
    <w:rsid w:val="00236BA0"/>
    <w:rsid w:val="00237469"/>
    <w:rsid w:val="00240654"/>
    <w:rsid w:val="00240E70"/>
    <w:rsid w:val="00240F19"/>
    <w:rsid w:val="002415EF"/>
    <w:rsid w:val="00241CBF"/>
    <w:rsid w:val="002426A3"/>
    <w:rsid w:val="00242CB8"/>
    <w:rsid w:val="00243F5F"/>
    <w:rsid w:val="00243F7A"/>
    <w:rsid w:val="00244732"/>
    <w:rsid w:val="002457EB"/>
    <w:rsid w:val="00245862"/>
    <w:rsid w:val="00245E5E"/>
    <w:rsid w:val="00246A9B"/>
    <w:rsid w:val="00247633"/>
    <w:rsid w:val="00247698"/>
    <w:rsid w:val="00247DDE"/>
    <w:rsid w:val="00252938"/>
    <w:rsid w:val="00252A6B"/>
    <w:rsid w:val="00252D9A"/>
    <w:rsid w:val="002536DF"/>
    <w:rsid w:val="00253B07"/>
    <w:rsid w:val="002540FB"/>
    <w:rsid w:val="00254576"/>
    <w:rsid w:val="00255902"/>
    <w:rsid w:val="00256124"/>
    <w:rsid w:val="00257C8E"/>
    <w:rsid w:val="00257D1E"/>
    <w:rsid w:val="002602FF"/>
    <w:rsid w:val="00261C18"/>
    <w:rsid w:val="00261E17"/>
    <w:rsid w:val="002632D6"/>
    <w:rsid w:val="0026344F"/>
    <w:rsid w:val="00263501"/>
    <w:rsid w:val="00263573"/>
    <w:rsid w:val="0026389C"/>
    <w:rsid w:val="00263A7D"/>
    <w:rsid w:val="002643B4"/>
    <w:rsid w:val="00264433"/>
    <w:rsid w:val="00264EB0"/>
    <w:rsid w:val="00264F72"/>
    <w:rsid w:val="00266E8D"/>
    <w:rsid w:val="002670C8"/>
    <w:rsid w:val="0027018F"/>
    <w:rsid w:val="002717E2"/>
    <w:rsid w:val="00271FC3"/>
    <w:rsid w:val="0027215F"/>
    <w:rsid w:val="00272DDD"/>
    <w:rsid w:val="00274C5C"/>
    <w:rsid w:val="00274CC8"/>
    <w:rsid w:val="002756BD"/>
    <w:rsid w:val="00275C84"/>
    <w:rsid w:val="002761E5"/>
    <w:rsid w:val="002765A0"/>
    <w:rsid w:val="00276F2B"/>
    <w:rsid w:val="00276FA4"/>
    <w:rsid w:val="00280039"/>
    <w:rsid w:val="002803C3"/>
    <w:rsid w:val="002807C3"/>
    <w:rsid w:val="0028080C"/>
    <w:rsid w:val="002808BA"/>
    <w:rsid w:val="0028098C"/>
    <w:rsid w:val="00280BCE"/>
    <w:rsid w:val="00281679"/>
    <w:rsid w:val="002821CF"/>
    <w:rsid w:val="00282F29"/>
    <w:rsid w:val="00283369"/>
    <w:rsid w:val="0028371E"/>
    <w:rsid w:val="00283C2C"/>
    <w:rsid w:val="00283E08"/>
    <w:rsid w:val="002843BD"/>
    <w:rsid w:val="002850DE"/>
    <w:rsid w:val="002854FE"/>
    <w:rsid w:val="002856CF"/>
    <w:rsid w:val="00285780"/>
    <w:rsid w:val="00285F70"/>
    <w:rsid w:val="00286031"/>
    <w:rsid w:val="0028647D"/>
    <w:rsid w:val="002868B4"/>
    <w:rsid w:val="0028729F"/>
    <w:rsid w:val="0028778F"/>
    <w:rsid w:val="00287BC9"/>
    <w:rsid w:val="00290081"/>
    <w:rsid w:val="0029045F"/>
    <w:rsid w:val="002911AF"/>
    <w:rsid w:val="00291361"/>
    <w:rsid w:val="002919F1"/>
    <w:rsid w:val="00292726"/>
    <w:rsid w:val="002930C6"/>
    <w:rsid w:val="00296975"/>
    <w:rsid w:val="00296AE4"/>
    <w:rsid w:val="00296C65"/>
    <w:rsid w:val="00297496"/>
    <w:rsid w:val="002A0179"/>
    <w:rsid w:val="002A03E6"/>
    <w:rsid w:val="002A09D6"/>
    <w:rsid w:val="002A1D24"/>
    <w:rsid w:val="002A2524"/>
    <w:rsid w:val="002A2A30"/>
    <w:rsid w:val="002A2A8D"/>
    <w:rsid w:val="002A3163"/>
    <w:rsid w:val="002A34F8"/>
    <w:rsid w:val="002A4268"/>
    <w:rsid w:val="002A4FD0"/>
    <w:rsid w:val="002A5BC2"/>
    <w:rsid w:val="002A5CA4"/>
    <w:rsid w:val="002A604C"/>
    <w:rsid w:val="002A6846"/>
    <w:rsid w:val="002A6E89"/>
    <w:rsid w:val="002A77AF"/>
    <w:rsid w:val="002A77D1"/>
    <w:rsid w:val="002A7E65"/>
    <w:rsid w:val="002B0563"/>
    <w:rsid w:val="002B1A55"/>
    <w:rsid w:val="002B1D3B"/>
    <w:rsid w:val="002B309F"/>
    <w:rsid w:val="002B30C8"/>
    <w:rsid w:val="002B35A7"/>
    <w:rsid w:val="002B3934"/>
    <w:rsid w:val="002B4D14"/>
    <w:rsid w:val="002B4D2D"/>
    <w:rsid w:val="002B53ED"/>
    <w:rsid w:val="002B67F6"/>
    <w:rsid w:val="002B6B52"/>
    <w:rsid w:val="002B6E1F"/>
    <w:rsid w:val="002B6F17"/>
    <w:rsid w:val="002B79D0"/>
    <w:rsid w:val="002B7E51"/>
    <w:rsid w:val="002C0052"/>
    <w:rsid w:val="002C0295"/>
    <w:rsid w:val="002C1027"/>
    <w:rsid w:val="002C1504"/>
    <w:rsid w:val="002C1E20"/>
    <w:rsid w:val="002C29E5"/>
    <w:rsid w:val="002C2D36"/>
    <w:rsid w:val="002C2EAC"/>
    <w:rsid w:val="002C337B"/>
    <w:rsid w:val="002C3791"/>
    <w:rsid w:val="002C4171"/>
    <w:rsid w:val="002C4512"/>
    <w:rsid w:val="002C4637"/>
    <w:rsid w:val="002C4A4F"/>
    <w:rsid w:val="002C5BEE"/>
    <w:rsid w:val="002C5CEA"/>
    <w:rsid w:val="002C6E6D"/>
    <w:rsid w:val="002C7B48"/>
    <w:rsid w:val="002C7D90"/>
    <w:rsid w:val="002C7FE5"/>
    <w:rsid w:val="002D0E5E"/>
    <w:rsid w:val="002D2C16"/>
    <w:rsid w:val="002D39FB"/>
    <w:rsid w:val="002D3A91"/>
    <w:rsid w:val="002D3ADE"/>
    <w:rsid w:val="002D4DE7"/>
    <w:rsid w:val="002D4F59"/>
    <w:rsid w:val="002D5666"/>
    <w:rsid w:val="002D5B3A"/>
    <w:rsid w:val="002D5CEA"/>
    <w:rsid w:val="002D6462"/>
    <w:rsid w:val="002D7226"/>
    <w:rsid w:val="002D7513"/>
    <w:rsid w:val="002D7A58"/>
    <w:rsid w:val="002E0339"/>
    <w:rsid w:val="002E0657"/>
    <w:rsid w:val="002E0A34"/>
    <w:rsid w:val="002E12DD"/>
    <w:rsid w:val="002E142A"/>
    <w:rsid w:val="002E1476"/>
    <w:rsid w:val="002E1C14"/>
    <w:rsid w:val="002E238A"/>
    <w:rsid w:val="002E2835"/>
    <w:rsid w:val="002E2BD4"/>
    <w:rsid w:val="002E2CA2"/>
    <w:rsid w:val="002E30ED"/>
    <w:rsid w:val="002E319D"/>
    <w:rsid w:val="002E3C01"/>
    <w:rsid w:val="002E3C17"/>
    <w:rsid w:val="002E423E"/>
    <w:rsid w:val="002E4DAB"/>
    <w:rsid w:val="002E5128"/>
    <w:rsid w:val="002E575E"/>
    <w:rsid w:val="002E76F9"/>
    <w:rsid w:val="002F11A9"/>
    <w:rsid w:val="002F1546"/>
    <w:rsid w:val="002F22BB"/>
    <w:rsid w:val="002F2619"/>
    <w:rsid w:val="002F2714"/>
    <w:rsid w:val="002F2951"/>
    <w:rsid w:val="002F2997"/>
    <w:rsid w:val="002F2DFB"/>
    <w:rsid w:val="002F304C"/>
    <w:rsid w:val="002F3C44"/>
    <w:rsid w:val="002F3D8B"/>
    <w:rsid w:val="002F3EE5"/>
    <w:rsid w:val="002F4316"/>
    <w:rsid w:val="002F548A"/>
    <w:rsid w:val="002F60BB"/>
    <w:rsid w:val="002F6492"/>
    <w:rsid w:val="002F7031"/>
    <w:rsid w:val="002F74A4"/>
    <w:rsid w:val="002F762C"/>
    <w:rsid w:val="00300191"/>
    <w:rsid w:val="0030022F"/>
    <w:rsid w:val="003004DF"/>
    <w:rsid w:val="00301176"/>
    <w:rsid w:val="003012A1"/>
    <w:rsid w:val="003014CC"/>
    <w:rsid w:val="00301545"/>
    <w:rsid w:val="00301845"/>
    <w:rsid w:val="00303381"/>
    <w:rsid w:val="003034F1"/>
    <w:rsid w:val="00303C4E"/>
    <w:rsid w:val="00304047"/>
    <w:rsid w:val="00304479"/>
    <w:rsid w:val="00304A98"/>
    <w:rsid w:val="00304E45"/>
    <w:rsid w:val="00304F86"/>
    <w:rsid w:val="00305C2D"/>
    <w:rsid w:val="00305F77"/>
    <w:rsid w:val="00306994"/>
    <w:rsid w:val="00306ED9"/>
    <w:rsid w:val="0030729F"/>
    <w:rsid w:val="00310608"/>
    <w:rsid w:val="00310B20"/>
    <w:rsid w:val="003117EF"/>
    <w:rsid w:val="00311B04"/>
    <w:rsid w:val="0031208A"/>
    <w:rsid w:val="003129D6"/>
    <w:rsid w:val="003138AE"/>
    <w:rsid w:val="00313A13"/>
    <w:rsid w:val="00313D91"/>
    <w:rsid w:val="003141EC"/>
    <w:rsid w:val="003141F5"/>
    <w:rsid w:val="003142B5"/>
    <w:rsid w:val="003143BC"/>
    <w:rsid w:val="003147BA"/>
    <w:rsid w:val="003147F4"/>
    <w:rsid w:val="00314DB6"/>
    <w:rsid w:val="003153C9"/>
    <w:rsid w:val="0031569A"/>
    <w:rsid w:val="00315D82"/>
    <w:rsid w:val="00316AAF"/>
    <w:rsid w:val="00316FE5"/>
    <w:rsid w:val="003171A0"/>
    <w:rsid w:val="00317A6A"/>
    <w:rsid w:val="00317FC4"/>
    <w:rsid w:val="003200DF"/>
    <w:rsid w:val="003201C7"/>
    <w:rsid w:val="00320B0F"/>
    <w:rsid w:val="0032175B"/>
    <w:rsid w:val="00321C38"/>
    <w:rsid w:val="00322AAB"/>
    <w:rsid w:val="00322F4F"/>
    <w:rsid w:val="00323F4D"/>
    <w:rsid w:val="00323FAF"/>
    <w:rsid w:val="003243F6"/>
    <w:rsid w:val="00324500"/>
    <w:rsid w:val="003246DE"/>
    <w:rsid w:val="00324D24"/>
    <w:rsid w:val="003254EB"/>
    <w:rsid w:val="003262D9"/>
    <w:rsid w:val="00326372"/>
    <w:rsid w:val="00326EE7"/>
    <w:rsid w:val="003278CC"/>
    <w:rsid w:val="003305C8"/>
    <w:rsid w:val="00330AE8"/>
    <w:rsid w:val="00331930"/>
    <w:rsid w:val="00331FA0"/>
    <w:rsid w:val="003324CB"/>
    <w:rsid w:val="003329FA"/>
    <w:rsid w:val="00332AE9"/>
    <w:rsid w:val="0033303B"/>
    <w:rsid w:val="00334255"/>
    <w:rsid w:val="00334697"/>
    <w:rsid w:val="003349E8"/>
    <w:rsid w:val="00335525"/>
    <w:rsid w:val="00335537"/>
    <w:rsid w:val="00336438"/>
    <w:rsid w:val="00340007"/>
    <w:rsid w:val="00340541"/>
    <w:rsid w:val="00340BAF"/>
    <w:rsid w:val="003411E1"/>
    <w:rsid w:val="003414FA"/>
    <w:rsid w:val="00341664"/>
    <w:rsid w:val="00341A0C"/>
    <w:rsid w:val="00341B04"/>
    <w:rsid w:val="003420B1"/>
    <w:rsid w:val="0034213D"/>
    <w:rsid w:val="00342590"/>
    <w:rsid w:val="00342FD2"/>
    <w:rsid w:val="0034318C"/>
    <w:rsid w:val="00343B41"/>
    <w:rsid w:val="00344561"/>
    <w:rsid w:val="00344D73"/>
    <w:rsid w:val="0034507B"/>
    <w:rsid w:val="003457E1"/>
    <w:rsid w:val="003459C1"/>
    <w:rsid w:val="00346838"/>
    <w:rsid w:val="00346D4C"/>
    <w:rsid w:val="00350ACA"/>
    <w:rsid w:val="00351B1A"/>
    <w:rsid w:val="00351CC6"/>
    <w:rsid w:val="003521CE"/>
    <w:rsid w:val="00352F93"/>
    <w:rsid w:val="003534D6"/>
    <w:rsid w:val="00353882"/>
    <w:rsid w:val="00353B8A"/>
    <w:rsid w:val="00353E50"/>
    <w:rsid w:val="0035474E"/>
    <w:rsid w:val="00355008"/>
    <w:rsid w:val="00355313"/>
    <w:rsid w:val="00355832"/>
    <w:rsid w:val="00356CF2"/>
    <w:rsid w:val="00356F9F"/>
    <w:rsid w:val="00357D8E"/>
    <w:rsid w:val="00360020"/>
    <w:rsid w:val="003600EC"/>
    <w:rsid w:val="003600F3"/>
    <w:rsid w:val="00360C57"/>
    <w:rsid w:val="003620C1"/>
    <w:rsid w:val="003627FC"/>
    <w:rsid w:val="00362A5E"/>
    <w:rsid w:val="00362D65"/>
    <w:rsid w:val="0036455B"/>
    <w:rsid w:val="003645AF"/>
    <w:rsid w:val="003646C1"/>
    <w:rsid w:val="00365047"/>
    <w:rsid w:val="003653C1"/>
    <w:rsid w:val="00365846"/>
    <w:rsid w:val="00365E5A"/>
    <w:rsid w:val="00365F3B"/>
    <w:rsid w:val="0036650A"/>
    <w:rsid w:val="00366C40"/>
    <w:rsid w:val="00370292"/>
    <w:rsid w:val="00370580"/>
    <w:rsid w:val="0037084E"/>
    <w:rsid w:val="00370D21"/>
    <w:rsid w:val="0037243E"/>
    <w:rsid w:val="00372729"/>
    <w:rsid w:val="00372DCD"/>
    <w:rsid w:val="00372FD8"/>
    <w:rsid w:val="00373F76"/>
    <w:rsid w:val="00374176"/>
    <w:rsid w:val="00374C43"/>
    <w:rsid w:val="0037575C"/>
    <w:rsid w:val="00375B87"/>
    <w:rsid w:val="00375E7E"/>
    <w:rsid w:val="0037689A"/>
    <w:rsid w:val="00376E23"/>
    <w:rsid w:val="003771FC"/>
    <w:rsid w:val="00377B30"/>
    <w:rsid w:val="00377ED5"/>
    <w:rsid w:val="003806BE"/>
    <w:rsid w:val="003810E6"/>
    <w:rsid w:val="003811D6"/>
    <w:rsid w:val="003815CA"/>
    <w:rsid w:val="0038169A"/>
    <w:rsid w:val="003816E1"/>
    <w:rsid w:val="00381B73"/>
    <w:rsid w:val="00381BA0"/>
    <w:rsid w:val="00381D3A"/>
    <w:rsid w:val="00383977"/>
    <w:rsid w:val="0038444E"/>
    <w:rsid w:val="003849D8"/>
    <w:rsid w:val="0038574E"/>
    <w:rsid w:val="003860AA"/>
    <w:rsid w:val="00386AF8"/>
    <w:rsid w:val="00387E24"/>
    <w:rsid w:val="00390134"/>
    <w:rsid w:val="0039089D"/>
    <w:rsid w:val="003912A3"/>
    <w:rsid w:val="0039143F"/>
    <w:rsid w:val="00391791"/>
    <w:rsid w:val="00391D26"/>
    <w:rsid w:val="003924A6"/>
    <w:rsid w:val="003924EE"/>
    <w:rsid w:val="00392844"/>
    <w:rsid w:val="00392DFC"/>
    <w:rsid w:val="0039321D"/>
    <w:rsid w:val="00393267"/>
    <w:rsid w:val="003932DD"/>
    <w:rsid w:val="00394059"/>
    <w:rsid w:val="0039417D"/>
    <w:rsid w:val="0039468A"/>
    <w:rsid w:val="003946A1"/>
    <w:rsid w:val="0039495C"/>
    <w:rsid w:val="00394C4A"/>
    <w:rsid w:val="00395FD3"/>
    <w:rsid w:val="00395FF0"/>
    <w:rsid w:val="0039642A"/>
    <w:rsid w:val="00396D20"/>
    <w:rsid w:val="003976CC"/>
    <w:rsid w:val="003A01D4"/>
    <w:rsid w:val="003A0323"/>
    <w:rsid w:val="003A0542"/>
    <w:rsid w:val="003A09FB"/>
    <w:rsid w:val="003A0F3C"/>
    <w:rsid w:val="003A1645"/>
    <w:rsid w:val="003A1E94"/>
    <w:rsid w:val="003A25E5"/>
    <w:rsid w:val="003A2ACD"/>
    <w:rsid w:val="003A2C15"/>
    <w:rsid w:val="003A38ED"/>
    <w:rsid w:val="003A3DDF"/>
    <w:rsid w:val="003A419B"/>
    <w:rsid w:val="003A5117"/>
    <w:rsid w:val="003A5792"/>
    <w:rsid w:val="003A60EC"/>
    <w:rsid w:val="003A64FD"/>
    <w:rsid w:val="003A72FC"/>
    <w:rsid w:val="003A75DE"/>
    <w:rsid w:val="003A764C"/>
    <w:rsid w:val="003A7B64"/>
    <w:rsid w:val="003A7FBE"/>
    <w:rsid w:val="003B0CA1"/>
    <w:rsid w:val="003B107C"/>
    <w:rsid w:val="003B11C2"/>
    <w:rsid w:val="003B1A49"/>
    <w:rsid w:val="003B1CC7"/>
    <w:rsid w:val="003B1DA1"/>
    <w:rsid w:val="003B2535"/>
    <w:rsid w:val="003B3320"/>
    <w:rsid w:val="003B3781"/>
    <w:rsid w:val="003B3976"/>
    <w:rsid w:val="003B5477"/>
    <w:rsid w:val="003B567B"/>
    <w:rsid w:val="003B5735"/>
    <w:rsid w:val="003B5EB4"/>
    <w:rsid w:val="003B65C3"/>
    <w:rsid w:val="003B6702"/>
    <w:rsid w:val="003B69C7"/>
    <w:rsid w:val="003B6C7D"/>
    <w:rsid w:val="003B78CE"/>
    <w:rsid w:val="003B7CA4"/>
    <w:rsid w:val="003B7E46"/>
    <w:rsid w:val="003C1977"/>
    <w:rsid w:val="003C1AF3"/>
    <w:rsid w:val="003C243B"/>
    <w:rsid w:val="003C2B22"/>
    <w:rsid w:val="003C2C1E"/>
    <w:rsid w:val="003C3423"/>
    <w:rsid w:val="003C37CC"/>
    <w:rsid w:val="003C406A"/>
    <w:rsid w:val="003C4404"/>
    <w:rsid w:val="003C5096"/>
    <w:rsid w:val="003C5115"/>
    <w:rsid w:val="003C55FB"/>
    <w:rsid w:val="003C6515"/>
    <w:rsid w:val="003C6E56"/>
    <w:rsid w:val="003C7471"/>
    <w:rsid w:val="003C7EB2"/>
    <w:rsid w:val="003C7F24"/>
    <w:rsid w:val="003D0130"/>
    <w:rsid w:val="003D070C"/>
    <w:rsid w:val="003D0D95"/>
    <w:rsid w:val="003D0E47"/>
    <w:rsid w:val="003D1102"/>
    <w:rsid w:val="003D111E"/>
    <w:rsid w:val="003D1205"/>
    <w:rsid w:val="003D2099"/>
    <w:rsid w:val="003D2561"/>
    <w:rsid w:val="003D2C04"/>
    <w:rsid w:val="003D38FA"/>
    <w:rsid w:val="003D3AFC"/>
    <w:rsid w:val="003D48AE"/>
    <w:rsid w:val="003D4F92"/>
    <w:rsid w:val="003D51A8"/>
    <w:rsid w:val="003D5791"/>
    <w:rsid w:val="003D5883"/>
    <w:rsid w:val="003D5996"/>
    <w:rsid w:val="003D59F7"/>
    <w:rsid w:val="003D5F23"/>
    <w:rsid w:val="003D7036"/>
    <w:rsid w:val="003D7437"/>
    <w:rsid w:val="003E0492"/>
    <w:rsid w:val="003E0EE0"/>
    <w:rsid w:val="003E0F38"/>
    <w:rsid w:val="003E14BE"/>
    <w:rsid w:val="003E1B97"/>
    <w:rsid w:val="003E2308"/>
    <w:rsid w:val="003E258B"/>
    <w:rsid w:val="003E2A3A"/>
    <w:rsid w:val="003E2C67"/>
    <w:rsid w:val="003E422C"/>
    <w:rsid w:val="003E43B3"/>
    <w:rsid w:val="003E4878"/>
    <w:rsid w:val="003E4AE3"/>
    <w:rsid w:val="003E4E1F"/>
    <w:rsid w:val="003E4EE3"/>
    <w:rsid w:val="003E5847"/>
    <w:rsid w:val="003E5979"/>
    <w:rsid w:val="003E66A9"/>
    <w:rsid w:val="003E6B1A"/>
    <w:rsid w:val="003E6DB4"/>
    <w:rsid w:val="003E6EF2"/>
    <w:rsid w:val="003E73DE"/>
    <w:rsid w:val="003E7D11"/>
    <w:rsid w:val="003E7D29"/>
    <w:rsid w:val="003F06C8"/>
    <w:rsid w:val="003F08E5"/>
    <w:rsid w:val="003F0DC0"/>
    <w:rsid w:val="003F1285"/>
    <w:rsid w:val="003F1A43"/>
    <w:rsid w:val="003F1A50"/>
    <w:rsid w:val="003F22FA"/>
    <w:rsid w:val="003F2731"/>
    <w:rsid w:val="003F28C8"/>
    <w:rsid w:val="003F3161"/>
    <w:rsid w:val="003F3200"/>
    <w:rsid w:val="003F3232"/>
    <w:rsid w:val="003F35F4"/>
    <w:rsid w:val="003F3F5E"/>
    <w:rsid w:val="003F3F7C"/>
    <w:rsid w:val="003F468B"/>
    <w:rsid w:val="003F4C6D"/>
    <w:rsid w:val="003F4E9C"/>
    <w:rsid w:val="003F5265"/>
    <w:rsid w:val="003F532B"/>
    <w:rsid w:val="003F576A"/>
    <w:rsid w:val="003F57AE"/>
    <w:rsid w:val="003F5AD4"/>
    <w:rsid w:val="003F5C11"/>
    <w:rsid w:val="003F6E02"/>
    <w:rsid w:val="0040011D"/>
    <w:rsid w:val="00400438"/>
    <w:rsid w:val="004004B1"/>
    <w:rsid w:val="00401695"/>
    <w:rsid w:val="00401BD7"/>
    <w:rsid w:val="0040202C"/>
    <w:rsid w:val="00403167"/>
    <w:rsid w:val="004032E2"/>
    <w:rsid w:val="00403D81"/>
    <w:rsid w:val="00404A48"/>
    <w:rsid w:val="004054C4"/>
    <w:rsid w:val="00405960"/>
    <w:rsid w:val="00405B23"/>
    <w:rsid w:val="00406BE5"/>
    <w:rsid w:val="004073E4"/>
    <w:rsid w:val="004109B7"/>
    <w:rsid w:val="00410E9A"/>
    <w:rsid w:val="0041193D"/>
    <w:rsid w:val="0041220D"/>
    <w:rsid w:val="004123F5"/>
    <w:rsid w:val="00412425"/>
    <w:rsid w:val="004125B4"/>
    <w:rsid w:val="00412F45"/>
    <w:rsid w:val="004134C8"/>
    <w:rsid w:val="00413590"/>
    <w:rsid w:val="00413F45"/>
    <w:rsid w:val="004157EC"/>
    <w:rsid w:val="00415F6F"/>
    <w:rsid w:val="0041654D"/>
    <w:rsid w:val="00416801"/>
    <w:rsid w:val="004201E8"/>
    <w:rsid w:val="004205D9"/>
    <w:rsid w:val="0042064B"/>
    <w:rsid w:val="00421E63"/>
    <w:rsid w:val="00421F92"/>
    <w:rsid w:val="004226D4"/>
    <w:rsid w:val="0042409F"/>
    <w:rsid w:val="0042422A"/>
    <w:rsid w:val="00424420"/>
    <w:rsid w:val="004245A5"/>
    <w:rsid w:val="004246D8"/>
    <w:rsid w:val="00424FBA"/>
    <w:rsid w:val="00425645"/>
    <w:rsid w:val="00425C60"/>
    <w:rsid w:val="004262FB"/>
    <w:rsid w:val="00426F1B"/>
    <w:rsid w:val="00427CAA"/>
    <w:rsid w:val="00430E1B"/>
    <w:rsid w:val="00431188"/>
    <w:rsid w:val="0043184E"/>
    <w:rsid w:val="00431A8E"/>
    <w:rsid w:val="00431AE6"/>
    <w:rsid w:val="004320BF"/>
    <w:rsid w:val="004326C0"/>
    <w:rsid w:val="00432C90"/>
    <w:rsid w:val="00432E6A"/>
    <w:rsid w:val="0043300B"/>
    <w:rsid w:val="004331B8"/>
    <w:rsid w:val="004342FC"/>
    <w:rsid w:val="00434D8E"/>
    <w:rsid w:val="004356DF"/>
    <w:rsid w:val="00435ADF"/>
    <w:rsid w:val="00435E7D"/>
    <w:rsid w:val="00437EF6"/>
    <w:rsid w:val="0044023C"/>
    <w:rsid w:val="004405BF"/>
    <w:rsid w:val="00440DC0"/>
    <w:rsid w:val="00441334"/>
    <w:rsid w:val="0044143C"/>
    <w:rsid w:val="00441EC6"/>
    <w:rsid w:val="00442090"/>
    <w:rsid w:val="004440F5"/>
    <w:rsid w:val="004441B2"/>
    <w:rsid w:val="0044450A"/>
    <w:rsid w:val="0044470B"/>
    <w:rsid w:val="004447D0"/>
    <w:rsid w:val="0044495C"/>
    <w:rsid w:val="00444C74"/>
    <w:rsid w:val="004451F6"/>
    <w:rsid w:val="0044575F"/>
    <w:rsid w:val="00446A18"/>
    <w:rsid w:val="00446B78"/>
    <w:rsid w:val="00446D9A"/>
    <w:rsid w:val="0044739F"/>
    <w:rsid w:val="00447561"/>
    <w:rsid w:val="00450635"/>
    <w:rsid w:val="00450B26"/>
    <w:rsid w:val="00450CA2"/>
    <w:rsid w:val="00450E29"/>
    <w:rsid w:val="00451916"/>
    <w:rsid w:val="00451D6B"/>
    <w:rsid w:val="00452760"/>
    <w:rsid w:val="00452A65"/>
    <w:rsid w:val="0045305A"/>
    <w:rsid w:val="00453AD1"/>
    <w:rsid w:val="00454B16"/>
    <w:rsid w:val="00455599"/>
    <w:rsid w:val="00455823"/>
    <w:rsid w:val="00457B17"/>
    <w:rsid w:val="004618B8"/>
    <w:rsid w:val="00461C64"/>
    <w:rsid w:val="0046211B"/>
    <w:rsid w:val="00462B35"/>
    <w:rsid w:val="00462D59"/>
    <w:rsid w:val="00463F24"/>
    <w:rsid w:val="004654D4"/>
    <w:rsid w:val="00465F7E"/>
    <w:rsid w:val="004663D0"/>
    <w:rsid w:val="004669CC"/>
    <w:rsid w:val="004671F1"/>
    <w:rsid w:val="00467E8A"/>
    <w:rsid w:val="004716D7"/>
    <w:rsid w:val="004717AC"/>
    <w:rsid w:val="00472114"/>
    <w:rsid w:val="004726E8"/>
    <w:rsid w:val="00472C7A"/>
    <w:rsid w:val="0047300D"/>
    <w:rsid w:val="00473738"/>
    <w:rsid w:val="0047381A"/>
    <w:rsid w:val="00473B6F"/>
    <w:rsid w:val="004744D4"/>
    <w:rsid w:val="004747FE"/>
    <w:rsid w:val="0047518B"/>
    <w:rsid w:val="00475AB0"/>
    <w:rsid w:val="00475EC2"/>
    <w:rsid w:val="00475F55"/>
    <w:rsid w:val="00477120"/>
    <w:rsid w:val="004772BD"/>
    <w:rsid w:val="00477ABC"/>
    <w:rsid w:val="00477B7D"/>
    <w:rsid w:val="00477B92"/>
    <w:rsid w:val="004809A5"/>
    <w:rsid w:val="00480DEC"/>
    <w:rsid w:val="0048229B"/>
    <w:rsid w:val="00482AA8"/>
    <w:rsid w:val="0048304B"/>
    <w:rsid w:val="0048381A"/>
    <w:rsid w:val="0048387E"/>
    <w:rsid w:val="00484830"/>
    <w:rsid w:val="004849DB"/>
    <w:rsid w:val="00485B11"/>
    <w:rsid w:val="0048626D"/>
    <w:rsid w:val="004866F3"/>
    <w:rsid w:val="004877C4"/>
    <w:rsid w:val="00487B04"/>
    <w:rsid w:val="00490620"/>
    <w:rsid w:val="004906AD"/>
    <w:rsid w:val="00490BCE"/>
    <w:rsid w:val="00491299"/>
    <w:rsid w:val="00491944"/>
    <w:rsid w:val="00491F23"/>
    <w:rsid w:val="00492552"/>
    <w:rsid w:val="00493F0F"/>
    <w:rsid w:val="004941B5"/>
    <w:rsid w:val="00494229"/>
    <w:rsid w:val="004944C4"/>
    <w:rsid w:val="004949BC"/>
    <w:rsid w:val="00494E9A"/>
    <w:rsid w:val="00495195"/>
    <w:rsid w:val="00495537"/>
    <w:rsid w:val="00495819"/>
    <w:rsid w:val="00496645"/>
    <w:rsid w:val="004967DC"/>
    <w:rsid w:val="00496CC3"/>
    <w:rsid w:val="00497504"/>
    <w:rsid w:val="00497B6B"/>
    <w:rsid w:val="004A10E6"/>
    <w:rsid w:val="004A1792"/>
    <w:rsid w:val="004A259C"/>
    <w:rsid w:val="004A3320"/>
    <w:rsid w:val="004A3F0D"/>
    <w:rsid w:val="004A4599"/>
    <w:rsid w:val="004A4D7E"/>
    <w:rsid w:val="004A54F2"/>
    <w:rsid w:val="004A6324"/>
    <w:rsid w:val="004A6441"/>
    <w:rsid w:val="004A6471"/>
    <w:rsid w:val="004A700A"/>
    <w:rsid w:val="004A700F"/>
    <w:rsid w:val="004A7198"/>
    <w:rsid w:val="004A764D"/>
    <w:rsid w:val="004A7DC3"/>
    <w:rsid w:val="004A7E13"/>
    <w:rsid w:val="004B0768"/>
    <w:rsid w:val="004B0F14"/>
    <w:rsid w:val="004B198D"/>
    <w:rsid w:val="004B2706"/>
    <w:rsid w:val="004B45A8"/>
    <w:rsid w:val="004B46C4"/>
    <w:rsid w:val="004B4877"/>
    <w:rsid w:val="004B4939"/>
    <w:rsid w:val="004B4A86"/>
    <w:rsid w:val="004B4D4C"/>
    <w:rsid w:val="004B5191"/>
    <w:rsid w:val="004B5AA0"/>
    <w:rsid w:val="004B6035"/>
    <w:rsid w:val="004B6045"/>
    <w:rsid w:val="004B61E0"/>
    <w:rsid w:val="004B61F7"/>
    <w:rsid w:val="004B6457"/>
    <w:rsid w:val="004B6743"/>
    <w:rsid w:val="004B6BEB"/>
    <w:rsid w:val="004B7029"/>
    <w:rsid w:val="004B70F4"/>
    <w:rsid w:val="004C0D8C"/>
    <w:rsid w:val="004C1732"/>
    <w:rsid w:val="004C17D9"/>
    <w:rsid w:val="004C1CA1"/>
    <w:rsid w:val="004C224A"/>
    <w:rsid w:val="004C23B2"/>
    <w:rsid w:val="004C38DB"/>
    <w:rsid w:val="004C3FE0"/>
    <w:rsid w:val="004C46DA"/>
    <w:rsid w:val="004C4965"/>
    <w:rsid w:val="004C4C03"/>
    <w:rsid w:val="004C5380"/>
    <w:rsid w:val="004C54D1"/>
    <w:rsid w:val="004C584A"/>
    <w:rsid w:val="004C5DB6"/>
    <w:rsid w:val="004C60E4"/>
    <w:rsid w:val="004C6663"/>
    <w:rsid w:val="004C6ABC"/>
    <w:rsid w:val="004C7B79"/>
    <w:rsid w:val="004C7FE3"/>
    <w:rsid w:val="004D109B"/>
    <w:rsid w:val="004D1108"/>
    <w:rsid w:val="004D1A85"/>
    <w:rsid w:val="004D244D"/>
    <w:rsid w:val="004D24A0"/>
    <w:rsid w:val="004D269D"/>
    <w:rsid w:val="004D2F5D"/>
    <w:rsid w:val="004D3354"/>
    <w:rsid w:val="004D3444"/>
    <w:rsid w:val="004D403A"/>
    <w:rsid w:val="004D4606"/>
    <w:rsid w:val="004D4E28"/>
    <w:rsid w:val="004D4E87"/>
    <w:rsid w:val="004D523D"/>
    <w:rsid w:val="004D581D"/>
    <w:rsid w:val="004D5F88"/>
    <w:rsid w:val="004D6358"/>
    <w:rsid w:val="004D6AD8"/>
    <w:rsid w:val="004D7085"/>
    <w:rsid w:val="004E00AD"/>
    <w:rsid w:val="004E055F"/>
    <w:rsid w:val="004E0D2F"/>
    <w:rsid w:val="004E17C3"/>
    <w:rsid w:val="004E1B87"/>
    <w:rsid w:val="004E1FD9"/>
    <w:rsid w:val="004E23C3"/>
    <w:rsid w:val="004E2A76"/>
    <w:rsid w:val="004E34B5"/>
    <w:rsid w:val="004E4297"/>
    <w:rsid w:val="004E50AD"/>
    <w:rsid w:val="004E5510"/>
    <w:rsid w:val="004E5797"/>
    <w:rsid w:val="004E5C93"/>
    <w:rsid w:val="004E5F8B"/>
    <w:rsid w:val="004E6412"/>
    <w:rsid w:val="004E794F"/>
    <w:rsid w:val="004E7C72"/>
    <w:rsid w:val="004F10E9"/>
    <w:rsid w:val="004F16F8"/>
    <w:rsid w:val="004F1A45"/>
    <w:rsid w:val="004F272C"/>
    <w:rsid w:val="004F29E9"/>
    <w:rsid w:val="004F29FB"/>
    <w:rsid w:val="004F2C3E"/>
    <w:rsid w:val="004F38C9"/>
    <w:rsid w:val="004F3B84"/>
    <w:rsid w:val="004F3DE4"/>
    <w:rsid w:val="004F3FB4"/>
    <w:rsid w:val="004F42B6"/>
    <w:rsid w:val="004F4C53"/>
    <w:rsid w:val="004F507C"/>
    <w:rsid w:val="004F5D35"/>
    <w:rsid w:val="004F6B77"/>
    <w:rsid w:val="004F6C0E"/>
    <w:rsid w:val="004F7165"/>
    <w:rsid w:val="004F76F9"/>
    <w:rsid w:val="00500567"/>
    <w:rsid w:val="0050098F"/>
    <w:rsid w:val="00500C9D"/>
    <w:rsid w:val="00500D0E"/>
    <w:rsid w:val="00501201"/>
    <w:rsid w:val="0050148D"/>
    <w:rsid w:val="00501769"/>
    <w:rsid w:val="0050179C"/>
    <w:rsid w:val="00501919"/>
    <w:rsid w:val="0050192A"/>
    <w:rsid w:val="00501F62"/>
    <w:rsid w:val="005024AF"/>
    <w:rsid w:val="00502819"/>
    <w:rsid w:val="005033F4"/>
    <w:rsid w:val="00503844"/>
    <w:rsid w:val="005038CC"/>
    <w:rsid w:val="00504691"/>
    <w:rsid w:val="00504A11"/>
    <w:rsid w:val="005050C3"/>
    <w:rsid w:val="005051A8"/>
    <w:rsid w:val="00505925"/>
    <w:rsid w:val="00506019"/>
    <w:rsid w:val="005062F5"/>
    <w:rsid w:val="00506CA9"/>
    <w:rsid w:val="0050720B"/>
    <w:rsid w:val="0050771A"/>
    <w:rsid w:val="005078B4"/>
    <w:rsid w:val="00507AC7"/>
    <w:rsid w:val="00507DA2"/>
    <w:rsid w:val="005101A7"/>
    <w:rsid w:val="005106AC"/>
    <w:rsid w:val="00510775"/>
    <w:rsid w:val="005109C9"/>
    <w:rsid w:val="005115A4"/>
    <w:rsid w:val="005117A1"/>
    <w:rsid w:val="00511A71"/>
    <w:rsid w:val="005123A1"/>
    <w:rsid w:val="00512BA1"/>
    <w:rsid w:val="00513BE2"/>
    <w:rsid w:val="00513DBD"/>
    <w:rsid w:val="00514D28"/>
    <w:rsid w:val="00514EEA"/>
    <w:rsid w:val="00515180"/>
    <w:rsid w:val="00515279"/>
    <w:rsid w:val="00515E2F"/>
    <w:rsid w:val="005165F2"/>
    <w:rsid w:val="00516E76"/>
    <w:rsid w:val="00517E36"/>
    <w:rsid w:val="00520281"/>
    <w:rsid w:val="00520AC3"/>
    <w:rsid w:val="00521D9D"/>
    <w:rsid w:val="00521E5D"/>
    <w:rsid w:val="005222BC"/>
    <w:rsid w:val="0052311B"/>
    <w:rsid w:val="005235C8"/>
    <w:rsid w:val="00523D4C"/>
    <w:rsid w:val="00524D10"/>
    <w:rsid w:val="005258CA"/>
    <w:rsid w:val="00525D0E"/>
    <w:rsid w:val="00526170"/>
    <w:rsid w:val="00526279"/>
    <w:rsid w:val="005265F9"/>
    <w:rsid w:val="00526960"/>
    <w:rsid w:val="00526D49"/>
    <w:rsid w:val="00527930"/>
    <w:rsid w:val="00527E3C"/>
    <w:rsid w:val="005301D4"/>
    <w:rsid w:val="005308FE"/>
    <w:rsid w:val="0053152B"/>
    <w:rsid w:val="00531C45"/>
    <w:rsid w:val="00532CE3"/>
    <w:rsid w:val="00533C20"/>
    <w:rsid w:val="00534057"/>
    <w:rsid w:val="005346EF"/>
    <w:rsid w:val="00535A9C"/>
    <w:rsid w:val="00537DFA"/>
    <w:rsid w:val="005403BE"/>
    <w:rsid w:val="005405D1"/>
    <w:rsid w:val="00540B23"/>
    <w:rsid w:val="00540CC8"/>
    <w:rsid w:val="00540D57"/>
    <w:rsid w:val="00540DE2"/>
    <w:rsid w:val="005418BC"/>
    <w:rsid w:val="00542414"/>
    <w:rsid w:val="005432D7"/>
    <w:rsid w:val="00543636"/>
    <w:rsid w:val="0054422D"/>
    <w:rsid w:val="00544C2A"/>
    <w:rsid w:val="005453F5"/>
    <w:rsid w:val="005454EE"/>
    <w:rsid w:val="0054594F"/>
    <w:rsid w:val="005465B6"/>
    <w:rsid w:val="00546A46"/>
    <w:rsid w:val="00546E35"/>
    <w:rsid w:val="005470FA"/>
    <w:rsid w:val="0054754A"/>
    <w:rsid w:val="00547698"/>
    <w:rsid w:val="005477F2"/>
    <w:rsid w:val="005479E7"/>
    <w:rsid w:val="00547AC7"/>
    <w:rsid w:val="005502DE"/>
    <w:rsid w:val="005516B0"/>
    <w:rsid w:val="00551BEA"/>
    <w:rsid w:val="00551E73"/>
    <w:rsid w:val="00552527"/>
    <w:rsid w:val="00552FCE"/>
    <w:rsid w:val="00553955"/>
    <w:rsid w:val="005546D9"/>
    <w:rsid w:val="00554B6B"/>
    <w:rsid w:val="00554B8D"/>
    <w:rsid w:val="0055501A"/>
    <w:rsid w:val="00555B45"/>
    <w:rsid w:val="00555F84"/>
    <w:rsid w:val="00556098"/>
    <w:rsid w:val="005561C3"/>
    <w:rsid w:val="005573F5"/>
    <w:rsid w:val="005574C9"/>
    <w:rsid w:val="00557EE5"/>
    <w:rsid w:val="0056066C"/>
    <w:rsid w:val="00560F50"/>
    <w:rsid w:val="00561779"/>
    <w:rsid w:val="005619BC"/>
    <w:rsid w:val="005619FF"/>
    <w:rsid w:val="00561FBA"/>
    <w:rsid w:val="00563A6F"/>
    <w:rsid w:val="00563BC6"/>
    <w:rsid w:val="00563CA8"/>
    <w:rsid w:val="0056425E"/>
    <w:rsid w:val="005647D4"/>
    <w:rsid w:val="00564C71"/>
    <w:rsid w:val="00565AEB"/>
    <w:rsid w:val="005668EE"/>
    <w:rsid w:val="00566E63"/>
    <w:rsid w:val="00566F20"/>
    <w:rsid w:val="00567492"/>
    <w:rsid w:val="00567CD3"/>
    <w:rsid w:val="005706D2"/>
    <w:rsid w:val="00570A22"/>
    <w:rsid w:val="00570AB9"/>
    <w:rsid w:val="00570ED6"/>
    <w:rsid w:val="00570EF2"/>
    <w:rsid w:val="005715BC"/>
    <w:rsid w:val="00571675"/>
    <w:rsid w:val="00572005"/>
    <w:rsid w:val="00572245"/>
    <w:rsid w:val="0057314A"/>
    <w:rsid w:val="00573569"/>
    <w:rsid w:val="00573D3E"/>
    <w:rsid w:val="00573EF5"/>
    <w:rsid w:val="00574718"/>
    <w:rsid w:val="0057480A"/>
    <w:rsid w:val="00574B3C"/>
    <w:rsid w:val="00575054"/>
    <w:rsid w:val="005752F2"/>
    <w:rsid w:val="005759FD"/>
    <w:rsid w:val="00575A70"/>
    <w:rsid w:val="00575AF9"/>
    <w:rsid w:val="00576332"/>
    <w:rsid w:val="00576B70"/>
    <w:rsid w:val="00580BEF"/>
    <w:rsid w:val="0058166D"/>
    <w:rsid w:val="00582B00"/>
    <w:rsid w:val="00582B1A"/>
    <w:rsid w:val="005831F9"/>
    <w:rsid w:val="00583429"/>
    <w:rsid w:val="00583C4C"/>
    <w:rsid w:val="0058412D"/>
    <w:rsid w:val="0058454D"/>
    <w:rsid w:val="00584869"/>
    <w:rsid w:val="00585280"/>
    <w:rsid w:val="00585922"/>
    <w:rsid w:val="005859C4"/>
    <w:rsid w:val="0058668D"/>
    <w:rsid w:val="005874FA"/>
    <w:rsid w:val="00587532"/>
    <w:rsid w:val="00587DFB"/>
    <w:rsid w:val="005900B7"/>
    <w:rsid w:val="0059014F"/>
    <w:rsid w:val="005902F6"/>
    <w:rsid w:val="0059068D"/>
    <w:rsid w:val="00590911"/>
    <w:rsid w:val="005911DC"/>
    <w:rsid w:val="00591677"/>
    <w:rsid w:val="00591CB9"/>
    <w:rsid w:val="00591D1B"/>
    <w:rsid w:val="00592926"/>
    <w:rsid w:val="00592BD7"/>
    <w:rsid w:val="00592C12"/>
    <w:rsid w:val="00592C25"/>
    <w:rsid w:val="00593B96"/>
    <w:rsid w:val="00594B80"/>
    <w:rsid w:val="005952D8"/>
    <w:rsid w:val="005952EB"/>
    <w:rsid w:val="00595863"/>
    <w:rsid w:val="00597777"/>
    <w:rsid w:val="00597885"/>
    <w:rsid w:val="00597919"/>
    <w:rsid w:val="0059795F"/>
    <w:rsid w:val="005A058C"/>
    <w:rsid w:val="005A0CDA"/>
    <w:rsid w:val="005A114D"/>
    <w:rsid w:val="005A16CC"/>
    <w:rsid w:val="005A1756"/>
    <w:rsid w:val="005A2F3E"/>
    <w:rsid w:val="005A3EDC"/>
    <w:rsid w:val="005A42CF"/>
    <w:rsid w:val="005A527C"/>
    <w:rsid w:val="005A53CB"/>
    <w:rsid w:val="005A5EB1"/>
    <w:rsid w:val="005A6F04"/>
    <w:rsid w:val="005A7346"/>
    <w:rsid w:val="005B053C"/>
    <w:rsid w:val="005B0DE2"/>
    <w:rsid w:val="005B123D"/>
    <w:rsid w:val="005B1AE4"/>
    <w:rsid w:val="005B1D2C"/>
    <w:rsid w:val="005B280E"/>
    <w:rsid w:val="005B2EEC"/>
    <w:rsid w:val="005B343A"/>
    <w:rsid w:val="005B3A0A"/>
    <w:rsid w:val="005B4B46"/>
    <w:rsid w:val="005B4CEC"/>
    <w:rsid w:val="005B518D"/>
    <w:rsid w:val="005B5B4C"/>
    <w:rsid w:val="005B619C"/>
    <w:rsid w:val="005B68C0"/>
    <w:rsid w:val="005B7D2C"/>
    <w:rsid w:val="005C044C"/>
    <w:rsid w:val="005C10CF"/>
    <w:rsid w:val="005C2201"/>
    <w:rsid w:val="005C2682"/>
    <w:rsid w:val="005C425C"/>
    <w:rsid w:val="005C426C"/>
    <w:rsid w:val="005C5372"/>
    <w:rsid w:val="005C53E0"/>
    <w:rsid w:val="005C6C7F"/>
    <w:rsid w:val="005C6E54"/>
    <w:rsid w:val="005C74DC"/>
    <w:rsid w:val="005C7B5B"/>
    <w:rsid w:val="005C7DF4"/>
    <w:rsid w:val="005C7EA5"/>
    <w:rsid w:val="005D0C64"/>
    <w:rsid w:val="005D0DD2"/>
    <w:rsid w:val="005D16A0"/>
    <w:rsid w:val="005D1AEA"/>
    <w:rsid w:val="005D1B12"/>
    <w:rsid w:val="005D2470"/>
    <w:rsid w:val="005D365A"/>
    <w:rsid w:val="005D3C24"/>
    <w:rsid w:val="005D3D11"/>
    <w:rsid w:val="005D422F"/>
    <w:rsid w:val="005D43B2"/>
    <w:rsid w:val="005D4682"/>
    <w:rsid w:val="005D48AC"/>
    <w:rsid w:val="005D49FB"/>
    <w:rsid w:val="005D4F66"/>
    <w:rsid w:val="005D523B"/>
    <w:rsid w:val="005D538B"/>
    <w:rsid w:val="005D5AD5"/>
    <w:rsid w:val="005D5D13"/>
    <w:rsid w:val="005D617D"/>
    <w:rsid w:val="005D6599"/>
    <w:rsid w:val="005D6E35"/>
    <w:rsid w:val="005E024D"/>
    <w:rsid w:val="005E05B9"/>
    <w:rsid w:val="005E0697"/>
    <w:rsid w:val="005E0A57"/>
    <w:rsid w:val="005E0C33"/>
    <w:rsid w:val="005E0EA3"/>
    <w:rsid w:val="005E263D"/>
    <w:rsid w:val="005E338E"/>
    <w:rsid w:val="005E3C19"/>
    <w:rsid w:val="005E4828"/>
    <w:rsid w:val="005E5384"/>
    <w:rsid w:val="005E5527"/>
    <w:rsid w:val="005E5821"/>
    <w:rsid w:val="005E59CA"/>
    <w:rsid w:val="005E5E6F"/>
    <w:rsid w:val="005E6DD0"/>
    <w:rsid w:val="005F0093"/>
    <w:rsid w:val="005F0F70"/>
    <w:rsid w:val="005F10F2"/>
    <w:rsid w:val="005F13D1"/>
    <w:rsid w:val="005F1D27"/>
    <w:rsid w:val="005F1FA5"/>
    <w:rsid w:val="005F232F"/>
    <w:rsid w:val="005F2660"/>
    <w:rsid w:val="005F2D99"/>
    <w:rsid w:val="005F369C"/>
    <w:rsid w:val="005F3A50"/>
    <w:rsid w:val="005F3B5D"/>
    <w:rsid w:val="005F3E07"/>
    <w:rsid w:val="005F42AA"/>
    <w:rsid w:val="005F56D6"/>
    <w:rsid w:val="005F5A70"/>
    <w:rsid w:val="005F60D5"/>
    <w:rsid w:val="005F6343"/>
    <w:rsid w:val="005F6626"/>
    <w:rsid w:val="005F666D"/>
    <w:rsid w:val="005F69C3"/>
    <w:rsid w:val="005F6D96"/>
    <w:rsid w:val="005F735B"/>
    <w:rsid w:val="005F7A23"/>
    <w:rsid w:val="00600754"/>
    <w:rsid w:val="0060178A"/>
    <w:rsid w:val="0060191F"/>
    <w:rsid w:val="00601990"/>
    <w:rsid w:val="00601FDE"/>
    <w:rsid w:val="006029AD"/>
    <w:rsid w:val="006033B9"/>
    <w:rsid w:val="006037BA"/>
    <w:rsid w:val="00603CC1"/>
    <w:rsid w:val="00603DD2"/>
    <w:rsid w:val="00604618"/>
    <w:rsid w:val="00604D03"/>
    <w:rsid w:val="00604F78"/>
    <w:rsid w:val="00606579"/>
    <w:rsid w:val="00606615"/>
    <w:rsid w:val="00606866"/>
    <w:rsid w:val="00607C6E"/>
    <w:rsid w:val="0061056F"/>
    <w:rsid w:val="006108AB"/>
    <w:rsid w:val="006108BB"/>
    <w:rsid w:val="006126DB"/>
    <w:rsid w:val="006128C1"/>
    <w:rsid w:val="0061414A"/>
    <w:rsid w:val="00614519"/>
    <w:rsid w:val="00614537"/>
    <w:rsid w:val="00614816"/>
    <w:rsid w:val="0061495F"/>
    <w:rsid w:val="00614F43"/>
    <w:rsid w:val="00614F5C"/>
    <w:rsid w:val="00615775"/>
    <w:rsid w:val="00616075"/>
    <w:rsid w:val="006162C1"/>
    <w:rsid w:val="00616A50"/>
    <w:rsid w:val="00616F59"/>
    <w:rsid w:val="0061776D"/>
    <w:rsid w:val="006177E6"/>
    <w:rsid w:val="00617ABB"/>
    <w:rsid w:val="00617EB2"/>
    <w:rsid w:val="00620342"/>
    <w:rsid w:val="00620476"/>
    <w:rsid w:val="006211D6"/>
    <w:rsid w:val="00622246"/>
    <w:rsid w:val="006228D8"/>
    <w:rsid w:val="00623300"/>
    <w:rsid w:val="00623F2F"/>
    <w:rsid w:val="00624532"/>
    <w:rsid w:val="00624BA7"/>
    <w:rsid w:val="00624DB0"/>
    <w:rsid w:val="00625030"/>
    <w:rsid w:val="006257E4"/>
    <w:rsid w:val="00625D57"/>
    <w:rsid w:val="006274E4"/>
    <w:rsid w:val="00627512"/>
    <w:rsid w:val="0062787D"/>
    <w:rsid w:val="00627EEA"/>
    <w:rsid w:val="00630E30"/>
    <w:rsid w:val="0063241B"/>
    <w:rsid w:val="006324D6"/>
    <w:rsid w:val="006327EB"/>
    <w:rsid w:val="0063293C"/>
    <w:rsid w:val="00632A8E"/>
    <w:rsid w:val="00633438"/>
    <w:rsid w:val="00634B8E"/>
    <w:rsid w:val="00634CBB"/>
    <w:rsid w:val="00635115"/>
    <w:rsid w:val="006351D2"/>
    <w:rsid w:val="00636F71"/>
    <w:rsid w:val="00637468"/>
    <w:rsid w:val="006375C0"/>
    <w:rsid w:val="00637D1F"/>
    <w:rsid w:val="0064090F"/>
    <w:rsid w:val="00640BE1"/>
    <w:rsid w:val="00640CB7"/>
    <w:rsid w:val="00641999"/>
    <w:rsid w:val="00641A2A"/>
    <w:rsid w:val="006420D5"/>
    <w:rsid w:val="006422EF"/>
    <w:rsid w:val="00642D1F"/>
    <w:rsid w:val="0064341A"/>
    <w:rsid w:val="00644268"/>
    <w:rsid w:val="00644573"/>
    <w:rsid w:val="00644CC6"/>
    <w:rsid w:val="00645138"/>
    <w:rsid w:val="006459A6"/>
    <w:rsid w:val="006461ED"/>
    <w:rsid w:val="00646A1B"/>
    <w:rsid w:val="00646F6D"/>
    <w:rsid w:val="00647A7C"/>
    <w:rsid w:val="00647F5E"/>
    <w:rsid w:val="006504FF"/>
    <w:rsid w:val="00650C7A"/>
    <w:rsid w:val="00650CC3"/>
    <w:rsid w:val="00651019"/>
    <w:rsid w:val="00651087"/>
    <w:rsid w:val="0065189B"/>
    <w:rsid w:val="00651B34"/>
    <w:rsid w:val="006523D4"/>
    <w:rsid w:val="00653821"/>
    <w:rsid w:val="00653E68"/>
    <w:rsid w:val="00654A04"/>
    <w:rsid w:val="00654F2E"/>
    <w:rsid w:val="0065538D"/>
    <w:rsid w:val="0065551B"/>
    <w:rsid w:val="00656664"/>
    <w:rsid w:val="00656B2C"/>
    <w:rsid w:val="00656D5F"/>
    <w:rsid w:val="00657434"/>
    <w:rsid w:val="0065758D"/>
    <w:rsid w:val="0065774B"/>
    <w:rsid w:val="00657EEB"/>
    <w:rsid w:val="0066016E"/>
    <w:rsid w:val="0066018E"/>
    <w:rsid w:val="0066029D"/>
    <w:rsid w:val="00660D74"/>
    <w:rsid w:val="00660D76"/>
    <w:rsid w:val="0066126B"/>
    <w:rsid w:val="0066126F"/>
    <w:rsid w:val="0066133F"/>
    <w:rsid w:val="00662130"/>
    <w:rsid w:val="00662503"/>
    <w:rsid w:val="006632F0"/>
    <w:rsid w:val="006636F5"/>
    <w:rsid w:val="0066536D"/>
    <w:rsid w:val="00666898"/>
    <w:rsid w:val="006668BE"/>
    <w:rsid w:val="006670C9"/>
    <w:rsid w:val="006672DB"/>
    <w:rsid w:val="00667BDE"/>
    <w:rsid w:val="00670FDB"/>
    <w:rsid w:val="006711E9"/>
    <w:rsid w:val="006711FE"/>
    <w:rsid w:val="00672518"/>
    <w:rsid w:val="006732FB"/>
    <w:rsid w:val="00673497"/>
    <w:rsid w:val="006738FC"/>
    <w:rsid w:val="00673A1F"/>
    <w:rsid w:val="00673A8C"/>
    <w:rsid w:val="00674941"/>
    <w:rsid w:val="00674BCF"/>
    <w:rsid w:val="00675025"/>
    <w:rsid w:val="006755B5"/>
    <w:rsid w:val="00675CF7"/>
    <w:rsid w:val="006765D6"/>
    <w:rsid w:val="006768BC"/>
    <w:rsid w:val="006768E5"/>
    <w:rsid w:val="00676922"/>
    <w:rsid w:val="00676D6E"/>
    <w:rsid w:val="006771B8"/>
    <w:rsid w:val="006801F0"/>
    <w:rsid w:val="00680F79"/>
    <w:rsid w:val="00681495"/>
    <w:rsid w:val="00681C4E"/>
    <w:rsid w:val="00681F21"/>
    <w:rsid w:val="00682B9B"/>
    <w:rsid w:val="00683149"/>
    <w:rsid w:val="00683B76"/>
    <w:rsid w:val="006842F5"/>
    <w:rsid w:val="0068487C"/>
    <w:rsid w:val="00684A2F"/>
    <w:rsid w:val="00685C21"/>
    <w:rsid w:val="006862B6"/>
    <w:rsid w:val="00686A20"/>
    <w:rsid w:val="00686F38"/>
    <w:rsid w:val="00690248"/>
    <w:rsid w:val="00690CA5"/>
    <w:rsid w:val="00690E5C"/>
    <w:rsid w:val="00690EF4"/>
    <w:rsid w:val="00691FE6"/>
    <w:rsid w:val="006921DF"/>
    <w:rsid w:val="00692578"/>
    <w:rsid w:val="00692F2A"/>
    <w:rsid w:val="0069492B"/>
    <w:rsid w:val="006957B5"/>
    <w:rsid w:val="0069673A"/>
    <w:rsid w:val="0069674B"/>
    <w:rsid w:val="00696A64"/>
    <w:rsid w:val="00696C29"/>
    <w:rsid w:val="006A0BA2"/>
    <w:rsid w:val="006A17DE"/>
    <w:rsid w:val="006A2727"/>
    <w:rsid w:val="006A2BFE"/>
    <w:rsid w:val="006A2E22"/>
    <w:rsid w:val="006A306A"/>
    <w:rsid w:val="006A4304"/>
    <w:rsid w:val="006A5DDE"/>
    <w:rsid w:val="006A5DE0"/>
    <w:rsid w:val="006A61D6"/>
    <w:rsid w:val="006A6C6C"/>
    <w:rsid w:val="006A6CD8"/>
    <w:rsid w:val="006A6CF4"/>
    <w:rsid w:val="006A7036"/>
    <w:rsid w:val="006A7299"/>
    <w:rsid w:val="006A7A11"/>
    <w:rsid w:val="006A7DA7"/>
    <w:rsid w:val="006B04FD"/>
    <w:rsid w:val="006B0EF4"/>
    <w:rsid w:val="006B127F"/>
    <w:rsid w:val="006B1B27"/>
    <w:rsid w:val="006B1E2D"/>
    <w:rsid w:val="006B2181"/>
    <w:rsid w:val="006B222C"/>
    <w:rsid w:val="006B2387"/>
    <w:rsid w:val="006B2992"/>
    <w:rsid w:val="006B2AFA"/>
    <w:rsid w:val="006B31D1"/>
    <w:rsid w:val="006B3884"/>
    <w:rsid w:val="006B4199"/>
    <w:rsid w:val="006B444C"/>
    <w:rsid w:val="006B58D0"/>
    <w:rsid w:val="006B5C27"/>
    <w:rsid w:val="006B5D93"/>
    <w:rsid w:val="006B638B"/>
    <w:rsid w:val="006B7748"/>
    <w:rsid w:val="006B7D9A"/>
    <w:rsid w:val="006C00AB"/>
    <w:rsid w:val="006C042A"/>
    <w:rsid w:val="006C0769"/>
    <w:rsid w:val="006C0864"/>
    <w:rsid w:val="006C197B"/>
    <w:rsid w:val="006C2D20"/>
    <w:rsid w:val="006C38E3"/>
    <w:rsid w:val="006C38E9"/>
    <w:rsid w:val="006C3F92"/>
    <w:rsid w:val="006C410B"/>
    <w:rsid w:val="006C502B"/>
    <w:rsid w:val="006C5CEC"/>
    <w:rsid w:val="006C63C3"/>
    <w:rsid w:val="006C66FD"/>
    <w:rsid w:val="006C6D77"/>
    <w:rsid w:val="006C720E"/>
    <w:rsid w:val="006C7576"/>
    <w:rsid w:val="006C7A5D"/>
    <w:rsid w:val="006C7A70"/>
    <w:rsid w:val="006D0039"/>
    <w:rsid w:val="006D0196"/>
    <w:rsid w:val="006D2284"/>
    <w:rsid w:val="006D2291"/>
    <w:rsid w:val="006D3567"/>
    <w:rsid w:val="006D4529"/>
    <w:rsid w:val="006D6156"/>
    <w:rsid w:val="006D6831"/>
    <w:rsid w:val="006D6A68"/>
    <w:rsid w:val="006D6CC7"/>
    <w:rsid w:val="006D6DDF"/>
    <w:rsid w:val="006D7649"/>
    <w:rsid w:val="006E0A99"/>
    <w:rsid w:val="006E0D84"/>
    <w:rsid w:val="006E138E"/>
    <w:rsid w:val="006E15B2"/>
    <w:rsid w:val="006E16C1"/>
    <w:rsid w:val="006E1BF8"/>
    <w:rsid w:val="006E1F03"/>
    <w:rsid w:val="006E2772"/>
    <w:rsid w:val="006E3371"/>
    <w:rsid w:val="006E3811"/>
    <w:rsid w:val="006E3AC1"/>
    <w:rsid w:val="006E4012"/>
    <w:rsid w:val="006E4466"/>
    <w:rsid w:val="006E4558"/>
    <w:rsid w:val="006E4A21"/>
    <w:rsid w:val="006E4C2A"/>
    <w:rsid w:val="006E5260"/>
    <w:rsid w:val="006E5BFF"/>
    <w:rsid w:val="006E6F13"/>
    <w:rsid w:val="006E6F88"/>
    <w:rsid w:val="006E77DA"/>
    <w:rsid w:val="006E7BEE"/>
    <w:rsid w:val="006E7DBC"/>
    <w:rsid w:val="006F00A6"/>
    <w:rsid w:val="006F040F"/>
    <w:rsid w:val="006F1255"/>
    <w:rsid w:val="006F1C24"/>
    <w:rsid w:val="006F2CA8"/>
    <w:rsid w:val="006F2DAC"/>
    <w:rsid w:val="006F3499"/>
    <w:rsid w:val="006F4C34"/>
    <w:rsid w:val="006F4C53"/>
    <w:rsid w:val="006F4E7F"/>
    <w:rsid w:val="006F50C1"/>
    <w:rsid w:val="006F511E"/>
    <w:rsid w:val="006F5D0A"/>
    <w:rsid w:val="006F704C"/>
    <w:rsid w:val="006F720A"/>
    <w:rsid w:val="006F7DD0"/>
    <w:rsid w:val="00700893"/>
    <w:rsid w:val="00700EF7"/>
    <w:rsid w:val="00700F0F"/>
    <w:rsid w:val="00701468"/>
    <w:rsid w:val="00701B28"/>
    <w:rsid w:val="00702095"/>
    <w:rsid w:val="00702FB3"/>
    <w:rsid w:val="00703548"/>
    <w:rsid w:val="00703C1D"/>
    <w:rsid w:val="00703F41"/>
    <w:rsid w:val="0070445F"/>
    <w:rsid w:val="00704FAC"/>
    <w:rsid w:val="00706AFF"/>
    <w:rsid w:val="007075BD"/>
    <w:rsid w:val="00707B39"/>
    <w:rsid w:val="007104F0"/>
    <w:rsid w:val="007109F3"/>
    <w:rsid w:val="0071175D"/>
    <w:rsid w:val="00711992"/>
    <w:rsid w:val="0071247A"/>
    <w:rsid w:val="007125B6"/>
    <w:rsid w:val="00712661"/>
    <w:rsid w:val="00712C65"/>
    <w:rsid w:val="0071378C"/>
    <w:rsid w:val="00713853"/>
    <w:rsid w:val="00713A17"/>
    <w:rsid w:val="00713A2D"/>
    <w:rsid w:val="00713F71"/>
    <w:rsid w:val="00714077"/>
    <w:rsid w:val="007146D7"/>
    <w:rsid w:val="00714AFC"/>
    <w:rsid w:val="00714B2A"/>
    <w:rsid w:val="00714D31"/>
    <w:rsid w:val="0071577F"/>
    <w:rsid w:val="00715915"/>
    <w:rsid w:val="00716AF1"/>
    <w:rsid w:val="00716E9C"/>
    <w:rsid w:val="00716F6C"/>
    <w:rsid w:val="00717CEF"/>
    <w:rsid w:val="00720723"/>
    <w:rsid w:val="00720AC7"/>
    <w:rsid w:val="00720CF6"/>
    <w:rsid w:val="00721B05"/>
    <w:rsid w:val="00721E19"/>
    <w:rsid w:val="0072366E"/>
    <w:rsid w:val="00723E42"/>
    <w:rsid w:val="00724347"/>
    <w:rsid w:val="00724989"/>
    <w:rsid w:val="00724C6D"/>
    <w:rsid w:val="00724E43"/>
    <w:rsid w:val="00725342"/>
    <w:rsid w:val="0072587D"/>
    <w:rsid w:val="00725C69"/>
    <w:rsid w:val="00725D81"/>
    <w:rsid w:val="007265DC"/>
    <w:rsid w:val="007279D3"/>
    <w:rsid w:val="007308F7"/>
    <w:rsid w:val="00730D73"/>
    <w:rsid w:val="00730F47"/>
    <w:rsid w:val="0073133E"/>
    <w:rsid w:val="0073164E"/>
    <w:rsid w:val="0073191F"/>
    <w:rsid w:val="007321DE"/>
    <w:rsid w:val="00732947"/>
    <w:rsid w:val="00732D7D"/>
    <w:rsid w:val="0073308F"/>
    <w:rsid w:val="00733213"/>
    <w:rsid w:val="00733833"/>
    <w:rsid w:val="007343AA"/>
    <w:rsid w:val="007345B0"/>
    <w:rsid w:val="007346F2"/>
    <w:rsid w:val="00734B23"/>
    <w:rsid w:val="007350E1"/>
    <w:rsid w:val="007355E3"/>
    <w:rsid w:val="0073580F"/>
    <w:rsid w:val="007358FC"/>
    <w:rsid w:val="007367FF"/>
    <w:rsid w:val="00736C62"/>
    <w:rsid w:val="00736DBE"/>
    <w:rsid w:val="00737BCE"/>
    <w:rsid w:val="007401C1"/>
    <w:rsid w:val="007401FA"/>
    <w:rsid w:val="00740593"/>
    <w:rsid w:val="007406CA"/>
    <w:rsid w:val="007407DD"/>
    <w:rsid w:val="0074310E"/>
    <w:rsid w:val="007438BA"/>
    <w:rsid w:val="007442ED"/>
    <w:rsid w:val="0074443E"/>
    <w:rsid w:val="00744B0A"/>
    <w:rsid w:val="00744C89"/>
    <w:rsid w:val="00745511"/>
    <w:rsid w:val="007458BE"/>
    <w:rsid w:val="00745BDC"/>
    <w:rsid w:val="0074647E"/>
    <w:rsid w:val="00746583"/>
    <w:rsid w:val="0074696C"/>
    <w:rsid w:val="00747015"/>
    <w:rsid w:val="007476E2"/>
    <w:rsid w:val="00747D7B"/>
    <w:rsid w:val="00747F1D"/>
    <w:rsid w:val="00747F69"/>
    <w:rsid w:val="00751091"/>
    <w:rsid w:val="007510B0"/>
    <w:rsid w:val="007516A4"/>
    <w:rsid w:val="0075206B"/>
    <w:rsid w:val="007529EE"/>
    <w:rsid w:val="00752BDB"/>
    <w:rsid w:val="00753500"/>
    <w:rsid w:val="00754696"/>
    <w:rsid w:val="007551A4"/>
    <w:rsid w:val="007555E5"/>
    <w:rsid w:val="0075573E"/>
    <w:rsid w:val="0075649D"/>
    <w:rsid w:val="007566B0"/>
    <w:rsid w:val="00756B00"/>
    <w:rsid w:val="00757964"/>
    <w:rsid w:val="00760B58"/>
    <w:rsid w:val="0076133C"/>
    <w:rsid w:val="00761513"/>
    <w:rsid w:val="0076295F"/>
    <w:rsid w:val="00762F8F"/>
    <w:rsid w:val="00763653"/>
    <w:rsid w:val="007637E6"/>
    <w:rsid w:val="007639FF"/>
    <w:rsid w:val="00763F83"/>
    <w:rsid w:val="007645BA"/>
    <w:rsid w:val="00764A0D"/>
    <w:rsid w:val="00765651"/>
    <w:rsid w:val="00765912"/>
    <w:rsid w:val="00765B27"/>
    <w:rsid w:val="0076641F"/>
    <w:rsid w:val="00766EF6"/>
    <w:rsid w:val="00767575"/>
    <w:rsid w:val="007707DB"/>
    <w:rsid w:val="007708B1"/>
    <w:rsid w:val="007710E1"/>
    <w:rsid w:val="00771B66"/>
    <w:rsid w:val="00771C81"/>
    <w:rsid w:val="00773FCB"/>
    <w:rsid w:val="007740DE"/>
    <w:rsid w:val="00774549"/>
    <w:rsid w:val="00774D8D"/>
    <w:rsid w:val="0077587A"/>
    <w:rsid w:val="00775FF6"/>
    <w:rsid w:val="00776077"/>
    <w:rsid w:val="00776275"/>
    <w:rsid w:val="00776813"/>
    <w:rsid w:val="007771C8"/>
    <w:rsid w:val="0078036E"/>
    <w:rsid w:val="00781731"/>
    <w:rsid w:val="00782026"/>
    <w:rsid w:val="007836BD"/>
    <w:rsid w:val="00784FFE"/>
    <w:rsid w:val="0078523C"/>
    <w:rsid w:val="00785F28"/>
    <w:rsid w:val="0078688B"/>
    <w:rsid w:val="00787085"/>
    <w:rsid w:val="007873E8"/>
    <w:rsid w:val="00787B4D"/>
    <w:rsid w:val="00790397"/>
    <w:rsid w:val="0079043D"/>
    <w:rsid w:val="0079052F"/>
    <w:rsid w:val="0079056D"/>
    <w:rsid w:val="00791724"/>
    <w:rsid w:val="00791B30"/>
    <w:rsid w:val="00791CB4"/>
    <w:rsid w:val="007928DB"/>
    <w:rsid w:val="00792958"/>
    <w:rsid w:val="00793030"/>
    <w:rsid w:val="00793C08"/>
    <w:rsid w:val="00793E53"/>
    <w:rsid w:val="00794765"/>
    <w:rsid w:val="00794920"/>
    <w:rsid w:val="00794A44"/>
    <w:rsid w:val="00794D90"/>
    <w:rsid w:val="00795CD0"/>
    <w:rsid w:val="007970AF"/>
    <w:rsid w:val="0079768E"/>
    <w:rsid w:val="007A0285"/>
    <w:rsid w:val="007A0734"/>
    <w:rsid w:val="007A1114"/>
    <w:rsid w:val="007A1564"/>
    <w:rsid w:val="007A1C47"/>
    <w:rsid w:val="007A2278"/>
    <w:rsid w:val="007A249E"/>
    <w:rsid w:val="007A26FC"/>
    <w:rsid w:val="007A2879"/>
    <w:rsid w:val="007A28AE"/>
    <w:rsid w:val="007A2EA8"/>
    <w:rsid w:val="007A3410"/>
    <w:rsid w:val="007A5AD4"/>
    <w:rsid w:val="007A5B86"/>
    <w:rsid w:val="007A5DA5"/>
    <w:rsid w:val="007A6809"/>
    <w:rsid w:val="007A6C90"/>
    <w:rsid w:val="007A6D44"/>
    <w:rsid w:val="007A6D46"/>
    <w:rsid w:val="007A7E32"/>
    <w:rsid w:val="007B0465"/>
    <w:rsid w:val="007B0B11"/>
    <w:rsid w:val="007B0DDA"/>
    <w:rsid w:val="007B1695"/>
    <w:rsid w:val="007B1B01"/>
    <w:rsid w:val="007B1BB8"/>
    <w:rsid w:val="007B26AB"/>
    <w:rsid w:val="007B2EDA"/>
    <w:rsid w:val="007B395E"/>
    <w:rsid w:val="007B3D25"/>
    <w:rsid w:val="007B4073"/>
    <w:rsid w:val="007B515F"/>
    <w:rsid w:val="007B56ED"/>
    <w:rsid w:val="007B5E5E"/>
    <w:rsid w:val="007B641F"/>
    <w:rsid w:val="007B643B"/>
    <w:rsid w:val="007B68FC"/>
    <w:rsid w:val="007B6B56"/>
    <w:rsid w:val="007B7AD9"/>
    <w:rsid w:val="007B7B1C"/>
    <w:rsid w:val="007C0967"/>
    <w:rsid w:val="007C0E3F"/>
    <w:rsid w:val="007C1067"/>
    <w:rsid w:val="007C18CF"/>
    <w:rsid w:val="007C1B53"/>
    <w:rsid w:val="007C2B59"/>
    <w:rsid w:val="007C3D23"/>
    <w:rsid w:val="007C41D6"/>
    <w:rsid w:val="007C519E"/>
    <w:rsid w:val="007C58E1"/>
    <w:rsid w:val="007C5D36"/>
    <w:rsid w:val="007C624C"/>
    <w:rsid w:val="007C644F"/>
    <w:rsid w:val="007C7FAA"/>
    <w:rsid w:val="007D003E"/>
    <w:rsid w:val="007D0C55"/>
    <w:rsid w:val="007D230F"/>
    <w:rsid w:val="007D25F0"/>
    <w:rsid w:val="007D2F8D"/>
    <w:rsid w:val="007D32A4"/>
    <w:rsid w:val="007D4163"/>
    <w:rsid w:val="007D5163"/>
    <w:rsid w:val="007D563A"/>
    <w:rsid w:val="007D5A96"/>
    <w:rsid w:val="007D5B08"/>
    <w:rsid w:val="007D6305"/>
    <w:rsid w:val="007D647C"/>
    <w:rsid w:val="007D71B3"/>
    <w:rsid w:val="007D75DA"/>
    <w:rsid w:val="007E00F7"/>
    <w:rsid w:val="007E04C2"/>
    <w:rsid w:val="007E1719"/>
    <w:rsid w:val="007E2476"/>
    <w:rsid w:val="007E4CDF"/>
    <w:rsid w:val="007E59F9"/>
    <w:rsid w:val="007E6135"/>
    <w:rsid w:val="007E68E5"/>
    <w:rsid w:val="007E6AD2"/>
    <w:rsid w:val="007E6B7E"/>
    <w:rsid w:val="007E7574"/>
    <w:rsid w:val="007F0D9E"/>
    <w:rsid w:val="007F12B6"/>
    <w:rsid w:val="007F13A4"/>
    <w:rsid w:val="007F196E"/>
    <w:rsid w:val="007F1DF6"/>
    <w:rsid w:val="007F285D"/>
    <w:rsid w:val="007F3316"/>
    <w:rsid w:val="007F33DE"/>
    <w:rsid w:val="007F3FE9"/>
    <w:rsid w:val="007F42E5"/>
    <w:rsid w:val="007F47A5"/>
    <w:rsid w:val="007F4C1B"/>
    <w:rsid w:val="007F4F37"/>
    <w:rsid w:val="007F52AA"/>
    <w:rsid w:val="007F5E50"/>
    <w:rsid w:val="007F60A8"/>
    <w:rsid w:val="007F75FB"/>
    <w:rsid w:val="007F7BA3"/>
    <w:rsid w:val="007F7C4A"/>
    <w:rsid w:val="00800513"/>
    <w:rsid w:val="00801436"/>
    <w:rsid w:val="00801915"/>
    <w:rsid w:val="00801D84"/>
    <w:rsid w:val="00801EFD"/>
    <w:rsid w:val="008021DA"/>
    <w:rsid w:val="0080346D"/>
    <w:rsid w:val="00803BFE"/>
    <w:rsid w:val="008046CA"/>
    <w:rsid w:val="00805182"/>
    <w:rsid w:val="008054BB"/>
    <w:rsid w:val="008058E9"/>
    <w:rsid w:val="00806A64"/>
    <w:rsid w:val="0080730E"/>
    <w:rsid w:val="00807614"/>
    <w:rsid w:val="008077E4"/>
    <w:rsid w:val="008077F0"/>
    <w:rsid w:val="00807872"/>
    <w:rsid w:val="00810198"/>
    <w:rsid w:val="008104B0"/>
    <w:rsid w:val="00810A50"/>
    <w:rsid w:val="00811589"/>
    <w:rsid w:val="00811D8C"/>
    <w:rsid w:val="00812647"/>
    <w:rsid w:val="00812A1C"/>
    <w:rsid w:val="00814800"/>
    <w:rsid w:val="00814D02"/>
    <w:rsid w:val="0081534C"/>
    <w:rsid w:val="00815463"/>
    <w:rsid w:val="00815D31"/>
    <w:rsid w:val="00816626"/>
    <w:rsid w:val="0081698B"/>
    <w:rsid w:val="00816A4C"/>
    <w:rsid w:val="00817995"/>
    <w:rsid w:val="00820640"/>
    <w:rsid w:val="00820DB6"/>
    <w:rsid w:val="00821E30"/>
    <w:rsid w:val="00821E92"/>
    <w:rsid w:val="008222BB"/>
    <w:rsid w:val="008224D5"/>
    <w:rsid w:val="008233F8"/>
    <w:rsid w:val="008234A0"/>
    <w:rsid w:val="00823D39"/>
    <w:rsid w:val="00823EF6"/>
    <w:rsid w:val="00824563"/>
    <w:rsid w:val="00824882"/>
    <w:rsid w:val="00824A10"/>
    <w:rsid w:val="0082503E"/>
    <w:rsid w:val="00825755"/>
    <w:rsid w:val="00825A4A"/>
    <w:rsid w:val="00825C83"/>
    <w:rsid w:val="008264FE"/>
    <w:rsid w:val="00826F89"/>
    <w:rsid w:val="008274C1"/>
    <w:rsid w:val="00827535"/>
    <w:rsid w:val="00827BEB"/>
    <w:rsid w:val="00830246"/>
    <w:rsid w:val="00831459"/>
    <w:rsid w:val="0083146A"/>
    <w:rsid w:val="008316F9"/>
    <w:rsid w:val="00831B2A"/>
    <w:rsid w:val="008330FC"/>
    <w:rsid w:val="00833518"/>
    <w:rsid w:val="00833579"/>
    <w:rsid w:val="00833CA3"/>
    <w:rsid w:val="00833D83"/>
    <w:rsid w:val="00833F42"/>
    <w:rsid w:val="0083410A"/>
    <w:rsid w:val="008341EB"/>
    <w:rsid w:val="008346C1"/>
    <w:rsid w:val="00834CA4"/>
    <w:rsid w:val="008352E4"/>
    <w:rsid w:val="00835D5F"/>
    <w:rsid w:val="008368E1"/>
    <w:rsid w:val="00836B22"/>
    <w:rsid w:val="00836B73"/>
    <w:rsid w:val="008370C2"/>
    <w:rsid w:val="00837647"/>
    <w:rsid w:val="00837B42"/>
    <w:rsid w:val="008401D8"/>
    <w:rsid w:val="008407BD"/>
    <w:rsid w:val="00840B31"/>
    <w:rsid w:val="0084110B"/>
    <w:rsid w:val="008412A1"/>
    <w:rsid w:val="00842CF0"/>
    <w:rsid w:val="008431AE"/>
    <w:rsid w:val="00843502"/>
    <w:rsid w:val="00843B8A"/>
    <w:rsid w:val="0084492F"/>
    <w:rsid w:val="00844E7E"/>
    <w:rsid w:val="00844F1D"/>
    <w:rsid w:val="00845A14"/>
    <w:rsid w:val="00845E04"/>
    <w:rsid w:val="008464BD"/>
    <w:rsid w:val="00846CDC"/>
    <w:rsid w:val="00846EAA"/>
    <w:rsid w:val="00847710"/>
    <w:rsid w:val="00847AAB"/>
    <w:rsid w:val="0085183C"/>
    <w:rsid w:val="0085197F"/>
    <w:rsid w:val="008525CB"/>
    <w:rsid w:val="0085284E"/>
    <w:rsid w:val="00853B11"/>
    <w:rsid w:val="00854BBE"/>
    <w:rsid w:val="00854C24"/>
    <w:rsid w:val="00855035"/>
    <w:rsid w:val="008555FF"/>
    <w:rsid w:val="008558DB"/>
    <w:rsid w:val="00855F6B"/>
    <w:rsid w:val="008561EB"/>
    <w:rsid w:val="00856432"/>
    <w:rsid w:val="008565E1"/>
    <w:rsid w:val="00856950"/>
    <w:rsid w:val="00856BD6"/>
    <w:rsid w:val="008571AD"/>
    <w:rsid w:val="00857C40"/>
    <w:rsid w:val="00857C68"/>
    <w:rsid w:val="00857F26"/>
    <w:rsid w:val="0086026C"/>
    <w:rsid w:val="00861893"/>
    <w:rsid w:val="008627D3"/>
    <w:rsid w:val="008627DD"/>
    <w:rsid w:val="00862953"/>
    <w:rsid w:val="00863B0D"/>
    <w:rsid w:val="00863C80"/>
    <w:rsid w:val="00863F64"/>
    <w:rsid w:val="00864173"/>
    <w:rsid w:val="00864259"/>
    <w:rsid w:val="0086427D"/>
    <w:rsid w:val="00864731"/>
    <w:rsid w:val="0086559C"/>
    <w:rsid w:val="00865EF9"/>
    <w:rsid w:val="0086620A"/>
    <w:rsid w:val="0086732B"/>
    <w:rsid w:val="008707FD"/>
    <w:rsid w:val="00870E90"/>
    <w:rsid w:val="00870F7A"/>
    <w:rsid w:val="00871162"/>
    <w:rsid w:val="008718F3"/>
    <w:rsid w:val="00872163"/>
    <w:rsid w:val="0087223C"/>
    <w:rsid w:val="00872470"/>
    <w:rsid w:val="00872D5C"/>
    <w:rsid w:val="00873016"/>
    <w:rsid w:val="008730BA"/>
    <w:rsid w:val="008738B9"/>
    <w:rsid w:val="00873EBD"/>
    <w:rsid w:val="00873F91"/>
    <w:rsid w:val="00874F79"/>
    <w:rsid w:val="00874FA4"/>
    <w:rsid w:val="008753D5"/>
    <w:rsid w:val="008754E7"/>
    <w:rsid w:val="0087565F"/>
    <w:rsid w:val="00875A0F"/>
    <w:rsid w:val="00876276"/>
    <w:rsid w:val="00877738"/>
    <w:rsid w:val="008777C0"/>
    <w:rsid w:val="0087786E"/>
    <w:rsid w:val="00877A9E"/>
    <w:rsid w:val="0088064C"/>
    <w:rsid w:val="008808EA"/>
    <w:rsid w:val="00880C26"/>
    <w:rsid w:val="008814B2"/>
    <w:rsid w:val="00881C85"/>
    <w:rsid w:val="00882047"/>
    <w:rsid w:val="008826AC"/>
    <w:rsid w:val="00882DAE"/>
    <w:rsid w:val="008830A1"/>
    <w:rsid w:val="008834E5"/>
    <w:rsid w:val="008837C4"/>
    <w:rsid w:val="00884B00"/>
    <w:rsid w:val="00884C3D"/>
    <w:rsid w:val="00885068"/>
    <w:rsid w:val="00885236"/>
    <w:rsid w:val="0088575E"/>
    <w:rsid w:val="0088591B"/>
    <w:rsid w:val="00885A46"/>
    <w:rsid w:val="00885D92"/>
    <w:rsid w:val="008876E4"/>
    <w:rsid w:val="00887788"/>
    <w:rsid w:val="00890380"/>
    <w:rsid w:val="008912E9"/>
    <w:rsid w:val="008915CA"/>
    <w:rsid w:val="0089237F"/>
    <w:rsid w:val="00893162"/>
    <w:rsid w:val="0089353B"/>
    <w:rsid w:val="00893BE3"/>
    <w:rsid w:val="00893D0C"/>
    <w:rsid w:val="00893D8F"/>
    <w:rsid w:val="0089402C"/>
    <w:rsid w:val="00894515"/>
    <w:rsid w:val="008949D6"/>
    <w:rsid w:val="008952DB"/>
    <w:rsid w:val="00895EE9"/>
    <w:rsid w:val="008963AA"/>
    <w:rsid w:val="00896B5B"/>
    <w:rsid w:val="00896BDF"/>
    <w:rsid w:val="00897712"/>
    <w:rsid w:val="00897C0A"/>
    <w:rsid w:val="00897F7C"/>
    <w:rsid w:val="008A049F"/>
    <w:rsid w:val="008A09E2"/>
    <w:rsid w:val="008A156A"/>
    <w:rsid w:val="008A20AF"/>
    <w:rsid w:val="008A279D"/>
    <w:rsid w:val="008A290D"/>
    <w:rsid w:val="008A3889"/>
    <w:rsid w:val="008A3D8F"/>
    <w:rsid w:val="008A4291"/>
    <w:rsid w:val="008A484E"/>
    <w:rsid w:val="008A5664"/>
    <w:rsid w:val="008A5AE0"/>
    <w:rsid w:val="008A640A"/>
    <w:rsid w:val="008A6768"/>
    <w:rsid w:val="008A6EE1"/>
    <w:rsid w:val="008B003C"/>
    <w:rsid w:val="008B011A"/>
    <w:rsid w:val="008B0C9F"/>
    <w:rsid w:val="008B0DF6"/>
    <w:rsid w:val="008B143C"/>
    <w:rsid w:val="008B24EF"/>
    <w:rsid w:val="008B2820"/>
    <w:rsid w:val="008B292C"/>
    <w:rsid w:val="008B2BED"/>
    <w:rsid w:val="008B2F8D"/>
    <w:rsid w:val="008B3172"/>
    <w:rsid w:val="008B410B"/>
    <w:rsid w:val="008B444F"/>
    <w:rsid w:val="008B4BEB"/>
    <w:rsid w:val="008B65AE"/>
    <w:rsid w:val="008B679A"/>
    <w:rsid w:val="008B6F4B"/>
    <w:rsid w:val="008B7B7F"/>
    <w:rsid w:val="008C00A6"/>
    <w:rsid w:val="008C075A"/>
    <w:rsid w:val="008C0BAE"/>
    <w:rsid w:val="008C0D97"/>
    <w:rsid w:val="008C0D9B"/>
    <w:rsid w:val="008C0E08"/>
    <w:rsid w:val="008C0F82"/>
    <w:rsid w:val="008C1250"/>
    <w:rsid w:val="008C15F5"/>
    <w:rsid w:val="008C1E4B"/>
    <w:rsid w:val="008C1F31"/>
    <w:rsid w:val="008C2050"/>
    <w:rsid w:val="008C3528"/>
    <w:rsid w:val="008C356D"/>
    <w:rsid w:val="008C3A09"/>
    <w:rsid w:val="008C3F1C"/>
    <w:rsid w:val="008C4851"/>
    <w:rsid w:val="008C49F2"/>
    <w:rsid w:val="008C50A6"/>
    <w:rsid w:val="008C55EE"/>
    <w:rsid w:val="008C58DC"/>
    <w:rsid w:val="008C6715"/>
    <w:rsid w:val="008C694C"/>
    <w:rsid w:val="008C6BF3"/>
    <w:rsid w:val="008C6C78"/>
    <w:rsid w:val="008C6DFC"/>
    <w:rsid w:val="008C7CEA"/>
    <w:rsid w:val="008C7D63"/>
    <w:rsid w:val="008C7E1E"/>
    <w:rsid w:val="008D04BC"/>
    <w:rsid w:val="008D07FE"/>
    <w:rsid w:val="008D0EE7"/>
    <w:rsid w:val="008D158A"/>
    <w:rsid w:val="008D16CA"/>
    <w:rsid w:val="008D1DA1"/>
    <w:rsid w:val="008D23F6"/>
    <w:rsid w:val="008D24B9"/>
    <w:rsid w:val="008D2577"/>
    <w:rsid w:val="008D272E"/>
    <w:rsid w:val="008D2770"/>
    <w:rsid w:val="008D2938"/>
    <w:rsid w:val="008D328E"/>
    <w:rsid w:val="008D3594"/>
    <w:rsid w:val="008D42D2"/>
    <w:rsid w:val="008D4960"/>
    <w:rsid w:val="008D5251"/>
    <w:rsid w:val="008D567C"/>
    <w:rsid w:val="008D6349"/>
    <w:rsid w:val="008D6550"/>
    <w:rsid w:val="008D7C48"/>
    <w:rsid w:val="008E02C9"/>
    <w:rsid w:val="008E0367"/>
    <w:rsid w:val="008E0CCB"/>
    <w:rsid w:val="008E31AA"/>
    <w:rsid w:val="008E39D6"/>
    <w:rsid w:val="008E533A"/>
    <w:rsid w:val="008E5885"/>
    <w:rsid w:val="008E5EBE"/>
    <w:rsid w:val="008E6B25"/>
    <w:rsid w:val="008E6B93"/>
    <w:rsid w:val="008E6D81"/>
    <w:rsid w:val="008E6EEE"/>
    <w:rsid w:val="008E7144"/>
    <w:rsid w:val="008E7B9E"/>
    <w:rsid w:val="008E7CE6"/>
    <w:rsid w:val="008F0067"/>
    <w:rsid w:val="008F0360"/>
    <w:rsid w:val="008F0E8C"/>
    <w:rsid w:val="008F0FB9"/>
    <w:rsid w:val="008F0FD8"/>
    <w:rsid w:val="008F116F"/>
    <w:rsid w:val="008F1452"/>
    <w:rsid w:val="008F1EBC"/>
    <w:rsid w:val="008F22F6"/>
    <w:rsid w:val="008F235A"/>
    <w:rsid w:val="008F317E"/>
    <w:rsid w:val="008F32B1"/>
    <w:rsid w:val="008F35DF"/>
    <w:rsid w:val="008F3A84"/>
    <w:rsid w:val="008F5ABE"/>
    <w:rsid w:val="008F7428"/>
    <w:rsid w:val="008F759B"/>
    <w:rsid w:val="008F774B"/>
    <w:rsid w:val="008F7B25"/>
    <w:rsid w:val="009009D3"/>
    <w:rsid w:val="00900F1C"/>
    <w:rsid w:val="00901F59"/>
    <w:rsid w:val="00903946"/>
    <w:rsid w:val="00903CA4"/>
    <w:rsid w:val="00904363"/>
    <w:rsid w:val="009045FC"/>
    <w:rsid w:val="00904786"/>
    <w:rsid w:val="00904854"/>
    <w:rsid w:val="00904F77"/>
    <w:rsid w:val="0090504A"/>
    <w:rsid w:val="009053DD"/>
    <w:rsid w:val="0090560D"/>
    <w:rsid w:val="00905645"/>
    <w:rsid w:val="00905958"/>
    <w:rsid w:val="0090618D"/>
    <w:rsid w:val="009066AF"/>
    <w:rsid w:val="00907771"/>
    <w:rsid w:val="00907C19"/>
    <w:rsid w:val="00907F08"/>
    <w:rsid w:val="00907F0D"/>
    <w:rsid w:val="0091092F"/>
    <w:rsid w:val="009115BA"/>
    <w:rsid w:val="00911D8B"/>
    <w:rsid w:val="009139DD"/>
    <w:rsid w:val="00913ADE"/>
    <w:rsid w:val="00913C26"/>
    <w:rsid w:val="00913F62"/>
    <w:rsid w:val="00914666"/>
    <w:rsid w:val="00914E85"/>
    <w:rsid w:val="00914FE4"/>
    <w:rsid w:val="00915275"/>
    <w:rsid w:val="00915532"/>
    <w:rsid w:val="009156A1"/>
    <w:rsid w:val="009168EB"/>
    <w:rsid w:val="009169AD"/>
    <w:rsid w:val="00916A1C"/>
    <w:rsid w:val="0091722B"/>
    <w:rsid w:val="0091730C"/>
    <w:rsid w:val="00920754"/>
    <w:rsid w:val="0092099A"/>
    <w:rsid w:val="00920C0A"/>
    <w:rsid w:val="009212D8"/>
    <w:rsid w:val="0092175B"/>
    <w:rsid w:val="00921871"/>
    <w:rsid w:val="00921A53"/>
    <w:rsid w:val="00922109"/>
    <w:rsid w:val="00922E2A"/>
    <w:rsid w:val="00922EDC"/>
    <w:rsid w:val="00922F94"/>
    <w:rsid w:val="009230A7"/>
    <w:rsid w:val="0092340A"/>
    <w:rsid w:val="00923479"/>
    <w:rsid w:val="00923773"/>
    <w:rsid w:val="00923E04"/>
    <w:rsid w:val="00923F30"/>
    <w:rsid w:val="009240D3"/>
    <w:rsid w:val="00924B81"/>
    <w:rsid w:val="009256C7"/>
    <w:rsid w:val="00925F04"/>
    <w:rsid w:val="009262D4"/>
    <w:rsid w:val="00926F6A"/>
    <w:rsid w:val="009279D0"/>
    <w:rsid w:val="009301B2"/>
    <w:rsid w:val="0093314A"/>
    <w:rsid w:val="009331BB"/>
    <w:rsid w:val="00933386"/>
    <w:rsid w:val="00934A8A"/>
    <w:rsid w:val="00934AAD"/>
    <w:rsid w:val="00935579"/>
    <w:rsid w:val="00936486"/>
    <w:rsid w:val="0093666D"/>
    <w:rsid w:val="00937427"/>
    <w:rsid w:val="00940E05"/>
    <w:rsid w:val="009415B9"/>
    <w:rsid w:val="00942B8D"/>
    <w:rsid w:val="00943082"/>
    <w:rsid w:val="009436A1"/>
    <w:rsid w:val="00943FA6"/>
    <w:rsid w:val="009448DC"/>
    <w:rsid w:val="00944B38"/>
    <w:rsid w:val="00944B4E"/>
    <w:rsid w:val="00944D15"/>
    <w:rsid w:val="00945561"/>
    <w:rsid w:val="009455A8"/>
    <w:rsid w:val="00950986"/>
    <w:rsid w:val="0095191C"/>
    <w:rsid w:val="00951D49"/>
    <w:rsid w:val="00951F75"/>
    <w:rsid w:val="0095200C"/>
    <w:rsid w:val="00952293"/>
    <w:rsid w:val="009533F3"/>
    <w:rsid w:val="009536C5"/>
    <w:rsid w:val="00953719"/>
    <w:rsid w:val="00953B0E"/>
    <w:rsid w:val="00953B75"/>
    <w:rsid w:val="00954357"/>
    <w:rsid w:val="009543AE"/>
    <w:rsid w:val="0095490D"/>
    <w:rsid w:val="0095528E"/>
    <w:rsid w:val="00955C3F"/>
    <w:rsid w:val="009566D0"/>
    <w:rsid w:val="009569EF"/>
    <w:rsid w:val="00956CE7"/>
    <w:rsid w:val="009572EF"/>
    <w:rsid w:val="00957365"/>
    <w:rsid w:val="00957440"/>
    <w:rsid w:val="0095783E"/>
    <w:rsid w:val="00957966"/>
    <w:rsid w:val="00957C07"/>
    <w:rsid w:val="0096074E"/>
    <w:rsid w:val="009612E0"/>
    <w:rsid w:val="00961522"/>
    <w:rsid w:val="00961BA5"/>
    <w:rsid w:val="00961BE8"/>
    <w:rsid w:val="00961E24"/>
    <w:rsid w:val="009620B9"/>
    <w:rsid w:val="00962311"/>
    <w:rsid w:val="009623EF"/>
    <w:rsid w:val="009627F3"/>
    <w:rsid w:val="00962B74"/>
    <w:rsid w:val="00962E29"/>
    <w:rsid w:val="00962F05"/>
    <w:rsid w:val="0096334D"/>
    <w:rsid w:val="00965443"/>
    <w:rsid w:val="0096602D"/>
    <w:rsid w:val="00966501"/>
    <w:rsid w:val="00967263"/>
    <w:rsid w:val="009673EB"/>
    <w:rsid w:val="00967AB2"/>
    <w:rsid w:val="00967F36"/>
    <w:rsid w:val="00971557"/>
    <w:rsid w:val="00971609"/>
    <w:rsid w:val="009719A4"/>
    <w:rsid w:val="00971A87"/>
    <w:rsid w:val="00972643"/>
    <w:rsid w:val="00972B09"/>
    <w:rsid w:val="00973D22"/>
    <w:rsid w:val="00973FF0"/>
    <w:rsid w:val="00974114"/>
    <w:rsid w:val="00974BCA"/>
    <w:rsid w:val="00974EEA"/>
    <w:rsid w:val="009755E4"/>
    <w:rsid w:val="00976794"/>
    <w:rsid w:val="00976F25"/>
    <w:rsid w:val="0097768B"/>
    <w:rsid w:val="009776E5"/>
    <w:rsid w:val="009779D2"/>
    <w:rsid w:val="00977FAC"/>
    <w:rsid w:val="00980B79"/>
    <w:rsid w:val="009811ED"/>
    <w:rsid w:val="009819D8"/>
    <w:rsid w:val="00981B36"/>
    <w:rsid w:val="009825F7"/>
    <w:rsid w:val="009826B9"/>
    <w:rsid w:val="0098316D"/>
    <w:rsid w:val="00983D52"/>
    <w:rsid w:val="00983DE7"/>
    <w:rsid w:val="0098443B"/>
    <w:rsid w:val="009848F1"/>
    <w:rsid w:val="00984A45"/>
    <w:rsid w:val="00984FEE"/>
    <w:rsid w:val="00985CEA"/>
    <w:rsid w:val="00986527"/>
    <w:rsid w:val="009867F2"/>
    <w:rsid w:val="00986871"/>
    <w:rsid w:val="0099059E"/>
    <w:rsid w:val="00990717"/>
    <w:rsid w:val="00990D06"/>
    <w:rsid w:val="0099119B"/>
    <w:rsid w:val="0099157C"/>
    <w:rsid w:val="00991BE9"/>
    <w:rsid w:val="00992098"/>
    <w:rsid w:val="009927F2"/>
    <w:rsid w:val="00992C7D"/>
    <w:rsid w:val="00993F2A"/>
    <w:rsid w:val="009940EE"/>
    <w:rsid w:val="00994CBA"/>
    <w:rsid w:val="009967DC"/>
    <w:rsid w:val="00996975"/>
    <w:rsid w:val="009972D6"/>
    <w:rsid w:val="00997512"/>
    <w:rsid w:val="009A0F4F"/>
    <w:rsid w:val="009A2110"/>
    <w:rsid w:val="009A23AC"/>
    <w:rsid w:val="009A26AA"/>
    <w:rsid w:val="009A2975"/>
    <w:rsid w:val="009A29C9"/>
    <w:rsid w:val="009A38F0"/>
    <w:rsid w:val="009A3D83"/>
    <w:rsid w:val="009A4D99"/>
    <w:rsid w:val="009A4F39"/>
    <w:rsid w:val="009A527F"/>
    <w:rsid w:val="009A5480"/>
    <w:rsid w:val="009A5FD0"/>
    <w:rsid w:val="009A6A08"/>
    <w:rsid w:val="009A7869"/>
    <w:rsid w:val="009A78B7"/>
    <w:rsid w:val="009B00D6"/>
    <w:rsid w:val="009B0181"/>
    <w:rsid w:val="009B1639"/>
    <w:rsid w:val="009B1A5D"/>
    <w:rsid w:val="009B255F"/>
    <w:rsid w:val="009B2BA0"/>
    <w:rsid w:val="009B312C"/>
    <w:rsid w:val="009B33D5"/>
    <w:rsid w:val="009B395C"/>
    <w:rsid w:val="009B4489"/>
    <w:rsid w:val="009B46E3"/>
    <w:rsid w:val="009B488F"/>
    <w:rsid w:val="009B55B1"/>
    <w:rsid w:val="009B5E62"/>
    <w:rsid w:val="009B665D"/>
    <w:rsid w:val="009B6671"/>
    <w:rsid w:val="009B67F2"/>
    <w:rsid w:val="009B6C59"/>
    <w:rsid w:val="009B791B"/>
    <w:rsid w:val="009B7AED"/>
    <w:rsid w:val="009C0590"/>
    <w:rsid w:val="009C0CE2"/>
    <w:rsid w:val="009C1859"/>
    <w:rsid w:val="009C1AB1"/>
    <w:rsid w:val="009C2006"/>
    <w:rsid w:val="009C213C"/>
    <w:rsid w:val="009C21E5"/>
    <w:rsid w:val="009C25BE"/>
    <w:rsid w:val="009C2ED4"/>
    <w:rsid w:val="009C36A5"/>
    <w:rsid w:val="009C3B1A"/>
    <w:rsid w:val="009C47F3"/>
    <w:rsid w:val="009C51E3"/>
    <w:rsid w:val="009C5426"/>
    <w:rsid w:val="009C5B1C"/>
    <w:rsid w:val="009C62FF"/>
    <w:rsid w:val="009C63B8"/>
    <w:rsid w:val="009C66F7"/>
    <w:rsid w:val="009C6A77"/>
    <w:rsid w:val="009C6A9A"/>
    <w:rsid w:val="009C7303"/>
    <w:rsid w:val="009C7BCC"/>
    <w:rsid w:val="009C7D5E"/>
    <w:rsid w:val="009C7F82"/>
    <w:rsid w:val="009D0366"/>
    <w:rsid w:val="009D0ACC"/>
    <w:rsid w:val="009D0F0E"/>
    <w:rsid w:val="009D3F0F"/>
    <w:rsid w:val="009D42EA"/>
    <w:rsid w:val="009D4491"/>
    <w:rsid w:val="009D466B"/>
    <w:rsid w:val="009D4F30"/>
    <w:rsid w:val="009D56B0"/>
    <w:rsid w:val="009D610A"/>
    <w:rsid w:val="009D688F"/>
    <w:rsid w:val="009D6BE2"/>
    <w:rsid w:val="009D6DAB"/>
    <w:rsid w:val="009D74A9"/>
    <w:rsid w:val="009D7612"/>
    <w:rsid w:val="009D7B88"/>
    <w:rsid w:val="009E009B"/>
    <w:rsid w:val="009E077D"/>
    <w:rsid w:val="009E1173"/>
    <w:rsid w:val="009E15D2"/>
    <w:rsid w:val="009E2AA0"/>
    <w:rsid w:val="009E36AA"/>
    <w:rsid w:val="009E3DC5"/>
    <w:rsid w:val="009E3E1C"/>
    <w:rsid w:val="009E43A4"/>
    <w:rsid w:val="009E4455"/>
    <w:rsid w:val="009E4597"/>
    <w:rsid w:val="009E4939"/>
    <w:rsid w:val="009E4C77"/>
    <w:rsid w:val="009E53E5"/>
    <w:rsid w:val="009E551D"/>
    <w:rsid w:val="009E5F9F"/>
    <w:rsid w:val="009E601D"/>
    <w:rsid w:val="009E6597"/>
    <w:rsid w:val="009E76D4"/>
    <w:rsid w:val="009E78A2"/>
    <w:rsid w:val="009E7ADC"/>
    <w:rsid w:val="009E7C6E"/>
    <w:rsid w:val="009E7F76"/>
    <w:rsid w:val="009F0100"/>
    <w:rsid w:val="009F0361"/>
    <w:rsid w:val="009F1112"/>
    <w:rsid w:val="009F1529"/>
    <w:rsid w:val="009F2105"/>
    <w:rsid w:val="009F2891"/>
    <w:rsid w:val="009F2A8B"/>
    <w:rsid w:val="009F2C8A"/>
    <w:rsid w:val="009F3293"/>
    <w:rsid w:val="009F3539"/>
    <w:rsid w:val="009F3543"/>
    <w:rsid w:val="009F36F7"/>
    <w:rsid w:val="009F384D"/>
    <w:rsid w:val="009F48C5"/>
    <w:rsid w:val="009F4D28"/>
    <w:rsid w:val="009F511B"/>
    <w:rsid w:val="009F5D08"/>
    <w:rsid w:val="009F6B95"/>
    <w:rsid w:val="009F6D40"/>
    <w:rsid w:val="009F78CD"/>
    <w:rsid w:val="009F7F12"/>
    <w:rsid w:val="00A0036B"/>
    <w:rsid w:val="00A01892"/>
    <w:rsid w:val="00A02F42"/>
    <w:rsid w:val="00A032F9"/>
    <w:rsid w:val="00A034D3"/>
    <w:rsid w:val="00A036B4"/>
    <w:rsid w:val="00A037A1"/>
    <w:rsid w:val="00A04753"/>
    <w:rsid w:val="00A04A02"/>
    <w:rsid w:val="00A0517E"/>
    <w:rsid w:val="00A05709"/>
    <w:rsid w:val="00A058DB"/>
    <w:rsid w:val="00A05D1A"/>
    <w:rsid w:val="00A05D63"/>
    <w:rsid w:val="00A05E30"/>
    <w:rsid w:val="00A05EF9"/>
    <w:rsid w:val="00A0654E"/>
    <w:rsid w:val="00A06C88"/>
    <w:rsid w:val="00A07055"/>
    <w:rsid w:val="00A1061F"/>
    <w:rsid w:val="00A10711"/>
    <w:rsid w:val="00A112E0"/>
    <w:rsid w:val="00A117C5"/>
    <w:rsid w:val="00A12EEE"/>
    <w:rsid w:val="00A130D5"/>
    <w:rsid w:val="00A13A1D"/>
    <w:rsid w:val="00A13EBC"/>
    <w:rsid w:val="00A13F8C"/>
    <w:rsid w:val="00A146C1"/>
    <w:rsid w:val="00A150B4"/>
    <w:rsid w:val="00A15E21"/>
    <w:rsid w:val="00A160D0"/>
    <w:rsid w:val="00A16A04"/>
    <w:rsid w:val="00A16D23"/>
    <w:rsid w:val="00A16E38"/>
    <w:rsid w:val="00A17D0A"/>
    <w:rsid w:val="00A20129"/>
    <w:rsid w:val="00A2070F"/>
    <w:rsid w:val="00A209EB"/>
    <w:rsid w:val="00A20CA4"/>
    <w:rsid w:val="00A2102F"/>
    <w:rsid w:val="00A21482"/>
    <w:rsid w:val="00A2260E"/>
    <w:rsid w:val="00A22E26"/>
    <w:rsid w:val="00A23020"/>
    <w:rsid w:val="00A23C5F"/>
    <w:rsid w:val="00A23C88"/>
    <w:rsid w:val="00A24D16"/>
    <w:rsid w:val="00A24E23"/>
    <w:rsid w:val="00A24FB7"/>
    <w:rsid w:val="00A25983"/>
    <w:rsid w:val="00A25DCC"/>
    <w:rsid w:val="00A25FAC"/>
    <w:rsid w:val="00A27434"/>
    <w:rsid w:val="00A27880"/>
    <w:rsid w:val="00A309D9"/>
    <w:rsid w:val="00A30A97"/>
    <w:rsid w:val="00A32379"/>
    <w:rsid w:val="00A33A81"/>
    <w:rsid w:val="00A33AA3"/>
    <w:rsid w:val="00A33DB8"/>
    <w:rsid w:val="00A344DC"/>
    <w:rsid w:val="00A3501F"/>
    <w:rsid w:val="00A35441"/>
    <w:rsid w:val="00A376A2"/>
    <w:rsid w:val="00A378D3"/>
    <w:rsid w:val="00A40AC4"/>
    <w:rsid w:val="00A4121E"/>
    <w:rsid w:val="00A41E36"/>
    <w:rsid w:val="00A42308"/>
    <w:rsid w:val="00A42466"/>
    <w:rsid w:val="00A42602"/>
    <w:rsid w:val="00A427BD"/>
    <w:rsid w:val="00A428E8"/>
    <w:rsid w:val="00A43481"/>
    <w:rsid w:val="00A434E5"/>
    <w:rsid w:val="00A4381A"/>
    <w:rsid w:val="00A440C5"/>
    <w:rsid w:val="00A44918"/>
    <w:rsid w:val="00A44CAA"/>
    <w:rsid w:val="00A44DAC"/>
    <w:rsid w:val="00A44E26"/>
    <w:rsid w:val="00A4640E"/>
    <w:rsid w:val="00A46629"/>
    <w:rsid w:val="00A5099A"/>
    <w:rsid w:val="00A50FD8"/>
    <w:rsid w:val="00A511F0"/>
    <w:rsid w:val="00A52D9C"/>
    <w:rsid w:val="00A53AA6"/>
    <w:rsid w:val="00A53C34"/>
    <w:rsid w:val="00A53E31"/>
    <w:rsid w:val="00A5402F"/>
    <w:rsid w:val="00A5410B"/>
    <w:rsid w:val="00A5420C"/>
    <w:rsid w:val="00A5527F"/>
    <w:rsid w:val="00A556A7"/>
    <w:rsid w:val="00A55DDF"/>
    <w:rsid w:val="00A55DEE"/>
    <w:rsid w:val="00A56C70"/>
    <w:rsid w:val="00A56DF9"/>
    <w:rsid w:val="00A57CC5"/>
    <w:rsid w:val="00A60928"/>
    <w:rsid w:val="00A60A22"/>
    <w:rsid w:val="00A60E27"/>
    <w:rsid w:val="00A610FF"/>
    <w:rsid w:val="00A62236"/>
    <w:rsid w:val="00A623D1"/>
    <w:rsid w:val="00A62F75"/>
    <w:rsid w:val="00A63A06"/>
    <w:rsid w:val="00A64C02"/>
    <w:rsid w:val="00A659C1"/>
    <w:rsid w:val="00A65F58"/>
    <w:rsid w:val="00A666AB"/>
    <w:rsid w:val="00A67094"/>
    <w:rsid w:val="00A674C4"/>
    <w:rsid w:val="00A70519"/>
    <w:rsid w:val="00A71097"/>
    <w:rsid w:val="00A724EC"/>
    <w:rsid w:val="00A725A4"/>
    <w:rsid w:val="00A73202"/>
    <w:rsid w:val="00A73CFD"/>
    <w:rsid w:val="00A73F52"/>
    <w:rsid w:val="00A74066"/>
    <w:rsid w:val="00A742FB"/>
    <w:rsid w:val="00A74DC6"/>
    <w:rsid w:val="00A75EFA"/>
    <w:rsid w:val="00A76655"/>
    <w:rsid w:val="00A7677F"/>
    <w:rsid w:val="00A76B4B"/>
    <w:rsid w:val="00A76B93"/>
    <w:rsid w:val="00A76D48"/>
    <w:rsid w:val="00A77826"/>
    <w:rsid w:val="00A7789F"/>
    <w:rsid w:val="00A77A44"/>
    <w:rsid w:val="00A80029"/>
    <w:rsid w:val="00A80B77"/>
    <w:rsid w:val="00A8206F"/>
    <w:rsid w:val="00A82572"/>
    <w:rsid w:val="00A829D9"/>
    <w:rsid w:val="00A82F78"/>
    <w:rsid w:val="00A83380"/>
    <w:rsid w:val="00A83DC9"/>
    <w:rsid w:val="00A8492F"/>
    <w:rsid w:val="00A84DDB"/>
    <w:rsid w:val="00A85799"/>
    <w:rsid w:val="00A87198"/>
    <w:rsid w:val="00A87957"/>
    <w:rsid w:val="00A90983"/>
    <w:rsid w:val="00A90A1D"/>
    <w:rsid w:val="00A91389"/>
    <w:rsid w:val="00A91B83"/>
    <w:rsid w:val="00A91C7E"/>
    <w:rsid w:val="00A921FA"/>
    <w:rsid w:val="00A92DD8"/>
    <w:rsid w:val="00A935FB"/>
    <w:rsid w:val="00A94348"/>
    <w:rsid w:val="00A959DB"/>
    <w:rsid w:val="00A95FF2"/>
    <w:rsid w:val="00A9618C"/>
    <w:rsid w:val="00A967AD"/>
    <w:rsid w:val="00A96F83"/>
    <w:rsid w:val="00AA060B"/>
    <w:rsid w:val="00AA09CB"/>
    <w:rsid w:val="00AA139D"/>
    <w:rsid w:val="00AA30ED"/>
    <w:rsid w:val="00AA32AE"/>
    <w:rsid w:val="00AA3AA2"/>
    <w:rsid w:val="00AA4348"/>
    <w:rsid w:val="00AA45BE"/>
    <w:rsid w:val="00AA754E"/>
    <w:rsid w:val="00AB142E"/>
    <w:rsid w:val="00AB24E2"/>
    <w:rsid w:val="00AB3208"/>
    <w:rsid w:val="00AB4469"/>
    <w:rsid w:val="00AB48E6"/>
    <w:rsid w:val="00AB4A0A"/>
    <w:rsid w:val="00AB5C63"/>
    <w:rsid w:val="00AB5D98"/>
    <w:rsid w:val="00AB5DFD"/>
    <w:rsid w:val="00AB66AF"/>
    <w:rsid w:val="00AB6F28"/>
    <w:rsid w:val="00AB7EE1"/>
    <w:rsid w:val="00AC0DAA"/>
    <w:rsid w:val="00AC1314"/>
    <w:rsid w:val="00AC152E"/>
    <w:rsid w:val="00AC1B59"/>
    <w:rsid w:val="00AC20DB"/>
    <w:rsid w:val="00AC25B7"/>
    <w:rsid w:val="00AC3F16"/>
    <w:rsid w:val="00AC4407"/>
    <w:rsid w:val="00AC445A"/>
    <w:rsid w:val="00AC4F9F"/>
    <w:rsid w:val="00AC6349"/>
    <w:rsid w:val="00AC6722"/>
    <w:rsid w:val="00AC6C6E"/>
    <w:rsid w:val="00AC7135"/>
    <w:rsid w:val="00AC7F00"/>
    <w:rsid w:val="00AD11B4"/>
    <w:rsid w:val="00AD137C"/>
    <w:rsid w:val="00AD1A0D"/>
    <w:rsid w:val="00AD1DD6"/>
    <w:rsid w:val="00AD2480"/>
    <w:rsid w:val="00AD283C"/>
    <w:rsid w:val="00AD2CB1"/>
    <w:rsid w:val="00AD3306"/>
    <w:rsid w:val="00AD3733"/>
    <w:rsid w:val="00AD3A42"/>
    <w:rsid w:val="00AD4D64"/>
    <w:rsid w:val="00AD502F"/>
    <w:rsid w:val="00AD5413"/>
    <w:rsid w:val="00AD6B7A"/>
    <w:rsid w:val="00AD6DBF"/>
    <w:rsid w:val="00AE062B"/>
    <w:rsid w:val="00AE0947"/>
    <w:rsid w:val="00AE1196"/>
    <w:rsid w:val="00AE13C2"/>
    <w:rsid w:val="00AE1B58"/>
    <w:rsid w:val="00AE1E4A"/>
    <w:rsid w:val="00AE27D2"/>
    <w:rsid w:val="00AE3943"/>
    <w:rsid w:val="00AE3C60"/>
    <w:rsid w:val="00AE3EA4"/>
    <w:rsid w:val="00AE4434"/>
    <w:rsid w:val="00AE49CA"/>
    <w:rsid w:val="00AE4A83"/>
    <w:rsid w:val="00AE4D72"/>
    <w:rsid w:val="00AE4FC3"/>
    <w:rsid w:val="00AE54B1"/>
    <w:rsid w:val="00AE59F2"/>
    <w:rsid w:val="00AE5AC7"/>
    <w:rsid w:val="00AE71D1"/>
    <w:rsid w:val="00AE757C"/>
    <w:rsid w:val="00AF077D"/>
    <w:rsid w:val="00AF0E9B"/>
    <w:rsid w:val="00AF18E1"/>
    <w:rsid w:val="00AF197B"/>
    <w:rsid w:val="00AF1B7B"/>
    <w:rsid w:val="00AF1BAE"/>
    <w:rsid w:val="00AF2279"/>
    <w:rsid w:val="00AF2B1A"/>
    <w:rsid w:val="00AF33DC"/>
    <w:rsid w:val="00AF41AB"/>
    <w:rsid w:val="00AF42F0"/>
    <w:rsid w:val="00AF4755"/>
    <w:rsid w:val="00AF475D"/>
    <w:rsid w:val="00AF4930"/>
    <w:rsid w:val="00AF4A4A"/>
    <w:rsid w:val="00AF4B19"/>
    <w:rsid w:val="00AF4B39"/>
    <w:rsid w:val="00AF4E79"/>
    <w:rsid w:val="00AF6954"/>
    <w:rsid w:val="00AF6F29"/>
    <w:rsid w:val="00B006E5"/>
    <w:rsid w:val="00B009A8"/>
    <w:rsid w:val="00B00D02"/>
    <w:rsid w:val="00B016F6"/>
    <w:rsid w:val="00B01BCC"/>
    <w:rsid w:val="00B02FD2"/>
    <w:rsid w:val="00B03645"/>
    <w:rsid w:val="00B03DE8"/>
    <w:rsid w:val="00B040AC"/>
    <w:rsid w:val="00B0421B"/>
    <w:rsid w:val="00B05967"/>
    <w:rsid w:val="00B074F4"/>
    <w:rsid w:val="00B100EE"/>
    <w:rsid w:val="00B10332"/>
    <w:rsid w:val="00B109A4"/>
    <w:rsid w:val="00B11089"/>
    <w:rsid w:val="00B114CC"/>
    <w:rsid w:val="00B1175A"/>
    <w:rsid w:val="00B12305"/>
    <w:rsid w:val="00B129EF"/>
    <w:rsid w:val="00B12A8B"/>
    <w:rsid w:val="00B130BE"/>
    <w:rsid w:val="00B14FA3"/>
    <w:rsid w:val="00B1503A"/>
    <w:rsid w:val="00B16EAE"/>
    <w:rsid w:val="00B20643"/>
    <w:rsid w:val="00B20BE7"/>
    <w:rsid w:val="00B20C2A"/>
    <w:rsid w:val="00B21CE2"/>
    <w:rsid w:val="00B22A1B"/>
    <w:rsid w:val="00B232EF"/>
    <w:rsid w:val="00B23694"/>
    <w:rsid w:val="00B23F90"/>
    <w:rsid w:val="00B2407A"/>
    <w:rsid w:val="00B242D8"/>
    <w:rsid w:val="00B243BE"/>
    <w:rsid w:val="00B26186"/>
    <w:rsid w:val="00B26EBB"/>
    <w:rsid w:val="00B26F59"/>
    <w:rsid w:val="00B270F6"/>
    <w:rsid w:val="00B27B59"/>
    <w:rsid w:val="00B27DD6"/>
    <w:rsid w:val="00B30033"/>
    <w:rsid w:val="00B310AA"/>
    <w:rsid w:val="00B31251"/>
    <w:rsid w:val="00B313B5"/>
    <w:rsid w:val="00B325EE"/>
    <w:rsid w:val="00B326D1"/>
    <w:rsid w:val="00B328B4"/>
    <w:rsid w:val="00B32B15"/>
    <w:rsid w:val="00B32C1E"/>
    <w:rsid w:val="00B334F8"/>
    <w:rsid w:val="00B336C4"/>
    <w:rsid w:val="00B338E2"/>
    <w:rsid w:val="00B33E2E"/>
    <w:rsid w:val="00B34B7C"/>
    <w:rsid w:val="00B34DB6"/>
    <w:rsid w:val="00B365C3"/>
    <w:rsid w:val="00B37871"/>
    <w:rsid w:val="00B404F8"/>
    <w:rsid w:val="00B40939"/>
    <w:rsid w:val="00B41C48"/>
    <w:rsid w:val="00B42209"/>
    <w:rsid w:val="00B42B9E"/>
    <w:rsid w:val="00B42D17"/>
    <w:rsid w:val="00B42FCE"/>
    <w:rsid w:val="00B436AC"/>
    <w:rsid w:val="00B43A88"/>
    <w:rsid w:val="00B43ED1"/>
    <w:rsid w:val="00B44100"/>
    <w:rsid w:val="00B444DD"/>
    <w:rsid w:val="00B44B6A"/>
    <w:rsid w:val="00B45026"/>
    <w:rsid w:val="00B451DD"/>
    <w:rsid w:val="00B45366"/>
    <w:rsid w:val="00B46573"/>
    <w:rsid w:val="00B466C1"/>
    <w:rsid w:val="00B46A28"/>
    <w:rsid w:val="00B46F07"/>
    <w:rsid w:val="00B479B3"/>
    <w:rsid w:val="00B47DA7"/>
    <w:rsid w:val="00B50021"/>
    <w:rsid w:val="00B5062B"/>
    <w:rsid w:val="00B50C1B"/>
    <w:rsid w:val="00B51220"/>
    <w:rsid w:val="00B512E3"/>
    <w:rsid w:val="00B51B29"/>
    <w:rsid w:val="00B51CE1"/>
    <w:rsid w:val="00B53092"/>
    <w:rsid w:val="00B53D6D"/>
    <w:rsid w:val="00B54002"/>
    <w:rsid w:val="00B540AF"/>
    <w:rsid w:val="00B5465B"/>
    <w:rsid w:val="00B5529E"/>
    <w:rsid w:val="00B5557B"/>
    <w:rsid w:val="00B55643"/>
    <w:rsid w:val="00B558A4"/>
    <w:rsid w:val="00B55A83"/>
    <w:rsid w:val="00B55EBB"/>
    <w:rsid w:val="00B56F46"/>
    <w:rsid w:val="00B6004A"/>
    <w:rsid w:val="00B60D31"/>
    <w:rsid w:val="00B61501"/>
    <w:rsid w:val="00B61ED8"/>
    <w:rsid w:val="00B623A6"/>
    <w:rsid w:val="00B62576"/>
    <w:rsid w:val="00B626F4"/>
    <w:rsid w:val="00B639F5"/>
    <w:rsid w:val="00B64024"/>
    <w:rsid w:val="00B64A9D"/>
    <w:rsid w:val="00B655C9"/>
    <w:rsid w:val="00B657D8"/>
    <w:rsid w:val="00B65F95"/>
    <w:rsid w:val="00B66C92"/>
    <w:rsid w:val="00B6783F"/>
    <w:rsid w:val="00B67B97"/>
    <w:rsid w:val="00B67C56"/>
    <w:rsid w:val="00B70692"/>
    <w:rsid w:val="00B70769"/>
    <w:rsid w:val="00B7197B"/>
    <w:rsid w:val="00B71C71"/>
    <w:rsid w:val="00B7392A"/>
    <w:rsid w:val="00B7457C"/>
    <w:rsid w:val="00B7633B"/>
    <w:rsid w:val="00B765A9"/>
    <w:rsid w:val="00B7724B"/>
    <w:rsid w:val="00B77426"/>
    <w:rsid w:val="00B77613"/>
    <w:rsid w:val="00B82662"/>
    <w:rsid w:val="00B82D3B"/>
    <w:rsid w:val="00B82EA8"/>
    <w:rsid w:val="00B82F76"/>
    <w:rsid w:val="00B83AA6"/>
    <w:rsid w:val="00B841CE"/>
    <w:rsid w:val="00B85580"/>
    <w:rsid w:val="00B856E9"/>
    <w:rsid w:val="00B862B7"/>
    <w:rsid w:val="00B867EA"/>
    <w:rsid w:val="00B868CF"/>
    <w:rsid w:val="00B868DF"/>
    <w:rsid w:val="00B873ED"/>
    <w:rsid w:val="00B87AC4"/>
    <w:rsid w:val="00B91328"/>
    <w:rsid w:val="00B91509"/>
    <w:rsid w:val="00B9357A"/>
    <w:rsid w:val="00B937B8"/>
    <w:rsid w:val="00B93980"/>
    <w:rsid w:val="00B93EBF"/>
    <w:rsid w:val="00B9423B"/>
    <w:rsid w:val="00B94597"/>
    <w:rsid w:val="00B946E0"/>
    <w:rsid w:val="00B94F38"/>
    <w:rsid w:val="00B95038"/>
    <w:rsid w:val="00B9519C"/>
    <w:rsid w:val="00B95320"/>
    <w:rsid w:val="00B96679"/>
    <w:rsid w:val="00B96A77"/>
    <w:rsid w:val="00B97811"/>
    <w:rsid w:val="00B97F1A"/>
    <w:rsid w:val="00BA069F"/>
    <w:rsid w:val="00BA12CA"/>
    <w:rsid w:val="00BA1FED"/>
    <w:rsid w:val="00BA2727"/>
    <w:rsid w:val="00BA2824"/>
    <w:rsid w:val="00BA282F"/>
    <w:rsid w:val="00BA28E8"/>
    <w:rsid w:val="00BA2CD1"/>
    <w:rsid w:val="00BA32C7"/>
    <w:rsid w:val="00BA37B3"/>
    <w:rsid w:val="00BA3A4E"/>
    <w:rsid w:val="00BA3E5A"/>
    <w:rsid w:val="00BA3F1F"/>
    <w:rsid w:val="00BA43E4"/>
    <w:rsid w:val="00BA457D"/>
    <w:rsid w:val="00BA4D0B"/>
    <w:rsid w:val="00BA5581"/>
    <w:rsid w:val="00BA59A4"/>
    <w:rsid w:val="00BA6422"/>
    <w:rsid w:val="00BA6E74"/>
    <w:rsid w:val="00BA6F12"/>
    <w:rsid w:val="00BA71A5"/>
    <w:rsid w:val="00BA7322"/>
    <w:rsid w:val="00BB01EC"/>
    <w:rsid w:val="00BB047A"/>
    <w:rsid w:val="00BB0483"/>
    <w:rsid w:val="00BB0638"/>
    <w:rsid w:val="00BB18D4"/>
    <w:rsid w:val="00BB3C0B"/>
    <w:rsid w:val="00BB46D5"/>
    <w:rsid w:val="00BB47BA"/>
    <w:rsid w:val="00BB5130"/>
    <w:rsid w:val="00BB553B"/>
    <w:rsid w:val="00BB58E9"/>
    <w:rsid w:val="00BB70FC"/>
    <w:rsid w:val="00BC020F"/>
    <w:rsid w:val="00BC1911"/>
    <w:rsid w:val="00BC1D85"/>
    <w:rsid w:val="00BC1F61"/>
    <w:rsid w:val="00BC2367"/>
    <w:rsid w:val="00BC2E06"/>
    <w:rsid w:val="00BC32D8"/>
    <w:rsid w:val="00BC35C8"/>
    <w:rsid w:val="00BC3BCB"/>
    <w:rsid w:val="00BC3FEA"/>
    <w:rsid w:val="00BC4908"/>
    <w:rsid w:val="00BC4C1D"/>
    <w:rsid w:val="00BC5365"/>
    <w:rsid w:val="00BC53CD"/>
    <w:rsid w:val="00BC6506"/>
    <w:rsid w:val="00BC75C4"/>
    <w:rsid w:val="00BC771D"/>
    <w:rsid w:val="00BC78DB"/>
    <w:rsid w:val="00BD0F86"/>
    <w:rsid w:val="00BD1F54"/>
    <w:rsid w:val="00BD2022"/>
    <w:rsid w:val="00BD2634"/>
    <w:rsid w:val="00BD3F76"/>
    <w:rsid w:val="00BD4DCB"/>
    <w:rsid w:val="00BD55A8"/>
    <w:rsid w:val="00BD65F7"/>
    <w:rsid w:val="00BD745C"/>
    <w:rsid w:val="00BD7667"/>
    <w:rsid w:val="00BD7C1E"/>
    <w:rsid w:val="00BD7D80"/>
    <w:rsid w:val="00BE025F"/>
    <w:rsid w:val="00BE0A28"/>
    <w:rsid w:val="00BE0B65"/>
    <w:rsid w:val="00BE0DE4"/>
    <w:rsid w:val="00BE0F83"/>
    <w:rsid w:val="00BE2096"/>
    <w:rsid w:val="00BE253C"/>
    <w:rsid w:val="00BE2555"/>
    <w:rsid w:val="00BE2677"/>
    <w:rsid w:val="00BE29F5"/>
    <w:rsid w:val="00BE2EB5"/>
    <w:rsid w:val="00BE38AD"/>
    <w:rsid w:val="00BE448A"/>
    <w:rsid w:val="00BE7275"/>
    <w:rsid w:val="00BE7530"/>
    <w:rsid w:val="00BE75BF"/>
    <w:rsid w:val="00BE7F76"/>
    <w:rsid w:val="00BF01BE"/>
    <w:rsid w:val="00BF129D"/>
    <w:rsid w:val="00BF183E"/>
    <w:rsid w:val="00BF1BD8"/>
    <w:rsid w:val="00BF1E58"/>
    <w:rsid w:val="00BF25B8"/>
    <w:rsid w:val="00BF313A"/>
    <w:rsid w:val="00BF36C6"/>
    <w:rsid w:val="00BF3923"/>
    <w:rsid w:val="00BF39B9"/>
    <w:rsid w:val="00BF3A7E"/>
    <w:rsid w:val="00BF457E"/>
    <w:rsid w:val="00BF48CA"/>
    <w:rsid w:val="00BF5278"/>
    <w:rsid w:val="00BF5F1A"/>
    <w:rsid w:val="00BF6730"/>
    <w:rsid w:val="00BF67C2"/>
    <w:rsid w:val="00BF6D08"/>
    <w:rsid w:val="00BF6FF1"/>
    <w:rsid w:val="00C00694"/>
    <w:rsid w:val="00C00B53"/>
    <w:rsid w:val="00C0131E"/>
    <w:rsid w:val="00C01AFB"/>
    <w:rsid w:val="00C02EAE"/>
    <w:rsid w:val="00C03228"/>
    <w:rsid w:val="00C0323C"/>
    <w:rsid w:val="00C0364B"/>
    <w:rsid w:val="00C04C9F"/>
    <w:rsid w:val="00C0514B"/>
    <w:rsid w:val="00C0564D"/>
    <w:rsid w:val="00C056B0"/>
    <w:rsid w:val="00C064B9"/>
    <w:rsid w:val="00C0662C"/>
    <w:rsid w:val="00C067C3"/>
    <w:rsid w:val="00C06933"/>
    <w:rsid w:val="00C06B79"/>
    <w:rsid w:val="00C06D63"/>
    <w:rsid w:val="00C078D1"/>
    <w:rsid w:val="00C07B9F"/>
    <w:rsid w:val="00C07C20"/>
    <w:rsid w:val="00C101D8"/>
    <w:rsid w:val="00C11AA5"/>
    <w:rsid w:val="00C1223E"/>
    <w:rsid w:val="00C12A95"/>
    <w:rsid w:val="00C12AB7"/>
    <w:rsid w:val="00C137F2"/>
    <w:rsid w:val="00C13A09"/>
    <w:rsid w:val="00C13D92"/>
    <w:rsid w:val="00C13DE0"/>
    <w:rsid w:val="00C13F35"/>
    <w:rsid w:val="00C140AD"/>
    <w:rsid w:val="00C14596"/>
    <w:rsid w:val="00C14A48"/>
    <w:rsid w:val="00C15671"/>
    <w:rsid w:val="00C1611F"/>
    <w:rsid w:val="00C16220"/>
    <w:rsid w:val="00C16594"/>
    <w:rsid w:val="00C16635"/>
    <w:rsid w:val="00C17329"/>
    <w:rsid w:val="00C2032B"/>
    <w:rsid w:val="00C203AE"/>
    <w:rsid w:val="00C20AB7"/>
    <w:rsid w:val="00C217CE"/>
    <w:rsid w:val="00C219A7"/>
    <w:rsid w:val="00C2221B"/>
    <w:rsid w:val="00C23111"/>
    <w:rsid w:val="00C23120"/>
    <w:rsid w:val="00C2328B"/>
    <w:rsid w:val="00C23F01"/>
    <w:rsid w:val="00C24D15"/>
    <w:rsid w:val="00C25225"/>
    <w:rsid w:val="00C25554"/>
    <w:rsid w:val="00C2711C"/>
    <w:rsid w:val="00C27337"/>
    <w:rsid w:val="00C2773F"/>
    <w:rsid w:val="00C31071"/>
    <w:rsid w:val="00C3118C"/>
    <w:rsid w:val="00C31C42"/>
    <w:rsid w:val="00C31D99"/>
    <w:rsid w:val="00C33072"/>
    <w:rsid w:val="00C33111"/>
    <w:rsid w:val="00C334B6"/>
    <w:rsid w:val="00C335E5"/>
    <w:rsid w:val="00C340F3"/>
    <w:rsid w:val="00C34343"/>
    <w:rsid w:val="00C35763"/>
    <w:rsid w:val="00C36D17"/>
    <w:rsid w:val="00C37735"/>
    <w:rsid w:val="00C37792"/>
    <w:rsid w:val="00C37B09"/>
    <w:rsid w:val="00C37B71"/>
    <w:rsid w:val="00C40746"/>
    <w:rsid w:val="00C409E5"/>
    <w:rsid w:val="00C40A88"/>
    <w:rsid w:val="00C40B59"/>
    <w:rsid w:val="00C4160F"/>
    <w:rsid w:val="00C42400"/>
    <w:rsid w:val="00C431C5"/>
    <w:rsid w:val="00C435CF"/>
    <w:rsid w:val="00C437AA"/>
    <w:rsid w:val="00C44B40"/>
    <w:rsid w:val="00C44D65"/>
    <w:rsid w:val="00C45190"/>
    <w:rsid w:val="00C45254"/>
    <w:rsid w:val="00C45536"/>
    <w:rsid w:val="00C456AF"/>
    <w:rsid w:val="00C45765"/>
    <w:rsid w:val="00C46CA5"/>
    <w:rsid w:val="00C472A3"/>
    <w:rsid w:val="00C47C94"/>
    <w:rsid w:val="00C47EAD"/>
    <w:rsid w:val="00C50B77"/>
    <w:rsid w:val="00C50C91"/>
    <w:rsid w:val="00C51843"/>
    <w:rsid w:val="00C524CC"/>
    <w:rsid w:val="00C526AB"/>
    <w:rsid w:val="00C5333A"/>
    <w:rsid w:val="00C53768"/>
    <w:rsid w:val="00C54132"/>
    <w:rsid w:val="00C54148"/>
    <w:rsid w:val="00C543BC"/>
    <w:rsid w:val="00C54519"/>
    <w:rsid w:val="00C557A4"/>
    <w:rsid w:val="00C57063"/>
    <w:rsid w:val="00C57A31"/>
    <w:rsid w:val="00C57B53"/>
    <w:rsid w:val="00C60810"/>
    <w:rsid w:val="00C60AAC"/>
    <w:rsid w:val="00C60CF0"/>
    <w:rsid w:val="00C61BD2"/>
    <w:rsid w:val="00C63A44"/>
    <w:rsid w:val="00C64CC8"/>
    <w:rsid w:val="00C65B1C"/>
    <w:rsid w:val="00C65CD5"/>
    <w:rsid w:val="00C670CC"/>
    <w:rsid w:val="00C707E0"/>
    <w:rsid w:val="00C7096D"/>
    <w:rsid w:val="00C70DF7"/>
    <w:rsid w:val="00C70E0C"/>
    <w:rsid w:val="00C7153B"/>
    <w:rsid w:val="00C71601"/>
    <w:rsid w:val="00C7172B"/>
    <w:rsid w:val="00C71806"/>
    <w:rsid w:val="00C7183E"/>
    <w:rsid w:val="00C73595"/>
    <w:rsid w:val="00C73970"/>
    <w:rsid w:val="00C74181"/>
    <w:rsid w:val="00C74844"/>
    <w:rsid w:val="00C748FE"/>
    <w:rsid w:val="00C74ADC"/>
    <w:rsid w:val="00C74B9D"/>
    <w:rsid w:val="00C74EFE"/>
    <w:rsid w:val="00C75006"/>
    <w:rsid w:val="00C75948"/>
    <w:rsid w:val="00C75A12"/>
    <w:rsid w:val="00C75C71"/>
    <w:rsid w:val="00C75FF8"/>
    <w:rsid w:val="00C76488"/>
    <w:rsid w:val="00C764B4"/>
    <w:rsid w:val="00C76BFB"/>
    <w:rsid w:val="00C77683"/>
    <w:rsid w:val="00C77FD3"/>
    <w:rsid w:val="00C8016A"/>
    <w:rsid w:val="00C80367"/>
    <w:rsid w:val="00C810FD"/>
    <w:rsid w:val="00C81799"/>
    <w:rsid w:val="00C82242"/>
    <w:rsid w:val="00C82378"/>
    <w:rsid w:val="00C82E2A"/>
    <w:rsid w:val="00C82F6E"/>
    <w:rsid w:val="00C83170"/>
    <w:rsid w:val="00C83813"/>
    <w:rsid w:val="00C84161"/>
    <w:rsid w:val="00C8438F"/>
    <w:rsid w:val="00C843B6"/>
    <w:rsid w:val="00C84A89"/>
    <w:rsid w:val="00C857FA"/>
    <w:rsid w:val="00C862AC"/>
    <w:rsid w:val="00C862B5"/>
    <w:rsid w:val="00C86482"/>
    <w:rsid w:val="00C874CF"/>
    <w:rsid w:val="00C879EF"/>
    <w:rsid w:val="00C87C09"/>
    <w:rsid w:val="00C87E57"/>
    <w:rsid w:val="00C87EAF"/>
    <w:rsid w:val="00C90350"/>
    <w:rsid w:val="00C9052E"/>
    <w:rsid w:val="00C9077D"/>
    <w:rsid w:val="00C91203"/>
    <w:rsid w:val="00C92E5C"/>
    <w:rsid w:val="00C9353D"/>
    <w:rsid w:val="00C93658"/>
    <w:rsid w:val="00C936C0"/>
    <w:rsid w:val="00C94AEF"/>
    <w:rsid w:val="00C950C7"/>
    <w:rsid w:val="00C954EF"/>
    <w:rsid w:val="00C95577"/>
    <w:rsid w:val="00C9752F"/>
    <w:rsid w:val="00CA004A"/>
    <w:rsid w:val="00CA10F0"/>
    <w:rsid w:val="00CA3131"/>
    <w:rsid w:val="00CA3329"/>
    <w:rsid w:val="00CA3440"/>
    <w:rsid w:val="00CA3503"/>
    <w:rsid w:val="00CA4165"/>
    <w:rsid w:val="00CA5E59"/>
    <w:rsid w:val="00CA5EC0"/>
    <w:rsid w:val="00CB1152"/>
    <w:rsid w:val="00CB1ABE"/>
    <w:rsid w:val="00CB1E3C"/>
    <w:rsid w:val="00CB225E"/>
    <w:rsid w:val="00CB3EAB"/>
    <w:rsid w:val="00CB41DA"/>
    <w:rsid w:val="00CB44FA"/>
    <w:rsid w:val="00CB468B"/>
    <w:rsid w:val="00CB4720"/>
    <w:rsid w:val="00CB499B"/>
    <w:rsid w:val="00CB4A77"/>
    <w:rsid w:val="00CB544C"/>
    <w:rsid w:val="00CB577A"/>
    <w:rsid w:val="00CB5F96"/>
    <w:rsid w:val="00CB6322"/>
    <w:rsid w:val="00CB641F"/>
    <w:rsid w:val="00CB6ACF"/>
    <w:rsid w:val="00CB6BA4"/>
    <w:rsid w:val="00CC0073"/>
    <w:rsid w:val="00CC048B"/>
    <w:rsid w:val="00CC0A99"/>
    <w:rsid w:val="00CC1497"/>
    <w:rsid w:val="00CC17F4"/>
    <w:rsid w:val="00CC1A54"/>
    <w:rsid w:val="00CC3651"/>
    <w:rsid w:val="00CC3735"/>
    <w:rsid w:val="00CC4B0E"/>
    <w:rsid w:val="00CC4E20"/>
    <w:rsid w:val="00CC503D"/>
    <w:rsid w:val="00CC519C"/>
    <w:rsid w:val="00CC51A8"/>
    <w:rsid w:val="00CC5DA1"/>
    <w:rsid w:val="00CD0472"/>
    <w:rsid w:val="00CD0CD3"/>
    <w:rsid w:val="00CD1E03"/>
    <w:rsid w:val="00CD2367"/>
    <w:rsid w:val="00CD247B"/>
    <w:rsid w:val="00CD2928"/>
    <w:rsid w:val="00CD36BD"/>
    <w:rsid w:val="00CD40A5"/>
    <w:rsid w:val="00CD468E"/>
    <w:rsid w:val="00CD5F66"/>
    <w:rsid w:val="00CD68B2"/>
    <w:rsid w:val="00CD746D"/>
    <w:rsid w:val="00CD778F"/>
    <w:rsid w:val="00CD78A2"/>
    <w:rsid w:val="00CD7D84"/>
    <w:rsid w:val="00CE044C"/>
    <w:rsid w:val="00CE0562"/>
    <w:rsid w:val="00CE1A4C"/>
    <w:rsid w:val="00CE1A57"/>
    <w:rsid w:val="00CE2A41"/>
    <w:rsid w:val="00CE2B55"/>
    <w:rsid w:val="00CE2D7C"/>
    <w:rsid w:val="00CE2FC5"/>
    <w:rsid w:val="00CE35D9"/>
    <w:rsid w:val="00CE3608"/>
    <w:rsid w:val="00CE3716"/>
    <w:rsid w:val="00CE41B4"/>
    <w:rsid w:val="00CE4CA2"/>
    <w:rsid w:val="00CE5056"/>
    <w:rsid w:val="00CE5A39"/>
    <w:rsid w:val="00CE5E5E"/>
    <w:rsid w:val="00CE6CEE"/>
    <w:rsid w:val="00CE73F7"/>
    <w:rsid w:val="00CE75C6"/>
    <w:rsid w:val="00CE77C4"/>
    <w:rsid w:val="00CE7922"/>
    <w:rsid w:val="00CE799C"/>
    <w:rsid w:val="00CE79FF"/>
    <w:rsid w:val="00CE7BDE"/>
    <w:rsid w:val="00CF0719"/>
    <w:rsid w:val="00CF0D4F"/>
    <w:rsid w:val="00CF10AD"/>
    <w:rsid w:val="00CF14FA"/>
    <w:rsid w:val="00CF1779"/>
    <w:rsid w:val="00CF19EA"/>
    <w:rsid w:val="00CF22C7"/>
    <w:rsid w:val="00CF2723"/>
    <w:rsid w:val="00CF46EF"/>
    <w:rsid w:val="00CF5119"/>
    <w:rsid w:val="00CF59FE"/>
    <w:rsid w:val="00CF68C2"/>
    <w:rsid w:val="00CF7A78"/>
    <w:rsid w:val="00D00A01"/>
    <w:rsid w:val="00D01CE9"/>
    <w:rsid w:val="00D02E32"/>
    <w:rsid w:val="00D0367D"/>
    <w:rsid w:val="00D037BB"/>
    <w:rsid w:val="00D03918"/>
    <w:rsid w:val="00D03E1B"/>
    <w:rsid w:val="00D03ED5"/>
    <w:rsid w:val="00D04751"/>
    <w:rsid w:val="00D06B00"/>
    <w:rsid w:val="00D10D1E"/>
    <w:rsid w:val="00D11255"/>
    <w:rsid w:val="00D12793"/>
    <w:rsid w:val="00D13AF0"/>
    <w:rsid w:val="00D14966"/>
    <w:rsid w:val="00D14B4B"/>
    <w:rsid w:val="00D14C55"/>
    <w:rsid w:val="00D14D7C"/>
    <w:rsid w:val="00D150F5"/>
    <w:rsid w:val="00D152DA"/>
    <w:rsid w:val="00D153FB"/>
    <w:rsid w:val="00D154BA"/>
    <w:rsid w:val="00D156C1"/>
    <w:rsid w:val="00D15797"/>
    <w:rsid w:val="00D16340"/>
    <w:rsid w:val="00D163BF"/>
    <w:rsid w:val="00D1710A"/>
    <w:rsid w:val="00D17182"/>
    <w:rsid w:val="00D200CB"/>
    <w:rsid w:val="00D20EF8"/>
    <w:rsid w:val="00D21051"/>
    <w:rsid w:val="00D21C41"/>
    <w:rsid w:val="00D22739"/>
    <w:rsid w:val="00D2285D"/>
    <w:rsid w:val="00D22A7D"/>
    <w:rsid w:val="00D22CB9"/>
    <w:rsid w:val="00D2335B"/>
    <w:rsid w:val="00D23406"/>
    <w:rsid w:val="00D23774"/>
    <w:rsid w:val="00D23FA8"/>
    <w:rsid w:val="00D245B4"/>
    <w:rsid w:val="00D250F0"/>
    <w:rsid w:val="00D25895"/>
    <w:rsid w:val="00D25999"/>
    <w:rsid w:val="00D25D68"/>
    <w:rsid w:val="00D2738E"/>
    <w:rsid w:val="00D30714"/>
    <w:rsid w:val="00D30BDF"/>
    <w:rsid w:val="00D30F27"/>
    <w:rsid w:val="00D313F3"/>
    <w:rsid w:val="00D31873"/>
    <w:rsid w:val="00D31A71"/>
    <w:rsid w:val="00D3233B"/>
    <w:rsid w:val="00D32F2B"/>
    <w:rsid w:val="00D333CB"/>
    <w:rsid w:val="00D33B42"/>
    <w:rsid w:val="00D340D0"/>
    <w:rsid w:val="00D34996"/>
    <w:rsid w:val="00D34CFD"/>
    <w:rsid w:val="00D350A0"/>
    <w:rsid w:val="00D351EA"/>
    <w:rsid w:val="00D3597D"/>
    <w:rsid w:val="00D35D39"/>
    <w:rsid w:val="00D35DE7"/>
    <w:rsid w:val="00D360F1"/>
    <w:rsid w:val="00D362F2"/>
    <w:rsid w:val="00D3651D"/>
    <w:rsid w:val="00D36939"/>
    <w:rsid w:val="00D36A64"/>
    <w:rsid w:val="00D371D4"/>
    <w:rsid w:val="00D41308"/>
    <w:rsid w:val="00D416D9"/>
    <w:rsid w:val="00D4193F"/>
    <w:rsid w:val="00D41DC6"/>
    <w:rsid w:val="00D41F07"/>
    <w:rsid w:val="00D42183"/>
    <w:rsid w:val="00D4289F"/>
    <w:rsid w:val="00D44003"/>
    <w:rsid w:val="00D44B71"/>
    <w:rsid w:val="00D44D98"/>
    <w:rsid w:val="00D4561F"/>
    <w:rsid w:val="00D4565E"/>
    <w:rsid w:val="00D45BD5"/>
    <w:rsid w:val="00D45D64"/>
    <w:rsid w:val="00D45E62"/>
    <w:rsid w:val="00D45F9F"/>
    <w:rsid w:val="00D468B7"/>
    <w:rsid w:val="00D46979"/>
    <w:rsid w:val="00D46A4A"/>
    <w:rsid w:val="00D47504"/>
    <w:rsid w:val="00D47A33"/>
    <w:rsid w:val="00D47CEB"/>
    <w:rsid w:val="00D50E80"/>
    <w:rsid w:val="00D50FCD"/>
    <w:rsid w:val="00D50FFE"/>
    <w:rsid w:val="00D520AD"/>
    <w:rsid w:val="00D524F9"/>
    <w:rsid w:val="00D533AB"/>
    <w:rsid w:val="00D53780"/>
    <w:rsid w:val="00D53812"/>
    <w:rsid w:val="00D53B76"/>
    <w:rsid w:val="00D53C78"/>
    <w:rsid w:val="00D540FC"/>
    <w:rsid w:val="00D542B2"/>
    <w:rsid w:val="00D54BBB"/>
    <w:rsid w:val="00D55314"/>
    <w:rsid w:val="00D55410"/>
    <w:rsid w:val="00D5555F"/>
    <w:rsid w:val="00D563E0"/>
    <w:rsid w:val="00D564A5"/>
    <w:rsid w:val="00D56674"/>
    <w:rsid w:val="00D56B4B"/>
    <w:rsid w:val="00D56BA9"/>
    <w:rsid w:val="00D56DF2"/>
    <w:rsid w:val="00D575F9"/>
    <w:rsid w:val="00D613DC"/>
    <w:rsid w:val="00D61675"/>
    <w:rsid w:val="00D636F4"/>
    <w:rsid w:val="00D63AC8"/>
    <w:rsid w:val="00D63B70"/>
    <w:rsid w:val="00D63C14"/>
    <w:rsid w:val="00D65B9F"/>
    <w:rsid w:val="00D65F6F"/>
    <w:rsid w:val="00D66329"/>
    <w:rsid w:val="00D66593"/>
    <w:rsid w:val="00D66760"/>
    <w:rsid w:val="00D66EF9"/>
    <w:rsid w:val="00D7028F"/>
    <w:rsid w:val="00D707A4"/>
    <w:rsid w:val="00D711C3"/>
    <w:rsid w:val="00D72616"/>
    <w:rsid w:val="00D731A6"/>
    <w:rsid w:val="00D75276"/>
    <w:rsid w:val="00D75527"/>
    <w:rsid w:val="00D758B4"/>
    <w:rsid w:val="00D75E01"/>
    <w:rsid w:val="00D75E20"/>
    <w:rsid w:val="00D767DE"/>
    <w:rsid w:val="00D767EF"/>
    <w:rsid w:val="00D7703C"/>
    <w:rsid w:val="00D8041C"/>
    <w:rsid w:val="00D80583"/>
    <w:rsid w:val="00D8176F"/>
    <w:rsid w:val="00D82361"/>
    <w:rsid w:val="00D827A9"/>
    <w:rsid w:val="00D82D5D"/>
    <w:rsid w:val="00D835F4"/>
    <w:rsid w:val="00D8485F"/>
    <w:rsid w:val="00D84F3C"/>
    <w:rsid w:val="00D8502A"/>
    <w:rsid w:val="00D85076"/>
    <w:rsid w:val="00D85308"/>
    <w:rsid w:val="00D85CF3"/>
    <w:rsid w:val="00D85ED4"/>
    <w:rsid w:val="00D86001"/>
    <w:rsid w:val="00D8619A"/>
    <w:rsid w:val="00D86830"/>
    <w:rsid w:val="00D86986"/>
    <w:rsid w:val="00D86B84"/>
    <w:rsid w:val="00D872A7"/>
    <w:rsid w:val="00D87408"/>
    <w:rsid w:val="00D90453"/>
    <w:rsid w:val="00D904C5"/>
    <w:rsid w:val="00D909CB"/>
    <w:rsid w:val="00D91D20"/>
    <w:rsid w:val="00D92667"/>
    <w:rsid w:val="00D92B98"/>
    <w:rsid w:val="00D93638"/>
    <w:rsid w:val="00D93877"/>
    <w:rsid w:val="00D93D68"/>
    <w:rsid w:val="00D93DCB"/>
    <w:rsid w:val="00D9448D"/>
    <w:rsid w:val="00D95019"/>
    <w:rsid w:val="00D95F51"/>
    <w:rsid w:val="00D96F93"/>
    <w:rsid w:val="00D97632"/>
    <w:rsid w:val="00D97712"/>
    <w:rsid w:val="00D97B74"/>
    <w:rsid w:val="00DA05A5"/>
    <w:rsid w:val="00DA099E"/>
    <w:rsid w:val="00DA09A9"/>
    <w:rsid w:val="00DA0AB4"/>
    <w:rsid w:val="00DA1071"/>
    <w:rsid w:val="00DA125D"/>
    <w:rsid w:val="00DA1287"/>
    <w:rsid w:val="00DA1A73"/>
    <w:rsid w:val="00DA1C3B"/>
    <w:rsid w:val="00DA2D45"/>
    <w:rsid w:val="00DA3139"/>
    <w:rsid w:val="00DA3196"/>
    <w:rsid w:val="00DA34D5"/>
    <w:rsid w:val="00DA4789"/>
    <w:rsid w:val="00DA4BC1"/>
    <w:rsid w:val="00DA56FD"/>
    <w:rsid w:val="00DA5AAB"/>
    <w:rsid w:val="00DA5BA5"/>
    <w:rsid w:val="00DA5C97"/>
    <w:rsid w:val="00DA60F0"/>
    <w:rsid w:val="00DA6101"/>
    <w:rsid w:val="00DA65AE"/>
    <w:rsid w:val="00DA66E5"/>
    <w:rsid w:val="00DA6923"/>
    <w:rsid w:val="00DA766B"/>
    <w:rsid w:val="00DB0348"/>
    <w:rsid w:val="00DB1487"/>
    <w:rsid w:val="00DB1656"/>
    <w:rsid w:val="00DB1AC0"/>
    <w:rsid w:val="00DB21E2"/>
    <w:rsid w:val="00DB2CFC"/>
    <w:rsid w:val="00DB33D9"/>
    <w:rsid w:val="00DB3468"/>
    <w:rsid w:val="00DB3B93"/>
    <w:rsid w:val="00DB4F0D"/>
    <w:rsid w:val="00DB7034"/>
    <w:rsid w:val="00DB7187"/>
    <w:rsid w:val="00DB7269"/>
    <w:rsid w:val="00DB7CA4"/>
    <w:rsid w:val="00DC0594"/>
    <w:rsid w:val="00DC1609"/>
    <w:rsid w:val="00DC166F"/>
    <w:rsid w:val="00DC28EA"/>
    <w:rsid w:val="00DC3207"/>
    <w:rsid w:val="00DC331E"/>
    <w:rsid w:val="00DC36C2"/>
    <w:rsid w:val="00DC421D"/>
    <w:rsid w:val="00DC4E7D"/>
    <w:rsid w:val="00DC4EE8"/>
    <w:rsid w:val="00DC5450"/>
    <w:rsid w:val="00DC5856"/>
    <w:rsid w:val="00DC6554"/>
    <w:rsid w:val="00DC65E2"/>
    <w:rsid w:val="00DD0AB8"/>
    <w:rsid w:val="00DD0CBD"/>
    <w:rsid w:val="00DD0D4A"/>
    <w:rsid w:val="00DD19B0"/>
    <w:rsid w:val="00DD1B53"/>
    <w:rsid w:val="00DD1EEE"/>
    <w:rsid w:val="00DD2BBC"/>
    <w:rsid w:val="00DD3AD9"/>
    <w:rsid w:val="00DD3C75"/>
    <w:rsid w:val="00DD3DF5"/>
    <w:rsid w:val="00DD43E7"/>
    <w:rsid w:val="00DD48B8"/>
    <w:rsid w:val="00DD4AFD"/>
    <w:rsid w:val="00DD5452"/>
    <w:rsid w:val="00DD547C"/>
    <w:rsid w:val="00DD592D"/>
    <w:rsid w:val="00DD6A7F"/>
    <w:rsid w:val="00DD6EB7"/>
    <w:rsid w:val="00DD731D"/>
    <w:rsid w:val="00DD762D"/>
    <w:rsid w:val="00DD77C4"/>
    <w:rsid w:val="00DD7A72"/>
    <w:rsid w:val="00DD7A79"/>
    <w:rsid w:val="00DE0248"/>
    <w:rsid w:val="00DE0604"/>
    <w:rsid w:val="00DE1D11"/>
    <w:rsid w:val="00DE2239"/>
    <w:rsid w:val="00DE2C0F"/>
    <w:rsid w:val="00DE315E"/>
    <w:rsid w:val="00DE3A72"/>
    <w:rsid w:val="00DE4756"/>
    <w:rsid w:val="00DE4AC6"/>
    <w:rsid w:val="00DE4DF1"/>
    <w:rsid w:val="00DE51AD"/>
    <w:rsid w:val="00DE54D8"/>
    <w:rsid w:val="00DE5B49"/>
    <w:rsid w:val="00DE5E1D"/>
    <w:rsid w:val="00DE5FC3"/>
    <w:rsid w:val="00DE6656"/>
    <w:rsid w:val="00DE6896"/>
    <w:rsid w:val="00DE6F57"/>
    <w:rsid w:val="00DE72C6"/>
    <w:rsid w:val="00DE7A71"/>
    <w:rsid w:val="00DE7D32"/>
    <w:rsid w:val="00DF0203"/>
    <w:rsid w:val="00DF0AFB"/>
    <w:rsid w:val="00DF0F1E"/>
    <w:rsid w:val="00DF15F7"/>
    <w:rsid w:val="00DF23CD"/>
    <w:rsid w:val="00DF23E4"/>
    <w:rsid w:val="00DF27BF"/>
    <w:rsid w:val="00DF305B"/>
    <w:rsid w:val="00DF354A"/>
    <w:rsid w:val="00DF3E63"/>
    <w:rsid w:val="00DF43AE"/>
    <w:rsid w:val="00DF4D71"/>
    <w:rsid w:val="00DF5872"/>
    <w:rsid w:val="00DF60EC"/>
    <w:rsid w:val="00DF71B1"/>
    <w:rsid w:val="00E006D9"/>
    <w:rsid w:val="00E013AC"/>
    <w:rsid w:val="00E024F3"/>
    <w:rsid w:val="00E02D4F"/>
    <w:rsid w:val="00E0306B"/>
    <w:rsid w:val="00E0379F"/>
    <w:rsid w:val="00E03F3D"/>
    <w:rsid w:val="00E0412F"/>
    <w:rsid w:val="00E05CAA"/>
    <w:rsid w:val="00E066DD"/>
    <w:rsid w:val="00E06808"/>
    <w:rsid w:val="00E06D30"/>
    <w:rsid w:val="00E06D6D"/>
    <w:rsid w:val="00E0733F"/>
    <w:rsid w:val="00E07794"/>
    <w:rsid w:val="00E11435"/>
    <w:rsid w:val="00E1146B"/>
    <w:rsid w:val="00E115FA"/>
    <w:rsid w:val="00E12128"/>
    <w:rsid w:val="00E130A7"/>
    <w:rsid w:val="00E13633"/>
    <w:rsid w:val="00E13A6A"/>
    <w:rsid w:val="00E13BFC"/>
    <w:rsid w:val="00E141A0"/>
    <w:rsid w:val="00E143FE"/>
    <w:rsid w:val="00E144C1"/>
    <w:rsid w:val="00E14F97"/>
    <w:rsid w:val="00E1595F"/>
    <w:rsid w:val="00E171EF"/>
    <w:rsid w:val="00E17ECA"/>
    <w:rsid w:val="00E20173"/>
    <w:rsid w:val="00E206C8"/>
    <w:rsid w:val="00E2096E"/>
    <w:rsid w:val="00E20A32"/>
    <w:rsid w:val="00E20E98"/>
    <w:rsid w:val="00E21017"/>
    <w:rsid w:val="00E21266"/>
    <w:rsid w:val="00E21AE2"/>
    <w:rsid w:val="00E21D5F"/>
    <w:rsid w:val="00E21DBD"/>
    <w:rsid w:val="00E21EE4"/>
    <w:rsid w:val="00E2297D"/>
    <w:rsid w:val="00E22BB2"/>
    <w:rsid w:val="00E22C5C"/>
    <w:rsid w:val="00E22C63"/>
    <w:rsid w:val="00E22D3E"/>
    <w:rsid w:val="00E22DF0"/>
    <w:rsid w:val="00E2365C"/>
    <w:rsid w:val="00E2365F"/>
    <w:rsid w:val="00E23A9E"/>
    <w:rsid w:val="00E23CAC"/>
    <w:rsid w:val="00E23CFB"/>
    <w:rsid w:val="00E24077"/>
    <w:rsid w:val="00E24101"/>
    <w:rsid w:val="00E24C54"/>
    <w:rsid w:val="00E24EAA"/>
    <w:rsid w:val="00E26CEF"/>
    <w:rsid w:val="00E277DD"/>
    <w:rsid w:val="00E279EC"/>
    <w:rsid w:val="00E27EA4"/>
    <w:rsid w:val="00E3063C"/>
    <w:rsid w:val="00E307AC"/>
    <w:rsid w:val="00E30C25"/>
    <w:rsid w:val="00E30E66"/>
    <w:rsid w:val="00E3149B"/>
    <w:rsid w:val="00E31785"/>
    <w:rsid w:val="00E32270"/>
    <w:rsid w:val="00E32295"/>
    <w:rsid w:val="00E34473"/>
    <w:rsid w:val="00E34805"/>
    <w:rsid w:val="00E35408"/>
    <w:rsid w:val="00E35C16"/>
    <w:rsid w:val="00E35C23"/>
    <w:rsid w:val="00E36514"/>
    <w:rsid w:val="00E36C63"/>
    <w:rsid w:val="00E36FA7"/>
    <w:rsid w:val="00E370F4"/>
    <w:rsid w:val="00E37AA1"/>
    <w:rsid w:val="00E37CE9"/>
    <w:rsid w:val="00E418D4"/>
    <w:rsid w:val="00E41C38"/>
    <w:rsid w:val="00E41E09"/>
    <w:rsid w:val="00E42B77"/>
    <w:rsid w:val="00E42D8D"/>
    <w:rsid w:val="00E43029"/>
    <w:rsid w:val="00E437AB"/>
    <w:rsid w:val="00E43CE9"/>
    <w:rsid w:val="00E44016"/>
    <w:rsid w:val="00E45773"/>
    <w:rsid w:val="00E460B8"/>
    <w:rsid w:val="00E4654D"/>
    <w:rsid w:val="00E46AF3"/>
    <w:rsid w:val="00E46C21"/>
    <w:rsid w:val="00E46D0D"/>
    <w:rsid w:val="00E472ED"/>
    <w:rsid w:val="00E4742B"/>
    <w:rsid w:val="00E476B5"/>
    <w:rsid w:val="00E47E9E"/>
    <w:rsid w:val="00E50949"/>
    <w:rsid w:val="00E50B30"/>
    <w:rsid w:val="00E50C81"/>
    <w:rsid w:val="00E50D4F"/>
    <w:rsid w:val="00E515CE"/>
    <w:rsid w:val="00E51FF6"/>
    <w:rsid w:val="00E52262"/>
    <w:rsid w:val="00E53DE4"/>
    <w:rsid w:val="00E54242"/>
    <w:rsid w:val="00E54F7D"/>
    <w:rsid w:val="00E555E4"/>
    <w:rsid w:val="00E55C80"/>
    <w:rsid w:val="00E56CEE"/>
    <w:rsid w:val="00E57640"/>
    <w:rsid w:val="00E577CD"/>
    <w:rsid w:val="00E57C00"/>
    <w:rsid w:val="00E60B88"/>
    <w:rsid w:val="00E60DA1"/>
    <w:rsid w:val="00E60EB3"/>
    <w:rsid w:val="00E62029"/>
    <w:rsid w:val="00E625BE"/>
    <w:rsid w:val="00E62803"/>
    <w:rsid w:val="00E62B6E"/>
    <w:rsid w:val="00E63150"/>
    <w:rsid w:val="00E6356C"/>
    <w:rsid w:val="00E64B88"/>
    <w:rsid w:val="00E65402"/>
    <w:rsid w:val="00E658B4"/>
    <w:rsid w:val="00E6645C"/>
    <w:rsid w:val="00E666C6"/>
    <w:rsid w:val="00E66C1D"/>
    <w:rsid w:val="00E67FFA"/>
    <w:rsid w:val="00E70A07"/>
    <w:rsid w:val="00E71691"/>
    <w:rsid w:val="00E71820"/>
    <w:rsid w:val="00E72E9B"/>
    <w:rsid w:val="00E734FD"/>
    <w:rsid w:val="00E739CF"/>
    <w:rsid w:val="00E740CC"/>
    <w:rsid w:val="00E74251"/>
    <w:rsid w:val="00E756E2"/>
    <w:rsid w:val="00E765F7"/>
    <w:rsid w:val="00E7729A"/>
    <w:rsid w:val="00E775ED"/>
    <w:rsid w:val="00E77B6E"/>
    <w:rsid w:val="00E803CC"/>
    <w:rsid w:val="00E804D6"/>
    <w:rsid w:val="00E80C88"/>
    <w:rsid w:val="00E811AD"/>
    <w:rsid w:val="00E816F7"/>
    <w:rsid w:val="00E81FFE"/>
    <w:rsid w:val="00E82624"/>
    <w:rsid w:val="00E8350B"/>
    <w:rsid w:val="00E83F29"/>
    <w:rsid w:val="00E840EA"/>
    <w:rsid w:val="00E84114"/>
    <w:rsid w:val="00E8442A"/>
    <w:rsid w:val="00E8449B"/>
    <w:rsid w:val="00E84600"/>
    <w:rsid w:val="00E85281"/>
    <w:rsid w:val="00E85E86"/>
    <w:rsid w:val="00E86A33"/>
    <w:rsid w:val="00E86EC6"/>
    <w:rsid w:val="00E87E2B"/>
    <w:rsid w:val="00E90FCD"/>
    <w:rsid w:val="00E91272"/>
    <w:rsid w:val="00E9129B"/>
    <w:rsid w:val="00E92E25"/>
    <w:rsid w:val="00E942A2"/>
    <w:rsid w:val="00E942CC"/>
    <w:rsid w:val="00E94467"/>
    <w:rsid w:val="00E94614"/>
    <w:rsid w:val="00E94D9A"/>
    <w:rsid w:val="00E950DF"/>
    <w:rsid w:val="00E95276"/>
    <w:rsid w:val="00E95DA8"/>
    <w:rsid w:val="00E967D0"/>
    <w:rsid w:val="00E971CE"/>
    <w:rsid w:val="00E97808"/>
    <w:rsid w:val="00E97811"/>
    <w:rsid w:val="00E978C2"/>
    <w:rsid w:val="00EA0CC9"/>
    <w:rsid w:val="00EA156E"/>
    <w:rsid w:val="00EA1E87"/>
    <w:rsid w:val="00EA2110"/>
    <w:rsid w:val="00EA27C3"/>
    <w:rsid w:val="00EA2A00"/>
    <w:rsid w:val="00EA2CE7"/>
    <w:rsid w:val="00EA2FB1"/>
    <w:rsid w:val="00EA3926"/>
    <w:rsid w:val="00EA3A73"/>
    <w:rsid w:val="00EA4B1E"/>
    <w:rsid w:val="00EA536F"/>
    <w:rsid w:val="00EA555B"/>
    <w:rsid w:val="00EA6691"/>
    <w:rsid w:val="00EA733A"/>
    <w:rsid w:val="00EB01E9"/>
    <w:rsid w:val="00EB0249"/>
    <w:rsid w:val="00EB0588"/>
    <w:rsid w:val="00EB07DA"/>
    <w:rsid w:val="00EB09BD"/>
    <w:rsid w:val="00EB17BC"/>
    <w:rsid w:val="00EB1A21"/>
    <w:rsid w:val="00EB21DB"/>
    <w:rsid w:val="00EB23B9"/>
    <w:rsid w:val="00EB2643"/>
    <w:rsid w:val="00EB276D"/>
    <w:rsid w:val="00EB34D8"/>
    <w:rsid w:val="00EB42F5"/>
    <w:rsid w:val="00EB4679"/>
    <w:rsid w:val="00EB4D28"/>
    <w:rsid w:val="00EB5EEB"/>
    <w:rsid w:val="00EB65DB"/>
    <w:rsid w:val="00EB72C1"/>
    <w:rsid w:val="00EB75B5"/>
    <w:rsid w:val="00EB7668"/>
    <w:rsid w:val="00EB7B41"/>
    <w:rsid w:val="00EC04C4"/>
    <w:rsid w:val="00EC0D47"/>
    <w:rsid w:val="00EC0E96"/>
    <w:rsid w:val="00EC1870"/>
    <w:rsid w:val="00EC196E"/>
    <w:rsid w:val="00EC25B3"/>
    <w:rsid w:val="00EC2F73"/>
    <w:rsid w:val="00EC4638"/>
    <w:rsid w:val="00EC4902"/>
    <w:rsid w:val="00EC5887"/>
    <w:rsid w:val="00EC5C9A"/>
    <w:rsid w:val="00EC66CD"/>
    <w:rsid w:val="00EC6FDE"/>
    <w:rsid w:val="00EC72FA"/>
    <w:rsid w:val="00EC7BE2"/>
    <w:rsid w:val="00EC7DD1"/>
    <w:rsid w:val="00ED0285"/>
    <w:rsid w:val="00ED0C0B"/>
    <w:rsid w:val="00ED0CF8"/>
    <w:rsid w:val="00ED0EB1"/>
    <w:rsid w:val="00ED14CF"/>
    <w:rsid w:val="00ED1AC0"/>
    <w:rsid w:val="00ED388E"/>
    <w:rsid w:val="00ED3DD3"/>
    <w:rsid w:val="00ED428B"/>
    <w:rsid w:val="00ED435E"/>
    <w:rsid w:val="00ED4A12"/>
    <w:rsid w:val="00ED4A75"/>
    <w:rsid w:val="00ED529B"/>
    <w:rsid w:val="00ED531D"/>
    <w:rsid w:val="00ED55E2"/>
    <w:rsid w:val="00ED57A2"/>
    <w:rsid w:val="00ED5F48"/>
    <w:rsid w:val="00ED61E1"/>
    <w:rsid w:val="00ED661F"/>
    <w:rsid w:val="00ED6710"/>
    <w:rsid w:val="00ED69D2"/>
    <w:rsid w:val="00ED6A45"/>
    <w:rsid w:val="00ED6DBE"/>
    <w:rsid w:val="00ED70DF"/>
    <w:rsid w:val="00ED714E"/>
    <w:rsid w:val="00ED7333"/>
    <w:rsid w:val="00ED75CF"/>
    <w:rsid w:val="00ED793A"/>
    <w:rsid w:val="00ED79A1"/>
    <w:rsid w:val="00ED7EB9"/>
    <w:rsid w:val="00EE01C9"/>
    <w:rsid w:val="00EE02BD"/>
    <w:rsid w:val="00EE0499"/>
    <w:rsid w:val="00EE07FD"/>
    <w:rsid w:val="00EE0EE9"/>
    <w:rsid w:val="00EE1D29"/>
    <w:rsid w:val="00EE2D4B"/>
    <w:rsid w:val="00EE34D7"/>
    <w:rsid w:val="00EE37D7"/>
    <w:rsid w:val="00EE438D"/>
    <w:rsid w:val="00EE448B"/>
    <w:rsid w:val="00EE4608"/>
    <w:rsid w:val="00EE4AA4"/>
    <w:rsid w:val="00EE54CB"/>
    <w:rsid w:val="00EE57A6"/>
    <w:rsid w:val="00EE5C2A"/>
    <w:rsid w:val="00EE7742"/>
    <w:rsid w:val="00EE793B"/>
    <w:rsid w:val="00EE7A30"/>
    <w:rsid w:val="00EE7A90"/>
    <w:rsid w:val="00EF0357"/>
    <w:rsid w:val="00EF06EE"/>
    <w:rsid w:val="00EF183A"/>
    <w:rsid w:val="00EF19DA"/>
    <w:rsid w:val="00EF20AF"/>
    <w:rsid w:val="00EF2237"/>
    <w:rsid w:val="00EF2780"/>
    <w:rsid w:val="00EF3790"/>
    <w:rsid w:val="00EF39E6"/>
    <w:rsid w:val="00EF3AF1"/>
    <w:rsid w:val="00EF41C2"/>
    <w:rsid w:val="00EF45BC"/>
    <w:rsid w:val="00EF4BEE"/>
    <w:rsid w:val="00EF583A"/>
    <w:rsid w:val="00EF64B9"/>
    <w:rsid w:val="00EF68F9"/>
    <w:rsid w:val="00EF6E6E"/>
    <w:rsid w:val="00F00317"/>
    <w:rsid w:val="00F0088D"/>
    <w:rsid w:val="00F01C93"/>
    <w:rsid w:val="00F01F51"/>
    <w:rsid w:val="00F0208E"/>
    <w:rsid w:val="00F02353"/>
    <w:rsid w:val="00F024DD"/>
    <w:rsid w:val="00F02B01"/>
    <w:rsid w:val="00F02D34"/>
    <w:rsid w:val="00F03AB2"/>
    <w:rsid w:val="00F04908"/>
    <w:rsid w:val="00F05825"/>
    <w:rsid w:val="00F061EB"/>
    <w:rsid w:val="00F066D6"/>
    <w:rsid w:val="00F07273"/>
    <w:rsid w:val="00F10CED"/>
    <w:rsid w:val="00F118A5"/>
    <w:rsid w:val="00F11FF0"/>
    <w:rsid w:val="00F1221C"/>
    <w:rsid w:val="00F13307"/>
    <w:rsid w:val="00F133C7"/>
    <w:rsid w:val="00F143F6"/>
    <w:rsid w:val="00F14DA5"/>
    <w:rsid w:val="00F14E66"/>
    <w:rsid w:val="00F15257"/>
    <w:rsid w:val="00F1574A"/>
    <w:rsid w:val="00F15A8D"/>
    <w:rsid w:val="00F1628D"/>
    <w:rsid w:val="00F163A7"/>
    <w:rsid w:val="00F16D40"/>
    <w:rsid w:val="00F1746A"/>
    <w:rsid w:val="00F20949"/>
    <w:rsid w:val="00F209D2"/>
    <w:rsid w:val="00F20E01"/>
    <w:rsid w:val="00F214F6"/>
    <w:rsid w:val="00F21572"/>
    <w:rsid w:val="00F21C04"/>
    <w:rsid w:val="00F2260F"/>
    <w:rsid w:val="00F2310E"/>
    <w:rsid w:val="00F23D65"/>
    <w:rsid w:val="00F23FA1"/>
    <w:rsid w:val="00F24044"/>
    <w:rsid w:val="00F251CD"/>
    <w:rsid w:val="00F252AF"/>
    <w:rsid w:val="00F257FC"/>
    <w:rsid w:val="00F2591E"/>
    <w:rsid w:val="00F25D54"/>
    <w:rsid w:val="00F26946"/>
    <w:rsid w:val="00F26B28"/>
    <w:rsid w:val="00F31537"/>
    <w:rsid w:val="00F31BE3"/>
    <w:rsid w:val="00F31E71"/>
    <w:rsid w:val="00F32334"/>
    <w:rsid w:val="00F32770"/>
    <w:rsid w:val="00F335DD"/>
    <w:rsid w:val="00F336E1"/>
    <w:rsid w:val="00F33B5A"/>
    <w:rsid w:val="00F340AA"/>
    <w:rsid w:val="00F34671"/>
    <w:rsid w:val="00F34FCD"/>
    <w:rsid w:val="00F36961"/>
    <w:rsid w:val="00F36EBB"/>
    <w:rsid w:val="00F3769A"/>
    <w:rsid w:val="00F37731"/>
    <w:rsid w:val="00F37B45"/>
    <w:rsid w:val="00F37B7D"/>
    <w:rsid w:val="00F408FB"/>
    <w:rsid w:val="00F41050"/>
    <w:rsid w:val="00F4123C"/>
    <w:rsid w:val="00F422DE"/>
    <w:rsid w:val="00F4290F"/>
    <w:rsid w:val="00F43081"/>
    <w:rsid w:val="00F43587"/>
    <w:rsid w:val="00F43AB7"/>
    <w:rsid w:val="00F43E91"/>
    <w:rsid w:val="00F445B8"/>
    <w:rsid w:val="00F44D0D"/>
    <w:rsid w:val="00F44F08"/>
    <w:rsid w:val="00F45469"/>
    <w:rsid w:val="00F4569B"/>
    <w:rsid w:val="00F462D5"/>
    <w:rsid w:val="00F4650E"/>
    <w:rsid w:val="00F465F9"/>
    <w:rsid w:val="00F47816"/>
    <w:rsid w:val="00F50032"/>
    <w:rsid w:val="00F504BD"/>
    <w:rsid w:val="00F50AEB"/>
    <w:rsid w:val="00F52086"/>
    <w:rsid w:val="00F542E8"/>
    <w:rsid w:val="00F55052"/>
    <w:rsid w:val="00F555A0"/>
    <w:rsid w:val="00F55EFD"/>
    <w:rsid w:val="00F56361"/>
    <w:rsid w:val="00F565C3"/>
    <w:rsid w:val="00F566BB"/>
    <w:rsid w:val="00F56AA0"/>
    <w:rsid w:val="00F56D7A"/>
    <w:rsid w:val="00F57A89"/>
    <w:rsid w:val="00F61961"/>
    <w:rsid w:val="00F64FED"/>
    <w:rsid w:val="00F6518C"/>
    <w:rsid w:val="00F6575C"/>
    <w:rsid w:val="00F65C7F"/>
    <w:rsid w:val="00F661BF"/>
    <w:rsid w:val="00F668C4"/>
    <w:rsid w:val="00F66F6F"/>
    <w:rsid w:val="00F671FC"/>
    <w:rsid w:val="00F67895"/>
    <w:rsid w:val="00F703C2"/>
    <w:rsid w:val="00F705CB"/>
    <w:rsid w:val="00F70646"/>
    <w:rsid w:val="00F70B03"/>
    <w:rsid w:val="00F70CAA"/>
    <w:rsid w:val="00F71B22"/>
    <w:rsid w:val="00F71D4B"/>
    <w:rsid w:val="00F7204D"/>
    <w:rsid w:val="00F72088"/>
    <w:rsid w:val="00F72D89"/>
    <w:rsid w:val="00F72FD5"/>
    <w:rsid w:val="00F7303B"/>
    <w:rsid w:val="00F730F4"/>
    <w:rsid w:val="00F7330F"/>
    <w:rsid w:val="00F73B92"/>
    <w:rsid w:val="00F74206"/>
    <w:rsid w:val="00F74409"/>
    <w:rsid w:val="00F745EC"/>
    <w:rsid w:val="00F76941"/>
    <w:rsid w:val="00F7696C"/>
    <w:rsid w:val="00F76DB0"/>
    <w:rsid w:val="00F7702C"/>
    <w:rsid w:val="00F801D8"/>
    <w:rsid w:val="00F806B9"/>
    <w:rsid w:val="00F81111"/>
    <w:rsid w:val="00F826F1"/>
    <w:rsid w:val="00F82ECF"/>
    <w:rsid w:val="00F834FD"/>
    <w:rsid w:val="00F83D86"/>
    <w:rsid w:val="00F84327"/>
    <w:rsid w:val="00F85759"/>
    <w:rsid w:val="00F85909"/>
    <w:rsid w:val="00F85F70"/>
    <w:rsid w:val="00F86448"/>
    <w:rsid w:val="00F8697F"/>
    <w:rsid w:val="00F878F1"/>
    <w:rsid w:val="00F90FFC"/>
    <w:rsid w:val="00F91C36"/>
    <w:rsid w:val="00F91F0F"/>
    <w:rsid w:val="00F91F95"/>
    <w:rsid w:val="00F92FEE"/>
    <w:rsid w:val="00F93B99"/>
    <w:rsid w:val="00F94F91"/>
    <w:rsid w:val="00F953BB"/>
    <w:rsid w:val="00F956A7"/>
    <w:rsid w:val="00F95F7C"/>
    <w:rsid w:val="00F9610F"/>
    <w:rsid w:val="00F968D8"/>
    <w:rsid w:val="00F9708A"/>
    <w:rsid w:val="00F9725B"/>
    <w:rsid w:val="00F97FE6"/>
    <w:rsid w:val="00FA03E6"/>
    <w:rsid w:val="00FA1196"/>
    <w:rsid w:val="00FA1266"/>
    <w:rsid w:val="00FA1A2F"/>
    <w:rsid w:val="00FA1CB6"/>
    <w:rsid w:val="00FA2324"/>
    <w:rsid w:val="00FA2597"/>
    <w:rsid w:val="00FA3E1E"/>
    <w:rsid w:val="00FA4A9D"/>
    <w:rsid w:val="00FA4C48"/>
    <w:rsid w:val="00FA51E5"/>
    <w:rsid w:val="00FA565E"/>
    <w:rsid w:val="00FA5895"/>
    <w:rsid w:val="00FA5FF5"/>
    <w:rsid w:val="00FA6316"/>
    <w:rsid w:val="00FA688B"/>
    <w:rsid w:val="00FA711E"/>
    <w:rsid w:val="00FA7561"/>
    <w:rsid w:val="00FA79F4"/>
    <w:rsid w:val="00FA7A0F"/>
    <w:rsid w:val="00FB0269"/>
    <w:rsid w:val="00FB0922"/>
    <w:rsid w:val="00FB0B19"/>
    <w:rsid w:val="00FB0F7D"/>
    <w:rsid w:val="00FB3E85"/>
    <w:rsid w:val="00FB3F89"/>
    <w:rsid w:val="00FB5166"/>
    <w:rsid w:val="00FB582F"/>
    <w:rsid w:val="00FB62E1"/>
    <w:rsid w:val="00FB686E"/>
    <w:rsid w:val="00FB6D4C"/>
    <w:rsid w:val="00FB6F5F"/>
    <w:rsid w:val="00FB78CF"/>
    <w:rsid w:val="00FC06AB"/>
    <w:rsid w:val="00FC15AB"/>
    <w:rsid w:val="00FC20CC"/>
    <w:rsid w:val="00FC2738"/>
    <w:rsid w:val="00FC2891"/>
    <w:rsid w:val="00FC3243"/>
    <w:rsid w:val="00FC35B8"/>
    <w:rsid w:val="00FC3F60"/>
    <w:rsid w:val="00FC4DB5"/>
    <w:rsid w:val="00FC59C2"/>
    <w:rsid w:val="00FC715A"/>
    <w:rsid w:val="00FC73D1"/>
    <w:rsid w:val="00FC740F"/>
    <w:rsid w:val="00FD00A6"/>
    <w:rsid w:val="00FD0311"/>
    <w:rsid w:val="00FD0496"/>
    <w:rsid w:val="00FD05D7"/>
    <w:rsid w:val="00FD0855"/>
    <w:rsid w:val="00FD0931"/>
    <w:rsid w:val="00FD1200"/>
    <w:rsid w:val="00FD1290"/>
    <w:rsid w:val="00FD1617"/>
    <w:rsid w:val="00FD1E4D"/>
    <w:rsid w:val="00FD35BA"/>
    <w:rsid w:val="00FD3B22"/>
    <w:rsid w:val="00FD3E82"/>
    <w:rsid w:val="00FD3F90"/>
    <w:rsid w:val="00FD3FD6"/>
    <w:rsid w:val="00FD417C"/>
    <w:rsid w:val="00FD5E8A"/>
    <w:rsid w:val="00FD64BD"/>
    <w:rsid w:val="00FD6809"/>
    <w:rsid w:val="00FD686D"/>
    <w:rsid w:val="00FD6C27"/>
    <w:rsid w:val="00FD788F"/>
    <w:rsid w:val="00FE0EEB"/>
    <w:rsid w:val="00FE1F7C"/>
    <w:rsid w:val="00FE3C34"/>
    <w:rsid w:val="00FE3C71"/>
    <w:rsid w:val="00FE4A4C"/>
    <w:rsid w:val="00FE4DA2"/>
    <w:rsid w:val="00FE64A0"/>
    <w:rsid w:val="00FE6513"/>
    <w:rsid w:val="00FE6AF0"/>
    <w:rsid w:val="00FE6F7C"/>
    <w:rsid w:val="00FE731E"/>
    <w:rsid w:val="00FE7BBE"/>
    <w:rsid w:val="00FE7F40"/>
    <w:rsid w:val="00FF0035"/>
    <w:rsid w:val="00FF0BFB"/>
    <w:rsid w:val="00FF150A"/>
    <w:rsid w:val="00FF18E5"/>
    <w:rsid w:val="00FF1D95"/>
    <w:rsid w:val="00FF286C"/>
    <w:rsid w:val="00FF28B0"/>
    <w:rsid w:val="00FF46B1"/>
    <w:rsid w:val="00FF4A6A"/>
    <w:rsid w:val="00FF581F"/>
    <w:rsid w:val="00FF64B3"/>
    <w:rsid w:val="00FF72D0"/>
    <w:rsid w:val="00FF7390"/>
    <w:rsid w:val="00FF77E6"/>
    <w:rsid w:val="00FF7B8C"/>
    <w:rsid w:val="01DC2FFE"/>
    <w:rsid w:val="03BAC11A"/>
    <w:rsid w:val="0411FF69"/>
    <w:rsid w:val="04C1FA5D"/>
    <w:rsid w:val="06EDF83A"/>
    <w:rsid w:val="081E1FF5"/>
    <w:rsid w:val="086E04BA"/>
    <w:rsid w:val="0CCB299B"/>
    <w:rsid w:val="1083E68B"/>
    <w:rsid w:val="10E8FA8D"/>
    <w:rsid w:val="134F3761"/>
    <w:rsid w:val="139611AF"/>
    <w:rsid w:val="144DE551"/>
    <w:rsid w:val="1684FBF7"/>
    <w:rsid w:val="17974891"/>
    <w:rsid w:val="185AA4E0"/>
    <w:rsid w:val="19B151DC"/>
    <w:rsid w:val="2017E840"/>
    <w:rsid w:val="20D18A41"/>
    <w:rsid w:val="20E0F7E7"/>
    <w:rsid w:val="2550A3D0"/>
    <w:rsid w:val="26799C7F"/>
    <w:rsid w:val="26D63AC3"/>
    <w:rsid w:val="27F4B223"/>
    <w:rsid w:val="2848FA71"/>
    <w:rsid w:val="28AF3AFB"/>
    <w:rsid w:val="293B52EB"/>
    <w:rsid w:val="2A996A61"/>
    <w:rsid w:val="2BEB6797"/>
    <w:rsid w:val="2E15E49D"/>
    <w:rsid w:val="2E2DB255"/>
    <w:rsid w:val="306381C0"/>
    <w:rsid w:val="30D91400"/>
    <w:rsid w:val="32EA7D00"/>
    <w:rsid w:val="34305171"/>
    <w:rsid w:val="35B2D967"/>
    <w:rsid w:val="3805A04D"/>
    <w:rsid w:val="380FAA9B"/>
    <w:rsid w:val="38556B48"/>
    <w:rsid w:val="3E540513"/>
    <w:rsid w:val="3F0FF171"/>
    <w:rsid w:val="402258B9"/>
    <w:rsid w:val="40721DA6"/>
    <w:rsid w:val="42B63975"/>
    <w:rsid w:val="4423F089"/>
    <w:rsid w:val="47B2BBC0"/>
    <w:rsid w:val="47B5359E"/>
    <w:rsid w:val="47E3C7F9"/>
    <w:rsid w:val="48B69F44"/>
    <w:rsid w:val="49073563"/>
    <w:rsid w:val="4C3AC76F"/>
    <w:rsid w:val="500B3F1E"/>
    <w:rsid w:val="50288A43"/>
    <w:rsid w:val="550ACAB4"/>
    <w:rsid w:val="56429620"/>
    <w:rsid w:val="57623AFB"/>
    <w:rsid w:val="57B0037A"/>
    <w:rsid w:val="5924AFAC"/>
    <w:rsid w:val="5ACD2611"/>
    <w:rsid w:val="5ADA628C"/>
    <w:rsid w:val="5B1B237D"/>
    <w:rsid w:val="5C407AAB"/>
    <w:rsid w:val="5D62CA41"/>
    <w:rsid w:val="5D83DFAC"/>
    <w:rsid w:val="5E0AA92F"/>
    <w:rsid w:val="6141E56F"/>
    <w:rsid w:val="62D7B92E"/>
    <w:rsid w:val="640CEE95"/>
    <w:rsid w:val="65994130"/>
    <w:rsid w:val="674AB943"/>
    <w:rsid w:val="68457DB3"/>
    <w:rsid w:val="6B1DAC6F"/>
    <w:rsid w:val="6BE4AAF7"/>
    <w:rsid w:val="6D8E2967"/>
    <w:rsid w:val="6F1F12B6"/>
    <w:rsid w:val="70FD041D"/>
    <w:rsid w:val="712BA1AA"/>
    <w:rsid w:val="71C70F39"/>
    <w:rsid w:val="75B0D45C"/>
    <w:rsid w:val="75D795CF"/>
    <w:rsid w:val="7649C94A"/>
    <w:rsid w:val="76F07965"/>
    <w:rsid w:val="773AAAD1"/>
    <w:rsid w:val="79081C77"/>
    <w:rsid w:val="7ABFB707"/>
    <w:rsid w:val="7BC8B0E4"/>
    <w:rsid w:val="7CBE52CC"/>
    <w:rsid w:val="7E25516A"/>
    <w:rsid w:val="7EC32880"/>
    <w:rsid w:val="7EEBEA82"/>
    <w:rsid w:val="7FC121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77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4"/>
      </w:numPr>
      <w:spacing w:before="480"/>
      <w:outlineLvl w:val="0"/>
    </w:pPr>
    <w:rPr>
      <w:rFonts w:ascii="Calibri" w:hAnsi="Calibr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4"/>
      </w:numPr>
      <w:spacing w:before="200"/>
      <w:outlineLvl w:val="1"/>
    </w:pPr>
    <w:rPr>
      <w:rFonts w:ascii="Calibri" w:hAnsi="Calibri" w:eastAsiaTheme="majorEastAsia"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iPriority w:val="99"/>
    <w:unhideWhenUsed/>
    <w:rsid w:val="008C0F82"/>
    <w:rPr>
      <w:sz w:val="20"/>
      <w:szCs w:val="20"/>
    </w:rPr>
  </w:style>
  <w:style w:type="character" w:customStyle="1" w:styleId="CommentTextChar">
    <w:name w:val="Comment Text Char"/>
    <w:basedOn w:val="DefaultParagraphFont"/>
    <w:link w:val="CommentText"/>
    <w:uiPriority w:val="99"/>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32D99"/>
    <w:pPr>
      <w:spacing w:after="120"/>
    </w:pPr>
  </w:style>
  <w:style w:type="character" w:customStyle="1" w:styleId="BodyTextChar">
    <w:name w:val="Body Text Char"/>
    <w:basedOn w:val="DefaultParagraphFont"/>
    <w:link w:val="BodyText"/>
    <w:uiPriority w:val="99"/>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3"/>
      </w:numPr>
      <w:contextualSpacing/>
    </w:pPr>
  </w:style>
  <w:style w:type="paragraph" w:styleId="ListBullet">
    <w:name w:val="List Bullet"/>
    <w:basedOn w:val="ListParagraph"/>
    <w:rsid w:val="0001203A"/>
    <w:pPr>
      <w:numPr>
        <w:numId w:val="2"/>
      </w:numPr>
    </w:pPr>
  </w:style>
  <w:style w:type="paragraph" w:customStyle="1" w:styleId="ListBulletLast">
    <w:name w:val="List Bullet Last"/>
    <w:basedOn w:val="ListBullet"/>
    <w:qFormat/>
    <w:rsid w:val="00653821"/>
  </w:style>
  <w:style w:type="character" w:styleId="FootnoteReference">
    <w:name w:val="footnote reference"/>
    <w:uiPriority w:val="99"/>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hAnsi="Calibri"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hAnsi="Calibri" w:eastAsiaTheme="majorEastAsia"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1"/>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7"/>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paragraph" w:styleId="BodyText2">
    <w:name w:val="Body Text 2"/>
    <w:basedOn w:val="Normal"/>
    <w:link w:val="BodyText2Char"/>
    <w:uiPriority w:val="99"/>
    <w:semiHidden/>
    <w:unhideWhenUsed/>
    <w:rsid w:val="00A3501F"/>
    <w:pPr>
      <w:spacing w:after="120" w:line="480" w:lineRule="auto"/>
    </w:pPr>
  </w:style>
  <w:style w:type="character" w:customStyle="1" w:styleId="BodyText2Char">
    <w:name w:val="Body Text 2 Char"/>
    <w:basedOn w:val="DefaultParagraphFont"/>
    <w:link w:val="BodyText2"/>
    <w:uiPriority w:val="99"/>
    <w:semiHidden/>
    <w:rsid w:val="00A3501F"/>
    <w:rPr>
      <w:rFonts w:ascii="Times New Roman" w:hAnsi="Times New Roman"/>
    </w:rPr>
  </w:style>
  <w:style w:type="paragraph" w:customStyle="1" w:styleId="Tablebullet">
    <w:name w:val="Table_bullet"/>
    <w:basedOn w:val="ListParagraph"/>
    <w:qFormat/>
    <w:rsid w:val="00FF581F"/>
    <w:pPr>
      <w:keepNext/>
      <w:keepLines/>
      <w:numPr>
        <w:numId w:val="5"/>
      </w:numPr>
      <w:spacing w:after="0" w:line="200" w:lineRule="exact"/>
    </w:pPr>
    <w:rPr>
      <w:rFonts w:ascii="Arial" w:eastAsia="Times New Roman" w:hAnsi="Arial" w:cs="Arial"/>
      <w:sz w:val="18"/>
      <w:szCs w:val="18"/>
    </w:rPr>
  </w:style>
  <w:style w:type="paragraph" w:styleId="NormalWeb">
    <w:name w:val="Normal (Web)"/>
    <w:basedOn w:val="Normal"/>
    <w:uiPriority w:val="99"/>
    <w:unhideWhenUsed/>
    <w:rsid w:val="00E85E86"/>
    <w:rPr>
      <w:rFonts w:cs="Times New Roman"/>
      <w:sz w:val="24"/>
      <w:szCs w:val="24"/>
    </w:rPr>
  </w:style>
  <w:style w:type="character" w:customStyle="1" w:styleId="UnresolvedMention1">
    <w:name w:val="Unresolved Mention1"/>
    <w:basedOn w:val="DefaultParagraphFont"/>
    <w:uiPriority w:val="99"/>
    <w:semiHidden/>
    <w:unhideWhenUsed/>
    <w:rsid w:val="00304F86"/>
    <w:rPr>
      <w:color w:val="605E5C"/>
      <w:shd w:val="clear" w:color="auto" w:fill="E1DFDD"/>
    </w:rPr>
  </w:style>
  <w:style w:type="paragraph" w:styleId="FootnoteText">
    <w:name w:val="footnote text"/>
    <w:aliases w:val="F1"/>
    <w:basedOn w:val="Normal"/>
    <w:link w:val="FootnoteTextChar"/>
    <w:uiPriority w:val="99"/>
    <w:unhideWhenUsed/>
    <w:rsid w:val="002E3C17"/>
    <w:pPr>
      <w:spacing w:after="0"/>
    </w:pPr>
    <w:rPr>
      <w:sz w:val="20"/>
      <w:szCs w:val="20"/>
    </w:rPr>
  </w:style>
  <w:style w:type="character" w:customStyle="1" w:styleId="FootnoteTextChar">
    <w:name w:val="Footnote Text Char"/>
    <w:aliases w:val="F1 Char"/>
    <w:basedOn w:val="DefaultParagraphFont"/>
    <w:link w:val="FootnoteText"/>
    <w:uiPriority w:val="99"/>
    <w:rsid w:val="002E3C17"/>
    <w:rPr>
      <w:rFonts w:ascii="Times New Roman" w:hAnsi="Times New Roman"/>
      <w:sz w:val="20"/>
      <w:szCs w:val="20"/>
    </w:rPr>
  </w:style>
  <w:style w:type="paragraph" w:customStyle="1" w:styleId="paragraph">
    <w:name w:val="paragraph"/>
    <w:basedOn w:val="Normal"/>
    <w:rsid w:val="00953B75"/>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953B75"/>
  </w:style>
  <w:style w:type="character" w:customStyle="1" w:styleId="eop">
    <w:name w:val="eop"/>
    <w:basedOn w:val="DefaultParagraphFont"/>
    <w:rsid w:val="00953B75"/>
  </w:style>
  <w:style w:type="character" w:styleId="UnresolvedMention">
    <w:name w:val="Unresolved Mention"/>
    <w:basedOn w:val="DefaultParagraphFont"/>
    <w:uiPriority w:val="99"/>
    <w:unhideWhenUsed/>
    <w:rsid w:val="00224123"/>
    <w:rPr>
      <w:color w:val="605E5C"/>
      <w:shd w:val="clear" w:color="auto" w:fill="E1DFDD"/>
    </w:rPr>
  </w:style>
  <w:style w:type="paragraph" w:styleId="HTMLPreformatted">
    <w:name w:val="HTML Preformatted"/>
    <w:basedOn w:val="Normal"/>
    <w:link w:val="HTMLPreformattedChar"/>
    <w:rsid w:val="00DE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DE4756"/>
    <w:rPr>
      <w:rFonts w:ascii="Courier New" w:eastAsia="Courier New" w:hAnsi="Courier New" w:cs="Courier New"/>
      <w:sz w:val="20"/>
      <w:szCs w:val="20"/>
    </w:rPr>
  </w:style>
  <w:style w:type="paragraph" w:customStyle="1" w:styleId="Standard">
    <w:name w:val="Standard"/>
    <w:rsid w:val="00224477"/>
    <w:pPr>
      <w:suppressAutoHyphens/>
      <w:autoSpaceDN w:val="0"/>
      <w:textAlignment w:val="baseline"/>
    </w:pPr>
    <w:rPr>
      <w:rFonts w:ascii="Times New Roman" w:eastAsia="Times New Roman" w:hAnsi="Times New Roman" w:cs="Times New Roman"/>
      <w:kern w:val="3"/>
      <w:sz w:val="24"/>
      <w:szCs w:val="20"/>
    </w:rPr>
  </w:style>
  <w:style w:type="character" w:styleId="Mention">
    <w:name w:val="Mention"/>
    <w:basedOn w:val="DefaultParagraphFont"/>
    <w:uiPriority w:val="99"/>
    <w:unhideWhenUsed/>
    <w:rsid w:val="00E7729A"/>
    <w:rPr>
      <w:color w:val="2B579A"/>
      <w:shd w:val="clear" w:color="auto" w:fill="E1DFDD"/>
    </w:rPr>
  </w:style>
  <w:style w:type="character" w:customStyle="1" w:styleId="WP9BodyText">
    <w:name w:val="WP9_Body Text"/>
    <w:basedOn w:val="DefaultParagraphFont"/>
    <w:rsid w:val="00F33B5A"/>
  </w:style>
  <w:style w:type="character" w:customStyle="1" w:styleId="StyleBold">
    <w:name w:val="Style Bold"/>
    <w:rsid w:val="00B328B4"/>
    <w:rPr>
      <w:rFonts w:ascii="Arial" w:hAnsi="Arial"/>
      <w:b/>
      <w:bCs/>
      <w:sz w:val="24"/>
    </w:rPr>
  </w:style>
  <w:style w:type="character" w:styleId="Emphasis">
    <w:name w:val="Emphasis"/>
    <w:basedOn w:val="DefaultParagraphFont"/>
    <w:uiPriority w:val="20"/>
    <w:qFormat/>
    <w:rsid w:val="00CD6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yperlink" Target="https://www.bls.gov/oes/current/naics4_999200.htm" TargetMode="External" /><Relationship Id="rId12" Type="http://schemas.openxmlformats.org/officeDocument/2006/relationships/hyperlink" Target="https://www.cdc.gov/nchhstp/atlas/index.htm" TargetMode="External" /><Relationship Id="rId13" Type="http://schemas.openxmlformats.org/officeDocument/2006/relationships/hyperlink" Target="https://www.hiv.gov/federal-response/ending-the-hiv-epidemic/overview/" TargetMode="External" /><Relationship Id="rId14" Type="http://schemas.openxmlformats.org/officeDocument/2006/relationships/hyperlink" Target="https://minorityhealth.hhs.gov/hepatitis-and-african-americans" TargetMode="External" /><Relationship Id="rId15" Type="http://schemas.openxmlformats.org/officeDocument/2006/relationships/hyperlink" Target="https://www.samhsa.gov/data/sites/default/files/reports/rpt42731/2022-nsduh-nnr.pdf" TargetMode="External" /><Relationship Id="rId16" Type="http://schemas.openxmlformats.org/officeDocument/2006/relationships/hyperlink" Target="https://store.samhsa.gov/sites/default/files/pep20-06-03-001.pdf" TargetMode="External" /><Relationship Id="rId17" Type="http://schemas.openxmlformats.org/officeDocument/2006/relationships/hyperlink" Target="https://www.samhsa.gov/sites/default/files/samhsa-strategic-plan.pdf" TargetMode="External" /><Relationship Id="rId18" Type="http://schemas.openxmlformats.org/officeDocument/2006/relationships/hyperlink" Target="https://files.hiv.gov/s3fs-public/NHAS-2022-2025.pdf" TargetMode="External" /><Relationship Id="rId19" Type="http://schemas.openxmlformats.org/officeDocument/2006/relationships/hyperlink" Target="https://files.hiv.gov/s3fs-public/2022-09/NHAS_Federal_Implementation_Plan.pdf" TargetMode="External" /><Relationship Id="rId2" Type="http://schemas.openxmlformats.org/officeDocument/2006/relationships/settings" Target="settings.xml" /><Relationship Id="rId20" Type="http://schemas.openxmlformats.org/officeDocument/2006/relationships/hyperlink" Target="https://www.hhs.gov/sites/default/files/STI-National-Strategic-Plan-2021-2025.pdf" TargetMode="External" /><Relationship Id="rId21" Type="http://schemas.openxmlformats.org/officeDocument/2006/relationships/hyperlink" Target="https://www.hhs.gov/sites/default/files/Viral-Hepatitis-National-Strategic-Plan-2021-2025.pdf" TargetMode="External" /><Relationship Id="rId22" Type="http://schemas.openxmlformats.org/officeDocument/2006/relationships/hyperlink" Target="https://www.census.gov/quickfacts/fact/table/US"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library/stories/2021/08/improved-race-ethnicity-measures-reveal-united-states-population-much-more-multiracial.html" TargetMode="External" /><Relationship Id="rId2" Type="http://schemas.openxmlformats.org/officeDocument/2006/relationships/hyperlink" Target="https://www.cdc.gov/hiv-data/nhss/hiv-diagnoses-deaths-prevalence.html" TargetMode="External" /><Relationship Id="rId3" Type="http://schemas.openxmlformats.org/officeDocument/2006/relationships/hyperlink" Target="https://www.cdc.gov/hiv/group/racialethnic/other-races/diagnoses.html" TargetMode="External" /><Relationship Id="rId4" Type="http://schemas.openxmlformats.org/officeDocument/2006/relationships/hyperlink" Target="https://www.cdc.gov/hiv/data-research/facts-stats/gay-bisexual-men.html" TargetMode="External" /><Relationship Id="rId5" Type="http://schemas.openxmlformats.org/officeDocument/2006/relationships/hyperlink" Target="https://www.samhsa.gov/sites/default/files/samhsa-strategic-pl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D3938-248E-48A6-AB7A-9572382CF103}">
  <ds:schemaRefs>
    <ds:schemaRef ds:uri="http://schemas.openxmlformats.org/officeDocument/2006/bibliography"/>
  </ds:schemaRefs>
</ds:datastoreItem>
</file>

<file path=customXml/itemProps2.xml><?xml version="1.0" encoding="utf-8"?>
<ds:datastoreItem xmlns:ds="http://schemas.openxmlformats.org/officeDocument/2006/customXml" ds:itemID="{D19EE18B-3FDB-447E-B2CC-DE2638BB6FF2}">
  <ds:schemaRefs>
    <ds:schemaRef ds:uri="http://schemas.microsoft.com/office/2006/metadata/properties"/>
    <ds:schemaRef ds:uri="http://schemas.microsoft.com/office/infopath/2007/PartnerControls"/>
    <ds:schemaRef ds:uri="a2d9a213-eaee-436a-85ec-6c6178bf869f"/>
    <ds:schemaRef ds:uri="98b067f6-1e31-4c68-9e6f-b7276593ca6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2ABF4D1-6B17-49C1-834C-319EFBCFD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BE0D8-5B9B-4425-B3CF-7D19D4B26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2024-10-25T22:34:00Z</dcterms:created>
  <dcterms:modified xsi:type="dcterms:W3CDTF">2024-11-22T18:18:00Z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y fmtid="{D5CDD505-2E9C-101B-9397-08002B2CF9AE}" pid="3" name="MediaServiceImageTags">
    <vt:lpwstr/>
  </property>
</Properties>
</file>