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5DD7" w:rsidP="009E5DD7" w14:paraId="3C93B083" w14:textId="7777777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0" w:name="_Hlk190945459"/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CDC Model Performance Evaluation Program (MPEP) for </w:t>
      </w:r>
    </w:p>
    <w:p w:rsidR="009E5DD7" w:rsidRPr="00B43D09" w:rsidP="009E5DD7" w14:paraId="08E76E6E" w14:textId="348208C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Mycobacterium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tuberculosis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Drug Susceptibility Testing</w:t>
      </w:r>
    </w:p>
    <w:p w:rsidR="009E5DD7" w:rsidP="009E5DD7" w14:paraId="31842776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E5DD7" w:rsidP="009E5DD7" w14:paraId="35EAA7DE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E5DD7" w:rsidRPr="00B43D09" w:rsidP="009E5DD7" w14:paraId="0636CCDD" w14:textId="759F0FA9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Attachment </w:t>
      </w:r>
      <w:r w:rsidR="00A84001">
        <w:rPr>
          <w:rFonts w:ascii="Courier New" w:eastAsia="Times New Roman" w:hAnsi="Courier New" w:cs="Courier New"/>
          <w:b/>
          <w:sz w:val="24"/>
          <w:szCs w:val="24"/>
        </w:rPr>
        <w:t>9</w:t>
      </w:r>
    </w:p>
    <w:bookmarkEnd w:id="0"/>
    <w:p w:rsidR="00044400" w:rsidP="009E5DD7" w14:paraId="11DD3BB0" w14:textId="77777777">
      <w:pPr>
        <w:spacing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MPEP </w:t>
      </w:r>
      <w:r>
        <w:rPr>
          <w:rFonts w:ascii="Courier New" w:hAnsi="Courier New" w:cs="Courier New"/>
          <w:b/>
          <w:i/>
          <w:iCs/>
          <w:sz w:val="24"/>
          <w:szCs w:val="24"/>
        </w:rPr>
        <w:t xml:space="preserve">Mycobacterium tuberculosis </w:t>
      </w:r>
      <w:r>
        <w:rPr>
          <w:rFonts w:ascii="Courier New" w:hAnsi="Courier New" w:cs="Courier New"/>
          <w:b/>
          <w:sz w:val="24"/>
          <w:szCs w:val="24"/>
        </w:rPr>
        <w:t xml:space="preserve">Minimum Inhibitory </w:t>
      </w:r>
    </w:p>
    <w:p w:rsidR="009D1CED" w:rsidRPr="009E5DD7" w:rsidP="009E5DD7" w14:paraId="1B6C8DB7" w14:textId="7EBF744A">
      <w:pPr>
        <w:spacing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Concentration (MIC) Results Worksheet</w:t>
      </w:r>
    </w:p>
    <w:p w:rsidR="009D1CED" w14:paraId="28FE6F99" w14:textId="787CFCEC">
      <w:pPr>
        <w:rPr>
          <w:b/>
          <w:sz w:val="28"/>
          <w:szCs w:val="28"/>
        </w:rPr>
      </w:pPr>
    </w:p>
    <w:p w:rsidR="009E5DD7" w14:paraId="0C26404D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4336" w:rsidP="008453BD" w14:paraId="5755345F" w14:textId="6DFFDF4B">
      <w:pPr>
        <w:tabs>
          <w:tab w:val="left" w:pos="2625"/>
        </w:tabs>
        <w:contextualSpacing/>
        <w:jc w:val="center"/>
        <w:rPr>
          <w:b/>
          <w:sz w:val="28"/>
          <w:szCs w:val="24"/>
        </w:rPr>
      </w:pPr>
      <w:r w:rsidRPr="00BA4C52">
        <w:rPr>
          <w:b/>
          <w:sz w:val="28"/>
          <w:szCs w:val="28"/>
        </w:rPr>
        <w:t>MPEP</w:t>
      </w:r>
      <w:r>
        <w:rPr>
          <w:b/>
          <w:i/>
          <w:sz w:val="28"/>
          <w:szCs w:val="28"/>
        </w:rPr>
        <w:t xml:space="preserve"> </w:t>
      </w:r>
      <w:r w:rsidRPr="001810BD" w:rsidR="006B37C8">
        <w:rPr>
          <w:b/>
          <w:i/>
          <w:sz w:val="28"/>
          <w:szCs w:val="28"/>
        </w:rPr>
        <w:t>M</w:t>
      </w:r>
      <w:r>
        <w:rPr>
          <w:b/>
          <w:i/>
          <w:sz w:val="28"/>
          <w:szCs w:val="28"/>
        </w:rPr>
        <w:t>ycobacterium</w:t>
      </w:r>
      <w:r w:rsidRPr="001810BD" w:rsidR="006B37C8">
        <w:rPr>
          <w:b/>
          <w:i/>
          <w:sz w:val="28"/>
          <w:szCs w:val="28"/>
        </w:rPr>
        <w:t xml:space="preserve"> tuberculosis</w:t>
      </w:r>
      <w:r w:rsidRPr="001810BD" w:rsidR="006B37C8">
        <w:rPr>
          <w:b/>
          <w:sz w:val="28"/>
          <w:szCs w:val="28"/>
        </w:rPr>
        <w:t xml:space="preserve"> </w:t>
      </w:r>
      <w:r w:rsidRPr="00AA0ADC" w:rsidR="00AA0ADC">
        <w:rPr>
          <w:b/>
          <w:sz w:val="28"/>
          <w:szCs w:val="24"/>
        </w:rPr>
        <w:t>Minimum Inhibitory Concentration</w:t>
      </w:r>
      <w:r>
        <w:rPr>
          <w:b/>
          <w:sz w:val="28"/>
          <w:szCs w:val="24"/>
        </w:rPr>
        <w:t xml:space="preserve"> (MIC)</w:t>
      </w:r>
      <w:r w:rsidRPr="00AA0ADC" w:rsidR="00AA0ADC">
        <w:rPr>
          <w:b/>
          <w:sz w:val="28"/>
          <w:szCs w:val="24"/>
        </w:rPr>
        <w:t xml:space="preserve"> </w:t>
      </w:r>
    </w:p>
    <w:p w:rsidR="007B46BE" w:rsidP="008453BD" w14:paraId="0C143346" w14:textId="6B3B2707">
      <w:pPr>
        <w:tabs>
          <w:tab w:val="left" w:pos="2625"/>
        </w:tabs>
        <w:jc w:val="center"/>
        <w:rPr>
          <w:b/>
          <w:sz w:val="28"/>
          <w:szCs w:val="28"/>
        </w:rPr>
      </w:pPr>
      <w:r w:rsidRPr="001810BD">
        <w:rPr>
          <w:b/>
          <w:sz w:val="28"/>
          <w:szCs w:val="28"/>
        </w:rPr>
        <w:t>Results Worksheet</w:t>
      </w:r>
    </w:p>
    <w:p w:rsidR="002A4246" w:rsidP="007B46BE" w14:paraId="7DFFCBC2" w14:textId="227938C0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1810BD" w:rsidR="006B37C8">
        <w:rPr>
          <w:b/>
          <w:sz w:val="24"/>
          <w:szCs w:val="24"/>
        </w:rPr>
        <w:t xml:space="preserve">nter your </w:t>
      </w:r>
      <w:r>
        <w:rPr>
          <w:b/>
          <w:sz w:val="24"/>
          <w:szCs w:val="24"/>
        </w:rPr>
        <w:t xml:space="preserve">categorical </w:t>
      </w:r>
      <w:r w:rsidRPr="001810BD">
        <w:rPr>
          <w:b/>
          <w:sz w:val="24"/>
          <w:szCs w:val="24"/>
        </w:rPr>
        <w:t>drug susceptibility test result</w:t>
      </w:r>
      <w:r>
        <w:rPr>
          <w:b/>
          <w:sz w:val="24"/>
          <w:szCs w:val="24"/>
        </w:rPr>
        <w:t xml:space="preserve"> interpretation</w:t>
      </w:r>
      <w:r w:rsidRPr="001810BD">
        <w:rPr>
          <w:b/>
          <w:sz w:val="24"/>
          <w:szCs w:val="24"/>
        </w:rPr>
        <w:t xml:space="preserve"> </w:t>
      </w:r>
      <w:r w:rsidR="00AA0ADC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 xml:space="preserve">minimum inhibitory concentration (MIC) </w:t>
      </w:r>
      <w:r w:rsidRPr="001810BD" w:rsidR="006B37C8">
        <w:rPr>
          <w:b/>
          <w:sz w:val="24"/>
          <w:szCs w:val="24"/>
        </w:rPr>
        <w:t xml:space="preserve">for each </w:t>
      </w:r>
      <w:r w:rsidR="00043C19">
        <w:rPr>
          <w:b/>
          <w:sz w:val="24"/>
          <w:szCs w:val="24"/>
        </w:rPr>
        <w:t>isolate</w:t>
      </w:r>
      <w:r w:rsidRPr="001810BD" w:rsidR="006B37C8">
        <w:rPr>
          <w:b/>
          <w:sz w:val="24"/>
          <w:szCs w:val="24"/>
        </w:rPr>
        <w:t xml:space="preserve"> </w:t>
      </w:r>
      <w:r w:rsidR="00AA0ADC">
        <w:rPr>
          <w:b/>
          <w:sz w:val="24"/>
          <w:szCs w:val="24"/>
        </w:rPr>
        <w:t xml:space="preserve">tested by Sensititre </w:t>
      </w:r>
      <w:r w:rsidRPr="001810BD" w:rsidR="006B37C8">
        <w:rPr>
          <w:b/>
          <w:sz w:val="24"/>
          <w:szCs w:val="24"/>
        </w:rPr>
        <w:t xml:space="preserve">by using the data </w:t>
      </w:r>
      <w:r w:rsidR="00AA0ADC">
        <w:rPr>
          <w:b/>
          <w:sz w:val="24"/>
          <w:szCs w:val="24"/>
        </w:rPr>
        <w:t>worksheet</w:t>
      </w:r>
      <w:r w:rsidRPr="001810BD" w:rsidR="006B37C8">
        <w:rPr>
          <w:b/>
          <w:sz w:val="24"/>
          <w:szCs w:val="24"/>
        </w:rPr>
        <w:t xml:space="preserve"> below. </w:t>
      </w:r>
      <w:r>
        <w:rPr>
          <w:b/>
          <w:sz w:val="24"/>
          <w:szCs w:val="24"/>
        </w:rPr>
        <w:t xml:space="preserve">For laboratories who customize Sensititre plates, please use ‘Other’ for any additional antituberculosis drugs tested. </w:t>
      </w:r>
    </w:p>
    <w:p w:rsidR="00ED048A" w:rsidP="00DF4336" w14:paraId="234C194B" w14:textId="096483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This worksheet is provided as a tool for recording results prior to online data entry.</w:t>
      </w:r>
    </w:p>
    <w:p w:rsidR="007B1C61" w:rsidP="007B46BE" w14:paraId="700DABC2" w14:textId="77777777">
      <w:pPr>
        <w:rPr>
          <w:b/>
          <w:sz w:val="24"/>
          <w:szCs w:val="24"/>
        </w:rPr>
      </w:pPr>
    </w:p>
    <w:p w:rsidR="00F862C1" w:rsidRPr="00F862C1" w:rsidP="00DF4336" w14:paraId="7212F8BC" w14:textId="1A75E3F0">
      <w:pPr>
        <w:rPr>
          <w:b/>
        </w:rPr>
      </w:pPr>
      <w:r>
        <w:rPr>
          <w:b/>
        </w:rPr>
        <w:t xml:space="preserve">MPEP Number </w:t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7B46BE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>
        <w:rPr>
          <w:b/>
          <w:u w:val="single"/>
        </w:rPr>
        <w:instrText xml:space="preserve"> FORMTEXT </w:instrText>
      </w:r>
      <w:r w:rsidRPr="007B46BE">
        <w:rPr>
          <w:b/>
          <w:u w:val="single"/>
        </w:rPr>
        <w:fldChar w:fldCharType="separate"/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noProof/>
          <w:u w:val="single"/>
        </w:rPr>
        <w:t> </w:t>
      </w:r>
      <w:r w:rsidRPr="007B46BE">
        <w:rPr>
          <w:b/>
          <w:u w:val="single"/>
        </w:rPr>
        <w:fldChar w:fldCharType="end"/>
      </w:r>
      <w:r w:rsidRPr="00DF4336" w:rsidR="00DF4336">
        <w:rPr>
          <w:bCs/>
        </w:rPr>
        <w:t xml:space="preserve">       </w:t>
      </w:r>
      <w:r w:rsidRPr="00043C19" w:rsidR="00043C19">
        <w:rPr>
          <w:b/>
        </w:rPr>
        <w:t>Isolate</w:t>
      </w:r>
      <w:r w:rsidRPr="007B46BE" w:rsidR="006B37C8">
        <w:rPr>
          <w:b/>
        </w:rPr>
        <w:t xml:space="preserve"> </w:t>
      </w:r>
      <w:r w:rsidRPr="007B46BE" w:rsidR="006B37C8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7B46BE" w:rsidR="006B37C8">
        <w:rPr>
          <w:b/>
          <w:u w:val="single"/>
        </w:rPr>
        <w:instrText xml:space="preserve"> FORMTEXT </w:instrText>
      </w:r>
      <w:r w:rsidRPr="007B46BE" w:rsidR="006B37C8">
        <w:rPr>
          <w:b/>
          <w:u w:val="single"/>
        </w:rPr>
        <w:fldChar w:fldCharType="separate"/>
      </w:r>
      <w:r w:rsidRPr="007B46BE" w:rsidR="006B37C8">
        <w:rPr>
          <w:b/>
          <w:noProof/>
          <w:u w:val="single"/>
        </w:rPr>
        <w:t> </w:t>
      </w:r>
      <w:r w:rsidRPr="007B46BE" w:rsidR="006B37C8">
        <w:rPr>
          <w:b/>
          <w:noProof/>
          <w:u w:val="single"/>
        </w:rPr>
        <w:t> </w:t>
      </w:r>
      <w:r w:rsidRPr="007B46BE" w:rsidR="006B37C8">
        <w:rPr>
          <w:b/>
          <w:noProof/>
          <w:u w:val="single"/>
        </w:rPr>
        <w:t> </w:t>
      </w:r>
      <w:r w:rsidRPr="007B46BE" w:rsidR="006B37C8">
        <w:rPr>
          <w:b/>
          <w:noProof/>
          <w:u w:val="single"/>
        </w:rPr>
        <w:t> </w:t>
      </w:r>
      <w:r w:rsidRPr="007B46BE" w:rsidR="006B37C8">
        <w:rPr>
          <w:b/>
          <w:noProof/>
          <w:u w:val="single"/>
        </w:rPr>
        <w:t> </w:t>
      </w:r>
      <w:r w:rsidRPr="007B46BE" w:rsidR="006B37C8">
        <w:rPr>
          <w:b/>
          <w:u w:val="single"/>
        </w:rPr>
        <w:fldChar w:fldCharType="end"/>
      </w:r>
      <w:bookmarkEnd w:id="1"/>
      <w:r w:rsidRPr="007B46BE" w:rsidR="003B477B">
        <w:rPr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B46BE" w:rsidR="003B477B">
        <w:rPr>
          <w:b/>
          <w:u w:val="single"/>
        </w:rPr>
        <w:instrText xml:space="preserve"> FORMTEXT </w:instrText>
      </w:r>
      <w:r w:rsidRPr="007B46BE" w:rsidR="003B477B">
        <w:rPr>
          <w:b/>
          <w:u w:val="single"/>
        </w:rPr>
        <w:fldChar w:fldCharType="separate"/>
      </w:r>
      <w:r w:rsidRPr="007B46BE" w:rsidR="003B477B">
        <w:rPr>
          <w:b/>
          <w:noProof/>
          <w:u w:val="single"/>
        </w:rPr>
        <w:t> </w:t>
      </w:r>
      <w:r w:rsidRPr="007B46BE" w:rsidR="003B477B">
        <w:rPr>
          <w:b/>
          <w:noProof/>
          <w:u w:val="single"/>
        </w:rPr>
        <w:t> </w:t>
      </w:r>
      <w:r w:rsidRPr="007B46BE" w:rsidR="003B477B">
        <w:rPr>
          <w:b/>
          <w:noProof/>
          <w:u w:val="single"/>
        </w:rPr>
        <w:t> </w:t>
      </w:r>
      <w:r w:rsidRPr="007B46BE" w:rsidR="003B477B">
        <w:rPr>
          <w:b/>
          <w:noProof/>
          <w:u w:val="single"/>
        </w:rPr>
        <w:t> </w:t>
      </w:r>
      <w:r w:rsidRPr="007B46BE" w:rsidR="003B477B">
        <w:rPr>
          <w:b/>
          <w:noProof/>
          <w:u w:val="single"/>
        </w:rPr>
        <w:t> </w:t>
      </w:r>
      <w:r w:rsidRPr="007B46BE" w:rsidR="003B477B">
        <w:rPr>
          <w:b/>
          <w:u w:val="single"/>
        </w:rPr>
        <w:fldChar w:fldCharType="end"/>
      </w:r>
      <w:r>
        <w:rPr>
          <w:b/>
        </w:rPr>
        <w:tab/>
      </w:r>
    </w:p>
    <w:tbl>
      <w:tblPr>
        <w:tblStyle w:val="LightList"/>
        <w:tblW w:w="10764" w:type="dxa"/>
        <w:tblInd w:w="-10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1980"/>
        <w:gridCol w:w="1224"/>
        <w:gridCol w:w="1224"/>
        <w:gridCol w:w="1224"/>
        <w:gridCol w:w="1296"/>
        <w:gridCol w:w="1296"/>
        <w:gridCol w:w="1224"/>
        <w:gridCol w:w="1296"/>
      </w:tblGrid>
      <w:tr w14:paraId="55211FB4" w14:textId="77777777" w:rsidTr="00DF664E">
        <w:tblPrEx>
          <w:tblW w:w="10764" w:type="dxa"/>
          <w:tblInd w:w="-10" w:type="dxa"/>
          <w:tblBorders>
            <w:insideH w:val="single" w:sz="8" w:space="0" w:color="000000" w:themeColor="text1"/>
            <w:insideV w:val="single" w:sz="8" w:space="0" w:color="000000" w:themeColor="text1"/>
          </w:tblBorders>
          <w:tblLayout w:type="fixed"/>
          <w:tblLook w:val="04A0"/>
        </w:tblPrEx>
        <w:trPr>
          <w:trHeight w:val="576"/>
          <w:tblHeader/>
        </w:trPr>
        <w:tc>
          <w:tcPr>
            <w:tcW w:w="1980" w:type="dxa"/>
          </w:tcPr>
          <w:p w:rsidR="00DF664E" w:rsidRPr="00DF664E" w:rsidP="00DF664E" w14:paraId="5CDD25ED" w14:textId="77777777">
            <w:pPr>
              <w:rPr>
                <w:b w:val="0"/>
                <w:sz w:val="18"/>
                <w:szCs w:val="18"/>
              </w:rPr>
            </w:pPr>
            <w:r w:rsidRPr="00DF664E">
              <w:rPr>
                <w:sz w:val="18"/>
                <w:szCs w:val="18"/>
              </w:rPr>
              <w:t>Drug</w:t>
            </w:r>
          </w:p>
        </w:tc>
        <w:tc>
          <w:tcPr>
            <w:tcW w:w="1224" w:type="dxa"/>
          </w:tcPr>
          <w:p w:rsidR="00DF664E" w:rsidRPr="00DF664E" w:rsidP="00DF664E" w14:paraId="2B04E903" w14:textId="5D2716DC">
            <w:pPr>
              <w:jc w:val="center"/>
              <w:rPr>
                <w:sz w:val="18"/>
                <w:szCs w:val="18"/>
              </w:rPr>
            </w:pPr>
            <w:r w:rsidRPr="00DF664E">
              <w:rPr>
                <w:sz w:val="18"/>
                <w:szCs w:val="18"/>
              </w:rPr>
              <w:t>Susceptible</w:t>
            </w:r>
          </w:p>
        </w:tc>
        <w:tc>
          <w:tcPr>
            <w:tcW w:w="1224" w:type="dxa"/>
          </w:tcPr>
          <w:p w:rsidR="00DF664E" w:rsidRPr="00DF664E" w:rsidP="00DF664E" w14:paraId="766BF1DA" w14:textId="41AE7764">
            <w:pPr>
              <w:jc w:val="center"/>
              <w:rPr>
                <w:b w:val="0"/>
                <w:sz w:val="18"/>
                <w:szCs w:val="18"/>
              </w:rPr>
            </w:pPr>
            <w:r w:rsidRPr="00DF664E">
              <w:rPr>
                <w:sz w:val="18"/>
                <w:szCs w:val="18"/>
              </w:rPr>
              <w:t>Resistant</w:t>
            </w:r>
          </w:p>
        </w:tc>
        <w:tc>
          <w:tcPr>
            <w:tcW w:w="1224" w:type="dxa"/>
          </w:tcPr>
          <w:p w:rsidR="00DF664E" w:rsidRPr="00DF664E" w:rsidP="00DF664E" w14:paraId="262A2944" w14:textId="6167967D">
            <w:pPr>
              <w:jc w:val="center"/>
              <w:rPr>
                <w:b w:val="0"/>
                <w:sz w:val="18"/>
                <w:szCs w:val="18"/>
              </w:rPr>
            </w:pPr>
            <w:r w:rsidRPr="00DF664E">
              <w:rPr>
                <w:sz w:val="18"/>
                <w:szCs w:val="18"/>
              </w:rPr>
              <w:t>Intermediate</w:t>
            </w:r>
          </w:p>
        </w:tc>
        <w:tc>
          <w:tcPr>
            <w:tcW w:w="1296" w:type="dxa"/>
          </w:tcPr>
          <w:p w:rsidR="00DF664E" w:rsidRPr="00DF664E" w:rsidP="00DF664E" w14:paraId="3A7DCCED" w14:textId="5B6E6292">
            <w:pPr>
              <w:jc w:val="center"/>
              <w:rPr>
                <w:b w:val="0"/>
                <w:sz w:val="18"/>
                <w:szCs w:val="18"/>
              </w:rPr>
            </w:pPr>
            <w:r w:rsidRPr="00DF664E">
              <w:rPr>
                <w:sz w:val="18"/>
                <w:szCs w:val="18"/>
              </w:rPr>
              <w:t>Contaminated/ No Growth</w:t>
            </w:r>
          </w:p>
        </w:tc>
        <w:tc>
          <w:tcPr>
            <w:tcW w:w="1296" w:type="dxa"/>
          </w:tcPr>
          <w:p w:rsidR="00DF664E" w:rsidRPr="00DF664E" w:rsidP="00DF664E" w14:paraId="072B74EC" w14:textId="5CB77209">
            <w:pPr>
              <w:jc w:val="center"/>
              <w:rPr>
                <w:bCs w:val="0"/>
                <w:sz w:val="18"/>
                <w:szCs w:val="18"/>
              </w:rPr>
            </w:pPr>
            <w:r w:rsidRPr="00DF664E">
              <w:rPr>
                <w:bCs w:val="0"/>
                <w:sz w:val="18"/>
                <w:szCs w:val="18"/>
              </w:rPr>
              <w:t>No Interpretation</w:t>
            </w:r>
          </w:p>
        </w:tc>
        <w:tc>
          <w:tcPr>
            <w:tcW w:w="1224" w:type="dxa"/>
          </w:tcPr>
          <w:p w:rsidR="00DF664E" w:rsidRPr="00DF664E" w:rsidP="00DF664E" w14:paraId="29312687" w14:textId="34A66B8E">
            <w:pPr>
              <w:jc w:val="center"/>
              <w:rPr>
                <w:b w:val="0"/>
                <w:sz w:val="18"/>
                <w:szCs w:val="18"/>
              </w:rPr>
            </w:pPr>
            <w:r w:rsidRPr="00DF664E">
              <w:rPr>
                <w:sz w:val="18"/>
                <w:szCs w:val="18"/>
              </w:rPr>
              <w:t>Not Done</w:t>
            </w:r>
          </w:p>
        </w:tc>
        <w:tc>
          <w:tcPr>
            <w:tcW w:w="1296" w:type="dxa"/>
          </w:tcPr>
          <w:p w:rsidR="00DF664E" w:rsidRPr="00DF664E" w:rsidP="00DF664E" w14:paraId="5D9FC3A3" w14:textId="2385E637">
            <w:pPr>
              <w:jc w:val="center"/>
              <w:rPr>
                <w:bCs w:val="0"/>
                <w:sz w:val="18"/>
                <w:szCs w:val="18"/>
              </w:rPr>
            </w:pPr>
            <w:r w:rsidRPr="00DF664E">
              <w:rPr>
                <w:bCs w:val="0"/>
                <w:sz w:val="18"/>
                <w:szCs w:val="18"/>
              </w:rPr>
              <w:t>MIC (</w:t>
            </w:r>
            <w:r w:rsidRPr="00DF664E">
              <w:rPr>
                <w:rFonts w:cstheme="minorHAnsi"/>
                <w:bCs w:val="0"/>
                <w:sz w:val="18"/>
                <w:szCs w:val="18"/>
              </w:rPr>
              <w:t>µ</w:t>
            </w:r>
            <w:r w:rsidRPr="00DF664E">
              <w:rPr>
                <w:bCs w:val="0"/>
                <w:sz w:val="18"/>
                <w:szCs w:val="18"/>
              </w:rPr>
              <w:t>g/ml)</w:t>
            </w:r>
          </w:p>
        </w:tc>
      </w:tr>
      <w:tr w14:paraId="6C34A41F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</w:tcPr>
          <w:p w:rsidR="00BE2A6F" w:rsidP="00BE2A6F" w14:paraId="72CA0DE9" w14:textId="77777777">
            <w:pPr>
              <w:rPr>
                <w:b w:val="0"/>
              </w:rPr>
            </w:pPr>
            <w:r>
              <w:t>Rifampin</w:t>
            </w:r>
          </w:p>
        </w:tc>
        <w:tc>
          <w:tcPr>
            <w:tcW w:w="1224" w:type="dxa"/>
            <w:vAlign w:val="center"/>
          </w:tcPr>
          <w:p w:rsidR="00BE2A6F" w:rsidRPr="00D64F9B" w:rsidP="00BE2A6F" w14:paraId="4C849576" w14:textId="2C2D8FB7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  <w:bookmarkEnd w:id="2"/>
          </w:p>
        </w:tc>
        <w:tc>
          <w:tcPr>
            <w:tcW w:w="1224" w:type="dxa"/>
            <w:vAlign w:val="center"/>
          </w:tcPr>
          <w:p w:rsidR="00BE2A6F" w:rsidP="00BE2A6F" w14:paraId="1566A66A" w14:textId="6AEF283C">
            <w:pPr>
              <w:jc w:val="center"/>
              <w:rPr>
                <w:b/>
              </w:rPr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1E0ADC1E" w14:textId="73E76DF2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21AB39CD" w14:textId="1071C95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40D52B37" w14:textId="7845BBC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4CE7AA3B" w14:textId="2641FC2B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P="00BE2A6F" w14:paraId="6E7A7DAF" w14:textId="57E5A0AC">
            <w:pPr>
              <w:jc w:val="center"/>
            </w:pPr>
          </w:p>
        </w:tc>
      </w:tr>
      <w:tr w14:paraId="0504F56C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P="00BE2A6F" w14:paraId="3A893BB6" w14:textId="77777777">
            <w:pPr>
              <w:rPr>
                <w:b w:val="0"/>
              </w:rPr>
            </w:pPr>
            <w:r>
              <w:t>Isoniazid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3DC49819" w14:textId="4C73B1B2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3A0BCEE6" w14:textId="0D74DCB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720D22E5" w14:textId="57445DA0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7D00A71F" w14:textId="74C8BAB5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1D183AE3" w14:textId="53AFAE0F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4597DC39" w14:textId="15B55C7B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6DE854AA" w14:textId="157D18BA">
            <w:pPr>
              <w:jc w:val="center"/>
            </w:pPr>
          </w:p>
        </w:tc>
      </w:tr>
      <w:tr w14:paraId="60E63D64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auto"/>
          </w:tcPr>
          <w:p w:rsidR="00BE2A6F" w:rsidP="00BE2A6F" w14:paraId="2A47E6DC" w14:textId="77777777">
            <w:pPr>
              <w:rPr>
                <w:b w:val="0"/>
              </w:rPr>
            </w:pPr>
            <w:r>
              <w:t>Ethambutol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RPr="003F4359" w:rsidP="00BE2A6F" w14:paraId="2370495C" w14:textId="69A984CB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25BB142F" w14:textId="27583CBC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150206AD" w14:textId="7F1EBBBB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09C6C5C9" w14:textId="5914E10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299E6692" w14:textId="110AB420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3CD1AB82" w14:textId="62ACE187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BE2A6F" w:rsidP="00BE2A6F" w14:paraId="52AD641B" w14:textId="21A56828">
            <w:pPr>
              <w:jc w:val="center"/>
            </w:pPr>
          </w:p>
        </w:tc>
      </w:tr>
      <w:tr w14:paraId="596A9A9A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RPr="00A80DC7" w:rsidP="00BE2A6F" w14:paraId="7BCE2082" w14:textId="788D94D6">
            <w:pPr>
              <w:rPr>
                <w:bCs w:val="0"/>
              </w:rPr>
            </w:pPr>
            <w:r>
              <w:t>Streptomycin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2DC20CBF" w14:textId="1D54D0D6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086FB60F" w14:textId="59DC5E95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40A8198B" w14:textId="762566D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0BE8B6E7" w14:textId="13E7822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79BD6161" w14:textId="3379CF31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714DBF8B" w14:textId="630E5248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4EBA3AB2" w14:textId="77777777">
            <w:pPr>
              <w:jc w:val="center"/>
            </w:pPr>
          </w:p>
        </w:tc>
      </w:tr>
      <w:tr w14:paraId="3BADA3D9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</w:tcPr>
          <w:p w:rsidR="00BE2A6F" w:rsidP="00BE2A6F" w14:paraId="69B9DAE9" w14:textId="6A93BFFD">
            <w:r>
              <w:t>Ofloxacin</w:t>
            </w:r>
          </w:p>
        </w:tc>
        <w:tc>
          <w:tcPr>
            <w:tcW w:w="1224" w:type="dxa"/>
            <w:vAlign w:val="center"/>
          </w:tcPr>
          <w:p w:rsidR="00BE2A6F" w:rsidRPr="003F4359" w:rsidP="00BE2A6F" w14:paraId="1A101C1A" w14:textId="377778F0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RPr="003F4359" w:rsidP="00BE2A6F" w14:paraId="7712C3CB" w14:textId="7D674E6C">
            <w:pPr>
              <w:jc w:val="center"/>
              <w:rPr>
                <w:b/>
              </w:rPr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RPr="00EF0D6A" w:rsidP="00BE2A6F" w14:paraId="25EE4559" w14:textId="7F38911F">
            <w:pPr>
              <w:jc w:val="center"/>
              <w:rPr>
                <w:b/>
              </w:rPr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RPr="00EF0D6A" w:rsidP="00BE2A6F" w14:paraId="40E731E3" w14:textId="38245743">
            <w:pPr>
              <w:jc w:val="center"/>
              <w:rPr>
                <w:b/>
              </w:rPr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RPr="00EF0D6A" w:rsidP="00BE2A6F" w14:paraId="0071A10B" w14:textId="653468B3">
            <w:pPr>
              <w:jc w:val="center"/>
              <w:rPr>
                <w:b/>
              </w:rPr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RPr="00EF0D6A" w:rsidP="00BE2A6F" w14:paraId="223BD2BA" w14:textId="26A1802F">
            <w:pPr>
              <w:jc w:val="center"/>
              <w:rPr>
                <w:b/>
              </w:rPr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RPr="002B1B20" w:rsidP="00BE2A6F" w14:paraId="6C0FF818" w14:textId="73AFD4A5">
            <w:pPr>
              <w:jc w:val="center"/>
              <w:rPr>
                <w:b/>
              </w:rPr>
            </w:pPr>
          </w:p>
        </w:tc>
      </w:tr>
      <w:tr w14:paraId="3D564FA6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P="00BE2A6F" w14:paraId="0F738617" w14:textId="41393CA1">
            <w:pPr>
              <w:rPr>
                <w:b w:val="0"/>
              </w:rPr>
            </w:pPr>
            <w:r>
              <w:t>Ciprofloxacin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5DEBD40E" w14:textId="1CBF46CB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3B3303AA" w14:textId="710BAAAA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2F205DC9" w14:textId="679F428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07BAB75F" w14:textId="63C912BB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211978B4" w14:textId="33E08546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693845EA" w14:textId="47659324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2EDF0883" w14:textId="6A0EEF89">
            <w:pPr>
              <w:jc w:val="center"/>
            </w:pPr>
          </w:p>
        </w:tc>
      </w:tr>
      <w:tr w14:paraId="362BBDC5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</w:tcPr>
          <w:p w:rsidR="00BE2A6F" w:rsidP="00BE2A6F" w14:paraId="333A66C7" w14:textId="4BD7BFA9">
            <w:pPr>
              <w:rPr>
                <w:b w:val="0"/>
              </w:rPr>
            </w:pPr>
            <w:r>
              <w:t>Moxifloxacin</w:t>
            </w:r>
          </w:p>
        </w:tc>
        <w:tc>
          <w:tcPr>
            <w:tcW w:w="1224" w:type="dxa"/>
            <w:vAlign w:val="center"/>
          </w:tcPr>
          <w:p w:rsidR="00BE2A6F" w:rsidRPr="003F4359" w:rsidP="00BE2A6F" w14:paraId="6285A11B" w14:textId="1ECA9536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3B826738" w14:textId="5CCAF6E2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14BEA417" w14:textId="716E13C4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70A9CA8A" w14:textId="26F933FA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3CCBF536" w14:textId="414BB558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778AF3CD" w14:textId="1078BB4D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P="00BE2A6F" w14:paraId="28B801DA" w14:textId="1D5EC0ED">
            <w:pPr>
              <w:jc w:val="center"/>
            </w:pPr>
          </w:p>
        </w:tc>
      </w:tr>
      <w:tr w14:paraId="225574F9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P="00BE2A6F" w14:paraId="471C0389" w14:textId="2EE081B3">
            <w:pPr>
              <w:rPr>
                <w:b w:val="0"/>
              </w:rPr>
            </w:pPr>
            <w:r>
              <w:t>Levofloxacin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18C077DD" w14:textId="02B633A5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2AC30BA3" w14:textId="22E7FD0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17A24874" w14:textId="38E30FAC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47C2549F" w14:textId="79DD1C50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0535205F" w14:textId="3294194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6227905C" w14:textId="769BA311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22DA0DF0" w14:textId="4E9B7955">
            <w:pPr>
              <w:jc w:val="center"/>
            </w:pPr>
          </w:p>
        </w:tc>
      </w:tr>
      <w:tr w14:paraId="62207080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</w:tcPr>
          <w:p w:rsidR="00BE2A6F" w:rsidP="00BE2A6F" w14:paraId="4375448E" w14:textId="75DC788E">
            <w:pPr>
              <w:rPr>
                <w:b w:val="0"/>
              </w:rPr>
            </w:pPr>
            <w:r>
              <w:t>Amikacin</w:t>
            </w:r>
          </w:p>
        </w:tc>
        <w:tc>
          <w:tcPr>
            <w:tcW w:w="1224" w:type="dxa"/>
            <w:vAlign w:val="center"/>
          </w:tcPr>
          <w:p w:rsidR="00BE2A6F" w:rsidRPr="003F4359" w:rsidP="00BE2A6F" w14:paraId="04D3DC19" w14:textId="4BCBCC4B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4EAF5CC2" w14:textId="646942AB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388668BA" w14:textId="352F89C4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176C70C7" w14:textId="7BC4F06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362F4787" w14:textId="4D479534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4ED7D996" w14:textId="4E33DA69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P="00BE2A6F" w14:paraId="49C33DA3" w14:textId="502A8AD4">
            <w:pPr>
              <w:jc w:val="center"/>
            </w:pPr>
          </w:p>
        </w:tc>
      </w:tr>
      <w:tr w14:paraId="19049068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P="00BE2A6F" w14:paraId="1188D9FC" w14:textId="2609D932">
            <w:pPr>
              <w:rPr>
                <w:b w:val="0"/>
              </w:rPr>
            </w:pPr>
            <w:r>
              <w:t>Kanamycin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4A1F5936" w14:textId="364EC4EA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2FAE3D17" w14:textId="06E50586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4A6A7857" w14:textId="1B11A838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71978B67" w14:textId="0F6F2B36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5DCBDA8A" w14:textId="36D9794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708BBE2A" w14:textId="500F7223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3C0B4FE3" w14:textId="576B25CE">
            <w:pPr>
              <w:jc w:val="center"/>
            </w:pPr>
          </w:p>
        </w:tc>
      </w:tr>
      <w:tr w14:paraId="042C0223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</w:tcPr>
          <w:p w:rsidR="00BE2A6F" w:rsidP="00BE2A6F" w14:paraId="5F24B08F" w14:textId="62DE2582">
            <w:pPr>
              <w:rPr>
                <w:b w:val="0"/>
              </w:rPr>
            </w:pPr>
            <w:r>
              <w:t>Capreomycin</w:t>
            </w:r>
          </w:p>
        </w:tc>
        <w:tc>
          <w:tcPr>
            <w:tcW w:w="1224" w:type="dxa"/>
            <w:vAlign w:val="center"/>
          </w:tcPr>
          <w:p w:rsidR="00BE2A6F" w:rsidRPr="003F4359" w:rsidP="00BE2A6F" w14:paraId="1D96426E" w14:textId="7B9A8985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287F3FB1" w14:textId="729AA73A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34BB38F3" w14:textId="320E5C46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0D849F57" w14:textId="6BF6BB2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33E19703" w14:textId="73778DB4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706B0FB9" w14:textId="4C842302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P="00BE2A6F" w14:paraId="564730E7" w14:textId="4B048110">
            <w:pPr>
              <w:jc w:val="center"/>
            </w:pPr>
          </w:p>
        </w:tc>
      </w:tr>
      <w:tr w14:paraId="1038D5C0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P="00BE2A6F" w14:paraId="275AA1A1" w14:textId="7F51DDF7">
            <w:pPr>
              <w:rPr>
                <w:b w:val="0"/>
              </w:rPr>
            </w:pPr>
            <w:r>
              <w:t>Ethionamide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5AF757B5" w14:textId="043FDDDF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5DEC99C3" w14:textId="212F54D5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58D3B3F7" w14:textId="2FD6384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4CABFAAC" w14:textId="483A183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7CBC808E" w14:textId="77C0E68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669CD340" w14:textId="3E599BDE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29612E45" w14:textId="496F3FDF">
            <w:pPr>
              <w:jc w:val="center"/>
            </w:pPr>
          </w:p>
        </w:tc>
      </w:tr>
      <w:tr w14:paraId="115AEB17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</w:tcPr>
          <w:p w:rsidR="00BE2A6F" w:rsidP="00BE2A6F" w14:paraId="6F6CE191" w14:textId="02BD4299">
            <w:pPr>
              <w:rPr>
                <w:b w:val="0"/>
              </w:rPr>
            </w:pPr>
            <w:r>
              <w:t>Rifabutin</w:t>
            </w:r>
          </w:p>
        </w:tc>
        <w:tc>
          <w:tcPr>
            <w:tcW w:w="1224" w:type="dxa"/>
            <w:vAlign w:val="center"/>
          </w:tcPr>
          <w:p w:rsidR="00BE2A6F" w:rsidRPr="003F4359" w:rsidP="00BE2A6F" w14:paraId="3F166812" w14:textId="0EBD7C2D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59A33FB2" w14:textId="16518CB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66CF829A" w14:textId="5190DF96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41D24036" w14:textId="3DDE6EC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39F63188" w14:textId="194CE113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34D7070C" w14:textId="35635764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P="00BE2A6F" w14:paraId="38362CA1" w14:textId="117BBA15">
            <w:pPr>
              <w:jc w:val="center"/>
            </w:pPr>
          </w:p>
        </w:tc>
      </w:tr>
      <w:tr w14:paraId="40693232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P="00BE2A6F" w14:paraId="67F99996" w14:textId="31B0906B">
            <w:pPr>
              <w:rPr>
                <w:b w:val="0"/>
              </w:rPr>
            </w:pPr>
            <w:r w:rsidRPr="003B477B">
              <w:t>Cycloserine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6D85ED3A" w14:textId="3F1C67BA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45EAACD3" w14:textId="3FC4209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56F50413" w14:textId="6223086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10AA3C8C" w14:textId="75068FE3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6DE1930F" w14:textId="17CAFF50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01D39C3E" w14:textId="61B15FAD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2E1D9851" w14:textId="5072BFA6">
            <w:pPr>
              <w:jc w:val="center"/>
            </w:pPr>
          </w:p>
        </w:tc>
      </w:tr>
      <w:tr w14:paraId="6CB01E65" w14:textId="77777777" w:rsidTr="00BE2A6F">
        <w:tblPrEx>
          <w:tblW w:w="10764" w:type="dxa"/>
          <w:tblInd w:w="-10" w:type="dxa"/>
          <w:tblLayout w:type="fixed"/>
          <w:tblLook w:val="04A0"/>
        </w:tblPrEx>
        <w:tc>
          <w:tcPr>
            <w:tcW w:w="1980" w:type="dxa"/>
          </w:tcPr>
          <w:p w:rsidR="00BE2A6F" w:rsidRPr="003B477B" w:rsidP="00BE2A6F" w14:paraId="1EB77FAF" w14:textId="5DA1327C">
            <w:pPr>
              <w:rPr>
                <w:b w:val="0"/>
              </w:rPr>
            </w:pPr>
            <w:r w:rsidRPr="00A80DC7">
              <w:rPr>
                <w:bCs w:val="0"/>
              </w:rPr>
              <w:t>Para-aminosalicylic Acid</w:t>
            </w:r>
          </w:p>
        </w:tc>
        <w:tc>
          <w:tcPr>
            <w:tcW w:w="1224" w:type="dxa"/>
            <w:vAlign w:val="center"/>
          </w:tcPr>
          <w:p w:rsidR="00BE2A6F" w:rsidRPr="003F4359" w:rsidP="00BE2A6F" w14:paraId="00AA160C" w14:textId="6CB051DA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181C8A0D" w14:textId="43410883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19E8D756" w14:textId="30F06E38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1499CF94" w14:textId="12C13203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BE2A6F" w:rsidP="00BE2A6F" w14:paraId="6BBD2DFA" w14:textId="18A86480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vAlign w:val="center"/>
          </w:tcPr>
          <w:p w:rsidR="00BE2A6F" w:rsidP="00BE2A6F" w14:paraId="5399C3C5" w14:textId="0F2439F3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</w:tcPr>
          <w:p w:rsidR="00BE2A6F" w:rsidP="00BE2A6F" w14:paraId="4CF84D09" w14:textId="60A67BE1">
            <w:pPr>
              <w:jc w:val="center"/>
            </w:pPr>
          </w:p>
        </w:tc>
      </w:tr>
      <w:tr w14:paraId="39790045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RPr="00A80DC7" w:rsidP="00BE2A6F" w14:paraId="3B8AF783" w14:textId="0C1AB92F">
            <w:pPr>
              <w:rPr>
                <w:bCs w:val="0"/>
              </w:rPr>
            </w:pPr>
            <w:r w:rsidRPr="003B477B">
              <w:t>Rifapentine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5D4628F1" w14:textId="7BCFE2A2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679D82E9" w14:textId="71366C5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20B40AED" w14:textId="4FE83461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3613D740" w14:textId="1A2E4C2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32359216" w14:textId="7D2D1324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4C3215AE" w14:textId="45444024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38769D30" w14:textId="57B27627">
            <w:pPr>
              <w:jc w:val="center"/>
            </w:pPr>
          </w:p>
        </w:tc>
      </w:tr>
      <w:tr w14:paraId="15828097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auto"/>
          </w:tcPr>
          <w:p w:rsidR="00BE2A6F" w:rsidRPr="003B477B" w:rsidP="00BE2A6F" w14:paraId="720C3BFE" w14:textId="783EF665">
            <w:r w:rsidRPr="003B477B">
              <w:t>Bedaquiline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RPr="003F4359" w:rsidP="00BE2A6F" w14:paraId="5A6672D0" w14:textId="665D8CDA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274F7300" w14:textId="2DF176F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2DFB8DE2" w14:textId="236EA20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267EEA80" w14:textId="664B93E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6DF6EA58" w14:textId="7C75F42F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34891480" w14:textId="5425A529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BE2A6F" w:rsidP="00BE2A6F" w14:paraId="09E446F3" w14:textId="6AE0F5B2">
            <w:pPr>
              <w:jc w:val="center"/>
            </w:pPr>
          </w:p>
        </w:tc>
      </w:tr>
      <w:tr w14:paraId="6813A621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RPr="003B477B" w:rsidP="00BE2A6F" w14:paraId="4A8BF00E" w14:textId="227F74FB">
            <w:r w:rsidRPr="003B477B">
              <w:t>Linezolid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758522B2" w14:textId="433DF9ED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0F911029" w14:textId="3BA9BF62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4B25B45C" w14:textId="7A1FD49C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0085017F" w14:textId="322C65D9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099710F9" w14:textId="6C4C155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0372DDE7" w14:textId="3DDC8154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68B7A3CC" w14:textId="5F94040A">
            <w:pPr>
              <w:jc w:val="center"/>
            </w:pPr>
          </w:p>
        </w:tc>
      </w:tr>
      <w:tr w14:paraId="2BE25435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auto"/>
          </w:tcPr>
          <w:p w:rsidR="00BE2A6F" w:rsidRPr="003B477B" w:rsidP="00BE2A6F" w14:paraId="54D9406A" w14:textId="43564775">
            <w:r w:rsidRPr="003B477B">
              <w:t>Clofazimine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RPr="003F4359" w:rsidP="00BE2A6F" w14:paraId="2D890916" w14:textId="4F5A46C3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7D2E5E04" w14:textId="5559791C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76D9B52A" w14:textId="648811F1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1907F3E3" w14:textId="53254488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61240708" w14:textId="57C30A85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3E2EA742" w14:textId="7077667B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BE2A6F" w:rsidP="00BE2A6F" w14:paraId="1ED3514A" w14:textId="2143B86A">
            <w:pPr>
              <w:jc w:val="center"/>
            </w:pPr>
          </w:p>
        </w:tc>
      </w:tr>
      <w:tr w14:paraId="0CA08757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RPr="003B477B" w:rsidP="00BE2A6F" w14:paraId="0B6B6B55" w14:textId="34390D0F">
            <w:r w:rsidRPr="003B477B">
              <w:t>Delamanid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330158A6" w14:textId="2FA3788B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55B297B1" w14:textId="2D5429B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3F7254C4" w14:textId="10D11452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202AB986" w14:textId="4005422A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221C06C0" w14:textId="24C81DD3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283BA8A7" w14:textId="2C2CF5F4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13C1CB4A" w14:textId="77777777">
            <w:pPr>
              <w:jc w:val="center"/>
            </w:pPr>
          </w:p>
        </w:tc>
      </w:tr>
      <w:tr w14:paraId="49B19E95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auto"/>
          </w:tcPr>
          <w:p w:rsidR="00BE2A6F" w:rsidRPr="003B477B" w:rsidP="00BE2A6F" w14:paraId="6853BD78" w14:textId="0BB6D7D6">
            <w:r w:rsidRPr="003B477B">
              <w:t>Pretomanid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RPr="003F4359" w:rsidP="00BE2A6F" w14:paraId="6F98A252" w14:textId="53E4645C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4D981C0C" w14:textId="7BEB0BA3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5F78E6BA" w14:textId="032A73D7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3C385CC4" w14:textId="0EAAA9E5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594B93F5" w14:textId="44445ECE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43780628" w14:textId="0DF5E08D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BE2A6F" w:rsidP="00BE2A6F" w14:paraId="6E90F270" w14:textId="77777777">
            <w:pPr>
              <w:jc w:val="center"/>
            </w:pPr>
          </w:p>
        </w:tc>
      </w:tr>
      <w:tr w14:paraId="426341DC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D9D9D9" w:themeFill="background1" w:themeFillShade="D9"/>
          </w:tcPr>
          <w:p w:rsidR="00BE2A6F" w:rsidRPr="003B477B" w:rsidP="00BE2A6F" w14:paraId="0D9FC608" w14:textId="4B00F05D">
            <w:r>
              <w:t>Other: __________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RPr="003F4359" w:rsidP="00BE2A6F" w14:paraId="457CE863" w14:textId="2CB4414A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63EC02BE" w14:textId="1A3972FA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703218A0" w14:textId="28FC920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4CE797A7" w14:textId="7C7BBD28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BE2A6F" w:rsidP="00BE2A6F" w14:paraId="6BB1C04D" w14:textId="3214AFD4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BE2A6F" w:rsidP="00BE2A6F" w14:paraId="1D2B33A0" w14:textId="5EAA1B13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BE2A6F" w:rsidP="00BE2A6F" w14:paraId="1D683919" w14:textId="77777777">
            <w:pPr>
              <w:jc w:val="center"/>
            </w:pPr>
          </w:p>
        </w:tc>
      </w:tr>
      <w:tr w14:paraId="77F58B52" w14:textId="77777777" w:rsidTr="00BE2A6F">
        <w:tblPrEx>
          <w:tblW w:w="10764" w:type="dxa"/>
          <w:tblInd w:w="-10" w:type="dxa"/>
          <w:tblLayout w:type="fixed"/>
          <w:tblLook w:val="04A0"/>
        </w:tblPrEx>
        <w:trPr>
          <w:trHeight w:val="288"/>
        </w:trPr>
        <w:tc>
          <w:tcPr>
            <w:tcW w:w="1980" w:type="dxa"/>
            <w:shd w:val="clear" w:color="auto" w:fill="auto"/>
          </w:tcPr>
          <w:p w:rsidR="00BE2A6F" w:rsidP="00BE2A6F" w14:paraId="456D5F8A" w14:textId="39F5BB35">
            <w:r>
              <w:t>Other: __________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RPr="003F4359" w:rsidP="00BE2A6F" w14:paraId="0FF7170A" w14:textId="3EDD978C">
            <w:pPr>
              <w:jc w:val="center"/>
              <w:rPr>
                <w:b/>
              </w:rPr>
            </w:pPr>
            <w:r w:rsidRPr="00D64F9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F9B">
              <w:rPr>
                <w:b/>
              </w:rPr>
              <w:instrText xml:space="preserve"> FORMCHECKBOX </w:instrText>
            </w:r>
            <w:r w:rsidRPr="00D64F9B">
              <w:rPr>
                <w:b/>
              </w:rPr>
              <w:fldChar w:fldCharType="separate"/>
            </w:r>
            <w:r w:rsidRPr="00D64F9B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153B8F4F" w14:textId="560BA20F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28F597C7" w14:textId="17550F3D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70CC6B1B" w14:textId="35365F51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E2A6F" w:rsidP="00BE2A6F" w14:paraId="6D35E564" w14:textId="01F37D32">
            <w:pPr>
              <w:jc w:val="center"/>
            </w:pPr>
            <w:r w:rsidRPr="00EF0D6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6A">
              <w:rPr>
                <w:b/>
              </w:rPr>
              <w:instrText xml:space="preserve"> FORMCHECKBOX </w:instrText>
            </w:r>
            <w:r w:rsidRPr="00EF0D6A">
              <w:rPr>
                <w:b/>
              </w:rPr>
              <w:fldChar w:fldCharType="separate"/>
            </w:r>
            <w:r w:rsidRPr="00EF0D6A">
              <w:rPr>
                <w:b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2A6F" w:rsidP="00BE2A6F" w14:paraId="47AE0D76" w14:textId="7516A7AD">
            <w:pPr>
              <w:jc w:val="center"/>
            </w:pPr>
            <w:r w:rsidRPr="002B1B20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B20">
              <w:rPr>
                <w:b/>
              </w:rPr>
              <w:instrText xml:space="preserve"> FORMCHECKBOX </w:instrText>
            </w:r>
            <w:r w:rsidRPr="002B1B20">
              <w:rPr>
                <w:b/>
              </w:rPr>
              <w:fldChar w:fldCharType="separate"/>
            </w:r>
            <w:r w:rsidRPr="002B1B20">
              <w:rPr>
                <w:b/>
              </w:rPr>
              <w:fldChar w:fldCharType="end"/>
            </w:r>
          </w:p>
        </w:tc>
        <w:tc>
          <w:tcPr>
            <w:tcW w:w="1296" w:type="dxa"/>
            <w:shd w:val="clear" w:color="auto" w:fill="auto"/>
          </w:tcPr>
          <w:p w:rsidR="00BE2A6F" w:rsidP="00BE2A6F" w14:paraId="7B474380" w14:textId="77777777">
            <w:pPr>
              <w:jc w:val="center"/>
            </w:pPr>
          </w:p>
        </w:tc>
      </w:tr>
    </w:tbl>
    <w:p w:rsidR="00F22917" w:rsidP="00DA4DA7" w14:paraId="24C5444E" w14:textId="216F41CD">
      <w:pPr>
        <w:tabs>
          <w:tab w:val="left" w:pos="3373"/>
        </w:tabs>
      </w:pPr>
    </w:p>
    <w:sectPr w:rsidSect="00237F4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0D" w14:paraId="09C4F0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F44" w:rsidRPr="00237F44" w14:paraId="029E7184" w14:textId="60316120">
    <w:pPr>
      <w:pStyle w:val="Footer"/>
      <w:rPr>
        <w:sz w:val="20"/>
        <w:szCs w:val="20"/>
      </w:rPr>
    </w:pPr>
    <w:r>
      <w:tab/>
    </w:r>
    <w:r>
      <w:tab/>
    </w:r>
    <w:r w:rsidRPr="00237F44">
      <w:rPr>
        <w:sz w:val="20"/>
        <w:szCs w:val="20"/>
      </w:rPr>
      <w:tab/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0D" w14:paraId="19594D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0D" w14:paraId="54538C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4336" w:rsidP="00DF4336" w14:paraId="12CAE776" w14:textId="4BD87591">
    <w:pPr>
      <w:tabs>
        <w:tab w:val="left" w:pos="2625"/>
      </w:tabs>
      <w:spacing w:after="0"/>
      <w:jc w:val="right"/>
      <w:rPr>
        <w:b/>
        <w:sz w:val="16"/>
        <w:szCs w:val="16"/>
      </w:rPr>
    </w:pPr>
    <w:r>
      <w:rPr>
        <w:b/>
        <w:sz w:val="16"/>
        <w:szCs w:val="16"/>
      </w:rPr>
      <w:t>Form Approved</w:t>
    </w:r>
  </w:p>
  <w:p w:rsidR="00DF4336" w:rsidP="00DF4336" w14:paraId="4A232028" w14:textId="60ABE2A4">
    <w:pPr>
      <w:tabs>
        <w:tab w:val="left" w:pos="2625"/>
      </w:tabs>
      <w:spacing w:after="0"/>
      <w:jc w:val="right"/>
      <w:rPr>
        <w:b/>
        <w:sz w:val="16"/>
        <w:szCs w:val="16"/>
      </w:rPr>
    </w:pPr>
    <w:r>
      <w:rPr>
        <w:b/>
        <w:sz w:val="16"/>
        <w:szCs w:val="16"/>
      </w:rPr>
      <w:t>OMB No. 0920-6000</w:t>
    </w:r>
  </w:p>
  <w:p w:rsidR="00DF4336" w:rsidP="00DF4336" w14:paraId="3D22A889" w14:textId="0E18DF82">
    <w:pPr>
      <w:tabs>
        <w:tab w:val="left" w:pos="2625"/>
      </w:tabs>
      <w:spacing w:after="0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Expiration Date: </w:t>
    </w:r>
    <w:r w:rsidR="001D040D">
      <w:rPr>
        <w:b/>
        <w:sz w:val="16"/>
        <w:szCs w:val="16"/>
      </w:rPr>
      <w:t>XX</w:t>
    </w:r>
    <w:r>
      <w:rPr>
        <w:b/>
        <w:sz w:val="16"/>
        <w:szCs w:val="16"/>
      </w:rPr>
      <w:t>/</w:t>
    </w:r>
    <w:r w:rsidR="001D040D">
      <w:rPr>
        <w:b/>
        <w:sz w:val="16"/>
        <w:szCs w:val="16"/>
      </w:rPr>
      <w:t>XX</w:t>
    </w:r>
    <w:r>
      <w:rPr>
        <w:b/>
        <w:sz w:val="16"/>
        <w:szCs w:val="16"/>
      </w:rPr>
      <w:t>/20</w:t>
    </w:r>
    <w:r w:rsidR="001D040D">
      <w:rPr>
        <w:b/>
        <w:sz w:val="16"/>
        <w:szCs w:val="16"/>
      </w:rPr>
      <w:t>XX</w:t>
    </w:r>
  </w:p>
  <w:p w:rsidR="00DF4336" w:rsidRPr="00DF4336" w:rsidP="00DF4336" w14:paraId="4D019A43" w14:textId="617546F3">
    <w:pPr>
      <w:tabs>
        <w:tab w:val="left" w:pos="2625"/>
      </w:tabs>
      <w:rPr>
        <w:b/>
        <w:sz w:val="16"/>
        <w:szCs w:val="16"/>
      </w:rPr>
    </w:pPr>
    <w:r w:rsidRPr="001D040D">
      <w:rPr>
        <w:b/>
        <w:sz w:val="16"/>
        <w:szCs w:val="16"/>
      </w:rPr>
      <w:t xml:space="preserve">CDC estimates the average public reporting burden for this collection of information as </w:t>
    </w:r>
    <w:r w:rsidR="00132988">
      <w:rPr>
        <w:b/>
        <w:sz w:val="16"/>
        <w:szCs w:val="16"/>
      </w:rPr>
      <w:t>15</w:t>
    </w:r>
    <w:r>
      <w:rPr>
        <w:b/>
        <w:sz w:val="16"/>
        <w:szCs w:val="16"/>
      </w:rPr>
      <w:t xml:space="preserve"> </w:t>
    </w:r>
    <w:r w:rsidRPr="001D040D">
      <w:rPr>
        <w:b/>
        <w:bCs/>
        <w:sz w:val="16"/>
        <w:szCs w:val="16"/>
      </w:rPr>
      <w:t>minutes</w:t>
    </w:r>
    <w:r w:rsidRPr="001D040D">
      <w:rPr>
        <w:b/>
        <w:sz w:val="16"/>
        <w:szCs w:val="16"/>
      </w:rPr>
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(0920-0600).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40D" w14:paraId="593ED6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C8"/>
    <w:rsid w:val="000208EA"/>
    <w:rsid w:val="00042CD3"/>
    <w:rsid w:val="00043C19"/>
    <w:rsid w:val="00044400"/>
    <w:rsid w:val="0004461D"/>
    <w:rsid w:val="00072397"/>
    <w:rsid w:val="000C0679"/>
    <w:rsid w:val="000E018B"/>
    <w:rsid w:val="000E20D8"/>
    <w:rsid w:val="000F4201"/>
    <w:rsid w:val="0010300E"/>
    <w:rsid w:val="00125A7C"/>
    <w:rsid w:val="00132988"/>
    <w:rsid w:val="001436D9"/>
    <w:rsid w:val="001810BD"/>
    <w:rsid w:val="001D040D"/>
    <w:rsid w:val="001F2284"/>
    <w:rsid w:val="00237F44"/>
    <w:rsid w:val="00257884"/>
    <w:rsid w:val="0026224D"/>
    <w:rsid w:val="002A4246"/>
    <w:rsid w:val="002B1B20"/>
    <w:rsid w:val="002C6E94"/>
    <w:rsid w:val="0030670D"/>
    <w:rsid w:val="003465AC"/>
    <w:rsid w:val="00362A6E"/>
    <w:rsid w:val="003B477B"/>
    <w:rsid w:val="003B7CFE"/>
    <w:rsid w:val="003E787D"/>
    <w:rsid w:val="003F4359"/>
    <w:rsid w:val="004365CD"/>
    <w:rsid w:val="00466541"/>
    <w:rsid w:val="00503D35"/>
    <w:rsid w:val="00576792"/>
    <w:rsid w:val="005B6F45"/>
    <w:rsid w:val="005C7E3A"/>
    <w:rsid w:val="00631865"/>
    <w:rsid w:val="006B37C8"/>
    <w:rsid w:val="006E0B6C"/>
    <w:rsid w:val="0073743B"/>
    <w:rsid w:val="007810CC"/>
    <w:rsid w:val="00782357"/>
    <w:rsid w:val="007A4A29"/>
    <w:rsid w:val="007B1C61"/>
    <w:rsid w:val="007B46BE"/>
    <w:rsid w:val="007E1143"/>
    <w:rsid w:val="008453BD"/>
    <w:rsid w:val="008458B9"/>
    <w:rsid w:val="00883B99"/>
    <w:rsid w:val="00891F28"/>
    <w:rsid w:val="00894618"/>
    <w:rsid w:val="008D31BD"/>
    <w:rsid w:val="00972AF8"/>
    <w:rsid w:val="009B6C76"/>
    <w:rsid w:val="009D1CED"/>
    <w:rsid w:val="009E5DD7"/>
    <w:rsid w:val="00A13909"/>
    <w:rsid w:val="00A249ED"/>
    <w:rsid w:val="00A67BB3"/>
    <w:rsid w:val="00A71E0E"/>
    <w:rsid w:val="00A80DC7"/>
    <w:rsid w:val="00A84001"/>
    <w:rsid w:val="00AA0ADC"/>
    <w:rsid w:val="00AB08EF"/>
    <w:rsid w:val="00AB7323"/>
    <w:rsid w:val="00B36440"/>
    <w:rsid w:val="00B40FD5"/>
    <w:rsid w:val="00B43D09"/>
    <w:rsid w:val="00B50809"/>
    <w:rsid w:val="00B8502F"/>
    <w:rsid w:val="00B911A4"/>
    <w:rsid w:val="00BA4C52"/>
    <w:rsid w:val="00BC2CE7"/>
    <w:rsid w:val="00BE2A6F"/>
    <w:rsid w:val="00C36DDF"/>
    <w:rsid w:val="00CC7FBE"/>
    <w:rsid w:val="00D06C12"/>
    <w:rsid w:val="00D14BCA"/>
    <w:rsid w:val="00D64F9B"/>
    <w:rsid w:val="00D91928"/>
    <w:rsid w:val="00DA4DA7"/>
    <w:rsid w:val="00DD5FDB"/>
    <w:rsid w:val="00DF4336"/>
    <w:rsid w:val="00DF664E"/>
    <w:rsid w:val="00E17C1D"/>
    <w:rsid w:val="00E31489"/>
    <w:rsid w:val="00E35E19"/>
    <w:rsid w:val="00E434B7"/>
    <w:rsid w:val="00ED048A"/>
    <w:rsid w:val="00EF0D6A"/>
    <w:rsid w:val="00EF7CC0"/>
    <w:rsid w:val="00F22917"/>
    <w:rsid w:val="00F33736"/>
    <w:rsid w:val="00F72544"/>
    <w:rsid w:val="00F77778"/>
    <w:rsid w:val="00F862C1"/>
    <w:rsid w:val="00FD6814"/>
    <w:rsid w:val="00FF4B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6684B"/>
  <w15:docId w15:val="{70AAD6CF-44AD-4081-872B-C04C3CD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7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7C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7C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7374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7374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6E"/>
  </w:style>
  <w:style w:type="paragraph" w:styleId="Footer">
    <w:name w:val="footer"/>
    <w:basedOn w:val="Normal"/>
    <w:link w:val="FooterChar"/>
    <w:uiPriority w:val="99"/>
    <w:unhideWhenUsed/>
    <w:rsid w:val="0036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6E"/>
  </w:style>
  <w:style w:type="character" w:styleId="Hyperlink">
    <w:name w:val="Hyperlink"/>
    <w:basedOn w:val="DefaultParagraphFont"/>
    <w:uiPriority w:val="99"/>
    <w:unhideWhenUsed/>
    <w:rsid w:val="00AA0A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7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C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8344-66CF-43B3-BA1E-8FA33FF9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Yakrus, Mitchell (CDC/OID/NCHHSTP)</dc:creator>
  <cp:lastModifiedBy>Stafford, Cortney (CDC/DDID/NCHHSTP/DTE)</cp:lastModifiedBy>
  <cp:revision>8</cp:revision>
  <cp:lastPrinted>2018-06-06T18:06:00Z</cp:lastPrinted>
  <dcterms:created xsi:type="dcterms:W3CDTF">2025-02-24T15:24:00Z</dcterms:created>
  <dcterms:modified xsi:type="dcterms:W3CDTF">2025-07-29T19:21:00Z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ac7415f4-0e82-483f-af5d-251b8d63eb25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2020-12-22T21:01:30Z</vt:lpwstr>
  </property>
  <property fmtid="{D5CDD505-2E9C-101B-9397-08002B2CF9AE}" pid="8" name="MSIP_Label_7b94a7b8-f06c-4dfe-bdcc-9b548fd58c31_SiteId">
    <vt:lpwstr>9ce70869-60db-44fd-abe8-d2767077fc8f</vt:lpwstr>
  </property>
</Properties>
</file>