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7A67" w:rsidP="00917FDB" w14:paraId="04295A8A" w14:textId="77777777">
      <w:pPr>
        <w:pStyle w:val="Heading2"/>
        <w:rPr>
          <w:b/>
        </w:rPr>
      </w:pPr>
      <w:bookmarkStart w:id="0" w:name="_Toc384902202"/>
      <w:r>
        <w:rPr>
          <w:b/>
        </w:rPr>
        <w:t>Exhibit S</w:t>
      </w:r>
      <w:r w:rsidRPr="00BC7A67">
        <w:rPr>
          <w:b/>
        </w:rPr>
        <w:t>: Final Medicare FI Assessment Letter (Top Memorandum)</w:t>
      </w:r>
      <w:bookmarkEnd w:id="0"/>
    </w:p>
    <w:p w:rsidR="00BC7A67" w:rsidP="00BC7A67" w14:paraId="04295A8B" w14:textId="77777777"/>
    <w:p w:rsidR="00BC7A67" w:rsidP="00BC7A67" w14:paraId="04295A8C" w14:textId="77777777">
      <w:pPr>
        <w:pStyle w:val="Heading3"/>
        <w:numPr>
          <w:ilvl w:val="2"/>
          <w:numId w:val="1"/>
        </w:numPr>
        <w:rPr>
          <w:b/>
          <w:i/>
        </w:rPr>
      </w:pPr>
      <w:bookmarkStart w:id="1" w:name="_Toc384902203"/>
      <w:r w:rsidRPr="00BC7A67">
        <w:rPr>
          <w:b/>
          <w:i/>
        </w:rPr>
        <w:t>Exhibit S: Findings</w:t>
      </w:r>
      <w:bookmarkEnd w:id="1"/>
    </w:p>
    <w:p w:rsidR="00BC7A67" w:rsidP="000059D1" w14:paraId="04295A8D" w14:textId="77777777">
      <w:pPr>
        <w:jc w:val="center"/>
        <w:rPr>
          <w:b/>
          <w:i/>
        </w:rPr>
      </w:pPr>
      <w:r>
        <w:rPr>
          <w:noProof/>
        </w:rPr>
        <w:drawing>
          <wp:inline distT="0" distB="0" distL="0" distR="0">
            <wp:extent cx="6066845" cy="2019300"/>
            <wp:effectExtent l="19050" t="19050" r="10160" b="190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9"/>
                    <a:stretch>
                      <a:fillRect/>
                    </a:stretch>
                  </pic:blipFill>
                  <pic:spPr>
                    <a:xfrm>
                      <a:off x="0" y="0"/>
                      <a:ext cx="6075210" cy="2022084"/>
                    </a:xfrm>
                    <a:prstGeom prst="rect">
                      <a:avLst/>
                    </a:prstGeom>
                    <a:ln>
                      <a:solidFill>
                        <a:schemeClr val="accent1"/>
                      </a:solidFill>
                    </a:ln>
                  </pic:spPr>
                </pic:pic>
              </a:graphicData>
            </a:graphic>
          </wp:inline>
        </w:drawing>
      </w:r>
    </w:p>
    <w:p w:rsidR="00BC7A67" w:rsidP="00BC7A67" w14:paraId="04295A8E" w14:textId="77777777">
      <w:pPr>
        <w:pStyle w:val="Heading3"/>
        <w:ind w:left="1080"/>
        <w:rPr>
          <w:b/>
          <w:i/>
        </w:rPr>
      </w:pPr>
    </w:p>
    <w:p w:rsidR="00BC7A67" w:rsidP="00BC7A67" w14:paraId="04295A8F" w14:textId="77777777">
      <w:pPr>
        <w:pStyle w:val="Heading3"/>
        <w:numPr>
          <w:ilvl w:val="2"/>
          <w:numId w:val="1"/>
        </w:numPr>
        <w:rPr>
          <w:b/>
          <w:i/>
        </w:rPr>
      </w:pPr>
      <w:bookmarkStart w:id="2" w:name="_Toc384902204"/>
      <w:r w:rsidRPr="00BC7A67">
        <w:rPr>
          <w:b/>
          <w:i/>
        </w:rPr>
        <w:t>Exhibit S: Recommendations/Conditions</w:t>
      </w:r>
      <w:bookmarkEnd w:id="2"/>
    </w:p>
    <w:p w:rsidR="00BC7A67" w:rsidRPr="00BC7A67" w:rsidP="00967577" w14:paraId="04295A90" w14:textId="77777777">
      <w:pPr>
        <w:jc w:val="center"/>
      </w:pPr>
      <w:r>
        <w:rPr>
          <w:noProof/>
        </w:rPr>
        <w:drawing>
          <wp:inline distT="0" distB="0" distL="0" distR="0">
            <wp:extent cx="6050942" cy="1614805"/>
            <wp:effectExtent l="19050" t="19050" r="26035" b="2349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10"/>
                    <a:stretch>
                      <a:fillRect/>
                    </a:stretch>
                  </pic:blipFill>
                  <pic:spPr>
                    <a:xfrm>
                      <a:off x="0" y="0"/>
                      <a:ext cx="6070631" cy="1620059"/>
                    </a:xfrm>
                    <a:prstGeom prst="rect">
                      <a:avLst/>
                    </a:prstGeom>
                    <a:ln>
                      <a:solidFill>
                        <a:schemeClr val="accent1"/>
                      </a:solidFill>
                    </a:ln>
                  </pic:spPr>
                </pic:pic>
              </a:graphicData>
            </a:graphic>
          </wp:inline>
        </w:drawing>
      </w:r>
    </w:p>
    <w:p w:rsidR="00BC7A67" w:rsidP="00BC7A67" w14:paraId="04295A91" w14:textId="77777777">
      <w:pPr>
        <w:pStyle w:val="Heading3"/>
        <w:numPr>
          <w:ilvl w:val="2"/>
          <w:numId w:val="1"/>
        </w:numPr>
        <w:rPr>
          <w:b/>
          <w:i/>
        </w:rPr>
      </w:pPr>
      <w:bookmarkStart w:id="3" w:name="_Toc384902205"/>
      <w:r w:rsidRPr="00BC7A67">
        <w:rPr>
          <w:b/>
          <w:i/>
        </w:rPr>
        <w:t xml:space="preserve">Exhibit S: </w:t>
      </w:r>
      <w:r w:rsidR="00D32F0C">
        <w:rPr>
          <w:b/>
          <w:i/>
        </w:rPr>
        <w:t>Field Review Activities</w:t>
      </w:r>
      <w:bookmarkEnd w:id="3"/>
    </w:p>
    <w:p w:rsidR="00D32F0C" w:rsidRPr="00D32F0C" w:rsidP="00D32F0C" w14:paraId="04295A92" w14:textId="77777777">
      <w:pPr>
        <w:jc w:val="center"/>
      </w:pPr>
      <w:r>
        <w:rPr>
          <w:noProof/>
        </w:rPr>
        <w:drawing>
          <wp:inline distT="0" distB="0" distL="0" distR="0">
            <wp:extent cx="5943600" cy="1892411"/>
            <wp:effectExtent l="19050" t="19050" r="19050" b="127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1"/>
                    <a:stretch>
                      <a:fillRect/>
                    </a:stretch>
                  </pic:blipFill>
                  <pic:spPr>
                    <a:xfrm>
                      <a:off x="0" y="0"/>
                      <a:ext cx="5949775" cy="1894377"/>
                    </a:xfrm>
                    <a:prstGeom prst="rect">
                      <a:avLst/>
                    </a:prstGeom>
                    <a:ln>
                      <a:solidFill>
                        <a:schemeClr val="accent1"/>
                      </a:solidFill>
                    </a:ln>
                  </pic:spPr>
                </pic:pic>
              </a:graphicData>
            </a:graphic>
          </wp:inline>
        </w:drawing>
      </w:r>
    </w:p>
    <w:p w:rsidR="00BC7A67" w:rsidRPr="00BC7A67" w:rsidP="000059D1" w14:paraId="04295A93" w14:textId="77777777">
      <w:pPr>
        <w:jc w:val="center"/>
      </w:pPr>
    </w:p>
    <w:p w:rsidR="00BC7A67" w14:paraId="04295A94" w14:textId="77777777">
      <w:pPr>
        <w:rPr>
          <w:rFonts w:asciiTheme="majorHAnsi" w:eastAsiaTheme="majorEastAsia" w:hAnsiTheme="majorHAnsi" w:cstheme="majorBidi"/>
          <w:b/>
          <w:color w:val="2E74B5" w:themeColor="accent1" w:themeShade="BF"/>
          <w:sz w:val="32"/>
          <w:szCs w:val="32"/>
        </w:rPr>
      </w:pPr>
    </w:p>
    <w:p w:rsidR="00BC7A67" w:rsidP="00BC7A67" w14:paraId="04295A95" w14:textId="77777777">
      <w:pPr>
        <w:pStyle w:val="Heading3"/>
        <w:numPr>
          <w:ilvl w:val="2"/>
          <w:numId w:val="1"/>
        </w:numPr>
        <w:rPr>
          <w:b/>
          <w:i/>
        </w:rPr>
      </w:pPr>
      <w:bookmarkStart w:id="4" w:name="_Toc384902206"/>
      <w:r w:rsidRPr="00BC7A67">
        <w:rPr>
          <w:b/>
          <w:i/>
        </w:rPr>
        <w:t xml:space="preserve">Exhibit S: </w:t>
      </w:r>
      <w:r>
        <w:rPr>
          <w:b/>
          <w:i/>
        </w:rPr>
        <w:t>Medicare Intermediary</w:t>
      </w:r>
      <w:bookmarkEnd w:id="4"/>
    </w:p>
    <w:p w:rsidR="00BC7A67" w:rsidRPr="00BC7A67" w:rsidP="000059D1" w14:paraId="04295A96" w14:textId="77777777">
      <w:pPr>
        <w:jc w:val="center"/>
      </w:pPr>
      <w:r>
        <w:rPr>
          <w:noProof/>
        </w:rPr>
        <w:drawing>
          <wp:inline distT="0" distB="0" distL="0" distR="0">
            <wp:extent cx="6082665" cy="5192201"/>
            <wp:effectExtent l="19050" t="19050" r="13335" b="279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12"/>
                    <a:stretch>
                      <a:fillRect/>
                    </a:stretch>
                  </pic:blipFill>
                  <pic:spPr>
                    <a:xfrm>
                      <a:off x="0" y="0"/>
                      <a:ext cx="6085744" cy="5194829"/>
                    </a:xfrm>
                    <a:prstGeom prst="rect">
                      <a:avLst/>
                    </a:prstGeom>
                    <a:ln>
                      <a:solidFill>
                        <a:schemeClr val="accent1"/>
                      </a:solidFill>
                    </a:ln>
                  </pic:spPr>
                </pic:pic>
              </a:graphicData>
            </a:graphic>
          </wp:inline>
        </w:drawing>
      </w:r>
    </w:p>
    <w:p w:rsidR="00990507" w:rsidRPr="00990507" w:rsidP="00990507" w14:paraId="3FE5630F" w14:textId="74CEACD2">
      <w:r>
        <w:br w:type="page"/>
      </w:r>
      <w:r w:rsidRPr="00990507">
        <w:rPr>
          <w:b/>
        </w:rPr>
        <w:t>Public Burden Statement</w:t>
      </w:r>
      <w:r w:rsidRPr="00990507">
        <w:t xml:space="preserve">: The purpose of this information collection is to obtain performance data for the following: HRSA Grantees and cooperative agreement recipients, public health, and applications. In addition, these data will facilitate the ability to demonstrate alignment between BHW programs and CHGME Payment Program’s participating children’s hospitals. An agency may not conduct or sponsor, and a person is not required to respond to, a collection of information unless it displays a currently valid OMB control number. The OMB control number for this information collection is 0915-0247 and it is valid until 12/31/2025. Public reporting burden for this collection of information is estimated to average 3.7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4B2E18" w:rsidR="004B2E18">
        <w:t>HRSA Information Collection Clearance Officer, 5600 Fishers Lane, Room 14NWH04, Rockville, Maryland, 20857</w:t>
      </w:r>
      <w:r w:rsidR="005A6664">
        <w:t>.</w:t>
      </w:r>
    </w:p>
    <w:p w:rsidR="00BC7A67" w14:paraId="04295A97" w14:textId="5E160533">
      <w:pPr>
        <w:rPr>
          <w:rFonts w:asciiTheme="majorHAnsi" w:eastAsiaTheme="majorEastAsia" w:hAnsiTheme="majorHAnsi" w:cstheme="majorBidi"/>
          <w:b/>
          <w:color w:val="2E74B5" w:themeColor="accent1" w:themeShade="BF"/>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7211C"/>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AD7500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D5C59CA"/>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B3D6595"/>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3EBE3134"/>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47BA75C7"/>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56107766"/>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59C11CE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CC65728"/>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9EE6C61"/>
    <w:multiLevelType w:val="multilevel"/>
    <w:tmpl w:val="BA108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20349236">
    <w:abstractNumId w:val="6"/>
  </w:num>
  <w:num w:numId="2" w16cid:durableId="1288927549">
    <w:abstractNumId w:val="3"/>
  </w:num>
  <w:num w:numId="3" w16cid:durableId="898594306">
    <w:abstractNumId w:val="8"/>
  </w:num>
  <w:num w:numId="4" w16cid:durableId="330448399">
    <w:abstractNumId w:val="1"/>
  </w:num>
  <w:num w:numId="5" w16cid:durableId="1884517005">
    <w:abstractNumId w:val="2"/>
  </w:num>
  <w:num w:numId="6" w16cid:durableId="1980651843">
    <w:abstractNumId w:val="9"/>
  </w:num>
  <w:num w:numId="7" w16cid:durableId="1929538616">
    <w:abstractNumId w:val="4"/>
  </w:num>
  <w:num w:numId="8" w16cid:durableId="1481384218">
    <w:abstractNumId w:val="0"/>
  </w:num>
  <w:num w:numId="9" w16cid:durableId="1393499973">
    <w:abstractNumId w:val="5"/>
  </w:num>
  <w:num w:numId="10" w16cid:durableId="1516767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C282F"/>
    <w:rsid w:val="000059D1"/>
    <w:rsid w:val="00027FA4"/>
    <w:rsid w:val="00067F1E"/>
    <w:rsid w:val="000857E6"/>
    <w:rsid w:val="000A3A17"/>
    <w:rsid w:val="000E32E7"/>
    <w:rsid w:val="001F58AF"/>
    <w:rsid w:val="002E25E5"/>
    <w:rsid w:val="00306085"/>
    <w:rsid w:val="00347ECB"/>
    <w:rsid w:val="0043400B"/>
    <w:rsid w:val="004B2E18"/>
    <w:rsid w:val="004C286F"/>
    <w:rsid w:val="005A6664"/>
    <w:rsid w:val="005C4E46"/>
    <w:rsid w:val="00643FB6"/>
    <w:rsid w:val="00654CFF"/>
    <w:rsid w:val="00663000"/>
    <w:rsid w:val="006C367F"/>
    <w:rsid w:val="006E41D9"/>
    <w:rsid w:val="007C13A8"/>
    <w:rsid w:val="007C76EF"/>
    <w:rsid w:val="00917FDB"/>
    <w:rsid w:val="0093407E"/>
    <w:rsid w:val="00950119"/>
    <w:rsid w:val="00967577"/>
    <w:rsid w:val="00990507"/>
    <w:rsid w:val="009A45D3"/>
    <w:rsid w:val="009B1F02"/>
    <w:rsid w:val="00A8129B"/>
    <w:rsid w:val="00B21D65"/>
    <w:rsid w:val="00BC7A67"/>
    <w:rsid w:val="00BF7803"/>
    <w:rsid w:val="00C44F66"/>
    <w:rsid w:val="00CC282F"/>
    <w:rsid w:val="00D32F0C"/>
    <w:rsid w:val="00EC11FC"/>
    <w:rsid w:val="00ED4255"/>
    <w:rsid w:val="00EF3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295A8A"/>
  <w15:docId w15:val="{09280609-3BC9-4C47-92C1-DDF2D068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8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C7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28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C28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28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C7A6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C7A67"/>
    <w:pPr>
      <w:ind w:left="720"/>
      <w:contextualSpacing/>
    </w:pPr>
  </w:style>
  <w:style w:type="paragraph" w:styleId="TOCHeading">
    <w:name w:val="TOC Heading"/>
    <w:basedOn w:val="Heading1"/>
    <w:next w:val="Normal"/>
    <w:uiPriority w:val="39"/>
    <w:unhideWhenUsed/>
    <w:qFormat/>
    <w:rsid w:val="00BC7A67"/>
    <w:pPr>
      <w:outlineLvl w:val="9"/>
    </w:pPr>
  </w:style>
  <w:style w:type="paragraph" w:styleId="TOC1">
    <w:name w:val="toc 1"/>
    <w:basedOn w:val="Normal"/>
    <w:next w:val="Normal"/>
    <w:autoRedefine/>
    <w:uiPriority w:val="39"/>
    <w:unhideWhenUsed/>
    <w:rsid w:val="00BC7A67"/>
    <w:pPr>
      <w:spacing w:after="100"/>
    </w:pPr>
  </w:style>
  <w:style w:type="paragraph" w:styleId="TOC2">
    <w:name w:val="toc 2"/>
    <w:basedOn w:val="Normal"/>
    <w:next w:val="Normal"/>
    <w:autoRedefine/>
    <w:uiPriority w:val="39"/>
    <w:unhideWhenUsed/>
    <w:rsid w:val="00BC7A67"/>
    <w:pPr>
      <w:spacing w:after="100"/>
      <w:ind w:left="220"/>
    </w:pPr>
  </w:style>
  <w:style w:type="paragraph" w:styleId="TOC3">
    <w:name w:val="toc 3"/>
    <w:basedOn w:val="Normal"/>
    <w:next w:val="Normal"/>
    <w:autoRedefine/>
    <w:uiPriority w:val="39"/>
    <w:unhideWhenUsed/>
    <w:rsid w:val="00BC7A67"/>
    <w:pPr>
      <w:spacing w:after="100"/>
      <w:ind w:left="440"/>
    </w:pPr>
  </w:style>
  <w:style w:type="character" w:styleId="Hyperlink">
    <w:name w:val="Hyperlink"/>
    <w:basedOn w:val="DefaultParagraphFont"/>
    <w:uiPriority w:val="99"/>
    <w:unhideWhenUsed/>
    <w:rsid w:val="00BC7A67"/>
    <w:rPr>
      <w:color w:val="0563C1" w:themeColor="hyperlink"/>
      <w:u w:val="single"/>
    </w:rPr>
  </w:style>
  <w:style w:type="paragraph" w:styleId="BalloonText">
    <w:name w:val="Balloon Text"/>
    <w:basedOn w:val="Normal"/>
    <w:link w:val="BalloonTextChar"/>
    <w:uiPriority w:val="99"/>
    <w:semiHidden/>
    <w:unhideWhenUsed/>
    <w:rsid w:val="00434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00B"/>
    <w:rPr>
      <w:rFonts w:ascii="Tahoma" w:hAnsi="Tahoma" w:cs="Tahoma"/>
      <w:sz w:val="16"/>
      <w:szCs w:val="16"/>
    </w:rPr>
  </w:style>
  <w:style w:type="character" w:styleId="UnresolvedMention">
    <w:name w:val="Unresolved Mention"/>
    <w:basedOn w:val="DefaultParagraphFont"/>
    <w:uiPriority w:val="99"/>
    <w:semiHidden/>
    <w:unhideWhenUsed/>
    <w:rsid w:val="004B2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1A41C-5A42-45EC-9002-64D865470301}">
  <ds:schemaRefs>
    <ds:schemaRef ds:uri="Microsoft.SharePoint.Taxonomy.ContentTypeSync"/>
  </ds:schemaRefs>
</ds:datastoreItem>
</file>

<file path=customXml/itemProps2.xml><?xml version="1.0" encoding="utf-8"?>
<ds:datastoreItem xmlns:ds="http://schemas.openxmlformats.org/officeDocument/2006/customXml" ds:itemID="{F70C9923-D00A-48F4-909E-B3882895B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4E806E-12D9-497B-A0EB-68088E3B06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156CA2-D87D-42A3-A8EE-4C9731EE9D06}">
  <ds:schemaRefs>
    <ds:schemaRef ds:uri="http://schemas.openxmlformats.org/officeDocument/2006/bibliography"/>
  </ds:schemaRefs>
</ds:datastoreItem>
</file>

<file path=customXml/itemProps5.xml><?xml version="1.0" encoding="utf-8"?>
<ds:datastoreItem xmlns:ds="http://schemas.openxmlformats.org/officeDocument/2006/customXml" ds:itemID="{5712536C-44C3-450C-8D35-94A9D67A9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S (FTE Resident Assessment)</dc:title>
  <dc:creator>Swetha Vijayakumar</dc:creator>
  <cp:lastModifiedBy>HRSA</cp:lastModifiedBy>
  <cp:revision>5</cp:revision>
  <dcterms:created xsi:type="dcterms:W3CDTF">2014-04-10T20:42:00Z</dcterms:created>
  <dcterms:modified xsi:type="dcterms:W3CDTF">2025-09-30T16:29:00Z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129300</vt:r8>
  </property>
</Properties>
</file>