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1DFB9A3" w:rsidP="4E7C3CF5" w14:paraId="386AFDDD" w14:textId="2C05AE61">
      <w:pPr>
        <w:pStyle w:val="NormalWeb"/>
        <w:spacing w:before="120" w:beforeAutospacing="0" w:after="0" w:afterAutospacing="0"/>
        <w:jc w:val="center"/>
      </w:pPr>
      <w:r w:rsidRPr="4E7C3CF5">
        <w:rPr>
          <w:color w:val="000000" w:themeColor="text1"/>
        </w:rPr>
        <w:t>United States Food and Drug Administration</w:t>
      </w:r>
    </w:p>
    <w:p w:rsidR="4E7C3CF5" w:rsidP="00204BA3" w14:paraId="0B0F6F21" w14:textId="2B52B82B">
      <w:pPr>
        <w:pStyle w:val="NormalWeb"/>
        <w:spacing w:before="120" w:beforeAutospacing="0" w:after="0" w:afterAutospacing="0"/>
        <w:jc w:val="center"/>
      </w:pPr>
      <w:r>
        <w:t xml:space="preserve">ESTABLISHING THAT A TOBACCO PRODUCT WAS COMMERCIALLY MARKETED IN THE UNITED STATES </w:t>
      </w:r>
      <w:r w:rsidR="00D973B4">
        <w:t>A</w:t>
      </w:r>
      <w:r>
        <w:t>S OF FEBRUARY 15, 2007</w:t>
      </w:r>
    </w:p>
    <w:p w:rsidR="4E7C3CF5" w:rsidP="4E7C3CF5" w14:paraId="5B8D4F3E" w14:textId="1F701D3E">
      <w:pPr>
        <w:pStyle w:val="NormalWeb"/>
        <w:jc w:val="center"/>
        <w:rPr>
          <w:b/>
          <w:bCs/>
        </w:rPr>
      </w:pPr>
      <w:r>
        <w:t xml:space="preserve">OMB Control Number </w:t>
      </w:r>
      <w:r w:rsidR="00EA3BC1">
        <w:t>0910-</w:t>
      </w:r>
      <w:r w:rsidR="001E7BC3">
        <w:t>0775</w:t>
      </w:r>
      <w:r w:rsidR="6B9B7327">
        <w:t xml:space="preserve"> </w:t>
      </w:r>
      <w:r w:rsidRPr="4E7C3CF5" w:rsidR="6B9B7327">
        <w:rPr>
          <w:b/>
          <w:bCs/>
        </w:rPr>
        <w:t xml:space="preserve">-- </w:t>
      </w:r>
      <w:r w:rsidRPr="4E7C3CF5" w:rsidR="6B9B7327">
        <w:rPr>
          <w:color w:val="000000" w:themeColor="text1"/>
        </w:rPr>
        <w:t>EXTENSION</w:t>
      </w:r>
    </w:p>
    <w:p w:rsidR="628844F8" w:rsidP="00204BA3" w14:paraId="140A420E" w14:textId="2B1EA246">
      <w:pPr>
        <w:pStyle w:val="NormalWeb"/>
        <w:jc w:val="center"/>
        <w:rPr>
          <w:b/>
          <w:bCs/>
        </w:rPr>
      </w:pPr>
      <w:r>
        <w:t>SUPPORTING STATEMENT</w:t>
      </w:r>
    </w:p>
    <w:p w:rsidR="628844F8" w:rsidP="628844F8" w14:paraId="6B084ACB" w14:textId="51442D99">
      <w:pPr>
        <w:pStyle w:val="NormalWeb"/>
        <w:rPr>
          <w:b/>
          <w:bCs/>
        </w:rPr>
      </w:pPr>
      <w:r w:rsidRPr="4E7C3CF5">
        <w:rPr>
          <w:u w:val="single"/>
        </w:rPr>
        <w:t>Terms of Clearance</w:t>
      </w:r>
      <w:r>
        <w:t>:</w:t>
      </w:r>
      <w:r w:rsidRPr="4E7C3CF5">
        <w:rPr>
          <w:b/>
          <w:bCs/>
        </w:rPr>
        <w:t xml:space="preserve"> </w:t>
      </w:r>
      <w:r>
        <w:t>None</w:t>
      </w:r>
    </w:p>
    <w:p w:rsidR="4E7C3CF5" w:rsidP="4E7C3CF5" w14:paraId="67EC94B6" w14:textId="3F961C13">
      <w:pPr>
        <w:pStyle w:val="NormalWeb"/>
        <w:rPr>
          <w:b/>
          <w:bCs/>
        </w:rPr>
      </w:pPr>
      <w:r w:rsidRPr="4E7C3CF5">
        <w:rPr>
          <w:b/>
          <w:bCs/>
        </w:rPr>
        <w:t xml:space="preserve">Part </w:t>
      </w:r>
      <w:r w:rsidRPr="4E7C3CF5" w:rsidR="00EB7538">
        <w:rPr>
          <w:b/>
          <w:bCs/>
        </w:rPr>
        <w:t>A. Justification</w:t>
      </w:r>
    </w:p>
    <w:p w:rsidR="008B30AB" w:rsidP="008B30AB" w14:paraId="6440EE09"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EA3BC1" w:rsidP="00EA3BC1" w14:paraId="29F8BC84" w14:textId="3E226515">
      <w:pPr>
        <w:ind w:left="720"/>
      </w:pPr>
      <w:r>
        <w:t>This information collection supports</w:t>
      </w:r>
      <w:r w:rsidR="00B2776D">
        <w:t xml:space="preserve"> </w:t>
      </w:r>
      <w:r>
        <w:t xml:space="preserve">Food and Drug Administration guidance. </w:t>
      </w:r>
      <w:r>
        <w:t xml:space="preserve">The Federal Food, Drug, and Cosmetic Act (the FD&amp;C Act) </w:t>
      </w:r>
      <w:r w:rsidR="007F75B4">
        <w:t xml:space="preserve">authorizes FDA </w:t>
      </w:r>
      <w:r>
        <w:t>to regulate the manufacture, marketing, and distribution of tobacco products to protect the public health generally and to</w:t>
      </w:r>
      <w:r w:rsidR="00BD5B69">
        <w:t xml:space="preserve"> reduce tobacco use by minors.</w:t>
      </w:r>
    </w:p>
    <w:p w:rsidR="00EA3BC1" w:rsidP="00EA3BC1" w14:paraId="4664E759" w14:textId="77777777">
      <w:pPr>
        <w:ind w:left="720"/>
      </w:pPr>
    </w:p>
    <w:p w:rsidR="00805C27" w:rsidP="00EA3BC1" w14:paraId="280C218B" w14:textId="54B616ED">
      <w:pPr>
        <w:ind w:left="720"/>
      </w:pPr>
      <w:r>
        <w:t xml:space="preserve">Tobacco products are governed by chapter IX of the Federal Food, Drug, and Cosmetic Act (sections 900 through 920) (21 U.S.C. 387 through 21 U.S.C. 387t). </w:t>
      </w:r>
      <w:bookmarkStart w:id="0" w:name="_Hlk100585791"/>
      <w:r w:rsidR="001430EA">
        <w:t>Section 201(</w:t>
      </w:r>
      <w:r w:rsidR="001430EA">
        <w:t>rr</w:t>
      </w:r>
      <w:r w:rsidR="001430EA">
        <w:t xml:space="preserve">) of the </w:t>
      </w:r>
      <w:r w:rsidR="00EA3BC1">
        <w:t xml:space="preserve">FD&amp;C Act, as amended, </w:t>
      </w:r>
      <w:r w:rsidR="001430EA">
        <w:t xml:space="preserve">defines a tobacco product as “any product made or derived from tobacco </w:t>
      </w:r>
      <w:r w:rsidR="00CB79E8">
        <w:t>or containing nicotine from any source</w:t>
      </w:r>
      <w:r w:rsidR="00921F9B">
        <w:t xml:space="preserve"> </w:t>
      </w:r>
      <w:r w:rsidR="001430EA">
        <w:t xml:space="preserve">that is intended for human consumption, including any component, part, or accessory of a tobacco product (except for raw materials </w:t>
      </w:r>
      <w:r w:rsidR="00292253">
        <w:t>other</w:t>
      </w:r>
      <w:r w:rsidR="001430EA">
        <w:t xml:space="preserve"> than tobacco used in manufacturing a component, part, or accessory of a tobacco product).” </w:t>
      </w:r>
      <w:bookmarkEnd w:id="0"/>
      <w:r w:rsidR="001430EA">
        <w:t xml:space="preserve">Section 910 of the FD&amp;C Act </w:t>
      </w:r>
      <w:r w:rsidR="00BD3692">
        <w:t xml:space="preserve">(21 U.S.C. 387j) </w:t>
      </w:r>
      <w:r w:rsidR="001430EA">
        <w:t>sets out premarket requirements for new tobacco products</w:t>
      </w:r>
      <w:r w:rsidR="00CF5D05">
        <w:t xml:space="preserve"> and provides for the submission of applications for review for those products</w:t>
      </w:r>
      <w:r w:rsidR="001430EA">
        <w:t>. The term “new tobacco product” is defined as (</w:t>
      </w:r>
      <w:r w:rsidR="00F16221">
        <w:t>A</w:t>
      </w:r>
      <w:r w:rsidR="001430EA">
        <w:t>) any tobacco product (including those products in test markets) that was not commercially marketed in the United States as of February 15, 2007; or (</w:t>
      </w:r>
      <w:r w:rsidR="00F16221">
        <w:t>B</w:t>
      </w:r>
      <w:r w:rsidR="001430EA">
        <w:t xml:space="preserve">) any modification (including a change in design, any component, any part, or any constituent, including a smoke constituent, or in the content, delivery, or form of nicotine, or any other additive or ingredient) of a tobacco product </w:t>
      </w:r>
      <w:r w:rsidR="00827EF7">
        <w:t>w</w:t>
      </w:r>
      <w:r w:rsidR="00F16221">
        <w:t>here the modified product was</w:t>
      </w:r>
      <w:r w:rsidR="0064161A">
        <w:t xml:space="preserve"> commercially marketed in the United States after February 15, 2007 (</w:t>
      </w:r>
      <w:r w:rsidR="00BD3692">
        <w:t>s</w:t>
      </w:r>
      <w:r w:rsidR="0064161A">
        <w:t>ection 910(a)(1)</w:t>
      </w:r>
      <w:r>
        <w:t xml:space="preserve"> of the FD&amp;C Act</w:t>
      </w:r>
      <w:r w:rsidR="0064161A">
        <w:t>).</w:t>
      </w:r>
      <w:r w:rsidR="00FE126C">
        <w:t xml:space="preserve"> </w:t>
      </w:r>
    </w:p>
    <w:p w:rsidR="004823A6" w:rsidP="00EA3BC1" w14:paraId="744EE4A9" w14:textId="77777777">
      <w:pPr>
        <w:ind w:left="720"/>
      </w:pPr>
    </w:p>
    <w:p w:rsidR="0011278E" w:rsidP="00EA3BC1" w14:paraId="733582D4" w14:textId="6DAEC9F9">
      <w:pPr>
        <w:ind w:left="720"/>
      </w:pPr>
      <w:r>
        <w:t>To assist new tobacco product manufacturers with requirements in section 910 of the FD&amp;C Act, we developed the guidance document entitled, “</w:t>
      </w:r>
      <w:r w:rsidRPr="00BF5ABC">
        <w:t>Establishing That a Tobacco</w:t>
      </w:r>
      <w:r>
        <w:t xml:space="preserve"> </w:t>
      </w:r>
      <w:r w:rsidRPr="00BF5ABC">
        <w:t>Product Was Commercially</w:t>
      </w:r>
      <w:r>
        <w:t xml:space="preserve"> </w:t>
      </w:r>
      <w:r w:rsidRPr="00BF5ABC">
        <w:t>Marketed in the United States</w:t>
      </w:r>
      <w:r>
        <w:t xml:space="preserve"> </w:t>
      </w:r>
      <w:r w:rsidRPr="00BF5ABC">
        <w:t>as of February 15,</w:t>
      </w:r>
      <w:r>
        <w:t xml:space="preserve"> </w:t>
      </w:r>
      <w:r w:rsidRPr="00BF5ABC">
        <w:t>2007</w:t>
      </w:r>
      <w:r>
        <w:t>” (</w:t>
      </w:r>
      <w:hyperlink r:id="rId8" w:history="1">
        <w:r w:rsidRPr="0011278E">
          <w:rPr>
            <w:rStyle w:val="Hyperlink"/>
          </w:rPr>
          <w:t>https://www.fda.gov/regulatory-information/search-fda-guidance-documents/establishing-tobacco-product-was-commercially-marketed-united-states-february-15-2007</w:t>
        </w:r>
      </w:hyperlink>
      <w:r>
        <w:t xml:space="preserve">).  </w:t>
      </w:r>
      <w:r w:rsidR="00423DEE">
        <w:t xml:space="preserve">The guidance provides information on how a manufacturer may establish that a tobacco product was commercially marketed in the United States as of February 15, 2007. </w:t>
      </w:r>
      <w:r>
        <w:t>The guidance document</w:t>
      </w:r>
      <w:r w:rsidR="008C6C6E">
        <w:t xml:space="preserve"> includes a description of the types of evidence</w:t>
      </w:r>
      <w:r w:rsidRPr="00B13FFD">
        <w:t xml:space="preserve"> </w:t>
      </w:r>
      <w:r w:rsidR="006A2937">
        <w:t xml:space="preserve">FDA </w:t>
      </w:r>
      <w:r w:rsidRPr="00B13FFD">
        <w:t>recommends that the manufacturer submit to demonstrate that</w:t>
      </w:r>
      <w:r>
        <w:t xml:space="preserve"> a</w:t>
      </w:r>
      <w:r w:rsidRPr="00B13FFD">
        <w:t xml:space="preserve"> tobacco product was commercially marketed in the United States as of February 15, 2007.  </w:t>
      </w:r>
      <w:r w:rsidRPr="00B13FFD">
        <w:t xml:space="preserve">Examples of such information may include, but are not limited to, the following:  dated copies of advertisements, dated catalog pages, dated promotional material, and dated bills of lading.  </w:t>
      </w:r>
      <w:r>
        <w:t xml:space="preserve">The guidance document also provides instruction on how to submit </w:t>
      </w:r>
      <w:r w:rsidR="007C3995">
        <w:t>a</w:t>
      </w:r>
      <w:r w:rsidR="000C0C50">
        <w:t xml:space="preserve"> request for a Pre-Existing Tobacco Product status review</w:t>
      </w:r>
      <w:r>
        <w:t xml:space="preserve"> (Section III.B.).  </w:t>
      </w:r>
    </w:p>
    <w:p w:rsidR="00805C27" w:rsidP="00EA3BC1" w14:paraId="746F8DA9" w14:textId="77777777">
      <w:pPr>
        <w:ind w:left="720"/>
      </w:pPr>
    </w:p>
    <w:p w:rsidR="007349E4" w:rsidP="007349E4" w14:paraId="769A8720" w14:textId="38175C2C">
      <w:pPr>
        <w:ind w:left="720"/>
      </w:pPr>
      <w:r>
        <w:t>FDA refers to t</w:t>
      </w:r>
      <w:r w:rsidR="00FE126C">
        <w:t>obacco products that were commercially marketed (</w:t>
      </w:r>
      <w:r w:rsidR="00850ADF">
        <w:t>including those products</w:t>
      </w:r>
      <w:r w:rsidR="00FE126C">
        <w:t xml:space="preserve"> in test markets) in the United States as of February 15, 2007, a</w:t>
      </w:r>
      <w:r>
        <w:t>s</w:t>
      </w:r>
      <w:r w:rsidR="00FE126C">
        <w:t xml:space="preserve"> </w:t>
      </w:r>
      <w:r w:rsidRPr="00CF223F" w:rsidR="00F26FAD">
        <w:t>P</w:t>
      </w:r>
      <w:r w:rsidRPr="00CF223F" w:rsidR="001A62CE">
        <w:t>re-</w:t>
      </w:r>
      <w:r w:rsidRPr="00CF223F" w:rsidR="00F26FAD">
        <w:t>E</w:t>
      </w:r>
      <w:r w:rsidRPr="00CF223F" w:rsidR="001A62CE">
        <w:t xml:space="preserve">xisting </w:t>
      </w:r>
      <w:r w:rsidRPr="00CF223F" w:rsidR="00F26FAD">
        <w:t>T</w:t>
      </w:r>
      <w:r w:rsidRPr="00CF223F" w:rsidR="001A62CE">
        <w:t>obacco</w:t>
      </w:r>
      <w:r w:rsidR="00FE126C">
        <w:t xml:space="preserve"> </w:t>
      </w:r>
      <w:r w:rsidR="00F26FAD">
        <w:t>P</w:t>
      </w:r>
      <w:r w:rsidR="00FE126C">
        <w:t xml:space="preserve">roducts.  </w:t>
      </w:r>
      <w:r w:rsidR="00CB79E8">
        <w:t xml:space="preserve">FDA interprets the phrase “as of February 15, 2007,” as meaning that the tobacco product was commercially marketed in the United States on February 15, 2007.  </w:t>
      </w:r>
      <w:r w:rsidRPr="00CF223F" w:rsidR="001A62CE">
        <w:t>Pre-</w:t>
      </w:r>
      <w:r w:rsidRPr="00CF223F" w:rsidR="00180B83">
        <w:t>E</w:t>
      </w:r>
      <w:r w:rsidRPr="00CF223F" w:rsidR="001A62CE">
        <w:t xml:space="preserve">xisting </w:t>
      </w:r>
      <w:r w:rsidRPr="00CF223F" w:rsidR="00180B83">
        <w:t>T</w:t>
      </w:r>
      <w:r w:rsidRPr="00CF223F" w:rsidR="001A62CE">
        <w:t>obacco</w:t>
      </w:r>
      <w:r w:rsidR="00FE126C">
        <w:t xml:space="preserve"> </w:t>
      </w:r>
      <w:r w:rsidR="00993186">
        <w:t>P</w:t>
      </w:r>
      <w:r w:rsidR="00FE126C">
        <w:t xml:space="preserve">roducts are not considered new tobacco products and are not subject to the premarket requirements </w:t>
      </w:r>
      <w:r w:rsidR="00292253">
        <w:t xml:space="preserve">of </w:t>
      </w:r>
      <w:r w:rsidR="00FE126C">
        <w:t>section 910 of the FD&amp;C Act.</w:t>
      </w:r>
      <w:r>
        <w:t xml:space="preserve"> </w:t>
      </w:r>
      <w:r>
        <w:t xml:space="preserve">The guidance document provides information on how a manufacturer may establish that a tobacco product was commercially marketed in the United States as of February 15, 2007.  </w:t>
      </w:r>
      <w:r>
        <w:t xml:space="preserve">A </w:t>
      </w:r>
      <w:r w:rsidRPr="00CF223F" w:rsidR="00180B83">
        <w:t>P</w:t>
      </w:r>
      <w:r w:rsidRPr="00CF223F" w:rsidR="001A62CE">
        <w:t>re-</w:t>
      </w:r>
      <w:r w:rsidRPr="00CF223F" w:rsidR="00180B83">
        <w:t>E</w:t>
      </w:r>
      <w:r w:rsidRPr="00CF223F" w:rsidR="001A62CE">
        <w:t xml:space="preserve">xisting </w:t>
      </w:r>
      <w:r w:rsidRPr="00CF223F" w:rsidR="00180B83">
        <w:t>T</w:t>
      </w:r>
      <w:r w:rsidRPr="00CF223F" w:rsidR="001A62CE">
        <w:t xml:space="preserve">obacco </w:t>
      </w:r>
      <w:r w:rsidRPr="00CF223F" w:rsidR="00180B83">
        <w:t>P</w:t>
      </w:r>
      <w:r w:rsidRPr="00CF223F" w:rsidR="001A62CE">
        <w:t>roduct</w:t>
      </w:r>
      <w:r w:rsidR="00892FB9">
        <w:t xml:space="preserve"> that was commercially marketed</w:t>
      </w:r>
      <w:r w:rsidR="003B4B86">
        <w:t xml:space="preserve"> (other than</w:t>
      </w:r>
      <w:r w:rsidR="00742CCF">
        <w:t xml:space="preserve"> </w:t>
      </w:r>
      <w:r w:rsidR="00AB1AE1">
        <w:t xml:space="preserve">solely </w:t>
      </w:r>
      <w:r w:rsidR="003B4B86">
        <w:t>for test marketing) in the United States as of February 15, 2007</w:t>
      </w:r>
      <w:r w:rsidR="00846947">
        <w:t>,</w:t>
      </w:r>
      <w:r>
        <w:t xml:space="preserve"> </w:t>
      </w:r>
      <w:r>
        <w:t>may also serve as the predicate tobacco product in a section 905(j) report (intended to be used toward demonstrating substantial equivalence) for a new tobacco product (section 905(j)(1)</w:t>
      </w:r>
      <w:r w:rsidR="00846947">
        <w:t>(</w:t>
      </w:r>
      <w:r>
        <w:t>A)(</w:t>
      </w:r>
      <w:r>
        <w:t>i</w:t>
      </w:r>
      <w:r>
        <w:t>) of the FD&amp;C Act</w:t>
      </w:r>
      <w:r w:rsidR="00846947">
        <w:t xml:space="preserve"> </w:t>
      </w:r>
      <w:r>
        <w:t>(21 U.S.C. 387e(j)(1)(A)(</w:t>
      </w:r>
      <w:r>
        <w:t>i</w:t>
      </w:r>
      <w:r>
        <w:t xml:space="preserve">))). </w:t>
      </w:r>
      <w:r w:rsidR="00742CCF">
        <w:t>Therefore, a tobacco product that was solely in a test market as of February 15, 2007, despite being a Pre-Existing tobacco product, cannot serve as a predicate tobacco product.</w:t>
      </w:r>
    </w:p>
    <w:p w:rsidR="007349E4" w:rsidP="007349E4" w14:paraId="213EC4D9" w14:textId="77777777">
      <w:pPr>
        <w:ind w:left="720"/>
      </w:pPr>
    </w:p>
    <w:p w:rsidR="500C7DDC" w:rsidP="500C7DDC" w14:paraId="6272A84F" w14:textId="7CBFE867">
      <w:pPr>
        <w:tabs>
          <w:tab w:val="left" w:pos="360"/>
          <w:tab w:val="left" w:pos="540"/>
        </w:tabs>
        <w:ind w:left="720"/>
      </w:pPr>
      <w:r>
        <w:t>We request OMB approval of the information collection provisions found in the guidance, as discussed in this supporting statement.</w:t>
      </w:r>
    </w:p>
    <w:p w:rsidR="008B30AB" w:rsidRPr="002746DB" w:rsidP="008B30AB" w14:paraId="6BB446F7" w14:textId="1953F97C">
      <w:pPr>
        <w:numPr>
          <w:ilvl w:val="0"/>
          <w:numId w:val="1"/>
        </w:numPr>
        <w:spacing w:before="100" w:beforeAutospacing="1" w:after="100" w:afterAutospacing="1"/>
        <w:rPr>
          <w:u w:val="single"/>
        </w:rPr>
      </w:pPr>
      <w:r w:rsidRPr="002746DB">
        <w:rPr>
          <w:u w:val="single"/>
        </w:rPr>
        <w:t xml:space="preserve">Purpose and Use of the Information Collection </w:t>
      </w:r>
    </w:p>
    <w:p w:rsidR="500C7DDC" w:rsidP="00204BA3" w14:paraId="70E27F48" w14:textId="6943C003">
      <w:pPr>
        <w:ind w:left="720"/>
      </w:pPr>
      <w:r w:rsidRPr="00996260">
        <w:t>T</w:t>
      </w:r>
      <w:r w:rsidR="00343FE2">
        <w:t xml:space="preserve">he </w:t>
      </w:r>
      <w:r w:rsidRPr="00996260">
        <w:t xml:space="preserve">information collected under these provisions of </w:t>
      </w:r>
      <w:r>
        <w:t>the FD&amp;C Act</w:t>
      </w:r>
      <w:r w:rsidRPr="00996260">
        <w:t xml:space="preserve"> will enable FDA to </w:t>
      </w:r>
      <w:r w:rsidR="00714CAE">
        <w:t>respond to a manufacturer’s request for an FDA</w:t>
      </w:r>
      <w:r w:rsidR="00AA12ED">
        <w:t xml:space="preserve"> determination if the product </w:t>
      </w:r>
      <w:r w:rsidR="0087794E">
        <w:t xml:space="preserve">may be considered </w:t>
      </w:r>
      <w:r w:rsidR="007247D1">
        <w:t xml:space="preserve">a </w:t>
      </w:r>
      <w:r w:rsidRPr="00CF223F" w:rsidR="00742CCF">
        <w:t>P</w:t>
      </w:r>
      <w:r w:rsidRPr="00CF223F" w:rsidR="001A62CE">
        <w:t>re-</w:t>
      </w:r>
      <w:r w:rsidRPr="00CF223F" w:rsidR="00742CCF">
        <w:t>E</w:t>
      </w:r>
      <w:r w:rsidRPr="00CF223F" w:rsidR="001A62CE">
        <w:t xml:space="preserve">xisting </w:t>
      </w:r>
      <w:r w:rsidRPr="00CF223F" w:rsidR="00742CCF">
        <w:t>T</w:t>
      </w:r>
      <w:r w:rsidRPr="00CF223F" w:rsidR="001A62CE">
        <w:t xml:space="preserve">obacco </w:t>
      </w:r>
      <w:r w:rsidRPr="00CF223F" w:rsidR="00742CCF">
        <w:t>P</w:t>
      </w:r>
      <w:r w:rsidRPr="00CF223F" w:rsidR="001A62CE">
        <w:t>roduct</w:t>
      </w:r>
      <w:r w:rsidR="0087794E">
        <w:t xml:space="preserve"> and not subject to premarket review. </w:t>
      </w:r>
      <w:r w:rsidR="000440EB">
        <w:br/>
        <w:t>A Pre</w:t>
      </w:r>
      <w:r w:rsidRPr="00CF223F" w:rsidR="001A62CE">
        <w:t>-</w:t>
      </w:r>
      <w:r w:rsidRPr="00CF223F" w:rsidR="00742CCF">
        <w:t>E</w:t>
      </w:r>
      <w:r w:rsidRPr="00CF223F" w:rsidR="001A62CE">
        <w:t xml:space="preserve">xisting </w:t>
      </w:r>
      <w:r w:rsidRPr="00CF223F" w:rsidR="00742CCF">
        <w:t>T</w:t>
      </w:r>
      <w:r w:rsidRPr="00CF223F" w:rsidR="001A62CE">
        <w:t xml:space="preserve">obacco </w:t>
      </w:r>
      <w:r w:rsidRPr="00CF223F" w:rsidR="00742CCF">
        <w:t>P</w:t>
      </w:r>
      <w:r w:rsidRPr="00CF223F" w:rsidR="001A62CE">
        <w:t>roduct</w:t>
      </w:r>
      <w:r w:rsidR="00494B6C">
        <w:t xml:space="preserve"> </w:t>
      </w:r>
      <w:r w:rsidR="00B61C31">
        <w:t xml:space="preserve">that was commercially marketed (other than </w:t>
      </w:r>
      <w:r w:rsidR="001A5463">
        <w:t xml:space="preserve">solely </w:t>
      </w:r>
      <w:r w:rsidR="00B61C31">
        <w:t xml:space="preserve">for test marketing) in the United States as of February 15, </w:t>
      </w:r>
      <w:r w:rsidR="000440EB">
        <w:t>2007,</w:t>
      </w:r>
      <w:r w:rsidR="00B61C31">
        <w:t xml:space="preserve"> </w:t>
      </w:r>
      <w:r w:rsidR="0087794E">
        <w:t>may also serve as a predicate tobacco product</w:t>
      </w:r>
      <w:r w:rsidR="00805C27">
        <w:t xml:space="preserve"> in a 905(j) (substantial equivalence) report</w:t>
      </w:r>
      <w:r w:rsidR="00E449FB">
        <w:t>.</w:t>
      </w:r>
      <w:r w:rsidR="00742CCF">
        <w:t xml:space="preserve">  Therefore, a tobacco product that was solely in a test market as of February 15, 2007, despite being a Pre-Existing </w:t>
      </w:r>
      <w:r w:rsidR="002E2736">
        <w:t>T</w:t>
      </w:r>
      <w:r w:rsidR="00742CCF">
        <w:t xml:space="preserve">obacco </w:t>
      </w:r>
      <w:r w:rsidR="002E2736">
        <w:t>P</w:t>
      </w:r>
      <w:r w:rsidR="00742CCF">
        <w:t>roduct, cannot serve as a predicate tobacco product.</w:t>
      </w:r>
    </w:p>
    <w:p w:rsidR="002746DB" w:rsidRPr="004C6979" w:rsidP="00EB7538" w14:paraId="279693F7"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C75D36" w:rsidP="6A8AA5AF" w14:paraId="56B724A6" w14:textId="3AB5FFA4">
      <w:pPr>
        <w:spacing w:line="259" w:lineRule="auto"/>
        <w:ind w:left="720"/>
      </w:pPr>
      <w:r>
        <w:t>T</w:t>
      </w:r>
      <w:r w:rsidR="00B91479">
        <w:t xml:space="preserve">he guidance document </w:t>
      </w:r>
      <w:r>
        <w:t xml:space="preserve">includes a description of the types of evidence </w:t>
      </w:r>
      <w:r w:rsidR="000577D1">
        <w:t xml:space="preserve">FDA </w:t>
      </w:r>
      <w:r>
        <w:t>recommend</w:t>
      </w:r>
      <w:r w:rsidR="000577D1">
        <w:t>s</w:t>
      </w:r>
      <w:r w:rsidR="00E32EA2">
        <w:t xml:space="preserve"> </w:t>
      </w:r>
      <w:r w:rsidR="00502192">
        <w:t>that respondents to this collection of information</w:t>
      </w:r>
      <w:r w:rsidR="00E32EA2">
        <w:t xml:space="preserve"> submit</w:t>
      </w:r>
      <w:r w:rsidR="004E62A3">
        <w:t xml:space="preserve"> to</w:t>
      </w:r>
      <w:r w:rsidR="00502192">
        <w:t xml:space="preserve"> </w:t>
      </w:r>
      <w:r w:rsidR="00E449FB">
        <w:t xml:space="preserve">demonstrate that their tobacco product was commercially marketed in the United States as of February 15, 2007.  Although the evidence </w:t>
      </w:r>
      <w:r w:rsidR="00264E29">
        <w:t xml:space="preserve">to demonstrate the product was commercially marketed </w:t>
      </w:r>
      <w:r w:rsidR="00805C27">
        <w:t xml:space="preserve">in the United States </w:t>
      </w:r>
      <w:r w:rsidR="00264E29">
        <w:t>as of February 15, 2007</w:t>
      </w:r>
      <w:r w:rsidR="00824F72">
        <w:t>,</w:t>
      </w:r>
      <w:r w:rsidR="00264E29">
        <w:t xml:space="preserve"> </w:t>
      </w:r>
      <w:r w:rsidR="00E449FB">
        <w:t xml:space="preserve">can be submitted in </w:t>
      </w:r>
      <w:r w:rsidR="00264E29">
        <w:t>electronic or paper format</w:t>
      </w:r>
      <w:r w:rsidR="00E449FB">
        <w:t xml:space="preserve">, </w:t>
      </w:r>
      <w:r w:rsidR="00502192">
        <w:t xml:space="preserve">FDA estimates that based on </w:t>
      </w:r>
      <w:r w:rsidR="71C747C4">
        <w:t>our data</w:t>
      </w:r>
      <w:r w:rsidR="00502192">
        <w:t xml:space="preserve">, approximately </w:t>
      </w:r>
      <w:r w:rsidR="375642F5">
        <w:t>99</w:t>
      </w:r>
      <w:r w:rsidR="00824F72">
        <w:t xml:space="preserve"> percent</w:t>
      </w:r>
      <w:r w:rsidR="00502192">
        <w:t xml:space="preserve"> of the respondents submit </w:t>
      </w:r>
      <w:r w:rsidR="00F940C1">
        <w:t>the information in an electronic format</w:t>
      </w:r>
      <w:r w:rsidR="00502192">
        <w:t>.</w:t>
      </w:r>
    </w:p>
    <w:p w:rsidR="0011278E" w:rsidP="00502192" w14:paraId="4E8A243A" w14:textId="249CAAD3">
      <w:pPr>
        <w:ind w:left="720"/>
      </w:pPr>
    </w:p>
    <w:p w:rsidR="0011278E" w:rsidP="66A4518E" w14:paraId="4874AD8C" w14:textId="672A1206">
      <w:pPr>
        <w:ind w:left="720"/>
      </w:pPr>
      <w:r>
        <w:t xml:space="preserve"> As discussed in the guidance document, electronic submission is not required, although we strongly encourage electronic submission via the FDA’s CTP Portal NextGen. The CTP Portal NextGen web application requires that an organization request an Industry Account Manager (IAM) role be set up for an individual of the organization to act as an administrator for </w:t>
      </w:r>
      <w:r>
        <w:t>all of</w:t>
      </w:r>
      <w:r>
        <w:t xml:space="preserve"> the organization’s CTP Portal NextGen accounts. Once the IAM account is created by CTP, the IAM can create, manage, and set roles for </w:t>
      </w:r>
      <w:r>
        <w:t>all of</w:t>
      </w:r>
      <w:r>
        <w:t xml:space="preserve"> the organization’s employees’ CTP Portal NextGen user accounts. Users may then prepare submissions on behalf of their organization using the FDA’s </w:t>
      </w:r>
      <w:r>
        <w:t>eSubmitter</w:t>
      </w:r>
      <w:r>
        <w:t xml:space="preserve"> tool or web forms provided in CTP Portal NextGen for supported submission types and can send these submissions to CTP directly from CTP Portal NextGen. Instructions on requesting a free IAM account for CTP Portal NextGen are available at </w:t>
      </w:r>
      <w:hyperlink r:id="rId9" w:history="1">
        <w:r w:rsidRPr="3E21F27E">
          <w:rPr>
            <w:rStyle w:val="Hyperlink"/>
          </w:rPr>
          <w:t>https://www.fda.gov/tobacco-products/manufacturing/request-industry-account-manager-iam-ctp-portal-next-generation</w:t>
        </w:r>
      </w:hyperlink>
      <w:r>
        <w:t>.  Alternatively, respondents can mail submissions to FDA, as instructed in the guidance document.</w:t>
      </w:r>
    </w:p>
    <w:p w:rsidR="002746DB" w:rsidP="00EB7538" w14:paraId="4B05DDCE" w14:textId="32544AAA">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500C7DDC" w:rsidP="00204BA3" w14:paraId="2D0477A7" w14:textId="54024F56">
      <w:pPr>
        <w:spacing w:before="100" w:beforeAutospacing="1" w:after="100" w:afterAutospacing="1"/>
        <w:ind w:left="720"/>
      </w:pPr>
      <w:r>
        <w:t>We are unaware of duplicative information collection.</w:t>
      </w:r>
    </w:p>
    <w:p w:rsidR="002746DB" w:rsidRPr="004C6979" w:rsidP="3E21F27E" w14:paraId="14AC2C14" w14:textId="77777777">
      <w:pPr>
        <w:numPr>
          <w:ilvl w:val="0"/>
          <w:numId w:val="1"/>
        </w:numPr>
        <w:spacing w:before="100" w:beforeAutospacing="1" w:after="100" w:afterAutospacing="1"/>
        <w:rPr>
          <w:u w:val="single"/>
        </w:rPr>
      </w:pPr>
      <w:r w:rsidRPr="3E21F27E">
        <w:rPr>
          <w:u w:val="single"/>
        </w:rPr>
        <w:t>Impact on Small Businesses or Other Small Entities</w:t>
      </w:r>
    </w:p>
    <w:p w:rsidR="00502192" w:rsidP="00502192" w14:paraId="2C23A4B4" w14:textId="65526EDB">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 xml:space="preserve">The information </w:t>
      </w:r>
      <w:r w:rsidR="00C77D24">
        <w:t>collection</w:t>
      </w:r>
      <w:r>
        <w:t xml:space="preserve"> do</w:t>
      </w:r>
      <w:r w:rsidR="00C77D24">
        <w:t>es</w:t>
      </w:r>
      <w:r>
        <w:t xml:space="preserve"> not fall disproportionately upon small businesses. </w:t>
      </w:r>
      <w:r w:rsidR="0087794E">
        <w:t xml:space="preserve">This information may be submitted by any </w:t>
      </w:r>
      <w:r>
        <w:t>manufacturer of tobacco products</w:t>
      </w:r>
      <w:r w:rsidR="00F3138B">
        <w:t xml:space="preserve">, </w:t>
      </w:r>
      <w:r w:rsidR="0087794E">
        <w:t>either electronically or by paper submission</w:t>
      </w:r>
      <w:r>
        <w:t xml:space="preserve">.  </w:t>
      </w:r>
      <w:r w:rsidR="00281448">
        <w:t>Of the 113 manufacturers</w:t>
      </w:r>
      <w:r w:rsidR="005A413B">
        <w:t xml:space="preserve">  </w:t>
      </w:r>
      <w:r w:rsidR="00281448">
        <w:t xml:space="preserve"> that may potentially provide</w:t>
      </w:r>
      <w:r w:rsidR="005A413B">
        <w:t xml:space="preserve"> Pre-Existing Tobacco Product submissions</w:t>
      </w:r>
      <w:r w:rsidR="00281448">
        <w:t>, we use Census Bureau 2021 Statistics of U.S. Business data (</w:t>
      </w:r>
      <w:hyperlink r:id="rId10" w:history="1">
        <w:r w:rsidRPr="007D5BAA" w:rsidR="00204BA3">
          <w:rPr>
            <w:rStyle w:val="Hyperlink"/>
          </w:rPr>
          <w:t>https://www.census.gov/data/tables/2021/econ/susb/2021-susb-annual.html</w:t>
        </w:r>
      </w:hyperlink>
      <w:r w:rsidR="00204BA3">
        <w:t>)</w:t>
      </w:r>
      <w:r w:rsidR="00281448">
        <w:t xml:space="preserve"> on establishments with 500 or fewer employees (the closest reported threshold to 350 employees) to estimate that 95 may be small businesses.</w:t>
      </w:r>
      <w:r w:rsidR="008455B1">
        <w:t xml:space="preserve"> </w:t>
      </w:r>
      <w:r>
        <w:t xml:space="preserve">FDA continues to pursue means of reducing the reporting burden for both small and large respondents and will continue to employ the latest technology for receiving these submissions, consistent with the intent of the legislation. </w:t>
      </w:r>
    </w:p>
    <w:p w:rsidR="00502192" w:rsidP="00502192" w14:paraId="6E72520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500C7DDC" w:rsidP="500C7DDC" w14:paraId="250CDDF4" w14:textId="2673B16F">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FDA aids small business in dealing with the information submission re</w:t>
      </w:r>
      <w:r w:rsidR="00F16221">
        <w:t>commendations</w:t>
      </w:r>
      <w:r>
        <w:t xml:space="preserve"> of </w:t>
      </w:r>
      <w:r w:rsidR="00F53483">
        <w:t xml:space="preserve">this collection of information </w:t>
      </w:r>
      <w:r>
        <w:t>by providing technical, nonfinancial assistance in submitting th</w:t>
      </w:r>
      <w:r w:rsidR="00F16221">
        <w:t>e</w:t>
      </w:r>
      <w:r>
        <w:t xml:space="preserve"> information.</w:t>
      </w:r>
    </w:p>
    <w:p w:rsidR="00CD77C3" w:rsidRPr="004C6979" w:rsidP="00EB7538" w14:paraId="480C1A37"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0471A9" w:rsidP="0035657E" w14:paraId="13568E3E" w14:textId="77777777">
      <w:pPr>
        <w:ind w:left="720"/>
      </w:pPr>
      <w:r>
        <w:t xml:space="preserve">The guidance recommends that those manufacturers that wish to have </w:t>
      </w:r>
      <w:r w:rsidR="00321F4C">
        <w:t>an</w:t>
      </w:r>
      <w:r>
        <w:t xml:space="preserve"> FDA determination as to the status of their product may submit this information. </w:t>
      </w:r>
      <w:r w:rsidR="007349E4">
        <w:t xml:space="preserve">The information for this collection is expected to be submitted on an occasional basis.  </w:t>
      </w:r>
      <w:r w:rsidR="00502192">
        <w:t xml:space="preserve">Collecting the information less frequently </w:t>
      </w:r>
      <w:r w:rsidR="00F16221">
        <w:t xml:space="preserve">may prevent </w:t>
      </w:r>
      <w:r w:rsidR="00117EAB">
        <w:t xml:space="preserve">FDA </w:t>
      </w:r>
      <w:r w:rsidR="00F16221">
        <w:t xml:space="preserve">from being able </w:t>
      </w:r>
      <w:r w:rsidR="00117EAB">
        <w:t xml:space="preserve">to </w:t>
      </w:r>
      <w:r>
        <w:t xml:space="preserve">respond to requests from manufacturers that want </w:t>
      </w:r>
      <w:r w:rsidR="00321F4C">
        <w:t>an</w:t>
      </w:r>
      <w:r w:rsidR="00F16221">
        <w:t xml:space="preserve"> </w:t>
      </w:r>
      <w:r>
        <w:t xml:space="preserve">FDA </w:t>
      </w:r>
      <w:r w:rsidR="00F16221">
        <w:t xml:space="preserve">determination on the status of their product. </w:t>
      </w:r>
      <w:r w:rsidR="003D7032">
        <w:t xml:space="preserve">  </w:t>
      </w:r>
      <w:r w:rsidR="00502192">
        <w:t xml:space="preserve"> </w:t>
      </w:r>
    </w:p>
    <w:p w:rsidR="500C7DDC" w:rsidP="500C7DDC" w14:paraId="6ACA5420" w14:textId="1220F749">
      <w:pPr>
        <w:ind w:left="720"/>
      </w:pPr>
    </w:p>
    <w:p w:rsidR="00CD77C3" w:rsidRPr="004C6979" w:rsidP="00EB7538" w14:paraId="7A9BA754"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B133E9" w:rsidP="0035657E" w14:paraId="39C48067" w14:textId="3F6ABC0D">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This section is not applicable.</w:t>
      </w:r>
      <w:r w:rsidR="0035657E">
        <w:t xml:space="preserve">  There are no special circumstances for this collection of information.</w:t>
      </w:r>
    </w:p>
    <w:p w:rsidR="00CD77C3" w:rsidRPr="004C6979" w:rsidP="00EB7538" w14:paraId="053678AB"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500C7DDC" w:rsidP="500C7DDC" w14:paraId="5E1EEBA6" w14:textId="2DAE5FD8">
      <w:pPr>
        <w:ind w:left="720"/>
      </w:pPr>
      <w:r>
        <w:t xml:space="preserve">In the Federal Register of </w:t>
      </w:r>
      <w:r w:rsidR="00204BA3">
        <w:t>June</w:t>
      </w:r>
      <w:r>
        <w:t xml:space="preserve"> </w:t>
      </w:r>
      <w:r w:rsidR="00204BA3">
        <w:t>27</w:t>
      </w:r>
      <w:r>
        <w:t>, 20</w:t>
      </w:r>
      <w:r w:rsidR="001A62CE">
        <w:t>2</w:t>
      </w:r>
      <w:r w:rsidR="00C1795A">
        <w:t>5</w:t>
      </w:r>
      <w:r>
        <w:t xml:space="preserve"> (</w:t>
      </w:r>
      <w:r w:rsidR="00204BA3">
        <w:t>90</w:t>
      </w:r>
      <w:r>
        <w:t xml:space="preserve"> FR </w:t>
      </w:r>
      <w:r w:rsidR="00204BA3">
        <w:t>27632)</w:t>
      </w:r>
      <w:r>
        <w:t xml:space="preserve">, FDA published a 60-day notice requesting public comment on the proposed collection of information. </w:t>
      </w:r>
      <w:r w:rsidR="001A62CE">
        <w:t>No comments were received.</w:t>
      </w:r>
    </w:p>
    <w:p w:rsidR="00CD77C3" w:rsidRPr="004C6979" w:rsidP="00E00EA0" w14:paraId="7FFD2FE5" w14:textId="77777777">
      <w:pPr>
        <w:numPr>
          <w:ilvl w:val="0"/>
          <w:numId w:val="1"/>
        </w:numPr>
        <w:spacing w:before="100" w:beforeAutospacing="1" w:after="100" w:afterAutospacing="1"/>
        <w:rPr>
          <w:u w:val="single"/>
        </w:rPr>
      </w:pPr>
      <w:r w:rsidRPr="004C6979">
        <w:rPr>
          <w:u w:val="single"/>
        </w:rPr>
        <w:t>Explanation of Any Payment or Gift to Respondents</w:t>
      </w:r>
    </w:p>
    <w:p w:rsidR="500C7DDC" w:rsidP="500C7DDC" w14:paraId="3BBF15B0" w14:textId="27750A54">
      <w:pPr>
        <w:ind w:left="720"/>
      </w:pPr>
      <w:r w:rsidRPr="500C7DDC">
        <w:rPr>
          <w:rFonts w:eastAsia="Calibri"/>
        </w:rPr>
        <w:t>There are no incentives, payments or gifts associated with this information collection</w:t>
      </w:r>
      <w:r w:rsidR="00416235">
        <w:t>.</w:t>
      </w:r>
    </w:p>
    <w:p w:rsidR="00CD77C3" w:rsidRPr="004C6979" w:rsidP="00EB7538" w14:paraId="7C2E2418" w14:textId="77777777">
      <w:pPr>
        <w:numPr>
          <w:ilvl w:val="0"/>
          <w:numId w:val="1"/>
        </w:numPr>
        <w:spacing w:before="100" w:beforeAutospacing="1" w:after="100" w:afterAutospacing="1"/>
        <w:rPr>
          <w:u w:val="single"/>
        </w:rPr>
      </w:pPr>
      <w:r w:rsidRPr="004C6979">
        <w:rPr>
          <w:u w:val="single"/>
        </w:rPr>
        <w:t>Assurance of Confidentiality Provided to Respondents</w:t>
      </w:r>
    </w:p>
    <w:p w:rsidR="00F318E0" w:rsidP="00F318E0" w14:paraId="112B9792" w14:textId="7470E8FB">
      <w:pPr>
        <w:ind w:left="720"/>
      </w:pPr>
      <w:r>
        <w:t>Among the laws governing the disclosure of reports submitted under section</w:t>
      </w:r>
      <w:r w:rsidR="00F16221">
        <w:t>s 910 and 905</w:t>
      </w:r>
      <w:r w:rsidR="006205BD">
        <w:t xml:space="preserve"> </w:t>
      </w:r>
      <w:r>
        <w:t xml:space="preserve">of the FD&amp;C Act are the Freedom of Information Act (FOIA) (5 U.S.C. 552) and FDA’s implementing regulations.  Under FOIA, the public has broad access to agency records, unless the records (or a part of the records) </w:t>
      </w:r>
      <w:r w:rsidRPr="008424C9">
        <w:t>are protected from disclosure by any of the law</w:t>
      </w:r>
      <w:r>
        <w:t>’</w:t>
      </w:r>
      <w:r w:rsidRPr="008424C9">
        <w:t xml:space="preserve">s nine exemptions. </w:t>
      </w:r>
      <w:r>
        <w:t xml:space="preserve"> </w:t>
      </w:r>
    </w:p>
    <w:p w:rsidR="00B133E9" w:rsidP="00F318E0" w14:paraId="2AA6DBCC" w14:textId="77777777">
      <w:pPr>
        <w:ind w:left="720"/>
      </w:pPr>
    </w:p>
    <w:p w:rsidR="5AD0E858" w:rsidP="5AD0E858" w14:paraId="66DD73A7" w14:textId="159F9DCA">
      <w:pPr>
        <w:ind w:left="720"/>
      </w:pPr>
      <w:r>
        <w:t xml:space="preserve">CTP also identified privacy compliance requirements and coordinated with FDA’s Privacy Officer to ensure responsible offices in CTP satisfy all in accordance with law and policy. CTP received HHS approval on the privacy impact assessment and was assigned PIA Unique Identifier </w:t>
      </w:r>
      <w:r w:rsidR="7F00190A">
        <w:t>FDA2107988</w:t>
      </w:r>
      <w:r w:rsidR="00B133E9">
        <w:t>.</w:t>
      </w:r>
    </w:p>
    <w:p w:rsidR="004C6979" w:rsidRPr="004C6979" w:rsidP="00EB7538" w14:paraId="5062706A" w14:textId="77777777">
      <w:pPr>
        <w:numPr>
          <w:ilvl w:val="0"/>
          <w:numId w:val="1"/>
        </w:numPr>
        <w:spacing w:before="100" w:beforeAutospacing="1" w:after="100" w:afterAutospacing="1"/>
        <w:rPr>
          <w:u w:val="single"/>
        </w:rPr>
      </w:pPr>
      <w:r w:rsidRPr="004C6979">
        <w:rPr>
          <w:u w:val="single"/>
        </w:rPr>
        <w:t>Justification for Sensitive Questions</w:t>
      </w:r>
    </w:p>
    <w:p w:rsidR="00416235" w:rsidP="500C7DDC" w14:paraId="064BB3A7" w14:textId="5019F7FB">
      <w:pPr>
        <w:pStyle w:val="BodyText"/>
        <w:ind w:left="720"/>
      </w:pPr>
      <w:r>
        <w:t xml:space="preserve">This information collection does not </w:t>
      </w:r>
      <w:r w:rsidR="002C30E4">
        <w:t xml:space="preserve">involve </w:t>
      </w:r>
      <w:r>
        <w:t>questions of a sensitive nature.</w:t>
      </w:r>
    </w:p>
    <w:p w:rsidR="004C6979" w:rsidRPr="004C6979" w:rsidP="00EB7538" w14:paraId="123B8635" w14:textId="77777777">
      <w:pPr>
        <w:numPr>
          <w:ilvl w:val="0"/>
          <w:numId w:val="1"/>
        </w:numPr>
        <w:spacing w:before="100" w:beforeAutospacing="1" w:after="100" w:afterAutospacing="1"/>
        <w:rPr>
          <w:u w:val="single"/>
        </w:rPr>
      </w:pPr>
      <w:r w:rsidRPr="004C6979">
        <w:rPr>
          <w:u w:val="single"/>
        </w:rPr>
        <w:t>Estimates of Annualized Burden Hours and Costs</w:t>
      </w:r>
    </w:p>
    <w:p w:rsidR="00C95463" w:rsidP="00C95463" w14:paraId="10984BB1" w14:textId="586E2839">
      <w:pPr>
        <w:autoSpaceDE w:val="0"/>
        <w:autoSpaceDN w:val="0"/>
        <w:adjustRightInd w:val="0"/>
        <w:ind w:left="720"/>
      </w:pPr>
      <w:r>
        <w:t xml:space="preserve">The guidance document associated with this collection of information </w:t>
      </w:r>
      <w:r w:rsidR="00B91479">
        <w:t xml:space="preserve">contains </w:t>
      </w:r>
      <w:r>
        <w:t xml:space="preserve">recommendations </w:t>
      </w:r>
      <w:r w:rsidR="00D6400C">
        <w:t>on how a manufacturer may establish</w:t>
      </w:r>
      <w:r w:rsidR="00B91479">
        <w:t>, by submitting evidence,</w:t>
      </w:r>
      <w:r w:rsidR="00D6400C">
        <w:t xml:space="preserve"> that a tobacco product was commercially marketed in the United States as of February 15, 2007</w:t>
      </w:r>
      <w:r w:rsidR="00C07F45">
        <w:t xml:space="preserve">, and therefore </w:t>
      </w:r>
      <w:r w:rsidR="00F16221">
        <w:t>may</w:t>
      </w:r>
      <w:r w:rsidR="00C07F45">
        <w:t xml:space="preserve"> be considered a </w:t>
      </w:r>
      <w:r w:rsidRPr="00CF223F" w:rsidR="00232739">
        <w:t>P</w:t>
      </w:r>
      <w:r w:rsidRPr="00CF223F" w:rsidR="001A62CE">
        <w:t>re-</w:t>
      </w:r>
      <w:r w:rsidRPr="00CF223F" w:rsidR="00232739">
        <w:t>E</w:t>
      </w:r>
      <w:r w:rsidRPr="00CF223F" w:rsidR="001A62CE">
        <w:t xml:space="preserve">xisting </w:t>
      </w:r>
      <w:r w:rsidRPr="00CF223F" w:rsidR="00232739">
        <w:t>T</w:t>
      </w:r>
      <w:r w:rsidRPr="00CF223F" w:rsidR="001A62CE">
        <w:t xml:space="preserve">obacco </w:t>
      </w:r>
      <w:r w:rsidRPr="00CF223F" w:rsidR="00232739">
        <w:t>P</w:t>
      </w:r>
      <w:r w:rsidRPr="00CF223F" w:rsidR="001A62CE">
        <w:t>roduct</w:t>
      </w:r>
      <w:r w:rsidR="00C07F45">
        <w:t xml:space="preserve"> not subject to premarket review</w:t>
      </w:r>
      <w:r w:rsidR="003D7032">
        <w:t>.</w:t>
      </w:r>
      <w:r w:rsidR="00C40010">
        <w:t xml:space="preserve"> </w:t>
      </w:r>
    </w:p>
    <w:p w:rsidR="00C95463" w:rsidP="00C95463" w14:paraId="3D9C6DC3" w14:textId="77777777">
      <w:pPr>
        <w:autoSpaceDE w:val="0"/>
        <w:autoSpaceDN w:val="0"/>
        <w:adjustRightInd w:val="0"/>
      </w:pPr>
      <w:r>
        <w:t xml:space="preserve"> </w:t>
      </w:r>
    </w:p>
    <w:p w:rsidR="00B133E9" w14:paraId="0E0D0DDB" w14:textId="77777777">
      <w:r>
        <w:br w:type="page"/>
      </w:r>
    </w:p>
    <w:p w:rsidR="00C95463" w:rsidP="00C95463" w14:paraId="352BAEFA" w14:textId="22541096">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pPr>
      <w:r w:rsidRPr="00B27963">
        <w:t>FDA estimates the burden for th</w:t>
      </w:r>
      <w:smartTag w:uri="urn:schemas-microsoft-com:office:smarttags" w:element="PlaceType">
        <w:r w:rsidRPr="00B27963">
          <w:t>is</w:t>
        </w:r>
      </w:smartTag>
      <w:r w:rsidRPr="00B27963">
        <w:t xml:space="preserve"> information collection as follows:</w:t>
      </w:r>
    </w:p>
    <w:p w:rsidR="00FE597D" w:rsidRPr="002616EA" w:rsidP="00FE597D" w14:paraId="67E47E31" w14:textId="3C1140D2">
      <w:pPr>
        <w:keepNext/>
        <w:ind w:left="720"/>
        <w:rPr>
          <w:i/>
        </w:rPr>
      </w:pPr>
      <w:r>
        <w:t xml:space="preserve">12a. </w:t>
      </w:r>
      <w:r w:rsidRPr="002616EA" w:rsidR="002C30E4">
        <w:t xml:space="preserve">Annualized </w:t>
      </w:r>
      <w:r w:rsidRPr="002616EA">
        <w:t>Hour Burden Estimate</w:t>
      </w:r>
    </w:p>
    <w:p w:rsidR="00886A66" w:rsidRPr="002616EA" w:rsidP="00886A66" w14:paraId="43CA01AE" w14:textId="77777777">
      <w:pPr>
        <w:rPr>
          <w:sz w:val="20"/>
          <w:szCs w:val="20"/>
        </w:rPr>
      </w:pPr>
    </w:p>
    <w:p w:rsidR="00886A66" w:rsidP="00886A66" w14:paraId="37AF4EEC" w14:textId="77777777">
      <w:pPr>
        <w:ind w:left="720"/>
        <w:jc w:val="center"/>
        <w:rPr>
          <w:sz w:val="20"/>
          <w:szCs w:val="20"/>
        </w:rPr>
      </w:pPr>
      <w:r>
        <w:t xml:space="preserve">Table </w:t>
      </w:r>
      <w:r w:rsidR="002528AB">
        <w:t>1</w:t>
      </w:r>
      <w:r w:rsidRPr="00DD4C94">
        <w:t>.--Estimated Annual Reporting Burden</w:t>
      </w:r>
    </w:p>
    <w:tbl>
      <w:tblPr>
        <w:tblW w:w="8640" w:type="dxa"/>
        <w:tblInd w:w="743" w:type="dxa"/>
        <w:tblLayout w:type="fixed"/>
        <w:tblCellMar>
          <w:left w:w="0" w:type="dxa"/>
          <w:right w:w="0" w:type="dxa"/>
        </w:tblCellMar>
        <w:tblLook w:val="0000"/>
      </w:tblPr>
      <w:tblGrid>
        <w:gridCol w:w="1772"/>
        <w:gridCol w:w="1288"/>
        <w:gridCol w:w="1620"/>
        <w:gridCol w:w="1620"/>
        <w:gridCol w:w="1440"/>
        <w:gridCol w:w="900"/>
      </w:tblGrid>
      <w:tr w14:paraId="30F27BAE" w14:textId="77777777" w:rsidTr="3E21F27E">
        <w:tblPrEx>
          <w:tblW w:w="8640" w:type="dxa"/>
          <w:tblInd w:w="743" w:type="dxa"/>
          <w:tblLayout w:type="fixed"/>
          <w:tblCellMar>
            <w:left w:w="0" w:type="dxa"/>
            <w:right w:w="0" w:type="dxa"/>
          </w:tblCellMar>
          <w:tblLook w:val="0000"/>
        </w:tblPrEx>
        <w:tc>
          <w:tcPr>
            <w:tcW w:w="1772" w:type="dxa"/>
            <w:tcBorders>
              <w:top w:val="single" w:sz="4" w:space="0" w:color="auto"/>
              <w:left w:val="single" w:sz="4" w:space="0" w:color="auto"/>
              <w:bottom w:val="single" w:sz="4" w:space="0" w:color="auto"/>
              <w:right w:val="single" w:sz="4" w:space="0" w:color="auto"/>
            </w:tcBorders>
            <w:vAlign w:val="center"/>
          </w:tcPr>
          <w:p w:rsidR="00886A66" w:rsidP="00CF223F" w14:paraId="176B45A0" w14:textId="150A038D">
            <w:pPr>
              <w:jc w:val="center"/>
            </w:pPr>
            <w:r>
              <w:t>Activity; Guidance Document</w:t>
            </w:r>
          </w:p>
          <w:p w:rsidR="00654062" w:rsidP="00CF223F" w14:paraId="5B737DFD" w14:textId="000795DF">
            <w:pPr>
              <w:jc w:val="center"/>
            </w:pPr>
            <w:r>
              <w:t>Section III. B</w:t>
            </w:r>
          </w:p>
        </w:tc>
        <w:tc>
          <w:tcPr>
            <w:tcW w:w="1288" w:type="dxa"/>
            <w:tcBorders>
              <w:top w:val="single" w:sz="4" w:space="0" w:color="auto"/>
              <w:left w:val="single" w:sz="4" w:space="0" w:color="auto"/>
              <w:bottom w:val="single" w:sz="4" w:space="0" w:color="auto"/>
              <w:right w:val="single" w:sz="4" w:space="0" w:color="auto"/>
            </w:tcBorders>
          </w:tcPr>
          <w:p w:rsidR="00886A66" w:rsidP="00654062" w14:paraId="78B52CF9" w14:textId="77777777">
            <w:pPr>
              <w:jc w:val="center"/>
            </w:pPr>
            <w:r>
              <w:t>No. of Respondents</w:t>
            </w:r>
          </w:p>
        </w:tc>
        <w:tc>
          <w:tcPr>
            <w:tcW w:w="1620" w:type="dxa"/>
            <w:tcBorders>
              <w:top w:val="single" w:sz="4" w:space="0" w:color="auto"/>
              <w:left w:val="single" w:sz="4" w:space="0" w:color="auto"/>
              <w:bottom w:val="single" w:sz="4" w:space="0" w:color="auto"/>
              <w:right w:val="single" w:sz="4" w:space="0" w:color="auto"/>
            </w:tcBorders>
          </w:tcPr>
          <w:p w:rsidR="00886A66" w:rsidP="00E773D4" w14:paraId="598B3308" w14:textId="77777777">
            <w:pPr>
              <w:jc w:val="center"/>
            </w:pPr>
            <w:r>
              <w:t>No. of Responses per Respondent</w:t>
            </w:r>
          </w:p>
        </w:tc>
        <w:tc>
          <w:tcPr>
            <w:tcW w:w="1620" w:type="dxa"/>
            <w:tcBorders>
              <w:top w:val="single" w:sz="4" w:space="0" w:color="auto"/>
              <w:left w:val="single" w:sz="4" w:space="0" w:color="auto"/>
              <w:bottom w:val="single" w:sz="4" w:space="0" w:color="auto"/>
              <w:right w:val="single" w:sz="4" w:space="0" w:color="auto"/>
            </w:tcBorders>
          </w:tcPr>
          <w:p w:rsidR="00886A66" w:rsidP="00E773D4" w14:paraId="4C31AD5F" w14:textId="77777777">
            <w:pPr>
              <w:jc w:val="center"/>
            </w:pPr>
            <w:r>
              <w:t>Total Annual Responses</w:t>
            </w:r>
          </w:p>
        </w:tc>
        <w:tc>
          <w:tcPr>
            <w:tcW w:w="1440" w:type="dxa"/>
            <w:tcBorders>
              <w:top w:val="single" w:sz="4" w:space="0" w:color="auto"/>
              <w:left w:val="single" w:sz="4" w:space="0" w:color="auto"/>
              <w:bottom w:val="single" w:sz="4" w:space="0" w:color="auto"/>
              <w:right w:val="single" w:sz="4" w:space="0" w:color="auto"/>
            </w:tcBorders>
          </w:tcPr>
          <w:p w:rsidR="00886A66" w:rsidP="00E773D4" w14:paraId="28D4EBD5" w14:textId="2047F17F">
            <w:pPr>
              <w:jc w:val="center"/>
            </w:pPr>
            <w:r>
              <w:t xml:space="preserve">Average Burden per </w:t>
            </w:r>
            <w:r>
              <w:br/>
              <w:t xml:space="preserve">Response </w:t>
            </w:r>
            <w:r w:rsidR="00CF223F">
              <w:br/>
            </w:r>
            <w:r>
              <w:t>(in hours)</w:t>
            </w:r>
          </w:p>
        </w:tc>
        <w:tc>
          <w:tcPr>
            <w:tcW w:w="900" w:type="dxa"/>
            <w:tcBorders>
              <w:top w:val="single" w:sz="4" w:space="0" w:color="auto"/>
              <w:left w:val="single" w:sz="4" w:space="0" w:color="auto"/>
              <w:bottom w:val="single" w:sz="4" w:space="0" w:color="auto"/>
              <w:right w:val="single" w:sz="4" w:space="0" w:color="auto"/>
            </w:tcBorders>
          </w:tcPr>
          <w:p w:rsidR="00886A66" w:rsidP="00E773D4" w14:paraId="0B680773" w14:textId="77777777">
            <w:pPr>
              <w:jc w:val="center"/>
            </w:pPr>
            <w:r>
              <w:t>Total Hours</w:t>
            </w:r>
          </w:p>
        </w:tc>
      </w:tr>
      <w:tr w14:paraId="5084697B" w14:textId="77777777" w:rsidTr="3E21F27E">
        <w:tblPrEx>
          <w:tblW w:w="8640" w:type="dxa"/>
          <w:tblInd w:w="743" w:type="dxa"/>
          <w:tblLayout w:type="fixed"/>
          <w:tblCellMar>
            <w:left w:w="0" w:type="dxa"/>
            <w:right w:w="0" w:type="dxa"/>
          </w:tblCellMar>
          <w:tblLook w:val="0000"/>
        </w:tblPrEx>
        <w:trPr>
          <w:trHeight w:val="1430"/>
        </w:trPr>
        <w:tc>
          <w:tcPr>
            <w:tcW w:w="1772" w:type="dxa"/>
            <w:tcBorders>
              <w:top w:val="single" w:sz="4" w:space="0" w:color="auto"/>
              <w:left w:val="single" w:sz="4" w:space="0" w:color="auto"/>
              <w:bottom w:val="single" w:sz="4" w:space="0" w:color="auto"/>
              <w:right w:val="single" w:sz="4" w:space="0" w:color="auto"/>
            </w:tcBorders>
            <w:vAlign w:val="center"/>
          </w:tcPr>
          <w:p w:rsidR="00886A66" w:rsidP="00940A18" w14:paraId="617F7ED4" w14:textId="77777777">
            <w:pPr>
              <w:widowControl w:val="0"/>
              <w:autoSpaceDE w:val="0"/>
              <w:autoSpaceDN w:val="0"/>
              <w:adjustRightInd w:val="0"/>
            </w:pPr>
            <w:r w:rsidRPr="00CF223F">
              <w:rPr>
                <w:sz w:val="22"/>
                <w:szCs w:val="22"/>
              </w:rPr>
              <w:t xml:space="preserve">Submit evidence of commercial marketing in the </w:t>
            </w:r>
            <w:smartTag w:uri="urn:schemas-microsoft-com:office:smarttags" w:element="place">
              <w:smartTag w:uri="urn:schemas-microsoft-com:office:smarttags" w:element="country-region">
                <w:r w:rsidRPr="00CF223F">
                  <w:rPr>
                    <w:sz w:val="22"/>
                    <w:szCs w:val="22"/>
                  </w:rPr>
                  <w:t>United States</w:t>
                </w:r>
              </w:smartTag>
            </w:smartTag>
            <w:r w:rsidRPr="00CF223F">
              <w:rPr>
                <w:sz w:val="22"/>
                <w:szCs w:val="22"/>
              </w:rPr>
              <w:t xml:space="preserve"> as of February 15, 2007</w:t>
            </w:r>
          </w:p>
        </w:tc>
        <w:tc>
          <w:tcPr>
            <w:tcW w:w="1288" w:type="dxa"/>
            <w:tcBorders>
              <w:top w:val="single" w:sz="4" w:space="0" w:color="auto"/>
              <w:left w:val="single" w:sz="4" w:space="0" w:color="auto"/>
              <w:bottom w:val="single" w:sz="4" w:space="0" w:color="auto"/>
              <w:right w:val="single" w:sz="4" w:space="0" w:color="auto"/>
            </w:tcBorders>
            <w:vAlign w:val="center"/>
          </w:tcPr>
          <w:p w:rsidR="00886A66" w:rsidP="4E7C3CF5" w14:paraId="733162D4" w14:textId="23E31488">
            <w:pPr>
              <w:spacing w:line="259" w:lineRule="auto"/>
              <w:jc w:val="center"/>
            </w:pPr>
            <w:r>
              <w:t>500</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P="00AA7598" w14:paraId="48A95AB9" w14:textId="77777777">
            <w:pPr>
              <w:jc w:val="cente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P="4E7C3CF5" w14:paraId="240A40DA" w14:textId="13AFB07F">
            <w:pPr>
              <w:spacing w:line="259" w:lineRule="auto"/>
              <w:jc w:val="center"/>
            </w:pPr>
            <w:r>
              <w:t>500</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P="00AA7598" w14:paraId="3866B646" w14:textId="77777777">
            <w:pPr>
              <w:jc w:val="center"/>
            </w:pPr>
            <w:r>
              <w:t>5</w:t>
            </w:r>
          </w:p>
        </w:tc>
        <w:tc>
          <w:tcPr>
            <w:tcW w:w="900" w:type="dxa"/>
            <w:tcBorders>
              <w:top w:val="single" w:sz="4" w:space="0" w:color="auto"/>
              <w:left w:val="single" w:sz="4" w:space="0" w:color="auto"/>
              <w:bottom w:val="single" w:sz="4" w:space="0" w:color="auto"/>
              <w:right w:val="single" w:sz="4" w:space="0" w:color="auto"/>
            </w:tcBorders>
            <w:vAlign w:val="center"/>
          </w:tcPr>
          <w:p w:rsidR="00886A66" w:rsidP="4E7C3CF5" w14:paraId="576B756B" w14:textId="5345C8BD">
            <w:pPr>
              <w:spacing w:line="259" w:lineRule="auto"/>
              <w:jc w:val="center"/>
            </w:pPr>
            <w:r>
              <w:t>2,500</w:t>
            </w:r>
          </w:p>
        </w:tc>
      </w:tr>
      <w:tr w14:paraId="0B9F7DC6" w14:textId="77777777" w:rsidTr="3E21F27E">
        <w:tblPrEx>
          <w:tblW w:w="8640" w:type="dxa"/>
          <w:tblInd w:w="743" w:type="dxa"/>
          <w:tblLayout w:type="fixed"/>
          <w:tblCellMar>
            <w:left w:w="0" w:type="dxa"/>
            <w:right w:w="0" w:type="dxa"/>
          </w:tblCellMar>
          <w:tblLook w:val="0000"/>
        </w:tblPrEx>
        <w:tc>
          <w:tcPr>
            <w:tcW w:w="7740" w:type="dxa"/>
            <w:gridSpan w:val="5"/>
            <w:tcBorders>
              <w:top w:val="single" w:sz="4" w:space="0" w:color="auto"/>
              <w:left w:val="single" w:sz="4" w:space="0" w:color="auto"/>
              <w:bottom w:val="single" w:sz="4" w:space="0" w:color="auto"/>
              <w:right w:val="single" w:sz="4" w:space="0" w:color="auto"/>
            </w:tcBorders>
          </w:tcPr>
          <w:p w:rsidR="00886A66" w:rsidP="00AA7598" w14:paraId="02CF64D6" w14:textId="10EE0AC4">
            <w:r>
              <w:t xml:space="preserve"> </w:t>
            </w:r>
            <w:r>
              <w:t>Total</w:t>
            </w:r>
          </w:p>
        </w:tc>
        <w:tc>
          <w:tcPr>
            <w:tcW w:w="900" w:type="dxa"/>
            <w:tcBorders>
              <w:top w:val="single" w:sz="4" w:space="0" w:color="auto"/>
              <w:left w:val="single" w:sz="4" w:space="0" w:color="auto"/>
              <w:bottom w:val="single" w:sz="4" w:space="0" w:color="auto"/>
              <w:right w:val="single" w:sz="4" w:space="0" w:color="auto"/>
            </w:tcBorders>
          </w:tcPr>
          <w:p w:rsidR="00886A66" w:rsidP="4E7C3CF5" w14:paraId="695C0E5A" w14:textId="745B7CAC">
            <w:pPr>
              <w:spacing w:line="259" w:lineRule="auto"/>
              <w:jc w:val="center"/>
            </w:pPr>
            <w:r>
              <w:t>2,500</w:t>
            </w:r>
          </w:p>
        </w:tc>
      </w:tr>
    </w:tbl>
    <w:p w:rsidR="00DD4C94" w:rsidP="00886A66" w14:paraId="00A8CEB4" w14:textId="77777777">
      <w:pPr>
        <w:rPr>
          <w:sz w:val="20"/>
          <w:szCs w:val="20"/>
        </w:rPr>
      </w:pPr>
    </w:p>
    <w:p w:rsidR="00433487" w:rsidP="00433487" w14:paraId="36EE678C" w14:textId="0FC0AA02">
      <w:pPr>
        <w:autoSpaceDE w:val="0"/>
        <w:autoSpaceDN w:val="0"/>
        <w:adjustRightInd w:val="0"/>
        <w:ind w:left="720"/>
      </w:pPr>
      <w:r>
        <w:t xml:space="preserve">FDA’s estimate of the number of respondents is based on </w:t>
      </w:r>
      <w:r w:rsidR="00B91479">
        <w:t xml:space="preserve">the fact that submissions are voluntary and </w:t>
      </w:r>
      <w:r w:rsidR="0059489C">
        <w:t xml:space="preserve">also </w:t>
      </w:r>
      <w:r>
        <w:t xml:space="preserve">on the number of </w:t>
      </w:r>
      <w:r w:rsidR="0025076B">
        <w:t>P</w:t>
      </w:r>
      <w:r>
        <w:t>re-</w:t>
      </w:r>
      <w:r w:rsidR="0025076B">
        <w:t>E</w:t>
      </w:r>
      <w:r>
        <w:t xml:space="preserve">xisting </w:t>
      </w:r>
      <w:r w:rsidR="0025076B">
        <w:t>T</w:t>
      </w:r>
      <w:r>
        <w:t xml:space="preserve">obacco </w:t>
      </w:r>
      <w:r w:rsidR="0025076B">
        <w:t>P</w:t>
      </w:r>
      <w:r>
        <w:t>roduct submissions received</w:t>
      </w:r>
      <w:r w:rsidR="005E5DA8">
        <w:t>.</w:t>
      </w:r>
      <w:r>
        <w:t xml:space="preserve"> The number of</w:t>
      </w:r>
      <w:r w:rsidR="007B2329">
        <w:t xml:space="preserve"> </w:t>
      </w:r>
      <w:r>
        <w:t>hours to gather the evidence is FDA’s estimate of how long it might take a manufacturer to review, gather, and submit dated information if making a request for Agency determination.</w:t>
      </w:r>
    </w:p>
    <w:p w:rsidR="00433487" w:rsidP="00433487" w14:paraId="6FB367B3" w14:textId="77777777">
      <w:pPr>
        <w:autoSpaceDE w:val="0"/>
        <w:autoSpaceDN w:val="0"/>
        <w:adjustRightInd w:val="0"/>
        <w:ind w:left="720"/>
      </w:pPr>
    </w:p>
    <w:p w:rsidR="00A04CEB" w:rsidRPr="00A04CEB" w:rsidP="00433487" w14:paraId="33016D59" w14:textId="67B1ABB0">
      <w:pPr>
        <w:autoSpaceDE w:val="0"/>
        <w:autoSpaceDN w:val="0"/>
        <w:adjustRightInd w:val="0"/>
        <w:ind w:left="720"/>
        <w:rPr>
          <w:rStyle w:val="Strong"/>
          <w:b w:val="0"/>
          <w:bCs w:val="0"/>
          <w:color w:val="000000"/>
        </w:rPr>
      </w:pPr>
      <w:r>
        <w:t xml:space="preserve">FDA estimates it would take a manufacturer approximately 5 hours to put together this collection of evidence and to submit the package to FDA for review.  FDA estimates that it would take approximately </w:t>
      </w:r>
      <w:r w:rsidR="0CF495DD">
        <w:t>2,500</w:t>
      </w:r>
      <w:r>
        <w:t xml:space="preserve"> hours annually to respond to this collection of information.</w:t>
      </w:r>
    </w:p>
    <w:p w:rsidR="00433487" w:rsidP="002934D6" w14:paraId="60422090" w14:textId="77777777">
      <w:pPr>
        <w:keepNext/>
        <w:ind w:left="720"/>
      </w:pPr>
    </w:p>
    <w:p w:rsidR="00C95463" w:rsidP="3E21F27E" w14:paraId="58CCC220" w14:textId="328A8225">
      <w:pPr>
        <w:keepNext/>
        <w:ind w:left="720"/>
        <w:rPr>
          <w:i/>
          <w:iCs/>
        </w:rPr>
      </w:pPr>
      <w:r>
        <w:t xml:space="preserve">12b. </w:t>
      </w:r>
      <w:r w:rsidR="00EA4BE6">
        <w:t xml:space="preserve">Annualized </w:t>
      </w:r>
      <w:r>
        <w:t>Reporting Cost Burden Estimate</w:t>
      </w:r>
    </w:p>
    <w:p w:rsidR="002934D6" w:rsidRPr="002934D6" w:rsidP="002934D6" w14:paraId="42403AD0" w14:textId="77777777">
      <w:pPr>
        <w:keepNext/>
        <w:ind w:left="720"/>
        <w:rPr>
          <w:i/>
        </w:rPr>
      </w:pPr>
    </w:p>
    <w:p w:rsidR="00126181" w:rsidP="002934D6" w14:paraId="351D1AB3" w14:textId="672EFCE2">
      <w:pPr>
        <w:autoSpaceDE w:val="0"/>
        <w:autoSpaceDN w:val="0"/>
        <w:adjustRightInd w:val="0"/>
        <w:ind w:left="720"/>
      </w:pPr>
      <w:r>
        <w:t xml:space="preserve">FDA </w:t>
      </w:r>
      <w:r w:rsidR="00C15E09">
        <w:t>assumes</w:t>
      </w:r>
      <w:r>
        <w:t xml:space="preserve"> that </w:t>
      </w:r>
      <w:r w:rsidR="00C15E09">
        <w:t>a Pre-Existing Tobacco Product submission</w:t>
      </w:r>
      <w:r>
        <w:t xml:space="preserve"> will </w:t>
      </w:r>
      <w:r w:rsidR="00D46D0C">
        <w:t>likely</w:t>
      </w:r>
      <w:r>
        <w:t xml:space="preserve"> involve</w:t>
      </w:r>
      <w:r w:rsidR="004E29C0">
        <w:t xml:space="preserve"> the work of</w:t>
      </w:r>
      <w:r>
        <w:t xml:space="preserve"> </w:t>
      </w:r>
      <w:r w:rsidR="004E29C0">
        <w:t xml:space="preserve">tobacco manufacturing </w:t>
      </w:r>
      <w:r w:rsidR="00E37FA2">
        <w:t xml:space="preserve">management occupations </w:t>
      </w:r>
      <w:r>
        <w:t xml:space="preserve">and legal occupations. </w:t>
      </w:r>
      <w:r w:rsidR="00C15E09">
        <w:t>Referencing 2023 Bureau of Labor Statistics national industry-specific occupational employment and mean wage estimates</w:t>
      </w:r>
      <w:r w:rsidR="001C4534">
        <w:t xml:space="preserve"> for the tobacco manu</w:t>
      </w:r>
      <w:r w:rsidR="0076444E">
        <w:t>facturing industry</w:t>
      </w:r>
      <w:r w:rsidR="00C15E09">
        <w:t>,</w:t>
      </w:r>
      <w:r>
        <w:t xml:space="preserve"> FDA has estimated that the wage </w:t>
      </w:r>
      <w:r w:rsidR="000B17C1">
        <w:t>is $153.96 per hour</w:t>
      </w:r>
      <w:r w:rsidR="00C15E09">
        <w:t xml:space="preserve">. This wage represents a </w:t>
      </w:r>
      <w:r w:rsidR="00D46D0C">
        <w:t>mix of 50</w:t>
      </w:r>
      <w:r w:rsidR="00E30681">
        <w:t xml:space="preserve"> percent</w:t>
      </w:r>
      <w:r w:rsidR="00D46D0C">
        <w:t xml:space="preserve"> management</w:t>
      </w:r>
      <w:r w:rsidR="00A12620">
        <w:t xml:space="preserve"> (11-0000, $73.88/hour)</w:t>
      </w:r>
      <w:r w:rsidR="00D46D0C">
        <w:t xml:space="preserve"> and 50</w:t>
      </w:r>
      <w:r w:rsidR="00E30681">
        <w:t xml:space="preserve"> percent </w:t>
      </w:r>
      <w:r w:rsidR="00D46D0C">
        <w:t>legal occupations</w:t>
      </w:r>
      <w:r w:rsidR="00A12620">
        <w:t xml:space="preserve"> (23-0000, $80.08/hour)</w:t>
      </w:r>
      <w:r w:rsidR="00E30681">
        <w:t xml:space="preserve"> and </w:t>
      </w:r>
      <w:r w:rsidR="00C15E09">
        <w:t xml:space="preserve">is </w:t>
      </w:r>
      <w:r w:rsidR="00E30681">
        <w:t>doubl</w:t>
      </w:r>
      <w:r w:rsidR="001C4534">
        <w:t>ed</w:t>
      </w:r>
      <w:r w:rsidR="003C102B">
        <w:t xml:space="preserve"> to account </w:t>
      </w:r>
      <w:r>
        <w:t xml:space="preserve">for benefits and overhead.  </w:t>
      </w:r>
    </w:p>
    <w:p w:rsidR="002934D6" w:rsidP="002934D6" w14:paraId="38961666" w14:textId="77777777">
      <w:pPr>
        <w:autoSpaceDE w:val="0"/>
        <w:autoSpaceDN w:val="0"/>
        <w:adjustRightInd w:val="0"/>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800"/>
        <w:gridCol w:w="2160"/>
        <w:gridCol w:w="2160"/>
      </w:tblGrid>
      <w:tr w14:paraId="62C20819" w14:textId="77777777" w:rsidTr="4E7C3CF5">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40" w:type="dxa"/>
            <w:shd w:val="clear" w:color="auto" w:fill="auto"/>
            <w:vAlign w:val="center"/>
          </w:tcPr>
          <w:p w:rsidR="00126181" w:rsidP="00494B6C" w14:paraId="70E62AEE" w14:textId="77777777">
            <w:pPr>
              <w:jc w:val="center"/>
            </w:pPr>
            <w:r>
              <w:t>Type of Respondent</w:t>
            </w:r>
          </w:p>
        </w:tc>
        <w:tc>
          <w:tcPr>
            <w:tcW w:w="1800" w:type="dxa"/>
            <w:shd w:val="clear" w:color="auto" w:fill="auto"/>
            <w:vAlign w:val="center"/>
          </w:tcPr>
          <w:p w:rsidR="00126181" w:rsidP="00494B6C" w14:paraId="4909F189" w14:textId="77777777">
            <w:pPr>
              <w:jc w:val="center"/>
            </w:pPr>
            <w:r>
              <w:t>Total Burden Hours</w:t>
            </w:r>
          </w:p>
        </w:tc>
        <w:tc>
          <w:tcPr>
            <w:tcW w:w="2160" w:type="dxa"/>
            <w:shd w:val="clear" w:color="auto" w:fill="auto"/>
            <w:vAlign w:val="center"/>
          </w:tcPr>
          <w:p w:rsidR="00126181" w:rsidP="00494B6C" w14:paraId="1D83DF07" w14:textId="77777777">
            <w:pPr>
              <w:jc w:val="center"/>
            </w:pPr>
            <w:r>
              <w:t>Hourly Wage Rate</w:t>
            </w:r>
          </w:p>
        </w:tc>
        <w:tc>
          <w:tcPr>
            <w:tcW w:w="2160" w:type="dxa"/>
            <w:shd w:val="clear" w:color="auto" w:fill="auto"/>
            <w:vAlign w:val="center"/>
          </w:tcPr>
          <w:p w:rsidR="00126181" w:rsidP="00494B6C" w14:paraId="670FC33E" w14:textId="77777777">
            <w:pPr>
              <w:jc w:val="center"/>
            </w:pPr>
            <w:r>
              <w:t>Total Respondent Costs</w:t>
            </w:r>
          </w:p>
        </w:tc>
      </w:tr>
      <w:tr w14:paraId="0A25EB8C" w14:textId="77777777" w:rsidTr="4E7C3CF5">
        <w:tblPrEx>
          <w:tblW w:w="0" w:type="auto"/>
          <w:tblInd w:w="828" w:type="dxa"/>
          <w:tblLook w:val="01E0"/>
        </w:tblPrEx>
        <w:tc>
          <w:tcPr>
            <w:tcW w:w="2340" w:type="dxa"/>
            <w:shd w:val="clear" w:color="auto" w:fill="auto"/>
            <w:vAlign w:val="center"/>
          </w:tcPr>
          <w:p w:rsidR="00126181" w:rsidP="00494B6C" w14:paraId="48BD9A79" w14:textId="77777777">
            <w:pPr>
              <w:jc w:val="center"/>
            </w:pPr>
            <w:r>
              <w:t>Tobacco manufacturers</w:t>
            </w:r>
          </w:p>
        </w:tc>
        <w:tc>
          <w:tcPr>
            <w:tcW w:w="1800" w:type="dxa"/>
            <w:shd w:val="clear" w:color="auto" w:fill="auto"/>
            <w:vAlign w:val="center"/>
          </w:tcPr>
          <w:p w:rsidR="00126181" w:rsidP="4E7C3CF5" w14:paraId="0AAC0EE4" w14:textId="5EFF3BFD">
            <w:pPr>
              <w:spacing w:line="259" w:lineRule="auto"/>
              <w:jc w:val="center"/>
            </w:pPr>
            <w:r>
              <w:t>2,500</w:t>
            </w:r>
          </w:p>
        </w:tc>
        <w:tc>
          <w:tcPr>
            <w:tcW w:w="2160" w:type="dxa"/>
            <w:shd w:val="clear" w:color="auto" w:fill="auto"/>
            <w:vAlign w:val="center"/>
          </w:tcPr>
          <w:p w:rsidR="00126181" w:rsidP="00494B6C" w14:paraId="49A86432" w14:textId="40D7FB12">
            <w:pPr>
              <w:jc w:val="center"/>
            </w:pPr>
            <w:r>
              <w:t>$</w:t>
            </w:r>
            <w:r w:rsidR="00C26C2C">
              <w:t>153.96</w:t>
            </w:r>
          </w:p>
        </w:tc>
        <w:tc>
          <w:tcPr>
            <w:tcW w:w="2160" w:type="dxa"/>
            <w:shd w:val="clear" w:color="auto" w:fill="auto"/>
            <w:vAlign w:val="center"/>
          </w:tcPr>
          <w:p w:rsidR="00126181" w:rsidP="00494B6C" w14:paraId="3C5453F6" w14:textId="678BC6C6">
            <w:pPr>
              <w:jc w:val="center"/>
            </w:pPr>
            <w:r>
              <w:t>$</w:t>
            </w:r>
            <w:r w:rsidR="006F141B">
              <w:t>38</w:t>
            </w:r>
            <w:r w:rsidR="001513AD">
              <w:t>4,900</w:t>
            </w:r>
          </w:p>
        </w:tc>
      </w:tr>
    </w:tbl>
    <w:p w:rsidR="00126181" w:rsidP="00205A8A" w14:paraId="6BCA11E7" w14:textId="77777777">
      <w:pPr>
        <w:ind w:left="720"/>
      </w:pPr>
    </w:p>
    <w:p w:rsidR="00B133E9" w:rsidP="00205A8A" w14:paraId="421DC606" w14:textId="7F84D098">
      <w:pPr>
        <w:ind w:left="720"/>
      </w:pPr>
      <w:r>
        <w:t>FDA estimates the reporting cost to respondents is $</w:t>
      </w:r>
      <w:r w:rsidR="001513AD">
        <w:t>384,900</w:t>
      </w:r>
      <w:r>
        <w:t xml:space="preserve">.  This figure was derived by multiplying the total reporting burden hours </w:t>
      </w:r>
      <w:r w:rsidR="001513AD">
        <w:t xml:space="preserve">from Table 1 </w:t>
      </w:r>
      <w:r w:rsidR="00BC0A60">
        <w:t>(</w:t>
      </w:r>
      <w:r w:rsidR="00520241">
        <w:t>2,500</w:t>
      </w:r>
      <w:r w:rsidR="00BC0A60">
        <w:t xml:space="preserve">) </w:t>
      </w:r>
      <w:r>
        <w:t>by an hourly rate of $</w:t>
      </w:r>
      <w:r w:rsidR="001513AD">
        <w:t>153.96</w:t>
      </w:r>
      <w:r w:rsidR="00BF35C6">
        <w:t>.</w:t>
      </w:r>
    </w:p>
    <w:p w:rsidR="004C6979" w:rsidRPr="004C6979" w:rsidP="00EB7538" w14:paraId="0B42BECE" w14:textId="254351BA">
      <w:pPr>
        <w:numPr>
          <w:ilvl w:val="0"/>
          <w:numId w:val="1"/>
        </w:numPr>
        <w:spacing w:before="100" w:beforeAutospacing="1" w:after="100" w:afterAutospacing="1"/>
        <w:rPr>
          <w:u w:val="single"/>
        </w:rPr>
      </w:pPr>
      <w:r>
        <w:br w:type="page"/>
      </w:r>
      <w:r w:rsidRPr="004C6979" w:rsidR="00EB7538">
        <w:rPr>
          <w:u w:val="single"/>
        </w:rPr>
        <w:t>Estimates of Other Total Annual Cost</w:t>
      </w:r>
      <w:r w:rsidR="007C75B1">
        <w:rPr>
          <w:u w:val="single"/>
        </w:rPr>
        <w:t>s</w:t>
      </w:r>
      <w:r w:rsidRPr="004C6979" w:rsidR="00EB7538">
        <w:rPr>
          <w:u w:val="single"/>
        </w:rPr>
        <w:t xml:space="preserve"> to Respondents and</w:t>
      </w:r>
      <w:r w:rsidR="00350523">
        <w:rPr>
          <w:u w:val="single"/>
        </w:rPr>
        <w:t>/or Recordkeepers/Capital Costs</w:t>
      </w:r>
    </w:p>
    <w:p w:rsidR="500C7DDC" w:rsidP="500C7DDC" w14:paraId="0CC18AD3" w14:textId="0F4B2C42">
      <w:pPr>
        <w:ind w:left="720"/>
      </w:pPr>
      <w:r>
        <w:t xml:space="preserve">There </w:t>
      </w:r>
      <w:r>
        <w:t>are</w:t>
      </w:r>
      <w:r>
        <w:t xml:space="preserve"> no additional capital costs associated with this collection of information.</w:t>
      </w:r>
    </w:p>
    <w:p w:rsidR="004C6979" w:rsidP="3E21F27E" w14:paraId="5400874F" w14:textId="24E4B44D">
      <w:pPr>
        <w:numPr>
          <w:ilvl w:val="0"/>
          <w:numId w:val="1"/>
        </w:numPr>
        <w:spacing w:before="100" w:beforeAutospacing="1" w:after="100" w:afterAutospacing="1"/>
        <w:rPr>
          <w:u w:val="single"/>
        </w:rPr>
      </w:pPr>
      <w:r w:rsidRPr="3E21F27E">
        <w:rPr>
          <w:u w:val="single"/>
        </w:rPr>
        <w:t>Annualized Cost to the Federal Government</w:t>
      </w:r>
    </w:p>
    <w:p w:rsidR="500C7DDC" w:rsidP="00204BA3" w14:paraId="60DD8241" w14:textId="21196802">
      <w:pPr>
        <w:spacing w:before="100" w:beforeAutospacing="1" w:after="100" w:afterAutospacing="1"/>
        <w:ind w:left="720"/>
      </w:pPr>
      <w:r>
        <w:t xml:space="preserve">Our estimated cost to the Federal government reflects the allocation of </w:t>
      </w:r>
      <w:r w:rsidR="00C11B08">
        <w:t>2.</w:t>
      </w:r>
      <w:r w:rsidR="5529A0CA">
        <w:t>5</w:t>
      </w:r>
      <w:r>
        <w:t xml:space="preserve"> </w:t>
      </w:r>
      <w:r w:rsidR="00112AB0">
        <w:t xml:space="preserve">full-time equivalent </w:t>
      </w:r>
      <w:r w:rsidR="00D8322B">
        <w:t>employees (</w:t>
      </w:r>
      <w:r w:rsidR="00FC3E32">
        <w:t xml:space="preserve">50 percent of the time of </w:t>
      </w:r>
      <w:r w:rsidR="5529A0CA">
        <w:t>5</w:t>
      </w:r>
      <w:r>
        <w:t xml:space="preserve"> </w:t>
      </w:r>
      <w:r w:rsidR="00FC3E32">
        <w:t>full</w:t>
      </w:r>
      <w:r>
        <w:t>-time employees</w:t>
      </w:r>
      <w:r w:rsidR="00D8322B">
        <w:t>)</w:t>
      </w:r>
      <w:r>
        <w:t xml:space="preserve"> who </w:t>
      </w:r>
      <w:r w:rsidRPr="3E21F27E">
        <w:rPr>
          <w:color w:val="000000" w:themeColor="text1"/>
        </w:rPr>
        <w:t xml:space="preserve">collect, process, and file responses related to </w:t>
      </w:r>
      <w:r>
        <w:t xml:space="preserve">requests for a Pre-Existing Tobacco Product status review.  Using </w:t>
      </w:r>
      <w:r w:rsidR="00DE6F8F">
        <w:t xml:space="preserve">2025 </w:t>
      </w:r>
      <w:r w:rsidR="00880BA1">
        <w:t>G</w:t>
      </w:r>
      <w:r w:rsidR="00773B18">
        <w:t>rade</w:t>
      </w:r>
      <w:r w:rsidR="00163B24">
        <w:t xml:space="preserve"> </w:t>
      </w:r>
      <w:r w:rsidR="00880BA1">
        <w:t>13</w:t>
      </w:r>
      <w:r w:rsidR="00DF266A">
        <w:t xml:space="preserve"> S</w:t>
      </w:r>
      <w:r w:rsidR="00F34AE8">
        <w:t xml:space="preserve">tep </w:t>
      </w:r>
      <w:r w:rsidR="00880BA1">
        <w:t xml:space="preserve">4 </w:t>
      </w:r>
      <w:r>
        <w:t xml:space="preserve">salary and wage data for the Washington DC-Metropolitan area found at </w:t>
      </w:r>
      <w:hyperlink r:id="rId11" w:history="1">
        <w:r w:rsidRPr="3E21F27E" w:rsidR="00DE6F8F">
          <w:rPr>
            <w:rStyle w:val="Hyperlink"/>
          </w:rPr>
          <w:t>https://www.opm.gov/policy-data-oversight/pay-leave/salaries-wages/salary-tables/25Tables/html/DCB.aspx</w:t>
        </w:r>
      </w:hyperlink>
      <w:r w:rsidR="00DE6F8F">
        <w:t xml:space="preserve"> </w:t>
      </w:r>
      <w:r w:rsidR="00CE7653">
        <w:t>and doubling for benefits</w:t>
      </w:r>
      <w:hyperlink r:id="rId12" w:history="1"/>
      <w:r w:rsidR="00CE7653">
        <w:t xml:space="preserve"> and overhead</w:t>
      </w:r>
      <w:r>
        <w:t>, we calculate a total cost of $</w:t>
      </w:r>
      <w:r w:rsidR="00E27E99">
        <w:t>66</w:t>
      </w:r>
      <w:r w:rsidR="00803958">
        <w:t>3,</w:t>
      </w:r>
      <w:r w:rsidR="00DE6F8F">
        <w:t>190</w:t>
      </w:r>
      <w:r>
        <w:t xml:space="preserve"> ($</w:t>
      </w:r>
      <w:r w:rsidR="00E200EE">
        <w:t>1</w:t>
      </w:r>
      <w:r w:rsidR="47666FCD">
        <w:t>32,638</w:t>
      </w:r>
      <w:r>
        <w:t xml:space="preserve"> x</w:t>
      </w:r>
      <w:r w:rsidR="00E27E99">
        <w:t xml:space="preserve"> 2 x 2</w:t>
      </w:r>
      <w:r w:rsidR="00DE6F8F">
        <w:t>.5</w:t>
      </w:r>
      <w:r>
        <w:t>).</w:t>
      </w:r>
    </w:p>
    <w:p w:rsidR="4E7C3CF5" w:rsidP="00AF34D3" w14:paraId="55D757E0" w14:textId="526FDE02">
      <w:pPr>
        <w:pStyle w:val="ListParagraph"/>
        <w:numPr>
          <w:ilvl w:val="0"/>
          <w:numId w:val="1"/>
        </w:numPr>
        <w:spacing w:beforeAutospacing="1" w:afterAutospacing="1"/>
      </w:pPr>
      <w:r w:rsidRPr="00204BA3">
        <w:rPr>
          <w:u w:val="single"/>
        </w:rPr>
        <w:t>Explanation for Program Changes or Adjustments</w:t>
      </w:r>
    </w:p>
    <w:p w:rsidR="7018AEAD" w:rsidP="4E7C3CF5" w14:paraId="55FE2951" w14:textId="28A4C693">
      <w:pPr>
        <w:spacing w:beforeAutospacing="1" w:afterAutospacing="1"/>
        <w:ind w:left="720"/>
      </w:pPr>
      <w:r>
        <w:t xml:space="preserve">Program Change Burden: None </w:t>
      </w:r>
    </w:p>
    <w:p w:rsidR="4E7C3CF5" w:rsidP="4E7C3CF5" w14:paraId="62CAD103" w14:textId="5462B2B1">
      <w:pPr>
        <w:spacing w:beforeAutospacing="1" w:afterAutospacing="1"/>
        <w:ind w:left="720"/>
      </w:pPr>
      <w:r>
        <w:t xml:space="preserve">Adjustments Burden: </w:t>
      </w:r>
      <w:r w:rsidR="11D328F0">
        <w:t xml:space="preserve">The burden adjustment is related to and overall decrease in the expected number of respondents. The number of hours per </w:t>
      </w:r>
      <w:r w:rsidR="7D4B1078">
        <w:t>response has remained the same.</w:t>
      </w:r>
      <w:r w:rsidR="11D328F0">
        <w:t xml:space="preserve"> </w:t>
      </w:r>
      <w:r w:rsidR="55A4393E">
        <w:t>As a result of this adjustment, we recorded</w:t>
      </w:r>
      <w:r>
        <w:t xml:space="preserve"> a decrease to the currently approved burden.  </w:t>
      </w:r>
    </w:p>
    <w:p w:rsidR="4E7C3CF5" w:rsidP="4E7C3CF5" w14:paraId="5D8C6660" w14:textId="3FC0EABA">
      <w:pPr>
        <w:spacing w:beforeAutospacing="1" w:afterAutospacing="1"/>
        <w:ind w:left="720"/>
      </w:pPr>
      <w:r>
        <w:t>Total Burden</w:t>
      </w:r>
      <w:r w:rsidR="35D52516">
        <w:t>:</w:t>
      </w:r>
      <w:r w:rsidR="00204BA3">
        <w:t xml:space="preserve"> </w:t>
      </w:r>
      <w:r w:rsidR="6B7B76B0">
        <w:t xml:space="preserve">Our estimated burden for the information collection reflects an overall decrease of 2,500 hours and a corresponding decrease of 500 responses.  The number of submissions FDA received to establish marketing as of February 15, </w:t>
      </w:r>
      <w:r w:rsidR="6B7B76B0">
        <w:t>2007</w:t>
      </w:r>
      <w:r w:rsidR="6B7B76B0">
        <w:t xml:space="preserve"> has decreased and we have therefore revised the number of respondents to the information collection based on this data.</w:t>
      </w:r>
    </w:p>
    <w:p w:rsidR="004C6979" w:rsidRPr="004C6979" w:rsidP="00EB7538" w14:paraId="5C19B113" w14:textId="01A54554">
      <w:pPr>
        <w:numPr>
          <w:ilvl w:val="0"/>
          <w:numId w:val="1"/>
        </w:numPr>
        <w:spacing w:before="100" w:beforeAutospacing="1" w:after="100" w:afterAutospacing="1"/>
        <w:rPr>
          <w:u w:val="single"/>
        </w:rPr>
      </w:pPr>
      <w:r w:rsidRPr="004C6979">
        <w:rPr>
          <w:u w:val="single"/>
        </w:rPr>
        <w:t>Plans for Tabulation and Publication and Project Time Schedule</w:t>
      </w:r>
    </w:p>
    <w:p w:rsidR="500C7DDC" w:rsidP="00204BA3" w14:paraId="680C2D32" w14:textId="66F9C632">
      <w:pPr>
        <w:spacing w:before="100" w:beforeAutospacing="1" w:after="100" w:afterAutospacing="1"/>
        <w:ind w:left="720"/>
      </w:pPr>
      <w:r w:rsidRPr="500C7DDC">
        <w:rPr>
          <w:rFonts w:eastAsia="Calibri"/>
        </w:rPr>
        <w:t>This information collected will not be published or tabulated</w:t>
      </w:r>
      <w:r w:rsidR="00956FEC">
        <w:t>.</w:t>
      </w:r>
    </w:p>
    <w:p w:rsidR="004C6979" w:rsidRPr="004C6979" w:rsidP="00EB7538" w14:paraId="1D5B1417" w14:textId="77777777">
      <w:pPr>
        <w:numPr>
          <w:ilvl w:val="0"/>
          <w:numId w:val="1"/>
        </w:numPr>
        <w:spacing w:before="100" w:beforeAutospacing="1" w:after="100" w:afterAutospacing="1"/>
        <w:rPr>
          <w:u w:val="single"/>
        </w:rPr>
      </w:pPr>
      <w:r w:rsidRPr="76A193CA">
        <w:rPr>
          <w:u w:val="single"/>
        </w:rPr>
        <w:t>Reason(s) Display of OMB Expiration Date is Inappropriate</w:t>
      </w:r>
    </w:p>
    <w:p w:rsidR="500C7DDC" w:rsidP="500C7DDC" w14:paraId="44D1A1FC" w14:textId="17356A32">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color w:val="000000" w:themeColor="text1"/>
        </w:rPr>
      </w:pPr>
      <w:r w:rsidRPr="500C7DDC">
        <w:rPr>
          <w:color w:val="000000" w:themeColor="text1"/>
        </w:rPr>
        <w:t>Consistent with established practice the OMB control number will be displayed on the guidance document cover page and include a link to www.reginfo.gov to identify the current expiration date.</w:t>
      </w:r>
    </w:p>
    <w:p w:rsidR="00EB7538" w:rsidP="00EB7538" w14:paraId="0FF0B276"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BC3B6E" w:rsidP="00BC3B6E" w14:paraId="1FFB1DE1" w14:textId="20014F0C">
      <w:pPr>
        <w:spacing w:before="100" w:beforeAutospacing="1" w:after="100" w:afterAutospacing="1"/>
        <w:ind w:left="720"/>
      </w:pPr>
      <w:r w:rsidRPr="007E59A8">
        <w:rPr>
          <w:rFonts w:eastAsia="Calibri"/>
        </w:rPr>
        <w:t>There are no exceptions to the certification</w:t>
      </w:r>
      <w:r w:rsidRPr="00583206" w:rsidR="00BC3B6E">
        <w:t>.</w:t>
      </w:r>
    </w:p>
    <w:sectPr w:rsidSect="00EB7538">
      <w:headerReference w:type="default"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3A244E2" w14:textId="77777777" w:rsidTr="4E7C3CF5">
      <w:tblPrEx>
        <w:tblW w:w="0" w:type="auto"/>
        <w:tblLayout w:type="fixed"/>
        <w:tblLook w:val="06A0"/>
      </w:tblPrEx>
      <w:trPr>
        <w:trHeight w:val="300"/>
      </w:trPr>
      <w:tc>
        <w:tcPr>
          <w:tcW w:w="3120" w:type="dxa"/>
        </w:tcPr>
        <w:p w:rsidR="4E7C3CF5" w:rsidP="4E7C3CF5" w14:paraId="279E70F7" w14:textId="18FF507A">
          <w:pPr>
            <w:pStyle w:val="Header"/>
            <w:ind w:left="-115"/>
          </w:pPr>
        </w:p>
      </w:tc>
      <w:tc>
        <w:tcPr>
          <w:tcW w:w="3120" w:type="dxa"/>
        </w:tcPr>
        <w:p w:rsidR="4E7C3CF5" w:rsidP="4E7C3CF5" w14:paraId="3F5330D9" w14:textId="2E888FB6">
          <w:pPr>
            <w:pStyle w:val="Header"/>
            <w:jc w:val="center"/>
          </w:pPr>
        </w:p>
      </w:tc>
      <w:tc>
        <w:tcPr>
          <w:tcW w:w="3120" w:type="dxa"/>
        </w:tcPr>
        <w:p w:rsidR="4E7C3CF5" w:rsidP="4E7C3CF5" w14:paraId="3850C9D1" w14:textId="2186F8CF">
          <w:pPr>
            <w:pStyle w:val="Header"/>
            <w:ind w:right="-115"/>
            <w:jc w:val="right"/>
          </w:pPr>
        </w:p>
      </w:tc>
    </w:tr>
  </w:tbl>
  <w:p w:rsidR="4E7C3CF5" w:rsidP="4E7C3CF5" w14:paraId="7C288232" w14:textId="0D1BCC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3201F6" w14:textId="77777777" w:rsidTr="4E7C3CF5">
      <w:tblPrEx>
        <w:tblW w:w="0" w:type="auto"/>
        <w:tblLayout w:type="fixed"/>
        <w:tblLook w:val="06A0"/>
      </w:tblPrEx>
      <w:trPr>
        <w:trHeight w:val="300"/>
      </w:trPr>
      <w:tc>
        <w:tcPr>
          <w:tcW w:w="3120" w:type="dxa"/>
        </w:tcPr>
        <w:p w:rsidR="4E7C3CF5" w:rsidP="4E7C3CF5" w14:paraId="1B7566E8" w14:textId="5B2F1BE3">
          <w:pPr>
            <w:pStyle w:val="Header"/>
            <w:ind w:left="-115"/>
          </w:pPr>
        </w:p>
      </w:tc>
      <w:tc>
        <w:tcPr>
          <w:tcW w:w="3120" w:type="dxa"/>
        </w:tcPr>
        <w:p w:rsidR="4E7C3CF5" w:rsidP="4E7C3CF5" w14:paraId="569D86BA" w14:textId="3F14E973">
          <w:pPr>
            <w:pStyle w:val="Header"/>
            <w:jc w:val="center"/>
          </w:pPr>
        </w:p>
      </w:tc>
      <w:tc>
        <w:tcPr>
          <w:tcW w:w="3120" w:type="dxa"/>
        </w:tcPr>
        <w:p w:rsidR="4E7C3CF5" w:rsidP="4E7C3CF5" w14:paraId="4A1CF69B" w14:textId="4DEC5A7E">
          <w:pPr>
            <w:pStyle w:val="Header"/>
            <w:ind w:right="-115"/>
            <w:jc w:val="right"/>
          </w:pPr>
        </w:p>
      </w:tc>
    </w:tr>
  </w:tbl>
  <w:p w:rsidR="4E7C3CF5" w:rsidP="4E7C3CF5" w14:paraId="28FC7EA8" w14:textId="2CA65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FF95D3B"/>
    <w:multiLevelType w:val="hybridMultilevel"/>
    <w:tmpl w:val="464C4B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0077B6"/>
    <w:multiLevelType w:val="hybridMultilevel"/>
    <w:tmpl w:val="8B76C412"/>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8">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5">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42912781">
    <w:abstractNumId w:val="9"/>
  </w:num>
  <w:num w:numId="2" w16cid:durableId="18701351">
    <w:abstractNumId w:val="14"/>
  </w:num>
  <w:num w:numId="3" w16cid:durableId="724178046">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221866382">
    <w:abstractNumId w:val="19"/>
  </w:num>
  <w:num w:numId="5" w16cid:durableId="1542598409">
    <w:abstractNumId w:val="6"/>
  </w:num>
  <w:num w:numId="6" w16cid:durableId="319189558">
    <w:abstractNumId w:val="21"/>
  </w:num>
  <w:num w:numId="7" w16cid:durableId="900097694">
    <w:abstractNumId w:val="26"/>
  </w:num>
  <w:num w:numId="8" w16cid:durableId="321856616">
    <w:abstractNumId w:val="2"/>
  </w:num>
  <w:num w:numId="9" w16cid:durableId="1622955020">
    <w:abstractNumId w:val="22"/>
  </w:num>
  <w:num w:numId="10" w16cid:durableId="155651255">
    <w:abstractNumId w:val="18"/>
  </w:num>
  <w:num w:numId="11" w16cid:durableId="1575357333">
    <w:abstractNumId w:val="8"/>
  </w:num>
  <w:num w:numId="12" w16cid:durableId="1226988713">
    <w:abstractNumId w:val="29"/>
  </w:num>
  <w:num w:numId="13" w16cid:durableId="693655896">
    <w:abstractNumId w:val="16"/>
  </w:num>
  <w:num w:numId="14" w16cid:durableId="1834295300">
    <w:abstractNumId w:val="7"/>
  </w:num>
  <w:num w:numId="15" w16cid:durableId="1443453570">
    <w:abstractNumId w:val="13"/>
  </w:num>
  <w:num w:numId="16" w16cid:durableId="449398242">
    <w:abstractNumId w:val="12"/>
  </w:num>
  <w:num w:numId="17" w16cid:durableId="88350923">
    <w:abstractNumId w:val="25"/>
  </w:num>
  <w:num w:numId="18" w16cid:durableId="1649674734">
    <w:abstractNumId w:val="28"/>
  </w:num>
  <w:num w:numId="19" w16cid:durableId="1963145495">
    <w:abstractNumId w:val="27"/>
  </w:num>
  <w:num w:numId="20" w16cid:durableId="594290606">
    <w:abstractNumId w:val="15"/>
  </w:num>
  <w:num w:numId="21" w16cid:durableId="467944056">
    <w:abstractNumId w:val="11"/>
  </w:num>
  <w:num w:numId="22" w16cid:durableId="841313943">
    <w:abstractNumId w:val="1"/>
  </w:num>
  <w:num w:numId="23" w16cid:durableId="1584341817">
    <w:abstractNumId w:val="23"/>
  </w:num>
  <w:num w:numId="24" w16cid:durableId="1843155632">
    <w:abstractNumId w:val="20"/>
  </w:num>
  <w:num w:numId="25" w16cid:durableId="270630531">
    <w:abstractNumId w:val="10"/>
  </w:num>
  <w:num w:numId="26" w16cid:durableId="1872911400">
    <w:abstractNumId w:val="5"/>
  </w:num>
  <w:num w:numId="27" w16cid:durableId="1233926468">
    <w:abstractNumId w:val="30"/>
  </w:num>
  <w:num w:numId="28" w16cid:durableId="1586257700">
    <w:abstractNumId w:val="24"/>
  </w:num>
  <w:num w:numId="29" w16cid:durableId="660164119">
    <w:abstractNumId w:val="4"/>
  </w:num>
  <w:num w:numId="30" w16cid:durableId="1505126409">
    <w:abstractNumId w:val="3"/>
  </w:num>
  <w:num w:numId="31" w16cid:durableId="77660375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BE9"/>
    <w:rsid w:val="00014A22"/>
    <w:rsid w:val="00023C2B"/>
    <w:rsid w:val="00025912"/>
    <w:rsid w:val="00025E3B"/>
    <w:rsid w:val="00027150"/>
    <w:rsid w:val="00027FE7"/>
    <w:rsid w:val="0003732D"/>
    <w:rsid w:val="00037EA4"/>
    <w:rsid w:val="00042F1F"/>
    <w:rsid w:val="000436E7"/>
    <w:rsid w:val="000440EB"/>
    <w:rsid w:val="000471A9"/>
    <w:rsid w:val="000500B6"/>
    <w:rsid w:val="000577D1"/>
    <w:rsid w:val="0006570F"/>
    <w:rsid w:val="0006683B"/>
    <w:rsid w:val="00082BFC"/>
    <w:rsid w:val="00082E65"/>
    <w:rsid w:val="000A0548"/>
    <w:rsid w:val="000A2339"/>
    <w:rsid w:val="000A3259"/>
    <w:rsid w:val="000A5306"/>
    <w:rsid w:val="000B17C1"/>
    <w:rsid w:val="000B46D4"/>
    <w:rsid w:val="000C0909"/>
    <w:rsid w:val="000C0C50"/>
    <w:rsid w:val="000C18E8"/>
    <w:rsid w:val="000C62D5"/>
    <w:rsid w:val="000D1FD0"/>
    <w:rsid w:val="000E09CC"/>
    <w:rsid w:val="000E1C64"/>
    <w:rsid w:val="000E7687"/>
    <w:rsid w:val="000F64FB"/>
    <w:rsid w:val="000F6515"/>
    <w:rsid w:val="000F6A53"/>
    <w:rsid w:val="000F768A"/>
    <w:rsid w:val="00102263"/>
    <w:rsid w:val="00107885"/>
    <w:rsid w:val="00111B02"/>
    <w:rsid w:val="0011278E"/>
    <w:rsid w:val="00112AB0"/>
    <w:rsid w:val="00117EAB"/>
    <w:rsid w:val="0012329C"/>
    <w:rsid w:val="00126181"/>
    <w:rsid w:val="0013171C"/>
    <w:rsid w:val="00137950"/>
    <w:rsid w:val="001406D6"/>
    <w:rsid w:val="001430EA"/>
    <w:rsid w:val="001513AD"/>
    <w:rsid w:val="00152F54"/>
    <w:rsid w:val="00153FEE"/>
    <w:rsid w:val="00157642"/>
    <w:rsid w:val="0016345F"/>
    <w:rsid w:val="00163B24"/>
    <w:rsid w:val="00171EE6"/>
    <w:rsid w:val="001775BD"/>
    <w:rsid w:val="00177DCB"/>
    <w:rsid w:val="00180B83"/>
    <w:rsid w:val="0018545C"/>
    <w:rsid w:val="00195522"/>
    <w:rsid w:val="00196468"/>
    <w:rsid w:val="001A3B5A"/>
    <w:rsid w:val="001A5463"/>
    <w:rsid w:val="001A62CE"/>
    <w:rsid w:val="001B1185"/>
    <w:rsid w:val="001C3214"/>
    <w:rsid w:val="001C4534"/>
    <w:rsid w:val="001C4E0E"/>
    <w:rsid w:val="001D495A"/>
    <w:rsid w:val="001D620D"/>
    <w:rsid w:val="001E0536"/>
    <w:rsid w:val="001E192C"/>
    <w:rsid w:val="001E7BC3"/>
    <w:rsid w:val="001F063B"/>
    <w:rsid w:val="001F6A5B"/>
    <w:rsid w:val="00204BA3"/>
    <w:rsid w:val="00205A8A"/>
    <w:rsid w:val="00205E6D"/>
    <w:rsid w:val="002259EF"/>
    <w:rsid w:val="00230CA2"/>
    <w:rsid w:val="002320A8"/>
    <w:rsid w:val="00232739"/>
    <w:rsid w:val="00235A04"/>
    <w:rsid w:val="00237F89"/>
    <w:rsid w:val="00240F47"/>
    <w:rsid w:val="00242ED1"/>
    <w:rsid w:val="0025076B"/>
    <w:rsid w:val="002528AB"/>
    <w:rsid w:val="00253232"/>
    <w:rsid w:val="00254069"/>
    <w:rsid w:val="002616EA"/>
    <w:rsid w:val="00264E29"/>
    <w:rsid w:val="002734E5"/>
    <w:rsid w:val="002746DB"/>
    <w:rsid w:val="00280AC5"/>
    <w:rsid w:val="002811E0"/>
    <w:rsid w:val="00281448"/>
    <w:rsid w:val="00282915"/>
    <w:rsid w:val="00287E00"/>
    <w:rsid w:val="00292253"/>
    <w:rsid w:val="002934D6"/>
    <w:rsid w:val="00293836"/>
    <w:rsid w:val="002A7C14"/>
    <w:rsid w:val="002A7EE1"/>
    <w:rsid w:val="002B2776"/>
    <w:rsid w:val="002B4247"/>
    <w:rsid w:val="002C0566"/>
    <w:rsid w:val="002C0B6A"/>
    <w:rsid w:val="002C1C33"/>
    <w:rsid w:val="002C30E4"/>
    <w:rsid w:val="002C4B2C"/>
    <w:rsid w:val="002D4799"/>
    <w:rsid w:val="002D7CDD"/>
    <w:rsid w:val="002E1CBE"/>
    <w:rsid w:val="002E2736"/>
    <w:rsid w:val="002E3CF2"/>
    <w:rsid w:val="002E3FA4"/>
    <w:rsid w:val="00303923"/>
    <w:rsid w:val="00312A16"/>
    <w:rsid w:val="00321F4C"/>
    <w:rsid w:val="0032277F"/>
    <w:rsid w:val="003346AB"/>
    <w:rsid w:val="00340E4F"/>
    <w:rsid w:val="00343FE2"/>
    <w:rsid w:val="0034591A"/>
    <w:rsid w:val="00350523"/>
    <w:rsid w:val="0035657E"/>
    <w:rsid w:val="003740BC"/>
    <w:rsid w:val="003801A3"/>
    <w:rsid w:val="003A1AB3"/>
    <w:rsid w:val="003B01FE"/>
    <w:rsid w:val="003B42B3"/>
    <w:rsid w:val="003B4B86"/>
    <w:rsid w:val="003B6384"/>
    <w:rsid w:val="003C102B"/>
    <w:rsid w:val="003C4EBB"/>
    <w:rsid w:val="003D1531"/>
    <w:rsid w:val="003D7032"/>
    <w:rsid w:val="003E022F"/>
    <w:rsid w:val="003E0DC8"/>
    <w:rsid w:val="003E4BE9"/>
    <w:rsid w:val="003E4EC6"/>
    <w:rsid w:val="003E553E"/>
    <w:rsid w:val="003F055E"/>
    <w:rsid w:val="003F2ABF"/>
    <w:rsid w:val="003F47A9"/>
    <w:rsid w:val="00403CB5"/>
    <w:rsid w:val="00411D11"/>
    <w:rsid w:val="00415E23"/>
    <w:rsid w:val="00416235"/>
    <w:rsid w:val="00421725"/>
    <w:rsid w:val="00422E0E"/>
    <w:rsid w:val="00423805"/>
    <w:rsid w:val="00423DEE"/>
    <w:rsid w:val="00424061"/>
    <w:rsid w:val="00433487"/>
    <w:rsid w:val="00441CEA"/>
    <w:rsid w:val="00447D74"/>
    <w:rsid w:val="00465350"/>
    <w:rsid w:val="004676EA"/>
    <w:rsid w:val="004748D7"/>
    <w:rsid w:val="004823A6"/>
    <w:rsid w:val="004846BF"/>
    <w:rsid w:val="00494B6C"/>
    <w:rsid w:val="004976F0"/>
    <w:rsid w:val="004A204D"/>
    <w:rsid w:val="004A4D30"/>
    <w:rsid w:val="004A6515"/>
    <w:rsid w:val="004B6FBF"/>
    <w:rsid w:val="004C4CE2"/>
    <w:rsid w:val="004C6979"/>
    <w:rsid w:val="004E29C0"/>
    <w:rsid w:val="004E62A3"/>
    <w:rsid w:val="004E6AD8"/>
    <w:rsid w:val="00502192"/>
    <w:rsid w:val="00514F12"/>
    <w:rsid w:val="005167DB"/>
    <w:rsid w:val="00520241"/>
    <w:rsid w:val="00521B54"/>
    <w:rsid w:val="00522FC8"/>
    <w:rsid w:val="005233CB"/>
    <w:rsid w:val="005247AB"/>
    <w:rsid w:val="00526EF8"/>
    <w:rsid w:val="005414D8"/>
    <w:rsid w:val="00544138"/>
    <w:rsid w:val="0054733D"/>
    <w:rsid w:val="00547674"/>
    <w:rsid w:val="00550F91"/>
    <w:rsid w:val="00555903"/>
    <w:rsid w:val="0055747B"/>
    <w:rsid w:val="005618E0"/>
    <w:rsid w:val="00567F45"/>
    <w:rsid w:val="005725C5"/>
    <w:rsid w:val="00580690"/>
    <w:rsid w:val="00583206"/>
    <w:rsid w:val="00583669"/>
    <w:rsid w:val="00584583"/>
    <w:rsid w:val="0059489C"/>
    <w:rsid w:val="00596F0A"/>
    <w:rsid w:val="00597DB4"/>
    <w:rsid w:val="005A4099"/>
    <w:rsid w:val="005A413B"/>
    <w:rsid w:val="005C0402"/>
    <w:rsid w:val="005C38B2"/>
    <w:rsid w:val="005C5029"/>
    <w:rsid w:val="005D4DF5"/>
    <w:rsid w:val="005D7323"/>
    <w:rsid w:val="005E5DA8"/>
    <w:rsid w:val="00601351"/>
    <w:rsid w:val="00603707"/>
    <w:rsid w:val="006105A8"/>
    <w:rsid w:val="00613B28"/>
    <w:rsid w:val="006205BD"/>
    <w:rsid w:val="00625267"/>
    <w:rsid w:val="006321A9"/>
    <w:rsid w:val="006333A2"/>
    <w:rsid w:val="0064161A"/>
    <w:rsid w:val="006467D4"/>
    <w:rsid w:val="00654062"/>
    <w:rsid w:val="00666BA7"/>
    <w:rsid w:val="006813C1"/>
    <w:rsid w:val="0068255A"/>
    <w:rsid w:val="006906C3"/>
    <w:rsid w:val="00691E81"/>
    <w:rsid w:val="006A0A52"/>
    <w:rsid w:val="006A2937"/>
    <w:rsid w:val="006A7D5D"/>
    <w:rsid w:val="006B2EB1"/>
    <w:rsid w:val="006B344C"/>
    <w:rsid w:val="006D6795"/>
    <w:rsid w:val="006E7615"/>
    <w:rsid w:val="006F141B"/>
    <w:rsid w:val="006F4D6D"/>
    <w:rsid w:val="006F5BCA"/>
    <w:rsid w:val="006F6C0E"/>
    <w:rsid w:val="00702F87"/>
    <w:rsid w:val="00710061"/>
    <w:rsid w:val="007111F8"/>
    <w:rsid w:val="00714CAE"/>
    <w:rsid w:val="0072148E"/>
    <w:rsid w:val="007247D1"/>
    <w:rsid w:val="007349E4"/>
    <w:rsid w:val="00742CCF"/>
    <w:rsid w:val="00754497"/>
    <w:rsid w:val="007552D4"/>
    <w:rsid w:val="00755F9E"/>
    <w:rsid w:val="0076444E"/>
    <w:rsid w:val="00764A3C"/>
    <w:rsid w:val="00770AD7"/>
    <w:rsid w:val="0077321C"/>
    <w:rsid w:val="00773B18"/>
    <w:rsid w:val="00773C25"/>
    <w:rsid w:val="00777175"/>
    <w:rsid w:val="0078433A"/>
    <w:rsid w:val="00791BCB"/>
    <w:rsid w:val="007B21B7"/>
    <w:rsid w:val="007B2329"/>
    <w:rsid w:val="007B31C8"/>
    <w:rsid w:val="007C3995"/>
    <w:rsid w:val="007C75B1"/>
    <w:rsid w:val="007D111F"/>
    <w:rsid w:val="007D2CF0"/>
    <w:rsid w:val="007D5BAA"/>
    <w:rsid w:val="007E3192"/>
    <w:rsid w:val="007E59A8"/>
    <w:rsid w:val="007E5E4A"/>
    <w:rsid w:val="007F3D39"/>
    <w:rsid w:val="007F594D"/>
    <w:rsid w:val="007F75B4"/>
    <w:rsid w:val="00801260"/>
    <w:rsid w:val="00803958"/>
    <w:rsid w:val="00805C27"/>
    <w:rsid w:val="0080776D"/>
    <w:rsid w:val="00810145"/>
    <w:rsid w:val="008108FA"/>
    <w:rsid w:val="00811041"/>
    <w:rsid w:val="008159E9"/>
    <w:rsid w:val="00815C90"/>
    <w:rsid w:val="0081605B"/>
    <w:rsid w:val="00820F37"/>
    <w:rsid w:val="00822336"/>
    <w:rsid w:val="00823DFA"/>
    <w:rsid w:val="0082458A"/>
    <w:rsid w:val="00824F72"/>
    <w:rsid w:val="00825F93"/>
    <w:rsid w:val="00826BCC"/>
    <w:rsid w:val="00827EF7"/>
    <w:rsid w:val="00831328"/>
    <w:rsid w:val="008424C9"/>
    <w:rsid w:val="00843752"/>
    <w:rsid w:val="008455B1"/>
    <w:rsid w:val="00846947"/>
    <w:rsid w:val="00850ADF"/>
    <w:rsid w:val="00853998"/>
    <w:rsid w:val="00855A4D"/>
    <w:rsid w:val="00857B54"/>
    <w:rsid w:val="00861459"/>
    <w:rsid w:val="00865341"/>
    <w:rsid w:val="008723AC"/>
    <w:rsid w:val="008733B4"/>
    <w:rsid w:val="008750EC"/>
    <w:rsid w:val="0087794E"/>
    <w:rsid w:val="00880BA1"/>
    <w:rsid w:val="00884A35"/>
    <w:rsid w:val="008867F1"/>
    <w:rsid w:val="00886A66"/>
    <w:rsid w:val="00892400"/>
    <w:rsid w:val="00892FB9"/>
    <w:rsid w:val="00895C6E"/>
    <w:rsid w:val="008A209D"/>
    <w:rsid w:val="008A3841"/>
    <w:rsid w:val="008B0E29"/>
    <w:rsid w:val="008B0EFA"/>
    <w:rsid w:val="008B2D04"/>
    <w:rsid w:val="008B30AB"/>
    <w:rsid w:val="008B3D99"/>
    <w:rsid w:val="008B508A"/>
    <w:rsid w:val="008C4511"/>
    <w:rsid w:val="008C477D"/>
    <w:rsid w:val="008C5D46"/>
    <w:rsid w:val="008C6C6E"/>
    <w:rsid w:val="008D6230"/>
    <w:rsid w:val="008F65CF"/>
    <w:rsid w:val="0090111C"/>
    <w:rsid w:val="00905DEF"/>
    <w:rsid w:val="00907DD0"/>
    <w:rsid w:val="00915717"/>
    <w:rsid w:val="00921F9B"/>
    <w:rsid w:val="00931275"/>
    <w:rsid w:val="00936AC7"/>
    <w:rsid w:val="00940A18"/>
    <w:rsid w:val="00943E44"/>
    <w:rsid w:val="0094677B"/>
    <w:rsid w:val="00946F68"/>
    <w:rsid w:val="00956FEC"/>
    <w:rsid w:val="00963DE0"/>
    <w:rsid w:val="0096445F"/>
    <w:rsid w:val="00973C70"/>
    <w:rsid w:val="009861D5"/>
    <w:rsid w:val="00993186"/>
    <w:rsid w:val="00996260"/>
    <w:rsid w:val="009A0379"/>
    <w:rsid w:val="009A03E5"/>
    <w:rsid w:val="009A4BAD"/>
    <w:rsid w:val="009D074C"/>
    <w:rsid w:val="009D6AF9"/>
    <w:rsid w:val="009E0BEF"/>
    <w:rsid w:val="009E0DE7"/>
    <w:rsid w:val="009E3ADD"/>
    <w:rsid w:val="009E5186"/>
    <w:rsid w:val="009F038A"/>
    <w:rsid w:val="009F2B4F"/>
    <w:rsid w:val="009F721F"/>
    <w:rsid w:val="00A04679"/>
    <w:rsid w:val="00A04CEB"/>
    <w:rsid w:val="00A12620"/>
    <w:rsid w:val="00A20A7D"/>
    <w:rsid w:val="00A2257C"/>
    <w:rsid w:val="00A26F7E"/>
    <w:rsid w:val="00A270C8"/>
    <w:rsid w:val="00A33598"/>
    <w:rsid w:val="00A34CAB"/>
    <w:rsid w:val="00A35D42"/>
    <w:rsid w:val="00A42D85"/>
    <w:rsid w:val="00A46CCF"/>
    <w:rsid w:val="00A561A3"/>
    <w:rsid w:val="00A60301"/>
    <w:rsid w:val="00A6649C"/>
    <w:rsid w:val="00A70426"/>
    <w:rsid w:val="00A85F91"/>
    <w:rsid w:val="00A91263"/>
    <w:rsid w:val="00A91E9A"/>
    <w:rsid w:val="00A93387"/>
    <w:rsid w:val="00A93ED9"/>
    <w:rsid w:val="00AA12ED"/>
    <w:rsid w:val="00AA1B6B"/>
    <w:rsid w:val="00AA2C07"/>
    <w:rsid w:val="00AA5CDD"/>
    <w:rsid w:val="00AA7598"/>
    <w:rsid w:val="00AB1000"/>
    <w:rsid w:val="00AB16B1"/>
    <w:rsid w:val="00AB1AE1"/>
    <w:rsid w:val="00AB5FDA"/>
    <w:rsid w:val="00AC6A99"/>
    <w:rsid w:val="00AE269D"/>
    <w:rsid w:val="00AE50E6"/>
    <w:rsid w:val="00AF34D3"/>
    <w:rsid w:val="00B055EF"/>
    <w:rsid w:val="00B133E9"/>
    <w:rsid w:val="00B13FFD"/>
    <w:rsid w:val="00B143A5"/>
    <w:rsid w:val="00B23769"/>
    <w:rsid w:val="00B2776D"/>
    <w:rsid w:val="00B27963"/>
    <w:rsid w:val="00B27D08"/>
    <w:rsid w:val="00B466ED"/>
    <w:rsid w:val="00B51E7E"/>
    <w:rsid w:val="00B61C31"/>
    <w:rsid w:val="00B729D8"/>
    <w:rsid w:val="00B76B72"/>
    <w:rsid w:val="00B84B41"/>
    <w:rsid w:val="00B85360"/>
    <w:rsid w:val="00B8553D"/>
    <w:rsid w:val="00B86E65"/>
    <w:rsid w:val="00B9027A"/>
    <w:rsid w:val="00B91479"/>
    <w:rsid w:val="00B936D0"/>
    <w:rsid w:val="00B941EB"/>
    <w:rsid w:val="00BA3205"/>
    <w:rsid w:val="00BC019F"/>
    <w:rsid w:val="00BC0A60"/>
    <w:rsid w:val="00BC3B6E"/>
    <w:rsid w:val="00BC5059"/>
    <w:rsid w:val="00BD3692"/>
    <w:rsid w:val="00BD5B69"/>
    <w:rsid w:val="00BE3600"/>
    <w:rsid w:val="00BE5522"/>
    <w:rsid w:val="00BF35C6"/>
    <w:rsid w:val="00BF5ABC"/>
    <w:rsid w:val="00C01F6F"/>
    <w:rsid w:val="00C07F45"/>
    <w:rsid w:val="00C11B08"/>
    <w:rsid w:val="00C149AB"/>
    <w:rsid w:val="00C15E09"/>
    <w:rsid w:val="00C1667B"/>
    <w:rsid w:val="00C1795A"/>
    <w:rsid w:val="00C2375C"/>
    <w:rsid w:val="00C26C2C"/>
    <w:rsid w:val="00C31847"/>
    <w:rsid w:val="00C35B9E"/>
    <w:rsid w:val="00C40010"/>
    <w:rsid w:val="00C40694"/>
    <w:rsid w:val="00C42448"/>
    <w:rsid w:val="00C42716"/>
    <w:rsid w:val="00C44F96"/>
    <w:rsid w:val="00C51353"/>
    <w:rsid w:val="00C61B9B"/>
    <w:rsid w:val="00C70542"/>
    <w:rsid w:val="00C75D36"/>
    <w:rsid w:val="00C77D24"/>
    <w:rsid w:val="00C832F8"/>
    <w:rsid w:val="00C853C7"/>
    <w:rsid w:val="00C9275F"/>
    <w:rsid w:val="00C95463"/>
    <w:rsid w:val="00C96E66"/>
    <w:rsid w:val="00C977F2"/>
    <w:rsid w:val="00CB79E8"/>
    <w:rsid w:val="00CC2894"/>
    <w:rsid w:val="00CD0959"/>
    <w:rsid w:val="00CD445A"/>
    <w:rsid w:val="00CD47F3"/>
    <w:rsid w:val="00CD77C3"/>
    <w:rsid w:val="00CE12AC"/>
    <w:rsid w:val="00CE5E62"/>
    <w:rsid w:val="00CE7653"/>
    <w:rsid w:val="00CF223F"/>
    <w:rsid w:val="00CF5D05"/>
    <w:rsid w:val="00CF750B"/>
    <w:rsid w:val="00D03236"/>
    <w:rsid w:val="00D07063"/>
    <w:rsid w:val="00D12778"/>
    <w:rsid w:val="00D135FA"/>
    <w:rsid w:val="00D26AE9"/>
    <w:rsid w:val="00D271A3"/>
    <w:rsid w:val="00D31DAF"/>
    <w:rsid w:val="00D34B96"/>
    <w:rsid w:val="00D4230B"/>
    <w:rsid w:val="00D46D0C"/>
    <w:rsid w:val="00D608DA"/>
    <w:rsid w:val="00D61BD9"/>
    <w:rsid w:val="00D62B71"/>
    <w:rsid w:val="00D6400C"/>
    <w:rsid w:val="00D730BF"/>
    <w:rsid w:val="00D75F79"/>
    <w:rsid w:val="00D8322B"/>
    <w:rsid w:val="00D85940"/>
    <w:rsid w:val="00D92F36"/>
    <w:rsid w:val="00D936BC"/>
    <w:rsid w:val="00D973B4"/>
    <w:rsid w:val="00DA36F0"/>
    <w:rsid w:val="00DA6A74"/>
    <w:rsid w:val="00DB3D2A"/>
    <w:rsid w:val="00DB4E12"/>
    <w:rsid w:val="00DB7BE6"/>
    <w:rsid w:val="00DC5273"/>
    <w:rsid w:val="00DC627E"/>
    <w:rsid w:val="00DC76C7"/>
    <w:rsid w:val="00DD09F5"/>
    <w:rsid w:val="00DD1347"/>
    <w:rsid w:val="00DD4201"/>
    <w:rsid w:val="00DD4C94"/>
    <w:rsid w:val="00DD585E"/>
    <w:rsid w:val="00DE37A9"/>
    <w:rsid w:val="00DE5711"/>
    <w:rsid w:val="00DE6F8F"/>
    <w:rsid w:val="00DE7E53"/>
    <w:rsid w:val="00DF1407"/>
    <w:rsid w:val="00DF266A"/>
    <w:rsid w:val="00E00B18"/>
    <w:rsid w:val="00E00EA0"/>
    <w:rsid w:val="00E03856"/>
    <w:rsid w:val="00E12EE6"/>
    <w:rsid w:val="00E1406E"/>
    <w:rsid w:val="00E14B06"/>
    <w:rsid w:val="00E15CEA"/>
    <w:rsid w:val="00E200EE"/>
    <w:rsid w:val="00E27E99"/>
    <w:rsid w:val="00E30681"/>
    <w:rsid w:val="00E32EA2"/>
    <w:rsid w:val="00E37FA2"/>
    <w:rsid w:val="00E409CF"/>
    <w:rsid w:val="00E4214F"/>
    <w:rsid w:val="00E43148"/>
    <w:rsid w:val="00E449FB"/>
    <w:rsid w:val="00E46F4C"/>
    <w:rsid w:val="00E50FFA"/>
    <w:rsid w:val="00E5388D"/>
    <w:rsid w:val="00E55282"/>
    <w:rsid w:val="00E63F88"/>
    <w:rsid w:val="00E66BB3"/>
    <w:rsid w:val="00E773D4"/>
    <w:rsid w:val="00E77B48"/>
    <w:rsid w:val="00E86B86"/>
    <w:rsid w:val="00E90F63"/>
    <w:rsid w:val="00E91799"/>
    <w:rsid w:val="00E943CC"/>
    <w:rsid w:val="00E95928"/>
    <w:rsid w:val="00EA34E3"/>
    <w:rsid w:val="00EA3BC1"/>
    <w:rsid w:val="00EA3C26"/>
    <w:rsid w:val="00EA4BE6"/>
    <w:rsid w:val="00EA6FA2"/>
    <w:rsid w:val="00EB65B7"/>
    <w:rsid w:val="00EB6975"/>
    <w:rsid w:val="00EB7538"/>
    <w:rsid w:val="00EC4399"/>
    <w:rsid w:val="00EC4E09"/>
    <w:rsid w:val="00EE3E1C"/>
    <w:rsid w:val="00EF06CD"/>
    <w:rsid w:val="00F0740B"/>
    <w:rsid w:val="00F16221"/>
    <w:rsid w:val="00F207A4"/>
    <w:rsid w:val="00F22450"/>
    <w:rsid w:val="00F24FF4"/>
    <w:rsid w:val="00F26FAD"/>
    <w:rsid w:val="00F3138B"/>
    <w:rsid w:val="00F318E0"/>
    <w:rsid w:val="00F34AE8"/>
    <w:rsid w:val="00F355AC"/>
    <w:rsid w:val="00F374A6"/>
    <w:rsid w:val="00F41A10"/>
    <w:rsid w:val="00F43F77"/>
    <w:rsid w:val="00F53483"/>
    <w:rsid w:val="00F6364E"/>
    <w:rsid w:val="00F652F1"/>
    <w:rsid w:val="00F71A5A"/>
    <w:rsid w:val="00F769E0"/>
    <w:rsid w:val="00F85313"/>
    <w:rsid w:val="00F917F2"/>
    <w:rsid w:val="00F940C1"/>
    <w:rsid w:val="00FA12C6"/>
    <w:rsid w:val="00FA267E"/>
    <w:rsid w:val="00FA5A86"/>
    <w:rsid w:val="00FB3EB8"/>
    <w:rsid w:val="00FB6A87"/>
    <w:rsid w:val="00FC3E32"/>
    <w:rsid w:val="00FC6BDE"/>
    <w:rsid w:val="00FC7264"/>
    <w:rsid w:val="00FC7D69"/>
    <w:rsid w:val="00FD1590"/>
    <w:rsid w:val="00FE126C"/>
    <w:rsid w:val="00FE2B88"/>
    <w:rsid w:val="00FE597D"/>
    <w:rsid w:val="00FF3D82"/>
    <w:rsid w:val="00FF73B8"/>
    <w:rsid w:val="015FA4C2"/>
    <w:rsid w:val="02151B40"/>
    <w:rsid w:val="046FE7A7"/>
    <w:rsid w:val="0547E6CF"/>
    <w:rsid w:val="05A8EF2C"/>
    <w:rsid w:val="05B0A049"/>
    <w:rsid w:val="0A0B45C8"/>
    <w:rsid w:val="0AD7DC8B"/>
    <w:rsid w:val="0C1126EF"/>
    <w:rsid w:val="0C2EB1AD"/>
    <w:rsid w:val="0C30CC18"/>
    <w:rsid w:val="0CF495DD"/>
    <w:rsid w:val="0D8C7AD4"/>
    <w:rsid w:val="11D328F0"/>
    <w:rsid w:val="1393F64F"/>
    <w:rsid w:val="13D6EF95"/>
    <w:rsid w:val="1703D473"/>
    <w:rsid w:val="181C3330"/>
    <w:rsid w:val="18CBE5D9"/>
    <w:rsid w:val="1BB61D91"/>
    <w:rsid w:val="1BF16BB8"/>
    <w:rsid w:val="1E3DB14C"/>
    <w:rsid w:val="1E6DF598"/>
    <w:rsid w:val="207AA020"/>
    <w:rsid w:val="21DFB9A3"/>
    <w:rsid w:val="21E6FC38"/>
    <w:rsid w:val="24C1D2FD"/>
    <w:rsid w:val="2942E458"/>
    <w:rsid w:val="2B4F06F6"/>
    <w:rsid w:val="2BD62F00"/>
    <w:rsid w:val="2E742465"/>
    <w:rsid w:val="2EE46A00"/>
    <w:rsid w:val="2F138273"/>
    <w:rsid w:val="2F275926"/>
    <w:rsid w:val="2F8CEFBD"/>
    <w:rsid w:val="2F91AABB"/>
    <w:rsid w:val="300562B0"/>
    <w:rsid w:val="3033E483"/>
    <w:rsid w:val="30B9AE11"/>
    <w:rsid w:val="342526BA"/>
    <w:rsid w:val="349EBEA6"/>
    <w:rsid w:val="35D52516"/>
    <w:rsid w:val="361EC4AD"/>
    <w:rsid w:val="375642F5"/>
    <w:rsid w:val="3CBE9D20"/>
    <w:rsid w:val="3E21F27E"/>
    <w:rsid w:val="3ED3CF04"/>
    <w:rsid w:val="3FDED5CF"/>
    <w:rsid w:val="40D5AB9C"/>
    <w:rsid w:val="434484E1"/>
    <w:rsid w:val="43B00B38"/>
    <w:rsid w:val="46FDE56C"/>
    <w:rsid w:val="47666FCD"/>
    <w:rsid w:val="49FA13C4"/>
    <w:rsid w:val="4A3B12AC"/>
    <w:rsid w:val="4B22A3DF"/>
    <w:rsid w:val="4E7C3CF5"/>
    <w:rsid w:val="500C7DDC"/>
    <w:rsid w:val="5121AC52"/>
    <w:rsid w:val="5407F466"/>
    <w:rsid w:val="548DA764"/>
    <w:rsid w:val="5529A0CA"/>
    <w:rsid w:val="5541355E"/>
    <w:rsid w:val="55A4393E"/>
    <w:rsid w:val="55D53897"/>
    <w:rsid w:val="57646F1D"/>
    <w:rsid w:val="58479210"/>
    <w:rsid w:val="59883998"/>
    <w:rsid w:val="5AD0E858"/>
    <w:rsid w:val="5AFB0F39"/>
    <w:rsid w:val="5D5B3909"/>
    <w:rsid w:val="5DEB0F75"/>
    <w:rsid w:val="60026828"/>
    <w:rsid w:val="6109CFA5"/>
    <w:rsid w:val="627DF6DC"/>
    <w:rsid w:val="628844F8"/>
    <w:rsid w:val="63372F37"/>
    <w:rsid w:val="64060D04"/>
    <w:rsid w:val="645D3704"/>
    <w:rsid w:val="64788486"/>
    <w:rsid w:val="66A4518E"/>
    <w:rsid w:val="67902EC5"/>
    <w:rsid w:val="68A8570C"/>
    <w:rsid w:val="694FBE05"/>
    <w:rsid w:val="6A8AA5AF"/>
    <w:rsid w:val="6B7B76B0"/>
    <w:rsid w:val="6B9B7327"/>
    <w:rsid w:val="7018AEAD"/>
    <w:rsid w:val="70F9F88A"/>
    <w:rsid w:val="71C747C4"/>
    <w:rsid w:val="71F2A357"/>
    <w:rsid w:val="73823B31"/>
    <w:rsid w:val="74048D33"/>
    <w:rsid w:val="7648FAD8"/>
    <w:rsid w:val="7670200D"/>
    <w:rsid w:val="76A193CA"/>
    <w:rsid w:val="77BAA64B"/>
    <w:rsid w:val="78BFC45C"/>
    <w:rsid w:val="7984FEBC"/>
    <w:rsid w:val="79892551"/>
    <w:rsid w:val="7A851CC3"/>
    <w:rsid w:val="7AA85EFD"/>
    <w:rsid w:val="7D4B1078"/>
    <w:rsid w:val="7DFD7409"/>
    <w:rsid w:val="7F00190A"/>
    <w:rsid w:val="7F8F8A60"/>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2FFC5E1C"/>
  <w15:docId w15:val="{667EF012-AB47-40E6-A8D4-388EF59D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A6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6235"/>
    <w:pPr>
      <w:spacing w:after="120"/>
    </w:pPr>
  </w:style>
  <w:style w:type="character" w:styleId="Strong">
    <w:name w:val="Strong"/>
    <w:qFormat/>
    <w:rsid w:val="00416235"/>
    <w:rPr>
      <w:b/>
      <w:bCs/>
    </w:rPr>
  </w:style>
  <w:style w:type="paragraph" w:styleId="FootnoteText">
    <w:name w:val="footnote text"/>
    <w:basedOn w:val="Normal"/>
    <w:semiHidden/>
    <w:rsid w:val="00C95463"/>
    <w:rPr>
      <w:sz w:val="20"/>
      <w:szCs w:val="20"/>
    </w:rPr>
  </w:style>
  <w:style w:type="character" w:styleId="FootnoteReference">
    <w:name w:val="footnote reference"/>
    <w:semiHidden/>
    <w:rsid w:val="00C95463"/>
    <w:rPr>
      <w:vertAlign w:val="superscript"/>
    </w:rPr>
  </w:style>
  <w:style w:type="paragraph" w:styleId="Header">
    <w:name w:val="header"/>
    <w:basedOn w:val="Normal"/>
    <w:rsid w:val="00956FEC"/>
    <w:pPr>
      <w:tabs>
        <w:tab w:val="center" w:pos="4320"/>
        <w:tab w:val="right" w:pos="8640"/>
      </w:tabs>
    </w:pPr>
    <w:rPr>
      <w:rFonts w:ascii="Arial" w:hAnsi="Arial"/>
      <w:szCs w:val="20"/>
    </w:rPr>
  </w:style>
  <w:style w:type="character" w:styleId="CommentReference">
    <w:name w:val="annotation reference"/>
    <w:rsid w:val="00C40010"/>
    <w:rPr>
      <w:sz w:val="16"/>
      <w:szCs w:val="16"/>
    </w:rPr>
  </w:style>
  <w:style w:type="paragraph" w:styleId="CommentText">
    <w:name w:val="annotation text"/>
    <w:basedOn w:val="Normal"/>
    <w:semiHidden/>
    <w:rsid w:val="00C40010"/>
    <w:rPr>
      <w:sz w:val="20"/>
      <w:szCs w:val="20"/>
    </w:rPr>
  </w:style>
  <w:style w:type="paragraph" w:styleId="CommentSubject">
    <w:name w:val="annotation subject"/>
    <w:basedOn w:val="CommentText"/>
    <w:next w:val="CommentText"/>
    <w:semiHidden/>
    <w:rsid w:val="00C40010"/>
    <w:rPr>
      <w:b/>
      <w:bCs/>
    </w:rPr>
  </w:style>
  <w:style w:type="character" w:styleId="Emphasis">
    <w:name w:val="Emphasis"/>
    <w:basedOn w:val="DefaultParagraphFont"/>
    <w:uiPriority w:val="20"/>
    <w:qFormat/>
    <w:rsid w:val="00526EF8"/>
    <w:rPr>
      <w:i/>
      <w:iCs/>
    </w:rPr>
  </w:style>
  <w:style w:type="character" w:styleId="Hyperlink">
    <w:name w:val="Hyperlink"/>
    <w:rsid w:val="0011278E"/>
    <w:rPr>
      <w:color w:val="0000FF"/>
      <w:u w:val="single"/>
    </w:rPr>
  </w:style>
  <w:style w:type="character" w:styleId="UnresolvedMention">
    <w:name w:val="Unresolved Mention"/>
    <w:basedOn w:val="DefaultParagraphFont"/>
    <w:uiPriority w:val="99"/>
    <w:semiHidden/>
    <w:unhideWhenUsed/>
    <w:rsid w:val="0011278E"/>
    <w:rPr>
      <w:color w:val="605E5C"/>
      <w:shd w:val="clear" w:color="auto" w:fill="E1DFDD"/>
    </w:rPr>
  </w:style>
  <w:style w:type="paragraph" w:styleId="ListParagraph">
    <w:name w:val="List Paragraph"/>
    <w:basedOn w:val="Normal"/>
    <w:uiPriority w:val="34"/>
    <w:qFormat/>
    <w:rsid w:val="0011278E"/>
    <w:pPr>
      <w:ind w:left="720"/>
      <w:contextualSpacing/>
    </w:pPr>
  </w:style>
  <w:style w:type="paragraph" w:styleId="Revision">
    <w:name w:val="Revision"/>
    <w:hidden/>
    <w:uiPriority w:val="99"/>
    <w:semiHidden/>
    <w:rsid w:val="00E773D4"/>
    <w:rPr>
      <w:sz w:val="24"/>
      <w:szCs w:val="24"/>
      <w:lang w:bidi="ar-SA"/>
    </w:rPr>
  </w:style>
  <w:style w:type="paragraph" w:styleId="Footer">
    <w:name w:val="footer"/>
    <w:basedOn w:val="Normal"/>
    <w:link w:val="FooterChar"/>
    <w:semiHidden/>
    <w:unhideWhenUsed/>
    <w:rsid w:val="003B01FE"/>
    <w:pPr>
      <w:tabs>
        <w:tab w:val="center" w:pos="4680"/>
        <w:tab w:val="right" w:pos="9360"/>
      </w:tabs>
    </w:pPr>
  </w:style>
  <w:style w:type="character" w:customStyle="1" w:styleId="FooterChar">
    <w:name w:val="Footer Char"/>
    <w:basedOn w:val="DefaultParagraphFont"/>
    <w:link w:val="Footer"/>
    <w:semiHidden/>
    <w:rsid w:val="003B01FE"/>
    <w:rPr>
      <w:sz w:val="24"/>
      <w:szCs w:val="24"/>
      <w:lang w:bidi="ar-SA"/>
    </w:rPr>
  </w:style>
  <w:style w:type="paragraph" w:customStyle="1" w:styleId="table-headers">
    <w:name w:val="table-headers"/>
    <w:basedOn w:val="Normal"/>
    <w:rsid w:val="00CD0959"/>
    <w:pPr>
      <w:keepNext/>
      <w:spacing w:before="80" w:after="80"/>
      <w:jc w:val="center"/>
    </w:pPr>
    <w:rPr>
      <w:rFonts w:eastAsia="SimSun"/>
      <w:b/>
      <w:sz w:val="22"/>
      <w:szCs w:val="22"/>
      <w:lang w:eastAsia="zh-CN"/>
    </w:rPr>
  </w:style>
  <w:style w:type="paragraph" w:customStyle="1" w:styleId="table-text">
    <w:name w:val="table-text"/>
    <w:basedOn w:val="Normal"/>
    <w:rsid w:val="00CD0959"/>
    <w:pPr>
      <w:spacing w:before="80" w:after="80"/>
    </w:pPr>
    <w:rPr>
      <w:rFonts w:eastAsia="SimSun"/>
      <w:sz w:val="22"/>
      <w:szCs w:val="22"/>
      <w:lang w:eastAsia="zh-CN"/>
    </w:rPr>
  </w:style>
  <w:style w:type="character" w:styleId="FollowedHyperlink">
    <w:name w:val="FollowedHyperlink"/>
    <w:basedOn w:val="DefaultParagraphFont"/>
    <w:semiHidden/>
    <w:unhideWhenUsed/>
    <w:rsid w:val="00690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data/tables/2021/econ/susb/2021-susb-annual.html" TargetMode="External" /><Relationship Id="rId11" Type="http://schemas.openxmlformats.org/officeDocument/2006/relationships/hyperlink" Target="https://www.opm.gov/policy-data-oversight/pay-leave/salaries-wages/salary-tables/25Tables/html/DCB.aspx" TargetMode="External" /><Relationship Id="rId12" Type="http://schemas.openxmlformats.org/officeDocument/2006/relationships/hyperlink" Target="NUL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egulatory-information/search-fda-guidance-documents/establishing-tobacco-product-was-commercially-marketed-united-states-february-15-2007" TargetMode="External" /><Relationship Id="rId9" Type="http://schemas.openxmlformats.org/officeDocument/2006/relationships/hyperlink" Target="https://www.fda.gov/tobacco-products/manufacturing/request-industry-account-manager-iam-ctp-portal-next-gene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EF825-EC76-404B-979C-789985C2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C231E-C3E7-4E7B-9EA9-D5A95D2418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E0CD9-E4A3-4553-8E73-E94EAFB1DF98}">
  <ds:schemaRefs>
    <ds:schemaRef ds:uri="http://schemas.openxmlformats.org/officeDocument/2006/bibliography"/>
  </ds:schemaRefs>
</ds:datastoreItem>
</file>

<file path=customXml/itemProps4.xml><?xml version="1.0" encoding="utf-8"?>
<ds:datastoreItem xmlns:ds="http://schemas.openxmlformats.org/officeDocument/2006/customXml" ds:itemID="{E56088BA-66D4-40E6-BD9E-D0AD5BA0A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2121</Words>
  <Characters>12727</Characters>
  <Application>Microsoft Office Word</Application>
  <DocSecurity>0</DocSecurity>
  <Lines>106</Lines>
  <Paragraphs>29</Paragraphs>
  <ScaleCrop>false</ScaleCrop>
  <Company>US FDA</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Capezzuto, JonnaLynn</dc:creator>
  <cp:lastModifiedBy>Sanford, Amber</cp:lastModifiedBy>
  <cp:revision>2</cp:revision>
  <cp:lastPrinted>2013-03-05T19:00:00Z</cp:lastPrinted>
  <dcterms:created xsi:type="dcterms:W3CDTF">2025-09-29T19:42:00Z</dcterms:created>
  <dcterms:modified xsi:type="dcterms:W3CDTF">2025-09-29T19:42:00Z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_ExtendedDescription">
    <vt:lpwstr/>
  </property>
</Properties>
</file>