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DB" w:rsidP="005259DB" w:rsidRDefault="005259D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b/>
          <w:spacing w:val="-5"/>
          <w:kern w:val="20"/>
          <w:sz w:val="24"/>
          <w:szCs w:val="20"/>
        </w:rPr>
      </w:pPr>
      <w:bookmarkStart w:name="_GoBack" w:id="0"/>
      <w:bookmarkEnd w:id="0"/>
      <w:r>
        <w:rPr>
          <w:rFonts w:ascii="Century Schoolbook" w:hAnsi="Century Schoolbook" w:eastAsia="Times New Roman" w:cs="Times New Roman"/>
          <w:b/>
          <w:spacing w:val="-5"/>
          <w:kern w:val="20"/>
          <w:sz w:val="24"/>
          <w:szCs w:val="20"/>
        </w:rPr>
        <w:t>Collection Instruments</w:t>
      </w:r>
    </w:p>
    <w:p w:rsidR="005259DB" w:rsidP="005259DB" w:rsidRDefault="005259D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b/>
          <w:spacing w:val="-5"/>
          <w:kern w:val="20"/>
          <w:sz w:val="24"/>
          <w:szCs w:val="20"/>
        </w:rPr>
      </w:pPr>
      <w:r>
        <w:rPr>
          <w:rFonts w:ascii="Century Schoolbook" w:hAnsi="Century Schoolbook" w:eastAsia="Times New Roman" w:cs="Times New Roman"/>
          <w:b/>
          <w:spacing w:val="-5"/>
          <w:kern w:val="20"/>
          <w:sz w:val="24"/>
          <w:szCs w:val="20"/>
        </w:rPr>
        <w:t>OMB Control Number 0704-0216</w:t>
      </w:r>
    </w:p>
    <w:p w:rsidR="005259DB" w:rsidP="005259DB" w:rsidRDefault="005259D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005259DB" w:rsidP="00CB7620" w:rsidRDefault="005259D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53247B">
        <w:rPr>
          <w:rFonts w:ascii="Century Schoolbook" w:hAnsi="Century Schoolbook" w:eastAsia="Times New Roman" w:cs="Times New Roman"/>
          <w:b/>
          <w:spacing w:val="-5"/>
          <w:kern w:val="20"/>
          <w:sz w:val="24"/>
          <w:szCs w:val="20"/>
        </w:rPr>
        <w:t>252.228-</w:t>
      </w:r>
      <w:proofErr w:type="gramStart"/>
      <w:r w:rsidRPr="0053247B">
        <w:rPr>
          <w:rFonts w:ascii="Century Schoolbook" w:hAnsi="Century Schoolbook" w:eastAsia="Times New Roman" w:cs="Times New Roman"/>
          <w:b/>
          <w:spacing w:val="-5"/>
          <w:kern w:val="20"/>
          <w:sz w:val="24"/>
          <w:szCs w:val="20"/>
        </w:rPr>
        <w:t>7000  Reimbursement</w:t>
      </w:r>
      <w:proofErr w:type="gramEnd"/>
      <w:r w:rsidRPr="0053247B">
        <w:rPr>
          <w:rFonts w:ascii="Century Schoolbook" w:hAnsi="Century Schoolbook" w:eastAsia="Times New Roman" w:cs="Times New Roman"/>
          <w:b/>
          <w:spacing w:val="-5"/>
          <w:kern w:val="20"/>
          <w:sz w:val="24"/>
          <w:szCs w:val="20"/>
        </w:rPr>
        <w:t xml:space="preserve"> for War-Hazard Losses.</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 xml:space="preserve">As prescribed in </w:t>
      </w:r>
      <w:r w:rsidRPr="00CB7620">
        <w:rPr>
          <w:rFonts w:ascii="Century Schoolbook" w:hAnsi="Century Schoolbook" w:eastAsia="Times New Roman" w:cs="Times New Roman"/>
          <w:spacing w:val="-5"/>
          <w:kern w:val="20"/>
          <w:sz w:val="24"/>
          <w:szCs w:val="20"/>
        </w:rPr>
        <w:t>228.370</w:t>
      </w:r>
      <w:r w:rsidRPr="0053247B">
        <w:rPr>
          <w:rFonts w:ascii="Century Schoolbook" w:hAnsi="Century Schoolbook" w:eastAsia="Times New Roman" w:cs="Times New Roman"/>
          <w:spacing w:val="-5"/>
          <w:kern w:val="20"/>
          <w:sz w:val="24"/>
          <w:szCs w:val="20"/>
        </w:rPr>
        <w:t>(a), use the following clause:</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REIMBURSEMENT FOR WAR-HAZARD LOSSES (DEC 1991)</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(a)  Costs for providing employee war-hazard benefits in accordance with paragraph (b) of the Workers' Compensation and War-Hazard Insurance clause of this contract are allowable if the Contractor—</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(1)  Submits proof of loss files to support payment or denial of each claim;</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(2)  Subject to Contracting Officer approval, makes lump sum final settlement of any open claims and obtains necessary release documents within one year of the expiration or termination of this contract, unless otherwise extended by the Contracting Officer; and</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(3)  Provides the Contracting Officer at the time of final settlement of this contract—</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(i)  An investigation report and evaluation of any potential claim; and</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(ii)  An estimate of the dollar amount involved should the potential claim mature.</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(b)  The cost of insurance for liabilities reimbursable under this clause is not allowable.</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(c)  The Contracting Officer may require the Contractor to assign to the Government all right, title, and interest to any refund, rebate, or recapture arising out of any claim settlements.</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(d)  The Contractor agrees to—</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(1)  Investigate and promptly notify the Contracting Officer in writing of any occurrence which may give rise to a claim or potential claim, including the estimated amount of the claim;</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(2)  Give the Contracting Officer immediate written notice of any suit or action filed which may result in a payment under this clause; and</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(3)  Provide assistance to the Government in connection with any third party suit or claim relating to this clause which the Government elects to prosecute or defend in its own behalf.</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53247B" w:rsidP="00CB7620" w:rsidRDefault="0053247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(End of clause)</w:t>
      </w:r>
    </w:p>
    <w:p w:rsidR="005259DB" w:rsidP="00CB7620" w:rsidRDefault="005259D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p>
    <w:p w:rsidR="005259DB" w:rsidP="005259DB" w:rsidRDefault="005259D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Pr>
          <w:rFonts w:ascii="Century Schoolbook" w:hAnsi="Century Schoolbook" w:eastAsia="Times New Roman" w:cs="Times New Roman"/>
          <w:spacing w:val="-5"/>
          <w:kern w:val="20"/>
          <w:sz w:val="24"/>
          <w:szCs w:val="20"/>
        </w:rPr>
        <w:t>* * * * *</w:t>
      </w:r>
    </w:p>
    <w:p w:rsidRPr="0053247B" w:rsidR="005259DB" w:rsidP="005259DB" w:rsidRDefault="005259D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CB7620" w:rsidR="00CB7620" w:rsidP="00CB7620" w:rsidRDefault="00CB7620">
      <w:pPr>
        <w:rPr>
          <w:rFonts w:ascii="Century Schoolbook" w:hAnsi="Century Schoolbook"/>
          <w:b/>
          <w:bCs/>
          <w:sz w:val="24"/>
          <w:szCs w:val="24"/>
        </w:rPr>
      </w:pPr>
      <w:r w:rsidRPr="00CB7620">
        <w:rPr>
          <w:rFonts w:ascii="Century Schoolbook" w:hAnsi="Century Schoolbook"/>
          <w:b/>
          <w:bCs/>
          <w:sz w:val="24"/>
          <w:szCs w:val="24"/>
        </w:rPr>
        <w:t>252.228-</w:t>
      </w:r>
      <w:proofErr w:type="gramStart"/>
      <w:r w:rsidRPr="00CB7620">
        <w:rPr>
          <w:rFonts w:ascii="Century Schoolbook" w:hAnsi="Century Schoolbook"/>
          <w:b/>
          <w:bCs/>
          <w:sz w:val="24"/>
          <w:szCs w:val="24"/>
        </w:rPr>
        <w:t xml:space="preserve">7005 </w:t>
      </w:r>
      <w:r w:rsidR="005259DB">
        <w:rPr>
          <w:rFonts w:ascii="Century Schoolbook" w:hAnsi="Century Schoolbook"/>
          <w:b/>
          <w:bCs/>
          <w:sz w:val="24"/>
          <w:szCs w:val="24"/>
        </w:rPr>
        <w:t xml:space="preserve"> </w:t>
      </w:r>
      <w:r w:rsidRPr="00CB7620">
        <w:rPr>
          <w:rFonts w:ascii="Century Schoolbook" w:hAnsi="Century Schoolbook"/>
          <w:b/>
          <w:bCs/>
          <w:sz w:val="24"/>
          <w:szCs w:val="24"/>
        </w:rPr>
        <w:t>Mishap</w:t>
      </w:r>
      <w:proofErr w:type="gramEnd"/>
      <w:r w:rsidRPr="00CB7620">
        <w:rPr>
          <w:rFonts w:ascii="Century Schoolbook" w:hAnsi="Century Schoolbook"/>
          <w:b/>
          <w:bCs/>
          <w:sz w:val="24"/>
          <w:szCs w:val="24"/>
        </w:rPr>
        <w:t xml:space="preserve"> reporting and investigation involving aircraft, missiles, and space launch vehicles.</w:t>
      </w:r>
    </w:p>
    <w:p w:rsidRPr="00CB7620" w:rsidR="00CB7620" w:rsidP="00CB7620" w:rsidRDefault="00CB7620">
      <w:pPr>
        <w:rPr>
          <w:rFonts w:ascii="Century Schoolbook" w:hAnsi="Century Schoolbook"/>
          <w:sz w:val="24"/>
          <w:szCs w:val="24"/>
        </w:rPr>
      </w:pPr>
      <w:r w:rsidRPr="00CB7620">
        <w:rPr>
          <w:rFonts w:ascii="Century Schoolbook" w:hAnsi="Century Schoolbook"/>
          <w:sz w:val="24"/>
          <w:szCs w:val="24"/>
        </w:rPr>
        <w:t>As prescribed in 228.370(d), use the following clause:</w:t>
      </w:r>
    </w:p>
    <w:p w:rsidRPr="0053247B" w:rsidR="0053247B" w:rsidP="00CB7620" w:rsidRDefault="0053247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MISHAP REPORTING AND INVESTIGATION INVOLVING AIRCRAFT, MISSILES, AND SPACE LAUNCH VEHICLES (NOV 2019)</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(a)  The Contractor shall report promptly to the Administrative Contracting Officer all pertinent facts relating to each mishap involving an aircraft, missile, or space launch vehicle being manufactured, modified, repaired, or overhauled in connection with this contract.</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(b)  If the Government conducts an investigation of the mishap, the Contractor shall cooperate and assist the Government's personnel until the investigation is complete.</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(c)  The Contractor shall include a clause in subcontracts under this contract to require subcontractor cooperation and assistance in mishap investigations.</w:t>
      </w:r>
    </w:p>
    <w:p w:rsidRPr="0053247B" w:rsidR="0053247B" w:rsidP="00CB7620" w:rsidRDefault="0053247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0053247B" w:rsidP="00CB7620" w:rsidRDefault="0053247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(End of clause)</w:t>
      </w:r>
    </w:p>
    <w:p w:rsidRPr="0053247B" w:rsidR="00CB7620" w:rsidP="00CB7620" w:rsidRDefault="00CB7620">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caps/>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caps/>
          <w:spacing w:val="-5"/>
          <w:kern w:val="20"/>
          <w:sz w:val="24"/>
          <w:szCs w:val="20"/>
        </w:rPr>
      </w:pPr>
    </w:p>
    <w:p w:rsidRPr="0053247B" w:rsidR="0053247B" w:rsidP="00CB7620" w:rsidRDefault="0053247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r w:rsidRPr="0053247B">
        <w:rPr>
          <w:rFonts w:ascii="Century Schoolbook" w:hAnsi="Century Schoolbook" w:eastAsia="Times New Roman" w:cs="Times New Roman"/>
          <w:b/>
          <w:spacing w:val="-5"/>
          <w:kern w:val="20"/>
          <w:sz w:val="24"/>
          <w:szCs w:val="20"/>
        </w:rPr>
        <w:t>252.228-</w:t>
      </w:r>
      <w:proofErr w:type="gramStart"/>
      <w:r w:rsidRPr="0053247B">
        <w:rPr>
          <w:rFonts w:ascii="Century Schoolbook" w:hAnsi="Century Schoolbook" w:eastAsia="Times New Roman" w:cs="Times New Roman"/>
          <w:b/>
          <w:spacing w:val="-5"/>
          <w:kern w:val="20"/>
          <w:sz w:val="24"/>
          <w:szCs w:val="20"/>
        </w:rPr>
        <w:t>7006  Compliance</w:t>
      </w:r>
      <w:proofErr w:type="gramEnd"/>
      <w:r w:rsidRPr="0053247B">
        <w:rPr>
          <w:rFonts w:ascii="Century Schoolbook" w:hAnsi="Century Schoolbook" w:eastAsia="Times New Roman" w:cs="Times New Roman"/>
          <w:b/>
          <w:spacing w:val="-5"/>
          <w:kern w:val="20"/>
          <w:sz w:val="24"/>
          <w:szCs w:val="20"/>
        </w:rPr>
        <w:t xml:space="preserve"> with Spanish Laws and Insurance.</w:t>
      </w:r>
    </w:p>
    <w:p w:rsidRPr="0053247B" w:rsidR="0053247B" w:rsidP="00CB7620" w:rsidRDefault="0053247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 xml:space="preserve">As prescribed in </w:t>
      </w:r>
      <w:r w:rsidRPr="00CB7620">
        <w:rPr>
          <w:rFonts w:ascii="Century Schoolbook" w:hAnsi="Century Schoolbook" w:eastAsia="Times New Roman" w:cs="Times New Roman"/>
          <w:spacing w:val="-5"/>
          <w:kern w:val="20"/>
          <w:sz w:val="24"/>
          <w:szCs w:val="20"/>
        </w:rPr>
        <w:t>228.370</w:t>
      </w:r>
      <w:r w:rsidRPr="0053247B">
        <w:rPr>
          <w:rFonts w:ascii="Century Schoolbook" w:hAnsi="Century Schoolbook" w:eastAsia="Times New Roman" w:cs="Times New Roman"/>
          <w:spacing w:val="-5"/>
          <w:kern w:val="20"/>
          <w:sz w:val="24"/>
          <w:szCs w:val="20"/>
        </w:rPr>
        <w:t>(e), use the following clause:</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COMPLIANCE WITH SPANISH LAWS AND INSURANCE (DEC 1998)</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(a)  The requirements of this clause apply only if the Contractor is not a Spanish concern.</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tbl>
      <w:tblPr>
        <w:tblW w:w="0" w:type="auto"/>
        <w:tblInd w:w="9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097"/>
        <w:gridCol w:w="1706"/>
        <w:gridCol w:w="1743"/>
        <w:gridCol w:w="1465"/>
      </w:tblGrid>
      <w:tr w:rsidRPr="0053247B" w:rsidR="0053247B" w:rsidTr="006771A1">
        <w:trPr>
          <w:cantSplit/>
        </w:trPr>
        <w:tc>
          <w:tcPr>
            <w:tcW w:w="3097"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Type of Insurance</w:t>
            </w:r>
          </w:p>
        </w:tc>
        <w:tc>
          <w:tcPr>
            <w:tcW w:w="1706"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Coverage per Person</w:t>
            </w:r>
          </w:p>
        </w:tc>
        <w:tc>
          <w:tcPr>
            <w:tcW w:w="1743"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Coverage per Accident</w:t>
            </w:r>
          </w:p>
        </w:tc>
        <w:tc>
          <w:tcPr>
            <w:tcW w:w="1465"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Property Damage</w:t>
            </w:r>
          </w:p>
        </w:tc>
      </w:tr>
      <w:tr w:rsidRPr="0053247B" w:rsidR="0053247B" w:rsidTr="006771A1">
        <w:trPr>
          <w:cantSplit/>
        </w:trPr>
        <w:tc>
          <w:tcPr>
            <w:tcW w:w="3097"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12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Comprehensive General Liability</w:t>
            </w:r>
          </w:p>
        </w:tc>
        <w:tc>
          <w:tcPr>
            <w:tcW w:w="1706"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12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$300,000</w:t>
            </w:r>
          </w:p>
        </w:tc>
        <w:tc>
          <w:tcPr>
            <w:tcW w:w="1743"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12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$1,000,000</w:t>
            </w:r>
          </w:p>
        </w:tc>
        <w:tc>
          <w:tcPr>
            <w:tcW w:w="1465" w:type="dxa"/>
          </w:tcPr>
          <w:p w:rsidRPr="0053247B" w:rsidR="0053247B" w:rsidP="00CB7620" w:rsidRDefault="0053247B">
            <w:pPr>
              <w:keepNext/>
              <w:keepLines/>
              <w:tabs>
                <w:tab w:val="left" w:pos="360"/>
                <w:tab w:val="left" w:pos="810"/>
                <w:tab w:val="left" w:pos="1210"/>
                <w:tab w:val="left" w:pos="1656"/>
                <w:tab w:val="left" w:pos="2131"/>
                <w:tab w:val="left" w:pos="2520"/>
              </w:tabs>
              <w:spacing w:before="120" w:after="12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$100,000</w:t>
            </w:r>
          </w:p>
        </w:tc>
      </w:tr>
    </w:tbl>
    <w:p w:rsidRPr="0053247B" w:rsidR="0053247B" w:rsidP="00CB7620" w:rsidRDefault="0053247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(e)  The Contractor shall provide the Contracting Officer with a similar representation for all subcontracts with non-Spanish concerns that will perform work in Spain under this contract.</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t>(f)  Insurance policies required herein shall be purchased from Spanish insurance companies or other insurance companies legally authorized to conduct business in Spain.  Such policies shall conform to Spanish laws and regulations and shall</w:t>
      </w:r>
      <w:r w:rsidRPr="0053247B">
        <w:rPr>
          <w:rFonts w:ascii="Century Schoolbook" w:hAnsi="Century Schoolbook" w:eastAsia="Times New Roman" w:cs="Times New Roman"/>
          <w:spacing w:val="-5"/>
          <w:kern w:val="20"/>
          <w:sz w:val="24"/>
          <w:szCs w:val="20"/>
        </w:rPr>
        <w:sym w:font="Symbol" w:char="F0BE"/>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(1)  Contain provisions requiring submission to Spanish law and jurisdiction of any problem that may arise with regard to the interpretation or application of the clauses and conditions of the insurance policy;</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 xml:space="preserve">(2)  Contain a provision authorizing the insurance company, as </w:t>
      </w:r>
      <w:proofErr w:type="spellStart"/>
      <w:r w:rsidRPr="0053247B">
        <w:rPr>
          <w:rFonts w:ascii="Century Schoolbook" w:hAnsi="Century Schoolbook" w:eastAsia="Times New Roman" w:cs="Times New Roman"/>
          <w:spacing w:val="-5"/>
          <w:kern w:val="20"/>
          <w:sz w:val="24"/>
          <w:szCs w:val="20"/>
        </w:rPr>
        <w:t>subrogee</w:t>
      </w:r>
      <w:proofErr w:type="spellEnd"/>
      <w:r w:rsidRPr="0053247B">
        <w:rPr>
          <w:rFonts w:ascii="Century Schoolbook" w:hAnsi="Century Schoolbook" w:eastAsia="Times New Roman" w:cs="Times New Roman"/>
          <w:spacing w:val="-5"/>
          <w:kern w:val="20"/>
          <w:sz w:val="24"/>
          <w:szCs w:val="20"/>
        </w:rPr>
        <w:t xml:space="preserve"> of the insured entity, to assume and attend to directly, with respect to any person damaged, the legal consequences arising from the occurrence of such damages;</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(3)  Contain a provision worded as follows</w:t>
      </w:r>
      <w:proofErr w:type="gramStart"/>
      <w:r w:rsidRPr="0053247B">
        <w:rPr>
          <w:rFonts w:ascii="Century Schoolbook" w:hAnsi="Century Schoolbook" w:eastAsia="Times New Roman" w:cs="Times New Roman"/>
          <w:spacing w:val="-5"/>
          <w:kern w:val="20"/>
          <w:sz w:val="24"/>
          <w:szCs w:val="20"/>
        </w:rPr>
        <w:t>:  “</w:t>
      </w:r>
      <w:proofErr w:type="gramEnd"/>
      <w:r w:rsidRPr="0053247B">
        <w:rPr>
          <w:rFonts w:ascii="Century Schoolbook" w:hAnsi="Century Schoolbook" w:eastAsia="Times New Roman" w:cs="Times New Roman"/>
          <w:spacing w:val="-5"/>
          <w:kern w:val="20"/>
          <w:sz w:val="24"/>
          <w:szCs w:val="20"/>
        </w:rPr>
        <w:t>The insurance company waives any right of subrogation against the United States of America that may arise by reason of any payment under this policy.”;</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(4)  Not contain any deductible amount or similar limitation; and</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ab/>
      </w:r>
      <w:r w:rsidRPr="0053247B">
        <w:rPr>
          <w:rFonts w:ascii="Century Schoolbook" w:hAnsi="Century Schoolbook" w:eastAsia="Times New Roman" w:cs="Times New Roman"/>
          <w:spacing w:val="-5"/>
          <w:kern w:val="20"/>
          <w:sz w:val="24"/>
          <w:szCs w:val="20"/>
        </w:rPr>
        <w:tab/>
        <w:t>(5)  Not contain any provisions requiring submission to any type of arbitration.</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53247B" w:rsidR="0053247B" w:rsidP="00CB7620" w:rsidRDefault="0053247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53247B">
        <w:rPr>
          <w:rFonts w:ascii="Century Schoolbook" w:hAnsi="Century Schoolbook" w:eastAsia="Times New Roman" w:cs="Times New Roman"/>
          <w:spacing w:val="-5"/>
          <w:kern w:val="20"/>
          <w:sz w:val="24"/>
          <w:szCs w:val="20"/>
        </w:rPr>
        <w:t>(End of clause)</w:t>
      </w:r>
    </w:p>
    <w:p w:rsidRPr="0053247B" w:rsidR="0053247B" w:rsidP="00CB7620" w:rsidRDefault="0053247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sectPr w:rsidRPr="0053247B" w:rsidR="00532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7B"/>
    <w:rsid w:val="002C5F8F"/>
    <w:rsid w:val="005259DB"/>
    <w:rsid w:val="0053247B"/>
    <w:rsid w:val="00CB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D2ED"/>
  <w15:chartTrackingRefBased/>
  <w15:docId w15:val="{270B0873-6436-42B0-922F-6A425223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47B"/>
    <w:pPr>
      <w:ind w:left="720"/>
      <w:contextualSpacing/>
    </w:pPr>
  </w:style>
  <w:style w:type="character" w:styleId="Hyperlink">
    <w:name w:val="Hyperlink"/>
    <w:basedOn w:val="DefaultParagraphFont"/>
    <w:uiPriority w:val="99"/>
    <w:unhideWhenUsed/>
    <w:rsid w:val="00CB7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David E CIV OSD OUSDAS</dc:creator>
  <cp:keywords/>
  <dc:description/>
  <cp:lastModifiedBy>Johnson, Jennifer D CIV OSD OUSD A-S (USA)</cp:lastModifiedBy>
  <cp:revision>3</cp:revision>
  <dcterms:created xsi:type="dcterms:W3CDTF">2022-08-25T14:28:00Z</dcterms:created>
  <dcterms:modified xsi:type="dcterms:W3CDTF">2022-08-30T15:14:00Z</dcterms:modified>
</cp:coreProperties>
</file>