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7516" w:rsidRPr="002B6562" w:rsidP="00AC5BD4" w14:paraId="786522F4" w14:textId="30AF660D">
      <w:pPr>
        <w:pStyle w:val="NormalWeb"/>
        <w:tabs>
          <w:tab w:val="left" w:pos="360"/>
          <w:tab w:val="left" w:pos="720"/>
          <w:tab w:val="left" w:pos="1080"/>
          <w:tab w:val="left" w:pos="1440"/>
        </w:tabs>
        <w:spacing w:line="288" w:lineRule="atLeast"/>
        <w:jc w:val="center"/>
        <w:rPr>
          <w:u w:val="single"/>
        </w:rPr>
      </w:pPr>
      <w:bookmarkStart w:id="0" w:name="cs31d"/>
      <w:r w:rsidRPr="002B6562">
        <w:rPr>
          <w:u w:val="single"/>
        </w:rPr>
        <w:t>SUPPORTING STATEMENT</w:t>
      </w:r>
      <w:r w:rsidRPr="002B6562" w:rsidR="001B17E1">
        <w:rPr>
          <w:u w:val="single"/>
        </w:rPr>
        <w:t xml:space="preserve"> – PART A</w:t>
      </w:r>
    </w:p>
    <w:p w:rsidR="004D1301" w:rsidRPr="002B6562" w:rsidP="004D1301" w14:paraId="5AFADD35" w14:textId="77777777">
      <w:pPr>
        <w:pStyle w:val="NormalWeb"/>
        <w:tabs>
          <w:tab w:val="left" w:pos="360"/>
          <w:tab w:val="left" w:pos="720"/>
          <w:tab w:val="left" w:pos="1080"/>
          <w:tab w:val="left" w:pos="1440"/>
        </w:tabs>
        <w:spacing w:before="0" w:beforeAutospacing="0" w:after="0" w:afterAutospacing="0"/>
        <w:jc w:val="center"/>
        <w:rPr>
          <w:u w:val="single"/>
        </w:rPr>
      </w:pPr>
      <w:r w:rsidRPr="002B6562">
        <w:rPr>
          <w:u w:val="single"/>
        </w:rPr>
        <w:t>OMB Control Number 0704-0478: Safeguarding Covered Defense Information,</w:t>
      </w:r>
    </w:p>
    <w:p w:rsidR="004D1301" w:rsidRPr="002B6562" w:rsidP="004D1301" w14:paraId="650520AE" w14:textId="252F51F9">
      <w:pPr>
        <w:pStyle w:val="NormalWeb"/>
        <w:tabs>
          <w:tab w:val="left" w:pos="360"/>
          <w:tab w:val="left" w:pos="720"/>
          <w:tab w:val="left" w:pos="1080"/>
          <w:tab w:val="left" w:pos="1440"/>
        </w:tabs>
        <w:spacing w:before="0" w:beforeAutospacing="0"/>
        <w:jc w:val="center"/>
        <w:rPr>
          <w:u w:val="single"/>
        </w:rPr>
      </w:pPr>
      <w:r w:rsidRPr="002B6562">
        <w:rPr>
          <w:u w:val="single"/>
        </w:rPr>
        <w:t>Cyber Incident Reporting, and Cloud Computing</w:t>
      </w:r>
    </w:p>
    <w:p w:rsidR="00313310" w:rsidRPr="002B6562" w:rsidP="00313310" w14:paraId="4C9A5720" w14:textId="1063AC45">
      <w:r w:rsidRPr="002B6562">
        <w:t>Summary of Changes from Previously Approved Collection</w:t>
      </w:r>
    </w:p>
    <w:p w:rsidR="00C301BF" w:rsidRPr="002B6562" w:rsidP="00313310" w14:paraId="142F7C17" w14:textId="77777777"/>
    <w:p w:rsidR="00856025" w:rsidRPr="002B6562" w:rsidP="57AD6B6D" w14:paraId="0184D151" w14:textId="6EF880EF">
      <w:pPr>
        <w:pStyle w:val="NormalWeb"/>
        <w:numPr>
          <w:ilvl w:val="0"/>
          <w:numId w:val="2"/>
        </w:numPr>
        <w:tabs>
          <w:tab w:val="left" w:pos="360"/>
          <w:tab w:val="left" w:pos="720"/>
          <w:tab w:val="left" w:pos="1080"/>
          <w:tab w:val="left" w:pos="1440"/>
        </w:tabs>
        <w:spacing w:before="0" w:beforeAutospacing="0" w:after="0" w:afterAutospacing="0"/>
        <w:ind w:left="720"/>
      </w:pPr>
      <w:r>
        <w:t>D</w:t>
      </w:r>
      <w:r w:rsidR="00652040">
        <w:t xml:space="preserve">ecrease </w:t>
      </w:r>
      <w:r>
        <w:t xml:space="preserve">in the number of estimated respondents </w:t>
      </w:r>
      <w:r>
        <w:t>due to use of current data.</w:t>
      </w:r>
    </w:p>
    <w:p w:rsidR="00856025" w:rsidRPr="002B6562" w:rsidP="0077054D" w14:paraId="13AF55F3" w14:textId="7B2E9742">
      <w:pPr>
        <w:pStyle w:val="NormalWeb"/>
        <w:tabs>
          <w:tab w:val="left" w:pos="360"/>
          <w:tab w:val="left" w:pos="720"/>
          <w:tab w:val="left" w:pos="1080"/>
          <w:tab w:val="left" w:pos="1440"/>
        </w:tabs>
        <w:spacing w:before="0" w:beforeAutospacing="0" w:after="0" w:afterAutospacing="0"/>
        <w:rPr>
          <w:u w:val="single"/>
        </w:rPr>
      </w:pPr>
    </w:p>
    <w:p w:rsidR="005E0A0F" w:rsidRPr="002B6562" w:rsidP="00AC5BD4" w14:paraId="3AC4895A" w14:textId="594AF180">
      <w:pPr>
        <w:pStyle w:val="NormalWeb"/>
        <w:tabs>
          <w:tab w:val="left" w:pos="360"/>
          <w:tab w:val="left" w:pos="720"/>
          <w:tab w:val="left" w:pos="1080"/>
          <w:tab w:val="left" w:pos="1440"/>
        </w:tabs>
        <w:spacing w:line="288" w:lineRule="atLeast"/>
      </w:pPr>
      <w:bookmarkStart w:id="1" w:name="cp432"/>
      <w:bookmarkEnd w:id="0"/>
      <w:r w:rsidRPr="002B6562">
        <w:t xml:space="preserve">1. </w:t>
      </w:r>
      <w:r w:rsidRPr="002B6562">
        <w:t xml:space="preserve"> </w:t>
      </w:r>
      <w:r w:rsidRPr="002B6562">
        <w:rPr>
          <w:u w:val="single"/>
        </w:rPr>
        <w:t>Need for the Information Collection</w:t>
      </w:r>
    </w:p>
    <w:bookmarkEnd w:id="1"/>
    <w:p w:rsidR="004D1301" w:rsidRPr="002B6562" w:rsidP="004D1301" w14:paraId="20D60223" w14:textId="2ACD7B96">
      <w:pPr>
        <w:pStyle w:val="NormalWeb"/>
        <w:tabs>
          <w:tab w:val="left" w:pos="360"/>
          <w:tab w:val="left" w:pos="720"/>
          <w:tab w:val="left" w:pos="1080"/>
          <w:tab w:val="left" w:pos="1440"/>
        </w:tabs>
        <w:spacing w:line="288" w:lineRule="atLeast"/>
      </w:pPr>
      <w:r w:rsidRPr="002B6562">
        <w:tab/>
      </w:r>
      <w:r w:rsidRPr="002B6562">
        <w:t xml:space="preserve">DoD </w:t>
      </w:r>
      <w:r w:rsidRPr="002B6562" w:rsidR="00B572DD">
        <w:t>revised</w:t>
      </w:r>
      <w:r w:rsidRPr="002B6562">
        <w:t xml:space="preserve"> the DFARS to implement mandatory cyber incident reporting on unclassified networks or information systems by DoD contractors or those contractors designated as providing operationally critical support.  DoD </w:t>
      </w:r>
      <w:r w:rsidRPr="002B6562">
        <w:t>is required</w:t>
      </w:r>
      <w:r w:rsidRPr="002B6562">
        <w:t xml:space="preserve"> by statute to establish programs and activities to protect DoD information and DoD information systems, including information and information systems operated and maintained by contractors or others in support of DoD activities.  Under the following mandatory statutory reporting requirements, DoD contractors </w:t>
      </w:r>
      <w:r w:rsidRPr="002B6562">
        <w:t>are required</w:t>
      </w:r>
      <w:r w:rsidRPr="002B6562">
        <w:t xml:space="preserve"> to report cyber incidents to DoD:</w:t>
      </w:r>
    </w:p>
    <w:p w:rsidR="004D1301" w:rsidRPr="002B6562" w:rsidP="004D1301" w14:paraId="4D1CB448" w14:textId="02778D9F">
      <w:pPr>
        <w:pStyle w:val="NormalWeb"/>
        <w:tabs>
          <w:tab w:val="left" w:pos="360"/>
          <w:tab w:val="left" w:pos="720"/>
          <w:tab w:val="left" w:pos="1080"/>
          <w:tab w:val="left" w:pos="1440"/>
        </w:tabs>
        <w:spacing w:line="288" w:lineRule="atLeast"/>
      </w:pPr>
      <w:r w:rsidRPr="002B6562">
        <w:tab/>
        <w:t xml:space="preserve">a.  </w:t>
      </w:r>
      <w:r w:rsidRPr="002B6562">
        <w:rPr>
          <w:i/>
        </w:rPr>
        <w:t>Section 941 of the National Defense Authorization Act (NDAA) for Fiscal Year (FY) 13, Reports to Department of Defense on Penetrations of Networks and Information Systems of Certain Contractors</w:t>
      </w:r>
      <w:r w:rsidRPr="002B6562" w:rsidR="00320550">
        <w:t xml:space="preserve">. </w:t>
      </w:r>
      <w:r w:rsidRPr="002B6562" w:rsidR="00320550">
        <w:t>R</w:t>
      </w:r>
      <w:r w:rsidRPr="002B6562">
        <w:t>equires all cleared defense contractors to report cyber incidents to DoD to include a description of the technique used, a summary of information potentially compromised and a sample of malicious software, if discovered a</w:t>
      </w:r>
      <w:r w:rsidRPr="002B6562" w:rsidR="009568EE">
        <w:t>nd isolated by the contractor.</w:t>
      </w:r>
    </w:p>
    <w:p w:rsidR="006C3C14" w:rsidRPr="002B6562" w:rsidP="004D1301" w14:paraId="4441661B" w14:textId="16199342">
      <w:pPr>
        <w:pStyle w:val="NormalWeb"/>
        <w:tabs>
          <w:tab w:val="left" w:pos="360"/>
          <w:tab w:val="left" w:pos="720"/>
          <w:tab w:val="left" w:pos="1080"/>
          <w:tab w:val="left" w:pos="1440"/>
        </w:tabs>
        <w:spacing w:line="288" w:lineRule="atLeast"/>
      </w:pPr>
      <w:r w:rsidRPr="002B6562">
        <w:tab/>
        <w:t xml:space="preserve">b.  </w:t>
      </w:r>
      <w:r w:rsidRPr="002B6562">
        <w:rPr>
          <w:i/>
        </w:rPr>
        <w:t>Section 1632 of the NDAA for FY15, Reporting on Cyber Incidents with Respect to Networks and Information Systems of Operationally Critical Contractors</w:t>
      </w:r>
      <w:r w:rsidRPr="002B6562" w:rsidR="00320550">
        <w:t xml:space="preserve">. </w:t>
      </w:r>
      <w:r w:rsidRPr="002B6562" w:rsidR="00320550">
        <w:t>R</w:t>
      </w:r>
      <w:r w:rsidRPr="002B6562">
        <w:t>equires contractors designated as operationally critical contractors by DoD to report cyber incidents to include an assessment of the effect of the cyber incident on the ability of the contractor to meet the DoD contractual requirements, the technique used, a summary of information compromised, and a sample of malicious software, if discovered and isolated by the contractor.</w:t>
      </w:r>
    </w:p>
    <w:p w:rsidR="005E0A0F" w:rsidRPr="002B6562" w:rsidP="00AC5BD4" w14:paraId="7FBB9889" w14:textId="29E1FFE7">
      <w:pPr>
        <w:pStyle w:val="NormalWeb"/>
        <w:tabs>
          <w:tab w:val="left" w:pos="360"/>
          <w:tab w:val="left" w:pos="720"/>
          <w:tab w:val="left" w:pos="1080"/>
          <w:tab w:val="left" w:pos="1440"/>
        </w:tabs>
        <w:spacing w:line="288" w:lineRule="atLeast"/>
      </w:pPr>
      <w:r w:rsidRPr="002B6562">
        <w:t>2.</w:t>
      </w:r>
      <w:r w:rsidRPr="002B6562" w:rsidR="00AC5BD4">
        <w:tab/>
      </w:r>
      <w:r w:rsidRPr="002B6562">
        <w:rPr>
          <w:u w:val="single"/>
        </w:rPr>
        <w:t>Use of the Information</w:t>
      </w:r>
    </w:p>
    <w:p w:rsidR="00A8593E" w:rsidRPr="002B6562" w:rsidP="00C652E7" w14:paraId="021E095F" w14:textId="77777777">
      <w:pPr>
        <w:pStyle w:val="NormalWeb"/>
        <w:tabs>
          <w:tab w:val="left" w:pos="360"/>
          <w:tab w:val="left" w:pos="720"/>
          <w:tab w:val="left" w:pos="1080"/>
          <w:tab w:val="left" w:pos="1440"/>
        </w:tabs>
        <w:spacing w:line="288" w:lineRule="atLeast"/>
      </w:pPr>
      <w:r w:rsidRPr="002B6562">
        <w:tab/>
      </w:r>
      <w:r w:rsidRPr="002B6562" w:rsidR="00B572DD">
        <w:t xml:space="preserve">Offerors and contractors must </w:t>
      </w:r>
      <w:r w:rsidRPr="002B6562" w:rsidR="004D1301">
        <w:t>report</w:t>
      </w:r>
      <w:r w:rsidRPr="002B6562" w:rsidR="00B572DD">
        <w:t xml:space="preserve"> </w:t>
      </w:r>
      <w:r w:rsidRPr="002B6562" w:rsidR="004D1301">
        <w:t>cyber incidents on unclassified networks or information systems, within cloud computing services, and when they affect contractors designated as providing operationally critical support</w:t>
      </w:r>
      <w:r w:rsidRPr="002B6562" w:rsidR="0045410F">
        <w:t>,</w:t>
      </w:r>
      <w:r w:rsidRPr="002B6562" w:rsidR="004D1301">
        <w:t xml:space="preserve"> as required by statute.</w:t>
      </w:r>
    </w:p>
    <w:p w:rsidR="00E93065" w:rsidRPr="002B6562" w:rsidP="00C652E7" w14:paraId="207F758E" w14:textId="371BC582">
      <w:pPr>
        <w:pStyle w:val="NormalWeb"/>
        <w:tabs>
          <w:tab w:val="left" w:pos="360"/>
          <w:tab w:val="left" w:pos="720"/>
          <w:tab w:val="left" w:pos="1080"/>
          <w:tab w:val="left" w:pos="1440"/>
        </w:tabs>
        <w:spacing w:line="288" w:lineRule="atLeast"/>
      </w:pPr>
      <w:r w:rsidRPr="002B6562">
        <w:tab/>
        <w:t xml:space="preserve">a.  </w:t>
      </w:r>
      <w:r w:rsidRPr="002B6562" w:rsidR="008B40C1">
        <w:t xml:space="preserve">The </w:t>
      </w:r>
      <w:r w:rsidRPr="002B6562" w:rsidR="00D52A04">
        <w:t>clause</w:t>
      </w:r>
      <w:r w:rsidRPr="002B6562" w:rsidR="0045410F">
        <w:t xml:space="preserve"> </w:t>
      </w:r>
      <w:r w:rsidRPr="002B6562" w:rsidR="008B40C1">
        <w:t xml:space="preserve">at DFARS </w:t>
      </w:r>
      <w:r w:rsidRPr="002B6562" w:rsidR="004D1301">
        <w:t>252.204-7012</w:t>
      </w:r>
      <w:r w:rsidRPr="002B6562" w:rsidR="00B572DD">
        <w:t xml:space="preserve">, </w:t>
      </w:r>
      <w:r w:rsidRPr="002B6562" w:rsidR="004D0208">
        <w:t>Safeguarding Covered Defense Information and Cyber Incident Reporting</w:t>
      </w:r>
      <w:r w:rsidRPr="002B6562" w:rsidR="00B572DD">
        <w:t>,</w:t>
      </w:r>
      <w:r w:rsidRPr="002B6562" w:rsidR="004D0208">
        <w:t xml:space="preserve"> cover</w:t>
      </w:r>
      <w:r w:rsidRPr="002B6562" w:rsidR="00B572DD">
        <w:t>s</w:t>
      </w:r>
      <w:r w:rsidRPr="002B6562" w:rsidR="004D0208">
        <w:t xml:space="preserve"> </w:t>
      </w:r>
      <w:r w:rsidRPr="002B6562" w:rsidR="00FB58C9">
        <w:t xml:space="preserve">cyber incident reporting requirements for incidents that affect a covered contractor information system or the </w:t>
      </w:r>
      <w:r w:rsidRPr="002B6562" w:rsidR="004D0208">
        <w:t xml:space="preserve">covered defense information </w:t>
      </w:r>
      <w:r w:rsidRPr="002B6562" w:rsidR="00FB58C9">
        <w:t>residing therein, or that affects the contractor</w:t>
      </w:r>
      <w:r w:rsidRPr="002B6562" w:rsidR="008B40C1">
        <w:t>’</w:t>
      </w:r>
      <w:r w:rsidRPr="002B6562" w:rsidR="00FB58C9">
        <w:t xml:space="preserve">s ability to perform the requirements of the contract that </w:t>
      </w:r>
      <w:r w:rsidRPr="002B6562" w:rsidR="00FB58C9">
        <w:t>are designated</w:t>
      </w:r>
      <w:r w:rsidRPr="002B6562" w:rsidR="00FB58C9">
        <w:t xml:space="preserve"> as operationally critical support and identified in the contract</w:t>
      </w:r>
      <w:r w:rsidRPr="002B6562" w:rsidR="004D0208">
        <w:t>.</w:t>
      </w:r>
    </w:p>
    <w:p w:rsidR="004D1301" w:rsidRPr="002B6562" w:rsidP="00C652E7" w14:paraId="54CD9443" w14:textId="3F74EADD">
      <w:pPr>
        <w:pStyle w:val="NormalWeb"/>
        <w:tabs>
          <w:tab w:val="left" w:pos="360"/>
          <w:tab w:val="left" w:pos="720"/>
          <w:tab w:val="left" w:pos="1080"/>
          <w:tab w:val="left" w:pos="1440"/>
        </w:tabs>
        <w:spacing w:line="288" w:lineRule="atLeast"/>
      </w:pPr>
      <w:r w:rsidRPr="002B6562">
        <w:tab/>
        <w:t xml:space="preserve">b.  </w:t>
      </w:r>
      <w:r w:rsidRPr="002B6562" w:rsidR="008B40C1">
        <w:t xml:space="preserve">The </w:t>
      </w:r>
      <w:r w:rsidRPr="002B6562">
        <w:t xml:space="preserve">provision </w:t>
      </w:r>
      <w:r w:rsidRPr="002B6562" w:rsidR="008B40C1">
        <w:t xml:space="preserve">at DFARS </w:t>
      </w:r>
      <w:r w:rsidRPr="002B6562">
        <w:t>252.204-7008, Compliance with Safeguarding Covered Defense Information Controls, require</w:t>
      </w:r>
      <w:r w:rsidRPr="002B6562" w:rsidR="00FB58C9">
        <w:t>s</w:t>
      </w:r>
      <w:r w:rsidRPr="002B6562">
        <w:t xml:space="preserve"> an offeror that proposes to </w:t>
      </w:r>
      <w:r w:rsidRPr="002B6562">
        <w:t>vary</w:t>
      </w:r>
      <w:r w:rsidRPr="002B6562">
        <w:t xml:space="preserve"> from any of the security controls of National Institute of Standards and Technology (NIST) Special Publication (SP) 800-171 in effect at the time the solicitation is issued</w:t>
      </w:r>
      <w:r w:rsidRPr="002B6562">
        <w:t xml:space="preserve"> to submit</w:t>
      </w:r>
      <w:r w:rsidRPr="002B6562">
        <w:t xml:space="preserve"> to the contracting officer a written explanation of how the specified security control is not applicable or an alternative control or protective measure is used to achieve equivalent protection.</w:t>
      </w:r>
    </w:p>
    <w:p w:rsidR="004D1301" w:rsidRPr="002B6562" w:rsidP="00C652E7" w14:paraId="6DBDB9B6" w14:textId="03C1363A">
      <w:pPr>
        <w:pStyle w:val="NormalWeb"/>
        <w:tabs>
          <w:tab w:val="left" w:pos="360"/>
          <w:tab w:val="left" w:pos="720"/>
          <w:tab w:val="left" w:pos="1080"/>
          <w:tab w:val="left" w:pos="1440"/>
        </w:tabs>
        <w:spacing w:line="288" w:lineRule="atLeast"/>
      </w:pPr>
      <w:r w:rsidRPr="002B6562">
        <w:tab/>
        <w:t xml:space="preserve">c.  </w:t>
      </w:r>
      <w:r w:rsidRPr="002B6562" w:rsidR="008B40C1">
        <w:t xml:space="preserve">The </w:t>
      </w:r>
      <w:r w:rsidRPr="002B6562" w:rsidR="00F958D2">
        <w:t xml:space="preserve">provision </w:t>
      </w:r>
      <w:r w:rsidRPr="002B6562" w:rsidR="008B40C1">
        <w:t xml:space="preserve">at DFARS </w:t>
      </w:r>
      <w:r w:rsidRPr="002B6562">
        <w:t>252.239-7009, Representation of Use of Cloud Computing, require</w:t>
      </w:r>
      <w:r w:rsidRPr="002B6562" w:rsidR="00FB58C9">
        <w:t>s</w:t>
      </w:r>
      <w:r w:rsidRPr="002B6562">
        <w:t xml:space="preserve"> contractors to report that they “anticipate” or “do not anticipate” utilizing cloud computing service in performance of the resultant contract.  The representation will notify contracting officers of the applicability of the </w:t>
      </w:r>
      <w:r w:rsidRPr="002B6562" w:rsidR="00FB58C9">
        <w:t>c</w:t>
      </w:r>
      <w:r w:rsidRPr="002B6562">
        <w:t xml:space="preserve">loud </w:t>
      </w:r>
      <w:r w:rsidRPr="002B6562" w:rsidR="00FB58C9">
        <w:t>c</w:t>
      </w:r>
      <w:r w:rsidRPr="002B6562">
        <w:t xml:space="preserve">omputing requirements at </w:t>
      </w:r>
      <w:r w:rsidRPr="002B6562" w:rsidR="00F958D2">
        <w:t xml:space="preserve">DFARS clause </w:t>
      </w:r>
      <w:r w:rsidRPr="002B6562">
        <w:t>252.239-7010 o</w:t>
      </w:r>
      <w:r w:rsidRPr="002B6562" w:rsidR="00F958D2">
        <w:t>f</w:t>
      </w:r>
      <w:r w:rsidRPr="002B6562">
        <w:t xml:space="preserve"> the contract.</w:t>
      </w:r>
    </w:p>
    <w:p w:rsidR="004D1301" w:rsidRPr="002B6562" w:rsidP="00C652E7" w14:paraId="228A601F" w14:textId="022AD132">
      <w:pPr>
        <w:pStyle w:val="NormalWeb"/>
        <w:tabs>
          <w:tab w:val="left" w:pos="360"/>
          <w:tab w:val="left" w:pos="720"/>
          <w:tab w:val="left" w:pos="1080"/>
          <w:tab w:val="left" w:pos="1440"/>
        </w:tabs>
        <w:spacing w:line="288" w:lineRule="atLeast"/>
      </w:pPr>
      <w:r w:rsidRPr="002B6562">
        <w:tab/>
        <w:t xml:space="preserve">d.  </w:t>
      </w:r>
      <w:r w:rsidRPr="002B6562" w:rsidR="008B40C1">
        <w:t xml:space="preserve">The </w:t>
      </w:r>
      <w:r w:rsidRPr="002B6562">
        <w:t xml:space="preserve">clause </w:t>
      </w:r>
      <w:r w:rsidRPr="002B6562" w:rsidR="008B40C1">
        <w:t xml:space="preserve">at DFARS </w:t>
      </w:r>
      <w:r w:rsidRPr="002B6562">
        <w:t>252.239-7010, Cloud Computing Services, require</w:t>
      </w:r>
      <w:r w:rsidRPr="002B6562" w:rsidR="00F958D2">
        <w:t>s</w:t>
      </w:r>
      <w:r w:rsidRPr="002B6562">
        <w:t xml:space="preserve"> reporting of cyber incidents that occur when DoD is purchasing cloud computing services.</w:t>
      </w:r>
    </w:p>
    <w:p w:rsidR="004D1301" w:rsidRPr="002B6562" w:rsidP="00C652E7" w14:paraId="31965968" w14:textId="5CD6A223">
      <w:pPr>
        <w:pStyle w:val="NormalWeb"/>
        <w:tabs>
          <w:tab w:val="left" w:pos="360"/>
          <w:tab w:val="left" w:pos="720"/>
          <w:tab w:val="left" w:pos="1080"/>
          <w:tab w:val="left" w:pos="1440"/>
        </w:tabs>
        <w:spacing w:line="288" w:lineRule="atLeast"/>
      </w:pPr>
      <w:r w:rsidRPr="002B6562">
        <w:tab/>
      </w:r>
      <w:r w:rsidRPr="002B6562">
        <w:t xml:space="preserve">These </w:t>
      </w:r>
      <w:r w:rsidRPr="002B6562" w:rsidR="00E93065">
        <w:t>DFARS</w:t>
      </w:r>
      <w:r w:rsidRPr="002B6562" w:rsidR="00F958D2">
        <w:t xml:space="preserve"> provisions and clauses</w:t>
      </w:r>
      <w:r w:rsidRPr="002B6562">
        <w:t xml:space="preserve"> facilitate mandatory cyber incident reporting requirements in accordance with statutory regulations.</w:t>
      </w:r>
      <w:r w:rsidRPr="002B6562" w:rsidR="00397BD0">
        <w:t xml:space="preserve">  </w:t>
      </w:r>
      <w:r w:rsidRPr="002B6562">
        <w:t xml:space="preserve">When reports are submitted, the DoD Cyber Crime Center will analyze the reported information for cyber threats and vulnerabilities </w:t>
      </w:r>
      <w:r w:rsidRPr="002B6562">
        <w:t>in order to</w:t>
      </w:r>
      <w:r w:rsidRPr="002B6562">
        <w:t xml:space="preserve"> develop response measures as well as improve U.S. Government understanding of advanced cyber threat activity.</w:t>
      </w:r>
      <w:r w:rsidRPr="002B6562" w:rsidR="00E93065">
        <w:t xml:space="preserve"> In addition, the security requirements in NIST SP 800-171 </w:t>
      </w:r>
      <w:r w:rsidRPr="002B6562" w:rsidR="00E93065">
        <w:t>are specifically tailored</w:t>
      </w:r>
      <w:r w:rsidRPr="002B6562" w:rsidR="00E93065">
        <w:t xml:space="preserve"> for use in protecting sensitive information residing in contractor information systems and generally reduce the burden placed on contractors by eliminating Federal-centric processes and requirements. </w:t>
      </w:r>
      <w:r w:rsidRPr="002B6562" w:rsidR="00F958D2">
        <w:t xml:space="preserve"> </w:t>
      </w:r>
      <w:r w:rsidRPr="002B6562" w:rsidR="00E93065">
        <w:t>The information provided will inform the Department in assessing the overall risk to DoD covered defense information on unclassified contractor systems and networks.</w:t>
      </w:r>
    </w:p>
    <w:p w:rsidR="005E0A0F" w:rsidRPr="002B6562" w:rsidP="00C652E7" w14:paraId="6FF0C3F1" w14:textId="46054736">
      <w:pPr>
        <w:pStyle w:val="NormalWeb"/>
        <w:tabs>
          <w:tab w:val="left" w:pos="360"/>
          <w:tab w:val="left" w:pos="720"/>
          <w:tab w:val="left" w:pos="1080"/>
          <w:tab w:val="left" w:pos="1440"/>
        </w:tabs>
        <w:spacing w:line="288" w:lineRule="atLeast"/>
      </w:pPr>
      <w:r w:rsidRPr="002B6562">
        <w:t>3.</w:t>
      </w:r>
      <w:r w:rsidRPr="002B6562" w:rsidR="00AC5BD4">
        <w:tab/>
      </w:r>
      <w:r w:rsidRPr="002B6562">
        <w:rPr>
          <w:u w:val="single"/>
        </w:rPr>
        <w:t>Use of Information Technology</w:t>
      </w:r>
    </w:p>
    <w:p w:rsidR="004D0208" w:rsidRPr="002B6562" w:rsidP="00C652E7" w14:paraId="0299FA9A" w14:textId="164695D6">
      <w:pPr>
        <w:pStyle w:val="NormalWeb"/>
        <w:tabs>
          <w:tab w:val="left" w:pos="360"/>
          <w:tab w:val="left" w:pos="720"/>
          <w:tab w:val="left" w:pos="1080"/>
          <w:tab w:val="left" w:pos="1440"/>
        </w:tabs>
        <w:spacing w:line="288" w:lineRule="atLeast"/>
      </w:pPr>
      <w:r w:rsidRPr="002B6562">
        <w:tab/>
        <w:t xml:space="preserve">a.  </w:t>
      </w:r>
      <w:r w:rsidRPr="002B6562">
        <w:t xml:space="preserve">DoD contractors will provide their cyber incident information using the following </w:t>
      </w:r>
      <w:r w:rsidRPr="002B6562" w:rsidR="00F958D2">
        <w:t xml:space="preserve">electronic </w:t>
      </w:r>
      <w:r w:rsidRPr="002B6562">
        <w:t>options</w:t>
      </w:r>
      <w:r w:rsidRPr="002B6562" w:rsidR="00320550">
        <w:t>:</w:t>
      </w:r>
    </w:p>
    <w:p w:rsidR="004D0208" w:rsidRPr="002B6562" w:rsidP="00C652E7" w14:paraId="682F97C5" w14:textId="6B13BDEB">
      <w:pPr>
        <w:pStyle w:val="NormalWeb"/>
        <w:tabs>
          <w:tab w:val="left" w:pos="360"/>
          <w:tab w:val="left" w:pos="720"/>
          <w:tab w:val="left" w:pos="1080"/>
          <w:tab w:val="left" w:pos="1440"/>
        </w:tabs>
        <w:spacing w:line="288" w:lineRule="atLeast"/>
      </w:pPr>
      <w:r w:rsidRPr="002B6562">
        <w:tab/>
      </w:r>
      <w:r w:rsidRPr="002B6562" w:rsidR="00E93065">
        <w:tab/>
        <w:t>i</w:t>
      </w:r>
      <w:r w:rsidRPr="002B6562">
        <w:t>.  Complete and submit data with DoD-approved medium assurance certificates via an online web form.</w:t>
      </w:r>
    </w:p>
    <w:p w:rsidR="004D0208" w:rsidRPr="002B6562" w:rsidP="00C652E7" w14:paraId="04DE58C2" w14:textId="21DBB056">
      <w:pPr>
        <w:pStyle w:val="NormalWeb"/>
        <w:tabs>
          <w:tab w:val="left" w:pos="360"/>
          <w:tab w:val="left" w:pos="720"/>
          <w:tab w:val="left" w:pos="1080"/>
          <w:tab w:val="left" w:pos="1440"/>
        </w:tabs>
        <w:spacing w:line="288" w:lineRule="atLeast"/>
      </w:pPr>
      <w:r w:rsidRPr="002B6562">
        <w:tab/>
      </w:r>
      <w:r w:rsidRPr="002B6562" w:rsidR="00E93065">
        <w:tab/>
        <w:t>ii</w:t>
      </w:r>
      <w:r w:rsidRPr="002B6562">
        <w:t>.  Download, complete</w:t>
      </w:r>
      <w:r w:rsidRPr="002B6562" w:rsidR="008B40C1">
        <w:t>,</w:t>
      </w:r>
      <w:r w:rsidRPr="002B6562">
        <w:t xml:space="preserve"> and submit the Incident Report, via encrypted email using DoD-approved medium assurance certificates.  (Fax may </w:t>
      </w:r>
      <w:r w:rsidRPr="002B6562">
        <w:t>be used</w:t>
      </w:r>
      <w:r w:rsidRPr="002B6562">
        <w:t xml:space="preserve"> as an alternative.)</w:t>
      </w:r>
    </w:p>
    <w:p w:rsidR="004D0208" w:rsidRPr="002B6562" w:rsidP="00C652E7" w14:paraId="60FFBC14" w14:textId="1B84415E">
      <w:pPr>
        <w:pStyle w:val="NormalWeb"/>
        <w:tabs>
          <w:tab w:val="left" w:pos="360"/>
          <w:tab w:val="left" w:pos="720"/>
          <w:tab w:val="left" w:pos="1080"/>
          <w:tab w:val="left" w:pos="1440"/>
        </w:tabs>
        <w:spacing w:line="288" w:lineRule="atLeast"/>
      </w:pPr>
      <w:r w:rsidRPr="002B6562">
        <w:tab/>
        <w:t xml:space="preserve">b.  </w:t>
      </w:r>
      <w:r w:rsidRPr="002B6562">
        <w:t>The use of technology (e.g., forms software and online access) will decrease the reporting burden on respondents.  The online Incident Report standardizes data entry and allows respondents to make data entry selections by checking appropriate boxes.  The Incident Report also provides help text and other features to streamline data entry.</w:t>
      </w:r>
    </w:p>
    <w:p w:rsidR="00133CDF" w:rsidRPr="002B6562" w:rsidP="00C652E7" w14:paraId="6DC1B3F3" w14:textId="3FA828C1">
      <w:pPr>
        <w:pStyle w:val="NormalWeb"/>
        <w:tabs>
          <w:tab w:val="left" w:pos="360"/>
          <w:tab w:val="left" w:pos="720"/>
          <w:tab w:val="left" w:pos="1080"/>
          <w:tab w:val="left" w:pos="1440"/>
        </w:tabs>
        <w:spacing w:line="288" w:lineRule="atLeast"/>
      </w:pPr>
      <w:r w:rsidRPr="002B6562">
        <w:tab/>
        <w:t xml:space="preserve">c.  </w:t>
      </w:r>
      <w:r w:rsidRPr="002B6562" w:rsidR="004D0208">
        <w:t xml:space="preserve">The representation on use of cloud computing services may </w:t>
      </w:r>
      <w:r w:rsidRPr="002B6562" w:rsidR="004D0208">
        <w:t>be submitted</w:t>
      </w:r>
      <w:r w:rsidRPr="002B6562" w:rsidR="004D0208">
        <w:t xml:space="preserve"> electronically, in accordance with solicitation</w:t>
      </w:r>
      <w:r w:rsidRPr="002B6562" w:rsidR="008B40C1">
        <w:t>-</w:t>
      </w:r>
      <w:r w:rsidRPr="002B6562" w:rsidR="004D0208">
        <w:t>specific instructions.</w:t>
      </w:r>
    </w:p>
    <w:p w:rsidR="005E0A0F" w:rsidRPr="002B6562" w:rsidP="00C652E7" w14:paraId="06097E30" w14:textId="35E38762">
      <w:pPr>
        <w:pStyle w:val="NormalWeb"/>
        <w:tabs>
          <w:tab w:val="left" w:pos="360"/>
          <w:tab w:val="left" w:pos="720"/>
          <w:tab w:val="left" w:pos="1080"/>
          <w:tab w:val="left" w:pos="1440"/>
        </w:tabs>
        <w:spacing w:line="288" w:lineRule="atLeast"/>
      </w:pPr>
      <w:r w:rsidRPr="002B6562">
        <w:t>4.</w:t>
      </w:r>
      <w:r w:rsidRPr="002B6562" w:rsidR="00AC5BD4">
        <w:tab/>
      </w:r>
      <w:r w:rsidRPr="002B6562">
        <w:rPr>
          <w:u w:val="single"/>
        </w:rPr>
        <w:t>Non-duplication</w:t>
      </w:r>
    </w:p>
    <w:p w:rsidR="008F5E96" w:rsidRPr="002B6562" w:rsidP="00C652E7" w14:paraId="083B3994" w14:textId="499A5678">
      <w:pPr>
        <w:pStyle w:val="NormalWeb"/>
        <w:tabs>
          <w:tab w:val="left" w:pos="360"/>
          <w:tab w:val="left" w:pos="720"/>
          <w:tab w:val="left" w:pos="1080"/>
          <w:tab w:val="left" w:pos="1440"/>
        </w:tabs>
        <w:spacing w:line="288" w:lineRule="atLeast"/>
      </w:pPr>
      <w:bookmarkStart w:id="2" w:name="cp440"/>
      <w:r w:rsidRPr="002B6562">
        <w:tab/>
      </w:r>
      <w:r w:rsidRPr="002B6562">
        <w:t>As a matter of policy, DoD reviews the Federal Acquisition Regulation to determine if adequate language already exists.  This request for information applies solely to DoD and does not duplicate any other requirement.  DoD cannot obtain similar information for any other source.</w:t>
      </w:r>
    </w:p>
    <w:p w:rsidR="004D1301" w:rsidRPr="002B6562" w:rsidP="00C652E7" w14:paraId="353ABC4C" w14:textId="6CC51E89">
      <w:pPr>
        <w:pStyle w:val="NormalWeb"/>
        <w:tabs>
          <w:tab w:val="left" w:pos="360"/>
          <w:tab w:val="left" w:pos="720"/>
          <w:tab w:val="left" w:pos="1080"/>
          <w:tab w:val="left" w:pos="1440"/>
        </w:tabs>
        <w:spacing w:line="288" w:lineRule="atLeast"/>
      </w:pPr>
      <w:r w:rsidRPr="002B6562">
        <w:tab/>
      </w:r>
      <w:r w:rsidRPr="002B6562">
        <w:t xml:space="preserve">The two other OMB Control Numbers </w:t>
      </w:r>
      <w:r w:rsidRPr="002B6562" w:rsidR="005E337A">
        <w:t xml:space="preserve">for the program </w:t>
      </w:r>
      <w:r w:rsidRPr="002B6562">
        <w:t>are summarized</w:t>
      </w:r>
      <w:r w:rsidRPr="002B6562">
        <w:t xml:space="preserve"> as follows:</w:t>
      </w:r>
    </w:p>
    <w:p w:rsidR="004D1301" w:rsidRPr="002B6562" w:rsidP="00C652E7" w14:paraId="295686AE" w14:textId="1E42B87A">
      <w:pPr>
        <w:pStyle w:val="NormalWeb"/>
        <w:tabs>
          <w:tab w:val="left" w:pos="360"/>
          <w:tab w:val="left" w:pos="720"/>
          <w:tab w:val="left" w:pos="1080"/>
          <w:tab w:val="left" w:pos="1440"/>
        </w:tabs>
        <w:spacing w:line="288" w:lineRule="atLeast"/>
      </w:pPr>
      <w:r w:rsidRPr="002B6562">
        <w:tab/>
        <w:t xml:space="preserve">a.  </w:t>
      </w:r>
      <w:r w:rsidRPr="002B6562">
        <w:rPr>
          <w:i/>
        </w:rPr>
        <w:t xml:space="preserve">0704-0489, </w:t>
      </w:r>
      <w:r w:rsidRPr="002B6562" w:rsidR="00F958D2">
        <w:rPr>
          <w:i/>
        </w:rPr>
        <w:t xml:space="preserve">DoD’s </w:t>
      </w:r>
      <w:r w:rsidRPr="002B6562">
        <w:rPr>
          <w:i/>
        </w:rPr>
        <w:t>Defense Industrial Base</w:t>
      </w:r>
      <w:r w:rsidRPr="002B6562" w:rsidR="00F958D2">
        <w:rPr>
          <w:i/>
        </w:rPr>
        <w:t xml:space="preserve"> (DIB)</w:t>
      </w:r>
      <w:r w:rsidRPr="002B6562">
        <w:rPr>
          <w:i/>
        </w:rPr>
        <w:t xml:space="preserve"> Cyber</w:t>
      </w:r>
      <w:r w:rsidRPr="002B6562" w:rsidR="00F958D2">
        <w:rPr>
          <w:i/>
        </w:rPr>
        <w:t xml:space="preserve"> S</w:t>
      </w:r>
      <w:r w:rsidRPr="002B6562">
        <w:rPr>
          <w:i/>
        </w:rPr>
        <w:t>ecurity</w:t>
      </w:r>
      <w:r w:rsidRPr="002B6562" w:rsidR="00F958D2">
        <w:rPr>
          <w:i/>
        </w:rPr>
        <w:t xml:space="preserve"> (CS) Activities Cyber</w:t>
      </w:r>
      <w:r w:rsidRPr="002B6562">
        <w:rPr>
          <w:i/>
        </w:rPr>
        <w:t xml:space="preserve"> Incident Reporting</w:t>
      </w:r>
      <w:r w:rsidRPr="002B6562">
        <w:t xml:space="preserve">.  This control number supports “voluntary” reporting of cyber incidents, while 0704-0478 supports reporting that </w:t>
      </w:r>
      <w:r w:rsidRPr="002B6562">
        <w:t>is mandated</w:t>
      </w:r>
      <w:r w:rsidRPr="002B6562">
        <w:t xml:space="preserve"> under a DoD contract.  Voluntary reporting could include grantees or members of industry who choose to voluntarily report incidents and does not address the burden for reporting required by a DoD contract.  OMB 0704-0489 also covers the online collection medium, a Defense Industrial Base/Information Assurance Incident Collection format, which is a database used for both voluntary reporting and reporting that is contractually mandated.</w:t>
      </w:r>
      <w:r w:rsidRPr="002B6562" w:rsidR="004D0208">
        <w:t xml:space="preserve">  While </w:t>
      </w:r>
      <w:r w:rsidRPr="002B6562" w:rsidR="008B40C1">
        <w:t xml:space="preserve">OMB Control Number </w:t>
      </w:r>
      <w:r w:rsidRPr="002B6562" w:rsidR="004D0208">
        <w:t>0704-0478 requires submission of information via the same Incident Report as voluntary collections under 0704-0489 “Defense Industrial Base Cyber Security/Information Assurance Cyber Incident Reporting,” the reporting for each occurs in different circumstances and will not cause duplication.</w:t>
      </w:r>
    </w:p>
    <w:p w:rsidR="00FB3212" w:rsidRPr="002B6562" w:rsidP="00C652E7" w14:paraId="7779773B" w14:textId="4DDADEA4">
      <w:pPr>
        <w:pStyle w:val="NormalWeb"/>
        <w:tabs>
          <w:tab w:val="left" w:pos="360"/>
          <w:tab w:val="left" w:pos="720"/>
          <w:tab w:val="left" w:pos="1080"/>
          <w:tab w:val="left" w:pos="1440"/>
        </w:tabs>
        <w:spacing w:line="288" w:lineRule="atLeast"/>
      </w:pPr>
      <w:r w:rsidRPr="002B6562">
        <w:tab/>
        <w:t xml:space="preserve">b.  </w:t>
      </w:r>
      <w:r w:rsidRPr="002B6562">
        <w:rPr>
          <w:i/>
        </w:rPr>
        <w:t>0704-0490, Defense Industrial Base Voluntary Cyber Security/Information Assurance Points of Contact (POC) Information</w:t>
      </w:r>
      <w:r w:rsidRPr="002B6562">
        <w:t xml:space="preserve">.  This control number supports the application process </w:t>
      </w:r>
      <w:r w:rsidRPr="002B6562">
        <w:t>in order to</w:t>
      </w:r>
      <w:r w:rsidRPr="002B6562">
        <w:t xml:space="preserve"> join the program.  This collection </w:t>
      </w:r>
      <w:r w:rsidRPr="002B6562">
        <w:t>is also supported</w:t>
      </w:r>
      <w:r w:rsidRPr="002B6562">
        <w:t xml:space="preserve"> by a Privacy Impact Assessment and a System of Records Notice (SORN) for the cyber incident reporting program.</w:t>
      </w:r>
    </w:p>
    <w:p w:rsidR="005E0A0F" w:rsidRPr="002B6562" w:rsidP="00C652E7" w14:paraId="09E01137" w14:textId="10B2D371">
      <w:pPr>
        <w:pStyle w:val="NormalWeb"/>
        <w:tabs>
          <w:tab w:val="left" w:pos="360"/>
          <w:tab w:val="left" w:pos="720"/>
          <w:tab w:val="left" w:pos="1080"/>
          <w:tab w:val="left" w:pos="1440"/>
        </w:tabs>
        <w:spacing w:line="288" w:lineRule="atLeast"/>
      </w:pPr>
      <w:r w:rsidRPr="002B6562">
        <w:t>5.</w:t>
      </w:r>
      <w:r w:rsidRPr="002B6562" w:rsidR="00AC5BD4">
        <w:tab/>
      </w:r>
      <w:r w:rsidRPr="002B6562">
        <w:rPr>
          <w:u w:val="single"/>
        </w:rPr>
        <w:t>Burden on Small Business</w:t>
      </w:r>
    </w:p>
    <w:p w:rsidR="00FB3212" w:rsidRPr="002B6562" w:rsidP="00C652E7" w14:paraId="74012B57" w14:textId="0B1F5739">
      <w:pPr>
        <w:pStyle w:val="NormalWeb"/>
        <w:tabs>
          <w:tab w:val="left" w:pos="360"/>
          <w:tab w:val="left" w:pos="720"/>
          <w:tab w:val="left" w:pos="1080"/>
          <w:tab w:val="left" w:pos="1440"/>
        </w:tabs>
        <w:spacing w:line="288" w:lineRule="atLeast"/>
      </w:pPr>
      <w:bookmarkStart w:id="3" w:name="cp441"/>
      <w:bookmarkEnd w:id="2"/>
      <w:r w:rsidRPr="002B6562">
        <w:tab/>
      </w:r>
      <w:bookmarkEnd w:id="3"/>
      <w:r w:rsidRPr="002B6562" w:rsidR="008F5E96">
        <w:t>This information collection does not impose a significant economic impact on a substantial number of small businesses or entities.</w:t>
      </w:r>
    </w:p>
    <w:p w:rsidR="005E0A0F" w:rsidRPr="002B6562" w:rsidP="00C652E7" w14:paraId="6BE8A9EE" w14:textId="129625CE">
      <w:pPr>
        <w:pStyle w:val="NormalWeb"/>
        <w:tabs>
          <w:tab w:val="left" w:pos="360"/>
          <w:tab w:val="left" w:pos="720"/>
          <w:tab w:val="left" w:pos="1080"/>
          <w:tab w:val="left" w:pos="1440"/>
        </w:tabs>
        <w:spacing w:line="288" w:lineRule="atLeast"/>
      </w:pPr>
      <w:r w:rsidRPr="002B6562">
        <w:t>6.</w:t>
      </w:r>
      <w:r w:rsidRPr="002B6562" w:rsidR="00AC5BD4">
        <w:tab/>
      </w:r>
      <w:r w:rsidRPr="002B6562">
        <w:rPr>
          <w:u w:val="single"/>
        </w:rPr>
        <w:t>Less Frequent Collection</w:t>
      </w:r>
    </w:p>
    <w:p w:rsidR="00FB3212" w:rsidRPr="002B6562" w:rsidP="00C652E7" w14:paraId="57CBFD14" w14:textId="357BF72B">
      <w:pPr>
        <w:pStyle w:val="NormalWeb"/>
        <w:tabs>
          <w:tab w:val="left" w:pos="360"/>
          <w:tab w:val="left" w:pos="720"/>
          <w:tab w:val="left" w:pos="1080"/>
          <w:tab w:val="left" w:pos="1440"/>
        </w:tabs>
        <w:spacing w:line="288" w:lineRule="atLeast"/>
      </w:pPr>
      <w:bookmarkStart w:id="4" w:name="cp444"/>
      <w:r w:rsidRPr="002B6562">
        <w:tab/>
      </w:r>
      <w:r w:rsidRPr="002B6562" w:rsidR="004D0208">
        <w:t xml:space="preserve">The consequence of not collecting this data is that DoD is not able to protect information from its adversaries.  Furthermore, DoD would not know the content of the data exfiltrated, the impact of the data loss to its mission, and how to develop appropriate countermeasures.  DoD specialists who are most knowledgeable of the requirements and the need for the information reviewed the information collection frequency.  This reporting requirement </w:t>
      </w:r>
      <w:r w:rsidRPr="002B6562" w:rsidR="004D0208">
        <w:t>is needed</w:t>
      </w:r>
      <w:r w:rsidRPr="002B6562" w:rsidR="004D0208">
        <w:t xml:space="preserve"> to assess the impact of loss and to improve protection by better understanding the methods of loss.</w:t>
      </w:r>
    </w:p>
    <w:p w:rsidR="005E0A0F" w:rsidRPr="002B6562" w:rsidP="00C652E7" w14:paraId="47B8DE94" w14:textId="4F618BF2">
      <w:pPr>
        <w:pStyle w:val="NormalWeb"/>
        <w:tabs>
          <w:tab w:val="left" w:pos="360"/>
          <w:tab w:val="left" w:pos="720"/>
          <w:tab w:val="left" w:pos="1080"/>
          <w:tab w:val="left" w:pos="1440"/>
        </w:tabs>
        <w:spacing w:line="288" w:lineRule="atLeast"/>
      </w:pPr>
      <w:r w:rsidRPr="002B6562">
        <w:t>7.</w:t>
      </w:r>
      <w:r w:rsidRPr="002B6562" w:rsidR="00AC5BD4">
        <w:tab/>
      </w:r>
      <w:r w:rsidRPr="002B6562">
        <w:rPr>
          <w:u w:val="single"/>
        </w:rPr>
        <w:t>Paperwork Reduction Act Guidelines</w:t>
      </w:r>
    </w:p>
    <w:p w:rsidR="005E5BAF" w:rsidRPr="002B6562" w:rsidP="00C652E7" w14:paraId="32E29257" w14:textId="4C61E6D2">
      <w:pPr>
        <w:pStyle w:val="NormalWeb"/>
        <w:tabs>
          <w:tab w:val="left" w:pos="360"/>
          <w:tab w:val="left" w:pos="720"/>
          <w:tab w:val="left" w:pos="1080"/>
          <w:tab w:val="left" w:pos="1440"/>
        </w:tabs>
        <w:spacing w:line="288" w:lineRule="atLeast"/>
      </w:pPr>
      <w:bookmarkStart w:id="5" w:name="cp446"/>
      <w:bookmarkEnd w:id="4"/>
      <w:r w:rsidRPr="002B6562">
        <w:tab/>
      </w:r>
      <w:r w:rsidRPr="002B6562" w:rsidR="008F5E96">
        <w:t>This collection of information is consistent with the guidelines delineated in 5 CFR 1320.5(d)(2).</w:t>
      </w:r>
    </w:p>
    <w:p w:rsidR="005E5BAF" w:rsidRPr="002B6562" w:rsidP="00C652E7" w14:paraId="38570A54" w14:textId="487CFA64">
      <w:pPr>
        <w:pStyle w:val="NormalWeb"/>
        <w:tabs>
          <w:tab w:val="left" w:pos="360"/>
          <w:tab w:val="left" w:pos="720"/>
          <w:tab w:val="left" w:pos="1080"/>
          <w:tab w:val="left" w:pos="1440"/>
        </w:tabs>
        <w:spacing w:line="288" w:lineRule="atLeast"/>
      </w:pPr>
      <w:r w:rsidRPr="002B6562">
        <w:rPr>
          <w:rFonts w:eastAsiaTheme="minorHAnsi"/>
        </w:rPr>
        <w:t>8.</w:t>
      </w:r>
      <w:r w:rsidRPr="002B6562">
        <w:rPr>
          <w:rFonts w:eastAsiaTheme="minorHAnsi"/>
        </w:rPr>
        <w:tab/>
      </w:r>
      <w:r w:rsidRPr="002B6562">
        <w:rPr>
          <w:rFonts w:eastAsiaTheme="minorHAnsi"/>
          <w:u w:val="single"/>
        </w:rPr>
        <w:t>Consultation and Public Comments</w:t>
      </w:r>
    </w:p>
    <w:p w:rsidR="005E5BAF" w:rsidRPr="002B6562" w:rsidP="00C652E7" w14:paraId="0CA0D8BE" w14:textId="6E3CA51A">
      <w:pPr>
        <w:pStyle w:val="NormalWeb"/>
        <w:tabs>
          <w:tab w:val="left" w:pos="360"/>
          <w:tab w:val="left" w:pos="720"/>
          <w:tab w:val="left" w:pos="1080"/>
          <w:tab w:val="left" w:pos="1440"/>
        </w:tabs>
        <w:spacing w:line="288" w:lineRule="atLeast"/>
      </w:pPr>
      <w:r w:rsidRPr="002B6562">
        <w:rPr>
          <w:rFonts w:eastAsiaTheme="minorHAnsi"/>
        </w:rPr>
        <w:tab/>
      </w:r>
      <w:r w:rsidRPr="002B6562" w:rsidR="00916979">
        <w:rPr>
          <w:rFonts w:eastAsiaTheme="minorHAnsi"/>
        </w:rPr>
        <w:t xml:space="preserve">a.  </w:t>
      </w:r>
      <w:r w:rsidRPr="002B6562" w:rsidR="00916979">
        <w:rPr>
          <w:rFonts w:eastAsiaTheme="minorHAnsi"/>
          <w:u w:val="single"/>
        </w:rPr>
        <w:t>Public Notice</w:t>
      </w:r>
    </w:p>
    <w:p w:rsidR="00A8593E" w:rsidRPr="002B6562" w:rsidP="00DE4226" w14:paraId="11D9C4F5" w14:textId="3A6684E3">
      <w:pPr>
        <w:pStyle w:val="NormalWeb"/>
        <w:tabs>
          <w:tab w:val="left" w:pos="360"/>
          <w:tab w:val="left" w:pos="720"/>
          <w:tab w:val="left" w:pos="1080"/>
          <w:tab w:val="left" w:pos="1440"/>
        </w:tabs>
        <w:spacing w:line="288" w:lineRule="atLeast"/>
        <w:rPr>
          <w:rFonts w:eastAsiaTheme="minorHAnsi"/>
          <w:szCs w:val="22"/>
        </w:rPr>
      </w:pPr>
      <w:r w:rsidRPr="002B6562">
        <w:rPr>
          <w:rFonts w:eastAsiaTheme="minorHAnsi"/>
        </w:rPr>
        <w:tab/>
      </w:r>
      <w:r w:rsidRPr="002B6562" w:rsidR="00916979">
        <w:rPr>
          <w:rFonts w:eastAsiaTheme="minorHAnsi"/>
        </w:rPr>
        <w:tab/>
      </w:r>
      <w:r w:rsidRPr="002B6562" w:rsidR="008F5E96">
        <w:rPr>
          <w:rFonts w:eastAsiaTheme="minorHAnsi"/>
          <w:szCs w:val="22"/>
        </w:rPr>
        <w:t xml:space="preserve">i.  A 60-day notice for the collection </w:t>
      </w:r>
      <w:r w:rsidRPr="002B6562" w:rsidR="008F5E96">
        <w:rPr>
          <w:rFonts w:eastAsiaTheme="minorHAnsi"/>
          <w:szCs w:val="22"/>
        </w:rPr>
        <w:t>was published</w:t>
      </w:r>
      <w:r w:rsidRPr="002B6562" w:rsidR="008F5E96">
        <w:rPr>
          <w:rFonts w:eastAsiaTheme="minorHAnsi"/>
          <w:szCs w:val="22"/>
        </w:rPr>
        <w:t xml:space="preserve"> in the </w:t>
      </w:r>
      <w:r w:rsidRPr="002B6562" w:rsidR="008F5E96">
        <w:rPr>
          <w:rFonts w:eastAsiaTheme="minorHAnsi"/>
          <w:i/>
          <w:szCs w:val="22"/>
        </w:rPr>
        <w:t>Federal Register</w:t>
      </w:r>
      <w:r w:rsidRPr="002B6562" w:rsidR="008F5E96">
        <w:rPr>
          <w:rFonts w:eastAsiaTheme="minorHAnsi"/>
          <w:szCs w:val="22"/>
        </w:rPr>
        <w:t xml:space="preserve"> on </w:t>
      </w:r>
      <w:r w:rsidRPr="002B6562" w:rsidR="00CA20AD">
        <w:rPr>
          <w:rFonts w:eastAsiaTheme="minorHAnsi"/>
          <w:szCs w:val="22"/>
        </w:rPr>
        <w:t>June 6</w:t>
      </w:r>
      <w:r w:rsidRPr="002B6562" w:rsidR="008F5E96">
        <w:rPr>
          <w:rFonts w:eastAsiaTheme="minorHAnsi"/>
          <w:szCs w:val="22"/>
        </w:rPr>
        <w:t>, 202</w:t>
      </w:r>
      <w:r w:rsidRPr="002B6562" w:rsidR="00CA20AD">
        <w:rPr>
          <w:rFonts w:eastAsiaTheme="minorHAnsi"/>
          <w:szCs w:val="22"/>
        </w:rPr>
        <w:t>5</w:t>
      </w:r>
      <w:r w:rsidRPr="002B6562" w:rsidR="008F5E96">
        <w:rPr>
          <w:rFonts w:eastAsiaTheme="minorHAnsi"/>
          <w:szCs w:val="22"/>
        </w:rPr>
        <w:t xml:space="preserve">, at </w:t>
      </w:r>
      <w:r w:rsidRPr="002B6562" w:rsidR="00CA20AD">
        <w:rPr>
          <w:rFonts w:eastAsiaTheme="minorHAnsi"/>
          <w:szCs w:val="22"/>
        </w:rPr>
        <w:t xml:space="preserve">90 </w:t>
      </w:r>
      <w:r w:rsidRPr="002B6562" w:rsidR="008F5E96">
        <w:rPr>
          <w:rFonts w:eastAsiaTheme="minorHAnsi"/>
          <w:szCs w:val="22"/>
        </w:rPr>
        <w:t xml:space="preserve">FR </w:t>
      </w:r>
      <w:r w:rsidRPr="002B6562" w:rsidR="00CA20AD">
        <w:rPr>
          <w:rFonts w:eastAsiaTheme="minorHAnsi"/>
          <w:szCs w:val="22"/>
        </w:rPr>
        <w:t>24196</w:t>
      </w:r>
      <w:r w:rsidRPr="002B6562">
        <w:rPr>
          <w:rFonts w:eastAsiaTheme="minorHAnsi"/>
          <w:szCs w:val="22"/>
        </w:rPr>
        <w:t>.</w:t>
      </w:r>
    </w:p>
    <w:p w:rsidR="00916979" w:rsidRPr="002B6562" w:rsidP="00DE4226" w14:paraId="754C1041" w14:textId="5E43254F">
      <w:pPr>
        <w:pStyle w:val="NormalWeb"/>
        <w:tabs>
          <w:tab w:val="left" w:pos="360"/>
          <w:tab w:val="left" w:pos="720"/>
          <w:tab w:val="left" w:pos="1080"/>
          <w:tab w:val="left" w:pos="1440"/>
        </w:tabs>
        <w:spacing w:line="288" w:lineRule="atLeast"/>
        <w:rPr>
          <w:rFonts w:eastAsiaTheme="minorHAnsi"/>
        </w:rPr>
      </w:pPr>
      <w:r w:rsidRPr="002B6562">
        <w:rPr>
          <w:rFonts w:eastAsiaTheme="minorHAnsi"/>
          <w:szCs w:val="22"/>
        </w:rPr>
        <w:tab/>
      </w:r>
      <w:r w:rsidRPr="002B6562">
        <w:rPr>
          <w:rFonts w:eastAsiaTheme="minorHAnsi"/>
          <w:szCs w:val="22"/>
        </w:rPr>
        <w:tab/>
        <w:t xml:space="preserve">ii. </w:t>
      </w:r>
      <w:r w:rsidRPr="002B6562" w:rsidR="008F5E96">
        <w:rPr>
          <w:rFonts w:eastAsiaTheme="minorHAnsi"/>
          <w:szCs w:val="22"/>
        </w:rPr>
        <w:t xml:space="preserve"> </w:t>
      </w:r>
      <w:r w:rsidRPr="002B6562">
        <w:rPr>
          <w:rFonts w:eastAsiaTheme="minorHAnsi"/>
          <w:szCs w:val="22"/>
        </w:rPr>
        <w:t xml:space="preserve">A 30-day notice for the collection </w:t>
      </w:r>
      <w:r w:rsidRPr="002B6562">
        <w:rPr>
          <w:rFonts w:eastAsiaTheme="minorHAnsi"/>
          <w:szCs w:val="22"/>
        </w:rPr>
        <w:t>was published</w:t>
      </w:r>
      <w:r w:rsidRPr="002B6562">
        <w:rPr>
          <w:rFonts w:eastAsiaTheme="minorHAnsi"/>
          <w:szCs w:val="22"/>
        </w:rPr>
        <w:t xml:space="preserve"> in the </w:t>
      </w:r>
      <w:r w:rsidRPr="0077054D">
        <w:rPr>
          <w:rFonts w:eastAsiaTheme="minorHAnsi"/>
          <w:i/>
          <w:iCs/>
          <w:szCs w:val="22"/>
        </w:rPr>
        <w:t>Federal Register</w:t>
      </w:r>
      <w:r w:rsidRPr="002B6562">
        <w:rPr>
          <w:rFonts w:eastAsiaTheme="minorHAnsi"/>
          <w:szCs w:val="22"/>
        </w:rPr>
        <w:t xml:space="preserve"> on </w:t>
      </w:r>
      <w:r w:rsidR="003B175C">
        <w:rPr>
          <w:rFonts w:eastAsiaTheme="minorHAnsi"/>
          <w:szCs w:val="22"/>
        </w:rPr>
        <w:t>Jan</w:t>
      </w:r>
      <w:r w:rsidRPr="002B6562">
        <w:rPr>
          <w:rFonts w:eastAsiaTheme="minorHAnsi"/>
          <w:szCs w:val="22"/>
        </w:rPr>
        <w:t xml:space="preserve"> </w:t>
      </w:r>
      <w:r w:rsidR="003B175C">
        <w:rPr>
          <w:rFonts w:eastAsiaTheme="minorHAnsi"/>
          <w:szCs w:val="22"/>
        </w:rPr>
        <w:t>14</w:t>
      </w:r>
      <w:r w:rsidRPr="002B6562">
        <w:rPr>
          <w:rFonts w:eastAsiaTheme="minorHAnsi"/>
          <w:szCs w:val="22"/>
        </w:rPr>
        <w:t>, 20</w:t>
      </w:r>
      <w:r w:rsidR="003B175C">
        <w:rPr>
          <w:rFonts w:eastAsiaTheme="minorHAnsi"/>
          <w:szCs w:val="22"/>
        </w:rPr>
        <w:t>26</w:t>
      </w:r>
      <w:r w:rsidRPr="002B6562">
        <w:rPr>
          <w:rFonts w:eastAsiaTheme="minorHAnsi"/>
          <w:szCs w:val="22"/>
        </w:rPr>
        <w:t xml:space="preserve">, at </w:t>
      </w:r>
      <w:r w:rsidR="003B175C">
        <w:rPr>
          <w:rFonts w:eastAsiaTheme="minorHAnsi"/>
          <w:szCs w:val="22"/>
        </w:rPr>
        <w:t>91</w:t>
      </w:r>
      <w:r w:rsidRPr="002B6562">
        <w:rPr>
          <w:rFonts w:eastAsiaTheme="minorHAnsi"/>
          <w:szCs w:val="22"/>
        </w:rPr>
        <w:t xml:space="preserve"> FR </w:t>
      </w:r>
      <w:r w:rsidR="003B175C">
        <w:rPr>
          <w:rFonts w:eastAsiaTheme="minorHAnsi"/>
          <w:szCs w:val="22"/>
        </w:rPr>
        <w:t>1512</w:t>
      </w:r>
      <w:r w:rsidRPr="002B6562">
        <w:rPr>
          <w:rFonts w:eastAsiaTheme="minorHAnsi"/>
          <w:szCs w:val="22"/>
        </w:rPr>
        <w:t>.</w:t>
      </w:r>
    </w:p>
    <w:p w:rsidR="00010294" w:rsidRPr="002B6562" w:rsidP="00DE4226" w14:paraId="16DB24CA" w14:textId="7CEE229A">
      <w:pPr>
        <w:pStyle w:val="NormalWeb"/>
        <w:tabs>
          <w:tab w:val="left" w:pos="360"/>
          <w:tab w:val="left" w:pos="720"/>
          <w:tab w:val="left" w:pos="1080"/>
          <w:tab w:val="left" w:pos="1440"/>
        </w:tabs>
        <w:spacing w:line="288" w:lineRule="atLeast"/>
        <w:rPr>
          <w:rFonts w:eastAsia="Calibri"/>
        </w:rPr>
      </w:pPr>
      <w:r w:rsidRPr="002B6562">
        <w:rPr>
          <w:rFonts w:eastAsiaTheme="minorHAnsi"/>
          <w:szCs w:val="22"/>
        </w:rPr>
        <w:tab/>
        <w:t xml:space="preserve">b.  </w:t>
      </w:r>
      <w:r w:rsidRPr="002B6562">
        <w:rPr>
          <w:rFonts w:eastAsiaTheme="minorHAnsi"/>
          <w:szCs w:val="22"/>
          <w:u w:val="single"/>
        </w:rPr>
        <w:t>Consultation</w:t>
      </w:r>
    </w:p>
    <w:p w:rsidR="00A8593E" w:rsidRPr="002B6562" w14:paraId="5478F714" w14:textId="51C50BF7">
      <w:pPr>
        <w:pStyle w:val="NormalWeb"/>
        <w:tabs>
          <w:tab w:val="left" w:pos="360"/>
          <w:tab w:val="left" w:pos="720"/>
          <w:tab w:val="left" w:pos="1080"/>
          <w:tab w:val="left" w:pos="1440"/>
        </w:tabs>
        <w:spacing w:line="288" w:lineRule="atLeast"/>
      </w:pPr>
      <w:bookmarkStart w:id="6" w:name="cp449"/>
      <w:bookmarkEnd w:id="5"/>
      <w:r w:rsidRPr="002B6562">
        <w:tab/>
      </w:r>
      <w:r w:rsidRPr="002B6562">
        <w:rPr>
          <w:rFonts w:eastAsiaTheme="minorHAnsi"/>
          <w:szCs w:val="22"/>
        </w:rPr>
        <w:t xml:space="preserve">No additional consultation, apart from soliciting public comments through the </w:t>
      </w:r>
      <w:r w:rsidRPr="002B6562">
        <w:rPr>
          <w:rFonts w:eastAsiaTheme="minorHAnsi"/>
          <w:i/>
          <w:szCs w:val="22"/>
        </w:rPr>
        <w:t>Federal Register</w:t>
      </w:r>
      <w:r w:rsidRPr="002B6562">
        <w:rPr>
          <w:rFonts w:eastAsiaTheme="minorHAnsi"/>
          <w:szCs w:val="22"/>
        </w:rPr>
        <w:t xml:space="preserve">, </w:t>
      </w:r>
      <w:r w:rsidRPr="002B6562">
        <w:rPr>
          <w:rFonts w:eastAsiaTheme="minorHAnsi"/>
          <w:szCs w:val="22"/>
        </w:rPr>
        <w:t>was conducted</w:t>
      </w:r>
      <w:r w:rsidRPr="002B6562">
        <w:rPr>
          <w:rFonts w:eastAsiaTheme="minorHAnsi"/>
          <w:szCs w:val="22"/>
        </w:rPr>
        <w:t xml:space="preserve"> for this submission.</w:t>
      </w:r>
    </w:p>
    <w:p w:rsidR="005E0A0F" w:rsidRPr="002B6562" w14:paraId="59682793" w14:textId="7861A161">
      <w:pPr>
        <w:pStyle w:val="NormalWeb"/>
        <w:tabs>
          <w:tab w:val="left" w:pos="360"/>
          <w:tab w:val="left" w:pos="720"/>
          <w:tab w:val="left" w:pos="1080"/>
          <w:tab w:val="left" w:pos="1440"/>
        </w:tabs>
        <w:spacing w:line="288" w:lineRule="atLeast"/>
      </w:pPr>
      <w:r w:rsidRPr="002B6562">
        <w:t>9.</w:t>
      </w:r>
      <w:r w:rsidRPr="002B6562" w:rsidR="00916AF9">
        <w:t xml:space="preserve"> </w:t>
      </w:r>
      <w:r w:rsidRPr="002B6562">
        <w:t xml:space="preserve"> </w:t>
      </w:r>
      <w:r w:rsidRPr="002B6562">
        <w:rPr>
          <w:u w:val="single"/>
        </w:rPr>
        <w:t>Gifts or Payment</w:t>
      </w:r>
    </w:p>
    <w:p w:rsidR="00AC5BD4" w:rsidRPr="002B6562" w:rsidP="00DE4226" w14:paraId="0BC31D67" w14:textId="73E81CA3">
      <w:pPr>
        <w:rPr>
          <w:rFonts w:eastAsiaTheme="minorHAnsi"/>
          <w:i/>
          <w:szCs w:val="22"/>
        </w:rPr>
      </w:pPr>
      <w:bookmarkStart w:id="7" w:name="cp450"/>
      <w:bookmarkEnd w:id="6"/>
      <w:r w:rsidRPr="002B6562">
        <w:tab/>
      </w:r>
      <w:bookmarkEnd w:id="7"/>
      <w:r w:rsidRPr="002B6562" w:rsidR="008F5E96">
        <w:rPr>
          <w:rFonts w:eastAsiaTheme="minorHAnsi"/>
          <w:szCs w:val="22"/>
        </w:rPr>
        <w:t xml:space="preserve">No payments or gifts are </w:t>
      </w:r>
      <w:r w:rsidRPr="002B6562" w:rsidR="008F5E96">
        <w:rPr>
          <w:rFonts w:eastAsiaTheme="minorHAnsi"/>
          <w:szCs w:val="22"/>
        </w:rPr>
        <w:t>being offered</w:t>
      </w:r>
      <w:r w:rsidRPr="002B6562" w:rsidR="008F5E96">
        <w:rPr>
          <w:rFonts w:eastAsiaTheme="minorHAnsi"/>
          <w:szCs w:val="22"/>
        </w:rPr>
        <w:t xml:space="preserve"> to respondents as an incentive to participate in the collection, other than remuneration to contractors under their contracts.</w:t>
      </w:r>
    </w:p>
    <w:p w:rsidR="005E0A0F" w:rsidRPr="002B6562" w:rsidP="00AC5BD4" w14:paraId="574BBA94" w14:textId="3DCD53E1">
      <w:pPr>
        <w:pStyle w:val="NormalWeb"/>
        <w:tabs>
          <w:tab w:val="left" w:pos="360"/>
          <w:tab w:val="left" w:pos="720"/>
          <w:tab w:val="left" w:pos="1080"/>
          <w:tab w:val="left" w:pos="1440"/>
        </w:tabs>
        <w:spacing w:line="288" w:lineRule="atLeast"/>
      </w:pPr>
      <w:r w:rsidRPr="002B6562">
        <w:t>10.</w:t>
      </w:r>
      <w:r w:rsidRPr="002B6562" w:rsidR="00916AF9">
        <w:t xml:space="preserve"> </w:t>
      </w:r>
      <w:r w:rsidRPr="002B6562">
        <w:t xml:space="preserve"> </w:t>
      </w:r>
      <w:r w:rsidRPr="002B6562">
        <w:rPr>
          <w:u w:val="single"/>
        </w:rPr>
        <w:t>Confidentiality</w:t>
      </w:r>
    </w:p>
    <w:p w:rsidR="00916AF9" w:rsidRPr="002B6562" w:rsidP="00DE4226" w14:paraId="2C9FAB92" w14:textId="4B55B6EF">
      <w:pPr>
        <w:rPr>
          <w:rFonts w:eastAsiaTheme="minorHAnsi"/>
          <w:szCs w:val="22"/>
        </w:rPr>
      </w:pPr>
      <w:r w:rsidRPr="002B6562">
        <w:tab/>
      </w:r>
      <w:r w:rsidRPr="002B6562">
        <w:rPr>
          <w:rFonts w:eastAsiaTheme="minorHAnsi"/>
          <w:szCs w:val="22"/>
        </w:rPr>
        <w:t xml:space="preserve">This information </w:t>
      </w:r>
      <w:r w:rsidRPr="002B6562">
        <w:rPr>
          <w:rFonts w:eastAsiaTheme="minorHAnsi"/>
          <w:szCs w:val="22"/>
        </w:rPr>
        <w:t>is disclosed</w:t>
      </w:r>
      <w:r w:rsidRPr="002B6562">
        <w:rPr>
          <w:rFonts w:eastAsiaTheme="minorHAnsi"/>
          <w:szCs w:val="22"/>
        </w:rPr>
        <w:t xml:space="preserve"> only to the extent consistent with prudent business practices and current regulatory, statutory, and Freedom of Information Act requirements.  No assurance of confidentiality </w:t>
      </w:r>
      <w:r w:rsidRPr="002B6562">
        <w:rPr>
          <w:rFonts w:eastAsiaTheme="minorHAnsi"/>
          <w:szCs w:val="22"/>
        </w:rPr>
        <w:t>is provided</w:t>
      </w:r>
      <w:r w:rsidRPr="002B6562">
        <w:rPr>
          <w:rFonts w:eastAsiaTheme="minorHAnsi"/>
          <w:szCs w:val="22"/>
        </w:rPr>
        <w:t xml:space="preserve"> to respondents.  A Privacy Act Statement </w:t>
      </w:r>
      <w:r w:rsidRPr="002B6562">
        <w:rPr>
          <w:rFonts w:eastAsiaTheme="minorHAnsi"/>
          <w:szCs w:val="22"/>
        </w:rPr>
        <w:t>is not required</w:t>
      </w:r>
      <w:r w:rsidRPr="002B6562">
        <w:rPr>
          <w:rFonts w:eastAsiaTheme="minorHAnsi"/>
          <w:szCs w:val="22"/>
        </w:rPr>
        <w:t xml:space="preserve"> for this collection because DoD is not requesting individuals to furnish personal information for a system of records.  A System of Record Notice (SORN) </w:t>
      </w:r>
      <w:r w:rsidRPr="002B6562">
        <w:rPr>
          <w:rFonts w:eastAsiaTheme="minorHAnsi"/>
          <w:szCs w:val="22"/>
        </w:rPr>
        <w:t>is not required</w:t>
      </w:r>
      <w:r w:rsidRPr="002B6562">
        <w:rPr>
          <w:rFonts w:eastAsiaTheme="minorHAnsi"/>
          <w:szCs w:val="22"/>
        </w:rPr>
        <w:t xml:space="preserve"> for this collection because records are not retrievable by personally identifiable information.  A Privacy Impact Assessment </w:t>
      </w:r>
      <w:r w:rsidRPr="002B6562">
        <w:rPr>
          <w:rFonts w:eastAsiaTheme="minorHAnsi"/>
          <w:szCs w:val="22"/>
        </w:rPr>
        <w:t>is not required</w:t>
      </w:r>
      <w:r w:rsidRPr="002B6562">
        <w:rPr>
          <w:rFonts w:eastAsiaTheme="minorHAnsi"/>
          <w:szCs w:val="22"/>
        </w:rPr>
        <w:t xml:space="preserve"> for this collection because personally identifiable information is not being collected electronically.</w:t>
      </w:r>
    </w:p>
    <w:p w:rsidR="005E0A0F" w:rsidRPr="002B6562" w:rsidP="00FB3212" w14:paraId="64EAA73E" w14:textId="005E7426">
      <w:pPr>
        <w:pStyle w:val="NormalWeb"/>
        <w:tabs>
          <w:tab w:val="left" w:pos="360"/>
          <w:tab w:val="left" w:pos="720"/>
          <w:tab w:val="left" w:pos="1080"/>
          <w:tab w:val="left" w:pos="1440"/>
        </w:tabs>
        <w:spacing w:line="288" w:lineRule="atLeast"/>
      </w:pPr>
      <w:r w:rsidRPr="002B6562">
        <w:t>11.</w:t>
      </w:r>
      <w:r w:rsidRPr="002B6562" w:rsidR="00916AF9">
        <w:t xml:space="preserve"> </w:t>
      </w:r>
      <w:r w:rsidRPr="002B6562">
        <w:t xml:space="preserve"> </w:t>
      </w:r>
      <w:r w:rsidRPr="002B6562">
        <w:rPr>
          <w:u w:val="single"/>
        </w:rPr>
        <w:t>Sensitive Questions</w:t>
      </w:r>
    </w:p>
    <w:p w:rsidR="008F5E96" w:rsidRPr="002B6562" w:rsidP="00AC5BD4" w14:paraId="3903F543" w14:textId="6C1EBA69">
      <w:pPr>
        <w:pStyle w:val="NormalWeb"/>
        <w:tabs>
          <w:tab w:val="left" w:pos="360"/>
          <w:tab w:val="left" w:pos="720"/>
          <w:tab w:val="left" w:pos="1080"/>
          <w:tab w:val="left" w:pos="1440"/>
        </w:tabs>
        <w:spacing w:line="288" w:lineRule="atLeast"/>
      </w:pPr>
      <w:bookmarkStart w:id="8" w:name="cp456"/>
      <w:r w:rsidRPr="002B6562">
        <w:tab/>
      </w:r>
      <w:r w:rsidRPr="002B6562">
        <w:t xml:space="preserve">No questions considered sensitive are </w:t>
      </w:r>
      <w:r w:rsidRPr="002B6562">
        <w:t>being asked</w:t>
      </w:r>
      <w:r w:rsidRPr="002B6562">
        <w:t xml:space="preserve"> in this collection.</w:t>
      </w:r>
    </w:p>
    <w:p w:rsidR="005E0A0F" w:rsidRPr="002B6562" w:rsidP="00AC5BD4" w14:paraId="5189ABFA" w14:textId="0571A19C">
      <w:pPr>
        <w:pStyle w:val="NormalWeb"/>
        <w:tabs>
          <w:tab w:val="left" w:pos="360"/>
          <w:tab w:val="left" w:pos="720"/>
          <w:tab w:val="left" w:pos="1080"/>
          <w:tab w:val="left" w:pos="1440"/>
        </w:tabs>
        <w:spacing w:line="288" w:lineRule="atLeast"/>
      </w:pPr>
      <w:r w:rsidRPr="002B6562">
        <w:t>12.</w:t>
      </w:r>
      <w:r w:rsidRPr="002B6562" w:rsidR="00916AF9">
        <w:t xml:space="preserve"> </w:t>
      </w:r>
      <w:r w:rsidRPr="002B6562">
        <w:t xml:space="preserve"> </w:t>
      </w:r>
      <w:r w:rsidRPr="002B6562">
        <w:rPr>
          <w:u w:val="single"/>
        </w:rPr>
        <w:t>Respondent Burden and its Labor Costs</w:t>
      </w:r>
    </w:p>
    <w:p w:rsidR="00320550" w:rsidRPr="002B6562" w:rsidP="00771BBB" w14:paraId="29977DAC" w14:textId="2640BF34">
      <w:pPr>
        <w:pStyle w:val="NormalWeb"/>
        <w:tabs>
          <w:tab w:val="left" w:pos="360"/>
          <w:tab w:val="left" w:pos="720"/>
          <w:tab w:val="left" w:pos="1080"/>
          <w:tab w:val="left" w:pos="1440"/>
        </w:tabs>
        <w:spacing w:before="160" w:beforeAutospacing="0"/>
      </w:pPr>
      <w:bookmarkStart w:id="9" w:name="cp457"/>
      <w:bookmarkEnd w:id="8"/>
      <w:r w:rsidRPr="002B6562">
        <w:tab/>
      </w:r>
      <w:r w:rsidRPr="002B6562" w:rsidR="00C91C11">
        <w:t>In the following estimates, h</w:t>
      </w:r>
      <w:r w:rsidRPr="002B6562" w:rsidR="00B25003">
        <w:t xml:space="preserve">ourly rates </w:t>
      </w:r>
      <w:r w:rsidRPr="002B6562" w:rsidR="00C91C11">
        <w:t>are</w:t>
      </w:r>
      <w:r w:rsidRPr="002B6562" w:rsidR="00CD24A5">
        <w:t xml:space="preserve"> based on the </w:t>
      </w:r>
      <w:r w:rsidRPr="002B6562" w:rsidR="00C163A0">
        <w:t>Locality Pay Area of Rest of U.S.</w:t>
      </w:r>
      <w:r w:rsidRPr="002B6562" w:rsidR="00CD24A5">
        <w:t xml:space="preserve"> General Schedule Pay Scale for </w:t>
      </w:r>
      <w:r w:rsidRPr="002B6562" w:rsidR="00A4587F">
        <w:t>2022</w:t>
      </w:r>
      <w:r w:rsidRPr="002B6562" w:rsidR="00CD24A5">
        <w:t>, GS-14, Step 5 of $</w:t>
      </w:r>
      <w:r w:rsidRPr="002B6562" w:rsidR="00C01029">
        <w:t>67.63</w:t>
      </w:r>
      <w:r w:rsidRPr="002B6562" w:rsidR="00CD24A5">
        <w:t xml:space="preserve"> plus 36.25% </w:t>
      </w:r>
      <w:r w:rsidRPr="002B6562" w:rsidR="00C01029">
        <w:t>fringe factor</w:t>
      </w:r>
      <w:r w:rsidRPr="002B6562" w:rsidR="00D1341B">
        <w:t xml:space="preserve"> ($24.52)</w:t>
      </w:r>
      <w:r w:rsidRPr="002B6562" w:rsidR="00C01029">
        <w:t xml:space="preserve"> and 12% overhead rate</w:t>
      </w:r>
      <w:r w:rsidRPr="002B6562" w:rsidR="00D1341B">
        <w:t xml:space="preserve"> ($11.06)</w:t>
      </w:r>
      <w:r w:rsidRPr="002B6562" w:rsidR="003A5372">
        <w:t>, resulting in an hourly rate of</w:t>
      </w:r>
      <w:r w:rsidRPr="002B6562" w:rsidR="00CD24A5">
        <w:t xml:space="preserve"> $</w:t>
      </w:r>
      <w:r w:rsidRPr="002B6562" w:rsidR="00D1341B">
        <w:t>103.20</w:t>
      </w:r>
      <w:r w:rsidRPr="002B6562" w:rsidR="00CD24A5">
        <w:t>, rounded to $</w:t>
      </w:r>
      <w:r w:rsidRPr="002B6562" w:rsidR="00D1341B">
        <w:t>103</w:t>
      </w:r>
      <w:r w:rsidRPr="002B6562" w:rsidR="00581732">
        <w:t xml:space="preserve"> </w:t>
      </w:r>
      <w:r w:rsidRPr="002B6562" w:rsidR="00CD24A5">
        <w:t>per hour.</w:t>
      </w:r>
    </w:p>
    <w:p w:rsidR="00AD5097" w:rsidRPr="002B6562" w:rsidP="00320550" w14:paraId="33BCFFE2" w14:textId="13DF8029">
      <w:pPr>
        <w:pStyle w:val="NormalWeb"/>
        <w:tabs>
          <w:tab w:val="left" w:pos="360"/>
          <w:tab w:val="left" w:pos="720"/>
          <w:tab w:val="left" w:pos="1080"/>
          <w:tab w:val="left" w:pos="1440"/>
        </w:tabs>
        <w:spacing w:line="288" w:lineRule="atLeast"/>
      </w:pPr>
      <w:r w:rsidRPr="002B6562">
        <w:tab/>
      </w:r>
      <w:r w:rsidRPr="002B6562" w:rsidR="00E76B95">
        <w:t>a</w:t>
      </w:r>
      <w:r w:rsidRPr="002B6562">
        <w:t xml:space="preserve">.  </w:t>
      </w:r>
      <w:r w:rsidRPr="002B6562">
        <w:rPr>
          <w:i/>
        </w:rPr>
        <w:t>252.204-7012, Safeguarding Unclassified Controlled Technical Information</w:t>
      </w:r>
      <w:r w:rsidRPr="002B6562" w:rsidR="00E76B95">
        <w:rPr>
          <w:i/>
        </w:rPr>
        <w:t>:</w:t>
      </w:r>
    </w:p>
    <w:p w:rsidR="00614867" w:rsidRPr="002B6562" w:rsidP="00320550" w14:paraId="37D35A35" w14:textId="4EF7B828">
      <w:pPr>
        <w:pStyle w:val="NormalWeb"/>
        <w:tabs>
          <w:tab w:val="left" w:pos="360"/>
          <w:tab w:val="left" w:pos="720"/>
          <w:tab w:val="left" w:pos="1080"/>
          <w:tab w:val="left" w:pos="1440"/>
        </w:tabs>
        <w:spacing w:line="288" w:lineRule="atLeast"/>
      </w:pPr>
      <w:r w:rsidRPr="002B6562">
        <w:tab/>
      </w:r>
      <w:r w:rsidRPr="002B6562">
        <w:tab/>
        <w:t>i.  U</w:t>
      </w:r>
      <w:r w:rsidRPr="002B6562" w:rsidR="00B95526">
        <w:t xml:space="preserve">nder paragraph (b)(2)(ii)(B) </w:t>
      </w:r>
      <w:r w:rsidRPr="002B6562" w:rsidR="005E337A">
        <w:t xml:space="preserve">contractors may </w:t>
      </w:r>
      <w:r w:rsidRPr="002B6562" w:rsidR="00B95526">
        <w:t>submit requests to vary from NIST SP 800</w:t>
      </w:r>
      <w:r w:rsidRPr="002B6562" w:rsidR="00916234">
        <w:t>-171</w:t>
      </w:r>
      <w:r w:rsidRPr="002B6562" w:rsidR="002D6584">
        <w:t xml:space="preserve"> for certain covered contractor information systems</w:t>
      </w:r>
      <w:r w:rsidRPr="002B6562">
        <w:t xml:space="preserve">. </w:t>
      </w:r>
      <w:r w:rsidRPr="002B6562" w:rsidR="00916AF9">
        <w:t xml:space="preserve"> </w:t>
      </w:r>
      <w:r w:rsidRPr="002B6562">
        <w:t xml:space="preserve">DoD estimates that approximately </w:t>
      </w:r>
      <w:r w:rsidRPr="002B6562">
        <w:t>five requests to vary from NIST SP 800</w:t>
      </w:r>
      <w:r w:rsidRPr="002B6562" w:rsidR="00916234">
        <w:t>-171</w:t>
      </w:r>
      <w:r w:rsidRPr="002B6562">
        <w:t xml:space="preserve"> </w:t>
      </w:r>
      <w:r w:rsidRPr="002B6562">
        <w:t>are made</w:t>
      </w:r>
      <w:r w:rsidRPr="002B6562">
        <w:t xml:space="preserve"> each year; this estimate is increased to </w:t>
      </w:r>
      <w:r w:rsidRPr="002B6562" w:rsidR="00916AF9">
        <w:t>10</w:t>
      </w:r>
      <w:r w:rsidRPr="002B6562">
        <w:t xml:space="preserve"> to perpetuate this clearance since the Paperwork Reduction Act (PRA) applies when </w:t>
      </w:r>
      <w:r w:rsidRPr="002B6562" w:rsidR="00916AF9">
        <w:t>10</w:t>
      </w:r>
      <w:r w:rsidRPr="002B6562">
        <w:t xml:space="preserve"> or more members of the public are affected.  DoD estimates that one hour </w:t>
      </w:r>
      <w:r w:rsidRPr="002B6562">
        <w:t>is required</w:t>
      </w:r>
      <w:r w:rsidRPr="002B6562">
        <w:t xml:space="preserve"> </w:t>
      </w:r>
      <w:r w:rsidRPr="002B6562" w:rsidR="00916AF9">
        <w:t>to submit the variance request.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C00C8BF"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526807D1" w14:textId="77777777">
            <w:pPr>
              <w:pStyle w:val="NormalWeb"/>
              <w:spacing w:line="288" w:lineRule="atLeast"/>
              <w:jc w:val="center"/>
            </w:pPr>
            <w:r w:rsidRPr="002B6562">
              <w:t>Estimation of Respondent Burden Hours and Labor Costs</w:t>
            </w:r>
          </w:p>
        </w:tc>
      </w:tr>
      <w:tr w14:paraId="3C16DDD6"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45222FD6" w14:textId="3FD8FD9C">
            <w:pPr>
              <w:tabs>
                <w:tab w:val="left" w:pos="360"/>
              </w:tabs>
              <w:rPr>
                <w:color w:val="000000"/>
              </w:rPr>
            </w:pPr>
            <w:r w:rsidRPr="002B6562">
              <w:rPr>
                <w:color w:val="000000"/>
              </w:rPr>
              <w:t>Number of respondents</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4B9206AC" w14:textId="77777777">
            <w:pPr>
              <w:pStyle w:val="NormalWeb"/>
              <w:spacing w:before="0" w:beforeAutospacing="0" w:after="0" w:afterAutospacing="0"/>
              <w:jc w:val="right"/>
            </w:pPr>
            <w:r w:rsidRPr="002B6562">
              <w:t>10</w:t>
            </w:r>
          </w:p>
        </w:tc>
      </w:tr>
      <w:tr w14:paraId="70EDF531"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54491D0E" w14:textId="78B7AAC9">
            <w:pPr>
              <w:tabs>
                <w:tab w:val="left" w:pos="360"/>
              </w:tabs>
              <w:rPr>
                <w:color w:val="000000"/>
              </w:rPr>
            </w:pPr>
            <w:r w:rsidRPr="002B6562">
              <w:rPr>
                <w:color w:val="000000"/>
              </w:rPr>
              <w:t>Responses per respondent</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13EC7269" w14:textId="77777777">
            <w:pPr>
              <w:pStyle w:val="NormalWeb"/>
              <w:spacing w:before="0" w:beforeAutospacing="0" w:after="0" w:afterAutospacing="0"/>
              <w:contextualSpacing/>
              <w:jc w:val="right"/>
            </w:pPr>
            <w:r w:rsidRPr="002B6562">
              <w:t>1</w:t>
            </w:r>
          </w:p>
        </w:tc>
      </w:tr>
      <w:tr w14:paraId="6C9CBE23"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73E44AD7" w14:textId="5B47D4A4">
            <w:pPr>
              <w:tabs>
                <w:tab w:val="left" w:pos="360"/>
              </w:tabs>
              <w:rPr>
                <w:color w:val="000000"/>
              </w:rPr>
            </w:pPr>
            <w:r w:rsidRPr="002B6562">
              <w:rPr>
                <w:color w:val="000000"/>
              </w:rPr>
              <w:t>Number of responses</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181805A1" w14:textId="77777777">
            <w:pPr>
              <w:pStyle w:val="NormalWeb"/>
              <w:spacing w:before="0" w:beforeAutospacing="0" w:after="0" w:afterAutospacing="0"/>
              <w:contextualSpacing/>
              <w:jc w:val="right"/>
            </w:pPr>
            <w:r w:rsidRPr="002B6562">
              <w:t>10</w:t>
            </w:r>
          </w:p>
        </w:tc>
      </w:tr>
      <w:tr w14:paraId="35E1704C"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54373DF3" w14:textId="126776DE">
            <w:pPr>
              <w:tabs>
                <w:tab w:val="left" w:pos="360"/>
              </w:tabs>
              <w:rPr>
                <w:color w:val="000000"/>
              </w:rPr>
            </w:pPr>
            <w:r w:rsidRPr="002B6562">
              <w:rPr>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66506938" w14:textId="77777777">
            <w:pPr>
              <w:pStyle w:val="NormalWeb"/>
              <w:spacing w:before="0" w:beforeAutospacing="0" w:after="0" w:afterAutospacing="0"/>
              <w:contextualSpacing/>
              <w:jc w:val="right"/>
            </w:pPr>
            <w:r w:rsidRPr="002B6562">
              <w:t>1</w:t>
            </w:r>
          </w:p>
        </w:tc>
      </w:tr>
      <w:tr w14:paraId="2DF8B701"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249DDD1E" w14:textId="77777777">
            <w:pPr>
              <w:tabs>
                <w:tab w:val="left" w:pos="360"/>
              </w:tabs>
              <w:rPr>
                <w:color w:val="000000"/>
              </w:rPr>
            </w:pPr>
            <w:r w:rsidRPr="002B6562">
              <w:rPr>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573882A4" w14:textId="77777777">
            <w:pPr>
              <w:pStyle w:val="NormalWeb"/>
              <w:spacing w:before="0" w:beforeAutospacing="0" w:after="0" w:afterAutospacing="0"/>
              <w:contextualSpacing/>
              <w:jc w:val="right"/>
            </w:pPr>
            <w:r w:rsidRPr="002B6562">
              <w:t>10</w:t>
            </w:r>
          </w:p>
        </w:tc>
      </w:tr>
      <w:tr w14:paraId="2E0642DE"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39916AA5" w14:textId="77777777">
            <w:pPr>
              <w:tabs>
                <w:tab w:val="left" w:pos="360"/>
              </w:tabs>
              <w:rPr>
                <w:color w:val="000000"/>
              </w:rPr>
            </w:pPr>
            <w:r w:rsidRPr="002B6562">
              <w:rPr>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0F62B5" w14:paraId="1AB50825" w14:textId="1CF3F29B">
            <w:pPr>
              <w:pStyle w:val="NormalWeb"/>
              <w:spacing w:before="0" w:beforeAutospacing="0" w:after="0" w:afterAutospacing="0"/>
              <w:contextualSpacing/>
              <w:jc w:val="right"/>
            </w:pPr>
            <w:r w:rsidRPr="002B6562">
              <w:t>$</w:t>
            </w:r>
            <w:r w:rsidRPr="002B6562" w:rsidR="00BF5095">
              <w:t>103</w:t>
            </w:r>
          </w:p>
        </w:tc>
      </w:tr>
      <w:tr w14:paraId="709571D2"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414006CE" w14:textId="77777777">
            <w:pPr>
              <w:tabs>
                <w:tab w:val="left" w:pos="360"/>
              </w:tabs>
              <w:rPr>
                <w:color w:val="000000"/>
              </w:rPr>
            </w:pPr>
            <w:r w:rsidRPr="002B6562">
              <w:rPr>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0F62B5" w14:paraId="5051E39A" w14:textId="55AED4B6">
            <w:pPr>
              <w:pStyle w:val="NormalWeb"/>
              <w:spacing w:before="0" w:beforeAutospacing="0" w:after="0" w:afterAutospacing="0"/>
              <w:contextualSpacing/>
              <w:jc w:val="right"/>
            </w:pPr>
            <w:r w:rsidRPr="002B6562">
              <w:t>$</w:t>
            </w:r>
            <w:r w:rsidRPr="002B6562" w:rsidR="00D616C9">
              <w:t>1,030</w:t>
            </w:r>
          </w:p>
        </w:tc>
      </w:tr>
    </w:tbl>
    <w:p w:rsidR="00AD5097" w:rsidRPr="002B6562" w:rsidP="00320550" w14:paraId="303C6E31" w14:textId="38AE8E88">
      <w:pPr>
        <w:pStyle w:val="NormalWeb"/>
        <w:tabs>
          <w:tab w:val="left" w:pos="360"/>
          <w:tab w:val="left" w:pos="720"/>
          <w:tab w:val="left" w:pos="1080"/>
          <w:tab w:val="left" w:pos="1440"/>
        </w:tabs>
        <w:spacing w:line="288" w:lineRule="atLeast"/>
      </w:pPr>
      <w:r w:rsidRPr="002B6562">
        <w:tab/>
      </w:r>
      <w:r w:rsidRPr="002B6562">
        <w:tab/>
        <w:t>ii.  U</w:t>
      </w:r>
      <w:r w:rsidRPr="002B6562" w:rsidR="00EF1766">
        <w:t>nder paragraph</w:t>
      </w:r>
      <w:r w:rsidRPr="002B6562" w:rsidR="00B95526">
        <w:t xml:space="preserve"> (c)(1)(ii)</w:t>
      </w:r>
      <w:r w:rsidRPr="002B6562" w:rsidR="005E337A">
        <w:t xml:space="preserve">, </w:t>
      </w:r>
      <w:r w:rsidRPr="002B6562">
        <w:t xml:space="preserve">contractors shall </w:t>
      </w:r>
      <w:r w:rsidRPr="002B6562" w:rsidR="00EF1766">
        <w:t>rapidly report cyber incidents to DoD</w:t>
      </w:r>
      <w:r w:rsidRPr="002B6562">
        <w:t>.</w:t>
      </w:r>
      <w:r w:rsidRPr="002B6562" w:rsidR="00EF1766">
        <w:t xml:space="preserve"> </w:t>
      </w:r>
      <w:r w:rsidRPr="002B6562" w:rsidR="00916AF9">
        <w:t xml:space="preserve"> </w:t>
      </w:r>
      <w:r w:rsidRPr="002B6562">
        <w:t xml:space="preserve">Approximately </w:t>
      </w:r>
      <w:r w:rsidRPr="002B6562" w:rsidR="00ED1244">
        <w:t xml:space="preserve">518 </w:t>
      </w:r>
      <w:r w:rsidRPr="002B6562">
        <w:t xml:space="preserve">cyber incident reports </w:t>
      </w:r>
      <w:r w:rsidRPr="002B6562">
        <w:t>are submitted</w:t>
      </w:r>
      <w:r w:rsidRPr="002B6562">
        <w:t xml:space="preserve"> each year, and it can take from a few minutes to complete up to eight hours; therefore, </w:t>
      </w:r>
      <w:r w:rsidRPr="002B6562" w:rsidR="007F084F">
        <w:t xml:space="preserve">an estimated five </w:t>
      </w:r>
      <w:r w:rsidRPr="002B6562">
        <w:t xml:space="preserve">hours is used to calculate the burden hours.  Further, under paragraph (g), contractors shall provide media, when requested, to enable the Government to perform damage assessment.  </w:t>
      </w:r>
      <w:r w:rsidRPr="002B6562" w:rsidR="001A07C7">
        <w:t>In FY 202</w:t>
      </w:r>
      <w:r w:rsidRPr="002B6562" w:rsidR="00695B28">
        <w:t>4</w:t>
      </w:r>
      <w:r w:rsidRPr="002B6562" w:rsidR="001A07C7">
        <w:t xml:space="preserve">, there were </w:t>
      </w:r>
      <w:r w:rsidRPr="002B6562" w:rsidR="00ED1244">
        <w:t xml:space="preserve">56 </w:t>
      </w:r>
      <w:r w:rsidRPr="002B6562" w:rsidR="001A07C7">
        <w:t xml:space="preserve">media submissions.  </w:t>
      </w:r>
      <w:r w:rsidRPr="002B6562">
        <w:t xml:space="preserve">DoD estimates that approximately </w:t>
      </w:r>
      <w:r w:rsidRPr="002B6562" w:rsidR="00ED1244">
        <w:t xml:space="preserve">56 </w:t>
      </w:r>
      <w:r w:rsidRPr="002B6562">
        <w:t>contractors</w:t>
      </w:r>
      <w:r w:rsidRPr="002B6562" w:rsidR="00A03ABD">
        <w:t xml:space="preserve"> of the </w:t>
      </w:r>
      <w:r w:rsidRPr="002B6562" w:rsidR="00ED1244">
        <w:t xml:space="preserve">518 </w:t>
      </w:r>
      <w:r w:rsidRPr="002B6562" w:rsidR="00A03ABD">
        <w:t>contractors submitting cyber incident reports</w:t>
      </w:r>
      <w:r w:rsidRPr="002B6562">
        <w:t xml:space="preserve"> will </w:t>
      </w:r>
      <w:r w:rsidRPr="002B6562">
        <w:t>be required</w:t>
      </w:r>
      <w:r w:rsidRPr="002B6562">
        <w:t xml:space="preserve"> each year to provide media for damage assessments, and, on average, it takes 10 hours to</w:t>
      </w:r>
      <w:r w:rsidRPr="002B6562" w:rsidR="00916AF9">
        <w:t xml:space="preserve"> prepare and submit the media.</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B5EBECE"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195C0CAB" w14:textId="77777777">
            <w:pPr>
              <w:pStyle w:val="NormalWeb"/>
              <w:spacing w:line="288" w:lineRule="atLeast"/>
              <w:jc w:val="center"/>
            </w:pPr>
            <w:r w:rsidRPr="002B6562">
              <w:t>Estimation of Respondent Burden Hours and Labor Costs</w:t>
            </w:r>
          </w:p>
        </w:tc>
      </w:tr>
      <w:tr w14:paraId="3CD7AAB2"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7CCAD7FF" w14:textId="14BDDE97">
            <w:pPr>
              <w:tabs>
                <w:tab w:val="left" w:pos="360"/>
              </w:tabs>
              <w:rPr>
                <w:color w:val="000000"/>
              </w:rPr>
            </w:pPr>
            <w:r w:rsidRPr="002B6562">
              <w:rPr>
                <w:color w:val="000000"/>
              </w:rPr>
              <w:t>Number of respondents</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0CCD58E3" w14:textId="31F17ECB">
            <w:pPr>
              <w:pStyle w:val="NormalWeb"/>
              <w:spacing w:before="0" w:beforeAutospacing="0" w:after="0" w:afterAutospacing="0"/>
              <w:jc w:val="right"/>
            </w:pPr>
            <w:r w:rsidRPr="002B6562">
              <w:t>518</w:t>
            </w:r>
          </w:p>
        </w:tc>
      </w:tr>
      <w:tr w14:paraId="709D051C"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38BC4B47" w14:textId="3A44B7CE">
            <w:pPr>
              <w:tabs>
                <w:tab w:val="left" w:pos="360"/>
              </w:tabs>
              <w:rPr>
                <w:color w:val="000000"/>
              </w:rPr>
            </w:pPr>
            <w:r w:rsidRPr="002B6562">
              <w:rPr>
                <w:color w:val="000000"/>
              </w:rPr>
              <w:t>Responses per respondent</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270295" w14:paraId="2AA0A9C0" w14:textId="3DEE88D5">
            <w:pPr>
              <w:pStyle w:val="NormalWeb"/>
              <w:spacing w:before="0" w:beforeAutospacing="0" w:after="0" w:afterAutospacing="0"/>
              <w:contextualSpacing/>
              <w:jc w:val="right"/>
            </w:pPr>
            <w:r w:rsidRPr="002B6562">
              <w:t>1</w:t>
            </w:r>
          </w:p>
        </w:tc>
      </w:tr>
      <w:tr w14:paraId="28625BD7"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52DA059F" w14:textId="0C4715E6">
            <w:pPr>
              <w:tabs>
                <w:tab w:val="left" w:pos="360"/>
              </w:tabs>
              <w:rPr>
                <w:color w:val="000000"/>
              </w:rPr>
            </w:pPr>
            <w:r w:rsidRPr="002B6562">
              <w:rPr>
                <w:color w:val="000000"/>
              </w:rPr>
              <w:t>Number of responses</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1A07C7" w14:paraId="111687BF" w14:textId="189A0E6F">
            <w:pPr>
              <w:pStyle w:val="NormalWeb"/>
              <w:spacing w:before="0" w:beforeAutospacing="0" w:after="0" w:afterAutospacing="0"/>
              <w:contextualSpacing/>
              <w:jc w:val="right"/>
            </w:pPr>
            <w:r w:rsidRPr="002B6562">
              <w:t>518</w:t>
            </w:r>
          </w:p>
        </w:tc>
      </w:tr>
      <w:tr w14:paraId="59884371"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606A1C72" w14:textId="48366795">
            <w:pPr>
              <w:tabs>
                <w:tab w:val="left" w:pos="360"/>
              </w:tabs>
              <w:rPr>
                <w:color w:val="000000"/>
              </w:rPr>
            </w:pPr>
            <w:r w:rsidRPr="002B6562">
              <w:rPr>
                <w:color w:val="000000"/>
              </w:rPr>
              <w:t>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1A07C7" w14:paraId="61D23D58" w14:textId="3C328D3C">
            <w:pPr>
              <w:pStyle w:val="NormalWeb"/>
              <w:spacing w:before="0" w:beforeAutospacing="0" w:after="0" w:afterAutospacing="0"/>
              <w:contextualSpacing/>
              <w:jc w:val="right"/>
            </w:pPr>
            <w:r w:rsidRPr="002B6562">
              <w:t>5</w:t>
            </w:r>
          </w:p>
        </w:tc>
      </w:tr>
      <w:tr w14:paraId="6E527EA8"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5B902429" w14:textId="77777777">
            <w:pPr>
              <w:tabs>
                <w:tab w:val="left" w:pos="360"/>
              </w:tabs>
              <w:rPr>
                <w:color w:val="000000"/>
              </w:rPr>
            </w:pPr>
            <w:r w:rsidRPr="002B6562">
              <w:rPr>
                <w:color w:val="000000"/>
              </w:rPr>
              <w:t>Estimated hours (number of responses multiplied hours per response)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43C81821" w14:textId="799CC550">
            <w:pPr>
              <w:pStyle w:val="NormalWeb"/>
              <w:spacing w:before="0" w:beforeAutospacing="0" w:after="0" w:afterAutospacing="0"/>
              <w:contextualSpacing/>
              <w:jc w:val="right"/>
            </w:pPr>
            <w:r w:rsidRPr="002B6562">
              <w:t>2,590</w:t>
            </w:r>
          </w:p>
        </w:tc>
      </w:tr>
      <w:tr w14:paraId="28F4B0B2"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6DD1D69C" w14:textId="15CF0EA0">
            <w:pPr>
              <w:tabs>
                <w:tab w:val="left" w:pos="360"/>
              </w:tabs>
              <w:rPr>
                <w:color w:val="000000"/>
              </w:rPr>
            </w:pPr>
            <w:r w:rsidRPr="002B6562">
              <w:rPr>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0F62B5" w14:paraId="262307F3" w14:textId="0E4A8FC4">
            <w:pPr>
              <w:pStyle w:val="NormalWeb"/>
              <w:spacing w:before="0" w:beforeAutospacing="0" w:after="0" w:afterAutospacing="0"/>
              <w:contextualSpacing/>
              <w:jc w:val="right"/>
            </w:pPr>
            <w:r w:rsidRPr="002B6562">
              <w:t>$</w:t>
            </w:r>
            <w:r w:rsidRPr="002B6562" w:rsidR="00BF5095">
              <w:t>103</w:t>
            </w:r>
          </w:p>
        </w:tc>
      </w:tr>
      <w:tr w14:paraId="477784DD" w14:textId="77777777" w:rsidTr="0062058D">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AD5097" w:rsidRPr="002B6562" w:rsidP="0062058D" w14:paraId="4E2B7813" w14:textId="77777777">
            <w:pPr>
              <w:tabs>
                <w:tab w:val="left" w:pos="360"/>
              </w:tabs>
              <w:rPr>
                <w:color w:val="000000"/>
              </w:rPr>
            </w:pPr>
            <w:r w:rsidRPr="002B6562">
              <w:rPr>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AD5097" w:rsidRPr="002B6562" w:rsidP="0062058D" w14:paraId="74AA61D1" w14:textId="7F0FD0DF">
            <w:pPr>
              <w:pStyle w:val="NormalWeb"/>
              <w:spacing w:before="0" w:beforeAutospacing="0" w:after="0" w:afterAutospacing="0"/>
              <w:contextualSpacing/>
              <w:jc w:val="right"/>
            </w:pPr>
            <w:r w:rsidRPr="002B6562">
              <w:t>$</w:t>
            </w:r>
            <w:r w:rsidRPr="002B6562" w:rsidR="00D616C9">
              <w:t>266,770</w:t>
            </w:r>
          </w:p>
        </w:tc>
      </w:tr>
    </w:tbl>
    <w:p w:rsidR="00D3119C" w:rsidRPr="002B6562" w:rsidP="00D3119C" w14:paraId="498B1AF2" w14:textId="48E975CB">
      <w:pPr>
        <w:pStyle w:val="NormalWeb"/>
        <w:tabs>
          <w:tab w:val="left" w:pos="360"/>
          <w:tab w:val="left" w:pos="720"/>
          <w:tab w:val="left" w:pos="1080"/>
          <w:tab w:val="left" w:pos="1440"/>
        </w:tabs>
        <w:spacing w:line="288" w:lineRule="atLeast"/>
        <w:rPr>
          <w:rFonts w:eastAsiaTheme="minorHAnsi"/>
        </w:rPr>
      </w:pPr>
      <w:r w:rsidRPr="002B6562">
        <w:tab/>
      </w:r>
      <w:r w:rsidRPr="002B6562">
        <w:rPr>
          <w:rFonts w:eastAsiaTheme="minorHAnsi"/>
        </w:rPr>
        <w:tab/>
      </w:r>
      <w:r w:rsidRPr="002B6562">
        <w:t xml:space="preserve">iii.  The total estimated </w:t>
      </w:r>
      <w:r w:rsidRPr="002B6562" w:rsidR="006358CD">
        <w:t>respondent burden hours and respondent labor cost under</w:t>
      </w:r>
      <w:r w:rsidRPr="002B6562">
        <w:t xml:space="preserve"> 252.204-7012 for contractors to</w:t>
      </w:r>
      <w:r w:rsidRPr="002B6562" w:rsidR="00705DBB">
        <w:t>: 1)</w:t>
      </w:r>
      <w:r w:rsidRPr="002B6562">
        <w:t xml:space="preserve"> submit requests to vary from NIST SP 800-171 for certain covered contractor information systems, under paragraph (b)(2)(ii)(B); </w:t>
      </w:r>
      <w:r w:rsidRPr="002B6562" w:rsidR="00705DBB">
        <w:t xml:space="preserve">2) </w:t>
      </w:r>
      <w:r w:rsidRPr="002B6562">
        <w:t>rapidly report cyber incidents to DoD, under paragraph (c)(1)(ii); and</w:t>
      </w:r>
      <w:r w:rsidRPr="002B6562" w:rsidR="00705DBB">
        <w:t xml:space="preserve"> 3) </w:t>
      </w:r>
      <w:r w:rsidRPr="002B6562" w:rsidR="00697DF8">
        <w:t>provide media for damage assessments,</w:t>
      </w:r>
      <w:r w:rsidRPr="002B6562">
        <w:t xml:space="preserve"> under</w:t>
      </w:r>
      <w:r w:rsidRPr="002B6562" w:rsidR="00697DF8">
        <w:t xml:space="preserve"> paragraph (g)</w:t>
      </w:r>
      <w:r w:rsidRPr="002B6562" w:rsidR="00705DBB">
        <w:t>,</w:t>
      </w:r>
      <w:r w:rsidRPr="002B6562" w:rsidR="006358CD">
        <w:t xml:space="preserve"> are </w:t>
      </w:r>
      <w:r w:rsidRPr="002B6562" w:rsidR="00916AF9">
        <w:t>described in the tables below.</w:t>
      </w:r>
    </w:p>
    <w:p w:rsidR="00D3119C" w:rsidRPr="002B6562" w:rsidP="00D3119C" w14:paraId="706DB3E7" w14:textId="6A43085B">
      <w:pPr>
        <w:pStyle w:val="NormalWeb"/>
        <w:tabs>
          <w:tab w:val="left" w:pos="360"/>
          <w:tab w:val="left" w:pos="720"/>
          <w:tab w:val="left" w:pos="1080"/>
          <w:tab w:val="left" w:pos="1440"/>
        </w:tabs>
        <w:spacing w:line="288" w:lineRule="atLeast"/>
      </w:pPr>
      <w:r w:rsidRPr="002B6562">
        <w:rPr>
          <w:rFonts w:eastAsiaTheme="minorHAnsi"/>
        </w:rPr>
        <w:tab/>
      </w:r>
      <w:r w:rsidRPr="002B6562">
        <w:rPr>
          <w:rFonts w:eastAsiaTheme="minorHAnsi"/>
        </w:rPr>
        <w:tab/>
      </w:r>
      <w:r w:rsidRPr="002B6562">
        <w:rPr>
          <w:rFonts w:eastAsiaTheme="minorHAnsi"/>
        </w:rPr>
        <w:tab/>
      </w:r>
      <w:r w:rsidRPr="002B6562">
        <w:rPr>
          <w:rFonts w:eastAsiaTheme="minorHAnsi"/>
        </w:rPr>
        <w:t xml:space="preserve">1.  </w:t>
      </w:r>
      <w:r w:rsidRPr="002B6562">
        <w:rPr>
          <w:rFonts w:eastAsiaTheme="minorHAnsi"/>
          <w:u w:val="single"/>
        </w:rPr>
        <w:t>Estimation of Respondent Burden</w:t>
      </w:r>
    </w:p>
    <w:p w:rsidR="00C809EC" w:rsidRPr="002B6562" w:rsidP="00D3119C" w14:paraId="01F2F063" w14:textId="240B72E2">
      <w:pPr>
        <w:pStyle w:val="NormalWeb"/>
        <w:tabs>
          <w:tab w:val="left" w:pos="360"/>
          <w:tab w:val="left" w:pos="720"/>
          <w:tab w:val="left" w:pos="1080"/>
          <w:tab w:val="left" w:pos="1440"/>
        </w:tabs>
        <w:spacing w:line="288" w:lineRule="atLeast"/>
      </w:pPr>
      <w:r w:rsidRPr="002B6562">
        <w:tab/>
      </w:r>
      <w:r w:rsidRPr="002B6562">
        <w:t>The num</w:t>
      </w:r>
      <w:r w:rsidRPr="002B6562" w:rsidR="00A03ABD">
        <w:t>ber of r</w:t>
      </w:r>
      <w:r w:rsidRPr="002B6562">
        <w:t>espondent</w:t>
      </w:r>
      <w:r w:rsidRPr="002B6562" w:rsidR="00A03ABD">
        <w:t>s</w:t>
      </w:r>
      <w:r w:rsidRPr="002B6562">
        <w:t xml:space="preserve"> </w:t>
      </w:r>
      <w:r w:rsidRPr="002B6562" w:rsidR="00A139D6">
        <w:t>i</w:t>
      </w:r>
      <w:r w:rsidRPr="002B6562" w:rsidR="00A03ABD">
        <w:t>ncludes</w:t>
      </w:r>
      <w:r w:rsidRPr="002B6562">
        <w:t xml:space="preserve"> </w:t>
      </w:r>
      <w:r w:rsidRPr="002B6562" w:rsidR="00574FE6">
        <w:t xml:space="preserve">the </w:t>
      </w:r>
      <w:r w:rsidRPr="002B6562" w:rsidR="0014639B">
        <w:t xml:space="preserve">56 </w:t>
      </w:r>
      <w:r w:rsidRPr="002B6562" w:rsidR="00A03ABD">
        <w:t xml:space="preserve">respondents for </w:t>
      </w:r>
      <w:r w:rsidRPr="002B6562">
        <w:t>media submissions as par</w:t>
      </w:r>
      <w:r w:rsidRPr="002B6562" w:rsidR="00A03ABD">
        <w:t xml:space="preserve">t of the </w:t>
      </w:r>
      <w:r w:rsidRPr="002B6562" w:rsidR="0014639B">
        <w:t xml:space="preserve">518 </w:t>
      </w:r>
      <w:r w:rsidRPr="002B6562" w:rsidR="00A03ABD">
        <w:t>cyber incident respondents.  The number of respondents includes</w:t>
      </w:r>
      <w:r w:rsidRPr="002B6562" w:rsidR="00A139D6">
        <w:t xml:space="preserve"> the estimated </w:t>
      </w:r>
      <w:r w:rsidRPr="002B6562" w:rsidR="0014639B">
        <w:t xml:space="preserve">518 </w:t>
      </w:r>
      <w:r w:rsidRPr="002B6562" w:rsidR="00A139D6">
        <w:t>respondents for cyber incidents and 10 respondents for requests to vary from NIST SP 800-171</w:t>
      </w:r>
      <w:r w:rsidRPr="002B6562">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BE6C25" w14:textId="77777777" w:rsidTr="57AD6B6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3119C" w:rsidRPr="002B6562" w:rsidP="0062058D" w14:paraId="3B9BA2B9" w14:textId="77777777">
            <w:pPr>
              <w:spacing w:before="100" w:beforeAutospacing="1" w:after="100" w:afterAutospacing="1" w:line="288" w:lineRule="atLeast"/>
              <w:jc w:val="center"/>
            </w:pPr>
            <w:r w:rsidRPr="002B6562">
              <w:t>Estimation of Respondent Burden Hours:  252.204-7012</w:t>
            </w:r>
          </w:p>
        </w:tc>
      </w:tr>
      <w:tr w14:paraId="3466FA67" w14:textId="77777777" w:rsidTr="57AD6B6D">
        <w:tblPrEx>
          <w:tblW w:w="9270" w:type="dxa"/>
          <w:tblInd w:w="108" w:type="dxa"/>
          <w:tblLook w:val="04A0"/>
        </w:tblPrEx>
        <w:trPr>
          <w:trHeight w:val="485"/>
        </w:trPr>
        <w:tc>
          <w:tcPr>
            <w:tcW w:w="7020" w:type="dxa"/>
            <w:shd w:val="clear" w:color="auto" w:fill="auto"/>
            <w:vAlign w:val="center"/>
          </w:tcPr>
          <w:p w:rsidR="00F9246C" w:rsidRPr="0077054D" w:rsidP="00F9246C" w14:paraId="1047B896" w14:textId="4C3036E0">
            <w:pPr>
              <w:tabs>
                <w:tab w:val="left" w:pos="360"/>
              </w:tabs>
              <w:rPr>
                <w:i/>
                <w:iCs/>
                <w:color w:val="000000"/>
              </w:rPr>
            </w:pPr>
            <w:bookmarkStart w:id="10" w:name="cp458"/>
            <w:r w:rsidRPr="002B6562">
              <w:rPr>
                <w:color w:val="000000"/>
              </w:rPr>
              <w:t>Number of respondents</w:t>
            </w:r>
            <w:r w:rsidRPr="002B6562" w:rsidR="00695B28">
              <w:rPr>
                <w:color w:val="000000"/>
              </w:rPr>
              <w:t xml:space="preserve"> </w:t>
            </w:r>
            <w:r w:rsidRPr="002B6562" w:rsidR="00695B28">
              <w:rPr>
                <w:i/>
                <w:iCs/>
                <w:color w:val="000000"/>
              </w:rPr>
              <w:t xml:space="preserve">(from </w:t>
            </w:r>
            <w:r w:rsidRPr="002B6562" w:rsidR="00695B28">
              <w:rPr>
                <w:i/>
                <w:iCs/>
                <w:color w:val="000000"/>
              </w:rPr>
              <w:t>12.a.i.</w:t>
            </w:r>
            <w:r w:rsidRPr="002B6562" w:rsidR="00695B28">
              <w:rPr>
                <w:i/>
                <w:iCs/>
                <w:color w:val="000000"/>
              </w:rPr>
              <w:t xml:space="preserve"> and 12.a.ii.)</w:t>
            </w:r>
          </w:p>
        </w:tc>
        <w:tc>
          <w:tcPr>
            <w:tcW w:w="2250" w:type="dxa"/>
            <w:shd w:val="clear" w:color="auto" w:fill="auto"/>
            <w:vAlign w:val="center"/>
          </w:tcPr>
          <w:p w:rsidR="00F9246C" w:rsidRPr="002B6562" w:rsidP="0062058D" w14:paraId="2A81109C" w14:textId="1B9EC3E9">
            <w:pPr>
              <w:jc w:val="right"/>
            </w:pPr>
            <w:r>
              <w:t>528</w:t>
            </w:r>
          </w:p>
        </w:tc>
      </w:tr>
      <w:tr w14:paraId="65486CB6" w14:textId="77777777" w:rsidTr="57AD6B6D">
        <w:tblPrEx>
          <w:tblW w:w="9270" w:type="dxa"/>
          <w:tblInd w:w="108" w:type="dxa"/>
          <w:tblLook w:val="04A0"/>
        </w:tblPrEx>
        <w:trPr>
          <w:trHeight w:val="422"/>
        </w:trPr>
        <w:tc>
          <w:tcPr>
            <w:tcW w:w="7020" w:type="dxa"/>
            <w:shd w:val="clear" w:color="auto" w:fill="auto"/>
            <w:vAlign w:val="center"/>
          </w:tcPr>
          <w:p w:rsidR="00F9246C" w:rsidRPr="002B6562" w:rsidP="00F9246C" w14:paraId="6DA11110" w14:textId="77777777">
            <w:pPr>
              <w:tabs>
                <w:tab w:val="left" w:pos="360"/>
              </w:tabs>
              <w:rPr>
                <w:color w:val="000000"/>
              </w:rPr>
            </w:pPr>
            <w:r w:rsidRPr="002B6562">
              <w:rPr>
                <w:color w:val="000000"/>
              </w:rPr>
              <w:t>Number of responses per respondent</w:t>
            </w:r>
          </w:p>
        </w:tc>
        <w:tc>
          <w:tcPr>
            <w:tcW w:w="2250" w:type="dxa"/>
            <w:shd w:val="clear" w:color="auto" w:fill="auto"/>
            <w:vAlign w:val="center"/>
          </w:tcPr>
          <w:p w:rsidR="00F9246C" w:rsidRPr="002B6562" w:rsidP="00F9246C" w14:paraId="5718963C" w14:textId="4217A702">
            <w:pPr>
              <w:contextualSpacing/>
              <w:jc w:val="right"/>
            </w:pPr>
            <w:r w:rsidRPr="002B6562">
              <w:t>1</w:t>
            </w:r>
          </w:p>
        </w:tc>
      </w:tr>
      <w:tr w14:paraId="04A7BE3D" w14:textId="77777777" w:rsidTr="57AD6B6D">
        <w:tblPrEx>
          <w:tblW w:w="9270" w:type="dxa"/>
          <w:tblInd w:w="108" w:type="dxa"/>
          <w:tblLook w:val="04A0"/>
        </w:tblPrEx>
        <w:trPr>
          <w:trHeight w:val="431"/>
        </w:trPr>
        <w:tc>
          <w:tcPr>
            <w:tcW w:w="7020" w:type="dxa"/>
            <w:shd w:val="clear" w:color="auto" w:fill="auto"/>
            <w:vAlign w:val="center"/>
          </w:tcPr>
          <w:p w:rsidR="00F9246C" w:rsidRPr="002B6562" w:rsidP="00F9246C" w14:paraId="267F780E" w14:textId="37173879">
            <w:pPr>
              <w:tabs>
                <w:tab w:val="left" w:pos="360"/>
              </w:tabs>
              <w:rPr>
                <w:color w:val="000000"/>
              </w:rPr>
            </w:pPr>
            <w:r w:rsidRPr="002B6562">
              <w:rPr>
                <w:color w:val="000000"/>
              </w:rPr>
              <w:t>Number of total annual responses</w:t>
            </w:r>
            <w:r w:rsidRPr="002B6562" w:rsidR="00695B28">
              <w:rPr>
                <w:color w:val="000000"/>
              </w:rPr>
              <w:t xml:space="preserve"> </w:t>
            </w:r>
            <w:r w:rsidRPr="002B6562" w:rsidR="00695B28">
              <w:rPr>
                <w:i/>
                <w:iCs/>
                <w:color w:val="000000"/>
              </w:rPr>
              <w:t xml:space="preserve">(from </w:t>
            </w:r>
            <w:r w:rsidRPr="002B6562" w:rsidR="00695B28">
              <w:rPr>
                <w:i/>
                <w:iCs/>
                <w:color w:val="000000"/>
              </w:rPr>
              <w:t>12.a.i.</w:t>
            </w:r>
            <w:r w:rsidRPr="002B6562" w:rsidR="00695B28">
              <w:rPr>
                <w:i/>
                <w:iCs/>
                <w:color w:val="000000"/>
              </w:rPr>
              <w:t xml:space="preserve"> and 12.a.ii.)</w:t>
            </w:r>
          </w:p>
        </w:tc>
        <w:tc>
          <w:tcPr>
            <w:tcW w:w="2250" w:type="dxa"/>
            <w:shd w:val="clear" w:color="auto" w:fill="auto"/>
            <w:vAlign w:val="center"/>
          </w:tcPr>
          <w:p w:rsidR="00F9246C" w:rsidRPr="002B6562" w:rsidP="00F9246C" w14:paraId="032D872F" w14:textId="34CE8694">
            <w:pPr>
              <w:contextualSpacing/>
              <w:jc w:val="right"/>
            </w:pPr>
            <w:r w:rsidRPr="002B6562">
              <w:t>528</w:t>
            </w:r>
          </w:p>
        </w:tc>
      </w:tr>
      <w:tr w14:paraId="4F90210F" w14:textId="77777777" w:rsidTr="57AD6B6D">
        <w:tblPrEx>
          <w:tblW w:w="9270" w:type="dxa"/>
          <w:tblInd w:w="108" w:type="dxa"/>
          <w:tblLook w:val="04A0"/>
        </w:tblPrEx>
        <w:trPr>
          <w:trHeight w:val="440"/>
        </w:trPr>
        <w:tc>
          <w:tcPr>
            <w:tcW w:w="7020" w:type="dxa"/>
            <w:shd w:val="clear" w:color="auto" w:fill="auto"/>
            <w:vAlign w:val="center"/>
          </w:tcPr>
          <w:p w:rsidR="00D3119C" w:rsidRPr="002B6562" w:rsidP="0062058D" w14:paraId="3239EB6D" w14:textId="77777777">
            <w:pPr>
              <w:tabs>
                <w:tab w:val="left" w:pos="360"/>
              </w:tabs>
              <w:rPr>
                <w:color w:val="000000"/>
              </w:rPr>
            </w:pPr>
            <w:r w:rsidRPr="002B6562">
              <w:rPr>
                <w:color w:val="000000"/>
              </w:rPr>
              <w:t>Hours per response</w:t>
            </w:r>
          </w:p>
        </w:tc>
        <w:tc>
          <w:tcPr>
            <w:tcW w:w="2250" w:type="dxa"/>
            <w:shd w:val="clear" w:color="auto" w:fill="auto"/>
            <w:vAlign w:val="center"/>
          </w:tcPr>
          <w:p w:rsidR="00D3119C" w:rsidRPr="002B6562" w:rsidP="0062058D" w14:paraId="73098715" w14:textId="720DB9CC">
            <w:pPr>
              <w:contextualSpacing/>
              <w:jc w:val="right"/>
            </w:pPr>
            <w:r w:rsidRPr="002B6562">
              <w:t>4.9</w:t>
            </w:r>
          </w:p>
        </w:tc>
      </w:tr>
      <w:tr w14:paraId="74DD43E9" w14:textId="77777777" w:rsidTr="57AD6B6D">
        <w:tblPrEx>
          <w:tblW w:w="9270" w:type="dxa"/>
          <w:tblInd w:w="108" w:type="dxa"/>
          <w:tblLook w:val="04A0"/>
        </w:tblPrEx>
        <w:trPr>
          <w:trHeight w:val="449"/>
        </w:trPr>
        <w:tc>
          <w:tcPr>
            <w:tcW w:w="7020" w:type="dxa"/>
            <w:shd w:val="clear" w:color="auto" w:fill="auto"/>
            <w:vAlign w:val="center"/>
          </w:tcPr>
          <w:p w:rsidR="00D3119C" w:rsidRPr="002B6562" w:rsidP="0062058D" w14:paraId="67511862" w14:textId="139DC5BE">
            <w:pPr>
              <w:tabs>
                <w:tab w:val="left" w:pos="360"/>
              </w:tabs>
              <w:rPr>
                <w:i/>
                <w:color w:val="000000"/>
              </w:rPr>
            </w:pPr>
            <w:r w:rsidRPr="002B6562">
              <w:rPr>
                <w:color w:val="000000"/>
              </w:rPr>
              <w:t xml:space="preserve">Annual respondent burden hours </w:t>
            </w:r>
            <w:r w:rsidRPr="002B6562">
              <w:rPr>
                <w:i/>
              </w:rPr>
              <w:t>(</w:t>
            </w:r>
            <w:r w:rsidRPr="002B6562" w:rsidR="00695B28">
              <w:rPr>
                <w:i/>
              </w:rPr>
              <w:t xml:space="preserve">from </w:t>
            </w:r>
            <w:r w:rsidRPr="002B6562" w:rsidR="00695B28">
              <w:rPr>
                <w:i/>
              </w:rPr>
              <w:t>12.a.i.</w:t>
            </w:r>
            <w:r w:rsidRPr="002B6562" w:rsidR="00695B28">
              <w:rPr>
                <w:i/>
              </w:rPr>
              <w:t xml:space="preserve"> and 12.a.ii.</w:t>
            </w:r>
            <w:r w:rsidRPr="002B6562">
              <w:rPr>
                <w:i/>
              </w:rPr>
              <w:t>)</w:t>
            </w:r>
          </w:p>
        </w:tc>
        <w:tc>
          <w:tcPr>
            <w:tcW w:w="2250" w:type="dxa"/>
            <w:shd w:val="clear" w:color="auto" w:fill="auto"/>
            <w:vAlign w:val="center"/>
          </w:tcPr>
          <w:p w:rsidR="00D3119C" w:rsidRPr="002B6562" w:rsidP="0062058D" w14:paraId="2D2162EF" w14:textId="26B7BC9A">
            <w:pPr>
              <w:contextualSpacing/>
              <w:jc w:val="right"/>
            </w:pPr>
            <w:r w:rsidRPr="002B6562">
              <w:t>2,600</w:t>
            </w:r>
          </w:p>
        </w:tc>
      </w:tr>
    </w:tbl>
    <w:bookmarkEnd w:id="10"/>
    <w:p w:rsidR="00D3119C" w:rsidRPr="002B6562" w:rsidP="00AA0F79" w14:paraId="6B4740E4" w14:textId="7CD0873B">
      <w:pPr>
        <w:pStyle w:val="NormalWeb"/>
        <w:tabs>
          <w:tab w:val="left" w:pos="360"/>
          <w:tab w:val="left" w:pos="720"/>
          <w:tab w:val="left" w:pos="1080"/>
          <w:tab w:val="left" w:pos="1440"/>
        </w:tabs>
        <w:spacing w:line="288" w:lineRule="atLeast"/>
        <w:rPr>
          <w:u w:val="single"/>
        </w:rPr>
      </w:pPr>
      <w:r w:rsidRPr="002B6562">
        <w:tab/>
      </w:r>
      <w:r w:rsidRPr="002B6562">
        <w:tab/>
      </w:r>
      <w:r w:rsidRPr="002B6562">
        <w:tab/>
        <w:t xml:space="preserve">2.  </w:t>
      </w:r>
      <w:r w:rsidRPr="002B6562">
        <w:rPr>
          <w:u w:val="single"/>
        </w:rPr>
        <w:t>Labor Cost of Respondent Burden</w:t>
      </w:r>
    </w:p>
    <w:p w:rsidR="00A139D6" w:rsidRPr="002B6562" w:rsidP="00AA0F79" w14:paraId="676B6829" w14:textId="7F635EB1">
      <w:pPr>
        <w:pStyle w:val="NormalWeb"/>
        <w:tabs>
          <w:tab w:val="left" w:pos="360"/>
          <w:tab w:val="left" w:pos="720"/>
          <w:tab w:val="left" w:pos="1080"/>
          <w:tab w:val="left" w:pos="1440"/>
        </w:tabs>
        <w:spacing w:line="288" w:lineRule="atLeast"/>
      </w:pPr>
      <w:r w:rsidRPr="002B6562">
        <w:tab/>
      </w:r>
      <w:r w:rsidRPr="002B6562">
        <w:t xml:space="preserve">The number of annual responses includes </w:t>
      </w:r>
      <w:r w:rsidRPr="002B6562" w:rsidR="0014639B">
        <w:t xml:space="preserve">56 </w:t>
      </w:r>
      <w:r w:rsidRPr="002B6562">
        <w:t xml:space="preserve">media submissions as part of the </w:t>
      </w:r>
      <w:r w:rsidRPr="002B6562" w:rsidR="0014639B">
        <w:t xml:space="preserve">518 </w:t>
      </w:r>
      <w:r w:rsidRPr="002B6562">
        <w:t>cyber incident response</w:t>
      </w:r>
      <w:r w:rsidRPr="002B6562" w:rsidR="00A03ABD">
        <w:t>.</w:t>
      </w:r>
      <w:r w:rsidRPr="002B6562" w:rsidR="00A03ABD">
        <w:rPr>
          <w:color w:val="FF0000"/>
        </w:rPr>
        <w:t xml:space="preserve">  </w:t>
      </w:r>
      <w:r w:rsidRPr="002B6562" w:rsidR="00A03ABD">
        <w:t xml:space="preserve">The number of annual responses </w:t>
      </w:r>
      <w:r w:rsidRPr="002B6562">
        <w:t xml:space="preserve">includes the estimated </w:t>
      </w:r>
      <w:r w:rsidRPr="002B6562" w:rsidR="0014639B">
        <w:t xml:space="preserve">518 </w:t>
      </w:r>
      <w:r w:rsidRPr="002B6562">
        <w:t>responses</w:t>
      </w:r>
      <w:r w:rsidRPr="002B6562" w:rsidR="00A03ABD">
        <w:t xml:space="preserve"> for cyber incidents and </w:t>
      </w:r>
      <w:r w:rsidRPr="002B6562">
        <w:t>10 responses for requests to vary from NIST SP 800-171.</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E2EC167"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3119C" w:rsidRPr="002B6562" w:rsidP="0062058D" w14:paraId="279159CC" w14:textId="295AB70F">
            <w:pPr>
              <w:spacing w:before="100" w:beforeAutospacing="1" w:after="100" w:afterAutospacing="1" w:line="288" w:lineRule="atLeast"/>
              <w:jc w:val="center"/>
            </w:pPr>
            <w:r w:rsidRPr="002B6562">
              <w:t>Labor Cost of Respondent Burden:  252.2</w:t>
            </w:r>
            <w:r w:rsidRPr="002B6562" w:rsidR="003A6C2B">
              <w:t>04</w:t>
            </w:r>
            <w:r w:rsidRPr="002B6562">
              <w:t>-70</w:t>
            </w:r>
            <w:r w:rsidRPr="002B6562" w:rsidR="003A6C2B">
              <w:t>12</w:t>
            </w:r>
          </w:p>
        </w:tc>
      </w:tr>
      <w:tr w14:paraId="23E7B991" w14:textId="77777777" w:rsidTr="0062058D">
        <w:tblPrEx>
          <w:tblW w:w="9270" w:type="dxa"/>
          <w:tblInd w:w="108" w:type="dxa"/>
          <w:tblLook w:val="04A0"/>
        </w:tblPrEx>
        <w:trPr>
          <w:trHeight w:val="431"/>
        </w:trPr>
        <w:tc>
          <w:tcPr>
            <w:tcW w:w="7020" w:type="dxa"/>
            <w:shd w:val="clear" w:color="auto" w:fill="auto"/>
            <w:vAlign w:val="center"/>
          </w:tcPr>
          <w:p w:rsidR="00D3119C" w:rsidRPr="002B6562" w:rsidP="0062058D" w14:paraId="32BE3B2D"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D3119C" w:rsidRPr="002B6562" w:rsidP="0062058D" w14:paraId="46F0EE03" w14:textId="71CB2AB9">
            <w:pPr>
              <w:contextualSpacing/>
              <w:jc w:val="right"/>
            </w:pPr>
            <w:r w:rsidRPr="002B6562">
              <w:t>528</w:t>
            </w:r>
          </w:p>
        </w:tc>
      </w:tr>
      <w:tr w14:paraId="4FE4D0E7" w14:textId="77777777" w:rsidTr="0062058D">
        <w:tblPrEx>
          <w:tblW w:w="9270" w:type="dxa"/>
          <w:tblInd w:w="108" w:type="dxa"/>
          <w:tblLook w:val="04A0"/>
        </w:tblPrEx>
        <w:trPr>
          <w:trHeight w:val="440"/>
        </w:trPr>
        <w:tc>
          <w:tcPr>
            <w:tcW w:w="7020" w:type="dxa"/>
            <w:shd w:val="clear" w:color="auto" w:fill="auto"/>
            <w:vAlign w:val="center"/>
          </w:tcPr>
          <w:p w:rsidR="00D3119C" w:rsidRPr="002B6562" w:rsidP="0062058D" w14:paraId="0BC6A64D" w14:textId="77777777">
            <w:pPr>
              <w:tabs>
                <w:tab w:val="left" w:pos="360"/>
              </w:tabs>
              <w:rPr>
                <w:color w:val="000000"/>
              </w:rPr>
            </w:pPr>
            <w:r w:rsidRPr="002B6562">
              <w:rPr>
                <w:color w:val="000000"/>
              </w:rPr>
              <w:t>Hours per response</w:t>
            </w:r>
          </w:p>
        </w:tc>
        <w:tc>
          <w:tcPr>
            <w:tcW w:w="2250" w:type="dxa"/>
            <w:shd w:val="clear" w:color="auto" w:fill="auto"/>
            <w:vAlign w:val="center"/>
          </w:tcPr>
          <w:p w:rsidR="00D3119C" w:rsidRPr="002B6562" w:rsidP="0062058D" w14:paraId="5EE69B68" w14:textId="1A32DFB0">
            <w:pPr>
              <w:contextualSpacing/>
              <w:jc w:val="right"/>
            </w:pPr>
            <w:r w:rsidRPr="002B6562">
              <w:t>4.9</w:t>
            </w:r>
          </w:p>
        </w:tc>
      </w:tr>
      <w:tr w14:paraId="505A9E2E" w14:textId="77777777" w:rsidTr="0062058D">
        <w:tblPrEx>
          <w:tblW w:w="9270" w:type="dxa"/>
          <w:tblInd w:w="108" w:type="dxa"/>
          <w:tblLook w:val="04A0"/>
        </w:tblPrEx>
        <w:trPr>
          <w:trHeight w:val="431"/>
        </w:trPr>
        <w:tc>
          <w:tcPr>
            <w:tcW w:w="7020" w:type="dxa"/>
            <w:shd w:val="clear" w:color="auto" w:fill="auto"/>
            <w:vAlign w:val="center"/>
          </w:tcPr>
          <w:p w:rsidR="00D3119C" w:rsidRPr="002B6562" w:rsidP="0062058D" w14:paraId="182F0BE1" w14:textId="77777777">
            <w:pPr>
              <w:tabs>
                <w:tab w:val="left" w:pos="360"/>
              </w:tabs>
              <w:rPr>
                <w:color w:val="000000"/>
              </w:rPr>
            </w:pPr>
            <w:r w:rsidRPr="002B6562">
              <w:rPr>
                <w:color w:val="000000"/>
              </w:rPr>
              <w:t>Cost per hour (hourly wage)</w:t>
            </w:r>
          </w:p>
        </w:tc>
        <w:tc>
          <w:tcPr>
            <w:tcW w:w="2250" w:type="dxa"/>
            <w:shd w:val="clear" w:color="auto" w:fill="auto"/>
            <w:vAlign w:val="center"/>
          </w:tcPr>
          <w:p w:rsidR="00D3119C" w:rsidRPr="002B6562" w:rsidP="0062058D" w14:paraId="5FE78809" w14:textId="1675982E">
            <w:pPr>
              <w:contextualSpacing/>
              <w:jc w:val="right"/>
            </w:pPr>
            <w:r w:rsidRPr="002B6562">
              <w:t>$</w:t>
            </w:r>
            <w:r w:rsidRPr="002B6562" w:rsidR="00BF5095">
              <w:t>103</w:t>
            </w:r>
          </w:p>
        </w:tc>
      </w:tr>
      <w:tr w14:paraId="606CFB75" w14:textId="77777777" w:rsidTr="0062058D">
        <w:tblPrEx>
          <w:tblW w:w="9270" w:type="dxa"/>
          <w:tblInd w:w="108" w:type="dxa"/>
          <w:tblLook w:val="04A0"/>
        </w:tblPrEx>
        <w:trPr>
          <w:trHeight w:val="431"/>
        </w:trPr>
        <w:tc>
          <w:tcPr>
            <w:tcW w:w="7020" w:type="dxa"/>
            <w:shd w:val="clear" w:color="auto" w:fill="auto"/>
            <w:vAlign w:val="center"/>
          </w:tcPr>
          <w:p w:rsidR="00D3119C" w:rsidRPr="002B6562" w:rsidP="0062058D" w14:paraId="3F732D8B" w14:textId="77777777">
            <w:pPr>
              <w:tabs>
                <w:tab w:val="left" w:pos="360"/>
              </w:tabs>
              <w:rPr>
                <w:i/>
              </w:rPr>
            </w:pPr>
            <w:r w:rsidRPr="002B6562">
              <w:t xml:space="preserve">Labor burden per response </w:t>
            </w:r>
            <w:r w:rsidRPr="002B6562">
              <w:rPr>
                <w:i/>
              </w:rPr>
              <w:t>(Hours per response * hourly wage)</w:t>
            </w:r>
          </w:p>
        </w:tc>
        <w:tc>
          <w:tcPr>
            <w:tcW w:w="2250" w:type="dxa"/>
            <w:shd w:val="clear" w:color="auto" w:fill="auto"/>
            <w:vAlign w:val="center"/>
          </w:tcPr>
          <w:p w:rsidR="00D3119C" w:rsidRPr="002B6562" w:rsidP="0062058D" w14:paraId="40A6F760" w14:textId="385BD55C">
            <w:pPr>
              <w:contextualSpacing/>
              <w:jc w:val="right"/>
            </w:pPr>
            <w:r w:rsidRPr="002B6562">
              <w:t>$</w:t>
            </w:r>
            <w:r w:rsidRPr="002B6562" w:rsidR="00AF5E80">
              <w:t>565</w:t>
            </w:r>
          </w:p>
        </w:tc>
      </w:tr>
      <w:tr w14:paraId="3E91B450" w14:textId="77777777" w:rsidTr="0062058D">
        <w:tblPrEx>
          <w:tblW w:w="9270" w:type="dxa"/>
          <w:tblInd w:w="108" w:type="dxa"/>
          <w:tblLook w:val="04A0"/>
        </w:tblPrEx>
        <w:trPr>
          <w:trHeight w:val="440"/>
        </w:trPr>
        <w:tc>
          <w:tcPr>
            <w:tcW w:w="7020" w:type="dxa"/>
            <w:shd w:val="clear" w:color="auto" w:fill="auto"/>
            <w:vAlign w:val="center"/>
          </w:tcPr>
          <w:p w:rsidR="00D3119C" w:rsidRPr="002B6562" w:rsidP="0062058D" w14:paraId="4FF7B2AF" w14:textId="77777777">
            <w:pPr>
              <w:tabs>
                <w:tab w:val="left" w:pos="360"/>
              </w:tabs>
            </w:pPr>
            <w:r w:rsidRPr="002B6562">
              <w:t xml:space="preserve">Annual Labor Burden </w:t>
            </w:r>
            <w:r w:rsidRPr="002B6562">
              <w:rPr>
                <w:i/>
              </w:rPr>
              <w:t>(Total annual responses * hours per response * hourly wage)</w:t>
            </w:r>
          </w:p>
        </w:tc>
        <w:tc>
          <w:tcPr>
            <w:tcW w:w="2250" w:type="dxa"/>
            <w:shd w:val="clear" w:color="auto" w:fill="auto"/>
            <w:vAlign w:val="center"/>
          </w:tcPr>
          <w:p w:rsidR="006358CD" w:rsidRPr="002B6562" w:rsidP="0062058D" w14:paraId="6C8ED517" w14:textId="2CBC2CBE">
            <w:pPr>
              <w:contextualSpacing/>
              <w:jc w:val="right"/>
            </w:pPr>
            <w:r w:rsidRPr="002B6562">
              <w:t>$</w:t>
            </w:r>
            <w:r w:rsidRPr="002B6562" w:rsidR="003E7FF0">
              <w:t>267,800</w:t>
            </w:r>
          </w:p>
        </w:tc>
      </w:tr>
    </w:tbl>
    <w:p w:rsidR="00270295" w:rsidRPr="002B6562" w:rsidP="00771BBB" w14:paraId="4F30E887" w14:textId="55457CC0">
      <w:pPr>
        <w:pStyle w:val="NormalWeb"/>
        <w:tabs>
          <w:tab w:val="left" w:pos="360"/>
          <w:tab w:val="left" w:pos="720"/>
          <w:tab w:val="left" w:pos="1080"/>
          <w:tab w:val="left" w:pos="1440"/>
        </w:tabs>
        <w:spacing w:line="288" w:lineRule="atLeast"/>
      </w:pPr>
      <w:r w:rsidRPr="002B6562">
        <w:tab/>
      </w:r>
      <w:r w:rsidRPr="002B6562" w:rsidR="00771BBB">
        <w:t xml:space="preserve">b.  </w:t>
      </w:r>
      <w:r w:rsidRPr="002B6562" w:rsidR="00771BBB">
        <w:rPr>
          <w:i/>
        </w:rPr>
        <w:t>252.204-7008, Compliance with Safeguarding Covered Defense Information Controls</w:t>
      </w:r>
    </w:p>
    <w:p w:rsidR="006F565D" w:rsidRPr="002B6562" w:rsidP="006F565D" w14:paraId="04DB318E" w14:textId="127B8297">
      <w:pPr>
        <w:pStyle w:val="NormalWeb"/>
        <w:tabs>
          <w:tab w:val="left" w:pos="360"/>
          <w:tab w:val="left" w:pos="720"/>
          <w:tab w:val="left" w:pos="1080"/>
          <w:tab w:val="left" w:pos="1440"/>
        </w:tabs>
        <w:spacing w:line="288" w:lineRule="atLeast"/>
      </w:pPr>
      <w:r w:rsidRPr="002B6562">
        <w:rPr>
          <w:rFonts w:eastAsiaTheme="minorHAnsi"/>
        </w:rPr>
        <w:tab/>
      </w:r>
      <w:r w:rsidRPr="002B6562">
        <w:rPr>
          <w:rFonts w:eastAsiaTheme="minorHAnsi"/>
        </w:rPr>
        <w:tab/>
      </w:r>
      <w:r w:rsidRPr="002B6562">
        <w:rPr>
          <w:rFonts w:eastAsiaTheme="minorHAnsi"/>
        </w:rPr>
        <w:t xml:space="preserve">1.  </w:t>
      </w:r>
      <w:r w:rsidRPr="002B6562">
        <w:rPr>
          <w:rFonts w:eastAsiaTheme="minorHAnsi"/>
          <w:u w:val="single"/>
        </w:rPr>
        <w:t>Estimation of Respondent Burden</w:t>
      </w:r>
      <w:r w:rsidRPr="002B6562">
        <w:t xml:space="preserve"> </w:t>
      </w:r>
    </w:p>
    <w:p w:rsidR="006F565D" w:rsidRPr="002B6562" w:rsidP="006F565D" w14:paraId="6808B7E0" w14:textId="563EB3FA">
      <w:pPr>
        <w:pStyle w:val="NormalWeb"/>
        <w:tabs>
          <w:tab w:val="left" w:pos="360"/>
          <w:tab w:val="left" w:pos="720"/>
          <w:tab w:val="left" w:pos="1080"/>
          <w:tab w:val="left" w:pos="1440"/>
        </w:tabs>
        <w:spacing w:line="288" w:lineRule="atLeast"/>
      </w:pPr>
      <w:r w:rsidRPr="002B6562">
        <w:tab/>
      </w:r>
      <w:r w:rsidRPr="002B6562">
        <w:t xml:space="preserve">DoD estimates that approximately </w:t>
      </w:r>
      <w:r w:rsidRPr="002B6562" w:rsidR="00631B89">
        <w:t>five</w:t>
      </w:r>
      <w:r w:rsidRPr="002B6562">
        <w:t xml:space="preserve"> offerors will propose to vary from NIST SP 800-171 security requirements in accordance with paragraph (c)(2)(i) of the provision.  Since the PRA applies to </w:t>
      </w:r>
      <w:r w:rsidRPr="002B6562">
        <w:t xml:space="preserve">10 </w:t>
      </w:r>
      <w:r w:rsidRPr="002B6562">
        <w:t xml:space="preserve">or more members of the public, the estimate of five </w:t>
      </w:r>
      <w:r w:rsidRPr="002B6562">
        <w:t>is increased</w:t>
      </w:r>
      <w:r w:rsidRPr="002B6562">
        <w:t xml:space="preserve"> to </w:t>
      </w:r>
      <w:r w:rsidRPr="002B6562">
        <w:t>10</w:t>
      </w:r>
      <w:r w:rsidRPr="002B6562">
        <w:t xml:space="preserve"> to perpetuate the clearance for this provision to ensure coverage in the event of future increases in requests.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8F4190F"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F565D" w:rsidRPr="002B6562" w:rsidP="0062058D" w14:paraId="3182FB6C" w14:textId="72763ADF">
            <w:pPr>
              <w:spacing w:before="100" w:beforeAutospacing="1" w:after="100" w:afterAutospacing="1" w:line="288" w:lineRule="atLeast"/>
              <w:jc w:val="center"/>
            </w:pPr>
            <w:r w:rsidRPr="002B6562">
              <w:t>Estimation of Respondent Burden Hours:  252.204-7008</w:t>
            </w:r>
          </w:p>
        </w:tc>
      </w:tr>
      <w:tr w14:paraId="15007807" w14:textId="77777777" w:rsidTr="0062058D">
        <w:tblPrEx>
          <w:tblW w:w="9270" w:type="dxa"/>
          <w:tblInd w:w="108" w:type="dxa"/>
          <w:tblLook w:val="04A0"/>
        </w:tblPrEx>
        <w:trPr>
          <w:trHeight w:val="386"/>
        </w:trPr>
        <w:tc>
          <w:tcPr>
            <w:tcW w:w="7020" w:type="dxa"/>
            <w:shd w:val="clear" w:color="auto" w:fill="auto"/>
            <w:vAlign w:val="center"/>
          </w:tcPr>
          <w:p w:rsidR="006F565D" w:rsidRPr="002B6562" w:rsidP="0062058D" w14:paraId="1771F81E" w14:textId="77777777">
            <w:pPr>
              <w:tabs>
                <w:tab w:val="left" w:pos="360"/>
              </w:tabs>
              <w:rPr>
                <w:color w:val="000000"/>
              </w:rPr>
            </w:pPr>
            <w:r w:rsidRPr="002B6562">
              <w:rPr>
                <w:color w:val="000000"/>
              </w:rPr>
              <w:t>Number of respondents</w:t>
            </w:r>
          </w:p>
        </w:tc>
        <w:tc>
          <w:tcPr>
            <w:tcW w:w="2250" w:type="dxa"/>
            <w:shd w:val="clear" w:color="auto" w:fill="auto"/>
            <w:vAlign w:val="center"/>
          </w:tcPr>
          <w:p w:rsidR="006F565D" w:rsidRPr="002B6562" w:rsidP="0062058D" w14:paraId="0A485C10" w14:textId="4A679CA5">
            <w:pPr>
              <w:jc w:val="right"/>
            </w:pPr>
            <w:r w:rsidRPr="002B6562">
              <w:t>10</w:t>
            </w:r>
          </w:p>
        </w:tc>
      </w:tr>
      <w:tr w14:paraId="338C3228" w14:textId="77777777" w:rsidTr="0062058D">
        <w:tblPrEx>
          <w:tblW w:w="9270" w:type="dxa"/>
          <w:tblInd w:w="108" w:type="dxa"/>
          <w:tblLook w:val="04A0"/>
        </w:tblPrEx>
        <w:trPr>
          <w:trHeight w:val="422"/>
        </w:trPr>
        <w:tc>
          <w:tcPr>
            <w:tcW w:w="7020" w:type="dxa"/>
            <w:shd w:val="clear" w:color="auto" w:fill="auto"/>
            <w:vAlign w:val="center"/>
          </w:tcPr>
          <w:p w:rsidR="006F565D" w:rsidRPr="002B6562" w:rsidP="0062058D" w14:paraId="4E097072" w14:textId="77777777">
            <w:pPr>
              <w:tabs>
                <w:tab w:val="left" w:pos="360"/>
              </w:tabs>
              <w:rPr>
                <w:color w:val="000000"/>
              </w:rPr>
            </w:pPr>
            <w:r w:rsidRPr="002B6562">
              <w:rPr>
                <w:color w:val="000000"/>
              </w:rPr>
              <w:t>Number of responses per respondent</w:t>
            </w:r>
          </w:p>
        </w:tc>
        <w:tc>
          <w:tcPr>
            <w:tcW w:w="2250" w:type="dxa"/>
            <w:shd w:val="clear" w:color="auto" w:fill="auto"/>
            <w:vAlign w:val="center"/>
          </w:tcPr>
          <w:p w:rsidR="006F565D" w:rsidRPr="002B6562" w:rsidP="0062058D" w14:paraId="5B2B9F54" w14:textId="77777777">
            <w:pPr>
              <w:contextualSpacing/>
              <w:jc w:val="right"/>
            </w:pPr>
            <w:r w:rsidRPr="002B6562">
              <w:t>1</w:t>
            </w:r>
          </w:p>
        </w:tc>
      </w:tr>
      <w:tr w14:paraId="43455122" w14:textId="77777777" w:rsidTr="0062058D">
        <w:tblPrEx>
          <w:tblW w:w="9270" w:type="dxa"/>
          <w:tblInd w:w="108" w:type="dxa"/>
          <w:tblLook w:val="04A0"/>
        </w:tblPrEx>
        <w:trPr>
          <w:trHeight w:val="431"/>
        </w:trPr>
        <w:tc>
          <w:tcPr>
            <w:tcW w:w="7020" w:type="dxa"/>
            <w:shd w:val="clear" w:color="auto" w:fill="auto"/>
            <w:vAlign w:val="center"/>
          </w:tcPr>
          <w:p w:rsidR="006F565D" w:rsidRPr="002B6562" w:rsidP="0062058D" w14:paraId="246CFDCD"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6F565D" w:rsidRPr="002B6562" w:rsidP="0062058D" w14:paraId="04517014" w14:textId="51C668BD">
            <w:pPr>
              <w:contextualSpacing/>
              <w:jc w:val="right"/>
            </w:pPr>
            <w:r w:rsidRPr="002B6562">
              <w:t>10</w:t>
            </w:r>
          </w:p>
        </w:tc>
      </w:tr>
      <w:tr w14:paraId="1F38F9AA" w14:textId="77777777" w:rsidTr="0062058D">
        <w:tblPrEx>
          <w:tblW w:w="9270" w:type="dxa"/>
          <w:tblInd w:w="108" w:type="dxa"/>
          <w:tblLook w:val="04A0"/>
        </w:tblPrEx>
        <w:trPr>
          <w:trHeight w:val="440"/>
        </w:trPr>
        <w:tc>
          <w:tcPr>
            <w:tcW w:w="7020" w:type="dxa"/>
            <w:shd w:val="clear" w:color="auto" w:fill="auto"/>
            <w:vAlign w:val="center"/>
          </w:tcPr>
          <w:p w:rsidR="006F565D" w:rsidRPr="002B6562" w:rsidP="0062058D" w14:paraId="55466316" w14:textId="77777777">
            <w:pPr>
              <w:tabs>
                <w:tab w:val="left" w:pos="360"/>
              </w:tabs>
              <w:rPr>
                <w:color w:val="000000"/>
              </w:rPr>
            </w:pPr>
            <w:r w:rsidRPr="002B6562">
              <w:rPr>
                <w:color w:val="000000"/>
              </w:rPr>
              <w:t>Hours per response</w:t>
            </w:r>
          </w:p>
        </w:tc>
        <w:tc>
          <w:tcPr>
            <w:tcW w:w="2250" w:type="dxa"/>
            <w:shd w:val="clear" w:color="auto" w:fill="auto"/>
            <w:vAlign w:val="center"/>
          </w:tcPr>
          <w:p w:rsidR="006F565D" w:rsidRPr="002B6562" w:rsidP="0062058D" w14:paraId="085425C0" w14:textId="03773877">
            <w:pPr>
              <w:contextualSpacing/>
              <w:jc w:val="right"/>
            </w:pPr>
            <w:r w:rsidRPr="002B6562">
              <w:t>1</w:t>
            </w:r>
          </w:p>
        </w:tc>
      </w:tr>
      <w:tr w14:paraId="567DA880" w14:textId="77777777" w:rsidTr="0062058D">
        <w:tblPrEx>
          <w:tblW w:w="9270" w:type="dxa"/>
          <w:tblInd w:w="108" w:type="dxa"/>
          <w:tblLook w:val="04A0"/>
        </w:tblPrEx>
        <w:trPr>
          <w:trHeight w:val="449"/>
        </w:trPr>
        <w:tc>
          <w:tcPr>
            <w:tcW w:w="7020" w:type="dxa"/>
            <w:shd w:val="clear" w:color="auto" w:fill="auto"/>
            <w:vAlign w:val="center"/>
          </w:tcPr>
          <w:p w:rsidR="006F565D" w:rsidRPr="002B6562" w:rsidP="0062058D" w14:paraId="67CEAA19" w14:textId="77777777">
            <w:pPr>
              <w:tabs>
                <w:tab w:val="left" w:pos="360"/>
              </w:tabs>
              <w:rPr>
                <w:i/>
                <w:color w:val="000000"/>
              </w:rPr>
            </w:pPr>
            <w:r w:rsidRPr="002B6562">
              <w:rPr>
                <w:color w:val="000000"/>
              </w:rPr>
              <w:t xml:space="preserve">Annual respondent burden hours </w:t>
            </w:r>
            <w:r w:rsidRPr="002B6562">
              <w:rPr>
                <w:i/>
              </w:rPr>
              <w:t>(Total annual responses * hours per response)</w:t>
            </w:r>
          </w:p>
        </w:tc>
        <w:tc>
          <w:tcPr>
            <w:tcW w:w="2250" w:type="dxa"/>
            <w:shd w:val="clear" w:color="auto" w:fill="auto"/>
            <w:vAlign w:val="center"/>
          </w:tcPr>
          <w:p w:rsidR="006F565D" w:rsidRPr="002B6562" w:rsidP="0062058D" w14:paraId="7E607BE3" w14:textId="35FE3A1C">
            <w:pPr>
              <w:contextualSpacing/>
              <w:jc w:val="right"/>
            </w:pPr>
            <w:r w:rsidRPr="002B6562">
              <w:t>10</w:t>
            </w:r>
          </w:p>
        </w:tc>
      </w:tr>
    </w:tbl>
    <w:p w:rsidR="006F565D" w:rsidRPr="002B6562" w:rsidP="006F565D" w14:paraId="2DB62C37" w14:textId="465459E8">
      <w:pPr>
        <w:pStyle w:val="NormalWeb"/>
        <w:tabs>
          <w:tab w:val="left" w:pos="360"/>
          <w:tab w:val="left" w:pos="720"/>
          <w:tab w:val="left" w:pos="1080"/>
          <w:tab w:val="left" w:pos="1440"/>
        </w:tabs>
        <w:spacing w:line="288" w:lineRule="atLeast"/>
        <w:rPr>
          <w:u w:val="single"/>
        </w:rPr>
      </w:pPr>
      <w:r w:rsidRPr="002B6562">
        <w:tab/>
      </w:r>
      <w:r w:rsidRPr="002B6562">
        <w:tab/>
        <w:t xml:space="preserve">2.  </w:t>
      </w:r>
      <w:r w:rsidRPr="002B6562">
        <w:rPr>
          <w:u w:val="single"/>
        </w:rPr>
        <w:t>Labor Cost of Respondent Burden</w:t>
      </w:r>
    </w:p>
    <w:p w:rsidR="006F565D" w:rsidRPr="002B6562" w:rsidP="006F565D" w14:paraId="40CAFB2B" w14:textId="058BC81A">
      <w:pPr>
        <w:pStyle w:val="NormalWeb"/>
        <w:tabs>
          <w:tab w:val="left" w:pos="360"/>
          <w:tab w:val="left" w:pos="720"/>
          <w:tab w:val="left" w:pos="1080"/>
          <w:tab w:val="left" w:pos="1440"/>
        </w:tabs>
        <w:spacing w:line="288" w:lineRule="atLeast"/>
      </w:pPr>
      <w:r w:rsidRPr="002B6562">
        <w:tab/>
      </w:r>
      <w:r w:rsidRPr="002B6562">
        <w:t>Do</w:t>
      </w:r>
      <w:r w:rsidRPr="002B6562" w:rsidR="00631B89">
        <w:t>D estimates that approximately five</w:t>
      </w:r>
      <w:r w:rsidRPr="002B6562">
        <w:t xml:space="preserve"> offerors will propose to vary from NIST SP 800-171 security requirements in accordance with paragraph (c)(2)(i) of the provision.  Since the PRA applies to </w:t>
      </w:r>
      <w:r w:rsidRPr="002B6562">
        <w:t>10</w:t>
      </w:r>
      <w:r w:rsidRPr="002B6562">
        <w:t xml:space="preserve"> or more members of the public, the estimate of five </w:t>
      </w:r>
      <w:r w:rsidRPr="002B6562">
        <w:t>is increased</w:t>
      </w:r>
      <w:r w:rsidRPr="002B6562">
        <w:t xml:space="preserve"> to </w:t>
      </w:r>
      <w:r w:rsidRPr="002B6562">
        <w:t>10</w:t>
      </w:r>
      <w:r w:rsidRPr="002B6562">
        <w:t xml:space="preserve"> to perpetuate the clearance for this provision to ensure coverage in the event of future increases in requests.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E1910BA"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F565D" w:rsidRPr="002B6562" w:rsidP="0062058D" w14:paraId="46127B82" w14:textId="371D3D0A">
            <w:pPr>
              <w:spacing w:before="100" w:beforeAutospacing="1" w:after="100" w:afterAutospacing="1" w:line="288" w:lineRule="atLeast"/>
              <w:jc w:val="center"/>
            </w:pPr>
            <w:r w:rsidRPr="002B6562">
              <w:t>Labor Cost of Respondent Burden:  252.204-7008</w:t>
            </w:r>
          </w:p>
        </w:tc>
      </w:tr>
      <w:tr w14:paraId="3B3B8A33" w14:textId="77777777" w:rsidTr="0062058D">
        <w:tblPrEx>
          <w:tblW w:w="9270" w:type="dxa"/>
          <w:tblInd w:w="108" w:type="dxa"/>
          <w:tblLook w:val="04A0"/>
        </w:tblPrEx>
        <w:trPr>
          <w:trHeight w:val="431"/>
        </w:trPr>
        <w:tc>
          <w:tcPr>
            <w:tcW w:w="7020" w:type="dxa"/>
            <w:shd w:val="clear" w:color="auto" w:fill="auto"/>
            <w:vAlign w:val="center"/>
          </w:tcPr>
          <w:p w:rsidR="006F565D" w:rsidRPr="002B6562" w:rsidP="0062058D" w14:paraId="32A39BFE"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6F565D" w:rsidRPr="002B6562" w:rsidP="0062058D" w14:paraId="49A432BE" w14:textId="0F0BFA88">
            <w:pPr>
              <w:contextualSpacing/>
              <w:jc w:val="right"/>
            </w:pPr>
            <w:r w:rsidRPr="002B6562">
              <w:t>10</w:t>
            </w:r>
          </w:p>
        </w:tc>
      </w:tr>
      <w:tr w14:paraId="091A1816" w14:textId="77777777" w:rsidTr="0062058D">
        <w:tblPrEx>
          <w:tblW w:w="9270" w:type="dxa"/>
          <w:tblInd w:w="108" w:type="dxa"/>
          <w:tblLook w:val="04A0"/>
        </w:tblPrEx>
        <w:trPr>
          <w:trHeight w:val="440"/>
        </w:trPr>
        <w:tc>
          <w:tcPr>
            <w:tcW w:w="7020" w:type="dxa"/>
            <w:shd w:val="clear" w:color="auto" w:fill="auto"/>
            <w:vAlign w:val="center"/>
          </w:tcPr>
          <w:p w:rsidR="006F565D" w:rsidRPr="002B6562" w:rsidP="0062058D" w14:paraId="7631A4EF" w14:textId="77777777">
            <w:pPr>
              <w:tabs>
                <w:tab w:val="left" w:pos="360"/>
              </w:tabs>
              <w:rPr>
                <w:color w:val="000000"/>
              </w:rPr>
            </w:pPr>
            <w:r w:rsidRPr="002B6562">
              <w:rPr>
                <w:color w:val="000000"/>
              </w:rPr>
              <w:t>Hours per response</w:t>
            </w:r>
          </w:p>
        </w:tc>
        <w:tc>
          <w:tcPr>
            <w:tcW w:w="2250" w:type="dxa"/>
            <w:shd w:val="clear" w:color="auto" w:fill="auto"/>
            <w:vAlign w:val="center"/>
          </w:tcPr>
          <w:p w:rsidR="006F565D" w:rsidRPr="002B6562" w:rsidP="0062058D" w14:paraId="69915FEE" w14:textId="1294C443">
            <w:pPr>
              <w:contextualSpacing/>
              <w:jc w:val="right"/>
            </w:pPr>
            <w:r w:rsidRPr="002B6562">
              <w:t>1</w:t>
            </w:r>
          </w:p>
        </w:tc>
      </w:tr>
      <w:tr w14:paraId="5CA0B586" w14:textId="77777777" w:rsidTr="0062058D">
        <w:tblPrEx>
          <w:tblW w:w="9270" w:type="dxa"/>
          <w:tblInd w:w="108" w:type="dxa"/>
          <w:tblLook w:val="04A0"/>
        </w:tblPrEx>
        <w:trPr>
          <w:trHeight w:val="431"/>
        </w:trPr>
        <w:tc>
          <w:tcPr>
            <w:tcW w:w="7020" w:type="dxa"/>
            <w:shd w:val="clear" w:color="auto" w:fill="auto"/>
            <w:vAlign w:val="center"/>
          </w:tcPr>
          <w:p w:rsidR="006F565D" w:rsidRPr="002B6562" w:rsidP="0062058D" w14:paraId="491AC9AD" w14:textId="77777777">
            <w:pPr>
              <w:tabs>
                <w:tab w:val="left" w:pos="360"/>
              </w:tabs>
              <w:rPr>
                <w:color w:val="000000"/>
              </w:rPr>
            </w:pPr>
            <w:r w:rsidRPr="002B6562">
              <w:rPr>
                <w:color w:val="000000"/>
              </w:rPr>
              <w:t>Cost per hour (hourly wage)</w:t>
            </w:r>
          </w:p>
        </w:tc>
        <w:tc>
          <w:tcPr>
            <w:tcW w:w="2250" w:type="dxa"/>
            <w:shd w:val="clear" w:color="auto" w:fill="auto"/>
            <w:vAlign w:val="center"/>
          </w:tcPr>
          <w:p w:rsidR="006F565D" w:rsidRPr="002B6562" w:rsidP="0062058D" w14:paraId="23B7C8D7" w14:textId="65BF6A87">
            <w:pPr>
              <w:contextualSpacing/>
              <w:jc w:val="right"/>
            </w:pPr>
            <w:r w:rsidRPr="002B6562">
              <w:t>$</w:t>
            </w:r>
            <w:r w:rsidRPr="002B6562" w:rsidR="00BF5095">
              <w:t>103</w:t>
            </w:r>
          </w:p>
        </w:tc>
      </w:tr>
      <w:tr w14:paraId="0E75715E" w14:textId="77777777" w:rsidTr="0062058D">
        <w:tblPrEx>
          <w:tblW w:w="9270" w:type="dxa"/>
          <w:tblInd w:w="108" w:type="dxa"/>
          <w:tblLook w:val="04A0"/>
        </w:tblPrEx>
        <w:trPr>
          <w:trHeight w:val="431"/>
        </w:trPr>
        <w:tc>
          <w:tcPr>
            <w:tcW w:w="7020" w:type="dxa"/>
            <w:shd w:val="clear" w:color="auto" w:fill="auto"/>
            <w:vAlign w:val="center"/>
          </w:tcPr>
          <w:p w:rsidR="006F565D" w:rsidRPr="002B6562" w:rsidP="0062058D" w14:paraId="1C60B238" w14:textId="77777777">
            <w:pPr>
              <w:tabs>
                <w:tab w:val="left" w:pos="360"/>
              </w:tabs>
              <w:rPr>
                <w:i/>
              </w:rPr>
            </w:pPr>
            <w:r w:rsidRPr="002B6562">
              <w:t xml:space="preserve">Labor burden per response </w:t>
            </w:r>
            <w:r w:rsidRPr="002B6562">
              <w:rPr>
                <w:i/>
              </w:rPr>
              <w:t>(Hours per response * hourly wage)</w:t>
            </w:r>
          </w:p>
        </w:tc>
        <w:tc>
          <w:tcPr>
            <w:tcW w:w="2250" w:type="dxa"/>
            <w:shd w:val="clear" w:color="auto" w:fill="auto"/>
            <w:vAlign w:val="center"/>
          </w:tcPr>
          <w:p w:rsidR="006F565D" w:rsidRPr="002B6562" w:rsidP="0062058D" w14:paraId="44A1CE55" w14:textId="7B66A258">
            <w:pPr>
              <w:contextualSpacing/>
              <w:jc w:val="right"/>
            </w:pPr>
            <w:r w:rsidRPr="002B6562">
              <w:t>$</w:t>
            </w:r>
            <w:r w:rsidRPr="002B6562" w:rsidR="00BF5095">
              <w:t>103</w:t>
            </w:r>
          </w:p>
        </w:tc>
      </w:tr>
      <w:tr w14:paraId="638B87C3" w14:textId="77777777" w:rsidTr="0062058D">
        <w:tblPrEx>
          <w:tblW w:w="9270" w:type="dxa"/>
          <w:tblInd w:w="108" w:type="dxa"/>
          <w:tblLook w:val="04A0"/>
        </w:tblPrEx>
        <w:trPr>
          <w:trHeight w:val="440"/>
        </w:trPr>
        <w:tc>
          <w:tcPr>
            <w:tcW w:w="7020" w:type="dxa"/>
            <w:shd w:val="clear" w:color="auto" w:fill="auto"/>
            <w:vAlign w:val="center"/>
          </w:tcPr>
          <w:p w:rsidR="006F565D" w:rsidRPr="002B6562" w:rsidP="0062058D" w14:paraId="4A8AD87F" w14:textId="77777777">
            <w:pPr>
              <w:tabs>
                <w:tab w:val="left" w:pos="360"/>
              </w:tabs>
            </w:pPr>
            <w:r w:rsidRPr="002B6562">
              <w:t xml:space="preserve">Annual Labor Burden </w:t>
            </w:r>
            <w:r w:rsidRPr="002B6562">
              <w:rPr>
                <w:i/>
              </w:rPr>
              <w:t>(Total annual responses * hours per response * hourly wage)</w:t>
            </w:r>
          </w:p>
        </w:tc>
        <w:tc>
          <w:tcPr>
            <w:tcW w:w="2250" w:type="dxa"/>
            <w:shd w:val="clear" w:color="auto" w:fill="auto"/>
            <w:vAlign w:val="center"/>
          </w:tcPr>
          <w:p w:rsidR="006F565D" w:rsidRPr="002B6562" w:rsidP="0062058D" w14:paraId="4BA06690" w14:textId="2B6EF9FD">
            <w:pPr>
              <w:contextualSpacing/>
              <w:jc w:val="right"/>
            </w:pPr>
            <w:r w:rsidRPr="002B6562">
              <w:t>$</w:t>
            </w:r>
            <w:r w:rsidRPr="002B6562" w:rsidR="00BF5095">
              <w:t>1,030</w:t>
            </w:r>
          </w:p>
        </w:tc>
      </w:tr>
    </w:tbl>
    <w:p w:rsidR="00320550" w:rsidRPr="002B6562" w:rsidP="00320550" w14:paraId="44CED76C" w14:textId="2B796979">
      <w:pPr>
        <w:pStyle w:val="NormalWeb"/>
        <w:tabs>
          <w:tab w:val="left" w:pos="360"/>
          <w:tab w:val="left" w:pos="720"/>
          <w:tab w:val="left" w:pos="1080"/>
          <w:tab w:val="left" w:pos="1440"/>
        </w:tabs>
        <w:spacing w:line="288" w:lineRule="atLeast"/>
      </w:pPr>
      <w:r w:rsidRPr="002B6562">
        <w:tab/>
      </w:r>
      <w:r w:rsidRPr="002B6562" w:rsidR="00771BBB">
        <w:t>c</w:t>
      </w:r>
      <w:r w:rsidRPr="002B6562">
        <w:t xml:space="preserve">.  </w:t>
      </w:r>
      <w:r w:rsidRPr="002B6562">
        <w:rPr>
          <w:i/>
        </w:rPr>
        <w:t>252.239-7009, Representation of Use of Cloud Computing</w:t>
      </w:r>
    </w:p>
    <w:p w:rsidR="00631B89" w:rsidRPr="002B6562" w:rsidP="00631B89" w14:paraId="0C8B5328" w14:textId="5255867B">
      <w:pPr>
        <w:pStyle w:val="NormalWeb"/>
        <w:tabs>
          <w:tab w:val="left" w:pos="360"/>
          <w:tab w:val="left" w:pos="720"/>
          <w:tab w:val="left" w:pos="1080"/>
          <w:tab w:val="left" w:pos="1440"/>
        </w:tabs>
        <w:spacing w:line="288" w:lineRule="atLeast"/>
      </w:pPr>
      <w:r w:rsidRPr="002B6562">
        <w:rPr>
          <w:rFonts w:eastAsiaTheme="minorHAnsi"/>
        </w:rPr>
        <w:tab/>
      </w:r>
      <w:r w:rsidRPr="002B6562">
        <w:rPr>
          <w:rFonts w:eastAsiaTheme="minorHAnsi"/>
        </w:rPr>
        <w:tab/>
      </w:r>
      <w:r w:rsidRPr="002B6562">
        <w:rPr>
          <w:rFonts w:eastAsiaTheme="minorHAnsi"/>
        </w:rPr>
        <w:t xml:space="preserve">1.  </w:t>
      </w:r>
      <w:r w:rsidRPr="002B6562">
        <w:rPr>
          <w:rFonts w:eastAsiaTheme="minorHAnsi"/>
          <w:u w:val="single"/>
        </w:rPr>
        <w:t>Estimation of Respondent Burden</w:t>
      </w:r>
    </w:p>
    <w:p w:rsidR="00631B89" w:rsidRPr="002B6562" w:rsidP="00631B89" w14:paraId="5801E944" w14:textId="2BABF1C9">
      <w:pPr>
        <w:pStyle w:val="NormalWeb"/>
        <w:tabs>
          <w:tab w:val="left" w:pos="360"/>
          <w:tab w:val="left" w:pos="720"/>
          <w:tab w:val="left" w:pos="1080"/>
          <w:tab w:val="left" w:pos="1440"/>
        </w:tabs>
        <w:spacing w:line="288" w:lineRule="atLeast"/>
      </w:pPr>
      <w:r w:rsidRPr="002B6562">
        <w:tab/>
      </w:r>
      <w:r w:rsidRPr="002B6562" w:rsidR="00EA6F08">
        <w:t xml:space="preserve">Offerors </w:t>
      </w:r>
      <w:r w:rsidRPr="002B6562" w:rsidR="00E14516">
        <w:t xml:space="preserve">are </w:t>
      </w:r>
      <w:r w:rsidRPr="002B6562" w:rsidR="00EA6F08">
        <w:t>required</w:t>
      </w:r>
      <w:r w:rsidRPr="002B6562" w:rsidR="00EA6F08">
        <w:t xml:space="preserve"> to represent their intentions to utilize cloud computing services in response to all solicitations for information technology services.  According to the Federal Procurement Data System (FPDS) for FY</w:t>
      </w:r>
      <w:r w:rsidRPr="002B6562">
        <w:t xml:space="preserve"> </w:t>
      </w:r>
      <w:r w:rsidRPr="002B6562" w:rsidR="00460A60">
        <w:t xml:space="preserve">2021 </w:t>
      </w:r>
      <w:r w:rsidRPr="002B6562">
        <w:t xml:space="preserve">through </w:t>
      </w:r>
      <w:r w:rsidRPr="002B6562" w:rsidR="00EA6F08">
        <w:t>FY</w:t>
      </w:r>
      <w:r w:rsidRPr="002B6562">
        <w:t xml:space="preserve"> </w:t>
      </w:r>
      <w:r w:rsidRPr="002B6562" w:rsidR="00460A60">
        <w:t>2024</w:t>
      </w:r>
      <w:r w:rsidRPr="002B6562" w:rsidR="00EA6F08">
        <w:t xml:space="preserve">, an average of </w:t>
      </w:r>
      <w:r w:rsidRPr="002B6562" w:rsidR="00F925E5">
        <w:t>3,912</w:t>
      </w:r>
      <w:r w:rsidRPr="002B6562" w:rsidR="00EA6F08">
        <w:t xml:space="preserve"> new contract awards per year </w:t>
      </w:r>
      <w:r w:rsidRPr="002B6562" w:rsidR="00EA6F08">
        <w:t>were made</w:t>
      </w:r>
      <w:r w:rsidRPr="002B6562" w:rsidR="00EA6F08">
        <w:t xml:space="preserve"> to an average of </w:t>
      </w:r>
      <w:r w:rsidRPr="002B6562" w:rsidR="00F925E5">
        <w:t xml:space="preserve">1,410 </w:t>
      </w:r>
      <w:r w:rsidRPr="002B6562" w:rsidR="00EA6F08">
        <w:t xml:space="preserve">unique entities for </w:t>
      </w:r>
      <w:r w:rsidRPr="002B6562" w:rsidR="00DC3F3C">
        <w:t>information technology (</w:t>
      </w:r>
      <w:r w:rsidRPr="002B6562" w:rsidR="00EA6F08">
        <w:t>IT</w:t>
      </w:r>
      <w:r w:rsidRPr="002B6562" w:rsidR="00DC3F3C">
        <w:t>)</w:t>
      </w:r>
      <w:r w:rsidRPr="002B6562" w:rsidR="00EA6F08">
        <w:t xml:space="preserve"> related services.  It </w:t>
      </w:r>
      <w:r w:rsidRPr="002B6562" w:rsidR="00EA6F08">
        <w:t>is estimated</w:t>
      </w:r>
      <w:r w:rsidRPr="002B6562" w:rsidR="00EA6F08">
        <w:t xml:space="preserve"> that there are approximately four offerors competing for each of the awards, which results in a total of approximately </w:t>
      </w:r>
      <w:r w:rsidRPr="002B6562" w:rsidR="00AC7C8D">
        <w:t>15,648</w:t>
      </w:r>
      <w:r w:rsidRPr="002B6562" w:rsidR="007B7FB6">
        <w:t xml:space="preserve"> </w:t>
      </w:r>
      <w:r w:rsidRPr="002B6562" w:rsidR="00EA6F08">
        <w:t>responses.  The same offeror may submit multiple responses to IT solicitations; and while we can identify the 1,</w:t>
      </w:r>
      <w:r w:rsidRPr="002B6562" w:rsidR="007B7FB6">
        <w:t xml:space="preserve">410 </w:t>
      </w:r>
      <w:r w:rsidRPr="002B6562" w:rsidR="00EA6F08">
        <w:t xml:space="preserve">unique contractors who received the awards, there is no specific data available to identify the unique number of offerors who submitted the estimated </w:t>
      </w:r>
      <w:r w:rsidRPr="002B6562" w:rsidR="00AC7C8D">
        <w:t>15,648</w:t>
      </w:r>
      <w:r w:rsidRPr="002B6562" w:rsidR="007B7FB6">
        <w:t xml:space="preserve"> </w:t>
      </w:r>
      <w:r w:rsidRPr="002B6562" w:rsidR="00EA6F08">
        <w:t>solicitation responses.  For the purposes of the estimate, DoD is assuming that the 1,</w:t>
      </w:r>
      <w:r w:rsidRPr="002B6562" w:rsidR="007B7FB6">
        <w:t xml:space="preserve">410 </w:t>
      </w:r>
      <w:r w:rsidRPr="002B6562" w:rsidR="00EA6F08">
        <w:t xml:space="preserve">unique awardees were the same entities </w:t>
      </w:r>
      <w:r w:rsidRPr="002B6562" w:rsidR="00DC3F3C">
        <w:t xml:space="preserve">that </w:t>
      </w:r>
      <w:r w:rsidRPr="002B6562" w:rsidR="00EA6F08">
        <w:t xml:space="preserve">submitted offers on the </w:t>
      </w:r>
      <w:r w:rsidRPr="002B6562" w:rsidR="007B7FB6">
        <w:t>3,912</w:t>
      </w:r>
      <w:r w:rsidRPr="002B6562" w:rsidR="00EA6F08">
        <w:t xml:space="preserve"> contract awards.  Approximately 1</w:t>
      </w:r>
      <w:r w:rsidRPr="002B6562" w:rsidR="0062058D">
        <w:t>5</w:t>
      </w:r>
      <w:r w:rsidRPr="002B6562" w:rsidR="00EA6F08">
        <w:t xml:space="preserve"> minutes </w:t>
      </w:r>
      <w:r w:rsidRPr="002B6562" w:rsidR="00EA6F08">
        <w:t>is anticipated</w:t>
      </w:r>
      <w:r w:rsidRPr="002B6562" w:rsidR="00EA6F08">
        <w:t xml:space="preserve"> to be required to determine and submit the use of cloud computing representation.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8AC2BB8"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31B89" w:rsidRPr="002B6562" w:rsidP="0062058D" w14:paraId="5C5EB755" w14:textId="16BBA626">
            <w:pPr>
              <w:spacing w:before="100" w:beforeAutospacing="1" w:after="100" w:afterAutospacing="1" w:line="288" w:lineRule="atLeast"/>
              <w:jc w:val="center"/>
            </w:pPr>
            <w:r w:rsidRPr="002B6562">
              <w:t>Estimation of Respondent Burden Hours:  252.239-7009</w:t>
            </w:r>
          </w:p>
        </w:tc>
      </w:tr>
      <w:tr w14:paraId="127A0A8F" w14:textId="77777777" w:rsidTr="0062058D">
        <w:tblPrEx>
          <w:tblW w:w="9270" w:type="dxa"/>
          <w:tblInd w:w="108" w:type="dxa"/>
          <w:tblLook w:val="04A0"/>
        </w:tblPrEx>
        <w:trPr>
          <w:trHeight w:val="386"/>
        </w:trPr>
        <w:tc>
          <w:tcPr>
            <w:tcW w:w="7020" w:type="dxa"/>
            <w:shd w:val="clear" w:color="auto" w:fill="auto"/>
            <w:vAlign w:val="center"/>
          </w:tcPr>
          <w:p w:rsidR="00631B89" w:rsidRPr="002B6562" w:rsidP="0062058D" w14:paraId="401604A4" w14:textId="77777777">
            <w:pPr>
              <w:tabs>
                <w:tab w:val="left" w:pos="360"/>
              </w:tabs>
              <w:rPr>
                <w:color w:val="000000"/>
              </w:rPr>
            </w:pPr>
            <w:r w:rsidRPr="002B6562">
              <w:rPr>
                <w:color w:val="000000"/>
              </w:rPr>
              <w:t>Number of respondents</w:t>
            </w:r>
          </w:p>
        </w:tc>
        <w:tc>
          <w:tcPr>
            <w:tcW w:w="2250" w:type="dxa"/>
            <w:shd w:val="clear" w:color="auto" w:fill="auto"/>
            <w:vAlign w:val="center"/>
          </w:tcPr>
          <w:p w:rsidR="00631B89" w:rsidRPr="002B6562" w:rsidP="0062058D" w14:paraId="27BCD668" w14:textId="7E676423">
            <w:pPr>
              <w:jc w:val="right"/>
            </w:pPr>
            <w:r w:rsidRPr="002B6562">
              <w:t>1</w:t>
            </w:r>
            <w:r w:rsidRPr="002B6562" w:rsidR="0062058D">
              <w:t>,</w:t>
            </w:r>
            <w:r w:rsidRPr="002B6562" w:rsidR="007B7FB6">
              <w:t>410</w:t>
            </w:r>
          </w:p>
        </w:tc>
      </w:tr>
      <w:tr w14:paraId="2CBEB8E3" w14:textId="77777777" w:rsidTr="0062058D">
        <w:tblPrEx>
          <w:tblW w:w="9270" w:type="dxa"/>
          <w:tblInd w:w="108" w:type="dxa"/>
          <w:tblLook w:val="04A0"/>
        </w:tblPrEx>
        <w:trPr>
          <w:trHeight w:val="422"/>
        </w:trPr>
        <w:tc>
          <w:tcPr>
            <w:tcW w:w="7020" w:type="dxa"/>
            <w:shd w:val="clear" w:color="auto" w:fill="auto"/>
            <w:vAlign w:val="center"/>
          </w:tcPr>
          <w:p w:rsidR="00631B89" w:rsidRPr="002B6562" w:rsidP="0062058D" w14:paraId="6EF3BAF5" w14:textId="77777777">
            <w:pPr>
              <w:tabs>
                <w:tab w:val="left" w:pos="360"/>
              </w:tabs>
              <w:rPr>
                <w:color w:val="000000"/>
              </w:rPr>
            </w:pPr>
            <w:r w:rsidRPr="002B6562">
              <w:rPr>
                <w:color w:val="000000"/>
              </w:rPr>
              <w:t>Number of responses per respondent</w:t>
            </w:r>
          </w:p>
        </w:tc>
        <w:tc>
          <w:tcPr>
            <w:tcW w:w="2250" w:type="dxa"/>
            <w:shd w:val="clear" w:color="auto" w:fill="auto"/>
            <w:vAlign w:val="center"/>
          </w:tcPr>
          <w:p w:rsidR="00631B89" w:rsidRPr="002B6562" w:rsidP="0062058D" w14:paraId="17582CE3" w14:textId="4A0D4BA4">
            <w:pPr>
              <w:contextualSpacing/>
              <w:jc w:val="right"/>
            </w:pPr>
            <w:r w:rsidRPr="002B6562">
              <w:t>11.</w:t>
            </w:r>
            <w:r w:rsidRPr="002B6562" w:rsidR="00A45653">
              <w:t>1</w:t>
            </w:r>
          </w:p>
        </w:tc>
      </w:tr>
      <w:tr w14:paraId="27CAB4B1" w14:textId="77777777" w:rsidTr="0062058D">
        <w:tblPrEx>
          <w:tblW w:w="9270" w:type="dxa"/>
          <w:tblInd w:w="108" w:type="dxa"/>
          <w:tblLook w:val="04A0"/>
        </w:tblPrEx>
        <w:trPr>
          <w:trHeight w:val="431"/>
        </w:trPr>
        <w:tc>
          <w:tcPr>
            <w:tcW w:w="7020" w:type="dxa"/>
            <w:shd w:val="clear" w:color="auto" w:fill="auto"/>
            <w:vAlign w:val="center"/>
          </w:tcPr>
          <w:p w:rsidR="00631B89" w:rsidRPr="002B6562" w:rsidP="0062058D" w14:paraId="2BC7ADB0"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631B89" w:rsidRPr="002B6562" w:rsidP="0062058D" w14:paraId="265F0EE2" w14:textId="1C798743">
            <w:pPr>
              <w:contextualSpacing/>
              <w:jc w:val="right"/>
            </w:pPr>
            <w:r w:rsidRPr="002B6562">
              <w:t>15,648</w:t>
            </w:r>
          </w:p>
        </w:tc>
      </w:tr>
      <w:tr w14:paraId="4034F4FA" w14:textId="77777777" w:rsidTr="0062058D">
        <w:tblPrEx>
          <w:tblW w:w="9270" w:type="dxa"/>
          <w:tblInd w:w="108" w:type="dxa"/>
          <w:tblLook w:val="04A0"/>
        </w:tblPrEx>
        <w:trPr>
          <w:trHeight w:val="440"/>
        </w:trPr>
        <w:tc>
          <w:tcPr>
            <w:tcW w:w="7020" w:type="dxa"/>
            <w:shd w:val="clear" w:color="auto" w:fill="auto"/>
            <w:vAlign w:val="center"/>
          </w:tcPr>
          <w:p w:rsidR="00631B89" w:rsidRPr="002B6562" w:rsidP="0062058D" w14:paraId="2682B3CF" w14:textId="77777777">
            <w:pPr>
              <w:tabs>
                <w:tab w:val="left" w:pos="360"/>
              </w:tabs>
              <w:rPr>
                <w:color w:val="000000"/>
              </w:rPr>
            </w:pPr>
            <w:r w:rsidRPr="002B6562">
              <w:rPr>
                <w:color w:val="000000"/>
              </w:rPr>
              <w:t>Hours per response</w:t>
            </w:r>
          </w:p>
        </w:tc>
        <w:tc>
          <w:tcPr>
            <w:tcW w:w="2250" w:type="dxa"/>
            <w:shd w:val="clear" w:color="auto" w:fill="auto"/>
            <w:vAlign w:val="center"/>
          </w:tcPr>
          <w:p w:rsidR="00631B89" w:rsidRPr="002B6562" w:rsidP="0062058D" w14:paraId="7F38C6F1" w14:textId="77AA25BF">
            <w:pPr>
              <w:contextualSpacing/>
              <w:jc w:val="right"/>
            </w:pPr>
            <w:r w:rsidRPr="002B6562">
              <w:t>0.25</w:t>
            </w:r>
          </w:p>
        </w:tc>
      </w:tr>
      <w:tr w14:paraId="481F6A9F" w14:textId="77777777" w:rsidTr="0062058D">
        <w:tblPrEx>
          <w:tblW w:w="9270" w:type="dxa"/>
          <w:tblInd w:w="108" w:type="dxa"/>
          <w:tblLook w:val="04A0"/>
        </w:tblPrEx>
        <w:trPr>
          <w:trHeight w:val="449"/>
        </w:trPr>
        <w:tc>
          <w:tcPr>
            <w:tcW w:w="7020" w:type="dxa"/>
            <w:shd w:val="clear" w:color="auto" w:fill="auto"/>
            <w:vAlign w:val="center"/>
          </w:tcPr>
          <w:p w:rsidR="00631B89" w:rsidRPr="002B6562" w:rsidP="0062058D" w14:paraId="4AA6E42D" w14:textId="77777777">
            <w:pPr>
              <w:tabs>
                <w:tab w:val="left" w:pos="360"/>
              </w:tabs>
              <w:rPr>
                <w:i/>
                <w:color w:val="000000"/>
              </w:rPr>
            </w:pPr>
            <w:r w:rsidRPr="002B6562">
              <w:rPr>
                <w:color w:val="000000"/>
              </w:rPr>
              <w:t xml:space="preserve">Annual respondent burden hours </w:t>
            </w:r>
            <w:r w:rsidRPr="002B6562">
              <w:rPr>
                <w:i/>
              </w:rPr>
              <w:t>(Total annual responses * hours per response)</w:t>
            </w:r>
          </w:p>
        </w:tc>
        <w:tc>
          <w:tcPr>
            <w:tcW w:w="2250" w:type="dxa"/>
            <w:shd w:val="clear" w:color="auto" w:fill="auto"/>
            <w:vAlign w:val="center"/>
          </w:tcPr>
          <w:p w:rsidR="00631B89" w:rsidRPr="002B6562" w:rsidP="0062058D" w14:paraId="7F8C6584" w14:textId="2184153A">
            <w:pPr>
              <w:contextualSpacing/>
              <w:jc w:val="right"/>
            </w:pPr>
            <w:r w:rsidRPr="002B6562">
              <w:t>3,912</w:t>
            </w:r>
          </w:p>
        </w:tc>
      </w:tr>
    </w:tbl>
    <w:p w:rsidR="00631B89" w:rsidRPr="002B6562" w:rsidP="00631B89" w14:paraId="4E7BD65D" w14:textId="7DE8CB13">
      <w:pPr>
        <w:pStyle w:val="NormalWeb"/>
        <w:tabs>
          <w:tab w:val="left" w:pos="360"/>
          <w:tab w:val="left" w:pos="720"/>
          <w:tab w:val="left" w:pos="1080"/>
          <w:tab w:val="left" w:pos="1440"/>
        </w:tabs>
        <w:spacing w:line="288" w:lineRule="atLeast"/>
        <w:rPr>
          <w:u w:val="single"/>
        </w:rPr>
      </w:pPr>
      <w:r w:rsidRPr="002B6562">
        <w:tab/>
      </w:r>
      <w:r w:rsidRPr="002B6562">
        <w:tab/>
        <w:t xml:space="preserve">2.  </w:t>
      </w:r>
      <w:r w:rsidRPr="002B6562">
        <w:rPr>
          <w:u w:val="single"/>
        </w:rPr>
        <w:t>Labor Cost of Respondent Burden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22E6AF9" w14:textId="77777777" w:rsidTr="0062058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631B89" w:rsidRPr="002B6562" w:rsidP="0062058D" w14:paraId="7FDB7BEF" w14:textId="647D05B1">
            <w:pPr>
              <w:spacing w:before="100" w:beforeAutospacing="1" w:after="100" w:afterAutospacing="1" w:line="288" w:lineRule="atLeast"/>
              <w:jc w:val="center"/>
            </w:pPr>
            <w:r w:rsidRPr="002B6562">
              <w:t>Labor Cost of Respondent Burden:  252.239-7009</w:t>
            </w:r>
          </w:p>
        </w:tc>
      </w:tr>
      <w:tr w14:paraId="6CA8FE8A" w14:textId="77777777" w:rsidTr="0062058D">
        <w:tblPrEx>
          <w:tblW w:w="9270" w:type="dxa"/>
          <w:tblInd w:w="108" w:type="dxa"/>
          <w:tblLook w:val="04A0"/>
        </w:tblPrEx>
        <w:trPr>
          <w:trHeight w:val="431"/>
        </w:trPr>
        <w:tc>
          <w:tcPr>
            <w:tcW w:w="7020" w:type="dxa"/>
            <w:shd w:val="clear" w:color="auto" w:fill="auto"/>
            <w:vAlign w:val="center"/>
          </w:tcPr>
          <w:p w:rsidR="00631B89" w:rsidRPr="002B6562" w:rsidP="0062058D" w14:paraId="69CAA2B4"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631B89" w:rsidRPr="002B6562" w:rsidP="0062058D" w14:paraId="1DD0C1D6" w14:textId="204A82A2">
            <w:pPr>
              <w:contextualSpacing/>
              <w:jc w:val="right"/>
            </w:pPr>
            <w:r w:rsidRPr="002B6562">
              <w:t>15,648</w:t>
            </w:r>
          </w:p>
        </w:tc>
      </w:tr>
      <w:tr w14:paraId="590BD357" w14:textId="77777777" w:rsidTr="0062058D">
        <w:tblPrEx>
          <w:tblW w:w="9270" w:type="dxa"/>
          <w:tblInd w:w="108" w:type="dxa"/>
          <w:tblLook w:val="04A0"/>
        </w:tblPrEx>
        <w:trPr>
          <w:trHeight w:val="440"/>
        </w:trPr>
        <w:tc>
          <w:tcPr>
            <w:tcW w:w="7020" w:type="dxa"/>
            <w:shd w:val="clear" w:color="auto" w:fill="auto"/>
            <w:vAlign w:val="center"/>
          </w:tcPr>
          <w:p w:rsidR="00631B89" w:rsidRPr="002B6562" w:rsidP="0062058D" w14:paraId="2A39DF22" w14:textId="77777777">
            <w:pPr>
              <w:tabs>
                <w:tab w:val="left" w:pos="360"/>
              </w:tabs>
              <w:rPr>
                <w:color w:val="000000"/>
              </w:rPr>
            </w:pPr>
            <w:r w:rsidRPr="002B6562">
              <w:rPr>
                <w:color w:val="000000"/>
              </w:rPr>
              <w:t>Hours per response</w:t>
            </w:r>
          </w:p>
        </w:tc>
        <w:tc>
          <w:tcPr>
            <w:tcW w:w="2250" w:type="dxa"/>
            <w:shd w:val="clear" w:color="auto" w:fill="auto"/>
            <w:vAlign w:val="center"/>
          </w:tcPr>
          <w:p w:rsidR="00631B89" w:rsidRPr="002B6562" w:rsidP="0062058D" w14:paraId="0931DD84" w14:textId="581A90F3">
            <w:pPr>
              <w:contextualSpacing/>
              <w:jc w:val="right"/>
            </w:pPr>
            <w:r w:rsidRPr="002B6562">
              <w:t>0.25</w:t>
            </w:r>
          </w:p>
        </w:tc>
      </w:tr>
      <w:tr w14:paraId="63DA5A19" w14:textId="77777777" w:rsidTr="0062058D">
        <w:tblPrEx>
          <w:tblW w:w="9270" w:type="dxa"/>
          <w:tblInd w:w="108" w:type="dxa"/>
          <w:tblLook w:val="04A0"/>
        </w:tblPrEx>
        <w:trPr>
          <w:trHeight w:val="431"/>
        </w:trPr>
        <w:tc>
          <w:tcPr>
            <w:tcW w:w="7020" w:type="dxa"/>
            <w:shd w:val="clear" w:color="auto" w:fill="auto"/>
            <w:vAlign w:val="center"/>
          </w:tcPr>
          <w:p w:rsidR="00631B89" w:rsidRPr="002B6562" w:rsidP="0062058D" w14:paraId="35B787E6" w14:textId="77777777">
            <w:pPr>
              <w:tabs>
                <w:tab w:val="left" w:pos="360"/>
              </w:tabs>
              <w:rPr>
                <w:color w:val="000000"/>
              </w:rPr>
            </w:pPr>
            <w:r w:rsidRPr="002B6562">
              <w:rPr>
                <w:color w:val="000000"/>
              </w:rPr>
              <w:t>Cost per hour (hourly wage)</w:t>
            </w:r>
          </w:p>
        </w:tc>
        <w:tc>
          <w:tcPr>
            <w:tcW w:w="2250" w:type="dxa"/>
            <w:shd w:val="clear" w:color="auto" w:fill="auto"/>
            <w:vAlign w:val="center"/>
          </w:tcPr>
          <w:p w:rsidR="00631B89" w:rsidRPr="002B6562" w:rsidP="0062058D" w14:paraId="5CE54D7B" w14:textId="7B1BAB84">
            <w:pPr>
              <w:contextualSpacing/>
              <w:jc w:val="right"/>
            </w:pPr>
            <w:r w:rsidRPr="002B6562">
              <w:t>$</w:t>
            </w:r>
            <w:r w:rsidRPr="002B6562" w:rsidR="003E7FF0">
              <w:t>103</w:t>
            </w:r>
          </w:p>
        </w:tc>
      </w:tr>
      <w:tr w14:paraId="4FD9F5B9" w14:textId="77777777" w:rsidTr="0062058D">
        <w:tblPrEx>
          <w:tblW w:w="9270" w:type="dxa"/>
          <w:tblInd w:w="108" w:type="dxa"/>
          <w:tblLook w:val="04A0"/>
        </w:tblPrEx>
        <w:trPr>
          <w:trHeight w:val="431"/>
        </w:trPr>
        <w:tc>
          <w:tcPr>
            <w:tcW w:w="7020" w:type="dxa"/>
            <w:shd w:val="clear" w:color="auto" w:fill="auto"/>
            <w:vAlign w:val="center"/>
          </w:tcPr>
          <w:p w:rsidR="00631B89" w:rsidRPr="002B6562" w:rsidP="0062058D" w14:paraId="4ABF58EF" w14:textId="77777777">
            <w:pPr>
              <w:tabs>
                <w:tab w:val="left" w:pos="360"/>
              </w:tabs>
              <w:rPr>
                <w:i/>
              </w:rPr>
            </w:pPr>
            <w:r w:rsidRPr="002B6562">
              <w:t xml:space="preserve">Labor burden per response </w:t>
            </w:r>
            <w:r w:rsidRPr="002B6562">
              <w:rPr>
                <w:i/>
              </w:rPr>
              <w:t>(Hours per response * hourly wage)</w:t>
            </w:r>
          </w:p>
        </w:tc>
        <w:tc>
          <w:tcPr>
            <w:tcW w:w="2250" w:type="dxa"/>
            <w:shd w:val="clear" w:color="auto" w:fill="auto"/>
            <w:vAlign w:val="center"/>
          </w:tcPr>
          <w:p w:rsidR="00631B89" w:rsidRPr="002B6562" w:rsidP="001927F3" w14:paraId="29C39939" w14:textId="52D2E182">
            <w:pPr>
              <w:contextualSpacing/>
              <w:jc w:val="right"/>
            </w:pPr>
            <w:r w:rsidRPr="002B6562">
              <w:t>$</w:t>
            </w:r>
            <w:r w:rsidRPr="002B6562" w:rsidR="003C5E0E">
              <w:t>21.84</w:t>
            </w:r>
          </w:p>
        </w:tc>
      </w:tr>
      <w:tr w14:paraId="46948125" w14:textId="77777777" w:rsidTr="0062058D">
        <w:tblPrEx>
          <w:tblW w:w="9270" w:type="dxa"/>
          <w:tblInd w:w="108" w:type="dxa"/>
          <w:tblLook w:val="04A0"/>
        </w:tblPrEx>
        <w:trPr>
          <w:trHeight w:val="440"/>
        </w:trPr>
        <w:tc>
          <w:tcPr>
            <w:tcW w:w="7020" w:type="dxa"/>
            <w:shd w:val="clear" w:color="auto" w:fill="auto"/>
            <w:vAlign w:val="center"/>
          </w:tcPr>
          <w:p w:rsidR="00631B89" w:rsidRPr="002B6562" w:rsidP="0062058D" w14:paraId="77B4A820" w14:textId="77777777">
            <w:pPr>
              <w:tabs>
                <w:tab w:val="left" w:pos="360"/>
              </w:tabs>
            </w:pPr>
            <w:r w:rsidRPr="002B6562">
              <w:t xml:space="preserve">Annual Labor Burden </w:t>
            </w:r>
            <w:r w:rsidRPr="002B6562">
              <w:rPr>
                <w:i/>
              </w:rPr>
              <w:t>(Total annual responses * hours per response * hourly wage)</w:t>
            </w:r>
          </w:p>
        </w:tc>
        <w:tc>
          <w:tcPr>
            <w:tcW w:w="2250" w:type="dxa"/>
            <w:shd w:val="clear" w:color="auto" w:fill="auto"/>
            <w:vAlign w:val="center"/>
          </w:tcPr>
          <w:p w:rsidR="00631B89" w:rsidRPr="002B6562" w:rsidP="0062058D" w14:paraId="68A2BF5F" w14:textId="5C354427">
            <w:pPr>
              <w:contextualSpacing/>
              <w:jc w:val="right"/>
            </w:pPr>
            <w:r w:rsidRPr="002B6562">
              <w:t>$</w:t>
            </w:r>
            <w:r w:rsidRPr="002B6562" w:rsidR="00D616C9">
              <w:t>402,936</w:t>
            </w:r>
          </w:p>
        </w:tc>
      </w:tr>
    </w:tbl>
    <w:p w:rsidR="001927F3" w:rsidRPr="002B6562" w:rsidP="00771BBB" w14:paraId="4A5A335F" w14:textId="079167A2">
      <w:pPr>
        <w:pStyle w:val="NormalWeb"/>
        <w:tabs>
          <w:tab w:val="left" w:pos="360"/>
          <w:tab w:val="left" w:pos="720"/>
          <w:tab w:val="left" w:pos="1080"/>
          <w:tab w:val="left" w:pos="1440"/>
        </w:tabs>
        <w:spacing w:line="288" w:lineRule="atLeast"/>
      </w:pPr>
      <w:r w:rsidRPr="002B6562">
        <w:tab/>
        <w:t xml:space="preserve">d.  </w:t>
      </w:r>
      <w:r w:rsidRPr="002B6562">
        <w:rPr>
          <w:i/>
        </w:rPr>
        <w:t>252.239-7010, Cloud Computing Services:</w:t>
      </w:r>
    </w:p>
    <w:p w:rsidR="001927F3" w:rsidRPr="002B6562" w:rsidP="001927F3" w14:paraId="5852B27A" w14:textId="7047CAD5">
      <w:pPr>
        <w:pStyle w:val="NormalWeb"/>
        <w:tabs>
          <w:tab w:val="left" w:pos="360"/>
          <w:tab w:val="left" w:pos="720"/>
          <w:tab w:val="left" w:pos="1080"/>
          <w:tab w:val="left" w:pos="1440"/>
        </w:tabs>
        <w:spacing w:line="288" w:lineRule="atLeast"/>
      </w:pPr>
      <w:r w:rsidRPr="002B6562">
        <w:rPr>
          <w:rFonts w:eastAsiaTheme="minorHAnsi"/>
        </w:rPr>
        <w:tab/>
      </w:r>
      <w:r w:rsidRPr="002B6562">
        <w:rPr>
          <w:rFonts w:eastAsiaTheme="minorHAnsi"/>
        </w:rPr>
        <w:tab/>
        <w:t>1.</w:t>
      </w:r>
      <w:r w:rsidRPr="002B6562" w:rsidR="009F5C54">
        <w:rPr>
          <w:rFonts w:eastAsiaTheme="minorHAnsi"/>
        </w:rPr>
        <w:t xml:space="preserve"> </w:t>
      </w:r>
      <w:r w:rsidRPr="002B6562">
        <w:rPr>
          <w:rFonts w:eastAsiaTheme="minorHAnsi"/>
        </w:rPr>
        <w:t xml:space="preserve"> </w:t>
      </w:r>
      <w:r w:rsidRPr="002B6562">
        <w:rPr>
          <w:rFonts w:eastAsiaTheme="minorHAnsi"/>
          <w:u w:val="single"/>
        </w:rPr>
        <w:t>Estimation of Respondent Burden</w:t>
      </w:r>
    </w:p>
    <w:p w:rsidR="001927F3" w:rsidRPr="002B6562" w:rsidP="001927F3" w14:paraId="7795DEAA" w14:textId="2E4415A3">
      <w:pPr>
        <w:pStyle w:val="NormalWeb"/>
        <w:tabs>
          <w:tab w:val="left" w:pos="360"/>
          <w:tab w:val="left" w:pos="720"/>
          <w:tab w:val="left" w:pos="1080"/>
          <w:tab w:val="left" w:pos="1440"/>
        </w:tabs>
        <w:spacing w:line="288" w:lineRule="atLeast"/>
      </w:pPr>
      <w:r w:rsidRPr="002B6562">
        <w:tab/>
      </w:r>
      <w:r w:rsidRPr="002B6562">
        <w:t>There are three reporting requirements under this clause: paragraph (d) requires cyber incident reporting; paragraph (h) requires submission of information (media) related to a cyber event reported in paragraph (d); and paragraph (j) requires notifications of third</w:t>
      </w:r>
      <w:r w:rsidRPr="002B6562" w:rsidR="00E14516">
        <w:t>-</w:t>
      </w:r>
      <w:r w:rsidRPr="002B6562">
        <w:t xml:space="preserve">party access requests. </w:t>
      </w:r>
      <w:r w:rsidRPr="002B6562" w:rsidR="00E14516">
        <w:t xml:space="preserve"> </w:t>
      </w:r>
      <w:r w:rsidRPr="002B6562">
        <w:t xml:space="preserve">The number of cyber incident reports </w:t>
      </w:r>
      <w:r w:rsidRPr="002B6562">
        <w:t>is estimated</w:t>
      </w:r>
      <w:r w:rsidRPr="002B6562">
        <w:t xml:space="preserve"> to be </w:t>
      </w:r>
      <w:r w:rsidRPr="002B6562" w:rsidR="00F20B3B">
        <w:t xml:space="preserve">27 </w:t>
      </w:r>
      <w:r w:rsidRPr="002B6562">
        <w:t xml:space="preserve">cyber incident reports by </w:t>
      </w:r>
      <w:r w:rsidRPr="002B6562" w:rsidR="00F20B3B">
        <w:t xml:space="preserve">three </w:t>
      </w:r>
      <w:r w:rsidRPr="002B6562">
        <w:t xml:space="preserve">respondents. </w:t>
      </w:r>
      <w:r w:rsidRPr="002B6562" w:rsidR="00E14516">
        <w:t xml:space="preserve"> </w:t>
      </w:r>
      <w:r w:rsidRPr="002B6562">
        <w:t xml:space="preserve">It </w:t>
      </w:r>
      <w:r w:rsidRPr="002B6562">
        <w:t>is estimated</w:t>
      </w:r>
      <w:r w:rsidRPr="002B6562">
        <w:t xml:space="preserve"> that the cyber incident reports will require four hours per response. </w:t>
      </w:r>
      <w:r w:rsidRPr="002B6562" w:rsidR="00E14516">
        <w:t xml:space="preserve"> </w:t>
      </w:r>
      <w:r w:rsidRPr="002B6562">
        <w:t xml:space="preserve">Although there have been no media submissions or notifications of third-party access requests in 2019, 2020, and 2021, 10 respondents for each </w:t>
      </w:r>
      <w:r w:rsidRPr="002B6562">
        <w:t>is</w:t>
      </w:r>
      <w:r w:rsidRPr="002B6562">
        <w:t xml:space="preserve"> estimated in order to continue the PRA clearance for media submissions and notifications of third-party access requests.  It </w:t>
      </w:r>
      <w:r w:rsidRPr="002B6562">
        <w:t>is estimated</w:t>
      </w:r>
      <w:r w:rsidRPr="002B6562">
        <w:t xml:space="preserve"> that the media submissions will take 10 hours per response and the notifications of third</w:t>
      </w:r>
      <w:r w:rsidRPr="002B6562" w:rsidR="00E14516">
        <w:t>-</w:t>
      </w:r>
      <w:r w:rsidRPr="002B6562">
        <w:t>party requests for access will</w:t>
      </w:r>
      <w:r w:rsidRPr="002B6562" w:rsidR="00E14516">
        <w:t xml:space="preserve"> take four hours per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7B34922" w14:textId="77777777" w:rsidTr="000E396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927F3" w:rsidRPr="002B6562" w:rsidP="000E3960" w14:paraId="4B8C129F" w14:textId="125B1321">
            <w:pPr>
              <w:spacing w:before="100" w:beforeAutospacing="1" w:after="100" w:afterAutospacing="1" w:line="288" w:lineRule="atLeast"/>
              <w:jc w:val="center"/>
            </w:pPr>
            <w:r w:rsidRPr="002B6562">
              <w:t>Estimation of Respondent Burden Hours:  252.239-7010</w:t>
            </w:r>
          </w:p>
        </w:tc>
      </w:tr>
      <w:tr w14:paraId="1FCCF10F" w14:textId="77777777" w:rsidTr="000E3960">
        <w:tblPrEx>
          <w:tblW w:w="9270" w:type="dxa"/>
          <w:tblInd w:w="108" w:type="dxa"/>
          <w:tblLook w:val="04A0"/>
        </w:tblPrEx>
        <w:trPr>
          <w:trHeight w:val="386"/>
        </w:trPr>
        <w:tc>
          <w:tcPr>
            <w:tcW w:w="7020" w:type="dxa"/>
            <w:shd w:val="clear" w:color="auto" w:fill="auto"/>
            <w:vAlign w:val="center"/>
          </w:tcPr>
          <w:p w:rsidR="001927F3" w:rsidRPr="002B6562" w:rsidP="000E3960" w14:paraId="1409825C" w14:textId="77777777">
            <w:pPr>
              <w:tabs>
                <w:tab w:val="left" w:pos="360"/>
              </w:tabs>
              <w:rPr>
                <w:color w:val="000000"/>
              </w:rPr>
            </w:pPr>
            <w:r w:rsidRPr="002B6562">
              <w:rPr>
                <w:color w:val="000000"/>
              </w:rPr>
              <w:t>Number of respondents</w:t>
            </w:r>
          </w:p>
        </w:tc>
        <w:tc>
          <w:tcPr>
            <w:tcW w:w="2250" w:type="dxa"/>
            <w:shd w:val="clear" w:color="auto" w:fill="auto"/>
            <w:vAlign w:val="center"/>
          </w:tcPr>
          <w:p w:rsidR="001927F3" w:rsidRPr="002B6562" w:rsidP="000E3960" w14:paraId="4BDAB134" w14:textId="04FEEB35">
            <w:pPr>
              <w:jc w:val="right"/>
            </w:pPr>
            <w:r w:rsidRPr="002B6562">
              <w:t>23</w:t>
            </w:r>
          </w:p>
        </w:tc>
      </w:tr>
      <w:tr w14:paraId="11B091F0" w14:textId="77777777" w:rsidTr="000E3960">
        <w:tblPrEx>
          <w:tblW w:w="9270" w:type="dxa"/>
          <w:tblInd w:w="108" w:type="dxa"/>
          <w:tblLook w:val="04A0"/>
        </w:tblPrEx>
        <w:trPr>
          <w:trHeight w:val="431"/>
        </w:trPr>
        <w:tc>
          <w:tcPr>
            <w:tcW w:w="7020" w:type="dxa"/>
            <w:shd w:val="clear" w:color="auto" w:fill="auto"/>
            <w:vAlign w:val="center"/>
          </w:tcPr>
          <w:p w:rsidR="001927F3" w:rsidRPr="002B6562" w:rsidP="000E3960" w14:paraId="6D20530B"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1927F3" w:rsidRPr="002B6562" w:rsidP="000E3960" w14:paraId="0C1EB91F" w14:textId="76BCED91">
            <w:pPr>
              <w:contextualSpacing/>
              <w:jc w:val="right"/>
            </w:pPr>
            <w:r w:rsidRPr="002B6562">
              <w:t>47</w:t>
            </w:r>
          </w:p>
        </w:tc>
      </w:tr>
      <w:tr w14:paraId="04F5785B" w14:textId="77777777" w:rsidTr="000E3960">
        <w:tblPrEx>
          <w:tblW w:w="9270" w:type="dxa"/>
          <w:tblInd w:w="108" w:type="dxa"/>
          <w:tblLook w:val="04A0"/>
        </w:tblPrEx>
        <w:trPr>
          <w:trHeight w:val="449"/>
        </w:trPr>
        <w:tc>
          <w:tcPr>
            <w:tcW w:w="7020" w:type="dxa"/>
            <w:shd w:val="clear" w:color="auto" w:fill="auto"/>
            <w:vAlign w:val="center"/>
          </w:tcPr>
          <w:p w:rsidR="001927F3" w:rsidRPr="002B6562" w:rsidP="000E3960" w14:paraId="5BCE2DA9" w14:textId="77777777">
            <w:pPr>
              <w:tabs>
                <w:tab w:val="left" w:pos="360"/>
              </w:tabs>
              <w:rPr>
                <w:i/>
                <w:color w:val="000000"/>
              </w:rPr>
            </w:pPr>
            <w:r w:rsidRPr="002B6562">
              <w:rPr>
                <w:color w:val="000000"/>
              </w:rPr>
              <w:t xml:space="preserve">Annual respondent burden hours </w:t>
            </w:r>
            <w:r w:rsidRPr="002B6562">
              <w:rPr>
                <w:i/>
              </w:rPr>
              <w:t>(Total annual responses * hours per response)</w:t>
            </w:r>
          </w:p>
        </w:tc>
        <w:tc>
          <w:tcPr>
            <w:tcW w:w="2250" w:type="dxa"/>
            <w:shd w:val="clear" w:color="auto" w:fill="auto"/>
            <w:vAlign w:val="center"/>
          </w:tcPr>
          <w:p w:rsidR="001927F3" w:rsidRPr="002B6562" w:rsidP="000E3960" w14:paraId="0FBA9BBE" w14:textId="2774E7F4">
            <w:pPr>
              <w:contextualSpacing/>
              <w:jc w:val="right"/>
            </w:pPr>
            <w:r w:rsidRPr="002B6562">
              <w:t>248</w:t>
            </w:r>
          </w:p>
        </w:tc>
      </w:tr>
    </w:tbl>
    <w:p w:rsidR="001927F3" w:rsidRPr="002B6562" w:rsidP="001927F3" w14:paraId="5816F49A" w14:textId="2BE219B4">
      <w:pPr>
        <w:pStyle w:val="NormalWeb"/>
        <w:tabs>
          <w:tab w:val="left" w:pos="360"/>
          <w:tab w:val="left" w:pos="720"/>
          <w:tab w:val="left" w:pos="1080"/>
          <w:tab w:val="left" w:pos="1440"/>
        </w:tabs>
        <w:spacing w:line="288" w:lineRule="atLeast"/>
        <w:rPr>
          <w:u w:val="single"/>
        </w:rPr>
      </w:pPr>
      <w:r w:rsidRPr="002B6562">
        <w:tab/>
      </w:r>
      <w:r w:rsidRPr="002B6562">
        <w:tab/>
        <w:t xml:space="preserve">2.  </w:t>
      </w:r>
      <w:r w:rsidRPr="002B6562">
        <w:rPr>
          <w:u w:val="single"/>
        </w:rPr>
        <w:t>Labor Cost of Respondent Burden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B0B4CB4" w14:textId="77777777" w:rsidTr="000E3960">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1927F3" w:rsidRPr="002B6562" w:rsidP="000E3960" w14:paraId="776F7C95" w14:textId="5DBE48E4">
            <w:pPr>
              <w:spacing w:before="100" w:beforeAutospacing="1" w:after="100" w:afterAutospacing="1" w:line="288" w:lineRule="atLeast"/>
              <w:jc w:val="center"/>
            </w:pPr>
            <w:r w:rsidRPr="002B6562">
              <w:t>Labor Cost of Respondent Burden:  252.239-7010</w:t>
            </w:r>
          </w:p>
        </w:tc>
      </w:tr>
      <w:tr w14:paraId="60E3DA06" w14:textId="77777777" w:rsidTr="000E3960">
        <w:tblPrEx>
          <w:tblW w:w="9270" w:type="dxa"/>
          <w:tblInd w:w="108" w:type="dxa"/>
          <w:tblLook w:val="04A0"/>
        </w:tblPrEx>
        <w:trPr>
          <w:trHeight w:val="431"/>
        </w:trPr>
        <w:tc>
          <w:tcPr>
            <w:tcW w:w="7020" w:type="dxa"/>
            <w:shd w:val="clear" w:color="auto" w:fill="auto"/>
            <w:vAlign w:val="center"/>
          </w:tcPr>
          <w:p w:rsidR="001927F3" w:rsidRPr="002B6562" w:rsidP="000E3960" w14:paraId="4B8A5082" w14:textId="77777777">
            <w:pPr>
              <w:tabs>
                <w:tab w:val="left" w:pos="360"/>
              </w:tabs>
              <w:rPr>
                <w:color w:val="000000"/>
              </w:rPr>
            </w:pPr>
            <w:r w:rsidRPr="002B6562">
              <w:rPr>
                <w:color w:val="000000"/>
              </w:rPr>
              <w:t>Number of total annual responses</w:t>
            </w:r>
          </w:p>
        </w:tc>
        <w:tc>
          <w:tcPr>
            <w:tcW w:w="2250" w:type="dxa"/>
            <w:shd w:val="clear" w:color="auto" w:fill="auto"/>
            <w:vAlign w:val="center"/>
          </w:tcPr>
          <w:p w:rsidR="001927F3" w:rsidRPr="002B6562" w:rsidP="000E3960" w14:paraId="143F7122" w14:textId="4AF33230">
            <w:pPr>
              <w:contextualSpacing/>
              <w:jc w:val="right"/>
            </w:pPr>
            <w:r w:rsidRPr="002B6562">
              <w:t>47</w:t>
            </w:r>
          </w:p>
        </w:tc>
      </w:tr>
      <w:tr w14:paraId="17871AFD" w14:textId="77777777" w:rsidTr="000E3960">
        <w:tblPrEx>
          <w:tblW w:w="9270" w:type="dxa"/>
          <w:tblInd w:w="108" w:type="dxa"/>
          <w:tblLook w:val="04A0"/>
        </w:tblPrEx>
        <w:trPr>
          <w:trHeight w:val="440"/>
        </w:trPr>
        <w:tc>
          <w:tcPr>
            <w:tcW w:w="7020" w:type="dxa"/>
            <w:shd w:val="clear" w:color="auto" w:fill="auto"/>
            <w:vAlign w:val="center"/>
          </w:tcPr>
          <w:p w:rsidR="001927F3" w:rsidRPr="002B6562" w:rsidP="000E3960" w14:paraId="20300C9F" w14:textId="6F8FD818">
            <w:pPr>
              <w:tabs>
                <w:tab w:val="left" w:pos="360"/>
              </w:tabs>
              <w:rPr>
                <w:color w:val="000000"/>
              </w:rPr>
            </w:pPr>
            <w:r w:rsidRPr="002B6562">
              <w:rPr>
                <w:color w:val="000000"/>
              </w:rPr>
              <w:t xml:space="preserve">Hours </w:t>
            </w:r>
          </w:p>
        </w:tc>
        <w:tc>
          <w:tcPr>
            <w:tcW w:w="2250" w:type="dxa"/>
            <w:shd w:val="clear" w:color="auto" w:fill="auto"/>
            <w:vAlign w:val="center"/>
          </w:tcPr>
          <w:p w:rsidR="001927F3" w:rsidRPr="002B6562" w:rsidP="000E3960" w14:paraId="6E60ED93" w14:textId="550E2F12">
            <w:pPr>
              <w:contextualSpacing/>
              <w:jc w:val="right"/>
            </w:pPr>
            <w:r w:rsidRPr="002B6562">
              <w:t>248</w:t>
            </w:r>
          </w:p>
        </w:tc>
      </w:tr>
      <w:tr w14:paraId="09AF776C" w14:textId="77777777" w:rsidTr="000E3960">
        <w:tblPrEx>
          <w:tblW w:w="9270" w:type="dxa"/>
          <w:tblInd w:w="108" w:type="dxa"/>
          <w:tblLook w:val="04A0"/>
        </w:tblPrEx>
        <w:trPr>
          <w:trHeight w:val="431"/>
        </w:trPr>
        <w:tc>
          <w:tcPr>
            <w:tcW w:w="7020" w:type="dxa"/>
            <w:shd w:val="clear" w:color="auto" w:fill="auto"/>
            <w:vAlign w:val="center"/>
          </w:tcPr>
          <w:p w:rsidR="001927F3" w:rsidRPr="002B6562" w:rsidP="000E3960" w14:paraId="352315AE" w14:textId="77777777">
            <w:pPr>
              <w:tabs>
                <w:tab w:val="left" w:pos="360"/>
              </w:tabs>
              <w:rPr>
                <w:color w:val="000000"/>
              </w:rPr>
            </w:pPr>
            <w:r w:rsidRPr="002B6562">
              <w:rPr>
                <w:color w:val="000000"/>
              </w:rPr>
              <w:t>Cost per hour (hourly wage)</w:t>
            </w:r>
          </w:p>
        </w:tc>
        <w:tc>
          <w:tcPr>
            <w:tcW w:w="2250" w:type="dxa"/>
            <w:shd w:val="clear" w:color="auto" w:fill="auto"/>
            <w:vAlign w:val="center"/>
          </w:tcPr>
          <w:p w:rsidR="001927F3" w:rsidRPr="002B6562" w:rsidP="000E3960" w14:paraId="1E038FC7" w14:textId="1F36A6F3">
            <w:pPr>
              <w:contextualSpacing/>
              <w:jc w:val="right"/>
            </w:pPr>
            <w:r w:rsidRPr="002B6562">
              <w:t>$</w:t>
            </w:r>
            <w:r w:rsidRPr="002B6562" w:rsidR="00BF5095">
              <w:t>103</w:t>
            </w:r>
          </w:p>
        </w:tc>
      </w:tr>
      <w:tr w14:paraId="42F960B4" w14:textId="77777777" w:rsidTr="000E3960">
        <w:tblPrEx>
          <w:tblW w:w="9270" w:type="dxa"/>
          <w:tblInd w:w="108" w:type="dxa"/>
          <w:tblLook w:val="04A0"/>
        </w:tblPrEx>
        <w:trPr>
          <w:trHeight w:val="440"/>
        </w:trPr>
        <w:tc>
          <w:tcPr>
            <w:tcW w:w="7020" w:type="dxa"/>
            <w:shd w:val="clear" w:color="auto" w:fill="auto"/>
            <w:vAlign w:val="center"/>
          </w:tcPr>
          <w:p w:rsidR="001927F3" w:rsidRPr="002B6562" w:rsidP="000E3960" w14:paraId="1DFE05E4" w14:textId="1469EF5B">
            <w:pPr>
              <w:tabs>
                <w:tab w:val="left" w:pos="360"/>
              </w:tabs>
            </w:pPr>
            <w:r w:rsidRPr="002B6562">
              <w:t xml:space="preserve">Annual Labor Burden </w:t>
            </w:r>
            <w:r w:rsidRPr="002B6562">
              <w:rPr>
                <w:i/>
              </w:rPr>
              <w:t>(Tota</w:t>
            </w:r>
            <w:r w:rsidRPr="002B6562" w:rsidR="002B6562">
              <w:rPr>
                <w:i/>
              </w:rPr>
              <w:t>l hours</w:t>
            </w:r>
            <w:r w:rsidRPr="002B6562">
              <w:rPr>
                <w:i/>
              </w:rPr>
              <w:t xml:space="preserve"> * hourly wage)</w:t>
            </w:r>
          </w:p>
        </w:tc>
        <w:tc>
          <w:tcPr>
            <w:tcW w:w="2250" w:type="dxa"/>
            <w:shd w:val="clear" w:color="auto" w:fill="auto"/>
            <w:vAlign w:val="center"/>
          </w:tcPr>
          <w:p w:rsidR="001927F3" w:rsidRPr="002B6562" w:rsidP="009F50FE" w14:paraId="3534BB12" w14:textId="3F1035AC">
            <w:pPr>
              <w:contextualSpacing/>
              <w:jc w:val="right"/>
            </w:pPr>
            <w:r w:rsidRPr="002B6562">
              <w:t>$</w:t>
            </w:r>
            <w:r w:rsidRPr="002B6562" w:rsidR="00097935">
              <w:t>2</w:t>
            </w:r>
            <w:r w:rsidRPr="002B6562" w:rsidR="003136CC">
              <w:t>5,</w:t>
            </w:r>
            <w:r w:rsidRPr="002B6562" w:rsidR="002B6562">
              <w:t>544</w:t>
            </w:r>
          </w:p>
        </w:tc>
      </w:tr>
    </w:tbl>
    <w:p w:rsidR="00422E34" w:rsidRPr="002B6562" w:rsidP="00320550" w14:paraId="76CF49F6" w14:textId="5A5CAB16">
      <w:pPr>
        <w:pStyle w:val="NormalWeb"/>
        <w:tabs>
          <w:tab w:val="left" w:pos="360"/>
          <w:tab w:val="left" w:pos="720"/>
          <w:tab w:val="left" w:pos="1080"/>
          <w:tab w:val="left" w:pos="1440"/>
        </w:tabs>
        <w:spacing w:line="288" w:lineRule="atLeast"/>
      </w:pPr>
      <w:r w:rsidRPr="002B6562">
        <w:tab/>
      </w:r>
      <w:r w:rsidRPr="002B6562">
        <w:tab/>
      </w:r>
      <w:r w:rsidRPr="002B6562" w:rsidR="00771BBB">
        <w:t>e</w:t>
      </w:r>
      <w:r w:rsidRPr="002B6562">
        <w:t xml:space="preserve">.  </w:t>
      </w:r>
      <w:r w:rsidRPr="002B6562">
        <w:rPr>
          <w:i/>
        </w:rPr>
        <w:t>Total estimated burden for cyber reporting and cloud computing</w:t>
      </w:r>
      <w:r w:rsidRPr="002B6562" w:rsidR="00E76B95">
        <w:rPr>
          <w:i/>
        </w:rPr>
        <w:t>:</w:t>
      </w:r>
      <w:r w:rsidRPr="002B6562" w:rsidR="00C91C11">
        <w:rPr>
          <w:i/>
        </w:rPr>
        <w:t xml:space="preserve">  </w:t>
      </w:r>
      <w:r w:rsidRPr="002B6562" w:rsidR="00C91C11">
        <w:t>The following is the total of estimated burden and costs from paragraphs 12.a. through 12.d.</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C7C55BB" w14:textId="77777777" w:rsidTr="00422E34">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9270" w:type="dxa"/>
            <w:gridSpan w:val="2"/>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095567D0" w14:textId="77777777">
            <w:pPr>
              <w:pStyle w:val="NormalWeb"/>
              <w:spacing w:line="288" w:lineRule="atLeast"/>
              <w:jc w:val="center"/>
            </w:pPr>
            <w:r w:rsidRPr="002B6562">
              <w:t>Estimation of Respondent Burden Hours</w:t>
            </w:r>
            <w:r w:rsidRPr="002B6562" w:rsidR="002D75A1">
              <w:t xml:space="preserve"> and Labor Costs</w:t>
            </w:r>
          </w:p>
        </w:tc>
      </w:tr>
      <w:tr w14:paraId="4F315D6D"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38F19F21" w14:textId="6CF11D79">
            <w:pPr>
              <w:tabs>
                <w:tab w:val="left" w:pos="360"/>
              </w:tabs>
              <w:rPr>
                <w:color w:val="000000"/>
              </w:rPr>
            </w:pPr>
            <w:r w:rsidRPr="002B6562">
              <w:rPr>
                <w:color w:val="000000"/>
              </w:rPr>
              <w:t>Number of respondents</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4D2471" w14:paraId="287297AC" w14:textId="3AF550BA">
            <w:pPr>
              <w:pStyle w:val="NormalWeb"/>
              <w:spacing w:before="0" w:beforeAutospacing="0" w:after="0" w:afterAutospacing="0"/>
              <w:jc w:val="right"/>
            </w:pPr>
            <w:r w:rsidRPr="002B6562">
              <w:t>1,971</w:t>
            </w:r>
          </w:p>
        </w:tc>
      </w:tr>
      <w:tr w14:paraId="6FF57B51"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33DA046D" w14:textId="4C31D21A">
            <w:pPr>
              <w:tabs>
                <w:tab w:val="left" w:pos="360"/>
              </w:tabs>
              <w:rPr>
                <w:color w:val="000000"/>
              </w:rPr>
            </w:pPr>
            <w:r w:rsidRPr="002B6562">
              <w:rPr>
                <w:color w:val="000000"/>
              </w:rPr>
              <w:t>Responses per respondent</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0E44EC" w14:paraId="4DE89DAB" w14:textId="7B348D65">
            <w:pPr>
              <w:pStyle w:val="NormalWeb"/>
              <w:spacing w:before="0" w:beforeAutospacing="0" w:after="0" w:afterAutospacing="0"/>
              <w:contextualSpacing/>
              <w:jc w:val="right"/>
            </w:pPr>
            <w:r w:rsidRPr="002B6562">
              <w:t>8.01</w:t>
            </w:r>
          </w:p>
        </w:tc>
      </w:tr>
      <w:tr w14:paraId="7CA305B8"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3788B63B" w14:textId="4B336683">
            <w:pPr>
              <w:tabs>
                <w:tab w:val="left" w:pos="360"/>
              </w:tabs>
              <w:rPr>
                <w:color w:val="000000"/>
              </w:rPr>
            </w:pPr>
            <w:r w:rsidRPr="002B6562">
              <w:rPr>
                <w:color w:val="000000"/>
              </w:rPr>
              <w:t>Number of responses</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0E44EC" w14:paraId="12C3CD2D" w14:textId="7026D432">
            <w:pPr>
              <w:pStyle w:val="NormalWeb"/>
              <w:spacing w:before="0" w:beforeAutospacing="0" w:after="0" w:afterAutospacing="0"/>
              <w:contextualSpacing/>
              <w:jc w:val="right"/>
            </w:pPr>
            <w:r w:rsidRPr="002B6562">
              <w:t>16,</w:t>
            </w:r>
            <w:r w:rsidRPr="002B6562" w:rsidR="00261036">
              <w:t>233</w:t>
            </w:r>
          </w:p>
        </w:tc>
      </w:tr>
      <w:tr w14:paraId="1CC10263"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151F63E6" w14:textId="77777777">
            <w:pPr>
              <w:tabs>
                <w:tab w:val="left" w:pos="360"/>
              </w:tabs>
              <w:rPr>
                <w:color w:val="000000"/>
              </w:rPr>
            </w:pPr>
            <w:r w:rsidRPr="002B6562">
              <w:rPr>
                <w:color w:val="000000"/>
              </w:rPr>
              <w:t xml:space="preserve">Hours per response </w:t>
            </w:r>
            <w:r w:rsidRPr="002B6562" w:rsidR="00897E31">
              <w:rPr>
                <w:color w:val="000000"/>
              </w:rPr>
              <w:t>(approximately)</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62058D" w14:paraId="7048325D" w14:textId="1CA78032">
            <w:pPr>
              <w:pStyle w:val="NormalWeb"/>
              <w:spacing w:before="0" w:beforeAutospacing="0" w:after="0" w:afterAutospacing="0"/>
              <w:contextualSpacing/>
              <w:jc w:val="right"/>
            </w:pPr>
            <w:r w:rsidRPr="002B6562">
              <w:t>0</w:t>
            </w:r>
            <w:r w:rsidRPr="002B6562" w:rsidR="00EC5995">
              <w:t>.</w:t>
            </w:r>
            <w:r w:rsidRPr="002B6562" w:rsidR="00A13EBA">
              <w:t>4</w:t>
            </w:r>
            <w:r w:rsidRPr="002B6562" w:rsidR="00261036">
              <w:t>2</w:t>
            </w:r>
          </w:p>
        </w:tc>
      </w:tr>
      <w:tr w14:paraId="7AE0B5AB"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33855952" w14:textId="60EDC5B8">
            <w:pPr>
              <w:tabs>
                <w:tab w:val="left" w:pos="360"/>
              </w:tabs>
              <w:rPr>
                <w:color w:val="000000"/>
              </w:rPr>
            </w:pPr>
            <w:r w:rsidRPr="002B6562">
              <w:rPr>
                <w:color w:val="000000"/>
              </w:rPr>
              <w:t>Estimated hours</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62058D" w14:paraId="1DC071F6" w14:textId="1BADF557">
            <w:pPr>
              <w:pStyle w:val="NormalWeb"/>
              <w:spacing w:before="0" w:beforeAutospacing="0" w:after="0" w:afterAutospacing="0"/>
              <w:contextualSpacing/>
              <w:jc w:val="right"/>
            </w:pPr>
            <w:r w:rsidRPr="002B6562">
              <w:t>6,770</w:t>
            </w:r>
          </w:p>
        </w:tc>
      </w:tr>
      <w:tr w14:paraId="09B4B14D"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C91C11" w14:paraId="19A65005" w14:textId="0CCB8AA1">
            <w:pPr>
              <w:tabs>
                <w:tab w:val="left" w:pos="360"/>
              </w:tabs>
              <w:rPr>
                <w:color w:val="000000"/>
              </w:rPr>
            </w:pPr>
            <w:r w:rsidRPr="002B6562">
              <w:rPr>
                <w:color w:val="000000"/>
              </w:rPr>
              <w:t>Cost per hour (hourly wage)</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E76B95" w14:paraId="1C587CB3" w14:textId="44472891">
            <w:pPr>
              <w:pStyle w:val="NormalWeb"/>
              <w:spacing w:before="0" w:beforeAutospacing="0" w:after="0" w:afterAutospacing="0"/>
              <w:contextualSpacing/>
              <w:jc w:val="right"/>
            </w:pPr>
            <w:r w:rsidRPr="002B6562">
              <w:t>$</w:t>
            </w:r>
            <w:r w:rsidRPr="002B6562" w:rsidR="00BF5095">
              <w:t>103</w:t>
            </w:r>
          </w:p>
        </w:tc>
      </w:tr>
      <w:tr w14:paraId="3100A375" w14:textId="77777777" w:rsidTr="00422E34">
        <w:tblPrEx>
          <w:tblW w:w="9270" w:type="dxa"/>
          <w:tblInd w:w="108" w:type="dxa"/>
          <w:tblLook w:val="04A0"/>
        </w:tblPrEx>
        <w:trPr>
          <w:trHeight w:val="360"/>
        </w:trPr>
        <w:tc>
          <w:tcPr>
            <w:tcW w:w="7020" w:type="dxa"/>
            <w:tcBorders>
              <w:top w:val="single" w:sz="4" w:space="0" w:color="auto"/>
              <w:left w:val="single" w:sz="4" w:space="0" w:color="auto"/>
              <w:bottom w:val="single" w:sz="4" w:space="0" w:color="auto"/>
              <w:right w:val="single" w:sz="4" w:space="0" w:color="auto"/>
            </w:tcBorders>
            <w:vAlign w:val="center"/>
            <w:hideMark/>
          </w:tcPr>
          <w:p w:rsidR="00E76B95" w:rsidRPr="002B6562" w:rsidP="0062058D" w14:paraId="74029B61" w14:textId="77777777">
            <w:pPr>
              <w:tabs>
                <w:tab w:val="left" w:pos="360"/>
              </w:tabs>
              <w:rPr>
                <w:color w:val="000000"/>
              </w:rPr>
            </w:pPr>
            <w:r w:rsidRPr="002B6562">
              <w:rPr>
                <w:color w:val="000000"/>
              </w:rPr>
              <w:t>Annual public burden (estimated hours multiplied by cost per hour)</w:t>
            </w:r>
          </w:p>
        </w:tc>
        <w:tc>
          <w:tcPr>
            <w:tcW w:w="2250" w:type="dxa"/>
            <w:tcBorders>
              <w:top w:val="single" w:sz="4" w:space="0" w:color="auto"/>
              <w:left w:val="single" w:sz="4" w:space="0" w:color="auto"/>
              <w:bottom w:val="single" w:sz="4" w:space="0" w:color="auto"/>
              <w:right w:val="single" w:sz="4" w:space="0" w:color="auto"/>
            </w:tcBorders>
            <w:vAlign w:val="center"/>
          </w:tcPr>
          <w:p w:rsidR="00E76B95" w:rsidRPr="002B6562" w:rsidP="00E76B95" w14:paraId="230FD239" w14:textId="7BA9CA24">
            <w:pPr>
              <w:pStyle w:val="NormalWeb"/>
              <w:spacing w:before="0" w:beforeAutospacing="0" w:after="0" w:afterAutospacing="0"/>
              <w:contextualSpacing/>
              <w:jc w:val="right"/>
            </w:pPr>
            <w:r w:rsidRPr="002B6562">
              <w:t>$</w:t>
            </w:r>
            <w:r w:rsidRPr="002B6562" w:rsidR="00CF4366">
              <w:t>697,310</w:t>
            </w:r>
          </w:p>
        </w:tc>
      </w:tr>
    </w:tbl>
    <w:p w:rsidR="00746F33" w:rsidRPr="002B6562" w:rsidP="00746F33" w14:paraId="008B95AD" w14:textId="7B35FB57">
      <w:pPr>
        <w:pStyle w:val="NormalWeb"/>
        <w:tabs>
          <w:tab w:val="left" w:pos="360"/>
          <w:tab w:val="left" w:pos="720"/>
          <w:tab w:val="left" w:pos="1080"/>
          <w:tab w:val="left" w:pos="1440"/>
        </w:tabs>
        <w:spacing w:before="0" w:beforeAutospacing="0" w:after="0" w:afterAutospacing="0"/>
      </w:pPr>
      <w:bookmarkStart w:id="11" w:name="cp462"/>
      <w:bookmarkEnd w:id="9"/>
    </w:p>
    <w:p w:rsidR="005E0A0F" w:rsidRPr="002B6562" w:rsidP="00746F33" w14:paraId="05F9BCFB" w14:textId="189E03D8">
      <w:pPr>
        <w:pStyle w:val="NormalWeb"/>
        <w:tabs>
          <w:tab w:val="left" w:pos="360"/>
          <w:tab w:val="left" w:pos="720"/>
          <w:tab w:val="left" w:pos="1080"/>
          <w:tab w:val="left" w:pos="1440"/>
        </w:tabs>
        <w:spacing w:before="0" w:beforeAutospacing="0" w:after="0" w:afterAutospacing="0"/>
      </w:pPr>
      <w:r w:rsidRPr="002B6562">
        <w:t>13.</w:t>
      </w:r>
      <w:r w:rsidRPr="002B6562" w:rsidR="00E14516">
        <w:t xml:space="preserve">  </w:t>
      </w:r>
      <w:r w:rsidRPr="002B6562">
        <w:rPr>
          <w:u w:val="single"/>
        </w:rPr>
        <w:t>Respondent Costs Other Than Burden Hour Costs</w:t>
      </w:r>
    </w:p>
    <w:p w:rsidR="00EB0C6C" w:rsidRPr="002B6562" w:rsidP="00320550" w14:paraId="58D3A653" w14:textId="47A4EBC2">
      <w:pPr>
        <w:pStyle w:val="NormalWeb"/>
        <w:tabs>
          <w:tab w:val="left" w:pos="360"/>
          <w:tab w:val="left" w:pos="720"/>
          <w:tab w:val="left" w:pos="1080"/>
          <w:tab w:val="left" w:pos="1440"/>
        </w:tabs>
        <w:spacing w:line="288" w:lineRule="atLeast"/>
      </w:pPr>
      <w:bookmarkStart w:id="12" w:name="cp464"/>
      <w:bookmarkEnd w:id="11"/>
      <w:r w:rsidRPr="002B6562">
        <w:tab/>
      </w:r>
      <w:bookmarkStart w:id="13" w:name="cp466"/>
      <w:bookmarkEnd w:id="12"/>
      <w:r w:rsidRPr="002B6562" w:rsidR="00CF2408">
        <w:t>There are no annualized costs to respondents other than the labor burden costs addressed in Section 12 of this document to complete this collection</w:t>
      </w:r>
      <w:r w:rsidRPr="002B6562" w:rsidR="00320550">
        <w:t>.</w:t>
      </w:r>
    </w:p>
    <w:p w:rsidR="00D141EB" w:rsidRPr="002B6562" w:rsidP="00FB3212" w14:paraId="4AA0ABE1" w14:textId="2C77AFFE">
      <w:pPr>
        <w:pStyle w:val="NormalWeb"/>
        <w:tabs>
          <w:tab w:val="left" w:pos="360"/>
          <w:tab w:val="left" w:pos="720"/>
          <w:tab w:val="left" w:pos="1080"/>
          <w:tab w:val="left" w:pos="1440"/>
        </w:tabs>
        <w:spacing w:line="288" w:lineRule="atLeast"/>
      </w:pPr>
      <w:r w:rsidRPr="002B6562">
        <w:t>14.</w:t>
      </w:r>
      <w:r w:rsidRPr="002B6562" w:rsidR="00E14516">
        <w:t xml:space="preserve">  </w:t>
      </w:r>
      <w:r w:rsidRPr="002B6562">
        <w:rPr>
          <w:u w:val="single"/>
        </w:rPr>
        <w:t>Cost to the Federal Government</w:t>
      </w:r>
      <w:bookmarkEnd w:id="13"/>
    </w:p>
    <w:p w:rsidR="00C91C11" w:rsidRPr="002B6562" w:rsidP="00320550" w14:paraId="10EEBCA5" w14:textId="69D57DB6">
      <w:pPr>
        <w:pStyle w:val="NormalWeb"/>
        <w:tabs>
          <w:tab w:val="left" w:pos="360"/>
          <w:tab w:val="left" w:pos="720"/>
          <w:tab w:val="left" w:pos="1080"/>
          <w:tab w:val="left" w:pos="1440"/>
        </w:tabs>
        <w:spacing w:line="288" w:lineRule="atLeast"/>
      </w:pPr>
      <w:r w:rsidRPr="002B6562">
        <w:tab/>
      </w:r>
      <w:r w:rsidRPr="002B6562" w:rsidR="00A17A21">
        <w:t>The following table illustrates the estimated Government burden from in-take, analysis, assessment, documentation development and completion of all required reviews</w:t>
      </w:r>
      <w:r w:rsidRPr="002B6562">
        <w:t xml:space="preserve"> for the information collections under DFARS </w:t>
      </w:r>
      <w:r w:rsidRPr="002B6562" w:rsidR="00320550">
        <w:t>252.204-7012, 252</w:t>
      </w:r>
      <w:r w:rsidRPr="002B6562">
        <w:t>.</w:t>
      </w:r>
      <w:r w:rsidRPr="002B6562" w:rsidR="00320550">
        <w:t xml:space="preserve">204-7008, </w:t>
      </w:r>
      <w:r w:rsidRPr="002B6562">
        <w:t xml:space="preserve">252.239-7009, and </w:t>
      </w:r>
      <w:r w:rsidRPr="002B6562" w:rsidR="00320550">
        <w:t>252.239</w:t>
      </w:r>
      <w:r w:rsidRPr="002B6562" w:rsidR="00E76B95">
        <w:t>-7010:</w:t>
      </w:r>
    </w:p>
    <w:tbl>
      <w:tblPr>
        <w:tblStyle w:val="TableGrid"/>
        <w:tblW w:w="0" w:type="auto"/>
        <w:tblLayout w:type="fixed"/>
        <w:tblLook w:val="04A0"/>
      </w:tblPr>
      <w:tblGrid>
        <w:gridCol w:w="1885"/>
        <w:gridCol w:w="1890"/>
        <w:gridCol w:w="1350"/>
        <w:gridCol w:w="1170"/>
        <w:gridCol w:w="1170"/>
        <w:gridCol w:w="1885"/>
      </w:tblGrid>
      <w:tr w14:paraId="564F0D79" w14:textId="77777777" w:rsidTr="00762B7A">
        <w:tblPrEx>
          <w:tblW w:w="0" w:type="auto"/>
          <w:tblLayout w:type="fixed"/>
          <w:tblLook w:val="04A0"/>
        </w:tblPrEx>
        <w:trPr>
          <w:trHeight w:val="350"/>
        </w:trPr>
        <w:tc>
          <w:tcPr>
            <w:tcW w:w="9350" w:type="dxa"/>
            <w:gridSpan w:val="6"/>
            <w:vAlign w:val="center"/>
          </w:tcPr>
          <w:p w:rsidR="00C35B1B" w:rsidRPr="002B6562" w:rsidP="003B7399" w14:paraId="31C7BA9E" w14:textId="77777777">
            <w:pPr>
              <w:pStyle w:val="NormalWeb"/>
              <w:tabs>
                <w:tab w:val="left" w:pos="360"/>
                <w:tab w:val="left" w:pos="720"/>
                <w:tab w:val="left" w:pos="1080"/>
                <w:tab w:val="left" w:pos="1440"/>
              </w:tabs>
              <w:spacing w:before="0" w:beforeAutospacing="0" w:after="0" w:afterAutospacing="0"/>
              <w:jc w:val="center"/>
            </w:pPr>
            <w:r w:rsidRPr="002B6562">
              <w:t>Cost to the Federal Government</w:t>
            </w:r>
          </w:p>
        </w:tc>
      </w:tr>
      <w:tr w14:paraId="0EA6D944" w14:textId="77777777" w:rsidTr="00762B7A">
        <w:tblPrEx>
          <w:tblW w:w="0" w:type="auto"/>
          <w:tblLayout w:type="fixed"/>
          <w:tblLook w:val="04A0"/>
        </w:tblPrEx>
        <w:trPr>
          <w:trHeight w:val="350"/>
        </w:trPr>
        <w:tc>
          <w:tcPr>
            <w:tcW w:w="1885" w:type="dxa"/>
            <w:vAlign w:val="center"/>
          </w:tcPr>
          <w:p w:rsidR="00C35B1B" w:rsidRPr="002B6562" w:rsidP="00C35B1B" w14:paraId="31C4BF23" w14:textId="77777777">
            <w:pPr>
              <w:pStyle w:val="NormalWeb"/>
              <w:tabs>
                <w:tab w:val="left" w:pos="360"/>
                <w:tab w:val="left" w:pos="720"/>
                <w:tab w:val="left" w:pos="1080"/>
                <w:tab w:val="left" w:pos="1440"/>
              </w:tabs>
              <w:spacing w:before="0" w:beforeAutospacing="0" w:after="0" w:afterAutospacing="0"/>
            </w:pPr>
            <w:r w:rsidRPr="002B6562">
              <w:t>Requirement</w:t>
            </w:r>
          </w:p>
        </w:tc>
        <w:tc>
          <w:tcPr>
            <w:tcW w:w="1890" w:type="dxa"/>
            <w:vAlign w:val="center"/>
          </w:tcPr>
          <w:p w:rsidR="00C35B1B" w:rsidRPr="002B6562" w:rsidP="00C35B1B" w14:paraId="63E575EF" w14:textId="77777777">
            <w:pPr>
              <w:pStyle w:val="NormalWeb"/>
              <w:tabs>
                <w:tab w:val="left" w:pos="360"/>
                <w:tab w:val="left" w:pos="720"/>
                <w:tab w:val="left" w:pos="1080"/>
                <w:tab w:val="left" w:pos="1440"/>
              </w:tabs>
              <w:spacing w:before="0" w:beforeAutospacing="0" w:after="0" w:afterAutospacing="0"/>
              <w:jc w:val="center"/>
            </w:pPr>
            <w:r w:rsidRPr="002B6562">
              <w:t>Responses</w:t>
            </w:r>
          </w:p>
        </w:tc>
        <w:tc>
          <w:tcPr>
            <w:tcW w:w="1350" w:type="dxa"/>
            <w:vAlign w:val="center"/>
          </w:tcPr>
          <w:p w:rsidR="00C35B1B" w:rsidRPr="002B6562" w:rsidP="00C35B1B" w14:paraId="74EA31F4" w14:textId="057CAF98">
            <w:pPr>
              <w:pStyle w:val="NormalWeb"/>
              <w:tabs>
                <w:tab w:val="left" w:pos="360"/>
                <w:tab w:val="left" w:pos="720"/>
                <w:tab w:val="left" w:pos="1080"/>
                <w:tab w:val="left" w:pos="1440"/>
              </w:tabs>
              <w:spacing w:before="0" w:beforeAutospacing="0" w:after="0" w:afterAutospacing="0"/>
              <w:jc w:val="center"/>
            </w:pPr>
            <w:r w:rsidRPr="002B6562">
              <w:t>Hours/</w:t>
            </w:r>
            <w:r w:rsidRPr="002B6562" w:rsidR="00E14516">
              <w:t xml:space="preserve"> </w:t>
            </w:r>
            <w:r w:rsidRPr="002B6562">
              <w:t>Resp</w:t>
            </w:r>
            <w:r w:rsidRPr="002B6562" w:rsidR="00E14516">
              <w:t>onse</w:t>
            </w:r>
          </w:p>
        </w:tc>
        <w:tc>
          <w:tcPr>
            <w:tcW w:w="1170" w:type="dxa"/>
            <w:vAlign w:val="center"/>
          </w:tcPr>
          <w:p w:rsidR="00C35B1B" w:rsidRPr="002B6562" w:rsidP="003B7399" w14:paraId="578B5F91" w14:textId="2EE9EE51">
            <w:pPr>
              <w:pStyle w:val="NormalWeb"/>
              <w:tabs>
                <w:tab w:val="left" w:pos="360"/>
                <w:tab w:val="left" w:pos="720"/>
                <w:tab w:val="left" w:pos="1080"/>
                <w:tab w:val="left" w:pos="1440"/>
              </w:tabs>
              <w:spacing w:before="0" w:beforeAutospacing="0" w:after="0" w:afterAutospacing="0"/>
              <w:jc w:val="center"/>
            </w:pPr>
            <w:r w:rsidRPr="002B6562">
              <w:t>Total Hours</w:t>
            </w:r>
          </w:p>
        </w:tc>
        <w:tc>
          <w:tcPr>
            <w:tcW w:w="1170" w:type="dxa"/>
            <w:vAlign w:val="center"/>
          </w:tcPr>
          <w:p w:rsidR="00C35B1B" w:rsidRPr="002B6562" w:rsidP="003B7399" w14:paraId="18DE1652" w14:textId="325F58D3">
            <w:pPr>
              <w:pStyle w:val="NormalWeb"/>
              <w:tabs>
                <w:tab w:val="left" w:pos="360"/>
                <w:tab w:val="left" w:pos="720"/>
                <w:tab w:val="left" w:pos="1080"/>
                <w:tab w:val="left" w:pos="1440"/>
              </w:tabs>
              <w:spacing w:before="0" w:beforeAutospacing="0" w:after="0" w:afterAutospacing="0"/>
              <w:jc w:val="center"/>
            </w:pPr>
            <w:r w:rsidRPr="002B6562">
              <w:t>Cost/</w:t>
            </w:r>
            <w:r w:rsidRPr="002B6562" w:rsidR="00E14516">
              <w:t xml:space="preserve"> </w:t>
            </w:r>
            <w:r w:rsidRPr="002B6562">
              <w:t>H</w:t>
            </w:r>
            <w:r w:rsidRPr="002B6562" w:rsidR="00E14516">
              <w:t>ou</w:t>
            </w:r>
            <w:r w:rsidRPr="002B6562">
              <w:t>r</w:t>
            </w:r>
          </w:p>
        </w:tc>
        <w:tc>
          <w:tcPr>
            <w:tcW w:w="1885" w:type="dxa"/>
            <w:vAlign w:val="center"/>
          </w:tcPr>
          <w:p w:rsidR="00C35B1B" w:rsidRPr="002B6562" w:rsidP="00C35B1B" w14:paraId="1B0AF6B2" w14:textId="77777777">
            <w:pPr>
              <w:pStyle w:val="NormalWeb"/>
              <w:tabs>
                <w:tab w:val="left" w:pos="360"/>
                <w:tab w:val="left" w:pos="720"/>
                <w:tab w:val="left" w:pos="1080"/>
                <w:tab w:val="left" w:pos="1440"/>
              </w:tabs>
              <w:spacing w:before="0" w:beforeAutospacing="0" w:after="0" w:afterAutospacing="0"/>
              <w:jc w:val="center"/>
            </w:pPr>
            <w:r w:rsidRPr="002B6562">
              <w:t>Total Cost</w:t>
            </w:r>
          </w:p>
        </w:tc>
      </w:tr>
      <w:tr w14:paraId="715472D1" w14:textId="77777777" w:rsidTr="00762B7A">
        <w:tblPrEx>
          <w:tblW w:w="0" w:type="auto"/>
          <w:tblLayout w:type="fixed"/>
          <w:tblLook w:val="04A0"/>
        </w:tblPrEx>
        <w:trPr>
          <w:trHeight w:val="350"/>
        </w:trPr>
        <w:tc>
          <w:tcPr>
            <w:tcW w:w="1885" w:type="dxa"/>
            <w:vAlign w:val="center"/>
          </w:tcPr>
          <w:p w:rsidR="00270295" w:rsidRPr="002B6562" w:rsidP="003B7399" w14:paraId="31E9CDEF" w14:textId="51F3380F">
            <w:pPr>
              <w:pStyle w:val="NormalWeb"/>
              <w:tabs>
                <w:tab w:val="left" w:pos="360"/>
                <w:tab w:val="left" w:pos="720"/>
                <w:tab w:val="left" w:pos="1080"/>
                <w:tab w:val="left" w:pos="1440"/>
              </w:tabs>
              <w:spacing w:before="0" w:beforeAutospacing="0" w:after="0" w:afterAutospacing="0"/>
            </w:pPr>
            <w:r w:rsidRPr="002B6562">
              <w:t>252.204-7012(b)(2)(ii)(B)</w:t>
            </w:r>
          </w:p>
        </w:tc>
        <w:tc>
          <w:tcPr>
            <w:tcW w:w="1890" w:type="dxa"/>
            <w:vAlign w:val="center"/>
          </w:tcPr>
          <w:p w:rsidR="00270295" w:rsidRPr="002B6562" w:rsidP="003B7399" w14:paraId="718E278F" w14:textId="6092B348">
            <w:pPr>
              <w:pStyle w:val="NormalWeb"/>
              <w:tabs>
                <w:tab w:val="left" w:pos="360"/>
                <w:tab w:val="left" w:pos="720"/>
                <w:tab w:val="left" w:pos="1080"/>
                <w:tab w:val="left" w:pos="1440"/>
              </w:tabs>
              <w:spacing w:before="0" w:beforeAutospacing="0" w:after="0" w:afterAutospacing="0"/>
              <w:jc w:val="right"/>
            </w:pPr>
            <w:r w:rsidRPr="002B6562">
              <w:t>10</w:t>
            </w:r>
          </w:p>
        </w:tc>
        <w:tc>
          <w:tcPr>
            <w:tcW w:w="1350" w:type="dxa"/>
            <w:vAlign w:val="center"/>
          </w:tcPr>
          <w:p w:rsidR="00270295" w:rsidRPr="002B6562" w:rsidP="00C35B1B" w14:paraId="75907BB4" w14:textId="77777777">
            <w:pPr>
              <w:pStyle w:val="NormalWeb"/>
              <w:tabs>
                <w:tab w:val="left" w:pos="360"/>
                <w:tab w:val="left" w:pos="720"/>
                <w:tab w:val="left" w:pos="1080"/>
                <w:tab w:val="left" w:pos="1440"/>
              </w:tabs>
              <w:spacing w:before="0" w:beforeAutospacing="0" w:after="0" w:afterAutospacing="0"/>
              <w:jc w:val="right"/>
            </w:pPr>
            <w:r w:rsidRPr="002B6562">
              <w:t>1</w:t>
            </w:r>
          </w:p>
        </w:tc>
        <w:tc>
          <w:tcPr>
            <w:tcW w:w="1170" w:type="dxa"/>
            <w:vAlign w:val="center"/>
          </w:tcPr>
          <w:p w:rsidR="00270295" w:rsidRPr="002B6562" w:rsidP="00C35B1B" w14:paraId="42E691D1" w14:textId="77777777">
            <w:pPr>
              <w:pStyle w:val="NormalWeb"/>
              <w:tabs>
                <w:tab w:val="left" w:pos="360"/>
                <w:tab w:val="left" w:pos="720"/>
                <w:tab w:val="left" w:pos="1080"/>
                <w:tab w:val="left" w:pos="1440"/>
              </w:tabs>
              <w:spacing w:before="0" w:beforeAutospacing="0" w:after="0" w:afterAutospacing="0"/>
              <w:jc w:val="right"/>
            </w:pPr>
            <w:r w:rsidRPr="002B6562">
              <w:t>10</w:t>
            </w:r>
          </w:p>
        </w:tc>
        <w:tc>
          <w:tcPr>
            <w:tcW w:w="1170" w:type="dxa"/>
            <w:vAlign w:val="center"/>
          </w:tcPr>
          <w:p w:rsidR="00270295" w:rsidRPr="002B6562" w:rsidP="000F62B5" w14:paraId="2274C848" w14:textId="618DD2EC">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C35B1B" w14:paraId="75344553" w14:textId="18E19A74">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1,030</w:t>
            </w:r>
          </w:p>
        </w:tc>
      </w:tr>
      <w:tr w14:paraId="5BE99697" w14:textId="77777777" w:rsidTr="00762B7A">
        <w:tblPrEx>
          <w:tblW w:w="0" w:type="auto"/>
          <w:tblLayout w:type="fixed"/>
          <w:tblLook w:val="04A0"/>
        </w:tblPrEx>
        <w:trPr>
          <w:trHeight w:val="350"/>
        </w:trPr>
        <w:tc>
          <w:tcPr>
            <w:tcW w:w="1885" w:type="dxa"/>
            <w:vAlign w:val="center"/>
          </w:tcPr>
          <w:p w:rsidR="00270295" w:rsidRPr="002B6562" w:rsidP="00C35B1B" w14:paraId="4FC5AAE5" w14:textId="77777777">
            <w:pPr>
              <w:pStyle w:val="NormalWeb"/>
              <w:tabs>
                <w:tab w:val="left" w:pos="360"/>
                <w:tab w:val="left" w:pos="720"/>
                <w:tab w:val="left" w:pos="1080"/>
                <w:tab w:val="left" w:pos="1440"/>
              </w:tabs>
              <w:spacing w:before="0" w:beforeAutospacing="0" w:after="0" w:afterAutospacing="0"/>
            </w:pPr>
            <w:r w:rsidRPr="002B6562">
              <w:t>252.204-7012(c)(1)(ii)</w:t>
            </w:r>
          </w:p>
        </w:tc>
        <w:tc>
          <w:tcPr>
            <w:tcW w:w="1890" w:type="dxa"/>
            <w:vAlign w:val="center"/>
          </w:tcPr>
          <w:p w:rsidR="00270295" w:rsidRPr="002B6562" w:rsidP="00C35B1B" w14:paraId="6D39ED7A" w14:textId="21EF0B24">
            <w:pPr>
              <w:pStyle w:val="NormalWeb"/>
              <w:tabs>
                <w:tab w:val="left" w:pos="360"/>
                <w:tab w:val="left" w:pos="720"/>
                <w:tab w:val="left" w:pos="1080"/>
                <w:tab w:val="left" w:pos="1440"/>
              </w:tabs>
              <w:spacing w:before="0" w:beforeAutospacing="0" w:after="0" w:afterAutospacing="0"/>
              <w:jc w:val="right"/>
            </w:pPr>
            <w:r w:rsidRPr="002B6562">
              <w:t>518</w:t>
            </w:r>
          </w:p>
        </w:tc>
        <w:tc>
          <w:tcPr>
            <w:tcW w:w="1350" w:type="dxa"/>
            <w:vAlign w:val="center"/>
          </w:tcPr>
          <w:p w:rsidR="00270295" w:rsidRPr="002B6562" w:rsidP="00C35B1B" w14:paraId="62585CCD" w14:textId="061B56D4">
            <w:pPr>
              <w:pStyle w:val="NormalWeb"/>
              <w:tabs>
                <w:tab w:val="left" w:pos="360"/>
                <w:tab w:val="left" w:pos="720"/>
                <w:tab w:val="left" w:pos="1080"/>
                <w:tab w:val="left" w:pos="1440"/>
              </w:tabs>
              <w:spacing w:before="0" w:beforeAutospacing="0" w:after="0" w:afterAutospacing="0"/>
              <w:jc w:val="right"/>
            </w:pPr>
            <w:r w:rsidRPr="002B6562">
              <w:t>5</w:t>
            </w:r>
          </w:p>
        </w:tc>
        <w:tc>
          <w:tcPr>
            <w:tcW w:w="1170" w:type="dxa"/>
            <w:vAlign w:val="center"/>
          </w:tcPr>
          <w:p w:rsidR="00270295" w:rsidRPr="002B6562" w:rsidP="002C14B2" w14:paraId="72ED0B7F" w14:textId="6A8B23FD">
            <w:pPr>
              <w:pStyle w:val="NormalWeb"/>
              <w:tabs>
                <w:tab w:val="left" w:pos="360"/>
                <w:tab w:val="left" w:pos="720"/>
                <w:tab w:val="left" w:pos="1080"/>
                <w:tab w:val="left" w:pos="1440"/>
              </w:tabs>
              <w:spacing w:before="0" w:beforeAutospacing="0" w:after="0" w:afterAutospacing="0"/>
              <w:jc w:val="right"/>
            </w:pPr>
            <w:r w:rsidRPr="002B6562">
              <w:t>2,</w:t>
            </w:r>
            <w:r w:rsidRPr="002B6562" w:rsidR="00704264">
              <w:t>590</w:t>
            </w:r>
          </w:p>
        </w:tc>
        <w:tc>
          <w:tcPr>
            <w:tcW w:w="1170" w:type="dxa"/>
            <w:vAlign w:val="center"/>
          </w:tcPr>
          <w:p w:rsidR="00270295" w:rsidRPr="002B6562" w:rsidP="00C35B1B" w14:paraId="0ADEFDFA" w14:textId="76F09EC9">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2C14B2" w14:paraId="27C21698" w14:textId="08088B38">
            <w:pPr>
              <w:pStyle w:val="NormalWeb"/>
              <w:tabs>
                <w:tab w:val="left" w:pos="360"/>
                <w:tab w:val="left" w:pos="720"/>
                <w:tab w:val="left" w:pos="1080"/>
                <w:tab w:val="left" w:pos="1440"/>
              </w:tabs>
              <w:spacing w:before="0" w:beforeAutospacing="0" w:after="0" w:afterAutospacing="0"/>
              <w:jc w:val="right"/>
            </w:pPr>
            <w:r w:rsidRPr="002B6562">
              <w:t>$</w:t>
            </w:r>
            <w:r w:rsidRPr="002B6562" w:rsidR="00DE6EA1">
              <w:t>2</w:t>
            </w:r>
            <w:r w:rsidRPr="002B6562" w:rsidR="003136CC">
              <w:t>66,770</w:t>
            </w:r>
          </w:p>
        </w:tc>
      </w:tr>
      <w:tr w14:paraId="25515A42" w14:textId="77777777" w:rsidTr="003718D4">
        <w:tblPrEx>
          <w:tblW w:w="0" w:type="auto"/>
          <w:tblLayout w:type="fixed"/>
          <w:tblLook w:val="04A0"/>
        </w:tblPrEx>
        <w:trPr>
          <w:trHeight w:val="368"/>
        </w:trPr>
        <w:tc>
          <w:tcPr>
            <w:tcW w:w="1885" w:type="dxa"/>
            <w:vAlign w:val="center"/>
          </w:tcPr>
          <w:p w:rsidR="00C35B1B" w:rsidRPr="002B6562" w:rsidP="00C35B1B" w14:paraId="2B4302BD" w14:textId="77777777">
            <w:pPr>
              <w:pStyle w:val="NormalWeb"/>
              <w:tabs>
                <w:tab w:val="left" w:pos="360"/>
                <w:tab w:val="left" w:pos="720"/>
                <w:tab w:val="left" w:pos="1080"/>
                <w:tab w:val="left" w:pos="1440"/>
              </w:tabs>
              <w:spacing w:before="0" w:beforeAutospacing="0" w:after="0" w:afterAutospacing="0"/>
            </w:pPr>
            <w:r w:rsidRPr="002B6562">
              <w:t>252.204-7012(g)</w:t>
            </w:r>
          </w:p>
        </w:tc>
        <w:tc>
          <w:tcPr>
            <w:tcW w:w="1890" w:type="dxa"/>
            <w:vAlign w:val="center"/>
          </w:tcPr>
          <w:p w:rsidR="00270295" w:rsidRPr="002B6562" w:rsidP="00C35B1B" w14:paraId="44CCC502" w14:textId="4AD1A31B">
            <w:pPr>
              <w:pStyle w:val="NormalWeb"/>
              <w:tabs>
                <w:tab w:val="left" w:pos="360"/>
                <w:tab w:val="left" w:pos="720"/>
                <w:tab w:val="left" w:pos="1080"/>
                <w:tab w:val="left" w:pos="1440"/>
              </w:tabs>
              <w:spacing w:before="0" w:beforeAutospacing="0" w:after="0" w:afterAutospacing="0"/>
              <w:jc w:val="right"/>
            </w:pPr>
            <w:r w:rsidRPr="002B6562">
              <w:t>56</w:t>
            </w:r>
          </w:p>
        </w:tc>
        <w:tc>
          <w:tcPr>
            <w:tcW w:w="1350" w:type="dxa"/>
            <w:vAlign w:val="center"/>
          </w:tcPr>
          <w:p w:rsidR="00270295" w:rsidRPr="002B6562" w:rsidP="00C35B1B" w14:paraId="7EAEA7FA" w14:textId="77777777">
            <w:pPr>
              <w:pStyle w:val="NormalWeb"/>
              <w:tabs>
                <w:tab w:val="left" w:pos="360"/>
                <w:tab w:val="left" w:pos="720"/>
                <w:tab w:val="left" w:pos="1080"/>
                <w:tab w:val="left" w:pos="1440"/>
              </w:tabs>
              <w:spacing w:before="0" w:beforeAutospacing="0" w:after="0" w:afterAutospacing="0"/>
              <w:jc w:val="right"/>
            </w:pPr>
            <w:r w:rsidRPr="002B6562">
              <w:t>10</w:t>
            </w:r>
          </w:p>
        </w:tc>
        <w:tc>
          <w:tcPr>
            <w:tcW w:w="1170" w:type="dxa"/>
            <w:vAlign w:val="center"/>
          </w:tcPr>
          <w:p w:rsidR="00270295" w:rsidRPr="002B6562" w:rsidP="00C35B1B" w14:paraId="0D6F2240" w14:textId="676B32C0">
            <w:pPr>
              <w:pStyle w:val="NormalWeb"/>
              <w:tabs>
                <w:tab w:val="left" w:pos="360"/>
                <w:tab w:val="left" w:pos="720"/>
                <w:tab w:val="left" w:pos="1080"/>
                <w:tab w:val="left" w:pos="1440"/>
              </w:tabs>
              <w:spacing w:before="0" w:beforeAutospacing="0" w:after="0" w:afterAutospacing="0"/>
              <w:jc w:val="right"/>
            </w:pPr>
            <w:r w:rsidRPr="002B6562">
              <w:t>560</w:t>
            </w:r>
          </w:p>
        </w:tc>
        <w:tc>
          <w:tcPr>
            <w:tcW w:w="1170" w:type="dxa"/>
            <w:vAlign w:val="center"/>
          </w:tcPr>
          <w:p w:rsidR="00270295" w:rsidRPr="002B6562" w:rsidP="00C35B1B" w14:paraId="7B81B19C" w14:textId="1686D7D4">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shd w:val="clear" w:color="auto" w:fill="FFFFFF" w:themeFill="background1"/>
            <w:vAlign w:val="center"/>
          </w:tcPr>
          <w:p w:rsidR="00270295" w:rsidRPr="002B6562" w:rsidP="003718D4" w14:paraId="3987AF00" w14:textId="4E129EF4">
            <w:pPr>
              <w:pStyle w:val="NormalWeb"/>
              <w:tabs>
                <w:tab w:val="left" w:pos="360"/>
                <w:tab w:val="left" w:pos="720"/>
                <w:tab w:val="left" w:pos="1080"/>
                <w:tab w:val="left" w:pos="1440"/>
              </w:tabs>
              <w:spacing w:before="0" w:beforeAutospacing="0" w:after="0" w:afterAutospacing="0"/>
              <w:jc w:val="right"/>
            </w:pPr>
            <w:r w:rsidRPr="002B6562">
              <w:t>$</w:t>
            </w:r>
            <w:r w:rsidRPr="002B6562" w:rsidR="003136CC">
              <w:t>57,680</w:t>
            </w:r>
          </w:p>
        </w:tc>
      </w:tr>
      <w:tr w14:paraId="2D84EF1D" w14:textId="77777777" w:rsidTr="00762B7A">
        <w:tblPrEx>
          <w:tblW w:w="0" w:type="auto"/>
          <w:tblLayout w:type="fixed"/>
          <w:tblLook w:val="04A0"/>
        </w:tblPrEx>
        <w:trPr>
          <w:trHeight w:val="323"/>
        </w:trPr>
        <w:tc>
          <w:tcPr>
            <w:tcW w:w="1885" w:type="dxa"/>
            <w:vAlign w:val="center"/>
          </w:tcPr>
          <w:p w:rsidR="00270295" w:rsidRPr="002B6562" w:rsidP="00C35B1B" w14:paraId="3D0065DA" w14:textId="77777777">
            <w:pPr>
              <w:pStyle w:val="NormalWeb"/>
              <w:tabs>
                <w:tab w:val="left" w:pos="360"/>
                <w:tab w:val="left" w:pos="720"/>
                <w:tab w:val="left" w:pos="1080"/>
                <w:tab w:val="left" w:pos="1440"/>
              </w:tabs>
              <w:spacing w:before="0" w:beforeAutospacing="0" w:after="0" w:afterAutospacing="0"/>
            </w:pPr>
            <w:r w:rsidRPr="002B6562">
              <w:t>252.204-7008(c)(2)(i)</w:t>
            </w:r>
          </w:p>
        </w:tc>
        <w:tc>
          <w:tcPr>
            <w:tcW w:w="1890" w:type="dxa"/>
            <w:vAlign w:val="center"/>
          </w:tcPr>
          <w:p w:rsidR="00270295" w:rsidRPr="002B6562" w:rsidP="00C35B1B" w14:paraId="535027CC" w14:textId="77777777">
            <w:pPr>
              <w:pStyle w:val="NormalWeb"/>
              <w:tabs>
                <w:tab w:val="left" w:pos="360"/>
                <w:tab w:val="left" w:pos="720"/>
                <w:tab w:val="left" w:pos="1080"/>
                <w:tab w:val="left" w:pos="1440"/>
              </w:tabs>
              <w:spacing w:before="0" w:beforeAutospacing="0" w:after="0" w:afterAutospacing="0"/>
              <w:jc w:val="right"/>
            </w:pPr>
            <w:r w:rsidRPr="002B6562">
              <w:t>10</w:t>
            </w:r>
          </w:p>
        </w:tc>
        <w:tc>
          <w:tcPr>
            <w:tcW w:w="1350" w:type="dxa"/>
            <w:vAlign w:val="center"/>
          </w:tcPr>
          <w:p w:rsidR="00270295" w:rsidRPr="002B6562" w:rsidP="00C35B1B" w14:paraId="4513A183" w14:textId="77777777">
            <w:pPr>
              <w:pStyle w:val="NormalWeb"/>
              <w:tabs>
                <w:tab w:val="left" w:pos="360"/>
                <w:tab w:val="left" w:pos="720"/>
                <w:tab w:val="left" w:pos="1080"/>
                <w:tab w:val="left" w:pos="1440"/>
              </w:tabs>
              <w:spacing w:before="0" w:beforeAutospacing="0" w:after="0" w:afterAutospacing="0"/>
              <w:jc w:val="right"/>
            </w:pPr>
            <w:r w:rsidRPr="002B6562">
              <w:t>1</w:t>
            </w:r>
          </w:p>
        </w:tc>
        <w:tc>
          <w:tcPr>
            <w:tcW w:w="1170" w:type="dxa"/>
            <w:vAlign w:val="center"/>
          </w:tcPr>
          <w:p w:rsidR="00270295" w:rsidRPr="002B6562" w:rsidP="00C35B1B" w14:paraId="1D2807B7" w14:textId="77777777">
            <w:pPr>
              <w:pStyle w:val="NormalWeb"/>
              <w:tabs>
                <w:tab w:val="left" w:pos="360"/>
                <w:tab w:val="left" w:pos="720"/>
                <w:tab w:val="left" w:pos="1080"/>
                <w:tab w:val="left" w:pos="1440"/>
              </w:tabs>
              <w:spacing w:before="0" w:beforeAutospacing="0" w:after="0" w:afterAutospacing="0"/>
              <w:jc w:val="right"/>
            </w:pPr>
            <w:r w:rsidRPr="002B6562">
              <w:t>10</w:t>
            </w:r>
          </w:p>
        </w:tc>
        <w:tc>
          <w:tcPr>
            <w:tcW w:w="1170" w:type="dxa"/>
            <w:vAlign w:val="center"/>
          </w:tcPr>
          <w:p w:rsidR="00270295" w:rsidRPr="002B6562" w:rsidP="00C35B1B" w14:paraId="23BCCB41" w14:textId="3B68E6A9">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C35B1B" w14:paraId="1CCE32F0" w14:textId="4265AA13">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1,030</w:t>
            </w:r>
          </w:p>
        </w:tc>
      </w:tr>
      <w:tr w14:paraId="23138735" w14:textId="77777777" w:rsidTr="00762B7A">
        <w:tblPrEx>
          <w:tblW w:w="0" w:type="auto"/>
          <w:tblLayout w:type="fixed"/>
          <w:tblLook w:val="04A0"/>
        </w:tblPrEx>
        <w:trPr>
          <w:trHeight w:val="350"/>
        </w:trPr>
        <w:tc>
          <w:tcPr>
            <w:tcW w:w="1885" w:type="dxa"/>
            <w:vAlign w:val="center"/>
          </w:tcPr>
          <w:p w:rsidR="00270295" w:rsidRPr="002B6562" w:rsidP="003B7399" w14:paraId="5FD601C7" w14:textId="76F4BF13">
            <w:pPr>
              <w:pStyle w:val="NormalWeb"/>
              <w:tabs>
                <w:tab w:val="left" w:pos="360"/>
                <w:tab w:val="left" w:pos="720"/>
                <w:tab w:val="left" w:pos="1080"/>
                <w:tab w:val="left" w:pos="1440"/>
              </w:tabs>
              <w:spacing w:before="0" w:beforeAutospacing="0" w:after="0" w:afterAutospacing="0"/>
            </w:pPr>
            <w:r w:rsidRPr="002B6562">
              <w:t>252.239-7009</w:t>
            </w:r>
          </w:p>
        </w:tc>
        <w:tc>
          <w:tcPr>
            <w:tcW w:w="1890" w:type="dxa"/>
            <w:vAlign w:val="center"/>
          </w:tcPr>
          <w:p w:rsidR="00270295" w:rsidRPr="002B6562" w:rsidP="00C35B1B" w14:paraId="300F0BC1" w14:textId="513A7C15">
            <w:pPr>
              <w:pStyle w:val="NormalWeb"/>
              <w:tabs>
                <w:tab w:val="left" w:pos="360"/>
                <w:tab w:val="left" w:pos="720"/>
                <w:tab w:val="left" w:pos="1080"/>
                <w:tab w:val="left" w:pos="1440"/>
              </w:tabs>
              <w:spacing w:before="0" w:beforeAutospacing="0" w:after="0" w:afterAutospacing="0"/>
              <w:jc w:val="right"/>
            </w:pPr>
            <w:r w:rsidRPr="002B6562">
              <w:t>15,648</w:t>
            </w:r>
          </w:p>
        </w:tc>
        <w:tc>
          <w:tcPr>
            <w:tcW w:w="1350" w:type="dxa"/>
            <w:vAlign w:val="center"/>
          </w:tcPr>
          <w:p w:rsidR="00270295" w:rsidRPr="002B6562" w:rsidP="00C35B1B" w14:paraId="4C42CA7F" w14:textId="37EFC64C">
            <w:pPr>
              <w:pStyle w:val="NormalWeb"/>
              <w:tabs>
                <w:tab w:val="left" w:pos="360"/>
                <w:tab w:val="left" w:pos="720"/>
                <w:tab w:val="left" w:pos="1080"/>
                <w:tab w:val="left" w:pos="1440"/>
              </w:tabs>
              <w:spacing w:before="0" w:beforeAutospacing="0" w:after="0" w:afterAutospacing="0"/>
              <w:jc w:val="right"/>
            </w:pPr>
            <w:r w:rsidRPr="002B6562">
              <w:t>0</w:t>
            </w:r>
            <w:r w:rsidRPr="002B6562" w:rsidR="00C35B1B">
              <w:t>.08</w:t>
            </w:r>
          </w:p>
        </w:tc>
        <w:tc>
          <w:tcPr>
            <w:tcW w:w="1170" w:type="dxa"/>
            <w:vAlign w:val="center"/>
          </w:tcPr>
          <w:p w:rsidR="00270295" w:rsidRPr="002B6562" w:rsidP="003B7399" w14:paraId="395F4CBE" w14:textId="4BB72205">
            <w:pPr>
              <w:pStyle w:val="NormalWeb"/>
              <w:tabs>
                <w:tab w:val="left" w:pos="360"/>
                <w:tab w:val="left" w:pos="720"/>
                <w:tab w:val="left" w:pos="1080"/>
                <w:tab w:val="left" w:pos="1440"/>
              </w:tabs>
              <w:spacing w:before="0" w:beforeAutospacing="0" w:after="0" w:afterAutospacing="0"/>
              <w:jc w:val="right"/>
            </w:pPr>
            <w:r w:rsidRPr="002B6562">
              <w:t>1,</w:t>
            </w:r>
            <w:r w:rsidRPr="002B6562" w:rsidR="00652040">
              <w:t>252</w:t>
            </w:r>
          </w:p>
        </w:tc>
        <w:tc>
          <w:tcPr>
            <w:tcW w:w="1170" w:type="dxa"/>
            <w:vAlign w:val="center"/>
          </w:tcPr>
          <w:p w:rsidR="00270295" w:rsidRPr="002B6562" w:rsidP="00C35B1B" w14:paraId="180FF05D" w14:textId="4BA10557">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3718D4" w14:paraId="3684E35F" w14:textId="465881FA">
            <w:pPr>
              <w:pStyle w:val="NormalWeb"/>
              <w:tabs>
                <w:tab w:val="left" w:pos="360"/>
                <w:tab w:val="left" w:pos="720"/>
                <w:tab w:val="left" w:pos="1080"/>
                <w:tab w:val="left" w:pos="1440"/>
              </w:tabs>
              <w:spacing w:before="0" w:beforeAutospacing="0" w:after="0" w:afterAutospacing="0"/>
              <w:jc w:val="right"/>
            </w:pPr>
            <w:r w:rsidRPr="002B6562">
              <w:t>$</w:t>
            </w:r>
            <w:r w:rsidRPr="002B6562" w:rsidR="00652040">
              <w:t>1</w:t>
            </w:r>
            <w:r w:rsidRPr="002B6562" w:rsidR="003136CC">
              <w:t>28,940</w:t>
            </w:r>
          </w:p>
        </w:tc>
      </w:tr>
      <w:tr w14:paraId="3D6A91FC" w14:textId="77777777" w:rsidTr="00762B7A">
        <w:tblPrEx>
          <w:tblW w:w="0" w:type="auto"/>
          <w:tblLayout w:type="fixed"/>
          <w:tblLook w:val="04A0"/>
        </w:tblPrEx>
        <w:trPr>
          <w:trHeight w:val="377"/>
        </w:trPr>
        <w:tc>
          <w:tcPr>
            <w:tcW w:w="1885" w:type="dxa"/>
            <w:vAlign w:val="center"/>
          </w:tcPr>
          <w:p w:rsidR="00270295" w:rsidRPr="002B6562" w:rsidP="003B7399" w14:paraId="3F36D1F9" w14:textId="187C729B">
            <w:pPr>
              <w:pStyle w:val="NormalWeb"/>
              <w:tabs>
                <w:tab w:val="left" w:pos="360"/>
                <w:tab w:val="left" w:pos="720"/>
                <w:tab w:val="left" w:pos="1080"/>
                <w:tab w:val="left" w:pos="1440"/>
              </w:tabs>
              <w:spacing w:before="0" w:beforeAutospacing="0" w:after="0" w:afterAutospacing="0"/>
            </w:pPr>
            <w:r w:rsidRPr="002B6562">
              <w:t>252.239-7010(d)</w:t>
            </w:r>
          </w:p>
        </w:tc>
        <w:tc>
          <w:tcPr>
            <w:tcW w:w="1890" w:type="dxa"/>
            <w:vAlign w:val="center"/>
          </w:tcPr>
          <w:p w:rsidR="00270295" w:rsidRPr="002B6562" w:rsidP="00C35B1B" w14:paraId="35220F81" w14:textId="4C7F2DCF">
            <w:pPr>
              <w:pStyle w:val="NormalWeb"/>
              <w:tabs>
                <w:tab w:val="left" w:pos="360"/>
                <w:tab w:val="left" w:pos="720"/>
                <w:tab w:val="left" w:pos="1080"/>
                <w:tab w:val="left" w:pos="1440"/>
              </w:tabs>
              <w:spacing w:before="0" w:beforeAutospacing="0" w:after="0" w:afterAutospacing="0"/>
              <w:jc w:val="right"/>
            </w:pPr>
            <w:r w:rsidRPr="002B6562">
              <w:t>27</w:t>
            </w:r>
          </w:p>
        </w:tc>
        <w:tc>
          <w:tcPr>
            <w:tcW w:w="1350" w:type="dxa"/>
            <w:vAlign w:val="center"/>
          </w:tcPr>
          <w:p w:rsidR="00270295" w:rsidRPr="002B6562" w:rsidP="00C35B1B" w14:paraId="76B99DBA" w14:textId="51FFC92B">
            <w:pPr>
              <w:pStyle w:val="NormalWeb"/>
              <w:tabs>
                <w:tab w:val="left" w:pos="360"/>
                <w:tab w:val="left" w:pos="720"/>
                <w:tab w:val="left" w:pos="1080"/>
                <w:tab w:val="left" w:pos="1440"/>
              </w:tabs>
              <w:spacing w:before="0" w:beforeAutospacing="0" w:after="0" w:afterAutospacing="0"/>
              <w:jc w:val="right"/>
            </w:pPr>
            <w:r w:rsidRPr="002B6562">
              <w:t>1</w:t>
            </w:r>
          </w:p>
        </w:tc>
        <w:tc>
          <w:tcPr>
            <w:tcW w:w="1170" w:type="dxa"/>
            <w:vAlign w:val="center"/>
          </w:tcPr>
          <w:p w:rsidR="00270295" w:rsidRPr="002B6562" w:rsidP="00C35B1B" w14:paraId="49E4EEEB" w14:textId="460D3DCF">
            <w:pPr>
              <w:pStyle w:val="NormalWeb"/>
              <w:tabs>
                <w:tab w:val="left" w:pos="360"/>
                <w:tab w:val="left" w:pos="720"/>
                <w:tab w:val="left" w:pos="1080"/>
                <w:tab w:val="left" w:pos="1440"/>
              </w:tabs>
              <w:spacing w:before="0" w:beforeAutospacing="0" w:after="0" w:afterAutospacing="0"/>
              <w:jc w:val="right"/>
            </w:pPr>
            <w:r w:rsidRPr="002B6562">
              <w:t>27</w:t>
            </w:r>
          </w:p>
        </w:tc>
        <w:tc>
          <w:tcPr>
            <w:tcW w:w="1170" w:type="dxa"/>
            <w:vAlign w:val="center"/>
          </w:tcPr>
          <w:p w:rsidR="00270295" w:rsidRPr="002B6562" w:rsidP="003B7399" w14:paraId="6EAE7B12" w14:textId="0508FF5A">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3718D4" w14:paraId="36B4493E" w14:textId="4538C84E">
            <w:pPr>
              <w:pStyle w:val="NormalWeb"/>
              <w:tabs>
                <w:tab w:val="left" w:pos="360"/>
                <w:tab w:val="left" w:pos="720"/>
                <w:tab w:val="left" w:pos="1080"/>
                <w:tab w:val="left" w:pos="1440"/>
              </w:tabs>
              <w:spacing w:before="0" w:beforeAutospacing="0" w:after="0" w:afterAutospacing="0"/>
              <w:jc w:val="right"/>
            </w:pPr>
            <w:r w:rsidRPr="002B6562">
              <w:t>$</w:t>
            </w:r>
            <w:r w:rsidRPr="002B6562" w:rsidR="003718D4">
              <w:t>2,</w:t>
            </w:r>
            <w:r w:rsidRPr="002B6562" w:rsidR="003136CC">
              <w:t>781</w:t>
            </w:r>
          </w:p>
        </w:tc>
      </w:tr>
      <w:tr w14:paraId="66590506" w14:textId="77777777" w:rsidTr="00762B7A">
        <w:tblPrEx>
          <w:tblW w:w="0" w:type="auto"/>
          <w:tblLayout w:type="fixed"/>
          <w:tblLook w:val="04A0"/>
        </w:tblPrEx>
        <w:trPr>
          <w:trHeight w:val="323"/>
        </w:trPr>
        <w:tc>
          <w:tcPr>
            <w:tcW w:w="1885" w:type="dxa"/>
            <w:vAlign w:val="center"/>
          </w:tcPr>
          <w:p w:rsidR="00270295" w:rsidRPr="002B6562" w:rsidP="00C35B1B" w14:paraId="3C6F4ECF" w14:textId="77777777">
            <w:pPr>
              <w:pStyle w:val="NormalWeb"/>
              <w:tabs>
                <w:tab w:val="left" w:pos="360"/>
                <w:tab w:val="left" w:pos="720"/>
                <w:tab w:val="left" w:pos="1080"/>
                <w:tab w:val="left" w:pos="1440"/>
              </w:tabs>
              <w:spacing w:before="0" w:beforeAutospacing="0" w:after="0" w:afterAutospacing="0"/>
            </w:pPr>
            <w:r w:rsidRPr="002B6562">
              <w:t>252.239-7010(f/h)</w:t>
            </w:r>
          </w:p>
        </w:tc>
        <w:tc>
          <w:tcPr>
            <w:tcW w:w="1890" w:type="dxa"/>
            <w:vAlign w:val="center"/>
          </w:tcPr>
          <w:p w:rsidR="00270295" w:rsidRPr="002B6562" w:rsidP="00C35B1B" w14:paraId="152F2202" w14:textId="5E875180">
            <w:pPr>
              <w:pStyle w:val="NormalWeb"/>
              <w:tabs>
                <w:tab w:val="left" w:pos="360"/>
                <w:tab w:val="left" w:pos="720"/>
                <w:tab w:val="left" w:pos="1080"/>
                <w:tab w:val="left" w:pos="1440"/>
              </w:tabs>
              <w:spacing w:before="0" w:beforeAutospacing="0" w:after="0" w:afterAutospacing="0"/>
              <w:jc w:val="right"/>
            </w:pPr>
            <w:r w:rsidRPr="002B6562">
              <w:t>10</w:t>
            </w:r>
          </w:p>
        </w:tc>
        <w:tc>
          <w:tcPr>
            <w:tcW w:w="1350" w:type="dxa"/>
            <w:vAlign w:val="center"/>
          </w:tcPr>
          <w:p w:rsidR="00270295" w:rsidRPr="002B6562" w:rsidP="00C35B1B" w14:paraId="4C387327" w14:textId="77777777">
            <w:pPr>
              <w:pStyle w:val="NormalWeb"/>
              <w:tabs>
                <w:tab w:val="left" w:pos="360"/>
                <w:tab w:val="left" w:pos="720"/>
                <w:tab w:val="left" w:pos="1080"/>
                <w:tab w:val="left" w:pos="1440"/>
              </w:tabs>
              <w:spacing w:before="0" w:beforeAutospacing="0" w:after="0" w:afterAutospacing="0"/>
              <w:jc w:val="right"/>
            </w:pPr>
            <w:r w:rsidRPr="002B6562">
              <w:t>10</w:t>
            </w:r>
          </w:p>
        </w:tc>
        <w:tc>
          <w:tcPr>
            <w:tcW w:w="1170" w:type="dxa"/>
            <w:vAlign w:val="center"/>
          </w:tcPr>
          <w:p w:rsidR="00270295" w:rsidRPr="002B6562" w:rsidP="00C35B1B" w14:paraId="2CA68380" w14:textId="47795F70">
            <w:pPr>
              <w:pStyle w:val="NormalWeb"/>
              <w:tabs>
                <w:tab w:val="left" w:pos="360"/>
                <w:tab w:val="left" w:pos="720"/>
                <w:tab w:val="left" w:pos="1080"/>
                <w:tab w:val="left" w:pos="1440"/>
              </w:tabs>
              <w:spacing w:before="0" w:beforeAutospacing="0" w:after="0" w:afterAutospacing="0"/>
              <w:jc w:val="right"/>
            </w:pPr>
            <w:r w:rsidRPr="002B6562">
              <w:t>100</w:t>
            </w:r>
          </w:p>
        </w:tc>
        <w:tc>
          <w:tcPr>
            <w:tcW w:w="1170" w:type="dxa"/>
            <w:vAlign w:val="center"/>
          </w:tcPr>
          <w:p w:rsidR="00270295" w:rsidRPr="002B6562" w:rsidP="00C35B1B" w14:paraId="0B0F814C" w14:textId="2E694369">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0E44EC" w14:paraId="6CDFF222" w14:textId="544E4E0F">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10,300</w:t>
            </w:r>
          </w:p>
        </w:tc>
      </w:tr>
      <w:tr w14:paraId="6248A672" w14:textId="77777777" w:rsidTr="00762B7A">
        <w:tblPrEx>
          <w:tblW w:w="0" w:type="auto"/>
          <w:tblLayout w:type="fixed"/>
          <w:tblLook w:val="04A0"/>
        </w:tblPrEx>
        <w:trPr>
          <w:trHeight w:val="377"/>
        </w:trPr>
        <w:tc>
          <w:tcPr>
            <w:tcW w:w="1885" w:type="dxa"/>
            <w:vAlign w:val="center"/>
          </w:tcPr>
          <w:p w:rsidR="00270295" w:rsidRPr="002B6562" w:rsidP="00C35B1B" w14:paraId="0022AEFF" w14:textId="77777777">
            <w:pPr>
              <w:pStyle w:val="NormalWeb"/>
              <w:tabs>
                <w:tab w:val="left" w:pos="360"/>
                <w:tab w:val="left" w:pos="720"/>
                <w:tab w:val="left" w:pos="1080"/>
                <w:tab w:val="left" w:pos="1440"/>
              </w:tabs>
              <w:spacing w:before="0" w:beforeAutospacing="0" w:after="0" w:afterAutospacing="0"/>
            </w:pPr>
            <w:r w:rsidRPr="002B6562">
              <w:t>252.239-7010(j)</w:t>
            </w:r>
          </w:p>
        </w:tc>
        <w:tc>
          <w:tcPr>
            <w:tcW w:w="1890" w:type="dxa"/>
            <w:vAlign w:val="center"/>
          </w:tcPr>
          <w:p w:rsidR="00270295" w:rsidRPr="002B6562" w:rsidP="00C35B1B" w14:paraId="4DA00AC2" w14:textId="3C1F4FED">
            <w:pPr>
              <w:pStyle w:val="NormalWeb"/>
              <w:tabs>
                <w:tab w:val="left" w:pos="360"/>
                <w:tab w:val="left" w:pos="720"/>
                <w:tab w:val="left" w:pos="1080"/>
                <w:tab w:val="left" w:pos="1440"/>
              </w:tabs>
              <w:spacing w:before="0" w:beforeAutospacing="0" w:after="0" w:afterAutospacing="0"/>
              <w:jc w:val="right"/>
            </w:pPr>
            <w:r w:rsidRPr="002B6562">
              <w:t>10</w:t>
            </w:r>
          </w:p>
        </w:tc>
        <w:tc>
          <w:tcPr>
            <w:tcW w:w="1350" w:type="dxa"/>
            <w:vAlign w:val="center"/>
          </w:tcPr>
          <w:p w:rsidR="00270295" w:rsidRPr="002B6562" w:rsidP="00C35B1B" w14:paraId="0FC98F12" w14:textId="77777777">
            <w:pPr>
              <w:pStyle w:val="NormalWeb"/>
              <w:tabs>
                <w:tab w:val="left" w:pos="360"/>
                <w:tab w:val="left" w:pos="720"/>
                <w:tab w:val="left" w:pos="1080"/>
                <w:tab w:val="left" w:pos="1440"/>
              </w:tabs>
              <w:spacing w:before="0" w:beforeAutospacing="0" w:after="0" w:afterAutospacing="0"/>
              <w:jc w:val="right"/>
            </w:pPr>
            <w:r w:rsidRPr="002B6562">
              <w:t>4</w:t>
            </w:r>
          </w:p>
        </w:tc>
        <w:tc>
          <w:tcPr>
            <w:tcW w:w="1170" w:type="dxa"/>
            <w:vAlign w:val="center"/>
          </w:tcPr>
          <w:p w:rsidR="00270295" w:rsidRPr="002B6562" w:rsidP="00C35B1B" w14:paraId="42825831" w14:textId="6E27C575">
            <w:pPr>
              <w:pStyle w:val="NormalWeb"/>
              <w:tabs>
                <w:tab w:val="left" w:pos="360"/>
                <w:tab w:val="left" w:pos="720"/>
                <w:tab w:val="left" w:pos="1080"/>
                <w:tab w:val="left" w:pos="1440"/>
              </w:tabs>
              <w:spacing w:before="0" w:beforeAutospacing="0" w:after="0" w:afterAutospacing="0"/>
              <w:jc w:val="right"/>
            </w:pPr>
            <w:r w:rsidRPr="002B6562">
              <w:t>40</w:t>
            </w:r>
          </w:p>
        </w:tc>
        <w:tc>
          <w:tcPr>
            <w:tcW w:w="1170" w:type="dxa"/>
            <w:vAlign w:val="center"/>
          </w:tcPr>
          <w:p w:rsidR="00270295" w:rsidRPr="002B6562" w:rsidP="00C35B1B" w14:paraId="1D7E218D" w14:textId="5B156D1D">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vAlign w:val="center"/>
          </w:tcPr>
          <w:p w:rsidR="00270295" w:rsidRPr="002B6562" w:rsidP="00C35B1B" w14:paraId="0AD9D839" w14:textId="290E9126">
            <w:pPr>
              <w:pStyle w:val="NormalWeb"/>
              <w:tabs>
                <w:tab w:val="left" w:pos="360"/>
                <w:tab w:val="left" w:pos="720"/>
                <w:tab w:val="left" w:pos="1080"/>
                <w:tab w:val="left" w:pos="1440"/>
              </w:tabs>
              <w:spacing w:before="0" w:beforeAutospacing="0" w:after="0" w:afterAutospacing="0"/>
              <w:jc w:val="right"/>
            </w:pPr>
            <w:r w:rsidRPr="002B6562">
              <w:t>$</w:t>
            </w:r>
            <w:r w:rsidRPr="002B6562" w:rsidR="003136CC">
              <w:t>4,120</w:t>
            </w:r>
          </w:p>
        </w:tc>
      </w:tr>
      <w:tr w14:paraId="1F86402B" w14:textId="77777777" w:rsidTr="003718D4">
        <w:tblPrEx>
          <w:tblW w:w="0" w:type="auto"/>
          <w:tblLayout w:type="fixed"/>
          <w:tblLook w:val="04A0"/>
        </w:tblPrEx>
        <w:trPr>
          <w:trHeight w:val="368"/>
        </w:trPr>
        <w:tc>
          <w:tcPr>
            <w:tcW w:w="5125" w:type="dxa"/>
            <w:gridSpan w:val="3"/>
            <w:vAlign w:val="center"/>
          </w:tcPr>
          <w:p w:rsidR="00C35B1B" w:rsidRPr="002B6562" w:rsidP="003B7399" w14:paraId="182655E8" w14:textId="794568CA">
            <w:pPr>
              <w:pStyle w:val="NormalWeb"/>
              <w:tabs>
                <w:tab w:val="left" w:pos="360"/>
                <w:tab w:val="left" w:pos="720"/>
                <w:tab w:val="left" w:pos="1080"/>
                <w:tab w:val="left" w:pos="1440"/>
              </w:tabs>
              <w:spacing w:before="0" w:beforeAutospacing="0" w:after="0" w:afterAutospacing="0"/>
            </w:pPr>
            <w:r w:rsidRPr="002B6562">
              <w:t>Total</w:t>
            </w:r>
          </w:p>
        </w:tc>
        <w:tc>
          <w:tcPr>
            <w:tcW w:w="1170" w:type="dxa"/>
            <w:shd w:val="clear" w:color="auto" w:fill="FFFFFF" w:themeFill="background1"/>
            <w:vAlign w:val="center"/>
          </w:tcPr>
          <w:p w:rsidR="00C35B1B" w:rsidRPr="002B6562" w:rsidP="000E44EC" w14:paraId="11BA6DBD" w14:textId="2EE3222B">
            <w:pPr>
              <w:pStyle w:val="NormalWeb"/>
              <w:tabs>
                <w:tab w:val="left" w:pos="360"/>
                <w:tab w:val="left" w:pos="720"/>
                <w:tab w:val="left" w:pos="1080"/>
                <w:tab w:val="left" w:pos="1440"/>
              </w:tabs>
              <w:spacing w:before="0" w:beforeAutospacing="0" w:after="0" w:afterAutospacing="0"/>
              <w:jc w:val="right"/>
            </w:pPr>
            <w:r w:rsidRPr="002B6562">
              <w:t>4,</w:t>
            </w:r>
            <w:r w:rsidRPr="002B6562" w:rsidR="00652040">
              <w:t>589</w:t>
            </w:r>
          </w:p>
        </w:tc>
        <w:tc>
          <w:tcPr>
            <w:tcW w:w="1170" w:type="dxa"/>
            <w:shd w:val="clear" w:color="auto" w:fill="FFFFFF" w:themeFill="background1"/>
            <w:vAlign w:val="center"/>
          </w:tcPr>
          <w:p w:rsidR="00C35B1B" w:rsidRPr="002B6562" w:rsidP="00C35B1B" w14:paraId="3810B7F0" w14:textId="5AA28A69">
            <w:pPr>
              <w:pStyle w:val="NormalWeb"/>
              <w:tabs>
                <w:tab w:val="left" w:pos="360"/>
                <w:tab w:val="left" w:pos="720"/>
                <w:tab w:val="left" w:pos="1080"/>
                <w:tab w:val="left" w:pos="1440"/>
              </w:tabs>
              <w:spacing w:before="0" w:beforeAutospacing="0" w:after="0" w:afterAutospacing="0"/>
              <w:jc w:val="right"/>
            </w:pPr>
            <w:r w:rsidRPr="002B6562">
              <w:t>$</w:t>
            </w:r>
            <w:r w:rsidRPr="002B6562" w:rsidR="003136CC">
              <w:t>103</w:t>
            </w:r>
          </w:p>
        </w:tc>
        <w:tc>
          <w:tcPr>
            <w:tcW w:w="1885" w:type="dxa"/>
            <w:shd w:val="clear" w:color="auto" w:fill="FFFFFF" w:themeFill="background1"/>
            <w:vAlign w:val="center"/>
          </w:tcPr>
          <w:p w:rsidR="00C35B1B" w:rsidRPr="002B6562" w:rsidP="003718D4" w14:paraId="746D4894" w14:textId="28A4C03A">
            <w:pPr>
              <w:pStyle w:val="NormalWeb"/>
              <w:tabs>
                <w:tab w:val="left" w:pos="360"/>
                <w:tab w:val="left" w:pos="720"/>
                <w:tab w:val="left" w:pos="1080"/>
                <w:tab w:val="left" w:pos="1440"/>
              </w:tabs>
              <w:spacing w:before="0" w:beforeAutospacing="0" w:after="0" w:afterAutospacing="0"/>
              <w:jc w:val="right"/>
            </w:pPr>
            <w:r w:rsidRPr="002B6562">
              <w:t>$</w:t>
            </w:r>
            <w:r w:rsidRPr="002B6562" w:rsidR="00652040">
              <w:t>4</w:t>
            </w:r>
            <w:r w:rsidRPr="002B6562" w:rsidR="003136CC">
              <w:t>72,651</w:t>
            </w:r>
          </w:p>
        </w:tc>
      </w:tr>
    </w:tbl>
    <w:p w:rsidR="005E0A0F" w:rsidRPr="002B6562" w:rsidP="00AC5BD4" w14:paraId="7C586265" w14:textId="4E3BBB35">
      <w:pPr>
        <w:pStyle w:val="NormalWeb"/>
        <w:tabs>
          <w:tab w:val="left" w:pos="360"/>
          <w:tab w:val="left" w:pos="720"/>
          <w:tab w:val="left" w:pos="1080"/>
          <w:tab w:val="left" w:pos="1440"/>
        </w:tabs>
        <w:spacing w:line="288" w:lineRule="atLeast"/>
      </w:pPr>
      <w:bookmarkStart w:id="14" w:name="cp468"/>
      <w:r w:rsidRPr="002B6562">
        <w:t>15.</w:t>
      </w:r>
      <w:r w:rsidRPr="002B6562" w:rsidR="00E14516">
        <w:t xml:space="preserve"> </w:t>
      </w:r>
      <w:r w:rsidRPr="002B6562" w:rsidR="00320550">
        <w:t xml:space="preserve"> </w:t>
      </w:r>
      <w:r w:rsidRPr="002B6562">
        <w:rPr>
          <w:u w:val="single"/>
        </w:rPr>
        <w:t>Reasons for Change in Burden</w:t>
      </w:r>
    </w:p>
    <w:bookmarkEnd w:id="14"/>
    <w:p w:rsidR="003B49A5" w:rsidRPr="002B6562" w:rsidP="00320550" w14:paraId="0614BEB9" w14:textId="4F10BF24">
      <w:pPr>
        <w:pStyle w:val="NormalWeb"/>
        <w:tabs>
          <w:tab w:val="left" w:pos="360"/>
          <w:tab w:val="left" w:pos="720"/>
          <w:tab w:val="left" w:pos="1080"/>
          <w:tab w:val="left" w:pos="1440"/>
        </w:tabs>
        <w:spacing w:line="288" w:lineRule="atLeast"/>
      </w:pPr>
      <w:r w:rsidRPr="002B6562">
        <w:tab/>
      </w:r>
      <w:r w:rsidRPr="002B6562" w:rsidR="00856025">
        <w:t>Th</w:t>
      </w:r>
      <w:r w:rsidRPr="002B6562">
        <w:t>e burden has a net decrease</w:t>
      </w:r>
      <w:r w:rsidRPr="002B6562" w:rsidR="00856025">
        <w:t xml:space="preserve"> s</w:t>
      </w:r>
      <w:r w:rsidRPr="002B6562" w:rsidR="00F8031E">
        <w:t xml:space="preserve">ince </w:t>
      </w:r>
      <w:r w:rsidRPr="002B6562" w:rsidR="00856025">
        <w:t xml:space="preserve">the previous approval due to a decrease in the number of estimated </w:t>
      </w:r>
      <w:r w:rsidRPr="002B6562" w:rsidR="00CF4366">
        <w:t xml:space="preserve">responses </w:t>
      </w:r>
      <w:r w:rsidRPr="002B6562" w:rsidR="00856025">
        <w:t xml:space="preserve">under DFARS clause 252.239-7009, DFARS clause 252.239-7010 and </w:t>
      </w:r>
      <w:r w:rsidRPr="002B6562" w:rsidR="00581732">
        <w:t xml:space="preserve">DFARS clause </w:t>
      </w:r>
      <w:r w:rsidRPr="002B6562" w:rsidR="00856025">
        <w:t>252.204-7012.  In the previous approval</w:t>
      </w:r>
      <w:r w:rsidRPr="002B6562">
        <w:t>, the</w:t>
      </w:r>
      <w:r w:rsidRPr="002B6562" w:rsidR="00856025">
        <w:t xml:space="preserve"> number of</w:t>
      </w:r>
      <w:r w:rsidRPr="002B6562">
        <w:t xml:space="preserve"> estimated</w:t>
      </w:r>
      <w:r w:rsidRPr="002B6562" w:rsidR="00856025">
        <w:t xml:space="preserve"> </w:t>
      </w:r>
      <w:r w:rsidRPr="002B6562" w:rsidR="00CF4366">
        <w:t xml:space="preserve">responses </w:t>
      </w:r>
      <w:r w:rsidRPr="002B6562" w:rsidR="00856025">
        <w:t xml:space="preserve">under 252.239-7009 was </w:t>
      </w:r>
      <w:r w:rsidRPr="002B6562" w:rsidR="001D34F5">
        <w:t>16,108</w:t>
      </w:r>
      <w:r w:rsidRPr="002B6562" w:rsidR="00856025">
        <w:t xml:space="preserve"> </w:t>
      </w:r>
      <w:r w:rsidRPr="002B6562">
        <w:t>and it</w:t>
      </w:r>
      <w:r w:rsidRPr="002B6562" w:rsidR="00856025">
        <w:t xml:space="preserve"> decreased to</w:t>
      </w:r>
      <w:r w:rsidRPr="002B6562" w:rsidR="00581732">
        <w:t xml:space="preserve"> 15,648</w:t>
      </w:r>
      <w:r w:rsidRPr="002B6562" w:rsidR="00856025">
        <w:t xml:space="preserve">, based on FPDS data that showed a decrease in </w:t>
      </w:r>
      <w:r w:rsidRPr="002B6562" w:rsidR="00456044">
        <w:t>the number of IT services awards</w:t>
      </w:r>
      <w:r w:rsidRPr="002B6562" w:rsidR="00856025">
        <w:t xml:space="preserve"> from FY</w:t>
      </w:r>
      <w:r w:rsidRPr="002B6562" w:rsidR="00E14516">
        <w:t xml:space="preserve"> </w:t>
      </w:r>
      <w:r w:rsidRPr="002B6562" w:rsidR="001D34F5">
        <w:t xml:space="preserve">2022 </w:t>
      </w:r>
      <w:r w:rsidRPr="002B6562" w:rsidR="00E14516">
        <w:t xml:space="preserve">through </w:t>
      </w:r>
      <w:r w:rsidRPr="002B6562" w:rsidR="00856025">
        <w:t>FY</w:t>
      </w:r>
      <w:r w:rsidRPr="002B6562" w:rsidR="00E14516">
        <w:t xml:space="preserve"> </w:t>
      </w:r>
      <w:r w:rsidRPr="002B6562" w:rsidR="001D34F5">
        <w:t>2024</w:t>
      </w:r>
      <w:r w:rsidRPr="002B6562">
        <w:t xml:space="preserve">.  The number of IT services awards </w:t>
      </w:r>
      <w:r w:rsidRPr="002B6562">
        <w:t>are multiplied</w:t>
      </w:r>
      <w:r w:rsidRPr="002B6562">
        <w:t xml:space="preserve"> by four to estimate the t</w:t>
      </w:r>
      <w:r w:rsidRPr="002B6562" w:rsidR="00547960">
        <w:t xml:space="preserve">otal number of </w:t>
      </w:r>
      <w:r w:rsidRPr="002B6562">
        <w:t xml:space="preserve">respondents under 252.239-7010, so when the </w:t>
      </w:r>
      <w:r w:rsidRPr="002B6562" w:rsidR="00856025">
        <w:t xml:space="preserve">average </w:t>
      </w:r>
      <w:r w:rsidRPr="002B6562">
        <w:t xml:space="preserve">number of awards decreased </w:t>
      </w:r>
      <w:r w:rsidRPr="002B6562" w:rsidR="00856025">
        <w:t xml:space="preserve">from </w:t>
      </w:r>
      <w:r w:rsidRPr="002B6562" w:rsidR="001D34F5">
        <w:t>4,027</w:t>
      </w:r>
      <w:r w:rsidRPr="002B6562" w:rsidR="00856025">
        <w:t xml:space="preserve"> in the previous collection</w:t>
      </w:r>
      <w:r w:rsidRPr="002B6562">
        <w:t xml:space="preserve"> to</w:t>
      </w:r>
      <w:r w:rsidRPr="002B6562" w:rsidR="00432E01">
        <w:t xml:space="preserve"> </w:t>
      </w:r>
      <w:r w:rsidRPr="002B6562" w:rsidR="00581732">
        <w:t>3,912</w:t>
      </w:r>
      <w:r w:rsidRPr="002B6562">
        <w:t>, the total number of respondents</w:t>
      </w:r>
      <w:r w:rsidRPr="002B6562" w:rsidR="008E1B7C">
        <w:t xml:space="preserve"> decreased from </w:t>
      </w:r>
      <w:r w:rsidRPr="002B6562" w:rsidR="001D34F5">
        <w:t>16,108</w:t>
      </w:r>
      <w:r w:rsidRPr="002B6562" w:rsidR="008E1B7C">
        <w:t xml:space="preserve"> to</w:t>
      </w:r>
      <w:r w:rsidRPr="002B6562" w:rsidR="00581732">
        <w:t xml:space="preserve"> 15,648</w:t>
      </w:r>
      <w:r w:rsidRPr="002B6562" w:rsidR="00E14516">
        <w:t>.</w:t>
      </w:r>
    </w:p>
    <w:p w:rsidR="00320550" w:rsidRPr="002B6562" w:rsidP="00320550" w14:paraId="65C3C668" w14:textId="73183EC4">
      <w:pPr>
        <w:pStyle w:val="NormalWeb"/>
        <w:tabs>
          <w:tab w:val="left" w:pos="360"/>
          <w:tab w:val="left" w:pos="720"/>
          <w:tab w:val="left" w:pos="1080"/>
          <w:tab w:val="left" w:pos="1440"/>
        </w:tabs>
        <w:spacing w:line="288" w:lineRule="atLeast"/>
      </w:pPr>
      <w:r w:rsidRPr="002B6562">
        <w:tab/>
      </w:r>
      <w:r w:rsidRPr="002B6562" w:rsidR="00856025">
        <w:t xml:space="preserve">In addition, in the previous approval, the </w:t>
      </w:r>
      <w:r w:rsidRPr="002B6562" w:rsidR="00CF2408">
        <w:t>number of respondents estimated to report cyber incidents</w:t>
      </w:r>
      <w:r w:rsidRPr="002B6562" w:rsidR="002C240E">
        <w:t xml:space="preserve"> under DFARS clause 252.204-7012</w:t>
      </w:r>
      <w:r w:rsidRPr="002B6562" w:rsidR="00CF2408">
        <w:t xml:space="preserve"> in </w:t>
      </w:r>
      <w:r w:rsidRPr="002B6562" w:rsidR="00432E01">
        <w:t xml:space="preserve">2022 </w:t>
      </w:r>
      <w:r w:rsidRPr="002B6562" w:rsidR="00CF2408">
        <w:t>was</w:t>
      </w:r>
      <w:r w:rsidRPr="002B6562" w:rsidR="00926AC9">
        <w:t xml:space="preserve"> </w:t>
      </w:r>
      <w:r w:rsidRPr="002B6562" w:rsidR="00432E01">
        <w:t xml:space="preserve">580 </w:t>
      </w:r>
      <w:r w:rsidRPr="002B6562" w:rsidR="00926AC9">
        <w:t>respondents</w:t>
      </w:r>
      <w:r w:rsidRPr="002B6562" w:rsidR="00CF2408">
        <w:t xml:space="preserve">, which </w:t>
      </w:r>
      <w:r w:rsidRPr="002B6562" w:rsidR="00432E01">
        <w:t xml:space="preserve">decreased </w:t>
      </w:r>
      <w:r w:rsidRPr="002B6562" w:rsidR="00CF2408">
        <w:t>t</w:t>
      </w:r>
      <w:r w:rsidRPr="002B6562" w:rsidR="00AB39C6">
        <w:t>o respondents</w:t>
      </w:r>
      <w:r w:rsidRPr="002B6562" w:rsidR="00CF2408">
        <w:t xml:space="preserve"> in </w:t>
      </w:r>
      <w:r w:rsidRPr="002B6562" w:rsidR="00432E01">
        <w:t>518 in 2025</w:t>
      </w:r>
      <w:r w:rsidRPr="002B6562" w:rsidR="008F2BFE">
        <w:t>.</w:t>
      </w:r>
      <w:r w:rsidRPr="002B6562" w:rsidR="002C240E">
        <w:t xml:space="preserve"> </w:t>
      </w:r>
      <w:r w:rsidRPr="002B6562" w:rsidR="00E14516">
        <w:t xml:space="preserve"> </w:t>
      </w:r>
      <w:r w:rsidRPr="002B6562" w:rsidR="002C240E">
        <w:t>In addition, the number of respondents estimated to report cyber incid</w:t>
      </w:r>
      <w:r w:rsidRPr="002B6562" w:rsidR="00856025">
        <w:t>ents under DFARS clause 252.239-</w:t>
      </w:r>
      <w:r w:rsidRPr="002B6562" w:rsidR="002C240E">
        <w:t xml:space="preserve">7010 </w:t>
      </w:r>
      <w:r w:rsidRPr="002B6562" w:rsidR="00432E01">
        <w:t xml:space="preserve">decreased </w:t>
      </w:r>
      <w:r w:rsidRPr="002B6562" w:rsidR="002C240E">
        <w:t xml:space="preserve">from </w:t>
      </w:r>
      <w:r w:rsidRPr="002B6562" w:rsidR="00432E01">
        <w:t xml:space="preserve">32 </w:t>
      </w:r>
      <w:r w:rsidRPr="002B6562" w:rsidR="002C240E">
        <w:t xml:space="preserve">in </w:t>
      </w:r>
      <w:r w:rsidRPr="002B6562" w:rsidR="00432E01">
        <w:t xml:space="preserve">2022 </w:t>
      </w:r>
      <w:r w:rsidRPr="002B6562" w:rsidR="002C240E">
        <w:t xml:space="preserve">to </w:t>
      </w:r>
      <w:r w:rsidRPr="002B6562" w:rsidR="00432E01">
        <w:t xml:space="preserve">27 </w:t>
      </w:r>
      <w:r w:rsidRPr="002B6562" w:rsidR="002C240E">
        <w:t xml:space="preserve">in </w:t>
      </w:r>
      <w:r w:rsidRPr="002B6562" w:rsidR="00432E01">
        <w:t>2025</w:t>
      </w:r>
      <w:r w:rsidRPr="002B6562" w:rsidR="002C240E">
        <w:t>.</w:t>
      </w:r>
      <w:r w:rsidRPr="002B6562" w:rsidR="008F2BFE">
        <w:t xml:space="preserve">  The estimates for this</w:t>
      </w:r>
      <w:r w:rsidRPr="002B6562" w:rsidR="0062711E">
        <w:t xml:space="preserve"> </w:t>
      </w:r>
      <w:r w:rsidRPr="002B6562" w:rsidR="008F2BFE">
        <w:t xml:space="preserve">renewal </w:t>
      </w:r>
      <w:r w:rsidRPr="002B6562" w:rsidR="00C361AF">
        <w:t>use</w:t>
      </w:r>
      <w:r w:rsidRPr="002B6562" w:rsidR="008F2BFE">
        <w:t xml:space="preserve"> </w:t>
      </w:r>
      <w:r w:rsidRPr="002B6562" w:rsidR="00652148">
        <w:t xml:space="preserve">the </w:t>
      </w:r>
      <w:r w:rsidRPr="002B6562" w:rsidR="008F2BFE">
        <w:t xml:space="preserve">actual </w:t>
      </w:r>
      <w:r w:rsidRPr="002B6562" w:rsidR="00652148">
        <w:t xml:space="preserve">number of </w:t>
      </w:r>
      <w:r w:rsidRPr="002B6562" w:rsidR="008F2BFE">
        <w:t xml:space="preserve">reports submitted to DoD during </w:t>
      </w:r>
      <w:r w:rsidRPr="002B6562" w:rsidR="007C6BFA">
        <w:t>FY</w:t>
      </w:r>
      <w:r w:rsidRPr="002B6562" w:rsidR="008F2BFE">
        <w:t xml:space="preserve"> </w:t>
      </w:r>
      <w:r w:rsidRPr="002B6562" w:rsidR="00432E01">
        <w:t xml:space="preserve">2025 </w:t>
      </w:r>
      <w:r w:rsidRPr="002B6562" w:rsidR="008F2BFE">
        <w:t xml:space="preserve">via the web portal at </w:t>
      </w:r>
      <w:hyperlink r:id="rId8" w:history="1">
        <w:r w:rsidRPr="002B6562" w:rsidR="00652148">
          <w:rPr>
            <w:rStyle w:val="Hyperlink"/>
          </w:rPr>
          <w:t>http://dibnet.dod.mil</w:t>
        </w:r>
      </w:hyperlink>
      <w:r w:rsidRPr="002B6562" w:rsidR="00652148">
        <w:t xml:space="preserve"> as the baseline for the estimate</w:t>
      </w:r>
      <w:r w:rsidRPr="002B6562" w:rsidR="008F2BFE">
        <w:t>.</w:t>
      </w:r>
      <w:r w:rsidRPr="002B6562" w:rsidR="00926AC9">
        <w:t xml:space="preserve">  In addition, the hourly rate </w:t>
      </w:r>
      <w:r w:rsidRPr="002B6562" w:rsidR="00AB39C6">
        <w:t>increased</w:t>
      </w:r>
      <w:r w:rsidRPr="002B6562" w:rsidR="00926AC9">
        <w:t xml:space="preserve"> from $</w:t>
      </w:r>
      <w:r w:rsidRPr="002B6562" w:rsidR="00432E01">
        <w:t xml:space="preserve">83 </w:t>
      </w:r>
      <w:r w:rsidRPr="002B6562" w:rsidR="00926AC9">
        <w:t>per hour</w:t>
      </w:r>
      <w:r w:rsidRPr="002B6562" w:rsidR="00AB39C6">
        <w:t xml:space="preserve"> in </w:t>
      </w:r>
      <w:r w:rsidRPr="002B6562" w:rsidR="00432E01">
        <w:t xml:space="preserve">2022 </w:t>
      </w:r>
      <w:r w:rsidRPr="002B6562" w:rsidR="00926AC9">
        <w:t>to $</w:t>
      </w:r>
      <w:r w:rsidRPr="002B6562" w:rsidR="004113B6">
        <w:t xml:space="preserve">103 </w:t>
      </w:r>
      <w:r w:rsidRPr="002B6562" w:rsidR="00926AC9">
        <w:t xml:space="preserve">per hour </w:t>
      </w:r>
      <w:r w:rsidRPr="002B6562" w:rsidR="00AB39C6">
        <w:t xml:space="preserve">in </w:t>
      </w:r>
      <w:r w:rsidRPr="002B6562" w:rsidR="00432E01">
        <w:t xml:space="preserve">2025 </w:t>
      </w:r>
      <w:r w:rsidRPr="002B6562" w:rsidR="00926AC9">
        <w:t xml:space="preserve">based on the Locality Pay Area of Rest of U.S. General Schedule Pay Scale for </w:t>
      </w:r>
      <w:r w:rsidRPr="002B6562" w:rsidR="00432E01">
        <w:t>2025</w:t>
      </w:r>
      <w:r w:rsidRPr="002B6562" w:rsidR="00F00058">
        <w:t xml:space="preserve"> and adding back in a 12% overhead rate that was not previously part of the calculation</w:t>
      </w:r>
      <w:r w:rsidRPr="002B6562" w:rsidR="00926AC9">
        <w:t xml:space="preserve">. </w:t>
      </w:r>
      <w:r w:rsidRPr="002B6562" w:rsidR="00E14516">
        <w:t xml:space="preserve"> </w:t>
      </w:r>
      <w:r w:rsidRPr="002B6562">
        <w:t>Despite the</w:t>
      </w:r>
      <w:r w:rsidRPr="002B6562" w:rsidR="00432E01">
        <w:t xml:space="preserve"> rate increase</w:t>
      </w:r>
      <w:r w:rsidRPr="002B6562">
        <w:t>, the total burden decreased due to the decrease in the number of estimated respondents.</w:t>
      </w:r>
    </w:p>
    <w:p w:rsidR="00856025" w:rsidRPr="002B6562" w:rsidP="00320550" w14:paraId="4E3A6E14" w14:textId="71D7D940">
      <w:pPr>
        <w:pStyle w:val="NormalWeb"/>
        <w:tabs>
          <w:tab w:val="left" w:pos="360"/>
          <w:tab w:val="left" w:pos="720"/>
          <w:tab w:val="left" w:pos="1080"/>
          <w:tab w:val="left" w:pos="1440"/>
        </w:tabs>
        <w:spacing w:line="288" w:lineRule="atLeast"/>
      </w:pPr>
      <w:r w:rsidRPr="002B6562">
        <w:tab/>
      </w:r>
      <w:r w:rsidRPr="002B6562" w:rsidR="003B49A5">
        <w:t>T</w:t>
      </w:r>
      <w:r w:rsidRPr="002B6562">
        <w:t xml:space="preserve">he total information collection public burden associated with DFARS clauses 252.204-7012, 252.204-7008, 252.239-7009, and 252.239-7010 has </w:t>
      </w:r>
      <w:r w:rsidRPr="002B6562">
        <w:t>been changed</w:t>
      </w:r>
      <w:r w:rsidRPr="002B6562">
        <w:t xml:space="preserve"> as shown in the following table.</w:t>
      </w:r>
    </w:p>
    <w:tbl>
      <w:tblPr>
        <w:tblW w:w="9360" w:type="dxa"/>
        <w:tblInd w:w="-10" w:type="dxa"/>
        <w:tblLook w:val="04A0"/>
      </w:tblPr>
      <w:tblGrid>
        <w:gridCol w:w="3330"/>
        <w:gridCol w:w="1980"/>
        <w:gridCol w:w="1800"/>
        <w:gridCol w:w="2250"/>
      </w:tblGrid>
      <w:tr w14:paraId="1AE0A690" w14:textId="77777777" w:rsidTr="00AA0F79">
        <w:tblPrEx>
          <w:tblW w:w="9360" w:type="dxa"/>
          <w:tblInd w:w="-10" w:type="dxa"/>
          <w:tblLook w:val="04A0"/>
        </w:tblPrEx>
        <w:trPr>
          <w:trHeight w:val="727"/>
        </w:trPr>
        <w:tc>
          <w:tcPr>
            <w:tcW w:w="9360"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F8031E" w:rsidRPr="002B6562" w:rsidP="00AA0F79" w14:paraId="3381EFFE" w14:textId="41274AEC">
            <w:pPr>
              <w:jc w:val="center"/>
            </w:pPr>
            <w:r w:rsidRPr="002B6562">
              <w:t>0704-0478</w:t>
            </w:r>
          </w:p>
        </w:tc>
      </w:tr>
      <w:tr w14:paraId="52ECE0DD" w14:textId="77777777" w:rsidTr="00DE4226">
        <w:tblPrEx>
          <w:tblW w:w="9360" w:type="dxa"/>
          <w:tblInd w:w="-10" w:type="dxa"/>
          <w:tblLook w:val="04A0"/>
        </w:tblPrEx>
        <w:trPr>
          <w:trHeight w:val="727"/>
        </w:trPr>
        <w:tc>
          <w:tcPr>
            <w:tcW w:w="33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4639B" w:rsidRPr="002B6562" w:rsidP="0014639B" w14:paraId="229F7E97" w14:textId="1311E2DE">
            <w:r w:rsidRPr="002B6562">
              <w:t>Change in Burden</w:t>
            </w:r>
          </w:p>
        </w:tc>
        <w:tc>
          <w:tcPr>
            <w:tcW w:w="1980" w:type="dxa"/>
            <w:tcBorders>
              <w:top w:val="single" w:sz="8" w:space="0" w:color="auto"/>
              <w:left w:val="nil"/>
              <w:bottom w:val="single" w:sz="8" w:space="0" w:color="auto"/>
              <w:right w:val="single" w:sz="8" w:space="0" w:color="auto"/>
            </w:tcBorders>
            <w:shd w:val="clear" w:color="auto" w:fill="FFFFFF" w:themeFill="background1"/>
            <w:hideMark/>
          </w:tcPr>
          <w:p w:rsidR="0004379B" w:rsidRPr="002B6562" w:rsidP="0004379B" w14:paraId="1FCEA851" w14:textId="77777777"/>
          <w:p w:rsidR="0014639B" w:rsidRPr="002B6562" w:rsidP="00DE4226" w14:paraId="5BC83587" w14:textId="639092DA">
            <w:pPr>
              <w:jc w:val="center"/>
            </w:pPr>
            <w:r w:rsidRPr="002B6562">
              <w:t>2022</w:t>
            </w:r>
          </w:p>
        </w:tc>
        <w:tc>
          <w:tcPr>
            <w:tcW w:w="1800" w:type="dxa"/>
            <w:tcBorders>
              <w:top w:val="single" w:sz="8" w:space="0" w:color="auto"/>
              <w:left w:val="nil"/>
              <w:bottom w:val="single" w:sz="8" w:space="0" w:color="auto"/>
              <w:right w:val="single" w:sz="8" w:space="0" w:color="auto"/>
            </w:tcBorders>
            <w:shd w:val="clear" w:color="auto" w:fill="FFFFFF" w:themeFill="background1"/>
            <w:vAlign w:val="center"/>
            <w:hideMark/>
          </w:tcPr>
          <w:p w:rsidR="0014639B" w:rsidRPr="002B6562" w:rsidP="00DE4226" w14:paraId="2ABA719B" w14:textId="3C5EA3DD">
            <w:pPr>
              <w:jc w:val="center"/>
            </w:pPr>
            <w:r w:rsidRPr="002B6562">
              <w:t>2025</w:t>
            </w:r>
          </w:p>
        </w:tc>
        <w:tc>
          <w:tcPr>
            <w:tcW w:w="2250" w:type="dxa"/>
            <w:tcBorders>
              <w:top w:val="single" w:sz="8" w:space="0" w:color="auto"/>
              <w:left w:val="nil"/>
              <w:bottom w:val="single" w:sz="8" w:space="0" w:color="auto"/>
              <w:right w:val="single" w:sz="8" w:space="0" w:color="auto"/>
            </w:tcBorders>
            <w:shd w:val="clear" w:color="auto" w:fill="FFFFFF" w:themeFill="background1"/>
            <w:vAlign w:val="center"/>
            <w:hideMark/>
          </w:tcPr>
          <w:p w:rsidR="0014639B" w:rsidRPr="002B6562" w:rsidP="0014639B" w14:paraId="4DA520EC" w14:textId="3FE4DC5F">
            <w:pPr>
              <w:jc w:val="right"/>
            </w:pPr>
            <w:r w:rsidRPr="002B6562">
              <w:t>Difference</w:t>
            </w:r>
          </w:p>
        </w:tc>
      </w:tr>
      <w:tr w14:paraId="7B61E47D" w14:textId="77777777" w:rsidTr="00DE4226">
        <w:tblPrEx>
          <w:tblW w:w="9360" w:type="dxa"/>
          <w:tblInd w:w="-10" w:type="dxa"/>
          <w:tblLook w:val="04A0"/>
        </w:tblPrEx>
        <w:trPr>
          <w:trHeight w:val="421"/>
        </w:trPr>
        <w:tc>
          <w:tcPr>
            <w:tcW w:w="3330" w:type="dxa"/>
            <w:tcBorders>
              <w:top w:val="nil"/>
              <w:left w:val="single" w:sz="8" w:space="0" w:color="auto"/>
              <w:bottom w:val="single" w:sz="8" w:space="0" w:color="auto"/>
              <w:right w:val="single" w:sz="8" w:space="0" w:color="auto"/>
            </w:tcBorders>
            <w:shd w:val="clear" w:color="auto" w:fill="FFFFFF" w:themeFill="background1"/>
            <w:vAlign w:val="center"/>
            <w:hideMark/>
          </w:tcPr>
          <w:p w:rsidR="0014639B" w:rsidRPr="002B6562" w:rsidP="0014639B" w14:paraId="647B6409" w14:textId="77777777">
            <w:r w:rsidRPr="002B6562">
              <w:t>Number of respondents</w:t>
            </w:r>
          </w:p>
        </w:tc>
        <w:tc>
          <w:tcPr>
            <w:tcW w:w="1980" w:type="dxa"/>
            <w:tcBorders>
              <w:top w:val="nil"/>
              <w:left w:val="nil"/>
              <w:bottom w:val="single" w:sz="8" w:space="0" w:color="auto"/>
              <w:right w:val="single" w:sz="8" w:space="0" w:color="auto"/>
            </w:tcBorders>
            <w:shd w:val="clear" w:color="auto" w:fill="FFFFFF" w:themeFill="background1"/>
            <w:hideMark/>
          </w:tcPr>
          <w:p w:rsidR="00097B1D" w:rsidRPr="002B6562" w:rsidP="00460A60" w14:paraId="5F96B153" w14:textId="77777777">
            <w:pPr>
              <w:jc w:val="right"/>
            </w:pPr>
          </w:p>
          <w:p w:rsidR="0014639B" w:rsidRPr="002B6562" w:rsidP="00460A60" w14:paraId="6CB9A0BB" w14:textId="50476FBE">
            <w:pPr>
              <w:jc w:val="right"/>
            </w:pPr>
            <w:r w:rsidRPr="002B6562">
              <w:t>2,097</w:t>
            </w:r>
          </w:p>
        </w:tc>
        <w:tc>
          <w:tcPr>
            <w:tcW w:w="1800" w:type="dxa"/>
            <w:tcBorders>
              <w:top w:val="nil"/>
              <w:left w:val="nil"/>
              <w:bottom w:val="single" w:sz="8" w:space="0" w:color="auto"/>
              <w:right w:val="single" w:sz="8" w:space="0" w:color="auto"/>
            </w:tcBorders>
            <w:shd w:val="clear" w:color="auto" w:fill="FFFFFF" w:themeFill="background1"/>
            <w:vAlign w:val="center"/>
            <w:hideMark/>
          </w:tcPr>
          <w:p w:rsidR="00097B1D" w:rsidRPr="002B6562" w:rsidP="0014639B" w14:paraId="148939AB" w14:textId="77777777">
            <w:pPr>
              <w:jc w:val="right"/>
            </w:pPr>
          </w:p>
          <w:p w:rsidR="0014639B" w:rsidRPr="002B6562" w:rsidP="0014639B" w14:paraId="2858229E" w14:textId="454743A8">
            <w:pPr>
              <w:jc w:val="right"/>
            </w:pPr>
            <w:r w:rsidRPr="002B6562">
              <w:t>1,971</w:t>
            </w:r>
          </w:p>
        </w:tc>
        <w:tc>
          <w:tcPr>
            <w:tcW w:w="2250" w:type="dxa"/>
            <w:tcBorders>
              <w:top w:val="nil"/>
              <w:left w:val="nil"/>
              <w:bottom w:val="single" w:sz="8" w:space="0" w:color="auto"/>
              <w:right w:val="single" w:sz="8" w:space="0" w:color="auto"/>
            </w:tcBorders>
            <w:shd w:val="clear" w:color="auto" w:fill="FFFFFF" w:themeFill="background1"/>
            <w:vAlign w:val="center"/>
            <w:hideMark/>
          </w:tcPr>
          <w:p w:rsidR="006C76C9" w:rsidRPr="002B6562" w:rsidP="0014639B" w14:paraId="57A539A5" w14:textId="77777777">
            <w:pPr>
              <w:jc w:val="right"/>
            </w:pPr>
          </w:p>
          <w:p w:rsidR="0014639B" w:rsidRPr="002B6562" w:rsidP="0014639B" w14:paraId="5834C477" w14:textId="59FB4D3C">
            <w:pPr>
              <w:jc w:val="right"/>
            </w:pPr>
            <w:r w:rsidRPr="002B6562">
              <w:t>-</w:t>
            </w:r>
            <w:r w:rsidRPr="002B6562" w:rsidR="00CF4366">
              <w:t>126</w:t>
            </w:r>
          </w:p>
        </w:tc>
      </w:tr>
      <w:tr w14:paraId="3324F5EE" w14:textId="77777777" w:rsidTr="00DE4226">
        <w:tblPrEx>
          <w:tblW w:w="9360" w:type="dxa"/>
          <w:tblInd w:w="-10" w:type="dxa"/>
          <w:tblLook w:val="04A0"/>
        </w:tblPrEx>
        <w:trPr>
          <w:trHeight w:val="430"/>
        </w:trPr>
        <w:tc>
          <w:tcPr>
            <w:tcW w:w="3330" w:type="dxa"/>
            <w:tcBorders>
              <w:top w:val="nil"/>
              <w:left w:val="single" w:sz="8" w:space="0" w:color="auto"/>
              <w:bottom w:val="single" w:sz="8" w:space="0" w:color="auto"/>
              <w:right w:val="single" w:sz="8" w:space="0" w:color="auto"/>
            </w:tcBorders>
            <w:shd w:val="clear" w:color="auto" w:fill="FFFFFF" w:themeFill="background1"/>
            <w:vAlign w:val="center"/>
            <w:hideMark/>
          </w:tcPr>
          <w:p w:rsidR="0014639B" w:rsidRPr="002B6562" w:rsidP="0014639B" w14:paraId="758798C0" w14:textId="77777777">
            <w:r w:rsidRPr="002B6562">
              <w:t>Total annual responses</w:t>
            </w:r>
          </w:p>
        </w:tc>
        <w:tc>
          <w:tcPr>
            <w:tcW w:w="1980" w:type="dxa"/>
            <w:tcBorders>
              <w:top w:val="nil"/>
              <w:left w:val="nil"/>
              <w:bottom w:val="single" w:sz="8" w:space="0" w:color="auto"/>
              <w:right w:val="single" w:sz="8" w:space="0" w:color="auto"/>
            </w:tcBorders>
            <w:shd w:val="clear" w:color="auto" w:fill="FFFFFF" w:themeFill="background1"/>
            <w:hideMark/>
          </w:tcPr>
          <w:p w:rsidR="00097B1D" w:rsidRPr="002B6562" w:rsidP="0014639B" w14:paraId="1F4E5A95" w14:textId="77777777">
            <w:pPr>
              <w:jc w:val="right"/>
            </w:pPr>
          </w:p>
          <w:p w:rsidR="0014639B" w:rsidRPr="002B6562" w:rsidP="0014639B" w14:paraId="6DFBFC00" w14:textId="6F760FF0">
            <w:pPr>
              <w:jc w:val="right"/>
            </w:pPr>
            <w:r w:rsidRPr="002B6562">
              <w:t>16,760</w:t>
            </w:r>
          </w:p>
        </w:tc>
        <w:tc>
          <w:tcPr>
            <w:tcW w:w="1800" w:type="dxa"/>
            <w:tcBorders>
              <w:top w:val="nil"/>
              <w:left w:val="nil"/>
              <w:bottom w:val="single" w:sz="8" w:space="0" w:color="auto"/>
              <w:right w:val="single" w:sz="8" w:space="0" w:color="auto"/>
            </w:tcBorders>
            <w:shd w:val="clear" w:color="auto" w:fill="FFFFFF" w:themeFill="background1"/>
            <w:vAlign w:val="center"/>
            <w:hideMark/>
          </w:tcPr>
          <w:p w:rsidR="00097B1D" w:rsidRPr="002B6562" w:rsidP="0014639B" w14:paraId="3F84A276" w14:textId="77777777">
            <w:pPr>
              <w:jc w:val="right"/>
            </w:pPr>
          </w:p>
          <w:p w:rsidR="0014639B" w:rsidRPr="002B6562" w:rsidP="0014639B" w14:paraId="76FF8EBF" w14:textId="18CEE266">
            <w:pPr>
              <w:jc w:val="right"/>
            </w:pPr>
            <w:r w:rsidRPr="002B6562">
              <w:t>16,</w:t>
            </w:r>
            <w:r w:rsidRPr="002B6562" w:rsidR="00CF4366">
              <w:t>233</w:t>
            </w:r>
          </w:p>
        </w:tc>
        <w:tc>
          <w:tcPr>
            <w:tcW w:w="2250" w:type="dxa"/>
            <w:tcBorders>
              <w:top w:val="nil"/>
              <w:left w:val="nil"/>
              <w:bottom w:val="single" w:sz="8" w:space="0" w:color="auto"/>
              <w:right w:val="single" w:sz="8" w:space="0" w:color="auto"/>
            </w:tcBorders>
            <w:shd w:val="clear" w:color="auto" w:fill="FFFFFF" w:themeFill="background1"/>
            <w:vAlign w:val="center"/>
            <w:hideMark/>
          </w:tcPr>
          <w:p w:rsidR="006C76C9" w:rsidRPr="002B6562" w:rsidP="0014639B" w14:paraId="36929E2E" w14:textId="77777777">
            <w:pPr>
              <w:jc w:val="right"/>
            </w:pPr>
          </w:p>
          <w:p w:rsidR="0014639B" w:rsidRPr="002B6562" w:rsidP="0014639B" w14:paraId="4514343E" w14:textId="700BBBF0">
            <w:pPr>
              <w:jc w:val="right"/>
            </w:pPr>
            <w:r w:rsidRPr="002B6562">
              <w:t>-</w:t>
            </w:r>
            <w:r w:rsidRPr="002B6562" w:rsidR="00CF4366">
              <w:t>527</w:t>
            </w:r>
          </w:p>
        </w:tc>
      </w:tr>
      <w:tr w14:paraId="22C073DC" w14:textId="77777777" w:rsidTr="00DE4226">
        <w:tblPrEx>
          <w:tblW w:w="9360" w:type="dxa"/>
          <w:tblInd w:w="-10" w:type="dxa"/>
          <w:tblLook w:val="04A0"/>
        </w:tblPrEx>
        <w:trPr>
          <w:trHeight w:val="403"/>
        </w:trPr>
        <w:tc>
          <w:tcPr>
            <w:tcW w:w="3330" w:type="dxa"/>
            <w:tcBorders>
              <w:top w:val="nil"/>
              <w:left w:val="single" w:sz="8" w:space="0" w:color="auto"/>
              <w:bottom w:val="single" w:sz="8" w:space="0" w:color="auto"/>
              <w:right w:val="single" w:sz="8" w:space="0" w:color="auto"/>
            </w:tcBorders>
            <w:shd w:val="clear" w:color="auto" w:fill="FFFFFF" w:themeFill="background1"/>
            <w:vAlign w:val="center"/>
            <w:hideMark/>
          </w:tcPr>
          <w:p w:rsidR="0014639B" w:rsidRPr="002B6562" w:rsidP="0014639B" w14:paraId="2BFB8946" w14:textId="77777777">
            <w:r w:rsidRPr="002B6562">
              <w:t>Total hours</w:t>
            </w:r>
          </w:p>
        </w:tc>
        <w:tc>
          <w:tcPr>
            <w:tcW w:w="1980" w:type="dxa"/>
            <w:tcBorders>
              <w:top w:val="nil"/>
              <w:left w:val="nil"/>
              <w:bottom w:val="single" w:sz="8" w:space="0" w:color="auto"/>
              <w:right w:val="single" w:sz="8" w:space="0" w:color="auto"/>
            </w:tcBorders>
            <w:shd w:val="clear" w:color="auto" w:fill="FFFFFF" w:themeFill="background1"/>
            <w:hideMark/>
          </w:tcPr>
          <w:p w:rsidR="00097B1D" w:rsidRPr="002B6562" w:rsidP="0014639B" w14:paraId="74C64B6B" w14:textId="77777777">
            <w:pPr>
              <w:jc w:val="right"/>
            </w:pPr>
          </w:p>
          <w:p w:rsidR="0014639B" w:rsidRPr="002B6562" w:rsidP="0014639B" w14:paraId="6BCE05CA" w14:textId="76C4BE52">
            <w:pPr>
              <w:jc w:val="right"/>
            </w:pPr>
            <w:r w:rsidRPr="002B6562">
              <w:t>7,695</w:t>
            </w:r>
          </w:p>
        </w:tc>
        <w:tc>
          <w:tcPr>
            <w:tcW w:w="1800" w:type="dxa"/>
            <w:tcBorders>
              <w:top w:val="nil"/>
              <w:left w:val="nil"/>
              <w:bottom w:val="single" w:sz="8" w:space="0" w:color="auto"/>
              <w:right w:val="single" w:sz="8" w:space="0" w:color="auto"/>
            </w:tcBorders>
            <w:shd w:val="clear" w:color="auto" w:fill="FFFFFF" w:themeFill="background1"/>
            <w:vAlign w:val="center"/>
            <w:hideMark/>
          </w:tcPr>
          <w:p w:rsidR="00097B1D" w:rsidRPr="002B6562" w:rsidP="0014639B" w14:paraId="2415E37B" w14:textId="77777777">
            <w:pPr>
              <w:jc w:val="right"/>
            </w:pPr>
          </w:p>
          <w:p w:rsidR="0014639B" w:rsidRPr="002B6562" w:rsidP="0014639B" w14:paraId="59C0FB89" w14:textId="67E59B4C">
            <w:pPr>
              <w:jc w:val="right"/>
            </w:pPr>
            <w:r w:rsidRPr="002B6562">
              <w:t>6,770</w:t>
            </w:r>
          </w:p>
        </w:tc>
        <w:tc>
          <w:tcPr>
            <w:tcW w:w="2250" w:type="dxa"/>
            <w:tcBorders>
              <w:top w:val="nil"/>
              <w:left w:val="nil"/>
              <w:bottom w:val="single" w:sz="8" w:space="0" w:color="auto"/>
              <w:right w:val="single" w:sz="8" w:space="0" w:color="auto"/>
            </w:tcBorders>
            <w:shd w:val="clear" w:color="auto" w:fill="FFFFFF" w:themeFill="background1"/>
            <w:vAlign w:val="center"/>
            <w:hideMark/>
          </w:tcPr>
          <w:p w:rsidR="006C76C9" w:rsidRPr="002B6562" w:rsidP="0014639B" w14:paraId="49999C7C" w14:textId="77777777">
            <w:pPr>
              <w:jc w:val="right"/>
            </w:pPr>
          </w:p>
          <w:p w:rsidR="0014639B" w:rsidRPr="002B6562" w:rsidP="0014639B" w14:paraId="5B7E9900" w14:textId="6E83A09A">
            <w:pPr>
              <w:jc w:val="right"/>
            </w:pPr>
            <w:r w:rsidRPr="002B6562">
              <w:t>-</w:t>
            </w:r>
            <w:r w:rsidRPr="002B6562" w:rsidR="00CF4366">
              <w:t>925</w:t>
            </w:r>
          </w:p>
        </w:tc>
      </w:tr>
      <w:tr w14:paraId="20F3360F" w14:textId="77777777" w:rsidTr="00DE4226">
        <w:tblPrEx>
          <w:tblW w:w="9360" w:type="dxa"/>
          <w:tblInd w:w="-10" w:type="dxa"/>
          <w:tblLook w:val="04A0"/>
        </w:tblPrEx>
        <w:trPr>
          <w:trHeight w:val="430"/>
        </w:trPr>
        <w:tc>
          <w:tcPr>
            <w:tcW w:w="3330" w:type="dxa"/>
            <w:tcBorders>
              <w:top w:val="nil"/>
              <w:left w:val="single" w:sz="8" w:space="0" w:color="auto"/>
              <w:bottom w:val="single" w:sz="8" w:space="0" w:color="auto"/>
              <w:right w:val="single" w:sz="8" w:space="0" w:color="auto"/>
            </w:tcBorders>
            <w:shd w:val="clear" w:color="auto" w:fill="FFFFFF" w:themeFill="background1"/>
            <w:vAlign w:val="center"/>
          </w:tcPr>
          <w:p w:rsidR="0014639B" w:rsidRPr="002B6562" w:rsidP="0014639B" w14:paraId="78CC9C0D" w14:textId="32F07AA1">
            <w:r w:rsidRPr="002B6562">
              <w:t>Cost per hour</w:t>
            </w:r>
          </w:p>
        </w:tc>
        <w:tc>
          <w:tcPr>
            <w:tcW w:w="1980" w:type="dxa"/>
            <w:tcBorders>
              <w:top w:val="nil"/>
              <w:left w:val="nil"/>
              <w:bottom w:val="single" w:sz="8" w:space="0" w:color="auto"/>
              <w:right w:val="single" w:sz="8" w:space="0" w:color="auto"/>
            </w:tcBorders>
            <w:shd w:val="clear" w:color="auto" w:fill="FFFFFF" w:themeFill="background1"/>
          </w:tcPr>
          <w:p w:rsidR="00097B1D" w:rsidRPr="002B6562" w:rsidP="0014639B" w14:paraId="4C5865CA" w14:textId="77777777">
            <w:pPr>
              <w:jc w:val="right"/>
            </w:pPr>
          </w:p>
          <w:p w:rsidR="0014639B" w:rsidRPr="002B6562" w:rsidP="0014639B" w14:paraId="5C8BA405" w14:textId="76483CFB">
            <w:pPr>
              <w:jc w:val="right"/>
            </w:pPr>
            <w:r w:rsidRPr="002B6562">
              <w:t>$83</w:t>
            </w:r>
          </w:p>
        </w:tc>
        <w:tc>
          <w:tcPr>
            <w:tcW w:w="1800" w:type="dxa"/>
            <w:tcBorders>
              <w:top w:val="nil"/>
              <w:left w:val="nil"/>
              <w:bottom w:val="single" w:sz="8" w:space="0" w:color="auto"/>
              <w:right w:val="single" w:sz="8" w:space="0" w:color="auto"/>
            </w:tcBorders>
            <w:shd w:val="clear" w:color="auto" w:fill="FFFFFF" w:themeFill="background1"/>
            <w:vAlign w:val="center"/>
          </w:tcPr>
          <w:p w:rsidR="00097B1D" w:rsidRPr="002B6562" w:rsidP="0014639B" w14:paraId="6FB967B8" w14:textId="77777777">
            <w:pPr>
              <w:jc w:val="right"/>
            </w:pPr>
          </w:p>
          <w:p w:rsidR="0014639B" w:rsidRPr="002B6562" w:rsidP="0014639B" w14:paraId="7420330C" w14:textId="7645D2EB">
            <w:pPr>
              <w:jc w:val="right"/>
            </w:pPr>
            <w:r w:rsidRPr="002B6562">
              <w:t>$</w:t>
            </w:r>
            <w:r w:rsidRPr="002B6562" w:rsidR="00BF5095">
              <w:t>103</w:t>
            </w:r>
          </w:p>
        </w:tc>
        <w:tc>
          <w:tcPr>
            <w:tcW w:w="2250" w:type="dxa"/>
            <w:tcBorders>
              <w:top w:val="nil"/>
              <w:left w:val="nil"/>
              <w:bottom w:val="single" w:sz="8" w:space="0" w:color="auto"/>
              <w:right w:val="single" w:sz="8" w:space="0" w:color="auto"/>
            </w:tcBorders>
            <w:shd w:val="clear" w:color="auto" w:fill="FFFFFF" w:themeFill="background1"/>
            <w:vAlign w:val="center"/>
          </w:tcPr>
          <w:p w:rsidR="006C76C9" w:rsidRPr="002B6562" w:rsidP="0014639B" w14:paraId="5287650F" w14:textId="77777777">
            <w:pPr>
              <w:jc w:val="right"/>
            </w:pPr>
          </w:p>
          <w:p w:rsidR="0014639B" w:rsidRPr="002B6562" w:rsidP="0014639B" w14:paraId="12534E65" w14:textId="01591BAD">
            <w:pPr>
              <w:jc w:val="right"/>
            </w:pPr>
            <w:r w:rsidRPr="002B6562">
              <w:t>$</w:t>
            </w:r>
            <w:r w:rsidRPr="002B6562" w:rsidR="00BF5095">
              <w:t>20</w:t>
            </w:r>
          </w:p>
        </w:tc>
      </w:tr>
      <w:tr w14:paraId="3AD0D8A7" w14:textId="77777777" w:rsidTr="00DE4226">
        <w:tblPrEx>
          <w:tblW w:w="9360" w:type="dxa"/>
          <w:tblInd w:w="-10" w:type="dxa"/>
          <w:tblLook w:val="04A0"/>
        </w:tblPrEx>
        <w:trPr>
          <w:trHeight w:val="430"/>
        </w:trPr>
        <w:tc>
          <w:tcPr>
            <w:tcW w:w="3330" w:type="dxa"/>
            <w:tcBorders>
              <w:top w:val="nil"/>
              <w:left w:val="single" w:sz="8" w:space="0" w:color="auto"/>
              <w:bottom w:val="single" w:sz="8" w:space="0" w:color="auto"/>
              <w:right w:val="single" w:sz="8" w:space="0" w:color="auto"/>
            </w:tcBorders>
            <w:shd w:val="clear" w:color="auto" w:fill="FFFFFF" w:themeFill="background1"/>
            <w:vAlign w:val="center"/>
            <w:hideMark/>
          </w:tcPr>
          <w:p w:rsidR="0014639B" w:rsidRPr="002B6562" w:rsidP="0014639B" w14:paraId="4C29971D" w14:textId="77777777">
            <w:r w:rsidRPr="002B6562">
              <w:t>Total annual cost to public</w:t>
            </w:r>
          </w:p>
        </w:tc>
        <w:tc>
          <w:tcPr>
            <w:tcW w:w="1980" w:type="dxa"/>
            <w:tcBorders>
              <w:top w:val="nil"/>
              <w:left w:val="nil"/>
              <w:bottom w:val="single" w:sz="8" w:space="0" w:color="auto"/>
              <w:right w:val="single" w:sz="8" w:space="0" w:color="auto"/>
            </w:tcBorders>
            <w:shd w:val="clear" w:color="auto" w:fill="FFFFFF" w:themeFill="background1"/>
            <w:hideMark/>
          </w:tcPr>
          <w:p w:rsidR="00097B1D" w:rsidRPr="002B6562" w:rsidP="0014639B" w14:paraId="71F2DBD4" w14:textId="77777777">
            <w:pPr>
              <w:jc w:val="right"/>
            </w:pPr>
          </w:p>
          <w:p w:rsidR="0014639B" w:rsidRPr="002B6562" w:rsidP="0014639B" w14:paraId="7297055B" w14:textId="36CD02D8">
            <w:pPr>
              <w:jc w:val="right"/>
            </w:pPr>
            <w:r w:rsidRPr="002B6562">
              <w:t>$638,685</w:t>
            </w:r>
          </w:p>
        </w:tc>
        <w:tc>
          <w:tcPr>
            <w:tcW w:w="1800" w:type="dxa"/>
            <w:tcBorders>
              <w:top w:val="nil"/>
              <w:left w:val="nil"/>
              <w:bottom w:val="single" w:sz="8" w:space="0" w:color="auto"/>
              <w:right w:val="single" w:sz="8" w:space="0" w:color="auto"/>
            </w:tcBorders>
            <w:shd w:val="clear" w:color="auto" w:fill="FFFFFF" w:themeFill="background1"/>
            <w:vAlign w:val="center"/>
            <w:hideMark/>
          </w:tcPr>
          <w:p w:rsidR="00097B1D" w:rsidRPr="002B6562" w:rsidP="0014639B" w14:paraId="43E608DA" w14:textId="77777777">
            <w:pPr>
              <w:jc w:val="right"/>
            </w:pPr>
          </w:p>
          <w:p w:rsidR="0014639B" w:rsidRPr="002B6562" w:rsidP="0014639B" w14:paraId="26B55B63" w14:textId="4AB526A9">
            <w:pPr>
              <w:jc w:val="right"/>
            </w:pPr>
            <w:r w:rsidRPr="002B6562">
              <w:t>$</w:t>
            </w:r>
            <w:r w:rsidRPr="002B6562" w:rsidR="00CF4366">
              <w:t>697,310</w:t>
            </w:r>
          </w:p>
        </w:tc>
        <w:tc>
          <w:tcPr>
            <w:tcW w:w="2250" w:type="dxa"/>
            <w:tcBorders>
              <w:top w:val="nil"/>
              <w:left w:val="nil"/>
              <w:bottom w:val="single" w:sz="8" w:space="0" w:color="auto"/>
              <w:right w:val="single" w:sz="8" w:space="0" w:color="auto"/>
            </w:tcBorders>
            <w:shd w:val="clear" w:color="auto" w:fill="FFFFFF" w:themeFill="background1"/>
            <w:vAlign w:val="center"/>
            <w:hideMark/>
          </w:tcPr>
          <w:p w:rsidR="006C76C9" w:rsidRPr="002B6562" w:rsidP="0014639B" w14:paraId="4E6E87B5" w14:textId="77777777">
            <w:pPr>
              <w:jc w:val="right"/>
            </w:pPr>
          </w:p>
          <w:p w:rsidR="0014639B" w:rsidRPr="002B6562" w:rsidP="0014639B" w14:paraId="167FAB07" w14:textId="6274F842">
            <w:pPr>
              <w:jc w:val="right"/>
            </w:pPr>
            <w:r w:rsidRPr="002B6562">
              <w:t>$</w:t>
            </w:r>
            <w:r w:rsidRPr="002B6562" w:rsidR="00CF4366">
              <w:t>58,625</w:t>
            </w:r>
          </w:p>
        </w:tc>
      </w:tr>
    </w:tbl>
    <w:p w:rsidR="005E0A0F" w:rsidRPr="002B6562" w:rsidP="00CF2408" w14:paraId="79143F7A" w14:textId="5FF8E785">
      <w:pPr>
        <w:pStyle w:val="NormalWeb"/>
        <w:tabs>
          <w:tab w:val="left" w:pos="360"/>
          <w:tab w:val="left" w:pos="720"/>
          <w:tab w:val="left" w:pos="1080"/>
          <w:tab w:val="left" w:pos="1440"/>
        </w:tabs>
        <w:spacing w:line="288" w:lineRule="atLeast"/>
        <w:rPr>
          <w:u w:val="single"/>
        </w:rPr>
      </w:pPr>
      <w:r w:rsidRPr="002B6562">
        <w:t>16.</w:t>
      </w:r>
      <w:r w:rsidRPr="002B6562" w:rsidR="00E14516">
        <w:t xml:space="preserve"> </w:t>
      </w:r>
      <w:r w:rsidRPr="002B6562">
        <w:t xml:space="preserve"> </w:t>
      </w:r>
      <w:r w:rsidRPr="002B6562">
        <w:rPr>
          <w:u w:val="single"/>
        </w:rPr>
        <w:t>Publication of Results</w:t>
      </w:r>
    </w:p>
    <w:p w:rsidR="00CF2408" w:rsidRPr="002B6562" w:rsidP="00AC5BD4" w14:paraId="40E818ED" w14:textId="10F1E5D9">
      <w:pPr>
        <w:pStyle w:val="NormalWeb"/>
        <w:tabs>
          <w:tab w:val="left" w:pos="360"/>
          <w:tab w:val="left" w:pos="720"/>
          <w:tab w:val="left" w:pos="1080"/>
          <w:tab w:val="left" w:pos="1440"/>
        </w:tabs>
        <w:spacing w:line="288" w:lineRule="atLeast"/>
      </w:pPr>
      <w:bookmarkStart w:id="15" w:name="cp471"/>
      <w:r w:rsidRPr="002B6562">
        <w:tab/>
      </w:r>
      <w:r w:rsidRPr="002B6562" w:rsidR="00F8031E">
        <w:t xml:space="preserve">The results of this information collection will not </w:t>
      </w:r>
      <w:r w:rsidRPr="002B6562" w:rsidR="00F8031E">
        <w:t>be published</w:t>
      </w:r>
      <w:r w:rsidRPr="002B6562" w:rsidR="00F8031E">
        <w:t>.</w:t>
      </w:r>
    </w:p>
    <w:p w:rsidR="005E0A0F" w:rsidRPr="002B6562" w:rsidP="00AC5BD4" w14:paraId="1F45DD77" w14:textId="7A46D572">
      <w:pPr>
        <w:pStyle w:val="NormalWeb"/>
        <w:tabs>
          <w:tab w:val="left" w:pos="360"/>
          <w:tab w:val="left" w:pos="720"/>
          <w:tab w:val="left" w:pos="1080"/>
          <w:tab w:val="left" w:pos="1440"/>
        </w:tabs>
        <w:spacing w:line="288" w:lineRule="atLeast"/>
      </w:pPr>
      <w:r w:rsidRPr="002B6562">
        <w:t>17.</w:t>
      </w:r>
      <w:r w:rsidRPr="002B6562" w:rsidR="00E14516">
        <w:t xml:space="preserve"> </w:t>
      </w:r>
      <w:r w:rsidRPr="002B6562">
        <w:t xml:space="preserve"> </w:t>
      </w:r>
      <w:r w:rsidRPr="002B6562">
        <w:rPr>
          <w:u w:val="single"/>
        </w:rPr>
        <w:t>Non-Display of OMB Expiration Date</w:t>
      </w:r>
    </w:p>
    <w:p w:rsidR="00D141EB" w:rsidRPr="002B6562" w:rsidP="00AC5BD4" w14:paraId="564DE26A" w14:textId="3F70E50F">
      <w:pPr>
        <w:pStyle w:val="NormalWeb"/>
        <w:tabs>
          <w:tab w:val="left" w:pos="360"/>
          <w:tab w:val="left" w:pos="720"/>
          <w:tab w:val="left" w:pos="1080"/>
          <w:tab w:val="left" w:pos="1440"/>
        </w:tabs>
        <w:spacing w:line="288" w:lineRule="atLeast"/>
      </w:pPr>
      <w:bookmarkStart w:id="16" w:name="cp473"/>
      <w:bookmarkEnd w:id="15"/>
      <w:r w:rsidRPr="002B6562">
        <w:tab/>
      </w:r>
      <w:r w:rsidRPr="002B6562" w:rsidR="00F8031E">
        <w:t>DoD is not seeking approval to omit the display of the expiration date of the OMB approval on the collection instrument.</w:t>
      </w:r>
    </w:p>
    <w:p w:rsidR="005E0A0F" w:rsidRPr="002B6562" w:rsidP="00AC5BD4" w14:paraId="04F3E197" w14:textId="0ED5D8A0">
      <w:pPr>
        <w:pStyle w:val="NormalWeb"/>
        <w:tabs>
          <w:tab w:val="left" w:pos="360"/>
          <w:tab w:val="left" w:pos="720"/>
          <w:tab w:val="left" w:pos="1080"/>
          <w:tab w:val="left" w:pos="1440"/>
        </w:tabs>
        <w:spacing w:line="288" w:lineRule="atLeast"/>
      </w:pPr>
      <w:r w:rsidRPr="002B6562">
        <w:t>18.</w:t>
      </w:r>
      <w:r w:rsidRPr="002B6562" w:rsidR="00E14516">
        <w:t xml:space="preserve"> </w:t>
      </w:r>
      <w:r w:rsidRPr="002B6562">
        <w:t xml:space="preserve"> </w:t>
      </w:r>
      <w:r w:rsidRPr="002B6562">
        <w:rPr>
          <w:u w:val="single"/>
        </w:rPr>
        <w:t xml:space="preserve">Exceptions to </w:t>
      </w:r>
      <w:r w:rsidRPr="002B6562" w:rsidR="00E14516">
        <w:rPr>
          <w:u w:val="single"/>
        </w:rPr>
        <w:t>“</w:t>
      </w:r>
      <w:r w:rsidRPr="002B6562">
        <w:rPr>
          <w:u w:val="single"/>
        </w:rPr>
        <w:t>Certification for Paperwork Reduction Submissions</w:t>
      </w:r>
      <w:r w:rsidRPr="002B6562" w:rsidR="00E14516">
        <w:rPr>
          <w:u w:val="single"/>
        </w:rPr>
        <w:t>”</w:t>
      </w:r>
    </w:p>
    <w:p w:rsidR="00D141EB" w:rsidRPr="00F577B4" w:rsidP="00E14516" w14:paraId="3477F1C1" w14:textId="7C874B07">
      <w:pPr>
        <w:pStyle w:val="NormalWeb"/>
        <w:tabs>
          <w:tab w:val="left" w:pos="360"/>
          <w:tab w:val="left" w:pos="720"/>
          <w:tab w:val="left" w:pos="1080"/>
          <w:tab w:val="left" w:pos="1440"/>
        </w:tabs>
        <w:spacing w:line="288" w:lineRule="atLeast"/>
      </w:pPr>
      <w:bookmarkStart w:id="17" w:name="cp474"/>
      <w:bookmarkEnd w:id="16"/>
      <w:r w:rsidRPr="002B6562">
        <w:tab/>
      </w:r>
      <w:bookmarkEnd w:id="17"/>
      <w:r w:rsidRPr="002B6562" w:rsidR="00F8031E">
        <w:t>DoD is not requesting any exemptions to the provisions stated in 5 CFR 1320.9.</w:t>
      </w:r>
    </w:p>
    <w:sectPr w:rsidSect="003030D5">
      <w:footerReference w:type="default" r:id="rId9"/>
      <w:pgSz w:w="12240" w:h="15840"/>
      <w:pgMar w:top="1440" w:right="1440" w:bottom="1440" w:left="1440" w:header="720" w:footer="4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223783"/>
      <w:docPartObj>
        <w:docPartGallery w:val="Page Numbers (Bottom of Page)"/>
        <w:docPartUnique/>
      </w:docPartObj>
    </w:sdtPr>
    <w:sdtContent>
      <w:sdt>
        <w:sdtPr>
          <w:id w:val="-1669238322"/>
          <w:docPartObj>
            <w:docPartGallery w:val="Page Numbers (Top of Page)"/>
            <w:docPartUnique/>
          </w:docPartObj>
        </w:sdtPr>
        <w:sdtContent>
          <w:p w:rsidR="0062058D" w14:paraId="78824DB4" w14:textId="65031AF7">
            <w:pPr>
              <w:pStyle w:val="Footer"/>
              <w:jc w:val="center"/>
            </w:pPr>
            <w:r w:rsidRPr="003030D5">
              <w:t xml:space="preserve">Page </w:t>
            </w:r>
            <w:r w:rsidRPr="003030D5">
              <w:rPr>
                <w:bCs/>
              </w:rPr>
              <w:fldChar w:fldCharType="begin"/>
            </w:r>
            <w:r w:rsidRPr="003030D5">
              <w:rPr>
                <w:bCs/>
              </w:rPr>
              <w:instrText xml:space="preserve"> PAGE </w:instrText>
            </w:r>
            <w:r w:rsidRPr="003030D5">
              <w:rPr>
                <w:bCs/>
              </w:rPr>
              <w:fldChar w:fldCharType="separate"/>
            </w:r>
            <w:r w:rsidR="00F6162F">
              <w:rPr>
                <w:bCs/>
                <w:noProof/>
              </w:rPr>
              <w:t>10</w:t>
            </w:r>
            <w:r w:rsidRPr="003030D5">
              <w:rPr>
                <w:bCs/>
              </w:rPr>
              <w:fldChar w:fldCharType="end"/>
            </w:r>
            <w:r w:rsidRPr="003030D5">
              <w:t xml:space="preserve"> of </w:t>
            </w:r>
            <w:r w:rsidRPr="003030D5">
              <w:rPr>
                <w:bCs/>
              </w:rPr>
              <w:fldChar w:fldCharType="begin"/>
            </w:r>
            <w:r w:rsidRPr="003030D5">
              <w:rPr>
                <w:bCs/>
              </w:rPr>
              <w:instrText xml:space="preserve"> NUMPAGES  </w:instrText>
            </w:r>
            <w:r w:rsidRPr="003030D5">
              <w:rPr>
                <w:bCs/>
              </w:rPr>
              <w:fldChar w:fldCharType="separate"/>
            </w:r>
            <w:r w:rsidR="00F6162F">
              <w:rPr>
                <w:bCs/>
                <w:noProof/>
              </w:rPr>
              <w:t>13</w:t>
            </w:r>
            <w:r w:rsidRPr="003030D5">
              <w:rPr>
                <w:bCs/>
              </w:rPr>
              <w:fldChar w:fldCharType="end"/>
            </w:r>
          </w:p>
        </w:sdtContent>
      </w:sdt>
    </w:sdtContent>
  </w:sdt>
  <w:p w:rsidR="0062058D" w14:paraId="39EBF5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70699"/>
    <w:multiLevelType w:val="hybridMultilevel"/>
    <w:tmpl w:val="AC2A3F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40428211">
    <w:abstractNumId w:val="1"/>
  </w:num>
  <w:num w:numId="2" w16cid:durableId="198380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5139"/>
    <w:rsid w:val="00010294"/>
    <w:rsid w:val="00011363"/>
    <w:rsid w:val="00021177"/>
    <w:rsid w:val="00036818"/>
    <w:rsid w:val="0004379B"/>
    <w:rsid w:val="00056041"/>
    <w:rsid w:val="000611B8"/>
    <w:rsid w:val="00097935"/>
    <w:rsid w:val="00097B1D"/>
    <w:rsid w:val="000A2459"/>
    <w:rsid w:val="000A2A03"/>
    <w:rsid w:val="000A47D5"/>
    <w:rsid w:val="000C5F77"/>
    <w:rsid w:val="000E3960"/>
    <w:rsid w:val="000E44EC"/>
    <w:rsid w:val="000E4E41"/>
    <w:rsid w:val="000E5BDE"/>
    <w:rsid w:val="000F62B5"/>
    <w:rsid w:val="000F74E2"/>
    <w:rsid w:val="00121981"/>
    <w:rsid w:val="001230FD"/>
    <w:rsid w:val="00127C69"/>
    <w:rsid w:val="001318A5"/>
    <w:rsid w:val="001325DF"/>
    <w:rsid w:val="00133CDF"/>
    <w:rsid w:val="001342F8"/>
    <w:rsid w:val="00143D30"/>
    <w:rsid w:val="0014639B"/>
    <w:rsid w:val="00146D08"/>
    <w:rsid w:val="00156780"/>
    <w:rsid w:val="00164F7F"/>
    <w:rsid w:val="0016746D"/>
    <w:rsid w:val="00170AC5"/>
    <w:rsid w:val="00191C5D"/>
    <w:rsid w:val="001927F3"/>
    <w:rsid w:val="001A07C7"/>
    <w:rsid w:val="001B17E1"/>
    <w:rsid w:val="001C02EF"/>
    <w:rsid w:val="001C444F"/>
    <w:rsid w:val="001D34F5"/>
    <w:rsid w:val="001E3479"/>
    <w:rsid w:val="001E7D20"/>
    <w:rsid w:val="001F2E78"/>
    <w:rsid w:val="00214575"/>
    <w:rsid w:val="002230B5"/>
    <w:rsid w:val="002251F9"/>
    <w:rsid w:val="002429FD"/>
    <w:rsid w:val="002450DB"/>
    <w:rsid w:val="00251133"/>
    <w:rsid w:val="00261036"/>
    <w:rsid w:val="00270295"/>
    <w:rsid w:val="00276AE9"/>
    <w:rsid w:val="00277AB3"/>
    <w:rsid w:val="002872B9"/>
    <w:rsid w:val="002A4933"/>
    <w:rsid w:val="002B3213"/>
    <w:rsid w:val="002B6562"/>
    <w:rsid w:val="002C14B2"/>
    <w:rsid w:val="002C240E"/>
    <w:rsid w:val="002C36FB"/>
    <w:rsid w:val="002D1BB9"/>
    <w:rsid w:val="002D4A96"/>
    <w:rsid w:val="002D6584"/>
    <w:rsid w:val="002D75A1"/>
    <w:rsid w:val="002F4F25"/>
    <w:rsid w:val="002F5EDA"/>
    <w:rsid w:val="0030008B"/>
    <w:rsid w:val="003002A0"/>
    <w:rsid w:val="00300431"/>
    <w:rsid w:val="003030D5"/>
    <w:rsid w:val="00304701"/>
    <w:rsid w:val="00305997"/>
    <w:rsid w:val="0030654A"/>
    <w:rsid w:val="00313310"/>
    <w:rsid w:val="003136CC"/>
    <w:rsid w:val="00320550"/>
    <w:rsid w:val="0032295F"/>
    <w:rsid w:val="00340404"/>
    <w:rsid w:val="00350269"/>
    <w:rsid w:val="003718D4"/>
    <w:rsid w:val="0038016C"/>
    <w:rsid w:val="0039090A"/>
    <w:rsid w:val="00397BD0"/>
    <w:rsid w:val="003A2AD3"/>
    <w:rsid w:val="003A2CE4"/>
    <w:rsid w:val="003A4414"/>
    <w:rsid w:val="003A5372"/>
    <w:rsid w:val="003A6C2B"/>
    <w:rsid w:val="003B175C"/>
    <w:rsid w:val="003B49A5"/>
    <w:rsid w:val="003B6F64"/>
    <w:rsid w:val="003B7399"/>
    <w:rsid w:val="003C24A4"/>
    <w:rsid w:val="003C26F7"/>
    <w:rsid w:val="003C45CE"/>
    <w:rsid w:val="003C5E0E"/>
    <w:rsid w:val="003D6A97"/>
    <w:rsid w:val="003E01B6"/>
    <w:rsid w:val="003E7FF0"/>
    <w:rsid w:val="003F0961"/>
    <w:rsid w:val="003F3FE2"/>
    <w:rsid w:val="004074D8"/>
    <w:rsid w:val="004113B6"/>
    <w:rsid w:val="0041242C"/>
    <w:rsid w:val="00422E34"/>
    <w:rsid w:val="00424CA6"/>
    <w:rsid w:val="00432039"/>
    <w:rsid w:val="00432E01"/>
    <w:rsid w:val="00442DEC"/>
    <w:rsid w:val="0045410F"/>
    <w:rsid w:val="00456044"/>
    <w:rsid w:val="00460A60"/>
    <w:rsid w:val="00472ED2"/>
    <w:rsid w:val="004A1568"/>
    <w:rsid w:val="004B27AF"/>
    <w:rsid w:val="004B3739"/>
    <w:rsid w:val="004B6441"/>
    <w:rsid w:val="004C6862"/>
    <w:rsid w:val="004C7516"/>
    <w:rsid w:val="004D0208"/>
    <w:rsid w:val="004D1301"/>
    <w:rsid w:val="004D2471"/>
    <w:rsid w:val="004E3BF1"/>
    <w:rsid w:val="004F57EF"/>
    <w:rsid w:val="004F7194"/>
    <w:rsid w:val="00513F6A"/>
    <w:rsid w:val="005156A1"/>
    <w:rsid w:val="00515892"/>
    <w:rsid w:val="00515F86"/>
    <w:rsid w:val="00515FC5"/>
    <w:rsid w:val="005268DB"/>
    <w:rsid w:val="005315D1"/>
    <w:rsid w:val="00533827"/>
    <w:rsid w:val="0053544F"/>
    <w:rsid w:val="005470A8"/>
    <w:rsid w:val="00547960"/>
    <w:rsid w:val="005703F9"/>
    <w:rsid w:val="005744E8"/>
    <w:rsid w:val="00574FE6"/>
    <w:rsid w:val="00581732"/>
    <w:rsid w:val="005902AC"/>
    <w:rsid w:val="00590673"/>
    <w:rsid w:val="00590AE5"/>
    <w:rsid w:val="005A30F3"/>
    <w:rsid w:val="005B48B1"/>
    <w:rsid w:val="005C124D"/>
    <w:rsid w:val="005C4463"/>
    <w:rsid w:val="005C537B"/>
    <w:rsid w:val="005D59D1"/>
    <w:rsid w:val="005E0A0F"/>
    <w:rsid w:val="005E337A"/>
    <w:rsid w:val="005E5BAF"/>
    <w:rsid w:val="0060388A"/>
    <w:rsid w:val="00603FCB"/>
    <w:rsid w:val="00614867"/>
    <w:rsid w:val="0061569F"/>
    <w:rsid w:val="0062058D"/>
    <w:rsid w:val="0062711E"/>
    <w:rsid w:val="00631B89"/>
    <w:rsid w:val="00634892"/>
    <w:rsid w:val="00635430"/>
    <w:rsid w:val="006358CD"/>
    <w:rsid w:val="00642A8D"/>
    <w:rsid w:val="00652040"/>
    <w:rsid w:val="00652148"/>
    <w:rsid w:val="0065431F"/>
    <w:rsid w:val="00661399"/>
    <w:rsid w:val="00673E27"/>
    <w:rsid w:val="00682C2D"/>
    <w:rsid w:val="00686B3D"/>
    <w:rsid w:val="00695B28"/>
    <w:rsid w:val="00697DF8"/>
    <w:rsid w:val="006A06EA"/>
    <w:rsid w:val="006B2B17"/>
    <w:rsid w:val="006C3C14"/>
    <w:rsid w:val="006C6CEF"/>
    <w:rsid w:val="006C76C9"/>
    <w:rsid w:val="006C7E8A"/>
    <w:rsid w:val="006E70B6"/>
    <w:rsid w:val="006E7819"/>
    <w:rsid w:val="006F2838"/>
    <w:rsid w:val="006F565D"/>
    <w:rsid w:val="00704264"/>
    <w:rsid w:val="00705DBB"/>
    <w:rsid w:val="007129DE"/>
    <w:rsid w:val="007134DE"/>
    <w:rsid w:val="007151A1"/>
    <w:rsid w:val="007319FB"/>
    <w:rsid w:val="00746F33"/>
    <w:rsid w:val="00760879"/>
    <w:rsid w:val="00762B7A"/>
    <w:rsid w:val="0076314A"/>
    <w:rsid w:val="00766060"/>
    <w:rsid w:val="0077054D"/>
    <w:rsid w:val="00771BBB"/>
    <w:rsid w:val="0077566E"/>
    <w:rsid w:val="007758E2"/>
    <w:rsid w:val="00777EBE"/>
    <w:rsid w:val="0078120F"/>
    <w:rsid w:val="0079286C"/>
    <w:rsid w:val="007B785C"/>
    <w:rsid w:val="007B7FB6"/>
    <w:rsid w:val="007C6BFA"/>
    <w:rsid w:val="007D7910"/>
    <w:rsid w:val="007E2A5A"/>
    <w:rsid w:val="007E450E"/>
    <w:rsid w:val="007F084F"/>
    <w:rsid w:val="007F5FA9"/>
    <w:rsid w:val="00856025"/>
    <w:rsid w:val="00862DA7"/>
    <w:rsid w:val="00883252"/>
    <w:rsid w:val="008972BD"/>
    <w:rsid w:val="00897E31"/>
    <w:rsid w:val="008A0921"/>
    <w:rsid w:val="008A6816"/>
    <w:rsid w:val="008B40C1"/>
    <w:rsid w:val="008C0C38"/>
    <w:rsid w:val="008C4926"/>
    <w:rsid w:val="008C7979"/>
    <w:rsid w:val="008D3C9B"/>
    <w:rsid w:val="008E017A"/>
    <w:rsid w:val="008E1101"/>
    <w:rsid w:val="008E1B7C"/>
    <w:rsid w:val="008F2BFE"/>
    <w:rsid w:val="008F55BF"/>
    <w:rsid w:val="008F5E96"/>
    <w:rsid w:val="008F6746"/>
    <w:rsid w:val="0090133C"/>
    <w:rsid w:val="00907BBC"/>
    <w:rsid w:val="00916234"/>
    <w:rsid w:val="00916979"/>
    <w:rsid w:val="00916AF9"/>
    <w:rsid w:val="00920032"/>
    <w:rsid w:val="0092153E"/>
    <w:rsid w:val="00926AC9"/>
    <w:rsid w:val="00933A8B"/>
    <w:rsid w:val="0094139C"/>
    <w:rsid w:val="00946810"/>
    <w:rsid w:val="00950003"/>
    <w:rsid w:val="00956684"/>
    <w:rsid w:val="009568EE"/>
    <w:rsid w:val="00963415"/>
    <w:rsid w:val="00976847"/>
    <w:rsid w:val="00980A91"/>
    <w:rsid w:val="00983AF8"/>
    <w:rsid w:val="0098449E"/>
    <w:rsid w:val="00985BA6"/>
    <w:rsid w:val="009A13F5"/>
    <w:rsid w:val="009A26B9"/>
    <w:rsid w:val="009A4A65"/>
    <w:rsid w:val="009A5E9D"/>
    <w:rsid w:val="009A6A37"/>
    <w:rsid w:val="009B2E4A"/>
    <w:rsid w:val="009C7DE8"/>
    <w:rsid w:val="009D7A10"/>
    <w:rsid w:val="009F50FE"/>
    <w:rsid w:val="009F5C54"/>
    <w:rsid w:val="00A035CF"/>
    <w:rsid w:val="00A03ABD"/>
    <w:rsid w:val="00A139D6"/>
    <w:rsid w:val="00A13EBA"/>
    <w:rsid w:val="00A17A21"/>
    <w:rsid w:val="00A32448"/>
    <w:rsid w:val="00A33452"/>
    <w:rsid w:val="00A45653"/>
    <w:rsid w:val="00A4587F"/>
    <w:rsid w:val="00A47231"/>
    <w:rsid w:val="00A47241"/>
    <w:rsid w:val="00A60189"/>
    <w:rsid w:val="00A6761C"/>
    <w:rsid w:val="00A7063B"/>
    <w:rsid w:val="00A77958"/>
    <w:rsid w:val="00A85736"/>
    <w:rsid w:val="00A8593E"/>
    <w:rsid w:val="00A93CBF"/>
    <w:rsid w:val="00A97A9C"/>
    <w:rsid w:val="00AA0F79"/>
    <w:rsid w:val="00AA1C55"/>
    <w:rsid w:val="00AA6DFE"/>
    <w:rsid w:val="00AB39C6"/>
    <w:rsid w:val="00AB46AD"/>
    <w:rsid w:val="00AC3144"/>
    <w:rsid w:val="00AC5BD4"/>
    <w:rsid w:val="00AC7BF4"/>
    <w:rsid w:val="00AC7C8D"/>
    <w:rsid w:val="00AD4E68"/>
    <w:rsid w:val="00AD5097"/>
    <w:rsid w:val="00AF5E80"/>
    <w:rsid w:val="00AF66E0"/>
    <w:rsid w:val="00AF7A5E"/>
    <w:rsid w:val="00B215A4"/>
    <w:rsid w:val="00B25003"/>
    <w:rsid w:val="00B53B38"/>
    <w:rsid w:val="00B572DD"/>
    <w:rsid w:val="00B715DD"/>
    <w:rsid w:val="00B7369C"/>
    <w:rsid w:val="00B75E8A"/>
    <w:rsid w:val="00B7687D"/>
    <w:rsid w:val="00B95526"/>
    <w:rsid w:val="00BA26A3"/>
    <w:rsid w:val="00BB77F9"/>
    <w:rsid w:val="00BE5EAA"/>
    <w:rsid w:val="00BF5095"/>
    <w:rsid w:val="00BF6680"/>
    <w:rsid w:val="00BF6BCB"/>
    <w:rsid w:val="00C00C1A"/>
    <w:rsid w:val="00C01029"/>
    <w:rsid w:val="00C06DEA"/>
    <w:rsid w:val="00C074CC"/>
    <w:rsid w:val="00C14458"/>
    <w:rsid w:val="00C163A0"/>
    <w:rsid w:val="00C26D10"/>
    <w:rsid w:val="00C301BF"/>
    <w:rsid w:val="00C31740"/>
    <w:rsid w:val="00C317CF"/>
    <w:rsid w:val="00C34B7F"/>
    <w:rsid w:val="00C34D08"/>
    <w:rsid w:val="00C35B1B"/>
    <w:rsid w:val="00C361AF"/>
    <w:rsid w:val="00C652E7"/>
    <w:rsid w:val="00C66D8C"/>
    <w:rsid w:val="00C735EB"/>
    <w:rsid w:val="00C80165"/>
    <w:rsid w:val="00C809EC"/>
    <w:rsid w:val="00C91C11"/>
    <w:rsid w:val="00C94105"/>
    <w:rsid w:val="00C9672F"/>
    <w:rsid w:val="00CA20AD"/>
    <w:rsid w:val="00CA362C"/>
    <w:rsid w:val="00CA5273"/>
    <w:rsid w:val="00CC3527"/>
    <w:rsid w:val="00CC7FCA"/>
    <w:rsid w:val="00CD24A5"/>
    <w:rsid w:val="00CD6A4C"/>
    <w:rsid w:val="00CE7B0E"/>
    <w:rsid w:val="00CF2408"/>
    <w:rsid w:val="00CF4366"/>
    <w:rsid w:val="00D01F69"/>
    <w:rsid w:val="00D10549"/>
    <w:rsid w:val="00D1341B"/>
    <w:rsid w:val="00D141EB"/>
    <w:rsid w:val="00D30EF0"/>
    <w:rsid w:val="00D3119C"/>
    <w:rsid w:val="00D31C70"/>
    <w:rsid w:val="00D36F4A"/>
    <w:rsid w:val="00D37A50"/>
    <w:rsid w:val="00D40131"/>
    <w:rsid w:val="00D46148"/>
    <w:rsid w:val="00D5039F"/>
    <w:rsid w:val="00D52A04"/>
    <w:rsid w:val="00D616C9"/>
    <w:rsid w:val="00D66F0A"/>
    <w:rsid w:val="00D74D55"/>
    <w:rsid w:val="00D7678F"/>
    <w:rsid w:val="00DA5398"/>
    <w:rsid w:val="00DC2FA2"/>
    <w:rsid w:val="00DC3F3C"/>
    <w:rsid w:val="00DE4226"/>
    <w:rsid w:val="00DE4918"/>
    <w:rsid w:val="00DE6EA1"/>
    <w:rsid w:val="00DF3287"/>
    <w:rsid w:val="00E10717"/>
    <w:rsid w:val="00E10F0D"/>
    <w:rsid w:val="00E14516"/>
    <w:rsid w:val="00E30DCA"/>
    <w:rsid w:val="00E31C6D"/>
    <w:rsid w:val="00E53C2C"/>
    <w:rsid w:val="00E60569"/>
    <w:rsid w:val="00E60A83"/>
    <w:rsid w:val="00E614D8"/>
    <w:rsid w:val="00E64D07"/>
    <w:rsid w:val="00E720AA"/>
    <w:rsid w:val="00E76B95"/>
    <w:rsid w:val="00E90B41"/>
    <w:rsid w:val="00E93065"/>
    <w:rsid w:val="00E97E8C"/>
    <w:rsid w:val="00EA40E0"/>
    <w:rsid w:val="00EA6F08"/>
    <w:rsid w:val="00EB0C6C"/>
    <w:rsid w:val="00EB6D6B"/>
    <w:rsid w:val="00EC0409"/>
    <w:rsid w:val="00EC5995"/>
    <w:rsid w:val="00ED1244"/>
    <w:rsid w:val="00ED2D76"/>
    <w:rsid w:val="00EE0B88"/>
    <w:rsid w:val="00EF0106"/>
    <w:rsid w:val="00EF1766"/>
    <w:rsid w:val="00EF7746"/>
    <w:rsid w:val="00F00058"/>
    <w:rsid w:val="00F06210"/>
    <w:rsid w:val="00F0676B"/>
    <w:rsid w:val="00F1422D"/>
    <w:rsid w:val="00F1447C"/>
    <w:rsid w:val="00F20B3B"/>
    <w:rsid w:val="00F22EA2"/>
    <w:rsid w:val="00F3203C"/>
    <w:rsid w:val="00F32885"/>
    <w:rsid w:val="00F357EB"/>
    <w:rsid w:val="00F36A97"/>
    <w:rsid w:val="00F3723E"/>
    <w:rsid w:val="00F45870"/>
    <w:rsid w:val="00F473D5"/>
    <w:rsid w:val="00F508E6"/>
    <w:rsid w:val="00F577B4"/>
    <w:rsid w:val="00F6162F"/>
    <w:rsid w:val="00F70EB0"/>
    <w:rsid w:val="00F75DA9"/>
    <w:rsid w:val="00F8031E"/>
    <w:rsid w:val="00F92085"/>
    <w:rsid w:val="00F9246C"/>
    <w:rsid w:val="00F925E5"/>
    <w:rsid w:val="00F92ACC"/>
    <w:rsid w:val="00F958D2"/>
    <w:rsid w:val="00FA1240"/>
    <w:rsid w:val="00FA1D49"/>
    <w:rsid w:val="00FA298B"/>
    <w:rsid w:val="00FA6D4D"/>
    <w:rsid w:val="00FB2468"/>
    <w:rsid w:val="00FB3212"/>
    <w:rsid w:val="00FB58C9"/>
    <w:rsid w:val="00FB6EE2"/>
    <w:rsid w:val="00FC3297"/>
    <w:rsid w:val="00FD0AA7"/>
    <w:rsid w:val="00FF077F"/>
    <w:rsid w:val="00FF1B1C"/>
    <w:rsid w:val="00FF7511"/>
    <w:rsid w:val="3641956E"/>
    <w:rsid w:val="57AD6B6D"/>
    <w:rsid w:val="5FD55D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83EA8"/>
  <w15:docId w15:val="{94D3366A-7C23-954B-90B1-06EFFB83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30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1C6D"/>
    <w:rPr>
      <w:color w:val="0000FF" w:themeColor="hyperlink"/>
      <w:u w:val="single"/>
    </w:rPr>
  </w:style>
  <w:style w:type="character" w:styleId="FollowedHyperlink">
    <w:name w:val="FollowedHyperlink"/>
    <w:basedOn w:val="DefaultParagraphFont"/>
    <w:uiPriority w:val="99"/>
    <w:semiHidden/>
    <w:unhideWhenUsed/>
    <w:rsid w:val="00F3203C"/>
    <w:rPr>
      <w:color w:val="800080" w:themeColor="followedHyperlink"/>
      <w:u w:val="single"/>
    </w:rPr>
  </w:style>
  <w:style w:type="character" w:styleId="CommentReference">
    <w:name w:val="annotation reference"/>
    <w:basedOn w:val="DefaultParagraphFont"/>
    <w:uiPriority w:val="99"/>
    <w:semiHidden/>
    <w:unhideWhenUsed/>
    <w:rsid w:val="008F6746"/>
    <w:rPr>
      <w:sz w:val="16"/>
      <w:szCs w:val="16"/>
    </w:rPr>
  </w:style>
  <w:style w:type="paragraph" w:styleId="CommentText">
    <w:name w:val="annotation text"/>
    <w:basedOn w:val="Normal"/>
    <w:link w:val="CommentTextChar"/>
    <w:uiPriority w:val="99"/>
    <w:unhideWhenUsed/>
    <w:rsid w:val="008F6746"/>
    <w:rPr>
      <w:sz w:val="20"/>
      <w:szCs w:val="20"/>
    </w:rPr>
  </w:style>
  <w:style w:type="character" w:customStyle="1" w:styleId="CommentTextChar">
    <w:name w:val="Comment Text Char"/>
    <w:basedOn w:val="DefaultParagraphFont"/>
    <w:link w:val="CommentText"/>
    <w:uiPriority w:val="99"/>
    <w:rsid w:val="008F674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F6746"/>
    <w:rPr>
      <w:b/>
      <w:bCs/>
    </w:rPr>
  </w:style>
  <w:style w:type="character" w:customStyle="1" w:styleId="CommentSubjectChar">
    <w:name w:val="Comment Subject Char"/>
    <w:basedOn w:val="CommentTextChar"/>
    <w:link w:val="CommentSubject"/>
    <w:uiPriority w:val="99"/>
    <w:semiHidden/>
    <w:rsid w:val="008F6746"/>
    <w:rPr>
      <w:rFonts w:ascii="Times New Roman" w:eastAsia="Times New Roman" w:hAnsi="Times New Roman"/>
      <w:b/>
      <w:bCs/>
    </w:rPr>
  </w:style>
  <w:style w:type="paragraph" w:styleId="Revision">
    <w:name w:val="Revision"/>
    <w:hidden/>
    <w:uiPriority w:val="99"/>
    <w:semiHidden/>
    <w:rsid w:val="008F6746"/>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5C537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5C537B"/>
    <w:rPr>
      <w:rFonts w:eastAsiaTheme="minorHAnsi" w:cstheme="minorBidi"/>
      <w:sz w:val="22"/>
      <w:szCs w:val="21"/>
    </w:rPr>
  </w:style>
  <w:style w:type="paragraph" w:styleId="Title">
    <w:name w:val="Title"/>
    <w:basedOn w:val="Normal"/>
    <w:next w:val="Normal"/>
    <w:link w:val="TitleChar"/>
    <w:uiPriority w:val="10"/>
    <w:qFormat/>
    <w:rsid w:val="009169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69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C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ibnet.dod.mi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8DF25FB89068409AD213CAB76F5333" ma:contentTypeVersion="3" ma:contentTypeDescription="Create a new document." ma:contentTypeScope="" ma:versionID="c6208aea661c96539c6ce5976ee0f248">
  <xsd:schema xmlns:xsd="http://www.w3.org/2001/XMLSchema" xmlns:xs="http://www.w3.org/2001/XMLSchema" xmlns:p="http://schemas.microsoft.com/office/2006/metadata/properties" xmlns:ns2="63fa2c73-41db-481b-9ae4-c8402c5fc42a" targetNamespace="http://schemas.microsoft.com/office/2006/metadata/properties" ma:root="true" ma:fieldsID="b557e1cf59c4ec58728806dd4a973394" ns2:_="">
    <xsd:import namespace="63fa2c73-41db-481b-9ae4-c8402c5fc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a2c73-41db-481b-9ae4-c8402c5fc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C4CEE-3699-41A3-9617-5D8185301A2F}">
  <ds:schemaRefs>
    <ds:schemaRef ds:uri="http://schemas.openxmlformats.org/officeDocument/2006/bibliography"/>
  </ds:schemaRefs>
</ds:datastoreItem>
</file>

<file path=customXml/itemProps2.xml><?xml version="1.0" encoding="utf-8"?>
<ds:datastoreItem xmlns:ds="http://schemas.openxmlformats.org/officeDocument/2006/customXml" ds:itemID="{936F4B5E-2859-419B-A861-4CAD63752A86}">
  <ds:schemaRefs>
    <ds:schemaRef ds:uri="63fa2c73-41db-481b-9ae4-c8402c5fc42a"/>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A21D69C9-DD28-46DE-A246-E2F61FF65406}">
  <ds:schemaRefs>
    <ds:schemaRef ds:uri="http://schemas.microsoft.com/sharepoint/v3/contenttype/forms"/>
  </ds:schemaRefs>
</ds:datastoreItem>
</file>

<file path=customXml/itemProps4.xml><?xml version="1.0" encoding="utf-8"?>
<ds:datastoreItem xmlns:ds="http://schemas.openxmlformats.org/officeDocument/2006/customXml" ds:itemID="{8117317D-0BFB-477E-BD70-6D40B140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a2c73-41db-481b-9ae4-c8402c5fc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3305</Words>
  <Characters>18839</Characters>
  <Application>Microsoft Office Word</Application>
  <DocSecurity>0</DocSecurity>
  <Lines>156</Lines>
  <Paragraphs>44</Paragraphs>
  <ScaleCrop>false</ScaleCrop>
  <Company>WHS</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Ziegler, Kimberly R CIV OSD OUSD A-S (USA)</cp:lastModifiedBy>
  <cp:revision>2</cp:revision>
  <cp:lastPrinted>2019-05-01T23:40:00Z</cp:lastPrinted>
  <dcterms:created xsi:type="dcterms:W3CDTF">2026-02-19T15:24:00Z</dcterms:created>
  <dcterms:modified xsi:type="dcterms:W3CDTF">2026-02-19T15:24:00Z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0x010100A88DF25FB89068409AD213CAB76F5333</vt:lpwstr>
  </property>
</Properties>
</file>