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C16694" w14:paraId="39AEA095" w14:textId="37552B89">
      <w:pPr>
        <w:pStyle w:val="Heading1"/>
        <w:spacing w:before="60" w:line="240" w:lineRule="auto"/>
        <w:ind w:left="0" w:right="630"/>
        <w:jc w:val="right"/>
        <w:rPr>
          <w:b w:val="0"/>
          <w:bCs w:val="0"/>
          <w:sz w:val="24"/>
          <w:szCs w:val="24"/>
        </w:rPr>
      </w:pPr>
      <w:r>
        <w:rPr>
          <w:b w:val="0"/>
          <w:bCs w:val="0"/>
          <w:sz w:val="24"/>
          <w:szCs w:val="24"/>
        </w:rPr>
        <w:t xml:space="preserve"> </w:t>
      </w:r>
      <w:r w:rsidRPr="00521884" w:rsidR="00985172">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EF2701" w:rsidR="00521884">
        <w:rPr>
          <w:b w:val="0"/>
          <w:bCs w:val="0"/>
          <w:sz w:val="24"/>
          <w:szCs w:val="24"/>
        </w:rPr>
        <w:t>0503-0028</w:t>
      </w:r>
      <w:r w:rsidR="00985172">
        <w:rPr>
          <w:b w:val="0"/>
          <w:bCs w:val="0"/>
          <w:sz w:val="24"/>
          <w:szCs w:val="24"/>
        </w:rPr>
        <w:t>.</w:t>
      </w:r>
    </w:p>
    <w:p w:rsidR="00D74397" w:rsidRPr="00521884" w:rsidP="00C16694" w14:paraId="7B535010" w14:textId="0BD3C4A6">
      <w:pPr>
        <w:pStyle w:val="Heading1"/>
        <w:spacing w:before="60" w:line="240" w:lineRule="auto"/>
        <w:ind w:left="5260" w:right="630" w:firstLine="500"/>
        <w:jc w:val="right"/>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w:t>
      </w:r>
      <w:r>
        <w:rPr>
          <w:b w:val="0"/>
          <w:bCs w:val="0"/>
          <w:sz w:val="24"/>
          <w:szCs w:val="24"/>
        </w:rPr>
        <w:t>October 2027.</w:t>
      </w:r>
    </w:p>
    <w:p w:rsidR="00F002D5" w:rsidP="00B954CD" w14:paraId="46337125" w14:textId="77777777">
      <w:pPr>
        <w:pStyle w:val="Heading1"/>
        <w:spacing w:before="60" w:line="240" w:lineRule="auto"/>
        <w:ind w:left="0" w:right="630"/>
        <w:jc w:val="center"/>
      </w:pPr>
    </w:p>
    <w:p w:rsidR="00AF0577" w:rsidRPr="00213E0A" w:rsidP="004B1650" w14:paraId="3E8871AE" w14:textId="1B5FD396">
      <w:pPr>
        <w:pStyle w:val="Heading2"/>
        <w:spacing w:line="274" w:lineRule="exact"/>
        <w:ind w:left="0"/>
      </w:pPr>
      <w:r w:rsidRPr="00213E0A">
        <w:t>Request for Approval under the “Generic Clearance</w:t>
      </w:r>
      <w:r w:rsidRPr="00213E0A" w:rsidR="000945DA">
        <w:t xml:space="preserve"> for the Collection of </w:t>
      </w:r>
      <w:r w:rsidRPr="00213E0A" w:rsidR="00BE0FFB">
        <w:t>Solution for Funding Opportunity Announcement</w:t>
      </w:r>
      <w:r w:rsidRPr="00213E0A" w:rsidR="001119CD">
        <w:t>”</w:t>
      </w:r>
    </w:p>
    <w:p w:rsidR="00AF0577" w:rsidP="00B954CD" w14:paraId="137E06DE" w14:textId="77777777">
      <w:pPr>
        <w:pStyle w:val="Heading2"/>
        <w:spacing w:line="274" w:lineRule="exact"/>
        <w:ind w:left="0"/>
        <w:jc w:val="center"/>
      </w:pPr>
    </w:p>
    <w:p w:rsidR="009E0990" w:rsidP="0006570D" w14:paraId="1F153563" w14:textId="73612E13">
      <w:pPr>
        <w:spacing w:line="480" w:lineRule="auto"/>
        <w:contextualSpacing/>
      </w:pPr>
      <w:r>
        <w:t>T</w:t>
      </w:r>
      <w:r w:rsidR="00CF2BCA">
        <w:t>ITLE</w:t>
      </w:r>
      <w:r w:rsidRPr="0006570D" w:rsidR="00F86161">
        <w:rPr>
          <w:color w:val="000000" w:themeColor="text1"/>
        </w:rPr>
        <w:t>:</w:t>
      </w:r>
      <w:r w:rsidRPr="0006570D" w:rsidR="00EE5F0B">
        <w:rPr>
          <w:color w:val="000000" w:themeColor="text1"/>
        </w:rPr>
        <w:t xml:space="preserve"> </w:t>
      </w:r>
      <w:r w:rsidRPr="0006570D" w:rsidR="00784DEB">
        <w:rPr>
          <w:color w:val="000000" w:themeColor="text1"/>
        </w:rPr>
        <w:t xml:space="preserve">RIN: 0560-AI81 </w:t>
      </w:r>
      <w:r w:rsidR="00784DEB">
        <w:t>-</w:t>
      </w:r>
      <w:r w:rsidR="00784DEB">
        <w:rPr>
          <w:b/>
          <w:bCs/>
        </w:rPr>
        <w:t xml:space="preserve"> </w:t>
      </w:r>
      <w:r w:rsidRPr="00D86EE9" w:rsidR="00D86EE9">
        <w:t>Agricultural Disaster Indemnity Programs</w:t>
      </w:r>
      <w:r w:rsidR="00D86EE9">
        <w:t xml:space="preserve">: </w:t>
      </w:r>
      <w:r w:rsidR="00CD0C93">
        <w:t>Final Rule.</w:t>
      </w:r>
    </w:p>
    <w:p w:rsidR="00E94754" w:rsidP="00FB0255" w14:paraId="0AC2B00B" w14:textId="3938E4FC">
      <w:pPr>
        <w:pStyle w:val="Heading2"/>
        <w:spacing w:before="90"/>
        <w:ind w:left="0"/>
        <w:rPr>
          <w:b w:val="0"/>
          <w:bCs w:val="0"/>
        </w:rPr>
      </w:pPr>
      <w:r>
        <w:t>USDA Agency:</w:t>
      </w:r>
      <w:r w:rsidR="00FB0255">
        <w:t xml:space="preserve">  </w:t>
      </w:r>
      <w:r w:rsidRPr="00FB0255" w:rsidR="51FC7DF1">
        <w:rPr>
          <w:b w:val="0"/>
          <w:bCs w:val="0"/>
        </w:rPr>
        <w:t>F</w:t>
      </w:r>
      <w:r w:rsidR="00FB0255">
        <w:rPr>
          <w:b w:val="0"/>
          <w:bCs w:val="0"/>
        </w:rPr>
        <w:t>arm Service Agency (F</w:t>
      </w:r>
      <w:r w:rsidRPr="00FB0255" w:rsidR="51FC7DF1">
        <w:rPr>
          <w:b w:val="0"/>
          <w:bCs w:val="0"/>
        </w:rPr>
        <w:t>SA</w:t>
      </w:r>
      <w:r w:rsidR="00FB0255">
        <w:rPr>
          <w:b w:val="0"/>
          <w:bCs w:val="0"/>
        </w:rPr>
        <w:t>).</w:t>
      </w:r>
    </w:p>
    <w:p w:rsidR="00FB0255" w:rsidP="00FB0255" w14:paraId="2D13ED02" w14:textId="77777777">
      <w:pPr>
        <w:pStyle w:val="Heading2"/>
        <w:spacing w:before="90"/>
        <w:ind w:left="0"/>
      </w:pPr>
    </w:p>
    <w:p w:rsidR="00050352" w:rsidP="00050352" w14:paraId="69E85DED" w14:textId="77777777">
      <w:pPr>
        <w:rPr>
          <w:sz w:val="24"/>
        </w:rPr>
      </w:pPr>
      <w:r>
        <w:rPr>
          <w:b/>
          <w:sz w:val="24"/>
        </w:rPr>
        <w:t xml:space="preserve">Alignment with Information Collection Package: </w:t>
      </w:r>
      <w:r>
        <w:rPr>
          <w:sz w:val="24"/>
        </w:rPr>
        <w:t>(Check one)</w:t>
      </w:r>
    </w:p>
    <w:p w:rsidR="00050352" w:rsidP="00050352" w14:paraId="12683553" w14:textId="77777777">
      <w:pPr>
        <w:pStyle w:val="BodyText"/>
        <w:tabs>
          <w:tab w:val="left" w:pos="5259"/>
        </w:tabs>
        <w:spacing w:before="185"/>
        <w:ind w:left="220" w:right="1591"/>
      </w:pPr>
      <w:r>
        <w:t>[  ] One-Time Pilot Program.</w:t>
      </w:r>
    </w:p>
    <w:p w:rsidR="00050352" w:rsidP="00050352" w14:paraId="42D27E07" w14:textId="799B4FC4">
      <w:pPr>
        <w:pStyle w:val="BodyText"/>
        <w:tabs>
          <w:tab w:val="left" w:pos="5259"/>
        </w:tabs>
        <w:spacing w:before="185"/>
        <w:ind w:left="220" w:right="1591"/>
      </w:pPr>
      <w:r>
        <w:t>[</w:t>
      </w:r>
      <w:r w:rsidR="00130FBE">
        <w:t>X</w:t>
      </w:r>
      <w:r>
        <w:t>] One-Time Funding Announcement of New Program.</w:t>
      </w:r>
    </w:p>
    <w:p w:rsidR="00050352" w:rsidP="00050352" w14:paraId="2039BA52" w14:textId="77777777">
      <w:pPr>
        <w:pStyle w:val="BodyText"/>
        <w:tabs>
          <w:tab w:val="left" w:pos="5259"/>
          <w:tab w:val="left" w:pos="9579"/>
        </w:tabs>
        <w:ind w:left="220"/>
      </w:pPr>
    </w:p>
    <w:p w:rsidR="0059508B" w:rsidRPr="004C590B" w:rsidP="0059508B" w14:paraId="5DA82F7B" w14:textId="2F423B28">
      <w:pPr>
        <w:pStyle w:val="Heading2"/>
        <w:ind w:left="0"/>
        <w:rPr>
          <w:b w:val="0"/>
          <w:bCs w:val="0"/>
          <w:i/>
          <w:iCs/>
        </w:rPr>
      </w:pPr>
      <w:r>
        <w:t>Purpose</w:t>
      </w:r>
      <w:r w:rsidR="00CF2BCA">
        <w:t>:</w:t>
      </w:r>
      <w:r w:rsidR="00DB1EE5">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EE5F0B" w:rsidP="00EE5F0B" w14:paraId="699CCF36" w14:textId="77777777">
      <w:pPr>
        <w:pStyle w:val="BodyText"/>
        <w:jc w:val="both"/>
      </w:pPr>
    </w:p>
    <w:p w:rsidR="00040E04" w:rsidRPr="00040E04" w:rsidP="003B669D" w14:paraId="7C52819F" w14:textId="3895FEF7">
      <w:pPr>
        <w:pStyle w:val="BodyText"/>
      </w:pPr>
      <w:r w:rsidRPr="00040E04">
        <w:t xml:space="preserve">As authorized by Section 2102 of Division B of Title I of the American Relief Act, 2025 (“the Act”; Pub. L. 118-158), FSA is administering this rule to provide assistance for eligible quality losses under Stage 1 of the Supplemental Disaster Relief Program (SDRP) and to implement Stage 2 of SDRP, the On-Farm Stored Commodity Loss Program (OFSCLP), and the Milk Loss Program (MLP). </w:t>
      </w:r>
      <w:r>
        <w:t xml:space="preserve"> </w:t>
      </w:r>
      <w:r w:rsidRPr="00040E04">
        <w:t xml:space="preserve">In total, FSA estimates this rule will require </w:t>
      </w:r>
      <w:r w:rsidRPr="0010489F">
        <w:rPr>
          <w:b/>
          <w:bCs/>
          <w:i/>
          <w:iCs/>
        </w:rPr>
        <w:t>72,906 respondents</w:t>
      </w:r>
      <w:r w:rsidRPr="0010489F" w:rsidR="0009171E">
        <w:rPr>
          <w:b/>
          <w:bCs/>
          <w:i/>
          <w:iCs/>
        </w:rPr>
        <w:t xml:space="preserve"> with 257,706 annual responses</w:t>
      </w:r>
      <w:r w:rsidRPr="0010489F">
        <w:rPr>
          <w:b/>
          <w:bCs/>
          <w:i/>
          <w:iCs/>
        </w:rPr>
        <w:t xml:space="preserve"> and a total of 118,1</w:t>
      </w:r>
      <w:r w:rsidRPr="0010489F" w:rsidR="00B33CD1">
        <w:rPr>
          <w:b/>
          <w:bCs/>
          <w:i/>
          <w:iCs/>
        </w:rPr>
        <w:t>31</w:t>
      </w:r>
      <w:r w:rsidRPr="0010489F">
        <w:rPr>
          <w:b/>
          <w:bCs/>
          <w:i/>
          <w:iCs/>
        </w:rPr>
        <w:t xml:space="preserve"> burden hours</w:t>
      </w:r>
      <w:r w:rsidRPr="00040E04">
        <w:t xml:space="preserve">.  There is a minimal number of producers, less than 10, anticipated to apply to more than one of the programs.  </w:t>
      </w:r>
    </w:p>
    <w:p w:rsidR="00040E04" w:rsidP="003B669D" w14:paraId="3486DE71" w14:textId="77777777">
      <w:pPr>
        <w:pStyle w:val="BodyText"/>
        <w:rPr>
          <w:b/>
          <w:bCs/>
        </w:rPr>
      </w:pPr>
    </w:p>
    <w:p w:rsidR="00C3138F" w:rsidP="003B669D" w14:paraId="44EE6282" w14:textId="0443B517">
      <w:pPr>
        <w:pStyle w:val="BodyText"/>
      </w:pPr>
      <w:r w:rsidRPr="00C3138F">
        <w:rPr>
          <w:b/>
          <w:bCs/>
        </w:rPr>
        <w:t>Component 1) Supplemental Disaster Relief Program (SDRP) Stage 1 Quality Loss and Stage 2</w:t>
      </w:r>
      <w:r>
        <w:t xml:space="preserve">: </w:t>
      </w:r>
    </w:p>
    <w:p w:rsidR="00C3138F" w:rsidP="003B669D" w14:paraId="7CE2FD00" w14:textId="77777777">
      <w:pPr>
        <w:pStyle w:val="BodyText"/>
      </w:pPr>
    </w:p>
    <w:p w:rsidR="00990049" w:rsidP="003B669D" w14:paraId="0EEC412B" w14:textId="7F8032B1">
      <w:pPr>
        <w:pStyle w:val="BodyText"/>
      </w:pPr>
      <w:r>
        <w:t>SDRP provide</w:t>
      </w:r>
      <w:r w:rsidR="00757863">
        <w:t>s</w:t>
      </w:r>
      <w:r>
        <w:t xml:space="preserve"> assistance to producers for losses </w:t>
      </w:r>
      <w:r w:rsidR="00B30D31">
        <w:t xml:space="preserve">of </w:t>
      </w:r>
      <w:r>
        <w:t xml:space="preserve">crops, trees, bushes, and vines due to wildfires, hurricanes, floods, derechos, excessive heat, tornadoes, winter storms, freeze (including a polar vortex), smoke exposure, excessive moisture, qualifying drought, and related conditions occurring in calendar years 2023 </w:t>
      </w:r>
      <w:r w:rsidR="00ED46F1">
        <w:t>or</w:t>
      </w:r>
      <w:r>
        <w:t xml:space="preserve"> 2024</w:t>
      </w:r>
      <w:r w:rsidR="00206C1A">
        <w:t>, as authorized by Division B of Title I of the American Relief Act, 2025 (“the Act”; Pub. L. 118-158)</w:t>
      </w:r>
      <w:r>
        <w:t xml:space="preserve">.  </w:t>
      </w:r>
      <w:r w:rsidR="00757863">
        <w:t xml:space="preserve">FSA is administering </w:t>
      </w:r>
      <w:r w:rsidR="00E16246">
        <w:t>SDRP in two stages</w:t>
      </w:r>
      <w:r w:rsidR="00713B88">
        <w:t>, referred to as Stage 1 and Stage 2</w:t>
      </w:r>
      <w:r w:rsidR="00757863">
        <w:t>.</w:t>
      </w:r>
      <w:r>
        <w:rPr>
          <w:rStyle w:val="FootnoteReference"/>
        </w:rPr>
        <w:footnoteReference w:id="3"/>
      </w:r>
      <w:r w:rsidR="00713B88">
        <w:t xml:space="preserve">  </w:t>
      </w:r>
      <w:r w:rsidR="004E32CB">
        <w:t>Stage 1 and Stage 2 combined</w:t>
      </w:r>
      <w:r w:rsidRPr="003D1135" w:rsidR="004E32CB">
        <w:t xml:space="preserve"> will </w:t>
      </w:r>
      <w:r w:rsidR="004E32CB">
        <w:t xml:space="preserve">use approximately $16.09 billion of the authorized $30.78 billion in funding under the Act.  </w:t>
      </w:r>
      <w:r w:rsidR="0096644A">
        <w:t>This request is for</w:t>
      </w:r>
      <w:r>
        <w:t>:</w:t>
      </w:r>
    </w:p>
    <w:p w:rsidR="00990049" w:rsidRPr="00990049" w:rsidP="00990049" w14:paraId="1B737573" w14:textId="79DDCF61">
      <w:pPr>
        <w:pStyle w:val="BodyText"/>
        <w:numPr>
          <w:ilvl w:val="0"/>
          <w:numId w:val="9"/>
        </w:numPr>
        <w:rPr>
          <w:color w:val="000000" w:themeColor="text1"/>
        </w:rPr>
      </w:pPr>
      <w:r>
        <w:rPr>
          <w:color w:val="000000" w:themeColor="text1"/>
        </w:rPr>
        <w:t xml:space="preserve">Additional </w:t>
      </w:r>
      <w:r w:rsidR="004371A1">
        <w:rPr>
          <w:color w:val="000000" w:themeColor="text1"/>
        </w:rPr>
        <w:t>assistance for quality losses for certain yield-based crops that were previously included in Stage 1</w:t>
      </w:r>
      <w:r w:rsidR="00CE2215">
        <w:rPr>
          <w:color w:val="000000" w:themeColor="text1"/>
        </w:rPr>
        <w:t>; and</w:t>
      </w:r>
    </w:p>
    <w:p w:rsidR="00E002CA" w:rsidP="00990049" w14:paraId="218387DC" w14:textId="793904A0">
      <w:pPr>
        <w:pStyle w:val="BodyText"/>
        <w:numPr>
          <w:ilvl w:val="0"/>
          <w:numId w:val="9"/>
        </w:numPr>
        <w:rPr>
          <w:color w:val="000000" w:themeColor="text1"/>
        </w:rPr>
      </w:pPr>
      <w:r>
        <w:t xml:space="preserve">SDRP Stage </w:t>
      </w:r>
      <w:r w:rsidR="00C243F3">
        <w:t>2</w:t>
      </w:r>
      <w:r w:rsidR="0096644A">
        <w:t>, which</w:t>
      </w:r>
      <w:r>
        <w:t xml:space="preserve"> will </w:t>
      </w:r>
      <w:r w:rsidR="003A407E">
        <w:t xml:space="preserve">cover </w:t>
      </w:r>
      <w:r w:rsidR="00C243F3">
        <w:t>shallow</w:t>
      </w:r>
      <w:r w:rsidR="00021037">
        <w:t xml:space="preserve"> crop</w:t>
      </w:r>
      <w:r w:rsidR="00C243F3">
        <w:t xml:space="preserve"> </w:t>
      </w:r>
      <w:r w:rsidR="003A407E">
        <w:t>losses</w:t>
      </w:r>
      <w:r w:rsidR="00C243F3">
        <w:t xml:space="preserve"> (losses covered </w:t>
      </w:r>
      <w:r w:rsidR="00A06AF6">
        <w:t xml:space="preserve">under federal crop insurance or the Noninsured Crop Disaster Assistance Program (NAP) that were not severe enough to result in </w:t>
      </w:r>
      <w:r w:rsidR="00021037">
        <w:t xml:space="preserve">payment of </w:t>
      </w:r>
      <w:r w:rsidR="00A06AF6">
        <w:t xml:space="preserve">an indemnity) and losses of uninsured crops, trees, bushes, and vines.  </w:t>
      </w:r>
    </w:p>
    <w:p w:rsidR="00E002CA" w:rsidP="019643E2" w14:paraId="45CD9670" w14:textId="77777777">
      <w:pPr>
        <w:pStyle w:val="BodyText"/>
      </w:pPr>
    </w:p>
    <w:p w:rsidR="00CE2215" w:rsidP="019643E2" w14:paraId="6C71EC97" w14:textId="7EB675FA">
      <w:pPr>
        <w:pStyle w:val="BodyText"/>
      </w:pPr>
      <w:r>
        <w:t xml:space="preserve">FSA will provide </w:t>
      </w:r>
      <w:r>
        <w:t>Stage 1 quality loss payment</w:t>
      </w:r>
      <w:r w:rsidR="002E3307">
        <w:t xml:space="preserve">s for producers of yield-based crops under </w:t>
      </w:r>
      <w:r w:rsidR="000D77F4">
        <w:t xml:space="preserve">Actual </w:t>
      </w:r>
      <w:r w:rsidR="000D77F4">
        <w:t xml:space="preserve">Production History plans of crop insurance or the Noninsured Crop Disaster Assistance Program (NAP) for which the producer previously received an indemnity for the crop loss.  These </w:t>
      </w:r>
      <w:r w:rsidR="000818FA">
        <w:t xml:space="preserve">crops were previously included under Stage 1; however, the information already on file </w:t>
      </w:r>
      <w:r w:rsidR="00A0601F">
        <w:t xml:space="preserve">and collected on the FSA-526 </w:t>
      </w:r>
      <w:r w:rsidR="000818FA">
        <w:t>may not</w:t>
      </w:r>
      <w:r w:rsidR="00837376">
        <w:t xml:space="preserve"> fully</w:t>
      </w:r>
      <w:r w:rsidR="000818FA">
        <w:t xml:space="preserve"> account for a producer’s quality loss of the </w:t>
      </w:r>
      <w:r w:rsidR="00837376">
        <w:t xml:space="preserve">eligible </w:t>
      </w:r>
      <w:r w:rsidR="000818FA">
        <w:t>crop</w:t>
      </w:r>
      <w:r w:rsidR="00DD3D91">
        <w:t xml:space="preserve">.  </w:t>
      </w:r>
      <w:r w:rsidR="00837376">
        <w:t xml:space="preserve">As a result, FSA has developed FSA-526Q to allow producers to provide the information necessary to determine assistance for these losses.  </w:t>
      </w:r>
      <w:r w:rsidR="00DD3D91">
        <w:t xml:space="preserve">To apply for a Stage 1 quality loss payment, producers will submit </w:t>
      </w:r>
      <w:r w:rsidR="00E6464A">
        <w:t>one FSA-526Q for each crop year for which they had an eligible loss.</w:t>
      </w:r>
      <w:r w:rsidRPr="009A4C17" w:rsidR="009A4C17">
        <w:t xml:space="preserve"> </w:t>
      </w:r>
      <w:r w:rsidR="009A4C17">
        <w:t>The eligible crop years are 2023, 2024, and 2025.</w:t>
      </w:r>
      <w:r>
        <w:rPr>
          <w:rStyle w:val="FootnoteReference"/>
        </w:rPr>
        <w:footnoteReference w:id="4"/>
      </w:r>
      <w:r w:rsidR="00E6464A">
        <w:t xml:space="preserve">  FSA-526Q will be pre-filled with information already on file with USDA’s Risk Management Agency (RMA) and FSA.  Producers will indicate their </w:t>
      </w:r>
      <w:r w:rsidR="00443F24">
        <w:t xml:space="preserve">share percentage, </w:t>
      </w:r>
      <w:r w:rsidR="00D25B79">
        <w:t xml:space="preserve">their </w:t>
      </w:r>
      <w:r>
        <w:t xml:space="preserve">agreement to purchase crop insurance or NAP coverage for the next 2 available crop years as required by statute, the applicable disaster event, </w:t>
      </w:r>
      <w:r w:rsidR="00601520">
        <w:t>and the quality loss percentage for the</w:t>
      </w:r>
      <w:r>
        <w:t>ir</w:t>
      </w:r>
      <w:r w:rsidR="00601520">
        <w:t xml:space="preserve"> crop.</w:t>
      </w:r>
      <w:r w:rsidR="005915D1">
        <w:t xml:space="preserve">  </w:t>
      </w:r>
      <w:r w:rsidR="00275C86">
        <w:t xml:space="preserve">Producers must also submit acceptable documentation to support their certified quality loss percentage, such as </w:t>
      </w:r>
      <w:r w:rsidR="007E3DD3">
        <w:t>laboratory</w:t>
      </w:r>
      <w:r w:rsidR="00D85552">
        <w:t xml:space="preserve"> test results</w:t>
      </w:r>
      <w:r w:rsidR="007E3DD3">
        <w:t xml:space="preserve"> or</w:t>
      </w:r>
      <w:r w:rsidR="00D85552">
        <w:t xml:space="preserve"> </w:t>
      </w:r>
      <w:r w:rsidR="00463FB4">
        <w:t>sales receipts</w:t>
      </w:r>
      <w:r w:rsidR="007E3DD3">
        <w:t xml:space="preserve"> showing</w:t>
      </w:r>
      <w:r w:rsidR="00341BDE">
        <w:t xml:space="preserve"> the applicable grading factors.</w:t>
      </w:r>
      <w:r w:rsidR="00463FB4">
        <w:t xml:space="preserve"> </w:t>
      </w:r>
      <w:r w:rsidR="00341BDE">
        <w:t xml:space="preserve"> </w:t>
      </w:r>
      <w:r w:rsidR="005915D1">
        <w:t xml:space="preserve">The responses and burden hours </w:t>
      </w:r>
      <w:r w:rsidR="00F613DB">
        <w:t>for eligibility documentation and the compliance process</w:t>
      </w:r>
      <w:r w:rsidR="00C66ED3">
        <w:t xml:space="preserve"> for these producers</w:t>
      </w:r>
      <w:r w:rsidR="00F613DB">
        <w:t xml:space="preserve"> were previously included in the approval for </w:t>
      </w:r>
      <w:r w:rsidR="00C66ED3">
        <w:t>the S</w:t>
      </w:r>
      <w:r w:rsidR="00F613DB">
        <w:t>tage 1 rule</w:t>
      </w:r>
      <w:r w:rsidR="00C66ED3">
        <w:t xml:space="preserve"> published on July 10, 2025</w:t>
      </w:r>
      <w:r w:rsidR="00F613DB">
        <w:t xml:space="preserve">, </w:t>
      </w:r>
      <w:r w:rsidR="00110A8C">
        <w:t>and this rule does not impose any additional burden hours besides submission of FSA-526Q and the supporting documentation</w:t>
      </w:r>
      <w:r w:rsidR="006127B9">
        <w:t>.</w:t>
      </w:r>
    </w:p>
    <w:p w:rsidR="00CE2215" w:rsidP="019643E2" w14:paraId="2C2BE81C" w14:textId="77777777">
      <w:pPr>
        <w:pStyle w:val="BodyText"/>
      </w:pPr>
    </w:p>
    <w:p w:rsidR="00943DE6" w:rsidP="019643E2" w14:paraId="079C6120" w14:textId="6F95C943">
      <w:pPr>
        <w:pStyle w:val="BodyText"/>
      </w:pPr>
      <w:r>
        <w:t xml:space="preserve">Stage 2 will provide payments for </w:t>
      </w:r>
      <w:r w:rsidR="0007250E">
        <w:t xml:space="preserve">uninsured crops, trees, bushes, and vines, as well as those that were insured but </w:t>
      </w:r>
      <w:r w:rsidR="00066B8E">
        <w:t>did not have a loss that was severe en</w:t>
      </w:r>
      <w:r w:rsidRPr="00BC7D88" w:rsidR="00066B8E">
        <w:t xml:space="preserve">ough to result in an indemnity (sometimes referred to as “shallow losses”).  </w:t>
      </w:r>
      <w:r w:rsidR="00EE2046">
        <w:t xml:space="preserve">It will also include producers who had indemnified </w:t>
      </w:r>
      <w:r>
        <w:t xml:space="preserve">losses of insured </w:t>
      </w:r>
      <w:r w:rsidR="00EE2046">
        <w:t>crop</w:t>
      </w:r>
      <w:r>
        <w:t>s</w:t>
      </w:r>
      <w:r w:rsidR="00EE2046">
        <w:t xml:space="preserve"> in Puerto Rico, who were excluded from Stage 1 </w:t>
      </w:r>
      <w:r w:rsidR="00DC3DE6">
        <w:t xml:space="preserve">because </w:t>
      </w:r>
      <w:r>
        <w:t xml:space="preserve">information for those policies is not transmitted through RMA’s standardized Policy Acceptance and Storage System and pre-filled applications could not be generated at the time Stage 1 was announced.  FSA has now obtained and processed the necessary data to generate pre-filled applications for </w:t>
      </w:r>
      <w:r w:rsidR="007E588F">
        <w:t>those producers</w:t>
      </w:r>
      <w:r>
        <w:t>.</w:t>
      </w:r>
    </w:p>
    <w:p w:rsidR="00943DE6" w:rsidP="019643E2" w14:paraId="58B32033" w14:textId="77777777">
      <w:pPr>
        <w:pStyle w:val="BodyText"/>
      </w:pPr>
    </w:p>
    <w:p w:rsidR="00742B68" w:rsidP="019643E2" w14:paraId="4634FC88" w14:textId="239D45BC">
      <w:pPr>
        <w:pStyle w:val="BodyText"/>
      </w:pPr>
      <w:r w:rsidRPr="00BC7D88">
        <w:t>To apply for Stage 2, p</w:t>
      </w:r>
      <w:r w:rsidRPr="00BC7D88" w:rsidR="009220C8">
        <w:t>roducers will submit one FSA-</w:t>
      </w:r>
      <w:r w:rsidRPr="00BC7D88" w:rsidR="00CE5F43">
        <w:t>504</w:t>
      </w:r>
      <w:r w:rsidRPr="00BC7D88" w:rsidR="004E32CB">
        <w:t>, SDRP Stage 2 Application,</w:t>
      </w:r>
      <w:r w:rsidRPr="00BC7D88" w:rsidR="009220C8">
        <w:t xml:space="preserve"> for each crop year for which they had an eligible loss</w:t>
      </w:r>
      <w:r w:rsidRPr="00BC7D88" w:rsidR="00BC7D88">
        <w:t xml:space="preserve"> (2023, 2024, and/or 2025)</w:t>
      </w:r>
      <w:r w:rsidRPr="00BC7D88" w:rsidR="009220C8">
        <w:t xml:space="preserve">.  </w:t>
      </w:r>
      <w:r w:rsidRPr="00BC7D88" w:rsidR="00784316">
        <w:t xml:space="preserve">FSA-504 is divided into multiple </w:t>
      </w:r>
      <w:r w:rsidRPr="00BC7D88" w:rsidR="00BC6220">
        <w:t>sections</w:t>
      </w:r>
      <w:r w:rsidRPr="00BC7D88" w:rsidR="00784316">
        <w:t xml:space="preserve"> </w:t>
      </w:r>
      <w:r w:rsidR="00E92942">
        <w:t xml:space="preserve">with </w:t>
      </w:r>
      <w:r w:rsidR="00F479B0">
        <w:t xml:space="preserve">separate sections for the type of loss (i.e., the loss of a </w:t>
      </w:r>
      <w:r w:rsidRPr="00BC7D88" w:rsidR="00784316">
        <w:t>yield-based</w:t>
      </w:r>
      <w:r w:rsidRPr="00BC7D88" w:rsidR="00FA2C58">
        <w:t xml:space="preserve"> crop</w:t>
      </w:r>
      <w:r w:rsidR="00D52C7C">
        <w:t xml:space="preserve">; </w:t>
      </w:r>
      <w:r w:rsidR="00F479B0">
        <w:t xml:space="preserve">an </w:t>
      </w:r>
      <w:r w:rsidR="00D52C7C">
        <w:t>inventory-based “value loss” crop</w:t>
      </w:r>
      <w:r w:rsidR="00F479B0">
        <w:t xml:space="preserve">, or a </w:t>
      </w:r>
      <w:r w:rsidR="00D52C7C">
        <w:t>tree, bush, or vine loss</w:t>
      </w:r>
      <w:r w:rsidR="00F479B0">
        <w:t>);</w:t>
      </w:r>
      <w:r w:rsidRPr="00BC7D88" w:rsidR="00784316">
        <w:t xml:space="preserve"> </w:t>
      </w:r>
      <w:r w:rsidRPr="00BC7D88" w:rsidR="00F44C7A">
        <w:t xml:space="preserve">their </w:t>
      </w:r>
      <w:r w:rsidRPr="00BC7D88" w:rsidR="00784316">
        <w:t>status as insured, NAP-covered, or uninsured</w:t>
      </w:r>
      <w:r w:rsidRPr="00BC7D88" w:rsidR="00F44C7A">
        <w:t>; and the type of insurance policy</w:t>
      </w:r>
      <w:r w:rsidRPr="00BC7D88" w:rsidR="006A4A89">
        <w:t>,</w:t>
      </w:r>
      <w:r w:rsidRPr="00BC7D88" w:rsidR="00F44C7A">
        <w:t xml:space="preserve"> if applicable</w:t>
      </w:r>
      <w:r w:rsidRPr="00BC7D88" w:rsidR="00784316">
        <w:t xml:space="preserve">.  </w:t>
      </w:r>
      <w:r w:rsidRPr="00BC7D88" w:rsidR="00453C32">
        <w:t>Producers will only complete the sections of the form that apply to their specific crop, tree, bush, or vine losses.</w:t>
      </w:r>
      <w:r w:rsidR="00453C32">
        <w:t xml:space="preserve">  </w:t>
      </w:r>
      <w:r w:rsidR="00D52C7C">
        <w:t xml:space="preserve">The division of </w:t>
      </w:r>
      <w:r w:rsidR="00275913">
        <w:t>FSA-524 into these sections allows FSA to maximize the use of data already on file with RMA and FSA</w:t>
      </w:r>
      <w:r w:rsidR="00F479B0">
        <w:t xml:space="preserve"> </w:t>
      </w:r>
      <w:r w:rsidR="000968F1">
        <w:t xml:space="preserve">by </w:t>
      </w:r>
      <w:r w:rsidR="00377E05">
        <w:t>pre-filling information already on file for insured and NAP-covered crops, trees, bushes, and vines</w:t>
      </w:r>
      <w:r w:rsidR="00453C32">
        <w:t xml:space="preserve">.  </w:t>
      </w:r>
      <w:r w:rsidR="009E340D">
        <w:t>For those crops, t</w:t>
      </w:r>
      <w:r w:rsidRPr="00BC7D88" w:rsidR="00551A0C">
        <w:t xml:space="preserve">he producer will complete any remaining form items </w:t>
      </w:r>
      <w:r w:rsidRPr="00BC7D88" w:rsidR="002209B2">
        <w:t xml:space="preserve">needed to </w:t>
      </w:r>
      <w:r w:rsidRPr="00BC7D88" w:rsidR="00551A0C">
        <w:t xml:space="preserve">determine eligibility and </w:t>
      </w:r>
      <w:r w:rsidRPr="00BC7D88" w:rsidR="002209B2">
        <w:t>calculate a payment.</w:t>
      </w:r>
      <w:r w:rsidRPr="00BC7D88" w:rsidR="00551A0C">
        <w:t xml:space="preserve">  For</w:t>
      </w:r>
      <w:r w:rsidR="0009720B">
        <w:t xml:space="preserve"> losses not covered by crop insurance or NAP, the necessary information is not on file with</w:t>
      </w:r>
      <w:r w:rsidRPr="00BC7D88" w:rsidR="00551A0C">
        <w:t xml:space="preserve"> FSA </w:t>
      </w:r>
      <w:r w:rsidR="0009720B">
        <w:t>or</w:t>
      </w:r>
      <w:r w:rsidRPr="00BC7D88" w:rsidR="00551A0C">
        <w:t xml:space="preserve"> RMA, so the producer will provide all information </w:t>
      </w:r>
      <w:r w:rsidR="0009720B">
        <w:t xml:space="preserve">required to calculate a payment </w:t>
      </w:r>
      <w:r w:rsidRPr="00BC7D88" w:rsidR="00551A0C">
        <w:t xml:space="preserve">on </w:t>
      </w:r>
      <w:r w:rsidRPr="00BC7D88" w:rsidR="00126585">
        <w:t>FSA-</w:t>
      </w:r>
      <w:r w:rsidRPr="00BC7D88" w:rsidR="00CE5F43">
        <w:t>504.</w:t>
      </w:r>
      <w:r w:rsidRPr="00BC7D88" w:rsidR="00126585">
        <w:t xml:space="preserve">  </w:t>
      </w:r>
    </w:p>
    <w:p w:rsidR="00742B68" w:rsidP="00D334A3" w14:paraId="263491B3" w14:textId="77777777">
      <w:pPr>
        <w:pStyle w:val="BodyText"/>
      </w:pPr>
    </w:p>
    <w:p w:rsidR="00D334A3" w:rsidP="00D334A3" w14:paraId="6614A207" w14:textId="1C42502D">
      <w:pPr>
        <w:pStyle w:val="BodyText"/>
      </w:pPr>
      <w:r>
        <w:t xml:space="preserve">Producers may obtain applications by contacting their FSA county office.  </w:t>
      </w:r>
      <w:r w:rsidR="005757C5">
        <w:t xml:space="preserve">FSA will use Box and </w:t>
      </w:r>
      <w:r w:rsidR="005757C5">
        <w:t>OneSpan</w:t>
      </w:r>
      <w:r w:rsidR="005757C5">
        <w:t xml:space="preserve"> </w:t>
      </w:r>
      <w:r w:rsidR="00D85B1A">
        <w:t xml:space="preserve">to electronically transmit and receive applications from producers (see </w:t>
      </w:r>
      <w:hyperlink r:id="rId9" w:history="1">
        <w:r w:rsidRPr="00083190" w:rsidR="00DA4917">
          <w:rPr>
            <w:rStyle w:val="Hyperlink"/>
          </w:rPr>
          <w:t>https://www.farmers.gov/working-with-us/signing-and-sharing-documents</w:t>
        </w:r>
      </w:hyperlink>
      <w:r w:rsidR="00DA4917">
        <w:t xml:space="preserve">).  </w:t>
      </w:r>
      <w:r w:rsidR="008F1C36">
        <w:t xml:space="preserve">A copy of the application will also be provided on FSA’s website.  </w:t>
      </w:r>
      <w:r>
        <w:t>Producers may</w:t>
      </w:r>
      <w:r w:rsidR="00DA4917">
        <w:t xml:space="preserve"> also</w:t>
      </w:r>
      <w:r>
        <w:t xml:space="preserve"> submit applications to their FSA county office in person or by mail, email, facsimile, or other methods announced by FSA.  </w:t>
      </w:r>
      <w:r w:rsidR="000F7852">
        <w:t xml:space="preserve">Producers must submit their </w:t>
      </w:r>
      <w:r>
        <w:t xml:space="preserve">complete application </w:t>
      </w:r>
      <w:r w:rsidR="000F7852">
        <w:t>to their</w:t>
      </w:r>
      <w:r>
        <w:t xml:space="preserve"> </w:t>
      </w:r>
      <w:r w:rsidR="00DF395B">
        <w:t xml:space="preserve">FSA </w:t>
      </w:r>
      <w:r>
        <w:t>county office by the deadline announced by FSA.</w:t>
      </w:r>
    </w:p>
    <w:p w:rsidR="009E340D" w:rsidP="00D334A3" w14:paraId="1C85F42F" w14:textId="77777777">
      <w:pPr>
        <w:pStyle w:val="BodyText"/>
      </w:pPr>
    </w:p>
    <w:p w:rsidR="00DE38A7" w:rsidP="00D334A3" w14:paraId="3C461CAB" w14:textId="77777777">
      <w:pPr>
        <w:pStyle w:val="BodyText"/>
      </w:pPr>
      <w:r>
        <w:t xml:space="preserve">In addition to FSA-504, producers </w:t>
      </w:r>
      <w:r>
        <w:t xml:space="preserve">applying for Stage 2 </w:t>
      </w:r>
      <w:r>
        <w:t>must</w:t>
      </w:r>
      <w:r>
        <w:t xml:space="preserve"> the</w:t>
      </w:r>
      <w:r>
        <w:t xml:space="preserve"> </w:t>
      </w:r>
      <w:r>
        <w:t>following</w:t>
      </w:r>
      <w:r>
        <w:t xml:space="preserve"> </w:t>
      </w:r>
      <w:r>
        <w:t>by the application deadline:</w:t>
      </w:r>
    </w:p>
    <w:p w:rsidR="00DE38A7" w:rsidP="00DE38A7" w14:paraId="23609ADE" w14:textId="4C9CD015">
      <w:pPr>
        <w:pStyle w:val="BodyText"/>
        <w:numPr>
          <w:ilvl w:val="0"/>
          <w:numId w:val="10"/>
        </w:numPr>
      </w:pPr>
      <w:r>
        <w:t>FSA-578, Report of Acreage;</w:t>
      </w:r>
      <w:r w:rsidR="002D384D">
        <w:t xml:space="preserve"> most producers will have previously filed this form due to their participation in other FSA programs such as</w:t>
      </w:r>
      <w:r w:rsidRPr="00B73DB9" w:rsidR="00B73DB9">
        <w:t xml:space="preserve"> </w:t>
      </w:r>
      <w:r w:rsidR="00B73DB9">
        <w:t xml:space="preserve">the </w:t>
      </w:r>
      <w:r w:rsidRPr="00B73DB9" w:rsidR="00B73DB9">
        <w:t xml:space="preserve">Agriculture Risk Coverage (ARC) and Price </w:t>
      </w:r>
      <w:r w:rsidRPr="00B73DB9" w:rsidR="00B73DB9">
        <w:t>Loss Coverage (PLC) programs</w:t>
      </w:r>
      <w:r w:rsidR="002D384D">
        <w:t xml:space="preserve"> </w:t>
      </w:r>
      <w:r w:rsidR="00B73DB9">
        <w:t>and NAP.</w:t>
      </w:r>
    </w:p>
    <w:p w:rsidR="009E340D" w:rsidP="00DE38A7" w14:paraId="3781B97F" w14:textId="682143C3">
      <w:pPr>
        <w:pStyle w:val="BodyText"/>
        <w:numPr>
          <w:ilvl w:val="0"/>
          <w:numId w:val="10"/>
        </w:numPr>
      </w:pPr>
      <w:r w:rsidRPr="00EF6228">
        <w:t>Documentation of crop, tree, bush and vine losses:</w:t>
      </w:r>
      <w:r w:rsidR="009047EC">
        <w:t xml:space="preserve"> </w:t>
      </w:r>
      <w:r w:rsidR="00DE38A7">
        <w:t>D</w:t>
      </w:r>
      <w:r w:rsidR="007F7593">
        <w:t>ocumentation</w:t>
      </w:r>
      <w:r w:rsidR="00296739">
        <w:t xml:space="preserve"> </w:t>
      </w:r>
      <w:r w:rsidR="007F7593">
        <w:t xml:space="preserve">to support </w:t>
      </w:r>
      <w:r w:rsidR="00CC2F38">
        <w:t xml:space="preserve">the certified quality loss percentage, amount of crop production or inventory, </w:t>
      </w:r>
      <w:r w:rsidR="00895457">
        <w:t xml:space="preserve">and number of damaged or destroyed trees, bushes, or vines, as applicable for their specific loss.  </w:t>
      </w:r>
      <w:r w:rsidR="009047EC">
        <w:t>There is no form for this data collection, however, t</w:t>
      </w:r>
      <w:r w:rsidR="0071624D">
        <w:t xml:space="preserve">he types of </w:t>
      </w:r>
      <w:r w:rsidR="00CA1A9E">
        <w:t xml:space="preserve">documentation </w:t>
      </w:r>
      <w:r w:rsidR="0071624D">
        <w:t xml:space="preserve">that FSA will consider acceptable </w:t>
      </w:r>
      <w:r w:rsidR="00CA1A9E">
        <w:t>will be consistent with what is required for other FSA programs such as NAP</w:t>
      </w:r>
      <w:r w:rsidR="001B326F">
        <w:t xml:space="preserve"> </w:t>
      </w:r>
      <w:r w:rsidR="0071624D">
        <w:t xml:space="preserve">(for example, </w:t>
      </w:r>
      <w:r w:rsidR="00407EC0">
        <w:t xml:space="preserve">laboratory test results, sales receipts showing the applicable grading factors, </w:t>
      </w:r>
      <w:r w:rsidR="008B2722">
        <w:t>settlement sheets,</w:t>
      </w:r>
      <w:r w:rsidR="000A0268">
        <w:t xml:space="preserve"> </w:t>
      </w:r>
      <w:r w:rsidR="0052199D">
        <w:t xml:space="preserve">monthly </w:t>
      </w:r>
      <w:r w:rsidR="002D28E0">
        <w:t xml:space="preserve">inventory </w:t>
      </w:r>
      <w:r w:rsidR="0052199D">
        <w:t>records</w:t>
      </w:r>
      <w:r w:rsidR="000A0268">
        <w:t>, and photographic evide</w:t>
      </w:r>
      <w:r w:rsidR="001B326F">
        <w:t>nce</w:t>
      </w:r>
      <w:r w:rsidR="000A0268">
        <w:t>)</w:t>
      </w:r>
      <w:r w:rsidR="00CA1A9E">
        <w:t>.</w:t>
      </w:r>
    </w:p>
    <w:p w:rsidR="003165E5" w:rsidP="00D334A3" w14:paraId="2ECCA41A" w14:textId="77777777">
      <w:pPr>
        <w:pStyle w:val="BodyText"/>
      </w:pPr>
    </w:p>
    <w:p w:rsidR="00D334A3" w:rsidP="00D334A3" w14:paraId="0B32F6DD" w14:textId="6E44EDFC">
      <w:pPr>
        <w:pStyle w:val="BodyText"/>
      </w:pPr>
      <w:r>
        <w:t>Producers</w:t>
      </w:r>
      <w:r>
        <w:t xml:space="preserve"> must also have the following forms on file with FSA within </w:t>
      </w:r>
      <w:r w:rsidR="00296739">
        <w:t>one year after the application deadline</w:t>
      </w:r>
      <w:r>
        <w:t>:</w:t>
      </w:r>
    </w:p>
    <w:p w:rsidR="0046178B" w:rsidP="00626FC1" w14:paraId="57CB2E2B" w14:textId="6BB9950C">
      <w:pPr>
        <w:pStyle w:val="BodyText"/>
        <w:numPr>
          <w:ilvl w:val="0"/>
          <w:numId w:val="7"/>
        </w:numPr>
        <w:tabs>
          <w:tab w:val="left" w:pos="720"/>
        </w:tabs>
        <w:ind w:hanging="270"/>
      </w:pPr>
      <w:r>
        <w:t>AD-1026, Highly Erodible Land Conservation (HELC) and Wetland Conservation (WC) Certification, for the producer and applicable affiliates as provided in 7 CFR part 12</w:t>
      </w:r>
      <w:r w:rsidR="00E66E28">
        <w:t xml:space="preserve"> (</w:t>
      </w:r>
      <w:r w:rsidR="005156E6">
        <w:t xml:space="preserve">not included in </w:t>
      </w:r>
      <w:r w:rsidR="00E46138">
        <w:t xml:space="preserve">estimated </w:t>
      </w:r>
      <w:r w:rsidR="0062411B">
        <w:t>burden hour</w:t>
      </w:r>
      <w:r w:rsidR="005156E6">
        <w:t xml:space="preserve">s for this collection because </w:t>
      </w:r>
      <w:r w:rsidR="003A7B41">
        <w:t xml:space="preserve">administration of HELC and WC provisions are </w:t>
      </w:r>
      <w:r w:rsidRPr="00BA643B" w:rsidR="00BA643B">
        <w:t>exempt from PRA</w:t>
      </w:r>
      <w:r w:rsidR="00BA643B">
        <w:t>;</w:t>
      </w:r>
      <w:r w:rsidRPr="00BA643B" w:rsidR="00BA643B">
        <w:t xml:space="preserve"> 16 U.S.C. 3846)</w:t>
      </w:r>
      <w:r>
        <w:t>;</w:t>
      </w:r>
    </w:p>
    <w:p w:rsidR="0046178B" w:rsidP="00626FC1" w14:paraId="7F0E0160" w14:textId="479E197B">
      <w:pPr>
        <w:pStyle w:val="BodyText"/>
        <w:numPr>
          <w:ilvl w:val="0"/>
          <w:numId w:val="7"/>
        </w:numPr>
        <w:tabs>
          <w:tab w:val="left" w:pos="720"/>
        </w:tabs>
        <w:ind w:hanging="270"/>
      </w:pPr>
      <w:r>
        <w:t>CCC-901, Member Information for Legal Entities, if applicable;</w:t>
      </w:r>
    </w:p>
    <w:p w:rsidR="002672C9" w:rsidP="00626FC1" w14:paraId="22E055C4" w14:textId="0EF2CE38">
      <w:pPr>
        <w:pStyle w:val="BodyText"/>
        <w:numPr>
          <w:ilvl w:val="0"/>
          <w:numId w:val="7"/>
        </w:numPr>
        <w:tabs>
          <w:tab w:val="left" w:pos="720"/>
        </w:tabs>
        <w:ind w:hanging="270"/>
      </w:pPr>
      <w:r>
        <w:t>CCC-902</w:t>
      </w:r>
      <w:r>
        <w:t>E</w:t>
      </w:r>
      <w:r>
        <w:t xml:space="preserve">, Farm Operating Plan for </w:t>
      </w:r>
      <w:r w:rsidR="00D001C8">
        <w:t>an</w:t>
      </w:r>
      <w:r>
        <w:t xml:space="preserve"> </w:t>
      </w:r>
      <w:r w:rsidR="00D001C8">
        <w:t>E</w:t>
      </w:r>
      <w:r>
        <w:t>ntity</w:t>
      </w:r>
      <w:r>
        <w:t>, if applicable</w:t>
      </w:r>
      <w:r>
        <w:t>;</w:t>
      </w:r>
      <w:r w:rsidR="0046178B">
        <w:t xml:space="preserve"> </w:t>
      </w:r>
    </w:p>
    <w:p w:rsidR="00C87059" w:rsidP="00626FC1" w14:paraId="09642034" w14:textId="7B983AA6">
      <w:pPr>
        <w:pStyle w:val="BodyText"/>
        <w:numPr>
          <w:ilvl w:val="0"/>
          <w:numId w:val="7"/>
        </w:numPr>
        <w:tabs>
          <w:tab w:val="left" w:pos="720"/>
        </w:tabs>
        <w:ind w:hanging="270"/>
      </w:pPr>
      <w:r>
        <w:t xml:space="preserve">CCC-902I, Farm Operating Plan for an </w:t>
      </w:r>
      <w:r w:rsidR="00D001C8">
        <w:t>I</w:t>
      </w:r>
      <w:r>
        <w:t>ndividual</w:t>
      </w:r>
      <w:r w:rsidR="00D001C8">
        <w:t>,</w:t>
      </w:r>
      <w:r>
        <w:t xml:space="preserve"> if applicable;</w:t>
      </w:r>
    </w:p>
    <w:p w:rsidR="003B2E3A" w:rsidP="00626FC1" w14:paraId="16ACF3D0" w14:textId="77777777">
      <w:pPr>
        <w:pStyle w:val="BodyText"/>
        <w:numPr>
          <w:ilvl w:val="0"/>
          <w:numId w:val="7"/>
        </w:numPr>
        <w:tabs>
          <w:tab w:val="left" w:pos="720"/>
        </w:tabs>
        <w:ind w:hanging="270"/>
      </w:pPr>
      <w:r>
        <w:t>FSA-510, Request for an Exception to the $125,000 Payment Limitation for Certain Programs, for the applicant and members of entities requesting the increased payment limitation</w:t>
      </w:r>
      <w:r>
        <w:t>; and</w:t>
      </w:r>
    </w:p>
    <w:p w:rsidR="00C87059" w:rsidP="00D334A3" w14:paraId="3E996D01" w14:textId="77777777">
      <w:pPr>
        <w:pStyle w:val="BodyText"/>
      </w:pPr>
    </w:p>
    <w:p w:rsidR="00D334A3" w:rsidP="00D334A3" w14:paraId="14BFA2C8" w14:textId="77DCD4E5">
      <w:pPr>
        <w:pStyle w:val="BodyText"/>
      </w:pPr>
      <w:r>
        <w:t xml:space="preserve">Most producers will already have </w:t>
      </w:r>
      <w:r w:rsidR="0046178B">
        <w:t xml:space="preserve">CCC-901, CCC-902, </w:t>
      </w:r>
      <w:r w:rsidR="00D85DB4">
        <w:t xml:space="preserve">and </w:t>
      </w:r>
      <w:r w:rsidR="0046178B">
        <w:t>AD-1026</w:t>
      </w:r>
      <w:r w:rsidR="00CA0564">
        <w:t xml:space="preserve">, </w:t>
      </w:r>
      <w:r>
        <w:t>on file with FSA due to participation in other FSA programs.</w:t>
      </w:r>
      <w:r w:rsidR="00E42120">
        <w:t xml:space="preserve">  Some producers </w:t>
      </w:r>
      <w:r w:rsidR="00E40782">
        <w:t xml:space="preserve">will </w:t>
      </w:r>
      <w:r w:rsidR="00F73E52">
        <w:t>also</w:t>
      </w:r>
      <w:r w:rsidR="00E42120">
        <w:t xml:space="preserve"> have previously file</w:t>
      </w:r>
      <w:r w:rsidR="00F73E52">
        <w:t>d</w:t>
      </w:r>
      <w:r w:rsidR="00E42120">
        <w:t xml:space="preserve"> FSA-510 through participation in the Emergency Livestock Relief Program (ELRP) 202</w:t>
      </w:r>
      <w:r w:rsidR="00F73E52">
        <w:t>3 and 2024.</w:t>
      </w:r>
    </w:p>
    <w:p w:rsidR="00E652C3" w:rsidP="00D334A3" w14:paraId="18BCC9E9" w14:textId="77777777">
      <w:pPr>
        <w:pStyle w:val="BodyText"/>
      </w:pPr>
    </w:p>
    <w:p w:rsidR="00E652C3" w:rsidP="00D334A3" w14:paraId="1C516FEE" w14:textId="18DC0AA3">
      <w:pPr>
        <w:pStyle w:val="BodyText"/>
      </w:pPr>
      <w:r w:rsidRPr="00630480">
        <w:t>FSA-</w:t>
      </w:r>
      <w:r w:rsidRPr="00630480" w:rsidR="00D648FC">
        <w:t>504</w:t>
      </w:r>
      <w:r w:rsidRPr="00630480" w:rsidR="00E25D98">
        <w:t xml:space="preserve"> and </w:t>
      </w:r>
      <w:r w:rsidRPr="00630480">
        <w:t xml:space="preserve">FSA-578 must be filed for each </w:t>
      </w:r>
      <w:r w:rsidRPr="00630480" w:rsidR="00E25D98">
        <w:t>applicable crop year for which the producer is applying for payment</w:t>
      </w:r>
      <w:r w:rsidRPr="00630480" w:rsidR="002D5994">
        <w:t xml:space="preserve">.  </w:t>
      </w:r>
      <w:r w:rsidRPr="00630480" w:rsidR="00E25D98">
        <w:t>FSA-510 must also be filed for each applicable crop year for which the producer is requesting an exception to the $125,000 payment limitation.  Because some producers will apply for multiple years, the average number of responses per respondent is 1.3 for those</w:t>
      </w:r>
      <w:r w:rsidR="00E25D98">
        <w:t xml:space="preserve"> forms.  </w:t>
      </w:r>
    </w:p>
    <w:p w:rsidR="005B3153" w:rsidP="00D334A3" w14:paraId="0012BF47" w14:textId="77777777">
      <w:pPr>
        <w:pStyle w:val="BodyText"/>
      </w:pPr>
    </w:p>
    <w:p w:rsidR="00277F5C" w:rsidP="00D334A3" w14:paraId="22DB7871" w14:textId="5FAE4D32">
      <w:pPr>
        <w:pStyle w:val="BodyText"/>
      </w:pPr>
      <w:r>
        <w:t>In addition to the application process, SDRP Stage 2 will include a compliance process t</w:t>
      </w:r>
      <w:r w:rsidR="002D2453">
        <w:t xml:space="preserve">o ensure that producers who receive SDRP Stage </w:t>
      </w:r>
      <w:r w:rsidR="00EB4BD7">
        <w:t>2</w:t>
      </w:r>
      <w:r w:rsidR="002D2453">
        <w:t xml:space="preserve"> payments comply with the statutory requirement to purchase crop insurance or NAP coverage for the next two available crop years</w:t>
      </w:r>
      <w:r>
        <w:t>.</w:t>
      </w:r>
      <w:r w:rsidR="005B3153">
        <w:t xml:space="preserve"> </w:t>
      </w:r>
      <w:r>
        <w:t xml:space="preserve"> </w:t>
      </w:r>
      <w:r w:rsidR="005B3153">
        <w:t xml:space="preserve">FSA </w:t>
      </w:r>
      <w:r w:rsidR="00E605F6">
        <w:t xml:space="preserve">and RMA </w:t>
      </w:r>
      <w:r w:rsidR="005B3153">
        <w:t xml:space="preserve">will review </w:t>
      </w:r>
      <w:r w:rsidR="00E605F6">
        <w:t>crop insurance and NAP</w:t>
      </w:r>
      <w:r w:rsidR="00AB14F0">
        <w:t xml:space="preserve"> participation</w:t>
      </w:r>
      <w:r w:rsidR="00E605F6">
        <w:t xml:space="preserve"> </w:t>
      </w:r>
      <w:r w:rsidR="005B3153">
        <w:t>data</w:t>
      </w:r>
      <w:r w:rsidR="00AB14F0">
        <w:t xml:space="preserve"> for those years</w:t>
      </w:r>
      <w:r w:rsidR="00E6649C">
        <w:t xml:space="preserve">.  </w:t>
      </w:r>
      <w:r w:rsidR="003426AB">
        <w:t xml:space="preserve">If the data </w:t>
      </w:r>
      <w:r w:rsidR="00347ED0">
        <w:t>indicates</w:t>
      </w:r>
      <w:r w:rsidR="003426AB">
        <w:t xml:space="preserve"> that the producer </w:t>
      </w:r>
      <w:r w:rsidR="00AB14F0">
        <w:t>met the requirement</w:t>
      </w:r>
      <w:r w:rsidR="003426AB">
        <w:t xml:space="preserve">, </w:t>
      </w:r>
      <w:r w:rsidR="00176628">
        <w:t xml:space="preserve">FSA will issue a letter notifying producers that </w:t>
      </w:r>
      <w:r w:rsidR="00027AFD">
        <w:t xml:space="preserve">they have been determined </w:t>
      </w:r>
      <w:r w:rsidR="00874136">
        <w:t xml:space="preserve">to be </w:t>
      </w:r>
      <w:r w:rsidR="00874136">
        <w:t>compliant</w:t>
      </w:r>
      <w:r w:rsidR="003A7D25">
        <w:t xml:space="preserve"> </w:t>
      </w:r>
      <w:r w:rsidR="00027AFD">
        <w:t xml:space="preserve">and no </w:t>
      </w:r>
      <w:r w:rsidR="001A35A4">
        <w:t xml:space="preserve">further </w:t>
      </w:r>
      <w:r w:rsidR="00027AFD">
        <w:t>action is needed</w:t>
      </w:r>
      <w:r w:rsidR="00B76F5A">
        <w:t xml:space="preserve">.  </w:t>
      </w:r>
    </w:p>
    <w:p w:rsidR="00EF6228" w:rsidP="00D334A3" w14:paraId="628C1465" w14:textId="77777777">
      <w:pPr>
        <w:pStyle w:val="BodyText"/>
      </w:pPr>
    </w:p>
    <w:p w:rsidR="00EF6228" w:rsidP="00EF6228" w14:paraId="4BEF9C36" w14:textId="77777777">
      <w:pPr>
        <w:pStyle w:val="BodyText"/>
      </w:pPr>
      <w:r>
        <w:t>The compliance process includes:</w:t>
      </w:r>
    </w:p>
    <w:p w:rsidR="00EF6228" w:rsidP="00EF6228" w14:paraId="4248AF70" w14:textId="77777777">
      <w:pPr>
        <w:pStyle w:val="BodyText"/>
        <w:numPr>
          <w:ilvl w:val="0"/>
          <w:numId w:val="12"/>
        </w:numPr>
      </w:pPr>
      <w:r>
        <w:t>Initial notification letter-compliant</w:t>
      </w:r>
    </w:p>
    <w:p w:rsidR="00EF6228" w:rsidP="00EF6228" w14:paraId="797F4422" w14:textId="77777777">
      <w:pPr>
        <w:pStyle w:val="BodyText"/>
        <w:numPr>
          <w:ilvl w:val="0"/>
          <w:numId w:val="12"/>
        </w:numPr>
      </w:pPr>
      <w:r>
        <w:t>Initial notification letter- may request review</w:t>
      </w:r>
    </w:p>
    <w:p w:rsidR="00EF6228" w:rsidP="00EF6228" w14:paraId="2265D480" w14:textId="77777777">
      <w:pPr>
        <w:pStyle w:val="BodyText"/>
        <w:numPr>
          <w:ilvl w:val="0"/>
          <w:numId w:val="12"/>
        </w:numPr>
      </w:pPr>
      <w:r>
        <w:t>Gather information and respond to FSA</w:t>
      </w:r>
    </w:p>
    <w:p w:rsidR="00EF6228" w:rsidP="0006570D" w14:paraId="28904809" w14:textId="0F201B0B">
      <w:pPr>
        <w:pStyle w:val="BodyText"/>
        <w:numPr>
          <w:ilvl w:val="0"/>
          <w:numId w:val="12"/>
        </w:numPr>
      </w:pPr>
      <w:r>
        <w:t>Second notification letter- determination</w:t>
      </w:r>
    </w:p>
    <w:p w:rsidR="00277F5C" w:rsidP="00D334A3" w14:paraId="63AAEB1E" w14:textId="77777777">
      <w:pPr>
        <w:pStyle w:val="BodyText"/>
      </w:pPr>
    </w:p>
    <w:p w:rsidR="005B3153" w:rsidP="00D334A3" w14:paraId="243E199C" w14:textId="3AD806EA">
      <w:pPr>
        <w:pStyle w:val="BodyText"/>
      </w:pPr>
      <w:r>
        <w:t xml:space="preserve">If </w:t>
      </w:r>
      <w:r w:rsidR="00277F5C">
        <w:t xml:space="preserve">the available data </w:t>
      </w:r>
      <w:r w:rsidR="00874136">
        <w:t>does</w:t>
      </w:r>
      <w:r w:rsidR="00277F5C">
        <w:t xml:space="preserve"> not </w:t>
      </w:r>
      <w:r w:rsidR="002367BA">
        <w:t>indicate</w:t>
      </w:r>
      <w:r>
        <w:t xml:space="preserve"> that the producer obtained crop insurance of NAP coverage </w:t>
      </w:r>
      <w:r w:rsidR="00AB14F0">
        <w:t>for the required crop years</w:t>
      </w:r>
      <w:r>
        <w:t xml:space="preserve">, </w:t>
      </w:r>
      <w:r w:rsidR="00406ABF">
        <w:t xml:space="preserve">FSA will </w:t>
      </w:r>
      <w:r w:rsidR="002367BA">
        <w:t xml:space="preserve">send a letter to the </w:t>
      </w:r>
      <w:r w:rsidR="00406ABF">
        <w:t xml:space="preserve">producer </w:t>
      </w:r>
      <w:r w:rsidR="002367BA">
        <w:t xml:space="preserve">notifying them that FSA was unable to verify that they </w:t>
      </w:r>
      <w:r w:rsidR="00407AFE">
        <w:t>obtained crop insurance or NAP</w:t>
      </w:r>
      <w:r w:rsidR="002367BA">
        <w:t xml:space="preserve"> </w:t>
      </w:r>
      <w:r w:rsidR="003F02CA">
        <w:t xml:space="preserve">coverage </w:t>
      </w:r>
      <w:r w:rsidR="002367BA">
        <w:t xml:space="preserve">and providing an opportunity to submit documentation </w:t>
      </w:r>
      <w:r w:rsidR="00407AFE">
        <w:t>if they believe they did meet</w:t>
      </w:r>
      <w:r w:rsidR="00406ABF">
        <w:t xml:space="preserve"> the requirement</w:t>
      </w:r>
      <w:r w:rsidR="00CC2675">
        <w:t>.</w:t>
      </w:r>
      <w:r w:rsidR="00027AFD">
        <w:t xml:space="preserve"> </w:t>
      </w:r>
      <w:r w:rsidR="004065AA">
        <w:t xml:space="preserve"> </w:t>
      </w:r>
      <w:r w:rsidR="00CF56FF">
        <w:t xml:space="preserve">Those producers will receive a second letter notifying them of FSA’s final determination after </w:t>
      </w:r>
      <w:r w:rsidR="00CA2C66">
        <w:t xml:space="preserve">FSA </w:t>
      </w:r>
      <w:r w:rsidR="00CF56FF">
        <w:t>review</w:t>
      </w:r>
      <w:r w:rsidR="00CA2C66">
        <w:t>s</w:t>
      </w:r>
      <w:r w:rsidR="00CF56FF">
        <w:t xml:space="preserve"> </w:t>
      </w:r>
      <w:r w:rsidR="000B7F7C">
        <w:t xml:space="preserve">the </w:t>
      </w:r>
      <w:r w:rsidR="00CF56FF">
        <w:t>response and documentation submitted by the producer</w:t>
      </w:r>
      <w:r w:rsidR="003A7D25">
        <w:t>.</w:t>
      </w:r>
    </w:p>
    <w:p w:rsidR="00090EF3" w:rsidP="00D334A3" w14:paraId="542432B5" w14:textId="77777777">
      <w:pPr>
        <w:pStyle w:val="BodyText"/>
      </w:pPr>
    </w:p>
    <w:p w:rsidR="00090EF3" w:rsidP="00D334A3" w14:paraId="52CFE79A" w14:textId="5957C0F0">
      <w:pPr>
        <w:pStyle w:val="BodyText"/>
      </w:pPr>
      <w:r>
        <w:t>Burden hours</w:t>
      </w:r>
      <w:r>
        <w:t xml:space="preserve"> will vary</w:t>
      </w:r>
      <w:r w:rsidR="000B7F7C">
        <w:t xml:space="preserve"> by applicant</w:t>
      </w:r>
      <w:r w:rsidR="00C93CDB">
        <w:t>,</w:t>
      </w:r>
      <w:r w:rsidR="00733945">
        <w:t xml:space="preserve"> depending on </w:t>
      </w:r>
      <w:r w:rsidR="00C93CDB">
        <w:t xml:space="preserve">factors such as </w:t>
      </w:r>
      <w:r w:rsidR="00733945">
        <w:t xml:space="preserve">whether </w:t>
      </w:r>
      <w:r w:rsidR="00C93CDB">
        <w:t>the</w:t>
      </w:r>
      <w:r w:rsidR="00733945">
        <w:t xml:space="preserve"> producer is applying for </w:t>
      </w:r>
      <w:r w:rsidR="00C93CDB">
        <w:t>multiple crop years</w:t>
      </w:r>
      <w:r w:rsidR="002E5613">
        <w:t xml:space="preserve">, </w:t>
      </w:r>
      <w:r w:rsidR="00C93CDB">
        <w:t>has previously filed the req</w:t>
      </w:r>
      <w:r w:rsidRPr="000075D6" w:rsidR="00C93CDB">
        <w:t>uired eligibility forms</w:t>
      </w:r>
      <w:r w:rsidRPr="000075D6" w:rsidR="002E5613">
        <w:t xml:space="preserve">, </w:t>
      </w:r>
      <w:r w:rsidRPr="000075D6" w:rsidR="000D040E">
        <w:t xml:space="preserve">and/or is required to submit documentation of </w:t>
      </w:r>
      <w:r w:rsidRPr="000075D6" w:rsidR="006C2447">
        <w:t xml:space="preserve">their </w:t>
      </w:r>
      <w:r w:rsidRPr="000075D6" w:rsidR="000D040E">
        <w:t>compliance with the requirement to purchase crop insurance</w:t>
      </w:r>
      <w:r w:rsidRPr="000075D6" w:rsidR="009269E2">
        <w:t xml:space="preserve">.  </w:t>
      </w:r>
      <w:r w:rsidRPr="000075D6" w:rsidR="00FF1B17">
        <w:t>A</w:t>
      </w:r>
      <w:r w:rsidRPr="000075D6" w:rsidR="009269E2">
        <w:t xml:space="preserve">pproximately </w:t>
      </w:r>
      <w:r w:rsidRPr="000075D6" w:rsidR="006C2447">
        <w:t>50</w:t>
      </w:r>
      <w:r w:rsidRPr="000075D6" w:rsidR="00FF1B17">
        <w:t xml:space="preserve"> percent of applicants will have the lowest</w:t>
      </w:r>
      <w:r w:rsidRPr="000075D6" w:rsidR="004055CC">
        <w:t xml:space="preserve"> burden hour</w:t>
      </w:r>
      <w:r w:rsidRPr="000075D6" w:rsidR="00FF1B17">
        <w:t xml:space="preserve"> times of under </w:t>
      </w:r>
      <w:r w:rsidRPr="000075D6" w:rsidR="00CA68A5">
        <w:t>1</w:t>
      </w:r>
      <w:r w:rsidRPr="000075D6" w:rsidR="00AD3044">
        <w:t>.25</w:t>
      </w:r>
      <w:r w:rsidRPr="000075D6" w:rsidR="00CA68A5">
        <w:t xml:space="preserve"> hour</w:t>
      </w:r>
      <w:r w:rsidRPr="000075D6" w:rsidR="00AD3044">
        <w:t>s</w:t>
      </w:r>
      <w:r w:rsidRPr="000075D6" w:rsidR="00115275">
        <w:t xml:space="preserve">.  Approximately </w:t>
      </w:r>
      <w:r w:rsidRPr="000075D6" w:rsidR="00CA68A5">
        <w:t>25</w:t>
      </w:r>
      <w:r w:rsidRPr="000075D6" w:rsidR="00115275">
        <w:t xml:space="preserve"> percent of applicants will have </w:t>
      </w:r>
      <w:r w:rsidRPr="000075D6" w:rsidR="003C52CE">
        <w:t xml:space="preserve">burden </w:t>
      </w:r>
      <w:r w:rsidRPr="000075D6" w:rsidR="003C52CE">
        <w:t>hours</w:t>
      </w:r>
      <w:r w:rsidRPr="000075D6" w:rsidR="00FF1B17">
        <w:t xml:space="preserve"> </w:t>
      </w:r>
      <w:r w:rsidRPr="000075D6" w:rsidR="00115275">
        <w:t>of</w:t>
      </w:r>
      <w:r w:rsidRPr="000075D6" w:rsidR="00115275">
        <w:t xml:space="preserve"> between </w:t>
      </w:r>
      <w:r w:rsidRPr="000075D6" w:rsidR="00CA68A5">
        <w:t>1</w:t>
      </w:r>
      <w:r w:rsidRPr="000075D6" w:rsidR="00AD3044">
        <w:t>.25</w:t>
      </w:r>
      <w:r w:rsidRPr="000075D6" w:rsidR="00CA68A5">
        <w:t xml:space="preserve"> </w:t>
      </w:r>
      <w:r w:rsidRPr="000075D6" w:rsidR="00CA68A5">
        <w:t>hour</w:t>
      </w:r>
      <w:r w:rsidRPr="000075D6" w:rsidR="000B7831">
        <w:t xml:space="preserve"> </w:t>
      </w:r>
      <w:r w:rsidRPr="000075D6" w:rsidR="00115275">
        <w:t>and</w:t>
      </w:r>
      <w:r w:rsidRPr="000075D6" w:rsidR="002C1B70">
        <w:t xml:space="preserve"> 2</w:t>
      </w:r>
      <w:r w:rsidRPr="000075D6" w:rsidR="000B7831">
        <w:t xml:space="preserve"> hour</w:t>
      </w:r>
      <w:r w:rsidRPr="000075D6" w:rsidR="00047B4F">
        <w:t>s</w:t>
      </w:r>
      <w:r w:rsidRPr="000075D6" w:rsidR="00115275">
        <w:t xml:space="preserve">.  Approximately </w:t>
      </w:r>
      <w:r w:rsidRPr="000075D6" w:rsidR="00CA68A5">
        <w:t>25</w:t>
      </w:r>
      <w:r w:rsidRPr="000075D6" w:rsidR="00115275">
        <w:t xml:space="preserve"> percent of applica</w:t>
      </w:r>
      <w:r w:rsidRPr="000075D6" w:rsidR="00733945">
        <w:t xml:space="preserve">nts will have </w:t>
      </w:r>
      <w:r w:rsidRPr="000075D6" w:rsidR="003C52CE">
        <w:t>burden hours</w:t>
      </w:r>
      <w:r w:rsidRPr="000075D6" w:rsidR="00733945">
        <w:t xml:space="preserve"> of over </w:t>
      </w:r>
      <w:r w:rsidRPr="000075D6" w:rsidR="002C1B70">
        <w:t>2</w:t>
      </w:r>
      <w:r w:rsidRPr="000075D6" w:rsidR="000B7831">
        <w:t xml:space="preserve"> hour</w:t>
      </w:r>
      <w:r w:rsidRPr="000075D6" w:rsidR="006B27A0">
        <w:t>s</w:t>
      </w:r>
      <w:r w:rsidRPr="000075D6" w:rsidR="00733945">
        <w:t>.</w:t>
      </w:r>
    </w:p>
    <w:p w:rsidR="00B408A2" w:rsidP="00D334A3" w14:paraId="17E864DD" w14:textId="77777777">
      <w:pPr>
        <w:pStyle w:val="BodyText"/>
      </w:pPr>
    </w:p>
    <w:p w:rsidR="00B408A2" w:rsidP="0003365C" w14:paraId="3EE27030" w14:textId="59134CAB">
      <w:pPr>
        <w:pStyle w:val="BodyText"/>
      </w:pPr>
      <w:r>
        <w:t xml:space="preserve">The </w:t>
      </w:r>
      <w:r w:rsidR="0003365C">
        <w:t xml:space="preserve">72,106 </w:t>
      </w:r>
      <w:r>
        <w:t>total respondents</w:t>
      </w:r>
      <w:r w:rsidR="0003365C">
        <w:t xml:space="preserve"> in the table below</w:t>
      </w:r>
      <w:r>
        <w:t xml:space="preserve"> represent the </w:t>
      </w:r>
      <w:r w:rsidR="003A4758">
        <w:t xml:space="preserve">estimated </w:t>
      </w:r>
      <w:r>
        <w:t>number of producers who will file either FSA-526Q or FSA-504</w:t>
      </w:r>
      <w:r w:rsidR="0003365C">
        <w:t xml:space="preserve"> (23,500 + 48,606).  </w:t>
      </w:r>
      <w:r w:rsidR="001F154B">
        <w:t xml:space="preserve">The respondents for all additional forms and documentation </w:t>
      </w:r>
      <w:r w:rsidR="0043283D">
        <w:t>represent a subset of those respondents and are</w:t>
      </w:r>
      <w:r w:rsidR="001F154B">
        <w:t xml:space="preserve"> already counted in that total.</w:t>
      </w:r>
    </w:p>
    <w:p w:rsidR="00626FC1" w:rsidP="0003365C" w14:paraId="24037C30" w14:textId="77777777">
      <w:pPr>
        <w:pStyle w:val="BodyText"/>
      </w:pPr>
    </w:p>
    <w:p w:rsidR="00626FC1" w:rsidP="0003365C" w14:paraId="475B3B33" w14:textId="0A7D269B">
      <w:pPr>
        <w:pStyle w:val="BodyText"/>
        <w:rPr>
          <w:b/>
          <w:bCs/>
        </w:rPr>
      </w:pPr>
      <w:r>
        <w:rPr>
          <w:b/>
          <w:bCs/>
        </w:rPr>
        <w:t>Component 2) On-Farm Stored Commodity Loss Program:</w:t>
      </w:r>
    </w:p>
    <w:p w:rsidR="00924E6A" w:rsidP="0003365C" w14:paraId="0EEC8ACE" w14:textId="77777777">
      <w:pPr>
        <w:pStyle w:val="BodyText"/>
        <w:rPr>
          <w:b/>
          <w:bCs/>
        </w:rPr>
      </w:pPr>
    </w:p>
    <w:p w:rsidR="00924E6A" w:rsidRPr="00924E6A" w:rsidP="00924E6A" w14:paraId="030A509F" w14:textId="20B636CA">
      <w:pPr>
        <w:outlineLvl w:val="1"/>
        <w:rPr>
          <w:bCs/>
          <w:sz w:val="24"/>
          <w:szCs w:val="24"/>
        </w:rPr>
      </w:pPr>
      <w:r w:rsidRPr="00924E6A">
        <w:rPr>
          <w:bCs/>
          <w:sz w:val="24"/>
          <w:szCs w:val="24"/>
        </w:rPr>
        <w:t xml:space="preserve">OFSCLP provides payments to eligible producers who suffered uncompensated losses of harvested commodities stored in </w:t>
      </w:r>
      <w:r w:rsidR="00BD7F6A">
        <w:rPr>
          <w:bCs/>
          <w:sz w:val="24"/>
          <w:szCs w:val="24"/>
        </w:rPr>
        <w:t>on-</w:t>
      </w:r>
      <w:r w:rsidRPr="00924E6A">
        <w:rPr>
          <w:bCs/>
          <w:sz w:val="24"/>
          <w:szCs w:val="24"/>
        </w:rPr>
        <w:t xml:space="preserve">farm structures as a result </w:t>
      </w:r>
      <w:r w:rsidRPr="00BD7F6A" w:rsidR="00BD7F6A">
        <w:rPr>
          <w:bCs/>
          <w:sz w:val="24"/>
          <w:szCs w:val="24"/>
        </w:rPr>
        <w:t xml:space="preserve">wildfires, hurricanes, floods, derechos, excessive heat, tornadoes, winter storms, freeze, including </w:t>
      </w:r>
      <w:r w:rsidRPr="00BD7F6A" w:rsidR="00BD7F6A">
        <w:rPr>
          <w:bCs/>
          <w:sz w:val="24"/>
          <w:szCs w:val="24"/>
        </w:rPr>
        <w:t>a polar</w:t>
      </w:r>
      <w:r w:rsidRPr="00BD7F6A" w:rsidR="00BD7F6A">
        <w:rPr>
          <w:bCs/>
          <w:sz w:val="24"/>
          <w:szCs w:val="24"/>
        </w:rPr>
        <w:t xml:space="preserve"> vortex, smoke exposure, qualifying drought, and related conditions that occurred in </w:t>
      </w:r>
      <w:r w:rsidR="00ED46F1">
        <w:rPr>
          <w:bCs/>
          <w:sz w:val="24"/>
          <w:szCs w:val="24"/>
        </w:rPr>
        <w:t xml:space="preserve">calendar year </w:t>
      </w:r>
      <w:r w:rsidRPr="00BD7F6A" w:rsidR="00BD7F6A">
        <w:rPr>
          <w:bCs/>
          <w:sz w:val="24"/>
          <w:szCs w:val="24"/>
        </w:rPr>
        <w:t>2023</w:t>
      </w:r>
      <w:r w:rsidR="00ED46F1">
        <w:rPr>
          <w:bCs/>
          <w:sz w:val="24"/>
          <w:szCs w:val="24"/>
        </w:rPr>
        <w:t xml:space="preserve"> or</w:t>
      </w:r>
      <w:r w:rsidRPr="00BD7F6A" w:rsidR="00BD7F6A">
        <w:rPr>
          <w:bCs/>
          <w:sz w:val="24"/>
          <w:szCs w:val="24"/>
        </w:rPr>
        <w:t xml:space="preserve"> 2024</w:t>
      </w:r>
      <w:r w:rsidR="00944655">
        <w:rPr>
          <w:bCs/>
          <w:sz w:val="24"/>
          <w:szCs w:val="24"/>
        </w:rPr>
        <w:t xml:space="preserve">.  </w:t>
      </w:r>
      <w:r w:rsidRPr="00924E6A">
        <w:rPr>
          <w:bCs/>
          <w:sz w:val="24"/>
          <w:szCs w:val="24"/>
        </w:rPr>
        <w:t xml:space="preserve">FSA will use approximately $5 million in funding to </w:t>
      </w:r>
      <w:r w:rsidRPr="00924E6A">
        <w:rPr>
          <w:bCs/>
          <w:sz w:val="24"/>
          <w:szCs w:val="24"/>
        </w:rPr>
        <w:t>provide assistance to</w:t>
      </w:r>
      <w:r w:rsidRPr="00924E6A">
        <w:rPr>
          <w:bCs/>
          <w:sz w:val="24"/>
          <w:szCs w:val="24"/>
        </w:rPr>
        <w:t xml:space="preserve"> affected producers who suffer losses applicable to this program.</w:t>
      </w:r>
    </w:p>
    <w:p w:rsidR="00924E6A" w:rsidRPr="00924E6A" w:rsidP="00924E6A" w14:paraId="3DC39152" w14:textId="77777777">
      <w:pPr>
        <w:ind w:left="220"/>
        <w:outlineLvl w:val="1"/>
        <w:rPr>
          <w:bCs/>
          <w:sz w:val="24"/>
          <w:szCs w:val="24"/>
        </w:rPr>
      </w:pPr>
    </w:p>
    <w:p w:rsidR="00924E6A" w:rsidRPr="00924E6A" w:rsidP="00924E6A" w14:paraId="12AABB0E" w14:textId="474C8A50">
      <w:pPr>
        <w:outlineLvl w:val="1"/>
        <w:rPr>
          <w:bCs/>
          <w:sz w:val="24"/>
          <w:szCs w:val="24"/>
        </w:rPr>
      </w:pPr>
      <w:r w:rsidRPr="00924E6A">
        <w:rPr>
          <w:bCs/>
          <w:sz w:val="24"/>
          <w:szCs w:val="24"/>
        </w:rPr>
        <w:t xml:space="preserve">To apply for the OFSCLP, affected producers must submit a complete FSA-878, On-Farm Stored Commodity Loss Program (OFSCLP) </w:t>
      </w:r>
      <w:r w:rsidRPr="00732846">
        <w:rPr>
          <w:bCs/>
          <w:sz w:val="24"/>
          <w:szCs w:val="24"/>
        </w:rPr>
        <w:t>Application</w:t>
      </w:r>
      <w:r w:rsidRPr="00924E6A">
        <w:rPr>
          <w:bCs/>
          <w:sz w:val="24"/>
          <w:szCs w:val="24"/>
        </w:rPr>
        <w:t xml:space="preserve"> as well as all other information required to be furnished under the regulation at time of application.</w:t>
      </w:r>
      <w:r w:rsidR="00C62CA6">
        <w:rPr>
          <w:bCs/>
          <w:sz w:val="24"/>
          <w:szCs w:val="24"/>
        </w:rPr>
        <w:t xml:space="preserve">  </w:t>
      </w:r>
      <w:r w:rsidRPr="006D425D" w:rsidR="00C62CA6">
        <w:rPr>
          <w:bCs/>
          <w:sz w:val="24"/>
          <w:szCs w:val="24"/>
        </w:rPr>
        <w:t xml:space="preserve">If the producer has additional losses or if signatures are required </w:t>
      </w:r>
      <w:r w:rsidRPr="006D425D" w:rsidR="00C62CA6">
        <w:rPr>
          <w:bCs/>
          <w:sz w:val="24"/>
          <w:szCs w:val="24"/>
        </w:rPr>
        <w:t>in excess of</w:t>
      </w:r>
      <w:r w:rsidRPr="006D425D" w:rsidR="00C62CA6">
        <w:rPr>
          <w:bCs/>
          <w:sz w:val="24"/>
          <w:szCs w:val="24"/>
        </w:rPr>
        <w:t xml:space="preserve"> what can be provided on the FSA-878, the producer(s) must complete and sign the FSA-878 Continuation form.</w:t>
      </w:r>
    </w:p>
    <w:p w:rsidR="00924E6A" w:rsidRPr="00924E6A" w:rsidP="00924E6A" w14:paraId="3AD6BE69" w14:textId="77777777">
      <w:pPr>
        <w:outlineLvl w:val="1"/>
        <w:rPr>
          <w:bCs/>
          <w:sz w:val="24"/>
          <w:szCs w:val="24"/>
        </w:rPr>
      </w:pPr>
    </w:p>
    <w:p w:rsidR="00924E6A" w:rsidRPr="00924E6A" w:rsidP="00924E6A" w14:paraId="5B539012" w14:textId="77777777">
      <w:pPr>
        <w:outlineLvl w:val="1"/>
        <w:rPr>
          <w:bCs/>
          <w:sz w:val="24"/>
          <w:szCs w:val="24"/>
        </w:rPr>
      </w:pPr>
      <w:r w:rsidRPr="00924E6A">
        <w:rPr>
          <w:bCs/>
          <w:sz w:val="24"/>
          <w:szCs w:val="24"/>
        </w:rPr>
        <w:t>Producers must also have the following forms on file with FSA within one year after the application deadline:</w:t>
      </w:r>
    </w:p>
    <w:p w:rsidR="00924E6A" w:rsidRPr="00924E6A" w:rsidP="00B33CD1" w14:paraId="2FCAD8C8" w14:textId="77777777">
      <w:pPr>
        <w:widowControl/>
        <w:numPr>
          <w:ilvl w:val="0"/>
          <w:numId w:val="11"/>
        </w:numPr>
        <w:autoSpaceDE/>
        <w:autoSpaceDN/>
        <w:ind w:left="720" w:hanging="270"/>
        <w:outlineLvl w:val="1"/>
        <w:rPr>
          <w:bCs/>
          <w:sz w:val="24"/>
          <w:szCs w:val="24"/>
        </w:rPr>
      </w:pPr>
      <w:r w:rsidRPr="00924E6A">
        <w:rPr>
          <w:sz w:val="24"/>
          <w:szCs w:val="24"/>
        </w:rPr>
        <w:t>AD-1026, Highly Erodible Land Conservation (HELC) and Wetland Conservation (WC)</w:t>
      </w:r>
      <w:r w:rsidRPr="00924E6A">
        <w:rPr>
          <w:bCs/>
          <w:sz w:val="24"/>
          <w:szCs w:val="24"/>
        </w:rPr>
        <w:t xml:space="preserve"> Certification, for the producer and applicable affiliates as provided in 7 CFR part 12 (not included in estimated burden hours for this collection because administration of HELC and WC provisions are exempt from PRA; 16 U.S.C. 3846);</w:t>
      </w:r>
    </w:p>
    <w:p w:rsidR="00924E6A" w:rsidRPr="00924E6A" w:rsidP="00B33CD1" w14:paraId="13EB4D1F" w14:textId="77777777">
      <w:pPr>
        <w:widowControl/>
        <w:numPr>
          <w:ilvl w:val="0"/>
          <w:numId w:val="11"/>
        </w:numPr>
        <w:autoSpaceDE/>
        <w:autoSpaceDN/>
        <w:ind w:left="720" w:hanging="270"/>
        <w:outlineLvl w:val="1"/>
        <w:rPr>
          <w:sz w:val="24"/>
          <w:szCs w:val="24"/>
        </w:rPr>
      </w:pPr>
      <w:r w:rsidRPr="00924E6A">
        <w:rPr>
          <w:sz w:val="24"/>
          <w:szCs w:val="24"/>
        </w:rPr>
        <w:t>CCC-901, Member Information for Legal Entities, if applicable;</w:t>
      </w:r>
    </w:p>
    <w:p w:rsidR="00924E6A" w:rsidRPr="00924E6A" w:rsidP="00B33CD1" w14:paraId="44FA5748" w14:textId="77777777">
      <w:pPr>
        <w:widowControl/>
        <w:numPr>
          <w:ilvl w:val="0"/>
          <w:numId w:val="11"/>
        </w:numPr>
        <w:autoSpaceDE/>
        <w:autoSpaceDN/>
        <w:ind w:left="720" w:hanging="270"/>
        <w:outlineLvl w:val="1"/>
        <w:rPr>
          <w:sz w:val="24"/>
          <w:szCs w:val="24"/>
        </w:rPr>
      </w:pPr>
      <w:r w:rsidRPr="00924E6A">
        <w:rPr>
          <w:sz w:val="24"/>
          <w:szCs w:val="24"/>
        </w:rPr>
        <w:t xml:space="preserve">CCC-902E, Farm Operating Plan for an Entity, if applicable; </w:t>
      </w:r>
    </w:p>
    <w:p w:rsidR="00924E6A" w:rsidRPr="00924E6A" w:rsidP="00B33CD1" w14:paraId="52F347C3" w14:textId="77777777">
      <w:pPr>
        <w:widowControl/>
        <w:numPr>
          <w:ilvl w:val="0"/>
          <w:numId w:val="11"/>
        </w:numPr>
        <w:autoSpaceDE/>
        <w:autoSpaceDN/>
        <w:ind w:left="720" w:hanging="270"/>
        <w:outlineLvl w:val="1"/>
        <w:rPr>
          <w:sz w:val="24"/>
          <w:szCs w:val="24"/>
        </w:rPr>
      </w:pPr>
      <w:r w:rsidRPr="00924E6A">
        <w:rPr>
          <w:sz w:val="24"/>
          <w:szCs w:val="24"/>
        </w:rPr>
        <w:t>CCC-902I, Farm Operating Plan for an Individual, if applicable;</w:t>
      </w:r>
    </w:p>
    <w:p w:rsidR="00924E6A" w:rsidRPr="00924E6A" w:rsidP="00B33CD1" w14:paraId="5A14DF2D" w14:textId="77777777">
      <w:pPr>
        <w:widowControl/>
        <w:numPr>
          <w:ilvl w:val="0"/>
          <w:numId w:val="11"/>
        </w:numPr>
        <w:autoSpaceDE/>
        <w:autoSpaceDN/>
        <w:ind w:left="720" w:hanging="270"/>
        <w:outlineLvl w:val="1"/>
        <w:rPr>
          <w:sz w:val="24"/>
          <w:szCs w:val="24"/>
        </w:rPr>
      </w:pPr>
      <w:r w:rsidRPr="00924E6A">
        <w:rPr>
          <w:sz w:val="24"/>
          <w:szCs w:val="24"/>
        </w:rPr>
        <w:t>AD-2047, Customer Data Worksheet</w:t>
      </w:r>
    </w:p>
    <w:p w:rsidR="00924E6A" w:rsidRPr="00924E6A" w:rsidP="00B33CD1" w14:paraId="6DC2AB4B" w14:textId="77777777">
      <w:pPr>
        <w:widowControl/>
        <w:numPr>
          <w:ilvl w:val="0"/>
          <w:numId w:val="11"/>
        </w:numPr>
        <w:autoSpaceDE/>
        <w:autoSpaceDN/>
        <w:ind w:left="720" w:hanging="270"/>
        <w:outlineLvl w:val="1"/>
        <w:rPr>
          <w:sz w:val="24"/>
          <w:szCs w:val="24"/>
        </w:rPr>
      </w:pPr>
      <w:r w:rsidRPr="00924E6A">
        <w:rPr>
          <w:sz w:val="24"/>
          <w:szCs w:val="24"/>
        </w:rPr>
        <w:t>FSA-510, Request for an Exception to the $125,000 Payment Limitation for Certain Programs, for the applicant and members of entities requesting the increased payment limitation; and</w:t>
      </w:r>
    </w:p>
    <w:p w:rsidR="00924E6A" w:rsidRPr="00924E6A" w:rsidP="00924E6A" w14:paraId="6032564D" w14:textId="77777777">
      <w:pPr>
        <w:ind w:left="220"/>
        <w:outlineLvl w:val="1"/>
        <w:rPr>
          <w:bCs/>
          <w:sz w:val="24"/>
          <w:szCs w:val="24"/>
        </w:rPr>
      </w:pPr>
    </w:p>
    <w:p w:rsidR="00924E6A" w:rsidRPr="00924E6A" w:rsidP="00924E6A" w14:paraId="0625C422" w14:textId="77777777">
      <w:pPr>
        <w:outlineLvl w:val="1"/>
        <w:rPr>
          <w:bCs/>
          <w:sz w:val="24"/>
          <w:szCs w:val="24"/>
        </w:rPr>
      </w:pPr>
      <w:r w:rsidRPr="00924E6A">
        <w:rPr>
          <w:bCs/>
          <w:sz w:val="24"/>
          <w:szCs w:val="24"/>
        </w:rPr>
        <w:t>Most producers will already have CCC-901, CCC-902, AD-2047, and AD-1026, on file with FSA due to participation in other FSA programs.  Some producers will also have previously filed FSA-510 through participation in the Emergency Livestock Relief Program (ELRP) 2023 and 2024.</w:t>
      </w:r>
    </w:p>
    <w:p w:rsidR="00924E6A" w:rsidRPr="00924E6A" w:rsidP="00924E6A" w14:paraId="71E1FF00" w14:textId="77777777">
      <w:pPr>
        <w:ind w:left="220"/>
        <w:outlineLvl w:val="1"/>
        <w:rPr>
          <w:bCs/>
          <w:sz w:val="24"/>
          <w:szCs w:val="24"/>
        </w:rPr>
      </w:pPr>
    </w:p>
    <w:p w:rsidR="00924E6A" w:rsidRPr="00924E6A" w:rsidP="00924E6A" w14:paraId="06009B1D" w14:textId="77777777">
      <w:pPr>
        <w:outlineLvl w:val="1"/>
        <w:rPr>
          <w:bCs/>
          <w:sz w:val="24"/>
          <w:szCs w:val="24"/>
        </w:rPr>
      </w:pPr>
      <w:r w:rsidRPr="00924E6A">
        <w:rPr>
          <w:bCs/>
          <w:sz w:val="24"/>
          <w:szCs w:val="24"/>
        </w:rPr>
        <w:t xml:space="preserve">FSA-510 must also be filed for each applicable crop year for which the producer is requesting an exception to the $125,000 payment limitation.    </w:t>
      </w:r>
    </w:p>
    <w:p w:rsidR="00924E6A" w:rsidRPr="00924E6A" w:rsidP="00924E6A" w14:paraId="604B619A" w14:textId="77777777">
      <w:pPr>
        <w:outlineLvl w:val="1"/>
        <w:rPr>
          <w:bCs/>
          <w:sz w:val="24"/>
          <w:szCs w:val="24"/>
        </w:rPr>
      </w:pPr>
    </w:p>
    <w:p w:rsidR="00924E6A" w:rsidRPr="00DC3F5D" w:rsidP="00DC3F5D" w14:paraId="09C6F988" w14:textId="0A25C98C">
      <w:pPr>
        <w:outlineLvl w:val="1"/>
        <w:rPr>
          <w:bCs/>
          <w:sz w:val="24"/>
          <w:szCs w:val="24"/>
        </w:rPr>
      </w:pPr>
      <w:r w:rsidRPr="00924E6A">
        <w:rPr>
          <w:bCs/>
          <w:sz w:val="24"/>
          <w:szCs w:val="24"/>
        </w:rPr>
        <w:t>The 550 respondents in the table below represent the estimated number of producers who will file either FSA-878 or other eligibility forms.  The respondents for all additional forms and documentation represent a subset of those respondents and are already counted in that total.</w:t>
      </w:r>
    </w:p>
    <w:p w:rsidR="00626FC1" w:rsidP="0003365C" w14:paraId="04EF1F59" w14:textId="77777777">
      <w:pPr>
        <w:pStyle w:val="BodyText"/>
        <w:rPr>
          <w:b/>
          <w:bCs/>
        </w:rPr>
      </w:pPr>
    </w:p>
    <w:p w:rsidR="00626FC1" w:rsidP="0003365C" w14:paraId="5D992759" w14:textId="46B14B76">
      <w:pPr>
        <w:pStyle w:val="BodyText"/>
        <w:rPr>
          <w:b/>
          <w:bCs/>
        </w:rPr>
      </w:pPr>
      <w:r>
        <w:rPr>
          <w:b/>
          <w:bCs/>
        </w:rPr>
        <w:t>Component 3) Milk Loss Program (MLP):</w:t>
      </w:r>
    </w:p>
    <w:p w:rsidR="009E0990" w:rsidP="00AE552C" w14:paraId="61E1F356" w14:textId="048FFAA6">
      <w:pPr>
        <w:pStyle w:val="Heading2"/>
        <w:tabs>
          <w:tab w:val="left" w:pos="3420"/>
        </w:tabs>
        <w:ind w:left="0"/>
        <w:rPr>
          <w:b w:val="0"/>
        </w:rPr>
      </w:pPr>
    </w:p>
    <w:p w:rsidR="00626FC1" w:rsidRPr="00626FC1" w:rsidP="00626FC1" w14:paraId="37773379" w14:textId="16085F81">
      <w:pPr>
        <w:pStyle w:val="Heading2"/>
        <w:rPr>
          <w:b w:val="0"/>
        </w:rPr>
      </w:pPr>
      <w:r w:rsidRPr="00C930BA">
        <w:rPr>
          <w:b w:val="0"/>
        </w:rPr>
        <w:t xml:space="preserve">MLP provides payments to eligible dairy operations for milk that was dumped or removed without compensation from the commercial milk market due to droughts, wildfires, hurricanes, floods, derechos, tornadoes, excessive moisture, excessive heat, winter storms, freeze, including a polar vortex, and smoke exposure that occurred in </w:t>
      </w:r>
      <w:r w:rsidRPr="00ED46F1" w:rsidR="00ED46F1">
        <w:rPr>
          <w:b w:val="0"/>
        </w:rPr>
        <w:t>calendar year 2023 or 2024</w:t>
      </w:r>
      <w:r w:rsidRPr="00ED46F1" w:rsidR="00944655">
        <w:rPr>
          <w:b w:val="0"/>
        </w:rPr>
        <w:t>.</w:t>
      </w:r>
      <w:r w:rsidR="00944655">
        <w:rPr>
          <w:b w:val="0"/>
        </w:rPr>
        <w:t xml:space="preserve">  </w:t>
      </w:r>
      <w:r w:rsidRPr="00626FC1">
        <w:rPr>
          <w:b w:val="0"/>
        </w:rPr>
        <w:t xml:space="preserve">FSA will use approximately 1.65 million in funding to </w:t>
      </w:r>
      <w:r w:rsidRPr="00626FC1">
        <w:rPr>
          <w:b w:val="0"/>
        </w:rPr>
        <w:t>provide assistance to</w:t>
      </w:r>
      <w:r w:rsidRPr="00626FC1">
        <w:rPr>
          <w:b w:val="0"/>
        </w:rPr>
        <w:t xml:space="preserve"> affected farmers for milk </w:t>
      </w:r>
      <w:r w:rsidRPr="00626FC1">
        <w:rPr>
          <w:b w:val="0"/>
        </w:rPr>
        <w:t>dumped</w:t>
      </w:r>
      <w:r w:rsidRPr="00626FC1">
        <w:rPr>
          <w:b w:val="0"/>
        </w:rPr>
        <w:t xml:space="preserve"> without compensation due to severe weather events. </w:t>
      </w:r>
    </w:p>
    <w:p w:rsidR="00626FC1" w:rsidRPr="00626FC1" w:rsidP="00626FC1" w14:paraId="72FE74B5" w14:textId="77777777">
      <w:pPr>
        <w:pStyle w:val="Heading2"/>
        <w:rPr>
          <w:b w:val="0"/>
        </w:rPr>
      </w:pPr>
    </w:p>
    <w:p w:rsidR="00626FC1" w:rsidRPr="00626FC1" w:rsidP="00626FC1" w14:paraId="26D03619" w14:textId="77777777">
      <w:pPr>
        <w:pStyle w:val="Heading2"/>
        <w:rPr>
          <w:b w:val="0"/>
        </w:rPr>
      </w:pPr>
      <w:r w:rsidRPr="00626FC1">
        <w:rPr>
          <w:b w:val="0"/>
        </w:rPr>
        <w:t>To apply for MLP, affected farmers will submit one FSA-376, Milk Loss Application, and will include the following details about the milk loss:</w:t>
      </w:r>
    </w:p>
    <w:p w:rsidR="00626FC1" w:rsidRPr="00626FC1" w:rsidP="00626FC1" w14:paraId="1CB817C1" w14:textId="3FE5E706">
      <w:pPr>
        <w:pStyle w:val="BodyText"/>
        <w:numPr>
          <w:ilvl w:val="0"/>
          <w:numId w:val="7"/>
        </w:numPr>
        <w:ind w:hanging="270"/>
      </w:pPr>
      <w:r w:rsidRPr="00626FC1">
        <w:t>Normal milking practices</w:t>
      </w:r>
    </w:p>
    <w:p w:rsidR="00626FC1" w:rsidRPr="00626FC1" w:rsidP="00626FC1" w14:paraId="5D740334" w14:textId="368BD3AA">
      <w:pPr>
        <w:pStyle w:val="BodyText"/>
        <w:numPr>
          <w:ilvl w:val="0"/>
          <w:numId w:val="7"/>
        </w:numPr>
        <w:ind w:hanging="270"/>
      </w:pPr>
      <w:r w:rsidRPr="00626FC1">
        <w:t>Cows milked in base and claim period</w:t>
      </w:r>
    </w:p>
    <w:p w:rsidR="00626FC1" w:rsidRPr="00626FC1" w:rsidP="00626FC1" w14:paraId="46ABD5A8" w14:textId="2528034A">
      <w:pPr>
        <w:pStyle w:val="BodyText"/>
        <w:numPr>
          <w:ilvl w:val="0"/>
          <w:numId w:val="7"/>
        </w:numPr>
        <w:ind w:hanging="270"/>
      </w:pPr>
      <w:r w:rsidRPr="00626FC1">
        <w:t>Base and claim period milk marketings</w:t>
      </w:r>
    </w:p>
    <w:p w:rsidR="00626FC1" w:rsidRPr="00626FC1" w:rsidP="00626FC1" w14:paraId="493059DC" w14:textId="70957E7C">
      <w:pPr>
        <w:pStyle w:val="BodyText"/>
        <w:numPr>
          <w:ilvl w:val="0"/>
          <w:numId w:val="7"/>
        </w:numPr>
        <w:ind w:hanging="270"/>
      </w:pPr>
      <w:r w:rsidRPr="00626FC1">
        <w:t>Days of milk loss</w:t>
      </w:r>
    </w:p>
    <w:p w:rsidR="00626FC1" w:rsidRPr="00626FC1" w:rsidP="00626FC1" w14:paraId="5EF41FDE" w14:textId="69758A9E">
      <w:pPr>
        <w:pStyle w:val="BodyText"/>
        <w:numPr>
          <w:ilvl w:val="0"/>
          <w:numId w:val="7"/>
        </w:numPr>
        <w:ind w:hanging="270"/>
      </w:pPr>
      <w:r w:rsidRPr="00626FC1">
        <w:t>Type of weather event</w:t>
      </w:r>
    </w:p>
    <w:p w:rsidR="00626FC1" w:rsidRPr="00626FC1" w:rsidP="00626FC1" w14:paraId="56776469" w14:textId="713C508A">
      <w:pPr>
        <w:pStyle w:val="BodyText"/>
        <w:numPr>
          <w:ilvl w:val="0"/>
          <w:numId w:val="7"/>
        </w:numPr>
        <w:ind w:hanging="270"/>
      </w:pPr>
      <w:r w:rsidRPr="00626FC1">
        <w:t>Circumstances of milk loss</w:t>
      </w:r>
    </w:p>
    <w:p w:rsidR="00626FC1" w:rsidRPr="00626FC1" w:rsidP="00626FC1" w14:paraId="3D53E50A" w14:textId="14C8A419">
      <w:pPr>
        <w:pStyle w:val="BodyText"/>
        <w:numPr>
          <w:ilvl w:val="0"/>
          <w:numId w:val="7"/>
        </w:numPr>
        <w:ind w:hanging="270"/>
      </w:pPr>
      <w:r w:rsidRPr="00626FC1">
        <w:t xml:space="preserve">Milk price information for month of milk loss </w:t>
      </w:r>
    </w:p>
    <w:p w:rsidR="00626FC1" w:rsidRPr="00626FC1" w:rsidP="00626FC1" w14:paraId="568682C1" w14:textId="77777777">
      <w:pPr>
        <w:pStyle w:val="Heading2"/>
        <w:rPr>
          <w:b w:val="0"/>
        </w:rPr>
      </w:pPr>
    </w:p>
    <w:p w:rsidR="00626FC1" w:rsidRPr="00626FC1" w:rsidP="00626FC1" w14:paraId="015302F4" w14:textId="69CE1F9D">
      <w:pPr>
        <w:pStyle w:val="Heading2"/>
        <w:rPr>
          <w:b w:val="0"/>
        </w:rPr>
      </w:pPr>
      <w:r w:rsidRPr="00626FC1">
        <w:rPr>
          <w:b w:val="0"/>
        </w:rPr>
        <w:t>In addition to FSA-376, affected farmers applying for MLP must provide the following by the application deadline</w:t>
      </w:r>
      <w:r w:rsidR="0044614A">
        <w:rPr>
          <w:b w:val="0"/>
        </w:rPr>
        <w:t xml:space="preserve"> for compliance</w:t>
      </w:r>
      <w:r w:rsidRPr="00626FC1">
        <w:rPr>
          <w:b w:val="0"/>
        </w:rPr>
        <w:t>:</w:t>
      </w:r>
    </w:p>
    <w:p w:rsidR="00626FC1" w:rsidRPr="00626FC1" w:rsidP="00626FC1" w14:paraId="68A50023" w14:textId="54B9AFD6">
      <w:pPr>
        <w:pStyle w:val="BodyText"/>
        <w:numPr>
          <w:ilvl w:val="0"/>
          <w:numId w:val="7"/>
        </w:numPr>
        <w:ind w:hanging="270"/>
      </w:pPr>
      <w:r w:rsidRPr="00626FC1">
        <w:t>Copy of milk marketing statements for the base period (month before the milk loss)</w:t>
      </w:r>
    </w:p>
    <w:p w:rsidR="00CD0C93" w:rsidP="00CD0C93" w14:paraId="1BC50249" w14:textId="77777777">
      <w:pPr>
        <w:pStyle w:val="BodyText"/>
        <w:numPr>
          <w:ilvl w:val="0"/>
          <w:numId w:val="7"/>
        </w:numPr>
        <w:ind w:hanging="270"/>
      </w:pPr>
      <w:r w:rsidRPr="00626FC1">
        <w:t>Copy of milk marketing statement for the claim period (month of the milk loss).</w:t>
      </w:r>
    </w:p>
    <w:p w:rsidR="00CD0C93" w:rsidRPr="00626FC1" w:rsidP="0006570D" w14:paraId="29297935" w14:textId="1E652B1C">
      <w:pPr>
        <w:pStyle w:val="BodyText"/>
        <w:ind w:left="180"/>
      </w:pPr>
      <w:r>
        <w:t>There is no form or template</w:t>
      </w:r>
      <w:r w:rsidR="005B65CC">
        <w:t>, however,</w:t>
      </w:r>
      <w:r>
        <w:t xml:space="preserve"> </w:t>
      </w:r>
      <w:r w:rsidR="0044614A">
        <w:t>the marketing statements need to include average daily milk production, number of cows, number of days milk was dumped, milk payment price for the affected month.</w:t>
      </w:r>
    </w:p>
    <w:p w:rsidR="00626FC1" w:rsidRPr="00626FC1" w:rsidP="00626FC1" w14:paraId="1ECB6EF1" w14:textId="77777777">
      <w:pPr>
        <w:pStyle w:val="Heading2"/>
        <w:rPr>
          <w:b w:val="0"/>
        </w:rPr>
      </w:pPr>
    </w:p>
    <w:p w:rsidR="00626FC1" w:rsidRPr="00626FC1" w:rsidP="00626FC1" w14:paraId="7D6BE3DF" w14:textId="77777777">
      <w:pPr>
        <w:pStyle w:val="Heading2"/>
        <w:rPr>
          <w:b w:val="0"/>
        </w:rPr>
      </w:pPr>
      <w:r w:rsidRPr="00626FC1">
        <w:rPr>
          <w:b w:val="0"/>
        </w:rPr>
        <w:t>Producers must also have the following forms on file with FSA within one year after the application deadline:</w:t>
      </w:r>
    </w:p>
    <w:p w:rsidR="00626FC1" w:rsidRPr="00626FC1" w:rsidP="00900AD1" w14:paraId="2F11D76D" w14:textId="5ED410DA">
      <w:pPr>
        <w:pStyle w:val="Heading2"/>
        <w:numPr>
          <w:ilvl w:val="0"/>
          <w:numId w:val="11"/>
        </w:numPr>
        <w:ind w:left="720" w:hanging="270"/>
        <w:rPr>
          <w:b w:val="0"/>
        </w:rPr>
      </w:pPr>
      <w:r w:rsidRPr="00626FC1">
        <w:rPr>
          <w:b w:val="0"/>
          <w:bCs w:val="0"/>
        </w:rPr>
        <w:t>AD-1026, Highly Erodible Land Conservation (HELC) and Wetland Conservation (WC)</w:t>
      </w:r>
      <w:r w:rsidRPr="00626FC1">
        <w:rPr>
          <w:b w:val="0"/>
        </w:rPr>
        <w:t xml:space="preserve"> Certification, for the producer and applicable affiliates as provided in 7 CFR part 12 (not included in estimated burden hours for this collection because administration of HELC and WC provisions are exempt from PRA; 16 U.S.C. 3846);</w:t>
      </w:r>
    </w:p>
    <w:p w:rsidR="00626FC1" w:rsidRPr="00626FC1" w:rsidP="00900AD1" w14:paraId="5A823C59" w14:textId="15BDFF04">
      <w:pPr>
        <w:pStyle w:val="Heading2"/>
        <w:numPr>
          <w:ilvl w:val="0"/>
          <w:numId w:val="11"/>
        </w:numPr>
        <w:ind w:left="720" w:hanging="270"/>
        <w:rPr>
          <w:b w:val="0"/>
          <w:bCs w:val="0"/>
        </w:rPr>
      </w:pPr>
      <w:r w:rsidRPr="00626FC1">
        <w:rPr>
          <w:b w:val="0"/>
          <w:bCs w:val="0"/>
        </w:rPr>
        <w:t>CCC-901, Member Information for Legal Entities, if applicable;</w:t>
      </w:r>
    </w:p>
    <w:p w:rsidR="00626FC1" w:rsidRPr="00626FC1" w:rsidP="00900AD1" w14:paraId="515214AC" w14:textId="020AC023">
      <w:pPr>
        <w:pStyle w:val="Heading2"/>
        <w:numPr>
          <w:ilvl w:val="0"/>
          <w:numId w:val="11"/>
        </w:numPr>
        <w:ind w:left="720" w:hanging="270"/>
        <w:rPr>
          <w:b w:val="0"/>
          <w:bCs w:val="0"/>
        </w:rPr>
      </w:pPr>
      <w:r w:rsidRPr="00626FC1">
        <w:rPr>
          <w:b w:val="0"/>
          <w:bCs w:val="0"/>
        </w:rPr>
        <w:t xml:space="preserve">CCC-902E, Farm Operating Plan for an Entity, if applicable; </w:t>
      </w:r>
    </w:p>
    <w:p w:rsidR="00626FC1" w:rsidRPr="00626FC1" w:rsidP="00900AD1" w14:paraId="54EFEB5E" w14:textId="61FE32C5">
      <w:pPr>
        <w:pStyle w:val="Heading2"/>
        <w:numPr>
          <w:ilvl w:val="0"/>
          <w:numId w:val="11"/>
        </w:numPr>
        <w:ind w:left="720" w:hanging="270"/>
        <w:rPr>
          <w:b w:val="0"/>
          <w:bCs w:val="0"/>
        </w:rPr>
      </w:pPr>
      <w:r w:rsidRPr="00626FC1">
        <w:rPr>
          <w:b w:val="0"/>
          <w:bCs w:val="0"/>
        </w:rPr>
        <w:t>CCC-902I, Farm Operating Plan for an Individual, if applicable;</w:t>
      </w:r>
    </w:p>
    <w:p w:rsidR="00626FC1" w:rsidRPr="00626FC1" w:rsidP="00900AD1" w14:paraId="132549AC" w14:textId="307885A8">
      <w:pPr>
        <w:pStyle w:val="Heading2"/>
        <w:numPr>
          <w:ilvl w:val="0"/>
          <w:numId w:val="11"/>
        </w:numPr>
        <w:ind w:left="720" w:hanging="270"/>
        <w:rPr>
          <w:b w:val="0"/>
          <w:bCs w:val="0"/>
        </w:rPr>
      </w:pPr>
      <w:r w:rsidRPr="00626FC1">
        <w:rPr>
          <w:b w:val="0"/>
          <w:bCs w:val="0"/>
        </w:rPr>
        <w:t>AD-2047, Customer Data Worksheet</w:t>
      </w:r>
    </w:p>
    <w:p w:rsidR="00626FC1" w:rsidRPr="00626FC1" w:rsidP="00900AD1" w14:paraId="1887FAC4" w14:textId="5F5AE733">
      <w:pPr>
        <w:pStyle w:val="Heading2"/>
        <w:numPr>
          <w:ilvl w:val="0"/>
          <w:numId w:val="11"/>
        </w:numPr>
        <w:ind w:left="720" w:hanging="270"/>
        <w:rPr>
          <w:b w:val="0"/>
          <w:bCs w:val="0"/>
        </w:rPr>
      </w:pPr>
      <w:r w:rsidRPr="00626FC1">
        <w:rPr>
          <w:b w:val="0"/>
          <w:bCs w:val="0"/>
        </w:rPr>
        <w:t>FSA-510, Request for an Exception to the $125,000 Payment Limitation for Certain Programs, for the applicant and members of entities requesting the increased payment limitation; and</w:t>
      </w:r>
    </w:p>
    <w:p w:rsidR="00626FC1" w:rsidRPr="00626FC1" w:rsidP="00626FC1" w14:paraId="33ABFC48" w14:textId="77777777">
      <w:pPr>
        <w:pStyle w:val="Heading2"/>
        <w:rPr>
          <w:b w:val="0"/>
        </w:rPr>
      </w:pPr>
    </w:p>
    <w:p w:rsidR="00626FC1" w:rsidRPr="00626FC1" w:rsidP="00626FC1" w14:paraId="67FA3025" w14:textId="25D925BB">
      <w:pPr>
        <w:pStyle w:val="Heading2"/>
        <w:rPr>
          <w:b w:val="0"/>
        </w:rPr>
      </w:pPr>
      <w:r w:rsidRPr="00626FC1">
        <w:rPr>
          <w:b w:val="0"/>
        </w:rPr>
        <w:t xml:space="preserve">Most </w:t>
      </w:r>
      <w:r w:rsidRPr="00626FC1" w:rsidR="00E95DB0">
        <w:rPr>
          <w:b w:val="0"/>
        </w:rPr>
        <w:t xml:space="preserve">affected farmers </w:t>
      </w:r>
      <w:r w:rsidRPr="00626FC1">
        <w:rPr>
          <w:b w:val="0"/>
        </w:rPr>
        <w:t xml:space="preserve">will already have CCC-901, CCC-902, AD-2047, and AD-1026, on file with FSA due to participation in other FSA programs.  Some </w:t>
      </w:r>
      <w:r w:rsidRPr="00626FC1" w:rsidR="00E95DB0">
        <w:rPr>
          <w:b w:val="0"/>
        </w:rPr>
        <w:t xml:space="preserve">affected farmers </w:t>
      </w:r>
      <w:r w:rsidRPr="00626FC1">
        <w:rPr>
          <w:b w:val="0"/>
        </w:rPr>
        <w:t>will also have previously filed FSA-510 through participation in the Emergency Livestock Relief Program (ELRP) 2023 and 2024.</w:t>
      </w:r>
    </w:p>
    <w:p w:rsidR="00626FC1" w:rsidRPr="00626FC1" w:rsidP="00626FC1" w14:paraId="0415DB0E" w14:textId="77777777">
      <w:pPr>
        <w:pStyle w:val="Heading2"/>
        <w:rPr>
          <w:b w:val="0"/>
        </w:rPr>
      </w:pPr>
    </w:p>
    <w:p w:rsidR="00626FC1" w:rsidRPr="00626FC1" w:rsidP="00626FC1" w14:paraId="558152DE" w14:textId="18EBC374">
      <w:pPr>
        <w:pStyle w:val="Heading2"/>
        <w:rPr>
          <w:b w:val="0"/>
        </w:rPr>
      </w:pPr>
      <w:r w:rsidRPr="00626FC1">
        <w:rPr>
          <w:b w:val="0"/>
        </w:rPr>
        <w:t xml:space="preserve">FSA-510 must also be filed for each applicable year for which the </w:t>
      </w:r>
      <w:r w:rsidRPr="00626FC1" w:rsidR="00E95DB0">
        <w:rPr>
          <w:b w:val="0"/>
        </w:rPr>
        <w:t xml:space="preserve">affected farmer </w:t>
      </w:r>
      <w:r w:rsidRPr="00626FC1">
        <w:rPr>
          <w:b w:val="0"/>
        </w:rPr>
        <w:t xml:space="preserve">is requesting an exception to the $125,000 payment limitation.    </w:t>
      </w:r>
    </w:p>
    <w:p w:rsidR="00626FC1" w:rsidRPr="00626FC1" w:rsidP="00626FC1" w14:paraId="5D5503FC" w14:textId="77777777">
      <w:pPr>
        <w:pStyle w:val="Heading2"/>
        <w:rPr>
          <w:b w:val="0"/>
        </w:rPr>
      </w:pPr>
    </w:p>
    <w:p w:rsidR="00626FC1" w:rsidP="00626FC1" w14:paraId="4D4FBD64" w14:textId="2146B121">
      <w:pPr>
        <w:pStyle w:val="Heading2"/>
        <w:ind w:left="0"/>
        <w:rPr>
          <w:b w:val="0"/>
        </w:rPr>
      </w:pPr>
      <w:r w:rsidRPr="00626FC1">
        <w:rPr>
          <w:b w:val="0"/>
        </w:rPr>
        <w:t xml:space="preserve">The 250 respondents in the table below represent the estimated number of </w:t>
      </w:r>
      <w:r w:rsidRPr="00626FC1" w:rsidR="00E95DB0">
        <w:rPr>
          <w:b w:val="0"/>
        </w:rPr>
        <w:t xml:space="preserve">affected farmers </w:t>
      </w:r>
      <w:r w:rsidRPr="00626FC1">
        <w:rPr>
          <w:b w:val="0"/>
        </w:rPr>
        <w:t xml:space="preserve">who will file either FSA-376 or other eligibility forms.  The respondents for all additional forms and documentation represent a subset of those respondents and are already counted in </w:t>
      </w:r>
      <w:r w:rsidRPr="00626FC1">
        <w:rPr>
          <w:b w:val="0"/>
        </w:rPr>
        <w:t>th</w:t>
      </w:r>
      <w:r w:rsidR="004071B2">
        <w:rPr>
          <w:b w:val="0"/>
        </w:rPr>
        <w:t>e</w:t>
      </w:r>
      <w:r w:rsidRPr="00626FC1">
        <w:rPr>
          <w:b w:val="0"/>
        </w:rPr>
        <w:t xml:space="preserve"> total</w:t>
      </w:r>
      <w:r w:rsidR="004071B2">
        <w:rPr>
          <w:b w:val="0"/>
        </w:rPr>
        <w:t xml:space="preserve"> of 250</w:t>
      </w:r>
      <w:r w:rsidRPr="00626FC1">
        <w:rPr>
          <w:b w:val="0"/>
        </w:rPr>
        <w:t>.</w:t>
      </w:r>
    </w:p>
    <w:p w:rsidR="00626FC1" w:rsidP="002E2683" w14:paraId="2CCA72C4" w14:textId="77777777">
      <w:pPr>
        <w:pStyle w:val="Heading2"/>
        <w:ind w:left="0"/>
        <w:rPr>
          <w:b w:val="0"/>
        </w:rPr>
      </w:pPr>
    </w:p>
    <w:p w:rsidR="00DB1EE5" w:rsidP="0059508B" w14:paraId="34412055" w14:textId="6DF2ABB8">
      <w:pPr>
        <w:widowControl/>
        <w:autoSpaceDE/>
        <w:autoSpaceDN/>
        <w:rPr>
          <w:b/>
          <w:bCs/>
        </w:rPr>
      </w:pPr>
      <w:r w:rsidRPr="00A35666">
        <w:rPr>
          <w:b/>
          <w:bCs/>
          <w:sz w:val="24"/>
          <w:szCs w:val="24"/>
        </w:rPr>
        <w:t>Announcement Dates</w:t>
      </w:r>
      <w:r w:rsidRPr="00A35666" w:rsidR="001D1EB6">
        <w:rPr>
          <w:b/>
          <w:bCs/>
          <w:sz w:val="24"/>
          <w:szCs w:val="24"/>
        </w:rPr>
        <w:t>: FSA</w:t>
      </w:r>
      <w:r w:rsidRPr="00C13D46" w:rsidR="00C13D46">
        <w:rPr>
          <w:sz w:val="24"/>
          <w:szCs w:val="24"/>
        </w:rPr>
        <w:t xml:space="preserve"> </w:t>
      </w:r>
      <w:r w:rsidR="00C13D46">
        <w:rPr>
          <w:sz w:val="24"/>
          <w:szCs w:val="24"/>
        </w:rPr>
        <w:t>intends to</w:t>
      </w:r>
      <w:r w:rsidRPr="00C13D46" w:rsidR="00C13D46">
        <w:rPr>
          <w:sz w:val="24"/>
          <w:szCs w:val="24"/>
        </w:rPr>
        <w:t xml:space="preserve"> </w:t>
      </w:r>
      <w:r w:rsidR="005D4754">
        <w:rPr>
          <w:sz w:val="24"/>
          <w:szCs w:val="24"/>
        </w:rPr>
        <w:t>begin</w:t>
      </w:r>
      <w:r w:rsidRPr="00C13D46" w:rsidR="00C13D46">
        <w:rPr>
          <w:sz w:val="24"/>
          <w:szCs w:val="24"/>
        </w:rPr>
        <w:t xml:space="preserve"> </w:t>
      </w:r>
      <w:r w:rsidR="00A815A8">
        <w:rPr>
          <w:sz w:val="24"/>
          <w:szCs w:val="24"/>
        </w:rPr>
        <w:t>issu</w:t>
      </w:r>
      <w:r w:rsidR="005D4754">
        <w:rPr>
          <w:sz w:val="24"/>
          <w:szCs w:val="24"/>
        </w:rPr>
        <w:t>ing</w:t>
      </w:r>
      <w:r w:rsidRPr="00C13D46" w:rsidR="00C13D46">
        <w:rPr>
          <w:sz w:val="24"/>
          <w:szCs w:val="24"/>
        </w:rPr>
        <w:t xml:space="preserve"> </w:t>
      </w:r>
      <w:r w:rsidR="00A815A8">
        <w:rPr>
          <w:sz w:val="24"/>
          <w:szCs w:val="24"/>
        </w:rPr>
        <w:t>payments</w:t>
      </w:r>
      <w:r w:rsidRPr="00C13D46" w:rsidR="00C13D46">
        <w:rPr>
          <w:sz w:val="24"/>
          <w:szCs w:val="24"/>
        </w:rPr>
        <w:t xml:space="preserve"> </w:t>
      </w:r>
      <w:r w:rsidR="00B954CD">
        <w:rPr>
          <w:sz w:val="24"/>
          <w:szCs w:val="24"/>
        </w:rPr>
        <w:t xml:space="preserve">on the </w:t>
      </w:r>
      <w:r w:rsidRPr="00E16246" w:rsidR="00B954CD">
        <w:rPr>
          <w:i/>
          <w:iCs/>
          <w:sz w:val="24"/>
          <w:szCs w:val="24"/>
        </w:rPr>
        <w:t xml:space="preserve">Federal Register </w:t>
      </w:r>
      <w:r w:rsidR="00B954CD">
        <w:rPr>
          <w:sz w:val="24"/>
          <w:szCs w:val="24"/>
        </w:rPr>
        <w:t>publication date</w:t>
      </w:r>
      <w:r w:rsidR="00B24A7B">
        <w:rPr>
          <w:sz w:val="24"/>
          <w:szCs w:val="24"/>
        </w:rPr>
        <w:t xml:space="preserve"> (target publicatio</w:t>
      </w:r>
      <w:r w:rsidRPr="001D1EB6" w:rsidR="00B24A7B">
        <w:rPr>
          <w:sz w:val="24"/>
          <w:szCs w:val="24"/>
        </w:rPr>
        <w:t xml:space="preserve">n </w:t>
      </w:r>
      <w:r w:rsidRPr="001D1EB6" w:rsidR="00F73E52">
        <w:rPr>
          <w:color w:val="000000" w:themeColor="text1"/>
          <w:sz w:val="24"/>
          <w:szCs w:val="24"/>
        </w:rPr>
        <w:t xml:space="preserve">is </w:t>
      </w:r>
      <w:r w:rsidRPr="001D1EB6" w:rsidR="004071B2">
        <w:rPr>
          <w:color w:val="000000" w:themeColor="text1"/>
          <w:sz w:val="24"/>
          <w:szCs w:val="24"/>
        </w:rPr>
        <w:t>November 10</w:t>
      </w:r>
      <w:r w:rsidRPr="001D1EB6" w:rsidR="00FF248E">
        <w:rPr>
          <w:color w:val="000000" w:themeColor="text1"/>
          <w:sz w:val="24"/>
          <w:szCs w:val="24"/>
        </w:rPr>
        <w:t>, 2025</w:t>
      </w:r>
      <w:r w:rsidRPr="001D1EB6" w:rsidR="00B24A7B">
        <w:rPr>
          <w:sz w:val="24"/>
          <w:szCs w:val="24"/>
        </w:rPr>
        <w:t>)</w:t>
      </w:r>
      <w:r w:rsidRPr="001D1EB6" w:rsidR="009F2B9D">
        <w:rPr>
          <w:sz w:val="24"/>
          <w:szCs w:val="24"/>
        </w:rPr>
        <w:t>.</w:t>
      </w:r>
      <w:r w:rsidR="009F2B9D">
        <w:rPr>
          <w:sz w:val="24"/>
          <w:szCs w:val="24"/>
        </w:rPr>
        <w:t xml:space="preserve">  The specific dates will be dependent on the publication date of the </w:t>
      </w:r>
      <w:r w:rsidR="00F67AEF">
        <w:rPr>
          <w:sz w:val="24"/>
          <w:szCs w:val="24"/>
        </w:rPr>
        <w:t>final rule</w:t>
      </w:r>
      <w:r w:rsidR="008B71F4">
        <w:rPr>
          <w:sz w:val="24"/>
          <w:szCs w:val="24"/>
        </w:rPr>
        <w:t>.</w:t>
      </w:r>
    </w:p>
    <w:p w:rsidR="00050352" w:rsidP="0001586A" w14:paraId="37413325" w14:textId="77777777">
      <w:pPr>
        <w:rPr>
          <w:b/>
          <w:sz w:val="24"/>
        </w:rPr>
      </w:pPr>
    </w:p>
    <w:p w:rsidR="00084C84" w:rsidP="0001586A" w14:paraId="5B53D474" w14:textId="77777777">
      <w:pPr>
        <w:rPr>
          <w:sz w:val="24"/>
        </w:rPr>
      </w:pPr>
      <w:r>
        <w:rPr>
          <w:b/>
          <w:sz w:val="24"/>
        </w:rPr>
        <w:t>Type of Collection</w:t>
      </w:r>
      <w:r w:rsidR="00CF2BCA">
        <w:rPr>
          <w:b/>
          <w:sz w:val="24"/>
        </w:rPr>
        <w:t xml:space="preserve">: </w:t>
      </w:r>
      <w:r w:rsidR="00CF2BCA">
        <w:rPr>
          <w:sz w:val="24"/>
        </w:rPr>
        <w:t>(Check one)</w:t>
      </w:r>
    </w:p>
    <w:p w:rsidR="007F0A41" w14:paraId="3A0A40F4" w14:textId="77777777">
      <w:pPr>
        <w:pStyle w:val="BodyText"/>
        <w:tabs>
          <w:tab w:val="left" w:pos="5259"/>
        </w:tabs>
        <w:spacing w:before="185"/>
        <w:ind w:left="220" w:right="1591"/>
      </w:pPr>
      <w:bookmarkStart w:id="0" w:name="_Hlk104469719"/>
      <w:r>
        <w:t>[</w:t>
      </w:r>
      <w:r w:rsidR="001119CD">
        <w:t xml:space="preserve"> </w:t>
      </w:r>
      <w:r w:rsidR="00810283">
        <w:t xml:space="preserve"> </w:t>
      </w:r>
      <w:r>
        <w:t>]</w:t>
      </w:r>
      <w:r>
        <w:t xml:space="preserve"> Grant.</w:t>
      </w:r>
    </w:p>
    <w:bookmarkEnd w:id="0"/>
    <w:p w:rsidR="007F0A41" w14:paraId="366AB02D" w14:textId="77777777">
      <w:pPr>
        <w:pStyle w:val="BodyText"/>
        <w:tabs>
          <w:tab w:val="left" w:pos="5259"/>
        </w:tabs>
        <w:spacing w:before="185"/>
        <w:ind w:left="220" w:right="1591"/>
      </w:pPr>
      <w:r>
        <w:t>[</w:t>
      </w:r>
      <w:r w:rsidR="0059508B">
        <w:t xml:space="preserve">  </w:t>
      </w:r>
      <w:r>
        <w:t>]</w:t>
      </w:r>
      <w:r>
        <w:t xml:space="preserve"> Cooperative agreement</w:t>
      </w:r>
      <w:r w:rsidR="00F86161">
        <w:t>.</w:t>
      </w:r>
    </w:p>
    <w:p w:rsidR="007F0A41" w14:paraId="35F57887" w14:textId="77777777">
      <w:pPr>
        <w:pStyle w:val="BodyText"/>
        <w:tabs>
          <w:tab w:val="left" w:pos="5259"/>
          <w:tab w:val="left" w:pos="9579"/>
        </w:tabs>
        <w:ind w:left="220"/>
      </w:pPr>
    </w:p>
    <w:p w:rsidR="00084C84" w:rsidRPr="00FB0255" w14:paraId="251DA624" w14:textId="4B20E863">
      <w:pPr>
        <w:pStyle w:val="BodyText"/>
        <w:tabs>
          <w:tab w:val="left" w:pos="5259"/>
          <w:tab w:val="left" w:pos="9579"/>
        </w:tabs>
        <w:ind w:left="220"/>
      </w:pPr>
      <w:r>
        <w:t>[</w:t>
      </w:r>
      <w:r w:rsidR="004735FC">
        <w:t>X</w:t>
      </w:r>
      <w:r w:rsidR="00CF2BCA">
        <w:t>] Other</w:t>
      </w:r>
      <w:r w:rsidR="00CF2BCA">
        <w:t>:</w:t>
      </w:r>
      <w:r>
        <w:t xml:space="preserve"> </w:t>
      </w:r>
      <w:r w:rsidR="00FB0255">
        <w:t xml:space="preserve"> </w:t>
      </w:r>
      <w:r w:rsidR="00F67AEF">
        <w:t>Final</w:t>
      </w:r>
      <w:r w:rsidR="00F67AEF">
        <w:t xml:space="preserve"> rule</w:t>
      </w:r>
      <w:r w:rsidR="00FB0255">
        <w:t>.</w:t>
      </w:r>
    </w:p>
    <w:p w:rsidR="00084C84" w14:paraId="7D7B7769" w14:textId="77777777">
      <w:pPr>
        <w:pStyle w:val="BodyText"/>
        <w:spacing w:before="2"/>
        <w:rPr>
          <w:sz w:val="16"/>
        </w:rPr>
      </w:pPr>
    </w:p>
    <w:p w:rsidR="00EB4974" w:rsidRPr="00A35666" w14:paraId="04A0EA2A" w14:textId="77777777">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rsidP="0BC3A3FC" w14:paraId="2C43F9D7" w14:textId="2567B52E">
      <w:pPr>
        <w:pStyle w:val="Heading2"/>
        <w:spacing w:before="90"/>
        <w:rPr>
          <w:b w:val="0"/>
          <w:bCs w:val="0"/>
          <w:u w:val="single"/>
        </w:rPr>
      </w:pPr>
      <w:r>
        <w:rPr>
          <w:b w:val="0"/>
          <w:bCs w:val="0"/>
        </w:rPr>
        <w:t>[</w:t>
      </w:r>
      <w:r w:rsidR="004C0108">
        <w:rPr>
          <w:b w:val="0"/>
          <w:bCs w:val="0"/>
        </w:rPr>
        <w:t>X</w:t>
      </w:r>
      <w:r>
        <w:rPr>
          <w:b w:val="0"/>
          <w:bCs w:val="0"/>
        </w:rPr>
        <w:t xml:space="preserve">] </w:t>
      </w:r>
      <w:r w:rsidR="00AC4BD8">
        <w:rPr>
          <w:b w:val="0"/>
          <w:bCs w:val="0"/>
        </w:rPr>
        <w:t xml:space="preserve"> </w:t>
      </w:r>
      <w:r>
        <w:rPr>
          <w:b w:val="0"/>
          <w:bCs w:val="0"/>
        </w:rPr>
        <w:t>Other:</w:t>
      </w:r>
      <w:r w:rsidR="00F07541">
        <w:rPr>
          <w:b w:val="0"/>
          <w:bCs w:val="0"/>
        </w:rPr>
        <w:t xml:space="preserve">  </w:t>
      </w:r>
      <w:r w:rsidRPr="004055CC" w:rsidR="002568E9">
        <w:rPr>
          <w:b w:val="0"/>
          <w:bCs w:val="0"/>
        </w:rPr>
        <w:t xml:space="preserve">FSA will use Box and </w:t>
      </w:r>
      <w:r w:rsidRPr="004055CC" w:rsidR="002568E9">
        <w:rPr>
          <w:b w:val="0"/>
          <w:bCs w:val="0"/>
        </w:rPr>
        <w:t>OneSpan</w:t>
      </w:r>
      <w:r w:rsidRPr="004055CC" w:rsidR="002568E9">
        <w:rPr>
          <w:b w:val="0"/>
          <w:bCs w:val="0"/>
        </w:rPr>
        <w:t xml:space="preserve"> to electronically transmit </w:t>
      </w:r>
      <w:r w:rsidR="00AB46BE">
        <w:rPr>
          <w:b w:val="0"/>
          <w:bCs w:val="0"/>
        </w:rPr>
        <w:t xml:space="preserve">at </w:t>
      </w:r>
      <w:hyperlink r:id="rId9" w:history="1">
        <w:r w:rsidRPr="00AB46BE" w:rsidR="00AB46BE">
          <w:rPr>
            <w:rStyle w:val="Hyperlink"/>
            <w:b w:val="0"/>
            <w:bCs w:val="0"/>
          </w:rPr>
          <w:t>https://www.farmers.gov/working-with-us/signing-and-sharing-documents</w:t>
        </w:r>
      </w:hyperlink>
      <w:r w:rsidR="00AB46BE">
        <w:t xml:space="preserve"> </w:t>
      </w:r>
      <w:r w:rsidRPr="004055CC" w:rsidR="002568E9">
        <w:rPr>
          <w:b w:val="0"/>
          <w:bCs w:val="0"/>
        </w:rPr>
        <w:t>and receive applications</w:t>
      </w:r>
      <w:r w:rsidR="00283A59">
        <w:rPr>
          <w:b w:val="0"/>
          <w:bCs w:val="0"/>
        </w:rPr>
        <w:t xml:space="preserve">, eligibility </w:t>
      </w:r>
      <w:r w:rsidR="002568E9">
        <w:rPr>
          <w:b w:val="0"/>
          <w:bCs w:val="0"/>
        </w:rPr>
        <w:t>forms</w:t>
      </w:r>
      <w:r w:rsidR="00283A59">
        <w:rPr>
          <w:b w:val="0"/>
          <w:bCs w:val="0"/>
        </w:rPr>
        <w:t>,</w:t>
      </w:r>
      <w:r w:rsidR="002568E9">
        <w:rPr>
          <w:b w:val="0"/>
          <w:bCs w:val="0"/>
        </w:rPr>
        <w:t xml:space="preserve"> and documentation </w:t>
      </w:r>
      <w:r w:rsidRPr="004055CC" w:rsidR="002568E9">
        <w:rPr>
          <w:b w:val="0"/>
          <w:bCs w:val="0"/>
        </w:rPr>
        <w:t>from producers</w:t>
      </w:r>
      <w:r w:rsidR="002568E9">
        <w:rPr>
          <w:b w:val="0"/>
          <w:bCs w:val="0"/>
        </w:rPr>
        <w:t xml:space="preserve">.  </w:t>
      </w:r>
      <w:r w:rsidR="00F40E21">
        <w:rPr>
          <w:b w:val="0"/>
          <w:bCs w:val="0"/>
        </w:rPr>
        <w:t xml:space="preserve">Applicants </w:t>
      </w:r>
      <w:r w:rsidR="002568E9">
        <w:rPr>
          <w:b w:val="0"/>
          <w:bCs w:val="0"/>
        </w:rPr>
        <w:t>may also</w:t>
      </w:r>
      <w:r w:rsidR="00F40E21">
        <w:rPr>
          <w:b w:val="0"/>
          <w:bCs w:val="0"/>
        </w:rPr>
        <w:t xml:space="preserve"> submit </w:t>
      </w:r>
      <w:r w:rsidR="002568E9">
        <w:rPr>
          <w:b w:val="0"/>
          <w:bCs w:val="0"/>
        </w:rPr>
        <w:t>applications</w:t>
      </w:r>
      <w:r w:rsidR="00283A59">
        <w:rPr>
          <w:b w:val="0"/>
          <w:bCs w:val="0"/>
        </w:rPr>
        <w:t xml:space="preserve">, eligibility forms, and documentation </w:t>
      </w:r>
      <w:r w:rsidR="00F40E21">
        <w:rPr>
          <w:b w:val="0"/>
          <w:bCs w:val="0"/>
        </w:rPr>
        <w:t xml:space="preserve">to their FSA county office </w:t>
      </w:r>
      <w:r w:rsidR="00DF395B">
        <w:rPr>
          <w:b w:val="0"/>
          <w:bCs w:val="0"/>
        </w:rPr>
        <w:t>i</w:t>
      </w:r>
      <w:r w:rsidRPr="00DF395B" w:rsidR="00DF395B">
        <w:rPr>
          <w:b w:val="0"/>
          <w:bCs w:val="0"/>
        </w:rPr>
        <w:t xml:space="preserve">n person or by mail, email, facsimile, or other methods announced by FSA.  </w:t>
      </w:r>
    </w:p>
    <w:p w:rsidR="00EB4974" w:rsidRPr="00A35666" w14:paraId="46D489DE" w14:textId="77777777">
      <w:pPr>
        <w:pStyle w:val="Heading2"/>
        <w:spacing w:before="90"/>
        <w:rPr>
          <w:b w:val="0"/>
          <w:bCs w:val="0"/>
        </w:rPr>
      </w:pPr>
    </w:p>
    <w:p w:rsidR="00EB4974" w:rsidRPr="00773119" w14:paraId="62B9DE8A" w14:textId="66074D05">
      <w:pPr>
        <w:pStyle w:val="Heading2"/>
        <w:spacing w:before="90"/>
      </w:pPr>
      <w:r>
        <w:t>Does the age</w:t>
      </w:r>
      <w:r w:rsidRPr="00773119">
        <w:t>ncy need to collect information</w:t>
      </w:r>
      <w:r w:rsidRPr="00773119" w:rsidR="00B079F8">
        <w:t>, such as progress reports,</w:t>
      </w:r>
      <w:r w:rsidRPr="00773119">
        <w:t xml:space="preserve"> beyond the expiration of this generic ICR </w:t>
      </w:r>
      <w:r w:rsidRPr="00773119" w:rsidR="00B079F8">
        <w:t>(</w:t>
      </w:r>
      <w:r w:rsidRPr="00773119" w:rsidR="0226E1DE">
        <w:t>October 2027</w:t>
      </w:r>
      <w:r w:rsidRPr="00773119">
        <w:t>)? If so, will the agency be submitting a regular ICR package?</w:t>
      </w:r>
    </w:p>
    <w:p w:rsidR="00AB1407" w:rsidRPr="00773119" w:rsidP="00AB1407" w14:paraId="0F9B4C9F" w14:textId="5F9AB86A">
      <w:pPr>
        <w:pStyle w:val="BodyText"/>
        <w:spacing w:before="183"/>
        <w:ind w:left="216"/>
      </w:pPr>
      <w:r w:rsidRPr="00773119">
        <w:t xml:space="preserve">[ </w:t>
      </w:r>
      <w:r w:rsidRPr="00773119" w:rsidR="00162E4E">
        <w:t>X</w:t>
      </w:r>
      <w:r w:rsidRPr="00773119">
        <w:t xml:space="preserve">] </w:t>
      </w:r>
      <w:r w:rsidRPr="00773119" w:rsidR="00AC4BD8">
        <w:t xml:space="preserve"> </w:t>
      </w:r>
      <w:r w:rsidRPr="00773119">
        <w:t>Yes</w:t>
      </w:r>
      <w:r w:rsidRPr="00773119">
        <w:t xml:space="preserve">.  </w:t>
      </w:r>
      <w:r w:rsidRPr="00773119">
        <w:t>[</w:t>
      </w:r>
      <w:r w:rsidRPr="00773119" w:rsidR="00162E4E">
        <w:t xml:space="preserve"> </w:t>
      </w:r>
      <w:r w:rsidRPr="00773119">
        <w:t>]</w:t>
      </w:r>
      <w:r w:rsidRPr="00773119">
        <w:t xml:space="preserve"> </w:t>
      </w:r>
      <w:r w:rsidRPr="00773119" w:rsidR="00AC4BD8">
        <w:t xml:space="preserve"> </w:t>
      </w:r>
      <w:r w:rsidRPr="00773119">
        <w:t>No.</w:t>
      </w:r>
    </w:p>
    <w:p w:rsidR="00162E4E" w:rsidRPr="00773119" w:rsidP="00AB1407" w14:paraId="05B14429" w14:textId="77CA9A4C">
      <w:pPr>
        <w:pStyle w:val="BodyText"/>
        <w:spacing w:before="183"/>
        <w:ind w:left="216"/>
      </w:pPr>
      <w:r w:rsidRPr="00773119">
        <w:t xml:space="preserve">The application period will end prior to the expiration of this generic ICR; however, </w:t>
      </w:r>
      <w:r w:rsidRPr="00773119" w:rsidR="00FA7621">
        <w:t xml:space="preserve">the </w:t>
      </w:r>
      <w:r w:rsidRPr="00773119">
        <w:t xml:space="preserve">compliance </w:t>
      </w:r>
      <w:r w:rsidRPr="00773119" w:rsidR="00FA7621">
        <w:t xml:space="preserve">process </w:t>
      </w:r>
      <w:r w:rsidRPr="00773119" w:rsidR="00B46EAD">
        <w:t>will extend past</w:t>
      </w:r>
      <w:r w:rsidRPr="00773119">
        <w:t xml:space="preserve"> the expiration date.  </w:t>
      </w:r>
      <w:r w:rsidRPr="00773119">
        <w:t>FSA will submit a regular ICR package to cover</w:t>
      </w:r>
      <w:r w:rsidRPr="00773119" w:rsidR="00EF1D6B">
        <w:t xml:space="preserve"> th</w:t>
      </w:r>
      <w:r w:rsidRPr="00773119" w:rsidR="00494872">
        <w:t>ose</w:t>
      </w:r>
      <w:r w:rsidRPr="00773119">
        <w:t xml:space="preserve"> co</w:t>
      </w:r>
      <w:r w:rsidRPr="00773119" w:rsidR="00A874E9">
        <w:t xml:space="preserve">mpliance activities that continue beyond </w:t>
      </w:r>
      <w:r w:rsidRPr="00773119" w:rsidR="00494872">
        <w:t>October 2027</w:t>
      </w:r>
      <w:r w:rsidRPr="00773119" w:rsidR="00A874E9">
        <w:t>.</w:t>
      </w:r>
    </w:p>
    <w:p w:rsidR="00E94754" w14:paraId="7FE2A7A8" w14:textId="77777777">
      <w:pPr>
        <w:pStyle w:val="Heading2"/>
        <w:spacing w:before="90"/>
      </w:pPr>
      <w:r>
        <w:t xml:space="preserve">Announcement: </w:t>
      </w:r>
    </w:p>
    <w:p w:rsidR="00E94754" w:rsidRPr="00E94754" w14:paraId="3546CC65" w14:textId="77777777">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81C1BF9" w14:textId="77777777">
      <w:pPr>
        <w:pStyle w:val="Heading2"/>
        <w:spacing w:before="90"/>
        <w:rPr>
          <w:b w:val="0"/>
          <w:bCs w:val="0"/>
        </w:rPr>
      </w:pPr>
      <w:r w:rsidRPr="00E94754">
        <w:rPr>
          <w:b w:val="0"/>
          <w:bCs w:val="0"/>
        </w:rPr>
        <w:t>[</w:t>
      </w:r>
      <w:r w:rsidR="0059508B">
        <w:rPr>
          <w:b w:val="0"/>
          <w:bCs w:val="0"/>
        </w:rPr>
        <w:t xml:space="preserve">  </w:t>
      </w:r>
      <w:r w:rsidRPr="00E94754">
        <w:rPr>
          <w:b w:val="0"/>
          <w:bCs w:val="0"/>
        </w:rPr>
        <w:t>]</w:t>
      </w:r>
      <w:r w:rsidRPr="00E94754">
        <w:rPr>
          <w:b w:val="0"/>
          <w:bCs w:val="0"/>
        </w:rPr>
        <w:t xml:space="preserve">  Grants.gov</w:t>
      </w:r>
      <w:r w:rsidR="003013AD">
        <w:rPr>
          <w:b w:val="0"/>
          <w:bCs w:val="0"/>
        </w:rPr>
        <w:t xml:space="preserve"> Announcement</w:t>
      </w:r>
    </w:p>
    <w:p w:rsidR="00521884" w14:paraId="696A2520" w14:textId="77777777">
      <w:pPr>
        <w:pStyle w:val="Heading2"/>
        <w:spacing w:before="90"/>
        <w:rPr>
          <w:b w:val="0"/>
          <w:bCs w:val="0"/>
        </w:rPr>
      </w:pPr>
      <w:r>
        <w:rPr>
          <w:b w:val="0"/>
          <w:bCs w:val="0"/>
        </w:rPr>
        <w:t>[  ]</w:t>
      </w:r>
      <w:r>
        <w:rPr>
          <w:b w:val="0"/>
          <w:bCs w:val="0"/>
        </w:rPr>
        <w:t xml:space="preserve">  Funding Opportunity Announcement (FOA)</w:t>
      </w:r>
    </w:p>
    <w:p w:rsidR="00521884" w14:paraId="281F3EA1" w14:textId="77777777">
      <w:pPr>
        <w:pStyle w:val="Heading2"/>
        <w:spacing w:before="90"/>
        <w:rPr>
          <w:b w:val="0"/>
          <w:bCs w:val="0"/>
        </w:rPr>
      </w:pPr>
      <w:r>
        <w:rPr>
          <w:b w:val="0"/>
          <w:bCs w:val="0"/>
        </w:rPr>
        <w:t>[  ]</w:t>
      </w:r>
      <w:r>
        <w:rPr>
          <w:b w:val="0"/>
          <w:bCs w:val="0"/>
        </w:rPr>
        <w:t xml:space="preserve">  Request for Application (RFA)</w:t>
      </w:r>
    </w:p>
    <w:p w:rsidR="00521884" w:rsidRPr="00E94754" w:rsidP="00521884" w14:paraId="51B25F95" w14:textId="09EE5369">
      <w:pPr>
        <w:pStyle w:val="Heading2"/>
        <w:spacing w:before="90"/>
        <w:rPr>
          <w:b w:val="0"/>
          <w:bCs w:val="0"/>
        </w:rPr>
      </w:pPr>
      <w:r w:rsidRPr="00E94754">
        <w:rPr>
          <w:b w:val="0"/>
          <w:bCs w:val="0"/>
        </w:rPr>
        <w:t>[</w:t>
      </w:r>
      <w:r w:rsidR="008B51DF">
        <w:rPr>
          <w:b w:val="0"/>
          <w:bCs w:val="0"/>
        </w:rPr>
        <w:t xml:space="preserve">  </w:t>
      </w:r>
      <w:r w:rsidRPr="00E94754">
        <w:rPr>
          <w:b w:val="0"/>
          <w:bCs w:val="0"/>
        </w:rPr>
        <w:t>]</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4309C0B4" w14:textId="77777777">
      <w:pPr>
        <w:pStyle w:val="Heading2"/>
        <w:spacing w:before="90"/>
        <w:rPr>
          <w:b w:val="0"/>
          <w:bCs w:val="0"/>
        </w:rPr>
      </w:pPr>
      <w:r>
        <w:rPr>
          <w:b w:val="0"/>
          <w:bCs w:val="0"/>
        </w:rPr>
        <w:t>[  ]</w:t>
      </w:r>
      <w:r>
        <w:rPr>
          <w:b w:val="0"/>
          <w:bCs w:val="0"/>
        </w:rPr>
        <w:t xml:space="preserve">  Notice of Solicitation of Application (NOSA)</w:t>
      </w:r>
    </w:p>
    <w:p w:rsidR="003013AD" w14:paraId="6832909B" w14:textId="77777777">
      <w:pPr>
        <w:pStyle w:val="Heading2"/>
        <w:spacing w:before="90"/>
        <w:rPr>
          <w:b w:val="0"/>
          <w:bCs w:val="0"/>
        </w:rPr>
      </w:pPr>
      <w:r>
        <w:rPr>
          <w:b w:val="0"/>
          <w:bCs w:val="0"/>
        </w:rPr>
        <w:t>[  ]</w:t>
      </w:r>
      <w:r>
        <w:rPr>
          <w:b w:val="0"/>
          <w:bCs w:val="0"/>
        </w:rPr>
        <w:t xml:space="preserve">  Notice of Awards</w:t>
      </w:r>
    </w:p>
    <w:p w:rsidR="00E94754" w:rsidRPr="00E94754" w14:paraId="76E274A1" w14:textId="57D8D927">
      <w:pPr>
        <w:pStyle w:val="Heading2"/>
        <w:spacing w:before="90"/>
        <w:rPr>
          <w:b w:val="0"/>
          <w:bCs w:val="0"/>
        </w:rPr>
      </w:pPr>
      <w:r>
        <w:rPr>
          <w:b w:val="0"/>
          <w:bCs w:val="0"/>
        </w:rPr>
        <w:t>[</w:t>
      </w:r>
      <w:r w:rsidR="008B51DF">
        <w:rPr>
          <w:b w:val="0"/>
          <w:bCs w:val="0"/>
        </w:rPr>
        <w:t>X</w:t>
      </w:r>
      <w:r>
        <w:rPr>
          <w:b w:val="0"/>
          <w:bCs w:val="0"/>
        </w:rPr>
        <w:t>] Other</w:t>
      </w:r>
      <w:r w:rsidR="003013AD">
        <w:rPr>
          <w:b w:val="0"/>
          <w:bCs w:val="0"/>
        </w:rPr>
        <w:t xml:space="preserve"> Funding Announcement Types</w:t>
      </w:r>
      <w:r w:rsidR="00302974">
        <w:rPr>
          <w:b w:val="0"/>
          <w:bCs w:val="0"/>
        </w:rPr>
        <w:t xml:space="preserve">:  </w:t>
      </w:r>
      <w:r w:rsidRPr="00BF17E9" w:rsidR="00BF17E9">
        <w:rPr>
          <w:b w:val="0"/>
          <w:bCs w:val="0"/>
          <w:u w:val="single"/>
        </w:rPr>
        <w:t xml:space="preserve">  </w:t>
      </w:r>
      <w:r w:rsidR="009775CE">
        <w:rPr>
          <w:b w:val="0"/>
          <w:bCs w:val="0"/>
          <w:u w:val="single"/>
        </w:rPr>
        <w:t xml:space="preserve">     </w:t>
      </w:r>
      <w:r w:rsidRPr="00BF17E9" w:rsidR="00BF17E9">
        <w:rPr>
          <w:b w:val="0"/>
          <w:bCs w:val="0"/>
          <w:u w:val="single"/>
        </w:rPr>
        <w:t xml:space="preserve"> </w:t>
      </w:r>
      <w:r w:rsidRPr="001169CC" w:rsidR="008B51DF">
        <w:rPr>
          <w:b w:val="0"/>
          <w:bCs w:val="0"/>
          <w:u w:val="single"/>
        </w:rPr>
        <w:t>Final rule</w:t>
      </w:r>
      <w:r w:rsidR="00BF17E9">
        <w:rPr>
          <w:b w:val="0"/>
          <w:bCs w:val="0"/>
          <w:u w:val="single"/>
        </w:rPr>
        <w:t xml:space="preserve">          </w:t>
      </w:r>
    </w:p>
    <w:p w:rsidR="00AB1407" w:rsidP="00AB1407" w14:paraId="68A13B06" w14:textId="77777777">
      <w:pPr>
        <w:pStyle w:val="Heading2"/>
        <w:spacing w:before="90"/>
      </w:pPr>
    </w:p>
    <w:p w:rsidR="00AB1407" w:rsidRPr="00A35666" w:rsidP="00090AEC" w14:paraId="0C623CCF" w14:textId="77777777">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 xml:space="preserve">why the agency considers the questions necessary, the specific uses to be made of the information, the explanation to be given to </w:t>
      </w:r>
      <w:r w:rsidRPr="00090AEC" w:rsidR="00090AEC">
        <w:rPr>
          <w:b w:val="0"/>
          <w:bCs w:val="0"/>
        </w:rPr>
        <w:t>persons</w:t>
      </w:r>
      <w:r w:rsidRPr="00090AEC" w:rsidR="00090AEC">
        <w:rPr>
          <w:b w:val="0"/>
          <w:bCs w:val="0"/>
        </w:rPr>
        <w:t xml:space="preserve"> from whom the information is requested, and any steps to be taken to obtain their consent</w:t>
      </w:r>
      <w:r w:rsidR="00090AEC">
        <w:rPr>
          <w:b w:val="0"/>
          <w:bCs w:val="0"/>
        </w:rPr>
        <w:t>.</w:t>
      </w:r>
    </w:p>
    <w:p w:rsidR="00090AEC" w:rsidP="00090AEC" w14:paraId="2FC38CB2" w14:textId="6C9156DA">
      <w:pPr>
        <w:pStyle w:val="BodyText"/>
        <w:spacing w:before="183"/>
        <w:ind w:left="216"/>
      </w:pPr>
      <w:r>
        <w:t>[  ]</w:t>
      </w:r>
      <w:r>
        <w:t xml:space="preserve"> Yes.  [</w:t>
      </w:r>
      <w:r w:rsidR="003F27C1">
        <w:t>X</w:t>
      </w:r>
      <w:r>
        <w:t>] No.</w:t>
      </w:r>
    </w:p>
    <w:p w:rsidR="00090AEC" w:rsidP="00090AEC" w14:paraId="7BF944AE" w14:textId="77777777">
      <w:pPr>
        <w:pStyle w:val="BodyText"/>
        <w:spacing w:before="183"/>
        <w:ind w:left="216"/>
      </w:pPr>
      <w:r>
        <w:t>If yes, additional info:</w:t>
      </w:r>
    </w:p>
    <w:p w:rsidR="0BC3A3FC" w:rsidP="0BC3A3FC" w14:paraId="6A3216B7" w14:textId="25DD8244">
      <w:pPr>
        <w:pStyle w:val="Heading2"/>
        <w:spacing w:before="90"/>
        <w:rPr>
          <w:b w:val="0"/>
          <w:bCs w:val="0"/>
        </w:rPr>
      </w:pPr>
    </w:p>
    <w:p w:rsidR="00084C84" w14:paraId="05F8B960" w14:textId="77777777">
      <w:pPr>
        <w:pStyle w:val="Heading2"/>
        <w:spacing w:before="90"/>
      </w:pPr>
      <w:r>
        <w:t>Certification</w:t>
      </w:r>
      <w:r w:rsidR="00CF2BCA">
        <w:t>:</w:t>
      </w:r>
    </w:p>
    <w:p w:rsidR="00084C84" w14:paraId="31EC39AB" w14:textId="77777777">
      <w:pPr>
        <w:pStyle w:val="BodyText"/>
        <w:spacing w:before="183"/>
        <w:ind w:left="220"/>
      </w:pPr>
      <w:r>
        <w:t>I certify th</w:t>
      </w:r>
      <w:r w:rsidR="00E94754">
        <w:t xml:space="preserve">is grant or cooperative agreement </w:t>
      </w:r>
      <w:r>
        <w:t>to be true:</w:t>
      </w:r>
    </w:p>
    <w:p w:rsidR="00E94754" w:rsidP="00116353" w14:paraId="4E6D2BE3" w14:textId="33E1F847">
      <w:pPr>
        <w:pStyle w:val="BodyText"/>
        <w:spacing w:before="183"/>
        <w:ind w:left="216"/>
      </w:pPr>
      <w:r>
        <w:t>[</w:t>
      </w:r>
      <w:r w:rsidR="00F07541">
        <w:t>X</w:t>
      </w:r>
      <w:r>
        <w:t>] Yes</w:t>
      </w:r>
      <w:r w:rsidR="00116353">
        <w:t xml:space="preserve">.  </w:t>
      </w:r>
      <w:r>
        <w:t>[</w:t>
      </w:r>
      <w:r w:rsidR="00116353">
        <w:t xml:space="preserve"> </w:t>
      </w:r>
      <w:r>
        <w:t xml:space="preserve"> ]</w:t>
      </w:r>
      <w:r>
        <w:t xml:space="preserve"> No.</w:t>
      </w:r>
    </w:p>
    <w:p w:rsidR="00084C84" w14:paraId="4D398A57" w14:textId="77777777">
      <w:pPr>
        <w:pStyle w:val="BodyText"/>
      </w:pPr>
    </w:p>
    <w:p w:rsidR="001B1553" w14:paraId="0568194D" w14:textId="77777777">
      <w:pPr>
        <w:rPr>
          <w:b/>
          <w:bCs/>
          <w:sz w:val="24"/>
          <w:szCs w:val="24"/>
        </w:rPr>
      </w:pPr>
      <w:r>
        <w:br w:type="page"/>
      </w:r>
    </w:p>
    <w:p w:rsidR="00084C84" w:rsidP="00366225" w14:paraId="337D1482" w14:textId="38A3F7D9">
      <w:pPr>
        <w:pStyle w:val="Heading2"/>
        <w:keepNext/>
        <w:ind w:left="216"/>
      </w:pPr>
      <w:r>
        <w:t>Burden Hours, Formats, and Reporting</w:t>
      </w:r>
    </w:p>
    <w:p w:rsidR="005427FB" w:rsidP="00366225" w14:paraId="27BA39CC" w14:textId="77777777">
      <w:pPr>
        <w:pStyle w:val="Heading2"/>
        <w:keepNext/>
        <w:ind w:left="216"/>
      </w:pPr>
    </w:p>
    <w:p w:rsidR="005427FB" w:rsidP="005427FB" w14:paraId="14021506" w14:textId="77777777">
      <w:pPr>
        <w:pStyle w:val="BodyText"/>
      </w:pPr>
      <w:r w:rsidRPr="00C3138F">
        <w:rPr>
          <w:b/>
          <w:bCs/>
        </w:rPr>
        <w:t>Component 1) Supplemental Disaster Relief Program (SDRP) Stage 1 Quality Loss and Stage 2</w:t>
      </w:r>
      <w:r>
        <w:t xml:space="preserve">: </w:t>
      </w:r>
    </w:p>
    <w:p w:rsidR="00084C84" w14:paraId="6D0BEEBE" w14:textId="77777777">
      <w:pPr>
        <w:pStyle w:val="BodyText"/>
      </w:pPr>
    </w:p>
    <w:tbl>
      <w:tblPr>
        <w:tblW w:w="10460" w:type="dxa"/>
        <w:tblLook w:val="04A0"/>
      </w:tblPr>
      <w:tblGrid>
        <w:gridCol w:w="2509"/>
        <w:gridCol w:w="1638"/>
        <w:gridCol w:w="1693"/>
        <w:gridCol w:w="1546"/>
        <w:gridCol w:w="1560"/>
        <w:gridCol w:w="1514"/>
      </w:tblGrid>
      <w:tr w14:paraId="275DA4A6" w14:textId="77777777" w:rsidTr="005513C4">
        <w:tblPrEx>
          <w:tblW w:w="10460" w:type="dxa"/>
          <w:tblLook w:val="04A0"/>
        </w:tblPrEx>
        <w:trPr>
          <w:trHeight w:val="951"/>
        </w:trPr>
        <w:tc>
          <w:tcPr>
            <w:tcW w:w="2509" w:type="dxa"/>
            <w:tcBorders>
              <w:top w:val="single" w:sz="8" w:space="0" w:color="000000"/>
              <w:left w:val="single" w:sz="8" w:space="0" w:color="000000"/>
              <w:bottom w:val="single" w:sz="8" w:space="0" w:color="000000"/>
              <w:right w:val="single" w:sz="8" w:space="0" w:color="000000"/>
            </w:tcBorders>
            <w:vAlign w:val="center"/>
            <w:hideMark/>
          </w:tcPr>
          <w:p w:rsidR="005F51FB" w:rsidRPr="005F51FB" w:rsidP="005F51FB" w14:paraId="6596F3C9" w14:textId="77777777">
            <w:pPr>
              <w:widowControl/>
              <w:autoSpaceDE/>
              <w:autoSpaceDN/>
              <w:rPr>
                <w:b/>
                <w:bCs/>
                <w:color w:val="000000"/>
                <w:sz w:val="24"/>
                <w:szCs w:val="24"/>
              </w:rPr>
            </w:pPr>
            <w:r w:rsidRPr="005F51FB">
              <w:rPr>
                <w:b/>
                <w:bCs/>
                <w:color w:val="000000"/>
                <w:sz w:val="24"/>
                <w:szCs w:val="24"/>
              </w:rPr>
              <w:t>Burden Activity or Form</w:t>
            </w:r>
          </w:p>
        </w:tc>
        <w:tc>
          <w:tcPr>
            <w:tcW w:w="1638" w:type="dxa"/>
            <w:tcBorders>
              <w:top w:val="single" w:sz="8" w:space="0" w:color="000000"/>
              <w:left w:val="nil"/>
              <w:bottom w:val="single" w:sz="8" w:space="0" w:color="000000"/>
              <w:right w:val="single" w:sz="8" w:space="0" w:color="000000"/>
            </w:tcBorders>
            <w:vAlign w:val="center"/>
            <w:hideMark/>
          </w:tcPr>
          <w:p w:rsidR="005F51FB" w:rsidRPr="005F51FB" w:rsidP="005F51FB" w14:paraId="6B135343" w14:textId="77777777">
            <w:pPr>
              <w:widowControl/>
              <w:autoSpaceDE/>
              <w:autoSpaceDN/>
              <w:rPr>
                <w:b/>
                <w:bCs/>
                <w:color w:val="000000"/>
                <w:sz w:val="24"/>
                <w:szCs w:val="24"/>
              </w:rPr>
            </w:pPr>
            <w:r w:rsidRPr="005F51FB">
              <w:rPr>
                <w:b/>
                <w:bCs/>
                <w:color w:val="000000"/>
                <w:sz w:val="24"/>
                <w:szCs w:val="24"/>
              </w:rPr>
              <w:t>Number of Respondents</w:t>
            </w:r>
          </w:p>
        </w:tc>
        <w:tc>
          <w:tcPr>
            <w:tcW w:w="1693" w:type="dxa"/>
            <w:tcBorders>
              <w:top w:val="single" w:sz="8" w:space="0" w:color="000000"/>
              <w:left w:val="nil"/>
              <w:bottom w:val="single" w:sz="8" w:space="0" w:color="000000"/>
              <w:right w:val="single" w:sz="8" w:space="0" w:color="000000"/>
            </w:tcBorders>
            <w:vAlign w:val="center"/>
            <w:hideMark/>
          </w:tcPr>
          <w:p w:rsidR="005F51FB" w:rsidRPr="005F51FB" w:rsidP="005F51FB" w14:paraId="5F6E2B19" w14:textId="77777777">
            <w:pPr>
              <w:widowControl/>
              <w:autoSpaceDE/>
              <w:autoSpaceDN/>
              <w:rPr>
                <w:b/>
                <w:bCs/>
                <w:color w:val="000000"/>
                <w:sz w:val="24"/>
                <w:szCs w:val="24"/>
              </w:rPr>
            </w:pPr>
            <w:r w:rsidRPr="005F51FB">
              <w:rPr>
                <w:b/>
                <w:bCs/>
                <w:color w:val="000000"/>
                <w:sz w:val="24"/>
                <w:szCs w:val="24"/>
              </w:rPr>
              <w:t>Number of responses per respondent</w:t>
            </w:r>
          </w:p>
        </w:tc>
        <w:tc>
          <w:tcPr>
            <w:tcW w:w="1546" w:type="dxa"/>
            <w:tcBorders>
              <w:top w:val="single" w:sz="8" w:space="0" w:color="000000"/>
              <w:left w:val="nil"/>
              <w:bottom w:val="single" w:sz="8" w:space="0" w:color="000000"/>
              <w:right w:val="single" w:sz="8" w:space="0" w:color="000000"/>
            </w:tcBorders>
            <w:vAlign w:val="center"/>
            <w:hideMark/>
          </w:tcPr>
          <w:p w:rsidR="005F51FB" w:rsidRPr="005F51FB" w:rsidP="005F51FB" w14:paraId="20783E5E" w14:textId="77777777">
            <w:pPr>
              <w:widowControl/>
              <w:autoSpaceDE/>
              <w:autoSpaceDN/>
              <w:rPr>
                <w:b/>
                <w:bCs/>
                <w:color w:val="000000"/>
                <w:sz w:val="24"/>
                <w:szCs w:val="24"/>
              </w:rPr>
            </w:pPr>
            <w:r w:rsidRPr="005F51FB">
              <w:rPr>
                <w:b/>
                <w:bCs/>
                <w:color w:val="000000"/>
                <w:sz w:val="24"/>
                <w:szCs w:val="24"/>
              </w:rPr>
              <w:t>Total annual responses</w:t>
            </w:r>
          </w:p>
        </w:tc>
        <w:tc>
          <w:tcPr>
            <w:tcW w:w="1560" w:type="dxa"/>
            <w:tcBorders>
              <w:top w:val="single" w:sz="8" w:space="0" w:color="000000"/>
              <w:left w:val="nil"/>
              <w:bottom w:val="single" w:sz="8" w:space="0" w:color="000000"/>
              <w:right w:val="single" w:sz="8" w:space="0" w:color="000000"/>
            </w:tcBorders>
            <w:vAlign w:val="center"/>
            <w:hideMark/>
          </w:tcPr>
          <w:p w:rsidR="005F51FB" w:rsidRPr="005F51FB" w:rsidP="005F51FB" w14:paraId="3FFD5F49" w14:textId="77777777">
            <w:pPr>
              <w:widowControl/>
              <w:autoSpaceDE/>
              <w:autoSpaceDN/>
              <w:rPr>
                <w:b/>
                <w:bCs/>
                <w:color w:val="000000"/>
                <w:sz w:val="24"/>
                <w:szCs w:val="24"/>
              </w:rPr>
            </w:pPr>
            <w:r w:rsidRPr="005F51FB">
              <w:rPr>
                <w:b/>
                <w:bCs/>
                <w:color w:val="000000"/>
                <w:sz w:val="24"/>
                <w:szCs w:val="24"/>
              </w:rPr>
              <w:t>Hours per response</w:t>
            </w:r>
          </w:p>
        </w:tc>
        <w:tc>
          <w:tcPr>
            <w:tcW w:w="1514" w:type="dxa"/>
            <w:tcBorders>
              <w:top w:val="single" w:sz="8" w:space="0" w:color="000000"/>
              <w:left w:val="nil"/>
              <w:bottom w:val="single" w:sz="8" w:space="0" w:color="000000"/>
              <w:right w:val="single" w:sz="8" w:space="0" w:color="000000"/>
            </w:tcBorders>
            <w:vAlign w:val="center"/>
            <w:hideMark/>
          </w:tcPr>
          <w:p w:rsidR="005F51FB" w:rsidRPr="005F51FB" w:rsidP="005F51FB" w14:paraId="763D43C4" w14:textId="77777777">
            <w:pPr>
              <w:widowControl/>
              <w:autoSpaceDE/>
              <w:autoSpaceDN/>
              <w:rPr>
                <w:b/>
                <w:bCs/>
                <w:color w:val="000000"/>
                <w:sz w:val="24"/>
                <w:szCs w:val="24"/>
              </w:rPr>
            </w:pPr>
            <w:r w:rsidRPr="005F51FB">
              <w:rPr>
                <w:b/>
                <w:bCs/>
                <w:color w:val="000000"/>
                <w:sz w:val="24"/>
                <w:szCs w:val="24"/>
              </w:rPr>
              <w:t>Total hours per year</w:t>
            </w:r>
          </w:p>
        </w:tc>
      </w:tr>
      <w:tr w14:paraId="7681442E" w14:textId="77777777" w:rsidTr="005F51FB">
        <w:tblPrEx>
          <w:tblW w:w="10460" w:type="dxa"/>
          <w:tblLook w:val="04A0"/>
        </w:tblPrEx>
        <w:trPr>
          <w:trHeight w:val="310"/>
        </w:trPr>
        <w:tc>
          <w:tcPr>
            <w:tcW w:w="10460" w:type="dxa"/>
            <w:gridSpan w:val="6"/>
            <w:tcBorders>
              <w:top w:val="single" w:sz="8" w:space="0" w:color="000000"/>
              <w:left w:val="single" w:sz="8" w:space="0" w:color="000000"/>
              <w:bottom w:val="single" w:sz="8" w:space="0" w:color="000000"/>
              <w:right w:val="single" w:sz="8" w:space="0" w:color="000000"/>
            </w:tcBorders>
            <w:shd w:val="clear" w:color="000000" w:fill="E8E8E8"/>
            <w:vAlign w:val="center"/>
            <w:hideMark/>
          </w:tcPr>
          <w:p w:rsidR="005F51FB" w:rsidRPr="005F51FB" w:rsidP="005F51FB" w14:paraId="4E824441" w14:textId="77777777">
            <w:pPr>
              <w:widowControl/>
              <w:autoSpaceDE/>
              <w:autoSpaceDN/>
              <w:rPr>
                <w:b/>
                <w:bCs/>
                <w:color w:val="000000"/>
                <w:sz w:val="24"/>
                <w:szCs w:val="24"/>
              </w:rPr>
            </w:pPr>
            <w:r w:rsidRPr="005F51FB">
              <w:rPr>
                <w:b/>
                <w:bCs/>
                <w:color w:val="000000"/>
                <w:sz w:val="24"/>
                <w:szCs w:val="24"/>
              </w:rPr>
              <w:t>Application Process</w:t>
            </w:r>
          </w:p>
        </w:tc>
      </w:tr>
      <w:tr w14:paraId="1E49E74A" w14:textId="77777777" w:rsidTr="005513C4">
        <w:tblPrEx>
          <w:tblW w:w="10460" w:type="dxa"/>
          <w:tblLook w:val="04A0"/>
        </w:tblPrEx>
        <w:trPr>
          <w:trHeight w:val="940"/>
        </w:trPr>
        <w:tc>
          <w:tcPr>
            <w:tcW w:w="2509" w:type="dxa"/>
            <w:tcBorders>
              <w:top w:val="nil"/>
              <w:left w:val="single" w:sz="8" w:space="0" w:color="000000"/>
              <w:bottom w:val="single" w:sz="8" w:space="0" w:color="000000"/>
              <w:right w:val="single" w:sz="8" w:space="0" w:color="000000"/>
            </w:tcBorders>
            <w:vAlign w:val="center"/>
            <w:hideMark/>
          </w:tcPr>
          <w:p w:rsidR="005F51FB" w:rsidRPr="00044BA0" w:rsidP="005F51FB" w14:paraId="58219F5B" w14:textId="77777777">
            <w:pPr>
              <w:widowControl/>
              <w:autoSpaceDE/>
              <w:autoSpaceDN/>
              <w:rPr>
                <w:color w:val="000000"/>
                <w:sz w:val="24"/>
                <w:szCs w:val="24"/>
              </w:rPr>
            </w:pPr>
            <w:r w:rsidRPr="00044BA0">
              <w:rPr>
                <w:color w:val="000000"/>
                <w:sz w:val="24"/>
                <w:szCs w:val="24"/>
              </w:rPr>
              <w:t>FSA-526Q, SDRP Stage 1 Application for Quality Losses</w:t>
            </w:r>
          </w:p>
        </w:tc>
        <w:tc>
          <w:tcPr>
            <w:tcW w:w="1638" w:type="dxa"/>
            <w:tcBorders>
              <w:top w:val="nil"/>
              <w:left w:val="nil"/>
              <w:bottom w:val="single" w:sz="8" w:space="0" w:color="000000"/>
              <w:right w:val="single" w:sz="8" w:space="0" w:color="000000"/>
            </w:tcBorders>
            <w:vAlign w:val="center"/>
            <w:hideMark/>
          </w:tcPr>
          <w:p w:rsidR="005F51FB" w:rsidRPr="005F51FB" w:rsidP="005F51FB" w14:paraId="1CEB4FA3" w14:textId="77777777">
            <w:pPr>
              <w:widowControl/>
              <w:autoSpaceDE/>
              <w:autoSpaceDN/>
              <w:jc w:val="right"/>
              <w:rPr>
                <w:color w:val="000000"/>
                <w:sz w:val="24"/>
                <w:szCs w:val="24"/>
              </w:rPr>
            </w:pPr>
            <w:r w:rsidRPr="005F51FB">
              <w:rPr>
                <w:color w:val="000000"/>
                <w:sz w:val="24"/>
                <w:szCs w:val="24"/>
              </w:rPr>
              <w:t>23,500</w:t>
            </w:r>
          </w:p>
        </w:tc>
        <w:tc>
          <w:tcPr>
            <w:tcW w:w="1693" w:type="dxa"/>
            <w:tcBorders>
              <w:top w:val="nil"/>
              <w:left w:val="nil"/>
              <w:bottom w:val="single" w:sz="8" w:space="0" w:color="000000"/>
              <w:right w:val="single" w:sz="8" w:space="0" w:color="000000"/>
            </w:tcBorders>
            <w:vAlign w:val="center"/>
            <w:hideMark/>
          </w:tcPr>
          <w:p w:rsidR="005F51FB" w:rsidRPr="005F51FB" w:rsidP="005F51FB" w14:paraId="0A5AD112" w14:textId="77777777">
            <w:pPr>
              <w:widowControl/>
              <w:autoSpaceDE/>
              <w:autoSpaceDN/>
              <w:jc w:val="right"/>
              <w:rPr>
                <w:color w:val="000000"/>
                <w:sz w:val="24"/>
                <w:szCs w:val="24"/>
              </w:rPr>
            </w:pPr>
            <w:r w:rsidRPr="005F51FB">
              <w:rPr>
                <w:color w:val="000000"/>
                <w:sz w:val="24"/>
                <w:szCs w:val="24"/>
              </w:rPr>
              <w:t>1.2</w:t>
            </w:r>
          </w:p>
        </w:tc>
        <w:tc>
          <w:tcPr>
            <w:tcW w:w="1546" w:type="dxa"/>
            <w:tcBorders>
              <w:top w:val="nil"/>
              <w:left w:val="nil"/>
              <w:bottom w:val="single" w:sz="8" w:space="0" w:color="000000"/>
              <w:right w:val="single" w:sz="8" w:space="0" w:color="000000"/>
            </w:tcBorders>
            <w:vAlign w:val="center"/>
            <w:hideMark/>
          </w:tcPr>
          <w:p w:rsidR="005F51FB" w:rsidRPr="005F51FB" w:rsidP="005F51FB" w14:paraId="5913637F" w14:textId="77777777">
            <w:pPr>
              <w:widowControl/>
              <w:autoSpaceDE/>
              <w:autoSpaceDN/>
              <w:jc w:val="right"/>
              <w:rPr>
                <w:color w:val="000000"/>
                <w:sz w:val="24"/>
                <w:szCs w:val="24"/>
              </w:rPr>
            </w:pPr>
            <w:r w:rsidRPr="005F51FB">
              <w:rPr>
                <w:color w:val="000000"/>
                <w:sz w:val="24"/>
                <w:szCs w:val="24"/>
              </w:rPr>
              <w:t>28,200</w:t>
            </w:r>
          </w:p>
        </w:tc>
        <w:tc>
          <w:tcPr>
            <w:tcW w:w="1560" w:type="dxa"/>
            <w:tcBorders>
              <w:top w:val="nil"/>
              <w:left w:val="nil"/>
              <w:bottom w:val="single" w:sz="8" w:space="0" w:color="000000"/>
              <w:right w:val="single" w:sz="8" w:space="0" w:color="000000"/>
            </w:tcBorders>
            <w:vAlign w:val="center"/>
            <w:hideMark/>
          </w:tcPr>
          <w:p w:rsidR="005F51FB" w:rsidRPr="005F51FB" w:rsidP="005F51FB" w14:paraId="57DCF5AC" w14:textId="77777777">
            <w:pPr>
              <w:widowControl/>
              <w:autoSpaceDE/>
              <w:autoSpaceDN/>
              <w:jc w:val="right"/>
              <w:rPr>
                <w:color w:val="000000"/>
                <w:sz w:val="24"/>
                <w:szCs w:val="24"/>
              </w:rPr>
            </w:pPr>
            <w:r w:rsidRPr="005F51FB">
              <w:rPr>
                <w:color w:val="000000"/>
                <w:sz w:val="24"/>
                <w:szCs w:val="24"/>
              </w:rPr>
              <w:t>0.5</w:t>
            </w:r>
          </w:p>
        </w:tc>
        <w:tc>
          <w:tcPr>
            <w:tcW w:w="1514" w:type="dxa"/>
            <w:tcBorders>
              <w:top w:val="nil"/>
              <w:left w:val="nil"/>
              <w:bottom w:val="single" w:sz="8" w:space="0" w:color="000000"/>
              <w:right w:val="single" w:sz="8" w:space="0" w:color="000000"/>
            </w:tcBorders>
            <w:vAlign w:val="center"/>
            <w:hideMark/>
          </w:tcPr>
          <w:p w:rsidR="005F51FB" w:rsidRPr="005F51FB" w:rsidP="005F51FB" w14:paraId="52C9AEF6" w14:textId="77777777">
            <w:pPr>
              <w:widowControl/>
              <w:autoSpaceDE/>
              <w:autoSpaceDN/>
              <w:jc w:val="right"/>
              <w:rPr>
                <w:color w:val="000000"/>
                <w:sz w:val="24"/>
                <w:szCs w:val="24"/>
              </w:rPr>
            </w:pPr>
            <w:r w:rsidRPr="005F51FB">
              <w:rPr>
                <w:color w:val="000000"/>
                <w:sz w:val="24"/>
                <w:szCs w:val="24"/>
              </w:rPr>
              <w:t>14,100</w:t>
            </w:r>
          </w:p>
        </w:tc>
      </w:tr>
      <w:tr w14:paraId="13DDA0D5" w14:textId="77777777" w:rsidTr="005513C4">
        <w:tblPrEx>
          <w:tblW w:w="10460" w:type="dxa"/>
          <w:tblLook w:val="04A0"/>
        </w:tblPrEx>
        <w:trPr>
          <w:trHeight w:val="630"/>
        </w:trPr>
        <w:tc>
          <w:tcPr>
            <w:tcW w:w="2509" w:type="dxa"/>
            <w:tcBorders>
              <w:top w:val="nil"/>
              <w:left w:val="single" w:sz="8" w:space="0" w:color="000000"/>
              <w:bottom w:val="single" w:sz="8" w:space="0" w:color="000000"/>
              <w:right w:val="single" w:sz="8" w:space="0" w:color="000000"/>
            </w:tcBorders>
            <w:vAlign w:val="center"/>
            <w:hideMark/>
          </w:tcPr>
          <w:p w:rsidR="005F51FB" w:rsidRPr="00044BA0" w:rsidP="005F51FB" w14:paraId="143AC625" w14:textId="77777777">
            <w:pPr>
              <w:widowControl/>
              <w:autoSpaceDE/>
              <w:autoSpaceDN/>
              <w:rPr>
                <w:color w:val="000000"/>
                <w:sz w:val="24"/>
                <w:szCs w:val="24"/>
              </w:rPr>
            </w:pPr>
            <w:r w:rsidRPr="00044BA0">
              <w:rPr>
                <w:color w:val="000000"/>
                <w:sz w:val="24"/>
                <w:szCs w:val="24"/>
              </w:rPr>
              <w:t>FSA-504, SDRP Stage 2 Application</w:t>
            </w:r>
          </w:p>
        </w:tc>
        <w:tc>
          <w:tcPr>
            <w:tcW w:w="1638" w:type="dxa"/>
            <w:tcBorders>
              <w:top w:val="nil"/>
              <w:left w:val="nil"/>
              <w:bottom w:val="single" w:sz="8" w:space="0" w:color="000000"/>
              <w:right w:val="single" w:sz="8" w:space="0" w:color="000000"/>
            </w:tcBorders>
            <w:vAlign w:val="center"/>
            <w:hideMark/>
          </w:tcPr>
          <w:p w:rsidR="005F51FB" w:rsidRPr="005F51FB" w:rsidP="005F51FB" w14:paraId="2DD03F20" w14:textId="77777777">
            <w:pPr>
              <w:widowControl/>
              <w:autoSpaceDE/>
              <w:autoSpaceDN/>
              <w:jc w:val="right"/>
              <w:rPr>
                <w:color w:val="000000"/>
                <w:sz w:val="24"/>
                <w:szCs w:val="24"/>
              </w:rPr>
            </w:pPr>
            <w:r w:rsidRPr="005F51FB">
              <w:rPr>
                <w:color w:val="000000"/>
                <w:sz w:val="24"/>
                <w:szCs w:val="24"/>
              </w:rPr>
              <w:t>48,606</w:t>
            </w:r>
          </w:p>
        </w:tc>
        <w:tc>
          <w:tcPr>
            <w:tcW w:w="1693" w:type="dxa"/>
            <w:tcBorders>
              <w:top w:val="nil"/>
              <w:left w:val="nil"/>
              <w:bottom w:val="single" w:sz="8" w:space="0" w:color="000000"/>
              <w:right w:val="single" w:sz="8" w:space="0" w:color="000000"/>
            </w:tcBorders>
            <w:vAlign w:val="center"/>
            <w:hideMark/>
          </w:tcPr>
          <w:p w:rsidR="005F51FB" w:rsidRPr="005F51FB" w:rsidP="005F51FB" w14:paraId="2912859E" w14:textId="77777777">
            <w:pPr>
              <w:widowControl/>
              <w:autoSpaceDE/>
              <w:autoSpaceDN/>
              <w:jc w:val="right"/>
              <w:rPr>
                <w:color w:val="000000"/>
                <w:sz w:val="24"/>
                <w:szCs w:val="24"/>
              </w:rPr>
            </w:pPr>
            <w:r w:rsidRPr="005F51FB">
              <w:rPr>
                <w:color w:val="000000"/>
                <w:sz w:val="24"/>
                <w:szCs w:val="24"/>
              </w:rPr>
              <w:t>1.3</w:t>
            </w:r>
          </w:p>
        </w:tc>
        <w:tc>
          <w:tcPr>
            <w:tcW w:w="1546" w:type="dxa"/>
            <w:tcBorders>
              <w:top w:val="nil"/>
              <w:left w:val="nil"/>
              <w:bottom w:val="single" w:sz="8" w:space="0" w:color="000000"/>
              <w:right w:val="single" w:sz="8" w:space="0" w:color="000000"/>
            </w:tcBorders>
            <w:vAlign w:val="center"/>
            <w:hideMark/>
          </w:tcPr>
          <w:p w:rsidR="005F51FB" w:rsidRPr="005F51FB" w:rsidP="005F51FB" w14:paraId="469CD3D1" w14:textId="77777777">
            <w:pPr>
              <w:widowControl/>
              <w:autoSpaceDE/>
              <w:autoSpaceDN/>
              <w:jc w:val="right"/>
              <w:rPr>
                <w:color w:val="000000"/>
                <w:sz w:val="24"/>
                <w:szCs w:val="24"/>
              </w:rPr>
            </w:pPr>
            <w:r w:rsidRPr="005F51FB">
              <w:rPr>
                <w:color w:val="000000"/>
                <w:sz w:val="24"/>
                <w:szCs w:val="24"/>
              </w:rPr>
              <w:t>63,188</w:t>
            </w:r>
          </w:p>
        </w:tc>
        <w:tc>
          <w:tcPr>
            <w:tcW w:w="1560" w:type="dxa"/>
            <w:tcBorders>
              <w:top w:val="nil"/>
              <w:left w:val="nil"/>
              <w:bottom w:val="single" w:sz="8" w:space="0" w:color="000000"/>
              <w:right w:val="single" w:sz="8" w:space="0" w:color="000000"/>
            </w:tcBorders>
            <w:vAlign w:val="center"/>
            <w:hideMark/>
          </w:tcPr>
          <w:p w:rsidR="005F51FB" w:rsidRPr="005F51FB" w:rsidP="005F51FB" w14:paraId="0976D577" w14:textId="77777777">
            <w:pPr>
              <w:widowControl/>
              <w:autoSpaceDE/>
              <w:autoSpaceDN/>
              <w:jc w:val="right"/>
              <w:rPr>
                <w:color w:val="000000"/>
                <w:sz w:val="24"/>
                <w:szCs w:val="24"/>
              </w:rPr>
            </w:pPr>
            <w:r w:rsidRPr="005F51FB">
              <w:rPr>
                <w:color w:val="000000"/>
                <w:sz w:val="24"/>
                <w:szCs w:val="24"/>
              </w:rPr>
              <w:t>0.75</w:t>
            </w:r>
          </w:p>
        </w:tc>
        <w:tc>
          <w:tcPr>
            <w:tcW w:w="1514" w:type="dxa"/>
            <w:tcBorders>
              <w:top w:val="nil"/>
              <w:left w:val="nil"/>
              <w:bottom w:val="single" w:sz="8" w:space="0" w:color="000000"/>
              <w:right w:val="single" w:sz="8" w:space="0" w:color="000000"/>
            </w:tcBorders>
            <w:vAlign w:val="center"/>
            <w:hideMark/>
          </w:tcPr>
          <w:p w:rsidR="005F51FB" w:rsidRPr="005F51FB" w:rsidP="005F51FB" w14:paraId="2EE7F638" w14:textId="77777777">
            <w:pPr>
              <w:widowControl/>
              <w:autoSpaceDE/>
              <w:autoSpaceDN/>
              <w:jc w:val="right"/>
              <w:rPr>
                <w:color w:val="000000"/>
                <w:sz w:val="24"/>
                <w:szCs w:val="24"/>
              </w:rPr>
            </w:pPr>
            <w:r w:rsidRPr="005F51FB">
              <w:rPr>
                <w:color w:val="000000"/>
                <w:sz w:val="24"/>
                <w:szCs w:val="24"/>
              </w:rPr>
              <w:t>47,391</w:t>
            </w:r>
          </w:p>
        </w:tc>
      </w:tr>
      <w:tr w14:paraId="2A9C5F7F" w14:textId="77777777" w:rsidTr="005513C4">
        <w:tblPrEx>
          <w:tblW w:w="10460" w:type="dxa"/>
          <w:tblLook w:val="04A0"/>
        </w:tblPrEx>
        <w:trPr>
          <w:trHeight w:val="740"/>
        </w:trPr>
        <w:tc>
          <w:tcPr>
            <w:tcW w:w="2509" w:type="dxa"/>
            <w:tcBorders>
              <w:top w:val="nil"/>
              <w:left w:val="single" w:sz="8" w:space="0" w:color="000000"/>
              <w:bottom w:val="single" w:sz="8" w:space="0" w:color="000000"/>
              <w:right w:val="single" w:sz="8" w:space="0" w:color="000000"/>
            </w:tcBorders>
            <w:vAlign w:val="center"/>
            <w:hideMark/>
          </w:tcPr>
          <w:p w:rsidR="005F51FB" w:rsidRPr="00044BA0" w:rsidP="005F51FB" w14:paraId="386FC0BB" w14:textId="77777777">
            <w:pPr>
              <w:widowControl/>
              <w:autoSpaceDE/>
              <w:autoSpaceDN/>
              <w:rPr>
                <w:color w:val="000000"/>
                <w:sz w:val="24"/>
                <w:szCs w:val="24"/>
              </w:rPr>
            </w:pPr>
            <w:r w:rsidRPr="00044BA0">
              <w:rPr>
                <w:color w:val="000000"/>
                <w:sz w:val="24"/>
                <w:szCs w:val="24"/>
              </w:rPr>
              <w:t>CCC-901, Member Information for an Entity</w:t>
            </w:r>
          </w:p>
        </w:tc>
        <w:tc>
          <w:tcPr>
            <w:tcW w:w="1638" w:type="dxa"/>
            <w:tcBorders>
              <w:top w:val="nil"/>
              <w:left w:val="nil"/>
              <w:bottom w:val="single" w:sz="8" w:space="0" w:color="000000"/>
              <w:right w:val="single" w:sz="8" w:space="0" w:color="000000"/>
            </w:tcBorders>
            <w:vAlign w:val="center"/>
            <w:hideMark/>
          </w:tcPr>
          <w:p w:rsidR="005F51FB" w:rsidRPr="005F51FB" w:rsidP="005F51FB" w14:paraId="32418600" w14:textId="77777777">
            <w:pPr>
              <w:widowControl/>
              <w:autoSpaceDE/>
              <w:autoSpaceDN/>
              <w:jc w:val="right"/>
              <w:rPr>
                <w:color w:val="000000"/>
                <w:sz w:val="24"/>
                <w:szCs w:val="24"/>
              </w:rPr>
            </w:pPr>
            <w:r w:rsidRPr="005F51FB">
              <w:rPr>
                <w:color w:val="000000"/>
                <w:sz w:val="24"/>
                <w:szCs w:val="24"/>
              </w:rPr>
              <w:t>486</w:t>
            </w:r>
          </w:p>
        </w:tc>
        <w:tc>
          <w:tcPr>
            <w:tcW w:w="1693" w:type="dxa"/>
            <w:tcBorders>
              <w:top w:val="nil"/>
              <w:left w:val="nil"/>
              <w:bottom w:val="single" w:sz="8" w:space="0" w:color="000000"/>
              <w:right w:val="single" w:sz="8" w:space="0" w:color="000000"/>
            </w:tcBorders>
            <w:vAlign w:val="center"/>
            <w:hideMark/>
          </w:tcPr>
          <w:p w:rsidR="005F51FB" w:rsidRPr="005F51FB" w:rsidP="005F51FB" w14:paraId="16BE6D18" w14:textId="77777777">
            <w:pPr>
              <w:widowControl/>
              <w:autoSpaceDE/>
              <w:autoSpaceDN/>
              <w:jc w:val="right"/>
              <w:rPr>
                <w:color w:val="000000"/>
                <w:sz w:val="24"/>
                <w:szCs w:val="24"/>
              </w:rPr>
            </w:pPr>
            <w:r w:rsidRPr="005F51FB">
              <w:rPr>
                <w:color w:val="000000"/>
                <w:sz w:val="24"/>
                <w:szCs w:val="24"/>
              </w:rPr>
              <w:t>1</w:t>
            </w:r>
          </w:p>
        </w:tc>
        <w:tc>
          <w:tcPr>
            <w:tcW w:w="1546" w:type="dxa"/>
            <w:tcBorders>
              <w:top w:val="nil"/>
              <w:left w:val="nil"/>
              <w:bottom w:val="single" w:sz="8" w:space="0" w:color="000000"/>
              <w:right w:val="single" w:sz="8" w:space="0" w:color="000000"/>
            </w:tcBorders>
            <w:vAlign w:val="center"/>
            <w:hideMark/>
          </w:tcPr>
          <w:p w:rsidR="005F51FB" w:rsidRPr="005F51FB" w:rsidP="005F51FB" w14:paraId="226BE2F3" w14:textId="77777777">
            <w:pPr>
              <w:widowControl/>
              <w:autoSpaceDE/>
              <w:autoSpaceDN/>
              <w:jc w:val="right"/>
              <w:rPr>
                <w:color w:val="000000"/>
                <w:sz w:val="24"/>
                <w:szCs w:val="24"/>
              </w:rPr>
            </w:pPr>
            <w:r w:rsidRPr="005F51FB">
              <w:rPr>
                <w:color w:val="000000"/>
                <w:sz w:val="24"/>
                <w:szCs w:val="24"/>
              </w:rPr>
              <w:t>486</w:t>
            </w:r>
          </w:p>
        </w:tc>
        <w:tc>
          <w:tcPr>
            <w:tcW w:w="1560" w:type="dxa"/>
            <w:tcBorders>
              <w:top w:val="nil"/>
              <w:left w:val="nil"/>
              <w:bottom w:val="single" w:sz="8" w:space="0" w:color="000000"/>
              <w:right w:val="single" w:sz="8" w:space="0" w:color="000000"/>
            </w:tcBorders>
            <w:vAlign w:val="center"/>
            <w:hideMark/>
          </w:tcPr>
          <w:p w:rsidR="005F51FB" w:rsidRPr="005F51FB" w:rsidP="005F51FB" w14:paraId="1FEE44B8" w14:textId="77777777">
            <w:pPr>
              <w:widowControl/>
              <w:autoSpaceDE/>
              <w:autoSpaceDN/>
              <w:jc w:val="right"/>
              <w:rPr>
                <w:color w:val="000000"/>
                <w:sz w:val="24"/>
                <w:szCs w:val="24"/>
              </w:rPr>
            </w:pPr>
            <w:r w:rsidRPr="005F51FB">
              <w:rPr>
                <w:color w:val="000000"/>
                <w:sz w:val="24"/>
                <w:szCs w:val="24"/>
              </w:rPr>
              <w:t>0.5</w:t>
            </w:r>
          </w:p>
        </w:tc>
        <w:tc>
          <w:tcPr>
            <w:tcW w:w="1514" w:type="dxa"/>
            <w:tcBorders>
              <w:top w:val="nil"/>
              <w:left w:val="nil"/>
              <w:bottom w:val="single" w:sz="8" w:space="0" w:color="000000"/>
              <w:right w:val="single" w:sz="8" w:space="0" w:color="000000"/>
            </w:tcBorders>
            <w:vAlign w:val="center"/>
            <w:hideMark/>
          </w:tcPr>
          <w:p w:rsidR="005F51FB" w:rsidRPr="005F51FB" w:rsidP="005F51FB" w14:paraId="12CF026A" w14:textId="77777777">
            <w:pPr>
              <w:widowControl/>
              <w:autoSpaceDE/>
              <w:autoSpaceDN/>
              <w:jc w:val="right"/>
              <w:rPr>
                <w:color w:val="000000"/>
                <w:sz w:val="24"/>
                <w:szCs w:val="24"/>
              </w:rPr>
            </w:pPr>
            <w:r w:rsidRPr="005F51FB">
              <w:rPr>
                <w:color w:val="000000"/>
                <w:sz w:val="24"/>
                <w:szCs w:val="24"/>
              </w:rPr>
              <w:t>243</w:t>
            </w:r>
          </w:p>
        </w:tc>
      </w:tr>
      <w:tr w14:paraId="246AA471" w14:textId="77777777" w:rsidTr="005513C4">
        <w:tblPrEx>
          <w:tblW w:w="10460" w:type="dxa"/>
          <w:tblLook w:val="04A0"/>
        </w:tblPrEx>
        <w:trPr>
          <w:trHeight w:val="940"/>
        </w:trPr>
        <w:tc>
          <w:tcPr>
            <w:tcW w:w="2509" w:type="dxa"/>
            <w:tcBorders>
              <w:top w:val="nil"/>
              <w:left w:val="single" w:sz="8" w:space="0" w:color="000000"/>
              <w:bottom w:val="single" w:sz="8" w:space="0" w:color="000000"/>
              <w:right w:val="single" w:sz="8" w:space="0" w:color="000000"/>
            </w:tcBorders>
            <w:vAlign w:val="center"/>
            <w:hideMark/>
          </w:tcPr>
          <w:p w:rsidR="005F51FB" w:rsidRPr="00044BA0" w:rsidP="005F51FB" w14:paraId="4C084D73" w14:textId="77777777">
            <w:pPr>
              <w:widowControl/>
              <w:autoSpaceDE/>
              <w:autoSpaceDN/>
              <w:rPr>
                <w:color w:val="000000"/>
                <w:sz w:val="24"/>
                <w:szCs w:val="24"/>
              </w:rPr>
            </w:pPr>
            <w:r w:rsidRPr="00044BA0">
              <w:rPr>
                <w:color w:val="000000"/>
                <w:sz w:val="24"/>
                <w:szCs w:val="24"/>
              </w:rPr>
              <w:t>CCC-902E, Farm Operating Plan for an Entity</w:t>
            </w:r>
          </w:p>
        </w:tc>
        <w:tc>
          <w:tcPr>
            <w:tcW w:w="1638" w:type="dxa"/>
            <w:tcBorders>
              <w:top w:val="nil"/>
              <w:left w:val="nil"/>
              <w:bottom w:val="single" w:sz="8" w:space="0" w:color="000000"/>
              <w:right w:val="single" w:sz="8" w:space="0" w:color="000000"/>
            </w:tcBorders>
            <w:vAlign w:val="center"/>
            <w:hideMark/>
          </w:tcPr>
          <w:p w:rsidR="005F51FB" w:rsidRPr="005F51FB" w:rsidP="005F51FB" w14:paraId="75900519" w14:textId="77777777">
            <w:pPr>
              <w:widowControl/>
              <w:autoSpaceDE/>
              <w:autoSpaceDN/>
              <w:jc w:val="right"/>
              <w:rPr>
                <w:color w:val="000000"/>
                <w:sz w:val="24"/>
                <w:szCs w:val="24"/>
              </w:rPr>
            </w:pPr>
            <w:r w:rsidRPr="005F51FB">
              <w:rPr>
                <w:color w:val="000000"/>
                <w:sz w:val="24"/>
                <w:szCs w:val="24"/>
              </w:rPr>
              <w:t>2,430</w:t>
            </w:r>
          </w:p>
        </w:tc>
        <w:tc>
          <w:tcPr>
            <w:tcW w:w="1693" w:type="dxa"/>
            <w:tcBorders>
              <w:top w:val="nil"/>
              <w:left w:val="nil"/>
              <w:bottom w:val="single" w:sz="8" w:space="0" w:color="000000"/>
              <w:right w:val="single" w:sz="8" w:space="0" w:color="000000"/>
            </w:tcBorders>
            <w:vAlign w:val="center"/>
            <w:hideMark/>
          </w:tcPr>
          <w:p w:rsidR="005F51FB" w:rsidRPr="005F51FB" w:rsidP="005F51FB" w14:paraId="3120857F" w14:textId="77777777">
            <w:pPr>
              <w:widowControl/>
              <w:autoSpaceDE/>
              <w:autoSpaceDN/>
              <w:jc w:val="right"/>
              <w:rPr>
                <w:color w:val="000000"/>
                <w:sz w:val="24"/>
                <w:szCs w:val="24"/>
              </w:rPr>
            </w:pPr>
            <w:r w:rsidRPr="005F51FB">
              <w:rPr>
                <w:color w:val="000000"/>
                <w:sz w:val="24"/>
                <w:szCs w:val="24"/>
              </w:rPr>
              <w:t>1</w:t>
            </w:r>
          </w:p>
        </w:tc>
        <w:tc>
          <w:tcPr>
            <w:tcW w:w="1546" w:type="dxa"/>
            <w:tcBorders>
              <w:top w:val="nil"/>
              <w:left w:val="nil"/>
              <w:bottom w:val="single" w:sz="8" w:space="0" w:color="000000"/>
              <w:right w:val="single" w:sz="8" w:space="0" w:color="000000"/>
            </w:tcBorders>
            <w:vAlign w:val="center"/>
            <w:hideMark/>
          </w:tcPr>
          <w:p w:rsidR="005F51FB" w:rsidRPr="005F51FB" w:rsidP="005F51FB" w14:paraId="47AE24E4" w14:textId="77777777">
            <w:pPr>
              <w:widowControl/>
              <w:autoSpaceDE/>
              <w:autoSpaceDN/>
              <w:jc w:val="right"/>
              <w:rPr>
                <w:color w:val="000000"/>
                <w:sz w:val="24"/>
                <w:szCs w:val="24"/>
              </w:rPr>
            </w:pPr>
            <w:r w:rsidRPr="005F51FB">
              <w:rPr>
                <w:color w:val="000000"/>
                <w:sz w:val="24"/>
                <w:szCs w:val="24"/>
              </w:rPr>
              <w:t>2,430</w:t>
            </w:r>
          </w:p>
        </w:tc>
        <w:tc>
          <w:tcPr>
            <w:tcW w:w="1560" w:type="dxa"/>
            <w:tcBorders>
              <w:top w:val="nil"/>
              <w:left w:val="nil"/>
              <w:bottom w:val="single" w:sz="8" w:space="0" w:color="000000"/>
              <w:right w:val="single" w:sz="8" w:space="0" w:color="000000"/>
            </w:tcBorders>
            <w:vAlign w:val="center"/>
            <w:hideMark/>
          </w:tcPr>
          <w:p w:rsidR="005F51FB" w:rsidRPr="005F51FB" w:rsidP="005F51FB" w14:paraId="7ECA0ACD" w14:textId="77777777">
            <w:pPr>
              <w:widowControl/>
              <w:autoSpaceDE/>
              <w:autoSpaceDN/>
              <w:jc w:val="right"/>
              <w:rPr>
                <w:color w:val="000000"/>
                <w:sz w:val="24"/>
                <w:szCs w:val="24"/>
              </w:rPr>
            </w:pPr>
            <w:r w:rsidRPr="005F51FB">
              <w:rPr>
                <w:color w:val="000000"/>
                <w:sz w:val="24"/>
                <w:szCs w:val="24"/>
              </w:rPr>
              <w:t>0.5</w:t>
            </w:r>
          </w:p>
        </w:tc>
        <w:tc>
          <w:tcPr>
            <w:tcW w:w="1514" w:type="dxa"/>
            <w:tcBorders>
              <w:top w:val="nil"/>
              <w:left w:val="nil"/>
              <w:bottom w:val="single" w:sz="8" w:space="0" w:color="000000"/>
              <w:right w:val="single" w:sz="8" w:space="0" w:color="000000"/>
            </w:tcBorders>
            <w:vAlign w:val="center"/>
            <w:hideMark/>
          </w:tcPr>
          <w:p w:rsidR="005F51FB" w:rsidRPr="005F51FB" w:rsidP="005F51FB" w14:paraId="280D61B8" w14:textId="77777777">
            <w:pPr>
              <w:widowControl/>
              <w:autoSpaceDE/>
              <w:autoSpaceDN/>
              <w:jc w:val="right"/>
              <w:rPr>
                <w:color w:val="000000"/>
                <w:sz w:val="24"/>
                <w:szCs w:val="24"/>
              </w:rPr>
            </w:pPr>
            <w:r w:rsidRPr="005F51FB">
              <w:rPr>
                <w:color w:val="000000"/>
                <w:sz w:val="24"/>
                <w:szCs w:val="24"/>
              </w:rPr>
              <w:t>1,215</w:t>
            </w:r>
          </w:p>
        </w:tc>
      </w:tr>
      <w:tr w14:paraId="1943D126" w14:textId="77777777" w:rsidTr="005513C4">
        <w:tblPrEx>
          <w:tblW w:w="10460" w:type="dxa"/>
          <w:tblLook w:val="04A0"/>
        </w:tblPrEx>
        <w:trPr>
          <w:trHeight w:val="940"/>
        </w:trPr>
        <w:tc>
          <w:tcPr>
            <w:tcW w:w="2509" w:type="dxa"/>
            <w:tcBorders>
              <w:top w:val="nil"/>
              <w:left w:val="single" w:sz="8" w:space="0" w:color="000000"/>
              <w:bottom w:val="single" w:sz="8" w:space="0" w:color="000000"/>
              <w:right w:val="single" w:sz="8" w:space="0" w:color="000000"/>
            </w:tcBorders>
            <w:vAlign w:val="center"/>
            <w:hideMark/>
          </w:tcPr>
          <w:p w:rsidR="005F51FB" w:rsidRPr="00044BA0" w:rsidP="005F51FB" w14:paraId="2A33394D" w14:textId="557C33F8">
            <w:pPr>
              <w:widowControl/>
              <w:autoSpaceDE/>
              <w:autoSpaceDN/>
              <w:rPr>
                <w:color w:val="000000"/>
                <w:sz w:val="24"/>
                <w:szCs w:val="24"/>
              </w:rPr>
            </w:pPr>
            <w:r w:rsidRPr="00044BA0">
              <w:rPr>
                <w:color w:val="000000"/>
                <w:sz w:val="24"/>
                <w:szCs w:val="24"/>
              </w:rPr>
              <w:t>CCC-902I, Farm Operating Plan for an Individual</w:t>
            </w:r>
          </w:p>
        </w:tc>
        <w:tc>
          <w:tcPr>
            <w:tcW w:w="1638" w:type="dxa"/>
            <w:tcBorders>
              <w:top w:val="nil"/>
              <w:left w:val="nil"/>
              <w:bottom w:val="single" w:sz="8" w:space="0" w:color="000000"/>
              <w:right w:val="single" w:sz="8" w:space="0" w:color="000000"/>
            </w:tcBorders>
            <w:vAlign w:val="center"/>
            <w:hideMark/>
          </w:tcPr>
          <w:p w:rsidR="005F51FB" w:rsidRPr="005F51FB" w:rsidP="005F51FB" w14:paraId="0A2A05EF" w14:textId="77777777">
            <w:pPr>
              <w:widowControl/>
              <w:autoSpaceDE/>
              <w:autoSpaceDN/>
              <w:jc w:val="right"/>
              <w:rPr>
                <w:color w:val="000000"/>
                <w:sz w:val="24"/>
                <w:szCs w:val="24"/>
              </w:rPr>
            </w:pPr>
            <w:r w:rsidRPr="005F51FB">
              <w:rPr>
                <w:color w:val="000000"/>
                <w:sz w:val="24"/>
                <w:szCs w:val="24"/>
              </w:rPr>
              <w:t>2,430</w:t>
            </w:r>
          </w:p>
        </w:tc>
        <w:tc>
          <w:tcPr>
            <w:tcW w:w="1693" w:type="dxa"/>
            <w:tcBorders>
              <w:top w:val="nil"/>
              <w:left w:val="nil"/>
              <w:bottom w:val="single" w:sz="8" w:space="0" w:color="000000"/>
              <w:right w:val="single" w:sz="8" w:space="0" w:color="000000"/>
            </w:tcBorders>
            <w:vAlign w:val="center"/>
            <w:hideMark/>
          </w:tcPr>
          <w:p w:rsidR="005F51FB" w:rsidRPr="005F51FB" w:rsidP="005F51FB" w14:paraId="093255D4" w14:textId="77777777">
            <w:pPr>
              <w:widowControl/>
              <w:autoSpaceDE/>
              <w:autoSpaceDN/>
              <w:jc w:val="right"/>
              <w:rPr>
                <w:color w:val="000000"/>
                <w:sz w:val="24"/>
                <w:szCs w:val="24"/>
              </w:rPr>
            </w:pPr>
            <w:r w:rsidRPr="005F51FB">
              <w:rPr>
                <w:color w:val="000000"/>
                <w:sz w:val="24"/>
                <w:szCs w:val="24"/>
              </w:rPr>
              <w:t>1</w:t>
            </w:r>
          </w:p>
        </w:tc>
        <w:tc>
          <w:tcPr>
            <w:tcW w:w="1546" w:type="dxa"/>
            <w:tcBorders>
              <w:top w:val="nil"/>
              <w:left w:val="nil"/>
              <w:bottom w:val="single" w:sz="8" w:space="0" w:color="000000"/>
              <w:right w:val="single" w:sz="8" w:space="0" w:color="000000"/>
            </w:tcBorders>
            <w:vAlign w:val="center"/>
            <w:hideMark/>
          </w:tcPr>
          <w:p w:rsidR="005F51FB" w:rsidRPr="005F51FB" w:rsidP="005F51FB" w14:paraId="6B135BBD" w14:textId="77777777">
            <w:pPr>
              <w:widowControl/>
              <w:autoSpaceDE/>
              <w:autoSpaceDN/>
              <w:jc w:val="right"/>
              <w:rPr>
                <w:color w:val="000000"/>
                <w:sz w:val="24"/>
                <w:szCs w:val="24"/>
              </w:rPr>
            </w:pPr>
            <w:r w:rsidRPr="005F51FB">
              <w:rPr>
                <w:color w:val="000000"/>
                <w:sz w:val="24"/>
                <w:szCs w:val="24"/>
              </w:rPr>
              <w:t>2,430</w:t>
            </w:r>
          </w:p>
        </w:tc>
        <w:tc>
          <w:tcPr>
            <w:tcW w:w="1560" w:type="dxa"/>
            <w:tcBorders>
              <w:top w:val="nil"/>
              <w:left w:val="nil"/>
              <w:bottom w:val="single" w:sz="8" w:space="0" w:color="000000"/>
              <w:right w:val="single" w:sz="8" w:space="0" w:color="000000"/>
            </w:tcBorders>
            <w:vAlign w:val="center"/>
            <w:hideMark/>
          </w:tcPr>
          <w:p w:rsidR="005F51FB" w:rsidRPr="005F51FB" w:rsidP="005F51FB" w14:paraId="60B34490" w14:textId="77777777">
            <w:pPr>
              <w:widowControl/>
              <w:autoSpaceDE/>
              <w:autoSpaceDN/>
              <w:jc w:val="right"/>
              <w:rPr>
                <w:color w:val="000000"/>
                <w:sz w:val="24"/>
                <w:szCs w:val="24"/>
              </w:rPr>
            </w:pPr>
            <w:r w:rsidRPr="005F51FB">
              <w:rPr>
                <w:color w:val="000000"/>
                <w:sz w:val="24"/>
                <w:szCs w:val="24"/>
              </w:rPr>
              <w:t>0.5</w:t>
            </w:r>
          </w:p>
        </w:tc>
        <w:tc>
          <w:tcPr>
            <w:tcW w:w="1514" w:type="dxa"/>
            <w:tcBorders>
              <w:top w:val="nil"/>
              <w:left w:val="nil"/>
              <w:bottom w:val="single" w:sz="8" w:space="0" w:color="000000"/>
              <w:right w:val="single" w:sz="8" w:space="0" w:color="000000"/>
            </w:tcBorders>
            <w:vAlign w:val="center"/>
            <w:hideMark/>
          </w:tcPr>
          <w:p w:rsidR="005F51FB" w:rsidRPr="005F51FB" w:rsidP="005F51FB" w14:paraId="585A3F86" w14:textId="77777777">
            <w:pPr>
              <w:widowControl/>
              <w:autoSpaceDE/>
              <w:autoSpaceDN/>
              <w:jc w:val="right"/>
              <w:rPr>
                <w:color w:val="000000"/>
                <w:sz w:val="24"/>
                <w:szCs w:val="24"/>
              </w:rPr>
            </w:pPr>
            <w:r w:rsidRPr="005F51FB">
              <w:rPr>
                <w:color w:val="000000"/>
                <w:sz w:val="24"/>
                <w:szCs w:val="24"/>
              </w:rPr>
              <w:t>1,215</w:t>
            </w:r>
          </w:p>
        </w:tc>
      </w:tr>
      <w:tr w14:paraId="1193F5DB" w14:textId="77777777" w:rsidTr="005513C4">
        <w:tblPrEx>
          <w:tblW w:w="10460" w:type="dxa"/>
          <w:tblLook w:val="04A0"/>
        </w:tblPrEx>
        <w:trPr>
          <w:trHeight w:val="1560"/>
        </w:trPr>
        <w:tc>
          <w:tcPr>
            <w:tcW w:w="2509" w:type="dxa"/>
            <w:tcBorders>
              <w:top w:val="nil"/>
              <w:left w:val="single" w:sz="8" w:space="0" w:color="000000"/>
              <w:bottom w:val="single" w:sz="8" w:space="0" w:color="000000"/>
              <w:right w:val="single" w:sz="8" w:space="0" w:color="000000"/>
            </w:tcBorders>
            <w:vAlign w:val="center"/>
            <w:hideMark/>
          </w:tcPr>
          <w:p w:rsidR="005F51FB" w:rsidRPr="00044BA0" w:rsidP="005F51FB" w14:paraId="59BB4DA2" w14:textId="77777777">
            <w:pPr>
              <w:widowControl/>
              <w:autoSpaceDE/>
              <w:autoSpaceDN/>
              <w:rPr>
                <w:color w:val="000000"/>
                <w:sz w:val="24"/>
                <w:szCs w:val="24"/>
              </w:rPr>
            </w:pPr>
            <w:r w:rsidRPr="00044BA0">
              <w:rPr>
                <w:color w:val="000000"/>
                <w:sz w:val="24"/>
                <w:szCs w:val="24"/>
              </w:rPr>
              <w:t>FSA-510, Request for an Exception to the $125,000 Payment Limitation for Certain Programs</w:t>
            </w:r>
          </w:p>
        </w:tc>
        <w:tc>
          <w:tcPr>
            <w:tcW w:w="1638" w:type="dxa"/>
            <w:tcBorders>
              <w:top w:val="nil"/>
              <w:left w:val="nil"/>
              <w:bottom w:val="single" w:sz="8" w:space="0" w:color="000000"/>
              <w:right w:val="single" w:sz="8" w:space="0" w:color="000000"/>
            </w:tcBorders>
            <w:vAlign w:val="center"/>
            <w:hideMark/>
          </w:tcPr>
          <w:p w:rsidR="005F51FB" w:rsidRPr="005F51FB" w:rsidP="005F51FB" w14:paraId="019E2DDA" w14:textId="77777777">
            <w:pPr>
              <w:widowControl/>
              <w:autoSpaceDE/>
              <w:autoSpaceDN/>
              <w:jc w:val="right"/>
              <w:rPr>
                <w:color w:val="000000"/>
                <w:sz w:val="24"/>
                <w:szCs w:val="24"/>
              </w:rPr>
            </w:pPr>
            <w:r w:rsidRPr="005F51FB">
              <w:rPr>
                <w:color w:val="000000"/>
                <w:sz w:val="24"/>
                <w:szCs w:val="24"/>
              </w:rPr>
              <w:t>1,944</w:t>
            </w:r>
          </w:p>
        </w:tc>
        <w:tc>
          <w:tcPr>
            <w:tcW w:w="1693" w:type="dxa"/>
            <w:tcBorders>
              <w:top w:val="nil"/>
              <w:left w:val="nil"/>
              <w:bottom w:val="single" w:sz="8" w:space="0" w:color="000000"/>
              <w:right w:val="single" w:sz="8" w:space="0" w:color="000000"/>
            </w:tcBorders>
            <w:vAlign w:val="center"/>
            <w:hideMark/>
          </w:tcPr>
          <w:p w:rsidR="005F51FB" w:rsidRPr="005F51FB" w:rsidP="005F51FB" w14:paraId="2C51AA2F" w14:textId="77777777">
            <w:pPr>
              <w:widowControl/>
              <w:autoSpaceDE/>
              <w:autoSpaceDN/>
              <w:jc w:val="right"/>
              <w:rPr>
                <w:color w:val="000000"/>
                <w:sz w:val="24"/>
                <w:szCs w:val="24"/>
              </w:rPr>
            </w:pPr>
            <w:r w:rsidRPr="005F51FB">
              <w:rPr>
                <w:color w:val="000000"/>
                <w:sz w:val="24"/>
                <w:szCs w:val="24"/>
              </w:rPr>
              <w:t>1.3</w:t>
            </w:r>
          </w:p>
        </w:tc>
        <w:tc>
          <w:tcPr>
            <w:tcW w:w="1546" w:type="dxa"/>
            <w:tcBorders>
              <w:top w:val="nil"/>
              <w:left w:val="nil"/>
              <w:bottom w:val="single" w:sz="8" w:space="0" w:color="000000"/>
              <w:right w:val="single" w:sz="8" w:space="0" w:color="000000"/>
            </w:tcBorders>
            <w:vAlign w:val="center"/>
            <w:hideMark/>
          </w:tcPr>
          <w:p w:rsidR="005F51FB" w:rsidRPr="005F51FB" w:rsidP="005F51FB" w14:paraId="53FAAA6F" w14:textId="77777777">
            <w:pPr>
              <w:widowControl/>
              <w:autoSpaceDE/>
              <w:autoSpaceDN/>
              <w:jc w:val="right"/>
              <w:rPr>
                <w:color w:val="000000"/>
                <w:sz w:val="24"/>
                <w:szCs w:val="24"/>
              </w:rPr>
            </w:pPr>
            <w:r w:rsidRPr="005F51FB">
              <w:rPr>
                <w:color w:val="000000"/>
                <w:sz w:val="24"/>
                <w:szCs w:val="24"/>
              </w:rPr>
              <w:t>2,527</w:t>
            </w:r>
          </w:p>
        </w:tc>
        <w:tc>
          <w:tcPr>
            <w:tcW w:w="1560" w:type="dxa"/>
            <w:tcBorders>
              <w:top w:val="nil"/>
              <w:left w:val="nil"/>
              <w:bottom w:val="single" w:sz="8" w:space="0" w:color="000000"/>
              <w:right w:val="single" w:sz="8" w:space="0" w:color="000000"/>
            </w:tcBorders>
            <w:vAlign w:val="center"/>
            <w:hideMark/>
          </w:tcPr>
          <w:p w:rsidR="005F51FB" w:rsidRPr="005F51FB" w:rsidP="005F51FB" w14:paraId="5269561A" w14:textId="77777777">
            <w:pPr>
              <w:widowControl/>
              <w:autoSpaceDE/>
              <w:autoSpaceDN/>
              <w:jc w:val="right"/>
              <w:rPr>
                <w:color w:val="000000"/>
                <w:sz w:val="24"/>
                <w:szCs w:val="24"/>
              </w:rPr>
            </w:pPr>
            <w:r w:rsidRPr="005F51FB">
              <w:rPr>
                <w:color w:val="000000"/>
                <w:sz w:val="24"/>
                <w:szCs w:val="24"/>
              </w:rPr>
              <w:t>0.0835</w:t>
            </w:r>
          </w:p>
        </w:tc>
        <w:tc>
          <w:tcPr>
            <w:tcW w:w="1514" w:type="dxa"/>
            <w:tcBorders>
              <w:top w:val="nil"/>
              <w:left w:val="nil"/>
              <w:bottom w:val="single" w:sz="8" w:space="0" w:color="000000"/>
              <w:right w:val="single" w:sz="8" w:space="0" w:color="000000"/>
            </w:tcBorders>
            <w:vAlign w:val="center"/>
            <w:hideMark/>
          </w:tcPr>
          <w:p w:rsidR="005F51FB" w:rsidRPr="005F51FB" w:rsidP="005F51FB" w14:paraId="2E1909A6" w14:textId="77777777">
            <w:pPr>
              <w:widowControl/>
              <w:autoSpaceDE/>
              <w:autoSpaceDN/>
              <w:jc w:val="right"/>
              <w:rPr>
                <w:color w:val="000000"/>
                <w:sz w:val="24"/>
                <w:szCs w:val="24"/>
              </w:rPr>
            </w:pPr>
            <w:r w:rsidRPr="005F51FB">
              <w:rPr>
                <w:color w:val="000000"/>
                <w:sz w:val="24"/>
                <w:szCs w:val="24"/>
              </w:rPr>
              <w:t>211</w:t>
            </w:r>
          </w:p>
        </w:tc>
      </w:tr>
      <w:tr w14:paraId="21599B7F" w14:textId="77777777" w:rsidTr="005513C4">
        <w:tblPrEx>
          <w:tblW w:w="10460" w:type="dxa"/>
          <w:tblLook w:val="04A0"/>
        </w:tblPrEx>
        <w:trPr>
          <w:trHeight w:val="1670"/>
        </w:trPr>
        <w:tc>
          <w:tcPr>
            <w:tcW w:w="2509" w:type="dxa"/>
            <w:tcBorders>
              <w:top w:val="nil"/>
              <w:left w:val="single" w:sz="8" w:space="0" w:color="000000"/>
              <w:bottom w:val="single" w:sz="8" w:space="0" w:color="000000"/>
              <w:right w:val="single" w:sz="8" w:space="0" w:color="000000"/>
            </w:tcBorders>
            <w:vAlign w:val="center"/>
            <w:hideMark/>
          </w:tcPr>
          <w:p w:rsidR="005F51FB" w:rsidRPr="00044BA0" w:rsidP="005F51FB" w14:paraId="744B9026" w14:textId="77777777">
            <w:pPr>
              <w:widowControl/>
              <w:autoSpaceDE/>
              <w:autoSpaceDN/>
            </w:pPr>
            <w:r w:rsidRPr="00044BA0">
              <w:t>AD-1026, Highly Erodible Land Conservation (HELC) and Wetland Conservation (WC) Certification (EXEMPT)</w:t>
            </w:r>
          </w:p>
        </w:tc>
        <w:tc>
          <w:tcPr>
            <w:tcW w:w="1638" w:type="dxa"/>
            <w:tcBorders>
              <w:top w:val="nil"/>
              <w:left w:val="nil"/>
              <w:bottom w:val="single" w:sz="8" w:space="0" w:color="000000"/>
              <w:right w:val="single" w:sz="8" w:space="0" w:color="000000"/>
            </w:tcBorders>
            <w:vAlign w:val="center"/>
            <w:hideMark/>
          </w:tcPr>
          <w:p w:rsidR="005F51FB" w:rsidRPr="005F51FB" w:rsidP="005F51FB" w14:paraId="11E5E77C" w14:textId="77777777">
            <w:pPr>
              <w:widowControl/>
              <w:autoSpaceDE/>
              <w:autoSpaceDN/>
              <w:jc w:val="right"/>
              <w:rPr>
                <w:sz w:val="24"/>
                <w:szCs w:val="24"/>
              </w:rPr>
            </w:pPr>
            <w:r w:rsidRPr="005F51FB">
              <w:rPr>
                <w:sz w:val="24"/>
                <w:szCs w:val="24"/>
              </w:rPr>
              <w:t>972</w:t>
            </w:r>
          </w:p>
        </w:tc>
        <w:tc>
          <w:tcPr>
            <w:tcW w:w="1693" w:type="dxa"/>
            <w:tcBorders>
              <w:top w:val="nil"/>
              <w:left w:val="nil"/>
              <w:bottom w:val="single" w:sz="8" w:space="0" w:color="000000"/>
              <w:right w:val="single" w:sz="8" w:space="0" w:color="000000"/>
            </w:tcBorders>
            <w:vAlign w:val="center"/>
            <w:hideMark/>
          </w:tcPr>
          <w:p w:rsidR="005F51FB" w:rsidRPr="005F51FB" w:rsidP="005F51FB" w14:paraId="3BEE4641" w14:textId="77777777">
            <w:pPr>
              <w:widowControl/>
              <w:autoSpaceDE/>
              <w:autoSpaceDN/>
              <w:jc w:val="right"/>
              <w:rPr>
                <w:sz w:val="24"/>
                <w:szCs w:val="24"/>
              </w:rPr>
            </w:pPr>
            <w:r w:rsidRPr="005F51FB">
              <w:rPr>
                <w:sz w:val="24"/>
                <w:szCs w:val="24"/>
              </w:rPr>
              <w:t>1</w:t>
            </w:r>
          </w:p>
        </w:tc>
        <w:tc>
          <w:tcPr>
            <w:tcW w:w="1546" w:type="dxa"/>
            <w:tcBorders>
              <w:top w:val="nil"/>
              <w:left w:val="nil"/>
              <w:bottom w:val="single" w:sz="8" w:space="0" w:color="000000"/>
              <w:right w:val="single" w:sz="8" w:space="0" w:color="000000"/>
            </w:tcBorders>
            <w:vAlign w:val="center"/>
            <w:hideMark/>
          </w:tcPr>
          <w:p w:rsidR="005F51FB" w:rsidRPr="005F51FB" w:rsidP="005F51FB" w14:paraId="3F0A0D05" w14:textId="77777777">
            <w:pPr>
              <w:widowControl/>
              <w:autoSpaceDE/>
              <w:autoSpaceDN/>
              <w:jc w:val="right"/>
              <w:rPr>
                <w:sz w:val="24"/>
                <w:szCs w:val="24"/>
              </w:rPr>
            </w:pPr>
            <w:r w:rsidRPr="005F51FB">
              <w:rPr>
                <w:sz w:val="24"/>
                <w:szCs w:val="24"/>
              </w:rPr>
              <w:t>972</w:t>
            </w:r>
          </w:p>
        </w:tc>
        <w:tc>
          <w:tcPr>
            <w:tcW w:w="1560" w:type="dxa"/>
            <w:tcBorders>
              <w:top w:val="nil"/>
              <w:left w:val="nil"/>
              <w:bottom w:val="single" w:sz="8" w:space="0" w:color="000000"/>
              <w:right w:val="single" w:sz="8" w:space="0" w:color="000000"/>
            </w:tcBorders>
            <w:vAlign w:val="center"/>
            <w:hideMark/>
          </w:tcPr>
          <w:p w:rsidR="005F51FB" w:rsidRPr="00285FFB" w:rsidP="005F51FB" w14:paraId="7FA257BF" w14:textId="77777777">
            <w:pPr>
              <w:widowControl/>
              <w:autoSpaceDE/>
              <w:autoSpaceDN/>
              <w:jc w:val="right"/>
              <w:rPr>
                <w:color w:val="000000" w:themeColor="text1"/>
                <w:sz w:val="24"/>
                <w:szCs w:val="24"/>
              </w:rPr>
            </w:pPr>
            <w:r w:rsidRPr="00285FFB">
              <w:rPr>
                <w:color w:val="000000" w:themeColor="text1"/>
                <w:sz w:val="24"/>
                <w:szCs w:val="24"/>
              </w:rPr>
              <w:t>0.0835</w:t>
            </w:r>
          </w:p>
        </w:tc>
        <w:tc>
          <w:tcPr>
            <w:tcW w:w="1514" w:type="dxa"/>
            <w:tcBorders>
              <w:top w:val="nil"/>
              <w:left w:val="nil"/>
              <w:bottom w:val="single" w:sz="8" w:space="0" w:color="000000"/>
              <w:right w:val="single" w:sz="8" w:space="0" w:color="000000"/>
            </w:tcBorders>
            <w:vAlign w:val="center"/>
            <w:hideMark/>
          </w:tcPr>
          <w:p w:rsidR="005F51FB" w:rsidRPr="00285FFB" w:rsidP="005F51FB" w14:paraId="120D3FE9" w14:textId="6E225921">
            <w:pPr>
              <w:widowControl/>
              <w:autoSpaceDE/>
              <w:autoSpaceDN/>
              <w:jc w:val="right"/>
              <w:rPr>
                <w:color w:val="000000" w:themeColor="text1"/>
                <w:sz w:val="24"/>
                <w:szCs w:val="24"/>
              </w:rPr>
            </w:pPr>
            <w:r w:rsidRPr="00285FFB">
              <w:rPr>
                <w:color w:val="000000" w:themeColor="text1"/>
                <w:sz w:val="24"/>
                <w:szCs w:val="24"/>
              </w:rPr>
              <w:t>EXEMPT</w:t>
            </w:r>
          </w:p>
        </w:tc>
      </w:tr>
      <w:tr w14:paraId="712E1AE1" w14:textId="77777777" w:rsidTr="005513C4">
        <w:tblPrEx>
          <w:tblW w:w="10460" w:type="dxa"/>
          <w:tblLook w:val="04A0"/>
        </w:tblPrEx>
        <w:trPr>
          <w:trHeight w:val="580"/>
        </w:trPr>
        <w:tc>
          <w:tcPr>
            <w:tcW w:w="2509" w:type="dxa"/>
            <w:tcBorders>
              <w:top w:val="nil"/>
              <w:left w:val="single" w:sz="8" w:space="0" w:color="000000"/>
              <w:bottom w:val="single" w:sz="8" w:space="0" w:color="000000"/>
              <w:right w:val="single" w:sz="8" w:space="0" w:color="000000"/>
            </w:tcBorders>
            <w:vAlign w:val="center"/>
            <w:hideMark/>
          </w:tcPr>
          <w:p w:rsidR="005F51FB" w:rsidRPr="005F51FB" w:rsidP="005F51FB" w14:paraId="05AF266A" w14:textId="77777777">
            <w:pPr>
              <w:widowControl/>
              <w:autoSpaceDE/>
              <w:autoSpaceDN/>
              <w:rPr>
                <w:color w:val="000000"/>
                <w:sz w:val="24"/>
                <w:szCs w:val="24"/>
              </w:rPr>
            </w:pPr>
            <w:r w:rsidRPr="00044BA0">
              <w:rPr>
                <w:color w:val="000000"/>
                <w:sz w:val="24"/>
                <w:szCs w:val="24"/>
              </w:rPr>
              <w:t>FSA-578, Report of Acreage</w:t>
            </w:r>
          </w:p>
        </w:tc>
        <w:tc>
          <w:tcPr>
            <w:tcW w:w="1638" w:type="dxa"/>
            <w:tcBorders>
              <w:top w:val="nil"/>
              <w:left w:val="nil"/>
              <w:bottom w:val="single" w:sz="8" w:space="0" w:color="000000"/>
              <w:right w:val="single" w:sz="8" w:space="0" w:color="000000"/>
            </w:tcBorders>
            <w:vAlign w:val="center"/>
            <w:hideMark/>
          </w:tcPr>
          <w:p w:rsidR="005F51FB" w:rsidRPr="005F51FB" w:rsidP="005F51FB" w14:paraId="2B616ABB" w14:textId="77777777">
            <w:pPr>
              <w:widowControl/>
              <w:autoSpaceDE/>
              <w:autoSpaceDN/>
              <w:jc w:val="right"/>
              <w:rPr>
                <w:color w:val="000000"/>
                <w:sz w:val="24"/>
                <w:szCs w:val="24"/>
              </w:rPr>
            </w:pPr>
            <w:r w:rsidRPr="005F51FB">
              <w:rPr>
                <w:color w:val="000000"/>
                <w:sz w:val="24"/>
                <w:szCs w:val="24"/>
              </w:rPr>
              <w:t>14,582</w:t>
            </w:r>
          </w:p>
        </w:tc>
        <w:tc>
          <w:tcPr>
            <w:tcW w:w="1693" w:type="dxa"/>
            <w:tcBorders>
              <w:top w:val="nil"/>
              <w:left w:val="nil"/>
              <w:bottom w:val="single" w:sz="8" w:space="0" w:color="000000"/>
              <w:right w:val="single" w:sz="8" w:space="0" w:color="000000"/>
            </w:tcBorders>
            <w:vAlign w:val="center"/>
            <w:hideMark/>
          </w:tcPr>
          <w:p w:rsidR="005F51FB" w:rsidRPr="005F51FB" w:rsidP="005F51FB" w14:paraId="53484094" w14:textId="77777777">
            <w:pPr>
              <w:widowControl/>
              <w:autoSpaceDE/>
              <w:autoSpaceDN/>
              <w:jc w:val="right"/>
              <w:rPr>
                <w:color w:val="000000"/>
                <w:sz w:val="24"/>
                <w:szCs w:val="24"/>
              </w:rPr>
            </w:pPr>
            <w:r w:rsidRPr="005F51FB">
              <w:rPr>
                <w:color w:val="000000"/>
                <w:sz w:val="24"/>
                <w:szCs w:val="24"/>
              </w:rPr>
              <w:t>1.3</w:t>
            </w:r>
          </w:p>
        </w:tc>
        <w:tc>
          <w:tcPr>
            <w:tcW w:w="1546" w:type="dxa"/>
            <w:tcBorders>
              <w:top w:val="nil"/>
              <w:left w:val="nil"/>
              <w:bottom w:val="single" w:sz="8" w:space="0" w:color="000000"/>
              <w:right w:val="single" w:sz="8" w:space="0" w:color="000000"/>
            </w:tcBorders>
            <w:vAlign w:val="center"/>
            <w:hideMark/>
          </w:tcPr>
          <w:p w:rsidR="005F51FB" w:rsidRPr="005F51FB" w:rsidP="005F51FB" w14:paraId="15E253E5" w14:textId="77777777">
            <w:pPr>
              <w:widowControl/>
              <w:autoSpaceDE/>
              <w:autoSpaceDN/>
              <w:jc w:val="right"/>
              <w:rPr>
                <w:color w:val="000000"/>
                <w:sz w:val="24"/>
                <w:szCs w:val="24"/>
              </w:rPr>
            </w:pPr>
            <w:r w:rsidRPr="005F51FB">
              <w:rPr>
                <w:color w:val="000000"/>
                <w:sz w:val="24"/>
                <w:szCs w:val="24"/>
              </w:rPr>
              <w:t>18,957</w:t>
            </w:r>
          </w:p>
        </w:tc>
        <w:tc>
          <w:tcPr>
            <w:tcW w:w="1560" w:type="dxa"/>
            <w:tcBorders>
              <w:top w:val="nil"/>
              <w:left w:val="nil"/>
              <w:bottom w:val="single" w:sz="8" w:space="0" w:color="000000"/>
              <w:right w:val="single" w:sz="8" w:space="0" w:color="000000"/>
            </w:tcBorders>
            <w:vAlign w:val="center"/>
            <w:hideMark/>
          </w:tcPr>
          <w:p w:rsidR="005F51FB" w:rsidRPr="005F51FB" w:rsidP="005F51FB" w14:paraId="26B941C6" w14:textId="77777777">
            <w:pPr>
              <w:widowControl/>
              <w:autoSpaceDE/>
              <w:autoSpaceDN/>
              <w:jc w:val="right"/>
              <w:rPr>
                <w:color w:val="000000"/>
                <w:sz w:val="24"/>
                <w:szCs w:val="24"/>
              </w:rPr>
            </w:pPr>
            <w:r w:rsidRPr="005F51FB">
              <w:rPr>
                <w:color w:val="000000"/>
                <w:sz w:val="24"/>
                <w:szCs w:val="24"/>
              </w:rPr>
              <w:t>0.5</w:t>
            </w:r>
          </w:p>
        </w:tc>
        <w:tc>
          <w:tcPr>
            <w:tcW w:w="1514" w:type="dxa"/>
            <w:tcBorders>
              <w:top w:val="nil"/>
              <w:left w:val="nil"/>
              <w:bottom w:val="single" w:sz="8" w:space="0" w:color="000000"/>
              <w:right w:val="single" w:sz="8" w:space="0" w:color="000000"/>
            </w:tcBorders>
            <w:vAlign w:val="center"/>
            <w:hideMark/>
          </w:tcPr>
          <w:p w:rsidR="005F51FB" w:rsidRPr="005F51FB" w:rsidP="005F51FB" w14:paraId="2C1D0AA5" w14:textId="77777777">
            <w:pPr>
              <w:widowControl/>
              <w:autoSpaceDE/>
              <w:autoSpaceDN/>
              <w:jc w:val="right"/>
              <w:rPr>
                <w:color w:val="000000"/>
                <w:sz w:val="24"/>
                <w:szCs w:val="24"/>
              </w:rPr>
            </w:pPr>
            <w:r w:rsidRPr="005F51FB">
              <w:rPr>
                <w:color w:val="000000"/>
                <w:sz w:val="24"/>
                <w:szCs w:val="24"/>
              </w:rPr>
              <w:t>9,478</w:t>
            </w:r>
          </w:p>
        </w:tc>
      </w:tr>
      <w:tr w14:paraId="56BE1253" w14:textId="77777777" w:rsidTr="005513C4">
        <w:tblPrEx>
          <w:tblW w:w="10460" w:type="dxa"/>
          <w:tblLook w:val="04A0"/>
        </w:tblPrEx>
        <w:trPr>
          <w:trHeight w:val="940"/>
        </w:trPr>
        <w:tc>
          <w:tcPr>
            <w:tcW w:w="2509" w:type="dxa"/>
            <w:tcBorders>
              <w:top w:val="nil"/>
              <w:left w:val="single" w:sz="8" w:space="0" w:color="000000"/>
              <w:bottom w:val="single" w:sz="8" w:space="0" w:color="000000"/>
              <w:right w:val="single" w:sz="8" w:space="0" w:color="000000"/>
            </w:tcBorders>
            <w:vAlign w:val="center"/>
            <w:hideMark/>
          </w:tcPr>
          <w:p w:rsidR="005F51FB" w:rsidRPr="005F51FB" w:rsidP="005F51FB" w14:paraId="10CA19C2" w14:textId="77777777">
            <w:pPr>
              <w:widowControl/>
              <w:autoSpaceDE/>
              <w:autoSpaceDN/>
              <w:rPr>
                <w:color w:val="000000"/>
                <w:sz w:val="24"/>
                <w:szCs w:val="24"/>
              </w:rPr>
            </w:pPr>
            <w:r w:rsidRPr="005F51FB">
              <w:rPr>
                <w:color w:val="000000"/>
                <w:sz w:val="24"/>
                <w:szCs w:val="24"/>
              </w:rPr>
              <w:t xml:space="preserve">Documentation of </w:t>
            </w:r>
            <w:r w:rsidRPr="005F51FB">
              <w:rPr>
                <w:color w:val="000000"/>
                <w:sz w:val="24"/>
                <w:szCs w:val="24"/>
              </w:rPr>
              <w:t>crop</w:t>
            </w:r>
            <w:r w:rsidRPr="005F51FB">
              <w:rPr>
                <w:color w:val="000000"/>
                <w:sz w:val="24"/>
                <w:szCs w:val="24"/>
              </w:rPr>
              <w:t xml:space="preserve">, </w:t>
            </w:r>
            <w:r w:rsidRPr="005F51FB">
              <w:rPr>
                <w:color w:val="000000"/>
                <w:sz w:val="24"/>
                <w:szCs w:val="24"/>
              </w:rPr>
              <w:t>tree</w:t>
            </w:r>
            <w:r w:rsidRPr="005F51FB">
              <w:rPr>
                <w:color w:val="000000"/>
                <w:sz w:val="24"/>
                <w:szCs w:val="24"/>
              </w:rPr>
              <w:t>, bush, and vine losses</w:t>
            </w:r>
          </w:p>
        </w:tc>
        <w:tc>
          <w:tcPr>
            <w:tcW w:w="1638" w:type="dxa"/>
            <w:tcBorders>
              <w:top w:val="nil"/>
              <w:left w:val="nil"/>
              <w:bottom w:val="single" w:sz="8" w:space="0" w:color="000000"/>
              <w:right w:val="single" w:sz="8" w:space="0" w:color="000000"/>
            </w:tcBorders>
            <w:vAlign w:val="center"/>
            <w:hideMark/>
          </w:tcPr>
          <w:p w:rsidR="005F51FB" w:rsidRPr="005F51FB" w:rsidP="005F51FB" w14:paraId="344AF03C" w14:textId="77777777">
            <w:pPr>
              <w:widowControl/>
              <w:autoSpaceDE/>
              <w:autoSpaceDN/>
              <w:jc w:val="right"/>
              <w:rPr>
                <w:color w:val="000000"/>
                <w:sz w:val="24"/>
                <w:szCs w:val="24"/>
              </w:rPr>
            </w:pPr>
            <w:r w:rsidRPr="005F51FB">
              <w:rPr>
                <w:color w:val="000000"/>
                <w:sz w:val="24"/>
                <w:szCs w:val="24"/>
              </w:rPr>
              <w:t>72,106</w:t>
            </w:r>
          </w:p>
        </w:tc>
        <w:tc>
          <w:tcPr>
            <w:tcW w:w="1693" w:type="dxa"/>
            <w:tcBorders>
              <w:top w:val="nil"/>
              <w:left w:val="nil"/>
              <w:bottom w:val="single" w:sz="8" w:space="0" w:color="000000"/>
              <w:right w:val="single" w:sz="8" w:space="0" w:color="000000"/>
            </w:tcBorders>
            <w:vAlign w:val="center"/>
            <w:hideMark/>
          </w:tcPr>
          <w:p w:rsidR="005F51FB" w:rsidRPr="005F51FB" w:rsidP="005F51FB" w14:paraId="39EEEF96" w14:textId="77777777">
            <w:pPr>
              <w:widowControl/>
              <w:autoSpaceDE/>
              <w:autoSpaceDN/>
              <w:jc w:val="right"/>
              <w:rPr>
                <w:color w:val="000000"/>
                <w:sz w:val="24"/>
                <w:szCs w:val="24"/>
              </w:rPr>
            </w:pPr>
            <w:r w:rsidRPr="005F51FB">
              <w:rPr>
                <w:color w:val="000000"/>
                <w:sz w:val="24"/>
                <w:szCs w:val="24"/>
              </w:rPr>
              <w:t>1</w:t>
            </w:r>
          </w:p>
        </w:tc>
        <w:tc>
          <w:tcPr>
            <w:tcW w:w="1546" w:type="dxa"/>
            <w:tcBorders>
              <w:top w:val="nil"/>
              <w:left w:val="nil"/>
              <w:bottom w:val="single" w:sz="8" w:space="0" w:color="000000"/>
              <w:right w:val="single" w:sz="8" w:space="0" w:color="000000"/>
            </w:tcBorders>
            <w:vAlign w:val="center"/>
            <w:hideMark/>
          </w:tcPr>
          <w:p w:rsidR="005F51FB" w:rsidRPr="005F51FB" w:rsidP="005F51FB" w14:paraId="1E6A1367" w14:textId="77777777">
            <w:pPr>
              <w:widowControl/>
              <w:autoSpaceDE/>
              <w:autoSpaceDN/>
              <w:jc w:val="right"/>
              <w:rPr>
                <w:color w:val="000000"/>
                <w:sz w:val="24"/>
                <w:szCs w:val="24"/>
              </w:rPr>
            </w:pPr>
            <w:r w:rsidRPr="005F51FB">
              <w:rPr>
                <w:color w:val="000000"/>
                <w:sz w:val="24"/>
                <w:szCs w:val="24"/>
              </w:rPr>
              <w:t>72,106</w:t>
            </w:r>
          </w:p>
        </w:tc>
        <w:tc>
          <w:tcPr>
            <w:tcW w:w="1560" w:type="dxa"/>
            <w:tcBorders>
              <w:top w:val="nil"/>
              <w:left w:val="nil"/>
              <w:bottom w:val="single" w:sz="8" w:space="0" w:color="000000"/>
              <w:right w:val="single" w:sz="8" w:space="0" w:color="000000"/>
            </w:tcBorders>
            <w:vAlign w:val="center"/>
            <w:hideMark/>
          </w:tcPr>
          <w:p w:rsidR="005F51FB" w:rsidRPr="005F51FB" w:rsidP="005F51FB" w14:paraId="66771BF3" w14:textId="77777777">
            <w:pPr>
              <w:widowControl/>
              <w:autoSpaceDE/>
              <w:autoSpaceDN/>
              <w:jc w:val="right"/>
              <w:rPr>
                <w:color w:val="000000"/>
                <w:sz w:val="24"/>
                <w:szCs w:val="24"/>
              </w:rPr>
            </w:pPr>
            <w:r w:rsidRPr="005F51FB">
              <w:rPr>
                <w:color w:val="000000"/>
                <w:sz w:val="24"/>
                <w:szCs w:val="24"/>
              </w:rPr>
              <w:t>0.5</w:t>
            </w:r>
          </w:p>
        </w:tc>
        <w:tc>
          <w:tcPr>
            <w:tcW w:w="1514" w:type="dxa"/>
            <w:tcBorders>
              <w:top w:val="nil"/>
              <w:left w:val="nil"/>
              <w:bottom w:val="single" w:sz="8" w:space="0" w:color="000000"/>
              <w:right w:val="single" w:sz="8" w:space="0" w:color="000000"/>
            </w:tcBorders>
            <w:vAlign w:val="center"/>
            <w:hideMark/>
          </w:tcPr>
          <w:p w:rsidR="005F51FB" w:rsidRPr="005F51FB" w:rsidP="005F51FB" w14:paraId="027828B3" w14:textId="77777777">
            <w:pPr>
              <w:widowControl/>
              <w:autoSpaceDE/>
              <w:autoSpaceDN/>
              <w:jc w:val="right"/>
              <w:rPr>
                <w:color w:val="000000"/>
                <w:sz w:val="24"/>
                <w:szCs w:val="24"/>
              </w:rPr>
            </w:pPr>
            <w:r w:rsidRPr="005F51FB">
              <w:rPr>
                <w:color w:val="000000"/>
                <w:sz w:val="24"/>
                <w:szCs w:val="24"/>
              </w:rPr>
              <w:t>36,053</w:t>
            </w:r>
          </w:p>
        </w:tc>
      </w:tr>
      <w:tr w14:paraId="4E42DC58" w14:textId="77777777" w:rsidTr="005513C4">
        <w:tblPrEx>
          <w:tblW w:w="10460" w:type="dxa"/>
          <w:tblLook w:val="04A0"/>
        </w:tblPrEx>
        <w:trPr>
          <w:trHeight w:val="310"/>
        </w:trPr>
        <w:tc>
          <w:tcPr>
            <w:tcW w:w="2509" w:type="dxa"/>
            <w:tcBorders>
              <w:top w:val="nil"/>
              <w:left w:val="single" w:sz="8" w:space="0" w:color="000000"/>
              <w:bottom w:val="single" w:sz="8" w:space="0" w:color="000000"/>
              <w:right w:val="single" w:sz="8" w:space="0" w:color="000000"/>
            </w:tcBorders>
            <w:vAlign w:val="center"/>
            <w:hideMark/>
          </w:tcPr>
          <w:p w:rsidR="005F51FB" w:rsidRPr="005F51FB" w:rsidP="005F51FB" w14:paraId="54D1D5F1" w14:textId="77777777">
            <w:pPr>
              <w:widowControl/>
              <w:autoSpaceDE/>
              <w:autoSpaceDN/>
              <w:rPr>
                <w:b/>
                <w:bCs/>
                <w:color w:val="000000"/>
                <w:sz w:val="24"/>
                <w:szCs w:val="24"/>
              </w:rPr>
            </w:pPr>
            <w:r w:rsidRPr="005F51FB">
              <w:rPr>
                <w:b/>
                <w:bCs/>
                <w:color w:val="000000"/>
                <w:sz w:val="24"/>
                <w:szCs w:val="24"/>
              </w:rPr>
              <w:t>Subtotal</w:t>
            </w:r>
          </w:p>
        </w:tc>
        <w:tc>
          <w:tcPr>
            <w:tcW w:w="1638" w:type="dxa"/>
            <w:tcBorders>
              <w:top w:val="nil"/>
              <w:left w:val="nil"/>
              <w:bottom w:val="single" w:sz="8" w:space="0" w:color="000000"/>
              <w:right w:val="single" w:sz="8" w:space="0" w:color="000000"/>
            </w:tcBorders>
            <w:vAlign w:val="center"/>
            <w:hideMark/>
          </w:tcPr>
          <w:p w:rsidR="005F51FB" w:rsidRPr="005F51FB" w:rsidP="005F51FB" w14:paraId="11095C97" w14:textId="77777777">
            <w:pPr>
              <w:widowControl/>
              <w:autoSpaceDE/>
              <w:autoSpaceDN/>
              <w:jc w:val="right"/>
              <w:rPr>
                <w:b/>
                <w:bCs/>
                <w:color w:val="000000"/>
                <w:sz w:val="24"/>
                <w:szCs w:val="24"/>
              </w:rPr>
            </w:pPr>
            <w:r w:rsidRPr="005F51FB">
              <w:rPr>
                <w:b/>
                <w:bCs/>
                <w:color w:val="000000"/>
                <w:sz w:val="24"/>
                <w:szCs w:val="24"/>
              </w:rPr>
              <w:t>72,106</w:t>
            </w:r>
          </w:p>
        </w:tc>
        <w:tc>
          <w:tcPr>
            <w:tcW w:w="1693" w:type="dxa"/>
            <w:tcBorders>
              <w:top w:val="nil"/>
              <w:left w:val="nil"/>
              <w:bottom w:val="single" w:sz="8" w:space="0" w:color="000000"/>
              <w:right w:val="single" w:sz="8" w:space="0" w:color="000000"/>
            </w:tcBorders>
            <w:vAlign w:val="center"/>
            <w:hideMark/>
          </w:tcPr>
          <w:p w:rsidR="005F51FB" w:rsidRPr="005F51FB" w:rsidP="005F51FB" w14:paraId="2F31BEC2" w14:textId="77777777">
            <w:pPr>
              <w:widowControl/>
              <w:autoSpaceDE/>
              <w:autoSpaceDN/>
              <w:jc w:val="right"/>
              <w:rPr>
                <w:b/>
                <w:bCs/>
                <w:color w:val="000000"/>
                <w:sz w:val="24"/>
                <w:szCs w:val="24"/>
              </w:rPr>
            </w:pPr>
            <w:r w:rsidRPr="005F51FB">
              <w:rPr>
                <w:b/>
                <w:bCs/>
                <w:color w:val="000000"/>
                <w:sz w:val="24"/>
                <w:szCs w:val="24"/>
              </w:rPr>
              <w:t>2.652977561</w:t>
            </w:r>
          </w:p>
        </w:tc>
        <w:tc>
          <w:tcPr>
            <w:tcW w:w="1546" w:type="dxa"/>
            <w:tcBorders>
              <w:top w:val="nil"/>
              <w:left w:val="nil"/>
              <w:bottom w:val="single" w:sz="8" w:space="0" w:color="000000"/>
              <w:right w:val="single" w:sz="8" w:space="0" w:color="000000"/>
            </w:tcBorders>
            <w:vAlign w:val="center"/>
            <w:hideMark/>
          </w:tcPr>
          <w:p w:rsidR="005F51FB" w:rsidRPr="005F51FB" w:rsidP="005F51FB" w14:paraId="226FF145" w14:textId="77777777">
            <w:pPr>
              <w:widowControl/>
              <w:autoSpaceDE/>
              <w:autoSpaceDN/>
              <w:jc w:val="right"/>
              <w:rPr>
                <w:b/>
                <w:bCs/>
                <w:color w:val="000000"/>
                <w:sz w:val="24"/>
                <w:szCs w:val="24"/>
              </w:rPr>
            </w:pPr>
            <w:r w:rsidRPr="005F51FB">
              <w:rPr>
                <w:b/>
                <w:bCs/>
                <w:color w:val="000000"/>
                <w:sz w:val="24"/>
                <w:szCs w:val="24"/>
              </w:rPr>
              <w:t>191,296</w:t>
            </w:r>
          </w:p>
        </w:tc>
        <w:tc>
          <w:tcPr>
            <w:tcW w:w="1560" w:type="dxa"/>
            <w:tcBorders>
              <w:top w:val="nil"/>
              <w:left w:val="nil"/>
              <w:bottom w:val="single" w:sz="8" w:space="0" w:color="000000"/>
              <w:right w:val="single" w:sz="8" w:space="0" w:color="000000"/>
            </w:tcBorders>
            <w:vAlign w:val="center"/>
            <w:hideMark/>
          </w:tcPr>
          <w:p w:rsidR="005F51FB" w:rsidRPr="005F51FB" w:rsidP="005F51FB" w14:paraId="3B87A0E9" w14:textId="77777777">
            <w:pPr>
              <w:widowControl/>
              <w:autoSpaceDE/>
              <w:autoSpaceDN/>
              <w:jc w:val="right"/>
              <w:rPr>
                <w:b/>
                <w:bCs/>
                <w:color w:val="000000"/>
                <w:sz w:val="24"/>
                <w:szCs w:val="24"/>
              </w:rPr>
            </w:pPr>
            <w:r w:rsidRPr="005F51FB">
              <w:rPr>
                <w:b/>
                <w:bCs/>
                <w:color w:val="000000"/>
                <w:sz w:val="24"/>
                <w:szCs w:val="24"/>
              </w:rPr>
              <w:t>0.574535803</w:t>
            </w:r>
          </w:p>
        </w:tc>
        <w:tc>
          <w:tcPr>
            <w:tcW w:w="1514" w:type="dxa"/>
            <w:tcBorders>
              <w:top w:val="nil"/>
              <w:left w:val="nil"/>
              <w:bottom w:val="single" w:sz="8" w:space="0" w:color="000000"/>
              <w:right w:val="single" w:sz="8" w:space="0" w:color="000000"/>
            </w:tcBorders>
            <w:vAlign w:val="center"/>
            <w:hideMark/>
          </w:tcPr>
          <w:p w:rsidR="005F51FB" w:rsidRPr="005F51FB" w:rsidP="005F51FB" w14:paraId="5D34D100" w14:textId="77777777">
            <w:pPr>
              <w:widowControl/>
              <w:autoSpaceDE/>
              <w:autoSpaceDN/>
              <w:jc w:val="right"/>
              <w:rPr>
                <w:b/>
                <w:bCs/>
                <w:color w:val="000000"/>
                <w:sz w:val="24"/>
                <w:szCs w:val="24"/>
              </w:rPr>
            </w:pPr>
            <w:r w:rsidRPr="005F51FB">
              <w:rPr>
                <w:b/>
                <w:bCs/>
                <w:color w:val="000000"/>
                <w:sz w:val="24"/>
                <w:szCs w:val="24"/>
              </w:rPr>
              <w:t>109,906</w:t>
            </w:r>
          </w:p>
        </w:tc>
      </w:tr>
      <w:tr w14:paraId="43691D4E" w14:textId="77777777" w:rsidTr="005F51FB">
        <w:tblPrEx>
          <w:tblW w:w="10460" w:type="dxa"/>
          <w:tblLook w:val="04A0"/>
        </w:tblPrEx>
        <w:trPr>
          <w:trHeight w:val="310"/>
        </w:trPr>
        <w:tc>
          <w:tcPr>
            <w:tcW w:w="10460" w:type="dxa"/>
            <w:gridSpan w:val="6"/>
            <w:tcBorders>
              <w:top w:val="single" w:sz="8" w:space="0" w:color="000000"/>
              <w:left w:val="single" w:sz="8" w:space="0" w:color="000000"/>
              <w:bottom w:val="single" w:sz="8" w:space="0" w:color="000000"/>
              <w:right w:val="single" w:sz="8" w:space="0" w:color="000000"/>
            </w:tcBorders>
            <w:shd w:val="clear" w:color="000000" w:fill="E8E8E8"/>
            <w:vAlign w:val="center"/>
            <w:hideMark/>
          </w:tcPr>
          <w:p w:rsidR="005F51FB" w:rsidRPr="005F51FB" w:rsidP="005F51FB" w14:paraId="760BF2A8" w14:textId="77777777">
            <w:pPr>
              <w:widowControl/>
              <w:autoSpaceDE/>
              <w:autoSpaceDN/>
              <w:rPr>
                <w:b/>
                <w:bCs/>
                <w:color w:val="000000"/>
                <w:sz w:val="24"/>
                <w:szCs w:val="24"/>
              </w:rPr>
            </w:pPr>
            <w:r w:rsidRPr="005F51FB">
              <w:rPr>
                <w:b/>
                <w:bCs/>
                <w:color w:val="000000"/>
                <w:sz w:val="24"/>
                <w:szCs w:val="24"/>
              </w:rPr>
              <w:t>Compliance Process</w:t>
            </w:r>
          </w:p>
        </w:tc>
      </w:tr>
      <w:tr w14:paraId="49B05019" w14:textId="77777777" w:rsidTr="005513C4">
        <w:tblPrEx>
          <w:tblW w:w="10460" w:type="dxa"/>
          <w:tblLook w:val="04A0"/>
        </w:tblPrEx>
        <w:trPr>
          <w:trHeight w:val="630"/>
        </w:trPr>
        <w:tc>
          <w:tcPr>
            <w:tcW w:w="2509" w:type="dxa"/>
            <w:tcBorders>
              <w:top w:val="nil"/>
              <w:left w:val="single" w:sz="8" w:space="0" w:color="auto"/>
              <w:bottom w:val="single" w:sz="8" w:space="0" w:color="auto"/>
              <w:right w:val="single" w:sz="8" w:space="0" w:color="auto"/>
            </w:tcBorders>
            <w:vAlign w:val="center"/>
            <w:hideMark/>
          </w:tcPr>
          <w:p w:rsidR="005F51FB" w:rsidRPr="005F51FB" w:rsidP="005F51FB" w14:paraId="3295FFFF" w14:textId="77777777">
            <w:pPr>
              <w:widowControl/>
              <w:autoSpaceDE/>
              <w:autoSpaceDN/>
              <w:rPr>
                <w:color w:val="000000"/>
                <w:sz w:val="24"/>
                <w:szCs w:val="24"/>
              </w:rPr>
            </w:pPr>
            <w:r w:rsidRPr="005F51FB">
              <w:rPr>
                <w:color w:val="000000"/>
                <w:sz w:val="24"/>
                <w:szCs w:val="24"/>
              </w:rPr>
              <w:t>Initial Notification Letter – Compliant</w:t>
            </w:r>
          </w:p>
        </w:tc>
        <w:tc>
          <w:tcPr>
            <w:tcW w:w="1638" w:type="dxa"/>
            <w:tcBorders>
              <w:top w:val="nil"/>
              <w:left w:val="nil"/>
              <w:bottom w:val="single" w:sz="8" w:space="0" w:color="000000"/>
              <w:right w:val="single" w:sz="8" w:space="0" w:color="000000"/>
            </w:tcBorders>
            <w:vAlign w:val="center"/>
            <w:hideMark/>
          </w:tcPr>
          <w:p w:rsidR="005F51FB" w:rsidRPr="005F51FB" w:rsidP="005F51FB" w14:paraId="3F8A9821" w14:textId="77777777">
            <w:pPr>
              <w:widowControl/>
              <w:autoSpaceDE/>
              <w:autoSpaceDN/>
              <w:jc w:val="right"/>
              <w:rPr>
                <w:color w:val="000000"/>
                <w:sz w:val="24"/>
                <w:szCs w:val="24"/>
              </w:rPr>
            </w:pPr>
            <w:r w:rsidRPr="005F51FB">
              <w:rPr>
                <w:color w:val="000000"/>
                <w:sz w:val="24"/>
                <w:szCs w:val="24"/>
              </w:rPr>
              <w:t>38,885</w:t>
            </w:r>
          </w:p>
        </w:tc>
        <w:tc>
          <w:tcPr>
            <w:tcW w:w="1693" w:type="dxa"/>
            <w:tcBorders>
              <w:top w:val="nil"/>
              <w:left w:val="nil"/>
              <w:bottom w:val="single" w:sz="8" w:space="0" w:color="000000"/>
              <w:right w:val="single" w:sz="8" w:space="0" w:color="000000"/>
            </w:tcBorders>
            <w:vAlign w:val="center"/>
            <w:hideMark/>
          </w:tcPr>
          <w:p w:rsidR="005F51FB" w:rsidRPr="005F51FB" w:rsidP="005F51FB" w14:paraId="42FAF032" w14:textId="77777777">
            <w:pPr>
              <w:widowControl/>
              <w:autoSpaceDE/>
              <w:autoSpaceDN/>
              <w:jc w:val="right"/>
              <w:rPr>
                <w:color w:val="000000"/>
                <w:sz w:val="24"/>
                <w:szCs w:val="24"/>
              </w:rPr>
            </w:pPr>
            <w:r w:rsidRPr="005F51FB">
              <w:rPr>
                <w:color w:val="000000"/>
                <w:sz w:val="24"/>
                <w:szCs w:val="24"/>
              </w:rPr>
              <w:t>1</w:t>
            </w:r>
          </w:p>
        </w:tc>
        <w:tc>
          <w:tcPr>
            <w:tcW w:w="1546" w:type="dxa"/>
            <w:tcBorders>
              <w:top w:val="nil"/>
              <w:left w:val="nil"/>
              <w:bottom w:val="single" w:sz="8" w:space="0" w:color="000000"/>
              <w:right w:val="single" w:sz="8" w:space="0" w:color="000000"/>
            </w:tcBorders>
            <w:vAlign w:val="center"/>
            <w:hideMark/>
          </w:tcPr>
          <w:p w:rsidR="005F51FB" w:rsidRPr="005F51FB" w:rsidP="005F51FB" w14:paraId="2FDD8F92" w14:textId="77777777">
            <w:pPr>
              <w:widowControl/>
              <w:autoSpaceDE/>
              <w:autoSpaceDN/>
              <w:jc w:val="right"/>
              <w:rPr>
                <w:color w:val="000000"/>
                <w:sz w:val="24"/>
                <w:szCs w:val="24"/>
              </w:rPr>
            </w:pPr>
            <w:r w:rsidRPr="005F51FB">
              <w:rPr>
                <w:color w:val="000000"/>
                <w:sz w:val="24"/>
                <w:szCs w:val="24"/>
              </w:rPr>
              <w:t>38,885</w:t>
            </w:r>
          </w:p>
        </w:tc>
        <w:tc>
          <w:tcPr>
            <w:tcW w:w="1560" w:type="dxa"/>
            <w:tcBorders>
              <w:top w:val="nil"/>
              <w:left w:val="nil"/>
              <w:bottom w:val="single" w:sz="8" w:space="0" w:color="000000"/>
              <w:right w:val="single" w:sz="8" w:space="0" w:color="000000"/>
            </w:tcBorders>
            <w:vAlign w:val="center"/>
            <w:hideMark/>
          </w:tcPr>
          <w:p w:rsidR="005F51FB" w:rsidRPr="005F51FB" w:rsidP="005F51FB" w14:paraId="61D9B2F9" w14:textId="77777777">
            <w:pPr>
              <w:widowControl/>
              <w:autoSpaceDE/>
              <w:autoSpaceDN/>
              <w:jc w:val="right"/>
              <w:rPr>
                <w:color w:val="000000"/>
                <w:sz w:val="24"/>
                <w:szCs w:val="24"/>
              </w:rPr>
            </w:pPr>
            <w:r w:rsidRPr="005F51FB">
              <w:rPr>
                <w:color w:val="000000"/>
                <w:sz w:val="24"/>
                <w:szCs w:val="24"/>
              </w:rPr>
              <w:t>0.0835</w:t>
            </w:r>
          </w:p>
        </w:tc>
        <w:tc>
          <w:tcPr>
            <w:tcW w:w="1514" w:type="dxa"/>
            <w:tcBorders>
              <w:top w:val="nil"/>
              <w:left w:val="nil"/>
              <w:bottom w:val="single" w:sz="8" w:space="0" w:color="000000"/>
              <w:right w:val="single" w:sz="8" w:space="0" w:color="000000"/>
            </w:tcBorders>
            <w:vAlign w:val="center"/>
            <w:hideMark/>
          </w:tcPr>
          <w:p w:rsidR="005F51FB" w:rsidRPr="005F51FB" w:rsidP="005F51FB" w14:paraId="77B3D99D" w14:textId="77777777">
            <w:pPr>
              <w:widowControl/>
              <w:autoSpaceDE/>
              <w:autoSpaceDN/>
              <w:jc w:val="right"/>
              <w:rPr>
                <w:color w:val="000000"/>
                <w:sz w:val="24"/>
                <w:szCs w:val="24"/>
              </w:rPr>
            </w:pPr>
            <w:r w:rsidRPr="005F51FB">
              <w:rPr>
                <w:color w:val="000000"/>
                <w:sz w:val="24"/>
                <w:szCs w:val="24"/>
              </w:rPr>
              <w:t>3,247</w:t>
            </w:r>
          </w:p>
        </w:tc>
      </w:tr>
      <w:tr w14:paraId="308AC3F8" w14:textId="77777777" w:rsidTr="005513C4">
        <w:tblPrEx>
          <w:tblW w:w="10460" w:type="dxa"/>
          <w:tblLook w:val="04A0"/>
        </w:tblPrEx>
        <w:trPr>
          <w:trHeight w:val="940"/>
        </w:trPr>
        <w:tc>
          <w:tcPr>
            <w:tcW w:w="2509" w:type="dxa"/>
            <w:tcBorders>
              <w:top w:val="nil"/>
              <w:left w:val="single" w:sz="8" w:space="0" w:color="auto"/>
              <w:bottom w:val="single" w:sz="8" w:space="0" w:color="auto"/>
              <w:right w:val="single" w:sz="8" w:space="0" w:color="auto"/>
            </w:tcBorders>
            <w:vAlign w:val="center"/>
            <w:hideMark/>
          </w:tcPr>
          <w:p w:rsidR="005F51FB" w:rsidRPr="005F51FB" w:rsidP="005F51FB" w14:paraId="0BFDB6DC" w14:textId="77777777">
            <w:pPr>
              <w:widowControl/>
              <w:autoSpaceDE/>
              <w:autoSpaceDN/>
              <w:rPr>
                <w:color w:val="000000"/>
                <w:sz w:val="24"/>
                <w:szCs w:val="24"/>
              </w:rPr>
            </w:pPr>
            <w:r w:rsidRPr="005F51FB">
              <w:rPr>
                <w:color w:val="000000"/>
                <w:sz w:val="24"/>
                <w:szCs w:val="24"/>
              </w:rPr>
              <w:t>Initial Notification Letter – May Request Review</w:t>
            </w:r>
          </w:p>
        </w:tc>
        <w:tc>
          <w:tcPr>
            <w:tcW w:w="1638" w:type="dxa"/>
            <w:tcBorders>
              <w:top w:val="nil"/>
              <w:left w:val="nil"/>
              <w:bottom w:val="single" w:sz="8" w:space="0" w:color="000000"/>
              <w:right w:val="single" w:sz="8" w:space="0" w:color="000000"/>
            </w:tcBorders>
            <w:vAlign w:val="center"/>
            <w:hideMark/>
          </w:tcPr>
          <w:p w:rsidR="005F51FB" w:rsidRPr="005F51FB" w:rsidP="005F51FB" w14:paraId="1F5CDF5B" w14:textId="77777777">
            <w:pPr>
              <w:widowControl/>
              <w:autoSpaceDE/>
              <w:autoSpaceDN/>
              <w:jc w:val="right"/>
              <w:rPr>
                <w:color w:val="000000"/>
                <w:sz w:val="24"/>
                <w:szCs w:val="24"/>
              </w:rPr>
            </w:pPr>
            <w:r w:rsidRPr="005F51FB">
              <w:rPr>
                <w:color w:val="000000"/>
                <w:sz w:val="24"/>
                <w:szCs w:val="24"/>
              </w:rPr>
              <w:t>9,721</w:t>
            </w:r>
          </w:p>
        </w:tc>
        <w:tc>
          <w:tcPr>
            <w:tcW w:w="1693" w:type="dxa"/>
            <w:tcBorders>
              <w:top w:val="nil"/>
              <w:left w:val="nil"/>
              <w:bottom w:val="single" w:sz="8" w:space="0" w:color="000000"/>
              <w:right w:val="single" w:sz="8" w:space="0" w:color="000000"/>
            </w:tcBorders>
            <w:vAlign w:val="center"/>
            <w:hideMark/>
          </w:tcPr>
          <w:p w:rsidR="005F51FB" w:rsidRPr="005F51FB" w:rsidP="005F51FB" w14:paraId="48F159D5" w14:textId="77777777">
            <w:pPr>
              <w:widowControl/>
              <w:autoSpaceDE/>
              <w:autoSpaceDN/>
              <w:jc w:val="right"/>
              <w:rPr>
                <w:color w:val="000000"/>
                <w:sz w:val="24"/>
                <w:szCs w:val="24"/>
              </w:rPr>
            </w:pPr>
            <w:r w:rsidRPr="005F51FB">
              <w:rPr>
                <w:color w:val="000000"/>
                <w:sz w:val="24"/>
                <w:szCs w:val="24"/>
              </w:rPr>
              <w:t>1</w:t>
            </w:r>
          </w:p>
        </w:tc>
        <w:tc>
          <w:tcPr>
            <w:tcW w:w="1546" w:type="dxa"/>
            <w:tcBorders>
              <w:top w:val="nil"/>
              <w:left w:val="nil"/>
              <w:bottom w:val="single" w:sz="8" w:space="0" w:color="000000"/>
              <w:right w:val="single" w:sz="8" w:space="0" w:color="000000"/>
            </w:tcBorders>
            <w:vAlign w:val="center"/>
            <w:hideMark/>
          </w:tcPr>
          <w:p w:rsidR="005F51FB" w:rsidRPr="005F51FB" w:rsidP="005F51FB" w14:paraId="6E102DEC" w14:textId="77777777">
            <w:pPr>
              <w:widowControl/>
              <w:autoSpaceDE/>
              <w:autoSpaceDN/>
              <w:jc w:val="right"/>
              <w:rPr>
                <w:color w:val="000000"/>
                <w:sz w:val="24"/>
                <w:szCs w:val="24"/>
              </w:rPr>
            </w:pPr>
            <w:r w:rsidRPr="005F51FB">
              <w:rPr>
                <w:color w:val="000000"/>
                <w:sz w:val="24"/>
                <w:szCs w:val="24"/>
              </w:rPr>
              <w:t>9,721</w:t>
            </w:r>
          </w:p>
        </w:tc>
        <w:tc>
          <w:tcPr>
            <w:tcW w:w="1560" w:type="dxa"/>
            <w:tcBorders>
              <w:top w:val="nil"/>
              <w:left w:val="nil"/>
              <w:bottom w:val="single" w:sz="8" w:space="0" w:color="000000"/>
              <w:right w:val="single" w:sz="8" w:space="0" w:color="000000"/>
            </w:tcBorders>
            <w:vAlign w:val="center"/>
            <w:hideMark/>
          </w:tcPr>
          <w:p w:rsidR="005F51FB" w:rsidRPr="005F51FB" w:rsidP="005F51FB" w14:paraId="7DBEA600" w14:textId="77777777">
            <w:pPr>
              <w:widowControl/>
              <w:autoSpaceDE/>
              <w:autoSpaceDN/>
              <w:jc w:val="right"/>
              <w:rPr>
                <w:color w:val="000000"/>
                <w:sz w:val="24"/>
                <w:szCs w:val="24"/>
              </w:rPr>
            </w:pPr>
            <w:r w:rsidRPr="005F51FB">
              <w:rPr>
                <w:color w:val="000000"/>
                <w:sz w:val="24"/>
                <w:szCs w:val="24"/>
              </w:rPr>
              <w:t>0.0835</w:t>
            </w:r>
          </w:p>
        </w:tc>
        <w:tc>
          <w:tcPr>
            <w:tcW w:w="1514" w:type="dxa"/>
            <w:tcBorders>
              <w:top w:val="nil"/>
              <w:left w:val="nil"/>
              <w:bottom w:val="single" w:sz="8" w:space="0" w:color="000000"/>
              <w:right w:val="single" w:sz="8" w:space="0" w:color="000000"/>
            </w:tcBorders>
            <w:vAlign w:val="center"/>
            <w:hideMark/>
          </w:tcPr>
          <w:p w:rsidR="005F51FB" w:rsidRPr="005F51FB" w:rsidP="005F51FB" w14:paraId="15F3442A" w14:textId="77777777">
            <w:pPr>
              <w:widowControl/>
              <w:autoSpaceDE/>
              <w:autoSpaceDN/>
              <w:jc w:val="right"/>
              <w:rPr>
                <w:color w:val="000000"/>
                <w:sz w:val="24"/>
                <w:szCs w:val="24"/>
              </w:rPr>
            </w:pPr>
            <w:r w:rsidRPr="005F51FB">
              <w:rPr>
                <w:color w:val="000000"/>
                <w:sz w:val="24"/>
                <w:szCs w:val="24"/>
              </w:rPr>
              <w:t>812</w:t>
            </w:r>
          </w:p>
        </w:tc>
      </w:tr>
      <w:tr w14:paraId="1326D7A0" w14:textId="77777777" w:rsidTr="005513C4">
        <w:tblPrEx>
          <w:tblW w:w="10460" w:type="dxa"/>
          <w:tblLook w:val="04A0"/>
        </w:tblPrEx>
        <w:trPr>
          <w:trHeight w:val="630"/>
        </w:trPr>
        <w:tc>
          <w:tcPr>
            <w:tcW w:w="2509" w:type="dxa"/>
            <w:tcBorders>
              <w:top w:val="nil"/>
              <w:left w:val="single" w:sz="8" w:space="0" w:color="auto"/>
              <w:bottom w:val="single" w:sz="8" w:space="0" w:color="auto"/>
              <w:right w:val="single" w:sz="8" w:space="0" w:color="auto"/>
            </w:tcBorders>
            <w:vAlign w:val="center"/>
            <w:hideMark/>
          </w:tcPr>
          <w:p w:rsidR="005F51FB" w:rsidRPr="005F51FB" w:rsidP="005F51FB" w14:paraId="568CCA39" w14:textId="77777777">
            <w:pPr>
              <w:widowControl/>
              <w:autoSpaceDE/>
              <w:autoSpaceDN/>
              <w:rPr>
                <w:color w:val="000000"/>
                <w:sz w:val="24"/>
                <w:szCs w:val="24"/>
              </w:rPr>
            </w:pPr>
            <w:r w:rsidRPr="005F51FB">
              <w:rPr>
                <w:color w:val="000000"/>
                <w:sz w:val="24"/>
                <w:szCs w:val="24"/>
              </w:rPr>
              <w:t>Gather information and respond to FSA</w:t>
            </w:r>
          </w:p>
        </w:tc>
        <w:tc>
          <w:tcPr>
            <w:tcW w:w="1638" w:type="dxa"/>
            <w:tcBorders>
              <w:top w:val="nil"/>
              <w:left w:val="nil"/>
              <w:bottom w:val="single" w:sz="8" w:space="0" w:color="000000"/>
              <w:right w:val="single" w:sz="8" w:space="0" w:color="000000"/>
            </w:tcBorders>
            <w:vAlign w:val="center"/>
            <w:hideMark/>
          </w:tcPr>
          <w:p w:rsidR="005F51FB" w:rsidRPr="005F51FB" w:rsidP="005F51FB" w14:paraId="7236D155" w14:textId="77777777">
            <w:pPr>
              <w:widowControl/>
              <w:autoSpaceDE/>
              <w:autoSpaceDN/>
              <w:jc w:val="right"/>
              <w:rPr>
                <w:color w:val="000000"/>
                <w:sz w:val="24"/>
                <w:szCs w:val="24"/>
              </w:rPr>
            </w:pPr>
            <w:r w:rsidRPr="005F51FB">
              <w:rPr>
                <w:color w:val="000000"/>
                <w:sz w:val="24"/>
                <w:szCs w:val="24"/>
              </w:rPr>
              <w:t>5,833</w:t>
            </w:r>
          </w:p>
        </w:tc>
        <w:tc>
          <w:tcPr>
            <w:tcW w:w="1693" w:type="dxa"/>
            <w:tcBorders>
              <w:top w:val="nil"/>
              <w:left w:val="nil"/>
              <w:bottom w:val="single" w:sz="8" w:space="0" w:color="000000"/>
              <w:right w:val="single" w:sz="8" w:space="0" w:color="000000"/>
            </w:tcBorders>
            <w:vAlign w:val="center"/>
            <w:hideMark/>
          </w:tcPr>
          <w:p w:rsidR="005F51FB" w:rsidRPr="005F51FB" w:rsidP="005F51FB" w14:paraId="3C09A7E9" w14:textId="77777777">
            <w:pPr>
              <w:widowControl/>
              <w:autoSpaceDE/>
              <w:autoSpaceDN/>
              <w:jc w:val="right"/>
              <w:rPr>
                <w:color w:val="000000"/>
                <w:sz w:val="24"/>
                <w:szCs w:val="24"/>
              </w:rPr>
            </w:pPr>
            <w:r w:rsidRPr="005F51FB">
              <w:rPr>
                <w:color w:val="000000"/>
                <w:sz w:val="24"/>
                <w:szCs w:val="24"/>
              </w:rPr>
              <w:t>1</w:t>
            </w:r>
          </w:p>
        </w:tc>
        <w:tc>
          <w:tcPr>
            <w:tcW w:w="1546" w:type="dxa"/>
            <w:tcBorders>
              <w:top w:val="nil"/>
              <w:left w:val="nil"/>
              <w:bottom w:val="single" w:sz="8" w:space="0" w:color="000000"/>
              <w:right w:val="single" w:sz="8" w:space="0" w:color="000000"/>
            </w:tcBorders>
            <w:vAlign w:val="center"/>
            <w:hideMark/>
          </w:tcPr>
          <w:p w:rsidR="005F51FB" w:rsidRPr="005F51FB" w:rsidP="005F51FB" w14:paraId="597B5D33" w14:textId="77777777">
            <w:pPr>
              <w:widowControl/>
              <w:autoSpaceDE/>
              <w:autoSpaceDN/>
              <w:jc w:val="right"/>
              <w:rPr>
                <w:color w:val="000000"/>
                <w:sz w:val="24"/>
                <w:szCs w:val="24"/>
              </w:rPr>
            </w:pPr>
            <w:r w:rsidRPr="005F51FB">
              <w:rPr>
                <w:color w:val="000000"/>
                <w:sz w:val="24"/>
                <w:szCs w:val="24"/>
              </w:rPr>
              <w:t>5,833</w:t>
            </w:r>
          </w:p>
        </w:tc>
        <w:tc>
          <w:tcPr>
            <w:tcW w:w="1560" w:type="dxa"/>
            <w:tcBorders>
              <w:top w:val="nil"/>
              <w:left w:val="nil"/>
              <w:bottom w:val="single" w:sz="8" w:space="0" w:color="000000"/>
              <w:right w:val="single" w:sz="8" w:space="0" w:color="000000"/>
            </w:tcBorders>
            <w:vAlign w:val="center"/>
            <w:hideMark/>
          </w:tcPr>
          <w:p w:rsidR="005F51FB" w:rsidRPr="005F51FB" w:rsidP="005F51FB" w14:paraId="6CB35946" w14:textId="77777777">
            <w:pPr>
              <w:widowControl/>
              <w:autoSpaceDE/>
              <w:autoSpaceDN/>
              <w:jc w:val="right"/>
              <w:rPr>
                <w:color w:val="000000"/>
                <w:sz w:val="24"/>
                <w:szCs w:val="24"/>
              </w:rPr>
            </w:pPr>
            <w:r w:rsidRPr="005F51FB">
              <w:rPr>
                <w:color w:val="000000"/>
                <w:sz w:val="24"/>
                <w:szCs w:val="24"/>
              </w:rPr>
              <w:t>0.5</w:t>
            </w:r>
          </w:p>
        </w:tc>
        <w:tc>
          <w:tcPr>
            <w:tcW w:w="1514" w:type="dxa"/>
            <w:tcBorders>
              <w:top w:val="nil"/>
              <w:left w:val="nil"/>
              <w:bottom w:val="single" w:sz="8" w:space="0" w:color="000000"/>
              <w:right w:val="single" w:sz="8" w:space="0" w:color="000000"/>
            </w:tcBorders>
            <w:vAlign w:val="center"/>
            <w:hideMark/>
          </w:tcPr>
          <w:p w:rsidR="005F51FB" w:rsidRPr="005F51FB" w:rsidP="005F51FB" w14:paraId="3774B3EA" w14:textId="77777777">
            <w:pPr>
              <w:widowControl/>
              <w:autoSpaceDE/>
              <w:autoSpaceDN/>
              <w:jc w:val="right"/>
              <w:rPr>
                <w:color w:val="000000"/>
                <w:sz w:val="24"/>
                <w:szCs w:val="24"/>
              </w:rPr>
            </w:pPr>
            <w:r w:rsidRPr="005F51FB">
              <w:rPr>
                <w:color w:val="000000"/>
                <w:sz w:val="24"/>
                <w:szCs w:val="24"/>
              </w:rPr>
              <w:t>2,916</w:t>
            </w:r>
          </w:p>
        </w:tc>
      </w:tr>
      <w:tr w14:paraId="7ED5901E" w14:textId="77777777" w:rsidTr="005513C4">
        <w:tblPrEx>
          <w:tblW w:w="10460" w:type="dxa"/>
          <w:tblLook w:val="04A0"/>
        </w:tblPrEx>
        <w:trPr>
          <w:trHeight w:val="630"/>
        </w:trPr>
        <w:tc>
          <w:tcPr>
            <w:tcW w:w="2509" w:type="dxa"/>
            <w:tcBorders>
              <w:top w:val="nil"/>
              <w:left w:val="single" w:sz="8" w:space="0" w:color="auto"/>
              <w:bottom w:val="nil"/>
              <w:right w:val="single" w:sz="8" w:space="0" w:color="auto"/>
            </w:tcBorders>
            <w:vAlign w:val="center"/>
            <w:hideMark/>
          </w:tcPr>
          <w:p w:rsidR="005F51FB" w:rsidRPr="005F51FB" w:rsidP="005F51FB" w14:paraId="542AD0C4" w14:textId="77777777">
            <w:pPr>
              <w:widowControl/>
              <w:autoSpaceDE/>
              <w:autoSpaceDN/>
              <w:rPr>
                <w:color w:val="000000"/>
                <w:sz w:val="24"/>
                <w:szCs w:val="24"/>
              </w:rPr>
            </w:pPr>
            <w:r w:rsidRPr="005F51FB">
              <w:rPr>
                <w:color w:val="000000"/>
                <w:sz w:val="24"/>
                <w:szCs w:val="24"/>
              </w:rPr>
              <w:t>Second Notification Letter – Determination</w:t>
            </w:r>
          </w:p>
        </w:tc>
        <w:tc>
          <w:tcPr>
            <w:tcW w:w="1638" w:type="dxa"/>
            <w:tcBorders>
              <w:top w:val="nil"/>
              <w:left w:val="nil"/>
              <w:bottom w:val="nil"/>
              <w:right w:val="single" w:sz="8" w:space="0" w:color="000000"/>
            </w:tcBorders>
            <w:vAlign w:val="center"/>
            <w:hideMark/>
          </w:tcPr>
          <w:p w:rsidR="005F51FB" w:rsidRPr="005F51FB" w:rsidP="005F51FB" w14:paraId="0997DF86" w14:textId="77777777">
            <w:pPr>
              <w:widowControl/>
              <w:autoSpaceDE/>
              <w:autoSpaceDN/>
              <w:jc w:val="right"/>
              <w:rPr>
                <w:color w:val="000000"/>
                <w:sz w:val="24"/>
                <w:szCs w:val="24"/>
              </w:rPr>
            </w:pPr>
            <w:r w:rsidRPr="005F51FB">
              <w:rPr>
                <w:color w:val="000000"/>
                <w:sz w:val="24"/>
                <w:szCs w:val="24"/>
              </w:rPr>
              <w:t>9,721</w:t>
            </w:r>
          </w:p>
        </w:tc>
        <w:tc>
          <w:tcPr>
            <w:tcW w:w="1693" w:type="dxa"/>
            <w:tcBorders>
              <w:top w:val="nil"/>
              <w:left w:val="nil"/>
              <w:bottom w:val="nil"/>
              <w:right w:val="single" w:sz="8" w:space="0" w:color="000000"/>
            </w:tcBorders>
            <w:vAlign w:val="center"/>
            <w:hideMark/>
          </w:tcPr>
          <w:p w:rsidR="005F51FB" w:rsidRPr="005F51FB" w:rsidP="005F51FB" w14:paraId="2266D5DF" w14:textId="77777777">
            <w:pPr>
              <w:widowControl/>
              <w:autoSpaceDE/>
              <w:autoSpaceDN/>
              <w:jc w:val="right"/>
              <w:rPr>
                <w:color w:val="000000"/>
                <w:sz w:val="24"/>
                <w:szCs w:val="24"/>
              </w:rPr>
            </w:pPr>
            <w:r w:rsidRPr="005F51FB">
              <w:rPr>
                <w:color w:val="000000"/>
                <w:sz w:val="24"/>
                <w:szCs w:val="24"/>
              </w:rPr>
              <w:t>1</w:t>
            </w:r>
          </w:p>
        </w:tc>
        <w:tc>
          <w:tcPr>
            <w:tcW w:w="1546" w:type="dxa"/>
            <w:tcBorders>
              <w:top w:val="nil"/>
              <w:left w:val="nil"/>
              <w:bottom w:val="nil"/>
              <w:right w:val="single" w:sz="8" w:space="0" w:color="000000"/>
            </w:tcBorders>
            <w:vAlign w:val="center"/>
            <w:hideMark/>
          </w:tcPr>
          <w:p w:rsidR="005F51FB" w:rsidRPr="005F51FB" w:rsidP="005F51FB" w14:paraId="5E279CB5" w14:textId="77777777">
            <w:pPr>
              <w:widowControl/>
              <w:autoSpaceDE/>
              <w:autoSpaceDN/>
              <w:jc w:val="right"/>
              <w:rPr>
                <w:color w:val="000000"/>
                <w:sz w:val="24"/>
                <w:szCs w:val="24"/>
              </w:rPr>
            </w:pPr>
            <w:r w:rsidRPr="005F51FB">
              <w:rPr>
                <w:color w:val="000000"/>
                <w:sz w:val="24"/>
                <w:szCs w:val="24"/>
              </w:rPr>
              <w:t>9,721</w:t>
            </w:r>
          </w:p>
        </w:tc>
        <w:tc>
          <w:tcPr>
            <w:tcW w:w="1560" w:type="dxa"/>
            <w:tcBorders>
              <w:top w:val="nil"/>
              <w:left w:val="nil"/>
              <w:bottom w:val="nil"/>
              <w:right w:val="single" w:sz="8" w:space="0" w:color="000000"/>
            </w:tcBorders>
            <w:vAlign w:val="center"/>
            <w:hideMark/>
          </w:tcPr>
          <w:p w:rsidR="005F51FB" w:rsidRPr="005F51FB" w:rsidP="005F51FB" w14:paraId="30B3BDA5" w14:textId="77777777">
            <w:pPr>
              <w:widowControl/>
              <w:autoSpaceDE/>
              <w:autoSpaceDN/>
              <w:jc w:val="right"/>
              <w:rPr>
                <w:color w:val="000000"/>
                <w:sz w:val="24"/>
                <w:szCs w:val="24"/>
              </w:rPr>
            </w:pPr>
            <w:r w:rsidRPr="005F51FB">
              <w:rPr>
                <w:color w:val="000000"/>
                <w:sz w:val="24"/>
                <w:szCs w:val="24"/>
              </w:rPr>
              <w:t>0.0835</w:t>
            </w:r>
          </w:p>
        </w:tc>
        <w:tc>
          <w:tcPr>
            <w:tcW w:w="1514" w:type="dxa"/>
            <w:tcBorders>
              <w:top w:val="nil"/>
              <w:left w:val="nil"/>
              <w:bottom w:val="single" w:sz="8" w:space="0" w:color="000000"/>
              <w:right w:val="single" w:sz="8" w:space="0" w:color="000000"/>
            </w:tcBorders>
            <w:vAlign w:val="center"/>
            <w:hideMark/>
          </w:tcPr>
          <w:p w:rsidR="005F51FB" w:rsidRPr="005F51FB" w:rsidP="005F51FB" w14:paraId="7A7F4060" w14:textId="77777777">
            <w:pPr>
              <w:widowControl/>
              <w:autoSpaceDE/>
              <w:autoSpaceDN/>
              <w:jc w:val="right"/>
              <w:rPr>
                <w:color w:val="000000"/>
                <w:sz w:val="24"/>
                <w:szCs w:val="24"/>
              </w:rPr>
            </w:pPr>
            <w:r w:rsidRPr="005F51FB">
              <w:rPr>
                <w:color w:val="000000"/>
                <w:sz w:val="24"/>
                <w:szCs w:val="24"/>
              </w:rPr>
              <w:t>812</w:t>
            </w:r>
          </w:p>
        </w:tc>
      </w:tr>
      <w:tr w14:paraId="7CDB97B7" w14:textId="77777777" w:rsidTr="005513C4">
        <w:tblPrEx>
          <w:tblW w:w="10460" w:type="dxa"/>
          <w:tblLook w:val="04A0"/>
        </w:tblPrEx>
        <w:trPr>
          <w:trHeight w:val="310"/>
        </w:trPr>
        <w:tc>
          <w:tcPr>
            <w:tcW w:w="2509" w:type="dxa"/>
            <w:tcBorders>
              <w:top w:val="single" w:sz="8" w:space="0" w:color="000000"/>
              <w:left w:val="single" w:sz="8" w:space="0" w:color="000000"/>
              <w:bottom w:val="single" w:sz="8" w:space="0" w:color="000000"/>
              <w:right w:val="single" w:sz="8" w:space="0" w:color="000000"/>
            </w:tcBorders>
            <w:vAlign w:val="center"/>
            <w:hideMark/>
          </w:tcPr>
          <w:p w:rsidR="005F51FB" w:rsidRPr="005F51FB" w:rsidP="005F51FB" w14:paraId="6206C8CE" w14:textId="77777777">
            <w:pPr>
              <w:widowControl/>
              <w:autoSpaceDE/>
              <w:autoSpaceDN/>
              <w:rPr>
                <w:b/>
                <w:bCs/>
                <w:color w:val="000000"/>
                <w:sz w:val="24"/>
                <w:szCs w:val="24"/>
              </w:rPr>
            </w:pPr>
            <w:r w:rsidRPr="005F51FB">
              <w:rPr>
                <w:b/>
                <w:bCs/>
                <w:color w:val="000000"/>
                <w:sz w:val="24"/>
                <w:szCs w:val="24"/>
              </w:rPr>
              <w:t>Subtotal</w:t>
            </w:r>
          </w:p>
        </w:tc>
        <w:tc>
          <w:tcPr>
            <w:tcW w:w="1638" w:type="dxa"/>
            <w:tcBorders>
              <w:top w:val="single" w:sz="8" w:space="0" w:color="000000"/>
              <w:left w:val="nil"/>
              <w:bottom w:val="single" w:sz="8" w:space="0" w:color="000000"/>
              <w:right w:val="single" w:sz="8" w:space="0" w:color="000000"/>
            </w:tcBorders>
            <w:vAlign w:val="center"/>
            <w:hideMark/>
          </w:tcPr>
          <w:p w:rsidR="005F51FB" w:rsidRPr="005F51FB" w:rsidP="005F51FB" w14:paraId="3952750E" w14:textId="77777777">
            <w:pPr>
              <w:widowControl/>
              <w:autoSpaceDE/>
              <w:autoSpaceDN/>
              <w:jc w:val="right"/>
              <w:rPr>
                <w:b/>
                <w:bCs/>
                <w:color w:val="000000"/>
                <w:sz w:val="24"/>
                <w:szCs w:val="24"/>
              </w:rPr>
            </w:pPr>
            <w:r w:rsidRPr="005F51FB">
              <w:rPr>
                <w:b/>
                <w:bCs/>
                <w:color w:val="000000"/>
                <w:sz w:val="24"/>
                <w:szCs w:val="24"/>
              </w:rPr>
              <w:t>48,606</w:t>
            </w:r>
          </w:p>
        </w:tc>
        <w:tc>
          <w:tcPr>
            <w:tcW w:w="1693" w:type="dxa"/>
            <w:tcBorders>
              <w:top w:val="single" w:sz="8" w:space="0" w:color="000000"/>
              <w:left w:val="nil"/>
              <w:bottom w:val="single" w:sz="8" w:space="0" w:color="000000"/>
              <w:right w:val="single" w:sz="8" w:space="0" w:color="000000"/>
            </w:tcBorders>
            <w:vAlign w:val="center"/>
            <w:hideMark/>
          </w:tcPr>
          <w:p w:rsidR="005F51FB" w:rsidRPr="005F51FB" w:rsidP="005F51FB" w14:paraId="2B617B58" w14:textId="77777777">
            <w:pPr>
              <w:widowControl/>
              <w:autoSpaceDE/>
              <w:autoSpaceDN/>
              <w:jc w:val="right"/>
              <w:rPr>
                <w:b/>
                <w:bCs/>
                <w:color w:val="000000"/>
                <w:sz w:val="24"/>
                <w:szCs w:val="24"/>
              </w:rPr>
            </w:pPr>
            <w:r w:rsidRPr="005F51FB">
              <w:rPr>
                <w:b/>
                <w:bCs/>
                <w:color w:val="000000"/>
                <w:sz w:val="24"/>
                <w:szCs w:val="24"/>
              </w:rPr>
              <w:t>1.32</w:t>
            </w:r>
          </w:p>
        </w:tc>
        <w:tc>
          <w:tcPr>
            <w:tcW w:w="1546" w:type="dxa"/>
            <w:tcBorders>
              <w:top w:val="single" w:sz="8" w:space="0" w:color="000000"/>
              <w:left w:val="nil"/>
              <w:bottom w:val="single" w:sz="8" w:space="0" w:color="000000"/>
              <w:right w:val="single" w:sz="8" w:space="0" w:color="000000"/>
            </w:tcBorders>
            <w:vAlign w:val="center"/>
            <w:hideMark/>
          </w:tcPr>
          <w:p w:rsidR="005F51FB" w:rsidRPr="005F51FB" w:rsidP="005F51FB" w14:paraId="55C5AFF7" w14:textId="77777777">
            <w:pPr>
              <w:widowControl/>
              <w:autoSpaceDE/>
              <w:autoSpaceDN/>
              <w:jc w:val="right"/>
              <w:rPr>
                <w:b/>
                <w:bCs/>
                <w:color w:val="000000"/>
                <w:sz w:val="24"/>
                <w:szCs w:val="24"/>
              </w:rPr>
            </w:pPr>
            <w:r w:rsidRPr="005F51FB">
              <w:rPr>
                <w:b/>
                <w:bCs/>
                <w:color w:val="000000"/>
                <w:sz w:val="24"/>
                <w:szCs w:val="24"/>
              </w:rPr>
              <w:t>64,160</w:t>
            </w:r>
          </w:p>
        </w:tc>
        <w:tc>
          <w:tcPr>
            <w:tcW w:w="1560" w:type="dxa"/>
            <w:tcBorders>
              <w:top w:val="single" w:sz="8" w:space="0" w:color="000000"/>
              <w:left w:val="nil"/>
              <w:bottom w:val="single" w:sz="8" w:space="0" w:color="000000"/>
              <w:right w:val="single" w:sz="8" w:space="0" w:color="000000"/>
            </w:tcBorders>
            <w:vAlign w:val="center"/>
            <w:hideMark/>
          </w:tcPr>
          <w:p w:rsidR="005F51FB" w:rsidRPr="005F51FB" w:rsidP="005F51FB" w14:paraId="1BFC7E22" w14:textId="77777777">
            <w:pPr>
              <w:widowControl/>
              <w:autoSpaceDE/>
              <w:autoSpaceDN/>
              <w:jc w:val="right"/>
              <w:rPr>
                <w:b/>
                <w:bCs/>
                <w:color w:val="000000"/>
                <w:sz w:val="24"/>
                <w:szCs w:val="24"/>
              </w:rPr>
            </w:pPr>
            <w:r w:rsidRPr="005F51FB">
              <w:rPr>
                <w:b/>
                <w:bCs/>
                <w:color w:val="000000"/>
                <w:sz w:val="24"/>
                <w:szCs w:val="24"/>
              </w:rPr>
              <w:t>0.121363636</w:t>
            </w:r>
          </w:p>
        </w:tc>
        <w:tc>
          <w:tcPr>
            <w:tcW w:w="1514" w:type="dxa"/>
            <w:tcBorders>
              <w:top w:val="nil"/>
              <w:left w:val="nil"/>
              <w:bottom w:val="single" w:sz="8" w:space="0" w:color="000000"/>
              <w:right w:val="single" w:sz="8" w:space="0" w:color="000000"/>
            </w:tcBorders>
            <w:vAlign w:val="center"/>
            <w:hideMark/>
          </w:tcPr>
          <w:p w:rsidR="005F51FB" w:rsidRPr="005F51FB" w:rsidP="005F51FB" w14:paraId="407FAB4E" w14:textId="77777777">
            <w:pPr>
              <w:widowControl/>
              <w:autoSpaceDE/>
              <w:autoSpaceDN/>
              <w:jc w:val="right"/>
              <w:rPr>
                <w:b/>
                <w:bCs/>
                <w:color w:val="000000"/>
                <w:sz w:val="24"/>
                <w:szCs w:val="24"/>
              </w:rPr>
            </w:pPr>
            <w:r w:rsidRPr="005F51FB">
              <w:rPr>
                <w:b/>
                <w:bCs/>
                <w:color w:val="000000"/>
                <w:sz w:val="24"/>
                <w:szCs w:val="24"/>
              </w:rPr>
              <w:t>7,787</w:t>
            </w:r>
          </w:p>
        </w:tc>
      </w:tr>
      <w:tr w14:paraId="12123AD0" w14:textId="77777777" w:rsidTr="005513C4">
        <w:tblPrEx>
          <w:tblW w:w="10460" w:type="dxa"/>
          <w:tblLook w:val="04A0"/>
        </w:tblPrEx>
        <w:trPr>
          <w:trHeight w:val="528"/>
        </w:trPr>
        <w:tc>
          <w:tcPr>
            <w:tcW w:w="2509" w:type="dxa"/>
            <w:tcBorders>
              <w:top w:val="nil"/>
              <w:left w:val="single" w:sz="8" w:space="0" w:color="000000"/>
              <w:bottom w:val="single" w:sz="8" w:space="0" w:color="000000"/>
              <w:right w:val="single" w:sz="8" w:space="0" w:color="000000"/>
            </w:tcBorders>
            <w:vAlign w:val="center"/>
            <w:hideMark/>
          </w:tcPr>
          <w:p w:rsidR="005F51FB" w:rsidRPr="005F51FB" w:rsidP="005F51FB" w14:paraId="0F583328" w14:textId="77777777">
            <w:pPr>
              <w:widowControl/>
              <w:autoSpaceDE/>
              <w:autoSpaceDN/>
              <w:rPr>
                <w:b/>
                <w:bCs/>
                <w:color w:val="000000"/>
                <w:sz w:val="28"/>
                <w:szCs w:val="28"/>
              </w:rPr>
            </w:pPr>
            <w:r w:rsidRPr="005F51FB">
              <w:rPr>
                <w:b/>
                <w:bCs/>
                <w:color w:val="000000"/>
                <w:sz w:val="28"/>
                <w:szCs w:val="28"/>
              </w:rPr>
              <w:t>Total Estimates</w:t>
            </w:r>
          </w:p>
        </w:tc>
        <w:tc>
          <w:tcPr>
            <w:tcW w:w="1638" w:type="dxa"/>
            <w:tcBorders>
              <w:top w:val="nil"/>
              <w:left w:val="nil"/>
              <w:bottom w:val="single" w:sz="8" w:space="0" w:color="000000"/>
              <w:right w:val="single" w:sz="8" w:space="0" w:color="000000"/>
            </w:tcBorders>
            <w:vAlign w:val="center"/>
            <w:hideMark/>
          </w:tcPr>
          <w:p w:rsidR="005F51FB" w:rsidRPr="005F51FB" w:rsidP="005F51FB" w14:paraId="45AF39C2" w14:textId="77777777">
            <w:pPr>
              <w:widowControl/>
              <w:autoSpaceDE/>
              <w:autoSpaceDN/>
              <w:jc w:val="right"/>
              <w:rPr>
                <w:b/>
                <w:bCs/>
                <w:color w:val="000000"/>
                <w:sz w:val="28"/>
                <w:szCs w:val="28"/>
              </w:rPr>
            </w:pPr>
            <w:r w:rsidRPr="005F51FB">
              <w:rPr>
                <w:b/>
                <w:bCs/>
                <w:color w:val="000000"/>
                <w:sz w:val="28"/>
                <w:szCs w:val="28"/>
              </w:rPr>
              <w:t>72,106</w:t>
            </w:r>
          </w:p>
        </w:tc>
        <w:tc>
          <w:tcPr>
            <w:tcW w:w="1693" w:type="dxa"/>
            <w:tcBorders>
              <w:top w:val="nil"/>
              <w:left w:val="nil"/>
              <w:bottom w:val="single" w:sz="8" w:space="0" w:color="000000"/>
              <w:right w:val="single" w:sz="8" w:space="0" w:color="000000"/>
            </w:tcBorders>
            <w:vAlign w:val="center"/>
            <w:hideMark/>
          </w:tcPr>
          <w:p w:rsidR="005F51FB" w:rsidRPr="005F51FB" w:rsidP="005F51FB" w14:paraId="6E47921A" w14:textId="77777777">
            <w:pPr>
              <w:widowControl/>
              <w:autoSpaceDE/>
              <w:autoSpaceDN/>
              <w:jc w:val="right"/>
              <w:rPr>
                <w:b/>
                <w:bCs/>
                <w:color w:val="000000"/>
                <w:sz w:val="28"/>
                <w:szCs w:val="28"/>
              </w:rPr>
            </w:pPr>
            <w:r w:rsidRPr="005F51FB">
              <w:rPr>
                <w:b/>
                <w:bCs/>
                <w:color w:val="000000"/>
                <w:sz w:val="28"/>
                <w:szCs w:val="28"/>
              </w:rPr>
              <w:t>3.54277758</w:t>
            </w:r>
          </w:p>
        </w:tc>
        <w:tc>
          <w:tcPr>
            <w:tcW w:w="1546" w:type="dxa"/>
            <w:tcBorders>
              <w:top w:val="nil"/>
              <w:left w:val="nil"/>
              <w:bottom w:val="single" w:sz="8" w:space="0" w:color="000000"/>
              <w:right w:val="single" w:sz="8" w:space="0" w:color="000000"/>
            </w:tcBorders>
            <w:vAlign w:val="center"/>
            <w:hideMark/>
          </w:tcPr>
          <w:p w:rsidR="005F51FB" w:rsidRPr="005F51FB" w:rsidP="005F51FB" w14:paraId="4ABCEC5A" w14:textId="77777777">
            <w:pPr>
              <w:widowControl/>
              <w:autoSpaceDE/>
              <w:autoSpaceDN/>
              <w:jc w:val="right"/>
              <w:rPr>
                <w:b/>
                <w:bCs/>
                <w:color w:val="000000"/>
                <w:sz w:val="28"/>
                <w:szCs w:val="28"/>
              </w:rPr>
            </w:pPr>
            <w:r w:rsidRPr="005F51FB">
              <w:rPr>
                <w:b/>
                <w:bCs/>
                <w:color w:val="000000"/>
                <w:sz w:val="28"/>
                <w:szCs w:val="28"/>
              </w:rPr>
              <w:t>255,456</w:t>
            </w:r>
          </w:p>
        </w:tc>
        <w:tc>
          <w:tcPr>
            <w:tcW w:w="1560" w:type="dxa"/>
            <w:tcBorders>
              <w:top w:val="nil"/>
              <w:left w:val="nil"/>
              <w:bottom w:val="single" w:sz="8" w:space="0" w:color="000000"/>
              <w:right w:val="single" w:sz="8" w:space="0" w:color="000000"/>
            </w:tcBorders>
            <w:vAlign w:val="center"/>
            <w:hideMark/>
          </w:tcPr>
          <w:p w:rsidR="005F51FB" w:rsidRPr="005F51FB" w:rsidP="005F51FB" w14:paraId="4CC40ABE" w14:textId="77777777">
            <w:pPr>
              <w:widowControl/>
              <w:autoSpaceDE/>
              <w:autoSpaceDN/>
              <w:jc w:val="right"/>
              <w:rPr>
                <w:b/>
                <w:bCs/>
                <w:color w:val="000000"/>
                <w:sz w:val="28"/>
                <w:szCs w:val="28"/>
              </w:rPr>
            </w:pPr>
            <w:r w:rsidRPr="005F51FB">
              <w:rPr>
                <w:b/>
                <w:bCs/>
                <w:color w:val="000000"/>
                <w:sz w:val="28"/>
                <w:szCs w:val="28"/>
              </w:rPr>
              <w:t>0.46071759</w:t>
            </w:r>
          </w:p>
        </w:tc>
        <w:tc>
          <w:tcPr>
            <w:tcW w:w="1514" w:type="dxa"/>
            <w:tcBorders>
              <w:top w:val="nil"/>
              <w:left w:val="nil"/>
              <w:bottom w:val="single" w:sz="8" w:space="0" w:color="000000"/>
              <w:right w:val="single" w:sz="8" w:space="0" w:color="000000"/>
            </w:tcBorders>
            <w:vAlign w:val="center"/>
            <w:hideMark/>
          </w:tcPr>
          <w:p w:rsidR="005F51FB" w:rsidRPr="005F51FB" w:rsidP="005F51FB" w14:paraId="17DCF0E5" w14:textId="77777777">
            <w:pPr>
              <w:widowControl/>
              <w:autoSpaceDE/>
              <w:autoSpaceDN/>
              <w:jc w:val="right"/>
              <w:rPr>
                <w:b/>
                <w:bCs/>
                <w:color w:val="000000"/>
                <w:sz w:val="28"/>
                <w:szCs w:val="28"/>
              </w:rPr>
            </w:pPr>
            <w:r w:rsidRPr="005F51FB">
              <w:rPr>
                <w:b/>
                <w:bCs/>
                <w:color w:val="000000"/>
                <w:sz w:val="28"/>
                <w:szCs w:val="28"/>
              </w:rPr>
              <w:t>117,693</w:t>
            </w:r>
          </w:p>
        </w:tc>
      </w:tr>
    </w:tbl>
    <w:p w:rsidR="00CC617D" w14:paraId="350F6969" w14:textId="42CF45C4">
      <w:pPr>
        <w:pStyle w:val="BodyText"/>
      </w:pPr>
      <w:r w:rsidRPr="00630480">
        <w:t xml:space="preserve">Because some producers will apply for multiple years, the average number of responses per respondent is 1.3 for </w:t>
      </w:r>
      <w:r>
        <w:t xml:space="preserve">forms FSA-504, FSA-510 and FSA-578.  </w:t>
      </w:r>
    </w:p>
    <w:p w:rsidR="005427FB" w14:paraId="515B618A" w14:textId="77777777">
      <w:pPr>
        <w:pStyle w:val="BodyText"/>
      </w:pPr>
    </w:p>
    <w:p w:rsidR="005427FB" w:rsidP="005427FB" w14:paraId="05AE1619" w14:textId="77777777">
      <w:pPr>
        <w:pStyle w:val="BodyText"/>
        <w:rPr>
          <w:b/>
          <w:bCs/>
        </w:rPr>
      </w:pPr>
      <w:r>
        <w:rPr>
          <w:b/>
          <w:bCs/>
        </w:rPr>
        <w:t>Component 2) On-Farm Stored Commodity Loss Program:</w:t>
      </w:r>
    </w:p>
    <w:p w:rsidR="00285FFB" w:rsidP="005427FB" w14:paraId="6637EBB7" w14:textId="77777777">
      <w:pPr>
        <w:pStyle w:val="BodyText"/>
        <w:rPr>
          <w:b/>
          <w:bCs/>
        </w:rPr>
      </w:pP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5"/>
        <w:gridCol w:w="1523"/>
        <w:gridCol w:w="1518"/>
        <w:gridCol w:w="1518"/>
        <w:gridCol w:w="1517"/>
        <w:gridCol w:w="1518"/>
      </w:tblGrid>
      <w:tr w14:paraId="0AB47FF4" w14:textId="77777777" w:rsidTr="00DF286F">
        <w:tblPrEx>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115"/>
          <w:jc w:val="center"/>
        </w:trPr>
        <w:tc>
          <w:tcPr>
            <w:tcW w:w="2385" w:type="dxa"/>
            <w:tcBorders>
              <w:top w:val="single" w:sz="4" w:space="0" w:color="000000"/>
              <w:left w:val="single" w:sz="4" w:space="0" w:color="000000"/>
              <w:bottom w:val="single" w:sz="4" w:space="0" w:color="000000"/>
              <w:right w:val="single" w:sz="4" w:space="0" w:color="000000"/>
            </w:tcBorders>
            <w:vAlign w:val="center"/>
            <w:hideMark/>
          </w:tcPr>
          <w:p w:rsidR="00DF286F" w:rsidRPr="00012365" w:rsidP="00DF286F" w14:paraId="7C7CD89A" w14:textId="4FF4AF57">
            <w:pPr>
              <w:spacing w:line="256" w:lineRule="auto"/>
              <w:rPr>
                <w:b/>
                <w:bCs/>
                <w:kern w:val="2"/>
                <w:sz w:val="24"/>
                <w:szCs w:val="24"/>
                <w14:ligatures w14:val="standardContextual"/>
              </w:rPr>
            </w:pPr>
            <w:r w:rsidRPr="00012365">
              <w:rPr>
                <w:b/>
                <w:bCs/>
                <w:color w:val="000000"/>
                <w:sz w:val="24"/>
                <w:szCs w:val="24"/>
              </w:rPr>
              <w:t>Burden Activity or Form</w:t>
            </w:r>
          </w:p>
        </w:tc>
        <w:tc>
          <w:tcPr>
            <w:tcW w:w="1523" w:type="dxa"/>
            <w:tcBorders>
              <w:top w:val="single" w:sz="4" w:space="0" w:color="000000"/>
              <w:left w:val="single" w:sz="4" w:space="0" w:color="000000"/>
              <w:bottom w:val="single" w:sz="4" w:space="0" w:color="000000"/>
              <w:right w:val="single" w:sz="4" w:space="0" w:color="000000"/>
            </w:tcBorders>
            <w:vAlign w:val="center"/>
            <w:hideMark/>
          </w:tcPr>
          <w:p w:rsidR="00DF286F" w:rsidRPr="006D425D" w:rsidP="00DF286F" w14:paraId="5C8E7465" w14:textId="492B9DB7">
            <w:pPr>
              <w:spacing w:line="256" w:lineRule="auto"/>
              <w:rPr>
                <w:b/>
                <w:bCs/>
                <w:kern w:val="2"/>
                <w:sz w:val="24"/>
                <w:szCs w:val="24"/>
                <w14:ligatures w14:val="standardContextual"/>
              </w:rPr>
            </w:pPr>
            <w:r w:rsidRPr="005F51FB">
              <w:rPr>
                <w:b/>
                <w:bCs/>
                <w:color w:val="000000"/>
                <w:sz w:val="24"/>
                <w:szCs w:val="24"/>
              </w:rPr>
              <w:t>Number of Respondents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DF286F" w:rsidRPr="006D425D" w:rsidP="00DF286F" w14:paraId="6014289F" w14:textId="3B825741">
            <w:pPr>
              <w:spacing w:line="256" w:lineRule="auto"/>
              <w:rPr>
                <w:b/>
                <w:bCs/>
                <w:kern w:val="2"/>
                <w:sz w:val="24"/>
                <w:szCs w:val="24"/>
                <w14:ligatures w14:val="standardContextual"/>
              </w:rPr>
            </w:pPr>
            <w:r w:rsidRPr="005F51FB">
              <w:rPr>
                <w:b/>
                <w:bCs/>
                <w:color w:val="000000"/>
                <w:sz w:val="24"/>
                <w:szCs w:val="24"/>
              </w:rPr>
              <w:t>Number of responses per respondent</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DF286F" w:rsidRPr="006D425D" w:rsidP="00DF286F" w14:paraId="0067451D" w14:textId="2AFD8A6A">
            <w:pPr>
              <w:spacing w:line="256" w:lineRule="auto"/>
              <w:rPr>
                <w:b/>
                <w:bCs/>
                <w:kern w:val="2"/>
                <w:sz w:val="24"/>
                <w:szCs w:val="24"/>
                <w14:ligatures w14:val="standardContextual"/>
              </w:rPr>
            </w:pPr>
            <w:r w:rsidRPr="005F51FB">
              <w:rPr>
                <w:b/>
                <w:bCs/>
                <w:color w:val="000000"/>
                <w:sz w:val="24"/>
                <w:szCs w:val="24"/>
              </w:rPr>
              <w:t>Total annual responses</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DF286F" w:rsidRPr="006D425D" w:rsidP="00DF286F" w14:paraId="14D32BDA" w14:textId="1DADD648">
            <w:pPr>
              <w:spacing w:line="256" w:lineRule="auto"/>
              <w:rPr>
                <w:b/>
                <w:bCs/>
                <w:kern w:val="2"/>
                <w:sz w:val="24"/>
                <w:szCs w:val="24"/>
                <w14:ligatures w14:val="standardContextual"/>
              </w:rPr>
            </w:pPr>
            <w:r w:rsidRPr="005F51FB">
              <w:rPr>
                <w:b/>
                <w:bCs/>
                <w:color w:val="000000"/>
                <w:sz w:val="24"/>
                <w:szCs w:val="24"/>
              </w:rPr>
              <w:t>Hours per response</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DF286F" w:rsidRPr="006D425D" w:rsidP="00DF286F" w14:paraId="0445F429" w14:textId="42AD0E5D">
            <w:pPr>
              <w:spacing w:line="256" w:lineRule="auto"/>
              <w:rPr>
                <w:b/>
                <w:bCs/>
                <w:kern w:val="2"/>
                <w:sz w:val="24"/>
                <w:szCs w:val="24"/>
                <w14:ligatures w14:val="standardContextual"/>
              </w:rPr>
            </w:pPr>
            <w:r w:rsidRPr="005F51FB">
              <w:rPr>
                <w:b/>
                <w:bCs/>
                <w:color w:val="000000"/>
                <w:sz w:val="24"/>
                <w:szCs w:val="24"/>
              </w:rPr>
              <w:t>Total hours per year</w:t>
            </w:r>
          </w:p>
        </w:tc>
      </w:tr>
      <w:tr w14:paraId="372DA53B"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hideMark/>
          </w:tcPr>
          <w:p w:rsidR="00285FFB" w:rsidRPr="00012365" w:rsidP="00FE0A83" w14:paraId="499D5C02" w14:textId="0072578B">
            <w:pPr>
              <w:rPr>
                <w:kern w:val="2"/>
                <w:sz w:val="24"/>
                <w:szCs w:val="24"/>
                <w14:ligatures w14:val="standardContextual"/>
              </w:rPr>
            </w:pPr>
            <w:r w:rsidRPr="00012365">
              <w:rPr>
                <w:kern w:val="2"/>
                <w:sz w:val="24"/>
                <w:szCs w:val="24"/>
                <w14:ligatures w14:val="standardContextual"/>
              </w:rPr>
              <w:t xml:space="preserve">FSA-878, </w:t>
            </w:r>
            <w:r w:rsidRPr="00012365" w:rsidR="00FE0A83">
              <w:rPr>
                <w:kern w:val="2"/>
                <w:sz w:val="24"/>
                <w:szCs w:val="24"/>
                <w14:ligatures w14:val="standardContextual"/>
              </w:rPr>
              <w:t>On-Farm Stored Commodity Loss Program Application</w:t>
            </w:r>
          </w:p>
        </w:tc>
        <w:tc>
          <w:tcPr>
            <w:tcW w:w="1523"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34DF96BE" w14:textId="77777777">
            <w:pPr>
              <w:spacing w:line="480" w:lineRule="auto"/>
              <w:jc w:val="right"/>
              <w:rPr>
                <w:kern w:val="2"/>
                <w:sz w:val="24"/>
                <w:szCs w:val="24"/>
                <w14:ligatures w14:val="standardContextual"/>
              </w:rPr>
            </w:pPr>
            <w:r w:rsidRPr="006D425D">
              <w:rPr>
                <w:kern w:val="2"/>
                <w:sz w:val="24"/>
                <w:szCs w:val="24"/>
                <w14:ligatures w14:val="standardContextual"/>
              </w:rPr>
              <w:t>550</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00A6D729" w14:textId="77777777">
            <w:pPr>
              <w:spacing w:line="480" w:lineRule="auto"/>
              <w:jc w:val="right"/>
              <w:rPr>
                <w:kern w:val="2"/>
                <w:sz w:val="24"/>
                <w:szCs w:val="24"/>
                <w14:ligatures w14:val="standardContextual"/>
              </w:rPr>
            </w:pPr>
            <w:r w:rsidRPr="006D425D">
              <w:rPr>
                <w:kern w:val="2"/>
                <w:sz w:val="24"/>
                <w:szCs w:val="24"/>
                <w14:ligatures w14:val="standardContextual"/>
              </w:rPr>
              <w:t>1</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1B98F519" w14:textId="77777777">
            <w:pPr>
              <w:spacing w:line="480" w:lineRule="auto"/>
              <w:jc w:val="right"/>
              <w:rPr>
                <w:kern w:val="2"/>
                <w:sz w:val="24"/>
                <w:szCs w:val="24"/>
                <w14:ligatures w14:val="standardContextual"/>
              </w:rPr>
            </w:pPr>
            <w:r w:rsidRPr="006D425D">
              <w:rPr>
                <w:kern w:val="2"/>
                <w:sz w:val="24"/>
                <w:szCs w:val="24"/>
                <w14:ligatures w14:val="standardContextual"/>
              </w:rPr>
              <w:t>550</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55FF7236" w14:textId="77777777">
            <w:pPr>
              <w:spacing w:line="480" w:lineRule="auto"/>
              <w:jc w:val="right"/>
              <w:rPr>
                <w:kern w:val="2"/>
                <w:sz w:val="24"/>
                <w:szCs w:val="24"/>
                <w14:ligatures w14:val="standardContextual"/>
              </w:rPr>
            </w:pPr>
            <w:r w:rsidRPr="006D425D">
              <w:rPr>
                <w:kern w:val="2"/>
                <w:sz w:val="24"/>
                <w:szCs w:val="24"/>
                <w14:ligatures w14:val="standardContextual"/>
              </w:rPr>
              <w:t>0.25</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43CD5473" w14:textId="77777777">
            <w:pPr>
              <w:spacing w:line="480" w:lineRule="auto"/>
              <w:jc w:val="right"/>
              <w:rPr>
                <w:kern w:val="2"/>
                <w:sz w:val="24"/>
                <w:szCs w:val="24"/>
                <w14:ligatures w14:val="standardContextual"/>
              </w:rPr>
            </w:pPr>
            <w:r w:rsidRPr="006D425D">
              <w:rPr>
                <w:kern w:val="2"/>
                <w:sz w:val="24"/>
                <w:szCs w:val="24"/>
                <w14:ligatures w14:val="standardContextual"/>
              </w:rPr>
              <w:t>138</w:t>
            </w:r>
          </w:p>
        </w:tc>
      </w:tr>
      <w:tr w14:paraId="47C43F85"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tcPr>
          <w:p w:rsidR="00C62CA6" w:rsidRPr="00012365" w:rsidP="00DF286F" w14:paraId="3CF29654" w14:textId="5BBF71EE">
            <w:pPr>
              <w:rPr>
                <w:kern w:val="2"/>
                <w:sz w:val="24"/>
                <w:szCs w:val="24"/>
                <w14:ligatures w14:val="standardContextual"/>
              </w:rPr>
            </w:pPr>
            <w:r w:rsidRPr="00012365">
              <w:rPr>
                <w:kern w:val="2"/>
                <w:sz w:val="24"/>
                <w:szCs w:val="24"/>
                <w14:ligatures w14:val="standardContextual"/>
              </w:rPr>
              <w:t xml:space="preserve">FSA-878 Continuation, </w:t>
            </w:r>
            <w:r w:rsidRPr="00012365" w:rsidR="00FE0A83">
              <w:rPr>
                <w:kern w:val="2"/>
                <w:sz w:val="24"/>
                <w:szCs w:val="24"/>
                <w14:ligatures w14:val="standardContextual"/>
              </w:rPr>
              <w:t xml:space="preserve">On-Farm Stored Commodity Loss Program (OFSCLP) Certification </w:t>
            </w:r>
          </w:p>
        </w:tc>
        <w:tc>
          <w:tcPr>
            <w:tcW w:w="1523" w:type="dxa"/>
            <w:tcBorders>
              <w:top w:val="single" w:sz="4" w:space="0" w:color="000000"/>
              <w:left w:val="single" w:sz="4" w:space="0" w:color="000000"/>
              <w:bottom w:val="single" w:sz="4" w:space="0" w:color="000000"/>
              <w:right w:val="single" w:sz="4" w:space="0" w:color="000000"/>
            </w:tcBorders>
            <w:vAlign w:val="center"/>
          </w:tcPr>
          <w:p w:rsidR="00C62CA6" w:rsidRPr="006D425D" w:rsidP="00DF286F" w14:paraId="417DDC86" w14:textId="1D3C24C9">
            <w:pPr>
              <w:spacing w:line="480" w:lineRule="auto"/>
              <w:jc w:val="right"/>
              <w:rPr>
                <w:kern w:val="2"/>
                <w:sz w:val="24"/>
                <w:szCs w:val="24"/>
                <w14:ligatures w14:val="standardContextual"/>
              </w:rPr>
            </w:pPr>
            <w:r w:rsidRPr="006D425D">
              <w:rPr>
                <w:kern w:val="2"/>
                <w:sz w:val="24"/>
                <w:szCs w:val="24"/>
                <w14:ligatures w14:val="standardContextual"/>
              </w:rPr>
              <w:t>50</w:t>
            </w:r>
          </w:p>
        </w:tc>
        <w:tc>
          <w:tcPr>
            <w:tcW w:w="1518" w:type="dxa"/>
            <w:tcBorders>
              <w:top w:val="single" w:sz="4" w:space="0" w:color="000000"/>
              <w:left w:val="single" w:sz="4" w:space="0" w:color="000000"/>
              <w:bottom w:val="single" w:sz="4" w:space="0" w:color="000000"/>
              <w:right w:val="single" w:sz="4" w:space="0" w:color="000000"/>
            </w:tcBorders>
            <w:vAlign w:val="center"/>
          </w:tcPr>
          <w:p w:rsidR="00C62CA6" w:rsidRPr="006D425D" w:rsidP="00DF286F" w14:paraId="1481C983" w14:textId="64D6CA64">
            <w:pPr>
              <w:spacing w:line="480" w:lineRule="auto"/>
              <w:jc w:val="right"/>
              <w:rPr>
                <w:kern w:val="2"/>
                <w:sz w:val="24"/>
                <w:szCs w:val="24"/>
                <w14:ligatures w14:val="standardContextual"/>
              </w:rPr>
            </w:pPr>
            <w:r w:rsidRPr="006D425D">
              <w:rPr>
                <w:kern w:val="2"/>
                <w:sz w:val="24"/>
                <w:szCs w:val="24"/>
                <w14:ligatures w14:val="standardContextual"/>
              </w:rPr>
              <w:t>1</w:t>
            </w:r>
          </w:p>
        </w:tc>
        <w:tc>
          <w:tcPr>
            <w:tcW w:w="1518" w:type="dxa"/>
            <w:tcBorders>
              <w:top w:val="single" w:sz="4" w:space="0" w:color="000000"/>
              <w:left w:val="single" w:sz="4" w:space="0" w:color="000000"/>
              <w:bottom w:val="single" w:sz="4" w:space="0" w:color="000000"/>
              <w:right w:val="single" w:sz="4" w:space="0" w:color="000000"/>
            </w:tcBorders>
            <w:vAlign w:val="center"/>
          </w:tcPr>
          <w:p w:rsidR="00C62CA6" w:rsidRPr="006D425D" w:rsidP="00DF286F" w14:paraId="521C6F58" w14:textId="396A49C5">
            <w:pPr>
              <w:spacing w:line="480" w:lineRule="auto"/>
              <w:jc w:val="right"/>
              <w:rPr>
                <w:kern w:val="2"/>
                <w:sz w:val="24"/>
                <w:szCs w:val="24"/>
                <w14:ligatures w14:val="standardContextual"/>
              </w:rPr>
            </w:pPr>
            <w:r w:rsidRPr="006D425D">
              <w:rPr>
                <w:kern w:val="2"/>
                <w:sz w:val="24"/>
                <w:szCs w:val="24"/>
                <w14:ligatures w14:val="standardContextual"/>
              </w:rPr>
              <w:t>50</w:t>
            </w:r>
          </w:p>
        </w:tc>
        <w:tc>
          <w:tcPr>
            <w:tcW w:w="1517" w:type="dxa"/>
            <w:tcBorders>
              <w:top w:val="single" w:sz="4" w:space="0" w:color="000000"/>
              <w:left w:val="single" w:sz="4" w:space="0" w:color="000000"/>
              <w:bottom w:val="single" w:sz="4" w:space="0" w:color="000000"/>
              <w:right w:val="single" w:sz="4" w:space="0" w:color="000000"/>
            </w:tcBorders>
            <w:vAlign w:val="center"/>
          </w:tcPr>
          <w:p w:rsidR="00C62CA6" w:rsidRPr="006D425D" w:rsidP="00DF286F" w14:paraId="27E86B1F" w14:textId="5A03D379">
            <w:pPr>
              <w:spacing w:line="480" w:lineRule="auto"/>
              <w:jc w:val="right"/>
              <w:rPr>
                <w:kern w:val="2"/>
                <w:sz w:val="24"/>
                <w:szCs w:val="24"/>
                <w14:ligatures w14:val="standardContextual"/>
              </w:rPr>
            </w:pPr>
            <w:r w:rsidRPr="006D425D">
              <w:rPr>
                <w:kern w:val="2"/>
                <w:sz w:val="24"/>
                <w:szCs w:val="24"/>
                <w14:ligatures w14:val="standardContextual"/>
              </w:rPr>
              <w:t>0.25</w:t>
            </w:r>
          </w:p>
        </w:tc>
        <w:tc>
          <w:tcPr>
            <w:tcW w:w="1518" w:type="dxa"/>
            <w:tcBorders>
              <w:top w:val="single" w:sz="4" w:space="0" w:color="000000"/>
              <w:left w:val="single" w:sz="4" w:space="0" w:color="000000"/>
              <w:bottom w:val="single" w:sz="4" w:space="0" w:color="000000"/>
              <w:right w:val="single" w:sz="4" w:space="0" w:color="000000"/>
            </w:tcBorders>
            <w:vAlign w:val="center"/>
          </w:tcPr>
          <w:p w:rsidR="00C62CA6" w:rsidRPr="006D425D" w:rsidP="00DF286F" w14:paraId="1A624A2C" w14:textId="48819B1D">
            <w:pPr>
              <w:spacing w:line="480" w:lineRule="auto"/>
              <w:jc w:val="right"/>
              <w:rPr>
                <w:kern w:val="2"/>
                <w:sz w:val="24"/>
                <w:szCs w:val="24"/>
                <w14:ligatures w14:val="standardContextual"/>
              </w:rPr>
            </w:pPr>
            <w:r w:rsidRPr="006D425D">
              <w:rPr>
                <w:kern w:val="2"/>
                <w:sz w:val="24"/>
                <w:szCs w:val="24"/>
                <w14:ligatures w14:val="standardContextual"/>
              </w:rPr>
              <w:t>13</w:t>
            </w:r>
          </w:p>
        </w:tc>
      </w:tr>
      <w:tr w14:paraId="02933C74"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hideMark/>
          </w:tcPr>
          <w:p w:rsidR="00285FFB" w:rsidRPr="00012365" w:rsidP="00DF286F" w14:paraId="6D28A006" w14:textId="281268FC">
            <w:pPr>
              <w:rPr>
                <w:kern w:val="2"/>
                <w:sz w:val="24"/>
                <w:szCs w:val="24"/>
                <w14:ligatures w14:val="standardContextual"/>
              </w:rPr>
            </w:pPr>
            <w:r w:rsidRPr="00012365">
              <w:rPr>
                <w:color w:val="000000"/>
                <w:sz w:val="24"/>
                <w:szCs w:val="24"/>
              </w:rPr>
              <w:t>CCC-901, Member Information for an Entity</w:t>
            </w:r>
          </w:p>
        </w:tc>
        <w:tc>
          <w:tcPr>
            <w:tcW w:w="1523"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4A8FECFB" w14:textId="77777777">
            <w:pPr>
              <w:spacing w:line="480" w:lineRule="auto"/>
              <w:jc w:val="right"/>
              <w:rPr>
                <w:kern w:val="2"/>
                <w:sz w:val="24"/>
                <w:szCs w:val="24"/>
                <w14:ligatures w14:val="standardContextual"/>
              </w:rPr>
            </w:pPr>
            <w:r w:rsidRPr="006D425D">
              <w:rPr>
                <w:kern w:val="2"/>
                <w:sz w:val="24"/>
                <w:szCs w:val="24"/>
                <w14:ligatures w14:val="standardContextual"/>
              </w:rPr>
              <w:t>50</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0E833B1E" w14:textId="77777777">
            <w:pPr>
              <w:spacing w:line="480" w:lineRule="auto"/>
              <w:jc w:val="right"/>
              <w:rPr>
                <w:kern w:val="2"/>
                <w:sz w:val="24"/>
                <w:szCs w:val="24"/>
                <w14:ligatures w14:val="standardContextual"/>
              </w:rPr>
            </w:pPr>
            <w:r w:rsidRPr="006D425D">
              <w:rPr>
                <w:kern w:val="2"/>
                <w:sz w:val="24"/>
                <w:szCs w:val="24"/>
                <w14:ligatures w14:val="standardContextual"/>
              </w:rPr>
              <w:t>1</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5B7FB0E2" w14:textId="77777777">
            <w:pPr>
              <w:spacing w:line="480" w:lineRule="auto"/>
              <w:jc w:val="right"/>
              <w:rPr>
                <w:kern w:val="2"/>
                <w:sz w:val="24"/>
                <w:szCs w:val="24"/>
                <w14:ligatures w14:val="standardContextual"/>
              </w:rPr>
            </w:pPr>
            <w:r w:rsidRPr="006D425D">
              <w:rPr>
                <w:kern w:val="2"/>
                <w:sz w:val="24"/>
                <w:szCs w:val="24"/>
                <w14:ligatures w14:val="standardContextual"/>
              </w:rPr>
              <w:t>50</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4CB1B6C7" w14:textId="77777777">
            <w:pPr>
              <w:spacing w:line="480" w:lineRule="auto"/>
              <w:jc w:val="right"/>
              <w:rPr>
                <w:kern w:val="2"/>
                <w:sz w:val="24"/>
                <w:szCs w:val="24"/>
                <w14:ligatures w14:val="standardContextual"/>
              </w:rPr>
            </w:pPr>
            <w:r w:rsidRPr="006D425D">
              <w:rPr>
                <w:kern w:val="2"/>
                <w:sz w:val="24"/>
                <w:szCs w:val="24"/>
                <w14:ligatures w14:val="standardContextual"/>
              </w:rPr>
              <w:t>0.5</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58BDC09D" w14:textId="77777777">
            <w:pPr>
              <w:spacing w:line="480" w:lineRule="auto"/>
              <w:jc w:val="right"/>
              <w:rPr>
                <w:kern w:val="2"/>
                <w:sz w:val="24"/>
                <w:szCs w:val="24"/>
                <w14:ligatures w14:val="standardContextual"/>
              </w:rPr>
            </w:pPr>
            <w:r w:rsidRPr="006D425D">
              <w:rPr>
                <w:kern w:val="2"/>
                <w:sz w:val="24"/>
                <w:szCs w:val="24"/>
                <w14:ligatures w14:val="standardContextual"/>
              </w:rPr>
              <w:t>25</w:t>
            </w:r>
          </w:p>
        </w:tc>
      </w:tr>
      <w:tr w14:paraId="2091F0C5"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hideMark/>
          </w:tcPr>
          <w:p w:rsidR="00285FFB" w:rsidRPr="00012365" w:rsidP="00DF286F" w14:paraId="6582D374" w14:textId="1D74528E">
            <w:pPr>
              <w:spacing w:line="256" w:lineRule="auto"/>
              <w:rPr>
                <w:kern w:val="2"/>
                <w:sz w:val="24"/>
                <w:szCs w:val="24"/>
                <w14:ligatures w14:val="standardContextual"/>
              </w:rPr>
            </w:pPr>
            <w:r w:rsidRPr="00012365">
              <w:rPr>
                <w:color w:val="000000"/>
                <w:sz w:val="24"/>
                <w:szCs w:val="24"/>
              </w:rPr>
              <w:t>CCC-902E, Farm Operating Plan for an Entity</w:t>
            </w:r>
          </w:p>
        </w:tc>
        <w:tc>
          <w:tcPr>
            <w:tcW w:w="1523"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66F6F483" w14:textId="77777777">
            <w:pPr>
              <w:spacing w:line="480" w:lineRule="auto"/>
              <w:jc w:val="right"/>
              <w:rPr>
                <w:kern w:val="2"/>
                <w:sz w:val="24"/>
                <w:szCs w:val="24"/>
                <w14:ligatures w14:val="standardContextual"/>
              </w:rPr>
            </w:pPr>
            <w:r w:rsidRPr="006D425D">
              <w:rPr>
                <w:kern w:val="2"/>
                <w:sz w:val="24"/>
                <w:szCs w:val="24"/>
                <w14:ligatures w14:val="standardContextual"/>
              </w:rPr>
              <w:t>50</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2B0F4199" w14:textId="77777777">
            <w:pPr>
              <w:spacing w:line="480" w:lineRule="auto"/>
              <w:jc w:val="right"/>
              <w:rPr>
                <w:kern w:val="2"/>
                <w:sz w:val="24"/>
                <w:szCs w:val="24"/>
                <w14:ligatures w14:val="standardContextual"/>
              </w:rPr>
            </w:pPr>
            <w:r w:rsidRPr="006D425D">
              <w:rPr>
                <w:kern w:val="2"/>
                <w:sz w:val="24"/>
                <w:szCs w:val="24"/>
                <w14:ligatures w14:val="standardContextual"/>
              </w:rPr>
              <w:t>1</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035455AA" w14:textId="77777777">
            <w:pPr>
              <w:spacing w:line="480" w:lineRule="auto"/>
              <w:jc w:val="right"/>
              <w:rPr>
                <w:kern w:val="2"/>
                <w:sz w:val="24"/>
                <w:szCs w:val="24"/>
                <w14:ligatures w14:val="standardContextual"/>
              </w:rPr>
            </w:pPr>
            <w:r w:rsidRPr="006D425D">
              <w:rPr>
                <w:kern w:val="2"/>
                <w:sz w:val="24"/>
                <w:szCs w:val="24"/>
                <w14:ligatures w14:val="standardContextual"/>
              </w:rPr>
              <w:t>50</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55670E62" w14:textId="77777777">
            <w:pPr>
              <w:spacing w:line="480" w:lineRule="auto"/>
              <w:jc w:val="right"/>
              <w:rPr>
                <w:kern w:val="2"/>
                <w:sz w:val="24"/>
                <w:szCs w:val="24"/>
                <w14:ligatures w14:val="standardContextual"/>
              </w:rPr>
            </w:pPr>
            <w:r w:rsidRPr="006D425D">
              <w:rPr>
                <w:kern w:val="2"/>
                <w:sz w:val="24"/>
                <w:szCs w:val="24"/>
                <w14:ligatures w14:val="standardContextual"/>
              </w:rPr>
              <w:t>0.5</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6D9FA536" w14:textId="77777777">
            <w:pPr>
              <w:spacing w:line="480" w:lineRule="auto"/>
              <w:jc w:val="right"/>
              <w:rPr>
                <w:kern w:val="2"/>
                <w:sz w:val="24"/>
                <w:szCs w:val="24"/>
                <w14:ligatures w14:val="standardContextual"/>
              </w:rPr>
            </w:pPr>
            <w:r w:rsidRPr="006D425D">
              <w:rPr>
                <w:kern w:val="2"/>
                <w:sz w:val="24"/>
                <w:szCs w:val="24"/>
                <w14:ligatures w14:val="standardContextual"/>
              </w:rPr>
              <w:t>25</w:t>
            </w:r>
          </w:p>
        </w:tc>
      </w:tr>
      <w:tr w14:paraId="7925609F"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hideMark/>
          </w:tcPr>
          <w:p w:rsidR="00285FFB" w:rsidRPr="00012365" w:rsidP="00DF286F" w14:paraId="19CE7BA1" w14:textId="2D08D424">
            <w:pPr>
              <w:spacing w:line="256" w:lineRule="auto"/>
              <w:rPr>
                <w:kern w:val="2"/>
                <w:sz w:val="24"/>
                <w:szCs w:val="24"/>
                <w14:ligatures w14:val="standardContextual"/>
              </w:rPr>
            </w:pPr>
            <w:r w:rsidRPr="00012365">
              <w:rPr>
                <w:color w:val="000000"/>
                <w:sz w:val="24"/>
                <w:szCs w:val="24"/>
              </w:rPr>
              <w:t>CCC-902I, Farm Operating Plan for an Individual</w:t>
            </w:r>
          </w:p>
        </w:tc>
        <w:tc>
          <w:tcPr>
            <w:tcW w:w="1523"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21697C99" w14:textId="77777777">
            <w:pPr>
              <w:spacing w:line="480" w:lineRule="auto"/>
              <w:jc w:val="right"/>
              <w:rPr>
                <w:kern w:val="2"/>
                <w:sz w:val="24"/>
                <w:szCs w:val="24"/>
                <w14:ligatures w14:val="standardContextual"/>
              </w:rPr>
            </w:pPr>
            <w:r w:rsidRPr="006D425D">
              <w:rPr>
                <w:kern w:val="2"/>
                <w:sz w:val="24"/>
                <w:szCs w:val="24"/>
                <w14:ligatures w14:val="standardContextual"/>
              </w:rPr>
              <w:t>50</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66DDBA65" w14:textId="77777777">
            <w:pPr>
              <w:spacing w:line="480" w:lineRule="auto"/>
              <w:jc w:val="right"/>
              <w:rPr>
                <w:kern w:val="2"/>
                <w:sz w:val="24"/>
                <w:szCs w:val="24"/>
                <w14:ligatures w14:val="standardContextual"/>
              </w:rPr>
            </w:pPr>
            <w:r w:rsidRPr="006D425D">
              <w:rPr>
                <w:kern w:val="2"/>
                <w:sz w:val="24"/>
                <w:szCs w:val="24"/>
                <w14:ligatures w14:val="standardContextual"/>
              </w:rPr>
              <w:t>1</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63449319" w14:textId="77777777">
            <w:pPr>
              <w:spacing w:line="480" w:lineRule="auto"/>
              <w:jc w:val="right"/>
              <w:rPr>
                <w:kern w:val="2"/>
                <w:sz w:val="24"/>
                <w:szCs w:val="24"/>
                <w14:ligatures w14:val="standardContextual"/>
              </w:rPr>
            </w:pPr>
            <w:r w:rsidRPr="006D425D">
              <w:rPr>
                <w:kern w:val="2"/>
                <w:sz w:val="24"/>
                <w:szCs w:val="24"/>
                <w14:ligatures w14:val="standardContextual"/>
              </w:rPr>
              <w:t>50</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58CC2130" w14:textId="77777777">
            <w:pPr>
              <w:spacing w:line="480" w:lineRule="auto"/>
              <w:jc w:val="right"/>
              <w:rPr>
                <w:kern w:val="2"/>
                <w:sz w:val="24"/>
                <w:szCs w:val="24"/>
                <w14:ligatures w14:val="standardContextual"/>
              </w:rPr>
            </w:pPr>
            <w:r w:rsidRPr="006D425D">
              <w:rPr>
                <w:kern w:val="2"/>
                <w:sz w:val="24"/>
                <w:szCs w:val="24"/>
                <w14:ligatures w14:val="standardContextual"/>
              </w:rPr>
              <w:t>0.5</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2A2218FD" w14:textId="77777777">
            <w:pPr>
              <w:spacing w:line="480" w:lineRule="auto"/>
              <w:jc w:val="right"/>
              <w:rPr>
                <w:kern w:val="2"/>
                <w:sz w:val="24"/>
                <w:szCs w:val="24"/>
                <w14:ligatures w14:val="standardContextual"/>
              </w:rPr>
            </w:pPr>
            <w:r w:rsidRPr="006D425D">
              <w:rPr>
                <w:kern w:val="2"/>
                <w:sz w:val="24"/>
                <w:szCs w:val="24"/>
                <w14:ligatures w14:val="standardContextual"/>
              </w:rPr>
              <w:t>25</w:t>
            </w:r>
          </w:p>
        </w:tc>
      </w:tr>
      <w:tr w14:paraId="57090DFE"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hideMark/>
          </w:tcPr>
          <w:p w:rsidR="00285FFB" w:rsidRPr="00012365" w:rsidP="00DF286F" w14:paraId="29F8B53D" w14:textId="7CF94DDF">
            <w:pPr>
              <w:spacing w:line="256" w:lineRule="auto"/>
              <w:rPr>
                <w:kern w:val="2"/>
                <w:sz w:val="24"/>
                <w:szCs w:val="24"/>
                <w14:ligatures w14:val="standardContextual"/>
              </w:rPr>
            </w:pPr>
            <w:r w:rsidRPr="00012365">
              <w:rPr>
                <w:color w:val="000000"/>
                <w:sz w:val="24"/>
                <w:szCs w:val="24"/>
              </w:rPr>
              <w:t>FSA-510, Request for an Exception to the $125,000 Payment Limitation for Certain Programs</w:t>
            </w:r>
          </w:p>
        </w:tc>
        <w:tc>
          <w:tcPr>
            <w:tcW w:w="1523"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454DBA34" w14:textId="77777777">
            <w:pPr>
              <w:spacing w:line="480" w:lineRule="auto"/>
              <w:jc w:val="right"/>
              <w:rPr>
                <w:kern w:val="2"/>
                <w:sz w:val="24"/>
                <w:szCs w:val="24"/>
                <w14:ligatures w14:val="standardContextual"/>
              </w:rPr>
            </w:pPr>
            <w:r w:rsidRPr="006D425D">
              <w:rPr>
                <w:kern w:val="2"/>
                <w:sz w:val="24"/>
                <w:szCs w:val="24"/>
                <w14:ligatures w14:val="standardContextual"/>
              </w:rPr>
              <w:t>100</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51ED3CF3" w14:textId="77777777">
            <w:pPr>
              <w:spacing w:line="480" w:lineRule="auto"/>
              <w:jc w:val="right"/>
              <w:rPr>
                <w:kern w:val="2"/>
                <w:sz w:val="24"/>
                <w:szCs w:val="24"/>
                <w14:ligatures w14:val="standardContextual"/>
              </w:rPr>
            </w:pPr>
            <w:r w:rsidRPr="006D425D">
              <w:rPr>
                <w:kern w:val="2"/>
                <w:sz w:val="24"/>
                <w:szCs w:val="24"/>
                <w14:ligatures w14:val="standardContextual"/>
              </w:rPr>
              <w:t>1</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15480AE0" w14:textId="77777777">
            <w:pPr>
              <w:spacing w:line="480" w:lineRule="auto"/>
              <w:jc w:val="right"/>
              <w:rPr>
                <w:kern w:val="2"/>
                <w:sz w:val="24"/>
                <w:szCs w:val="24"/>
                <w14:ligatures w14:val="standardContextual"/>
              </w:rPr>
            </w:pPr>
            <w:r w:rsidRPr="006D425D">
              <w:rPr>
                <w:kern w:val="2"/>
                <w:sz w:val="24"/>
                <w:szCs w:val="24"/>
                <w14:ligatures w14:val="standardContextual"/>
              </w:rPr>
              <w:t>100</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07D5E9A0" w14:textId="77777777">
            <w:pPr>
              <w:spacing w:line="480" w:lineRule="auto"/>
              <w:jc w:val="right"/>
              <w:rPr>
                <w:kern w:val="2"/>
                <w:sz w:val="24"/>
                <w:szCs w:val="24"/>
                <w14:ligatures w14:val="standardContextual"/>
              </w:rPr>
            </w:pPr>
            <w:r w:rsidRPr="006D425D">
              <w:rPr>
                <w:kern w:val="2"/>
                <w:sz w:val="24"/>
                <w:szCs w:val="24"/>
                <w14:ligatures w14:val="standardContextual"/>
              </w:rPr>
              <w:t>0.0835</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285FFB" w:rsidRPr="006D425D" w:rsidP="00DF286F" w14:paraId="34706615" w14:textId="77777777">
            <w:pPr>
              <w:spacing w:line="480" w:lineRule="auto"/>
              <w:jc w:val="right"/>
              <w:rPr>
                <w:kern w:val="2"/>
                <w:sz w:val="24"/>
                <w:szCs w:val="24"/>
                <w14:ligatures w14:val="standardContextual"/>
              </w:rPr>
            </w:pPr>
            <w:r w:rsidRPr="006D425D">
              <w:rPr>
                <w:kern w:val="2"/>
                <w:sz w:val="24"/>
                <w:szCs w:val="24"/>
                <w14:ligatures w14:val="standardContextual"/>
              </w:rPr>
              <w:t>8</w:t>
            </w:r>
          </w:p>
        </w:tc>
      </w:tr>
      <w:tr w14:paraId="26D0DE7F"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tcPr>
          <w:p w:rsidR="00285FFB" w:rsidRPr="00012365" w:rsidP="00DF286F" w14:paraId="116AA55D" w14:textId="56541393">
            <w:pPr>
              <w:spacing w:line="256" w:lineRule="auto"/>
              <w:rPr>
                <w:kern w:val="2"/>
                <w:sz w:val="24"/>
                <w:szCs w:val="24"/>
                <w14:ligatures w14:val="standardContextual"/>
              </w:rPr>
            </w:pPr>
            <w:r w:rsidRPr="00012365">
              <w:rPr>
                <w:kern w:val="2"/>
                <w:sz w:val="24"/>
                <w:szCs w:val="24"/>
                <w14:ligatures w14:val="standardContextual"/>
              </w:rPr>
              <w:t xml:space="preserve">AD-2047, </w:t>
            </w:r>
            <w:r w:rsidRPr="00012365">
              <w:rPr>
                <w:kern w:val="2"/>
                <w:sz w:val="24"/>
                <w:szCs w:val="24"/>
                <w14:ligatures w14:val="standardContextual"/>
              </w:rPr>
              <w:t xml:space="preserve">Customer Data Worksheet </w:t>
            </w:r>
          </w:p>
        </w:tc>
        <w:tc>
          <w:tcPr>
            <w:tcW w:w="1523"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43569D54" w14:textId="77777777">
            <w:pPr>
              <w:spacing w:line="480" w:lineRule="auto"/>
              <w:jc w:val="right"/>
              <w:rPr>
                <w:kern w:val="2"/>
                <w:sz w:val="24"/>
                <w:szCs w:val="24"/>
                <w14:ligatures w14:val="standardContextual"/>
              </w:rPr>
            </w:pPr>
            <w:r w:rsidRPr="006D425D">
              <w:rPr>
                <w:kern w:val="2"/>
                <w:sz w:val="24"/>
                <w:szCs w:val="24"/>
                <w14:ligatures w14:val="standardContextual"/>
              </w:rPr>
              <w:t>100</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6CDE705C" w14:textId="77777777">
            <w:pPr>
              <w:spacing w:line="480" w:lineRule="auto"/>
              <w:jc w:val="right"/>
              <w:rPr>
                <w:kern w:val="2"/>
                <w:sz w:val="24"/>
                <w:szCs w:val="24"/>
                <w14:ligatures w14:val="standardContextual"/>
              </w:rPr>
            </w:pPr>
            <w:r w:rsidRPr="006D425D">
              <w:rPr>
                <w:kern w:val="2"/>
                <w:sz w:val="24"/>
                <w:szCs w:val="24"/>
                <w14:ligatures w14:val="standardContextual"/>
              </w:rPr>
              <w:t>1</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2C897940" w14:textId="77777777">
            <w:pPr>
              <w:spacing w:line="480" w:lineRule="auto"/>
              <w:jc w:val="right"/>
              <w:rPr>
                <w:kern w:val="2"/>
                <w:sz w:val="24"/>
                <w:szCs w:val="24"/>
                <w14:ligatures w14:val="standardContextual"/>
              </w:rPr>
            </w:pPr>
            <w:r w:rsidRPr="006D425D">
              <w:rPr>
                <w:kern w:val="2"/>
                <w:sz w:val="24"/>
                <w:szCs w:val="24"/>
                <w14:ligatures w14:val="standardContextual"/>
              </w:rPr>
              <w:t>100</w:t>
            </w:r>
          </w:p>
        </w:tc>
        <w:tc>
          <w:tcPr>
            <w:tcW w:w="1517"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30FD6198" w14:textId="77777777">
            <w:pPr>
              <w:spacing w:line="480" w:lineRule="auto"/>
              <w:jc w:val="right"/>
              <w:rPr>
                <w:kern w:val="2"/>
                <w:sz w:val="24"/>
                <w:szCs w:val="24"/>
                <w14:ligatures w14:val="standardContextual"/>
              </w:rPr>
            </w:pPr>
            <w:r w:rsidRPr="006D425D">
              <w:rPr>
                <w:kern w:val="2"/>
                <w:sz w:val="24"/>
                <w:szCs w:val="24"/>
                <w14:ligatures w14:val="standardContextual"/>
              </w:rPr>
              <w:t>0.835</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0395D9CA" w14:textId="77777777">
            <w:pPr>
              <w:spacing w:line="480" w:lineRule="auto"/>
              <w:jc w:val="right"/>
              <w:rPr>
                <w:kern w:val="2"/>
                <w:sz w:val="24"/>
                <w:szCs w:val="24"/>
                <w14:ligatures w14:val="standardContextual"/>
              </w:rPr>
            </w:pPr>
            <w:r w:rsidRPr="006D425D">
              <w:rPr>
                <w:kern w:val="2"/>
                <w:sz w:val="24"/>
                <w:szCs w:val="24"/>
                <w14:ligatures w14:val="standardContextual"/>
              </w:rPr>
              <w:t>8</w:t>
            </w:r>
          </w:p>
        </w:tc>
      </w:tr>
      <w:tr w14:paraId="40C889CA"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tcPr>
          <w:p w:rsidR="00285FFB" w:rsidRPr="00012365" w:rsidP="00DF286F" w14:paraId="35F465E2" w14:textId="00804A9A">
            <w:pPr>
              <w:spacing w:line="256" w:lineRule="auto"/>
              <w:rPr>
                <w:kern w:val="2"/>
                <w:sz w:val="24"/>
                <w:szCs w:val="24"/>
                <w14:ligatures w14:val="standardContextual"/>
              </w:rPr>
            </w:pPr>
            <w:r w:rsidRPr="00012365">
              <w:t>AD-1026, Highly Erodible Land Conservation (HELC) and Wetland Conservation (WC) Certification (EXEMPT)</w:t>
            </w:r>
          </w:p>
        </w:tc>
        <w:tc>
          <w:tcPr>
            <w:tcW w:w="1523"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7BF56E55" w14:textId="77777777">
            <w:pPr>
              <w:spacing w:line="480" w:lineRule="auto"/>
              <w:jc w:val="right"/>
              <w:rPr>
                <w:kern w:val="2"/>
                <w:sz w:val="24"/>
                <w:szCs w:val="24"/>
                <w14:ligatures w14:val="standardContextual"/>
              </w:rPr>
            </w:pPr>
            <w:r w:rsidRPr="006D425D">
              <w:rPr>
                <w:kern w:val="2"/>
                <w:sz w:val="24"/>
                <w:szCs w:val="24"/>
                <w14:ligatures w14:val="standardContextual"/>
              </w:rPr>
              <w:t>100</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1196ADEA" w14:textId="77777777">
            <w:pPr>
              <w:spacing w:line="480" w:lineRule="auto"/>
              <w:jc w:val="right"/>
              <w:rPr>
                <w:kern w:val="2"/>
                <w:sz w:val="24"/>
                <w:szCs w:val="24"/>
                <w14:ligatures w14:val="standardContextual"/>
              </w:rPr>
            </w:pPr>
            <w:r w:rsidRPr="006D425D">
              <w:rPr>
                <w:kern w:val="2"/>
                <w:sz w:val="24"/>
                <w:szCs w:val="24"/>
                <w14:ligatures w14:val="standardContextual"/>
              </w:rPr>
              <w:t>1</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5C9AA75F" w14:textId="77777777">
            <w:pPr>
              <w:spacing w:line="480" w:lineRule="auto"/>
              <w:jc w:val="right"/>
              <w:rPr>
                <w:kern w:val="2"/>
                <w:sz w:val="24"/>
                <w:szCs w:val="24"/>
                <w14:ligatures w14:val="standardContextual"/>
              </w:rPr>
            </w:pPr>
            <w:r w:rsidRPr="006D425D">
              <w:rPr>
                <w:kern w:val="2"/>
                <w:sz w:val="24"/>
                <w:szCs w:val="24"/>
                <w14:ligatures w14:val="standardContextual"/>
              </w:rPr>
              <w:t>100</w:t>
            </w:r>
          </w:p>
        </w:tc>
        <w:tc>
          <w:tcPr>
            <w:tcW w:w="1517"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3413DEA6" w14:textId="77777777">
            <w:pPr>
              <w:spacing w:line="480" w:lineRule="auto"/>
              <w:jc w:val="right"/>
              <w:rPr>
                <w:kern w:val="2"/>
                <w:sz w:val="24"/>
                <w:szCs w:val="24"/>
                <w14:ligatures w14:val="standardContextual"/>
              </w:rPr>
            </w:pPr>
            <w:r w:rsidRPr="006D425D">
              <w:rPr>
                <w:kern w:val="2"/>
                <w:sz w:val="24"/>
                <w:szCs w:val="24"/>
                <w14:ligatures w14:val="standardContextual"/>
              </w:rPr>
              <w:t>0.0835</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795158CC" w14:textId="77777777">
            <w:pPr>
              <w:spacing w:line="480" w:lineRule="auto"/>
              <w:jc w:val="right"/>
              <w:rPr>
                <w:kern w:val="2"/>
                <w:sz w:val="24"/>
                <w:szCs w:val="24"/>
                <w14:ligatures w14:val="standardContextual"/>
              </w:rPr>
            </w:pPr>
            <w:r w:rsidRPr="006D425D">
              <w:rPr>
                <w:kern w:val="2"/>
                <w:sz w:val="24"/>
                <w:szCs w:val="24"/>
                <w14:ligatures w14:val="standardContextual"/>
              </w:rPr>
              <w:t>EXEMPT</w:t>
            </w:r>
          </w:p>
        </w:tc>
      </w:tr>
      <w:tr w14:paraId="693A158B" w14:textId="77777777" w:rsidTr="00DF286F">
        <w:tblPrEx>
          <w:tblW w:w="9979" w:type="dxa"/>
          <w:jc w:val="center"/>
          <w:tblLook w:val="04A0"/>
        </w:tblPrEx>
        <w:trPr>
          <w:jc w:val="center"/>
        </w:trPr>
        <w:tc>
          <w:tcPr>
            <w:tcW w:w="2385"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685AD1A3" w14:textId="621BC201">
            <w:pPr>
              <w:spacing w:line="256" w:lineRule="auto"/>
              <w:rPr>
                <w:b/>
                <w:bCs/>
                <w:kern w:val="2"/>
                <w:sz w:val="24"/>
                <w:szCs w:val="24"/>
                <w14:ligatures w14:val="standardContextual"/>
              </w:rPr>
            </w:pPr>
            <w:r w:rsidRPr="006D425D">
              <w:rPr>
                <w:b/>
                <w:bCs/>
                <w:kern w:val="2"/>
                <w:sz w:val="24"/>
                <w:szCs w:val="24"/>
                <w14:ligatures w14:val="standardContextual"/>
              </w:rPr>
              <w:t>Total Estimates</w:t>
            </w:r>
          </w:p>
        </w:tc>
        <w:tc>
          <w:tcPr>
            <w:tcW w:w="1523"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7F295073" w14:textId="77777777">
            <w:pPr>
              <w:spacing w:line="480" w:lineRule="auto"/>
              <w:jc w:val="right"/>
              <w:rPr>
                <w:b/>
                <w:bCs/>
                <w:kern w:val="2"/>
                <w:sz w:val="24"/>
                <w:szCs w:val="24"/>
                <w14:ligatures w14:val="standardContextual"/>
              </w:rPr>
            </w:pPr>
            <w:r w:rsidRPr="006D425D">
              <w:rPr>
                <w:b/>
                <w:bCs/>
                <w:kern w:val="2"/>
                <w:sz w:val="24"/>
                <w:szCs w:val="24"/>
                <w14:ligatures w14:val="standardContextual"/>
              </w:rPr>
              <w:t>550</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6F003DBE" w14:textId="18E28C36">
            <w:pPr>
              <w:spacing w:line="480" w:lineRule="auto"/>
              <w:jc w:val="right"/>
              <w:rPr>
                <w:b/>
                <w:bCs/>
                <w:kern w:val="2"/>
                <w:sz w:val="24"/>
                <w:szCs w:val="24"/>
                <w14:ligatures w14:val="standardContextual"/>
              </w:rPr>
            </w:pPr>
            <w:r w:rsidRPr="006D425D">
              <w:rPr>
                <w:b/>
                <w:bCs/>
                <w:kern w:val="2"/>
                <w:sz w:val="24"/>
                <w:szCs w:val="24"/>
                <w14:ligatures w14:val="standardContextual"/>
              </w:rPr>
              <w:t>1.</w:t>
            </w:r>
            <w:r w:rsidRPr="006D425D" w:rsidR="00CA5B60">
              <w:rPr>
                <w:b/>
                <w:bCs/>
                <w:kern w:val="2"/>
                <w:sz w:val="24"/>
                <w:szCs w:val="24"/>
                <w14:ligatures w14:val="standardContextual"/>
              </w:rPr>
              <w:t>909090</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774D8680" w14:textId="4629A24C">
            <w:pPr>
              <w:spacing w:line="480" w:lineRule="auto"/>
              <w:jc w:val="right"/>
              <w:rPr>
                <w:b/>
                <w:bCs/>
                <w:kern w:val="2"/>
                <w:sz w:val="24"/>
                <w:szCs w:val="24"/>
                <w14:ligatures w14:val="standardContextual"/>
              </w:rPr>
            </w:pPr>
            <w:r w:rsidRPr="006D425D">
              <w:rPr>
                <w:b/>
                <w:bCs/>
                <w:kern w:val="2"/>
                <w:sz w:val="24"/>
                <w:szCs w:val="24"/>
                <w14:ligatures w14:val="standardContextual"/>
              </w:rPr>
              <w:t>1,0</w:t>
            </w:r>
            <w:r w:rsidRPr="006D425D" w:rsidR="00CA5B60">
              <w:rPr>
                <w:b/>
                <w:bCs/>
                <w:kern w:val="2"/>
                <w:sz w:val="24"/>
                <w:szCs w:val="24"/>
                <w14:ligatures w14:val="standardContextual"/>
              </w:rPr>
              <w:t>5</w:t>
            </w:r>
            <w:r w:rsidRPr="006D425D">
              <w:rPr>
                <w:b/>
                <w:bCs/>
                <w:kern w:val="2"/>
                <w:sz w:val="24"/>
                <w:szCs w:val="24"/>
                <w14:ligatures w14:val="standardContextual"/>
              </w:rPr>
              <w:t>0</w:t>
            </w:r>
          </w:p>
        </w:tc>
        <w:tc>
          <w:tcPr>
            <w:tcW w:w="1517"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742DCCAA" w14:textId="46441DAB">
            <w:pPr>
              <w:spacing w:line="480" w:lineRule="auto"/>
              <w:jc w:val="right"/>
              <w:rPr>
                <w:b/>
                <w:bCs/>
                <w:kern w:val="2"/>
                <w:sz w:val="24"/>
                <w:szCs w:val="24"/>
                <w14:ligatures w14:val="standardContextual"/>
              </w:rPr>
            </w:pPr>
            <w:r w:rsidRPr="006D425D">
              <w:rPr>
                <w:b/>
                <w:bCs/>
                <w:kern w:val="2"/>
                <w:sz w:val="24"/>
                <w:szCs w:val="24"/>
                <w14:ligatures w14:val="standardContextual"/>
              </w:rPr>
              <w:t>0.2</w:t>
            </w:r>
            <w:r w:rsidRPr="006D425D" w:rsidR="00CA5B60">
              <w:rPr>
                <w:b/>
                <w:bCs/>
                <w:kern w:val="2"/>
                <w:sz w:val="24"/>
                <w:szCs w:val="24"/>
                <w14:ligatures w14:val="standardContextual"/>
              </w:rPr>
              <w:t>304762</w:t>
            </w:r>
          </w:p>
        </w:tc>
        <w:tc>
          <w:tcPr>
            <w:tcW w:w="1518" w:type="dxa"/>
            <w:tcBorders>
              <w:top w:val="single" w:sz="4" w:space="0" w:color="000000"/>
              <w:left w:val="single" w:sz="4" w:space="0" w:color="000000"/>
              <w:bottom w:val="single" w:sz="4" w:space="0" w:color="000000"/>
              <w:right w:val="single" w:sz="4" w:space="0" w:color="000000"/>
            </w:tcBorders>
            <w:vAlign w:val="center"/>
          </w:tcPr>
          <w:p w:rsidR="00285FFB" w:rsidRPr="006D425D" w:rsidP="00DF286F" w14:paraId="1C1192D1" w14:textId="3E32FDB7">
            <w:pPr>
              <w:spacing w:line="480" w:lineRule="auto"/>
              <w:jc w:val="right"/>
              <w:rPr>
                <w:b/>
                <w:bCs/>
                <w:kern w:val="2"/>
                <w:sz w:val="24"/>
                <w:szCs w:val="24"/>
                <w14:ligatures w14:val="standardContextual"/>
              </w:rPr>
            </w:pPr>
            <w:r w:rsidRPr="006D425D">
              <w:rPr>
                <w:b/>
                <w:bCs/>
                <w:kern w:val="2"/>
                <w:sz w:val="24"/>
                <w:szCs w:val="24"/>
                <w14:ligatures w14:val="standardContextual"/>
              </w:rPr>
              <w:t>2</w:t>
            </w:r>
            <w:r w:rsidRPr="006D425D" w:rsidR="00CA5B60">
              <w:rPr>
                <w:b/>
                <w:bCs/>
                <w:kern w:val="2"/>
                <w:sz w:val="24"/>
                <w:szCs w:val="24"/>
                <w14:ligatures w14:val="standardContextual"/>
              </w:rPr>
              <w:t>42</w:t>
            </w:r>
          </w:p>
        </w:tc>
      </w:tr>
    </w:tbl>
    <w:p w:rsidR="00285FFB" w:rsidRPr="006B3C6A" w:rsidP="00285FFB" w14:paraId="55BEFAF9" w14:textId="34C6D9A3">
      <w:pPr>
        <w:contextualSpacing/>
      </w:pPr>
      <w:r w:rsidRPr="006B3C6A">
        <w:t>There are 550 respondents anticipated for this data collection.  The “Number of Respondents” column is not a sum, it represents the same respondents participating in different activities for this data collection; therefore, these respondents are not double counted.</w:t>
      </w:r>
    </w:p>
    <w:p w:rsidR="005427FB" w14:paraId="2A9A8A08" w14:textId="77777777">
      <w:pPr>
        <w:pStyle w:val="BodyText"/>
      </w:pPr>
    </w:p>
    <w:p w:rsidR="005427FB" w:rsidP="005427FB" w14:paraId="7302A03B" w14:textId="77777777">
      <w:pPr>
        <w:pStyle w:val="BodyText"/>
        <w:rPr>
          <w:b/>
          <w:bCs/>
        </w:rPr>
      </w:pPr>
      <w:r>
        <w:rPr>
          <w:b/>
          <w:bCs/>
        </w:rPr>
        <w:t>Component 3) Milk Loss Program (MLP):</w:t>
      </w:r>
    </w:p>
    <w:p w:rsidR="005427FB" w14:paraId="45734A9F" w14:textId="77777777">
      <w:pPr>
        <w:pStyle w:val="BodyText"/>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9"/>
        <w:gridCol w:w="1638"/>
        <w:gridCol w:w="1693"/>
        <w:gridCol w:w="1546"/>
        <w:gridCol w:w="1560"/>
        <w:gridCol w:w="1514"/>
      </w:tblGrid>
      <w:tr w14:paraId="276954C4" w14:textId="77777777" w:rsidTr="00E27295">
        <w:tblPrEx>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51"/>
        </w:trPr>
        <w:tc>
          <w:tcPr>
            <w:tcW w:w="2509" w:type="dxa"/>
            <w:vAlign w:val="center"/>
            <w:hideMark/>
          </w:tcPr>
          <w:p w:rsidR="00DF286F" w:rsidRPr="006D425D" w:rsidP="00DF286F" w14:paraId="1B42358C" w14:textId="383200CD">
            <w:pPr>
              <w:pStyle w:val="BodyText"/>
              <w:rPr>
                <w:b/>
                <w:bCs/>
              </w:rPr>
            </w:pPr>
            <w:r w:rsidRPr="005F51FB">
              <w:rPr>
                <w:b/>
                <w:bCs/>
                <w:color w:val="000000"/>
              </w:rPr>
              <w:t>Burden Activity or Form</w:t>
            </w:r>
          </w:p>
        </w:tc>
        <w:tc>
          <w:tcPr>
            <w:tcW w:w="1638" w:type="dxa"/>
            <w:vAlign w:val="center"/>
            <w:hideMark/>
          </w:tcPr>
          <w:p w:rsidR="00DF286F" w:rsidRPr="006D425D" w:rsidP="00DF286F" w14:paraId="560D0271" w14:textId="79202CA6">
            <w:pPr>
              <w:pStyle w:val="BodyText"/>
              <w:rPr>
                <w:b/>
                <w:bCs/>
              </w:rPr>
            </w:pPr>
            <w:r w:rsidRPr="005F51FB">
              <w:rPr>
                <w:b/>
                <w:bCs/>
                <w:color w:val="000000"/>
              </w:rPr>
              <w:t>Number of Respondents</w:t>
            </w:r>
          </w:p>
        </w:tc>
        <w:tc>
          <w:tcPr>
            <w:tcW w:w="1693" w:type="dxa"/>
            <w:vAlign w:val="center"/>
            <w:hideMark/>
          </w:tcPr>
          <w:p w:rsidR="00DF286F" w:rsidRPr="006D425D" w:rsidP="00DF286F" w14:paraId="4C2386EF" w14:textId="432F5803">
            <w:pPr>
              <w:pStyle w:val="BodyText"/>
              <w:rPr>
                <w:b/>
                <w:bCs/>
              </w:rPr>
            </w:pPr>
            <w:r w:rsidRPr="005F51FB">
              <w:rPr>
                <w:b/>
                <w:bCs/>
                <w:color w:val="000000"/>
              </w:rPr>
              <w:t>Number of responses per respondent</w:t>
            </w:r>
          </w:p>
        </w:tc>
        <w:tc>
          <w:tcPr>
            <w:tcW w:w="1546" w:type="dxa"/>
            <w:vAlign w:val="center"/>
            <w:hideMark/>
          </w:tcPr>
          <w:p w:rsidR="00DF286F" w:rsidRPr="006D425D" w:rsidP="00DF286F" w14:paraId="09FC6F85" w14:textId="4429535E">
            <w:pPr>
              <w:pStyle w:val="BodyText"/>
              <w:rPr>
                <w:b/>
                <w:bCs/>
              </w:rPr>
            </w:pPr>
            <w:r w:rsidRPr="005F51FB">
              <w:rPr>
                <w:b/>
                <w:bCs/>
                <w:color w:val="000000"/>
              </w:rPr>
              <w:t>Total annual responses</w:t>
            </w:r>
          </w:p>
        </w:tc>
        <w:tc>
          <w:tcPr>
            <w:tcW w:w="1560" w:type="dxa"/>
            <w:vAlign w:val="center"/>
            <w:hideMark/>
          </w:tcPr>
          <w:p w:rsidR="00DF286F" w:rsidRPr="006D425D" w:rsidP="00DF286F" w14:paraId="344EFBFC" w14:textId="654EAF2D">
            <w:pPr>
              <w:pStyle w:val="BodyText"/>
              <w:rPr>
                <w:b/>
                <w:bCs/>
              </w:rPr>
            </w:pPr>
            <w:r w:rsidRPr="005F51FB">
              <w:rPr>
                <w:b/>
                <w:bCs/>
                <w:color w:val="000000"/>
              </w:rPr>
              <w:t>Hours per response</w:t>
            </w:r>
          </w:p>
        </w:tc>
        <w:tc>
          <w:tcPr>
            <w:tcW w:w="1514" w:type="dxa"/>
            <w:vAlign w:val="center"/>
            <w:hideMark/>
          </w:tcPr>
          <w:p w:rsidR="00DF286F" w:rsidRPr="006D425D" w:rsidP="00DF286F" w14:paraId="5525D500" w14:textId="12121026">
            <w:pPr>
              <w:pStyle w:val="BodyText"/>
              <w:rPr>
                <w:b/>
                <w:bCs/>
              </w:rPr>
            </w:pPr>
            <w:r w:rsidRPr="005F51FB">
              <w:rPr>
                <w:b/>
                <w:bCs/>
                <w:color w:val="000000"/>
              </w:rPr>
              <w:t>Total hours per year</w:t>
            </w:r>
          </w:p>
        </w:tc>
      </w:tr>
      <w:tr w14:paraId="65FF1425" w14:textId="77777777" w:rsidTr="00692EDC">
        <w:tblPrEx>
          <w:tblW w:w="10460" w:type="dxa"/>
          <w:tblLook w:val="04A0"/>
        </w:tblPrEx>
        <w:trPr>
          <w:trHeight w:val="547"/>
        </w:trPr>
        <w:tc>
          <w:tcPr>
            <w:tcW w:w="2509" w:type="dxa"/>
            <w:vAlign w:val="center"/>
            <w:hideMark/>
          </w:tcPr>
          <w:p w:rsidR="005427FB" w:rsidRPr="00012365" w:rsidP="00E27295" w14:paraId="598CBFF5" w14:textId="77777777">
            <w:pPr>
              <w:pStyle w:val="BodyText"/>
            </w:pPr>
            <w:r w:rsidRPr="00012365">
              <w:t xml:space="preserve">FSA-376, MLP Application </w:t>
            </w:r>
          </w:p>
        </w:tc>
        <w:tc>
          <w:tcPr>
            <w:tcW w:w="1638" w:type="dxa"/>
            <w:vAlign w:val="center"/>
          </w:tcPr>
          <w:p w:rsidR="005427FB" w:rsidRPr="006D425D" w:rsidP="00DF286F" w14:paraId="07ACEEE7" w14:textId="77777777">
            <w:pPr>
              <w:pStyle w:val="BodyText"/>
              <w:jc w:val="right"/>
            </w:pPr>
            <w:r w:rsidRPr="006D425D">
              <w:t>250</w:t>
            </w:r>
          </w:p>
        </w:tc>
        <w:tc>
          <w:tcPr>
            <w:tcW w:w="1693" w:type="dxa"/>
            <w:vAlign w:val="center"/>
          </w:tcPr>
          <w:p w:rsidR="005427FB" w:rsidRPr="006D425D" w:rsidP="00DF286F" w14:paraId="1055BFAE" w14:textId="77777777">
            <w:pPr>
              <w:pStyle w:val="BodyText"/>
              <w:jc w:val="right"/>
            </w:pPr>
            <w:r w:rsidRPr="006D425D">
              <w:t>1</w:t>
            </w:r>
          </w:p>
        </w:tc>
        <w:tc>
          <w:tcPr>
            <w:tcW w:w="1546" w:type="dxa"/>
            <w:vAlign w:val="center"/>
          </w:tcPr>
          <w:p w:rsidR="005427FB" w:rsidRPr="006D425D" w:rsidP="00DF286F" w14:paraId="44A72CAF" w14:textId="77777777">
            <w:pPr>
              <w:pStyle w:val="BodyText"/>
              <w:jc w:val="right"/>
            </w:pPr>
            <w:r w:rsidRPr="006D425D">
              <w:t>250</w:t>
            </w:r>
          </w:p>
        </w:tc>
        <w:tc>
          <w:tcPr>
            <w:tcW w:w="1560" w:type="dxa"/>
            <w:vAlign w:val="center"/>
          </w:tcPr>
          <w:p w:rsidR="005427FB" w:rsidRPr="006D425D" w:rsidP="00DF286F" w14:paraId="5C6A116F" w14:textId="77777777">
            <w:pPr>
              <w:pStyle w:val="BodyText"/>
              <w:jc w:val="right"/>
            </w:pPr>
            <w:r w:rsidRPr="006D425D">
              <w:t>0.25</w:t>
            </w:r>
          </w:p>
        </w:tc>
        <w:tc>
          <w:tcPr>
            <w:tcW w:w="1514" w:type="dxa"/>
            <w:vAlign w:val="center"/>
          </w:tcPr>
          <w:p w:rsidR="005427FB" w:rsidRPr="006D425D" w:rsidP="00DF286F" w14:paraId="6C2BC3AF" w14:textId="77777777">
            <w:pPr>
              <w:pStyle w:val="BodyText"/>
              <w:jc w:val="right"/>
            </w:pPr>
            <w:r w:rsidRPr="006D425D">
              <w:t>63</w:t>
            </w:r>
          </w:p>
        </w:tc>
      </w:tr>
      <w:tr w14:paraId="624B5C45" w14:textId="77777777" w:rsidTr="00E27295">
        <w:tblPrEx>
          <w:tblW w:w="10460" w:type="dxa"/>
          <w:tblLook w:val="04A0"/>
        </w:tblPrEx>
        <w:trPr>
          <w:trHeight w:val="630"/>
        </w:trPr>
        <w:tc>
          <w:tcPr>
            <w:tcW w:w="2509" w:type="dxa"/>
            <w:vAlign w:val="center"/>
          </w:tcPr>
          <w:p w:rsidR="005427FB" w:rsidRPr="00012365" w:rsidP="00E27295" w14:paraId="05B4CE26" w14:textId="77777777">
            <w:pPr>
              <w:pStyle w:val="BodyText"/>
            </w:pPr>
            <w:r w:rsidRPr="00012365">
              <w:t>CCC-901, Member Information for an Entity</w:t>
            </w:r>
          </w:p>
        </w:tc>
        <w:tc>
          <w:tcPr>
            <w:tcW w:w="1638" w:type="dxa"/>
            <w:vAlign w:val="center"/>
          </w:tcPr>
          <w:p w:rsidR="005427FB" w:rsidRPr="006D425D" w:rsidP="00DF286F" w14:paraId="04554134" w14:textId="77777777">
            <w:pPr>
              <w:pStyle w:val="BodyText"/>
              <w:jc w:val="right"/>
            </w:pPr>
            <w:r w:rsidRPr="006D425D">
              <w:t>50</w:t>
            </w:r>
          </w:p>
        </w:tc>
        <w:tc>
          <w:tcPr>
            <w:tcW w:w="1693" w:type="dxa"/>
            <w:vAlign w:val="center"/>
          </w:tcPr>
          <w:p w:rsidR="005427FB" w:rsidRPr="006D425D" w:rsidP="00DF286F" w14:paraId="55B3209C" w14:textId="77777777">
            <w:pPr>
              <w:pStyle w:val="BodyText"/>
              <w:jc w:val="right"/>
            </w:pPr>
            <w:r w:rsidRPr="006D425D">
              <w:t>1</w:t>
            </w:r>
          </w:p>
        </w:tc>
        <w:tc>
          <w:tcPr>
            <w:tcW w:w="1546" w:type="dxa"/>
            <w:vAlign w:val="center"/>
          </w:tcPr>
          <w:p w:rsidR="005427FB" w:rsidRPr="006D425D" w:rsidP="00DF286F" w14:paraId="53F6EDC4" w14:textId="77777777">
            <w:pPr>
              <w:pStyle w:val="BodyText"/>
              <w:jc w:val="right"/>
            </w:pPr>
            <w:r w:rsidRPr="006D425D">
              <w:t>50</w:t>
            </w:r>
          </w:p>
        </w:tc>
        <w:tc>
          <w:tcPr>
            <w:tcW w:w="1560" w:type="dxa"/>
            <w:vAlign w:val="center"/>
          </w:tcPr>
          <w:p w:rsidR="005427FB" w:rsidRPr="006D425D" w:rsidP="00DF286F" w14:paraId="430C6406" w14:textId="77777777">
            <w:pPr>
              <w:pStyle w:val="BodyText"/>
              <w:jc w:val="right"/>
            </w:pPr>
            <w:r w:rsidRPr="006D425D">
              <w:t>0.50</w:t>
            </w:r>
          </w:p>
        </w:tc>
        <w:tc>
          <w:tcPr>
            <w:tcW w:w="1514" w:type="dxa"/>
            <w:vAlign w:val="center"/>
          </w:tcPr>
          <w:p w:rsidR="005427FB" w:rsidRPr="006D425D" w:rsidP="00DF286F" w14:paraId="4D6622A1" w14:textId="77777777">
            <w:pPr>
              <w:pStyle w:val="BodyText"/>
              <w:jc w:val="right"/>
            </w:pPr>
            <w:r w:rsidRPr="006D425D">
              <w:t>25</w:t>
            </w:r>
          </w:p>
        </w:tc>
      </w:tr>
      <w:tr w14:paraId="54DDDC14" w14:textId="77777777" w:rsidTr="00E27295">
        <w:tblPrEx>
          <w:tblW w:w="10460" w:type="dxa"/>
          <w:tblLook w:val="04A0"/>
        </w:tblPrEx>
        <w:trPr>
          <w:trHeight w:val="740"/>
        </w:trPr>
        <w:tc>
          <w:tcPr>
            <w:tcW w:w="2509" w:type="dxa"/>
            <w:vAlign w:val="center"/>
          </w:tcPr>
          <w:p w:rsidR="005427FB" w:rsidRPr="00012365" w:rsidP="00E27295" w14:paraId="001F9E7C" w14:textId="77777777">
            <w:pPr>
              <w:pStyle w:val="BodyText"/>
            </w:pPr>
            <w:r w:rsidRPr="00012365">
              <w:t>CCC-902E, Farm Operating Plan for an Entity</w:t>
            </w:r>
          </w:p>
        </w:tc>
        <w:tc>
          <w:tcPr>
            <w:tcW w:w="1638" w:type="dxa"/>
            <w:vAlign w:val="center"/>
          </w:tcPr>
          <w:p w:rsidR="005427FB" w:rsidRPr="006D425D" w:rsidP="00DF286F" w14:paraId="580F9F3C" w14:textId="77777777">
            <w:pPr>
              <w:pStyle w:val="BodyText"/>
              <w:jc w:val="right"/>
            </w:pPr>
            <w:r w:rsidRPr="006D425D">
              <w:t>50</w:t>
            </w:r>
          </w:p>
        </w:tc>
        <w:tc>
          <w:tcPr>
            <w:tcW w:w="1693" w:type="dxa"/>
            <w:vAlign w:val="center"/>
          </w:tcPr>
          <w:p w:rsidR="005427FB" w:rsidRPr="006D425D" w:rsidP="00DF286F" w14:paraId="6A5CB6BC" w14:textId="77777777">
            <w:pPr>
              <w:pStyle w:val="BodyText"/>
              <w:jc w:val="right"/>
            </w:pPr>
            <w:r w:rsidRPr="006D425D">
              <w:t>1</w:t>
            </w:r>
          </w:p>
        </w:tc>
        <w:tc>
          <w:tcPr>
            <w:tcW w:w="1546" w:type="dxa"/>
            <w:vAlign w:val="center"/>
          </w:tcPr>
          <w:p w:rsidR="005427FB" w:rsidRPr="006D425D" w:rsidP="00DF286F" w14:paraId="01DB2EC8" w14:textId="77777777">
            <w:pPr>
              <w:pStyle w:val="BodyText"/>
              <w:jc w:val="right"/>
            </w:pPr>
            <w:r w:rsidRPr="006D425D">
              <w:t>50</w:t>
            </w:r>
          </w:p>
        </w:tc>
        <w:tc>
          <w:tcPr>
            <w:tcW w:w="1560" w:type="dxa"/>
            <w:vAlign w:val="center"/>
          </w:tcPr>
          <w:p w:rsidR="005427FB" w:rsidRPr="006D425D" w:rsidP="00DF286F" w14:paraId="509E5206" w14:textId="77777777">
            <w:pPr>
              <w:pStyle w:val="BodyText"/>
              <w:jc w:val="right"/>
            </w:pPr>
            <w:r w:rsidRPr="006D425D">
              <w:t>0.50</w:t>
            </w:r>
          </w:p>
        </w:tc>
        <w:tc>
          <w:tcPr>
            <w:tcW w:w="1514" w:type="dxa"/>
            <w:vAlign w:val="center"/>
          </w:tcPr>
          <w:p w:rsidR="005427FB" w:rsidRPr="006D425D" w:rsidP="00DF286F" w14:paraId="64BD7FD4" w14:textId="77777777">
            <w:pPr>
              <w:pStyle w:val="BodyText"/>
              <w:jc w:val="right"/>
            </w:pPr>
            <w:r w:rsidRPr="006D425D">
              <w:t>25</w:t>
            </w:r>
          </w:p>
        </w:tc>
      </w:tr>
      <w:tr w14:paraId="5EE21475" w14:textId="77777777" w:rsidTr="00E27295">
        <w:tblPrEx>
          <w:tblW w:w="10460" w:type="dxa"/>
          <w:tblLook w:val="04A0"/>
        </w:tblPrEx>
        <w:trPr>
          <w:trHeight w:val="940"/>
        </w:trPr>
        <w:tc>
          <w:tcPr>
            <w:tcW w:w="2509" w:type="dxa"/>
            <w:vAlign w:val="center"/>
          </w:tcPr>
          <w:p w:rsidR="005427FB" w:rsidRPr="00012365" w:rsidP="00E27295" w14:paraId="5E50D2F7" w14:textId="69A6C492">
            <w:pPr>
              <w:pStyle w:val="BodyText"/>
            </w:pPr>
            <w:r w:rsidRPr="00012365">
              <w:t>CCC-902I, Farm Operating Plan for an Individual</w:t>
            </w:r>
          </w:p>
        </w:tc>
        <w:tc>
          <w:tcPr>
            <w:tcW w:w="1638" w:type="dxa"/>
            <w:vAlign w:val="center"/>
          </w:tcPr>
          <w:p w:rsidR="005427FB" w:rsidRPr="006D425D" w:rsidP="00DF286F" w14:paraId="5DBA368E" w14:textId="77777777">
            <w:pPr>
              <w:pStyle w:val="BodyText"/>
              <w:jc w:val="right"/>
            </w:pPr>
            <w:r w:rsidRPr="006D425D">
              <w:t>50</w:t>
            </w:r>
          </w:p>
        </w:tc>
        <w:tc>
          <w:tcPr>
            <w:tcW w:w="1693" w:type="dxa"/>
            <w:vAlign w:val="center"/>
          </w:tcPr>
          <w:p w:rsidR="005427FB" w:rsidRPr="006D425D" w:rsidP="00DF286F" w14:paraId="4BCBC3D8" w14:textId="77777777">
            <w:pPr>
              <w:pStyle w:val="BodyText"/>
              <w:jc w:val="right"/>
            </w:pPr>
            <w:r w:rsidRPr="006D425D">
              <w:t>1</w:t>
            </w:r>
          </w:p>
        </w:tc>
        <w:tc>
          <w:tcPr>
            <w:tcW w:w="1546" w:type="dxa"/>
            <w:vAlign w:val="center"/>
          </w:tcPr>
          <w:p w:rsidR="005427FB" w:rsidRPr="006D425D" w:rsidP="00DF286F" w14:paraId="632522A3" w14:textId="77777777">
            <w:pPr>
              <w:pStyle w:val="BodyText"/>
              <w:jc w:val="right"/>
            </w:pPr>
            <w:r w:rsidRPr="006D425D">
              <w:t>50</w:t>
            </w:r>
          </w:p>
        </w:tc>
        <w:tc>
          <w:tcPr>
            <w:tcW w:w="1560" w:type="dxa"/>
            <w:vAlign w:val="center"/>
          </w:tcPr>
          <w:p w:rsidR="005427FB" w:rsidRPr="006D425D" w:rsidP="00DF286F" w14:paraId="22AEBA02" w14:textId="77777777">
            <w:pPr>
              <w:pStyle w:val="BodyText"/>
              <w:jc w:val="right"/>
            </w:pPr>
            <w:r w:rsidRPr="006D425D">
              <w:t>0.50</w:t>
            </w:r>
          </w:p>
        </w:tc>
        <w:tc>
          <w:tcPr>
            <w:tcW w:w="1514" w:type="dxa"/>
            <w:vAlign w:val="center"/>
          </w:tcPr>
          <w:p w:rsidR="005427FB" w:rsidRPr="006D425D" w:rsidP="00DF286F" w14:paraId="24229CB2" w14:textId="77777777">
            <w:pPr>
              <w:pStyle w:val="BodyText"/>
              <w:jc w:val="right"/>
            </w:pPr>
            <w:r w:rsidRPr="006D425D">
              <w:t>25</w:t>
            </w:r>
          </w:p>
        </w:tc>
      </w:tr>
      <w:tr w14:paraId="460642D3" w14:textId="77777777" w:rsidTr="00E27295">
        <w:tblPrEx>
          <w:tblW w:w="10460" w:type="dxa"/>
          <w:tblLook w:val="04A0"/>
        </w:tblPrEx>
        <w:trPr>
          <w:trHeight w:val="940"/>
        </w:trPr>
        <w:tc>
          <w:tcPr>
            <w:tcW w:w="2509" w:type="dxa"/>
            <w:vAlign w:val="center"/>
          </w:tcPr>
          <w:p w:rsidR="005427FB" w:rsidRPr="00012365" w:rsidP="00E27295" w14:paraId="2237A466" w14:textId="77777777">
            <w:pPr>
              <w:pStyle w:val="BodyText"/>
            </w:pPr>
            <w:r w:rsidRPr="00012365">
              <w:t>FSA-510, Request for an Exception to the $125,000 Payment Limitation for Certain Programs</w:t>
            </w:r>
          </w:p>
        </w:tc>
        <w:tc>
          <w:tcPr>
            <w:tcW w:w="1638" w:type="dxa"/>
            <w:vAlign w:val="center"/>
          </w:tcPr>
          <w:p w:rsidR="005427FB" w:rsidRPr="006D425D" w:rsidP="00DF286F" w14:paraId="4BAA9301" w14:textId="77777777">
            <w:pPr>
              <w:pStyle w:val="BodyText"/>
              <w:jc w:val="right"/>
            </w:pPr>
            <w:r w:rsidRPr="006D425D">
              <w:t>100</w:t>
            </w:r>
          </w:p>
        </w:tc>
        <w:tc>
          <w:tcPr>
            <w:tcW w:w="1693" w:type="dxa"/>
            <w:vAlign w:val="center"/>
          </w:tcPr>
          <w:p w:rsidR="005427FB" w:rsidRPr="006D425D" w:rsidP="00DF286F" w14:paraId="69D65ECF" w14:textId="77777777">
            <w:pPr>
              <w:pStyle w:val="BodyText"/>
              <w:jc w:val="right"/>
            </w:pPr>
            <w:r w:rsidRPr="006D425D">
              <w:t>1</w:t>
            </w:r>
          </w:p>
        </w:tc>
        <w:tc>
          <w:tcPr>
            <w:tcW w:w="1546" w:type="dxa"/>
            <w:vAlign w:val="center"/>
          </w:tcPr>
          <w:p w:rsidR="005427FB" w:rsidRPr="006D425D" w:rsidP="00DF286F" w14:paraId="6000160C" w14:textId="77777777">
            <w:pPr>
              <w:pStyle w:val="BodyText"/>
              <w:jc w:val="right"/>
            </w:pPr>
            <w:r w:rsidRPr="006D425D">
              <w:t>100</w:t>
            </w:r>
          </w:p>
        </w:tc>
        <w:tc>
          <w:tcPr>
            <w:tcW w:w="1560" w:type="dxa"/>
            <w:vAlign w:val="center"/>
          </w:tcPr>
          <w:p w:rsidR="005427FB" w:rsidRPr="006D425D" w:rsidP="00DF286F" w14:paraId="7E5AA4F2" w14:textId="77777777">
            <w:pPr>
              <w:pStyle w:val="BodyText"/>
              <w:jc w:val="right"/>
            </w:pPr>
            <w:r w:rsidRPr="006D425D">
              <w:t>0.0835</w:t>
            </w:r>
          </w:p>
        </w:tc>
        <w:tc>
          <w:tcPr>
            <w:tcW w:w="1514" w:type="dxa"/>
            <w:vAlign w:val="center"/>
          </w:tcPr>
          <w:p w:rsidR="005427FB" w:rsidRPr="006D425D" w:rsidP="00DF286F" w14:paraId="7676C8E7" w14:textId="77777777">
            <w:pPr>
              <w:pStyle w:val="BodyText"/>
              <w:jc w:val="right"/>
            </w:pPr>
            <w:r w:rsidRPr="006D425D">
              <w:t>8</w:t>
            </w:r>
          </w:p>
        </w:tc>
      </w:tr>
      <w:tr w14:paraId="303F1519" w14:textId="77777777" w:rsidTr="00E27295">
        <w:tblPrEx>
          <w:tblW w:w="10460" w:type="dxa"/>
          <w:tblLook w:val="04A0"/>
        </w:tblPrEx>
        <w:trPr>
          <w:trHeight w:val="1560"/>
        </w:trPr>
        <w:tc>
          <w:tcPr>
            <w:tcW w:w="2509" w:type="dxa"/>
            <w:vAlign w:val="center"/>
          </w:tcPr>
          <w:p w:rsidR="005427FB" w:rsidRPr="00012365" w:rsidP="00E27295" w14:paraId="793E6AB2" w14:textId="77777777">
            <w:pPr>
              <w:pStyle w:val="BodyText"/>
            </w:pPr>
            <w:r w:rsidRPr="00012365">
              <w:t>AD-1026, Highly Erodible Land Conservation (HELC) and Wetland Conservation (WC) Certification</w:t>
            </w:r>
          </w:p>
        </w:tc>
        <w:tc>
          <w:tcPr>
            <w:tcW w:w="1638" w:type="dxa"/>
            <w:vAlign w:val="center"/>
          </w:tcPr>
          <w:p w:rsidR="005427FB" w:rsidRPr="006D425D" w:rsidP="00DF286F" w14:paraId="6A902AE5" w14:textId="77777777">
            <w:pPr>
              <w:pStyle w:val="BodyText"/>
              <w:jc w:val="right"/>
            </w:pPr>
            <w:r w:rsidRPr="006D425D">
              <w:t>100</w:t>
            </w:r>
          </w:p>
        </w:tc>
        <w:tc>
          <w:tcPr>
            <w:tcW w:w="1693" w:type="dxa"/>
            <w:vAlign w:val="center"/>
          </w:tcPr>
          <w:p w:rsidR="005427FB" w:rsidRPr="006D425D" w:rsidP="00DF286F" w14:paraId="37CA7353" w14:textId="77777777">
            <w:pPr>
              <w:pStyle w:val="BodyText"/>
              <w:jc w:val="right"/>
            </w:pPr>
            <w:r w:rsidRPr="006D425D">
              <w:t>1</w:t>
            </w:r>
          </w:p>
        </w:tc>
        <w:tc>
          <w:tcPr>
            <w:tcW w:w="1546" w:type="dxa"/>
            <w:vAlign w:val="center"/>
          </w:tcPr>
          <w:p w:rsidR="005427FB" w:rsidRPr="006D425D" w:rsidP="00DF286F" w14:paraId="6CB712B6" w14:textId="77777777">
            <w:pPr>
              <w:pStyle w:val="BodyText"/>
              <w:jc w:val="right"/>
            </w:pPr>
            <w:r w:rsidRPr="006D425D">
              <w:t>100</w:t>
            </w:r>
          </w:p>
        </w:tc>
        <w:tc>
          <w:tcPr>
            <w:tcW w:w="1560" w:type="dxa"/>
            <w:vAlign w:val="center"/>
          </w:tcPr>
          <w:p w:rsidR="005427FB" w:rsidRPr="006D425D" w:rsidP="00DF286F" w14:paraId="4655CEF9" w14:textId="77777777">
            <w:pPr>
              <w:pStyle w:val="BodyText"/>
              <w:jc w:val="right"/>
            </w:pPr>
            <w:r w:rsidRPr="006D425D">
              <w:t>0.0835</w:t>
            </w:r>
          </w:p>
        </w:tc>
        <w:tc>
          <w:tcPr>
            <w:tcW w:w="1514" w:type="dxa"/>
            <w:vAlign w:val="center"/>
          </w:tcPr>
          <w:p w:rsidR="005427FB" w:rsidRPr="006D425D" w:rsidP="00DF286F" w14:paraId="64F1EDDD" w14:textId="77777777">
            <w:pPr>
              <w:pStyle w:val="BodyText"/>
              <w:jc w:val="right"/>
            </w:pPr>
            <w:r w:rsidRPr="006D425D">
              <w:t>EXEMPT</w:t>
            </w:r>
          </w:p>
        </w:tc>
      </w:tr>
      <w:tr w14:paraId="4B56ED34" w14:textId="77777777" w:rsidTr="00692EDC">
        <w:tblPrEx>
          <w:tblW w:w="10460" w:type="dxa"/>
          <w:tblLook w:val="04A0"/>
        </w:tblPrEx>
        <w:trPr>
          <w:trHeight w:val="583"/>
        </w:trPr>
        <w:tc>
          <w:tcPr>
            <w:tcW w:w="2509" w:type="dxa"/>
            <w:vAlign w:val="center"/>
          </w:tcPr>
          <w:p w:rsidR="005427FB" w:rsidRPr="00012365" w:rsidP="00E27295" w14:paraId="7F192370" w14:textId="77777777">
            <w:pPr>
              <w:pStyle w:val="BodyText"/>
            </w:pPr>
            <w:r w:rsidRPr="00012365">
              <w:t>AD-2047, Customer Data Worksheet</w:t>
            </w:r>
          </w:p>
        </w:tc>
        <w:tc>
          <w:tcPr>
            <w:tcW w:w="1638" w:type="dxa"/>
            <w:vAlign w:val="center"/>
          </w:tcPr>
          <w:p w:rsidR="005427FB" w:rsidRPr="006D425D" w:rsidP="00DF286F" w14:paraId="02718B35" w14:textId="77777777">
            <w:pPr>
              <w:pStyle w:val="BodyText"/>
              <w:jc w:val="right"/>
            </w:pPr>
            <w:r w:rsidRPr="006D425D">
              <w:t>100</w:t>
            </w:r>
          </w:p>
        </w:tc>
        <w:tc>
          <w:tcPr>
            <w:tcW w:w="1693" w:type="dxa"/>
            <w:vAlign w:val="center"/>
          </w:tcPr>
          <w:p w:rsidR="005427FB" w:rsidRPr="006D425D" w:rsidP="00DF286F" w14:paraId="58F62C1F" w14:textId="77777777">
            <w:pPr>
              <w:pStyle w:val="BodyText"/>
              <w:jc w:val="right"/>
            </w:pPr>
            <w:r w:rsidRPr="006D425D">
              <w:t>1</w:t>
            </w:r>
          </w:p>
        </w:tc>
        <w:tc>
          <w:tcPr>
            <w:tcW w:w="1546" w:type="dxa"/>
            <w:vAlign w:val="center"/>
          </w:tcPr>
          <w:p w:rsidR="005427FB" w:rsidRPr="006D425D" w:rsidP="00DF286F" w14:paraId="7707801F" w14:textId="77777777">
            <w:pPr>
              <w:pStyle w:val="BodyText"/>
              <w:jc w:val="right"/>
            </w:pPr>
            <w:r w:rsidRPr="006D425D">
              <w:t>100</w:t>
            </w:r>
          </w:p>
        </w:tc>
        <w:tc>
          <w:tcPr>
            <w:tcW w:w="1560" w:type="dxa"/>
            <w:vAlign w:val="center"/>
          </w:tcPr>
          <w:p w:rsidR="005427FB" w:rsidRPr="006D425D" w:rsidP="00DF286F" w14:paraId="75CB1474" w14:textId="77777777">
            <w:pPr>
              <w:pStyle w:val="BodyText"/>
              <w:jc w:val="right"/>
            </w:pPr>
            <w:r w:rsidRPr="006D425D">
              <w:t>0.0835</w:t>
            </w:r>
          </w:p>
        </w:tc>
        <w:tc>
          <w:tcPr>
            <w:tcW w:w="1514" w:type="dxa"/>
            <w:vAlign w:val="center"/>
          </w:tcPr>
          <w:p w:rsidR="005427FB" w:rsidRPr="006D425D" w:rsidP="00DF286F" w14:paraId="0ADC9543" w14:textId="77777777">
            <w:pPr>
              <w:pStyle w:val="BodyText"/>
              <w:jc w:val="right"/>
            </w:pPr>
            <w:r w:rsidRPr="006D425D">
              <w:t>8</w:t>
            </w:r>
          </w:p>
        </w:tc>
      </w:tr>
      <w:tr w14:paraId="0414A4CA" w14:textId="77777777" w:rsidTr="00E27295">
        <w:tblPrEx>
          <w:tblW w:w="10460" w:type="dxa"/>
          <w:tblLook w:val="04A0"/>
        </w:tblPrEx>
        <w:trPr>
          <w:trHeight w:val="580"/>
        </w:trPr>
        <w:tc>
          <w:tcPr>
            <w:tcW w:w="2509" w:type="dxa"/>
            <w:vAlign w:val="center"/>
          </w:tcPr>
          <w:p w:rsidR="005427FB" w:rsidRPr="006D425D" w:rsidP="00E27295" w14:paraId="60D6B0C4" w14:textId="77777777">
            <w:pPr>
              <w:pStyle w:val="BodyText"/>
            </w:pPr>
            <w:r w:rsidRPr="006D425D">
              <w:t>Milk Marketing Statements for Base and Claim Period</w:t>
            </w:r>
          </w:p>
        </w:tc>
        <w:tc>
          <w:tcPr>
            <w:tcW w:w="1638" w:type="dxa"/>
            <w:vAlign w:val="center"/>
          </w:tcPr>
          <w:p w:rsidR="005427FB" w:rsidRPr="006D425D" w:rsidP="00DF286F" w14:paraId="274836FB" w14:textId="77777777">
            <w:pPr>
              <w:pStyle w:val="BodyText"/>
              <w:jc w:val="right"/>
            </w:pPr>
            <w:r w:rsidRPr="006D425D">
              <w:t>250</w:t>
            </w:r>
          </w:p>
        </w:tc>
        <w:tc>
          <w:tcPr>
            <w:tcW w:w="1693" w:type="dxa"/>
            <w:vAlign w:val="center"/>
          </w:tcPr>
          <w:p w:rsidR="005427FB" w:rsidRPr="006D425D" w:rsidP="00DF286F" w14:paraId="1872049E" w14:textId="77777777">
            <w:pPr>
              <w:pStyle w:val="BodyText"/>
              <w:jc w:val="right"/>
            </w:pPr>
            <w:r w:rsidRPr="006D425D">
              <w:t>2</w:t>
            </w:r>
          </w:p>
        </w:tc>
        <w:tc>
          <w:tcPr>
            <w:tcW w:w="1546" w:type="dxa"/>
            <w:vAlign w:val="center"/>
          </w:tcPr>
          <w:p w:rsidR="005427FB" w:rsidRPr="006D425D" w:rsidP="00DF286F" w14:paraId="6927D52C" w14:textId="77777777">
            <w:pPr>
              <w:pStyle w:val="BodyText"/>
              <w:jc w:val="right"/>
            </w:pPr>
            <w:r w:rsidRPr="006D425D">
              <w:t>500</w:t>
            </w:r>
          </w:p>
        </w:tc>
        <w:tc>
          <w:tcPr>
            <w:tcW w:w="1560" w:type="dxa"/>
            <w:vAlign w:val="center"/>
          </w:tcPr>
          <w:p w:rsidR="005427FB" w:rsidRPr="006D425D" w:rsidP="00DF286F" w14:paraId="3829E688" w14:textId="77777777">
            <w:pPr>
              <w:pStyle w:val="BodyText"/>
              <w:jc w:val="right"/>
            </w:pPr>
            <w:r w:rsidRPr="006D425D">
              <w:t>0.0835</w:t>
            </w:r>
          </w:p>
        </w:tc>
        <w:tc>
          <w:tcPr>
            <w:tcW w:w="1514" w:type="dxa"/>
            <w:vAlign w:val="center"/>
          </w:tcPr>
          <w:p w:rsidR="005427FB" w:rsidRPr="006D425D" w:rsidP="00DF286F" w14:paraId="3A7DB850" w14:textId="77777777">
            <w:pPr>
              <w:pStyle w:val="BodyText"/>
              <w:jc w:val="right"/>
            </w:pPr>
            <w:r w:rsidRPr="006D425D">
              <w:t>42</w:t>
            </w:r>
          </w:p>
        </w:tc>
      </w:tr>
      <w:tr w14:paraId="6ED79EBC" w14:textId="77777777" w:rsidTr="00E27295">
        <w:tblPrEx>
          <w:tblW w:w="10460" w:type="dxa"/>
          <w:tblLook w:val="04A0"/>
        </w:tblPrEx>
        <w:trPr>
          <w:trHeight w:val="310"/>
        </w:trPr>
        <w:tc>
          <w:tcPr>
            <w:tcW w:w="2509" w:type="dxa"/>
            <w:vAlign w:val="center"/>
            <w:hideMark/>
          </w:tcPr>
          <w:p w:rsidR="005427FB" w:rsidRPr="006D425D" w:rsidP="00E27295" w14:paraId="2702970D" w14:textId="3E5E41AD">
            <w:pPr>
              <w:pStyle w:val="BodyText"/>
              <w:rPr>
                <w:b/>
                <w:bCs/>
              </w:rPr>
            </w:pPr>
            <w:r w:rsidRPr="006D425D">
              <w:rPr>
                <w:b/>
                <w:bCs/>
              </w:rPr>
              <w:t>Total</w:t>
            </w:r>
            <w:r w:rsidRPr="006D425D" w:rsidR="00285FFB">
              <w:rPr>
                <w:b/>
                <w:bCs/>
              </w:rPr>
              <w:t xml:space="preserve"> Estimates</w:t>
            </w:r>
          </w:p>
        </w:tc>
        <w:tc>
          <w:tcPr>
            <w:tcW w:w="1638" w:type="dxa"/>
            <w:vAlign w:val="center"/>
          </w:tcPr>
          <w:p w:rsidR="005427FB" w:rsidRPr="006D425D" w:rsidP="00DF286F" w14:paraId="29699402" w14:textId="3C7F64B8">
            <w:pPr>
              <w:pStyle w:val="BodyText"/>
              <w:jc w:val="right"/>
              <w:rPr>
                <w:b/>
                <w:bCs/>
              </w:rPr>
            </w:pPr>
            <w:r w:rsidRPr="006D425D">
              <w:rPr>
                <w:b/>
                <w:bCs/>
              </w:rPr>
              <w:t>250</w:t>
            </w:r>
          </w:p>
        </w:tc>
        <w:tc>
          <w:tcPr>
            <w:tcW w:w="1693" w:type="dxa"/>
            <w:vAlign w:val="center"/>
          </w:tcPr>
          <w:p w:rsidR="005427FB" w:rsidRPr="006D425D" w:rsidP="00DF286F" w14:paraId="525FD2BD" w14:textId="31A622A6">
            <w:pPr>
              <w:pStyle w:val="BodyText"/>
              <w:jc w:val="right"/>
              <w:rPr>
                <w:b/>
                <w:bCs/>
              </w:rPr>
            </w:pPr>
            <w:r w:rsidRPr="006D425D">
              <w:rPr>
                <w:b/>
                <w:bCs/>
              </w:rPr>
              <w:t>4.80</w:t>
            </w:r>
          </w:p>
        </w:tc>
        <w:tc>
          <w:tcPr>
            <w:tcW w:w="1546" w:type="dxa"/>
            <w:vAlign w:val="center"/>
          </w:tcPr>
          <w:p w:rsidR="005427FB" w:rsidRPr="006D425D" w:rsidP="00DF286F" w14:paraId="41247779" w14:textId="51E8ACFD">
            <w:pPr>
              <w:pStyle w:val="BodyText"/>
              <w:jc w:val="right"/>
              <w:rPr>
                <w:b/>
                <w:bCs/>
              </w:rPr>
            </w:pPr>
            <w:r w:rsidRPr="006D425D">
              <w:rPr>
                <w:b/>
                <w:bCs/>
              </w:rPr>
              <w:t>1</w:t>
            </w:r>
            <w:r w:rsidRPr="006D425D" w:rsidR="006D425D">
              <w:rPr>
                <w:b/>
                <w:bCs/>
              </w:rPr>
              <w:t>,</w:t>
            </w:r>
            <w:r w:rsidRPr="006D425D">
              <w:rPr>
                <w:b/>
                <w:bCs/>
              </w:rPr>
              <w:t>200</w:t>
            </w:r>
          </w:p>
        </w:tc>
        <w:tc>
          <w:tcPr>
            <w:tcW w:w="1560" w:type="dxa"/>
            <w:vAlign w:val="center"/>
          </w:tcPr>
          <w:p w:rsidR="005427FB" w:rsidRPr="006D425D" w:rsidP="00DF286F" w14:paraId="2F083C7E" w14:textId="795D3675">
            <w:pPr>
              <w:pStyle w:val="BodyText"/>
              <w:jc w:val="right"/>
              <w:rPr>
                <w:b/>
                <w:bCs/>
              </w:rPr>
            </w:pPr>
            <w:r w:rsidRPr="006D425D">
              <w:rPr>
                <w:b/>
                <w:bCs/>
              </w:rPr>
              <w:t>0.16333333</w:t>
            </w:r>
          </w:p>
        </w:tc>
        <w:tc>
          <w:tcPr>
            <w:tcW w:w="1514" w:type="dxa"/>
            <w:vAlign w:val="center"/>
          </w:tcPr>
          <w:p w:rsidR="005427FB" w:rsidRPr="006D425D" w:rsidP="00DF286F" w14:paraId="6A0577F3" w14:textId="77777777">
            <w:pPr>
              <w:pStyle w:val="BodyText"/>
              <w:jc w:val="right"/>
              <w:rPr>
                <w:b/>
                <w:bCs/>
              </w:rPr>
            </w:pPr>
            <w:r w:rsidRPr="006D425D">
              <w:rPr>
                <w:b/>
                <w:bCs/>
              </w:rPr>
              <w:t>196</w:t>
            </w:r>
          </w:p>
        </w:tc>
      </w:tr>
    </w:tbl>
    <w:p w:rsidR="00BF4C48" w:rsidP="00285FFB" w14:paraId="19CAE0D2" w14:textId="429C8185">
      <w:pPr>
        <w:contextualSpacing/>
      </w:pPr>
      <w:r w:rsidRPr="006B3C6A">
        <w:t>There are 250 respondents anticipated for this data collection.  The “Number of Respondents” column is not a sum, it represents the same respondents participating in different activities for this data collection; therefore, these respondents are not double counted.</w:t>
      </w:r>
    </w:p>
    <w:p w:rsidR="005427FB" w14:paraId="3811BB10" w14:textId="77777777">
      <w:pPr>
        <w:pStyle w:val="BodyText"/>
      </w:pPr>
    </w:p>
    <w:p w:rsidR="00ED7747" w:rsidRPr="003E24C1" w14:paraId="0B5655CF" w14:textId="286653FC">
      <w:pPr>
        <w:pStyle w:val="BodyText"/>
        <w:rPr>
          <w:color w:val="000000" w:themeColor="text1"/>
        </w:rPr>
      </w:pPr>
      <w:r w:rsidRPr="003E24C1">
        <w:rPr>
          <w:color w:val="000000" w:themeColor="text1"/>
        </w:rPr>
        <w:t>GRAND TOTAL FOR ALL THREE (3) COMPONENTS:</w:t>
      </w:r>
    </w:p>
    <w:p w:rsidR="001934ED" w:rsidRPr="003E24C1" w14:paraId="2EAA6FD0" w14:textId="77777777">
      <w:pPr>
        <w:pStyle w:val="BodyText"/>
        <w:rPr>
          <w:b/>
          <w:bCs/>
          <w:color w:val="000000" w:themeColor="text1"/>
        </w:rPr>
      </w:pPr>
    </w:p>
    <w:tbl>
      <w:tblPr>
        <w:tblW w:w="10460" w:type="dxa"/>
        <w:tblLook w:val="04A0"/>
      </w:tblPr>
      <w:tblGrid>
        <w:gridCol w:w="2509"/>
        <w:gridCol w:w="1638"/>
        <w:gridCol w:w="1693"/>
        <w:gridCol w:w="1546"/>
        <w:gridCol w:w="1560"/>
        <w:gridCol w:w="1514"/>
      </w:tblGrid>
      <w:tr w14:paraId="5811AF48" w14:textId="77777777" w:rsidTr="00D65EE4">
        <w:tblPrEx>
          <w:tblW w:w="10460" w:type="dxa"/>
          <w:tblLook w:val="04A0"/>
        </w:tblPrEx>
        <w:trPr>
          <w:trHeight w:val="951"/>
        </w:trPr>
        <w:tc>
          <w:tcPr>
            <w:tcW w:w="2509" w:type="dxa"/>
            <w:tcBorders>
              <w:top w:val="single" w:sz="8" w:space="0" w:color="000000"/>
              <w:left w:val="single" w:sz="8" w:space="0" w:color="000000"/>
              <w:bottom w:val="single" w:sz="8" w:space="0" w:color="000000"/>
              <w:right w:val="single" w:sz="8" w:space="0" w:color="000000"/>
            </w:tcBorders>
            <w:vAlign w:val="center"/>
            <w:hideMark/>
          </w:tcPr>
          <w:p w:rsidR="001934ED" w:rsidRPr="003E24C1" w:rsidP="00D65EE4" w14:paraId="20120EBE" w14:textId="77777777">
            <w:pPr>
              <w:widowControl/>
              <w:autoSpaceDE/>
              <w:autoSpaceDN/>
              <w:rPr>
                <w:b/>
                <w:bCs/>
                <w:color w:val="000000" w:themeColor="text1"/>
                <w:sz w:val="24"/>
                <w:szCs w:val="24"/>
              </w:rPr>
            </w:pPr>
            <w:r w:rsidRPr="003E24C1">
              <w:rPr>
                <w:b/>
                <w:bCs/>
                <w:color w:val="000000" w:themeColor="text1"/>
                <w:sz w:val="24"/>
                <w:szCs w:val="24"/>
              </w:rPr>
              <w:t>Burden Activity or Form</w:t>
            </w:r>
          </w:p>
        </w:tc>
        <w:tc>
          <w:tcPr>
            <w:tcW w:w="1638" w:type="dxa"/>
            <w:tcBorders>
              <w:top w:val="single" w:sz="8" w:space="0" w:color="000000"/>
              <w:left w:val="nil"/>
              <w:bottom w:val="single" w:sz="8" w:space="0" w:color="000000"/>
              <w:right w:val="single" w:sz="8" w:space="0" w:color="000000"/>
            </w:tcBorders>
            <w:vAlign w:val="center"/>
            <w:hideMark/>
          </w:tcPr>
          <w:p w:rsidR="001934ED" w:rsidRPr="003E24C1" w:rsidP="00D65EE4" w14:paraId="6FCC53A8" w14:textId="77777777">
            <w:pPr>
              <w:widowControl/>
              <w:autoSpaceDE/>
              <w:autoSpaceDN/>
              <w:rPr>
                <w:b/>
                <w:bCs/>
                <w:color w:val="000000" w:themeColor="text1"/>
                <w:sz w:val="24"/>
                <w:szCs w:val="24"/>
              </w:rPr>
            </w:pPr>
            <w:r w:rsidRPr="003E24C1">
              <w:rPr>
                <w:b/>
                <w:bCs/>
                <w:color w:val="000000" w:themeColor="text1"/>
                <w:sz w:val="24"/>
                <w:szCs w:val="24"/>
              </w:rPr>
              <w:t>Number of Respondents</w:t>
            </w:r>
          </w:p>
        </w:tc>
        <w:tc>
          <w:tcPr>
            <w:tcW w:w="1693" w:type="dxa"/>
            <w:tcBorders>
              <w:top w:val="single" w:sz="8" w:space="0" w:color="000000"/>
              <w:left w:val="nil"/>
              <w:bottom w:val="single" w:sz="8" w:space="0" w:color="000000"/>
              <w:right w:val="single" w:sz="8" w:space="0" w:color="000000"/>
            </w:tcBorders>
            <w:vAlign w:val="center"/>
            <w:hideMark/>
          </w:tcPr>
          <w:p w:rsidR="001934ED" w:rsidRPr="003E24C1" w:rsidP="00D65EE4" w14:paraId="0CB23C8F" w14:textId="77777777">
            <w:pPr>
              <w:widowControl/>
              <w:autoSpaceDE/>
              <w:autoSpaceDN/>
              <w:rPr>
                <w:b/>
                <w:bCs/>
                <w:color w:val="000000" w:themeColor="text1"/>
                <w:sz w:val="24"/>
                <w:szCs w:val="24"/>
              </w:rPr>
            </w:pPr>
            <w:r w:rsidRPr="003E24C1">
              <w:rPr>
                <w:b/>
                <w:bCs/>
                <w:color w:val="000000" w:themeColor="text1"/>
                <w:sz w:val="24"/>
                <w:szCs w:val="24"/>
              </w:rPr>
              <w:t>Number of responses per respondent</w:t>
            </w:r>
          </w:p>
        </w:tc>
        <w:tc>
          <w:tcPr>
            <w:tcW w:w="1546" w:type="dxa"/>
            <w:tcBorders>
              <w:top w:val="single" w:sz="8" w:space="0" w:color="000000"/>
              <w:left w:val="nil"/>
              <w:bottom w:val="single" w:sz="8" w:space="0" w:color="000000"/>
              <w:right w:val="single" w:sz="8" w:space="0" w:color="000000"/>
            </w:tcBorders>
            <w:vAlign w:val="center"/>
            <w:hideMark/>
          </w:tcPr>
          <w:p w:rsidR="001934ED" w:rsidRPr="003E24C1" w:rsidP="00D65EE4" w14:paraId="2CC9FC6A" w14:textId="187A74D6">
            <w:pPr>
              <w:widowControl/>
              <w:autoSpaceDE/>
              <w:autoSpaceDN/>
              <w:rPr>
                <w:b/>
                <w:bCs/>
                <w:color w:val="000000" w:themeColor="text1"/>
                <w:sz w:val="24"/>
                <w:szCs w:val="24"/>
              </w:rPr>
            </w:pPr>
            <w:r w:rsidRPr="003E24C1">
              <w:rPr>
                <w:b/>
                <w:bCs/>
                <w:color w:val="000000" w:themeColor="text1"/>
                <w:sz w:val="24"/>
                <w:szCs w:val="24"/>
              </w:rPr>
              <w:t>Total annual response</w:t>
            </w:r>
            <w:r w:rsidR="00C0472E">
              <w:rPr>
                <w:b/>
                <w:bCs/>
                <w:color w:val="000000" w:themeColor="text1"/>
                <w:sz w:val="24"/>
                <w:szCs w:val="24"/>
              </w:rPr>
              <w:t>,</w:t>
            </w:r>
          </w:p>
        </w:tc>
        <w:tc>
          <w:tcPr>
            <w:tcW w:w="1560" w:type="dxa"/>
            <w:tcBorders>
              <w:top w:val="single" w:sz="8" w:space="0" w:color="000000"/>
              <w:left w:val="nil"/>
              <w:bottom w:val="single" w:sz="8" w:space="0" w:color="000000"/>
              <w:right w:val="single" w:sz="8" w:space="0" w:color="000000"/>
            </w:tcBorders>
            <w:vAlign w:val="center"/>
            <w:hideMark/>
          </w:tcPr>
          <w:p w:rsidR="001934ED" w:rsidRPr="003E24C1" w:rsidP="00D65EE4" w14:paraId="5BE52667" w14:textId="77777777">
            <w:pPr>
              <w:widowControl/>
              <w:autoSpaceDE/>
              <w:autoSpaceDN/>
              <w:rPr>
                <w:b/>
                <w:bCs/>
                <w:color w:val="000000" w:themeColor="text1"/>
                <w:sz w:val="24"/>
                <w:szCs w:val="24"/>
              </w:rPr>
            </w:pPr>
            <w:r w:rsidRPr="003E24C1">
              <w:rPr>
                <w:b/>
                <w:bCs/>
                <w:color w:val="000000" w:themeColor="text1"/>
                <w:sz w:val="24"/>
                <w:szCs w:val="24"/>
              </w:rPr>
              <w:t>Hours per response</w:t>
            </w:r>
          </w:p>
        </w:tc>
        <w:tc>
          <w:tcPr>
            <w:tcW w:w="1514" w:type="dxa"/>
            <w:tcBorders>
              <w:top w:val="single" w:sz="8" w:space="0" w:color="000000"/>
              <w:left w:val="nil"/>
              <w:bottom w:val="single" w:sz="8" w:space="0" w:color="000000"/>
              <w:right w:val="single" w:sz="8" w:space="0" w:color="000000"/>
            </w:tcBorders>
            <w:vAlign w:val="center"/>
            <w:hideMark/>
          </w:tcPr>
          <w:p w:rsidR="001934ED" w:rsidRPr="003E24C1" w:rsidP="00D65EE4" w14:paraId="00FF2A98" w14:textId="77777777">
            <w:pPr>
              <w:widowControl/>
              <w:autoSpaceDE/>
              <w:autoSpaceDN/>
              <w:rPr>
                <w:b/>
                <w:bCs/>
                <w:color w:val="000000" w:themeColor="text1"/>
                <w:sz w:val="24"/>
                <w:szCs w:val="24"/>
              </w:rPr>
            </w:pPr>
            <w:r w:rsidRPr="003E24C1">
              <w:rPr>
                <w:b/>
                <w:bCs/>
                <w:color w:val="000000" w:themeColor="text1"/>
                <w:sz w:val="24"/>
                <w:szCs w:val="24"/>
              </w:rPr>
              <w:t>Total hours per year</w:t>
            </w:r>
          </w:p>
        </w:tc>
      </w:tr>
      <w:tr w14:paraId="2CF752BE" w14:textId="77777777" w:rsidTr="00171DAE">
        <w:tblPrEx>
          <w:tblW w:w="10460" w:type="dxa"/>
          <w:tblLook w:val="04A0"/>
        </w:tblPrEx>
        <w:trPr>
          <w:trHeight w:val="951"/>
        </w:trPr>
        <w:tc>
          <w:tcPr>
            <w:tcW w:w="2509" w:type="dxa"/>
            <w:tcBorders>
              <w:top w:val="single" w:sz="8" w:space="0" w:color="000000"/>
              <w:left w:val="single" w:sz="8" w:space="0" w:color="000000"/>
              <w:bottom w:val="single" w:sz="8" w:space="0" w:color="000000"/>
              <w:right w:val="single" w:sz="8" w:space="0" w:color="000000"/>
            </w:tcBorders>
            <w:vAlign w:val="center"/>
            <w:hideMark/>
          </w:tcPr>
          <w:p w:rsidR="00046E86" w:rsidRPr="003E24C1" w:rsidP="00046E86" w14:paraId="5E33BBA7" w14:textId="6B91DEFF">
            <w:pPr>
              <w:widowControl/>
              <w:autoSpaceDE/>
              <w:autoSpaceDN/>
              <w:rPr>
                <w:color w:val="000000" w:themeColor="text1"/>
                <w:sz w:val="24"/>
                <w:szCs w:val="24"/>
              </w:rPr>
            </w:pPr>
            <w:r w:rsidRPr="003E24C1">
              <w:rPr>
                <w:color w:val="000000" w:themeColor="text1"/>
                <w:sz w:val="24"/>
                <w:szCs w:val="24"/>
              </w:rPr>
              <w:t>COMPONENT 1: APPLICATION &amp; COMPLIANCE</w:t>
            </w:r>
          </w:p>
        </w:tc>
        <w:tc>
          <w:tcPr>
            <w:tcW w:w="1638" w:type="dxa"/>
            <w:tcBorders>
              <w:top w:val="single" w:sz="8" w:space="0" w:color="000000"/>
              <w:left w:val="nil"/>
              <w:bottom w:val="single" w:sz="8" w:space="0" w:color="000000"/>
              <w:right w:val="single" w:sz="8" w:space="0" w:color="000000"/>
            </w:tcBorders>
            <w:vAlign w:val="center"/>
            <w:hideMark/>
          </w:tcPr>
          <w:p w:rsidR="00046E86" w:rsidRPr="003E24C1" w:rsidP="00046E86" w14:paraId="01B2E05F" w14:textId="353BD7EA">
            <w:pPr>
              <w:widowControl/>
              <w:autoSpaceDE/>
              <w:autoSpaceDN/>
              <w:rPr>
                <w:color w:val="000000" w:themeColor="text1"/>
                <w:sz w:val="24"/>
                <w:szCs w:val="24"/>
              </w:rPr>
            </w:pPr>
            <w:r w:rsidRPr="003E24C1">
              <w:rPr>
                <w:color w:val="000000" w:themeColor="text1"/>
                <w:sz w:val="24"/>
                <w:szCs w:val="24"/>
              </w:rPr>
              <w:t>72,106</w:t>
            </w:r>
          </w:p>
        </w:tc>
        <w:tc>
          <w:tcPr>
            <w:tcW w:w="1693" w:type="dxa"/>
            <w:tcBorders>
              <w:top w:val="single" w:sz="8" w:space="0" w:color="000000"/>
              <w:left w:val="nil"/>
              <w:bottom w:val="single" w:sz="8" w:space="0" w:color="000000"/>
              <w:right w:val="single" w:sz="8" w:space="0" w:color="000000"/>
            </w:tcBorders>
            <w:vAlign w:val="center"/>
            <w:hideMark/>
          </w:tcPr>
          <w:p w:rsidR="00046E86" w:rsidRPr="003E24C1" w:rsidP="00046E86" w14:paraId="465642CD" w14:textId="7989D8B3">
            <w:pPr>
              <w:widowControl/>
              <w:autoSpaceDE/>
              <w:autoSpaceDN/>
              <w:rPr>
                <w:color w:val="000000" w:themeColor="text1"/>
                <w:sz w:val="24"/>
                <w:szCs w:val="24"/>
              </w:rPr>
            </w:pPr>
            <w:r w:rsidRPr="003E24C1">
              <w:rPr>
                <w:color w:val="000000" w:themeColor="text1"/>
                <w:sz w:val="24"/>
                <w:szCs w:val="24"/>
              </w:rPr>
              <w:t>3.54277758</w:t>
            </w:r>
          </w:p>
        </w:tc>
        <w:tc>
          <w:tcPr>
            <w:tcW w:w="1546" w:type="dxa"/>
            <w:tcBorders>
              <w:top w:val="single" w:sz="8" w:space="0" w:color="000000"/>
              <w:left w:val="nil"/>
              <w:bottom w:val="single" w:sz="8" w:space="0" w:color="000000"/>
              <w:right w:val="single" w:sz="8" w:space="0" w:color="000000"/>
            </w:tcBorders>
            <w:vAlign w:val="center"/>
            <w:hideMark/>
          </w:tcPr>
          <w:p w:rsidR="00046E86" w:rsidRPr="003E24C1" w:rsidP="00046E86" w14:paraId="764D8558" w14:textId="3D2735DF">
            <w:pPr>
              <w:widowControl/>
              <w:autoSpaceDE/>
              <w:autoSpaceDN/>
              <w:rPr>
                <w:color w:val="000000" w:themeColor="text1"/>
                <w:sz w:val="24"/>
                <w:szCs w:val="24"/>
              </w:rPr>
            </w:pPr>
            <w:r w:rsidRPr="003E24C1">
              <w:rPr>
                <w:color w:val="000000" w:themeColor="text1"/>
                <w:sz w:val="24"/>
                <w:szCs w:val="24"/>
              </w:rPr>
              <w:t>255,456</w:t>
            </w:r>
          </w:p>
        </w:tc>
        <w:tc>
          <w:tcPr>
            <w:tcW w:w="1560" w:type="dxa"/>
            <w:tcBorders>
              <w:top w:val="single" w:sz="8" w:space="0" w:color="000000"/>
              <w:left w:val="nil"/>
              <w:bottom w:val="single" w:sz="8" w:space="0" w:color="000000"/>
              <w:right w:val="single" w:sz="8" w:space="0" w:color="000000"/>
            </w:tcBorders>
            <w:vAlign w:val="center"/>
            <w:hideMark/>
          </w:tcPr>
          <w:p w:rsidR="00046E86" w:rsidRPr="003E24C1" w:rsidP="00046E86" w14:paraId="17016DC4" w14:textId="5914F857">
            <w:pPr>
              <w:widowControl/>
              <w:autoSpaceDE/>
              <w:autoSpaceDN/>
              <w:rPr>
                <w:color w:val="000000" w:themeColor="text1"/>
                <w:sz w:val="24"/>
                <w:szCs w:val="24"/>
              </w:rPr>
            </w:pPr>
            <w:r w:rsidRPr="003E24C1">
              <w:rPr>
                <w:color w:val="000000" w:themeColor="text1"/>
                <w:sz w:val="24"/>
                <w:szCs w:val="24"/>
              </w:rPr>
              <w:t>0.46071759</w:t>
            </w:r>
          </w:p>
        </w:tc>
        <w:tc>
          <w:tcPr>
            <w:tcW w:w="1514" w:type="dxa"/>
            <w:tcBorders>
              <w:top w:val="single" w:sz="8" w:space="0" w:color="000000"/>
              <w:left w:val="nil"/>
              <w:bottom w:val="single" w:sz="8" w:space="0" w:color="000000"/>
              <w:right w:val="single" w:sz="8" w:space="0" w:color="000000"/>
            </w:tcBorders>
            <w:vAlign w:val="center"/>
            <w:hideMark/>
          </w:tcPr>
          <w:p w:rsidR="00046E86" w:rsidRPr="003E24C1" w:rsidP="00046E86" w14:paraId="2CDCC827" w14:textId="43BCC86F">
            <w:pPr>
              <w:widowControl/>
              <w:autoSpaceDE/>
              <w:autoSpaceDN/>
              <w:rPr>
                <w:color w:val="000000" w:themeColor="text1"/>
                <w:sz w:val="24"/>
                <w:szCs w:val="24"/>
              </w:rPr>
            </w:pPr>
            <w:r w:rsidRPr="003E24C1">
              <w:rPr>
                <w:color w:val="000000" w:themeColor="text1"/>
                <w:sz w:val="24"/>
                <w:szCs w:val="24"/>
              </w:rPr>
              <w:t>117,693</w:t>
            </w:r>
          </w:p>
        </w:tc>
      </w:tr>
      <w:tr w14:paraId="65625DB9" w14:textId="77777777" w:rsidTr="00044C15">
        <w:tblPrEx>
          <w:tblW w:w="10460" w:type="dxa"/>
          <w:tblLook w:val="04A0"/>
        </w:tblPrEx>
        <w:trPr>
          <w:trHeight w:val="951"/>
        </w:trPr>
        <w:tc>
          <w:tcPr>
            <w:tcW w:w="2509" w:type="dxa"/>
            <w:tcBorders>
              <w:top w:val="single" w:sz="8" w:space="0" w:color="000000"/>
              <w:left w:val="single" w:sz="8" w:space="0" w:color="000000"/>
              <w:bottom w:val="single" w:sz="8" w:space="0" w:color="000000"/>
              <w:right w:val="single" w:sz="8" w:space="0" w:color="000000"/>
            </w:tcBorders>
            <w:vAlign w:val="center"/>
            <w:hideMark/>
          </w:tcPr>
          <w:p w:rsidR="00044C15" w:rsidRPr="003E24C1" w:rsidP="00044C15" w14:paraId="5CE1A315" w14:textId="6846E873">
            <w:pPr>
              <w:widowControl/>
              <w:autoSpaceDE/>
              <w:autoSpaceDN/>
              <w:rPr>
                <w:color w:val="000000" w:themeColor="text1"/>
                <w:sz w:val="24"/>
                <w:szCs w:val="24"/>
              </w:rPr>
            </w:pPr>
            <w:r w:rsidRPr="003E24C1">
              <w:rPr>
                <w:color w:val="000000" w:themeColor="text1"/>
                <w:sz w:val="24"/>
                <w:szCs w:val="24"/>
              </w:rPr>
              <w:t xml:space="preserve">COMPONENT </w:t>
            </w:r>
            <w:r w:rsidRPr="003E24C1" w:rsidR="00046E86">
              <w:rPr>
                <w:color w:val="000000" w:themeColor="text1"/>
                <w:sz w:val="24"/>
                <w:szCs w:val="24"/>
              </w:rPr>
              <w:t>2</w:t>
            </w:r>
            <w:r w:rsidRPr="003E24C1">
              <w:rPr>
                <w:color w:val="000000" w:themeColor="text1"/>
                <w:sz w:val="24"/>
                <w:szCs w:val="24"/>
              </w:rPr>
              <w:t xml:space="preserve">: </w:t>
            </w:r>
            <w:r w:rsidRPr="003E24C1" w:rsidR="00901F82">
              <w:rPr>
                <w:color w:val="000000" w:themeColor="text1"/>
                <w:sz w:val="24"/>
                <w:szCs w:val="24"/>
              </w:rPr>
              <w:t>On-Farm Stored Commodity Loss Program</w:t>
            </w:r>
          </w:p>
        </w:tc>
        <w:tc>
          <w:tcPr>
            <w:tcW w:w="1638" w:type="dxa"/>
            <w:tcBorders>
              <w:top w:val="single" w:sz="8" w:space="0" w:color="000000"/>
              <w:left w:val="nil"/>
              <w:bottom w:val="single" w:sz="8" w:space="0" w:color="000000"/>
              <w:right w:val="single" w:sz="8" w:space="0" w:color="000000"/>
            </w:tcBorders>
            <w:vAlign w:val="center"/>
            <w:hideMark/>
          </w:tcPr>
          <w:p w:rsidR="00044C15" w:rsidRPr="003E24C1" w:rsidP="00044C15" w14:paraId="573A4F6B" w14:textId="77777777">
            <w:pPr>
              <w:widowControl/>
              <w:autoSpaceDE/>
              <w:autoSpaceDN/>
              <w:rPr>
                <w:color w:val="000000" w:themeColor="text1"/>
                <w:sz w:val="24"/>
                <w:szCs w:val="24"/>
              </w:rPr>
            </w:pPr>
            <w:r w:rsidRPr="003E24C1">
              <w:rPr>
                <w:color w:val="000000" w:themeColor="text1"/>
                <w:sz w:val="24"/>
                <w:szCs w:val="24"/>
              </w:rPr>
              <w:t>550</w:t>
            </w:r>
          </w:p>
        </w:tc>
        <w:tc>
          <w:tcPr>
            <w:tcW w:w="1693" w:type="dxa"/>
            <w:tcBorders>
              <w:top w:val="single" w:sz="8" w:space="0" w:color="000000"/>
              <w:left w:val="nil"/>
              <w:bottom w:val="single" w:sz="8" w:space="0" w:color="000000"/>
              <w:right w:val="single" w:sz="8" w:space="0" w:color="000000"/>
            </w:tcBorders>
            <w:vAlign w:val="center"/>
            <w:hideMark/>
          </w:tcPr>
          <w:p w:rsidR="00044C15" w:rsidRPr="003E24C1" w:rsidP="00044C15" w14:paraId="7305A033" w14:textId="77777777">
            <w:pPr>
              <w:widowControl/>
              <w:autoSpaceDE/>
              <w:autoSpaceDN/>
              <w:rPr>
                <w:color w:val="000000" w:themeColor="text1"/>
                <w:sz w:val="24"/>
                <w:szCs w:val="24"/>
              </w:rPr>
            </w:pPr>
            <w:r w:rsidRPr="003E24C1">
              <w:rPr>
                <w:color w:val="000000" w:themeColor="text1"/>
                <w:sz w:val="24"/>
                <w:szCs w:val="24"/>
              </w:rPr>
              <w:t>1.909090</w:t>
            </w:r>
          </w:p>
        </w:tc>
        <w:tc>
          <w:tcPr>
            <w:tcW w:w="1546" w:type="dxa"/>
            <w:tcBorders>
              <w:top w:val="single" w:sz="8" w:space="0" w:color="000000"/>
              <w:left w:val="nil"/>
              <w:bottom w:val="single" w:sz="8" w:space="0" w:color="000000"/>
              <w:right w:val="single" w:sz="8" w:space="0" w:color="000000"/>
            </w:tcBorders>
            <w:vAlign w:val="center"/>
            <w:hideMark/>
          </w:tcPr>
          <w:p w:rsidR="00044C15" w:rsidRPr="003E24C1" w:rsidP="00044C15" w14:paraId="39DFA6AF" w14:textId="77777777">
            <w:pPr>
              <w:widowControl/>
              <w:autoSpaceDE/>
              <w:autoSpaceDN/>
              <w:rPr>
                <w:color w:val="000000" w:themeColor="text1"/>
                <w:sz w:val="24"/>
                <w:szCs w:val="24"/>
              </w:rPr>
            </w:pPr>
            <w:r w:rsidRPr="003E24C1">
              <w:rPr>
                <w:color w:val="000000" w:themeColor="text1"/>
                <w:sz w:val="24"/>
                <w:szCs w:val="24"/>
              </w:rPr>
              <w:t>1,050</w:t>
            </w:r>
          </w:p>
        </w:tc>
        <w:tc>
          <w:tcPr>
            <w:tcW w:w="1560" w:type="dxa"/>
            <w:tcBorders>
              <w:top w:val="single" w:sz="8" w:space="0" w:color="000000"/>
              <w:left w:val="nil"/>
              <w:bottom w:val="single" w:sz="8" w:space="0" w:color="000000"/>
              <w:right w:val="single" w:sz="8" w:space="0" w:color="000000"/>
            </w:tcBorders>
            <w:vAlign w:val="center"/>
            <w:hideMark/>
          </w:tcPr>
          <w:p w:rsidR="00044C15" w:rsidRPr="003E24C1" w:rsidP="00044C15" w14:paraId="540A5F9D" w14:textId="77777777">
            <w:pPr>
              <w:widowControl/>
              <w:autoSpaceDE/>
              <w:autoSpaceDN/>
              <w:rPr>
                <w:color w:val="000000" w:themeColor="text1"/>
                <w:sz w:val="24"/>
                <w:szCs w:val="24"/>
              </w:rPr>
            </w:pPr>
            <w:r w:rsidRPr="003E24C1">
              <w:rPr>
                <w:color w:val="000000" w:themeColor="text1"/>
                <w:sz w:val="24"/>
                <w:szCs w:val="24"/>
              </w:rPr>
              <w:t>0.2304762</w:t>
            </w:r>
          </w:p>
        </w:tc>
        <w:tc>
          <w:tcPr>
            <w:tcW w:w="1514" w:type="dxa"/>
            <w:tcBorders>
              <w:top w:val="single" w:sz="8" w:space="0" w:color="000000"/>
              <w:left w:val="nil"/>
              <w:bottom w:val="single" w:sz="8" w:space="0" w:color="000000"/>
              <w:right w:val="single" w:sz="8" w:space="0" w:color="000000"/>
            </w:tcBorders>
            <w:vAlign w:val="center"/>
            <w:hideMark/>
          </w:tcPr>
          <w:p w:rsidR="00044C15" w:rsidRPr="003E24C1" w:rsidP="00044C15" w14:paraId="2D02F449" w14:textId="77777777">
            <w:pPr>
              <w:widowControl/>
              <w:autoSpaceDE/>
              <w:autoSpaceDN/>
              <w:rPr>
                <w:color w:val="000000" w:themeColor="text1"/>
                <w:sz w:val="24"/>
                <w:szCs w:val="24"/>
              </w:rPr>
            </w:pPr>
            <w:r w:rsidRPr="003E24C1">
              <w:rPr>
                <w:color w:val="000000" w:themeColor="text1"/>
                <w:sz w:val="24"/>
                <w:szCs w:val="24"/>
              </w:rPr>
              <w:t>242</w:t>
            </w:r>
          </w:p>
        </w:tc>
      </w:tr>
      <w:tr w14:paraId="4E73900B" w14:textId="77777777" w:rsidTr="00901F82">
        <w:tblPrEx>
          <w:tblW w:w="10460" w:type="dxa"/>
          <w:tblLook w:val="04A0"/>
        </w:tblPrEx>
        <w:trPr>
          <w:trHeight w:val="951"/>
        </w:trPr>
        <w:tc>
          <w:tcPr>
            <w:tcW w:w="2509" w:type="dxa"/>
            <w:tcBorders>
              <w:top w:val="single" w:sz="8" w:space="0" w:color="000000"/>
              <w:left w:val="single" w:sz="8" w:space="0" w:color="000000"/>
              <w:bottom w:val="single" w:sz="8" w:space="0" w:color="000000"/>
              <w:right w:val="single" w:sz="8" w:space="0" w:color="000000"/>
            </w:tcBorders>
            <w:vAlign w:val="center"/>
            <w:hideMark/>
          </w:tcPr>
          <w:p w:rsidR="00901F82" w:rsidRPr="003E24C1" w:rsidP="00901F82" w14:paraId="22B7FD8B" w14:textId="1262FF65">
            <w:pPr>
              <w:pStyle w:val="BodyText"/>
              <w:rPr>
                <w:color w:val="000000" w:themeColor="text1"/>
              </w:rPr>
            </w:pPr>
            <w:r w:rsidRPr="003E24C1">
              <w:rPr>
                <w:color w:val="000000" w:themeColor="text1"/>
              </w:rPr>
              <w:t xml:space="preserve">COMPONENT </w:t>
            </w:r>
            <w:r>
              <w:rPr>
                <w:color w:val="000000" w:themeColor="text1"/>
              </w:rPr>
              <w:t>3:</w:t>
            </w:r>
            <w:r w:rsidRPr="003E24C1">
              <w:rPr>
                <w:color w:val="000000" w:themeColor="text1"/>
              </w:rPr>
              <w:t xml:space="preserve"> Milk Loss Program (MLP)</w:t>
            </w:r>
          </w:p>
          <w:p w:rsidR="00901F82" w:rsidRPr="003E24C1" w:rsidP="00901F82" w14:paraId="34903458" w14:textId="07867EC3">
            <w:pPr>
              <w:widowControl/>
              <w:autoSpaceDE/>
              <w:autoSpaceDN/>
              <w:rPr>
                <w:color w:val="000000" w:themeColor="text1"/>
                <w:sz w:val="24"/>
                <w:szCs w:val="24"/>
              </w:rPr>
            </w:pPr>
          </w:p>
        </w:tc>
        <w:tc>
          <w:tcPr>
            <w:tcW w:w="1638" w:type="dxa"/>
            <w:tcBorders>
              <w:top w:val="single" w:sz="8" w:space="0" w:color="000000"/>
              <w:left w:val="nil"/>
              <w:bottom w:val="single" w:sz="8" w:space="0" w:color="000000"/>
              <w:right w:val="single" w:sz="8" w:space="0" w:color="000000"/>
            </w:tcBorders>
            <w:vAlign w:val="center"/>
          </w:tcPr>
          <w:p w:rsidR="00901F82" w:rsidRPr="003E24C1" w:rsidP="00901F82" w14:paraId="1B34F3F4" w14:textId="0170D192">
            <w:pPr>
              <w:widowControl/>
              <w:autoSpaceDE/>
              <w:autoSpaceDN/>
              <w:rPr>
                <w:color w:val="000000" w:themeColor="text1"/>
                <w:sz w:val="24"/>
                <w:szCs w:val="24"/>
              </w:rPr>
            </w:pPr>
            <w:r w:rsidRPr="003E24C1">
              <w:rPr>
                <w:color w:val="000000" w:themeColor="text1"/>
                <w:sz w:val="24"/>
                <w:szCs w:val="24"/>
              </w:rPr>
              <w:t>250</w:t>
            </w:r>
          </w:p>
        </w:tc>
        <w:tc>
          <w:tcPr>
            <w:tcW w:w="1693" w:type="dxa"/>
            <w:tcBorders>
              <w:top w:val="single" w:sz="8" w:space="0" w:color="000000"/>
              <w:left w:val="nil"/>
              <w:bottom w:val="single" w:sz="8" w:space="0" w:color="000000"/>
              <w:right w:val="single" w:sz="8" w:space="0" w:color="000000"/>
            </w:tcBorders>
            <w:vAlign w:val="center"/>
          </w:tcPr>
          <w:p w:rsidR="00901F82" w:rsidRPr="003E24C1" w:rsidP="00901F82" w14:paraId="597FA544" w14:textId="60247C91">
            <w:pPr>
              <w:widowControl/>
              <w:autoSpaceDE/>
              <w:autoSpaceDN/>
              <w:rPr>
                <w:color w:val="000000" w:themeColor="text1"/>
                <w:sz w:val="24"/>
                <w:szCs w:val="24"/>
              </w:rPr>
            </w:pPr>
            <w:r w:rsidRPr="003E24C1">
              <w:rPr>
                <w:color w:val="000000" w:themeColor="text1"/>
                <w:sz w:val="24"/>
                <w:szCs w:val="24"/>
              </w:rPr>
              <w:t>4.80</w:t>
            </w:r>
          </w:p>
        </w:tc>
        <w:tc>
          <w:tcPr>
            <w:tcW w:w="1546" w:type="dxa"/>
            <w:tcBorders>
              <w:top w:val="single" w:sz="8" w:space="0" w:color="000000"/>
              <w:left w:val="nil"/>
              <w:bottom w:val="single" w:sz="8" w:space="0" w:color="000000"/>
              <w:right w:val="single" w:sz="8" w:space="0" w:color="000000"/>
            </w:tcBorders>
            <w:vAlign w:val="center"/>
          </w:tcPr>
          <w:p w:rsidR="00901F82" w:rsidRPr="003E24C1" w:rsidP="00901F82" w14:paraId="10F40270" w14:textId="72CBBF29">
            <w:pPr>
              <w:widowControl/>
              <w:autoSpaceDE/>
              <w:autoSpaceDN/>
              <w:rPr>
                <w:color w:val="000000" w:themeColor="text1"/>
                <w:sz w:val="24"/>
                <w:szCs w:val="24"/>
              </w:rPr>
            </w:pPr>
            <w:r w:rsidRPr="003E24C1">
              <w:rPr>
                <w:color w:val="000000" w:themeColor="text1"/>
                <w:sz w:val="24"/>
                <w:szCs w:val="24"/>
              </w:rPr>
              <w:t>1,200</w:t>
            </w:r>
          </w:p>
        </w:tc>
        <w:tc>
          <w:tcPr>
            <w:tcW w:w="1560" w:type="dxa"/>
            <w:tcBorders>
              <w:top w:val="single" w:sz="8" w:space="0" w:color="000000"/>
              <w:left w:val="nil"/>
              <w:bottom w:val="single" w:sz="8" w:space="0" w:color="000000"/>
              <w:right w:val="single" w:sz="8" w:space="0" w:color="000000"/>
            </w:tcBorders>
            <w:vAlign w:val="center"/>
          </w:tcPr>
          <w:p w:rsidR="00901F82" w:rsidRPr="003E24C1" w:rsidP="00901F82" w14:paraId="7C0E4944" w14:textId="0D717033">
            <w:pPr>
              <w:widowControl/>
              <w:autoSpaceDE/>
              <w:autoSpaceDN/>
              <w:rPr>
                <w:color w:val="000000" w:themeColor="text1"/>
                <w:sz w:val="24"/>
                <w:szCs w:val="24"/>
              </w:rPr>
            </w:pPr>
            <w:r w:rsidRPr="003E24C1">
              <w:rPr>
                <w:color w:val="000000" w:themeColor="text1"/>
                <w:sz w:val="24"/>
                <w:szCs w:val="24"/>
              </w:rPr>
              <w:t>0.16333333</w:t>
            </w:r>
          </w:p>
        </w:tc>
        <w:tc>
          <w:tcPr>
            <w:tcW w:w="1514" w:type="dxa"/>
            <w:tcBorders>
              <w:top w:val="single" w:sz="8" w:space="0" w:color="000000"/>
              <w:left w:val="nil"/>
              <w:bottom w:val="single" w:sz="8" w:space="0" w:color="000000"/>
              <w:right w:val="single" w:sz="8" w:space="0" w:color="000000"/>
            </w:tcBorders>
            <w:vAlign w:val="center"/>
          </w:tcPr>
          <w:p w:rsidR="00901F82" w:rsidRPr="003E24C1" w:rsidP="00901F82" w14:paraId="4B1DB9F4" w14:textId="53EA0202">
            <w:pPr>
              <w:widowControl/>
              <w:autoSpaceDE/>
              <w:autoSpaceDN/>
              <w:rPr>
                <w:color w:val="000000" w:themeColor="text1"/>
                <w:sz w:val="24"/>
                <w:szCs w:val="24"/>
              </w:rPr>
            </w:pPr>
            <w:r w:rsidRPr="003E24C1">
              <w:rPr>
                <w:color w:val="000000" w:themeColor="text1"/>
                <w:sz w:val="24"/>
                <w:szCs w:val="24"/>
              </w:rPr>
              <w:t>196</w:t>
            </w:r>
          </w:p>
        </w:tc>
      </w:tr>
      <w:tr w14:paraId="2447874E" w14:textId="77777777" w:rsidTr="00520088">
        <w:tblPrEx>
          <w:tblW w:w="10460" w:type="dxa"/>
          <w:tblLook w:val="04A0"/>
        </w:tblPrEx>
        <w:trPr>
          <w:trHeight w:val="951"/>
        </w:trPr>
        <w:tc>
          <w:tcPr>
            <w:tcW w:w="2509" w:type="dxa"/>
            <w:tcBorders>
              <w:top w:val="single" w:sz="8" w:space="0" w:color="000000"/>
              <w:left w:val="single" w:sz="8" w:space="0" w:color="000000"/>
              <w:bottom w:val="single" w:sz="8" w:space="0" w:color="000000"/>
              <w:right w:val="single" w:sz="8" w:space="0" w:color="000000"/>
            </w:tcBorders>
            <w:vAlign w:val="center"/>
            <w:hideMark/>
          </w:tcPr>
          <w:p w:rsidR="00520088" w:rsidRPr="003E24C1" w:rsidP="00D65EE4" w14:paraId="5DDA86C1" w14:textId="4F0EB099">
            <w:pPr>
              <w:pStyle w:val="BodyText"/>
              <w:rPr>
                <w:b/>
                <w:bCs/>
                <w:color w:val="000000" w:themeColor="text1"/>
              </w:rPr>
            </w:pPr>
            <w:r w:rsidRPr="003E24C1">
              <w:rPr>
                <w:b/>
                <w:bCs/>
                <w:color w:val="000000" w:themeColor="text1"/>
              </w:rPr>
              <w:t>GRAND TOTAL FOR COMPONENTS 1</w:t>
            </w:r>
            <w:r w:rsidR="00C0472E">
              <w:rPr>
                <w:b/>
                <w:bCs/>
                <w:color w:val="000000" w:themeColor="text1"/>
              </w:rPr>
              <w:t>,</w:t>
            </w:r>
            <w:r w:rsidRPr="003E24C1">
              <w:rPr>
                <w:b/>
                <w:bCs/>
                <w:color w:val="000000" w:themeColor="text1"/>
              </w:rPr>
              <w:t xml:space="preserve"> 2 </w:t>
            </w:r>
            <w:r w:rsidRPr="003E24C1" w:rsidR="005A1536">
              <w:rPr>
                <w:b/>
                <w:bCs/>
                <w:color w:val="000000" w:themeColor="text1"/>
              </w:rPr>
              <w:t>&amp;</w:t>
            </w:r>
            <w:r w:rsidRPr="003E24C1">
              <w:rPr>
                <w:b/>
                <w:bCs/>
                <w:color w:val="000000" w:themeColor="text1"/>
              </w:rPr>
              <w:t xml:space="preserve"> 3</w:t>
            </w:r>
          </w:p>
          <w:p w:rsidR="00520088" w:rsidRPr="003E24C1" w:rsidP="00520088" w14:paraId="237079F3" w14:textId="77777777">
            <w:pPr>
              <w:pStyle w:val="BodyText"/>
              <w:rPr>
                <w:b/>
                <w:bCs/>
                <w:color w:val="000000" w:themeColor="text1"/>
              </w:rPr>
            </w:pPr>
          </w:p>
        </w:tc>
        <w:tc>
          <w:tcPr>
            <w:tcW w:w="1638" w:type="dxa"/>
            <w:tcBorders>
              <w:top w:val="single" w:sz="8" w:space="0" w:color="000000"/>
              <w:left w:val="nil"/>
              <w:bottom w:val="single" w:sz="8" w:space="0" w:color="000000"/>
              <w:right w:val="single" w:sz="8" w:space="0" w:color="000000"/>
            </w:tcBorders>
            <w:vAlign w:val="center"/>
          </w:tcPr>
          <w:p w:rsidR="00520088" w:rsidRPr="003E24C1" w:rsidP="00D65EE4" w14:paraId="2D031EF8" w14:textId="74363533">
            <w:pPr>
              <w:widowControl/>
              <w:autoSpaceDE/>
              <w:autoSpaceDN/>
              <w:rPr>
                <w:b/>
                <w:bCs/>
                <w:color w:val="000000" w:themeColor="text1"/>
                <w:sz w:val="24"/>
                <w:szCs w:val="24"/>
              </w:rPr>
            </w:pPr>
            <w:r w:rsidRPr="003E24C1">
              <w:rPr>
                <w:b/>
                <w:bCs/>
                <w:color w:val="000000" w:themeColor="text1"/>
                <w:sz w:val="24"/>
                <w:szCs w:val="24"/>
              </w:rPr>
              <w:t>72,</w:t>
            </w:r>
            <w:r w:rsidRPr="003E24C1" w:rsidR="00CA7D15">
              <w:rPr>
                <w:b/>
                <w:bCs/>
                <w:color w:val="000000" w:themeColor="text1"/>
                <w:sz w:val="24"/>
                <w:szCs w:val="24"/>
              </w:rPr>
              <w:t>906</w:t>
            </w:r>
          </w:p>
        </w:tc>
        <w:tc>
          <w:tcPr>
            <w:tcW w:w="1693" w:type="dxa"/>
            <w:tcBorders>
              <w:top w:val="single" w:sz="8" w:space="0" w:color="000000"/>
              <w:left w:val="nil"/>
              <w:bottom w:val="single" w:sz="8" w:space="0" w:color="000000"/>
              <w:right w:val="single" w:sz="8" w:space="0" w:color="000000"/>
            </w:tcBorders>
            <w:vAlign w:val="center"/>
          </w:tcPr>
          <w:p w:rsidR="00520088" w:rsidRPr="003E24C1" w:rsidP="00D65EE4" w14:paraId="6BC7D2B4" w14:textId="7DC70F9D">
            <w:pPr>
              <w:widowControl/>
              <w:autoSpaceDE/>
              <w:autoSpaceDN/>
              <w:rPr>
                <w:b/>
                <w:bCs/>
                <w:color w:val="000000" w:themeColor="text1"/>
                <w:sz w:val="24"/>
                <w:szCs w:val="24"/>
              </w:rPr>
            </w:pPr>
          </w:p>
        </w:tc>
        <w:tc>
          <w:tcPr>
            <w:tcW w:w="1546" w:type="dxa"/>
            <w:tcBorders>
              <w:top w:val="single" w:sz="8" w:space="0" w:color="000000"/>
              <w:left w:val="nil"/>
              <w:bottom w:val="single" w:sz="8" w:space="0" w:color="000000"/>
              <w:right w:val="single" w:sz="8" w:space="0" w:color="000000"/>
            </w:tcBorders>
            <w:vAlign w:val="center"/>
          </w:tcPr>
          <w:p w:rsidR="00520088" w:rsidRPr="003E24C1" w:rsidP="00D65EE4" w14:paraId="6BEB2F96" w14:textId="00DBAD0C">
            <w:pPr>
              <w:widowControl/>
              <w:autoSpaceDE/>
              <w:autoSpaceDN/>
              <w:rPr>
                <w:b/>
                <w:bCs/>
                <w:color w:val="000000" w:themeColor="text1"/>
                <w:sz w:val="24"/>
                <w:szCs w:val="24"/>
              </w:rPr>
            </w:pPr>
            <w:r w:rsidRPr="003E24C1">
              <w:rPr>
                <w:b/>
                <w:bCs/>
                <w:color w:val="000000" w:themeColor="text1"/>
                <w:sz w:val="24"/>
                <w:szCs w:val="24"/>
              </w:rPr>
              <w:t>257,706</w:t>
            </w:r>
          </w:p>
        </w:tc>
        <w:tc>
          <w:tcPr>
            <w:tcW w:w="1560" w:type="dxa"/>
            <w:tcBorders>
              <w:top w:val="single" w:sz="8" w:space="0" w:color="000000"/>
              <w:left w:val="nil"/>
              <w:bottom w:val="single" w:sz="8" w:space="0" w:color="000000"/>
              <w:right w:val="single" w:sz="8" w:space="0" w:color="000000"/>
            </w:tcBorders>
            <w:vAlign w:val="center"/>
          </w:tcPr>
          <w:p w:rsidR="00520088" w:rsidRPr="003E24C1" w:rsidP="00D65EE4" w14:paraId="388D726C" w14:textId="1B8FA3EF">
            <w:pPr>
              <w:widowControl/>
              <w:autoSpaceDE/>
              <w:autoSpaceDN/>
              <w:rPr>
                <w:b/>
                <w:bCs/>
                <w:color w:val="000000" w:themeColor="text1"/>
                <w:sz w:val="24"/>
                <w:szCs w:val="24"/>
              </w:rPr>
            </w:pPr>
          </w:p>
        </w:tc>
        <w:tc>
          <w:tcPr>
            <w:tcW w:w="1514" w:type="dxa"/>
            <w:tcBorders>
              <w:top w:val="single" w:sz="8" w:space="0" w:color="000000"/>
              <w:left w:val="nil"/>
              <w:bottom w:val="single" w:sz="8" w:space="0" w:color="000000"/>
              <w:right w:val="single" w:sz="8" w:space="0" w:color="000000"/>
            </w:tcBorders>
            <w:vAlign w:val="center"/>
          </w:tcPr>
          <w:p w:rsidR="00520088" w:rsidRPr="003E24C1" w:rsidP="00D65EE4" w14:paraId="256B667D" w14:textId="74FBB39E">
            <w:pPr>
              <w:widowControl/>
              <w:autoSpaceDE/>
              <w:autoSpaceDN/>
              <w:rPr>
                <w:b/>
                <w:bCs/>
                <w:color w:val="000000" w:themeColor="text1"/>
                <w:sz w:val="24"/>
                <w:szCs w:val="24"/>
              </w:rPr>
            </w:pPr>
            <w:r w:rsidRPr="003E24C1">
              <w:rPr>
                <w:b/>
                <w:bCs/>
                <w:color w:val="000000" w:themeColor="text1"/>
                <w:sz w:val="24"/>
                <w:szCs w:val="24"/>
              </w:rPr>
              <w:t>118,131</w:t>
            </w:r>
          </w:p>
        </w:tc>
      </w:tr>
    </w:tbl>
    <w:p w:rsidR="001934ED" w:rsidRPr="003E24C1" w14:paraId="4A2C49A5" w14:textId="77777777">
      <w:pPr>
        <w:pStyle w:val="BodyText"/>
        <w:rPr>
          <w:b/>
          <w:bCs/>
          <w:color w:val="000000" w:themeColor="text1"/>
        </w:rPr>
      </w:pPr>
    </w:p>
    <w:p w:rsidR="00BB0694" w:rsidRPr="003E24C1" w:rsidP="00BB0694" w14:paraId="3A1D2288" w14:textId="1A552613">
      <w:pPr>
        <w:pStyle w:val="BodyText"/>
        <w:rPr>
          <w:b/>
          <w:bCs/>
          <w:i/>
          <w:iCs/>
          <w:color w:val="000000" w:themeColor="text1"/>
        </w:rPr>
      </w:pPr>
      <w:r w:rsidRPr="003E24C1">
        <w:rPr>
          <w:b/>
          <w:bCs/>
          <w:i/>
          <w:iCs/>
          <w:color w:val="000000" w:themeColor="text1"/>
        </w:rPr>
        <w:t xml:space="preserve">NOTE: *Number of respondents </w:t>
      </w:r>
      <w:r w:rsidRPr="003E24C1" w:rsidR="00CA7D15">
        <w:rPr>
          <w:b/>
          <w:bCs/>
          <w:i/>
          <w:iCs/>
          <w:color w:val="000000" w:themeColor="text1"/>
        </w:rPr>
        <w:t xml:space="preserve">72,906 </w:t>
      </w:r>
      <w:r w:rsidRPr="003E24C1">
        <w:rPr>
          <w:b/>
          <w:bCs/>
          <w:i/>
          <w:iCs/>
          <w:color w:val="000000" w:themeColor="text1"/>
        </w:rPr>
        <w:t xml:space="preserve">is </w:t>
      </w:r>
      <w:r w:rsidRPr="003E24C1" w:rsidR="00CA7D15">
        <w:rPr>
          <w:b/>
          <w:bCs/>
          <w:i/>
          <w:iCs/>
          <w:color w:val="000000" w:themeColor="text1"/>
        </w:rPr>
        <w:t xml:space="preserve">sum of COMPONENTS 1, 2 and 3 </w:t>
      </w:r>
      <w:r w:rsidRPr="003E24C1" w:rsidR="002760CD">
        <w:rPr>
          <w:b/>
          <w:bCs/>
          <w:i/>
          <w:iCs/>
          <w:color w:val="000000" w:themeColor="text1"/>
        </w:rPr>
        <w:t xml:space="preserve">are separate programs </w:t>
      </w:r>
      <w:r w:rsidRPr="003E24C1">
        <w:rPr>
          <w:b/>
          <w:bCs/>
          <w:i/>
          <w:iCs/>
          <w:color w:val="000000" w:themeColor="text1"/>
        </w:rPr>
        <w:t>for this data collection.  Respondents are</w:t>
      </w:r>
      <w:r w:rsidRPr="003E24C1" w:rsidR="002760CD">
        <w:rPr>
          <w:b/>
          <w:bCs/>
          <w:i/>
          <w:iCs/>
          <w:color w:val="000000" w:themeColor="text1"/>
        </w:rPr>
        <w:t xml:space="preserve"> unique and</w:t>
      </w:r>
      <w:r w:rsidRPr="003E24C1">
        <w:rPr>
          <w:b/>
          <w:bCs/>
          <w:i/>
          <w:iCs/>
          <w:color w:val="000000" w:themeColor="text1"/>
        </w:rPr>
        <w:t xml:space="preserve"> not double counted.</w:t>
      </w:r>
    </w:p>
    <w:p w:rsidR="00901F82" w:rsidRPr="00BB0694" w14:paraId="4269DDFF" w14:textId="77777777">
      <w:pPr>
        <w:pStyle w:val="BodyText"/>
        <w:rPr>
          <w:b/>
          <w:bCs/>
          <w:color w:val="00B050"/>
        </w:rPr>
      </w:pPr>
    </w:p>
    <w:sectPr>
      <w:footerReference w:type="default" r:id="rId10"/>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075F010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030268FA"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22C7" w14:paraId="73B9AE71" w14:textId="77777777">
      <w:r>
        <w:separator/>
      </w:r>
    </w:p>
  </w:footnote>
  <w:footnote w:type="continuationSeparator" w:id="1">
    <w:p w:rsidR="00A022C7" w14:paraId="2B035C89" w14:textId="77777777">
      <w:r>
        <w:continuationSeparator/>
      </w:r>
    </w:p>
  </w:footnote>
  <w:footnote w:type="continuationNotice" w:id="2">
    <w:p w:rsidR="00A022C7" w14:paraId="4E7ED3C0" w14:textId="77777777"/>
  </w:footnote>
  <w:footnote w:id="3">
    <w:p w:rsidR="00110632" w14:paraId="22169507" w14:textId="24CADA42">
      <w:pPr>
        <w:pStyle w:val="FootnoteText"/>
      </w:pPr>
      <w:r>
        <w:rPr>
          <w:rStyle w:val="FootnoteReference"/>
        </w:rPr>
        <w:footnoteRef/>
      </w:r>
      <w:r w:rsidR="0019734B">
        <w:t xml:space="preserve">SDRP Stage 1 </w:t>
      </w:r>
      <w:r w:rsidRPr="005E73C5" w:rsidR="0019734B">
        <w:t>provide</w:t>
      </w:r>
      <w:r w:rsidR="0019734B">
        <w:t>s</w:t>
      </w:r>
      <w:r w:rsidRPr="005E73C5" w:rsidR="0019734B">
        <w:t xml:space="preserve"> payments for eligible crop, tree, and vine losses calculated using data already on file with USDA from previously issued Federal crop insurance indemnities and Noninsured Crop Disaster Assistance Program (NAP) payments</w:t>
      </w:r>
      <w:r w:rsidR="0019734B">
        <w:t xml:space="preserve">. </w:t>
      </w:r>
      <w:r>
        <w:t>Stage 1 was announced in a final rule published on July 10, 2025 (</w:t>
      </w:r>
      <w:hyperlink r:id="rId1" w:history="1">
        <w:r w:rsidRPr="00C243F3">
          <w:rPr>
            <w:rStyle w:val="Hyperlink"/>
          </w:rPr>
          <w:t>90 FR 30561</w:t>
        </w:r>
      </w:hyperlink>
      <w:r>
        <w:t>)</w:t>
      </w:r>
      <w:r w:rsidR="00BF769D">
        <w:t>,</w:t>
      </w:r>
      <w:r w:rsidR="003010E4">
        <w:t xml:space="preserve"> and </w:t>
      </w:r>
      <w:r w:rsidR="00BF769D">
        <w:t xml:space="preserve">the information collection for Stage 1 was </w:t>
      </w:r>
      <w:r w:rsidR="0019734B">
        <w:t>approved at the time of rule publication.</w:t>
      </w:r>
    </w:p>
  </w:footnote>
  <w:footnote w:id="4">
    <w:p w:rsidR="009A4C17" w:rsidP="009A4C17" w14:paraId="57238FEF" w14:textId="77777777">
      <w:pPr>
        <w:pStyle w:val="FootnoteText"/>
      </w:pPr>
      <w:r>
        <w:rPr>
          <w:rStyle w:val="FootnoteReference"/>
        </w:rPr>
        <w:footnoteRef/>
      </w:r>
      <w:r>
        <w:t>The 2025 crop year is included because a qualifying disaster event occurring in the 2024 calendar year may cause a loss of a crop during the 2025 crop year, based on how “crop year” is defined in the applicable crop insurance policy or NAP provisions.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846FFE"/>
    <w:multiLevelType w:val="hybridMultilevel"/>
    <w:tmpl w:val="86469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EC562D"/>
    <w:multiLevelType w:val="hybridMultilevel"/>
    <w:tmpl w:val="7C7AEDD6"/>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5">
    <w:nsid w:val="3A103D08"/>
    <w:multiLevelType w:val="hybridMultilevel"/>
    <w:tmpl w:val="31C6D2D8"/>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6">
    <w:nsid w:val="3CB7790D"/>
    <w:multiLevelType w:val="hybridMultilevel"/>
    <w:tmpl w:val="7C1E21B4"/>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7">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8">
    <w:nsid w:val="3EE21C62"/>
    <w:multiLevelType w:val="hybridMultilevel"/>
    <w:tmpl w:val="1D34D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8E0B2C"/>
    <w:multiLevelType w:val="hybridMultilevel"/>
    <w:tmpl w:val="AA2CF1CE"/>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0">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1">
    <w:nsid w:val="754C3A0D"/>
    <w:multiLevelType w:val="hybridMultilevel"/>
    <w:tmpl w:val="7D5CA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8068566">
    <w:abstractNumId w:val="1"/>
  </w:num>
  <w:num w:numId="2" w16cid:durableId="908417782">
    <w:abstractNumId w:val="0"/>
  </w:num>
  <w:num w:numId="3" w16cid:durableId="1247307658">
    <w:abstractNumId w:val="10"/>
  </w:num>
  <w:num w:numId="4" w16cid:durableId="573468805">
    <w:abstractNumId w:val="7"/>
  </w:num>
  <w:num w:numId="5" w16cid:durableId="267933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718076">
    <w:abstractNumId w:val="8"/>
  </w:num>
  <w:num w:numId="7" w16cid:durableId="803889020">
    <w:abstractNumId w:val="11"/>
  </w:num>
  <w:num w:numId="8" w16cid:durableId="94133139">
    <w:abstractNumId w:val="9"/>
  </w:num>
  <w:num w:numId="9" w16cid:durableId="992030043">
    <w:abstractNumId w:val="5"/>
  </w:num>
  <w:num w:numId="10" w16cid:durableId="1829983128">
    <w:abstractNumId w:val="4"/>
  </w:num>
  <w:num w:numId="11" w16cid:durableId="113526029">
    <w:abstractNumId w:val="6"/>
  </w:num>
  <w:num w:numId="12" w16cid:durableId="237205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0228C"/>
    <w:rsid w:val="00003386"/>
    <w:rsid w:val="00004790"/>
    <w:rsid w:val="000075D6"/>
    <w:rsid w:val="00012365"/>
    <w:rsid w:val="0001456D"/>
    <w:rsid w:val="0001586A"/>
    <w:rsid w:val="00015AF5"/>
    <w:rsid w:val="000176A2"/>
    <w:rsid w:val="00017F53"/>
    <w:rsid w:val="00020AEB"/>
    <w:rsid w:val="00021037"/>
    <w:rsid w:val="00027AFD"/>
    <w:rsid w:val="00031EB3"/>
    <w:rsid w:val="0003365C"/>
    <w:rsid w:val="0003593A"/>
    <w:rsid w:val="00040E04"/>
    <w:rsid w:val="000426D0"/>
    <w:rsid w:val="00044BA0"/>
    <w:rsid w:val="00044C15"/>
    <w:rsid w:val="00046E86"/>
    <w:rsid w:val="00047B4F"/>
    <w:rsid w:val="00050352"/>
    <w:rsid w:val="00050923"/>
    <w:rsid w:val="000537EC"/>
    <w:rsid w:val="00064B51"/>
    <w:rsid w:val="0006570D"/>
    <w:rsid w:val="00066B8E"/>
    <w:rsid w:val="00070911"/>
    <w:rsid w:val="0007250E"/>
    <w:rsid w:val="000818FA"/>
    <w:rsid w:val="00083190"/>
    <w:rsid w:val="000844C4"/>
    <w:rsid w:val="00084C84"/>
    <w:rsid w:val="00090AEC"/>
    <w:rsid w:val="00090EF3"/>
    <w:rsid w:val="0009171E"/>
    <w:rsid w:val="00092227"/>
    <w:rsid w:val="0009301D"/>
    <w:rsid w:val="000945DA"/>
    <w:rsid w:val="00094B37"/>
    <w:rsid w:val="000968F1"/>
    <w:rsid w:val="00096FD2"/>
    <w:rsid w:val="0009720B"/>
    <w:rsid w:val="000A0268"/>
    <w:rsid w:val="000B3366"/>
    <w:rsid w:val="000B7831"/>
    <w:rsid w:val="000B7F7C"/>
    <w:rsid w:val="000C23AC"/>
    <w:rsid w:val="000C2DE3"/>
    <w:rsid w:val="000C4A6F"/>
    <w:rsid w:val="000C4F39"/>
    <w:rsid w:val="000D040E"/>
    <w:rsid w:val="000D77F4"/>
    <w:rsid w:val="000D7B57"/>
    <w:rsid w:val="000D7C6D"/>
    <w:rsid w:val="000E04DF"/>
    <w:rsid w:val="000E1CB4"/>
    <w:rsid w:val="000E2846"/>
    <w:rsid w:val="000E63AB"/>
    <w:rsid w:val="000F0788"/>
    <w:rsid w:val="000F4C85"/>
    <w:rsid w:val="000F6612"/>
    <w:rsid w:val="000F7852"/>
    <w:rsid w:val="001017B6"/>
    <w:rsid w:val="001032E3"/>
    <w:rsid w:val="0010489F"/>
    <w:rsid w:val="00110632"/>
    <w:rsid w:val="00110A8C"/>
    <w:rsid w:val="001119CD"/>
    <w:rsid w:val="00112EC1"/>
    <w:rsid w:val="00115275"/>
    <w:rsid w:val="00116353"/>
    <w:rsid w:val="001169CC"/>
    <w:rsid w:val="00124FE6"/>
    <w:rsid w:val="00126585"/>
    <w:rsid w:val="00130FBE"/>
    <w:rsid w:val="001337F6"/>
    <w:rsid w:val="00133EA0"/>
    <w:rsid w:val="001351A1"/>
    <w:rsid w:val="0013676E"/>
    <w:rsid w:val="00141A1C"/>
    <w:rsid w:val="00141F05"/>
    <w:rsid w:val="00146F44"/>
    <w:rsid w:val="001471A3"/>
    <w:rsid w:val="0015205D"/>
    <w:rsid w:val="001612CB"/>
    <w:rsid w:val="001619A7"/>
    <w:rsid w:val="00161E07"/>
    <w:rsid w:val="00162E2B"/>
    <w:rsid w:val="00162E4E"/>
    <w:rsid w:val="0016395B"/>
    <w:rsid w:val="00164595"/>
    <w:rsid w:val="00167CE6"/>
    <w:rsid w:val="00171DAE"/>
    <w:rsid w:val="001736E6"/>
    <w:rsid w:val="00176628"/>
    <w:rsid w:val="00185B4E"/>
    <w:rsid w:val="00187A84"/>
    <w:rsid w:val="00192F64"/>
    <w:rsid w:val="001934ED"/>
    <w:rsid w:val="00194687"/>
    <w:rsid w:val="0019624B"/>
    <w:rsid w:val="0019673D"/>
    <w:rsid w:val="00196A77"/>
    <w:rsid w:val="0019734B"/>
    <w:rsid w:val="00197E8D"/>
    <w:rsid w:val="001A0C92"/>
    <w:rsid w:val="001A35A4"/>
    <w:rsid w:val="001A6646"/>
    <w:rsid w:val="001B0ACE"/>
    <w:rsid w:val="001B1553"/>
    <w:rsid w:val="001B2DBA"/>
    <w:rsid w:val="001B326F"/>
    <w:rsid w:val="001B5CC9"/>
    <w:rsid w:val="001C150C"/>
    <w:rsid w:val="001C23FD"/>
    <w:rsid w:val="001C427B"/>
    <w:rsid w:val="001C6EA0"/>
    <w:rsid w:val="001D1EB6"/>
    <w:rsid w:val="001E2969"/>
    <w:rsid w:val="001E47D7"/>
    <w:rsid w:val="001F154B"/>
    <w:rsid w:val="00204D3B"/>
    <w:rsid w:val="00206C1A"/>
    <w:rsid w:val="002128AC"/>
    <w:rsid w:val="00213E0A"/>
    <w:rsid w:val="002171D8"/>
    <w:rsid w:val="0021786E"/>
    <w:rsid w:val="002200B0"/>
    <w:rsid w:val="002209B2"/>
    <w:rsid w:val="0022567C"/>
    <w:rsid w:val="002367BA"/>
    <w:rsid w:val="00241DF7"/>
    <w:rsid w:val="002426FB"/>
    <w:rsid w:val="00247765"/>
    <w:rsid w:val="00253EE5"/>
    <w:rsid w:val="002568E9"/>
    <w:rsid w:val="00257074"/>
    <w:rsid w:val="002576BA"/>
    <w:rsid w:val="0026273E"/>
    <w:rsid w:val="00262A74"/>
    <w:rsid w:val="00263C54"/>
    <w:rsid w:val="002672C9"/>
    <w:rsid w:val="00275913"/>
    <w:rsid w:val="00275C86"/>
    <w:rsid w:val="002760CD"/>
    <w:rsid w:val="00277F5C"/>
    <w:rsid w:val="00281055"/>
    <w:rsid w:val="00283485"/>
    <w:rsid w:val="00283A59"/>
    <w:rsid w:val="00285E19"/>
    <w:rsid w:val="00285FFB"/>
    <w:rsid w:val="00291777"/>
    <w:rsid w:val="00295277"/>
    <w:rsid w:val="00296739"/>
    <w:rsid w:val="002A1AB2"/>
    <w:rsid w:val="002B5E1E"/>
    <w:rsid w:val="002B61CF"/>
    <w:rsid w:val="002B7D9E"/>
    <w:rsid w:val="002C1B70"/>
    <w:rsid w:val="002C1BC1"/>
    <w:rsid w:val="002C5F83"/>
    <w:rsid w:val="002C6548"/>
    <w:rsid w:val="002D0C8F"/>
    <w:rsid w:val="002D2453"/>
    <w:rsid w:val="002D28E0"/>
    <w:rsid w:val="002D30D4"/>
    <w:rsid w:val="002D3385"/>
    <w:rsid w:val="002D384D"/>
    <w:rsid w:val="002D5994"/>
    <w:rsid w:val="002E0CA1"/>
    <w:rsid w:val="002E0E26"/>
    <w:rsid w:val="002E2683"/>
    <w:rsid w:val="002E3307"/>
    <w:rsid w:val="002E3FF8"/>
    <w:rsid w:val="002E5613"/>
    <w:rsid w:val="002E6422"/>
    <w:rsid w:val="002E6830"/>
    <w:rsid w:val="002F194E"/>
    <w:rsid w:val="002F2FE8"/>
    <w:rsid w:val="002F338F"/>
    <w:rsid w:val="00300866"/>
    <w:rsid w:val="003010E4"/>
    <w:rsid w:val="0030113C"/>
    <w:rsid w:val="003013AD"/>
    <w:rsid w:val="00302974"/>
    <w:rsid w:val="00310099"/>
    <w:rsid w:val="003165E5"/>
    <w:rsid w:val="00316684"/>
    <w:rsid w:val="003176D8"/>
    <w:rsid w:val="00321E2D"/>
    <w:rsid w:val="0032567E"/>
    <w:rsid w:val="003343B2"/>
    <w:rsid w:val="00340483"/>
    <w:rsid w:val="00341BDE"/>
    <w:rsid w:val="003426AB"/>
    <w:rsid w:val="003472A6"/>
    <w:rsid w:val="00347ED0"/>
    <w:rsid w:val="00350D62"/>
    <w:rsid w:val="00353F5F"/>
    <w:rsid w:val="003600F4"/>
    <w:rsid w:val="00360C81"/>
    <w:rsid w:val="003612B5"/>
    <w:rsid w:val="00361DCF"/>
    <w:rsid w:val="003627FA"/>
    <w:rsid w:val="003661B5"/>
    <w:rsid w:val="00366225"/>
    <w:rsid w:val="00367816"/>
    <w:rsid w:val="003720E4"/>
    <w:rsid w:val="00377E05"/>
    <w:rsid w:val="00384DCE"/>
    <w:rsid w:val="003869BB"/>
    <w:rsid w:val="00391306"/>
    <w:rsid w:val="00391AF3"/>
    <w:rsid w:val="00395B61"/>
    <w:rsid w:val="003A407E"/>
    <w:rsid w:val="003A4758"/>
    <w:rsid w:val="003A7884"/>
    <w:rsid w:val="003A7B41"/>
    <w:rsid w:val="003A7D25"/>
    <w:rsid w:val="003B2E3A"/>
    <w:rsid w:val="003B4CBC"/>
    <w:rsid w:val="003B669D"/>
    <w:rsid w:val="003C52CE"/>
    <w:rsid w:val="003D1135"/>
    <w:rsid w:val="003E07D8"/>
    <w:rsid w:val="003E24C1"/>
    <w:rsid w:val="003E305D"/>
    <w:rsid w:val="003F02CA"/>
    <w:rsid w:val="003F065F"/>
    <w:rsid w:val="003F1A6E"/>
    <w:rsid w:val="003F27C1"/>
    <w:rsid w:val="003F35FB"/>
    <w:rsid w:val="004055CC"/>
    <w:rsid w:val="004065AA"/>
    <w:rsid w:val="00406ABF"/>
    <w:rsid w:val="004071B2"/>
    <w:rsid w:val="00407AFE"/>
    <w:rsid w:val="00407EC0"/>
    <w:rsid w:val="00421C36"/>
    <w:rsid w:val="00430878"/>
    <w:rsid w:val="00430920"/>
    <w:rsid w:val="0043283D"/>
    <w:rsid w:val="00435BEC"/>
    <w:rsid w:val="004371A1"/>
    <w:rsid w:val="004371CB"/>
    <w:rsid w:val="00443F24"/>
    <w:rsid w:val="0044614A"/>
    <w:rsid w:val="00453C32"/>
    <w:rsid w:val="004565BC"/>
    <w:rsid w:val="0046178B"/>
    <w:rsid w:val="004621C4"/>
    <w:rsid w:val="00463FB4"/>
    <w:rsid w:val="004735FC"/>
    <w:rsid w:val="00476FC9"/>
    <w:rsid w:val="0047788A"/>
    <w:rsid w:val="00481FCF"/>
    <w:rsid w:val="00483276"/>
    <w:rsid w:val="004837A8"/>
    <w:rsid w:val="00487CFB"/>
    <w:rsid w:val="00494872"/>
    <w:rsid w:val="0049743A"/>
    <w:rsid w:val="004A139E"/>
    <w:rsid w:val="004A6C01"/>
    <w:rsid w:val="004B0FA5"/>
    <w:rsid w:val="004B1650"/>
    <w:rsid w:val="004B3E42"/>
    <w:rsid w:val="004B46C7"/>
    <w:rsid w:val="004B71C2"/>
    <w:rsid w:val="004C0108"/>
    <w:rsid w:val="004C4337"/>
    <w:rsid w:val="004C46F7"/>
    <w:rsid w:val="004C590B"/>
    <w:rsid w:val="004D4D0E"/>
    <w:rsid w:val="004D4F73"/>
    <w:rsid w:val="004E05EE"/>
    <w:rsid w:val="004E241B"/>
    <w:rsid w:val="004E32CB"/>
    <w:rsid w:val="004E6D1E"/>
    <w:rsid w:val="004F15C4"/>
    <w:rsid w:val="004F3173"/>
    <w:rsid w:val="00502D3A"/>
    <w:rsid w:val="005044D8"/>
    <w:rsid w:val="005156E6"/>
    <w:rsid w:val="00515C6B"/>
    <w:rsid w:val="005160F3"/>
    <w:rsid w:val="00520088"/>
    <w:rsid w:val="00521884"/>
    <w:rsid w:val="0052199D"/>
    <w:rsid w:val="0052488A"/>
    <w:rsid w:val="00525CA6"/>
    <w:rsid w:val="00532FBE"/>
    <w:rsid w:val="00533276"/>
    <w:rsid w:val="005427FB"/>
    <w:rsid w:val="0054771F"/>
    <w:rsid w:val="00550275"/>
    <w:rsid w:val="005513C4"/>
    <w:rsid w:val="00551A0C"/>
    <w:rsid w:val="00551EAA"/>
    <w:rsid w:val="00555B88"/>
    <w:rsid w:val="005624C8"/>
    <w:rsid w:val="005668BA"/>
    <w:rsid w:val="005757C5"/>
    <w:rsid w:val="00580F11"/>
    <w:rsid w:val="00585EF4"/>
    <w:rsid w:val="005915D1"/>
    <w:rsid w:val="00591D84"/>
    <w:rsid w:val="0059400A"/>
    <w:rsid w:val="0059508B"/>
    <w:rsid w:val="005A1536"/>
    <w:rsid w:val="005A15BA"/>
    <w:rsid w:val="005A1B0E"/>
    <w:rsid w:val="005A244A"/>
    <w:rsid w:val="005B1FBA"/>
    <w:rsid w:val="005B3153"/>
    <w:rsid w:val="005B432E"/>
    <w:rsid w:val="005B65CC"/>
    <w:rsid w:val="005C0B81"/>
    <w:rsid w:val="005C0F63"/>
    <w:rsid w:val="005C3D7A"/>
    <w:rsid w:val="005C58F5"/>
    <w:rsid w:val="005D4754"/>
    <w:rsid w:val="005D4787"/>
    <w:rsid w:val="005D6B7B"/>
    <w:rsid w:val="005D72D0"/>
    <w:rsid w:val="005E08BD"/>
    <w:rsid w:val="005E0912"/>
    <w:rsid w:val="005E2845"/>
    <w:rsid w:val="005E6FE2"/>
    <w:rsid w:val="005E73C5"/>
    <w:rsid w:val="005F34C1"/>
    <w:rsid w:val="005F5000"/>
    <w:rsid w:val="005F51FB"/>
    <w:rsid w:val="00601520"/>
    <w:rsid w:val="0060224C"/>
    <w:rsid w:val="00604189"/>
    <w:rsid w:val="00605C21"/>
    <w:rsid w:val="00610CA6"/>
    <w:rsid w:val="00611044"/>
    <w:rsid w:val="00611B00"/>
    <w:rsid w:val="006127B9"/>
    <w:rsid w:val="00613DB4"/>
    <w:rsid w:val="0061798F"/>
    <w:rsid w:val="00617BD8"/>
    <w:rsid w:val="00622212"/>
    <w:rsid w:val="0062411B"/>
    <w:rsid w:val="00626158"/>
    <w:rsid w:val="00626FC1"/>
    <w:rsid w:val="00630480"/>
    <w:rsid w:val="006324B4"/>
    <w:rsid w:val="0063648A"/>
    <w:rsid w:val="0066362F"/>
    <w:rsid w:val="006650C1"/>
    <w:rsid w:val="00666509"/>
    <w:rsid w:val="00666EAA"/>
    <w:rsid w:val="0067380D"/>
    <w:rsid w:val="006803B2"/>
    <w:rsid w:val="0068098C"/>
    <w:rsid w:val="00682BD1"/>
    <w:rsid w:val="00691AEE"/>
    <w:rsid w:val="006923B7"/>
    <w:rsid w:val="00692EDC"/>
    <w:rsid w:val="006A0E23"/>
    <w:rsid w:val="006A32FC"/>
    <w:rsid w:val="006A4974"/>
    <w:rsid w:val="006A4A89"/>
    <w:rsid w:val="006A57FB"/>
    <w:rsid w:val="006B12B0"/>
    <w:rsid w:val="006B27A0"/>
    <w:rsid w:val="006B3C6A"/>
    <w:rsid w:val="006B7C6C"/>
    <w:rsid w:val="006C2447"/>
    <w:rsid w:val="006C3875"/>
    <w:rsid w:val="006D340E"/>
    <w:rsid w:val="006D425D"/>
    <w:rsid w:val="006D4317"/>
    <w:rsid w:val="006D7D0F"/>
    <w:rsid w:val="006E1989"/>
    <w:rsid w:val="006E3ACA"/>
    <w:rsid w:val="006E5853"/>
    <w:rsid w:val="006F58C5"/>
    <w:rsid w:val="006F5971"/>
    <w:rsid w:val="006F7AD6"/>
    <w:rsid w:val="007000D2"/>
    <w:rsid w:val="007103C6"/>
    <w:rsid w:val="00710B6C"/>
    <w:rsid w:val="00712D69"/>
    <w:rsid w:val="00713B88"/>
    <w:rsid w:val="0071624D"/>
    <w:rsid w:val="00725517"/>
    <w:rsid w:val="0072583F"/>
    <w:rsid w:val="00732846"/>
    <w:rsid w:val="00733945"/>
    <w:rsid w:val="00737611"/>
    <w:rsid w:val="00742B68"/>
    <w:rsid w:val="00751BD3"/>
    <w:rsid w:val="007569D3"/>
    <w:rsid w:val="00756FE2"/>
    <w:rsid w:val="00757863"/>
    <w:rsid w:val="00757D51"/>
    <w:rsid w:val="00760162"/>
    <w:rsid w:val="00761CDE"/>
    <w:rsid w:val="00761F2A"/>
    <w:rsid w:val="0076775A"/>
    <w:rsid w:val="00770A5E"/>
    <w:rsid w:val="00771321"/>
    <w:rsid w:val="00773119"/>
    <w:rsid w:val="00781ECD"/>
    <w:rsid w:val="00784316"/>
    <w:rsid w:val="00784DEB"/>
    <w:rsid w:val="007857BA"/>
    <w:rsid w:val="007945BE"/>
    <w:rsid w:val="007A17A1"/>
    <w:rsid w:val="007A42B3"/>
    <w:rsid w:val="007A6A9C"/>
    <w:rsid w:val="007B06F1"/>
    <w:rsid w:val="007B5925"/>
    <w:rsid w:val="007B793B"/>
    <w:rsid w:val="007C1CC6"/>
    <w:rsid w:val="007C4F6F"/>
    <w:rsid w:val="007D0C87"/>
    <w:rsid w:val="007E3DD3"/>
    <w:rsid w:val="007E588F"/>
    <w:rsid w:val="007F0A41"/>
    <w:rsid w:val="007F7593"/>
    <w:rsid w:val="00800A1A"/>
    <w:rsid w:val="0080181F"/>
    <w:rsid w:val="00801E0E"/>
    <w:rsid w:val="0080500B"/>
    <w:rsid w:val="00805856"/>
    <w:rsid w:val="00810283"/>
    <w:rsid w:val="00810580"/>
    <w:rsid w:val="0081188D"/>
    <w:rsid w:val="008202D5"/>
    <w:rsid w:val="008227B1"/>
    <w:rsid w:val="008260DF"/>
    <w:rsid w:val="00827411"/>
    <w:rsid w:val="0083333E"/>
    <w:rsid w:val="00835EE8"/>
    <w:rsid w:val="00837376"/>
    <w:rsid w:val="00837A54"/>
    <w:rsid w:val="00845214"/>
    <w:rsid w:val="00845EA0"/>
    <w:rsid w:val="00855718"/>
    <w:rsid w:val="00861251"/>
    <w:rsid w:val="00862D83"/>
    <w:rsid w:val="00863CA6"/>
    <w:rsid w:val="00871B12"/>
    <w:rsid w:val="00872AD2"/>
    <w:rsid w:val="00874136"/>
    <w:rsid w:val="0087545E"/>
    <w:rsid w:val="0087617F"/>
    <w:rsid w:val="00877814"/>
    <w:rsid w:val="0088025A"/>
    <w:rsid w:val="00882165"/>
    <w:rsid w:val="00883A5F"/>
    <w:rsid w:val="0088747B"/>
    <w:rsid w:val="00887802"/>
    <w:rsid w:val="00887FF3"/>
    <w:rsid w:val="0089127D"/>
    <w:rsid w:val="00895457"/>
    <w:rsid w:val="008A2203"/>
    <w:rsid w:val="008A2205"/>
    <w:rsid w:val="008A3CE8"/>
    <w:rsid w:val="008A4C4A"/>
    <w:rsid w:val="008A5B9D"/>
    <w:rsid w:val="008B007F"/>
    <w:rsid w:val="008B22E5"/>
    <w:rsid w:val="008B2722"/>
    <w:rsid w:val="008B5087"/>
    <w:rsid w:val="008B51DF"/>
    <w:rsid w:val="008B7133"/>
    <w:rsid w:val="008B71F4"/>
    <w:rsid w:val="008C0173"/>
    <w:rsid w:val="008C0460"/>
    <w:rsid w:val="008C0604"/>
    <w:rsid w:val="008C07A5"/>
    <w:rsid w:val="008C0972"/>
    <w:rsid w:val="008C2605"/>
    <w:rsid w:val="008C3E44"/>
    <w:rsid w:val="008C464C"/>
    <w:rsid w:val="008C4BB6"/>
    <w:rsid w:val="008D0D70"/>
    <w:rsid w:val="008D0D71"/>
    <w:rsid w:val="008D33DA"/>
    <w:rsid w:val="008D64F3"/>
    <w:rsid w:val="008E114B"/>
    <w:rsid w:val="008E3E4C"/>
    <w:rsid w:val="008E5133"/>
    <w:rsid w:val="008F1C36"/>
    <w:rsid w:val="008F454D"/>
    <w:rsid w:val="00900AD1"/>
    <w:rsid w:val="00901F82"/>
    <w:rsid w:val="00902A81"/>
    <w:rsid w:val="009047EC"/>
    <w:rsid w:val="0091010B"/>
    <w:rsid w:val="00910693"/>
    <w:rsid w:val="009220C8"/>
    <w:rsid w:val="0092290E"/>
    <w:rsid w:val="009230F1"/>
    <w:rsid w:val="00924541"/>
    <w:rsid w:val="00924E6A"/>
    <w:rsid w:val="009269E2"/>
    <w:rsid w:val="00927711"/>
    <w:rsid w:val="009308A8"/>
    <w:rsid w:val="0093424D"/>
    <w:rsid w:val="0093449E"/>
    <w:rsid w:val="00935CF5"/>
    <w:rsid w:val="00937A53"/>
    <w:rsid w:val="00940045"/>
    <w:rsid w:val="00943DE6"/>
    <w:rsid w:val="00944655"/>
    <w:rsid w:val="009465EB"/>
    <w:rsid w:val="00946E7B"/>
    <w:rsid w:val="009507A1"/>
    <w:rsid w:val="00952723"/>
    <w:rsid w:val="009558D7"/>
    <w:rsid w:val="00956742"/>
    <w:rsid w:val="009610F5"/>
    <w:rsid w:val="00963228"/>
    <w:rsid w:val="0096644A"/>
    <w:rsid w:val="009775CE"/>
    <w:rsid w:val="00981345"/>
    <w:rsid w:val="009840E2"/>
    <w:rsid w:val="009848E4"/>
    <w:rsid w:val="00985172"/>
    <w:rsid w:val="0098598A"/>
    <w:rsid w:val="00986CAF"/>
    <w:rsid w:val="00990049"/>
    <w:rsid w:val="009909DC"/>
    <w:rsid w:val="00990CFD"/>
    <w:rsid w:val="009976F7"/>
    <w:rsid w:val="009A2221"/>
    <w:rsid w:val="009A331F"/>
    <w:rsid w:val="009A3C37"/>
    <w:rsid w:val="009A4C17"/>
    <w:rsid w:val="009B3838"/>
    <w:rsid w:val="009B5417"/>
    <w:rsid w:val="009C2156"/>
    <w:rsid w:val="009C3472"/>
    <w:rsid w:val="009C5653"/>
    <w:rsid w:val="009D082E"/>
    <w:rsid w:val="009E00F3"/>
    <w:rsid w:val="009E0990"/>
    <w:rsid w:val="009E340D"/>
    <w:rsid w:val="009E4364"/>
    <w:rsid w:val="009E4C43"/>
    <w:rsid w:val="009E4EAF"/>
    <w:rsid w:val="009F2B9D"/>
    <w:rsid w:val="009F3A25"/>
    <w:rsid w:val="009F5E7B"/>
    <w:rsid w:val="009F6632"/>
    <w:rsid w:val="009F725F"/>
    <w:rsid w:val="00A022C7"/>
    <w:rsid w:val="00A029C4"/>
    <w:rsid w:val="00A0601F"/>
    <w:rsid w:val="00A06AF6"/>
    <w:rsid w:val="00A071D1"/>
    <w:rsid w:val="00A075C6"/>
    <w:rsid w:val="00A152DB"/>
    <w:rsid w:val="00A16781"/>
    <w:rsid w:val="00A1794D"/>
    <w:rsid w:val="00A232A6"/>
    <w:rsid w:val="00A35666"/>
    <w:rsid w:val="00A4256C"/>
    <w:rsid w:val="00A51426"/>
    <w:rsid w:val="00A55964"/>
    <w:rsid w:val="00A57326"/>
    <w:rsid w:val="00A608E8"/>
    <w:rsid w:val="00A63601"/>
    <w:rsid w:val="00A748B3"/>
    <w:rsid w:val="00A74E33"/>
    <w:rsid w:val="00A815A8"/>
    <w:rsid w:val="00A832AA"/>
    <w:rsid w:val="00A874E9"/>
    <w:rsid w:val="00A87D6C"/>
    <w:rsid w:val="00A92BCB"/>
    <w:rsid w:val="00A951FA"/>
    <w:rsid w:val="00A969E1"/>
    <w:rsid w:val="00AA0CA7"/>
    <w:rsid w:val="00AA0F52"/>
    <w:rsid w:val="00AA1C74"/>
    <w:rsid w:val="00AA6D11"/>
    <w:rsid w:val="00AB0566"/>
    <w:rsid w:val="00AB1407"/>
    <w:rsid w:val="00AB14F0"/>
    <w:rsid w:val="00AB19DB"/>
    <w:rsid w:val="00AB3302"/>
    <w:rsid w:val="00AB46BE"/>
    <w:rsid w:val="00AB5492"/>
    <w:rsid w:val="00AB7052"/>
    <w:rsid w:val="00AC2A58"/>
    <w:rsid w:val="00AC40C3"/>
    <w:rsid w:val="00AC4B4A"/>
    <w:rsid w:val="00AC4BD8"/>
    <w:rsid w:val="00AD3044"/>
    <w:rsid w:val="00AD66F7"/>
    <w:rsid w:val="00AE0D28"/>
    <w:rsid w:val="00AE4A5E"/>
    <w:rsid w:val="00AE552C"/>
    <w:rsid w:val="00AF0577"/>
    <w:rsid w:val="00AF5E8C"/>
    <w:rsid w:val="00B0300C"/>
    <w:rsid w:val="00B07303"/>
    <w:rsid w:val="00B079F8"/>
    <w:rsid w:val="00B10200"/>
    <w:rsid w:val="00B13891"/>
    <w:rsid w:val="00B149D3"/>
    <w:rsid w:val="00B14D42"/>
    <w:rsid w:val="00B175DC"/>
    <w:rsid w:val="00B204C2"/>
    <w:rsid w:val="00B24A7B"/>
    <w:rsid w:val="00B25183"/>
    <w:rsid w:val="00B30D31"/>
    <w:rsid w:val="00B33CD1"/>
    <w:rsid w:val="00B36E16"/>
    <w:rsid w:val="00B4036D"/>
    <w:rsid w:val="00B408A2"/>
    <w:rsid w:val="00B41DEF"/>
    <w:rsid w:val="00B4348D"/>
    <w:rsid w:val="00B434F4"/>
    <w:rsid w:val="00B45427"/>
    <w:rsid w:val="00B46EAD"/>
    <w:rsid w:val="00B54688"/>
    <w:rsid w:val="00B54D7C"/>
    <w:rsid w:val="00B6081E"/>
    <w:rsid w:val="00B72CE2"/>
    <w:rsid w:val="00B73DB9"/>
    <w:rsid w:val="00B769DD"/>
    <w:rsid w:val="00B76F5A"/>
    <w:rsid w:val="00B84D27"/>
    <w:rsid w:val="00B94077"/>
    <w:rsid w:val="00B9432B"/>
    <w:rsid w:val="00B954CD"/>
    <w:rsid w:val="00B97A99"/>
    <w:rsid w:val="00BA40B0"/>
    <w:rsid w:val="00BA643B"/>
    <w:rsid w:val="00BB0694"/>
    <w:rsid w:val="00BB1129"/>
    <w:rsid w:val="00BC21B7"/>
    <w:rsid w:val="00BC60FF"/>
    <w:rsid w:val="00BC6220"/>
    <w:rsid w:val="00BC6C90"/>
    <w:rsid w:val="00BC7D88"/>
    <w:rsid w:val="00BD0D20"/>
    <w:rsid w:val="00BD66C7"/>
    <w:rsid w:val="00BD7F6A"/>
    <w:rsid w:val="00BE0172"/>
    <w:rsid w:val="00BE0FFB"/>
    <w:rsid w:val="00BE2928"/>
    <w:rsid w:val="00BE2E4F"/>
    <w:rsid w:val="00BE56BF"/>
    <w:rsid w:val="00BE729F"/>
    <w:rsid w:val="00BF0745"/>
    <w:rsid w:val="00BF17E9"/>
    <w:rsid w:val="00BF4C48"/>
    <w:rsid w:val="00BF5C7D"/>
    <w:rsid w:val="00BF769D"/>
    <w:rsid w:val="00BF7F03"/>
    <w:rsid w:val="00C015FD"/>
    <w:rsid w:val="00C029F9"/>
    <w:rsid w:val="00C0472E"/>
    <w:rsid w:val="00C057E0"/>
    <w:rsid w:val="00C069EA"/>
    <w:rsid w:val="00C10646"/>
    <w:rsid w:val="00C13D46"/>
    <w:rsid w:val="00C16694"/>
    <w:rsid w:val="00C16EE7"/>
    <w:rsid w:val="00C20B03"/>
    <w:rsid w:val="00C21002"/>
    <w:rsid w:val="00C243F3"/>
    <w:rsid w:val="00C3138F"/>
    <w:rsid w:val="00C3277D"/>
    <w:rsid w:val="00C3516D"/>
    <w:rsid w:val="00C35587"/>
    <w:rsid w:val="00C43FB1"/>
    <w:rsid w:val="00C45DDC"/>
    <w:rsid w:val="00C45E77"/>
    <w:rsid w:val="00C46663"/>
    <w:rsid w:val="00C62CA6"/>
    <w:rsid w:val="00C651F2"/>
    <w:rsid w:val="00C663BD"/>
    <w:rsid w:val="00C66ED3"/>
    <w:rsid w:val="00C72ACE"/>
    <w:rsid w:val="00C7728A"/>
    <w:rsid w:val="00C816B0"/>
    <w:rsid w:val="00C83581"/>
    <w:rsid w:val="00C87059"/>
    <w:rsid w:val="00C92428"/>
    <w:rsid w:val="00C930BA"/>
    <w:rsid w:val="00C937E6"/>
    <w:rsid w:val="00C93CDB"/>
    <w:rsid w:val="00C95135"/>
    <w:rsid w:val="00C951DE"/>
    <w:rsid w:val="00C9724E"/>
    <w:rsid w:val="00C97302"/>
    <w:rsid w:val="00CA0564"/>
    <w:rsid w:val="00CA1A9E"/>
    <w:rsid w:val="00CA2C66"/>
    <w:rsid w:val="00CA5B60"/>
    <w:rsid w:val="00CA65C8"/>
    <w:rsid w:val="00CA68A5"/>
    <w:rsid w:val="00CA7D15"/>
    <w:rsid w:val="00CB0543"/>
    <w:rsid w:val="00CB5692"/>
    <w:rsid w:val="00CB5B80"/>
    <w:rsid w:val="00CC0284"/>
    <w:rsid w:val="00CC2675"/>
    <w:rsid w:val="00CC2F38"/>
    <w:rsid w:val="00CC4EE0"/>
    <w:rsid w:val="00CC617D"/>
    <w:rsid w:val="00CD0C93"/>
    <w:rsid w:val="00CE1FEC"/>
    <w:rsid w:val="00CE2215"/>
    <w:rsid w:val="00CE54D7"/>
    <w:rsid w:val="00CE5F43"/>
    <w:rsid w:val="00CF05DA"/>
    <w:rsid w:val="00CF2BCA"/>
    <w:rsid w:val="00CF56FF"/>
    <w:rsid w:val="00CF720A"/>
    <w:rsid w:val="00D001C8"/>
    <w:rsid w:val="00D11EEE"/>
    <w:rsid w:val="00D149EF"/>
    <w:rsid w:val="00D173C6"/>
    <w:rsid w:val="00D20435"/>
    <w:rsid w:val="00D25B79"/>
    <w:rsid w:val="00D26EB6"/>
    <w:rsid w:val="00D26F3D"/>
    <w:rsid w:val="00D334A3"/>
    <w:rsid w:val="00D33716"/>
    <w:rsid w:val="00D34087"/>
    <w:rsid w:val="00D36EDD"/>
    <w:rsid w:val="00D45BA1"/>
    <w:rsid w:val="00D46F97"/>
    <w:rsid w:val="00D5030C"/>
    <w:rsid w:val="00D51F83"/>
    <w:rsid w:val="00D52C7C"/>
    <w:rsid w:val="00D55ED1"/>
    <w:rsid w:val="00D648FC"/>
    <w:rsid w:val="00D64915"/>
    <w:rsid w:val="00D65EE4"/>
    <w:rsid w:val="00D735B0"/>
    <w:rsid w:val="00D74397"/>
    <w:rsid w:val="00D7499B"/>
    <w:rsid w:val="00D7742E"/>
    <w:rsid w:val="00D810F0"/>
    <w:rsid w:val="00D8246F"/>
    <w:rsid w:val="00D84FD3"/>
    <w:rsid w:val="00D85552"/>
    <w:rsid w:val="00D85B1A"/>
    <w:rsid w:val="00D85DB4"/>
    <w:rsid w:val="00D86EE9"/>
    <w:rsid w:val="00D90052"/>
    <w:rsid w:val="00DA358C"/>
    <w:rsid w:val="00DA4917"/>
    <w:rsid w:val="00DB1626"/>
    <w:rsid w:val="00DB1EE5"/>
    <w:rsid w:val="00DB5EE3"/>
    <w:rsid w:val="00DB7A25"/>
    <w:rsid w:val="00DC04B3"/>
    <w:rsid w:val="00DC163F"/>
    <w:rsid w:val="00DC3B95"/>
    <w:rsid w:val="00DC3DE6"/>
    <w:rsid w:val="00DC3F5D"/>
    <w:rsid w:val="00DC71F4"/>
    <w:rsid w:val="00DD1B2B"/>
    <w:rsid w:val="00DD2355"/>
    <w:rsid w:val="00DD35C4"/>
    <w:rsid w:val="00DD3D91"/>
    <w:rsid w:val="00DE38A7"/>
    <w:rsid w:val="00DE3D2C"/>
    <w:rsid w:val="00DE6431"/>
    <w:rsid w:val="00DF286F"/>
    <w:rsid w:val="00DF395B"/>
    <w:rsid w:val="00DF50F6"/>
    <w:rsid w:val="00DF5756"/>
    <w:rsid w:val="00DF759C"/>
    <w:rsid w:val="00E002CA"/>
    <w:rsid w:val="00E0362B"/>
    <w:rsid w:val="00E03B3E"/>
    <w:rsid w:val="00E12315"/>
    <w:rsid w:val="00E12D4A"/>
    <w:rsid w:val="00E12FED"/>
    <w:rsid w:val="00E16246"/>
    <w:rsid w:val="00E1692A"/>
    <w:rsid w:val="00E2306E"/>
    <w:rsid w:val="00E254C1"/>
    <w:rsid w:val="00E25D98"/>
    <w:rsid w:val="00E27295"/>
    <w:rsid w:val="00E279BA"/>
    <w:rsid w:val="00E32046"/>
    <w:rsid w:val="00E364E1"/>
    <w:rsid w:val="00E40782"/>
    <w:rsid w:val="00E42120"/>
    <w:rsid w:val="00E4336B"/>
    <w:rsid w:val="00E43E57"/>
    <w:rsid w:val="00E46138"/>
    <w:rsid w:val="00E5070C"/>
    <w:rsid w:val="00E527E5"/>
    <w:rsid w:val="00E54D0A"/>
    <w:rsid w:val="00E567E6"/>
    <w:rsid w:val="00E605F6"/>
    <w:rsid w:val="00E6464A"/>
    <w:rsid w:val="00E64E90"/>
    <w:rsid w:val="00E652C3"/>
    <w:rsid w:val="00E6649C"/>
    <w:rsid w:val="00E6665C"/>
    <w:rsid w:val="00E66E28"/>
    <w:rsid w:val="00E72102"/>
    <w:rsid w:val="00E72B59"/>
    <w:rsid w:val="00E7435F"/>
    <w:rsid w:val="00E74E65"/>
    <w:rsid w:val="00E752C8"/>
    <w:rsid w:val="00E85903"/>
    <w:rsid w:val="00E86837"/>
    <w:rsid w:val="00E906DE"/>
    <w:rsid w:val="00E90D4E"/>
    <w:rsid w:val="00E92139"/>
    <w:rsid w:val="00E92942"/>
    <w:rsid w:val="00E94754"/>
    <w:rsid w:val="00E95DB0"/>
    <w:rsid w:val="00E960C3"/>
    <w:rsid w:val="00E97F8D"/>
    <w:rsid w:val="00EA426D"/>
    <w:rsid w:val="00EA444A"/>
    <w:rsid w:val="00EA54A0"/>
    <w:rsid w:val="00EA5D4A"/>
    <w:rsid w:val="00EB06DD"/>
    <w:rsid w:val="00EB4974"/>
    <w:rsid w:val="00EB4BD7"/>
    <w:rsid w:val="00EB514B"/>
    <w:rsid w:val="00EC176C"/>
    <w:rsid w:val="00EC7E1E"/>
    <w:rsid w:val="00ED363F"/>
    <w:rsid w:val="00ED3E95"/>
    <w:rsid w:val="00ED46F1"/>
    <w:rsid w:val="00ED488E"/>
    <w:rsid w:val="00ED7747"/>
    <w:rsid w:val="00EE2046"/>
    <w:rsid w:val="00EE3E1C"/>
    <w:rsid w:val="00EE5F0B"/>
    <w:rsid w:val="00EE662D"/>
    <w:rsid w:val="00EF1D6B"/>
    <w:rsid w:val="00EF2701"/>
    <w:rsid w:val="00EF3065"/>
    <w:rsid w:val="00EF44A2"/>
    <w:rsid w:val="00EF6228"/>
    <w:rsid w:val="00F002D5"/>
    <w:rsid w:val="00F003A9"/>
    <w:rsid w:val="00F05B06"/>
    <w:rsid w:val="00F05D68"/>
    <w:rsid w:val="00F062C0"/>
    <w:rsid w:val="00F07541"/>
    <w:rsid w:val="00F07B9F"/>
    <w:rsid w:val="00F10D48"/>
    <w:rsid w:val="00F13DB7"/>
    <w:rsid w:val="00F14CA6"/>
    <w:rsid w:val="00F152B0"/>
    <w:rsid w:val="00F216B6"/>
    <w:rsid w:val="00F2653A"/>
    <w:rsid w:val="00F310C0"/>
    <w:rsid w:val="00F34618"/>
    <w:rsid w:val="00F34BD5"/>
    <w:rsid w:val="00F35E3C"/>
    <w:rsid w:val="00F36A3E"/>
    <w:rsid w:val="00F40E21"/>
    <w:rsid w:val="00F44C7A"/>
    <w:rsid w:val="00F47769"/>
    <w:rsid w:val="00F479B0"/>
    <w:rsid w:val="00F53FBF"/>
    <w:rsid w:val="00F60275"/>
    <w:rsid w:val="00F613DB"/>
    <w:rsid w:val="00F666A2"/>
    <w:rsid w:val="00F67AEF"/>
    <w:rsid w:val="00F67FE8"/>
    <w:rsid w:val="00F7064D"/>
    <w:rsid w:val="00F73E52"/>
    <w:rsid w:val="00F767AF"/>
    <w:rsid w:val="00F81114"/>
    <w:rsid w:val="00F84F1A"/>
    <w:rsid w:val="00F86161"/>
    <w:rsid w:val="00F91009"/>
    <w:rsid w:val="00F926BB"/>
    <w:rsid w:val="00F95F67"/>
    <w:rsid w:val="00F977BD"/>
    <w:rsid w:val="00FA006A"/>
    <w:rsid w:val="00FA2C58"/>
    <w:rsid w:val="00FA2E69"/>
    <w:rsid w:val="00FA7621"/>
    <w:rsid w:val="00FB0255"/>
    <w:rsid w:val="00FB0733"/>
    <w:rsid w:val="00FC0161"/>
    <w:rsid w:val="00FC3B36"/>
    <w:rsid w:val="00FC4C5C"/>
    <w:rsid w:val="00FC6518"/>
    <w:rsid w:val="00FC7040"/>
    <w:rsid w:val="00FD4243"/>
    <w:rsid w:val="00FD57D7"/>
    <w:rsid w:val="00FD7CBB"/>
    <w:rsid w:val="00FE0A83"/>
    <w:rsid w:val="00FE2071"/>
    <w:rsid w:val="00FE43B7"/>
    <w:rsid w:val="00FE7E05"/>
    <w:rsid w:val="00FF1B17"/>
    <w:rsid w:val="00FF248E"/>
    <w:rsid w:val="00FF4862"/>
    <w:rsid w:val="015661A0"/>
    <w:rsid w:val="019643E2"/>
    <w:rsid w:val="0226E1DE"/>
    <w:rsid w:val="02C4EC3F"/>
    <w:rsid w:val="0357DDE3"/>
    <w:rsid w:val="0483A794"/>
    <w:rsid w:val="05BF6DFF"/>
    <w:rsid w:val="088CB9EC"/>
    <w:rsid w:val="098E1186"/>
    <w:rsid w:val="0BC3A3FC"/>
    <w:rsid w:val="0D991427"/>
    <w:rsid w:val="0F0855B3"/>
    <w:rsid w:val="109AD741"/>
    <w:rsid w:val="12BFF5FA"/>
    <w:rsid w:val="1320C76C"/>
    <w:rsid w:val="13FD505B"/>
    <w:rsid w:val="1483CE39"/>
    <w:rsid w:val="178C6234"/>
    <w:rsid w:val="1854A390"/>
    <w:rsid w:val="1890B1E1"/>
    <w:rsid w:val="1B0A1A52"/>
    <w:rsid w:val="1BFFE47D"/>
    <w:rsid w:val="1C99F067"/>
    <w:rsid w:val="1D9E19FD"/>
    <w:rsid w:val="1E2DA16C"/>
    <w:rsid w:val="215E8D85"/>
    <w:rsid w:val="216BCA4D"/>
    <w:rsid w:val="2223973C"/>
    <w:rsid w:val="244A1F2A"/>
    <w:rsid w:val="26568205"/>
    <w:rsid w:val="26C3B9C1"/>
    <w:rsid w:val="2A764626"/>
    <w:rsid w:val="2ABCBB8A"/>
    <w:rsid w:val="30F5B605"/>
    <w:rsid w:val="34FF87DC"/>
    <w:rsid w:val="3D687B62"/>
    <w:rsid w:val="3D9F5219"/>
    <w:rsid w:val="3DE6A6C8"/>
    <w:rsid w:val="3E3DA2CB"/>
    <w:rsid w:val="4114CEDD"/>
    <w:rsid w:val="41C50B7E"/>
    <w:rsid w:val="429C3D73"/>
    <w:rsid w:val="42BB659A"/>
    <w:rsid w:val="43E4E793"/>
    <w:rsid w:val="462D4D1A"/>
    <w:rsid w:val="46E3A289"/>
    <w:rsid w:val="48EE20E8"/>
    <w:rsid w:val="4AC8A38E"/>
    <w:rsid w:val="4ADDB55C"/>
    <w:rsid w:val="4CB1F891"/>
    <w:rsid w:val="4D0E0941"/>
    <w:rsid w:val="4F467EDF"/>
    <w:rsid w:val="5036C336"/>
    <w:rsid w:val="51FC7DF1"/>
    <w:rsid w:val="53733D62"/>
    <w:rsid w:val="54C2768D"/>
    <w:rsid w:val="560B69FD"/>
    <w:rsid w:val="56786060"/>
    <w:rsid w:val="5832AC49"/>
    <w:rsid w:val="596B655D"/>
    <w:rsid w:val="5D90B2CC"/>
    <w:rsid w:val="5DAC5B4C"/>
    <w:rsid w:val="5EA073EA"/>
    <w:rsid w:val="5EB3C6D7"/>
    <w:rsid w:val="5F3282F0"/>
    <w:rsid w:val="6298A955"/>
    <w:rsid w:val="64382702"/>
    <w:rsid w:val="652F91BC"/>
    <w:rsid w:val="65AC110A"/>
    <w:rsid w:val="66490327"/>
    <w:rsid w:val="671B2258"/>
    <w:rsid w:val="6850FF79"/>
    <w:rsid w:val="6A426A95"/>
    <w:rsid w:val="6EB7B5F6"/>
    <w:rsid w:val="702D32CA"/>
    <w:rsid w:val="71E43E70"/>
    <w:rsid w:val="726182D5"/>
    <w:rsid w:val="75165A24"/>
    <w:rsid w:val="76BAE7FF"/>
    <w:rsid w:val="7810F061"/>
    <w:rsid w:val="78285372"/>
    <w:rsid w:val="79D85AC8"/>
    <w:rsid w:val="7A099AE0"/>
    <w:rsid w:val="7AEBA981"/>
    <w:rsid w:val="7B5FF434"/>
    <w:rsid w:val="7B71F859"/>
    <w:rsid w:val="7B77831D"/>
    <w:rsid w:val="7B9BDB1F"/>
    <w:rsid w:val="7DEC7462"/>
    <w:rsid w:val="7F4C6058"/>
    <w:rsid w:val="7F98BD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B777EE"/>
  <w15:docId w15:val="{A66E9048-FAD5-4524-8E2C-DFB880A5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Header">
    <w:name w:val="header"/>
    <w:basedOn w:val="Normal"/>
    <w:link w:val="HeaderChar"/>
    <w:uiPriority w:val="99"/>
    <w:semiHidden/>
    <w:unhideWhenUsed/>
    <w:rsid w:val="0009301D"/>
    <w:pPr>
      <w:tabs>
        <w:tab w:val="center" w:pos="4680"/>
        <w:tab w:val="right" w:pos="9360"/>
      </w:tabs>
    </w:pPr>
  </w:style>
  <w:style w:type="character" w:customStyle="1" w:styleId="HeaderChar">
    <w:name w:val="Header Char"/>
    <w:basedOn w:val="DefaultParagraphFont"/>
    <w:link w:val="Header"/>
    <w:uiPriority w:val="99"/>
    <w:semiHidden/>
    <w:rsid w:val="0009301D"/>
    <w:rPr>
      <w:rFonts w:ascii="Times New Roman" w:eastAsia="Times New Roman" w:hAnsi="Times New Roman" w:cs="Times New Roman"/>
    </w:rPr>
  </w:style>
  <w:style w:type="paragraph" w:styleId="Footer">
    <w:name w:val="footer"/>
    <w:basedOn w:val="Normal"/>
    <w:link w:val="FooterChar"/>
    <w:uiPriority w:val="99"/>
    <w:semiHidden/>
    <w:unhideWhenUsed/>
    <w:rsid w:val="0009301D"/>
    <w:pPr>
      <w:tabs>
        <w:tab w:val="center" w:pos="4680"/>
        <w:tab w:val="right" w:pos="9360"/>
      </w:tabs>
    </w:pPr>
  </w:style>
  <w:style w:type="character" w:customStyle="1" w:styleId="FooterChar">
    <w:name w:val="Footer Char"/>
    <w:basedOn w:val="DefaultParagraphFont"/>
    <w:link w:val="Footer"/>
    <w:uiPriority w:val="99"/>
    <w:semiHidden/>
    <w:rsid w:val="0009301D"/>
    <w:rPr>
      <w:rFonts w:ascii="Times New Roman" w:eastAsia="Times New Roman" w:hAnsi="Times New Roman" w:cs="Times New Roman"/>
    </w:rPr>
  </w:style>
  <w:style w:type="character" w:customStyle="1" w:styleId="normaltextrun">
    <w:name w:val="normaltextrun"/>
    <w:basedOn w:val="DefaultParagraphFont"/>
    <w:rsid w:val="00781ECD"/>
  </w:style>
  <w:style w:type="character" w:customStyle="1" w:styleId="eop">
    <w:name w:val="eop"/>
    <w:basedOn w:val="DefaultParagraphFont"/>
    <w:rsid w:val="00781ECD"/>
  </w:style>
  <w:style w:type="character" w:styleId="FootnoteReference">
    <w:name w:val="footnote reference"/>
    <w:basedOn w:val="DefaultParagraphFont"/>
    <w:uiPriority w:val="99"/>
    <w:unhideWhenUsed/>
    <w:rsid w:val="00DF5756"/>
    <w:rPr>
      <w:vertAlign w:val="superscript"/>
    </w:rPr>
  </w:style>
  <w:style w:type="paragraph" w:styleId="FootnoteText">
    <w:name w:val="footnote text"/>
    <w:basedOn w:val="Normal"/>
    <w:link w:val="FootnoteTextChar"/>
    <w:uiPriority w:val="99"/>
    <w:unhideWhenUsed/>
    <w:rsid w:val="00DF5756"/>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sid w:val="00DF5756"/>
    <w:rPr>
      <w:rFonts w:ascii="Times New Roman" w:hAnsi="Times New Roman"/>
      <w:sz w:val="20"/>
      <w:szCs w:val="20"/>
    </w:rPr>
  </w:style>
  <w:style w:type="paragraph" w:styleId="Revision">
    <w:name w:val="Revision"/>
    <w:hidden/>
    <w:uiPriority w:val="99"/>
    <w:semiHidden/>
    <w:rsid w:val="000F661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3343B2"/>
    <w:rPr>
      <w:sz w:val="20"/>
      <w:szCs w:val="20"/>
    </w:rPr>
  </w:style>
  <w:style w:type="character" w:customStyle="1" w:styleId="EndnoteTextChar">
    <w:name w:val="Endnote Text Char"/>
    <w:basedOn w:val="DefaultParagraphFont"/>
    <w:link w:val="EndnoteText"/>
    <w:uiPriority w:val="99"/>
    <w:semiHidden/>
    <w:rsid w:val="003343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4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rmers.gov/working-with-us/signing-and-sharing-document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07-10/pdf/2025-1280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D636169BC4949830EC19200161F76" ma:contentTypeVersion="16" ma:contentTypeDescription="Create a new document." ma:contentTypeScope="" ma:versionID="bb841bdf2d3bb2e86d022f8f8fefc119">
  <xsd:schema xmlns:xsd="http://www.w3.org/2001/XMLSchema" xmlns:xs="http://www.w3.org/2001/XMLSchema" xmlns:p="http://schemas.microsoft.com/office/2006/metadata/properties" xmlns:ns1="http://schemas.microsoft.com/sharepoint/v3" xmlns:ns3="2e45aec4-043f-4308-ad34-60a9bf4b068e" xmlns:ns4="b2c5ab5c-a418-42bf-aa93-afce4903dab0" targetNamespace="http://schemas.microsoft.com/office/2006/metadata/properties" ma:root="true" ma:fieldsID="a593e249785df2b8c3f540619a48a65d" ns1:_="" ns3:_="" ns4:_="">
    <xsd:import namespace="http://schemas.microsoft.com/sharepoint/v3"/>
    <xsd:import namespace="2e45aec4-043f-4308-ad34-60a9bf4b068e"/>
    <xsd:import namespace="b2c5ab5c-a418-42bf-aa93-afce4903d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aec4-043f-4308-ad34-60a9bf4b0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ab5c-a418-42bf-aa93-afce4903d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2c5ab5c-a418-42bf-aa93-afce4903dab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2.xml><?xml version="1.0" encoding="utf-8"?>
<ds:datastoreItem xmlns:ds="http://schemas.openxmlformats.org/officeDocument/2006/customXml" ds:itemID="{58101CFC-7762-41B5-BA9B-2CAB72197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5aec4-043f-4308-ad34-60a9bf4b068e"/>
    <ds:schemaRef ds:uri="b2c5ab5c-a418-42bf-aa93-afce4903d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EA8EB-93DD-47B5-ADBB-5D24FFA82EEB}">
  <ds:schemaRefs>
    <ds:schemaRef ds:uri="http://schemas.openxmlformats.org/officeDocument/2006/bibliography"/>
  </ds:schemaRefs>
</ds:datastoreItem>
</file>

<file path=customXml/itemProps4.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 ds:uri="http://schemas.microsoft.com/sharepoint/v3"/>
    <ds:schemaRef ds:uri="b2c5ab5c-a418-42bf-aa93-afce4903dab0"/>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Ragland-Greene, Rachelle - OCIO-OCIO, DC</cp:lastModifiedBy>
  <cp:revision>4</cp:revision>
  <dcterms:created xsi:type="dcterms:W3CDTF">2025-11-13T16:46:00Z</dcterms:created>
  <dcterms:modified xsi:type="dcterms:W3CDTF">2025-11-13T17:30:00Z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0x010100DABD636169BC4949830EC19200161F76</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y fmtid="{D5CDD505-2E9C-101B-9397-08002B2CF9AE}" pid="6" name="MediaServiceImageTags">
    <vt:lpwstr/>
  </property>
</Properties>
</file>