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0330" w:rsidRPr="0014422F" w:rsidP="00340330" w14:paraId="10D05519" w14:textId="77777777">
      <w:pPr>
        <w:jc w:val="center"/>
        <w:rPr>
          <w:sz w:val="22"/>
          <w:szCs w:val="22"/>
        </w:rPr>
      </w:pPr>
      <w:r w:rsidRPr="0014422F">
        <w:rPr>
          <w:b/>
          <w:sz w:val="22"/>
          <w:szCs w:val="22"/>
        </w:rPr>
        <w:t>Supporting Statemen</w:t>
      </w:r>
      <w:r w:rsidRPr="0014422F">
        <w:rPr>
          <w:sz w:val="22"/>
          <w:szCs w:val="22"/>
        </w:rPr>
        <w:t>t</w:t>
      </w:r>
    </w:p>
    <w:p w:rsidR="00340330" w:rsidRPr="0014422F" w:rsidP="00340330" w14:paraId="235D4D1E" w14:textId="77777777">
      <w:pPr>
        <w:rPr>
          <w:sz w:val="22"/>
          <w:szCs w:val="22"/>
        </w:rPr>
      </w:pPr>
    </w:p>
    <w:p w:rsidR="00340330" w:rsidRPr="0014422F" w:rsidP="00340330" w14:paraId="4D6431BE" w14:textId="77777777">
      <w:pPr>
        <w:rPr>
          <w:b/>
          <w:sz w:val="22"/>
          <w:szCs w:val="22"/>
        </w:rPr>
      </w:pPr>
      <w:r w:rsidRPr="0014422F">
        <w:rPr>
          <w:b/>
          <w:sz w:val="22"/>
          <w:szCs w:val="22"/>
        </w:rPr>
        <w:t>A.</w:t>
      </w:r>
      <w:r w:rsidRPr="0014422F">
        <w:rPr>
          <w:b/>
          <w:sz w:val="22"/>
          <w:szCs w:val="22"/>
        </w:rPr>
        <w:tab/>
        <w:t>Justification</w:t>
      </w:r>
    </w:p>
    <w:p w:rsidR="00340330" w:rsidRPr="0014422F" w:rsidP="00340330" w14:paraId="17D5288F" w14:textId="77777777">
      <w:pPr>
        <w:rPr>
          <w:b/>
          <w:sz w:val="22"/>
          <w:szCs w:val="22"/>
        </w:rPr>
      </w:pPr>
    </w:p>
    <w:p w:rsidR="00340330" w:rsidRPr="0014422F" w:rsidP="00340330" w14:paraId="6781A3F4" w14:textId="77777777">
      <w:pPr>
        <w:numPr>
          <w:ilvl w:val="0"/>
          <w:numId w:val="1"/>
        </w:numPr>
        <w:tabs>
          <w:tab w:val="num" w:pos="720"/>
          <w:tab w:val="clear" w:pos="1080"/>
        </w:tabs>
        <w:ind w:left="720"/>
        <w:rPr>
          <w:sz w:val="22"/>
          <w:szCs w:val="22"/>
        </w:rPr>
      </w:pPr>
      <w:r>
        <w:rPr>
          <w:sz w:val="22"/>
          <w:szCs w:val="22"/>
        </w:rPr>
        <w:t>The Telephone Operator Consumer Services Improvement Act (TOCSIA</w:t>
      </w:r>
      <w:r w:rsidR="00121501">
        <w:rPr>
          <w:sz w:val="22"/>
          <w:szCs w:val="22"/>
        </w:rPr>
        <w:t>)</w:t>
      </w:r>
      <w:r>
        <w:rPr>
          <w:sz w:val="22"/>
          <w:szCs w:val="22"/>
        </w:rPr>
        <w:t xml:space="preserve"> or </w:t>
      </w:r>
      <w:r w:rsidRPr="0014422F">
        <w:rPr>
          <w:sz w:val="22"/>
          <w:szCs w:val="22"/>
        </w:rPr>
        <w:t>Section 226(c)(1)(A) of the Communications Act</w:t>
      </w:r>
      <w:r>
        <w:rPr>
          <w:sz w:val="22"/>
          <w:szCs w:val="22"/>
        </w:rPr>
        <w:t>)</w:t>
      </w:r>
      <w:r w:rsidRPr="0014422F">
        <w:rPr>
          <w:sz w:val="22"/>
          <w:szCs w:val="22"/>
        </w:rPr>
        <w:t xml:space="preserve"> and 47 </w:t>
      </w:r>
      <w:r w:rsidR="000D3615">
        <w:rPr>
          <w:sz w:val="22"/>
          <w:szCs w:val="22"/>
        </w:rPr>
        <w:t>CFR</w:t>
      </w:r>
      <w:r w:rsidRPr="0014422F">
        <w:rPr>
          <w:sz w:val="22"/>
          <w:szCs w:val="22"/>
        </w:rPr>
        <w:t xml:space="preserve"> §</w:t>
      </w:r>
      <w:r w:rsidR="005425D7">
        <w:rPr>
          <w:sz w:val="22"/>
          <w:szCs w:val="22"/>
        </w:rPr>
        <w:t xml:space="preserve"> </w:t>
      </w:r>
      <w:r w:rsidRPr="0014422F">
        <w:rPr>
          <w:sz w:val="22"/>
          <w:szCs w:val="22"/>
        </w:rPr>
        <w:t>64.703(b) of the Commission’s rules require that each aggregator</w:t>
      </w:r>
      <w:r>
        <w:rPr>
          <w:rStyle w:val="FootnoteReference"/>
          <w:sz w:val="22"/>
          <w:szCs w:val="22"/>
        </w:rPr>
        <w:footnoteReference w:id="2"/>
      </w:r>
      <w:r w:rsidRPr="0014422F">
        <w:rPr>
          <w:sz w:val="22"/>
          <w:szCs w:val="22"/>
        </w:rPr>
        <w:t xml:space="preserve"> post on or near the telephone instrument in plain view of consumers: </w:t>
      </w:r>
    </w:p>
    <w:p w:rsidR="00340330" w:rsidRPr="0014422F" w:rsidP="00340330" w14:paraId="737BB5B5" w14:textId="77777777">
      <w:pPr>
        <w:rPr>
          <w:sz w:val="22"/>
          <w:szCs w:val="22"/>
        </w:rPr>
      </w:pPr>
    </w:p>
    <w:p w:rsidR="00340330" w:rsidRPr="0014422F" w:rsidP="00340330" w14:paraId="6BF6DA6F" w14:textId="77777777">
      <w:pPr>
        <w:ind w:left="1080" w:hanging="360"/>
        <w:rPr>
          <w:sz w:val="22"/>
          <w:szCs w:val="22"/>
        </w:rPr>
      </w:pPr>
      <w:r w:rsidRPr="0014422F">
        <w:rPr>
          <w:sz w:val="22"/>
          <w:szCs w:val="22"/>
        </w:rPr>
        <w:t xml:space="preserve">(1) the name, address, and toll-free telephone number of the provider of operator services; </w:t>
      </w:r>
    </w:p>
    <w:p w:rsidR="00340330" w:rsidRPr="0014422F" w:rsidP="00340330" w14:paraId="7826D3ED" w14:textId="77777777">
      <w:pPr>
        <w:ind w:left="720"/>
        <w:rPr>
          <w:sz w:val="22"/>
          <w:szCs w:val="22"/>
        </w:rPr>
      </w:pPr>
    </w:p>
    <w:p w:rsidR="00340330" w:rsidP="00340330" w14:paraId="049D11D4" w14:textId="77777777">
      <w:pPr>
        <w:ind w:left="1080" w:hanging="360"/>
        <w:rPr>
          <w:sz w:val="22"/>
          <w:szCs w:val="22"/>
        </w:rPr>
      </w:pPr>
      <w:r w:rsidRPr="0014422F">
        <w:rPr>
          <w:sz w:val="22"/>
          <w:szCs w:val="22"/>
        </w:rPr>
        <w:t xml:space="preserve">(2) </w:t>
      </w:r>
      <w:r>
        <w:rPr>
          <w:sz w:val="22"/>
          <w:szCs w:val="22"/>
        </w:rPr>
        <w:t xml:space="preserve">except for </w:t>
      </w:r>
      <w:r w:rsidR="00C01DCA">
        <w:rPr>
          <w:sz w:val="22"/>
          <w:szCs w:val="22"/>
        </w:rPr>
        <w:t>commercial mobile radio service (</w:t>
      </w:r>
      <w:r>
        <w:rPr>
          <w:sz w:val="22"/>
          <w:szCs w:val="22"/>
        </w:rPr>
        <w:t>CMRS</w:t>
      </w:r>
      <w:r w:rsidR="00C01DCA">
        <w:rPr>
          <w:sz w:val="22"/>
          <w:szCs w:val="22"/>
        </w:rPr>
        <w:t>)</w:t>
      </w:r>
      <w:r>
        <w:rPr>
          <w:sz w:val="22"/>
          <w:szCs w:val="22"/>
        </w:rPr>
        <w:t xml:space="preserve"> aggregators,</w:t>
      </w:r>
      <w:r>
        <w:rPr>
          <w:rStyle w:val="FootnoteReference"/>
          <w:sz w:val="22"/>
          <w:szCs w:val="22"/>
        </w:rPr>
        <w:footnoteReference w:id="3"/>
      </w:r>
      <w:r>
        <w:rPr>
          <w:sz w:val="22"/>
          <w:szCs w:val="22"/>
        </w:rPr>
        <w:t xml:space="preserve"> </w:t>
      </w:r>
      <w:r w:rsidRPr="0014422F">
        <w:rPr>
          <w:sz w:val="22"/>
          <w:szCs w:val="22"/>
        </w:rPr>
        <w:t xml:space="preserve">written disclosure that the rates for all operator-assisted calls are available on request, and that consumers have a right to obtain access to the interstate common carrier of their choice and may contact their preferred interstate common carriers for information on accessing that carrier’s service using the telephone;  </w:t>
      </w:r>
    </w:p>
    <w:p w:rsidR="00340330" w:rsidP="00340330" w14:paraId="18C1A6B1" w14:textId="77777777">
      <w:pPr>
        <w:ind w:left="1080" w:hanging="360"/>
        <w:rPr>
          <w:sz w:val="22"/>
          <w:szCs w:val="22"/>
        </w:rPr>
      </w:pPr>
    </w:p>
    <w:p w:rsidR="00340330" w:rsidRPr="0014422F" w:rsidP="00340330" w14:paraId="5824A260" w14:textId="77777777">
      <w:pPr>
        <w:ind w:left="1080" w:hanging="360"/>
        <w:rPr>
          <w:sz w:val="22"/>
          <w:szCs w:val="22"/>
        </w:rPr>
      </w:pPr>
      <w:r>
        <w:rPr>
          <w:sz w:val="22"/>
          <w:szCs w:val="22"/>
        </w:rPr>
        <w:t>(3)</w:t>
      </w:r>
      <w:r>
        <w:rPr>
          <w:sz w:val="22"/>
          <w:szCs w:val="22"/>
        </w:rPr>
        <w:tab/>
        <w:t>in the case of a pay telephone, the local coin rate for the pay telephone location; and</w:t>
      </w:r>
    </w:p>
    <w:p w:rsidR="00340330" w:rsidRPr="0014422F" w:rsidP="00340330" w14:paraId="1076210F" w14:textId="77777777">
      <w:pPr>
        <w:ind w:left="720"/>
        <w:rPr>
          <w:sz w:val="22"/>
          <w:szCs w:val="22"/>
        </w:rPr>
      </w:pPr>
    </w:p>
    <w:p w:rsidR="00340330" w:rsidRPr="0014422F" w:rsidP="00340330" w14:paraId="1EDEEA4F" w14:textId="77777777">
      <w:pPr>
        <w:ind w:left="1080" w:hanging="360"/>
        <w:rPr>
          <w:sz w:val="22"/>
          <w:szCs w:val="22"/>
        </w:rPr>
      </w:pPr>
      <w:r w:rsidRPr="0014422F">
        <w:rPr>
          <w:sz w:val="22"/>
          <w:szCs w:val="22"/>
        </w:rPr>
        <w:t>(</w:t>
      </w:r>
      <w:r>
        <w:rPr>
          <w:sz w:val="22"/>
          <w:szCs w:val="22"/>
        </w:rPr>
        <w:t>4</w:t>
      </w:r>
      <w:r w:rsidRPr="0014422F">
        <w:rPr>
          <w:sz w:val="22"/>
          <w:szCs w:val="22"/>
        </w:rPr>
        <w:t xml:space="preserve">) the name and address of the </w:t>
      </w:r>
      <w:r>
        <w:rPr>
          <w:sz w:val="22"/>
          <w:szCs w:val="22"/>
        </w:rPr>
        <w:t xml:space="preserve">Consumer </w:t>
      </w:r>
      <w:r w:rsidR="00C01DCA">
        <w:rPr>
          <w:sz w:val="22"/>
          <w:szCs w:val="22"/>
        </w:rPr>
        <w:t xml:space="preserve">and </w:t>
      </w:r>
      <w:r>
        <w:rPr>
          <w:sz w:val="22"/>
          <w:szCs w:val="22"/>
        </w:rPr>
        <w:t xml:space="preserve">Governmental Affairs Bureau </w:t>
      </w:r>
      <w:r w:rsidRPr="0014422F">
        <w:rPr>
          <w:sz w:val="22"/>
          <w:szCs w:val="22"/>
        </w:rPr>
        <w:t xml:space="preserve">of the Commission, to which the consumer may direct complaints regarding operator services.  </w:t>
      </w:r>
    </w:p>
    <w:p w:rsidR="00340330" w:rsidRPr="0014422F" w:rsidP="00340330" w14:paraId="68CF9277" w14:textId="77777777">
      <w:pPr>
        <w:ind w:left="720"/>
        <w:rPr>
          <w:sz w:val="22"/>
          <w:szCs w:val="22"/>
        </w:rPr>
      </w:pPr>
    </w:p>
    <w:p w:rsidR="00340330" w:rsidRPr="0014422F" w:rsidP="00340330" w14:paraId="7E32E127" w14:textId="77777777">
      <w:pPr>
        <w:ind w:left="720"/>
        <w:rPr>
          <w:sz w:val="22"/>
          <w:szCs w:val="22"/>
        </w:rPr>
      </w:pPr>
      <w:r w:rsidRPr="0014422F">
        <w:rPr>
          <w:sz w:val="22"/>
          <w:szCs w:val="22"/>
        </w:rPr>
        <w:t xml:space="preserve">This requirement was </w:t>
      </w:r>
      <w:r>
        <w:rPr>
          <w:sz w:val="22"/>
          <w:szCs w:val="22"/>
        </w:rPr>
        <w:t>in</w:t>
      </w:r>
      <w:r w:rsidRPr="0014422F">
        <w:rPr>
          <w:sz w:val="22"/>
          <w:szCs w:val="22"/>
        </w:rPr>
        <w:t xml:space="preserve"> response to a widespread failure by aggregators to disclose information necessary for consumers to make informed choices in the marketplace.  </w:t>
      </w:r>
      <w:r w:rsidRPr="0014422F">
        <w:rPr>
          <w:i/>
          <w:sz w:val="22"/>
          <w:szCs w:val="22"/>
        </w:rPr>
        <w:t>See</w:t>
      </w:r>
      <w:r w:rsidRPr="0014422F">
        <w:rPr>
          <w:sz w:val="22"/>
          <w:szCs w:val="22"/>
        </w:rPr>
        <w:t xml:space="preserve"> 47 </w:t>
      </w:r>
      <w:r w:rsidR="000D3615">
        <w:rPr>
          <w:sz w:val="22"/>
          <w:szCs w:val="22"/>
        </w:rPr>
        <w:t>CFR</w:t>
      </w:r>
      <w:r w:rsidRPr="0014422F">
        <w:rPr>
          <w:sz w:val="22"/>
          <w:szCs w:val="22"/>
        </w:rPr>
        <w:t xml:space="preserve"> §</w:t>
      </w:r>
      <w:r>
        <w:rPr>
          <w:sz w:val="22"/>
          <w:szCs w:val="22"/>
        </w:rPr>
        <w:t xml:space="preserve"> </w:t>
      </w:r>
      <w:r w:rsidRPr="0014422F">
        <w:rPr>
          <w:sz w:val="22"/>
          <w:szCs w:val="22"/>
        </w:rPr>
        <w:t xml:space="preserve">64.703(b).  </w:t>
      </w:r>
    </w:p>
    <w:p w:rsidR="00340330" w:rsidRPr="0014422F" w:rsidP="00340330" w14:paraId="00F49407" w14:textId="77777777">
      <w:pPr>
        <w:ind w:left="720"/>
        <w:rPr>
          <w:sz w:val="22"/>
          <w:szCs w:val="22"/>
        </w:rPr>
      </w:pPr>
    </w:p>
    <w:p w:rsidR="00340330" w:rsidRPr="0014422F" w:rsidP="00340330" w14:paraId="41DF7196" w14:textId="77777777">
      <w:pPr>
        <w:ind w:left="720"/>
        <w:rPr>
          <w:sz w:val="22"/>
          <w:szCs w:val="22"/>
        </w:rPr>
      </w:pPr>
      <w:r w:rsidRPr="0014422F">
        <w:rPr>
          <w:rStyle w:val="FootnoteReference"/>
          <w:sz w:val="22"/>
          <w:szCs w:val="22"/>
        </w:rPr>
        <w:t xml:space="preserve"> </w:t>
      </w:r>
      <w:r w:rsidRPr="0014422F">
        <w:rPr>
          <w:sz w:val="22"/>
          <w:szCs w:val="22"/>
        </w:rPr>
        <w:t xml:space="preserve">47 </w:t>
      </w:r>
      <w:r w:rsidR="000D3615">
        <w:rPr>
          <w:sz w:val="22"/>
          <w:szCs w:val="22"/>
        </w:rPr>
        <w:t>CFR</w:t>
      </w:r>
      <w:r w:rsidRPr="0014422F">
        <w:rPr>
          <w:sz w:val="22"/>
          <w:szCs w:val="22"/>
        </w:rPr>
        <w:t xml:space="preserve"> §</w:t>
      </w:r>
      <w:r w:rsidR="005425D7">
        <w:rPr>
          <w:sz w:val="22"/>
          <w:szCs w:val="22"/>
        </w:rPr>
        <w:t xml:space="preserve"> </w:t>
      </w:r>
      <w:r w:rsidRPr="0014422F">
        <w:rPr>
          <w:sz w:val="22"/>
          <w:szCs w:val="22"/>
        </w:rPr>
        <w:t xml:space="preserve">64.703(c) </w:t>
      </w:r>
      <w:r>
        <w:rPr>
          <w:sz w:val="22"/>
          <w:szCs w:val="22"/>
        </w:rPr>
        <w:t>requires</w:t>
      </w:r>
      <w:r w:rsidRPr="0014422F">
        <w:rPr>
          <w:sz w:val="22"/>
          <w:szCs w:val="22"/>
        </w:rPr>
        <w:t xml:space="preserve"> aggregators to update the posted information</w:t>
      </w:r>
      <w:r>
        <w:rPr>
          <w:sz w:val="22"/>
          <w:szCs w:val="22"/>
        </w:rPr>
        <w:t xml:space="preserve"> no later than 30 days following any change in information.</w:t>
      </w:r>
      <w:r w:rsidRPr="0014422F">
        <w:rPr>
          <w:sz w:val="22"/>
          <w:szCs w:val="22"/>
        </w:rPr>
        <w:t xml:space="preserve">  An aggregator may meet the 30-day outer limit rule, where its maintenance technicians would not otherwise visit the particular payphone location within 30 days, by having its coin collection or other agent affix a temporary sticker to the payphone.  Such temporary stickers must be replaced with permanent signage during the next regularly scheduled maintenance visit.  47 </w:t>
      </w:r>
      <w:r w:rsidR="000D3615">
        <w:rPr>
          <w:sz w:val="22"/>
          <w:szCs w:val="22"/>
        </w:rPr>
        <w:t>CFR</w:t>
      </w:r>
      <w:r w:rsidRPr="0014422F">
        <w:rPr>
          <w:sz w:val="22"/>
          <w:szCs w:val="22"/>
        </w:rPr>
        <w:t xml:space="preserve"> §</w:t>
      </w:r>
      <w:r w:rsidR="005425D7">
        <w:rPr>
          <w:sz w:val="22"/>
          <w:szCs w:val="22"/>
        </w:rPr>
        <w:t xml:space="preserve"> </w:t>
      </w:r>
      <w:r w:rsidRPr="0014422F">
        <w:rPr>
          <w:sz w:val="22"/>
          <w:szCs w:val="22"/>
        </w:rPr>
        <w:t xml:space="preserve">64.703(c) is intended to provide updated </w:t>
      </w:r>
      <w:r w:rsidR="00246A45">
        <w:rPr>
          <w:sz w:val="22"/>
          <w:szCs w:val="22"/>
        </w:rPr>
        <w:t>operator service providers (</w:t>
      </w:r>
      <w:r w:rsidRPr="0014422F">
        <w:rPr>
          <w:sz w:val="22"/>
          <w:szCs w:val="22"/>
        </w:rPr>
        <w:t>OSP</w:t>
      </w:r>
      <w:r w:rsidR="00246A45">
        <w:rPr>
          <w:sz w:val="22"/>
          <w:szCs w:val="22"/>
        </w:rPr>
        <w:t>)</w:t>
      </w:r>
      <w:r>
        <w:rPr>
          <w:rStyle w:val="FootnoteReference"/>
          <w:sz w:val="22"/>
          <w:szCs w:val="22"/>
        </w:rPr>
        <w:footnoteReference w:id="4"/>
      </w:r>
      <w:r w:rsidRPr="0014422F">
        <w:rPr>
          <w:sz w:val="22"/>
          <w:szCs w:val="22"/>
        </w:rPr>
        <w:t xml:space="preserve"> information to consumers and enable consumers to make informed choices when placing operator service calls.  </w:t>
      </w:r>
    </w:p>
    <w:p w:rsidR="00340330" w:rsidRPr="0014422F" w:rsidP="00340330" w14:paraId="3415654E" w14:textId="77777777">
      <w:pPr>
        <w:ind w:left="1080"/>
        <w:rPr>
          <w:sz w:val="22"/>
          <w:szCs w:val="22"/>
        </w:rPr>
      </w:pPr>
    </w:p>
    <w:p w:rsidR="00340330" w:rsidP="00340330" w14:paraId="33DC3029" w14:textId="77777777">
      <w:pPr>
        <w:ind w:left="720"/>
        <w:rPr>
          <w:sz w:val="22"/>
          <w:szCs w:val="22"/>
        </w:rPr>
      </w:pPr>
      <w:r>
        <w:rPr>
          <w:sz w:val="22"/>
          <w:szCs w:val="22"/>
        </w:rPr>
        <w:t>The Commission is requesting OMB approval for a three</w:t>
      </w:r>
      <w:r w:rsidR="003451A0">
        <w:rPr>
          <w:sz w:val="22"/>
          <w:szCs w:val="22"/>
        </w:rPr>
        <w:t>-</w:t>
      </w:r>
      <w:r>
        <w:rPr>
          <w:sz w:val="22"/>
          <w:szCs w:val="22"/>
        </w:rPr>
        <w:t>year extension of this information collection</w:t>
      </w:r>
      <w:r w:rsidR="00C01DCA">
        <w:rPr>
          <w:sz w:val="22"/>
          <w:szCs w:val="22"/>
        </w:rPr>
        <w:t>.</w:t>
      </w:r>
    </w:p>
    <w:p w:rsidR="00340330" w:rsidP="00340330" w14:paraId="21307208" w14:textId="77777777">
      <w:pPr>
        <w:ind w:left="720"/>
        <w:rPr>
          <w:sz w:val="22"/>
          <w:szCs w:val="22"/>
        </w:rPr>
      </w:pPr>
    </w:p>
    <w:p w:rsidR="00340330" w:rsidP="00340330" w14:paraId="5A936E47" w14:textId="77777777">
      <w:pPr>
        <w:ind w:left="720"/>
        <w:rPr>
          <w:sz w:val="22"/>
          <w:szCs w:val="22"/>
        </w:rPr>
      </w:pPr>
      <w:r>
        <w:rPr>
          <w:sz w:val="22"/>
          <w:szCs w:val="22"/>
        </w:rPr>
        <w:t>T</w:t>
      </w:r>
      <w:r w:rsidRPr="0014422F">
        <w:rPr>
          <w:sz w:val="22"/>
          <w:szCs w:val="22"/>
        </w:rPr>
        <w:t>his collection does not affect individuals or households thus there are no impacts under the Privacy Act because it does not require the collection of personal information from individuals.</w:t>
      </w:r>
    </w:p>
    <w:p w:rsidR="00340330" w:rsidP="00340330" w14:paraId="64FA7DAC" w14:textId="77777777">
      <w:pPr>
        <w:ind w:left="720"/>
        <w:rPr>
          <w:sz w:val="22"/>
          <w:szCs w:val="22"/>
        </w:rPr>
      </w:pPr>
    </w:p>
    <w:p w:rsidR="00340330" w:rsidRPr="0014422F" w:rsidP="00340330" w14:paraId="78B40E31" w14:textId="77777777">
      <w:pPr>
        <w:ind w:left="720"/>
        <w:rPr>
          <w:sz w:val="22"/>
          <w:szCs w:val="22"/>
        </w:rPr>
      </w:pPr>
      <w:r w:rsidRPr="000A5CC3">
        <w:rPr>
          <w:sz w:val="22"/>
          <w:szCs w:val="22"/>
        </w:rPr>
        <w:t>The statutory authority for this information collection is found a</w:t>
      </w:r>
      <w:r>
        <w:rPr>
          <w:sz w:val="22"/>
          <w:szCs w:val="22"/>
        </w:rPr>
        <w:t xml:space="preserve">t Section 226 [47 U.S.C. </w:t>
      </w:r>
      <w:r w:rsidR="00AB7FE7">
        <w:rPr>
          <w:sz w:val="22"/>
          <w:szCs w:val="22"/>
        </w:rPr>
        <w:t xml:space="preserve">§ </w:t>
      </w:r>
      <w:r>
        <w:rPr>
          <w:sz w:val="22"/>
          <w:szCs w:val="22"/>
        </w:rPr>
        <w:t xml:space="preserve">226] </w:t>
      </w:r>
      <w:r w:rsidR="00401C4D">
        <w:rPr>
          <w:sz w:val="22"/>
          <w:szCs w:val="22"/>
        </w:rPr>
        <w:t>“</w:t>
      </w:r>
      <w:r>
        <w:rPr>
          <w:sz w:val="22"/>
          <w:szCs w:val="22"/>
        </w:rPr>
        <w:t>Telephone Operator Services</w:t>
      </w:r>
      <w:r w:rsidR="00401C4D">
        <w:rPr>
          <w:sz w:val="22"/>
          <w:szCs w:val="22"/>
        </w:rPr>
        <w:t>”</w:t>
      </w:r>
      <w:r>
        <w:rPr>
          <w:sz w:val="22"/>
          <w:szCs w:val="22"/>
        </w:rPr>
        <w:t xml:space="preserve"> codified at 47 </w:t>
      </w:r>
      <w:r w:rsidR="000D3615">
        <w:rPr>
          <w:sz w:val="22"/>
          <w:szCs w:val="22"/>
        </w:rPr>
        <w:t>CFR</w:t>
      </w:r>
      <w:r>
        <w:rPr>
          <w:sz w:val="22"/>
          <w:szCs w:val="22"/>
        </w:rPr>
        <w:t xml:space="preserve"> </w:t>
      </w:r>
      <w:r w:rsidR="005425D7">
        <w:rPr>
          <w:sz w:val="22"/>
          <w:szCs w:val="22"/>
        </w:rPr>
        <w:t xml:space="preserve">§ </w:t>
      </w:r>
      <w:r>
        <w:rPr>
          <w:sz w:val="22"/>
          <w:szCs w:val="22"/>
        </w:rPr>
        <w:t>64.703(b) Consumer Information.</w:t>
      </w:r>
    </w:p>
    <w:p w:rsidR="00340330" w:rsidRPr="0014422F" w:rsidP="00340330" w14:paraId="2E915E6B" w14:textId="77777777">
      <w:pPr>
        <w:rPr>
          <w:sz w:val="22"/>
          <w:szCs w:val="22"/>
        </w:rPr>
      </w:pPr>
    </w:p>
    <w:p w:rsidR="00340330" w:rsidRPr="0014422F" w:rsidP="00340330" w14:paraId="19E00903" w14:textId="77777777">
      <w:pPr>
        <w:tabs>
          <w:tab w:val="left" w:pos="0"/>
        </w:tabs>
        <w:ind w:left="720" w:hanging="720"/>
        <w:rPr>
          <w:sz w:val="22"/>
          <w:szCs w:val="22"/>
        </w:rPr>
      </w:pPr>
      <w:r w:rsidRPr="0014422F">
        <w:rPr>
          <w:sz w:val="22"/>
          <w:szCs w:val="22"/>
        </w:rPr>
        <w:t>2.</w:t>
      </w:r>
      <w:r w:rsidRPr="0014422F">
        <w:rPr>
          <w:sz w:val="22"/>
          <w:szCs w:val="22"/>
        </w:rPr>
        <w:tab/>
        <w:t>Consumers will use th</w:t>
      </w:r>
      <w:r>
        <w:rPr>
          <w:sz w:val="22"/>
          <w:szCs w:val="22"/>
        </w:rPr>
        <w:t xml:space="preserve">e posted </w:t>
      </w:r>
      <w:r w:rsidRPr="0014422F">
        <w:rPr>
          <w:sz w:val="22"/>
          <w:szCs w:val="22"/>
        </w:rPr>
        <w:t xml:space="preserve">information to determine whether they wish to use the services of the identified OSP.  Aggregators will disclose the required information to consumers via printed notice that is posted on or near each of the aggregator’s telephones.  As required by 47 </w:t>
      </w:r>
      <w:r w:rsidR="000D3615">
        <w:rPr>
          <w:sz w:val="22"/>
          <w:szCs w:val="22"/>
        </w:rPr>
        <w:t>CFR</w:t>
      </w:r>
      <w:r w:rsidRPr="0014422F">
        <w:rPr>
          <w:sz w:val="22"/>
          <w:szCs w:val="22"/>
        </w:rPr>
        <w:t xml:space="preserve"> §</w:t>
      </w:r>
      <w:r w:rsidR="00AB7FE7">
        <w:rPr>
          <w:sz w:val="22"/>
          <w:szCs w:val="22"/>
        </w:rPr>
        <w:t xml:space="preserve"> </w:t>
      </w:r>
      <w:r w:rsidRPr="0014422F">
        <w:rPr>
          <w:sz w:val="22"/>
          <w:szCs w:val="22"/>
        </w:rPr>
        <w:t xml:space="preserve">64.703(c), this information must be updated within 30 days </w:t>
      </w:r>
      <w:r>
        <w:rPr>
          <w:sz w:val="22"/>
          <w:szCs w:val="22"/>
        </w:rPr>
        <w:t>of any</w:t>
      </w:r>
      <w:r w:rsidRPr="0014422F">
        <w:rPr>
          <w:sz w:val="22"/>
          <w:szCs w:val="22"/>
        </w:rPr>
        <w:t xml:space="preserve"> changes of OSPs. </w:t>
      </w:r>
    </w:p>
    <w:p w:rsidR="00340330" w:rsidRPr="0014422F" w:rsidP="00340330" w14:paraId="42C67F46" w14:textId="77777777">
      <w:pPr>
        <w:ind w:left="360"/>
        <w:rPr>
          <w:sz w:val="22"/>
          <w:szCs w:val="22"/>
        </w:rPr>
      </w:pPr>
    </w:p>
    <w:p w:rsidR="00340330" w:rsidRPr="0014422F" w:rsidP="00340330" w14:paraId="540D6956" w14:textId="77777777">
      <w:pPr>
        <w:ind w:left="720" w:hanging="720"/>
        <w:rPr>
          <w:sz w:val="22"/>
          <w:szCs w:val="22"/>
        </w:rPr>
      </w:pPr>
      <w:r w:rsidRPr="0014422F">
        <w:rPr>
          <w:sz w:val="22"/>
          <w:szCs w:val="22"/>
        </w:rPr>
        <w:t>3.</w:t>
      </w:r>
      <w:r w:rsidRPr="0014422F">
        <w:rPr>
          <w:sz w:val="22"/>
          <w:szCs w:val="22"/>
        </w:rPr>
        <w:tab/>
      </w:r>
      <w:r>
        <w:rPr>
          <w:sz w:val="22"/>
          <w:szCs w:val="22"/>
        </w:rPr>
        <w:t>TOCSIA</w:t>
      </w:r>
      <w:r w:rsidRPr="0014422F">
        <w:rPr>
          <w:sz w:val="22"/>
          <w:szCs w:val="22"/>
        </w:rPr>
        <w:t xml:space="preserve"> does not allow for disclosure of this information in any manner other than through a posted printed notice.  The rules do not specifically provide for technological collection techniques or other forms of electronic technology.</w:t>
      </w:r>
    </w:p>
    <w:p w:rsidR="00340330" w:rsidRPr="0014422F" w:rsidP="00340330" w14:paraId="218ED7F8" w14:textId="77777777">
      <w:pPr>
        <w:rPr>
          <w:sz w:val="22"/>
          <w:szCs w:val="22"/>
        </w:rPr>
      </w:pPr>
    </w:p>
    <w:p w:rsidR="00340330" w:rsidRPr="0014422F" w:rsidP="00340330" w14:paraId="000002C4" w14:textId="77777777">
      <w:pPr>
        <w:ind w:left="720" w:hanging="720"/>
        <w:rPr>
          <w:sz w:val="22"/>
          <w:szCs w:val="22"/>
        </w:rPr>
      </w:pPr>
      <w:r w:rsidRPr="0014422F">
        <w:rPr>
          <w:sz w:val="22"/>
          <w:szCs w:val="22"/>
        </w:rPr>
        <w:t xml:space="preserve">4.    </w:t>
      </w:r>
      <w:r w:rsidRPr="0014422F">
        <w:rPr>
          <w:sz w:val="22"/>
          <w:szCs w:val="22"/>
        </w:rPr>
        <w:tab/>
        <w:t>The information collection requirements are not duplicative of any currently existing federal regulatory obligations.</w:t>
      </w:r>
    </w:p>
    <w:p w:rsidR="00340330" w:rsidRPr="0014422F" w:rsidP="00340330" w14:paraId="1B76B920" w14:textId="77777777">
      <w:pPr>
        <w:rPr>
          <w:sz w:val="22"/>
          <w:szCs w:val="22"/>
        </w:rPr>
      </w:pPr>
      <w:r w:rsidRPr="0014422F">
        <w:rPr>
          <w:sz w:val="22"/>
          <w:szCs w:val="22"/>
        </w:rPr>
        <w:t xml:space="preserve"> </w:t>
      </w:r>
    </w:p>
    <w:p w:rsidR="00340330" w:rsidRPr="0014422F" w:rsidP="00340330" w14:paraId="34A8C2A4" w14:textId="77777777">
      <w:pPr>
        <w:ind w:left="720" w:hanging="720"/>
        <w:rPr>
          <w:sz w:val="22"/>
          <w:szCs w:val="22"/>
        </w:rPr>
      </w:pPr>
      <w:r w:rsidRPr="0014422F">
        <w:rPr>
          <w:sz w:val="22"/>
          <w:szCs w:val="22"/>
        </w:rPr>
        <w:t>5.</w:t>
      </w:r>
      <w:r w:rsidRPr="0014422F">
        <w:rPr>
          <w:sz w:val="22"/>
          <w:szCs w:val="22"/>
        </w:rPr>
        <w:tab/>
      </w:r>
      <w:r>
        <w:rPr>
          <w:sz w:val="22"/>
          <w:szCs w:val="22"/>
        </w:rPr>
        <w:t>There will not be a significant impact on a substantial number of small businesses/entities by this information being collected.</w:t>
      </w:r>
    </w:p>
    <w:p w:rsidR="00340330" w:rsidRPr="0014422F" w:rsidP="00340330" w14:paraId="493FCFD1" w14:textId="77777777">
      <w:pPr>
        <w:rPr>
          <w:sz w:val="22"/>
          <w:szCs w:val="22"/>
        </w:rPr>
      </w:pPr>
    </w:p>
    <w:p w:rsidR="00340330" w:rsidRPr="0014422F" w:rsidP="00340330" w14:paraId="30144E48" w14:textId="77777777">
      <w:pPr>
        <w:numPr>
          <w:ilvl w:val="0"/>
          <w:numId w:val="2"/>
        </w:numPr>
        <w:tabs>
          <w:tab w:val="num" w:pos="720"/>
        </w:tabs>
        <w:ind w:left="720" w:hanging="720"/>
        <w:rPr>
          <w:sz w:val="22"/>
          <w:szCs w:val="22"/>
        </w:rPr>
      </w:pPr>
      <w:r w:rsidRPr="0014422F">
        <w:rPr>
          <w:sz w:val="22"/>
          <w:szCs w:val="22"/>
        </w:rPr>
        <w:t xml:space="preserve">Without these information collection requirements, consumers will be unable to make knowledgeable choices in the interstate operator service market.  The absence of these required disclosures and timely updates does not allow consumers to make informed decisions, which </w:t>
      </w:r>
      <w:r>
        <w:rPr>
          <w:sz w:val="22"/>
          <w:szCs w:val="22"/>
        </w:rPr>
        <w:t>reduces</w:t>
      </w:r>
      <w:r w:rsidRPr="0014422F">
        <w:rPr>
          <w:sz w:val="22"/>
          <w:szCs w:val="22"/>
        </w:rPr>
        <w:t xml:space="preserve"> actual competition among telecommunications entities that seek to provide such services.</w:t>
      </w:r>
    </w:p>
    <w:p w:rsidR="00340330" w:rsidRPr="0014422F" w:rsidP="00340330" w14:paraId="160BF354" w14:textId="77777777">
      <w:pPr>
        <w:rPr>
          <w:sz w:val="22"/>
          <w:szCs w:val="22"/>
        </w:rPr>
      </w:pPr>
    </w:p>
    <w:p w:rsidR="00340330" w:rsidRPr="0014422F" w:rsidP="00340330" w14:paraId="6382A8D1" w14:textId="77777777">
      <w:pPr>
        <w:numPr>
          <w:ilvl w:val="0"/>
          <w:numId w:val="2"/>
        </w:numPr>
        <w:tabs>
          <w:tab w:val="num" w:pos="720"/>
        </w:tabs>
        <w:ind w:left="720" w:hanging="720"/>
        <w:rPr>
          <w:sz w:val="22"/>
          <w:szCs w:val="22"/>
        </w:rPr>
      </w:pPr>
      <w:r w:rsidRPr="0014422F">
        <w:rPr>
          <w:sz w:val="22"/>
          <w:szCs w:val="22"/>
        </w:rPr>
        <w:t>No special circumstances exist that would cause this collection to be conducted in any manner that is inconsistent with t</w:t>
      </w:r>
      <w:r w:rsidR="00CA665B">
        <w:rPr>
          <w:sz w:val="22"/>
          <w:szCs w:val="22"/>
        </w:rPr>
        <w:t xml:space="preserve">he guidelines in 5 </w:t>
      </w:r>
      <w:r w:rsidR="000D3615">
        <w:rPr>
          <w:sz w:val="22"/>
          <w:szCs w:val="22"/>
        </w:rPr>
        <w:t>CFR</w:t>
      </w:r>
      <w:r w:rsidR="00CA665B">
        <w:rPr>
          <w:sz w:val="22"/>
          <w:szCs w:val="22"/>
        </w:rPr>
        <w:t xml:space="preserve"> § 1320.5.</w:t>
      </w:r>
    </w:p>
    <w:p w:rsidR="00340330" w:rsidRPr="0014422F" w:rsidP="00340330" w14:paraId="269348D2" w14:textId="77777777">
      <w:pPr>
        <w:rPr>
          <w:sz w:val="22"/>
          <w:szCs w:val="22"/>
        </w:rPr>
      </w:pPr>
    </w:p>
    <w:p w:rsidR="00340330" w:rsidRPr="000B0615" w:rsidP="00340330" w14:paraId="7B5D7388" w14:textId="44C3503E">
      <w:pPr>
        <w:numPr>
          <w:ilvl w:val="0"/>
          <w:numId w:val="2"/>
        </w:numPr>
        <w:tabs>
          <w:tab w:val="num" w:pos="720"/>
        </w:tabs>
        <w:ind w:left="720" w:hanging="720"/>
        <w:rPr>
          <w:sz w:val="22"/>
          <w:szCs w:val="22"/>
        </w:rPr>
      </w:pPr>
      <w:r w:rsidRPr="0014422F">
        <w:rPr>
          <w:sz w:val="22"/>
          <w:szCs w:val="22"/>
        </w:rPr>
        <w:t xml:space="preserve">The Commission </w:t>
      </w:r>
      <w:r w:rsidR="0068015A">
        <w:rPr>
          <w:sz w:val="22"/>
          <w:szCs w:val="22"/>
        </w:rPr>
        <w:t>published</w:t>
      </w:r>
      <w:r w:rsidRPr="0014422F" w:rsidR="0068015A">
        <w:rPr>
          <w:sz w:val="22"/>
          <w:szCs w:val="22"/>
        </w:rPr>
        <w:t xml:space="preserve"> </w:t>
      </w:r>
      <w:r w:rsidRPr="0014422F">
        <w:rPr>
          <w:sz w:val="22"/>
          <w:szCs w:val="22"/>
        </w:rPr>
        <w:t xml:space="preserve">a </w:t>
      </w:r>
      <w:r w:rsidRPr="00B17190">
        <w:rPr>
          <w:sz w:val="22"/>
          <w:szCs w:val="22"/>
        </w:rPr>
        <w:t xml:space="preserve">notice in the </w:t>
      </w:r>
      <w:r w:rsidRPr="00B17190">
        <w:rPr>
          <w:i/>
          <w:sz w:val="22"/>
          <w:szCs w:val="22"/>
        </w:rPr>
        <w:t>Federal Register</w:t>
      </w:r>
      <w:r w:rsidRPr="00B17190">
        <w:rPr>
          <w:sz w:val="22"/>
          <w:szCs w:val="22"/>
        </w:rPr>
        <w:t xml:space="preserve"> pursuant to 5 </w:t>
      </w:r>
      <w:r w:rsidR="000D3615">
        <w:rPr>
          <w:sz w:val="22"/>
          <w:szCs w:val="22"/>
        </w:rPr>
        <w:t>CFR</w:t>
      </w:r>
      <w:r w:rsidRPr="00B17190">
        <w:rPr>
          <w:sz w:val="22"/>
          <w:szCs w:val="22"/>
        </w:rPr>
        <w:t xml:space="preserve"> § 1320.8</w:t>
      </w:r>
      <w:r w:rsidR="0068015A">
        <w:rPr>
          <w:sz w:val="22"/>
          <w:szCs w:val="22"/>
        </w:rPr>
        <w:t xml:space="preserve">(d) </w:t>
      </w:r>
      <w:r w:rsidRPr="000B0615" w:rsidR="006544F9">
        <w:rPr>
          <w:sz w:val="22"/>
          <w:szCs w:val="22"/>
        </w:rPr>
        <w:t xml:space="preserve">seeking comment from the public on the information collection requirements contained in this </w:t>
      </w:r>
      <w:r w:rsidR="0068015A">
        <w:rPr>
          <w:sz w:val="22"/>
          <w:szCs w:val="22"/>
        </w:rPr>
        <w:t>supporting statement</w:t>
      </w:r>
      <w:r w:rsidRPr="000B0615" w:rsidR="00812901">
        <w:rPr>
          <w:sz w:val="22"/>
          <w:szCs w:val="22"/>
        </w:rPr>
        <w:t>.</w:t>
      </w:r>
      <w:r w:rsidR="0068015A">
        <w:rPr>
          <w:sz w:val="22"/>
          <w:szCs w:val="22"/>
        </w:rPr>
        <w:t xml:space="preserve">  </w:t>
      </w:r>
      <w:r w:rsidRPr="0068015A" w:rsidR="0068015A">
        <w:rPr>
          <w:i/>
          <w:sz w:val="22"/>
          <w:szCs w:val="22"/>
        </w:rPr>
        <w:t>See</w:t>
      </w:r>
      <w:r w:rsidR="0068015A">
        <w:rPr>
          <w:sz w:val="22"/>
          <w:szCs w:val="22"/>
        </w:rPr>
        <w:t xml:space="preserve"> </w:t>
      </w:r>
      <w:r w:rsidR="004E6BA1">
        <w:rPr>
          <w:sz w:val="22"/>
          <w:szCs w:val="22"/>
        </w:rPr>
        <w:t>90</w:t>
      </w:r>
      <w:r w:rsidR="00FD0382">
        <w:rPr>
          <w:sz w:val="22"/>
          <w:szCs w:val="22"/>
        </w:rPr>
        <w:t xml:space="preserve"> </w:t>
      </w:r>
      <w:r w:rsidR="0068015A">
        <w:rPr>
          <w:sz w:val="22"/>
          <w:szCs w:val="22"/>
        </w:rPr>
        <w:t>FR</w:t>
      </w:r>
      <w:r w:rsidR="004E6BA1">
        <w:rPr>
          <w:sz w:val="22"/>
          <w:szCs w:val="22"/>
        </w:rPr>
        <w:t xml:space="preserve"> 25265</w:t>
      </w:r>
      <w:r w:rsidR="00371A8B">
        <w:rPr>
          <w:sz w:val="22"/>
          <w:szCs w:val="22"/>
        </w:rPr>
        <w:t xml:space="preserve">, </w:t>
      </w:r>
      <w:r w:rsidR="004E6BA1">
        <w:rPr>
          <w:sz w:val="22"/>
          <w:szCs w:val="22"/>
        </w:rPr>
        <w:t>June 16, 2025</w:t>
      </w:r>
      <w:r w:rsidR="0068015A">
        <w:rPr>
          <w:sz w:val="22"/>
          <w:szCs w:val="22"/>
        </w:rPr>
        <w:t>.</w:t>
      </w:r>
      <w:r w:rsidRPr="00942735" w:rsidR="00812901">
        <w:rPr>
          <w:sz w:val="22"/>
          <w:szCs w:val="22"/>
        </w:rPr>
        <w:t xml:space="preserve">  </w:t>
      </w:r>
      <w:r w:rsidRPr="000B0615">
        <w:rPr>
          <w:sz w:val="22"/>
          <w:szCs w:val="22"/>
        </w:rPr>
        <w:t>No comments were received.</w:t>
      </w:r>
    </w:p>
    <w:p w:rsidR="00340330" w:rsidRPr="000B0615" w:rsidP="00340330" w14:paraId="4B26210A" w14:textId="77777777">
      <w:pPr>
        <w:rPr>
          <w:sz w:val="22"/>
          <w:szCs w:val="22"/>
        </w:rPr>
      </w:pPr>
    </w:p>
    <w:p w:rsidR="00340330" w:rsidRPr="000B0615" w:rsidP="00340330" w14:paraId="10CE678F" w14:textId="77777777">
      <w:pPr>
        <w:numPr>
          <w:ilvl w:val="0"/>
          <w:numId w:val="2"/>
        </w:numPr>
        <w:tabs>
          <w:tab w:val="num" w:pos="720"/>
          <w:tab w:val="left" w:pos="900"/>
        </w:tabs>
        <w:ind w:left="720" w:hanging="720"/>
        <w:rPr>
          <w:sz w:val="22"/>
          <w:szCs w:val="22"/>
        </w:rPr>
      </w:pPr>
      <w:r w:rsidRPr="000B0615">
        <w:rPr>
          <w:sz w:val="22"/>
          <w:szCs w:val="22"/>
        </w:rPr>
        <w:t>The Commission does not anticipate providing any payment or gift to respondents.</w:t>
      </w:r>
    </w:p>
    <w:p w:rsidR="00340330" w:rsidRPr="000B0615" w:rsidP="00340330" w14:paraId="59679424" w14:textId="77777777">
      <w:pPr>
        <w:tabs>
          <w:tab w:val="num" w:pos="720"/>
          <w:tab w:val="left" w:pos="900"/>
        </w:tabs>
        <w:rPr>
          <w:sz w:val="22"/>
          <w:szCs w:val="22"/>
        </w:rPr>
      </w:pPr>
    </w:p>
    <w:p w:rsidR="00340330" w:rsidRPr="000B0615" w:rsidP="00340330" w14:paraId="75AB15F2" w14:textId="77777777">
      <w:pPr>
        <w:tabs>
          <w:tab w:val="left" w:pos="720"/>
        </w:tabs>
        <w:ind w:left="720" w:hanging="720"/>
        <w:rPr>
          <w:sz w:val="22"/>
          <w:szCs w:val="22"/>
          <w:shd w:val="clear" w:color="auto" w:fill="FFFF99"/>
        </w:rPr>
      </w:pPr>
      <w:r w:rsidRPr="000B0615">
        <w:rPr>
          <w:sz w:val="22"/>
          <w:szCs w:val="22"/>
          <w:shd w:val="clear" w:color="auto" w:fill="FFFFFF"/>
        </w:rPr>
        <w:t>10.</w:t>
      </w:r>
      <w:r w:rsidRPr="000B0615">
        <w:rPr>
          <w:sz w:val="22"/>
          <w:szCs w:val="22"/>
          <w:shd w:val="clear" w:color="auto" w:fill="FFFFFF"/>
        </w:rPr>
        <w:tab/>
        <w:t>The Commission is not requesting that respondents submit confidential information to the Commission.</w:t>
      </w:r>
    </w:p>
    <w:p w:rsidR="00340330" w:rsidRPr="000B0615" w:rsidP="00340330" w14:paraId="3F75E232" w14:textId="77777777">
      <w:pPr>
        <w:ind w:left="360" w:hanging="360"/>
        <w:rPr>
          <w:sz w:val="22"/>
          <w:szCs w:val="22"/>
        </w:rPr>
      </w:pPr>
    </w:p>
    <w:p w:rsidR="00DF2A93" w:rsidP="00305BDC" w14:paraId="2873669E" w14:textId="77777777">
      <w:pPr>
        <w:rPr>
          <w:sz w:val="22"/>
          <w:szCs w:val="22"/>
          <w:shd w:val="clear" w:color="auto" w:fill="FFFFFF"/>
        </w:rPr>
      </w:pPr>
      <w:r w:rsidRPr="000B0615">
        <w:rPr>
          <w:sz w:val="22"/>
          <w:szCs w:val="22"/>
        </w:rPr>
        <w:t>11.</w:t>
      </w:r>
      <w:r w:rsidRPr="000B0615">
        <w:rPr>
          <w:sz w:val="22"/>
          <w:szCs w:val="22"/>
        </w:rPr>
        <w:tab/>
      </w:r>
      <w:r w:rsidRPr="000B0615">
        <w:rPr>
          <w:sz w:val="22"/>
          <w:szCs w:val="22"/>
          <w:shd w:val="clear" w:color="auto" w:fill="FFFFFF"/>
        </w:rPr>
        <w:t xml:space="preserve">This information collection does not raise any questions or issues of a sensitive nature.  </w:t>
      </w:r>
    </w:p>
    <w:p w:rsidR="0068015A" w:rsidRPr="000B0615" w:rsidP="00305BDC" w14:paraId="6E3475B1" w14:textId="77777777">
      <w:pPr>
        <w:rPr>
          <w:sz w:val="22"/>
          <w:szCs w:val="22"/>
          <w:shd w:val="clear" w:color="auto" w:fill="FFFFFF"/>
        </w:rPr>
      </w:pPr>
    </w:p>
    <w:p w:rsidR="00340330" w:rsidRPr="000B0615" w:rsidP="00340330" w14:paraId="6D93ED47" w14:textId="77777777">
      <w:pPr>
        <w:rPr>
          <w:sz w:val="22"/>
          <w:szCs w:val="22"/>
        </w:rPr>
      </w:pPr>
      <w:r w:rsidRPr="000B0615">
        <w:rPr>
          <w:sz w:val="22"/>
          <w:szCs w:val="22"/>
        </w:rPr>
        <w:t>12.</w:t>
      </w:r>
      <w:r w:rsidRPr="000B0615">
        <w:rPr>
          <w:sz w:val="22"/>
          <w:szCs w:val="22"/>
        </w:rPr>
        <w:tab/>
        <w:t>Estimates of the hour burden for collection of information are as follows:</w:t>
      </w:r>
    </w:p>
    <w:p w:rsidR="00340330" w:rsidRPr="000B0615" w:rsidP="00340330" w14:paraId="5F029EDF" w14:textId="77777777">
      <w:pPr>
        <w:rPr>
          <w:sz w:val="22"/>
          <w:szCs w:val="22"/>
        </w:rPr>
      </w:pPr>
    </w:p>
    <w:p w:rsidR="00340330" w:rsidRPr="000B0615" w:rsidP="00281F38" w14:paraId="0295C860" w14:textId="77777777">
      <w:pPr>
        <w:rPr>
          <w:b/>
          <w:sz w:val="22"/>
          <w:szCs w:val="22"/>
        </w:rPr>
      </w:pPr>
      <w:r w:rsidRPr="000B0615">
        <w:rPr>
          <w:b/>
          <w:sz w:val="22"/>
          <w:szCs w:val="22"/>
        </w:rPr>
        <w:tab/>
        <w:t>Number of Respondents:  56,075</w:t>
      </w:r>
    </w:p>
    <w:p w:rsidR="00340330" w:rsidRPr="000B0615" w:rsidP="00340330" w14:paraId="4734CBEA" w14:textId="77777777">
      <w:pPr>
        <w:ind w:firstLine="720"/>
        <w:rPr>
          <w:b/>
          <w:sz w:val="22"/>
          <w:szCs w:val="22"/>
          <w:u w:val="single"/>
        </w:rPr>
      </w:pPr>
    </w:p>
    <w:p w:rsidR="00340330" w:rsidRPr="000B0615" w:rsidP="00340330" w14:paraId="4F7F9CF6" w14:textId="77777777">
      <w:pPr>
        <w:ind w:firstLine="720"/>
        <w:rPr>
          <w:b/>
          <w:sz w:val="22"/>
          <w:szCs w:val="22"/>
          <w:u w:val="single"/>
        </w:rPr>
      </w:pPr>
      <w:r w:rsidRPr="000B0615">
        <w:rPr>
          <w:b/>
          <w:sz w:val="22"/>
          <w:szCs w:val="22"/>
          <w:u w:val="single"/>
        </w:rPr>
        <w:t xml:space="preserve">47 </w:t>
      </w:r>
      <w:r w:rsidR="000D3615">
        <w:rPr>
          <w:b/>
          <w:sz w:val="22"/>
          <w:szCs w:val="22"/>
          <w:u w:val="single"/>
        </w:rPr>
        <w:t>CFR</w:t>
      </w:r>
      <w:r w:rsidRPr="000B0615">
        <w:rPr>
          <w:b/>
          <w:sz w:val="22"/>
          <w:szCs w:val="22"/>
          <w:u w:val="single"/>
        </w:rPr>
        <w:t xml:space="preserve"> </w:t>
      </w:r>
      <w:r w:rsidR="00826B04">
        <w:rPr>
          <w:b/>
          <w:sz w:val="22"/>
          <w:szCs w:val="22"/>
          <w:u w:val="single"/>
        </w:rPr>
        <w:t xml:space="preserve">§ </w:t>
      </w:r>
      <w:r w:rsidRPr="000B0615">
        <w:rPr>
          <w:b/>
          <w:sz w:val="22"/>
          <w:szCs w:val="22"/>
          <w:u w:val="single"/>
        </w:rPr>
        <w:t>64.703(b)</w:t>
      </w:r>
    </w:p>
    <w:p w:rsidR="00340330" w:rsidRPr="000B0615" w:rsidP="00340330" w14:paraId="6DB568C0" w14:textId="77777777">
      <w:pPr>
        <w:tabs>
          <w:tab w:val="num" w:pos="720"/>
          <w:tab w:val="left" w:pos="900"/>
        </w:tabs>
        <w:ind w:left="720" w:hanging="720"/>
        <w:rPr>
          <w:sz w:val="22"/>
          <w:szCs w:val="22"/>
        </w:rPr>
      </w:pPr>
      <w:r w:rsidRPr="000B0615">
        <w:rPr>
          <w:sz w:val="22"/>
          <w:szCs w:val="22"/>
        </w:rPr>
        <w:tab/>
      </w:r>
    </w:p>
    <w:p w:rsidR="00340330" w:rsidRPr="000B0615" w:rsidP="00340330" w14:paraId="6380705B" w14:textId="77777777">
      <w:pPr>
        <w:tabs>
          <w:tab w:val="num" w:pos="720"/>
          <w:tab w:val="left" w:pos="900"/>
        </w:tabs>
        <w:ind w:left="720" w:hanging="720"/>
        <w:rPr>
          <w:sz w:val="22"/>
          <w:szCs w:val="22"/>
        </w:rPr>
      </w:pPr>
      <w:r w:rsidRPr="000B0615">
        <w:rPr>
          <w:sz w:val="22"/>
          <w:szCs w:val="22"/>
        </w:rPr>
        <w:tab/>
        <w:t xml:space="preserve">The Commission estimates that there will be approximately 56,075 aggregators (respondents) (which include payphone owners, hotels and motels, hospitals, universities and colleges) that will post information on or near approximately 5.311 million aggregator telephones.    </w:t>
      </w:r>
    </w:p>
    <w:p w:rsidR="00340330" w:rsidRPr="000B0615" w:rsidP="00340330" w14:paraId="51632E65" w14:textId="77777777">
      <w:pPr>
        <w:tabs>
          <w:tab w:val="num" w:pos="720"/>
          <w:tab w:val="left" w:pos="900"/>
        </w:tabs>
        <w:ind w:left="720" w:hanging="720"/>
        <w:rPr>
          <w:sz w:val="22"/>
          <w:szCs w:val="22"/>
        </w:rPr>
      </w:pPr>
    </w:p>
    <w:p w:rsidR="00340330" w:rsidRPr="000B0615" w:rsidP="00340330" w14:paraId="64F7C2A3" w14:textId="77777777">
      <w:pPr>
        <w:tabs>
          <w:tab w:val="num" w:pos="720"/>
          <w:tab w:val="left" w:pos="900"/>
        </w:tabs>
        <w:ind w:left="720" w:hanging="720"/>
        <w:rPr>
          <w:sz w:val="22"/>
          <w:szCs w:val="22"/>
        </w:rPr>
      </w:pPr>
      <w:r w:rsidRPr="000B0615">
        <w:rPr>
          <w:sz w:val="22"/>
          <w:szCs w:val="22"/>
        </w:rPr>
        <w:tab/>
        <w:t xml:space="preserve">This process will be done “on occasion,” and it will require respondents approximately 1 minute to complete this process per telephone.  </w:t>
      </w:r>
    </w:p>
    <w:p w:rsidR="00340330" w:rsidRPr="000B0615" w:rsidP="00340330" w14:paraId="0FF2E147" w14:textId="77777777">
      <w:pPr>
        <w:tabs>
          <w:tab w:val="num" w:pos="720"/>
          <w:tab w:val="left" w:pos="900"/>
        </w:tabs>
        <w:ind w:left="720" w:hanging="720"/>
        <w:rPr>
          <w:sz w:val="22"/>
          <w:szCs w:val="22"/>
        </w:rPr>
      </w:pPr>
      <w:r w:rsidRPr="000B0615">
        <w:rPr>
          <w:sz w:val="22"/>
          <w:szCs w:val="22"/>
        </w:rPr>
        <w:tab/>
      </w:r>
    </w:p>
    <w:p w:rsidR="00340330" w:rsidRPr="000B0615" w:rsidP="00340330" w14:paraId="73B91025" w14:textId="77777777">
      <w:pPr>
        <w:tabs>
          <w:tab w:val="num" w:pos="720"/>
          <w:tab w:val="left" w:pos="900"/>
        </w:tabs>
        <w:ind w:left="720" w:hanging="720"/>
        <w:rPr>
          <w:b/>
          <w:sz w:val="22"/>
          <w:szCs w:val="22"/>
        </w:rPr>
      </w:pPr>
      <w:r w:rsidRPr="000B0615">
        <w:rPr>
          <w:sz w:val="22"/>
          <w:szCs w:val="22"/>
        </w:rPr>
        <w:tab/>
      </w:r>
      <w:r w:rsidRPr="000B0615">
        <w:rPr>
          <w:b/>
          <w:sz w:val="22"/>
          <w:szCs w:val="22"/>
        </w:rPr>
        <w:t xml:space="preserve">Annual Responses: </w:t>
      </w:r>
    </w:p>
    <w:p w:rsidR="00340330" w:rsidRPr="000B0615" w:rsidP="00340330" w14:paraId="1DAD53DB" w14:textId="77777777">
      <w:pPr>
        <w:tabs>
          <w:tab w:val="num" w:pos="720"/>
          <w:tab w:val="left" w:pos="900"/>
        </w:tabs>
        <w:ind w:left="720" w:hanging="720"/>
        <w:rPr>
          <w:b/>
          <w:sz w:val="22"/>
          <w:szCs w:val="22"/>
        </w:rPr>
      </w:pPr>
    </w:p>
    <w:p w:rsidR="00340330" w:rsidRPr="000B0615" w:rsidP="00340330" w14:paraId="1D76A824" w14:textId="77777777">
      <w:pPr>
        <w:tabs>
          <w:tab w:val="num" w:pos="720"/>
          <w:tab w:val="left" w:pos="900"/>
        </w:tabs>
        <w:ind w:left="720" w:hanging="720"/>
        <w:rPr>
          <w:b/>
          <w:sz w:val="22"/>
          <w:szCs w:val="22"/>
        </w:rPr>
      </w:pPr>
      <w:r w:rsidRPr="000B0615">
        <w:rPr>
          <w:sz w:val="22"/>
          <w:szCs w:val="22"/>
        </w:rPr>
        <w:tab/>
        <w:t xml:space="preserve">5,311,000 aggregator phones x 1 posting/phone = </w:t>
      </w:r>
      <w:r w:rsidRPr="000B0615">
        <w:rPr>
          <w:b/>
          <w:sz w:val="22"/>
          <w:szCs w:val="22"/>
        </w:rPr>
        <w:t>5,311,000 postings (responses)</w:t>
      </w:r>
      <w:r w:rsidRPr="000B0615">
        <w:rPr>
          <w:b/>
          <w:sz w:val="22"/>
          <w:szCs w:val="22"/>
        </w:rPr>
        <w:tab/>
      </w:r>
    </w:p>
    <w:p w:rsidR="00340330" w:rsidRPr="000B0615" w:rsidP="00340330" w14:paraId="6C1D2DAA" w14:textId="77777777">
      <w:pPr>
        <w:tabs>
          <w:tab w:val="num" w:pos="720"/>
          <w:tab w:val="left" w:pos="900"/>
        </w:tabs>
        <w:ind w:left="720" w:hanging="720"/>
        <w:rPr>
          <w:sz w:val="22"/>
          <w:szCs w:val="22"/>
        </w:rPr>
      </w:pPr>
    </w:p>
    <w:p w:rsidR="00340330" w:rsidRPr="000B0615" w:rsidP="00340330" w14:paraId="366DC2A0" w14:textId="77777777">
      <w:pPr>
        <w:tabs>
          <w:tab w:val="num" w:pos="720"/>
          <w:tab w:val="left" w:pos="900"/>
        </w:tabs>
        <w:ind w:left="720" w:hanging="720"/>
        <w:rPr>
          <w:b/>
          <w:sz w:val="22"/>
          <w:szCs w:val="22"/>
        </w:rPr>
      </w:pPr>
      <w:r w:rsidRPr="000B0615">
        <w:rPr>
          <w:sz w:val="22"/>
          <w:szCs w:val="22"/>
        </w:rPr>
        <w:tab/>
      </w:r>
      <w:r w:rsidRPr="000B0615">
        <w:rPr>
          <w:b/>
          <w:sz w:val="22"/>
          <w:szCs w:val="22"/>
        </w:rPr>
        <w:t>Annual Burden Hours:</w:t>
      </w:r>
    </w:p>
    <w:p w:rsidR="00340330" w:rsidRPr="000B0615" w:rsidP="00340330" w14:paraId="2BD0554F" w14:textId="77777777">
      <w:pPr>
        <w:tabs>
          <w:tab w:val="num" w:pos="720"/>
          <w:tab w:val="left" w:pos="900"/>
        </w:tabs>
        <w:ind w:left="720" w:hanging="720"/>
        <w:rPr>
          <w:sz w:val="22"/>
          <w:szCs w:val="22"/>
        </w:rPr>
      </w:pPr>
    </w:p>
    <w:p w:rsidR="00340330" w:rsidRPr="000B0615" w:rsidP="00340330" w14:paraId="726581BA" w14:textId="77777777">
      <w:pPr>
        <w:tabs>
          <w:tab w:val="num" w:pos="720"/>
          <w:tab w:val="left" w:pos="900"/>
        </w:tabs>
        <w:ind w:left="720" w:hanging="720"/>
        <w:rPr>
          <w:b/>
          <w:sz w:val="22"/>
          <w:szCs w:val="22"/>
        </w:rPr>
      </w:pPr>
      <w:r w:rsidRPr="000B0615">
        <w:rPr>
          <w:sz w:val="22"/>
          <w:szCs w:val="22"/>
        </w:rPr>
        <w:tab/>
        <w:t xml:space="preserve">5,311,000 aggregator telephones x </w:t>
      </w:r>
      <w:r w:rsidRPr="000B0615" w:rsidR="00281F38">
        <w:rPr>
          <w:sz w:val="22"/>
          <w:szCs w:val="22"/>
        </w:rPr>
        <w:t>.017 hours (</w:t>
      </w:r>
      <w:r w:rsidRPr="000B0615">
        <w:rPr>
          <w:sz w:val="22"/>
          <w:szCs w:val="22"/>
        </w:rPr>
        <w:t>1 minute</w:t>
      </w:r>
      <w:r w:rsidRPr="000B0615" w:rsidR="00281F38">
        <w:rPr>
          <w:sz w:val="22"/>
          <w:szCs w:val="22"/>
        </w:rPr>
        <w:t>)</w:t>
      </w:r>
      <w:r w:rsidRPr="000B0615">
        <w:rPr>
          <w:sz w:val="22"/>
          <w:szCs w:val="22"/>
        </w:rPr>
        <w:t>/posting information =</w:t>
      </w:r>
      <w:r w:rsidRPr="000B0615" w:rsidR="00E62CF9">
        <w:rPr>
          <w:sz w:val="22"/>
          <w:szCs w:val="22"/>
        </w:rPr>
        <w:t xml:space="preserve"> </w:t>
      </w:r>
      <w:r w:rsidRPr="000B0615" w:rsidR="00E62CF9">
        <w:rPr>
          <w:b/>
          <w:sz w:val="22"/>
          <w:szCs w:val="22"/>
        </w:rPr>
        <w:t>90,287 hours</w:t>
      </w:r>
    </w:p>
    <w:p w:rsidR="00E62CF9" w:rsidRPr="000B0615" w:rsidP="00340330" w14:paraId="3B2EA818" w14:textId="77777777">
      <w:pPr>
        <w:tabs>
          <w:tab w:val="num" w:pos="720"/>
          <w:tab w:val="left" w:pos="900"/>
        </w:tabs>
        <w:ind w:left="720" w:hanging="720"/>
        <w:rPr>
          <w:b/>
          <w:sz w:val="22"/>
          <w:szCs w:val="22"/>
        </w:rPr>
      </w:pPr>
    </w:p>
    <w:p w:rsidR="00E62CF9" w:rsidRPr="000B0615" w:rsidP="00E62CF9" w14:paraId="07F36D60" w14:textId="77777777">
      <w:pPr>
        <w:tabs>
          <w:tab w:val="num" w:pos="720"/>
          <w:tab w:val="left" w:pos="900"/>
        </w:tabs>
        <w:ind w:left="720" w:hanging="720"/>
        <w:rPr>
          <w:b/>
          <w:sz w:val="22"/>
          <w:szCs w:val="22"/>
        </w:rPr>
      </w:pPr>
      <w:r w:rsidRPr="000B0615">
        <w:rPr>
          <w:b/>
          <w:sz w:val="22"/>
          <w:szCs w:val="22"/>
        </w:rPr>
        <w:tab/>
        <w:t xml:space="preserve">Annual “In-House” Cost to Respondents: </w:t>
      </w:r>
    </w:p>
    <w:p w:rsidR="00E62CF9" w:rsidRPr="000B0615" w:rsidP="00E62CF9" w14:paraId="20B7A862" w14:textId="77777777">
      <w:pPr>
        <w:tabs>
          <w:tab w:val="num" w:pos="720"/>
          <w:tab w:val="left" w:pos="900"/>
        </w:tabs>
        <w:ind w:left="720" w:hanging="720"/>
        <w:rPr>
          <w:sz w:val="22"/>
          <w:szCs w:val="22"/>
        </w:rPr>
      </w:pPr>
    </w:p>
    <w:p w:rsidR="00E62CF9" w:rsidRPr="000B0615" w:rsidP="00E62CF9" w14:paraId="40C38D65" w14:textId="77777777">
      <w:pPr>
        <w:tabs>
          <w:tab w:val="num" w:pos="720"/>
          <w:tab w:val="left" w:pos="900"/>
        </w:tabs>
        <w:ind w:left="720" w:hanging="720"/>
        <w:rPr>
          <w:sz w:val="22"/>
          <w:szCs w:val="22"/>
        </w:rPr>
      </w:pPr>
      <w:r w:rsidRPr="000B0615">
        <w:rPr>
          <w:sz w:val="22"/>
          <w:szCs w:val="22"/>
        </w:rPr>
        <w:tab/>
        <w:t>The Commission believes that the respondents will use “in-house” personnel whose salary is comparable to a middle level federal employee (GS-5/5), to post information on or near telephones.  Therefore, the Commission estimates respondents’ “in-house” cost to be about $</w:t>
      </w:r>
      <w:r w:rsidR="005C420B">
        <w:rPr>
          <w:sz w:val="22"/>
          <w:szCs w:val="22"/>
        </w:rPr>
        <w:t>22.20</w:t>
      </w:r>
      <w:r w:rsidRPr="000B0615">
        <w:rPr>
          <w:sz w:val="22"/>
          <w:szCs w:val="22"/>
        </w:rPr>
        <w:t xml:space="preserve"> per hour to comply with the requirement of 47 </w:t>
      </w:r>
      <w:r w:rsidR="000D3615">
        <w:rPr>
          <w:sz w:val="22"/>
          <w:szCs w:val="22"/>
        </w:rPr>
        <w:t>CFR</w:t>
      </w:r>
      <w:r w:rsidRPr="000B0615">
        <w:rPr>
          <w:sz w:val="22"/>
          <w:szCs w:val="22"/>
        </w:rPr>
        <w:t xml:space="preserve"> </w:t>
      </w:r>
      <w:r w:rsidR="0068015A">
        <w:rPr>
          <w:sz w:val="22"/>
          <w:szCs w:val="22"/>
        </w:rPr>
        <w:t xml:space="preserve">§ </w:t>
      </w:r>
      <w:r w:rsidRPr="000B0615">
        <w:rPr>
          <w:sz w:val="22"/>
          <w:szCs w:val="22"/>
        </w:rPr>
        <w:t>64</w:t>
      </w:r>
      <w:r w:rsidR="00AB7FE7">
        <w:rPr>
          <w:sz w:val="22"/>
          <w:szCs w:val="22"/>
        </w:rPr>
        <w:t>.</w:t>
      </w:r>
      <w:r w:rsidRPr="000B0615">
        <w:rPr>
          <w:sz w:val="22"/>
          <w:szCs w:val="22"/>
        </w:rPr>
        <w:t>703(b):</w:t>
      </w:r>
    </w:p>
    <w:p w:rsidR="00E62CF9" w:rsidRPr="000B0615" w:rsidP="00E62CF9" w14:paraId="291434B5" w14:textId="77777777">
      <w:pPr>
        <w:tabs>
          <w:tab w:val="num" w:pos="720"/>
          <w:tab w:val="left" w:pos="900"/>
        </w:tabs>
        <w:ind w:left="720" w:hanging="720"/>
        <w:rPr>
          <w:sz w:val="22"/>
          <w:szCs w:val="22"/>
        </w:rPr>
      </w:pPr>
    </w:p>
    <w:p w:rsidR="00E62CF9" w:rsidRPr="000B0615" w:rsidP="00E62CF9" w14:paraId="0736D581" w14:textId="77777777">
      <w:pPr>
        <w:tabs>
          <w:tab w:val="num" w:pos="720"/>
          <w:tab w:val="left" w:pos="900"/>
        </w:tabs>
        <w:ind w:left="720" w:hanging="720"/>
        <w:rPr>
          <w:sz w:val="22"/>
          <w:szCs w:val="22"/>
        </w:rPr>
      </w:pPr>
      <w:r w:rsidRPr="000B0615">
        <w:rPr>
          <w:sz w:val="22"/>
          <w:szCs w:val="22"/>
        </w:rPr>
        <w:tab/>
        <w:t>90,287 hours x $</w:t>
      </w:r>
      <w:r w:rsidR="00EF7677">
        <w:rPr>
          <w:sz w:val="22"/>
          <w:szCs w:val="22"/>
        </w:rPr>
        <w:t>25.06</w:t>
      </w:r>
      <w:r w:rsidRPr="000B0615">
        <w:rPr>
          <w:sz w:val="22"/>
          <w:szCs w:val="22"/>
        </w:rPr>
        <w:t xml:space="preserve">/hour = </w:t>
      </w:r>
      <w:r w:rsidRPr="000B0615">
        <w:rPr>
          <w:b/>
          <w:sz w:val="22"/>
          <w:szCs w:val="22"/>
        </w:rPr>
        <w:t>$</w:t>
      </w:r>
      <w:r w:rsidR="00DF2C7D">
        <w:rPr>
          <w:b/>
          <w:sz w:val="22"/>
          <w:szCs w:val="22"/>
        </w:rPr>
        <w:t>2,262,592</w:t>
      </w:r>
    </w:p>
    <w:p w:rsidR="00340330" w:rsidRPr="000B0615" w:rsidP="00340330" w14:paraId="5DA96FDB" w14:textId="77777777">
      <w:pPr>
        <w:tabs>
          <w:tab w:val="num" w:pos="720"/>
          <w:tab w:val="left" w:pos="900"/>
        </w:tabs>
        <w:ind w:left="720" w:hanging="720"/>
        <w:rPr>
          <w:b/>
          <w:sz w:val="22"/>
          <w:szCs w:val="22"/>
        </w:rPr>
      </w:pPr>
    </w:p>
    <w:p w:rsidR="00340330" w:rsidRPr="000B0615" w:rsidP="00340330" w14:paraId="48351507" w14:textId="77777777">
      <w:pPr>
        <w:tabs>
          <w:tab w:val="num" w:pos="720"/>
          <w:tab w:val="left" w:pos="900"/>
        </w:tabs>
        <w:ind w:left="720" w:hanging="720"/>
        <w:rPr>
          <w:b/>
          <w:sz w:val="22"/>
          <w:szCs w:val="22"/>
          <w:u w:val="single"/>
        </w:rPr>
      </w:pPr>
      <w:r w:rsidRPr="000B0615">
        <w:rPr>
          <w:b/>
          <w:sz w:val="22"/>
          <w:szCs w:val="22"/>
        </w:rPr>
        <w:tab/>
      </w:r>
      <w:r w:rsidRPr="000B0615">
        <w:rPr>
          <w:b/>
          <w:sz w:val="22"/>
          <w:szCs w:val="22"/>
          <w:u w:val="single"/>
        </w:rPr>
        <w:t xml:space="preserve">47 </w:t>
      </w:r>
      <w:r w:rsidR="000D3615">
        <w:rPr>
          <w:b/>
          <w:sz w:val="22"/>
          <w:szCs w:val="22"/>
          <w:u w:val="single"/>
        </w:rPr>
        <w:t>CFR</w:t>
      </w:r>
      <w:r w:rsidRPr="000B0615">
        <w:rPr>
          <w:b/>
          <w:sz w:val="22"/>
          <w:szCs w:val="22"/>
          <w:u w:val="single"/>
        </w:rPr>
        <w:t xml:space="preserve"> </w:t>
      </w:r>
      <w:r w:rsidR="00AB7FE7">
        <w:rPr>
          <w:b/>
          <w:sz w:val="22"/>
          <w:szCs w:val="22"/>
          <w:u w:val="single"/>
        </w:rPr>
        <w:t xml:space="preserve">§ </w:t>
      </w:r>
      <w:r w:rsidRPr="000B0615">
        <w:rPr>
          <w:b/>
          <w:sz w:val="22"/>
          <w:szCs w:val="22"/>
          <w:u w:val="single"/>
        </w:rPr>
        <w:t>64.703(c)</w:t>
      </w:r>
    </w:p>
    <w:p w:rsidR="00340330" w:rsidRPr="000B0615" w:rsidP="00340330" w14:paraId="377479AC" w14:textId="77777777">
      <w:pPr>
        <w:tabs>
          <w:tab w:val="num" w:pos="720"/>
          <w:tab w:val="left" w:pos="900"/>
        </w:tabs>
        <w:ind w:left="720" w:hanging="720"/>
        <w:rPr>
          <w:sz w:val="22"/>
          <w:szCs w:val="22"/>
        </w:rPr>
      </w:pPr>
      <w:r w:rsidRPr="000B0615">
        <w:rPr>
          <w:sz w:val="22"/>
          <w:szCs w:val="22"/>
        </w:rPr>
        <w:tab/>
      </w:r>
    </w:p>
    <w:p w:rsidR="00340330" w:rsidRPr="000B0615" w:rsidP="00340330" w14:paraId="0A6C83F2" w14:textId="77777777">
      <w:pPr>
        <w:tabs>
          <w:tab w:val="num" w:pos="720"/>
          <w:tab w:val="left" w:pos="900"/>
        </w:tabs>
        <w:ind w:left="720" w:hanging="720"/>
        <w:rPr>
          <w:sz w:val="22"/>
          <w:szCs w:val="22"/>
        </w:rPr>
      </w:pPr>
      <w:r w:rsidRPr="000B0615">
        <w:rPr>
          <w:sz w:val="22"/>
          <w:szCs w:val="22"/>
        </w:rPr>
        <w:tab/>
        <w:t>The Commission estimates that approximately 50% of the 56,075 aggregators (28,038 respondents) will design and update their own postings, requiring 3 hours per prototype; another 25% of respondents will contract out for this prototype posting</w:t>
      </w:r>
      <w:r w:rsidRPr="000B0615" w:rsidR="00F01BE6">
        <w:rPr>
          <w:sz w:val="22"/>
          <w:szCs w:val="22"/>
        </w:rPr>
        <w:t>,</w:t>
      </w:r>
      <w:r w:rsidRPr="000B0615">
        <w:rPr>
          <w:sz w:val="22"/>
          <w:szCs w:val="22"/>
        </w:rPr>
        <w:t xml:space="preserve"> which can be found in question number 13 of this supporting statement.  The posted information must be updated within 30 days of a presubscribed inter-exchange carrier (PIC)</w:t>
      </w:r>
      <w:r w:rsidRPr="000B0615" w:rsidR="00F01BE6">
        <w:rPr>
          <w:sz w:val="22"/>
          <w:szCs w:val="22"/>
        </w:rPr>
        <w:t xml:space="preserve"> change</w:t>
      </w:r>
      <w:r w:rsidRPr="000B0615">
        <w:rPr>
          <w:sz w:val="22"/>
          <w:szCs w:val="22"/>
        </w:rPr>
        <w:t>.  The remaining 25% of the respondents will receive this posted information from third parties, such as operator service providers, free of charge as part of their business service package.</w:t>
      </w:r>
    </w:p>
    <w:p w:rsidR="00340330" w:rsidRPr="000B0615" w:rsidP="00340330" w14:paraId="000E80D5" w14:textId="77777777">
      <w:pPr>
        <w:tabs>
          <w:tab w:val="num" w:pos="720"/>
          <w:tab w:val="left" w:pos="900"/>
        </w:tabs>
        <w:ind w:left="720" w:hanging="720"/>
        <w:rPr>
          <w:sz w:val="22"/>
          <w:szCs w:val="22"/>
        </w:rPr>
      </w:pPr>
    </w:p>
    <w:p w:rsidR="00340330" w:rsidRPr="000B0615" w:rsidP="00340330" w14:paraId="47711B68" w14:textId="77777777">
      <w:pPr>
        <w:tabs>
          <w:tab w:val="num" w:pos="720"/>
          <w:tab w:val="left" w:pos="900"/>
        </w:tabs>
        <w:ind w:left="720" w:hanging="720"/>
        <w:rPr>
          <w:sz w:val="22"/>
          <w:szCs w:val="22"/>
        </w:rPr>
      </w:pPr>
      <w:r w:rsidRPr="000B0615">
        <w:rPr>
          <w:sz w:val="22"/>
          <w:szCs w:val="22"/>
        </w:rPr>
        <w:tab/>
      </w:r>
      <w:r w:rsidRPr="000B0615">
        <w:rPr>
          <w:b/>
          <w:sz w:val="22"/>
          <w:szCs w:val="22"/>
        </w:rPr>
        <w:t xml:space="preserve">Number of Annual Responses:  </w:t>
      </w:r>
    </w:p>
    <w:p w:rsidR="00340330" w:rsidRPr="000B0615" w:rsidP="00340330" w14:paraId="59354F2E" w14:textId="77777777">
      <w:pPr>
        <w:tabs>
          <w:tab w:val="num" w:pos="720"/>
          <w:tab w:val="left" w:pos="900"/>
        </w:tabs>
        <w:ind w:left="720" w:hanging="720"/>
        <w:rPr>
          <w:sz w:val="22"/>
          <w:szCs w:val="22"/>
        </w:rPr>
      </w:pPr>
    </w:p>
    <w:p w:rsidR="00340330" w:rsidRPr="000B0615" w:rsidP="00340330" w14:paraId="6D2B7C7D" w14:textId="77777777">
      <w:pPr>
        <w:tabs>
          <w:tab w:val="num" w:pos="720"/>
          <w:tab w:val="left" w:pos="900"/>
        </w:tabs>
        <w:ind w:left="720" w:hanging="720"/>
        <w:rPr>
          <w:sz w:val="22"/>
          <w:szCs w:val="22"/>
        </w:rPr>
      </w:pPr>
      <w:r w:rsidRPr="000B0615">
        <w:rPr>
          <w:sz w:val="22"/>
          <w:szCs w:val="22"/>
        </w:rPr>
        <w:tab/>
        <w:t xml:space="preserve">28,038 respondents x 1/design &amp; update posting = </w:t>
      </w:r>
      <w:r w:rsidRPr="000B0615">
        <w:rPr>
          <w:b/>
          <w:sz w:val="22"/>
          <w:szCs w:val="22"/>
        </w:rPr>
        <w:t>28,038 responses</w:t>
      </w:r>
    </w:p>
    <w:p w:rsidR="00340330" w:rsidRPr="000B0615" w:rsidP="00340330" w14:paraId="3853AD04" w14:textId="77777777">
      <w:pPr>
        <w:tabs>
          <w:tab w:val="num" w:pos="720"/>
          <w:tab w:val="left" w:pos="900"/>
        </w:tabs>
        <w:ind w:left="720" w:hanging="720"/>
        <w:rPr>
          <w:sz w:val="22"/>
          <w:szCs w:val="22"/>
        </w:rPr>
      </w:pPr>
    </w:p>
    <w:p w:rsidR="00340330" w:rsidRPr="000B0615" w:rsidP="00340330" w14:paraId="7D21319D" w14:textId="77777777">
      <w:pPr>
        <w:tabs>
          <w:tab w:val="num" w:pos="720"/>
          <w:tab w:val="left" w:pos="900"/>
        </w:tabs>
        <w:ind w:left="720" w:hanging="720"/>
        <w:rPr>
          <w:b/>
          <w:sz w:val="22"/>
          <w:szCs w:val="22"/>
        </w:rPr>
      </w:pPr>
      <w:r w:rsidRPr="000B0615">
        <w:rPr>
          <w:sz w:val="22"/>
          <w:szCs w:val="22"/>
        </w:rPr>
        <w:tab/>
      </w:r>
      <w:r w:rsidRPr="000B0615">
        <w:rPr>
          <w:b/>
          <w:sz w:val="22"/>
          <w:szCs w:val="22"/>
        </w:rPr>
        <w:t>Annual Burden Hours:</w:t>
      </w:r>
    </w:p>
    <w:p w:rsidR="00340330" w:rsidRPr="000B0615" w:rsidP="00340330" w14:paraId="7D7958F4" w14:textId="77777777">
      <w:pPr>
        <w:tabs>
          <w:tab w:val="num" w:pos="720"/>
          <w:tab w:val="left" w:pos="900"/>
        </w:tabs>
        <w:ind w:left="720" w:hanging="720"/>
        <w:rPr>
          <w:sz w:val="22"/>
          <w:szCs w:val="22"/>
        </w:rPr>
      </w:pPr>
    </w:p>
    <w:p w:rsidR="00340330" w:rsidRPr="000B0615" w:rsidP="00340330" w14:paraId="335691D6" w14:textId="77777777">
      <w:pPr>
        <w:tabs>
          <w:tab w:val="num" w:pos="720"/>
          <w:tab w:val="left" w:pos="900"/>
        </w:tabs>
        <w:ind w:left="720" w:hanging="720"/>
        <w:rPr>
          <w:sz w:val="22"/>
          <w:szCs w:val="22"/>
        </w:rPr>
      </w:pPr>
      <w:r w:rsidRPr="000B0615">
        <w:rPr>
          <w:sz w:val="22"/>
          <w:szCs w:val="22"/>
        </w:rPr>
        <w:tab/>
        <w:t xml:space="preserve">28,038 responses x 3 hours/design and print postings = </w:t>
      </w:r>
      <w:r w:rsidRPr="000B0615">
        <w:rPr>
          <w:b/>
          <w:sz w:val="22"/>
          <w:szCs w:val="22"/>
        </w:rPr>
        <w:t>84,114 hours</w:t>
      </w:r>
    </w:p>
    <w:p w:rsidR="00340330" w:rsidRPr="000B0615" w:rsidP="00340330" w14:paraId="1B2588B3" w14:textId="77777777">
      <w:pPr>
        <w:tabs>
          <w:tab w:val="num" w:pos="720"/>
          <w:tab w:val="left" w:pos="900"/>
        </w:tabs>
        <w:ind w:left="720" w:hanging="720"/>
        <w:rPr>
          <w:sz w:val="22"/>
          <w:szCs w:val="22"/>
        </w:rPr>
      </w:pPr>
    </w:p>
    <w:p w:rsidR="00E62CF9" w:rsidRPr="000B0615" w:rsidP="00340330" w14:paraId="09F9F939" w14:textId="77777777">
      <w:pPr>
        <w:tabs>
          <w:tab w:val="num" w:pos="720"/>
          <w:tab w:val="left" w:pos="900"/>
        </w:tabs>
        <w:ind w:left="720" w:hanging="720"/>
        <w:rPr>
          <w:sz w:val="22"/>
          <w:szCs w:val="22"/>
        </w:rPr>
      </w:pPr>
      <w:r w:rsidRPr="000B0615">
        <w:rPr>
          <w:sz w:val="22"/>
          <w:szCs w:val="22"/>
        </w:rPr>
        <w:tab/>
      </w:r>
      <w:r w:rsidRPr="000B0615">
        <w:rPr>
          <w:b/>
          <w:sz w:val="22"/>
          <w:szCs w:val="22"/>
        </w:rPr>
        <w:t>Annual “In-House” Cost to Respondents:</w:t>
      </w:r>
    </w:p>
    <w:p w:rsidR="006E19AD" w:rsidRPr="000B0615" w:rsidP="00E62CF9" w14:paraId="55DAAA0A" w14:textId="77777777">
      <w:pPr>
        <w:tabs>
          <w:tab w:val="num" w:pos="720"/>
          <w:tab w:val="left" w:pos="900"/>
        </w:tabs>
        <w:ind w:left="720" w:hanging="720"/>
        <w:rPr>
          <w:sz w:val="22"/>
          <w:szCs w:val="22"/>
        </w:rPr>
      </w:pPr>
      <w:r w:rsidRPr="000B0615">
        <w:rPr>
          <w:sz w:val="22"/>
          <w:szCs w:val="22"/>
        </w:rPr>
        <w:tab/>
      </w:r>
    </w:p>
    <w:p w:rsidR="00E62CF9" w:rsidRPr="000B0615" w:rsidP="00E62CF9" w14:paraId="40BA3386" w14:textId="77777777">
      <w:pPr>
        <w:tabs>
          <w:tab w:val="num" w:pos="720"/>
          <w:tab w:val="left" w:pos="900"/>
        </w:tabs>
        <w:ind w:left="720" w:hanging="720"/>
        <w:rPr>
          <w:sz w:val="22"/>
          <w:szCs w:val="22"/>
        </w:rPr>
      </w:pPr>
      <w:r w:rsidRPr="000B0615">
        <w:rPr>
          <w:sz w:val="22"/>
          <w:szCs w:val="22"/>
        </w:rPr>
        <w:tab/>
      </w:r>
      <w:r w:rsidRPr="000B0615">
        <w:rPr>
          <w:sz w:val="22"/>
          <w:szCs w:val="22"/>
        </w:rPr>
        <w:t>The Commission believes that 28,038 respondents will use “in-house” personnel whose salary is comparable to a middle level federal employee (GS-10/5), to design, print and post the prototype notice.  Therefore, the Commission estimates respondents’ “in-house” cost to be about $</w:t>
      </w:r>
      <w:r w:rsidR="00EC54BE">
        <w:rPr>
          <w:sz w:val="22"/>
          <w:szCs w:val="22"/>
        </w:rPr>
        <w:t>37.05</w:t>
      </w:r>
      <w:r w:rsidRPr="000B0615">
        <w:rPr>
          <w:sz w:val="22"/>
          <w:szCs w:val="22"/>
        </w:rPr>
        <w:t xml:space="preserve"> per hour to comply with the requirement of 47 </w:t>
      </w:r>
      <w:r w:rsidR="000D3615">
        <w:rPr>
          <w:sz w:val="22"/>
          <w:szCs w:val="22"/>
        </w:rPr>
        <w:t>CFR</w:t>
      </w:r>
      <w:r w:rsidRPr="000B0615">
        <w:rPr>
          <w:sz w:val="22"/>
          <w:szCs w:val="22"/>
        </w:rPr>
        <w:t xml:space="preserve"> </w:t>
      </w:r>
      <w:r w:rsidR="0068015A">
        <w:rPr>
          <w:sz w:val="22"/>
          <w:szCs w:val="22"/>
        </w:rPr>
        <w:t xml:space="preserve">§ </w:t>
      </w:r>
      <w:r w:rsidRPr="000B0615">
        <w:rPr>
          <w:sz w:val="22"/>
          <w:szCs w:val="22"/>
        </w:rPr>
        <w:t>64.703(c):</w:t>
      </w:r>
    </w:p>
    <w:p w:rsidR="00E62CF9" w:rsidRPr="000B0615" w:rsidP="00E62CF9" w14:paraId="4257791E" w14:textId="77777777">
      <w:pPr>
        <w:tabs>
          <w:tab w:val="num" w:pos="720"/>
          <w:tab w:val="left" w:pos="900"/>
        </w:tabs>
        <w:ind w:left="720" w:hanging="720"/>
        <w:rPr>
          <w:sz w:val="22"/>
          <w:szCs w:val="22"/>
        </w:rPr>
      </w:pPr>
    </w:p>
    <w:p w:rsidR="00E62CF9" w:rsidRPr="000B0615" w:rsidP="00E62CF9" w14:paraId="30CE3AC8" w14:textId="77777777">
      <w:pPr>
        <w:tabs>
          <w:tab w:val="num" w:pos="720"/>
          <w:tab w:val="left" w:pos="900"/>
        </w:tabs>
        <w:ind w:left="720" w:hanging="720"/>
        <w:rPr>
          <w:b/>
          <w:sz w:val="22"/>
          <w:szCs w:val="22"/>
        </w:rPr>
      </w:pPr>
      <w:r w:rsidRPr="000B0615">
        <w:rPr>
          <w:sz w:val="22"/>
          <w:szCs w:val="22"/>
        </w:rPr>
        <w:tab/>
        <w:t>84,114 hours</w:t>
      </w:r>
      <w:r w:rsidRPr="000B0615">
        <w:rPr>
          <w:b/>
          <w:sz w:val="22"/>
          <w:szCs w:val="22"/>
        </w:rPr>
        <w:t xml:space="preserve"> </w:t>
      </w:r>
      <w:r w:rsidRPr="000B0615">
        <w:rPr>
          <w:sz w:val="22"/>
          <w:szCs w:val="22"/>
        </w:rPr>
        <w:t>x $</w:t>
      </w:r>
      <w:r w:rsidR="00EF7677">
        <w:rPr>
          <w:sz w:val="22"/>
          <w:szCs w:val="22"/>
        </w:rPr>
        <w:t>41.81</w:t>
      </w:r>
      <w:r w:rsidRPr="000B0615">
        <w:rPr>
          <w:sz w:val="22"/>
          <w:szCs w:val="22"/>
        </w:rPr>
        <w:t xml:space="preserve">/hour = </w:t>
      </w:r>
      <w:r w:rsidRPr="000B0615">
        <w:rPr>
          <w:b/>
          <w:sz w:val="22"/>
          <w:szCs w:val="22"/>
        </w:rPr>
        <w:t>$</w:t>
      </w:r>
      <w:r w:rsidR="00DF2C7D">
        <w:rPr>
          <w:b/>
          <w:sz w:val="22"/>
          <w:szCs w:val="22"/>
        </w:rPr>
        <w:t>3,516,806</w:t>
      </w:r>
    </w:p>
    <w:p w:rsidR="00281F38" w:rsidRPr="000B0615" w:rsidP="00E62CF9" w14:paraId="72B1DE0C" w14:textId="77777777">
      <w:pPr>
        <w:tabs>
          <w:tab w:val="num" w:pos="720"/>
          <w:tab w:val="left" w:pos="900"/>
        </w:tabs>
        <w:ind w:left="720" w:hanging="720"/>
        <w:rPr>
          <w:b/>
          <w:sz w:val="22"/>
          <w:szCs w:val="22"/>
        </w:rPr>
      </w:pPr>
      <w:r w:rsidRPr="000B0615">
        <w:rPr>
          <w:b/>
          <w:sz w:val="22"/>
          <w:szCs w:val="22"/>
        </w:rPr>
        <w:tab/>
      </w:r>
    </w:p>
    <w:p w:rsidR="00281F38" w:rsidRPr="000B0615" w:rsidP="00281F38" w14:paraId="2CA078EF" w14:textId="77777777">
      <w:pPr>
        <w:rPr>
          <w:b/>
          <w:sz w:val="22"/>
          <w:szCs w:val="22"/>
        </w:rPr>
      </w:pPr>
      <w:r w:rsidRPr="000B0615">
        <w:rPr>
          <w:b/>
          <w:sz w:val="22"/>
          <w:szCs w:val="22"/>
        </w:rPr>
        <w:tab/>
        <w:t>Total Number of Respondents:  56,075</w:t>
      </w:r>
    </w:p>
    <w:p w:rsidR="00281F38" w:rsidRPr="000B0615" w:rsidP="00E62CF9" w14:paraId="234C24FE" w14:textId="77777777">
      <w:pPr>
        <w:tabs>
          <w:tab w:val="num" w:pos="720"/>
          <w:tab w:val="left" w:pos="900"/>
        </w:tabs>
        <w:ind w:left="720" w:hanging="720"/>
        <w:rPr>
          <w:sz w:val="22"/>
          <w:szCs w:val="22"/>
        </w:rPr>
      </w:pPr>
    </w:p>
    <w:p w:rsidR="00340330" w:rsidRPr="000B0615" w:rsidP="00340330" w14:paraId="3B33F8A5" w14:textId="77777777">
      <w:pPr>
        <w:tabs>
          <w:tab w:val="num" w:pos="720"/>
          <w:tab w:val="left" w:pos="900"/>
        </w:tabs>
        <w:ind w:left="720" w:hanging="720"/>
        <w:rPr>
          <w:b/>
          <w:sz w:val="22"/>
          <w:szCs w:val="22"/>
        </w:rPr>
      </w:pPr>
      <w:r w:rsidRPr="000B0615">
        <w:rPr>
          <w:sz w:val="22"/>
          <w:szCs w:val="22"/>
        </w:rPr>
        <w:tab/>
      </w:r>
      <w:r w:rsidRPr="000B0615">
        <w:rPr>
          <w:b/>
          <w:sz w:val="22"/>
          <w:szCs w:val="22"/>
        </w:rPr>
        <w:t>Total Annual Number of Responses:  5,311,000 + 28,038 = 5,339,038 responses</w:t>
      </w:r>
    </w:p>
    <w:p w:rsidR="00340330" w:rsidRPr="000B0615" w:rsidP="00340330" w14:paraId="53D699A6" w14:textId="77777777">
      <w:pPr>
        <w:tabs>
          <w:tab w:val="num" w:pos="720"/>
          <w:tab w:val="left" w:pos="900"/>
        </w:tabs>
        <w:ind w:left="720" w:hanging="720"/>
        <w:rPr>
          <w:sz w:val="22"/>
          <w:szCs w:val="22"/>
        </w:rPr>
      </w:pPr>
    </w:p>
    <w:p w:rsidR="00340330" w:rsidRPr="000B0615" w:rsidP="00340330" w14:paraId="6AD1489F" w14:textId="77777777">
      <w:pPr>
        <w:tabs>
          <w:tab w:val="num" w:pos="720"/>
          <w:tab w:val="left" w:pos="900"/>
        </w:tabs>
        <w:ind w:left="720" w:hanging="720"/>
        <w:rPr>
          <w:b/>
          <w:sz w:val="22"/>
          <w:szCs w:val="22"/>
        </w:rPr>
      </w:pPr>
      <w:r w:rsidRPr="000B0615">
        <w:rPr>
          <w:sz w:val="22"/>
          <w:szCs w:val="22"/>
        </w:rPr>
        <w:tab/>
      </w:r>
      <w:r w:rsidRPr="000B0615">
        <w:rPr>
          <w:b/>
          <w:sz w:val="22"/>
          <w:szCs w:val="22"/>
        </w:rPr>
        <w:t>Total Annual Burden Hours:</w:t>
      </w:r>
      <w:r w:rsidRPr="000B0615">
        <w:rPr>
          <w:sz w:val="22"/>
          <w:szCs w:val="22"/>
        </w:rPr>
        <w:t xml:space="preserve"> </w:t>
      </w:r>
      <w:r w:rsidRPr="000B0615" w:rsidR="00E62CF9">
        <w:rPr>
          <w:b/>
          <w:sz w:val="22"/>
          <w:szCs w:val="22"/>
        </w:rPr>
        <w:t>90,287</w:t>
      </w:r>
      <w:r w:rsidRPr="000B0615">
        <w:rPr>
          <w:b/>
          <w:sz w:val="22"/>
          <w:szCs w:val="22"/>
        </w:rPr>
        <w:t xml:space="preserve"> hours + 84,114 hours</w:t>
      </w:r>
      <w:r w:rsidRPr="000B0615">
        <w:rPr>
          <w:sz w:val="22"/>
          <w:szCs w:val="22"/>
        </w:rPr>
        <w:t xml:space="preserve"> = </w:t>
      </w:r>
      <w:r w:rsidRPr="000B0615">
        <w:rPr>
          <w:b/>
          <w:sz w:val="22"/>
          <w:szCs w:val="22"/>
        </w:rPr>
        <w:t>17</w:t>
      </w:r>
      <w:r w:rsidRPr="000B0615" w:rsidR="00E62CF9">
        <w:rPr>
          <w:b/>
          <w:sz w:val="22"/>
          <w:szCs w:val="22"/>
        </w:rPr>
        <w:t>4</w:t>
      </w:r>
      <w:r w:rsidRPr="000B0615">
        <w:rPr>
          <w:b/>
          <w:sz w:val="22"/>
          <w:szCs w:val="22"/>
        </w:rPr>
        <w:t>,</w:t>
      </w:r>
      <w:r w:rsidRPr="000B0615" w:rsidR="00E62CF9">
        <w:rPr>
          <w:b/>
          <w:sz w:val="22"/>
          <w:szCs w:val="22"/>
        </w:rPr>
        <w:t>401</w:t>
      </w:r>
      <w:r w:rsidRPr="000B0615">
        <w:rPr>
          <w:b/>
          <w:sz w:val="22"/>
          <w:szCs w:val="22"/>
        </w:rPr>
        <w:t xml:space="preserve"> hours</w:t>
      </w:r>
    </w:p>
    <w:p w:rsidR="00340330" w:rsidRPr="000B0615" w:rsidP="00340330" w14:paraId="79DBFB5D" w14:textId="77777777">
      <w:pPr>
        <w:tabs>
          <w:tab w:val="num" w:pos="720"/>
          <w:tab w:val="left" w:pos="900"/>
        </w:tabs>
        <w:ind w:left="720" w:hanging="720"/>
        <w:rPr>
          <w:b/>
          <w:sz w:val="22"/>
          <w:szCs w:val="22"/>
        </w:rPr>
      </w:pPr>
    </w:p>
    <w:p w:rsidR="00340330" w:rsidRPr="000B0615" w:rsidP="00340330" w14:paraId="07470584" w14:textId="77777777">
      <w:pPr>
        <w:tabs>
          <w:tab w:val="num" w:pos="720"/>
          <w:tab w:val="left" w:pos="900"/>
        </w:tabs>
        <w:ind w:left="720" w:hanging="720"/>
        <w:rPr>
          <w:b/>
          <w:sz w:val="22"/>
          <w:szCs w:val="22"/>
        </w:rPr>
      </w:pPr>
      <w:r w:rsidRPr="000B0615">
        <w:rPr>
          <w:b/>
          <w:sz w:val="22"/>
          <w:szCs w:val="22"/>
        </w:rPr>
        <w:tab/>
      </w:r>
      <w:r w:rsidRPr="000B0615" w:rsidR="00571FE2">
        <w:rPr>
          <w:b/>
          <w:sz w:val="22"/>
          <w:szCs w:val="22"/>
        </w:rPr>
        <w:t>Total Annual “In-House” Costs:  $</w:t>
      </w:r>
      <w:r w:rsidR="00DF2C7D">
        <w:rPr>
          <w:b/>
          <w:sz w:val="22"/>
          <w:szCs w:val="22"/>
        </w:rPr>
        <w:t>2,262,592</w:t>
      </w:r>
      <w:r w:rsidR="00D43FA7">
        <w:rPr>
          <w:b/>
          <w:sz w:val="22"/>
          <w:szCs w:val="22"/>
        </w:rPr>
        <w:t xml:space="preserve"> </w:t>
      </w:r>
      <w:r w:rsidRPr="000B0615" w:rsidR="00571FE2">
        <w:rPr>
          <w:b/>
          <w:sz w:val="22"/>
          <w:szCs w:val="22"/>
        </w:rPr>
        <w:t>+ $</w:t>
      </w:r>
      <w:r w:rsidR="00DF2C7D">
        <w:rPr>
          <w:b/>
          <w:sz w:val="22"/>
          <w:szCs w:val="22"/>
        </w:rPr>
        <w:t>3,516,806</w:t>
      </w:r>
      <w:r w:rsidRPr="000B0615" w:rsidR="00571FE2">
        <w:rPr>
          <w:b/>
          <w:sz w:val="22"/>
          <w:szCs w:val="22"/>
        </w:rPr>
        <w:t xml:space="preserve"> = $</w:t>
      </w:r>
      <w:r w:rsidR="00DF2C7D">
        <w:rPr>
          <w:b/>
          <w:sz w:val="22"/>
          <w:szCs w:val="22"/>
        </w:rPr>
        <w:t>5,779,398</w:t>
      </w:r>
    </w:p>
    <w:p w:rsidR="00340330" w:rsidRPr="000B0615" w:rsidP="00340330" w14:paraId="4AAB4DA1" w14:textId="77777777">
      <w:pPr>
        <w:tabs>
          <w:tab w:val="num" w:pos="720"/>
          <w:tab w:val="left" w:pos="900"/>
        </w:tabs>
        <w:ind w:left="720" w:hanging="720"/>
        <w:rPr>
          <w:b/>
          <w:sz w:val="22"/>
          <w:szCs w:val="22"/>
        </w:rPr>
      </w:pPr>
    </w:p>
    <w:p w:rsidR="00340330" w:rsidRPr="000B0615" w:rsidP="00340330" w14:paraId="28CDE791" w14:textId="77777777">
      <w:pPr>
        <w:tabs>
          <w:tab w:val="num" w:pos="720"/>
          <w:tab w:val="left" w:pos="900"/>
        </w:tabs>
        <w:ind w:left="720" w:hanging="720"/>
        <w:rPr>
          <w:sz w:val="22"/>
          <w:szCs w:val="22"/>
        </w:rPr>
      </w:pPr>
      <w:r w:rsidRPr="000B0615">
        <w:rPr>
          <w:sz w:val="22"/>
          <w:szCs w:val="22"/>
        </w:rPr>
        <w:t>13.</w:t>
      </w:r>
      <w:r w:rsidRPr="000B0615">
        <w:rPr>
          <w:sz w:val="22"/>
          <w:szCs w:val="22"/>
        </w:rPr>
        <w:tab/>
        <w:t>The following represents the Commission’s estimate of the annual cost burden to respondents resulting from the collections of information:  The Commission believes that approximately 25% of the aggregators will contact a firm to design and print these notices for the aggregator’s telephone(s).  Thus:</w:t>
      </w:r>
    </w:p>
    <w:p w:rsidR="00340330" w:rsidRPr="000B0615" w:rsidP="00340330" w14:paraId="7E39637D" w14:textId="77777777">
      <w:pPr>
        <w:tabs>
          <w:tab w:val="num" w:pos="720"/>
          <w:tab w:val="left" w:pos="900"/>
        </w:tabs>
        <w:ind w:left="720" w:hanging="720"/>
        <w:rPr>
          <w:sz w:val="22"/>
          <w:szCs w:val="22"/>
        </w:rPr>
      </w:pPr>
    </w:p>
    <w:p w:rsidR="00340330" w:rsidRPr="000B0615" w:rsidP="00340330" w14:paraId="7AAAACFD" w14:textId="77777777">
      <w:pPr>
        <w:tabs>
          <w:tab w:val="left" w:pos="720"/>
        </w:tabs>
        <w:ind w:left="1440" w:hanging="720"/>
        <w:rPr>
          <w:sz w:val="22"/>
          <w:szCs w:val="22"/>
        </w:rPr>
      </w:pPr>
      <w:r w:rsidRPr="000B0615">
        <w:rPr>
          <w:sz w:val="22"/>
          <w:szCs w:val="22"/>
        </w:rPr>
        <w:t>(a)</w:t>
      </w:r>
      <w:r w:rsidRPr="000B0615">
        <w:rPr>
          <w:sz w:val="22"/>
          <w:szCs w:val="22"/>
        </w:rPr>
        <w:tab/>
        <w:t xml:space="preserve">The Commission estimates that the firm(s) with which the 25% of the 56,075 </w:t>
      </w:r>
      <w:r w:rsidRPr="000B0615" w:rsidR="00D36822">
        <w:rPr>
          <w:sz w:val="22"/>
          <w:szCs w:val="22"/>
        </w:rPr>
        <w:t xml:space="preserve">(14,019 respondents) </w:t>
      </w:r>
      <w:r w:rsidRPr="000B0615">
        <w:rPr>
          <w:sz w:val="22"/>
          <w:szCs w:val="22"/>
        </w:rPr>
        <w:t xml:space="preserve">aggregators who contract out the cost for these posted notices are already in business and do not have to expend funds for “capital/start-up costs.” </w:t>
      </w:r>
    </w:p>
    <w:p w:rsidR="00340330" w:rsidRPr="000B0615" w:rsidP="00340330" w14:paraId="00BB6C69" w14:textId="77777777">
      <w:pPr>
        <w:tabs>
          <w:tab w:val="left" w:pos="720"/>
        </w:tabs>
        <w:ind w:left="720"/>
        <w:rPr>
          <w:sz w:val="22"/>
          <w:szCs w:val="22"/>
        </w:rPr>
      </w:pPr>
    </w:p>
    <w:p w:rsidR="00340330" w:rsidRPr="000B0615" w:rsidP="00340330" w14:paraId="313AAD6B" w14:textId="77777777">
      <w:pPr>
        <w:tabs>
          <w:tab w:val="left" w:pos="720"/>
          <w:tab w:val="left" w:pos="1440"/>
        </w:tabs>
        <w:ind w:left="1080"/>
        <w:rPr>
          <w:b/>
          <w:sz w:val="22"/>
          <w:szCs w:val="22"/>
        </w:rPr>
      </w:pPr>
      <w:r w:rsidRPr="000B0615">
        <w:rPr>
          <w:sz w:val="22"/>
          <w:szCs w:val="22"/>
        </w:rPr>
        <w:tab/>
      </w:r>
      <w:r w:rsidRPr="000B0615">
        <w:rPr>
          <w:b/>
          <w:sz w:val="22"/>
          <w:szCs w:val="22"/>
        </w:rPr>
        <w:t xml:space="preserve">Total annualized capital/startup cost:  None </w:t>
      </w:r>
    </w:p>
    <w:p w:rsidR="00340330" w:rsidRPr="000B0615" w:rsidP="00340330" w14:paraId="331BC155" w14:textId="77777777">
      <w:pPr>
        <w:tabs>
          <w:tab w:val="left" w:pos="720"/>
        </w:tabs>
        <w:ind w:left="720" w:hanging="720"/>
        <w:rPr>
          <w:sz w:val="22"/>
          <w:szCs w:val="22"/>
        </w:rPr>
      </w:pPr>
      <w:r w:rsidRPr="000B0615">
        <w:rPr>
          <w:sz w:val="22"/>
          <w:szCs w:val="22"/>
        </w:rPr>
        <w:tab/>
      </w:r>
    </w:p>
    <w:p w:rsidR="00340330" w:rsidRPr="000B0615" w:rsidP="00340330" w14:paraId="4AD4A897" w14:textId="77777777">
      <w:pPr>
        <w:tabs>
          <w:tab w:val="left" w:pos="720"/>
        </w:tabs>
        <w:ind w:left="810" w:hanging="90"/>
        <w:rPr>
          <w:sz w:val="22"/>
          <w:szCs w:val="22"/>
        </w:rPr>
      </w:pPr>
      <w:r w:rsidRPr="000B0615">
        <w:rPr>
          <w:sz w:val="22"/>
          <w:szCs w:val="22"/>
        </w:rPr>
        <w:tab/>
        <w:t>(b)</w:t>
      </w:r>
      <w:r w:rsidRPr="000B0615">
        <w:rPr>
          <w:sz w:val="22"/>
          <w:szCs w:val="22"/>
        </w:rPr>
        <w:tab/>
        <w:t xml:space="preserve">The Commission estimates that the cost and time to design and print the notices </w:t>
      </w:r>
      <w:r w:rsidRPr="000B0615" w:rsidR="00D36822">
        <w:rPr>
          <w:sz w:val="22"/>
          <w:szCs w:val="22"/>
        </w:rPr>
        <w:t xml:space="preserve">for the </w:t>
      </w:r>
      <w:r w:rsidRPr="000B0615" w:rsidR="00D36822">
        <w:rPr>
          <w:sz w:val="22"/>
          <w:szCs w:val="22"/>
        </w:rPr>
        <w:tab/>
        <w:t xml:space="preserve">contracting firm </w:t>
      </w:r>
      <w:r w:rsidRPr="000B0615">
        <w:rPr>
          <w:sz w:val="22"/>
          <w:szCs w:val="22"/>
        </w:rPr>
        <w:t xml:space="preserve">is </w:t>
      </w:r>
      <w:r w:rsidRPr="000B0615" w:rsidR="00D36822">
        <w:rPr>
          <w:sz w:val="22"/>
          <w:szCs w:val="22"/>
        </w:rPr>
        <w:t>3 hours per notice</w:t>
      </w:r>
      <w:r w:rsidRPr="000B0615">
        <w:rPr>
          <w:sz w:val="22"/>
          <w:szCs w:val="22"/>
        </w:rPr>
        <w:t>:</w:t>
      </w:r>
    </w:p>
    <w:p w:rsidR="00340330" w:rsidRPr="000B0615" w:rsidP="00340330" w14:paraId="5B548EB8" w14:textId="77777777">
      <w:pPr>
        <w:tabs>
          <w:tab w:val="num" w:pos="720"/>
          <w:tab w:val="left" w:pos="900"/>
        </w:tabs>
        <w:ind w:left="720" w:hanging="720"/>
        <w:rPr>
          <w:sz w:val="22"/>
          <w:szCs w:val="22"/>
        </w:rPr>
      </w:pPr>
    </w:p>
    <w:p w:rsidR="00340330" w:rsidRPr="000B0615" w:rsidP="00340330" w14:paraId="55F4138A" w14:textId="77777777">
      <w:pPr>
        <w:tabs>
          <w:tab w:val="left" w:pos="720"/>
        </w:tabs>
        <w:ind w:left="1440"/>
        <w:rPr>
          <w:sz w:val="22"/>
          <w:szCs w:val="22"/>
        </w:rPr>
      </w:pPr>
      <w:r w:rsidRPr="000B0615">
        <w:rPr>
          <w:sz w:val="22"/>
          <w:szCs w:val="22"/>
        </w:rPr>
        <w:t>14,019</w:t>
      </w:r>
      <w:r w:rsidRPr="000B0615" w:rsidR="00D36822">
        <w:rPr>
          <w:sz w:val="22"/>
          <w:szCs w:val="22"/>
        </w:rPr>
        <w:t xml:space="preserve"> notices</w:t>
      </w:r>
      <w:r w:rsidRPr="000B0615">
        <w:rPr>
          <w:sz w:val="22"/>
          <w:szCs w:val="22"/>
        </w:rPr>
        <w:t xml:space="preserve"> x 3 hours/notice x $</w:t>
      </w:r>
      <w:r w:rsidR="00EF7677">
        <w:rPr>
          <w:sz w:val="22"/>
          <w:szCs w:val="22"/>
        </w:rPr>
        <w:t>41.81</w:t>
      </w:r>
      <w:r w:rsidRPr="000B0615">
        <w:rPr>
          <w:sz w:val="22"/>
          <w:szCs w:val="22"/>
        </w:rPr>
        <w:t>/hour = $</w:t>
      </w:r>
      <w:r w:rsidR="00DF2C7D">
        <w:rPr>
          <w:sz w:val="22"/>
          <w:szCs w:val="22"/>
        </w:rPr>
        <w:t>1,758,403</w:t>
      </w:r>
    </w:p>
    <w:p w:rsidR="00340330" w:rsidRPr="000B0615" w:rsidP="00340330" w14:paraId="0F9E8827" w14:textId="77777777">
      <w:pPr>
        <w:tabs>
          <w:tab w:val="left" w:pos="720"/>
        </w:tabs>
        <w:ind w:left="720"/>
        <w:rPr>
          <w:sz w:val="22"/>
          <w:szCs w:val="22"/>
        </w:rPr>
      </w:pPr>
    </w:p>
    <w:p w:rsidR="00340330" w:rsidRPr="000B0615" w:rsidP="00340330" w14:paraId="4FD9ECAD" w14:textId="77777777">
      <w:pPr>
        <w:tabs>
          <w:tab w:val="left" w:pos="720"/>
        </w:tabs>
        <w:ind w:left="720"/>
        <w:rPr>
          <w:sz w:val="22"/>
          <w:szCs w:val="22"/>
        </w:rPr>
      </w:pPr>
      <w:r w:rsidRPr="000B0615">
        <w:rPr>
          <w:sz w:val="22"/>
          <w:szCs w:val="22"/>
        </w:rPr>
        <w:tab/>
      </w:r>
      <w:r w:rsidRPr="000B0615">
        <w:rPr>
          <w:b/>
          <w:sz w:val="22"/>
          <w:szCs w:val="22"/>
        </w:rPr>
        <w:t>Total annual cost:  $</w:t>
      </w:r>
      <w:r w:rsidR="00DF2C7D">
        <w:rPr>
          <w:b/>
          <w:sz w:val="22"/>
          <w:szCs w:val="22"/>
        </w:rPr>
        <w:t>1,758,403</w:t>
      </w:r>
    </w:p>
    <w:p w:rsidR="00340330" w:rsidRPr="000B0615" w:rsidP="00340330" w14:paraId="76597EA3" w14:textId="77777777">
      <w:pPr>
        <w:tabs>
          <w:tab w:val="left" w:pos="720"/>
        </w:tabs>
        <w:ind w:left="720"/>
        <w:rPr>
          <w:b/>
          <w:sz w:val="22"/>
          <w:szCs w:val="22"/>
        </w:rPr>
      </w:pPr>
    </w:p>
    <w:p w:rsidR="00340330" w:rsidRPr="000B0615" w:rsidP="00340330" w14:paraId="625C3297" w14:textId="77777777">
      <w:pPr>
        <w:tabs>
          <w:tab w:val="left" w:pos="720"/>
        </w:tabs>
        <w:ind w:left="720"/>
        <w:rPr>
          <w:sz w:val="22"/>
          <w:szCs w:val="22"/>
        </w:rPr>
      </w:pPr>
      <w:r w:rsidRPr="000B0615">
        <w:rPr>
          <w:sz w:val="22"/>
          <w:szCs w:val="22"/>
        </w:rPr>
        <w:t xml:space="preserve">(c) </w:t>
      </w:r>
      <w:r w:rsidRPr="000B0615">
        <w:rPr>
          <w:sz w:val="22"/>
          <w:szCs w:val="22"/>
        </w:rPr>
        <w:tab/>
      </w:r>
      <w:r w:rsidRPr="000B0615">
        <w:rPr>
          <w:b/>
          <w:sz w:val="22"/>
          <w:szCs w:val="22"/>
        </w:rPr>
        <w:t>Total annualized cost requested: $</w:t>
      </w:r>
      <w:r w:rsidR="00DF2C7D">
        <w:rPr>
          <w:b/>
          <w:sz w:val="22"/>
          <w:szCs w:val="22"/>
        </w:rPr>
        <w:t>1,758,403</w:t>
      </w:r>
    </w:p>
    <w:p w:rsidR="00340330" w:rsidRPr="000B0615" w:rsidP="00340330" w14:paraId="060DC2F8" w14:textId="77777777">
      <w:pPr>
        <w:tabs>
          <w:tab w:val="left" w:pos="720"/>
        </w:tabs>
        <w:ind w:left="720"/>
        <w:rPr>
          <w:sz w:val="22"/>
          <w:szCs w:val="22"/>
        </w:rPr>
      </w:pPr>
    </w:p>
    <w:p w:rsidR="00340330" w:rsidRPr="000B0615" w:rsidP="00A748F9" w14:paraId="58FD5E16" w14:textId="77777777">
      <w:pPr>
        <w:tabs>
          <w:tab w:val="left" w:pos="720"/>
        </w:tabs>
        <w:ind w:left="720" w:hanging="720"/>
        <w:rPr>
          <w:sz w:val="22"/>
          <w:szCs w:val="22"/>
        </w:rPr>
      </w:pPr>
      <w:r w:rsidRPr="000B0615">
        <w:rPr>
          <w:sz w:val="22"/>
          <w:szCs w:val="22"/>
        </w:rPr>
        <w:t>14.</w:t>
      </w:r>
      <w:r w:rsidRPr="000B0615">
        <w:rPr>
          <w:sz w:val="22"/>
          <w:szCs w:val="22"/>
        </w:rPr>
        <w:tab/>
        <w:t>The Commission has determined there are no costs to the federal government for reviewing these information collection requirements.  Rather, the Commission has determined that any cost to comply with these information collection requirements will be borne by the third</w:t>
      </w:r>
      <w:r w:rsidR="00A748F9">
        <w:rPr>
          <w:sz w:val="22"/>
          <w:szCs w:val="22"/>
        </w:rPr>
        <w:t>-</w:t>
      </w:r>
      <w:r w:rsidRPr="000B0615">
        <w:rPr>
          <w:sz w:val="22"/>
          <w:szCs w:val="22"/>
        </w:rPr>
        <w:t>party disclosure.</w:t>
      </w:r>
    </w:p>
    <w:p w:rsidR="00340330" w:rsidRPr="000B0615" w:rsidP="00340330" w14:paraId="0B0F6277" w14:textId="77777777">
      <w:pPr>
        <w:tabs>
          <w:tab w:val="left" w:pos="900"/>
        </w:tabs>
        <w:ind w:left="630"/>
        <w:rPr>
          <w:sz w:val="22"/>
          <w:szCs w:val="22"/>
        </w:rPr>
      </w:pPr>
    </w:p>
    <w:p w:rsidR="00340330" w:rsidRPr="000B0615" w:rsidP="0028001C" w14:paraId="684114FE" w14:textId="77777777">
      <w:pPr>
        <w:tabs>
          <w:tab w:val="left" w:pos="-90"/>
        </w:tabs>
        <w:ind w:left="720" w:hanging="720"/>
        <w:rPr>
          <w:sz w:val="22"/>
          <w:szCs w:val="22"/>
        </w:rPr>
      </w:pPr>
      <w:r w:rsidRPr="000B0615">
        <w:rPr>
          <w:sz w:val="22"/>
          <w:szCs w:val="22"/>
        </w:rPr>
        <w:t>15.</w:t>
      </w:r>
      <w:r w:rsidRPr="000B0615">
        <w:rPr>
          <w:sz w:val="22"/>
          <w:szCs w:val="22"/>
        </w:rPr>
        <w:tab/>
        <w:t>The</w:t>
      </w:r>
      <w:r w:rsidRPr="000B0615" w:rsidR="00812901">
        <w:rPr>
          <w:sz w:val="22"/>
          <w:szCs w:val="22"/>
        </w:rPr>
        <w:t>re are no program changes</w:t>
      </w:r>
      <w:r w:rsidR="00E342D2">
        <w:rPr>
          <w:sz w:val="22"/>
          <w:szCs w:val="22"/>
        </w:rPr>
        <w:t xml:space="preserve"> to this information collection.  There are </w:t>
      </w:r>
      <w:r w:rsidR="001349CC">
        <w:rPr>
          <w:sz w:val="22"/>
          <w:szCs w:val="22"/>
        </w:rPr>
        <w:t xml:space="preserve">adjustments </w:t>
      </w:r>
      <w:r w:rsidR="00E342D2">
        <w:rPr>
          <w:sz w:val="22"/>
          <w:szCs w:val="22"/>
        </w:rPr>
        <w:t xml:space="preserve">of +$200,190 </w:t>
      </w:r>
      <w:r w:rsidRPr="000B0615" w:rsidR="00812901">
        <w:rPr>
          <w:sz w:val="22"/>
          <w:szCs w:val="22"/>
        </w:rPr>
        <w:t>to this information collection</w:t>
      </w:r>
      <w:r w:rsidR="00E342D2">
        <w:rPr>
          <w:sz w:val="22"/>
          <w:szCs w:val="22"/>
        </w:rPr>
        <w:t xml:space="preserve"> which are due to an increase in the external hourly rate. </w:t>
      </w:r>
    </w:p>
    <w:p w:rsidR="00340330" w:rsidRPr="000B0615" w:rsidP="00340330" w14:paraId="23CF4318" w14:textId="77777777">
      <w:pPr>
        <w:tabs>
          <w:tab w:val="left" w:pos="900"/>
        </w:tabs>
        <w:rPr>
          <w:sz w:val="22"/>
          <w:szCs w:val="22"/>
        </w:rPr>
      </w:pPr>
    </w:p>
    <w:p w:rsidR="00340330" w:rsidRPr="000B0615" w:rsidP="00340330" w14:paraId="614DBBFE" w14:textId="77777777">
      <w:pPr>
        <w:tabs>
          <w:tab w:val="left" w:pos="0"/>
        </w:tabs>
        <w:rPr>
          <w:sz w:val="22"/>
          <w:szCs w:val="22"/>
        </w:rPr>
      </w:pPr>
      <w:r w:rsidRPr="000B0615">
        <w:rPr>
          <w:sz w:val="22"/>
          <w:szCs w:val="22"/>
        </w:rPr>
        <w:t>16.</w:t>
      </w:r>
      <w:r w:rsidRPr="000B0615">
        <w:rPr>
          <w:sz w:val="22"/>
          <w:szCs w:val="22"/>
        </w:rPr>
        <w:tab/>
        <w:t>The Commission does not intend to publish the results of this collection of information.</w:t>
      </w:r>
    </w:p>
    <w:p w:rsidR="00340330" w:rsidRPr="000B0615" w:rsidP="00340330" w14:paraId="7E31FC07" w14:textId="77777777">
      <w:pPr>
        <w:tabs>
          <w:tab w:val="num" w:pos="720"/>
          <w:tab w:val="left" w:pos="900"/>
        </w:tabs>
        <w:ind w:left="720" w:hanging="720"/>
        <w:rPr>
          <w:sz w:val="22"/>
          <w:szCs w:val="22"/>
        </w:rPr>
      </w:pPr>
    </w:p>
    <w:p w:rsidR="00340330" w:rsidRPr="000B0615" w:rsidP="00340330" w14:paraId="5E9E82F1" w14:textId="77777777">
      <w:pPr>
        <w:tabs>
          <w:tab w:val="left" w:pos="-90"/>
          <w:tab w:val="left" w:pos="0"/>
        </w:tabs>
        <w:rPr>
          <w:sz w:val="22"/>
          <w:szCs w:val="22"/>
        </w:rPr>
      </w:pPr>
      <w:r w:rsidRPr="000B0615">
        <w:rPr>
          <w:sz w:val="22"/>
          <w:szCs w:val="22"/>
        </w:rPr>
        <w:t>17.</w:t>
      </w:r>
      <w:r w:rsidRPr="000B0615">
        <w:rPr>
          <w:sz w:val="22"/>
          <w:szCs w:val="22"/>
        </w:rPr>
        <w:tab/>
        <w:t xml:space="preserve">The Commission does not intend to seek approval not to display the expiration date for OMB </w:t>
      </w:r>
      <w:r w:rsidRPr="000B0615">
        <w:rPr>
          <w:sz w:val="22"/>
          <w:szCs w:val="22"/>
        </w:rPr>
        <w:tab/>
        <w:t>approval of this information collection.</w:t>
      </w:r>
    </w:p>
    <w:p w:rsidR="00F01BE6" w:rsidRPr="000B0615" w:rsidP="00340330" w14:paraId="02122EB2" w14:textId="77777777">
      <w:pPr>
        <w:tabs>
          <w:tab w:val="num" w:pos="720"/>
          <w:tab w:val="left" w:pos="900"/>
        </w:tabs>
        <w:ind w:left="720" w:hanging="720"/>
        <w:rPr>
          <w:sz w:val="22"/>
          <w:szCs w:val="22"/>
        </w:rPr>
      </w:pPr>
    </w:p>
    <w:p w:rsidR="00340330" w:rsidRPr="000B0615" w:rsidP="00340330" w14:paraId="0E961FA9" w14:textId="77777777">
      <w:pPr>
        <w:tabs>
          <w:tab w:val="num" w:pos="720"/>
          <w:tab w:val="left" w:pos="900"/>
        </w:tabs>
        <w:ind w:left="720" w:hanging="720"/>
        <w:rPr>
          <w:sz w:val="22"/>
          <w:szCs w:val="22"/>
        </w:rPr>
      </w:pPr>
      <w:r w:rsidRPr="000B0615">
        <w:rPr>
          <w:sz w:val="22"/>
          <w:szCs w:val="22"/>
        </w:rPr>
        <w:t>18.</w:t>
      </w:r>
      <w:r w:rsidRPr="000B0615">
        <w:rPr>
          <w:sz w:val="22"/>
          <w:szCs w:val="22"/>
        </w:rPr>
        <w:tab/>
      </w:r>
      <w:r w:rsidR="00551835">
        <w:rPr>
          <w:sz w:val="22"/>
          <w:szCs w:val="22"/>
        </w:rPr>
        <w:t>There are no exceptions to the Certification S</w:t>
      </w:r>
      <w:r w:rsidRPr="000B0615">
        <w:rPr>
          <w:sz w:val="22"/>
          <w:szCs w:val="22"/>
        </w:rPr>
        <w:t>tatement</w:t>
      </w:r>
      <w:r w:rsidRPr="000B0615" w:rsidR="006E19AD">
        <w:rPr>
          <w:sz w:val="22"/>
          <w:szCs w:val="22"/>
        </w:rPr>
        <w:t>.</w:t>
      </w:r>
    </w:p>
    <w:p w:rsidR="00340330" w:rsidRPr="000B0615" w:rsidP="00340330" w14:paraId="30494454" w14:textId="77777777">
      <w:pPr>
        <w:tabs>
          <w:tab w:val="num" w:pos="720"/>
          <w:tab w:val="left" w:pos="900"/>
        </w:tabs>
        <w:ind w:left="720" w:hanging="720"/>
        <w:rPr>
          <w:sz w:val="22"/>
          <w:szCs w:val="22"/>
        </w:rPr>
      </w:pPr>
    </w:p>
    <w:p w:rsidR="00340330" w:rsidRPr="000B0615" w:rsidP="00340330" w14:paraId="05CF2243" w14:textId="77777777">
      <w:pPr>
        <w:tabs>
          <w:tab w:val="num" w:pos="720"/>
          <w:tab w:val="left" w:pos="900"/>
        </w:tabs>
        <w:ind w:left="720" w:hanging="720"/>
        <w:rPr>
          <w:b/>
          <w:sz w:val="22"/>
          <w:szCs w:val="22"/>
        </w:rPr>
      </w:pPr>
      <w:r w:rsidRPr="000B0615">
        <w:rPr>
          <w:b/>
          <w:sz w:val="22"/>
          <w:szCs w:val="22"/>
        </w:rPr>
        <w:t>B.</w:t>
      </w:r>
      <w:r w:rsidRPr="000B0615">
        <w:rPr>
          <w:b/>
          <w:sz w:val="22"/>
          <w:szCs w:val="22"/>
        </w:rPr>
        <w:tab/>
        <w:t>Collection of Information Employing Statistical Methods</w:t>
      </w:r>
    </w:p>
    <w:p w:rsidR="00F01BE6" w:rsidRPr="000B0615" w:rsidP="00340330" w14:paraId="76620C59" w14:textId="77777777">
      <w:pPr>
        <w:tabs>
          <w:tab w:val="num" w:pos="720"/>
          <w:tab w:val="left" w:pos="900"/>
        </w:tabs>
        <w:ind w:left="720" w:hanging="720"/>
        <w:rPr>
          <w:sz w:val="22"/>
          <w:szCs w:val="22"/>
        </w:rPr>
      </w:pPr>
      <w:r w:rsidRPr="000B0615">
        <w:rPr>
          <w:sz w:val="22"/>
          <w:szCs w:val="22"/>
        </w:rPr>
        <w:tab/>
      </w:r>
    </w:p>
    <w:p w:rsidR="00340330" w:rsidRPr="0014422F" w:rsidP="00340330" w14:paraId="2A80B263" w14:textId="77777777">
      <w:pPr>
        <w:tabs>
          <w:tab w:val="num" w:pos="720"/>
          <w:tab w:val="left" w:pos="900"/>
        </w:tabs>
        <w:ind w:left="720" w:hanging="720"/>
        <w:rPr>
          <w:b/>
          <w:sz w:val="22"/>
          <w:szCs w:val="22"/>
        </w:rPr>
      </w:pPr>
      <w:r w:rsidRPr="000B0615">
        <w:rPr>
          <w:sz w:val="22"/>
          <w:szCs w:val="22"/>
        </w:rPr>
        <w:tab/>
      </w:r>
      <w:r w:rsidRPr="000B0615">
        <w:rPr>
          <w:sz w:val="22"/>
          <w:szCs w:val="22"/>
        </w:rPr>
        <w:t>This information collection does not employ any statistical methods.</w:t>
      </w:r>
    </w:p>
    <w:p w:rsidR="00340330" w14:paraId="264843C7" w14:textId="77777777"/>
    <w:sectPr w:rsidSect="00280101">
      <w:headerReference w:type="default" r:id="rId6"/>
      <w:footerReference w:type="even" r:id="rId7"/>
      <w:footerReference w:type="default" r:id="rI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218" w:rsidP="00280101" w14:paraId="3ED6D68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E4218" w14:paraId="52F1B6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218" w:rsidRPr="004A335C" w:rsidP="00280101" w14:paraId="28D59A28" w14:textId="77777777">
    <w:pPr>
      <w:pStyle w:val="Footer"/>
      <w:framePr w:wrap="around" w:vAnchor="text" w:hAnchor="margin" w:xAlign="center" w:y="1"/>
      <w:rPr>
        <w:rStyle w:val="PageNumber"/>
        <w:sz w:val="20"/>
      </w:rPr>
    </w:pPr>
    <w:r w:rsidRPr="004A335C">
      <w:rPr>
        <w:rStyle w:val="PageNumber"/>
        <w:sz w:val="20"/>
      </w:rPr>
      <w:fldChar w:fldCharType="begin"/>
    </w:r>
    <w:r w:rsidRPr="004A335C">
      <w:rPr>
        <w:rStyle w:val="PageNumber"/>
        <w:sz w:val="20"/>
      </w:rPr>
      <w:instrText xml:space="preserve">PAGE  </w:instrText>
    </w:r>
    <w:r w:rsidRPr="004A335C">
      <w:rPr>
        <w:rStyle w:val="PageNumber"/>
        <w:sz w:val="20"/>
      </w:rPr>
      <w:fldChar w:fldCharType="separate"/>
    </w:r>
    <w:r w:rsidR="008033C9">
      <w:rPr>
        <w:rStyle w:val="PageNumber"/>
        <w:noProof/>
        <w:sz w:val="20"/>
      </w:rPr>
      <w:t>1</w:t>
    </w:r>
    <w:r w:rsidRPr="004A335C">
      <w:rPr>
        <w:rStyle w:val="PageNumber"/>
        <w:sz w:val="20"/>
      </w:rPr>
      <w:fldChar w:fldCharType="end"/>
    </w:r>
  </w:p>
  <w:p w:rsidR="00CE4218" w14:paraId="2587B2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6F4E" w14:paraId="30C489C3" w14:textId="77777777">
      <w:r>
        <w:separator/>
      </w:r>
    </w:p>
  </w:footnote>
  <w:footnote w:type="continuationSeparator" w:id="1">
    <w:p w:rsidR="006B6F4E" w14:paraId="51902B64" w14:textId="77777777">
      <w:r>
        <w:continuationSeparator/>
      </w:r>
    </w:p>
  </w:footnote>
  <w:footnote w:id="2">
    <w:p w:rsidR="00CE4218" w:rsidP="00340330" w14:paraId="3859958F" w14:textId="77777777">
      <w:pPr>
        <w:pStyle w:val="FootnoteText"/>
      </w:pPr>
      <w:r w:rsidRPr="00BD39FE">
        <w:rPr>
          <w:rStyle w:val="FootnoteReference"/>
        </w:rPr>
        <w:footnoteRef/>
      </w:r>
      <w:r w:rsidRPr="00BD39FE">
        <w:t xml:space="preserve"> An “aggregator” is any person that, in the ordinary course of its operations, makes telephones available to the public or to transient users of its premises, for interstate telephone calls using a provider of operator services.</w:t>
      </w:r>
      <w:r>
        <w:t xml:space="preserve">  </w:t>
      </w:r>
      <w:r>
        <w:rPr>
          <w:i/>
        </w:rPr>
        <w:t>See</w:t>
      </w:r>
      <w:r>
        <w:t xml:space="preserve"> 47 </w:t>
      </w:r>
      <w:r w:rsidR="000D3615">
        <w:t>CFR</w:t>
      </w:r>
      <w:r>
        <w:t xml:space="preserve"> § 64.708(b)</w:t>
      </w:r>
    </w:p>
    <w:p w:rsidR="00CE4218" w:rsidRPr="001F5778" w:rsidP="00340330" w14:paraId="5FCB5455" w14:textId="77777777">
      <w:pPr>
        <w:pStyle w:val="FootnoteText"/>
      </w:pPr>
    </w:p>
  </w:footnote>
  <w:footnote w:id="3">
    <w:p w:rsidR="00CE4218" w:rsidP="00340330" w14:paraId="166F225D" w14:textId="77777777">
      <w:pPr>
        <w:pStyle w:val="FootnoteText"/>
      </w:pPr>
      <w:r w:rsidRPr="00630A28">
        <w:rPr>
          <w:rStyle w:val="FootnoteReference"/>
        </w:rPr>
        <w:footnoteRef/>
      </w:r>
      <w:r w:rsidRPr="00630A28">
        <w:t xml:space="preserve"> CMRS aggregator means an aggregator that, in the ordinary course of its operations, make telephones available to the public or to transient users of its premises for interstate telephone calls using a provider of CMRS operator services.</w:t>
      </w:r>
    </w:p>
    <w:p w:rsidR="00CE4218" w:rsidRPr="00630A28" w:rsidP="00340330" w14:paraId="40860953" w14:textId="77777777">
      <w:pPr>
        <w:pStyle w:val="FootnoteText"/>
      </w:pPr>
    </w:p>
  </w:footnote>
  <w:footnote w:id="4">
    <w:p w:rsidR="00246A45" w14:paraId="71209030" w14:textId="77777777">
      <w:pPr>
        <w:pStyle w:val="FootnoteText"/>
      </w:pPr>
      <w:r>
        <w:rPr>
          <w:rStyle w:val="FootnoteReference"/>
        </w:rPr>
        <w:footnoteRef/>
      </w:r>
      <w:r>
        <w:t xml:space="preserve"> </w:t>
      </w:r>
      <w:r w:rsidRPr="00DF2A93">
        <w:t xml:space="preserve">Operator Services means any interstate telecommunications service initiated from an aggregator location that includes, as a component, any automatic or live assistance to a consumer to arrange for billing or completion, or both, of an interstate telephone call through a method other than:  (1) Automatic completion with billing to the telephone from which the call originated; or (2) Completion through an access code used by the consumer, with billing to an account previously established with the carrier by the consumer.  47 </w:t>
      </w:r>
      <w:r w:rsidR="000D3615">
        <w:t>CFR</w:t>
      </w:r>
      <w:r w:rsidRPr="00DF2A93">
        <w:t xml:space="preserve"> § 64.708(i).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218" w:rsidRPr="004D3A2E" w:rsidP="006E19AD" w14:paraId="1552752C" w14:textId="77777777">
    <w:pPr>
      <w:pStyle w:val="Header"/>
      <w:rPr>
        <w:b/>
      </w:rPr>
    </w:pPr>
    <w:r w:rsidRPr="004D3A2E">
      <w:rPr>
        <w:b/>
      </w:rPr>
      <w:t>3060-0653</w:t>
    </w:r>
    <w:r>
      <w:rPr>
        <w:b/>
      </w:rPr>
      <w:t xml:space="preserve"> </w:t>
    </w:r>
    <w:r w:rsidRPr="004D3A2E">
      <w:rPr>
        <w:b/>
      </w:rPr>
      <w:tab/>
    </w:r>
    <w:r w:rsidRPr="004D3A2E">
      <w:rPr>
        <w:b/>
      </w:rPr>
      <w:tab/>
    </w:r>
    <w:r>
      <w:rPr>
        <w:b/>
      </w:rPr>
      <w:t xml:space="preserve">     </w:t>
    </w:r>
    <w:r w:rsidRPr="0068015A" w:rsidR="0068015A">
      <w:t xml:space="preserve"> </w:t>
    </w:r>
    <w:r w:rsidRPr="00DE177F" w:rsidR="00DE177F">
      <w:rPr>
        <w:b/>
        <w:bCs/>
      </w:rPr>
      <w:t xml:space="preserve">August </w:t>
    </w:r>
    <w:r w:rsidR="00AB7FE7">
      <w:rPr>
        <w:b/>
      </w:rPr>
      <w:t>20</w:t>
    </w:r>
    <w:r w:rsidR="005021DE">
      <w:rPr>
        <w:b/>
      </w:rPr>
      <w:t>2</w:t>
    </w:r>
    <w:r w:rsidR="00EF7677">
      <w:rPr>
        <w:b/>
      </w:rPr>
      <w:t>5</w:t>
    </w:r>
  </w:p>
  <w:p w:rsidR="00CE4218" w:rsidRPr="004D3A2E" w14:paraId="1765E8C9" w14:textId="77777777">
    <w:pPr>
      <w:pStyle w:val="Header"/>
      <w:rPr>
        <w:b/>
      </w:rPr>
    </w:pPr>
    <w:r w:rsidRPr="004D3A2E">
      <w:rPr>
        <w:b/>
      </w:rPr>
      <w:t>Section 64.703</w:t>
    </w:r>
    <w:r>
      <w:rPr>
        <w:b/>
      </w:rPr>
      <w:t xml:space="preserve"> </w:t>
    </w:r>
    <w:r w:rsidRPr="004D3A2E">
      <w:rPr>
        <w:b/>
      </w:rPr>
      <w:t>(b) and (c)</w:t>
    </w:r>
    <w:r>
      <w:rPr>
        <w:b/>
      </w:rPr>
      <w:t xml:space="preserve">, </w:t>
    </w:r>
    <w:r w:rsidRPr="004D3A2E">
      <w:rPr>
        <w:b/>
      </w:rPr>
      <w:t>Consumer Information – Posting by Aggregators</w:t>
    </w:r>
  </w:p>
  <w:p w:rsidR="00CE4218" w14:paraId="3BA02B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DA2B70"/>
    <w:multiLevelType w:val="hybridMultilevel"/>
    <w:tmpl w:val="96B4DC70"/>
    <w:lvl w:ilvl="0">
      <w:start w:val="6"/>
      <w:numFmt w:val="decimal"/>
      <w:lvlText w:val="%1."/>
      <w:lvlJc w:val="left"/>
      <w:pPr>
        <w:tabs>
          <w:tab w:val="num" w:pos="990"/>
        </w:tabs>
        <w:ind w:left="99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2"/>
      <w:numFmt w:val="lowerLetter"/>
      <w:lvlText w:val="(%4)"/>
      <w:lvlJc w:val="left"/>
      <w:pPr>
        <w:tabs>
          <w:tab w:val="num" w:pos="3240"/>
        </w:tabs>
        <w:ind w:left="3240" w:hanging="360"/>
      </w:pPr>
      <w:rPr>
        <w:rFont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5DFB3C18"/>
    <w:multiLevelType w:val="hybridMultilevel"/>
    <w:tmpl w:val="3C10B8C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2"/>
      <w:numFmt w:val="upperLetter"/>
      <w:lvlText w:val="%3."/>
      <w:lvlJc w:val="left"/>
      <w:pPr>
        <w:tabs>
          <w:tab w:val="num" w:pos="2340"/>
        </w:tabs>
        <w:ind w:left="2340" w:hanging="360"/>
      </w:pPr>
      <w:rPr>
        <w:rFonts w:hint="default"/>
        <w:b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78571588">
    <w:abstractNumId w:val="1"/>
  </w:num>
  <w:num w:numId="2" w16cid:durableId="320934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30"/>
    <w:rsid w:val="0002596D"/>
    <w:rsid w:val="000541D5"/>
    <w:rsid w:val="00064E6C"/>
    <w:rsid w:val="000A5CC3"/>
    <w:rsid w:val="000A7403"/>
    <w:rsid w:val="000B0615"/>
    <w:rsid w:val="000B5E9D"/>
    <w:rsid w:val="000D3615"/>
    <w:rsid w:val="00121501"/>
    <w:rsid w:val="001349CC"/>
    <w:rsid w:val="0014422F"/>
    <w:rsid w:val="001A295A"/>
    <w:rsid w:val="001A65D3"/>
    <w:rsid w:val="001B530E"/>
    <w:rsid w:val="001F5778"/>
    <w:rsid w:val="00236395"/>
    <w:rsid w:val="00246A45"/>
    <w:rsid w:val="002537BF"/>
    <w:rsid w:val="00254812"/>
    <w:rsid w:val="00255AF0"/>
    <w:rsid w:val="0028001C"/>
    <w:rsid w:val="00280101"/>
    <w:rsid w:val="00281F38"/>
    <w:rsid w:val="002C4AB7"/>
    <w:rsid w:val="002C6C76"/>
    <w:rsid w:val="0030178D"/>
    <w:rsid w:val="00305BDC"/>
    <w:rsid w:val="00305FAE"/>
    <w:rsid w:val="00307454"/>
    <w:rsid w:val="00340330"/>
    <w:rsid w:val="003451A0"/>
    <w:rsid w:val="003512BA"/>
    <w:rsid w:val="003602EF"/>
    <w:rsid w:val="00371A8B"/>
    <w:rsid w:val="00371E45"/>
    <w:rsid w:val="003D067C"/>
    <w:rsid w:val="00401C4D"/>
    <w:rsid w:val="004438F6"/>
    <w:rsid w:val="0049059B"/>
    <w:rsid w:val="004A335C"/>
    <w:rsid w:val="004D3A2E"/>
    <w:rsid w:val="004D526D"/>
    <w:rsid w:val="004D6039"/>
    <w:rsid w:val="004E0C15"/>
    <w:rsid w:val="004E6BA1"/>
    <w:rsid w:val="005021DE"/>
    <w:rsid w:val="00526C3F"/>
    <w:rsid w:val="00536521"/>
    <w:rsid w:val="005425D7"/>
    <w:rsid w:val="00551835"/>
    <w:rsid w:val="00563777"/>
    <w:rsid w:val="00571FE2"/>
    <w:rsid w:val="00591F3F"/>
    <w:rsid w:val="005A7C24"/>
    <w:rsid w:val="005B4008"/>
    <w:rsid w:val="005C420B"/>
    <w:rsid w:val="005E125A"/>
    <w:rsid w:val="0060379F"/>
    <w:rsid w:val="00617078"/>
    <w:rsid w:val="00630A28"/>
    <w:rsid w:val="006544F9"/>
    <w:rsid w:val="0065743D"/>
    <w:rsid w:val="0068015A"/>
    <w:rsid w:val="00683434"/>
    <w:rsid w:val="0068722D"/>
    <w:rsid w:val="006B6F4E"/>
    <w:rsid w:val="006B70AA"/>
    <w:rsid w:val="006C6E9E"/>
    <w:rsid w:val="006E19AD"/>
    <w:rsid w:val="006F5806"/>
    <w:rsid w:val="007146CB"/>
    <w:rsid w:val="007210C2"/>
    <w:rsid w:val="00733D08"/>
    <w:rsid w:val="00734751"/>
    <w:rsid w:val="00767BD3"/>
    <w:rsid w:val="007C54AD"/>
    <w:rsid w:val="007D2071"/>
    <w:rsid w:val="008033C9"/>
    <w:rsid w:val="00807174"/>
    <w:rsid w:val="00812901"/>
    <w:rsid w:val="00823B28"/>
    <w:rsid w:val="00826B04"/>
    <w:rsid w:val="00842A97"/>
    <w:rsid w:val="008654E8"/>
    <w:rsid w:val="00883B1C"/>
    <w:rsid w:val="008D5CFB"/>
    <w:rsid w:val="009076BF"/>
    <w:rsid w:val="0094189E"/>
    <w:rsid w:val="00942735"/>
    <w:rsid w:val="009744DA"/>
    <w:rsid w:val="009953BF"/>
    <w:rsid w:val="009C3272"/>
    <w:rsid w:val="009C6CBE"/>
    <w:rsid w:val="009C76F9"/>
    <w:rsid w:val="009D217A"/>
    <w:rsid w:val="00A26414"/>
    <w:rsid w:val="00A46150"/>
    <w:rsid w:val="00A748F9"/>
    <w:rsid w:val="00AB7FE7"/>
    <w:rsid w:val="00AD1366"/>
    <w:rsid w:val="00AF5196"/>
    <w:rsid w:val="00B06082"/>
    <w:rsid w:val="00B17190"/>
    <w:rsid w:val="00B25BC9"/>
    <w:rsid w:val="00B42770"/>
    <w:rsid w:val="00BD17E7"/>
    <w:rsid w:val="00BD39FE"/>
    <w:rsid w:val="00C01DCA"/>
    <w:rsid w:val="00C14449"/>
    <w:rsid w:val="00C731E4"/>
    <w:rsid w:val="00CA665B"/>
    <w:rsid w:val="00CE1C41"/>
    <w:rsid w:val="00CE4218"/>
    <w:rsid w:val="00CF547F"/>
    <w:rsid w:val="00D36822"/>
    <w:rsid w:val="00D42F59"/>
    <w:rsid w:val="00D43FA7"/>
    <w:rsid w:val="00D51FC6"/>
    <w:rsid w:val="00D65339"/>
    <w:rsid w:val="00DE177F"/>
    <w:rsid w:val="00DF2A93"/>
    <w:rsid w:val="00DF2C7D"/>
    <w:rsid w:val="00E342D2"/>
    <w:rsid w:val="00E533FA"/>
    <w:rsid w:val="00E62CF9"/>
    <w:rsid w:val="00EB712F"/>
    <w:rsid w:val="00EC54BE"/>
    <w:rsid w:val="00EF7677"/>
    <w:rsid w:val="00F01BE6"/>
    <w:rsid w:val="00F870C4"/>
    <w:rsid w:val="00F94783"/>
    <w:rsid w:val="00FA07D2"/>
    <w:rsid w:val="00FB159E"/>
    <w:rsid w:val="00FC1E37"/>
    <w:rsid w:val="00FD0382"/>
    <w:rsid w:val="00FD39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AB398B"/>
  <w15:chartTrackingRefBased/>
  <w15:docId w15:val="{840D7136-A29C-443E-8B69-65A4EA01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0330"/>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40330"/>
    <w:pPr>
      <w:tabs>
        <w:tab w:val="center" w:pos="4320"/>
        <w:tab w:val="right" w:pos="8640"/>
      </w:tabs>
    </w:pPr>
  </w:style>
  <w:style w:type="paragraph" w:styleId="Footer">
    <w:name w:val="footer"/>
    <w:basedOn w:val="Normal"/>
    <w:rsid w:val="00340330"/>
    <w:pPr>
      <w:tabs>
        <w:tab w:val="center" w:pos="4320"/>
        <w:tab w:val="right" w:pos="8640"/>
      </w:tabs>
    </w:pPr>
  </w:style>
  <w:style w:type="paragraph" w:styleId="FootnoteText">
    <w:name w:val="footnote text"/>
    <w:basedOn w:val="Normal"/>
    <w:semiHidden/>
    <w:rsid w:val="00340330"/>
    <w:rPr>
      <w:sz w:val="20"/>
    </w:rPr>
  </w:style>
  <w:style w:type="character" w:styleId="FootnoteReference">
    <w:name w:val="footnote reference"/>
    <w:semiHidden/>
    <w:rsid w:val="00340330"/>
    <w:rPr>
      <w:vertAlign w:val="superscript"/>
    </w:rPr>
  </w:style>
  <w:style w:type="character" w:styleId="PageNumber">
    <w:name w:val="page number"/>
    <w:basedOn w:val="DefaultParagraphFont"/>
    <w:rsid w:val="00340330"/>
  </w:style>
  <w:style w:type="character" w:styleId="CommentReference">
    <w:name w:val="annotation reference"/>
    <w:semiHidden/>
    <w:rsid w:val="00E62CF9"/>
    <w:rPr>
      <w:sz w:val="16"/>
      <w:szCs w:val="16"/>
    </w:rPr>
  </w:style>
  <w:style w:type="paragraph" w:styleId="CommentText">
    <w:name w:val="annotation text"/>
    <w:basedOn w:val="Normal"/>
    <w:semiHidden/>
    <w:rsid w:val="00E62CF9"/>
    <w:rPr>
      <w:sz w:val="20"/>
    </w:rPr>
  </w:style>
  <w:style w:type="paragraph" w:styleId="CommentSubject">
    <w:name w:val="annotation subject"/>
    <w:basedOn w:val="CommentText"/>
    <w:next w:val="CommentText"/>
    <w:semiHidden/>
    <w:rsid w:val="00E62CF9"/>
    <w:rPr>
      <w:b/>
      <w:bCs/>
    </w:rPr>
  </w:style>
  <w:style w:type="paragraph" w:styleId="BalloonText">
    <w:name w:val="Balloon Text"/>
    <w:basedOn w:val="Normal"/>
    <w:semiHidden/>
    <w:rsid w:val="00E62CF9"/>
    <w:rPr>
      <w:rFonts w:ascii="Tahoma" w:hAnsi="Tahoma" w:cs="Tahoma"/>
      <w:sz w:val="16"/>
      <w:szCs w:val="16"/>
    </w:rPr>
  </w:style>
  <w:style w:type="paragraph" w:styleId="Revision">
    <w:name w:val="Revision"/>
    <w:hidden/>
    <w:uiPriority w:val="99"/>
    <w:semiHidden/>
    <w:rsid w:val="005C420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47A3A-7636-4C7D-873F-E2A8CB92E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tamara.baxter</dc:creator>
  <cp:lastModifiedBy>Cathy Williams</cp:lastModifiedBy>
  <cp:revision>2</cp:revision>
  <cp:lastPrinted>2016-09-15T13:56:00Z</cp:lastPrinted>
  <dcterms:created xsi:type="dcterms:W3CDTF">2025-08-25T15:52:00Z</dcterms:created>
  <dcterms:modified xsi:type="dcterms:W3CDTF">2025-08-25T15:52:00Z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