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246E" w:rsidRPr="00FF7CFE" w:rsidP="00462CCE" w14:paraId="1B44F888" w14:textId="77777777">
      <w:pPr>
        <w:tabs>
          <w:tab w:val="right" w:pos="8640"/>
        </w:tabs>
        <w:rPr>
          <w:b/>
        </w:rPr>
      </w:pPr>
      <w:r w:rsidRPr="00FF7CFE">
        <w:rPr>
          <w:b/>
        </w:rPr>
        <w:t>Sections</w:t>
      </w:r>
      <w:r w:rsidRPr="00FF7CFE" w:rsidR="00112251">
        <w:rPr>
          <w:b/>
        </w:rPr>
        <w:t xml:space="preserve"> </w:t>
      </w:r>
      <w:r w:rsidRPr="00FF7CFE">
        <w:rPr>
          <w:b/>
        </w:rPr>
        <w:t>101.1403, 101.103(f), 101.1413, 101.1440</w:t>
      </w:r>
      <w:r w:rsidRPr="00FF7CFE" w:rsidR="00C13B5C">
        <w:rPr>
          <w:b/>
        </w:rPr>
        <w:tab/>
      </w:r>
      <w:r w:rsidRPr="00FF7CFE" w:rsidR="009973E2">
        <w:rPr>
          <w:b/>
        </w:rPr>
        <w:t>3060-1022</w:t>
      </w:r>
    </w:p>
    <w:p w:rsidR="00C34730" w:rsidRPr="00FF7CFE" w:rsidP="00462CCE" w14:paraId="3FFF4469" w14:textId="77777777">
      <w:pPr>
        <w:tabs>
          <w:tab w:val="decimal" w:pos="8640"/>
        </w:tabs>
        <w:rPr>
          <w:b/>
        </w:rPr>
      </w:pPr>
      <w:r w:rsidRPr="00FF7CFE">
        <w:rPr>
          <w:b/>
        </w:rPr>
        <w:t>101.1417</w:t>
      </w:r>
      <w:r w:rsidRPr="00FF7CFE" w:rsidR="00FB34B5">
        <w:rPr>
          <w:b/>
        </w:rPr>
        <w:t xml:space="preserve"> </w:t>
      </w:r>
      <w:r w:rsidRPr="00FF7CFE" w:rsidR="009973E2">
        <w:rPr>
          <w:b/>
        </w:rPr>
        <w:t xml:space="preserve">and 25.139 </w:t>
      </w:r>
      <w:r w:rsidRPr="00FF7CFE" w:rsidR="00FB34B5">
        <w:rPr>
          <w:b/>
        </w:rPr>
        <w:t>(</w:t>
      </w:r>
      <w:r w:rsidRPr="00FF7CFE">
        <w:rPr>
          <w:b/>
        </w:rPr>
        <w:t>MVDDS</w:t>
      </w:r>
      <w:r w:rsidRPr="00FF7CFE" w:rsidR="009973E2">
        <w:rPr>
          <w:b/>
        </w:rPr>
        <w:t xml:space="preserve"> reporting, recordkeeping</w:t>
      </w:r>
      <w:r w:rsidRPr="00FF7CFE">
        <w:rPr>
          <w:b/>
        </w:rPr>
        <w:tab/>
      </w:r>
      <w:r w:rsidR="003802F2">
        <w:rPr>
          <w:b/>
        </w:rPr>
        <w:t>August</w:t>
      </w:r>
      <w:r w:rsidRPr="00FF7CFE" w:rsidR="00DE5EA1">
        <w:rPr>
          <w:b/>
        </w:rPr>
        <w:t xml:space="preserve"> 202</w:t>
      </w:r>
      <w:r w:rsidR="00D35264">
        <w:rPr>
          <w:b/>
        </w:rPr>
        <w:t>5</w:t>
      </w:r>
    </w:p>
    <w:p w:rsidR="00C34730" w:rsidRPr="00FF7CFE" w:rsidP="004B2CB2" w14:paraId="3EF0432A" w14:textId="77777777">
      <w:pPr>
        <w:rPr>
          <w:b/>
        </w:rPr>
      </w:pPr>
      <w:r w:rsidRPr="00FF7CFE">
        <w:rPr>
          <w:b/>
        </w:rPr>
        <w:t>and third-par</w:t>
      </w:r>
      <w:r w:rsidRPr="00FF7CFE">
        <w:rPr>
          <w:b/>
        </w:rPr>
        <w:t>t</w:t>
      </w:r>
      <w:r w:rsidRPr="00FF7CFE">
        <w:rPr>
          <w:b/>
        </w:rPr>
        <w:t>y disclosures</w:t>
      </w:r>
      <w:r w:rsidRPr="00FF7CFE">
        <w:rPr>
          <w:b/>
        </w:rPr>
        <w:t>;</w:t>
      </w:r>
      <w:r w:rsidRPr="00FF7CFE">
        <w:rPr>
          <w:b/>
        </w:rPr>
        <w:t xml:space="preserve"> </w:t>
      </w:r>
      <w:r w:rsidRPr="00FF7CFE" w:rsidR="00FB34B5">
        <w:rPr>
          <w:b/>
        </w:rPr>
        <w:t>NGSO FSS</w:t>
      </w:r>
      <w:r w:rsidRPr="00FF7CFE" w:rsidR="001C246E">
        <w:rPr>
          <w:b/>
        </w:rPr>
        <w:t xml:space="preserve"> and DBS </w:t>
      </w:r>
    </w:p>
    <w:p w:rsidR="00C654DE" w:rsidRPr="00FF7CFE" w:rsidP="004B2CB2" w14:paraId="224D85FD" w14:textId="77777777">
      <w:pPr>
        <w:rPr>
          <w:b/>
        </w:rPr>
      </w:pPr>
      <w:r w:rsidRPr="00FF7CFE">
        <w:rPr>
          <w:b/>
        </w:rPr>
        <w:t>re</w:t>
      </w:r>
      <w:r w:rsidRPr="00FF7CFE" w:rsidR="009973E2">
        <w:rPr>
          <w:b/>
        </w:rPr>
        <w:t xml:space="preserve">cordkeeping and </w:t>
      </w:r>
      <w:r w:rsidRPr="00FF7CFE">
        <w:rPr>
          <w:b/>
        </w:rPr>
        <w:t>t</w:t>
      </w:r>
      <w:r w:rsidRPr="00FF7CFE" w:rsidR="001C246E">
        <w:rPr>
          <w:b/>
        </w:rPr>
        <w:t>hird</w:t>
      </w:r>
      <w:r w:rsidRPr="00FF7CFE">
        <w:rPr>
          <w:b/>
        </w:rPr>
        <w:t>-p</w:t>
      </w:r>
      <w:r w:rsidRPr="00FF7CFE" w:rsidR="001C246E">
        <w:rPr>
          <w:b/>
        </w:rPr>
        <w:t xml:space="preserve">arty </w:t>
      </w:r>
      <w:r w:rsidRPr="00FF7CFE">
        <w:rPr>
          <w:b/>
        </w:rPr>
        <w:t>d</w:t>
      </w:r>
      <w:r w:rsidRPr="00FF7CFE" w:rsidR="001C246E">
        <w:rPr>
          <w:b/>
        </w:rPr>
        <w:t>isclosure</w:t>
      </w:r>
      <w:r w:rsidRPr="00FF7CFE">
        <w:rPr>
          <w:b/>
        </w:rPr>
        <w:t>s)</w:t>
      </w:r>
    </w:p>
    <w:p w:rsidR="003C03EF" w:rsidRPr="00FF7CFE" w14:paraId="131A0BB0" w14:textId="77777777">
      <w:pPr>
        <w:jc w:val="center"/>
      </w:pPr>
    </w:p>
    <w:p w:rsidR="00205FFF" w:rsidRPr="00FF7CFE" w:rsidP="00205FFF" w14:paraId="693F0B11" w14:textId="77777777">
      <w:pPr>
        <w:jc w:val="center"/>
        <w:rPr>
          <w:b/>
        </w:rPr>
      </w:pPr>
      <w:r w:rsidRPr="00FF7CFE">
        <w:rPr>
          <w:b/>
          <w:szCs w:val="24"/>
        </w:rPr>
        <w:t>S</w:t>
      </w:r>
      <w:r w:rsidRPr="00FF7CFE" w:rsidR="003E762C">
        <w:rPr>
          <w:b/>
          <w:szCs w:val="24"/>
        </w:rPr>
        <w:t>UPPORTING STATEMENT</w:t>
      </w:r>
      <w:r w:rsidRPr="00FF7CFE">
        <w:rPr>
          <w:b/>
          <w:szCs w:val="24"/>
        </w:rPr>
        <w:t xml:space="preserve"> </w:t>
      </w:r>
    </w:p>
    <w:p w:rsidR="00C654DE" w:rsidRPr="00FF7CFE" w:rsidP="005D03E4" w14:paraId="32988ADB" w14:textId="77777777">
      <w:pPr>
        <w:jc w:val="center"/>
      </w:pPr>
    </w:p>
    <w:p w:rsidR="008D1948" w:rsidRPr="00FF7CFE" w:rsidP="008D1948" w14:paraId="2113BAD1" w14:textId="77777777">
      <w:pPr>
        <w:ind w:left="360"/>
        <w:rPr>
          <w:b/>
          <w:u w:val="single"/>
        </w:rPr>
      </w:pPr>
    </w:p>
    <w:p w:rsidR="00CA4984" w:rsidRPr="00FF7CFE" w:rsidP="00CA4984" w14:paraId="0CF2B3CE" w14:textId="77777777">
      <w:pPr>
        <w:rPr>
          <w:szCs w:val="24"/>
        </w:rPr>
      </w:pPr>
      <w:r w:rsidRPr="00FF7CFE">
        <w:t>1</w:t>
      </w:r>
      <w:r w:rsidRPr="00FF7CFE">
        <w:rPr>
          <w:szCs w:val="24"/>
        </w:rPr>
        <w:t>.</w:t>
      </w:r>
      <w:r w:rsidRPr="00FF7CFE">
        <w:rPr>
          <w:szCs w:val="24"/>
        </w:rPr>
        <w:tab/>
        <w:t xml:space="preserve">The Commission seeks </w:t>
      </w:r>
      <w:r w:rsidR="003802F2">
        <w:rPr>
          <w:szCs w:val="24"/>
        </w:rPr>
        <w:t>a three year extension of</w:t>
      </w:r>
      <w:r w:rsidRPr="00FF7CFE">
        <w:rPr>
          <w:szCs w:val="24"/>
        </w:rPr>
        <w:t xml:space="preserve"> </w:t>
      </w:r>
      <w:r w:rsidRPr="00FF7CFE" w:rsidR="00FB34B5">
        <w:rPr>
          <w:szCs w:val="24"/>
        </w:rPr>
        <w:t>a</w:t>
      </w:r>
      <w:r w:rsidRPr="00FF7CFE">
        <w:rPr>
          <w:szCs w:val="24"/>
        </w:rPr>
        <w:t xml:space="preserve"> currently approved information</w:t>
      </w:r>
      <w:r w:rsidRPr="00FF7CFE" w:rsidR="00843251">
        <w:rPr>
          <w:szCs w:val="24"/>
        </w:rPr>
        <w:t xml:space="preserve"> </w:t>
      </w:r>
      <w:r w:rsidRPr="00FF7CFE">
        <w:rPr>
          <w:szCs w:val="24"/>
        </w:rPr>
        <w:t>collection under OMB Control Number</w:t>
      </w:r>
      <w:r w:rsidRPr="00FF7CFE" w:rsidR="00FD79F3">
        <w:rPr>
          <w:szCs w:val="24"/>
        </w:rPr>
        <w:t xml:space="preserve"> </w:t>
      </w:r>
      <w:r w:rsidRPr="00FF7CFE">
        <w:rPr>
          <w:szCs w:val="24"/>
        </w:rPr>
        <w:t>3060-1022</w:t>
      </w:r>
      <w:r w:rsidR="003802F2">
        <w:rPr>
          <w:szCs w:val="24"/>
        </w:rPr>
        <w:t xml:space="preserve"> from the Office of Management and Budget (OMB)</w:t>
      </w:r>
      <w:r w:rsidRPr="00FF7CFE" w:rsidR="00FD79F3">
        <w:rPr>
          <w:szCs w:val="24"/>
        </w:rPr>
        <w:t xml:space="preserve">.  </w:t>
      </w:r>
    </w:p>
    <w:p w:rsidR="00CA4984" w:rsidRPr="00FF7CFE" w:rsidP="00CA4984" w14:paraId="55E88B13" w14:textId="77777777">
      <w:pPr>
        <w:rPr>
          <w:b/>
          <w:u w:val="single"/>
        </w:rPr>
      </w:pPr>
    </w:p>
    <w:p w:rsidR="0044706D" w:rsidRPr="00FF7CFE" w:rsidP="0044706D" w14:paraId="552C3C4E" w14:textId="77777777">
      <w:r w:rsidRPr="00FF7CFE">
        <w:rPr>
          <w:szCs w:val="24"/>
        </w:rPr>
        <w:t xml:space="preserve">This collection includes a Part 25 rule and various rules in Part 101 that govern record retention, reporting, and third-party disclosure requirements </w:t>
      </w:r>
      <w:r w:rsidRPr="00FF7CFE" w:rsidR="009B6B88">
        <w:rPr>
          <w:szCs w:val="24"/>
        </w:rPr>
        <w:t xml:space="preserve">related to satellite and terrestrial sharing of the </w:t>
      </w:r>
      <w:r w:rsidRPr="00FF7CFE">
        <w:rPr>
          <w:szCs w:val="24"/>
        </w:rPr>
        <w:t>12.2-12.7 GHz band</w:t>
      </w:r>
      <w:r w:rsidRPr="00FF7CFE" w:rsidR="009B6B88">
        <w:rPr>
          <w:szCs w:val="24"/>
        </w:rPr>
        <w:t xml:space="preserve">.  The satellite operators are </w:t>
      </w:r>
      <w:r w:rsidRPr="00FF7CFE">
        <w:t>Non-</w:t>
      </w:r>
      <w:r w:rsidRPr="00FF7CFE" w:rsidR="00223E3E">
        <w:t>G</w:t>
      </w:r>
      <w:r w:rsidRPr="00FF7CFE">
        <w:t xml:space="preserve">eostationary </w:t>
      </w:r>
      <w:r w:rsidRPr="00FF7CFE" w:rsidR="00223E3E">
        <w:t>O</w:t>
      </w:r>
      <w:r w:rsidRPr="00FF7CFE">
        <w:t>rbit</w:t>
      </w:r>
      <w:r w:rsidRPr="00FF7CFE" w:rsidR="009B6B88">
        <w:t xml:space="preserve"> Fixed </w:t>
      </w:r>
      <w:r w:rsidRPr="00FF7CFE" w:rsidR="003A71B2">
        <w:t>S</w:t>
      </w:r>
      <w:r w:rsidRPr="00FF7CFE" w:rsidR="009B6B88">
        <w:t>atellite Service (NGSO FSS) and Direct Broadcast Satellite</w:t>
      </w:r>
      <w:r w:rsidRPr="00FF7CFE" w:rsidR="003A71B2">
        <w:t xml:space="preserve"> (DBS) </w:t>
      </w:r>
      <w:r w:rsidRPr="00FF7CFE" w:rsidR="009B6B88">
        <w:t>Service</w:t>
      </w:r>
      <w:r w:rsidRPr="00FF7CFE" w:rsidR="003A71B2">
        <w:t>.</w:t>
      </w:r>
      <w:r w:rsidRPr="00FF7CFE" w:rsidR="009B6B88">
        <w:t xml:space="preserve">  The terrestrial operators are Multichannel Video Distribution and Data Service (MVDDS</w:t>
      </w:r>
      <w:r w:rsidRPr="00FF7CFE" w:rsidR="00EF11BB">
        <w:t>)</w:t>
      </w:r>
      <w:r w:rsidRPr="00FF7CFE" w:rsidR="009B6B88">
        <w:t xml:space="preserve">.  </w:t>
      </w:r>
    </w:p>
    <w:p w:rsidR="009B6B88" w:rsidRPr="00FF7CFE" w:rsidP="0044706D" w14:paraId="1D126576" w14:textId="77777777">
      <w:pPr>
        <w:rPr>
          <w:szCs w:val="24"/>
        </w:rPr>
      </w:pPr>
    </w:p>
    <w:p w:rsidR="0044706D" w:rsidRPr="00FF7CFE" w:rsidP="0044706D" w14:paraId="65CB33A3" w14:textId="77777777">
      <w:pPr>
        <w:rPr>
          <w:rFonts w:eastAsia="Calibri"/>
          <w:b/>
          <w:bCs/>
          <w:szCs w:val="24"/>
        </w:rPr>
      </w:pPr>
      <w:r w:rsidRPr="00FF7CFE">
        <w:rPr>
          <w:szCs w:val="24"/>
        </w:rPr>
        <w:t xml:space="preserve">The rule sections discussed below, which </w:t>
      </w:r>
      <w:r w:rsidRPr="00FF7CFE" w:rsidR="00FC7DA1">
        <w:rPr>
          <w:szCs w:val="24"/>
        </w:rPr>
        <w:t xml:space="preserve">OMB previously approved </w:t>
      </w:r>
      <w:r w:rsidRPr="00FF7CFE">
        <w:rPr>
          <w:szCs w:val="24"/>
        </w:rPr>
        <w:t xml:space="preserve">under </w:t>
      </w:r>
      <w:r w:rsidRPr="00FF7CFE">
        <w:rPr>
          <w:szCs w:val="24"/>
        </w:rPr>
        <w:t>OMB Control Number</w:t>
      </w:r>
      <w:r w:rsidRPr="00FF7CFE">
        <w:rPr>
          <w:szCs w:val="24"/>
        </w:rPr>
        <w:t xml:space="preserve">s 3060-1021 and </w:t>
      </w:r>
      <w:r w:rsidRPr="00FF7CFE">
        <w:rPr>
          <w:szCs w:val="24"/>
        </w:rPr>
        <w:t>3060-1022</w:t>
      </w:r>
      <w:r w:rsidRPr="00FF7CFE">
        <w:rPr>
          <w:szCs w:val="24"/>
        </w:rPr>
        <w:t>,</w:t>
      </w:r>
      <w:r w:rsidRPr="00FF7CFE">
        <w:rPr>
          <w:szCs w:val="24"/>
        </w:rPr>
        <w:t xml:space="preserve"> have not changed.</w:t>
      </w:r>
      <w:r w:rsidRPr="00FF7CFE">
        <w:rPr>
          <w:rFonts w:eastAsia="Calibri"/>
          <w:b/>
          <w:bCs/>
          <w:szCs w:val="24"/>
        </w:rPr>
        <w:t xml:space="preserve"> </w:t>
      </w:r>
      <w:r w:rsidRPr="00FF7CFE">
        <w:rPr>
          <w:rFonts w:eastAsia="Calibri"/>
          <w:b/>
          <w:bCs/>
          <w:szCs w:val="24"/>
        </w:rPr>
        <w:t xml:space="preserve"> </w:t>
      </w:r>
      <w:r w:rsidRPr="00FF7CFE" w:rsidR="004F60D0">
        <w:rPr>
          <w:rFonts w:eastAsia="Calibri"/>
          <w:bCs/>
          <w:szCs w:val="24"/>
        </w:rPr>
        <w:t xml:space="preserve">The Part 25 rule that we </w:t>
      </w:r>
      <w:r w:rsidRPr="00FF7CFE" w:rsidR="00130312">
        <w:rPr>
          <w:rFonts w:eastAsia="Calibri"/>
          <w:bCs/>
          <w:szCs w:val="24"/>
        </w:rPr>
        <w:t>have</w:t>
      </w:r>
      <w:r w:rsidR="00FF7CFE">
        <w:rPr>
          <w:rFonts w:eastAsia="Calibri"/>
          <w:bCs/>
          <w:szCs w:val="24"/>
        </w:rPr>
        <w:t xml:space="preserve"> </w:t>
      </w:r>
      <w:r w:rsidRPr="00FF7CFE" w:rsidR="004F60D0">
        <w:rPr>
          <w:rFonts w:eastAsia="Calibri"/>
          <w:bCs/>
          <w:szCs w:val="24"/>
        </w:rPr>
        <w:t>consolidat</w:t>
      </w:r>
      <w:r w:rsidRPr="00FF7CFE" w:rsidR="00130312">
        <w:rPr>
          <w:rFonts w:eastAsia="Calibri"/>
          <w:bCs/>
          <w:szCs w:val="24"/>
        </w:rPr>
        <w:t>ed</w:t>
      </w:r>
      <w:r w:rsidRPr="00FF7CFE" w:rsidR="004F60D0">
        <w:rPr>
          <w:rFonts w:eastAsia="Calibri"/>
          <w:bCs/>
          <w:szCs w:val="24"/>
        </w:rPr>
        <w:t xml:space="preserve"> into </w:t>
      </w:r>
      <w:r w:rsidRPr="00FF7CFE" w:rsidR="005C0135">
        <w:rPr>
          <w:rFonts w:eastAsia="Calibri"/>
          <w:bCs/>
          <w:szCs w:val="24"/>
        </w:rPr>
        <w:t xml:space="preserve">this </w:t>
      </w:r>
      <w:r w:rsidRPr="00FF7CFE" w:rsidR="004F60D0">
        <w:rPr>
          <w:rFonts w:eastAsia="Calibri"/>
          <w:bCs/>
          <w:szCs w:val="24"/>
        </w:rPr>
        <w:t xml:space="preserve">collection </w:t>
      </w:r>
      <w:r w:rsidRPr="00FF7CFE" w:rsidR="00130312">
        <w:rPr>
          <w:rFonts w:eastAsia="Calibri"/>
          <w:bCs/>
          <w:szCs w:val="24"/>
        </w:rPr>
        <w:t>was</w:t>
      </w:r>
      <w:r w:rsidRPr="00FF7CFE" w:rsidR="004F60D0">
        <w:rPr>
          <w:rFonts w:eastAsia="Calibri"/>
          <w:bCs/>
          <w:szCs w:val="24"/>
        </w:rPr>
        <w:t xml:space="preserve"> section 25.139, which is discussed in paragraph (f) below.  </w:t>
      </w:r>
    </w:p>
    <w:p w:rsidR="0044706D" w:rsidRPr="00FF7CFE" w:rsidP="008D1948" w14:paraId="3F88D0E7" w14:textId="77777777">
      <w:pPr>
        <w:rPr>
          <w:b/>
          <w:u w:val="single"/>
        </w:rPr>
      </w:pPr>
    </w:p>
    <w:p w:rsidR="005F0A77" w:rsidRPr="00FF7CFE" w:rsidP="00B86987" w14:paraId="7EC2FBD7" w14:textId="77777777">
      <w:r w:rsidRPr="00FF7CFE">
        <w:rPr>
          <w:noProof/>
          <w:szCs w:val="24"/>
        </w:rPr>
        <w:t>a</w:t>
      </w:r>
      <w:r w:rsidRPr="00FF7CFE" w:rsidR="00B86987">
        <w:rPr>
          <w:noProof/>
          <w:szCs w:val="24"/>
        </w:rPr>
        <w:t xml:space="preserve">.  </w:t>
      </w:r>
      <w:r w:rsidRPr="00FF7CFE" w:rsidR="00CB57F9">
        <w:rPr>
          <w:b/>
        </w:rPr>
        <w:t>§</w:t>
      </w:r>
      <w:r w:rsidRPr="00FF7CFE" w:rsidR="00B86987">
        <w:rPr>
          <w:b/>
        </w:rPr>
        <w:t xml:space="preserve"> 101.1403</w:t>
      </w:r>
      <w:r w:rsidRPr="00FF7CFE" w:rsidR="00B86987">
        <w:t xml:space="preserve"> requires </w:t>
      </w:r>
      <w:r w:rsidRPr="00FF7CFE" w:rsidR="00D67FFB">
        <w:rPr>
          <w:szCs w:val="24"/>
        </w:rPr>
        <w:t xml:space="preserve">certain Multichannel Video Distribution and Data Service (MVDDS) licensees </w:t>
      </w:r>
      <w:r w:rsidRPr="00FF7CFE" w:rsidR="00B86987">
        <w:rPr>
          <w:noProof/>
        </w:rPr>
        <w:t xml:space="preserve">that </w:t>
      </w:r>
      <w:r w:rsidRPr="00FF7CFE" w:rsidR="00B86987">
        <w:t>meet the statutory definition of</w:t>
      </w:r>
      <w:r w:rsidRPr="00FF7CFE" w:rsidR="00B86987">
        <w:rPr>
          <w:noProof/>
        </w:rPr>
        <w:t xml:space="preserve"> </w:t>
      </w:r>
      <w:r w:rsidRPr="00FF7CFE" w:rsidR="00B86987">
        <w:t>Multichannel Video Programming Distributor (MVPD)</w:t>
      </w:r>
      <w:r w:rsidRPr="00FF7CFE" w:rsidR="00B86987">
        <w:rPr>
          <w:noProof/>
        </w:rPr>
        <w:t xml:space="preserve"> to comply with the broadcast carriage </w:t>
      </w:r>
      <w:r w:rsidRPr="00FF7CFE" w:rsidR="005F677B">
        <w:rPr>
          <w:noProof/>
        </w:rPr>
        <w:t xml:space="preserve">retransmission consent </w:t>
      </w:r>
      <w:r w:rsidRPr="00FF7CFE" w:rsidR="00B86987">
        <w:rPr>
          <w:noProof/>
        </w:rPr>
        <w:t xml:space="preserve">requirements </w:t>
      </w:r>
      <w:r w:rsidRPr="00FF7CFE" w:rsidR="005F677B">
        <w:t xml:space="preserve">of the Communications Act of 1934.  </w:t>
      </w:r>
      <w:r w:rsidR="00FF7CFE">
        <w:rPr>
          <w:noProof/>
        </w:rPr>
        <w:t>Any</w:t>
      </w:r>
      <w:r w:rsidRPr="00FF7CFE" w:rsidR="005F677B">
        <w:t xml:space="preserve"> </w:t>
      </w:r>
      <w:r w:rsidRPr="00FF7CFE" w:rsidR="00B86987">
        <w:t xml:space="preserve">MVDDS licensee that is an MVPD must obtain the prior express authority of a broadcast station before retransmitting that station’s signal, </w:t>
      </w:r>
      <w:r w:rsidRPr="00FF7CFE" w:rsidR="005F677B">
        <w:rPr>
          <w:i/>
          <w:iCs/>
        </w:rPr>
        <w:t>see</w:t>
      </w:r>
      <w:r w:rsidRPr="00FF7CFE" w:rsidR="005F677B">
        <w:t xml:space="preserve"> </w:t>
      </w:r>
      <w:r w:rsidRPr="00FF7CFE" w:rsidR="005F677B">
        <w:rPr>
          <w:noProof/>
        </w:rPr>
        <w:t xml:space="preserve">47 U.S.C. § 325(b)(1), </w:t>
      </w:r>
      <w:r w:rsidRPr="00FF7CFE" w:rsidR="00B86987">
        <w:t xml:space="preserve">subject to the exceptions in </w:t>
      </w:r>
      <w:r w:rsidRPr="00FF7CFE" w:rsidR="005F677B">
        <w:t xml:space="preserve">47 U.S.C. </w:t>
      </w:r>
      <w:r w:rsidRPr="00FF7CFE" w:rsidR="00B86987">
        <w:t xml:space="preserve">§ 325(b)(2).  </w:t>
      </w:r>
      <w:r w:rsidRPr="00FF7CFE" w:rsidR="00C67CF3">
        <w:t xml:space="preserve">  </w:t>
      </w:r>
    </w:p>
    <w:p w:rsidR="001B0425" w:rsidRPr="00FF7CFE" w:rsidP="00B86987" w14:paraId="194463B7" w14:textId="77777777"/>
    <w:p w:rsidR="003A2907" w:rsidRPr="00FF7CFE" w:rsidP="003A2907" w14:paraId="6FB219A7" w14:textId="77777777">
      <w:pPr>
        <w:rPr>
          <w:noProof/>
          <w:szCs w:val="24"/>
        </w:rPr>
      </w:pPr>
      <w:r w:rsidRPr="00FF7CFE">
        <w:rPr>
          <w:noProof/>
          <w:szCs w:val="24"/>
        </w:rPr>
        <w:t>b</w:t>
      </w:r>
      <w:r w:rsidRPr="00FF7CFE" w:rsidR="00145C54">
        <w:rPr>
          <w:noProof/>
          <w:szCs w:val="24"/>
        </w:rPr>
        <w:t xml:space="preserve">. </w:t>
      </w:r>
      <w:r w:rsidRPr="00FF7CFE" w:rsidR="00145C54">
        <w:rPr>
          <w:b/>
          <w:noProof/>
          <w:szCs w:val="24"/>
        </w:rPr>
        <w:t>§</w:t>
      </w:r>
      <w:r w:rsidRPr="00FF7CFE">
        <w:rPr>
          <w:b/>
        </w:rPr>
        <w:t xml:space="preserve"> 101.103(f)</w:t>
      </w:r>
      <w:r w:rsidRPr="00FF7CFE">
        <w:t xml:space="preserve"> </w:t>
      </w:r>
      <w:r w:rsidRPr="00FF7CFE">
        <w:rPr>
          <w:noProof/>
          <w:szCs w:val="24"/>
        </w:rPr>
        <w:t xml:space="preserve">requires MVDDS licensees to provide notice of intent </w:t>
      </w:r>
      <w:r w:rsidRPr="00FF7CFE" w:rsidR="00CD6778">
        <w:rPr>
          <w:noProof/>
          <w:szCs w:val="24"/>
        </w:rPr>
        <w:t xml:space="preserve">to </w:t>
      </w:r>
      <w:r w:rsidRPr="00FF7CFE">
        <w:rPr>
          <w:noProof/>
          <w:szCs w:val="24"/>
        </w:rPr>
        <w:t xml:space="preserve">construct a proposed antenna to </w:t>
      </w:r>
      <w:r w:rsidRPr="00FF7CFE" w:rsidR="00A97BA8">
        <w:rPr>
          <w:noProof/>
          <w:szCs w:val="24"/>
        </w:rPr>
        <w:t>Non-Geostationary Satellite Orbit Fixed Satllite Service (NGS</w:t>
      </w:r>
      <w:r w:rsidRPr="00FF7CFE" w:rsidR="002E2870">
        <w:rPr>
          <w:noProof/>
          <w:szCs w:val="24"/>
        </w:rPr>
        <w:t>O-</w:t>
      </w:r>
      <w:r w:rsidRPr="00FF7CFE" w:rsidR="00A97BA8">
        <w:rPr>
          <w:noProof/>
          <w:szCs w:val="24"/>
        </w:rPr>
        <w:t>FSS</w:t>
      </w:r>
      <w:r w:rsidRPr="00FF7CFE" w:rsidR="002E2870">
        <w:rPr>
          <w:noProof/>
          <w:szCs w:val="24"/>
        </w:rPr>
        <w:t>)</w:t>
      </w:r>
      <w:r w:rsidRPr="00FF7CFE" w:rsidR="00A97BA8">
        <w:rPr>
          <w:noProof/>
          <w:szCs w:val="24"/>
        </w:rPr>
        <w:t xml:space="preserve"> </w:t>
      </w:r>
      <w:r w:rsidRPr="00FF7CFE">
        <w:rPr>
          <w:noProof/>
          <w:szCs w:val="24"/>
        </w:rPr>
        <w:t xml:space="preserve">licensees operating in the 12.2-12.7 GHz frequency band and </w:t>
      </w:r>
      <w:r w:rsidRPr="00FF7CFE" w:rsidR="00E348EA">
        <w:rPr>
          <w:noProof/>
          <w:szCs w:val="24"/>
        </w:rPr>
        <w:t xml:space="preserve">to establish and </w:t>
      </w:r>
      <w:r w:rsidRPr="00FF7CFE">
        <w:rPr>
          <w:noProof/>
          <w:szCs w:val="24"/>
        </w:rPr>
        <w:t xml:space="preserve">maintain an Internet web site of all existing transmitting sites and transmitting antenna that are scheduled for operation within one year including the “in service” dates.  </w:t>
      </w:r>
    </w:p>
    <w:p w:rsidR="00B86987" w:rsidRPr="00FF7CFE" w:rsidP="002C1102" w14:paraId="1E8F0206" w14:textId="77777777">
      <w:pPr>
        <w:rPr>
          <w:noProof/>
          <w:szCs w:val="24"/>
        </w:rPr>
      </w:pPr>
    </w:p>
    <w:p w:rsidR="00BC4712" w:rsidRPr="00FF7CFE" w:rsidP="0099332D" w14:paraId="6F4D5873" w14:textId="77777777">
      <w:pPr>
        <w:rPr>
          <w:szCs w:val="22"/>
        </w:rPr>
      </w:pPr>
      <w:r w:rsidRPr="00FF7CFE">
        <w:rPr>
          <w:noProof/>
          <w:szCs w:val="24"/>
        </w:rPr>
        <w:t>c</w:t>
      </w:r>
      <w:r w:rsidRPr="00FF7CFE" w:rsidR="00145C54">
        <w:rPr>
          <w:noProof/>
          <w:szCs w:val="24"/>
        </w:rPr>
        <w:t xml:space="preserve">. </w:t>
      </w:r>
      <w:r w:rsidRPr="00FF7CFE" w:rsidR="00145C54">
        <w:rPr>
          <w:b/>
          <w:noProof/>
          <w:szCs w:val="24"/>
        </w:rPr>
        <w:t>§</w:t>
      </w:r>
      <w:r w:rsidRPr="00FF7CFE" w:rsidR="003A2907">
        <w:rPr>
          <w:b/>
          <w:szCs w:val="24"/>
        </w:rPr>
        <w:t xml:space="preserve"> 101.1413</w:t>
      </w:r>
      <w:r w:rsidRPr="00FF7CFE" w:rsidR="0055440B">
        <w:rPr>
          <w:szCs w:val="24"/>
        </w:rPr>
        <w:t>, as a construction requirement,</w:t>
      </w:r>
      <w:r w:rsidRPr="00FF7CFE" w:rsidR="003A2907">
        <w:rPr>
          <w:szCs w:val="24"/>
        </w:rPr>
        <w:t xml:space="preserve"> </w:t>
      </w:r>
      <w:r w:rsidRPr="00FF7CFE" w:rsidR="003A2907">
        <w:rPr>
          <w:noProof/>
          <w:szCs w:val="24"/>
        </w:rPr>
        <w:t>requires MVDDS licensees to file a showing of substantial service at five and ten years into the in</w:t>
      </w:r>
      <w:r w:rsidRPr="00FF7CFE" w:rsidR="00C1029D">
        <w:rPr>
          <w:noProof/>
          <w:szCs w:val="24"/>
        </w:rPr>
        <w:t>i</w:t>
      </w:r>
      <w:r w:rsidRPr="00FF7CFE" w:rsidR="003A2907">
        <w:rPr>
          <w:noProof/>
          <w:szCs w:val="24"/>
        </w:rPr>
        <w:t xml:space="preserve">tial license term.  </w:t>
      </w:r>
      <w:r w:rsidRPr="00FF7CFE" w:rsidR="0030294D">
        <w:t>S</w:t>
      </w:r>
      <w:r w:rsidRPr="00FF7CFE" w:rsidR="003A2907">
        <w:t xml:space="preserve">ubstantial service is defined as a </w:t>
      </w:r>
      <w:r w:rsidRPr="00FF7CFE" w:rsidR="00174FB8">
        <w:t>“</w:t>
      </w:r>
      <w:r w:rsidRPr="00FF7CFE" w:rsidR="003A2907">
        <w:t>service that is sound, favorable, and substantially above a level of mediocre service which might minimally warrant renewal</w:t>
      </w:r>
      <w:r w:rsidRPr="00FF7CFE" w:rsidR="00F84218">
        <w:t>.</w:t>
      </w:r>
      <w:r w:rsidRPr="00FF7CFE" w:rsidR="00174FB8">
        <w:t>”</w:t>
      </w:r>
      <w:r w:rsidRPr="00FF7CFE" w:rsidR="00F84218">
        <w:t xml:space="preserve"> </w:t>
      </w:r>
      <w:r w:rsidRPr="00FF7CFE" w:rsidR="003A2907">
        <w:t xml:space="preserve"> </w:t>
      </w:r>
      <w:r w:rsidRPr="00FF7CFE" w:rsidR="0030294D">
        <w:t>T</w:t>
      </w:r>
      <w:r w:rsidRPr="00FF7CFE" w:rsidR="001377E6">
        <w:rPr>
          <w:szCs w:val="22"/>
        </w:rPr>
        <w:t>he Commission set forth a safe harbor to serve as a guide to licensees in satisfying the substantial service requirement, as well as additional factors that it would take into consideration in determining whether a licensee satisfies the substantial service standard</w:t>
      </w:r>
      <w:r w:rsidRPr="00FF7CFE" w:rsidR="00E33303">
        <w:rPr>
          <w:szCs w:val="22"/>
        </w:rPr>
        <w:t xml:space="preserve">. </w:t>
      </w:r>
      <w:r w:rsidRPr="00FF7CFE" w:rsidR="0030294D">
        <w:rPr>
          <w:szCs w:val="22"/>
        </w:rPr>
        <w:t xml:space="preserve"> </w:t>
      </w:r>
    </w:p>
    <w:p w:rsidR="001B0425" w:rsidRPr="00FF7CFE" w:rsidP="003A2907" w14:paraId="05471D6E" w14:textId="77777777">
      <w:pPr>
        <w:rPr>
          <w:noProof/>
          <w:szCs w:val="24"/>
        </w:rPr>
      </w:pPr>
    </w:p>
    <w:p w:rsidR="005402C3" w:rsidRPr="00FF7CFE" w:rsidP="003A2907" w14:paraId="1440BCEF" w14:textId="77777777">
      <w:r w:rsidRPr="00FF7CFE">
        <w:rPr>
          <w:noProof/>
          <w:szCs w:val="24"/>
        </w:rPr>
        <w:t>d</w:t>
      </w:r>
      <w:r w:rsidRPr="00FF7CFE" w:rsidR="00145C54">
        <w:rPr>
          <w:noProof/>
          <w:szCs w:val="24"/>
        </w:rPr>
        <w:t xml:space="preserve">. </w:t>
      </w:r>
      <w:r w:rsidRPr="00FF7CFE" w:rsidR="00145C54">
        <w:rPr>
          <w:b/>
          <w:noProof/>
          <w:szCs w:val="24"/>
        </w:rPr>
        <w:t>§</w:t>
      </w:r>
      <w:r w:rsidRPr="00FF7CFE" w:rsidR="003A2907">
        <w:rPr>
          <w:b/>
        </w:rPr>
        <w:t xml:space="preserve"> 101.1440</w:t>
      </w:r>
      <w:r w:rsidRPr="00FF7CFE" w:rsidR="003A2907">
        <w:t xml:space="preserve"> requires Multichannel Video Distribution and Data Service (MVDDS) licensees to collect information and disclose information to third parties.  </w:t>
      </w:r>
      <w:r w:rsidRPr="00FF7CFE" w:rsidR="00D67FFB">
        <w:t xml:space="preserve">Therefore, the </w:t>
      </w:r>
      <w:r w:rsidRPr="00FF7CFE" w:rsidR="003035B2">
        <w:t>reporting</w:t>
      </w:r>
      <w:r w:rsidRPr="00FF7CFE" w:rsidR="00D67FFB">
        <w:t xml:space="preserve"> and disclosure requirements are as follows:</w:t>
      </w:r>
    </w:p>
    <w:p w:rsidR="003A2907" w:rsidRPr="00FF7CFE" w:rsidP="003A2907" w14:paraId="129CEA9A" w14:textId="77777777">
      <w:r w:rsidRPr="00FF7CFE">
        <w:br/>
        <w:t xml:space="preserve">Section 101.1440 requires MVDDS licensees to conduct a survey of the area around its proposed transmitting antenna site to determine the location of all Direct Broadcast Satellite (DBS) customers of record that may potentially be affected by the introduction of its MVDDS service.  At least 90 days prior to the planned date of MVDDS commencement of operations, the MVDDS licensee must then provide specific information to the DBS licensee(s).  Alternatively, MVDDS licensees may obtain a signed, written agreement from DBS customers of record stating that they are aware of and agree to their DBS system receiving MVDDS signal levels in excess of the appropriate Equivalent Power Flux Density (EPFD) limits.  The DBS licensee must thereafter provide the MVDDS licensee with a list of only those new DBS customer locations that have been installed in the 30-day period following the MVDDS notification that the DBS licensee believes may receive harmful interference or where the prescribed EPFD limits may be exceeded.  If the MVDDS licensee determines that its signal level will exceed the EPFD limit at any DBS customer site, it shall take whatever steps are necessary, up to and including finding a new transmitter site.    </w:t>
      </w:r>
    </w:p>
    <w:p w:rsidR="001B0425" w:rsidRPr="00FF7CFE" w:rsidP="003A2907" w14:paraId="28E0DE41" w14:textId="77777777"/>
    <w:p w:rsidR="003A2907" w:rsidRPr="00FF7CFE" w:rsidP="005402C3" w14:paraId="55BB21F4" w14:textId="77777777">
      <w:pPr>
        <w:rPr>
          <w:noProof/>
          <w:szCs w:val="24"/>
        </w:rPr>
      </w:pPr>
      <w:r w:rsidRPr="00FF7CFE">
        <w:t>e</w:t>
      </w:r>
      <w:r w:rsidRPr="00FF7CFE" w:rsidR="00145C54">
        <w:t xml:space="preserve">. </w:t>
      </w:r>
      <w:r w:rsidRPr="00FF7CFE" w:rsidR="00145C54">
        <w:rPr>
          <w:b/>
        </w:rPr>
        <w:t>§</w:t>
      </w:r>
      <w:r w:rsidRPr="00FF7CFE" w:rsidR="008D1948">
        <w:t xml:space="preserve"> </w:t>
      </w:r>
      <w:r w:rsidRPr="00FF7CFE">
        <w:rPr>
          <w:b/>
          <w:szCs w:val="24"/>
        </w:rPr>
        <w:t>101.1417</w:t>
      </w:r>
      <w:r w:rsidRPr="00FF7CFE">
        <w:rPr>
          <w:szCs w:val="24"/>
        </w:rPr>
        <w:t xml:space="preserve"> requires Multichannel Video Distribution and Data Service (MVDDS) licensees to file an annual report.  </w:t>
      </w:r>
      <w:r w:rsidRPr="00FF7CFE" w:rsidR="00356499">
        <w:rPr>
          <w:szCs w:val="24"/>
        </w:rPr>
        <w:t xml:space="preserve">The </w:t>
      </w:r>
      <w:r w:rsidRPr="00FF7CFE">
        <w:rPr>
          <w:szCs w:val="24"/>
        </w:rPr>
        <w:t xml:space="preserve">MVDDS </w:t>
      </w:r>
      <w:r w:rsidRPr="00FF7CFE">
        <w:rPr>
          <w:noProof/>
          <w:szCs w:val="24"/>
        </w:rPr>
        <w:t xml:space="preserve">licensees </w:t>
      </w:r>
      <w:r w:rsidRPr="00FF7CFE" w:rsidR="00356499">
        <w:rPr>
          <w:noProof/>
          <w:szCs w:val="24"/>
        </w:rPr>
        <w:t xml:space="preserve">must </w:t>
      </w:r>
      <w:r w:rsidRPr="00FF7CFE">
        <w:rPr>
          <w:noProof/>
          <w:szCs w:val="24"/>
        </w:rPr>
        <w:t>file with the Commission two copies of a “licensee information report” by March 1st of each year for the preceding calendar year.  This “licensee information report” must include name and address of licensee; station(s) call letters and primary geographic service area(s); and statistical data for the licensee's station</w:t>
      </w:r>
    </w:p>
    <w:p w:rsidR="00C3628C" w:rsidRPr="00FF7CFE" w:rsidP="005402C3" w14:paraId="07126C47" w14:textId="77777777">
      <w:pPr>
        <w:rPr>
          <w:i/>
          <w:noProof/>
          <w:szCs w:val="24"/>
        </w:rPr>
      </w:pPr>
    </w:p>
    <w:p w:rsidR="00C3628C" w:rsidRPr="00FF7CFE" w:rsidP="00C3628C" w14:paraId="68D0A314" w14:textId="77777777">
      <w:pPr>
        <w:rPr>
          <w:noProof/>
          <w:szCs w:val="24"/>
        </w:rPr>
      </w:pPr>
      <w:r w:rsidRPr="00FF7CFE">
        <w:rPr>
          <w:noProof/>
          <w:szCs w:val="24"/>
        </w:rPr>
        <w:t xml:space="preserve">f.  </w:t>
      </w:r>
      <w:r w:rsidRPr="00FF7CFE">
        <w:rPr>
          <w:b/>
        </w:rPr>
        <w:t>§ 25.139</w:t>
      </w:r>
      <w:r w:rsidRPr="00FF7CFE">
        <w:rPr>
          <w:szCs w:val="24"/>
        </w:rPr>
        <w:t>, which the Commission adopted in 2002,</w:t>
      </w:r>
      <w:r>
        <w:rPr>
          <w:rStyle w:val="FootnoteReference"/>
          <w:szCs w:val="24"/>
        </w:rPr>
        <w:footnoteReference w:id="2"/>
      </w:r>
      <w:r w:rsidRPr="00FF7CFE">
        <w:rPr>
          <w:szCs w:val="24"/>
        </w:rPr>
        <w:t xml:space="preserve"> requires Non-Geostationary Satellite Orbit (</w:t>
      </w:r>
      <w:r w:rsidRPr="00FF7CFE">
        <w:rPr>
          <w:noProof/>
          <w:szCs w:val="24"/>
        </w:rPr>
        <w:t xml:space="preserve">NGSO) Fixed-Satellite Service (FSS) licensees to maintain a subscriber database in a format that can be readily shared to enable MVDDS licensees to determine whether a proposed Multichannel Video Distribution and Data Service (MVDDS) transmitting antenna meets the minimum spacing requirement </w:t>
      </w:r>
      <w:r w:rsidRPr="00FF7CFE" w:rsidR="0088660F">
        <w:rPr>
          <w:noProof/>
          <w:szCs w:val="24"/>
        </w:rPr>
        <w:t xml:space="preserve">(set forth in § 101.129, FCC Rules) </w:t>
      </w:r>
      <w:r w:rsidRPr="00FF7CFE">
        <w:rPr>
          <w:noProof/>
          <w:szCs w:val="24"/>
        </w:rPr>
        <w:t xml:space="preserve">relative to qualifying, existing NGSO FSS </w:t>
      </w:r>
      <w:r w:rsidRPr="00FF7CFE" w:rsidR="0088660F">
        <w:rPr>
          <w:noProof/>
          <w:szCs w:val="24"/>
        </w:rPr>
        <w:t xml:space="preserve">fixed </w:t>
      </w:r>
      <w:r w:rsidRPr="00FF7CFE">
        <w:rPr>
          <w:noProof/>
          <w:szCs w:val="24"/>
        </w:rPr>
        <w:t>subscriber receivers.</w:t>
      </w:r>
      <w:r>
        <w:rPr>
          <w:rStyle w:val="FootnoteReference"/>
          <w:szCs w:val="24"/>
        </w:rPr>
        <w:footnoteReference w:id="3"/>
      </w:r>
    </w:p>
    <w:p w:rsidR="005C0135" w:rsidRPr="00FF7CFE" w:rsidP="002C1102" w14:paraId="270D1474" w14:textId="77777777">
      <w:pPr>
        <w:autoSpaceDE w:val="0"/>
        <w:autoSpaceDN w:val="0"/>
        <w:adjustRightInd w:val="0"/>
        <w:rPr>
          <w:bCs/>
          <w:szCs w:val="24"/>
        </w:rPr>
      </w:pPr>
    </w:p>
    <w:p w:rsidR="00D33EDD" w:rsidRPr="00FF7CFE" w:rsidP="002C1102" w14:paraId="3BD665FB" w14:textId="77777777">
      <w:pPr>
        <w:autoSpaceDE w:val="0"/>
        <w:autoSpaceDN w:val="0"/>
        <w:adjustRightInd w:val="0"/>
        <w:rPr>
          <w:bCs/>
          <w:szCs w:val="24"/>
        </w:rPr>
      </w:pPr>
      <w:r w:rsidRPr="00FF7CFE">
        <w:rPr>
          <w:bCs/>
          <w:szCs w:val="24"/>
        </w:rPr>
        <w:t>T</w:t>
      </w:r>
      <w:r w:rsidRPr="00FF7CFE">
        <w:rPr>
          <w:bCs/>
          <w:szCs w:val="24"/>
        </w:rPr>
        <w:t>his information collection does not affect individuals or households; thus, there are no impacts under the Privacy Act.</w:t>
      </w:r>
    </w:p>
    <w:p w:rsidR="009F0EF1" w:rsidRPr="00FF7CFE" w:rsidP="00D11F66" w14:paraId="2B131EBC" w14:textId="77777777">
      <w:pPr>
        <w:ind w:left="360"/>
        <w:rPr>
          <w:noProof/>
          <w:szCs w:val="24"/>
        </w:rPr>
      </w:pPr>
    </w:p>
    <w:p w:rsidR="009F0EF1" w:rsidRPr="00FF7CFE" w:rsidP="002C1102" w14:paraId="178ECFE4" w14:textId="77777777">
      <w:pPr>
        <w:pStyle w:val="Footer"/>
        <w:tabs>
          <w:tab w:val="left" w:pos="360"/>
          <w:tab w:val="clear" w:pos="4320"/>
          <w:tab w:val="clear" w:pos="8640"/>
        </w:tabs>
      </w:pPr>
      <w:r w:rsidRPr="00FF7CFE">
        <w:rPr>
          <w:noProof/>
          <w:szCs w:val="24"/>
        </w:rPr>
        <w:t xml:space="preserve">Statutory </w:t>
      </w:r>
      <w:r w:rsidRPr="00FF7CFE" w:rsidR="00D274A8">
        <w:rPr>
          <w:noProof/>
          <w:szCs w:val="24"/>
        </w:rPr>
        <w:t>a</w:t>
      </w:r>
      <w:r w:rsidRPr="00FF7CFE">
        <w:rPr>
          <w:noProof/>
          <w:szCs w:val="24"/>
        </w:rPr>
        <w:t xml:space="preserve">uthority for this information collection is contained in </w:t>
      </w:r>
      <w:r w:rsidRPr="00FF7CFE">
        <w:rPr>
          <w:color w:val="000000"/>
        </w:rPr>
        <w:t>47 U.S.C. §§ 154(i), 157(a), 301,</w:t>
      </w:r>
      <w:r w:rsidRPr="00FF7CFE" w:rsidR="0063137A">
        <w:rPr>
          <w:color w:val="000000"/>
        </w:rPr>
        <w:t xml:space="preserve"> </w:t>
      </w:r>
      <w:r w:rsidRPr="00FF7CFE">
        <w:rPr>
          <w:color w:val="000000"/>
        </w:rPr>
        <w:t>303(c), 303(f), 303(g), 303(r), 308</w:t>
      </w:r>
      <w:r w:rsidRPr="00FF7CFE" w:rsidR="0063137A">
        <w:rPr>
          <w:color w:val="000000"/>
        </w:rPr>
        <w:t>,</w:t>
      </w:r>
      <w:r w:rsidRPr="00FF7CFE">
        <w:rPr>
          <w:color w:val="000000"/>
        </w:rPr>
        <w:t xml:space="preserve"> and 309(j).</w:t>
      </w:r>
    </w:p>
    <w:p w:rsidR="00304E20" w:rsidRPr="00FF7CFE" w:rsidP="00304E20" w14:paraId="5CCA1D24" w14:textId="77777777">
      <w:pPr>
        <w:rPr>
          <w:szCs w:val="24"/>
        </w:rPr>
      </w:pPr>
    </w:p>
    <w:p w:rsidR="002325DB" w:rsidRPr="00FF7CFE" w:rsidP="00BA361E" w14:paraId="50CCDA93" w14:textId="77777777">
      <w:pPr>
        <w:rPr>
          <w:noProof/>
          <w:szCs w:val="24"/>
        </w:rPr>
      </w:pPr>
      <w:r w:rsidRPr="00FF7CFE">
        <w:rPr>
          <w:noProof/>
          <w:szCs w:val="24"/>
        </w:rPr>
        <w:t xml:space="preserve">2.  </w:t>
      </w:r>
      <w:r w:rsidRPr="00FF7CFE">
        <w:rPr>
          <w:noProof/>
          <w:szCs w:val="24"/>
        </w:rPr>
        <w:t>The Commission uses</w:t>
      </w:r>
      <w:r w:rsidRPr="00FF7CFE">
        <w:rPr>
          <w:szCs w:val="24"/>
        </w:rPr>
        <w:t xml:space="preserve"> the information collected or required to be disclosed to ensure that MVDDS licensees meet the broadcast carriage retransmission consent requirements of 47 U.S.C. § 325(b)(1); to ensure that MVDDS antennas meet minimum spacing requirement; to determine whether a licensee is providing substantial service; to ensure that MVDDS licensees protect DBS customers of record from interference as required by the Commission’s rules; and to keep track of the MVDDS service.  The information compiled in the annual report will assist the Commission in analyzing trends and competition in the marketplace.</w:t>
      </w:r>
    </w:p>
    <w:p w:rsidR="00C654DE" w:rsidRPr="00FF7CFE" w14:paraId="5DEA13D7" w14:textId="77777777">
      <w:pPr>
        <w:rPr>
          <w:sz w:val="22"/>
          <w:szCs w:val="22"/>
        </w:rPr>
      </w:pPr>
    </w:p>
    <w:p w:rsidR="00C654DE" w:rsidRPr="00FF7CFE" w:rsidP="00AF1033" w14:paraId="78080228" w14:textId="77777777">
      <w:pPr>
        <w:rPr>
          <w:szCs w:val="24"/>
        </w:rPr>
      </w:pPr>
      <w:r w:rsidRPr="00FF7CFE">
        <w:rPr>
          <w:szCs w:val="24"/>
        </w:rPr>
        <w:t xml:space="preserve">3.  </w:t>
      </w:r>
      <w:r w:rsidRPr="00FF7CFE">
        <w:rPr>
          <w:szCs w:val="24"/>
        </w:rPr>
        <w:t>Prior to finalizing rule makings the</w:t>
      </w:r>
      <w:r w:rsidRPr="00FF7CFE" w:rsidR="00C732BD">
        <w:rPr>
          <w:szCs w:val="24"/>
        </w:rPr>
        <w:t xml:space="preserve"> FCC </w:t>
      </w:r>
      <w:r w:rsidRPr="00FF7CFE">
        <w:rPr>
          <w:szCs w:val="24"/>
        </w:rPr>
        <w:t xml:space="preserve">conducts an analysis to </w:t>
      </w:r>
      <w:r w:rsidRPr="00FF7CFE" w:rsidR="0083521E">
        <w:rPr>
          <w:szCs w:val="24"/>
        </w:rPr>
        <w:t>e</w:t>
      </w:r>
      <w:r w:rsidRPr="00FF7CFE">
        <w:rPr>
          <w:szCs w:val="24"/>
        </w:rPr>
        <w:t>nsure that improved information technology cannot be used to reduce the burden on the public.  This analysis considers the possibility of obtaining and/or computer-generating the required data from existing data bases in the Commission or other federal agencies</w:t>
      </w:r>
      <w:r w:rsidRPr="00FF7CFE" w:rsidR="00B600FE">
        <w:rPr>
          <w:szCs w:val="24"/>
        </w:rPr>
        <w:t>.</w:t>
      </w:r>
    </w:p>
    <w:p w:rsidR="00C654DE" w:rsidRPr="00FF7CFE" w14:paraId="6647BDAD" w14:textId="77777777">
      <w:pPr>
        <w:rPr>
          <w:sz w:val="22"/>
          <w:szCs w:val="22"/>
        </w:rPr>
      </w:pPr>
    </w:p>
    <w:p w:rsidR="00C654DE" w:rsidRPr="00FF7CFE" w:rsidP="00AF1033" w14:paraId="69448D82" w14:textId="77777777">
      <w:pPr>
        <w:rPr>
          <w:szCs w:val="24"/>
        </w:rPr>
      </w:pPr>
      <w:r w:rsidRPr="00FF7CFE">
        <w:rPr>
          <w:szCs w:val="24"/>
        </w:rPr>
        <w:t xml:space="preserve">4.  </w:t>
      </w:r>
      <w:r w:rsidRPr="00FF7CFE">
        <w:rPr>
          <w:szCs w:val="24"/>
        </w:rPr>
        <w:t>No other federal agency collects this data.</w:t>
      </w:r>
    </w:p>
    <w:p w:rsidR="00C654DE" w:rsidRPr="00FF7CFE" w14:paraId="05F59124" w14:textId="77777777">
      <w:pPr>
        <w:rPr>
          <w:szCs w:val="24"/>
        </w:rPr>
      </w:pPr>
    </w:p>
    <w:p w:rsidR="001224F8" w:rsidRPr="00FF7CFE" w:rsidP="001B6B00" w14:paraId="38CDCE8C" w14:textId="77777777">
      <w:pPr>
        <w:rPr>
          <w:szCs w:val="24"/>
        </w:rPr>
      </w:pPr>
      <w:r w:rsidRPr="00FF7CFE">
        <w:rPr>
          <w:szCs w:val="24"/>
        </w:rPr>
        <w:t xml:space="preserve">5.  </w:t>
      </w:r>
      <w:r w:rsidRPr="00FF7CFE" w:rsidR="00C654DE">
        <w:rPr>
          <w:szCs w:val="24"/>
        </w:rPr>
        <w:t>In conformance with the Paperwork Reduction Act of 1995, the Commission is making an effort to minimize the burden on all respondents, regardless of size.  The Commission has limited the information requirements to that absolutely necessary to deter against possible abuses.</w:t>
      </w:r>
      <w:r w:rsidRPr="00FF7CFE" w:rsidR="00BB2783">
        <w:rPr>
          <w:szCs w:val="24"/>
        </w:rPr>
        <w:br/>
      </w:r>
    </w:p>
    <w:p w:rsidR="00A0706B" w:rsidRPr="00FF7CFE" w:rsidP="00AF1033" w14:paraId="4A799ABD" w14:textId="77777777">
      <w:pPr>
        <w:rPr>
          <w:szCs w:val="24"/>
        </w:rPr>
      </w:pPr>
      <w:r w:rsidRPr="00FF7CFE">
        <w:rPr>
          <w:szCs w:val="24"/>
        </w:rPr>
        <w:t xml:space="preserve">6.  </w:t>
      </w:r>
      <w:r w:rsidRPr="00FF7CFE" w:rsidR="001224F8">
        <w:rPr>
          <w:szCs w:val="24"/>
        </w:rPr>
        <w:t>(a)</w:t>
      </w:r>
      <w:r w:rsidRPr="00FF7CFE" w:rsidR="001224F8">
        <w:rPr>
          <w:b/>
          <w:szCs w:val="24"/>
        </w:rPr>
        <w:t xml:space="preserve"> </w:t>
      </w:r>
      <w:r w:rsidRPr="00FF7CFE" w:rsidR="00AE2842">
        <w:rPr>
          <w:b/>
          <w:szCs w:val="24"/>
        </w:rPr>
        <w:t xml:space="preserve">Section </w:t>
      </w:r>
      <w:r w:rsidRPr="00FF7CFE" w:rsidR="00347CAB">
        <w:rPr>
          <w:b/>
          <w:szCs w:val="24"/>
        </w:rPr>
        <w:t>101.1403:</w:t>
      </w:r>
      <w:r w:rsidRPr="00FF7CFE" w:rsidR="00347CAB">
        <w:rPr>
          <w:szCs w:val="24"/>
        </w:rPr>
        <w:t xml:space="preserve"> </w:t>
      </w:r>
      <w:r w:rsidRPr="00FF7CFE">
        <w:rPr>
          <w:szCs w:val="24"/>
        </w:rPr>
        <w:t>The third</w:t>
      </w:r>
      <w:r w:rsidRPr="00FF7CFE" w:rsidR="0027780C">
        <w:rPr>
          <w:szCs w:val="24"/>
        </w:rPr>
        <w:t>-</w:t>
      </w:r>
      <w:r w:rsidRPr="00FF7CFE">
        <w:rPr>
          <w:szCs w:val="24"/>
        </w:rPr>
        <w:t xml:space="preserve">party disclosure and reporting requirements for </w:t>
      </w:r>
      <w:r w:rsidRPr="00FF7CFE" w:rsidR="001B6B00">
        <w:rPr>
          <w:szCs w:val="24"/>
        </w:rPr>
        <w:t>§</w:t>
      </w:r>
      <w:r w:rsidRPr="00FF7CFE" w:rsidR="00C13B5C">
        <w:rPr>
          <w:szCs w:val="24"/>
        </w:rPr>
        <w:t> </w:t>
      </w:r>
      <w:r w:rsidRPr="00FF7CFE">
        <w:rPr>
          <w:szCs w:val="24"/>
        </w:rPr>
        <w:t>101.1403 is based on the need for MVDDS licensees to meet the statutory definition of MVPD to comply with the broadcast carriage requirements of 47 U.S.C. 325(b)(1).</w:t>
      </w:r>
    </w:p>
    <w:p w:rsidR="00A0706B" w:rsidRPr="00FF7CFE" w:rsidP="00AF1033" w14:paraId="3632223F" w14:textId="77777777">
      <w:pPr>
        <w:rPr>
          <w:szCs w:val="24"/>
        </w:rPr>
      </w:pPr>
    </w:p>
    <w:p w:rsidR="00B600FE" w:rsidRPr="00FF7CFE" w:rsidP="00AF1033" w14:paraId="3C589FB5" w14:textId="77777777">
      <w:pPr>
        <w:rPr>
          <w:noProof/>
          <w:szCs w:val="24"/>
        </w:rPr>
      </w:pPr>
      <w:r w:rsidRPr="00FF7CFE">
        <w:rPr>
          <w:szCs w:val="24"/>
        </w:rPr>
        <w:t xml:space="preserve">(b) </w:t>
      </w:r>
      <w:r w:rsidRPr="00FF7CFE" w:rsidR="00C3628C">
        <w:rPr>
          <w:b/>
          <w:szCs w:val="24"/>
        </w:rPr>
        <w:t>Section 101.103(f)</w:t>
      </w:r>
      <w:r w:rsidRPr="00FF7CFE" w:rsidR="00574CEC">
        <w:rPr>
          <w:b/>
          <w:szCs w:val="24"/>
        </w:rPr>
        <w:t xml:space="preserve"> </w:t>
      </w:r>
      <w:r w:rsidRPr="00FF7CFE" w:rsidR="00574CEC">
        <w:rPr>
          <w:noProof/>
          <w:szCs w:val="24"/>
        </w:rPr>
        <w:t xml:space="preserve">require MVDDS licensees to maintain a website of constructed transmitters and </w:t>
      </w:r>
      <w:r w:rsidRPr="00FF7CFE" w:rsidR="00444731">
        <w:rPr>
          <w:noProof/>
          <w:szCs w:val="24"/>
        </w:rPr>
        <w:t xml:space="preserve">to </w:t>
      </w:r>
      <w:r w:rsidRPr="00FF7CFE" w:rsidR="00574CEC">
        <w:rPr>
          <w:noProof/>
          <w:szCs w:val="24"/>
        </w:rPr>
        <w:t xml:space="preserve">provide </w:t>
      </w:r>
      <w:r w:rsidRPr="00FF7CFE" w:rsidR="00444731">
        <w:rPr>
          <w:noProof/>
          <w:szCs w:val="24"/>
        </w:rPr>
        <w:t xml:space="preserve">pre-construction </w:t>
      </w:r>
      <w:r w:rsidRPr="00FF7CFE" w:rsidR="00574CEC">
        <w:rPr>
          <w:noProof/>
          <w:szCs w:val="24"/>
        </w:rPr>
        <w:t xml:space="preserve">notice to NGSO FSS licensees operting in 12.2-12.7 GHz of transmitters scheduled for operation within one year including the “in service” dates” and specific technical data.  </w:t>
      </w:r>
      <w:r w:rsidRPr="00FF7CFE" w:rsidR="00444731">
        <w:rPr>
          <w:noProof/>
          <w:szCs w:val="24"/>
        </w:rPr>
        <w:t xml:space="preserve">These third-party disclosures, together with the NGSO FSS recordkeeping and disclosures requirements in § 25.139 (see 6.f. below) </w:t>
      </w:r>
      <w:r w:rsidRPr="00FF7CFE" w:rsidR="003C4AA4">
        <w:rPr>
          <w:noProof/>
          <w:szCs w:val="24"/>
        </w:rPr>
        <w:t xml:space="preserve">are necessary to </w:t>
      </w:r>
      <w:r w:rsidRPr="00FF7CFE" w:rsidR="00444731">
        <w:rPr>
          <w:noProof/>
          <w:szCs w:val="24"/>
        </w:rPr>
        <w:t xml:space="preserve">establish </w:t>
      </w:r>
      <w:r w:rsidRPr="00FF7CFE" w:rsidR="003C4AA4">
        <w:rPr>
          <w:noProof/>
          <w:szCs w:val="24"/>
        </w:rPr>
        <w:t xml:space="preserve">the interference </w:t>
      </w:r>
      <w:r w:rsidRPr="00FF7CFE" w:rsidR="00444731">
        <w:rPr>
          <w:noProof/>
          <w:szCs w:val="24"/>
        </w:rPr>
        <w:t xml:space="preserve">protection </w:t>
      </w:r>
      <w:r w:rsidRPr="00FF7CFE" w:rsidR="003C4AA4">
        <w:rPr>
          <w:noProof/>
          <w:szCs w:val="24"/>
        </w:rPr>
        <w:t>obligations—if any—of each MVDDS transmitter relative to each qualifying NGSO FSS fixed subscriber earth station.  The information sharing requirements are also necessary to facilitate</w:t>
      </w:r>
      <w:r w:rsidRPr="00FF7CFE" w:rsidR="00C219D8">
        <w:rPr>
          <w:noProof/>
          <w:szCs w:val="24"/>
        </w:rPr>
        <w:t xml:space="preserve"> </w:t>
      </w:r>
      <w:r w:rsidRPr="00FF7CFE" w:rsidR="003C4AA4">
        <w:rPr>
          <w:noProof/>
          <w:szCs w:val="24"/>
        </w:rPr>
        <w:t>interference</w:t>
      </w:r>
      <w:r w:rsidRPr="00FF7CFE" w:rsidR="00C219D8">
        <w:rPr>
          <w:noProof/>
          <w:szCs w:val="24"/>
        </w:rPr>
        <w:t xml:space="preserve"> </w:t>
      </w:r>
      <w:r w:rsidRPr="00FF7CFE" w:rsidR="00F9028D">
        <w:rPr>
          <w:noProof/>
          <w:szCs w:val="24"/>
        </w:rPr>
        <w:t>avoidance</w:t>
      </w:r>
      <w:r w:rsidRPr="00FF7CFE" w:rsidR="000E6F1C">
        <w:rPr>
          <w:noProof/>
          <w:szCs w:val="24"/>
        </w:rPr>
        <w:t xml:space="preserve">.  </w:t>
      </w:r>
      <w:r w:rsidRPr="00FF7CFE">
        <w:rPr>
          <w:noProof/>
          <w:szCs w:val="24"/>
        </w:rPr>
        <w:t xml:space="preserve">Accordingly, there is no way to require notification or disclosure-sharing less frequently.   </w:t>
      </w:r>
    </w:p>
    <w:p w:rsidR="001224F8" w:rsidRPr="00FF7CFE" w:rsidP="00AF1033" w14:paraId="2EF3ADE9" w14:textId="77777777">
      <w:pPr>
        <w:rPr>
          <w:b/>
          <w:noProof/>
          <w:szCs w:val="24"/>
        </w:rPr>
      </w:pPr>
    </w:p>
    <w:p w:rsidR="00B600FE" w:rsidRPr="00FF7CFE" w:rsidP="00AF1033" w14:paraId="55637E3D" w14:textId="77777777">
      <w:pPr>
        <w:rPr>
          <w:noProof/>
          <w:szCs w:val="24"/>
        </w:rPr>
      </w:pPr>
      <w:bookmarkStart w:id="0" w:name="_Hlk105066027"/>
      <w:r w:rsidRPr="00FF7CFE">
        <w:rPr>
          <w:noProof/>
          <w:szCs w:val="24"/>
        </w:rPr>
        <w:t xml:space="preserve">(c) </w:t>
      </w:r>
      <w:r w:rsidRPr="00FF7CFE" w:rsidR="00A0706B">
        <w:rPr>
          <w:b/>
          <w:noProof/>
          <w:szCs w:val="24"/>
        </w:rPr>
        <w:t>Section 101.1413</w:t>
      </w:r>
      <w:r w:rsidRPr="00FF7CFE" w:rsidR="00A0706B">
        <w:rPr>
          <w:noProof/>
          <w:szCs w:val="24"/>
        </w:rPr>
        <w:t xml:space="preserve"> requires MVDDS licensees to file a showing of substantial service at five and ten-years </w:t>
      </w:r>
      <w:r w:rsidRPr="00FF7CFE" w:rsidR="002C3348">
        <w:rPr>
          <w:noProof/>
          <w:szCs w:val="24"/>
        </w:rPr>
        <w:t xml:space="preserve">of the initial authorization grant.  </w:t>
      </w:r>
      <w:r w:rsidRPr="00FF7CFE" w:rsidR="00A0706B">
        <w:rPr>
          <w:noProof/>
          <w:szCs w:val="24"/>
        </w:rPr>
        <w:t>The FCC needs this information to determine whether a licensee is providing substantial servi</w:t>
      </w:r>
      <w:r w:rsidRPr="00FF7CFE" w:rsidR="00B957C5">
        <w:rPr>
          <w:noProof/>
          <w:szCs w:val="24"/>
        </w:rPr>
        <w:t>c</w:t>
      </w:r>
      <w:r w:rsidRPr="00FF7CFE" w:rsidR="00A0706B">
        <w:rPr>
          <w:noProof/>
          <w:szCs w:val="24"/>
        </w:rPr>
        <w:t>e at five and ten years into</w:t>
      </w:r>
      <w:r w:rsidRPr="00FF7CFE" w:rsidR="002869A7">
        <w:rPr>
          <w:noProof/>
          <w:szCs w:val="24"/>
        </w:rPr>
        <w:t xml:space="preserve"> </w:t>
      </w:r>
      <w:r w:rsidRPr="00FF7CFE" w:rsidR="00A97BA8">
        <w:rPr>
          <w:noProof/>
          <w:szCs w:val="24"/>
        </w:rPr>
        <w:t xml:space="preserve">the </w:t>
      </w:r>
      <w:r w:rsidRPr="00FF7CFE" w:rsidR="00A0706B">
        <w:rPr>
          <w:noProof/>
          <w:szCs w:val="24"/>
        </w:rPr>
        <w:t>license term</w:t>
      </w:r>
      <w:r w:rsidRPr="00FF7CFE" w:rsidR="002C3348">
        <w:rPr>
          <w:noProof/>
          <w:szCs w:val="24"/>
        </w:rPr>
        <w:t xml:space="preserve"> to </w:t>
      </w:r>
      <w:r w:rsidRPr="00FF7CFE" w:rsidR="00425BF5">
        <w:rPr>
          <w:noProof/>
          <w:szCs w:val="24"/>
        </w:rPr>
        <w:t xml:space="preserve">determine whether </w:t>
      </w:r>
      <w:r w:rsidRPr="00FF7CFE" w:rsidR="002C3348">
        <w:rPr>
          <w:noProof/>
          <w:szCs w:val="24"/>
        </w:rPr>
        <w:t>a licensee</w:t>
      </w:r>
      <w:r w:rsidRPr="00FF7CFE" w:rsidR="00425BF5">
        <w:rPr>
          <w:noProof/>
          <w:szCs w:val="24"/>
        </w:rPr>
        <w:t xml:space="preserve"> has met its construction requirements.  In 201</w:t>
      </w:r>
      <w:r w:rsidRPr="00FF7CFE" w:rsidR="00294D75">
        <w:rPr>
          <w:noProof/>
          <w:szCs w:val="24"/>
        </w:rPr>
        <w:t>5</w:t>
      </w:r>
      <w:r w:rsidRPr="00FF7CFE" w:rsidR="00425BF5">
        <w:rPr>
          <w:noProof/>
          <w:szCs w:val="24"/>
        </w:rPr>
        <w:t>, t</w:t>
      </w:r>
      <w:r w:rsidRPr="00FF7CFE" w:rsidR="009D580D">
        <w:rPr>
          <w:noProof/>
          <w:szCs w:val="24"/>
        </w:rPr>
        <w:t xml:space="preserve">he Commission granted </w:t>
      </w:r>
      <w:r w:rsidRPr="00FF7CFE" w:rsidR="003F38DC">
        <w:rPr>
          <w:noProof/>
          <w:szCs w:val="24"/>
        </w:rPr>
        <w:t xml:space="preserve">renewals </w:t>
      </w:r>
      <w:r w:rsidRPr="00FF7CFE" w:rsidR="00453B8F">
        <w:rPr>
          <w:noProof/>
          <w:szCs w:val="24"/>
        </w:rPr>
        <w:t xml:space="preserve">to ten licensees </w:t>
      </w:r>
      <w:r w:rsidRPr="00FF7CFE" w:rsidR="00425BF5">
        <w:rPr>
          <w:noProof/>
          <w:szCs w:val="24"/>
        </w:rPr>
        <w:t xml:space="preserve">of </w:t>
      </w:r>
      <w:r w:rsidRPr="00FF7CFE" w:rsidR="00453B8F">
        <w:rPr>
          <w:noProof/>
          <w:szCs w:val="24"/>
        </w:rPr>
        <w:t xml:space="preserve">a total of 191 </w:t>
      </w:r>
      <w:r w:rsidRPr="00FF7CFE" w:rsidR="00425BF5">
        <w:rPr>
          <w:noProof/>
          <w:szCs w:val="24"/>
        </w:rPr>
        <w:t xml:space="preserve">MVDDS </w:t>
      </w:r>
      <w:r w:rsidRPr="00FF7CFE" w:rsidR="00453B8F">
        <w:rPr>
          <w:noProof/>
          <w:szCs w:val="24"/>
        </w:rPr>
        <w:t xml:space="preserve">licenses </w:t>
      </w:r>
      <w:r w:rsidRPr="00FF7CFE" w:rsidR="002C3348">
        <w:rPr>
          <w:noProof/>
          <w:szCs w:val="24"/>
        </w:rPr>
        <w:t xml:space="preserve">under </w:t>
      </w:r>
      <w:r w:rsidRPr="00FF7CFE" w:rsidR="009D580D">
        <w:rPr>
          <w:noProof/>
          <w:szCs w:val="24"/>
        </w:rPr>
        <w:t>requests for waiver and extension of the</w:t>
      </w:r>
      <w:r w:rsidRPr="00FF7CFE" w:rsidR="00E91170">
        <w:rPr>
          <w:noProof/>
          <w:szCs w:val="24"/>
        </w:rPr>
        <w:t>se</w:t>
      </w:r>
      <w:r w:rsidRPr="00FF7CFE" w:rsidR="009D580D">
        <w:rPr>
          <w:noProof/>
          <w:szCs w:val="24"/>
        </w:rPr>
        <w:t xml:space="preserve"> requirements</w:t>
      </w:r>
      <w:r w:rsidRPr="00FF7CFE" w:rsidR="002C3348">
        <w:rPr>
          <w:noProof/>
          <w:szCs w:val="24"/>
        </w:rPr>
        <w:t xml:space="preserve"> </w:t>
      </w:r>
      <w:r w:rsidRPr="00FF7CFE" w:rsidR="00F5286A">
        <w:rPr>
          <w:noProof/>
          <w:szCs w:val="24"/>
        </w:rPr>
        <w:t>and</w:t>
      </w:r>
      <w:r w:rsidRPr="00FF7CFE" w:rsidR="007254F2">
        <w:rPr>
          <w:noProof/>
          <w:szCs w:val="24"/>
        </w:rPr>
        <w:t>, i</w:t>
      </w:r>
      <w:r w:rsidRPr="00FF7CFE" w:rsidR="00F80EE6">
        <w:rPr>
          <w:noProof/>
          <w:szCs w:val="24"/>
        </w:rPr>
        <w:t xml:space="preserve">n an abundance of caution, each renewed license includes a </w:t>
      </w:r>
      <w:r w:rsidRPr="00FF7CFE" w:rsidR="002C3348">
        <w:rPr>
          <w:noProof/>
          <w:szCs w:val="24"/>
        </w:rPr>
        <w:t xml:space="preserve">special </w:t>
      </w:r>
      <w:r w:rsidRPr="00FF7CFE" w:rsidR="00F80EE6">
        <w:rPr>
          <w:noProof/>
          <w:szCs w:val="24"/>
        </w:rPr>
        <w:t xml:space="preserve">condition stating that the </w:t>
      </w:r>
      <w:r w:rsidRPr="00FF7CFE" w:rsidR="00865311">
        <w:rPr>
          <w:noProof/>
          <w:szCs w:val="24"/>
        </w:rPr>
        <w:t xml:space="preserve">5-year and 10-year </w:t>
      </w:r>
      <w:r w:rsidRPr="00FF7CFE" w:rsidR="002C3348">
        <w:rPr>
          <w:noProof/>
          <w:szCs w:val="24"/>
        </w:rPr>
        <w:t xml:space="preserve">requirements of § 101.1413 are applicable to </w:t>
      </w:r>
      <w:r w:rsidRPr="00FF7CFE" w:rsidR="00865311">
        <w:rPr>
          <w:noProof/>
          <w:szCs w:val="24"/>
        </w:rPr>
        <w:t xml:space="preserve">each </w:t>
      </w:r>
      <w:r w:rsidRPr="00FF7CFE" w:rsidR="00B52ED4">
        <w:rPr>
          <w:noProof/>
          <w:szCs w:val="24"/>
        </w:rPr>
        <w:t xml:space="preserve">renewed </w:t>
      </w:r>
      <w:r w:rsidRPr="00FF7CFE" w:rsidR="00865311">
        <w:rPr>
          <w:noProof/>
          <w:szCs w:val="24"/>
        </w:rPr>
        <w:t xml:space="preserve">license.  </w:t>
      </w:r>
      <w:r w:rsidRPr="00FF7CFE" w:rsidR="00294D75">
        <w:rPr>
          <w:noProof/>
          <w:szCs w:val="24"/>
        </w:rPr>
        <w:t xml:space="preserve">In 2018 the Commission denied waiver and extension requests and dismissed the renewal applications of three licensees of a total of 22 licenses.  Petitions for reconsideration of the 2018 actions are pending.  </w:t>
      </w:r>
      <w:r w:rsidRPr="00FF7CFE" w:rsidR="00A0706B">
        <w:rPr>
          <w:noProof/>
          <w:szCs w:val="24"/>
        </w:rPr>
        <w:t>There is no way for the Commission to require less frequent reporting of this information and continue to maintain its regulatory duties.</w:t>
      </w:r>
    </w:p>
    <w:bookmarkEnd w:id="0"/>
    <w:p w:rsidR="00A0706B" w:rsidRPr="00FF7CFE" w:rsidP="00AF1033" w14:paraId="64EEC5A5" w14:textId="77777777">
      <w:pPr>
        <w:rPr>
          <w:noProof/>
          <w:szCs w:val="24"/>
        </w:rPr>
      </w:pPr>
    </w:p>
    <w:p w:rsidR="00A0706B" w:rsidRPr="00FF7CFE" w:rsidP="00AF1033" w14:paraId="372142D4" w14:textId="77777777">
      <w:pPr>
        <w:rPr>
          <w:noProof/>
          <w:szCs w:val="24"/>
        </w:rPr>
      </w:pPr>
      <w:r w:rsidRPr="00FF7CFE">
        <w:rPr>
          <w:noProof/>
          <w:szCs w:val="24"/>
        </w:rPr>
        <w:t>(d)</w:t>
      </w:r>
      <w:r w:rsidRPr="00FF7CFE">
        <w:rPr>
          <w:b/>
          <w:noProof/>
          <w:szCs w:val="24"/>
        </w:rPr>
        <w:t xml:space="preserve"> </w:t>
      </w:r>
      <w:r w:rsidRPr="00FF7CFE">
        <w:rPr>
          <w:b/>
          <w:noProof/>
          <w:szCs w:val="24"/>
        </w:rPr>
        <w:t>Section 101.1440</w:t>
      </w:r>
      <w:r w:rsidRPr="00FF7CFE" w:rsidR="0034008B">
        <w:rPr>
          <w:noProof/>
          <w:szCs w:val="24"/>
        </w:rPr>
        <w:t xml:space="preserve"> contains information collection and third part</w:t>
      </w:r>
      <w:r w:rsidRPr="00FF7CFE" w:rsidR="002803AA">
        <w:rPr>
          <w:noProof/>
          <w:szCs w:val="24"/>
        </w:rPr>
        <w:t>y</w:t>
      </w:r>
      <w:r w:rsidRPr="00FF7CFE" w:rsidR="0034008B">
        <w:rPr>
          <w:noProof/>
          <w:szCs w:val="24"/>
        </w:rPr>
        <w:t xml:space="preserve"> disclosure requirements only when a MVDDS licensee intends to erect a transmitting antenna to ascertain whether DBS customers in the vicinity will experience interference </w:t>
      </w:r>
      <w:r w:rsidRPr="00FF7CFE" w:rsidR="002803AA">
        <w:rPr>
          <w:noProof/>
          <w:szCs w:val="24"/>
        </w:rPr>
        <w:t xml:space="preserve">with their DBS </w:t>
      </w:r>
      <w:r w:rsidRPr="00FF7CFE" w:rsidR="00A97BA8">
        <w:rPr>
          <w:noProof/>
          <w:szCs w:val="24"/>
        </w:rPr>
        <w:t>services</w:t>
      </w:r>
      <w:r w:rsidRPr="00FF7CFE" w:rsidR="002803AA">
        <w:rPr>
          <w:noProof/>
          <w:szCs w:val="24"/>
        </w:rPr>
        <w:t xml:space="preserve"> following the introduction of MVDDS service signals.  Without this requirement, there is the potential for MVDDS licensees to cause DBS customer service disruptions.  Accordingly, the Commission cannot devise a way to require the information less frequently.</w:t>
      </w:r>
    </w:p>
    <w:p w:rsidR="002803AA" w:rsidRPr="00FF7CFE" w:rsidP="00AF1033" w14:paraId="120D8A79" w14:textId="77777777">
      <w:pPr>
        <w:rPr>
          <w:noProof/>
          <w:szCs w:val="24"/>
        </w:rPr>
      </w:pPr>
    </w:p>
    <w:p w:rsidR="002803AA" w:rsidRPr="00FF7CFE" w:rsidP="00AF1033" w14:paraId="2C85F410" w14:textId="77777777">
      <w:pPr>
        <w:rPr>
          <w:noProof/>
          <w:szCs w:val="24"/>
        </w:rPr>
      </w:pPr>
      <w:r w:rsidRPr="00FF7CFE">
        <w:rPr>
          <w:noProof/>
          <w:szCs w:val="24"/>
        </w:rPr>
        <w:t xml:space="preserve">(e) </w:t>
      </w:r>
      <w:r w:rsidRPr="00FF7CFE">
        <w:rPr>
          <w:b/>
          <w:noProof/>
          <w:szCs w:val="24"/>
        </w:rPr>
        <w:t>Section 101.1417</w:t>
      </w:r>
      <w:r w:rsidRPr="00FF7CFE">
        <w:rPr>
          <w:noProof/>
          <w:szCs w:val="24"/>
        </w:rPr>
        <w:t xml:space="preserve"> </w:t>
      </w:r>
      <w:r w:rsidRPr="00FF7CFE" w:rsidR="001A4FA7">
        <w:rPr>
          <w:noProof/>
          <w:szCs w:val="24"/>
        </w:rPr>
        <w:t>requires</w:t>
      </w:r>
      <w:r w:rsidRPr="00FF7CFE">
        <w:rPr>
          <w:noProof/>
          <w:szCs w:val="24"/>
        </w:rPr>
        <w:t xml:space="preserve"> the MVDDS station licensees </w:t>
      </w:r>
      <w:r w:rsidRPr="00FF7CFE" w:rsidR="001A4FA7">
        <w:rPr>
          <w:noProof/>
          <w:szCs w:val="24"/>
        </w:rPr>
        <w:t xml:space="preserve">to </w:t>
      </w:r>
      <w:r w:rsidRPr="00FF7CFE">
        <w:rPr>
          <w:noProof/>
          <w:szCs w:val="24"/>
        </w:rPr>
        <w:t xml:space="preserve">provide the data contained in the licensee information report annually to the FCC to enable the Commission to keep abreast of </w:t>
      </w:r>
      <w:r w:rsidRPr="00FF7CFE" w:rsidR="007B2437">
        <w:rPr>
          <w:noProof/>
          <w:szCs w:val="24"/>
        </w:rPr>
        <w:t xml:space="preserve">certain </w:t>
      </w:r>
      <w:r w:rsidRPr="00FF7CFE">
        <w:rPr>
          <w:noProof/>
          <w:szCs w:val="24"/>
        </w:rPr>
        <w:t>activities carried out by these licensees.  Reporting the information less frequently would hinder the Commission’s spectrum management and enforcement duties.</w:t>
      </w:r>
    </w:p>
    <w:p w:rsidR="00C654DE" w:rsidRPr="00FF7CFE" w14:paraId="29F0D4D1" w14:textId="77777777">
      <w:pPr>
        <w:rPr>
          <w:szCs w:val="24"/>
        </w:rPr>
      </w:pPr>
    </w:p>
    <w:p w:rsidR="001224F8" w:rsidRPr="00FF7CFE" w:rsidP="001224F8" w14:paraId="172128F3" w14:textId="77777777">
      <w:pPr>
        <w:rPr>
          <w:szCs w:val="24"/>
        </w:rPr>
      </w:pPr>
      <w:r w:rsidRPr="00FF7CFE">
        <w:rPr>
          <w:szCs w:val="24"/>
        </w:rPr>
        <w:t>(f)</w:t>
      </w:r>
      <w:r w:rsidRPr="00FF7CFE">
        <w:rPr>
          <w:b/>
          <w:szCs w:val="24"/>
        </w:rPr>
        <w:t xml:space="preserve"> Section 25.139:</w:t>
      </w:r>
      <w:r w:rsidRPr="00FF7CFE" w:rsidR="000E6F1C">
        <w:rPr>
          <w:b/>
          <w:szCs w:val="24"/>
        </w:rPr>
        <w:t xml:space="preserve"> </w:t>
      </w:r>
      <w:r w:rsidRPr="00FF7CFE">
        <w:rPr>
          <w:b/>
          <w:szCs w:val="24"/>
        </w:rPr>
        <w:t xml:space="preserve"> </w:t>
      </w:r>
      <w:r w:rsidRPr="00FF7CFE">
        <w:rPr>
          <w:szCs w:val="24"/>
        </w:rPr>
        <w:t xml:space="preserve">The consequence of not requiring </w:t>
      </w:r>
      <w:r w:rsidRPr="00FF7CFE">
        <w:rPr>
          <w:noProof/>
          <w:szCs w:val="24"/>
        </w:rPr>
        <w:t xml:space="preserve">NGSO FSS licensees to maintain a subscriber database in a format that can be readily shared with MVDDS licensees (within ten business days of receiving notification of the location of a proposed MVDDS transmitting antenna) is that </w:t>
      </w:r>
      <w:r w:rsidRPr="00FF7CFE" w:rsidR="000E6F1C">
        <w:rPr>
          <w:noProof/>
          <w:szCs w:val="24"/>
        </w:rPr>
        <w:t xml:space="preserve">NGSO FSS and MVDDS licensees would be unable to determine the interference protection </w:t>
      </w:r>
      <w:r w:rsidRPr="00FF7CFE" w:rsidR="000849B9">
        <w:rPr>
          <w:noProof/>
          <w:szCs w:val="24"/>
        </w:rPr>
        <w:t xml:space="preserve">rights of qualified NGSO FSS </w:t>
      </w:r>
      <w:r w:rsidRPr="00FF7CFE" w:rsidR="003C225C">
        <w:rPr>
          <w:noProof/>
          <w:szCs w:val="24"/>
        </w:rPr>
        <w:t xml:space="preserve"> </w:t>
      </w:r>
      <w:r w:rsidRPr="00FF7CFE" w:rsidR="000849B9">
        <w:rPr>
          <w:noProof/>
          <w:szCs w:val="24"/>
        </w:rPr>
        <w:t xml:space="preserve">fixed subscriber earth stations relative to each </w:t>
      </w:r>
      <w:r w:rsidRPr="00FF7CFE" w:rsidR="000E6F1C">
        <w:rPr>
          <w:noProof/>
          <w:szCs w:val="24"/>
        </w:rPr>
        <w:t>MVDDS transmitter relative to each qualifying NGSO FSS fixed subscriber earth station</w:t>
      </w:r>
      <w:r w:rsidRPr="00FF7CFE" w:rsidR="00007184">
        <w:rPr>
          <w:noProof/>
          <w:szCs w:val="24"/>
        </w:rPr>
        <w:t xml:space="preserve"> andc</w:t>
      </w:r>
      <w:r w:rsidRPr="00FF7CFE">
        <w:rPr>
          <w:noProof/>
          <w:szCs w:val="24"/>
        </w:rPr>
        <w:t xml:space="preserve">oordination between NGSO FSS and MVDDS licensees would be significantly delayed, thereby delaying the implementation of the proposed operation and/or increasing the potential for interference. </w:t>
      </w:r>
    </w:p>
    <w:p w:rsidR="001224F8" w:rsidRPr="00FF7CFE" w14:paraId="6E2CAFA4" w14:textId="77777777">
      <w:pPr>
        <w:rPr>
          <w:szCs w:val="24"/>
        </w:rPr>
      </w:pPr>
    </w:p>
    <w:p w:rsidR="00C654DE" w:rsidRPr="00FF7CFE" w:rsidP="00AF1033" w14:paraId="435B1DB7" w14:textId="77777777">
      <w:pPr>
        <w:rPr>
          <w:szCs w:val="24"/>
        </w:rPr>
      </w:pPr>
      <w:r w:rsidRPr="00FF7CFE">
        <w:rPr>
          <w:szCs w:val="24"/>
        </w:rPr>
        <w:t xml:space="preserve">7.  </w:t>
      </w:r>
      <w:r w:rsidRPr="00FF7CFE">
        <w:rPr>
          <w:szCs w:val="24"/>
        </w:rPr>
        <w:t>Current data collection is consistent with the guidelines in 5 CFR</w:t>
      </w:r>
      <w:r w:rsidRPr="00FF7CFE" w:rsidR="003E0DEE">
        <w:rPr>
          <w:szCs w:val="24"/>
        </w:rPr>
        <w:t xml:space="preserve"> </w:t>
      </w:r>
      <w:r w:rsidRPr="00FF7CFE" w:rsidR="00AE2842">
        <w:rPr>
          <w:szCs w:val="24"/>
        </w:rPr>
        <w:t>§</w:t>
      </w:r>
      <w:r w:rsidRPr="00FF7CFE">
        <w:rPr>
          <w:szCs w:val="24"/>
        </w:rPr>
        <w:t xml:space="preserve"> 1320.</w:t>
      </w:r>
      <w:r w:rsidRPr="00FF7CFE" w:rsidR="00DD15F0">
        <w:rPr>
          <w:szCs w:val="24"/>
        </w:rPr>
        <w:t>5</w:t>
      </w:r>
      <w:r w:rsidRPr="00FF7CFE">
        <w:rPr>
          <w:szCs w:val="24"/>
        </w:rPr>
        <w:t>.</w:t>
      </w:r>
    </w:p>
    <w:p w:rsidR="008D02E2" w:rsidRPr="00FF7CFE" w:rsidP="00AF1033" w14:paraId="198FC821" w14:textId="77777777">
      <w:pPr>
        <w:rPr>
          <w:szCs w:val="24"/>
        </w:rPr>
      </w:pPr>
    </w:p>
    <w:p w:rsidR="00C654DE" w:rsidRPr="00FF7CFE" w:rsidP="00AF1033" w14:paraId="3BFD5AE0" w14:textId="77777777">
      <w:pPr>
        <w:rPr>
          <w:szCs w:val="24"/>
        </w:rPr>
      </w:pPr>
      <w:r w:rsidRPr="00FF7CFE">
        <w:rPr>
          <w:szCs w:val="24"/>
        </w:rPr>
        <w:t xml:space="preserve">8.  </w:t>
      </w:r>
      <w:r w:rsidRPr="00FF7CFE" w:rsidR="00116036">
        <w:rPr>
          <w:szCs w:val="24"/>
        </w:rPr>
        <w:t>The FCC initiated a 60</w:t>
      </w:r>
      <w:r w:rsidRPr="00FF7CFE" w:rsidR="0027780C">
        <w:rPr>
          <w:szCs w:val="24"/>
        </w:rPr>
        <w:t>-</w:t>
      </w:r>
      <w:r w:rsidRPr="00FF7CFE" w:rsidR="001565E6">
        <w:rPr>
          <w:szCs w:val="24"/>
        </w:rPr>
        <w:t>day comment</w:t>
      </w:r>
      <w:r w:rsidRPr="00FF7CFE" w:rsidR="00116036">
        <w:rPr>
          <w:szCs w:val="24"/>
        </w:rPr>
        <w:t xml:space="preserve"> period which was published in</w:t>
      </w:r>
      <w:r w:rsidRPr="00FF7CFE" w:rsidR="001741DA">
        <w:rPr>
          <w:szCs w:val="24"/>
        </w:rPr>
        <w:t xml:space="preserve"> </w:t>
      </w:r>
      <w:r w:rsidRPr="00FF7CFE">
        <w:rPr>
          <w:szCs w:val="24"/>
        </w:rPr>
        <w:t xml:space="preserve">the </w:t>
      </w:r>
      <w:r w:rsidRPr="00FF7CFE">
        <w:rPr>
          <w:i/>
          <w:szCs w:val="24"/>
        </w:rPr>
        <w:t>Federal Register</w:t>
      </w:r>
      <w:r w:rsidRPr="00FF7CFE">
        <w:rPr>
          <w:szCs w:val="24"/>
        </w:rPr>
        <w:t xml:space="preserve"> </w:t>
      </w:r>
      <w:r w:rsidRPr="00FF7CFE" w:rsidR="001741DA">
        <w:rPr>
          <w:szCs w:val="24"/>
        </w:rPr>
        <w:t>on</w:t>
      </w:r>
      <w:r w:rsidR="001765BC">
        <w:rPr>
          <w:szCs w:val="24"/>
        </w:rPr>
        <w:t xml:space="preserve"> June </w:t>
      </w:r>
      <w:r w:rsidRPr="001765BC" w:rsidR="001765BC">
        <w:rPr>
          <w:szCs w:val="24"/>
        </w:rPr>
        <w:t>10</w:t>
      </w:r>
      <w:r w:rsidRPr="001765BC" w:rsidR="008D02E2">
        <w:rPr>
          <w:szCs w:val="24"/>
        </w:rPr>
        <w:t>, 20</w:t>
      </w:r>
      <w:r w:rsidRPr="001765BC" w:rsidR="00CB7C8C">
        <w:rPr>
          <w:szCs w:val="24"/>
        </w:rPr>
        <w:t>25</w:t>
      </w:r>
      <w:r w:rsidRPr="001765BC" w:rsidR="002803AA">
        <w:rPr>
          <w:szCs w:val="24"/>
        </w:rPr>
        <w:t xml:space="preserve"> </w:t>
      </w:r>
      <w:r w:rsidRPr="001765BC" w:rsidR="008D02E2">
        <w:rPr>
          <w:szCs w:val="24"/>
        </w:rPr>
        <w:t>(</w:t>
      </w:r>
      <w:r w:rsidRPr="001765BC" w:rsidR="001765BC">
        <w:rPr>
          <w:szCs w:val="24"/>
        </w:rPr>
        <w:t>90</w:t>
      </w:r>
      <w:r w:rsidRPr="001765BC" w:rsidR="008D02E2">
        <w:rPr>
          <w:szCs w:val="24"/>
        </w:rPr>
        <w:t xml:space="preserve"> FR</w:t>
      </w:r>
      <w:r w:rsidRPr="001765BC" w:rsidR="001765BC">
        <w:rPr>
          <w:szCs w:val="24"/>
        </w:rPr>
        <w:t xml:space="preserve"> 24404</w:t>
      </w:r>
      <w:r w:rsidRPr="001765BC" w:rsidR="008D02E2">
        <w:rPr>
          <w:szCs w:val="24"/>
        </w:rPr>
        <w:t xml:space="preserve">) </w:t>
      </w:r>
      <w:r w:rsidRPr="001765BC" w:rsidR="001741DA">
        <w:rPr>
          <w:szCs w:val="24"/>
        </w:rPr>
        <w:t>as</w:t>
      </w:r>
      <w:r w:rsidRPr="00FF7CFE">
        <w:rPr>
          <w:szCs w:val="24"/>
        </w:rPr>
        <w:t xml:space="preserve"> required by 5 CFR </w:t>
      </w:r>
      <w:r w:rsidRPr="00FF7CFE" w:rsidR="001741DA">
        <w:rPr>
          <w:szCs w:val="24"/>
        </w:rPr>
        <w:t xml:space="preserve">Section </w:t>
      </w:r>
      <w:r w:rsidRPr="00FF7CFE">
        <w:rPr>
          <w:szCs w:val="24"/>
        </w:rPr>
        <w:t>1320.8</w:t>
      </w:r>
      <w:r w:rsidRPr="00FF7CFE" w:rsidR="001741DA">
        <w:rPr>
          <w:szCs w:val="24"/>
        </w:rPr>
        <w:t xml:space="preserve">.  </w:t>
      </w:r>
      <w:r w:rsidRPr="00FF7CFE" w:rsidR="00C87234">
        <w:rPr>
          <w:szCs w:val="24"/>
        </w:rPr>
        <w:t xml:space="preserve">No PRA </w:t>
      </w:r>
      <w:r w:rsidRPr="00FF7CFE">
        <w:rPr>
          <w:szCs w:val="24"/>
        </w:rPr>
        <w:t>comments were</w:t>
      </w:r>
      <w:r w:rsidRPr="00FF7CFE" w:rsidR="001741DA">
        <w:rPr>
          <w:szCs w:val="24"/>
        </w:rPr>
        <w:t xml:space="preserve"> received</w:t>
      </w:r>
      <w:r w:rsidRPr="00FF7CFE" w:rsidR="00CD6778">
        <w:rPr>
          <w:szCs w:val="24"/>
        </w:rPr>
        <w:t xml:space="preserve"> </w:t>
      </w:r>
      <w:r w:rsidRPr="00FF7CFE" w:rsidR="005728BE">
        <w:rPr>
          <w:szCs w:val="24"/>
        </w:rPr>
        <w:t>from the public</w:t>
      </w:r>
      <w:r w:rsidRPr="00FF7CFE">
        <w:rPr>
          <w:szCs w:val="24"/>
        </w:rPr>
        <w:t xml:space="preserve">.  </w:t>
      </w:r>
    </w:p>
    <w:p w:rsidR="00C654DE" w:rsidRPr="00FF7CFE" w14:paraId="019428C2" w14:textId="77777777">
      <w:pPr>
        <w:rPr>
          <w:szCs w:val="24"/>
        </w:rPr>
      </w:pPr>
    </w:p>
    <w:p w:rsidR="00C654DE" w:rsidRPr="00FF7CFE" w:rsidP="00AF1033" w14:paraId="2BEC44BD" w14:textId="77777777">
      <w:pPr>
        <w:rPr>
          <w:szCs w:val="24"/>
        </w:rPr>
      </w:pPr>
      <w:r w:rsidRPr="00FF7CFE">
        <w:rPr>
          <w:szCs w:val="24"/>
        </w:rPr>
        <w:t xml:space="preserve">9.  </w:t>
      </w:r>
      <w:r w:rsidRPr="00FF7CFE">
        <w:rPr>
          <w:szCs w:val="24"/>
        </w:rPr>
        <w:t>Respondents will not receive any payments.</w:t>
      </w:r>
    </w:p>
    <w:p w:rsidR="00D77390" w:rsidRPr="00FF7CFE" w:rsidP="00D77390" w14:paraId="2215CB39" w14:textId="77777777">
      <w:pPr>
        <w:rPr>
          <w:szCs w:val="24"/>
        </w:rPr>
      </w:pPr>
    </w:p>
    <w:p w:rsidR="00C654DE" w:rsidRPr="00FF7CFE" w:rsidP="00AF1033" w14:paraId="39221067" w14:textId="77777777">
      <w:pPr>
        <w:rPr>
          <w:szCs w:val="24"/>
        </w:rPr>
      </w:pPr>
      <w:r w:rsidRPr="00FF7CFE">
        <w:rPr>
          <w:szCs w:val="24"/>
        </w:rPr>
        <w:t xml:space="preserve">10.  </w:t>
      </w:r>
      <w:r w:rsidRPr="00FF7CFE">
        <w:rPr>
          <w:szCs w:val="24"/>
        </w:rPr>
        <w:t>There is no need for confidentiality</w:t>
      </w:r>
      <w:r w:rsidRPr="00FF7CFE" w:rsidR="00356499">
        <w:rPr>
          <w:szCs w:val="24"/>
        </w:rPr>
        <w:t xml:space="preserve"> with this collection of information</w:t>
      </w:r>
      <w:r w:rsidRPr="00FF7CFE">
        <w:rPr>
          <w:szCs w:val="24"/>
        </w:rPr>
        <w:t>.</w:t>
      </w:r>
      <w:r w:rsidRPr="00FF7CFE" w:rsidR="005D03E4">
        <w:rPr>
          <w:szCs w:val="24"/>
        </w:rPr>
        <w:t xml:space="preserve">  </w:t>
      </w:r>
    </w:p>
    <w:p w:rsidR="00C654DE" w:rsidRPr="00FF7CFE" w14:paraId="6ADC1492" w14:textId="77777777">
      <w:pPr>
        <w:rPr>
          <w:szCs w:val="24"/>
        </w:rPr>
      </w:pPr>
    </w:p>
    <w:p w:rsidR="00C654DE" w:rsidRPr="00FF7CFE" w:rsidP="00AF1033" w14:paraId="180E22C6" w14:textId="77777777">
      <w:pPr>
        <w:rPr>
          <w:szCs w:val="24"/>
        </w:rPr>
      </w:pPr>
      <w:r w:rsidRPr="00FF7CFE">
        <w:rPr>
          <w:szCs w:val="24"/>
        </w:rPr>
        <w:t xml:space="preserve">11.  </w:t>
      </w:r>
      <w:r w:rsidRPr="00FF7CFE">
        <w:rPr>
          <w:szCs w:val="24"/>
        </w:rPr>
        <w:t>This does not address any private matters of a sensitive nature.</w:t>
      </w:r>
    </w:p>
    <w:p w:rsidR="00874302" w:rsidRPr="00FF7CFE" w:rsidP="00AF1033" w14:paraId="7158B19C" w14:textId="77777777">
      <w:pPr>
        <w:rPr>
          <w:szCs w:val="24"/>
        </w:rPr>
      </w:pPr>
    </w:p>
    <w:p w:rsidR="00B86987" w:rsidRPr="00FF7CFE" w:rsidP="00736BCB" w14:paraId="72A2A9E6" w14:textId="77777777">
      <w:pPr>
        <w:pStyle w:val="ParaNum"/>
        <w:numPr>
          <w:ilvl w:val="0"/>
          <w:numId w:val="0"/>
        </w:numPr>
        <w:spacing w:after="0"/>
      </w:pPr>
      <w:r w:rsidRPr="00FF7CFE">
        <w:rPr>
          <w:sz w:val="24"/>
          <w:szCs w:val="24"/>
        </w:rPr>
        <w:t>12.</w:t>
      </w:r>
      <w:r w:rsidRPr="00FF7CFE" w:rsidR="00974391">
        <w:rPr>
          <w:b/>
          <w:sz w:val="24"/>
          <w:szCs w:val="24"/>
        </w:rPr>
        <w:t xml:space="preserve">   </w:t>
      </w:r>
      <w:r w:rsidRPr="00FF7CFE" w:rsidR="00CB57F9">
        <w:rPr>
          <w:b/>
          <w:sz w:val="24"/>
          <w:szCs w:val="24"/>
        </w:rPr>
        <w:t>Annual Burden (In-house)</w:t>
      </w:r>
      <w:r w:rsidRPr="00FF7CFE" w:rsidR="003C0C80">
        <w:rPr>
          <w:b/>
          <w:sz w:val="24"/>
          <w:szCs w:val="24"/>
        </w:rPr>
        <w:t>:</w:t>
      </w:r>
      <w:r w:rsidRPr="00FF7CFE">
        <w:rPr>
          <w:b/>
          <w:sz w:val="24"/>
          <w:szCs w:val="24"/>
        </w:rPr>
        <w:t xml:space="preserve"> </w:t>
      </w:r>
      <w:r w:rsidRPr="00FF7CFE" w:rsidR="00736BCB">
        <w:rPr>
          <w:b/>
          <w:sz w:val="24"/>
          <w:szCs w:val="24"/>
        </w:rPr>
        <w:t xml:space="preserve"> </w:t>
      </w:r>
      <w:r w:rsidRPr="00FF7CFE">
        <w:rPr>
          <w:szCs w:val="24"/>
        </w:rPr>
        <w:t xml:space="preserve">Please see the chart below for </w:t>
      </w:r>
      <w:r w:rsidRPr="00FF7CFE" w:rsidR="00B10E48">
        <w:rPr>
          <w:szCs w:val="24"/>
        </w:rPr>
        <w:t xml:space="preserve">the </w:t>
      </w:r>
      <w:r w:rsidRPr="00FF7CFE">
        <w:rPr>
          <w:szCs w:val="24"/>
        </w:rPr>
        <w:t>frequency of response, time per response</w:t>
      </w:r>
      <w:r w:rsidRPr="00FF7CFE" w:rsidR="00B10E48">
        <w:rPr>
          <w:szCs w:val="24"/>
        </w:rPr>
        <w:t xml:space="preserve"> and the</w:t>
      </w:r>
      <w:r w:rsidRPr="00FF7CFE">
        <w:rPr>
          <w:szCs w:val="24"/>
        </w:rPr>
        <w:t xml:space="preserve"> total annual burden hours</w:t>
      </w:r>
      <w:r w:rsidRPr="00FF7CFE" w:rsidR="00B10E48">
        <w:rPr>
          <w:szCs w:val="24"/>
        </w:rPr>
        <w:t xml:space="preserve"> for the </w:t>
      </w:r>
      <w:r w:rsidRPr="00FF7CFE" w:rsidR="00C424BD">
        <w:rPr>
          <w:b/>
          <w:szCs w:val="24"/>
        </w:rPr>
        <w:t>1</w:t>
      </w:r>
      <w:r w:rsidRPr="00FF7CFE" w:rsidR="00C2243E">
        <w:rPr>
          <w:b/>
          <w:szCs w:val="24"/>
        </w:rPr>
        <w:t>8</w:t>
      </w:r>
      <w:r w:rsidRPr="00FF7CFE" w:rsidR="00C424BD">
        <w:rPr>
          <w:szCs w:val="24"/>
        </w:rPr>
        <w:t xml:space="preserve"> </w:t>
      </w:r>
      <w:r w:rsidRPr="00FF7CFE" w:rsidR="00B10E48">
        <w:rPr>
          <w:b/>
          <w:szCs w:val="24"/>
        </w:rPr>
        <w:t>respondents</w:t>
      </w:r>
      <w:r w:rsidRPr="00FF7CFE" w:rsidR="00B10E48">
        <w:rPr>
          <w:szCs w:val="24"/>
        </w:rPr>
        <w:t xml:space="preserve"> to this collection</w:t>
      </w:r>
      <w:r w:rsidRPr="00FF7CFE">
        <w:rPr>
          <w:szCs w:val="24"/>
        </w:rPr>
        <w:t xml:space="preserve">. </w:t>
      </w:r>
      <w:r w:rsidRPr="00FF7CFE" w:rsidR="007857FF">
        <w:rPr>
          <w:szCs w:val="24"/>
        </w:rPr>
        <w:t xml:space="preserve"> Currently, 8 MVDDS licensees (combining commonly owned licensees and not counting lessees</w:t>
      </w:r>
      <w:r w:rsidRPr="00FF7CFE" w:rsidR="00C2243E">
        <w:rPr>
          <w:szCs w:val="24"/>
        </w:rPr>
        <w:t>)</w:t>
      </w:r>
      <w:r w:rsidRPr="00FF7CFE" w:rsidR="007857FF">
        <w:rPr>
          <w:szCs w:val="24"/>
        </w:rPr>
        <w:t xml:space="preserve"> hold </w:t>
      </w:r>
      <w:r w:rsidRPr="00FF7CFE" w:rsidR="00A82CAE">
        <w:rPr>
          <w:szCs w:val="24"/>
        </w:rPr>
        <w:t xml:space="preserve">a total of </w:t>
      </w:r>
      <w:r w:rsidRPr="00FF7CFE" w:rsidR="007857FF">
        <w:rPr>
          <w:szCs w:val="24"/>
        </w:rPr>
        <w:t>191</w:t>
      </w:r>
      <w:r w:rsidRPr="00FF7CFE" w:rsidR="00A82CAE">
        <w:rPr>
          <w:szCs w:val="24"/>
        </w:rPr>
        <w:t xml:space="preserve"> MVDDS licenses</w:t>
      </w:r>
      <w:r w:rsidRPr="00FF7CFE" w:rsidR="007254F2">
        <w:rPr>
          <w:szCs w:val="24"/>
        </w:rPr>
        <w:t xml:space="preserve">.  </w:t>
      </w:r>
      <w:r w:rsidRPr="00FF7CFE" w:rsidR="00C2243E">
        <w:rPr>
          <w:szCs w:val="24"/>
        </w:rPr>
        <w:t>Without prejudice to the outcome of several petitions for reconsideration of terminated licenses, for purposes of this submission</w:t>
      </w:r>
      <w:r w:rsidRPr="00FF7CFE" w:rsidR="00D27016">
        <w:rPr>
          <w:szCs w:val="24"/>
        </w:rPr>
        <w:t>,</w:t>
      </w:r>
      <w:r w:rsidRPr="00FF7CFE" w:rsidR="00C2243E">
        <w:rPr>
          <w:szCs w:val="24"/>
        </w:rPr>
        <w:t xml:space="preserve"> we are assuming up to 10 MVDDS respondents holding a total of 200 licenses.  </w:t>
      </w:r>
      <w:r w:rsidRPr="00FF7CFE" w:rsidR="007857FF">
        <w:rPr>
          <w:szCs w:val="24"/>
        </w:rPr>
        <w:t xml:space="preserve">We estimate up to 6 NGSO FSS respondents and 2 DBS respondents.  </w:t>
      </w:r>
      <w:r w:rsidRPr="00FF7CFE">
        <w:rPr>
          <w:szCs w:val="24"/>
        </w:rPr>
        <w:t>Our explanation of the estimates</w:t>
      </w:r>
      <w:r w:rsidRPr="00FF7CFE">
        <w:t xml:space="preserve"> for each item follows the chart.  </w:t>
      </w:r>
    </w:p>
    <w:p w:rsidR="000228CF" w:rsidRPr="00FF7CFE" w:rsidP="00736BCB" w14:paraId="655CE30D" w14:textId="77777777">
      <w:pPr>
        <w:pStyle w:val="ParaNum"/>
        <w:numPr>
          <w:ilvl w:val="0"/>
          <w:numId w:val="0"/>
        </w:numPr>
        <w:spacing w:after="0"/>
      </w:pPr>
    </w:p>
    <w:p w:rsidR="000228CF" w:rsidRPr="00FF7CFE" w:rsidP="00736BCB" w14:paraId="377F455C" w14:textId="77777777">
      <w:pPr>
        <w:pStyle w:val="ParaNum"/>
        <w:numPr>
          <w:ilvl w:val="0"/>
          <w:numId w:val="0"/>
        </w:numPr>
        <w:spacing w:after="0"/>
      </w:pPr>
    </w:p>
    <w:p w:rsidR="00CB57F9" w:rsidRPr="00FF7CFE" w:rsidP="006D2451" w14:paraId="2894B9E2" w14:textId="77777777">
      <w:pPr>
        <w:tabs>
          <w:tab w:val="left" w:pos="-720"/>
        </w:tabs>
        <w:suppressAutoHyphens/>
        <w:jc w:val="center"/>
        <w:rPr>
          <w:b/>
        </w:rPr>
      </w:pPr>
      <w:r w:rsidRPr="00FF7CFE">
        <w:t xml:space="preserve">Annual Burden </w:t>
      </w:r>
    </w:p>
    <w:p w:rsidR="008D0B47" w:rsidRPr="00FF7CFE" w:rsidP="00B86987" w14:paraId="6CABD64F" w14:textId="77777777">
      <w:pPr>
        <w:suppressAutoHyphens/>
        <w:rPr>
          <w:spacing w:val="-3"/>
        </w:rPr>
      </w:pPr>
    </w:p>
    <w:tbl>
      <w:tblPr>
        <w:tblW w:w="55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1E0"/>
      </w:tblPr>
      <w:tblGrid>
        <w:gridCol w:w="406"/>
        <w:gridCol w:w="2486"/>
        <w:gridCol w:w="2108"/>
        <w:gridCol w:w="1754"/>
        <w:gridCol w:w="1229"/>
        <w:gridCol w:w="1562"/>
      </w:tblGrid>
      <w:tr w14:paraId="1725000C" w14:textId="77777777" w:rsidTr="0019720B">
        <w:tblPrEx>
          <w:tblW w:w="55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1E0"/>
        </w:tblPrEx>
        <w:trPr>
          <w:cantSplit/>
          <w:tblHeader/>
        </w:trPr>
        <w:tc>
          <w:tcPr>
            <w:tcW w:w="213" w:type="pct"/>
            <w:tcBorders>
              <w:bottom w:val="single" w:sz="4" w:space="0" w:color="auto"/>
            </w:tcBorders>
            <w:shd w:val="clear" w:color="auto" w:fill="C0C0C0"/>
            <w:vAlign w:val="center"/>
          </w:tcPr>
          <w:p w:rsidR="00FB726F" w:rsidRPr="00FF7CFE" w:rsidP="005450F0" w14:paraId="17499248" w14:textId="77777777">
            <w:pPr>
              <w:jc w:val="center"/>
              <w:rPr>
                <w:b/>
                <w:sz w:val="16"/>
                <w:szCs w:val="16"/>
              </w:rPr>
            </w:pPr>
            <w:r w:rsidRPr="00FF7CFE">
              <w:rPr>
                <w:b/>
                <w:sz w:val="16"/>
                <w:szCs w:val="16"/>
              </w:rPr>
              <w:t>12.</w:t>
            </w:r>
          </w:p>
        </w:tc>
        <w:tc>
          <w:tcPr>
            <w:tcW w:w="1302" w:type="pct"/>
            <w:tcBorders>
              <w:bottom w:val="single" w:sz="4" w:space="0" w:color="auto"/>
            </w:tcBorders>
            <w:shd w:val="clear" w:color="auto" w:fill="C0C0C0"/>
            <w:vAlign w:val="center"/>
          </w:tcPr>
          <w:p w:rsidR="00FB726F" w:rsidRPr="00FF7CFE" w:rsidP="005450F0" w14:paraId="7C7D981D" w14:textId="77777777">
            <w:pPr>
              <w:rPr>
                <w:b/>
              </w:rPr>
            </w:pPr>
            <w:r w:rsidRPr="00FF7CFE">
              <w:rPr>
                <w:b/>
              </w:rPr>
              <w:t>Rule Sections</w:t>
            </w:r>
          </w:p>
        </w:tc>
        <w:tc>
          <w:tcPr>
            <w:tcW w:w="1104" w:type="pct"/>
            <w:tcBorders>
              <w:bottom w:val="single" w:sz="4" w:space="0" w:color="auto"/>
            </w:tcBorders>
            <w:shd w:val="clear" w:color="auto" w:fill="C0C0C0"/>
            <w:vAlign w:val="center"/>
          </w:tcPr>
          <w:p w:rsidR="00FB726F" w:rsidRPr="00FF7CFE" w:rsidP="005450F0" w14:paraId="79418712" w14:textId="77777777">
            <w:pPr>
              <w:jc w:val="center"/>
              <w:rPr>
                <w:b/>
              </w:rPr>
            </w:pPr>
            <w:r w:rsidRPr="00FF7CFE">
              <w:rPr>
                <w:b/>
              </w:rPr>
              <w:t>Number of</w:t>
            </w:r>
          </w:p>
          <w:p w:rsidR="00FB726F" w:rsidRPr="00FF7CFE" w:rsidP="005450F0" w14:paraId="61E7A52A" w14:textId="77777777">
            <w:pPr>
              <w:jc w:val="center"/>
              <w:rPr>
                <w:b/>
              </w:rPr>
            </w:pPr>
            <w:r w:rsidRPr="00FF7CFE">
              <w:rPr>
                <w:b/>
              </w:rPr>
              <w:t>Respondents</w:t>
            </w:r>
          </w:p>
        </w:tc>
        <w:tc>
          <w:tcPr>
            <w:tcW w:w="919" w:type="pct"/>
            <w:tcBorders>
              <w:bottom w:val="single" w:sz="4" w:space="0" w:color="auto"/>
            </w:tcBorders>
            <w:shd w:val="clear" w:color="auto" w:fill="C0C0C0"/>
            <w:vAlign w:val="center"/>
          </w:tcPr>
          <w:p w:rsidR="00FB726F" w:rsidRPr="00FF7CFE" w:rsidP="005450F0" w14:paraId="0EB81E31" w14:textId="77777777">
            <w:pPr>
              <w:jc w:val="center"/>
              <w:rPr>
                <w:b/>
              </w:rPr>
            </w:pPr>
            <w:r w:rsidRPr="00FF7CFE">
              <w:rPr>
                <w:b/>
              </w:rPr>
              <w:t>Frequency</w:t>
            </w:r>
          </w:p>
          <w:p w:rsidR="00FB726F" w:rsidRPr="00FF7CFE" w:rsidP="005450F0" w14:paraId="486B00C9" w14:textId="77777777">
            <w:pPr>
              <w:jc w:val="center"/>
              <w:rPr>
                <w:b/>
              </w:rPr>
            </w:pPr>
            <w:r w:rsidRPr="00FF7CFE">
              <w:rPr>
                <w:b/>
              </w:rPr>
              <w:t>of Response</w:t>
            </w:r>
          </w:p>
        </w:tc>
        <w:tc>
          <w:tcPr>
            <w:tcW w:w="644" w:type="pct"/>
            <w:tcBorders>
              <w:bottom w:val="single" w:sz="4" w:space="0" w:color="auto"/>
            </w:tcBorders>
            <w:shd w:val="clear" w:color="auto" w:fill="C0C0C0"/>
            <w:vAlign w:val="center"/>
          </w:tcPr>
          <w:p w:rsidR="00FB726F" w:rsidRPr="00FF7CFE" w:rsidP="007426EF" w14:paraId="4C0A07B2" w14:textId="77777777">
            <w:pPr>
              <w:jc w:val="center"/>
              <w:rPr>
                <w:b/>
              </w:rPr>
            </w:pPr>
            <w:r w:rsidRPr="00FF7CFE">
              <w:rPr>
                <w:b/>
              </w:rPr>
              <w:t xml:space="preserve">Time </w:t>
            </w:r>
            <w:r w:rsidRPr="00FF7CFE" w:rsidR="007426EF">
              <w:rPr>
                <w:b/>
              </w:rPr>
              <w:t xml:space="preserve">per Response </w:t>
            </w:r>
            <w:r w:rsidRPr="00FF7CFE">
              <w:rPr>
                <w:b/>
              </w:rPr>
              <w:t>(Hours)</w:t>
            </w:r>
          </w:p>
        </w:tc>
        <w:tc>
          <w:tcPr>
            <w:tcW w:w="819" w:type="pct"/>
            <w:tcBorders>
              <w:bottom w:val="single" w:sz="4" w:space="0" w:color="auto"/>
            </w:tcBorders>
            <w:shd w:val="clear" w:color="auto" w:fill="C0C0C0"/>
            <w:vAlign w:val="center"/>
          </w:tcPr>
          <w:p w:rsidR="00FB726F" w:rsidRPr="00FF7CFE" w:rsidP="005450F0" w14:paraId="37D607FD" w14:textId="77777777">
            <w:pPr>
              <w:jc w:val="center"/>
              <w:rPr>
                <w:b/>
              </w:rPr>
            </w:pPr>
            <w:r w:rsidRPr="00FF7CFE">
              <w:rPr>
                <w:b/>
              </w:rPr>
              <w:t>Total</w:t>
            </w:r>
          </w:p>
          <w:p w:rsidR="00FB726F" w:rsidRPr="00FF7CFE" w:rsidP="005450F0" w14:paraId="28FD43F6" w14:textId="77777777">
            <w:pPr>
              <w:jc w:val="center"/>
              <w:rPr>
                <w:b/>
              </w:rPr>
            </w:pPr>
            <w:r w:rsidRPr="00FF7CFE">
              <w:rPr>
                <w:b/>
              </w:rPr>
              <w:t>Annual Burden Hours</w:t>
            </w:r>
          </w:p>
        </w:tc>
      </w:tr>
      <w:tr w14:paraId="5A440F35" w14:textId="77777777" w:rsidTr="0019720B">
        <w:tblPrEx>
          <w:tblW w:w="5530" w:type="pct"/>
          <w:tblInd w:w="-612" w:type="dxa"/>
          <w:tblLayout w:type="fixed"/>
          <w:tblCellMar>
            <w:top w:w="0" w:type="dxa"/>
            <w:bottom w:w="0" w:type="dxa"/>
          </w:tblCellMar>
          <w:tblLook w:val="01E0"/>
        </w:tblPrEx>
        <w:trPr>
          <w:cantSplit/>
          <w:tblHeader/>
        </w:trPr>
        <w:tc>
          <w:tcPr>
            <w:tcW w:w="213" w:type="pct"/>
            <w:shd w:val="clear" w:color="auto" w:fill="FFFFFF"/>
            <w:vAlign w:val="center"/>
          </w:tcPr>
          <w:p w:rsidR="00FB726F" w:rsidRPr="00FF7CFE" w:rsidP="005450F0" w14:paraId="017F915F" w14:textId="77777777">
            <w:pPr>
              <w:jc w:val="center"/>
              <w:rPr>
                <w:bCs/>
              </w:rPr>
            </w:pPr>
            <w:r w:rsidRPr="00FF7CFE">
              <w:rPr>
                <w:bCs/>
              </w:rPr>
              <w:t>a</w:t>
            </w:r>
            <w:r w:rsidRPr="00FF7CFE" w:rsidR="008620AE">
              <w:rPr>
                <w:bCs/>
              </w:rPr>
              <w:t>.</w:t>
            </w:r>
          </w:p>
        </w:tc>
        <w:tc>
          <w:tcPr>
            <w:tcW w:w="1302" w:type="pct"/>
            <w:shd w:val="clear" w:color="auto" w:fill="FFFFFF"/>
            <w:vAlign w:val="center"/>
          </w:tcPr>
          <w:p w:rsidR="00FB726F" w:rsidRPr="00FF7CFE" w:rsidP="005450F0" w14:paraId="15F8A828" w14:textId="77777777">
            <w:pPr>
              <w:rPr>
                <w:bCs/>
              </w:rPr>
            </w:pPr>
            <w:r w:rsidRPr="00FF7CFE">
              <w:rPr>
                <w:bCs/>
              </w:rPr>
              <w:t>§</w:t>
            </w:r>
            <w:r w:rsidRPr="00FF7CFE">
              <w:rPr>
                <w:bCs/>
              </w:rPr>
              <w:t xml:space="preserve"> 101.1403 </w:t>
            </w:r>
          </w:p>
        </w:tc>
        <w:tc>
          <w:tcPr>
            <w:tcW w:w="1104" w:type="pct"/>
            <w:shd w:val="clear" w:color="auto" w:fill="FFFFFF"/>
            <w:vAlign w:val="center"/>
          </w:tcPr>
          <w:p w:rsidR="00FB726F" w:rsidRPr="00FF7CFE" w:rsidP="005450F0" w14:paraId="7F57B44F" w14:textId="77777777">
            <w:pPr>
              <w:jc w:val="center"/>
              <w:rPr>
                <w:bCs/>
                <w:szCs w:val="24"/>
              </w:rPr>
            </w:pPr>
            <w:r w:rsidRPr="00FF7CFE">
              <w:rPr>
                <w:bCs/>
                <w:szCs w:val="24"/>
              </w:rPr>
              <w:t>2</w:t>
            </w:r>
          </w:p>
        </w:tc>
        <w:tc>
          <w:tcPr>
            <w:tcW w:w="919" w:type="pct"/>
            <w:shd w:val="clear" w:color="auto" w:fill="FFFFFF"/>
            <w:vAlign w:val="center"/>
          </w:tcPr>
          <w:p w:rsidR="00FB726F" w:rsidRPr="00FF7CFE" w:rsidP="005450F0" w14:paraId="62AD45BA" w14:textId="77777777">
            <w:pPr>
              <w:jc w:val="center"/>
              <w:rPr>
                <w:bCs/>
                <w:szCs w:val="24"/>
              </w:rPr>
            </w:pPr>
            <w:r w:rsidRPr="00FF7CFE">
              <w:rPr>
                <w:bCs/>
                <w:szCs w:val="24"/>
              </w:rPr>
              <w:t>1</w:t>
            </w:r>
          </w:p>
          <w:p w:rsidR="00FB726F" w:rsidRPr="00FF7CFE" w:rsidP="005450F0" w14:paraId="2C58DEF1" w14:textId="77777777">
            <w:pPr>
              <w:jc w:val="center"/>
              <w:rPr>
                <w:bCs/>
                <w:szCs w:val="24"/>
              </w:rPr>
            </w:pPr>
            <w:r w:rsidRPr="00FF7CFE">
              <w:rPr>
                <w:bCs/>
                <w:szCs w:val="24"/>
              </w:rPr>
              <w:t>(On occasion)</w:t>
            </w:r>
          </w:p>
        </w:tc>
        <w:tc>
          <w:tcPr>
            <w:tcW w:w="644" w:type="pct"/>
            <w:shd w:val="clear" w:color="auto" w:fill="FFFFFF"/>
            <w:vAlign w:val="center"/>
          </w:tcPr>
          <w:p w:rsidR="00FB726F" w:rsidRPr="00FF7CFE" w:rsidP="005450F0" w14:paraId="686D8C61" w14:textId="77777777">
            <w:pPr>
              <w:jc w:val="center"/>
              <w:rPr>
                <w:bCs/>
                <w:szCs w:val="24"/>
              </w:rPr>
            </w:pPr>
            <w:r w:rsidRPr="00FF7CFE">
              <w:rPr>
                <w:bCs/>
                <w:szCs w:val="24"/>
              </w:rPr>
              <w:t>1</w:t>
            </w:r>
          </w:p>
        </w:tc>
        <w:tc>
          <w:tcPr>
            <w:tcW w:w="819" w:type="pct"/>
            <w:shd w:val="clear" w:color="auto" w:fill="FFFFFF"/>
            <w:vAlign w:val="center"/>
          </w:tcPr>
          <w:p w:rsidR="00FB726F" w:rsidRPr="00FF7CFE" w:rsidP="005450F0" w14:paraId="4DAF545B" w14:textId="77777777">
            <w:pPr>
              <w:jc w:val="center"/>
              <w:rPr>
                <w:b/>
                <w:bCs/>
                <w:szCs w:val="24"/>
              </w:rPr>
            </w:pPr>
            <w:r w:rsidRPr="00FF7CFE">
              <w:rPr>
                <w:b/>
                <w:bCs/>
                <w:szCs w:val="24"/>
              </w:rPr>
              <w:t>2</w:t>
            </w:r>
          </w:p>
        </w:tc>
      </w:tr>
      <w:tr w14:paraId="212FF59E" w14:textId="77777777" w:rsidTr="0019720B">
        <w:tblPrEx>
          <w:tblW w:w="5530" w:type="pct"/>
          <w:tblInd w:w="-612" w:type="dxa"/>
          <w:tblLayout w:type="fixed"/>
          <w:tblCellMar>
            <w:top w:w="0" w:type="dxa"/>
            <w:bottom w:w="0" w:type="dxa"/>
          </w:tblCellMar>
          <w:tblLook w:val="01E0"/>
        </w:tblPrEx>
        <w:trPr>
          <w:cantSplit/>
          <w:tblHeader/>
        </w:trPr>
        <w:tc>
          <w:tcPr>
            <w:tcW w:w="213" w:type="pct"/>
            <w:vAlign w:val="center"/>
          </w:tcPr>
          <w:p w:rsidR="00FB726F" w:rsidRPr="00FF7CFE" w:rsidP="005450F0" w14:paraId="00085088" w14:textId="77777777">
            <w:pPr>
              <w:jc w:val="center"/>
            </w:pPr>
            <w:r w:rsidRPr="00FF7CFE">
              <w:t>b.</w:t>
            </w:r>
          </w:p>
        </w:tc>
        <w:tc>
          <w:tcPr>
            <w:tcW w:w="1302" w:type="pct"/>
            <w:vAlign w:val="center"/>
          </w:tcPr>
          <w:p w:rsidR="00FB726F" w:rsidRPr="00FF7CFE" w:rsidP="00D27016" w14:paraId="5A061093" w14:textId="77777777">
            <w:pPr>
              <w:rPr>
                <w:bCs/>
              </w:rPr>
            </w:pPr>
            <w:r w:rsidRPr="00FF7CFE">
              <w:rPr>
                <w:bCs/>
              </w:rPr>
              <w:t>§</w:t>
            </w:r>
            <w:r w:rsidRPr="00FF7CFE">
              <w:rPr>
                <w:bCs/>
              </w:rPr>
              <w:t>101.103(f)</w:t>
            </w:r>
          </w:p>
        </w:tc>
        <w:tc>
          <w:tcPr>
            <w:tcW w:w="1104" w:type="pct"/>
            <w:vAlign w:val="center"/>
          </w:tcPr>
          <w:p w:rsidR="00FB726F" w:rsidRPr="00FF7CFE" w:rsidP="005450F0" w14:paraId="35B6C6D3" w14:textId="77777777">
            <w:pPr>
              <w:jc w:val="center"/>
              <w:rPr>
                <w:bCs/>
                <w:szCs w:val="24"/>
              </w:rPr>
            </w:pPr>
            <w:r w:rsidRPr="00FF7CFE">
              <w:rPr>
                <w:bCs/>
                <w:szCs w:val="24"/>
              </w:rPr>
              <w:t>10</w:t>
            </w:r>
          </w:p>
        </w:tc>
        <w:tc>
          <w:tcPr>
            <w:tcW w:w="919" w:type="pct"/>
            <w:vAlign w:val="center"/>
          </w:tcPr>
          <w:p w:rsidR="00FB726F" w:rsidRPr="00FF7CFE" w:rsidP="005450F0" w14:paraId="3FF65196" w14:textId="77777777">
            <w:pPr>
              <w:jc w:val="center"/>
              <w:rPr>
                <w:bCs/>
                <w:szCs w:val="24"/>
              </w:rPr>
            </w:pPr>
            <w:r w:rsidRPr="00FF7CFE">
              <w:rPr>
                <w:bCs/>
                <w:szCs w:val="24"/>
              </w:rPr>
              <w:t>2</w:t>
            </w:r>
            <w:r w:rsidRPr="00FF7CFE">
              <w:rPr>
                <w:bCs/>
                <w:szCs w:val="24"/>
              </w:rPr>
              <w:t>0</w:t>
            </w:r>
          </w:p>
          <w:p w:rsidR="005D1F93" w:rsidRPr="00FF7CFE" w:rsidP="005450F0" w14:paraId="67A4C586" w14:textId="77777777">
            <w:pPr>
              <w:jc w:val="center"/>
              <w:rPr>
                <w:bCs/>
                <w:szCs w:val="24"/>
              </w:rPr>
            </w:pPr>
            <w:r w:rsidRPr="00FF7CFE">
              <w:rPr>
                <w:bCs/>
                <w:szCs w:val="24"/>
              </w:rPr>
              <w:t>(Annually)</w:t>
            </w:r>
          </w:p>
        </w:tc>
        <w:tc>
          <w:tcPr>
            <w:tcW w:w="644" w:type="pct"/>
            <w:vAlign w:val="center"/>
          </w:tcPr>
          <w:p w:rsidR="00FB726F" w:rsidRPr="00FF7CFE" w:rsidP="005450F0" w14:paraId="373AA44F" w14:textId="77777777">
            <w:pPr>
              <w:jc w:val="center"/>
              <w:rPr>
                <w:bCs/>
                <w:szCs w:val="24"/>
              </w:rPr>
            </w:pPr>
            <w:r w:rsidRPr="00FF7CFE">
              <w:rPr>
                <w:bCs/>
                <w:szCs w:val="24"/>
              </w:rPr>
              <w:t>1</w:t>
            </w:r>
            <w:r w:rsidRPr="00FF7CFE">
              <w:rPr>
                <w:bCs/>
                <w:szCs w:val="24"/>
              </w:rPr>
              <w:t xml:space="preserve"> </w:t>
            </w:r>
          </w:p>
        </w:tc>
        <w:tc>
          <w:tcPr>
            <w:tcW w:w="819" w:type="pct"/>
            <w:vAlign w:val="center"/>
          </w:tcPr>
          <w:p w:rsidR="00FB726F" w:rsidRPr="00FF7CFE" w:rsidP="005450F0" w14:paraId="5FBE437D" w14:textId="77777777">
            <w:pPr>
              <w:jc w:val="center"/>
              <w:rPr>
                <w:b/>
                <w:bCs/>
                <w:szCs w:val="24"/>
              </w:rPr>
            </w:pPr>
            <w:r w:rsidRPr="00FF7CFE">
              <w:rPr>
                <w:b/>
                <w:bCs/>
                <w:szCs w:val="24"/>
              </w:rPr>
              <w:t>20</w:t>
            </w:r>
            <w:r w:rsidRPr="00FF7CFE">
              <w:rPr>
                <w:b/>
                <w:bCs/>
                <w:szCs w:val="24"/>
              </w:rPr>
              <w:t>0</w:t>
            </w:r>
          </w:p>
        </w:tc>
      </w:tr>
      <w:tr w14:paraId="04264D26" w14:textId="77777777" w:rsidTr="0019720B">
        <w:tblPrEx>
          <w:tblW w:w="5530" w:type="pct"/>
          <w:tblInd w:w="-612" w:type="dxa"/>
          <w:tblLayout w:type="fixed"/>
          <w:tblCellMar>
            <w:top w:w="0" w:type="dxa"/>
            <w:bottom w:w="0" w:type="dxa"/>
          </w:tblCellMar>
          <w:tblLook w:val="01E0"/>
        </w:tblPrEx>
        <w:trPr>
          <w:cantSplit/>
          <w:trHeight w:val="530"/>
          <w:tblHeader/>
        </w:trPr>
        <w:tc>
          <w:tcPr>
            <w:tcW w:w="213" w:type="pct"/>
            <w:shd w:val="clear" w:color="auto" w:fill="FFFFFF"/>
            <w:vAlign w:val="center"/>
          </w:tcPr>
          <w:p w:rsidR="00FB726F" w:rsidRPr="00FF7CFE" w:rsidP="005450F0" w14:paraId="47EE74C2" w14:textId="77777777">
            <w:pPr>
              <w:jc w:val="center"/>
            </w:pPr>
            <w:r w:rsidRPr="00FF7CFE">
              <w:t>c.</w:t>
            </w:r>
          </w:p>
        </w:tc>
        <w:tc>
          <w:tcPr>
            <w:tcW w:w="1302" w:type="pct"/>
            <w:shd w:val="clear" w:color="auto" w:fill="FFFFFF"/>
            <w:vAlign w:val="center"/>
          </w:tcPr>
          <w:p w:rsidR="00FB726F" w:rsidRPr="00FF7CFE" w:rsidP="005450F0" w14:paraId="2201FF75" w14:textId="77777777">
            <w:pPr>
              <w:rPr>
                <w:bCs/>
              </w:rPr>
            </w:pPr>
            <w:r w:rsidRPr="00FF7CFE">
              <w:rPr>
                <w:bCs/>
              </w:rPr>
              <w:t>§</w:t>
            </w:r>
            <w:r w:rsidRPr="00FF7CFE">
              <w:rPr>
                <w:bCs/>
              </w:rPr>
              <w:t xml:space="preserve"> 101.1413 </w:t>
            </w:r>
          </w:p>
        </w:tc>
        <w:tc>
          <w:tcPr>
            <w:tcW w:w="1104" w:type="pct"/>
            <w:shd w:val="clear" w:color="auto" w:fill="FFFFFF"/>
            <w:vAlign w:val="center"/>
          </w:tcPr>
          <w:p w:rsidR="00FB726F" w:rsidRPr="00FF7CFE" w:rsidP="009301D6" w14:paraId="41B20232" w14:textId="77777777">
            <w:pPr>
              <w:jc w:val="center"/>
              <w:rPr>
                <w:bCs/>
                <w:szCs w:val="24"/>
              </w:rPr>
            </w:pPr>
            <w:r w:rsidRPr="00FF7CFE">
              <w:rPr>
                <w:bCs/>
                <w:szCs w:val="24"/>
              </w:rPr>
              <w:t>1</w:t>
            </w:r>
          </w:p>
        </w:tc>
        <w:tc>
          <w:tcPr>
            <w:tcW w:w="919" w:type="pct"/>
            <w:shd w:val="clear" w:color="auto" w:fill="FFFFFF"/>
            <w:vAlign w:val="center"/>
          </w:tcPr>
          <w:p w:rsidR="00FB726F" w:rsidRPr="00FF7CFE" w:rsidP="009301D6" w14:paraId="650B1812" w14:textId="77777777">
            <w:pPr>
              <w:jc w:val="center"/>
              <w:rPr>
                <w:bCs/>
                <w:szCs w:val="24"/>
              </w:rPr>
            </w:pPr>
            <w:r w:rsidRPr="00FF7CFE">
              <w:rPr>
                <w:bCs/>
                <w:szCs w:val="24"/>
              </w:rPr>
              <w:t>8</w:t>
            </w:r>
          </w:p>
          <w:p w:rsidR="005D1F93" w:rsidRPr="00FF7CFE" w:rsidP="009301D6" w14:paraId="75A7578F" w14:textId="77777777">
            <w:pPr>
              <w:jc w:val="center"/>
              <w:rPr>
                <w:bCs/>
                <w:szCs w:val="24"/>
              </w:rPr>
            </w:pPr>
            <w:r w:rsidRPr="00FF7CFE">
              <w:rPr>
                <w:bCs/>
                <w:szCs w:val="24"/>
              </w:rPr>
              <w:t>(On occasion)</w:t>
            </w:r>
          </w:p>
        </w:tc>
        <w:tc>
          <w:tcPr>
            <w:tcW w:w="644" w:type="pct"/>
            <w:shd w:val="clear" w:color="auto" w:fill="FFFFFF"/>
            <w:vAlign w:val="center"/>
          </w:tcPr>
          <w:p w:rsidR="00FB726F" w:rsidRPr="00FF7CFE" w:rsidP="005450F0" w14:paraId="2FD6EDCE" w14:textId="77777777">
            <w:pPr>
              <w:jc w:val="center"/>
              <w:rPr>
                <w:bCs/>
                <w:szCs w:val="24"/>
              </w:rPr>
            </w:pPr>
            <w:r w:rsidRPr="00FF7CFE">
              <w:rPr>
                <w:bCs/>
                <w:szCs w:val="24"/>
              </w:rPr>
              <w:t>0</w:t>
            </w:r>
            <w:r w:rsidRPr="00FF7CFE" w:rsidR="001E7F99">
              <w:rPr>
                <w:bCs/>
                <w:szCs w:val="24"/>
              </w:rPr>
              <w:t>.5</w:t>
            </w:r>
          </w:p>
        </w:tc>
        <w:tc>
          <w:tcPr>
            <w:tcW w:w="819" w:type="pct"/>
            <w:shd w:val="clear" w:color="auto" w:fill="FFFFFF"/>
            <w:vAlign w:val="center"/>
          </w:tcPr>
          <w:p w:rsidR="00FB726F" w:rsidRPr="00FF7CFE" w:rsidP="009301D6" w14:paraId="636DBE31" w14:textId="77777777">
            <w:pPr>
              <w:jc w:val="center"/>
              <w:rPr>
                <w:b/>
                <w:bCs/>
                <w:szCs w:val="24"/>
              </w:rPr>
            </w:pPr>
            <w:r w:rsidRPr="00FF7CFE">
              <w:rPr>
                <w:b/>
                <w:bCs/>
                <w:szCs w:val="24"/>
              </w:rPr>
              <w:t>4</w:t>
            </w:r>
          </w:p>
        </w:tc>
      </w:tr>
      <w:tr w14:paraId="3E02EC75" w14:textId="77777777" w:rsidTr="0019720B">
        <w:tblPrEx>
          <w:tblW w:w="5530" w:type="pct"/>
          <w:tblInd w:w="-612" w:type="dxa"/>
          <w:tblLayout w:type="fixed"/>
          <w:tblCellMar>
            <w:top w:w="0" w:type="dxa"/>
            <w:bottom w:w="0" w:type="dxa"/>
          </w:tblCellMar>
          <w:tblLook w:val="01E0"/>
        </w:tblPrEx>
        <w:trPr>
          <w:cantSplit/>
          <w:tblHeader/>
        </w:trPr>
        <w:tc>
          <w:tcPr>
            <w:tcW w:w="213" w:type="pct"/>
            <w:shd w:val="clear" w:color="auto" w:fill="FFFFFF"/>
            <w:vAlign w:val="center"/>
          </w:tcPr>
          <w:p w:rsidR="00FB726F" w:rsidRPr="00FF7CFE" w:rsidP="005450F0" w14:paraId="4C6A5B22" w14:textId="77777777">
            <w:pPr>
              <w:jc w:val="center"/>
            </w:pPr>
            <w:r w:rsidRPr="00FF7CFE">
              <w:t>d.</w:t>
            </w:r>
          </w:p>
        </w:tc>
        <w:tc>
          <w:tcPr>
            <w:tcW w:w="1302" w:type="pct"/>
            <w:shd w:val="clear" w:color="auto" w:fill="FFFFFF"/>
            <w:vAlign w:val="center"/>
          </w:tcPr>
          <w:p w:rsidR="00FB726F" w:rsidRPr="00FF7CFE" w:rsidP="005450F0" w14:paraId="27370743" w14:textId="77777777">
            <w:pPr>
              <w:rPr>
                <w:bCs/>
              </w:rPr>
            </w:pPr>
            <w:r w:rsidRPr="00FF7CFE">
              <w:rPr>
                <w:bCs/>
              </w:rPr>
              <w:t>§</w:t>
            </w:r>
            <w:r w:rsidRPr="00FF7CFE">
              <w:rPr>
                <w:bCs/>
              </w:rPr>
              <w:t xml:space="preserve"> 101.1440</w:t>
            </w:r>
            <w:r>
              <w:rPr>
                <w:rStyle w:val="FootnoteReference"/>
                <w:bCs/>
              </w:rPr>
              <w:footnoteReference w:id="4"/>
            </w:r>
            <w:r w:rsidRPr="00FF7CFE">
              <w:rPr>
                <w:bCs/>
              </w:rPr>
              <w:t xml:space="preserve"> </w:t>
            </w:r>
          </w:p>
        </w:tc>
        <w:tc>
          <w:tcPr>
            <w:tcW w:w="1104" w:type="pct"/>
            <w:shd w:val="clear" w:color="auto" w:fill="FFFFFF"/>
            <w:vAlign w:val="center"/>
          </w:tcPr>
          <w:p w:rsidR="00FB726F" w:rsidRPr="00FF7CFE" w:rsidP="005450F0" w14:paraId="051E5C00" w14:textId="77777777">
            <w:pPr>
              <w:jc w:val="center"/>
              <w:rPr>
                <w:bCs/>
                <w:szCs w:val="24"/>
              </w:rPr>
            </w:pPr>
            <w:r w:rsidRPr="00FF7CFE">
              <w:rPr>
                <w:bCs/>
                <w:szCs w:val="24"/>
              </w:rPr>
              <w:t>10</w:t>
            </w:r>
          </w:p>
          <w:p w:rsidR="00AF47A3" w:rsidRPr="00FF7CFE" w:rsidP="005450F0" w14:paraId="78BC2A7D" w14:textId="77777777">
            <w:pPr>
              <w:jc w:val="center"/>
              <w:rPr>
                <w:bCs/>
                <w:szCs w:val="24"/>
              </w:rPr>
            </w:pPr>
            <w:r w:rsidRPr="00FF7CFE">
              <w:rPr>
                <w:bCs/>
                <w:szCs w:val="24"/>
              </w:rPr>
              <w:t>(MDDS)</w:t>
            </w:r>
          </w:p>
          <w:p w:rsidR="00FB726F" w:rsidRPr="00FF7CFE" w:rsidP="005450F0" w14:paraId="65B6E9FB" w14:textId="77777777">
            <w:pPr>
              <w:jc w:val="center"/>
              <w:rPr>
                <w:bCs/>
                <w:szCs w:val="24"/>
              </w:rPr>
            </w:pPr>
          </w:p>
          <w:p w:rsidR="00FB726F" w:rsidRPr="00FF7CFE" w:rsidP="005450F0" w14:paraId="353B23AB" w14:textId="77777777">
            <w:pPr>
              <w:jc w:val="center"/>
              <w:rPr>
                <w:bCs/>
                <w:szCs w:val="24"/>
              </w:rPr>
            </w:pPr>
            <w:r w:rsidRPr="00FF7CFE">
              <w:rPr>
                <w:bCs/>
                <w:szCs w:val="24"/>
              </w:rPr>
              <w:t>2</w:t>
            </w:r>
          </w:p>
          <w:p w:rsidR="00AF47A3" w:rsidRPr="00FF7CFE" w:rsidP="005450F0" w14:paraId="38D416A9" w14:textId="77777777">
            <w:pPr>
              <w:jc w:val="center"/>
              <w:rPr>
                <w:bCs/>
                <w:szCs w:val="24"/>
              </w:rPr>
            </w:pPr>
            <w:r w:rsidRPr="00FF7CFE">
              <w:rPr>
                <w:bCs/>
                <w:szCs w:val="24"/>
              </w:rPr>
              <w:t>(DBS)</w:t>
            </w:r>
          </w:p>
        </w:tc>
        <w:tc>
          <w:tcPr>
            <w:tcW w:w="919" w:type="pct"/>
            <w:shd w:val="clear" w:color="auto" w:fill="FFFFFF"/>
            <w:vAlign w:val="center"/>
          </w:tcPr>
          <w:p w:rsidR="00BB0BB8" w:rsidRPr="00FF7CFE" w:rsidP="00D27016" w14:paraId="3B762C6F" w14:textId="77777777">
            <w:pPr>
              <w:jc w:val="center"/>
              <w:rPr>
                <w:bCs/>
                <w:szCs w:val="24"/>
              </w:rPr>
            </w:pPr>
            <w:r w:rsidRPr="00FF7CFE">
              <w:rPr>
                <w:bCs/>
                <w:szCs w:val="24"/>
              </w:rPr>
              <w:t>4</w:t>
            </w:r>
          </w:p>
          <w:p w:rsidR="00BB0BB8" w:rsidRPr="00FF7CFE" w:rsidP="00D27016" w14:paraId="3F936C66" w14:textId="77777777">
            <w:pPr>
              <w:jc w:val="center"/>
              <w:rPr>
                <w:bCs/>
                <w:szCs w:val="24"/>
              </w:rPr>
            </w:pPr>
          </w:p>
          <w:p w:rsidR="00FB726F" w:rsidRPr="00FF7CFE" w:rsidP="00D27016" w14:paraId="15B2693D" w14:textId="77777777">
            <w:pPr>
              <w:jc w:val="center"/>
              <w:rPr>
                <w:bCs/>
                <w:szCs w:val="24"/>
              </w:rPr>
            </w:pPr>
            <w:r w:rsidRPr="00FF7CFE">
              <w:rPr>
                <w:bCs/>
                <w:szCs w:val="24"/>
              </w:rPr>
              <w:t>4</w:t>
            </w:r>
          </w:p>
          <w:p w:rsidR="00736BCB" w:rsidRPr="00FF7CFE" w:rsidP="00D27016" w14:paraId="787BF703" w14:textId="77777777">
            <w:pPr>
              <w:jc w:val="center"/>
              <w:rPr>
                <w:bCs/>
                <w:szCs w:val="24"/>
              </w:rPr>
            </w:pPr>
            <w:r w:rsidRPr="00FF7CFE">
              <w:rPr>
                <w:bCs/>
                <w:szCs w:val="24"/>
              </w:rPr>
              <w:t>(On occasion)</w:t>
            </w:r>
          </w:p>
        </w:tc>
        <w:tc>
          <w:tcPr>
            <w:tcW w:w="644" w:type="pct"/>
            <w:shd w:val="clear" w:color="auto" w:fill="FFFFFF"/>
            <w:vAlign w:val="center"/>
          </w:tcPr>
          <w:p w:rsidR="00FB726F" w:rsidRPr="00FF7CFE" w:rsidP="005450F0" w14:paraId="46C03496" w14:textId="77777777">
            <w:pPr>
              <w:jc w:val="center"/>
              <w:rPr>
                <w:bCs/>
                <w:szCs w:val="24"/>
              </w:rPr>
            </w:pPr>
            <w:r w:rsidRPr="00FF7CFE">
              <w:rPr>
                <w:bCs/>
                <w:szCs w:val="24"/>
              </w:rPr>
              <w:t>40</w:t>
            </w:r>
          </w:p>
          <w:p w:rsidR="00FB726F" w:rsidRPr="00FF7CFE" w:rsidP="005450F0" w14:paraId="56AE3A21" w14:textId="77777777">
            <w:pPr>
              <w:jc w:val="center"/>
              <w:rPr>
                <w:bCs/>
                <w:szCs w:val="24"/>
              </w:rPr>
            </w:pPr>
          </w:p>
          <w:p w:rsidR="00FB726F" w:rsidRPr="00FF7CFE" w:rsidP="005450F0" w14:paraId="74F8E372" w14:textId="77777777">
            <w:pPr>
              <w:jc w:val="center"/>
              <w:rPr>
                <w:bCs/>
                <w:szCs w:val="24"/>
              </w:rPr>
            </w:pPr>
            <w:r w:rsidRPr="00FF7CFE">
              <w:rPr>
                <w:bCs/>
                <w:szCs w:val="24"/>
              </w:rPr>
              <w:t>25</w:t>
            </w:r>
          </w:p>
        </w:tc>
        <w:tc>
          <w:tcPr>
            <w:tcW w:w="819" w:type="pct"/>
            <w:shd w:val="clear" w:color="auto" w:fill="FFFFFF"/>
            <w:vAlign w:val="center"/>
          </w:tcPr>
          <w:p w:rsidR="00736BCB" w:rsidRPr="00FF7CFE" w:rsidP="005450F0" w14:paraId="0B3A75FE" w14:textId="77777777">
            <w:pPr>
              <w:jc w:val="center"/>
              <w:rPr>
                <w:bCs/>
                <w:szCs w:val="24"/>
              </w:rPr>
            </w:pPr>
            <w:r w:rsidRPr="00FF7CFE">
              <w:rPr>
                <w:bCs/>
                <w:szCs w:val="24"/>
              </w:rPr>
              <w:t>1,600</w:t>
            </w:r>
          </w:p>
          <w:p w:rsidR="00736BCB" w:rsidRPr="00FF7CFE" w:rsidP="005450F0" w14:paraId="5CCD4233" w14:textId="77777777">
            <w:pPr>
              <w:jc w:val="center"/>
              <w:rPr>
                <w:bCs/>
                <w:szCs w:val="24"/>
              </w:rPr>
            </w:pPr>
            <w:r w:rsidRPr="00FF7CFE">
              <w:rPr>
                <w:bCs/>
                <w:szCs w:val="24"/>
              </w:rPr>
              <w:t>+</w:t>
            </w:r>
          </w:p>
          <w:p w:rsidR="00736BCB" w:rsidRPr="00FF7CFE" w:rsidP="005450F0" w14:paraId="49718FD2" w14:textId="77777777">
            <w:pPr>
              <w:jc w:val="center"/>
              <w:rPr>
                <w:bCs/>
                <w:szCs w:val="24"/>
                <w:u w:val="single"/>
              </w:rPr>
            </w:pPr>
            <w:r w:rsidRPr="00FF7CFE">
              <w:rPr>
                <w:bCs/>
                <w:szCs w:val="24"/>
                <w:u w:val="single"/>
              </w:rPr>
              <w:t>200</w:t>
            </w:r>
          </w:p>
          <w:p w:rsidR="00FB726F" w:rsidRPr="00FF7CFE" w:rsidP="005450F0" w14:paraId="24A73758" w14:textId="77777777">
            <w:pPr>
              <w:jc w:val="center"/>
              <w:rPr>
                <w:b/>
                <w:bCs/>
                <w:szCs w:val="24"/>
              </w:rPr>
            </w:pPr>
            <w:r w:rsidRPr="00FF7CFE">
              <w:rPr>
                <w:b/>
                <w:bCs/>
                <w:szCs w:val="24"/>
              </w:rPr>
              <w:t>1,800</w:t>
            </w:r>
          </w:p>
        </w:tc>
      </w:tr>
      <w:tr w14:paraId="374D2035" w14:textId="77777777" w:rsidTr="0019720B">
        <w:tblPrEx>
          <w:tblW w:w="5530" w:type="pct"/>
          <w:tblInd w:w="-612" w:type="dxa"/>
          <w:tblLayout w:type="fixed"/>
          <w:tblCellMar>
            <w:top w:w="0" w:type="dxa"/>
            <w:bottom w:w="0" w:type="dxa"/>
          </w:tblCellMar>
          <w:tblLook w:val="01E0"/>
        </w:tblPrEx>
        <w:trPr>
          <w:cantSplit/>
          <w:tblHeader/>
        </w:trPr>
        <w:tc>
          <w:tcPr>
            <w:tcW w:w="213" w:type="pct"/>
            <w:shd w:val="clear" w:color="auto" w:fill="FFFFFF"/>
            <w:vAlign w:val="center"/>
          </w:tcPr>
          <w:p w:rsidR="00FB726F" w:rsidRPr="00FF7CFE" w:rsidP="0081366C" w14:paraId="113614E8" w14:textId="77777777">
            <w:pPr>
              <w:rPr>
                <w:bCs/>
              </w:rPr>
            </w:pPr>
            <w:r w:rsidRPr="00FF7CFE">
              <w:rPr>
                <w:bCs/>
              </w:rPr>
              <w:t>e.</w:t>
            </w:r>
          </w:p>
        </w:tc>
        <w:tc>
          <w:tcPr>
            <w:tcW w:w="1302" w:type="pct"/>
            <w:shd w:val="clear" w:color="auto" w:fill="FFFFFF"/>
            <w:vAlign w:val="center"/>
          </w:tcPr>
          <w:p w:rsidR="00FB726F" w:rsidRPr="00FF7CFE" w:rsidP="005450F0" w14:paraId="62CCB7EF" w14:textId="77777777">
            <w:pPr>
              <w:rPr>
                <w:bCs/>
              </w:rPr>
            </w:pPr>
            <w:r w:rsidRPr="00FF7CFE">
              <w:rPr>
                <w:bCs/>
              </w:rPr>
              <w:t>§</w:t>
            </w:r>
            <w:r w:rsidRPr="00FF7CFE">
              <w:rPr>
                <w:bCs/>
              </w:rPr>
              <w:t xml:space="preserve"> 101.1417 </w:t>
            </w:r>
          </w:p>
        </w:tc>
        <w:tc>
          <w:tcPr>
            <w:tcW w:w="1104" w:type="pct"/>
            <w:shd w:val="clear" w:color="auto" w:fill="FFFFFF"/>
            <w:vAlign w:val="center"/>
          </w:tcPr>
          <w:p w:rsidR="00FB726F" w:rsidRPr="00FF7CFE" w:rsidP="005450F0" w14:paraId="62B939BE" w14:textId="77777777">
            <w:pPr>
              <w:jc w:val="center"/>
              <w:rPr>
                <w:bCs/>
                <w:szCs w:val="24"/>
              </w:rPr>
            </w:pPr>
            <w:r w:rsidRPr="00FF7CFE">
              <w:rPr>
                <w:bCs/>
                <w:szCs w:val="24"/>
              </w:rPr>
              <w:t>1</w:t>
            </w:r>
            <w:r w:rsidRPr="00FF7CFE" w:rsidR="00C2243E">
              <w:rPr>
                <w:bCs/>
                <w:szCs w:val="24"/>
              </w:rPr>
              <w:t>0</w:t>
            </w:r>
          </w:p>
        </w:tc>
        <w:tc>
          <w:tcPr>
            <w:tcW w:w="919" w:type="pct"/>
            <w:shd w:val="clear" w:color="auto" w:fill="FFFFFF"/>
            <w:vAlign w:val="center"/>
          </w:tcPr>
          <w:p w:rsidR="00FB726F" w:rsidRPr="00FF7CFE" w:rsidP="005450F0" w14:paraId="76E919C4" w14:textId="77777777">
            <w:pPr>
              <w:jc w:val="center"/>
              <w:rPr>
                <w:bCs/>
                <w:szCs w:val="24"/>
              </w:rPr>
            </w:pPr>
            <w:r w:rsidRPr="00FF7CFE">
              <w:rPr>
                <w:bCs/>
                <w:szCs w:val="24"/>
              </w:rPr>
              <w:t>1</w:t>
            </w:r>
          </w:p>
          <w:p w:rsidR="00FB726F" w:rsidRPr="00FF7CFE" w:rsidP="005450F0" w14:paraId="678E7C0C" w14:textId="77777777">
            <w:pPr>
              <w:jc w:val="center"/>
              <w:rPr>
                <w:bCs/>
                <w:szCs w:val="24"/>
              </w:rPr>
            </w:pPr>
            <w:r w:rsidRPr="00FF7CFE">
              <w:rPr>
                <w:bCs/>
                <w:szCs w:val="24"/>
              </w:rPr>
              <w:t>(</w:t>
            </w:r>
            <w:r w:rsidRPr="00FF7CFE">
              <w:rPr>
                <w:bCs/>
                <w:szCs w:val="24"/>
              </w:rPr>
              <w:t>Annually)</w:t>
            </w:r>
          </w:p>
        </w:tc>
        <w:tc>
          <w:tcPr>
            <w:tcW w:w="644" w:type="pct"/>
            <w:shd w:val="clear" w:color="auto" w:fill="FFFFFF"/>
            <w:vAlign w:val="center"/>
          </w:tcPr>
          <w:p w:rsidR="00FB726F" w:rsidRPr="00FF7CFE" w:rsidP="005450F0" w14:paraId="6039BE56" w14:textId="77777777">
            <w:pPr>
              <w:jc w:val="center"/>
              <w:rPr>
                <w:bCs/>
                <w:szCs w:val="24"/>
              </w:rPr>
            </w:pPr>
            <w:r w:rsidRPr="00FF7CFE">
              <w:rPr>
                <w:bCs/>
                <w:szCs w:val="24"/>
              </w:rPr>
              <w:t>1</w:t>
            </w:r>
          </w:p>
        </w:tc>
        <w:tc>
          <w:tcPr>
            <w:tcW w:w="819" w:type="pct"/>
            <w:shd w:val="clear" w:color="auto" w:fill="FFFFFF"/>
            <w:vAlign w:val="center"/>
          </w:tcPr>
          <w:p w:rsidR="00FB726F" w:rsidRPr="00FF7CFE" w:rsidP="005450F0" w14:paraId="2247CB40" w14:textId="77777777">
            <w:pPr>
              <w:jc w:val="center"/>
              <w:rPr>
                <w:b/>
                <w:bCs/>
                <w:szCs w:val="24"/>
              </w:rPr>
            </w:pPr>
            <w:r w:rsidRPr="00FF7CFE">
              <w:rPr>
                <w:b/>
                <w:bCs/>
                <w:szCs w:val="24"/>
              </w:rPr>
              <w:t>1</w:t>
            </w:r>
            <w:r w:rsidRPr="00FF7CFE" w:rsidR="00F779FC">
              <w:rPr>
                <w:b/>
                <w:bCs/>
                <w:szCs w:val="24"/>
              </w:rPr>
              <w:t>0</w:t>
            </w:r>
          </w:p>
        </w:tc>
      </w:tr>
      <w:tr w14:paraId="6CBE6A90" w14:textId="77777777" w:rsidTr="0019720B">
        <w:tblPrEx>
          <w:tblW w:w="5530" w:type="pct"/>
          <w:tblInd w:w="-612" w:type="dxa"/>
          <w:tblLayout w:type="fixed"/>
          <w:tblCellMar>
            <w:top w:w="0" w:type="dxa"/>
            <w:bottom w:w="0" w:type="dxa"/>
          </w:tblCellMar>
          <w:tblLook w:val="01E0"/>
        </w:tblPrEx>
        <w:trPr>
          <w:cantSplit/>
          <w:tblHeader/>
        </w:trPr>
        <w:tc>
          <w:tcPr>
            <w:tcW w:w="213" w:type="pct"/>
            <w:shd w:val="clear" w:color="auto" w:fill="FFFFFF"/>
            <w:vAlign w:val="center"/>
          </w:tcPr>
          <w:p w:rsidR="008620AE" w:rsidRPr="00FF7CFE" w:rsidP="0081366C" w14:paraId="24D94F72" w14:textId="77777777">
            <w:pPr>
              <w:rPr>
                <w:bCs/>
              </w:rPr>
            </w:pPr>
            <w:r w:rsidRPr="00FF7CFE">
              <w:rPr>
                <w:bCs/>
              </w:rPr>
              <w:t>f.</w:t>
            </w:r>
          </w:p>
        </w:tc>
        <w:tc>
          <w:tcPr>
            <w:tcW w:w="1302" w:type="pct"/>
            <w:shd w:val="clear" w:color="auto" w:fill="FFFFFF"/>
            <w:vAlign w:val="center"/>
          </w:tcPr>
          <w:p w:rsidR="008620AE" w:rsidRPr="00FF7CFE" w:rsidP="005450F0" w14:paraId="3FC9991D" w14:textId="77777777">
            <w:pPr>
              <w:rPr>
                <w:bCs/>
              </w:rPr>
            </w:pPr>
            <w:r w:rsidRPr="00FF7CFE">
              <w:rPr>
                <w:bCs/>
              </w:rPr>
              <w:t>§ 25.139</w:t>
            </w:r>
            <w:r>
              <w:rPr>
                <w:rStyle w:val="FootnoteReference"/>
                <w:bCs/>
              </w:rPr>
              <w:footnoteReference w:id="5"/>
            </w:r>
          </w:p>
        </w:tc>
        <w:tc>
          <w:tcPr>
            <w:tcW w:w="1104" w:type="pct"/>
            <w:shd w:val="clear" w:color="auto" w:fill="FFFFFF"/>
            <w:vAlign w:val="center"/>
          </w:tcPr>
          <w:p w:rsidR="008620AE" w:rsidRPr="00FF7CFE" w:rsidP="005450F0" w14:paraId="3403B910" w14:textId="77777777">
            <w:pPr>
              <w:jc w:val="center"/>
              <w:rPr>
                <w:bCs/>
                <w:szCs w:val="24"/>
              </w:rPr>
            </w:pPr>
            <w:r w:rsidRPr="00FF7CFE">
              <w:rPr>
                <w:bCs/>
                <w:szCs w:val="24"/>
              </w:rPr>
              <w:t>6</w:t>
            </w:r>
          </w:p>
          <w:p w:rsidR="00D96744" w:rsidRPr="00FF7CFE" w:rsidP="005450F0" w14:paraId="0DDF7840" w14:textId="77777777">
            <w:pPr>
              <w:jc w:val="center"/>
              <w:rPr>
                <w:bCs/>
                <w:szCs w:val="24"/>
              </w:rPr>
            </w:pPr>
            <w:r w:rsidRPr="00FF7CFE">
              <w:rPr>
                <w:bCs/>
                <w:szCs w:val="24"/>
              </w:rPr>
              <w:t>(Recordkeeping)</w:t>
            </w:r>
          </w:p>
          <w:p w:rsidR="00D96744" w:rsidRPr="00FF7CFE" w:rsidP="005450F0" w14:paraId="5114F622" w14:textId="77777777">
            <w:pPr>
              <w:jc w:val="center"/>
              <w:rPr>
                <w:bCs/>
                <w:szCs w:val="24"/>
              </w:rPr>
            </w:pPr>
          </w:p>
          <w:p w:rsidR="00D96744" w:rsidRPr="00FF7CFE" w:rsidP="005450F0" w14:paraId="2C3349C0" w14:textId="77777777">
            <w:pPr>
              <w:jc w:val="center"/>
              <w:rPr>
                <w:bCs/>
                <w:szCs w:val="24"/>
              </w:rPr>
            </w:pPr>
            <w:r w:rsidRPr="00FF7CFE">
              <w:rPr>
                <w:bCs/>
                <w:szCs w:val="24"/>
              </w:rPr>
              <w:t>6</w:t>
            </w:r>
          </w:p>
          <w:p w:rsidR="00D96744" w:rsidRPr="00FF7CFE" w:rsidP="005450F0" w14:paraId="46A10498" w14:textId="77777777">
            <w:pPr>
              <w:jc w:val="center"/>
              <w:rPr>
                <w:bCs/>
                <w:szCs w:val="24"/>
              </w:rPr>
            </w:pPr>
            <w:r w:rsidRPr="00FF7CFE">
              <w:rPr>
                <w:bCs/>
                <w:szCs w:val="24"/>
              </w:rPr>
              <w:t>(Third party disclosures)</w:t>
            </w:r>
          </w:p>
        </w:tc>
        <w:tc>
          <w:tcPr>
            <w:tcW w:w="919" w:type="pct"/>
            <w:shd w:val="clear" w:color="auto" w:fill="FFFFFF"/>
            <w:vAlign w:val="center"/>
          </w:tcPr>
          <w:p w:rsidR="00CE39CD" w:rsidRPr="00FF7CFE" w:rsidP="005450F0" w14:paraId="2A3A1DC0" w14:textId="77777777">
            <w:pPr>
              <w:jc w:val="center"/>
              <w:rPr>
                <w:bCs/>
                <w:szCs w:val="24"/>
              </w:rPr>
            </w:pPr>
            <w:r w:rsidRPr="00FF7CFE">
              <w:rPr>
                <w:bCs/>
                <w:szCs w:val="24"/>
              </w:rPr>
              <w:t>2</w:t>
            </w:r>
            <w:r w:rsidRPr="00FF7CFE">
              <w:rPr>
                <w:bCs/>
                <w:szCs w:val="24"/>
              </w:rPr>
              <w:t>,000</w:t>
            </w:r>
          </w:p>
          <w:p w:rsidR="008620AE" w:rsidRPr="00FF7CFE" w:rsidP="005450F0" w14:paraId="1294231F" w14:textId="77777777">
            <w:pPr>
              <w:jc w:val="center"/>
              <w:rPr>
                <w:bCs/>
                <w:szCs w:val="24"/>
              </w:rPr>
            </w:pPr>
            <w:r w:rsidRPr="00FF7CFE">
              <w:rPr>
                <w:bCs/>
                <w:szCs w:val="24"/>
              </w:rPr>
              <w:t>(</w:t>
            </w:r>
            <w:r w:rsidRPr="00FF7CFE" w:rsidR="00736BCB">
              <w:rPr>
                <w:bCs/>
                <w:szCs w:val="24"/>
              </w:rPr>
              <w:t>O</w:t>
            </w:r>
            <w:r w:rsidRPr="00FF7CFE">
              <w:rPr>
                <w:bCs/>
                <w:szCs w:val="24"/>
              </w:rPr>
              <w:t>n occasion)</w:t>
            </w:r>
          </w:p>
          <w:p w:rsidR="00D96744" w:rsidRPr="00FF7CFE" w:rsidP="005450F0" w14:paraId="581423F8" w14:textId="77777777">
            <w:pPr>
              <w:jc w:val="center"/>
              <w:rPr>
                <w:bCs/>
                <w:szCs w:val="24"/>
              </w:rPr>
            </w:pPr>
          </w:p>
          <w:p w:rsidR="00D96744" w:rsidRPr="00FF7CFE" w:rsidP="005450F0" w14:paraId="17B4B46B" w14:textId="77777777">
            <w:pPr>
              <w:jc w:val="center"/>
              <w:rPr>
                <w:bCs/>
                <w:szCs w:val="24"/>
              </w:rPr>
            </w:pPr>
            <w:r w:rsidRPr="00FF7CFE">
              <w:rPr>
                <w:bCs/>
                <w:szCs w:val="24"/>
              </w:rPr>
              <w:t>200</w:t>
            </w:r>
          </w:p>
          <w:p w:rsidR="00D96744" w:rsidRPr="00FF7CFE" w:rsidP="005450F0" w14:paraId="0A7A1FC0" w14:textId="77777777">
            <w:pPr>
              <w:jc w:val="center"/>
              <w:rPr>
                <w:bCs/>
                <w:szCs w:val="24"/>
              </w:rPr>
            </w:pPr>
            <w:r w:rsidRPr="00FF7CFE">
              <w:rPr>
                <w:bCs/>
                <w:szCs w:val="24"/>
              </w:rPr>
              <w:t>(</w:t>
            </w:r>
            <w:r w:rsidRPr="00FF7CFE" w:rsidR="00736BCB">
              <w:rPr>
                <w:bCs/>
                <w:szCs w:val="24"/>
              </w:rPr>
              <w:t>O</w:t>
            </w:r>
            <w:r w:rsidRPr="00FF7CFE">
              <w:rPr>
                <w:bCs/>
                <w:szCs w:val="24"/>
              </w:rPr>
              <w:t>n occasion)</w:t>
            </w:r>
          </w:p>
        </w:tc>
        <w:tc>
          <w:tcPr>
            <w:tcW w:w="644" w:type="pct"/>
            <w:shd w:val="clear" w:color="auto" w:fill="FFFFFF"/>
            <w:vAlign w:val="center"/>
          </w:tcPr>
          <w:p w:rsidR="008620AE" w:rsidRPr="00FF7CFE" w:rsidP="005450F0" w14:paraId="0A20C90B" w14:textId="77777777">
            <w:pPr>
              <w:jc w:val="center"/>
              <w:rPr>
                <w:bCs/>
                <w:szCs w:val="24"/>
              </w:rPr>
            </w:pPr>
            <w:r w:rsidRPr="00FF7CFE">
              <w:rPr>
                <w:bCs/>
                <w:szCs w:val="24"/>
              </w:rPr>
              <w:t>.25</w:t>
            </w:r>
          </w:p>
          <w:p w:rsidR="000228CF" w:rsidRPr="00FF7CFE" w:rsidP="005450F0" w14:paraId="26CD58A1" w14:textId="77777777">
            <w:pPr>
              <w:jc w:val="center"/>
              <w:rPr>
                <w:bCs/>
                <w:szCs w:val="24"/>
              </w:rPr>
            </w:pPr>
          </w:p>
          <w:p w:rsidR="000228CF" w:rsidRPr="00FF7CFE" w:rsidP="005450F0" w14:paraId="2ECDE3B8" w14:textId="77777777">
            <w:pPr>
              <w:jc w:val="center"/>
              <w:rPr>
                <w:bCs/>
                <w:szCs w:val="24"/>
              </w:rPr>
            </w:pPr>
          </w:p>
          <w:p w:rsidR="000228CF" w:rsidRPr="00FF7CFE" w:rsidP="005450F0" w14:paraId="2BA5CB68" w14:textId="77777777">
            <w:pPr>
              <w:jc w:val="center"/>
              <w:rPr>
                <w:bCs/>
                <w:szCs w:val="24"/>
              </w:rPr>
            </w:pPr>
            <w:r w:rsidRPr="00FF7CFE">
              <w:rPr>
                <w:bCs/>
                <w:szCs w:val="24"/>
              </w:rPr>
              <w:t>.</w:t>
            </w:r>
            <w:r w:rsidRPr="00FF7CFE">
              <w:rPr>
                <w:bCs/>
                <w:szCs w:val="24"/>
              </w:rPr>
              <w:t>25</w:t>
            </w:r>
          </w:p>
          <w:p w:rsidR="000228CF" w:rsidRPr="00FF7CFE" w:rsidP="005450F0" w14:paraId="12792C27" w14:textId="77777777">
            <w:pPr>
              <w:jc w:val="center"/>
              <w:rPr>
                <w:bCs/>
                <w:szCs w:val="24"/>
              </w:rPr>
            </w:pPr>
          </w:p>
        </w:tc>
        <w:tc>
          <w:tcPr>
            <w:tcW w:w="819" w:type="pct"/>
            <w:shd w:val="clear" w:color="auto" w:fill="FFFFFF"/>
            <w:vAlign w:val="center"/>
          </w:tcPr>
          <w:p w:rsidR="008620AE" w:rsidRPr="00FF7CFE" w:rsidP="005450F0" w14:paraId="4D9F7FB3" w14:textId="77777777">
            <w:pPr>
              <w:jc w:val="center"/>
              <w:rPr>
                <w:bCs/>
                <w:szCs w:val="24"/>
              </w:rPr>
            </w:pPr>
            <w:r w:rsidRPr="00FF7CFE">
              <w:rPr>
                <w:bCs/>
                <w:szCs w:val="24"/>
              </w:rPr>
              <w:t>3,000</w:t>
            </w:r>
          </w:p>
          <w:p w:rsidR="00D96744" w:rsidRPr="00FF7CFE" w:rsidP="005450F0" w14:paraId="7AF2E452" w14:textId="77777777">
            <w:pPr>
              <w:jc w:val="center"/>
              <w:rPr>
                <w:bCs/>
                <w:szCs w:val="24"/>
              </w:rPr>
            </w:pPr>
            <w:r w:rsidRPr="00FF7CFE">
              <w:rPr>
                <w:bCs/>
                <w:szCs w:val="24"/>
              </w:rPr>
              <w:t>+</w:t>
            </w:r>
          </w:p>
          <w:p w:rsidR="000228CF" w:rsidRPr="00FF7CFE" w:rsidP="005450F0" w14:paraId="532E0603" w14:textId="77777777">
            <w:pPr>
              <w:jc w:val="center"/>
              <w:rPr>
                <w:bCs/>
                <w:szCs w:val="24"/>
                <w:u w:val="single"/>
              </w:rPr>
            </w:pPr>
          </w:p>
          <w:p w:rsidR="00D96744" w:rsidRPr="00FF7CFE" w:rsidP="005450F0" w14:paraId="27A99468" w14:textId="77777777">
            <w:pPr>
              <w:jc w:val="center"/>
              <w:rPr>
                <w:bCs/>
                <w:szCs w:val="24"/>
                <w:u w:val="single"/>
              </w:rPr>
            </w:pPr>
            <w:r w:rsidRPr="00FF7CFE">
              <w:rPr>
                <w:bCs/>
                <w:szCs w:val="24"/>
                <w:u w:val="single"/>
              </w:rPr>
              <w:t>300</w:t>
            </w:r>
          </w:p>
          <w:p w:rsidR="00D96744" w:rsidRPr="00FF7CFE" w:rsidP="005450F0" w14:paraId="2FAF222A" w14:textId="77777777">
            <w:pPr>
              <w:jc w:val="center"/>
              <w:rPr>
                <w:b/>
                <w:bCs/>
                <w:szCs w:val="24"/>
                <w:u w:val="single"/>
              </w:rPr>
            </w:pPr>
            <w:r w:rsidRPr="00FF7CFE">
              <w:rPr>
                <w:b/>
                <w:bCs/>
                <w:szCs w:val="24"/>
                <w:u w:val="single"/>
              </w:rPr>
              <w:t>3,300</w:t>
            </w:r>
          </w:p>
        </w:tc>
      </w:tr>
      <w:tr w14:paraId="45823C87" w14:textId="77777777" w:rsidTr="0019720B">
        <w:tblPrEx>
          <w:tblW w:w="5530" w:type="pct"/>
          <w:tblInd w:w="-612" w:type="dxa"/>
          <w:tblLayout w:type="fixed"/>
          <w:tblCellMar>
            <w:top w:w="0" w:type="dxa"/>
            <w:bottom w:w="0" w:type="dxa"/>
          </w:tblCellMar>
          <w:tblLook w:val="01E0"/>
        </w:tblPrEx>
        <w:trPr>
          <w:cantSplit/>
          <w:tblHeader/>
        </w:trPr>
        <w:tc>
          <w:tcPr>
            <w:tcW w:w="213" w:type="pct"/>
            <w:shd w:val="clear" w:color="auto" w:fill="FFFFFF"/>
          </w:tcPr>
          <w:p w:rsidR="00FB726F" w:rsidRPr="00FF7CFE" w:rsidP="005450F0" w14:paraId="600B1730" w14:textId="77777777">
            <w:pPr>
              <w:rPr>
                <w:bCs/>
              </w:rPr>
            </w:pPr>
          </w:p>
        </w:tc>
        <w:tc>
          <w:tcPr>
            <w:tcW w:w="1302" w:type="pct"/>
            <w:shd w:val="clear" w:color="auto" w:fill="FFFFFF"/>
            <w:vAlign w:val="center"/>
          </w:tcPr>
          <w:p w:rsidR="00FB726F" w:rsidRPr="00FF7CFE" w:rsidP="005450F0" w14:paraId="24857677" w14:textId="77777777">
            <w:pPr>
              <w:rPr>
                <w:b/>
                <w:bCs/>
              </w:rPr>
            </w:pPr>
            <w:r w:rsidRPr="00FF7CFE">
              <w:rPr>
                <w:b/>
                <w:bCs/>
              </w:rPr>
              <w:t>TOTAL</w:t>
            </w:r>
          </w:p>
        </w:tc>
        <w:tc>
          <w:tcPr>
            <w:tcW w:w="1104" w:type="pct"/>
            <w:shd w:val="clear" w:color="auto" w:fill="FFFFFF"/>
            <w:vAlign w:val="center"/>
          </w:tcPr>
          <w:p w:rsidR="00FB726F" w:rsidRPr="00FF7CFE" w:rsidP="005450F0" w14:paraId="2F1E6788" w14:textId="77777777">
            <w:pPr>
              <w:jc w:val="center"/>
              <w:rPr>
                <w:b/>
                <w:bCs/>
                <w:szCs w:val="24"/>
              </w:rPr>
            </w:pPr>
            <w:r w:rsidRPr="00FF7CFE">
              <w:rPr>
                <w:b/>
                <w:bCs/>
                <w:szCs w:val="24"/>
              </w:rPr>
              <w:t>1</w:t>
            </w:r>
            <w:r w:rsidRPr="00FF7CFE" w:rsidR="00C2243E">
              <w:rPr>
                <w:b/>
                <w:bCs/>
                <w:szCs w:val="24"/>
              </w:rPr>
              <w:t>8</w:t>
            </w:r>
          </w:p>
        </w:tc>
        <w:tc>
          <w:tcPr>
            <w:tcW w:w="919" w:type="pct"/>
            <w:shd w:val="clear" w:color="auto" w:fill="FFFFFF"/>
            <w:vAlign w:val="center"/>
          </w:tcPr>
          <w:p w:rsidR="00FB726F" w:rsidRPr="00FF7CFE" w:rsidP="005450F0" w14:paraId="3C769E01" w14:textId="77777777">
            <w:pPr>
              <w:jc w:val="center"/>
              <w:rPr>
                <w:bCs/>
                <w:szCs w:val="24"/>
              </w:rPr>
            </w:pPr>
          </w:p>
        </w:tc>
        <w:tc>
          <w:tcPr>
            <w:tcW w:w="644" w:type="pct"/>
            <w:shd w:val="clear" w:color="auto" w:fill="FFFFFF"/>
            <w:vAlign w:val="center"/>
          </w:tcPr>
          <w:p w:rsidR="00FB726F" w:rsidRPr="00FF7CFE" w:rsidP="005450F0" w14:paraId="2D985EC9" w14:textId="77777777">
            <w:pPr>
              <w:jc w:val="center"/>
              <w:rPr>
                <w:bCs/>
                <w:szCs w:val="24"/>
              </w:rPr>
            </w:pPr>
          </w:p>
        </w:tc>
        <w:tc>
          <w:tcPr>
            <w:tcW w:w="819" w:type="pct"/>
            <w:shd w:val="clear" w:color="auto" w:fill="FFFFFF"/>
            <w:vAlign w:val="center"/>
          </w:tcPr>
          <w:p w:rsidR="00C97932" w:rsidRPr="00FF7CFE" w:rsidP="000F57F1" w14:paraId="4979175E" w14:textId="77777777">
            <w:pPr>
              <w:ind w:left="360"/>
              <w:rPr>
                <w:bCs/>
                <w:szCs w:val="24"/>
              </w:rPr>
            </w:pPr>
            <w:r>
              <w:rPr>
                <w:b/>
                <w:bCs/>
                <w:szCs w:val="24"/>
              </w:rPr>
              <w:t xml:space="preserve"> </w:t>
            </w:r>
            <w:r w:rsidRPr="00FF7CFE" w:rsidR="00D96744">
              <w:rPr>
                <w:b/>
                <w:bCs/>
                <w:szCs w:val="24"/>
              </w:rPr>
              <w:t>5,316</w:t>
            </w:r>
            <w:r w:rsidRPr="00FF7CFE" w:rsidR="007426EF">
              <w:rPr>
                <w:b/>
                <w:bCs/>
                <w:szCs w:val="24"/>
              </w:rPr>
              <w:t xml:space="preserve"> </w:t>
            </w:r>
            <w:r w:rsidRPr="00FF7CFE" w:rsidR="00D96744">
              <w:rPr>
                <w:b/>
                <w:bCs/>
                <w:szCs w:val="24"/>
              </w:rPr>
              <w:t>hours</w:t>
            </w:r>
          </w:p>
        </w:tc>
      </w:tr>
    </w:tbl>
    <w:p w:rsidR="001C3D63" w:rsidRPr="00FF7CFE" w:rsidP="0077381D" w14:paraId="3058D68B" w14:textId="77777777">
      <w:pPr>
        <w:rPr>
          <w:b/>
          <w:szCs w:val="24"/>
        </w:rPr>
      </w:pPr>
    </w:p>
    <w:p w:rsidR="00586FFF" w:rsidRPr="00FF7CFE" w:rsidP="0077381D" w14:paraId="5B2B619E" w14:textId="77777777">
      <w:pPr>
        <w:rPr>
          <w:szCs w:val="24"/>
        </w:rPr>
      </w:pPr>
      <w:r w:rsidRPr="00FF7CFE">
        <w:rPr>
          <w:b/>
          <w:szCs w:val="24"/>
        </w:rPr>
        <w:t>12-a</w:t>
      </w:r>
      <w:r w:rsidRPr="00FF7CFE">
        <w:rPr>
          <w:szCs w:val="24"/>
        </w:rPr>
        <w:t>. §101.1403</w:t>
      </w:r>
      <w:r w:rsidRPr="00FF7CFE" w:rsidR="006D2451">
        <w:rPr>
          <w:szCs w:val="24"/>
        </w:rPr>
        <w:t>.</w:t>
      </w:r>
      <w:r w:rsidRPr="00FF7CFE">
        <w:rPr>
          <w:szCs w:val="24"/>
        </w:rPr>
        <w:t xml:space="preserve">  </w:t>
      </w:r>
      <w:r w:rsidRPr="00FF7CFE">
        <w:rPr>
          <w:szCs w:val="24"/>
        </w:rPr>
        <w:t xml:space="preserve">The estimated time for a letter </w:t>
      </w:r>
      <w:r w:rsidRPr="00FF7CFE" w:rsidR="000E6AA3">
        <w:rPr>
          <w:szCs w:val="24"/>
        </w:rPr>
        <w:t xml:space="preserve">of </w:t>
      </w:r>
      <w:r w:rsidRPr="00FF7CFE">
        <w:rPr>
          <w:szCs w:val="24"/>
        </w:rPr>
        <w:t xml:space="preserve">consent is 1 hour per </w:t>
      </w:r>
      <w:r w:rsidRPr="00FF7CFE" w:rsidR="00145C54">
        <w:rPr>
          <w:szCs w:val="24"/>
        </w:rPr>
        <w:t>respondent.</w:t>
      </w:r>
    </w:p>
    <w:p w:rsidR="004841C9" w:rsidRPr="00FF7CFE" w:rsidP="0077381D" w14:paraId="2A4CE369" w14:textId="77777777">
      <w:pPr>
        <w:rPr>
          <w:szCs w:val="24"/>
        </w:rPr>
      </w:pPr>
    </w:p>
    <w:p w:rsidR="00466A22" w:rsidRPr="00FF7CFE" w:rsidP="0077381D" w14:paraId="62BCF408" w14:textId="77777777">
      <w:pPr>
        <w:rPr>
          <w:b/>
          <w:szCs w:val="24"/>
        </w:rPr>
      </w:pPr>
      <w:bookmarkStart w:id="1" w:name="_Hlk12875147"/>
      <w:r w:rsidRPr="00FF7CFE">
        <w:rPr>
          <w:b/>
          <w:szCs w:val="24"/>
        </w:rPr>
        <w:t>Annual Burden:  2 respondents x 1 response each x 1 hour per response = 2 hours.</w:t>
      </w:r>
    </w:p>
    <w:p w:rsidR="00466A22" w:rsidRPr="00FF7CFE" w:rsidP="0077381D" w14:paraId="05EABC4A" w14:textId="77777777">
      <w:pPr>
        <w:rPr>
          <w:b/>
          <w:szCs w:val="24"/>
        </w:rPr>
      </w:pPr>
    </w:p>
    <w:p w:rsidR="00466A22" w:rsidRPr="00FF7CFE" w:rsidP="0077381D" w14:paraId="19460D25" w14:textId="77777777">
      <w:pPr>
        <w:rPr>
          <w:b/>
          <w:szCs w:val="24"/>
        </w:rPr>
      </w:pPr>
      <w:r w:rsidRPr="00FF7CFE">
        <w:rPr>
          <w:b/>
          <w:szCs w:val="24"/>
        </w:rPr>
        <w:t xml:space="preserve">In-house Staff Cost: </w:t>
      </w:r>
      <w:r w:rsidRPr="00FF7CFE" w:rsidR="006D2451">
        <w:rPr>
          <w:b/>
          <w:szCs w:val="24"/>
        </w:rPr>
        <w:t>(</w:t>
      </w:r>
      <w:r w:rsidRPr="00FF7CFE">
        <w:rPr>
          <w:b/>
          <w:szCs w:val="24"/>
        </w:rPr>
        <w:t>2 respondents x 1 response each x</w:t>
      </w:r>
      <w:r w:rsidRPr="00FF7CFE" w:rsidR="006D2451">
        <w:rPr>
          <w:b/>
          <w:szCs w:val="24"/>
        </w:rPr>
        <w:t xml:space="preserve"> 1 hour = 2 hours)</w:t>
      </w:r>
      <w:r w:rsidRPr="00FF7CFE">
        <w:rPr>
          <w:b/>
          <w:szCs w:val="24"/>
        </w:rPr>
        <w:t xml:space="preserve"> x $</w:t>
      </w:r>
      <w:r w:rsidRPr="00FF7CFE" w:rsidR="00DE5EA1">
        <w:rPr>
          <w:b/>
          <w:szCs w:val="24"/>
        </w:rPr>
        <w:t>48.</w:t>
      </w:r>
      <w:r w:rsidR="00C925EF">
        <w:rPr>
          <w:b/>
          <w:szCs w:val="24"/>
        </w:rPr>
        <w:t>65</w:t>
      </w:r>
      <w:r>
        <w:rPr>
          <w:rStyle w:val="FootnoteReference"/>
          <w:b/>
          <w:szCs w:val="24"/>
        </w:rPr>
        <w:footnoteReference w:id="6"/>
      </w:r>
      <w:r w:rsidRPr="00FF7CFE" w:rsidR="006D2451">
        <w:rPr>
          <w:b/>
          <w:szCs w:val="24"/>
        </w:rPr>
        <w:t xml:space="preserve"> per hour</w:t>
      </w:r>
      <w:r w:rsidRPr="00FF7CFE">
        <w:rPr>
          <w:b/>
          <w:szCs w:val="24"/>
        </w:rPr>
        <w:t xml:space="preserve"> (</w:t>
      </w:r>
      <w:r w:rsidRPr="00FF7CFE" w:rsidR="004841C9">
        <w:rPr>
          <w:b/>
          <w:szCs w:val="24"/>
        </w:rPr>
        <w:t>Management Analyst)</w:t>
      </w:r>
      <w:r w:rsidRPr="00FF7CFE">
        <w:rPr>
          <w:b/>
          <w:szCs w:val="24"/>
        </w:rPr>
        <w:t xml:space="preserve"> = $</w:t>
      </w:r>
      <w:r w:rsidRPr="00FF7CFE" w:rsidR="00DE5EA1">
        <w:rPr>
          <w:b/>
          <w:szCs w:val="24"/>
        </w:rPr>
        <w:t>9</w:t>
      </w:r>
      <w:r w:rsidR="00C925EF">
        <w:rPr>
          <w:b/>
          <w:szCs w:val="24"/>
        </w:rPr>
        <w:t>7.30</w:t>
      </w:r>
      <w:r w:rsidRPr="00FF7CFE">
        <w:rPr>
          <w:b/>
          <w:szCs w:val="24"/>
        </w:rPr>
        <w:t>.</w:t>
      </w:r>
    </w:p>
    <w:bookmarkEnd w:id="1"/>
    <w:p w:rsidR="004841C9" w:rsidRPr="00FF7CFE" w:rsidP="0077381D" w14:paraId="2F730901" w14:textId="77777777">
      <w:pPr>
        <w:rPr>
          <w:szCs w:val="24"/>
        </w:rPr>
      </w:pPr>
    </w:p>
    <w:p w:rsidR="00736BCB" w:rsidRPr="00FF7CFE" w:rsidP="007D271D" w14:paraId="6B2D268E" w14:textId="77777777">
      <w:pPr>
        <w:rPr>
          <w:szCs w:val="24"/>
        </w:rPr>
      </w:pPr>
      <w:r w:rsidRPr="00FF7CFE">
        <w:rPr>
          <w:b/>
          <w:szCs w:val="24"/>
        </w:rPr>
        <w:t>12-b.</w:t>
      </w:r>
      <w:r w:rsidRPr="00FF7CFE">
        <w:rPr>
          <w:szCs w:val="24"/>
        </w:rPr>
        <w:t xml:space="preserve">  §</w:t>
      </w:r>
      <w:r w:rsidRPr="00FF7CFE" w:rsidR="00466A22">
        <w:rPr>
          <w:szCs w:val="24"/>
        </w:rPr>
        <w:t>101.103(f)</w:t>
      </w:r>
      <w:r w:rsidRPr="00FF7CFE" w:rsidR="006D2451">
        <w:rPr>
          <w:szCs w:val="24"/>
        </w:rPr>
        <w:t xml:space="preserve">.  </w:t>
      </w:r>
      <w:r w:rsidRPr="00FF7CFE" w:rsidR="00007184">
        <w:rPr>
          <w:szCs w:val="24"/>
        </w:rPr>
        <w:t>In 2020, w</w:t>
      </w:r>
      <w:r w:rsidRPr="00FF7CFE" w:rsidR="00892833">
        <w:rPr>
          <w:szCs w:val="24"/>
        </w:rPr>
        <w:t xml:space="preserve">e  </w:t>
      </w:r>
      <w:r w:rsidRPr="00FF7CFE" w:rsidR="00896787">
        <w:rPr>
          <w:szCs w:val="24"/>
        </w:rPr>
        <w:t>updat</w:t>
      </w:r>
      <w:r w:rsidRPr="00FF7CFE" w:rsidR="00007184">
        <w:rPr>
          <w:szCs w:val="24"/>
        </w:rPr>
        <w:t>ed</w:t>
      </w:r>
      <w:r w:rsidRPr="00FF7CFE" w:rsidR="00896787">
        <w:rPr>
          <w:szCs w:val="24"/>
        </w:rPr>
        <w:t xml:space="preserve"> </w:t>
      </w:r>
      <w:r w:rsidRPr="00FF7CFE" w:rsidR="00892833">
        <w:rPr>
          <w:szCs w:val="24"/>
        </w:rPr>
        <w:t xml:space="preserve">our estimates </w:t>
      </w:r>
      <w:r w:rsidRPr="00FF7CFE" w:rsidR="00AC4537">
        <w:rPr>
          <w:szCs w:val="24"/>
        </w:rPr>
        <w:t>because</w:t>
      </w:r>
      <w:r w:rsidRPr="00FF7CFE" w:rsidR="004A4D3D">
        <w:rPr>
          <w:szCs w:val="24"/>
        </w:rPr>
        <w:t xml:space="preserve"> the Commission  authorized </w:t>
      </w:r>
      <w:r w:rsidRPr="00FF7CFE" w:rsidR="00896787">
        <w:rPr>
          <w:szCs w:val="24"/>
        </w:rPr>
        <w:t xml:space="preserve">new </w:t>
      </w:r>
      <w:r w:rsidRPr="00FF7CFE" w:rsidR="004A4D3D">
        <w:rPr>
          <w:szCs w:val="24"/>
        </w:rPr>
        <w:t xml:space="preserve">NGSO FSS </w:t>
      </w:r>
      <w:r w:rsidRPr="00FF7CFE" w:rsidR="00896787">
        <w:rPr>
          <w:szCs w:val="24"/>
        </w:rPr>
        <w:t xml:space="preserve">operators </w:t>
      </w:r>
      <w:r w:rsidRPr="00FF7CFE" w:rsidR="004A4D3D">
        <w:rPr>
          <w:szCs w:val="24"/>
        </w:rPr>
        <w:t xml:space="preserve">in the </w:t>
      </w:r>
      <w:r w:rsidRPr="00FF7CFE" w:rsidR="00D47C75">
        <w:rPr>
          <w:szCs w:val="24"/>
        </w:rPr>
        <w:t>12.2-12.7 GHz band</w:t>
      </w:r>
      <w:r w:rsidRPr="00FF7CFE" w:rsidR="00892833">
        <w:rPr>
          <w:szCs w:val="24"/>
        </w:rPr>
        <w:t>.</w:t>
      </w:r>
      <w:r w:rsidRPr="00FF7CFE" w:rsidR="005F19B6">
        <w:rPr>
          <w:szCs w:val="24"/>
        </w:rPr>
        <w:t xml:space="preserve">  We estimate that </w:t>
      </w:r>
      <w:r w:rsidRPr="00FF7CFE" w:rsidR="00896787">
        <w:rPr>
          <w:szCs w:val="24"/>
        </w:rPr>
        <w:t xml:space="preserve">each </w:t>
      </w:r>
      <w:r w:rsidRPr="00FF7CFE" w:rsidR="005F19B6">
        <w:rPr>
          <w:szCs w:val="24"/>
        </w:rPr>
        <w:t>MVDDS licensee</w:t>
      </w:r>
      <w:r w:rsidRPr="00FF7CFE" w:rsidR="00896787">
        <w:rPr>
          <w:szCs w:val="24"/>
        </w:rPr>
        <w:t xml:space="preserve"> </w:t>
      </w:r>
      <w:r w:rsidRPr="00FF7CFE" w:rsidR="005F19B6">
        <w:rPr>
          <w:szCs w:val="24"/>
        </w:rPr>
        <w:t xml:space="preserve">will </w:t>
      </w:r>
      <w:r w:rsidRPr="00FF7CFE" w:rsidR="009807E0">
        <w:rPr>
          <w:szCs w:val="24"/>
        </w:rPr>
        <w:t xml:space="preserve">notify NGSO FSS operators of its intent </w:t>
      </w:r>
      <w:r w:rsidRPr="00FF7CFE" w:rsidR="00896787">
        <w:rPr>
          <w:szCs w:val="24"/>
        </w:rPr>
        <w:t xml:space="preserve">to construct or modify an average of one proposed antenna site annually in each of 200 license areas.  </w:t>
      </w:r>
      <w:r w:rsidRPr="00FF7CFE" w:rsidR="009807E0">
        <w:rPr>
          <w:szCs w:val="24"/>
        </w:rPr>
        <w:t xml:space="preserve">For purposes of this submission,  an equal distribution </w:t>
      </w:r>
      <w:r w:rsidRPr="00FF7CFE" w:rsidR="00007184">
        <w:rPr>
          <w:szCs w:val="24"/>
        </w:rPr>
        <w:t xml:space="preserve">has not changed </w:t>
      </w:r>
      <w:r w:rsidRPr="00FF7CFE" w:rsidR="009807E0">
        <w:rPr>
          <w:szCs w:val="24"/>
        </w:rPr>
        <w:t>among the 10 MVDDS licensees</w:t>
      </w:r>
      <w:r w:rsidRPr="00FF7CFE" w:rsidR="00321916">
        <w:rPr>
          <w:szCs w:val="24"/>
        </w:rPr>
        <w:t xml:space="preserve">, i.e., an average of 20 </w:t>
      </w:r>
      <w:r w:rsidRPr="00FF7CFE">
        <w:rPr>
          <w:szCs w:val="24"/>
        </w:rPr>
        <w:t>coordination</w:t>
      </w:r>
      <w:r w:rsidRPr="00FF7CFE" w:rsidR="00321916">
        <w:rPr>
          <w:szCs w:val="24"/>
        </w:rPr>
        <w:t xml:space="preserve"> per MVDDS licensee.  </w:t>
      </w:r>
    </w:p>
    <w:p w:rsidR="00736BCB" w:rsidRPr="00FF7CFE" w:rsidP="007D271D" w14:paraId="3E2D0275" w14:textId="77777777">
      <w:pPr>
        <w:rPr>
          <w:b/>
          <w:szCs w:val="24"/>
        </w:rPr>
      </w:pPr>
    </w:p>
    <w:p w:rsidR="007D271D" w:rsidRPr="00FF7CFE" w:rsidP="007D271D" w14:paraId="5FC4197E" w14:textId="77777777">
      <w:pPr>
        <w:rPr>
          <w:b/>
          <w:szCs w:val="24"/>
        </w:rPr>
      </w:pPr>
      <w:r w:rsidRPr="00FF7CFE">
        <w:rPr>
          <w:b/>
          <w:szCs w:val="24"/>
        </w:rPr>
        <w:t>Annual Burden: 10 respondents x 20 response each x 1 hour per response = 200 hours.</w:t>
      </w:r>
    </w:p>
    <w:p w:rsidR="007D271D" w:rsidRPr="00FF7CFE" w:rsidP="007D271D" w14:paraId="0112F28F" w14:textId="77777777">
      <w:pPr>
        <w:rPr>
          <w:b/>
          <w:szCs w:val="24"/>
        </w:rPr>
      </w:pPr>
    </w:p>
    <w:p w:rsidR="007D271D" w:rsidRPr="00FF7CFE" w:rsidP="007D271D" w14:paraId="4EF00E1F" w14:textId="77777777">
      <w:pPr>
        <w:rPr>
          <w:b/>
          <w:szCs w:val="24"/>
        </w:rPr>
      </w:pPr>
      <w:r w:rsidRPr="00FF7CFE">
        <w:rPr>
          <w:b/>
          <w:szCs w:val="24"/>
        </w:rPr>
        <w:t>In-house Staff Cost: (10 respondents x 20 response each x 1 hour = 2</w:t>
      </w:r>
      <w:r w:rsidRPr="00FF7CFE" w:rsidR="00DE5EA1">
        <w:rPr>
          <w:b/>
          <w:szCs w:val="24"/>
        </w:rPr>
        <w:t>00</w:t>
      </w:r>
      <w:r w:rsidRPr="00FF7CFE">
        <w:rPr>
          <w:b/>
          <w:szCs w:val="24"/>
        </w:rPr>
        <w:t xml:space="preserve"> hours) x $</w:t>
      </w:r>
      <w:r w:rsidRPr="00FF7CFE" w:rsidR="00DE5EA1">
        <w:rPr>
          <w:b/>
          <w:szCs w:val="24"/>
        </w:rPr>
        <w:t>48.</w:t>
      </w:r>
      <w:r w:rsidR="00C925EF">
        <w:rPr>
          <w:b/>
          <w:szCs w:val="24"/>
        </w:rPr>
        <w:t>65</w:t>
      </w:r>
      <w:r w:rsidRPr="00FF7CFE">
        <w:rPr>
          <w:b/>
          <w:szCs w:val="24"/>
        </w:rPr>
        <w:t xml:space="preserve"> per hour (Management Analyst) = $</w:t>
      </w:r>
      <w:r w:rsidRPr="00FF7CFE" w:rsidR="00DE5EA1">
        <w:rPr>
          <w:b/>
          <w:szCs w:val="24"/>
        </w:rPr>
        <w:t>9,</w:t>
      </w:r>
      <w:r w:rsidR="00C925EF">
        <w:rPr>
          <w:b/>
          <w:szCs w:val="24"/>
        </w:rPr>
        <w:t>730</w:t>
      </w:r>
      <w:r w:rsidRPr="00FF7CFE" w:rsidR="00DE5EA1">
        <w:rPr>
          <w:b/>
          <w:szCs w:val="24"/>
        </w:rPr>
        <w:t>.00</w:t>
      </w:r>
      <w:r w:rsidRPr="00FF7CFE">
        <w:rPr>
          <w:b/>
          <w:szCs w:val="24"/>
        </w:rPr>
        <w:t>.</w:t>
      </w:r>
    </w:p>
    <w:p w:rsidR="004841C9" w:rsidRPr="00FF7CFE" w:rsidP="00D27016" w14:paraId="6A5AA19D" w14:textId="77777777">
      <w:pPr>
        <w:rPr>
          <w:szCs w:val="24"/>
        </w:rPr>
      </w:pPr>
    </w:p>
    <w:p w:rsidR="006D2451" w:rsidRPr="00FF7CFE" w:rsidP="0027780C" w14:paraId="31F6EDFC" w14:textId="77777777">
      <w:pPr>
        <w:rPr>
          <w:szCs w:val="24"/>
        </w:rPr>
      </w:pPr>
      <w:r w:rsidRPr="00FF7CFE">
        <w:rPr>
          <w:b/>
          <w:szCs w:val="24"/>
        </w:rPr>
        <w:t>12-c</w:t>
      </w:r>
      <w:r w:rsidRPr="00FF7CFE">
        <w:rPr>
          <w:szCs w:val="24"/>
        </w:rPr>
        <w:t>.  §101.1413</w:t>
      </w:r>
      <w:r w:rsidRPr="00FF7CFE">
        <w:rPr>
          <w:szCs w:val="24"/>
        </w:rPr>
        <w:t>.</w:t>
      </w:r>
      <w:r w:rsidRPr="00FF7CFE">
        <w:rPr>
          <w:szCs w:val="24"/>
        </w:rPr>
        <w:t xml:space="preserve"> </w:t>
      </w:r>
      <w:r w:rsidRPr="00FF7CFE" w:rsidR="0027780C">
        <w:rPr>
          <w:szCs w:val="24"/>
        </w:rPr>
        <w:t xml:space="preserve"> We </w:t>
      </w:r>
      <w:r w:rsidR="003F02CF">
        <w:rPr>
          <w:szCs w:val="24"/>
        </w:rPr>
        <w:t>will</w:t>
      </w:r>
      <w:r w:rsidRPr="00FF7CFE" w:rsidR="0027780C">
        <w:rPr>
          <w:szCs w:val="24"/>
        </w:rPr>
        <w:t xml:space="preserve"> </w:t>
      </w:r>
      <w:r w:rsidR="00C016E2">
        <w:rPr>
          <w:szCs w:val="24"/>
        </w:rPr>
        <w:t xml:space="preserve">not </w:t>
      </w:r>
      <w:r w:rsidRPr="00FF7CFE" w:rsidR="0027780C">
        <w:rPr>
          <w:szCs w:val="24"/>
        </w:rPr>
        <w:t>revis</w:t>
      </w:r>
      <w:r w:rsidR="003F02CF">
        <w:rPr>
          <w:szCs w:val="24"/>
        </w:rPr>
        <w:t>e</w:t>
      </w:r>
      <w:r w:rsidR="00C016E2">
        <w:rPr>
          <w:szCs w:val="24"/>
        </w:rPr>
        <w:t xml:space="preserve"> our estimates since the last OMB information  approval</w:t>
      </w:r>
      <w:r w:rsidRPr="00FF7CFE" w:rsidR="0027780C">
        <w:rPr>
          <w:szCs w:val="24"/>
        </w:rPr>
        <w:t>, because the showing of substantial service due during the next three-years approval are not required</w:t>
      </w:r>
      <w:r w:rsidRPr="00FF7CFE" w:rsidR="001E7F99">
        <w:rPr>
          <w:szCs w:val="24"/>
        </w:rPr>
        <w:t xml:space="preserve"> from most MVDDS licensees</w:t>
      </w:r>
      <w:r w:rsidRPr="00FF7CFE" w:rsidR="0027780C">
        <w:rPr>
          <w:szCs w:val="24"/>
        </w:rPr>
        <w:t>.</w:t>
      </w:r>
      <w:r w:rsidRPr="00FF7CFE" w:rsidR="001E7F99">
        <w:rPr>
          <w:szCs w:val="24"/>
        </w:rPr>
        <w:t xml:space="preserve">  </w:t>
      </w:r>
    </w:p>
    <w:p w:rsidR="00736BCB" w:rsidRPr="00FF7CFE" w:rsidP="007D271D" w14:paraId="6914B03D" w14:textId="77777777">
      <w:pPr>
        <w:rPr>
          <w:b/>
          <w:szCs w:val="24"/>
        </w:rPr>
      </w:pPr>
    </w:p>
    <w:p w:rsidR="007D271D" w:rsidRPr="00FF7CFE" w:rsidP="007D271D" w14:paraId="59BA103D" w14:textId="77777777">
      <w:pPr>
        <w:rPr>
          <w:b/>
          <w:szCs w:val="24"/>
        </w:rPr>
      </w:pPr>
      <w:r w:rsidRPr="00FF7CFE">
        <w:rPr>
          <w:b/>
          <w:szCs w:val="24"/>
        </w:rPr>
        <w:t>Annual Burden: 1 respondent x 8 response each x 0.5 hour per response = 4 hours.</w:t>
      </w:r>
    </w:p>
    <w:p w:rsidR="007D271D" w:rsidRPr="00FF7CFE" w:rsidP="007D271D" w14:paraId="520DEC92" w14:textId="77777777">
      <w:pPr>
        <w:rPr>
          <w:b/>
          <w:szCs w:val="24"/>
        </w:rPr>
      </w:pPr>
    </w:p>
    <w:p w:rsidR="007D271D" w:rsidRPr="00FF7CFE" w:rsidP="007D271D" w14:paraId="7B3972E7" w14:textId="77777777">
      <w:pPr>
        <w:rPr>
          <w:b/>
          <w:szCs w:val="24"/>
        </w:rPr>
      </w:pPr>
      <w:r w:rsidRPr="00FF7CFE">
        <w:rPr>
          <w:b/>
          <w:szCs w:val="24"/>
        </w:rPr>
        <w:t>In-house Staff Cost: (</w:t>
      </w:r>
      <w:r w:rsidRPr="00FF7CFE" w:rsidR="00AF47A3">
        <w:rPr>
          <w:b/>
          <w:szCs w:val="24"/>
        </w:rPr>
        <w:t>1</w:t>
      </w:r>
      <w:r w:rsidRPr="00FF7CFE">
        <w:rPr>
          <w:b/>
          <w:szCs w:val="24"/>
        </w:rPr>
        <w:t xml:space="preserve"> respondent x </w:t>
      </w:r>
      <w:r w:rsidRPr="00FF7CFE" w:rsidR="00AF47A3">
        <w:rPr>
          <w:b/>
          <w:szCs w:val="24"/>
        </w:rPr>
        <w:t>8</w:t>
      </w:r>
      <w:r w:rsidRPr="00FF7CFE">
        <w:rPr>
          <w:b/>
          <w:szCs w:val="24"/>
        </w:rPr>
        <w:t xml:space="preserve"> response each x </w:t>
      </w:r>
      <w:r w:rsidRPr="00FF7CFE" w:rsidR="00AF47A3">
        <w:rPr>
          <w:b/>
          <w:szCs w:val="24"/>
        </w:rPr>
        <w:t>0.5</w:t>
      </w:r>
      <w:r w:rsidRPr="00FF7CFE">
        <w:rPr>
          <w:b/>
          <w:szCs w:val="24"/>
        </w:rPr>
        <w:t xml:space="preserve"> hour = </w:t>
      </w:r>
      <w:r w:rsidRPr="00FF7CFE" w:rsidR="00AF47A3">
        <w:rPr>
          <w:b/>
          <w:szCs w:val="24"/>
        </w:rPr>
        <w:t>4</w:t>
      </w:r>
      <w:r w:rsidRPr="00FF7CFE">
        <w:rPr>
          <w:b/>
          <w:szCs w:val="24"/>
        </w:rPr>
        <w:t xml:space="preserve"> hours) x $</w:t>
      </w:r>
      <w:r w:rsidRPr="00FF7CFE" w:rsidR="00DE5EA1">
        <w:rPr>
          <w:b/>
          <w:szCs w:val="24"/>
        </w:rPr>
        <w:t>48.</w:t>
      </w:r>
      <w:r w:rsidR="006A4E44">
        <w:rPr>
          <w:b/>
          <w:szCs w:val="24"/>
        </w:rPr>
        <w:t>65</w:t>
      </w:r>
      <w:r w:rsidRPr="00FF7CFE">
        <w:rPr>
          <w:b/>
          <w:szCs w:val="24"/>
        </w:rPr>
        <w:t xml:space="preserve"> per hour (Management Analyst) = $</w:t>
      </w:r>
      <w:r w:rsidR="00C925EF">
        <w:rPr>
          <w:b/>
          <w:szCs w:val="24"/>
        </w:rPr>
        <w:t>194.60</w:t>
      </w:r>
    </w:p>
    <w:p w:rsidR="007D271D" w:rsidRPr="00FF7CFE" w:rsidP="00461C73" w14:paraId="65FA0E43" w14:textId="77777777">
      <w:pPr>
        <w:rPr>
          <w:b/>
          <w:szCs w:val="24"/>
        </w:rPr>
      </w:pPr>
    </w:p>
    <w:p w:rsidR="00A14D88" w:rsidRPr="00FF7CFE" w:rsidP="0077381D" w14:paraId="45021467" w14:textId="77777777">
      <w:pPr>
        <w:rPr>
          <w:szCs w:val="24"/>
        </w:rPr>
      </w:pPr>
      <w:r w:rsidRPr="00FF7CFE">
        <w:rPr>
          <w:b/>
          <w:szCs w:val="24"/>
        </w:rPr>
        <w:t xml:space="preserve">12-d. </w:t>
      </w:r>
      <w:r w:rsidRPr="00FF7CFE">
        <w:rPr>
          <w:szCs w:val="24"/>
        </w:rPr>
        <w:t>§101.1440</w:t>
      </w:r>
      <w:r w:rsidRPr="00FF7CFE" w:rsidR="001961B1">
        <w:rPr>
          <w:szCs w:val="24"/>
        </w:rPr>
        <w:t>.</w:t>
      </w:r>
      <w:r w:rsidRPr="00FF7CFE">
        <w:rPr>
          <w:szCs w:val="24"/>
        </w:rPr>
        <w:t xml:space="preserve">  </w:t>
      </w:r>
      <w:r w:rsidRPr="00FF7CFE" w:rsidR="00950D41">
        <w:rPr>
          <w:szCs w:val="24"/>
        </w:rPr>
        <w:t xml:space="preserve">We estimate that each MVDDS licensee will notify NGSO FSS operators of its intent to construct or modify an average of one proposed antenna site annually in each of 200 license areas.  For purposes of this submission, we are assuming an equal distribution among the 10 MVDDS licensees, i.e., an average of 20 </w:t>
      </w:r>
      <w:r w:rsidRPr="00FF7CFE" w:rsidR="00736BCB">
        <w:rPr>
          <w:szCs w:val="24"/>
        </w:rPr>
        <w:t>coordination</w:t>
      </w:r>
      <w:r w:rsidRPr="00FF7CFE" w:rsidR="00950D41">
        <w:rPr>
          <w:szCs w:val="24"/>
        </w:rPr>
        <w:t xml:space="preserve"> per MVDDS licensee.  For each coordination w</w:t>
      </w:r>
      <w:r w:rsidRPr="00FF7CFE" w:rsidR="00FE7A48">
        <w:rPr>
          <w:szCs w:val="24"/>
        </w:rPr>
        <w:t xml:space="preserve">e estimate </w:t>
      </w:r>
      <w:r w:rsidRPr="00FF7CFE" w:rsidR="00950D41">
        <w:rPr>
          <w:szCs w:val="24"/>
        </w:rPr>
        <w:t xml:space="preserve">that an MVDDS licensee </w:t>
      </w:r>
      <w:r w:rsidRPr="00FF7CFE" w:rsidR="00FE7A48">
        <w:rPr>
          <w:szCs w:val="24"/>
        </w:rPr>
        <w:t xml:space="preserve">will take 40 hours to conduct a survey of the area around its proposed transmitting antenna site to determine the location of all DBS customers that may be affected by </w:t>
      </w:r>
      <w:r w:rsidRPr="00FF7CFE" w:rsidR="002036CA">
        <w:rPr>
          <w:szCs w:val="24"/>
        </w:rPr>
        <w:t xml:space="preserve">a new or modified MVDDS transmitter.  </w:t>
      </w:r>
      <w:r w:rsidRPr="00FF7CFE" w:rsidR="005C236D">
        <w:rPr>
          <w:szCs w:val="24"/>
        </w:rPr>
        <w:t xml:space="preserve">We estimate up to </w:t>
      </w:r>
      <w:r w:rsidRPr="00FF7CFE" w:rsidR="00D62C7A">
        <w:rPr>
          <w:szCs w:val="24"/>
        </w:rPr>
        <w:t xml:space="preserve">two </w:t>
      </w:r>
      <w:r w:rsidRPr="00FF7CFE" w:rsidR="005C236D">
        <w:rPr>
          <w:szCs w:val="24"/>
        </w:rPr>
        <w:t xml:space="preserve">DBS licensees taking 25 hours per </w:t>
      </w:r>
      <w:r w:rsidRPr="00FF7CFE" w:rsidR="00773A3C">
        <w:rPr>
          <w:szCs w:val="24"/>
        </w:rPr>
        <w:t xml:space="preserve">coordination </w:t>
      </w:r>
      <w:r w:rsidRPr="00FF7CFE" w:rsidR="005C236D">
        <w:rPr>
          <w:szCs w:val="24"/>
        </w:rPr>
        <w:t xml:space="preserve">to provide responsive data to MVDDS licensees.  There is one MVDDS licensee </w:t>
      </w:r>
      <w:r w:rsidRPr="00FF7CFE" w:rsidR="00950D41">
        <w:rPr>
          <w:szCs w:val="24"/>
        </w:rPr>
        <w:t xml:space="preserve">in each of 200 license areas.  </w:t>
      </w:r>
    </w:p>
    <w:p w:rsidR="001961B1" w:rsidRPr="00FF7CFE" w:rsidP="001961B1" w14:paraId="7BD59B1E" w14:textId="77777777">
      <w:pPr>
        <w:rPr>
          <w:szCs w:val="24"/>
        </w:rPr>
      </w:pPr>
    </w:p>
    <w:p w:rsidR="001961B1" w:rsidRPr="00FF7CFE" w:rsidP="001961B1" w14:paraId="4CACB6B9" w14:textId="77777777">
      <w:pPr>
        <w:rPr>
          <w:b/>
          <w:szCs w:val="24"/>
        </w:rPr>
      </w:pPr>
      <w:r w:rsidRPr="00FF7CFE">
        <w:rPr>
          <w:b/>
          <w:szCs w:val="24"/>
        </w:rPr>
        <w:t xml:space="preserve">Annual Burden:  </w:t>
      </w:r>
      <w:r w:rsidRPr="00FF7CFE">
        <w:rPr>
          <w:b/>
          <w:szCs w:val="24"/>
        </w:rPr>
        <w:tab/>
      </w:r>
      <w:r w:rsidRPr="00FF7CFE" w:rsidR="00950D41">
        <w:rPr>
          <w:b/>
          <w:szCs w:val="24"/>
        </w:rPr>
        <w:t xml:space="preserve">10 </w:t>
      </w:r>
      <w:r w:rsidRPr="00FF7CFE">
        <w:rPr>
          <w:b/>
          <w:szCs w:val="24"/>
        </w:rPr>
        <w:t xml:space="preserve">MVDDS licensees x </w:t>
      </w:r>
      <w:r w:rsidRPr="00FF7CFE" w:rsidR="000228CF">
        <w:rPr>
          <w:b/>
          <w:szCs w:val="24"/>
        </w:rPr>
        <w:t>4</w:t>
      </w:r>
      <w:r w:rsidRPr="00FF7CFE">
        <w:rPr>
          <w:b/>
          <w:szCs w:val="24"/>
        </w:rPr>
        <w:t xml:space="preserve">coordination x 40 hours = </w:t>
      </w:r>
      <w:r w:rsidRPr="00FF7CFE" w:rsidR="000228CF">
        <w:rPr>
          <w:b/>
          <w:szCs w:val="24"/>
        </w:rPr>
        <w:t>1,6</w:t>
      </w:r>
      <w:r w:rsidRPr="00FF7CFE" w:rsidR="006931E0">
        <w:rPr>
          <w:b/>
          <w:szCs w:val="24"/>
        </w:rPr>
        <w:t xml:space="preserve">00 </w:t>
      </w:r>
      <w:r w:rsidRPr="00FF7CFE">
        <w:rPr>
          <w:b/>
          <w:szCs w:val="24"/>
        </w:rPr>
        <w:t>hours.</w:t>
      </w:r>
    </w:p>
    <w:p w:rsidR="001961B1" w:rsidRPr="00FF7CFE" w:rsidP="001961B1" w14:paraId="18EAB58B" w14:textId="77777777">
      <w:pPr>
        <w:rPr>
          <w:b/>
          <w:szCs w:val="24"/>
        </w:rPr>
      </w:pPr>
      <w:r w:rsidRPr="00FF7CFE">
        <w:rPr>
          <w:b/>
          <w:szCs w:val="24"/>
        </w:rPr>
        <w:t xml:space="preserve">Annual Burden:  </w:t>
      </w:r>
      <w:r w:rsidRPr="00FF7CFE">
        <w:rPr>
          <w:b/>
          <w:szCs w:val="24"/>
        </w:rPr>
        <w:tab/>
        <w:t>2 DBS licensees x 4 coordination x 25 hours = 200 hours.</w:t>
      </w:r>
    </w:p>
    <w:p w:rsidR="006931E0" w:rsidRPr="00FF7CFE" w:rsidP="001961B1" w14:paraId="7F436345" w14:textId="77777777">
      <w:pPr>
        <w:rPr>
          <w:b/>
          <w:szCs w:val="24"/>
        </w:rPr>
      </w:pPr>
    </w:p>
    <w:p w:rsidR="001961B1" w:rsidRPr="00FF7CFE" w:rsidP="001961B1" w14:paraId="57443CBC" w14:textId="77777777">
      <w:pPr>
        <w:rPr>
          <w:b/>
          <w:szCs w:val="24"/>
        </w:rPr>
      </w:pPr>
      <w:r w:rsidRPr="00FF7CFE">
        <w:rPr>
          <w:b/>
          <w:szCs w:val="24"/>
        </w:rPr>
        <w:t>Total:</w:t>
      </w:r>
      <w:r w:rsidRPr="00FF7CFE">
        <w:rPr>
          <w:b/>
          <w:szCs w:val="24"/>
        </w:rPr>
        <w:tab/>
      </w:r>
      <w:r w:rsidRPr="00FF7CFE">
        <w:rPr>
          <w:b/>
          <w:szCs w:val="24"/>
        </w:rPr>
        <w:tab/>
      </w:r>
      <w:r w:rsidRPr="00FF7CFE">
        <w:rPr>
          <w:b/>
          <w:szCs w:val="24"/>
        </w:rPr>
        <w:tab/>
      </w:r>
      <w:r w:rsidRPr="00FF7CFE" w:rsidR="000228CF">
        <w:rPr>
          <w:b/>
          <w:szCs w:val="24"/>
        </w:rPr>
        <w:t>1,6</w:t>
      </w:r>
      <w:r w:rsidRPr="00FF7CFE" w:rsidR="006931E0">
        <w:rPr>
          <w:b/>
          <w:szCs w:val="24"/>
        </w:rPr>
        <w:t>00</w:t>
      </w:r>
      <w:r w:rsidRPr="00FF7CFE">
        <w:rPr>
          <w:b/>
          <w:szCs w:val="24"/>
        </w:rPr>
        <w:t xml:space="preserve"> + 200 hours = </w:t>
      </w:r>
      <w:r w:rsidRPr="00FF7CFE" w:rsidR="000228CF">
        <w:rPr>
          <w:b/>
          <w:szCs w:val="24"/>
        </w:rPr>
        <w:t>1,8</w:t>
      </w:r>
      <w:r w:rsidRPr="00FF7CFE" w:rsidR="006931E0">
        <w:rPr>
          <w:b/>
          <w:szCs w:val="24"/>
        </w:rPr>
        <w:t>00</w:t>
      </w:r>
      <w:r w:rsidRPr="00FF7CFE">
        <w:rPr>
          <w:b/>
          <w:szCs w:val="24"/>
        </w:rPr>
        <w:t xml:space="preserve"> total hours.</w:t>
      </w:r>
    </w:p>
    <w:p w:rsidR="001961B1" w:rsidRPr="00FF7CFE" w:rsidP="001961B1" w14:paraId="6FDADD13" w14:textId="77777777">
      <w:pPr>
        <w:rPr>
          <w:b/>
          <w:szCs w:val="24"/>
        </w:rPr>
      </w:pPr>
    </w:p>
    <w:p w:rsidR="00A8327F" w:rsidRPr="00FF7CFE" w:rsidP="001961B1" w14:paraId="3A600781" w14:textId="77777777">
      <w:pPr>
        <w:rPr>
          <w:b/>
          <w:szCs w:val="24"/>
        </w:rPr>
      </w:pPr>
      <w:bookmarkStart w:id="3" w:name="_Hlk12880117"/>
      <w:r w:rsidRPr="00FF7CFE">
        <w:rPr>
          <w:b/>
          <w:szCs w:val="24"/>
        </w:rPr>
        <w:t>In-house Staff Cost: (</w:t>
      </w:r>
      <w:r w:rsidRPr="00FF7CFE" w:rsidR="006931E0">
        <w:rPr>
          <w:b/>
          <w:szCs w:val="24"/>
        </w:rPr>
        <w:t>10</w:t>
      </w:r>
      <w:r w:rsidRPr="00FF7CFE">
        <w:rPr>
          <w:b/>
          <w:szCs w:val="24"/>
        </w:rPr>
        <w:t xml:space="preserve"> MVDDS licensees x </w:t>
      </w:r>
      <w:r w:rsidRPr="00FF7CFE" w:rsidR="000228CF">
        <w:rPr>
          <w:b/>
          <w:szCs w:val="24"/>
        </w:rPr>
        <w:t>4</w:t>
      </w:r>
      <w:r w:rsidRPr="00FF7CFE" w:rsidR="00902AB6">
        <w:rPr>
          <w:b/>
          <w:szCs w:val="24"/>
        </w:rPr>
        <w:t xml:space="preserve"> </w:t>
      </w:r>
      <w:r w:rsidRPr="00FF7CFE">
        <w:rPr>
          <w:b/>
          <w:szCs w:val="24"/>
        </w:rPr>
        <w:t>coordination x 40 hours)</w:t>
      </w:r>
      <w:r w:rsidRPr="00FF7CFE">
        <w:rPr>
          <w:b/>
          <w:szCs w:val="24"/>
        </w:rPr>
        <w:t xml:space="preserve"> + (2 DBS licensees x 4 coordination x 25 hours) x $</w:t>
      </w:r>
      <w:r w:rsidRPr="00FF7CFE" w:rsidR="00902AB6">
        <w:rPr>
          <w:b/>
          <w:szCs w:val="24"/>
        </w:rPr>
        <w:t>48.</w:t>
      </w:r>
      <w:r w:rsidR="00C925EF">
        <w:rPr>
          <w:b/>
          <w:szCs w:val="24"/>
        </w:rPr>
        <w:t>65</w:t>
      </w:r>
      <w:r w:rsidRPr="00FF7CFE">
        <w:rPr>
          <w:b/>
          <w:szCs w:val="24"/>
        </w:rPr>
        <w:t xml:space="preserve"> per hour (Management Analysis) = $</w:t>
      </w:r>
      <w:r w:rsidRPr="00FF7CFE" w:rsidR="00902AB6">
        <w:rPr>
          <w:b/>
          <w:szCs w:val="24"/>
        </w:rPr>
        <w:t>8</w:t>
      </w:r>
      <w:r w:rsidR="00C925EF">
        <w:rPr>
          <w:b/>
          <w:szCs w:val="24"/>
        </w:rPr>
        <w:t>7,570</w:t>
      </w:r>
      <w:r w:rsidRPr="00FF7CFE" w:rsidR="00902AB6">
        <w:rPr>
          <w:b/>
          <w:szCs w:val="24"/>
        </w:rPr>
        <w:t>.00</w:t>
      </w:r>
      <w:r w:rsidRPr="00FF7CFE" w:rsidR="006931E0">
        <w:rPr>
          <w:b/>
          <w:szCs w:val="24"/>
        </w:rPr>
        <w:t>.</w:t>
      </w:r>
      <w:r w:rsidRPr="00FF7CFE" w:rsidR="0073290F">
        <w:rPr>
          <w:b/>
          <w:szCs w:val="24"/>
        </w:rPr>
        <w:t xml:space="preserve"> </w:t>
      </w:r>
    </w:p>
    <w:bookmarkEnd w:id="3"/>
    <w:p w:rsidR="00A8327F" w:rsidRPr="00FF7CFE" w:rsidP="001961B1" w14:paraId="110CC565" w14:textId="77777777">
      <w:pPr>
        <w:rPr>
          <w:szCs w:val="24"/>
        </w:rPr>
      </w:pPr>
    </w:p>
    <w:p w:rsidR="00586FFF" w:rsidRPr="00FF7CFE" w:rsidP="00A8327F" w14:paraId="31FD6BE4" w14:textId="77777777">
      <w:pPr>
        <w:rPr>
          <w:szCs w:val="24"/>
        </w:rPr>
      </w:pPr>
      <w:r w:rsidRPr="00FF7CFE">
        <w:rPr>
          <w:b/>
          <w:szCs w:val="24"/>
        </w:rPr>
        <w:t>12-e</w:t>
      </w:r>
      <w:r w:rsidRPr="00FF7CFE">
        <w:rPr>
          <w:szCs w:val="24"/>
        </w:rPr>
        <w:t>. §101.1417</w:t>
      </w:r>
      <w:r w:rsidRPr="00FF7CFE" w:rsidR="00A8327F">
        <w:rPr>
          <w:szCs w:val="24"/>
        </w:rPr>
        <w:t>.</w:t>
      </w:r>
      <w:r w:rsidRPr="00FF7CFE">
        <w:rPr>
          <w:szCs w:val="24"/>
        </w:rPr>
        <w:t xml:space="preserve"> </w:t>
      </w:r>
    </w:p>
    <w:p w:rsidR="00A8327F" w:rsidRPr="00FF7CFE" w:rsidP="00A8327F" w14:paraId="6220C625" w14:textId="77777777">
      <w:pPr>
        <w:rPr>
          <w:szCs w:val="24"/>
        </w:rPr>
      </w:pPr>
    </w:p>
    <w:p w:rsidR="00A8327F" w:rsidRPr="00FF7CFE" w:rsidP="00A8327F" w14:paraId="1E5E5BC0" w14:textId="77777777">
      <w:pPr>
        <w:rPr>
          <w:b/>
          <w:szCs w:val="24"/>
        </w:rPr>
      </w:pPr>
      <w:r w:rsidRPr="00FF7CFE">
        <w:rPr>
          <w:b/>
          <w:szCs w:val="24"/>
        </w:rPr>
        <w:t>Annual Burden:</w:t>
      </w:r>
      <w:r w:rsidRPr="00FF7CFE" w:rsidR="00DE06BF">
        <w:rPr>
          <w:b/>
          <w:szCs w:val="24"/>
        </w:rPr>
        <w:t xml:space="preserve"> </w:t>
      </w:r>
      <w:r w:rsidRPr="00FF7CFE" w:rsidR="006931E0">
        <w:rPr>
          <w:b/>
          <w:szCs w:val="24"/>
        </w:rPr>
        <w:t xml:space="preserve">10 </w:t>
      </w:r>
      <w:r w:rsidRPr="00FF7CFE">
        <w:rPr>
          <w:b/>
          <w:szCs w:val="24"/>
        </w:rPr>
        <w:t>respondents x 1 response each x 1 hour = 1</w:t>
      </w:r>
      <w:r w:rsidRPr="00FF7CFE" w:rsidR="006931E0">
        <w:rPr>
          <w:b/>
          <w:szCs w:val="24"/>
        </w:rPr>
        <w:t>0</w:t>
      </w:r>
      <w:r w:rsidRPr="00FF7CFE">
        <w:rPr>
          <w:b/>
          <w:szCs w:val="24"/>
        </w:rPr>
        <w:t xml:space="preserve"> hours.</w:t>
      </w:r>
    </w:p>
    <w:p w:rsidR="00A8327F" w:rsidRPr="00FF7CFE" w:rsidP="00A8327F" w14:paraId="24F29437" w14:textId="77777777">
      <w:pPr>
        <w:rPr>
          <w:b/>
          <w:szCs w:val="24"/>
        </w:rPr>
      </w:pPr>
    </w:p>
    <w:p w:rsidR="00A8327F" w:rsidRPr="00FF7CFE" w:rsidP="00A8327F" w14:paraId="092CD60E" w14:textId="77777777">
      <w:pPr>
        <w:rPr>
          <w:b/>
          <w:szCs w:val="24"/>
        </w:rPr>
      </w:pPr>
      <w:r w:rsidRPr="00FF7CFE">
        <w:rPr>
          <w:b/>
          <w:szCs w:val="24"/>
        </w:rPr>
        <w:t>In-house Staff Cost:</w:t>
      </w:r>
      <w:r w:rsidRPr="00FF7CFE">
        <w:rPr>
          <w:b/>
          <w:szCs w:val="24"/>
        </w:rPr>
        <w:tab/>
        <w:t>(1</w:t>
      </w:r>
      <w:r w:rsidRPr="00FF7CFE" w:rsidR="006931E0">
        <w:rPr>
          <w:b/>
          <w:szCs w:val="24"/>
        </w:rPr>
        <w:t>0</w:t>
      </w:r>
      <w:r w:rsidRPr="00FF7CFE">
        <w:rPr>
          <w:b/>
          <w:szCs w:val="24"/>
        </w:rPr>
        <w:t xml:space="preserve"> respondents x 1 response each x 1 hour) x $</w:t>
      </w:r>
      <w:r w:rsidRPr="00FF7CFE" w:rsidR="00902AB6">
        <w:rPr>
          <w:b/>
          <w:szCs w:val="24"/>
        </w:rPr>
        <w:t>48.</w:t>
      </w:r>
      <w:r w:rsidR="00C15EE8">
        <w:rPr>
          <w:b/>
          <w:szCs w:val="24"/>
        </w:rPr>
        <w:t>65</w:t>
      </w:r>
      <w:r w:rsidRPr="00FF7CFE">
        <w:rPr>
          <w:b/>
          <w:szCs w:val="24"/>
        </w:rPr>
        <w:t xml:space="preserve"> per hour (Management Analysis) = $</w:t>
      </w:r>
      <w:r w:rsidRPr="00FF7CFE" w:rsidR="00902AB6">
        <w:rPr>
          <w:b/>
          <w:szCs w:val="24"/>
        </w:rPr>
        <w:t>48</w:t>
      </w:r>
      <w:r w:rsidR="00C15EE8">
        <w:rPr>
          <w:b/>
          <w:szCs w:val="24"/>
        </w:rPr>
        <w:t>6.50</w:t>
      </w:r>
      <w:r w:rsidRPr="00FF7CFE">
        <w:rPr>
          <w:b/>
          <w:szCs w:val="24"/>
        </w:rPr>
        <w:t>.</w:t>
      </w:r>
    </w:p>
    <w:p w:rsidR="008620AE" w:rsidRPr="00FF7CFE" w:rsidP="00A8327F" w14:paraId="181C82EC" w14:textId="77777777">
      <w:pPr>
        <w:rPr>
          <w:b/>
          <w:szCs w:val="24"/>
        </w:rPr>
      </w:pPr>
    </w:p>
    <w:p w:rsidR="008620AE" w:rsidRPr="00FF7CFE" w:rsidP="00A8327F" w14:paraId="18D7552E" w14:textId="77777777">
      <w:pPr>
        <w:rPr>
          <w:b/>
          <w:szCs w:val="24"/>
        </w:rPr>
      </w:pPr>
      <w:r w:rsidRPr="00FF7CFE">
        <w:rPr>
          <w:b/>
          <w:szCs w:val="24"/>
        </w:rPr>
        <w:t>12-f.</w:t>
      </w:r>
      <w:r w:rsidRPr="00FF7CFE">
        <w:rPr>
          <w:b/>
          <w:szCs w:val="24"/>
        </w:rPr>
        <w:tab/>
      </w:r>
      <w:r w:rsidRPr="00FF7CFE">
        <w:rPr>
          <w:szCs w:val="24"/>
        </w:rPr>
        <w:t>§</w:t>
      </w:r>
      <w:r w:rsidRPr="00FF7CFE" w:rsidR="00D25004">
        <w:rPr>
          <w:szCs w:val="24"/>
        </w:rPr>
        <w:t xml:space="preserve"> </w:t>
      </w:r>
      <w:r w:rsidRPr="00FF7CFE">
        <w:rPr>
          <w:szCs w:val="24"/>
        </w:rPr>
        <w:t>25.13</w:t>
      </w:r>
      <w:r w:rsidRPr="00FF7CFE" w:rsidR="00D21565">
        <w:rPr>
          <w:szCs w:val="24"/>
        </w:rPr>
        <w:t>9</w:t>
      </w:r>
      <w:r w:rsidRPr="00FF7CFE">
        <w:rPr>
          <w:szCs w:val="24"/>
        </w:rPr>
        <w:t>.</w:t>
      </w:r>
    </w:p>
    <w:p w:rsidR="0060410F" w:rsidRPr="00FF7CFE" w:rsidP="00A8327F" w14:paraId="17EB7717" w14:textId="77777777">
      <w:pPr>
        <w:rPr>
          <w:b/>
          <w:szCs w:val="24"/>
        </w:rPr>
      </w:pPr>
    </w:p>
    <w:p w:rsidR="00D25004" w:rsidRPr="00FF7CFE" w:rsidP="00D25004" w14:paraId="3F447BBB" w14:textId="77777777">
      <w:pPr>
        <w:rPr>
          <w:b/>
          <w:szCs w:val="24"/>
        </w:rPr>
      </w:pPr>
      <w:r w:rsidRPr="00FF7CFE">
        <w:rPr>
          <w:szCs w:val="24"/>
        </w:rPr>
        <w:t>In 2000-2002, the FCC authorized six NGSO FSS operators in the 12.2-12.7 GHz band but all of these authorizations were later surrendered or terminated.  During the past three years, however, the FCC authorized five new NGSO FSS operators in the 12.2-12.7 GHz band and one application is pending.  In an abundance of caution and without prejudice to the outcome of the pending application, we estimate six NGSO FSS respondents.</w:t>
      </w:r>
      <w:r w:rsidRPr="00FF7CFE">
        <w:rPr>
          <w:b/>
          <w:szCs w:val="24"/>
        </w:rPr>
        <w:t xml:space="preserve">  </w:t>
      </w:r>
    </w:p>
    <w:p w:rsidR="00D25004" w:rsidRPr="00FF7CFE" w:rsidP="00D25004" w14:paraId="414B8E9F" w14:textId="77777777">
      <w:pPr>
        <w:rPr>
          <w:szCs w:val="24"/>
        </w:rPr>
      </w:pPr>
    </w:p>
    <w:p w:rsidR="0017036C" w:rsidRPr="00FF7CFE" w:rsidP="0017036C" w14:paraId="0AAB53DD" w14:textId="77777777">
      <w:pPr>
        <w:rPr>
          <w:noProof/>
          <w:szCs w:val="24"/>
        </w:rPr>
      </w:pPr>
      <w:r w:rsidRPr="00FF7CFE">
        <w:rPr>
          <w:i/>
          <w:szCs w:val="24"/>
        </w:rPr>
        <w:t>Recordkeeping</w:t>
      </w:r>
      <w:r w:rsidRPr="00FF7CFE">
        <w:rPr>
          <w:szCs w:val="24"/>
        </w:rPr>
        <w:t xml:space="preserve">:  </w:t>
      </w:r>
      <w:r w:rsidRPr="00FF7CFE">
        <w:rPr>
          <w:szCs w:val="24"/>
        </w:rPr>
        <w:t>S</w:t>
      </w:r>
      <w:r w:rsidRPr="00FF7CFE">
        <w:rPr>
          <w:szCs w:val="24"/>
        </w:rPr>
        <w:t xml:space="preserve">ix </w:t>
      </w:r>
      <w:r w:rsidRPr="00FF7CFE">
        <w:rPr>
          <w:noProof/>
          <w:szCs w:val="24"/>
        </w:rPr>
        <w:t xml:space="preserve">NGSO FSS licensees must maintain a database in a format that can be readily shared with MVDDS licensees for the purpose of determining compliance with the MVDDS transmitting antenna spacing requirement relating to qualifying NGSO FSS subscriber receivers (as defined in section 101.129).  For each qualifying receiver, an NGSO FSS respondent will enter location and any other data sufficient to meet the third-party disclosure requirement discussed below.  </w:t>
      </w:r>
      <w:r w:rsidRPr="00FF7CFE" w:rsidR="00CE39CD">
        <w:rPr>
          <w:noProof/>
          <w:szCs w:val="24"/>
        </w:rPr>
        <w:t xml:space="preserve">NGSO FSS operators often obtain blanket authorizations </w:t>
      </w:r>
      <w:r w:rsidRPr="00FF7CFE" w:rsidR="0088640D">
        <w:rPr>
          <w:noProof/>
          <w:szCs w:val="24"/>
        </w:rPr>
        <w:t xml:space="preserve">for up to 1 million subscriber earth stations but estimating the number of qualified fixed subscriber earth stations that will be placed in operation over the next three years that NGSO FSS operators will </w:t>
      </w:r>
      <w:r w:rsidRPr="00FF7CFE" w:rsidR="009954DB">
        <w:rPr>
          <w:noProof/>
          <w:szCs w:val="24"/>
        </w:rPr>
        <w:t xml:space="preserve">deem necessary to </w:t>
      </w:r>
      <w:r w:rsidRPr="00FF7CFE" w:rsidR="0088640D">
        <w:rPr>
          <w:noProof/>
          <w:szCs w:val="24"/>
        </w:rPr>
        <w:t>enter into a database</w:t>
      </w:r>
      <w:r w:rsidRPr="00FF7CFE" w:rsidR="009954DB">
        <w:rPr>
          <w:noProof/>
          <w:szCs w:val="24"/>
        </w:rPr>
        <w:t xml:space="preserve">, e.g., an Excel file, </w:t>
      </w:r>
      <w:r w:rsidRPr="00FF7CFE" w:rsidR="0088640D">
        <w:rPr>
          <w:noProof/>
          <w:szCs w:val="24"/>
        </w:rPr>
        <w:t>to share with MVDDS licensees under § 25.</w:t>
      </w:r>
      <w:r w:rsidRPr="00FF7CFE" w:rsidR="009954DB">
        <w:rPr>
          <w:noProof/>
          <w:szCs w:val="24"/>
        </w:rPr>
        <w:t xml:space="preserve">139 is </w:t>
      </w:r>
      <w:r w:rsidRPr="00FF7CFE" w:rsidR="0088640D">
        <w:rPr>
          <w:noProof/>
          <w:szCs w:val="24"/>
        </w:rPr>
        <w:t>uncertain.</w:t>
      </w:r>
      <w:r w:rsidRPr="00FF7CFE" w:rsidR="009954DB">
        <w:rPr>
          <w:noProof/>
          <w:szCs w:val="24"/>
        </w:rPr>
        <w:t xml:space="preserve">  For purposes of this submission, we </w:t>
      </w:r>
      <w:r w:rsidRPr="00FF7CFE">
        <w:rPr>
          <w:noProof/>
          <w:szCs w:val="24"/>
        </w:rPr>
        <w:t xml:space="preserve">estimate </w:t>
      </w:r>
      <w:r w:rsidRPr="00FF7CFE" w:rsidR="009954DB">
        <w:rPr>
          <w:noProof/>
          <w:szCs w:val="24"/>
        </w:rPr>
        <w:t xml:space="preserve">that each NGSO FSS respondent will enter an </w:t>
      </w:r>
      <w:r w:rsidRPr="00FF7CFE">
        <w:rPr>
          <w:noProof/>
          <w:szCs w:val="24"/>
        </w:rPr>
        <w:t xml:space="preserve">annual </w:t>
      </w:r>
      <w:r w:rsidRPr="00FF7CFE" w:rsidR="009954DB">
        <w:rPr>
          <w:noProof/>
          <w:szCs w:val="24"/>
        </w:rPr>
        <w:t>average of</w:t>
      </w:r>
      <w:r w:rsidRPr="00FF7CFE">
        <w:rPr>
          <w:noProof/>
          <w:szCs w:val="24"/>
        </w:rPr>
        <w:t xml:space="preserve"> 2000 </w:t>
      </w:r>
      <w:r w:rsidRPr="00FF7CFE" w:rsidR="009954DB">
        <w:rPr>
          <w:noProof/>
          <w:szCs w:val="24"/>
        </w:rPr>
        <w:t xml:space="preserve">fixed subscriber earth stations into a database.  </w:t>
      </w:r>
    </w:p>
    <w:p w:rsidR="00D25004" w:rsidRPr="00FF7CFE" w:rsidP="00D25004" w14:paraId="69BD008D" w14:textId="77777777">
      <w:pPr>
        <w:ind w:left="720"/>
        <w:rPr>
          <w:szCs w:val="24"/>
        </w:rPr>
      </w:pPr>
    </w:p>
    <w:p w:rsidR="00D96744" w:rsidRPr="00FF7CFE" w:rsidP="00D96744" w14:paraId="12CB1511" w14:textId="77777777">
      <w:pPr>
        <w:rPr>
          <w:b/>
          <w:szCs w:val="24"/>
        </w:rPr>
      </w:pPr>
      <w:bookmarkStart w:id="4" w:name="_Hlk12878794"/>
      <w:r w:rsidRPr="00FF7CFE">
        <w:rPr>
          <w:b/>
          <w:szCs w:val="24"/>
        </w:rPr>
        <w:t>Annual Burden:</w:t>
      </w:r>
      <w:r w:rsidRPr="00FF7CFE" w:rsidR="00DE06BF">
        <w:rPr>
          <w:b/>
          <w:szCs w:val="24"/>
        </w:rPr>
        <w:t xml:space="preserve"> </w:t>
      </w:r>
      <w:r w:rsidRPr="00FF7CFE">
        <w:rPr>
          <w:szCs w:val="24"/>
        </w:rPr>
        <w:t>6 respondents x</w:t>
      </w:r>
      <w:r w:rsidRPr="00FF7CFE">
        <w:rPr>
          <w:b/>
          <w:szCs w:val="24"/>
        </w:rPr>
        <w:t xml:space="preserve"> </w:t>
      </w:r>
      <w:r w:rsidRPr="00FF7CFE">
        <w:rPr>
          <w:noProof/>
          <w:szCs w:val="24"/>
        </w:rPr>
        <w:t>2</w:t>
      </w:r>
      <w:r w:rsidRPr="00FF7CFE" w:rsidR="00B104AC">
        <w:rPr>
          <w:noProof/>
          <w:szCs w:val="24"/>
        </w:rPr>
        <w:t>,</w:t>
      </w:r>
      <w:r w:rsidRPr="00FF7CFE">
        <w:rPr>
          <w:noProof/>
          <w:szCs w:val="24"/>
        </w:rPr>
        <w:t xml:space="preserve">000 data entries </w:t>
      </w:r>
      <w:r w:rsidRPr="00FF7CFE">
        <w:rPr>
          <w:b/>
          <w:szCs w:val="24"/>
        </w:rPr>
        <w:t xml:space="preserve">x </w:t>
      </w:r>
      <w:r w:rsidRPr="00FF7CFE" w:rsidR="00B104AC">
        <w:rPr>
          <w:b/>
          <w:szCs w:val="24"/>
        </w:rPr>
        <w:t>.</w:t>
      </w:r>
      <w:r w:rsidRPr="00FF7CFE" w:rsidR="00A6507D">
        <w:rPr>
          <w:noProof/>
          <w:szCs w:val="24"/>
        </w:rPr>
        <w:t xml:space="preserve">25 minutes per entry </w:t>
      </w:r>
      <w:r w:rsidRPr="00FF7CFE">
        <w:rPr>
          <w:b/>
          <w:szCs w:val="24"/>
        </w:rPr>
        <w:t xml:space="preserve">= </w:t>
      </w:r>
      <w:r w:rsidRPr="00FF7CFE" w:rsidR="00A6507D">
        <w:rPr>
          <w:b/>
          <w:szCs w:val="24"/>
        </w:rPr>
        <w:t xml:space="preserve">3,000 </w:t>
      </w:r>
      <w:r w:rsidRPr="00FF7CFE">
        <w:rPr>
          <w:b/>
          <w:szCs w:val="24"/>
        </w:rPr>
        <w:t>hours.</w:t>
      </w:r>
    </w:p>
    <w:p w:rsidR="00D96744" w:rsidRPr="00FF7CFE" w:rsidP="00D96744" w14:paraId="13F3D99C" w14:textId="77777777">
      <w:pPr>
        <w:rPr>
          <w:b/>
          <w:szCs w:val="24"/>
        </w:rPr>
      </w:pPr>
    </w:p>
    <w:p w:rsidR="00D96744" w:rsidRPr="00FF7CFE" w:rsidP="00D96744" w14:paraId="0CF00480" w14:textId="77777777">
      <w:pPr>
        <w:rPr>
          <w:b/>
          <w:szCs w:val="24"/>
        </w:rPr>
      </w:pPr>
      <w:r w:rsidRPr="00FF7CFE">
        <w:rPr>
          <w:b/>
          <w:szCs w:val="24"/>
        </w:rPr>
        <w:t>In-house Staff Cost:</w:t>
      </w:r>
      <w:r w:rsidRPr="00FF7CFE">
        <w:rPr>
          <w:b/>
          <w:szCs w:val="24"/>
        </w:rPr>
        <w:tab/>
        <w:t>(</w:t>
      </w:r>
      <w:r w:rsidRPr="00FF7CFE" w:rsidR="00A6507D">
        <w:rPr>
          <w:szCs w:val="24"/>
        </w:rPr>
        <w:t>6</w:t>
      </w:r>
      <w:r w:rsidRPr="00FF7CFE">
        <w:rPr>
          <w:szCs w:val="24"/>
        </w:rPr>
        <w:t xml:space="preserve"> respondents x </w:t>
      </w:r>
      <w:r w:rsidRPr="00FF7CFE" w:rsidR="00A6507D">
        <w:rPr>
          <w:noProof/>
          <w:szCs w:val="24"/>
        </w:rPr>
        <w:t>2</w:t>
      </w:r>
      <w:r w:rsidRPr="00FF7CFE" w:rsidR="000228CF">
        <w:rPr>
          <w:noProof/>
          <w:szCs w:val="24"/>
        </w:rPr>
        <w:t>,</w:t>
      </w:r>
      <w:r w:rsidRPr="00FF7CFE" w:rsidR="00A6507D">
        <w:rPr>
          <w:noProof/>
          <w:szCs w:val="24"/>
        </w:rPr>
        <w:t xml:space="preserve">000 data entries </w:t>
      </w:r>
      <w:r w:rsidRPr="00FF7CFE" w:rsidR="00A6507D">
        <w:rPr>
          <w:szCs w:val="24"/>
        </w:rPr>
        <w:t xml:space="preserve">x </w:t>
      </w:r>
      <w:r w:rsidRPr="00FF7CFE" w:rsidR="00B104AC">
        <w:rPr>
          <w:szCs w:val="24"/>
        </w:rPr>
        <w:t>.</w:t>
      </w:r>
      <w:r w:rsidRPr="00FF7CFE" w:rsidR="00A6507D">
        <w:rPr>
          <w:noProof/>
          <w:szCs w:val="24"/>
        </w:rPr>
        <w:t>25 minutes per entry</w:t>
      </w:r>
      <w:r w:rsidRPr="00FF7CFE">
        <w:rPr>
          <w:szCs w:val="24"/>
        </w:rPr>
        <w:t>) x $</w:t>
      </w:r>
      <w:r w:rsidR="00905556">
        <w:rPr>
          <w:szCs w:val="24"/>
        </w:rPr>
        <w:t>19.94</w:t>
      </w:r>
      <w:r w:rsidRPr="00FF7CFE">
        <w:rPr>
          <w:szCs w:val="24"/>
        </w:rPr>
        <w:t xml:space="preserve"> per hour (</w:t>
      </w:r>
      <w:r w:rsidRPr="00FF7CFE" w:rsidR="00A6507D">
        <w:rPr>
          <w:szCs w:val="24"/>
        </w:rPr>
        <w:t>Data Entry</w:t>
      </w:r>
      <w:r w:rsidRPr="00FF7CFE">
        <w:rPr>
          <w:szCs w:val="24"/>
        </w:rPr>
        <w:t>)</w:t>
      </w:r>
      <w:r>
        <w:rPr>
          <w:rStyle w:val="FootnoteReference"/>
          <w:szCs w:val="24"/>
        </w:rPr>
        <w:footnoteReference w:id="7"/>
      </w:r>
      <w:r w:rsidRPr="00FF7CFE">
        <w:rPr>
          <w:b/>
          <w:szCs w:val="24"/>
        </w:rPr>
        <w:t xml:space="preserve"> = $</w:t>
      </w:r>
      <w:r w:rsidRPr="00FF7CFE" w:rsidR="00F23603">
        <w:rPr>
          <w:b/>
          <w:szCs w:val="24"/>
        </w:rPr>
        <w:t>5</w:t>
      </w:r>
      <w:r w:rsidR="00905556">
        <w:rPr>
          <w:b/>
          <w:szCs w:val="24"/>
        </w:rPr>
        <w:t>9,820</w:t>
      </w:r>
      <w:r w:rsidRPr="00FF7CFE">
        <w:rPr>
          <w:b/>
          <w:szCs w:val="24"/>
        </w:rPr>
        <w:t>.</w:t>
      </w:r>
    </w:p>
    <w:bookmarkEnd w:id="4"/>
    <w:p w:rsidR="00D96744" w:rsidRPr="00FF7CFE" w:rsidP="00CE39CD" w14:paraId="6EE95945" w14:textId="77777777">
      <w:pPr>
        <w:rPr>
          <w:i/>
          <w:szCs w:val="24"/>
        </w:rPr>
      </w:pPr>
    </w:p>
    <w:p w:rsidR="00D25004" w:rsidRPr="00FF7CFE" w:rsidP="00D931E7" w14:paraId="0912A3CE" w14:textId="77777777">
      <w:pPr>
        <w:rPr>
          <w:szCs w:val="24"/>
        </w:rPr>
      </w:pPr>
      <w:r w:rsidRPr="00FF7CFE">
        <w:rPr>
          <w:i/>
          <w:szCs w:val="24"/>
        </w:rPr>
        <w:t>Third party disclosures</w:t>
      </w:r>
      <w:r w:rsidRPr="00FF7CFE">
        <w:rPr>
          <w:szCs w:val="24"/>
        </w:rPr>
        <w:t xml:space="preserve">:  on occasion, </w:t>
      </w:r>
      <w:r w:rsidRPr="00FF7CFE" w:rsidR="009954DB">
        <w:rPr>
          <w:szCs w:val="24"/>
        </w:rPr>
        <w:t xml:space="preserve">we estimate that up to </w:t>
      </w:r>
      <w:r w:rsidRPr="00FF7CFE">
        <w:rPr>
          <w:szCs w:val="24"/>
        </w:rPr>
        <w:t xml:space="preserve">6 </w:t>
      </w:r>
      <w:r w:rsidRPr="00FF7CFE" w:rsidR="009954DB">
        <w:rPr>
          <w:szCs w:val="24"/>
        </w:rPr>
        <w:t xml:space="preserve">NSSO FSS </w:t>
      </w:r>
      <w:r w:rsidRPr="00FF7CFE">
        <w:rPr>
          <w:szCs w:val="24"/>
        </w:rPr>
        <w:t>respondents will disclose earth station data to an MVDDS licensee</w:t>
      </w:r>
      <w:r w:rsidRPr="00FF7CFE" w:rsidR="009954DB">
        <w:rPr>
          <w:szCs w:val="24"/>
        </w:rPr>
        <w:t xml:space="preserve"> an average of </w:t>
      </w:r>
      <w:r w:rsidRPr="00FF7CFE" w:rsidR="0017036C">
        <w:rPr>
          <w:szCs w:val="24"/>
        </w:rPr>
        <w:t>200</w:t>
      </w:r>
      <w:r w:rsidRPr="00FF7CFE" w:rsidR="009954DB">
        <w:rPr>
          <w:szCs w:val="24"/>
        </w:rPr>
        <w:t xml:space="preserve"> times annually.  </w:t>
      </w:r>
    </w:p>
    <w:p w:rsidR="00A6507D" w:rsidRPr="00FF7CFE" w:rsidP="00A6507D" w14:paraId="2B22D381" w14:textId="77777777">
      <w:pPr>
        <w:rPr>
          <w:b/>
          <w:szCs w:val="24"/>
        </w:rPr>
      </w:pPr>
      <w:r w:rsidRPr="00FF7CFE">
        <w:rPr>
          <w:noProof/>
          <w:szCs w:val="24"/>
        </w:rPr>
        <w:tab/>
      </w:r>
    </w:p>
    <w:p w:rsidR="00A6507D" w:rsidRPr="00FF7CFE" w:rsidP="00A6507D" w14:paraId="7218C225" w14:textId="77777777">
      <w:pPr>
        <w:rPr>
          <w:b/>
          <w:szCs w:val="24"/>
        </w:rPr>
      </w:pPr>
      <w:r w:rsidRPr="00FF7CFE">
        <w:rPr>
          <w:b/>
          <w:szCs w:val="24"/>
        </w:rPr>
        <w:t>Annual Burden:</w:t>
      </w:r>
      <w:r w:rsidRPr="00FF7CFE" w:rsidR="00736BCB">
        <w:rPr>
          <w:b/>
          <w:szCs w:val="24"/>
        </w:rPr>
        <w:t xml:space="preserve">  </w:t>
      </w:r>
      <w:r w:rsidRPr="00FF7CFE">
        <w:rPr>
          <w:szCs w:val="24"/>
        </w:rPr>
        <w:t>6 respondents x</w:t>
      </w:r>
      <w:r w:rsidRPr="00FF7CFE">
        <w:rPr>
          <w:b/>
          <w:szCs w:val="24"/>
        </w:rPr>
        <w:t xml:space="preserve"> </w:t>
      </w:r>
      <w:r w:rsidRPr="00FF7CFE">
        <w:rPr>
          <w:noProof/>
          <w:szCs w:val="24"/>
        </w:rPr>
        <w:t>200 disclosures</w:t>
      </w:r>
      <w:r w:rsidRPr="000F57F1">
        <w:rPr>
          <w:bCs/>
          <w:noProof/>
          <w:szCs w:val="24"/>
        </w:rPr>
        <w:t xml:space="preserve"> </w:t>
      </w:r>
      <w:r w:rsidRPr="000F57F1">
        <w:rPr>
          <w:bCs/>
          <w:szCs w:val="24"/>
        </w:rPr>
        <w:t>x</w:t>
      </w:r>
      <w:r w:rsidRPr="00FF7CFE">
        <w:rPr>
          <w:b/>
          <w:szCs w:val="24"/>
        </w:rPr>
        <w:t xml:space="preserve"> </w:t>
      </w:r>
      <w:r w:rsidRPr="00FF7CFE">
        <w:rPr>
          <w:noProof/>
          <w:szCs w:val="24"/>
        </w:rPr>
        <w:t xml:space="preserve">25 minutes per entry </w:t>
      </w:r>
      <w:r w:rsidRPr="00FF7CFE">
        <w:rPr>
          <w:b/>
          <w:szCs w:val="24"/>
        </w:rPr>
        <w:t>= 300 hours.</w:t>
      </w:r>
    </w:p>
    <w:p w:rsidR="00A6507D" w:rsidRPr="00FF7CFE" w:rsidP="00A6507D" w14:paraId="3ADCEDD1" w14:textId="77777777">
      <w:pPr>
        <w:rPr>
          <w:b/>
          <w:szCs w:val="24"/>
        </w:rPr>
      </w:pPr>
    </w:p>
    <w:p w:rsidR="00A6507D" w:rsidRPr="00FF7CFE" w:rsidP="00A6507D" w14:paraId="489C45D0" w14:textId="77777777">
      <w:pPr>
        <w:rPr>
          <w:b/>
          <w:szCs w:val="24"/>
        </w:rPr>
      </w:pPr>
      <w:r w:rsidRPr="00FF7CFE">
        <w:rPr>
          <w:b/>
          <w:szCs w:val="24"/>
        </w:rPr>
        <w:t>In-house Staff Cost:</w:t>
      </w:r>
      <w:r w:rsidRPr="00FF7CFE">
        <w:rPr>
          <w:b/>
          <w:szCs w:val="24"/>
        </w:rPr>
        <w:tab/>
        <w:t>(</w:t>
      </w:r>
      <w:r w:rsidRPr="00FF7CFE">
        <w:rPr>
          <w:szCs w:val="24"/>
        </w:rPr>
        <w:t>6 respondents</w:t>
      </w:r>
      <w:r w:rsidRPr="00FF7CFE">
        <w:rPr>
          <w:b/>
          <w:szCs w:val="24"/>
        </w:rPr>
        <w:t xml:space="preserve"> </w:t>
      </w:r>
      <w:r w:rsidRPr="000F57F1">
        <w:rPr>
          <w:bCs/>
          <w:szCs w:val="24"/>
        </w:rPr>
        <w:t>x</w:t>
      </w:r>
      <w:r w:rsidRPr="00FF7CFE">
        <w:rPr>
          <w:b/>
          <w:szCs w:val="24"/>
        </w:rPr>
        <w:t xml:space="preserve"> </w:t>
      </w:r>
      <w:r w:rsidRPr="00FF7CFE">
        <w:rPr>
          <w:noProof/>
          <w:szCs w:val="24"/>
        </w:rPr>
        <w:t xml:space="preserve">200 disclosures </w:t>
      </w:r>
      <w:r w:rsidRPr="000F57F1">
        <w:rPr>
          <w:bCs/>
          <w:szCs w:val="24"/>
        </w:rPr>
        <w:t>x</w:t>
      </w:r>
      <w:r w:rsidRPr="00FF7CFE">
        <w:rPr>
          <w:b/>
          <w:szCs w:val="24"/>
        </w:rPr>
        <w:t xml:space="preserve"> </w:t>
      </w:r>
      <w:r w:rsidRPr="00FF7CFE" w:rsidR="000228CF">
        <w:rPr>
          <w:noProof/>
          <w:szCs w:val="24"/>
        </w:rPr>
        <w:t>.2</w:t>
      </w:r>
      <w:r w:rsidRPr="00FF7CFE">
        <w:rPr>
          <w:noProof/>
          <w:szCs w:val="24"/>
        </w:rPr>
        <w:t>5 minutes per entry</w:t>
      </w:r>
      <w:r w:rsidRPr="00FF7CFE">
        <w:rPr>
          <w:szCs w:val="24"/>
        </w:rPr>
        <w:t>) x $</w:t>
      </w:r>
      <w:r w:rsidR="00584B30">
        <w:rPr>
          <w:szCs w:val="24"/>
        </w:rPr>
        <w:t>61.34</w:t>
      </w:r>
      <w:r w:rsidRPr="00FF7CFE">
        <w:rPr>
          <w:szCs w:val="24"/>
        </w:rPr>
        <w:t xml:space="preserve"> per hour (Electronic Engineer)</w:t>
      </w:r>
      <w:r>
        <w:rPr>
          <w:rStyle w:val="FootnoteReference"/>
          <w:szCs w:val="24"/>
        </w:rPr>
        <w:footnoteReference w:id="8"/>
      </w:r>
      <w:r w:rsidRPr="00FF7CFE">
        <w:rPr>
          <w:b/>
          <w:szCs w:val="24"/>
        </w:rPr>
        <w:t xml:space="preserve"> = $</w:t>
      </w:r>
      <w:r w:rsidR="00584B30">
        <w:rPr>
          <w:b/>
          <w:szCs w:val="24"/>
        </w:rPr>
        <w:t>18,402</w:t>
      </w:r>
      <w:r w:rsidRPr="00FF7CFE" w:rsidR="00F23603">
        <w:rPr>
          <w:b/>
          <w:szCs w:val="24"/>
        </w:rPr>
        <w:t>.00</w:t>
      </w:r>
      <w:r w:rsidRPr="00FF7CFE">
        <w:rPr>
          <w:b/>
          <w:szCs w:val="24"/>
        </w:rPr>
        <w:t>.</w:t>
      </w:r>
    </w:p>
    <w:p w:rsidR="00736BCB" w:rsidRPr="00FF7CFE" w:rsidP="00114262" w14:paraId="2E2F2311" w14:textId="77777777">
      <w:pPr>
        <w:rPr>
          <w:b/>
          <w:szCs w:val="24"/>
        </w:rPr>
      </w:pPr>
    </w:p>
    <w:p w:rsidR="00114262" w:rsidRPr="00FF7CFE" w:rsidP="00114262" w14:paraId="6161093B" w14:textId="77777777">
      <w:pPr>
        <w:rPr>
          <w:b/>
          <w:szCs w:val="24"/>
        </w:rPr>
      </w:pPr>
      <w:r w:rsidRPr="00FF7CFE">
        <w:rPr>
          <w:b/>
          <w:szCs w:val="24"/>
        </w:rPr>
        <w:t>Total In-house Staff Cost: $</w:t>
      </w:r>
      <w:r w:rsidRPr="00FF7CFE" w:rsidR="00F23603">
        <w:rPr>
          <w:b/>
          <w:szCs w:val="24"/>
        </w:rPr>
        <w:t>5</w:t>
      </w:r>
      <w:r w:rsidR="00905556">
        <w:rPr>
          <w:b/>
          <w:szCs w:val="24"/>
        </w:rPr>
        <w:t>9.820</w:t>
      </w:r>
      <w:r w:rsidRPr="00FF7CFE" w:rsidR="00F23603">
        <w:rPr>
          <w:b/>
          <w:szCs w:val="24"/>
        </w:rPr>
        <w:t>.00</w:t>
      </w:r>
      <w:r w:rsidRPr="00FF7CFE">
        <w:rPr>
          <w:b/>
          <w:szCs w:val="24"/>
        </w:rPr>
        <w:t xml:space="preserve"> (Recordkeeping) + $</w:t>
      </w:r>
      <w:r w:rsidR="00584B30">
        <w:rPr>
          <w:b/>
          <w:szCs w:val="24"/>
        </w:rPr>
        <w:t>18,402</w:t>
      </w:r>
      <w:r w:rsidRPr="00FF7CFE" w:rsidR="00F23603">
        <w:rPr>
          <w:b/>
          <w:szCs w:val="24"/>
        </w:rPr>
        <w:t>.00</w:t>
      </w:r>
      <w:r w:rsidRPr="00FF7CFE">
        <w:rPr>
          <w:b/>
          <w:szCs w:val="24"/>
        </w:rPr>
        <w:t xml:space="preserve"> (Third-party disclosures) </w:t>
      </w:r>
      <w:r w:rsidRPr="00FF7CFE" w:rsidR="00736BCB">
        <w:rPr>
          <w:b/>
          <w:szCs w:val="24"/>
        </w:rPr>
        <w:t>= $</w:t>
      </w:r>
      <w:r w:rsidR="00584B30">
        <w:rPr>
          <w:b/>
          <w:szCs w:val="24"/>
        </w:rPr>
        <w:t>78.222</w:t>
      </w:r>
      <w:r w:rsidRPr="00FF7CFE" w:rsidR="00F23603">
        <w:rPr>
          <w:b/>
          <w:szCs w:val="24"/>
        </w:rPr>
        <w:t>.00</w:t>
      </w:r>
      <w:r w:rsidRPr="00FF7CFE" w:rsidR="00F933B8">
        <w:rPr>
          <w:b/>
          <w:szCs w:val="24"/>
        </w:rPr>
        <w:t>.</w:t>
      </w:r>
    </w:p>
    <w:p w:rsidR="00D25004" w:rsidRPr="00FF7CFE" w:rsidP="00A6507D" w14:paraId="62AC1644" w14:textId="77777777">
      <w:pPr>
        <w:rPr>
          <w:szCs w:val="24"/>
        </w:rPr>
      </w:pPr>
    </w:p>
    <w:p w:rsidR="0060410F" w:rsidRPr="00FF7CFE" w:rsidP="00A8327F" w14:paraId="7EDF15E0" w14:textId="77777777">
      <w:pPr>
        <w:rPr>
          <w:b/>
          <w:szCs w:val="24"/>
        </w:rPr>
      </w:pPr>
      <w:r w:rsidRPr="00FF7CFE">
        <w:rPr>
          <w:b/>
          <w:szCs w:val="24"/>
        </w:rPr>
        <w:t>TOTAL NUMBER OF RESPONDENTS:</w:t>
      </w:r>
      <w:r w:rsidRPr="00FF7CFE" w:rsidR="0077381D">
        <w:rPr>
          <w:b/>
          <w:szCs w:val="24"/>
        </w:rPr>
        <w:t xml:space="preserve"> </w:t>
      </w:r>
      <w:r w:rsidRPr="00FF7CFE" w:rsidR="00CF39A5">
        <w:rPr>
          <w:b/>
          <w:szCs w:val="24"/>
        </w:rPr>
        <w:t>10</w:t>
      </w:r>
      <w:r w:rsidRPr="00FF7CFE" w:rsidR="00ED680D">
        <w:rPr>
          <w:b/>
          <w:szCs w:val="24"/>
        </w:rPr>
        <w:t xml:space="preserve"> MVDDS </w:t>
      </w:r>
      <w:r w:rsidRPr="00FF7CFE" w:rsidR="00CF39A5">
        <w:rPr>
          <w:b/>
          <w:szCs w:val="24"/>
        </w:rPr>
        <w:t xml:space="preserve">+ 6 </w:t>
      </w:r>
      <w:r w:rsidRPr="00FF7CFE" w:rsidR="00ED680D">
        <w:rPr>
          <w:b/>
          <w:szCs w:val="24"/>
        </w:rPr>
        <w:t xml:space="preserve">NGSO FSS + 2 DBS </w:t>
      </w:r>
      <w:r w:rsidRPr="00FF7CFE" w:rsidR="00CF39A5">
        <w:rPr>
          <w:b/>
          <w:szCs w:val="24"/>
        </w:rPr>
        <w:t xml:space="preserve">= </w:t>
      </w:r>
      <w:r w:rsidRPr="00FF7CFE" w:rsidR="002D7A61">
        <w:rPr>
          <w:b/>
          <w:szCs w:val="24"/>
        </w:rPr>
        <w:t>1</w:t>
      </w:r>
      <w:r w:rsidRPr="00FF7CFE" w:rsidR="00A235AD">
        <w:rPr>
          <w:b/>
          <w:szCs w:val="24"/>
        </w:rPr>
        <w:t>8</w:t>
      </w:r>
      <w:r w:rsidRPr="00FF7CFE" w:rsidR="002D7A61">
        <w:rPr>
          <w:b/>
          <w:szCs w:val="24"/>
        </w:rPr>
        <w:t xml:space="preserve"> Licensees</w:t>
      </w:r>
      <w:r w:rsidRPr="00FF7CFE" w:rsidR="00854EB7">
        <w:rPr>
          <w:b/>
          <w:szCs w:val="24"/>
        </w:rPr>
        <w:t>.</w:t>
      </w:r>
    </w:p>
    <w:p w:rsidR="0060410F" w:rsidRPr="00FF7CFE" w:rsidP="00A8327F" w14:paraId="4F573726" w14:textId="77777777">
      <w:pPr>
        <w:rPr>
          <w:b/>
          <w:szCs w:val="24"/>
        </w:rPr>
      </w:pPr>
    </w:p>
    <w:p w:rsidR="0060410F" w:rsidRPr="00FF7CFE" w:rsidP="00A8327F" w14:paraId="5FEB818C" w14:textId="77777777">
      <w:pPr>
        <w:rPr>
          <w:b/>
          <w:szCs w:val="24"/>
        </w:rPr>
      </w:pPr>
      <w:r w:rsidRPr="00FF7CFE">
        <w:rPr>
          <w:b/>
          <w:szCs w:val="24"/>
        </w:rPr>
        <w:t xml:space="preserve">TOTAL NUMBER OF ANNUAL RESPONSES: </w:t>
      </w:r>
      <w:r w:rsidRPr="00FF7CFE" w:rsidR="00DE06BF">
        <w:rPr>
          <w:b/>
          <w:szCs w:val="24"/>
        </w:rPr>
        <w:t>1</w:t>
      </w:r>
      <w:r w:rsidRPr="00FF7CFE" w:rsidR="0077381D">
        <w:rPr>
          <w:b/>
          <w:szCs w:val="24"/>
        </w:rPr>
        <w:t xml:space="preserve"> + </w:t>
      </w:r>
      <w:r w:rsidRPr="00FF7CFE" w:rsidR="00DE06BF">
        <w:rPr>
          <w:b/>
          <w:szCs w:val="24"/>
        </w:rPr>
        <w:t>20</w:t>
      </w:r>
      <w:r w:rsidRPr="00FF7CFE" w:rsidR="0077381D">
        <w:rPr>
          <w:b/>
          <w:szCs w:val="24"/>
        </w:rPr>
        <w:t xml:space="preserve"> + </w:t>
      </w:r>
      <w:r w:rsidRPr="00FF7CFE" w:rsidR="00DE06BF">
        <w:rPr>
          <w:b/>
          <w:szCs w:val="24"/>
        </w:rPr>
        <w:t xml:space="preserve">8 </w:t>
      </w:r>
      <w:r w:rsidRPr="00FF7CFE" w:rsidR="0077381D">
        <w:rPr>
          <w:b/>
          <w:szCs w:val="24"/>
        </w:rPr>
        <w:t xml:space="preserve">+ </w:t>
      </w:r>
      <w:r w:rsidRPr="00FF7CFE" w:rsidR="00DE06BF">
        <w:rPr>
          <w:b/>
          <w:szCs w:val="24"/>
        </w:rPr>
        <w:t>4</w:t>
      </w:r>
      <w:r w:rsidRPr="00FF7CFE" w:rsidR="0077381D">
        <w:rPr>
          <w:b/>
          <w:szCs w:val="24"/>
        </w:rPr>
        <w:t xml:space="preserve"> </w:t>
      </w:r>
      <w:r w:rsidRPr="00FF7CFE" w:rsidR="00ED680D">
        <w:rPr>
          <w:b/>
          <w:szCs w:val="24"/>
        </w:rPr>
        <w:t>+</w:t>
      </w:r>
      <w:r w:rsidRPr="00FF7CFE" w:rsidR="00835FAF">
        <w:rPr>
          <w:b/>
          <w:szCs w:val="24"/>
        </w:rPr>
        <w:t xml:space="preserve"> </w:t>
      </w:r>
      <w:r w:rsidRPr="00FF7CFE" w:rsidR="00ED680D">
        <w:rPr>
          <w:b/>
          <w:szCs w:val="24"/>
        </w:rPr>
        <w:t xml:space="preserve">4 </w:t>
      </w:r>
      <w:r w:rsidRPr="00FF7CFE" w:rsidR="0077381D">
        <w:rPr>
          <w:b/>
          <w:szCs w:val="24"/>
        </w:rPr>
        <w:t xml:space="preserve">+ </w:t>
      </w:r>
      <w:r w:rsidRPr="00FF7CFE" w:rsidR="00A235AD">
        <w:rPr>
          <w:b/>
          <w:szCs w:val="24"/>
        </w:rPr>
        <w:t>1</w:t>
      </w:r>
      <w:r w:rsidRPr="00FF7CFE" w:rsidR="0077381D">
        <w:rPr>
          <w:b/>
          <w:szCs w:val="24"/>
        </w:rPr>
        <w:t xml:space="preserve"> </w:t>
      </w:r>
      <w:r w:rsidRPr="00FF7CFE" w:rsidR="00114262">
        <w:rPr>
          <w:b/>
          <w:szCs w:val="24"/>
        </w:rPr>
        <w:t>+</w:t>
      </w:r>
      <w:r w:rsidRPr="00FF7CFE" w:rsidR="00DE06BF">
        <w:rPr>
          <w:b/>
          <w:szCs w:val="24"/>
        </w:rPr>
        <w:t xml:space="preserve"> 2,200 </w:t>
      </w:r>
      <w:r w:rsidRPr="00FF7CFE" w:rsidR="0077381D">
        <w:rPr>
          <w:b/>
          <w:szCs w:val="24"/>
        </w:rPr>
        <w:t xml:space="preserve">= </w:t>
      </w:r>
      <w:r w:rsidRPr="00FF7CFE" w:rsidR="00DE06BF">
        <w:rPr>
          <w:b/>
          <w:szCs w:val="24"/>
        </w:rPr>
        <w:t>2,23</w:t>
      </w:r>
      <w:r w:rsidRPr="00FF7CFE" w:rsidR="00835FAF">
        <w:rPr>
          <w:b/>
          <w:szCs w:val="24"/>
        </w:rPr>
        <w:t>8</w:t>
      </w:r>
      <w:r w:rsidRPr="00FF7CFE" w:rsidR="00854EB7">
        <w:rPr>
          <w:b/>
          <w:szCs w:val="24"/>
        </w:rPr>
        <w:t>.</w:t>
      </w:r>
    </w:p>
    <w:p w:rsidR="0060410F" w:rsidRPr="00FF7CFE" w:rsidP="00A8327F" w14:paraId="68D5C268" w14:textId="77777777">
      <w:pPr>
        <w:rPr>
          <w:b/>
          <w:szCs w:val="24"/>
        </w:rPr>
      </w:pPr>
    </w:p>
    <w:p w:rsidR="0060410F" w:rsidRPr="00FF7CFE" w:rsidP="00A8327F" w14:paraId="6B8FF4DB" w14:textId="77777777">
      <w:pPr>
        <w:rPr>
          <w:b/>
          <w:szCs w:val="24"/>
        </w:rPr>
      </w:pPr>
      <w:r w:rsidRPr="00FF7CFE">
        <w:rPr>
          <w:b/>
          <w:szCs w:val="24"/>
        </w:rPr>
        <w:t xml:space="preserve">TOTAL ANNUAL BURDEN: 2 + </w:t>
      </w:r>
      <w:r w:rsidRPr="00FF7CFE" w:rsidR="00A235AD">
        <w:rPr>
          <w:b/>
          <w:szCs w:val="24"/>
        </w:rPr>
        <w:t>200</w:t>
      </w:r>
      <w:r w:rsidRPr="00FF7CFE">
        <w:rPr>
          <w:b/>
          <w:szCs w:val="24"/>
        </w:rPr>
        <w:t xml:space="preserve">+ </w:t>
      </w:r>
      <w:r w:rsidRPr="00FF7CFE" w:rsidR="00A235AD">
        <w:rPr>
          <w:b/>
          <w:szCs w:val="24"/>
        </w:rPr>
        <w:t xml:space="preserve">4 </w:t>
      </w:r>
      <w:r w:rsidRPr="00FF7CFE">
        <w:rPr>
          <w:b/>
          <w:szCs w:val="24"/>
        </w:rPr>
        <w:t xml:space="preserve">+ </w:t>
      </w:r>
      <w:r w:rsidRPr="00FF7CFE" w:rsidR="00A235AD">
        <w:rPr>
          <w:b/>
          <w:szCs w:val="24"/>
        </w:rPr>
        <w:t xml:space="preserve">1,800 </w:t>
      </w:r>
      <w:r w:rsidRPr="00FF7CFE">
        <w:rPr>
          <w:b/>
          <w:szCs w:val="24"/>
        </w:rPr>
        <w:t>+ 1</w:t>
      </w:r>
      <w:r w:rsidRPr="00FF7CFE" w:rsidR="00A235AD">
        <w:rPr>
          <w:b/>
          <w:szCs w:val="24"/>
        </w:rPr>
        <w:t>0</w:t>
      </w:r>
      <w:r w:rsidRPr="00FF7CFE" w:rsidR="008620AE">
        <w:rPr>
          <w:b/>
          <w:szCs w:val="24"/>
        </w:rPr>
        <w:t xml:space="preserve"> + </w:t>
      </w:r>
      <w:r w:rsidRPr="00FF7CFE" w:rsidR="00DE06BF">
        <w:rPr>
          <w:b/>
          <w:szCs w:val="24"/>
        </w:rPr>
        <w:t>3,300</w:t>
      </w:r>
      <w:r w:rsidRPr="00FF7CFE">
        <w:rPr>
          <w:b/>
          <w:szCs w:val="24"/>
        </w:rPr>
        <w:t xml:space="preserve"> = </w:t>
      </w:r>
      <w:r w:rsidRPr="00FF7CFE" w:rsidR="00693DCE">
        <w:rPr>
          <w:b/>
          <w:szCs w:val="24"/>
        </w:rPr>
        <w:t>5</w:t>
      </w:r>
      <w:r w:rsidRPr="00FF7CFE" w:rsidR="00A235AD">
        <w:rPr>
          <w:b/>
          <w:szCs w:val="24"/>
        </w:rPr>
        <w:t>,316</w:t>
      </w:r>
      <w:r w:rsidRPr="00FF7CFE">
        <w:rPr>
          <w:b/>
          <w:szCs w:val="24"/>
        </w:rPr>
        <w:t xml:space="preserve"> HOURS.</w:t>
      </w:r>
    </w:p>
    <w:p w:rsidR="0060410F" w:rsidRPr="00FF7CFE" w:rsidP="00A8327F" w14:paraId="0CB1770A" w14:textId="77777777">
      <w:pPr>
        <w:rPr>
          <w:b/>
          <w:szCs w:val="24"/>
        </w:rPr>
      </w:pPr>
    </w:p>
    <w:p w:rsidR="0060410F" w:rsidRPr="00FF7CFE" w:rsidP="00A8327F" w14:paraId="0F306951" w14:textId="77777777">
      <w:pPr>
        <w:rPr>
          <w:b/>
          <w:szCs w:val="24"/>
        </w:rPr>
      </w:pPr>
      <w:r w:rsidRPr="00FF7CFE">
        <w:rPr>
          <w:b/>
          <w:szCs w:val="24"/>
        </w:rPr>
        <w:t xml:space="preserve">IN-HOUSE STAFF COST: </w:t>
      </w:r>
      <w:r w:rsidRPr="00FF7CFE" w:rsidR="0077381D">
        <w:rPr>
          <w:b/>
          <w:szCs w:val="24"/>
        </w:rPr>
        <w:t>$</w:t>
      </w:r>
      <w:r w:rsidR="00584B30">
        <w:rPr>
          <w:b/>
          <w:szCs w:val="24"/>
        </w:rPr>
        <w:t>97.30</w:t>
      </w:r>
      <w:r w:rsidRPr="00FF7CFE" w:rsidR="0077381D">
        <w:rPr>
          <w:b/>
          <w:szCs w:val="24"/>
        </w:rPr>
        <w:t>+ $</w:t>
      </w:r>
      <w:r w:rsidRPr="00FF7CFE" w:rsidR="00803BF2">
        <w:rPr>
          <w:b/>
          <w:szCs w:val="24"/>
        </w:rPr>
        <w:t>9,</w:t>
      </w:r>
      <w:r w:rsidR="00584B30">
        <w:rPr>
          <w:b/>
          <w:szCs w:val="24"/>
        </w:rPr>
        <w:t>730</w:t>
      </w:r>
      <w:r w:rsidRPr="00FF7CFE" w:rsidR="00F933B8">
        <w:rPr>
          <w:b/>
          <w:szCs w:val="24"/>
        </w:rPr>
        <w:t xml:space="preserve"> </w:t>
      </w:r>
      <w:r w:rsidRPr="00FF7CFE" w:rsidR="0077381D">
        <w:rPr>
          <w:b/>
          <w:szCs w:val="24"/>
        </w:rPr>
        <w:t xml:space="preserve">+ </w:t>
      </w:r>
      <w:r w:rsidRPr="00FF7CFE" w:rsidR="00693DCE">
        <w:rPr>
          <w:b/>
          <w:szCs w:val="24"/>
        </w:rPr>
        <w:t>$</w:t>
      </w:r>
      <w:r w:rsidRPr="00FF7CFE" w:rsidR="00803BF2">
        <w:rPr>
          <w:b/>
          <w:szCs w:val="24"/>
        </w:rPr>
        <w:t>19</w:t>
      </w:r>
      <w:r w:rsidR="00584B30">
        <w:rPr>
          <w:b/>
          <w:szCs w:val="24"/>
        </w:rPr>
        <w:t>4.60</w:t>
      </w:r>
      <w:r w:rsidRPr="00FF7CFE" w:rsidR="0077381D">
        <w:rPr>
          <w:b/>
          <w:szCs w:val="24"/>
        </w:rPr>
        <w:t xml:space="preserve"> + $</w:t>
      </w:r>
      <w:r w:rsidRPr="00FF7CFE" w:rsidR="00803BF2">
        <w:rPr>
          <w:b/>
          <w:szCs w:val="24"/>
        </w:rPr>
        <w:t>8</w:t>
      </w:r>
      <w:r w:rsidR="00584B30">
        <w:rPr>
          <w:b/>
          <w:szCs w:val="24"/>
        </w:rPr>
        <w:t>7,570</w:t>
      </w:r>
      <w:r w:rsidRPr="00FF7CFE" w:rsidR="0077381D">
        <w:rPr>
          <w:b/>
          <w:szCs w:val="24"/>
        </w:rPr>
        <w:t xml:space="preserve"> + </w:t>
      </w:r>
      <w:r w:rsidRPr="00FF7CFE">
        <w:rPr>
          <w:b/>
          <w:szCs w:val="24"/>
        </w:rPr>
        <w:t>$</w:t>
      </w:r>
      <w:r w:rsidR="00584B30">
        <w:rPr>
          <w:b/>
          <w:szCs w:val="24"/>
        </w:rPr>
        <w:t>486.50</w:t>
      </w:r>
      <w:r w:rsidRPr="00FF7CFE">
        <w:rPr>
          <w:b/>
          <w:szCs w:val="24"/>
        </w:rPr>
        <w:t xml:space="preserve"> </w:t>
      </w:r>
      <w:r w:rsidRPr="00FF7CFE" w:rsidR="0082642D">
        <w:rPr>
          <w:b/>
          <w:szCs w:val="24"/>
        </w:rPr>
        <w:t xml:space="preserve">+ </w:t>
      </w:r>
      <w:r w:rsidR="00584B30">
        <w:rPr>
          <w:b/>
          <w:szCs w:val="24"/>
        </w:rPr>
        <w:t xml:space="preserve">78,222 </w:t>
      </w:r>
      <w:r w:rsidRPr="00FF7CFE">
        <w:rPr>
          <w:b/>
          <w:szCs w:val="24"/>
        </w:rPr>
        <w:t>=</w:t>
      </w:r>
      <w:r w:rsidRPr="00FF7CFE" w:rsidR="0077381D">
        <w:rPr>
          <w:b/>
          <w:szCs w:val="24"/>
        </w:rPr>
        <w:t xml:space="preserve"> </w:t>
      </w:r>
      <w:r w:rsidRPr="00FF7CFE" w:rsidR="00803BF2">
        <w:rPr>
          <w:b/>
          <w:szCs w:val="24"/>
        </w:rPr>
        <w:t>$</w:t>
      </w:r>
      <w:r w:rsidR="00584B30">
        <w:rPr>
          <w:b/>
          <w:szCs w:val="24"/>
        </w:rPr>
        <w:t>176,300.40</w:t>
      </w:r>
    </w:p>
    <w:p w:rsidR="0076151C" w:rsidRPr="00FF7CFE" w:rsidP="0076151C" w14:paraId="4F45021F" w14:textId="77777777">
      <w:pPr>
        <w:rPr>
          <w:szCs w:val="24"/>
        </w:rPr>
      </w:pPr>
      <w:r w:rsidRPr="00FF7CFE">
        <w:rPr>
          <w:i/>
          <w:szCs w:val="24"/>
        </w:rPr>
        <w:t xml:space="preserve"> </w:t>
      </w:r>
    </w:p>
    <w:p w:rsidR="005C1B11" w:rsidRPr="00FF7CFE" w:rsidP="0022504C" w14:paraId="256F33DC" w14:textId="77777777">
      <w:pPr>
        <w:rPr>
          <w:b/>
          <w:szCs w:val="24"/>
        </w:rPr>
      </w:pPr>
      <w:r w:rsidRPr="00FF7CFE">
        <w:rPr>
          <w:szCs w:val="24"/>
        </w:rPr>
        <w:t>13.</w:t>
      </w:r>
      <w:r w:rsidRPr="00FF7CFE" w:rsidR="00561890">
        <w:rPr>
          <w:szCs w:val="24"/>
        </w:rPr>
        <w:tab/>
      </w:r>
      <w:r w:rsidRPr="00FF7CFE" w:rsidR="00912477">
        <w:rPr>
          <w:szCs w:val="24"/>
        </w:rPr>
        <w:t xml:space="preserve">Total </w:t>
      </w:r>
      <w:r w:rsidRPr="00FF7CFE" w:rsidR="003D6C50">
        <w:rPr>
          <w:szCs w:val="24"/>
        </w:rPr>
        <w:t>Cost to the respondents</w:t>
      </w:r>
      <w:r w:rsidRPr="00FF7CFE" w:rsidR="00CF65DA">
        <w:rPr>
          <w:szCs w:val="24"/>
        </w:rPr>
        <w:t xml:space="preserve"> (Consultants</w:t>
      </w:r>
      <w:r w:rsidRPr="00FF7CFE" w:rsidR="001565E6">
        <w:rPr>
          <w:szCs w:val="24"/>
        </w:rPr>
        <w:t>)</w:t>
      </w:r>
      <w:r w:rsidRPr="00FF7CFE" w:rsidR="003D6C50">
        <w:rPr>
          <w:szCs w:val="24"/>
        </w:rPr>
        <w:t>:</w:t>
      </w:r>
      <w:r w:rsidRPr="00FF7CFE" w:rsidR="00851650">
        <w:rPr>
          <w:szCs w:val="24"/>
        </w:rPr>
        <w:t xml:space="preserve">    </w:t>
      </w:r>
      <w:r w:rsidRPr="00FF7CFE" w:rsidR="0022504C">
        <w:rPr>
          <w:szCs w:val="24"/>
        </w:rPr>
        <w:t>There is no cost to the respondents for this collection of information.</w:t>
      </w:r>
    </w:p>
    <w:p w:rsidR="00BF51BD" w:rsidRPr="00FF7CFE" w:rsidP="00AF1033" w14:paraId="3625352C" w14:textId="77777777">
      <w:pPr>
        <w:rPr>
          <w:szCs w:val="24"/>
        </w:rPr>
      </w:pPr>
    </w:p>
    <w:p w:rsidR="00BF51BD" w:rsidRPr="00FF7CFE" w:rsidP="00AF1033" w14:paraId="4C759FF1" w14:textId="77777777">
      <w:pPr>
        <w:rPr>
          <w:szCs w:val="24"/>
        </w:rPr>
      </w:pPr>
      <w:r w:rsidRPr="00FF7CFE">
        <w:rPr>
          <w:szCs w:val="24"/>
        </w:rPr>
        <w:t xml:space="preserve">14.  </w:t>
      </w:r>
      <w:r w:rsidRPr="00FF7CFE" w:rsidR="00112ACC">
        <w:rPr>
          <w:szCs w:val="24"/>
        </w:rPr>
        <w:t>C</w:t>
      </w:r>
      <w:r w:rsidRPr="00FF7CFE" w:rsidR="00912477">
        <w:rPr>
          <w:szCs w:val="24"/>
        </w:rPr>
        <w:t xml:space="preserve">ost </w:t>
      </w:r>
      <w:r w:rsidRPr="00FF7CFE" w:rsidR="00C654DE">
        <w:rPr>
          <w:szCs w:val="24"/>
        </w:rPr>
        <w:t xml:space="preserve">to </w:t>
      </w:r>
      <w:r w:rsidRPr="00FF7CFE" w:rsidR="00912477">
        <w:rPr>
          <w:szCs w:val="24"/>
        </w:rPr>
        <w:t xml:space="preserve">the </w:t>
      </w:r>
      <w:r w:rsidRPr="00FF7CFE" w:rsidR="00C654DE">
        <w:rPr>
          <w:szCs w:val="24"/>
        </w:rPr>
        <w:t>Federal Government</w:t>
      </w:r>
      <w:r w:rsidRPr="00FF7CFE">
        <w:rPr>
          <w:szCs w:val="24"/>
        </w:rPr>
        <w:t xml:space="preserve">:  </w:t>
      </w:r>
      <w:r w:rsidRPr="00FF7CFE" w:rsidR="0022504C">
        <w:rPr>
          <w:szCs w:val="24"/>
        </w:rPr>
        <w:t>None.</w:t>
      </w:r>
    </w:p>
    <w:p w:rsidR="005C1B11" w:rsidRPr="00FF7CFE" w:rsidP="00AF1033" w14:paraId="5785BAEA" w14:textId="77777777">
      <w:pPr>
        <w:rPr>
          <w:szCs w:val="24"/>
        </w:rPr>
      </w:pPr>
    </w:p>
    <w:p w:rsidR="0071091D" w:rsidRPr="00FF7CFE" w:rsidP="00AF1033" w14:paraId="40607F18" w14:textId="77777777">
      <w:pPr>
        <w:rPr>
          <w:szCs w:val="24"/>
        </w:rPr>
      </w:pPr>
      <w:r w:rsidRPr="00FF7CFE">
        <w:rPr>
          <w:szCs w:val="24"/>
        </w:rPr>
        <w:t xml:space="preserve">15.  </w:t>
      </w:r>
      <w:r w:rsidRPr="00FF7CFE" w:rsidR="00835FAF">
        <w:rPr>
          <w:szCs w:val="24"/>
        </w:rPr>
        <w:t>The Commission does not have any program changes</w:t>
      </w:r>
      <w:r w:rsidR="003802F2">
        <w:rPr>
          <w:szCs w:val="24"/>
        </w:rPr>
        <w:t xml:space="preserve"> or adjustments </w:t>
      </w:r>
      <w:r w:rsidRPr="00FF7CFE" w:rsidR="00835FAF">
        <w:rPr>
          <w:szCs w:val="24"/>
        </w:rPr>
        <w:t xml:space="preserve">to this collection.  </w:t>
      </w:r>
    </w:p>
    <w:p w:rsidR="00A1211D" w:rsidRPr="00FF7CFE" w14:paraId="50F89EA0" w14:textId="77777777">
      <w:pPr>
        <w:rPr>
          <w:szCs w:val="24"/>
        </w:rPr>
      </w:pPr>
    </w:p>
    <w:p w:rsidR="00C654DE" w:rsidRPr="00FF7CFE" w:rsidP="00AF1033" w14:paraId="6CEA30F8" w14:textId="77777777">
      <w:pPr>
        <w:rPr>
          <w:szCs w:val="24"/>
        </w:rPr>
      </w:pPr>
      <w:r w:rsidRPr="00FF7CFE">
        <w:rPr>
          <w:szCs w:val="24"/>
        </w:rPr>
        <w:t xml:space="preserve">16.  </w:t>
      </w:r>
      <w:r w:rsidRPr="00FF7CFE">
        <w:rPr>
          <w:szCs w:val="24"/>
        </w:rPr>
        <w:t>The data will not be published for statistical use.</w:t>
      </w:r>
    </w:p>
    <w:p w:rsidR="00C654DE" w:rsidRPr="00FF7CFE" w14:paraId="6F6599EB" w14:textId="77777777">
      <w:pPr>
        <w:rPr>
          <w:szCs w:val="24"/>
        </w:rPr>
      </w:pPr>
    </w:p>
    <w:p w:rsidR="00341BF8" w:rsidRPr="00FF7CFE" w:rsidP="00341BF8" w14:paraId="27CEC814" w14:textId="77777777">
      <w:pPr>
        <w:rPr>
          <w:szCs w:val="24"/>
        </w:rPr>
      </w:pPr>
      <w:r w:rsidRPr="00FF7CFE">
        <w:rPr>
          <w:szCs w:val="24"/>
        </w:rPr>
        <w:t xml:space="preserve">17.  </w:t>
      </w:r>
      <w:r w:rsidRPr="00FF7CFE" w:rsidR="00C654DE">
        <w:rPr>
          <w:szCs w:val="24"/>
        </w:rPr>
        <w:t>We do not seek approval to not display the expiration date for OMB approval of the information collection</w:t>
      </w:r>
      <w:r w:rsidRPr="00FF7CFE">
        <w:rPr>
          <w:szCs w:val="24"/>
        </w:rPr>
        <w:t xml:space="preserve">. </w:t>
      </w:r>
      <w:r w:rsidRPr="00FF7CFE" w:rsidR="00ED4000">
        <w:rPr>
          <w:szCs w:val="24"/>
        </w:rPr>
        <w:t xml:space="preserve">However, a list of OMB approved information collections </w:t>
      </w:r>
      <w:r w:rsidR="003802F2">
        <w:rPr>
          <w:szCs w:val="24"/>
        </w:rPr>
        <w:t xml:space="preserve">is posted on OMB’s website. </w:t>
      </w:r>
    </w:p>
    <w:p w:rsidR="00341BF8" w:rsidRPr="00FF7CFE" w:rsidP="00341BF8" w14:paraId="42DE7CE9" w14:textId="77777777">
      <w:pPr>
        <w:rPr>
          <w:szCs w:val="24"/>
        </w:rPr>
      </w:pPr>
    </w:p>
    <w:p w:rsidR="00C654DE" w:rsidRPr="00FF7CFE" w:rsidP="00341BF8" w14:paraId="6C6AC1B8" w14:textId="77777777">
      <w:r w:rsidRPr="00FF7CFE">
        <w:rPr>
          <w:szCs w:val="24"/>
        </w:rPr>
        <w:t xml:space="preserve">18.  </w:t>
      </w:r>
      <w:r w:rsidRPr="00FF7CFE" w:rsidR="003C0C80">
        <w:t>There are no exceptions to the Certification Statement.</w:t>
      </w:r>
    </w:p>
    <w:p w:rsidR="003C0C80" w:rsidRPr="00FF7CFE" w:rsidP="00341BF8" w14:paraId="5696B032" w14:textId="77777777"/>
    <w:p w:rsidR="00C654DE" w:rsidRPr="00FF7CFE" w14:paraId="6DF24DD8" w14:textId="77777777">
      <w:pPr>
        <w:numPr>
          <w:ilvl w:val="0"/>
          <w:numId w:val="1"/>
        </w:numPr>
        <w:rPr>
          <w:b/>
          <w:szCs w:val="24"/>
          <w:u w:val="single"/>
        </w:rPr>
      </w:pPr>
      <w:r w:rsidRPr="00FF7CFE">
        <w:rPr>
          <w:b/>
          <w:szCs w:val="24"/>
          <w:u w:val="single"/>
        </w:rPr>
        <w:t>Collection of Information Employing Statistical Methods</w:t>
      </w:r>
      <w:r w:rsidRPr="00FF7CFE" w:rsidR="003E762C">
        <w:rPr>
          <w:b/>
          <w:szCs w:val="24"/>
          <w:u w:val="single"/>
        </w:rPr>
        <w:t>:</w:t>
      </w:r>
    </w:p>
    <w:p w:rsidR="00C654DE" w:rsidRPr="00FF7CFE" w14:paraId="03A155F4" w14:textId="77777777">
      <w:pPr>
        <w:ind w:left="360"/>
        <w:rPr>
          <w:szCs w:val="24"/>
          <w:u w:val="single"/>
        </w:rPr>
      </w:pPr>
    </w:p>
    <w:p w:rsidR="00C654DE" w:rsidRPr="00B81D76" w14:paraId="5F6B1621" w14:textId="77777777">
      <w:pPr>
        <w:ind w:left="360"/>
        <w:rPr>
          <w:szCs w:val="24"/>
        </w:rPr>
      </w:pPr>
      <w:r w:rsidRPr="00FF7CFE">
        <w:rPr>
          <w:szCs w:val="24"/>
        </w:rPr>
        <w:t>No statistical methods are employed.</w:t>
      </w:r>
    </w:p>
    <w:sectPr w:rsidSect="00C732BD">
      <w:footerReference w:type="even" r:id="rId6"/>
      <w:footerReference w:type="default" r:id="rId7"/>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A3A" w:rsidP="00C732BD" w14:paraId="403BF2F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2A3A" w14:paraId="56E3C8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A3A" w:rsidRPr="00E23E3A" w:rsidP="00C732BD" w14:paraId="50CB8958" w14:textId="77777777">
    <w:pPr>
      <w:pStyle w:val="Footer"/>
      <w:framePr w:wrap="around" w:vAnchor="text" w:hAnchor="margin" w:xAlign="center" w:y="1"/>
      <w:rPr>
        <w:rStyle w:val="PageNumber"/>
        <w:sz w:val="20"/>
      </w:rPr>
    </w:pPr>
    <w:r w:rsidRPr="00E23E3A">
      <w:rPr>
        <w:rStyle w:val="PageNumber"/>
        <w:sz w:val="20"/>
      </w:rPr>
      <w:fldChar w:fldCharType="begin"/>
    </w:r>
    <w:r w:rsidRPr="00E23E3A">
      <w:rPr>
        <w:rStyle w:val="PageNumber"/>
        <w:sz w:val="20"/>
      </w:rPr>
      <w:instrText xml:space="preserve">PAGE  </w:instrText>
    </w:r>
    <w:r w:rsidRPr="00E23E3A">
      <w:rPr>
        <w:rStyle w:val="PageNumber"/>
        <w:sz w:val="20"/>
      </w:rPr>
      <w:fldChar w:fldCharType="separate"/>
    </w:r>
    <w:r w:rsidR="001A3555">
      <w:rPr>
        <w:rStyle w:val="PageNumber"/>
        <w:noProof/>
        <w:sz w:val="20"/>
      </w:rPr>
      <w:t>2</w:t>
    </w:r>
    <w:r w:rsidRPr="00E23E3A">
      <w:rPr>
        <w:rStyle w:val="PageNumber"/>
        <w:sz w:val="20"/>
      </w:rPr>
      <w:fldChar w:fldCharType="end"/>
    </w:r>
  </w:p>
  <w:p w:rsidR="002E2A3A" w14:paraId="2B60DE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6AEC" w14:paraId="545FBCA2" w14:textId="77777777">
      <w:r>
        <w:separator/>
      </w:r>
    </w:p>
  </w:footnote>
  <w:footnote w:type="continuationSeparator" w:id="1">
    <w:p w:rsidR="00CB6AEC" w14:paraId="2B4F147E" w14:textId="77777777">
      <w:r>
        <w:continuationSeparator/>
      </w:r>
    </w:p>
  </w:footnote>
  <w:footnote w:id="2">
    <w:p w:rsidR="00C3628C" w:rsidRPr="00736BCB" w:rsidP="00C3628C" w14:paraId="1A0FE703" w14:textId="77777777">
      <w:pPr>
        <w:pStyle w:val="FootnoteText"/>
      </w:pPr>
      <w:r w:rsidRPr="00736BCB">
        <w:rPr>
          <w:rStyle w:val="FootnoteReference"/>
        </w:rPr>
        <w:footnoteRef/>
      </w:r>
      <w:r w:rsidRPr="00736BCB">
        <w:t xml:space="preserve"> </w:t>
      </w:r>
      <w:r w:rsidRPr="00736BCB" w:rsidR="00C34730">
        <w:t>I</w:t>
      </w:r>
      <w:r w:rsidRPr="00736BCB">
        <w:t xml:space="preserve">n 2002, the Commission released a </w:t>
      </w:r>
      <w:r w:rsidRPr="00736BCB">
        <w:rPr>
          <w:i/>
        </w:rPr>
        <w:t xml:space="preserve">Memorandum Opinion and Order and Second Report and Order </w:t>
      </w:r>
      <w:r w:rsidRPr="00736BCB">
        <w:t>in ET Docket No. 98-206 (Amendment of Parts 2 and 25 of the Commission’s Rules to Permit Operation of NGSO FSS Systems Co-Frequency with GSO and Terrestrial Systems in the Ku-Band Frequency Range; Amendment of the Commission’s Rules to Authorize Subsidiary Terrestrial Use of the 12.2 – 12.7 GHz Band by Direct Broadcast Satellite Licensees and Their Affiliates; and Application of</w:t>
      </w:r>
      <w:r w:rsidR="002D3B78">
        <w:t xml:space="preserve"> </w:t>
      </w:r>
      <w:r w:rsidRPr="00736BCB">
        <w:t>Broadwave</w:t>
      </w:r>
      <w:r w:rsidRPr="00736BCB">
        <w:t xml:space="preserve"> USA, PDC Broadband Corporation, and Satellite</w:t>
      </w:r>
      <w:r w:rsidRPr="00184F4E">
        <w:rPr>
          <w:sz w:val="22"/>
          <w:szCs w:val="22"/>
        </w:rPr>
        <w:t xml:space="preserve"> </w:t>
      </w:r>
      <w:r w:rsidRPr="00736BCB">
        <w:t xml:space="preserve">Receivers, Ltd. To Provide A Fixed Service in the 12.2 – 12.7 GHz Band) 67 FR 43031, June 26, 2002 (correcting amendments published by </w:t>
      </w:r>
      <w:r w:rsidRPr="00736BCB">
        <w:rPr>
          <w:i/>
        </w:rPr>
        <w:t>Order</w:t>
      </w:r>
      <w:r w:rsidRPr="00736BCB">
        <w:t xml:space="preserve">, ET Docket No. 98-206, 19 FCC </w:t>
      </w:r>
      <w:r w:rsidRPr="00736BCB">
        <w:t>Rcd</w:t>
      </w:r>
      <w:r w:rsidRPr="00736BCB">
        <w:t xml:space="preserve"> 9727 (MD 2004), 69 FR 31745 (June 7, 2004).</w:t>
      </w:r>
    </w:p>
    <w:p w:rsidR="00C3628C" w:rsidRPr="00736BCB" w:rsidP="00C3628C" w14:paraId="6F1E0DF7" w14:textId="77777777">
      <w:pPr>
        <w:pStyle w:val="FootnoteText"/>
      </w:pPr>
    </w:p>
  </w:footnote>
  <w:footnote w:id="3">
    <w:p w:rsidR="00C3628C" w:rsidRPr="00184F4E" w:rsidP="00C3628C" w14:paraId="6F0ABF8D" w14:textId="77777777">
      <w:pPr>
        <w:pStyle w:val="FootnoteText"/>
        <w:rPr>
          <w:sz w:val="22"/>
          <w:szCs w:val="22"/>
        </w:rPr>
      </w:pPr>
      <w:r w:rsidRPr="00736BCB">
        <w:rPr>
          <w:rStyle w:val="FootnoteReference"/>
        </w:rPr>
        <w:footnoteRef/>
      </w:r>
      <w:r w:rsidRPr="00736BCB">
        <w:t xml:space="preserve"> </w:t>
      </w:r>
      <w:r w:rsidRPr="00736BCB">
        <w:rPr>
          <w:noProof/>
        </w:rPr>
        <w:t xml:space="preserve">In </w:t>
      </w:r>
      <w:r w:rsidRPr="00736BCB" w:rsidR="0062397A">
        <w:rPr>
          <w:noProof/>
        </w:rPr>
        <w:t xml:space="preserve">2003, </w:t>
      </w:r>
      <w:r w:rsidRPr="00736BCB">
        <w:rPr>
          <w:noProof/>
        </w:rPr>
        <w:t xml:space="preserve">the Commission amended § 25.139(a) to clarify that the information NGSO FSS licensees are required to provide MVDDS should be construed narrowly and that only information necessary to achieve the required 10 km separation under § 25.139(b) needs to be provided.  </w:t>
      </w:r>
      <w:r w:rsidRPr="00736BCB" w:rsidR="0062397A">
        <w:rPr>
          <w:i/>
          <w:noProof/>
        </w:rPr>
        <w:t>See</w:t>
      </w:r>
      <w:r w:rsidRPr="00736BCB" w:rsidR="0062397A">
        <w:rPr>
          <w:noProof/>
        </w:rPr>
        <w:t xml:space="preserve"> </w:t>
      </w:r>
      <w:r w:rsidRPr="00736BCB" w:rsidR="0062397A">
        <w:rPr>
          <w:i/>
          <w:noProof/>
        </w:rPr>
        <w:t>Fourth MO&amp;O</w:t>
      </w:r>
      <w:r w:rsidRPr="00736BCB" w:rsidR="0062397A">
        <w:rPr>
          <w:noProof/>
        </w:rPr>
        <w:t xml:space="preserve"> in ET Docket No. 98-206 (</w:t>
      </w:r>
      <w:r w:rsidRPr="00736BCB" w:rsidR="0062397A">
        <w:t xml:space="preserve">68 Fed. Reg. 43945, July 25, 2003), </w:t>
      </w:r>
      <w:r w:rsidRPr="00736BCB">
        <w:rPr>
          <w:noProof/>
        </w:rPr>
        <w:t>This clarification did not result in revisions to OMB Control No. 3060-1021.</w:t>
      </w:r>
      <w:r w:rsidRPr="00184F4E">
        <w:rPr>
          <w:noProof/>
          <w:sz w:val="22"/>
          <w:szCs w:val="22"/>
        </w:rPr>
        <w:t xml:space="preserve">  </w:t>
      </w:r>
    </w:p>
  </w:footnote>
  <w:footnote w:id="4">
    <w:p w:rsidR="00AF47A3" w14:paraId="0A638A20" w14:textId="77777777">
      <w:pPr>
        <w:pStyle w:val="FootnoteText"/>
      </w:pPr>
      <w:r>
        <w:rPr>
          <w:rStyle w:val="FootnoteReference"/>
        </w:rPr>
        <w:footnoteRef/>
      </w:r>
      <w:r>
        <w:t xml:space="preserve"> See 12-d.</w:t>
      </w:r>
    </w:p>
  </w:footnote>
  <w:footnote w:id="5">
    <w:p w:rsidR="00A6507D" w14:paraId="27B69184" w14:textId="77777777">
      <w:pPr>
        <w:pStyle w:val="FootnoteText"/>
      </w:pPr>
      <w:r>
        <w:rPr>
          <w:rStyle w:val="FootnoteReference"/>
        </w:rPr>
        <w:footnoteRef/>
      </w:r>
      <w:r>
        <w:t xml:space="preserve"> See 12-f.</w:t>
      </w:r>
    </w:p>
  </w:footnote>
  <w:footnote w:id="6">
    <w:p w:rsidR="004841C9" w:rsidRPr="00D931E7" w14:paraId="21F94F05" w14:textId="77777777">
      <w:pPr>
        <w:pStyle w:val="FootnoteText"/>
        <w:rPr>
          <w:sz w:val="22"/>
          <w:szCs w:val="22"/>
        </w:rPr>
      </w:pPr>
      <w:r w:rsidRPr="00D931E7">
        <w:rPr>
          <w:rStyle w:val="FootnoteReference"/>
          <w:sz w:val="22"/>
          <w:szCs w:val="22"/>
        </w:rPr>
        <w:footnoteRef/>
      </w:r>
      <w:r w:rsidRPr="00D931E7">
        <w:rPr>
          <w:sz w:val="22"/>
          <w:szCs w:val="22"/>
        </w:rPr>
        <w:t xml:space="preserve"> </w:t>
      </w:r>
      <w:bookmarkStart w:id="2" w:name="_Hlk10118960"/>
      <w:r w:rsidRPr="00D931E7">
        <w:rPr>
          <w:sz w:val="22"/>
          <w:szCs w:val="22"/>
        </w:rPr>
        <w:t>U.S. Bureau of Labor Statistics, Occupational Employment and Wages, May 20</w:t>
      </w:r>
      <w:r w:rsidR="00DE5EA1">
        <w:rPr>
          <w:sz w:val="22"/>
          <w:szCs w:val="22"/>
        </w:rPr>
        <w:t>2</w:t>
      </w:r>
      <w:r w:rsidR="006A4E44">
        <w:rPr>
          <w:sz w:val="22"/>
          <w:szCs w:val="22"/>
        </w:rPr>
        <w:t>4</w:t>
      </w:r>
      <w:r w:rsidRPr="00D931E7">
        <w:rPr>
          <w:sz w:val="22"/>
          <w:szCs w:val="22"/>
        </w:rPr>
        <w:t>, 13-1111 Management Analysts, National estimates for this occupation.</w:t>
      </w:r>
      <w:r w:rsidRPr="00D931E7" w:rsidR="002D73A0">
        <w:rPr>
          <w:sz w:val="22"/>
          <w:szCs w:val="22"/>
        </w:rPr>
        <w:t xml:space="preserve"> </w:t>
      </w:r>
      <w:bookmarkEnd w:id="2"/>
      <w:r w:rsidRPr="00D931E7" w:rsidR="002D73A0">
        <w:rPr>
          <w:sz w:val="22"/>
          <w:szCs w:val="22"/>
        </w:rPr>
        <w:t>The same hourly amount will be used in 12-</w:t>
      </w:r>
      <w:r w:rsidR="007D271D">
        <w:rPr>
          <w:sz w:val="22"/>
          <w:szCs w:val="22"/>
        </w:rPr>
        <w:t>b</w:t>
      </w:r>
      <w:r w:rsidRPr="00D931E7" w:rsidR="002D73A0">
        <w:rPr>
          <w:sz w:val="22"/>
          <w:szCs w:val="22"/>
        </w:rPr>
        <w:t xml:space="preserve"> to e.</w:t>
      </w:r>
    </w:p>
  </w:footnote>
  <w:footnote w:id="7">
    <w:p w:rsidR="00A235AD" w:rsidRPr="00DE06BF" w14:paraId="74593307" w14:textId="77777777">
      <w:pPr>
        <w:pStyle w:val="FootnoteText"/>
      </w:pPr>
      <w:r w:rsidRPr="00DE06BF">
        <w:rPr>
          <w:rStyle w:val="FootnoteReference"/>
        </w:rPr>
        <w:footnoteRef/>
      </w:r>
      <w:r w:rsidRPr="00DE06BF">
        <w:t xml:space="preserve"> U.S. Bureau of Labor Statistics, Occupational Employment and Wages, May </w:t>
      </w:r>
      <w:r w:rsidR="00F23603">
        <w:t>202</w:t>
      </w:r>
      <w:r w:rsidR="00905556">
        <w:t>4</w:t>
      </w:r>
      <w:r w:rsidRPr="00DE06BF">
        <w:t>, 43-9020, Data Entry and Information Processing Workers, National estimates for this occupation.</w:t>
      </w:r>
    </w:p>
  </w:footnote>
  <w:footnote w:id="8">
    <w:p w:rsidR="00A235AD" w:rsidRPr="00DE06BF" w14:paraId="1D0786EF" w14:textId="77777777">
      <w:pPr>
        <w:pStyle w:val="FootnoteText"/>
      </w:pPr>
      <w:r w:rsidRPr="00DE06BF">
        <w:rPr>
          <w:rStyle w:val="FootnoteReference"/>
        </w:rPr>
        <w:footnoteRef/>
      </w:r>
      <w:r w:rsidRPr="00DE06BF">
        <w:t xml:space="preserve"> U.S. Bureau of Labor Statistics, Occupational Employment and Wages, May </w:t>
      </w:r>
      <w:r w:rsidR="00F23603">
        <w:t>202</w:t>
      </w:r>
      <w:r w:rsidR="00905556">
        <w:t>4</w:t>
      </w:r>
      <w:r w:rsidRPr="00DE06BF">
        <w:t>, 17-2072 Electronics Engineers, Except Computer, National estimates for this occupation.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371D02"/>
    <w:multiLevelType w:val="hybridMultilevel"/>
    <w:tmpl w:val="796803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1A0E3E"/>
    <w:multiLevelType w:val="hybridMultilevel"/>
    <w:tmpl w:val="7100765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6712747"/>
    <w:multiLevelType w:val="hybridMultilevel"/>
    <w:tmpl w:val="7832AABA"/>
    <w:lvl w:ilvl="0">
      <w:start w:val="6"/>
      <w:numFmt w:val="decimal"/>
      <w:lvlText w:val="%1"/>
      <w:lvlJc w:val="left"/>
      <w:pPr>
        <w:ind w:left="2580" w:hanging="360"/>
      </w:pPr>
      <w:rPr>
        <w:rFonts w:hint="default"/>
      </w:rPr>
    </w:lvl>
    <w:lvl w:ilvl="1" w:tentative="1">
      <w:start w:val="1"/>
      <w:numFmt w:val="lowerLetter"/>
      <w:lvlText w:val="%2."/>
      <w:lvlJc w:val="left"/>
      <w:pPr>
        <w:ind w:left="3300" w:hanging="360"/>
      </w:pPr>
    </w:lvl>
    <w:lvl w:ilvl="2" w:tentative="1">
      <w:start w:val="1"/>
      <w:numFmt w:val="lowerRoman"/>
      <w:lvlText w:val="%3."/>
      <w:lvlJc w:val="right"/>
      <w:pPr>
        <w:ind w:left="4020" w:hanging="180"/>
      </w:pPr>
    </w:lvl>
    <w:lvl w:ilvl="3" w:tentative="1">
      <w:start w:val="1"/>
      <w:numFmt w:val="decimal"/>
      <w:lvlText w:val="%4."/>
      <w:lvlJc w:val="left"/>
      <w:pPr>
        <w:ind w:left="4740" w:hanging="360"/>
      </w:pPr>
    </w:lvl>
    <w:lvl w:ilvl="4" w:tentative="1">
      <w:start w:val="1"/>
      <w:numFmt w:val="lowerLetter"/>
      <w:lvlText w:val="%5."/>
      <w:lvlJc w:val="left"/>
      <w:pPr>
        <w:ind w:left="5460" w:hanging="360"/>
      </w:pPr>
    </w:lvl>
    <w:lvl w:ilvl="5" w:tentative="1">
      <w:start w:val="1"/>
      <w:numFmt w:val="lowerRoman"/>
      <w:lvlText w:val="%6."/>
      <w:lvlJc w:val="right"/>
      <w:pPr>
        <w:ind w:left="6180" w:hanging="180"/>
      </w:pPr>
    </w:lvl>
    <w:lvl w:ilvl="6" w:tentative="1">
      <w:start w:val="1"/>
      <w:numFmt w:val="decimal"/>
      <w:lvlText w:val="%7."/>
      <w:lvlJc w:val="left"/>
      <w:pPr>
        <w:ind w:left="6900" w:hanging="360"/>
      </w:pPr>
    </w:lvl>
    <w:lvl w:ilvl="7" w:tentative="1">
      <w:start w:val="1"/>
      <w:numFmt w:val="lowerLetter"/>
      <w:lvlText w:val="%8."/>
      <w:lvlJc w:val="left"/>
      <w:pPr>
        <w:ind w:left="7620" w:hanging="360"/>
      </w:pPr>
    </w:lvl>
    <w:lvl w:ilvl="8" w:tentative="1">
      <w:start w:val="1"/>
      <w:numFmt w:val="lowerRoman"/>
      <w:lvlText w:val="%9."/>
      <w:lvlJc w:val="right"/>
      <w:pPr>
        <w:ind w:left="8340" w:hanging="180"/>
      </w:pPr>
    </w:lvl>
  </w:abstractNum>
  <w:abstractNum w:abstractNumId="3">
    <w:nsid w:val="1A2406FF"/>
    <w:multiLevelType w:val="hybridMultilevel"/>
    <w:tmpl w:val="2CDC512E"/>
    <w:lvl w:ilvl="0">
      <w:start w:val="6"/>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5">
    <w:nsid w:val="1DE218DA"/>
    <w:multiLevelType w:val="hybridMultilevel"/>
    <w:tmpl w:val="CC42949E"/>
    <w:lvl w:ilvl="0">
      <w:start w:val="13"/>
      <w:numFmt w:val="decimal"/>
      <w:lvlText w:val="%1."/>
      <w:lvlJc w:val="left"/>
      <w:pPr>
        <w:tabs>
          <w:tab w:val="num" w:pos="720"/>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70B0D78"/>
    <w:multiLevelType w:val="hybridMultilevel"/>
    <w:tmpl w:val="B304241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96A7E6D"/>
    <w:multiLevelType w:val="hybridMultilevel"/>
    <w:tmpl w:val="7C58A2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057CFE"/>
    <w:multiLevelType w:val="hybridMultilevel"/>
    <w:tmpl w:val="88FA5D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07C36F0"/>
    <w:multiLevelType w:val="hybridMultilevel"/>
    <w:tmpl w:val="FCBC5B58"/>
    <w:lvl w:ilvl="0">
      <w:start w:val="13"/>
      <w:numFmt w:val="decimal"/>
      <w:lvlText w:val="%1."/>
      <w:lvlJc w:val="left"/>
      <w:pPr>
        <w:tabs>
          <w:tab w:val="num" w:pos="510"/>
        </w:tabs>
        <w:ind w:left="510" w:hanging="42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0">
    <w:nsid w:val="56CB6FB3"/>
    <w:multiLevelType w:val="singleLevel"/>
    <w:tmpl w:val="0409000F"/>
    <w:lvl w:ilvl="0">
      <w:start w:val="1"/>
      <w:numFmt w:val="decimal"/>
      <w:lvlText w:val="%1."/>
      <w:lvlJc w:val="left"/>
      <w:pPr>
        <w:tabs>
          <w:tab w:val="num" w:pos="360"/>
        </w:tabs>
        <w:ind w:left="360" w:hanging="360"/>
      </w:pPr>
    </w:lvl>
  </w:abstractNum>
  <w:abstractNum w:abstractNumId="11">
    <w:nsid w:val="572A24A2"/>
    <w:multiLevelType w:val="hybridMultilevel"/>
    <w:tmpl w:val="238E7474"/>
    <w:lvl w:ilvl="0">
      <w:start w:val="5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DCB0379"/>
    <w:multiLevelType w:val="hybridMultilevel"/>
    <w:tmpl w:val="2CA66938"/>
    <w:lvl w:ilvl="0">
      <w:start w:val="6"/>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4392792"/>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nsid w:val="6A6B4D19"/>
    <w:multiLevelType w:val="singleLevel"/>
    <w:tmpl w:val="D786B250"/>
    <w:lvl w:ilvl="0">
      <w:start w:val="1"/>
      <w:numFmt w:val="lowerLetter"/>
      <w:lvlText w:val="%1."/>
      <w:lvlJc w:val="left"/>
      <w:pPr>
        <w:tabs>
          <w:tab w:val="num" w:pos="360"/>
        </w:tabs>
        <w:ind w:left="360" w:hanging="360"/>
      </w:pPr>
      <w:rPr>
        <w:rFonts w:hint="default"/>
      </w:rPr>
    </w:lvl>
  </w:abstractNum>
  <w:num w:numId="1" w16cid:durableId="560407785">
    <w:abstractNumId w:val="13"/>
  </w:num>
  <w:num w:numId="2" w16cid:durableId="926621846">
    <w:abstractNumId w:val="10"/>
  </w:num>
  <w:num w:numId="3" w16cid:durableId="1582444187">
    <w:abstractNumId w:val="14"/>
  </w:num>
  <w:num w:numId="4" w16cid:durableId="891115253">
    <w:abstractNumId w:val="4"/>
  </w:num>
  <w:num w:numId="5" w16cid:durableId="1171874346">
    <w:abstractNumId w:val="5"/>
  </w:num>
  <w:num w:numId="6" w16cid:durableId="625622149">
    <w:abstractNumId w:val="9"/>
  </w:num>
  <w:num w:numId="7" w16cid:durableId="226916782">
    <w:abstractNumId w:val="7"/>
  </w:num>
  <w:num w:numId="8" w16cid:durableId="1680154596">
    <w:abstractNumId w:val="1"/>
  </w:num>
  <w:num w:numId="9" w16cid:durableId="566187697">
    <w:abstractNumId w:val="8"/>
  </w:num>
  <w:num w:numId="10" w16cid:durableId="189418416">
    <w:abstractNumId w:val="11"/>
  </w:num>
  <w:num w:numId="11" w16cid:durableId="1480463270">
    <w:abstractNumId w:val="0"/>
  </w:num>
  <w:num w:numId="12" w16cid:durableId="1953391889">
    <w:abstractNumId w:val="6"/>
  </w:num>
  <w:num w:numId="13" w16cid:durableId="243540836">
    <w:abstractNumId w:val="12"/>
  </w:num>
  <w:num w:numId="14" w16cid:durableId="1522744269">
    <w:abstractNumId w:val="3"/>
  </w:num>
  <w:num w:numId="15" w16cid:durableId="1780295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F5"/>
    <w:rsid w:val="00007184"/>
    <w:rsid w:val="00012B93"/>
    <w:rsid w:val="00013C38"/>
    <w:rsid w:val="00016374"/>
    <w:rsid w:val="000228CF"/>
    <w:rsid w:val="00025196"/>
    <w:rsid w:val="000255C4"/>
    <w:rsid w:val="00027451"/>
    <w:rsid w:val="00040F76"/>
    <w:rsid w:val="00041619"/>
    <w:rsid w:val="00044D82"/>
    <w:rsid w:val="000528D0"/>
    <w:rsid w:val="00063BFB"/>
    <w:rsid w:val="00070A13"/>
    <w:rsid w:val="000772D4"/>
    <w:rsid w:val="000849B9"/>
    <w:rsid w:val="00087542"/>
    <w:rsid w:val="00090DA4"/>
    <w:rsid w:val="00092B14"/>
    <w:rsid w:val="000A6C8E"/>
    <w:rsid w:val="000A7241"/>
    <w:rsid w:val="000A72C7"/>
    <w:rsid w:val="000A7CD5"/>
    <w:rsid w:val="000B4854"/>
    <w:rsid w:val="000B75BD"/>
    <w:rsid w:val="000B79E4"/>
    <w:rsid w:val="000C16D7"/>
    <w:rsid w:val="000D03A4"/>
    <w:rsid w:val="000D6F0F"/>
    <w:rsid w:val="000E6AA3"/>
    <w:rsid w:val="000E6F1C"/>
    <w:rsid w:val="000F2276"/>
    <w:rsid w:val="000F46F5"/>
    <w:rsid w:val="000F57F1"/>
    <w:rsid w:val="00104336"/>
    <w:rsid w:val="00112251"/>
    <w:rsid w:val="00112ACC"/>
    <w:rsid w:val="00114262"/>
    <w:rsid w:val="00116036"/>
    <w:rsid w:val="0011726F"/>
    <w:rsid w:val="00121155"/>
    <w:rsid w:val="001222D9"/>
    <w:rsid w:val="001224F8"/>
    <w:rsid w:val="0012251F"/>
    <w:rsid w:val="00124396"/>
    <w:rsid w:val="00127050"/>
    <w:rsid w:val="00130312"/>
    <w:rsid w:val="001377E6"/>
    <w:rsid w:val="00145A21"/>
    <w:rsid w:val="00145C54"/>
    <w:rsid w:val="00151234"/>
    <w:rsid w:val="00152FBC"/>
    <w:rsid w:val="0015311D"/>
    <w:rsid w:val="00155D3F"/>
    <w:rsid w:val="001565E6"/>
    <w:rsid w:val="0015682A"/>
    <w:rsid w:val="00157461"/>
    <w:rsid w:val="00160445"/>
    <w:rsid w:val="00164E9F"/>
    <w:rsid w:val="0017036C"/>
    <w:rsid w:val="001741DA"/>
    <w:rsid w:val="00174FB8"/>
    <w:rsid w:val="001765BC"/>
    <w:rsid w:val="00181D70"/>
    <w:rsid w:val="00181E8F"/>
    <w:rsid w:val="001823BE"/>
    <w:rsid w:val="00184F4E"/>
    <w:rsid w:val="00185086"/>
    <w:rsid w:val="00187933"/>
    <w:rsid w:val="00192840"/>
    <w:rsid w:val="0019525D"/>
    <w:rsid w:val="00195B2C"/>
    <w:rsid w:val="001961B1"/>
    <w:rsid w:val="0019677B"/>
    <w:rsid w:val="001970C6"/>
    <w:rsid w:val="0019720B"/>
    <w:rsid w:val="001A3555"/>
    <w:rsid w:val="001A4FA7"/>
    <w:rsid w:val="001B0425"/>
    <w:rsid w:val="001B20F3"/>
    <w:rsid w:val="001B6B00"/>
    <w:rsid w:val="001C0983"/>
    <w:rsid w:val="001C246E"/>
    <w:rsid w:val="001C3D63"/>
    <w:rsid w:val="001D3892"/>
    <w:rsid w:val="001E0159"/>
    <w:rsid w:val="001E3589"/>
    <w:rsid w:val="001E4532"/>
    <w:rsid w:val="001E4E56"/>
    <w:rsid w:val="001E5F77"/>
    <w:rsid w:val="001E7AF0"/>
    <w:rsid w:val="001E7F99"/>
    <w:rsid w:val="001F0BC4"/>
    <w:rsid w:val="002003E8"/>
    <w:rsid w:val="00201D0A"/>
    <w:rsid w:val="002036CA"/>
    <w:rsid w:val="00204690"/>
    <w:rsid w:val="00205FFF"/>
    <w:rsid w:val="00206395"/>
    <w:rsid w:val="0020645F"/>
    <w:rsid w:val="00210CA3"/>
    <w:rsid w:val="002142B0"/>
    <w:rsid w:val="00215B45"/>
    <w:rsid w:val="00217699"/>
    <w:rsid w:val="002204B4"/>
    <w:rsid w:val="00221EB7"/>
    <w:rsid w:val="0022270A"/>
    <w:rsid w:val="00223E3E"/>
    <w:rsid w:val="0022504C"/>
    <w:rsid w:val="002259AC"/>
    <w:rsid w:val="00227279"/>
    <w:rsid w:val="00227D76"/>
    <w:rsid w:val="00230836"/>
    <w:rsid w:val="002325DB"/>
    <w:rsid w:val="00235C52"/>
    <w:rsid w:val="00236488"/>
    <w:rsid w:val="00241D4D"/>
    <w:rsid w:val="0024249F"/>
    <w:rsid w:val="00245200"/>
    <w:rsid w:val="00252C3D"/>
    <w:rsid w:val="002543F8"/>
    <w:rsid w:val="00261A1E"/>
    <w:rsid w:val="00275F82"/>
    <w:rsid w:val="00276A06"/>
    <w:rsid w:val="0027780C"/>
    <w:rsid w:val="002803AA"/>
    <w:rsid w:val="002869A7"/>
    <w:rsid w:val="00286CC9"/>
    <w:rsid w:val="00291529"/>
    <w:rsid w:val="00293302"/>
    <w:rsid w:val="00294D75"/>
    <w:rsid w:val="002975DE"/>
    <w:rsid w:val="002A140E"/>
    <w:rsid w:val="002A576D"/>
    <w:rsid w:val="002A6B2E"/>
    <w:rsid w:val="002B103A"/>
    <w:rsid w:val="002B2D8D"/>
    <w:rsid w:val="002B5F99"/>
    <w:rsid w:val="002C1102"/>
    <w:rsid w:val="002C3348"/>
    <w:rsid w:val="002C5465"/>
    <w:rsid w:val="002C7473"/>
    <w:rsid w:val="002D342C"/>
    <w:rsid w:val="002D3B78"/>
    <w:rsid w:val="002D73A0"/>
    <w:rsid w:val="002D7A61"/>
    <w:rsid w:val="002E0A35"/>
    <w:rsid w:val="002E2870"/>
    <w:rsid w:val="002E2A3A"/>
    <w:rsid w:val="002E308E"/>
    <w:rsid w:val="002E4B69"/>
    <w:rsid w:val="002E5509"/>
    <w:rsid w:val="002E68B3"/>
    <w:rsid w:val="002E6FBE"/>
    <w:rsid w:val="002F093A"/>
    <w:rsid w:val="002F31B2"/>
    <w:rsid w:val="002F4870"/>
    <w:rsid w:val="00300B4D"/>
    <w:rsid w:val="003017D6"/>
    <w:rsid w:val="0030194A"/>
    <w:rsid w:val="0030294D"/>
    <w:rsid w:val="003035B2"/>
    <w:rsid w:val="00304AAC"/>
    <w:rsid w:val="00304E20"/>
    <w:rsid w:val="003104A4"/>
    <w:rsid w:val="00311F76"/>
    <w:rsid w:val="00313BF9"/>
    <w:rsid w:val="00320E22"/>
    <w:rsid w:val="00321916"/>
    <w:rsid w:val="003238A8"/>
    <w:rsid w:val="00325D60"/>
    <w:rsid w:val="00331A9A"/>
    <w:rsid w:val="0034008B"/>
    <w:rsid w:val="00341BF8"/>
    <w:rsid w:val="0034280A"/>
    <w:rsid w:val="00345BDA"/>
    <w:rsid w:val="00347CAB"/>
    <w:rsid w:val="0035245D"/>
    <w:rsid w:val="00356499"/>
    <w:rsid w:val="00364C09"/>
    <w:rsid w:val="00367D5A"/>
    <w:rsid w:val="003719EF"/>
    <w:rsid w:val="003802F2"/>
    <w:rsid w:val="00395EDA"/>
    <w:rsid w:val="003A0557"/>
    <w:rsid w:val="003A2907"/>
    <w:rsid w:val="003A49B9"/>
    <w:rsid w:val="003A58B1"/>
    <w:rsid w:val="003A71B2"/>
    <w:rsid w:val="003B0906"/>
    <w:rsid w:val="003B3AC4"/>
    <w:rsid w:val="003C03EF"/>
    <w:rsid w:val="003C0C80"/>
    <w:rsid w:val="003C225C"/>
    <w:rsid w:val="003C4AA4"/>
    <w:rsid w:val="003D6C50"/>
    <w:rsid w:val="003E0DEE"/>
    <w:rsid w:val="003E3298"/>
    <w:rsid w:val="003E3BAF"/>
    <w:rsid w:val="003E762C"/>
    <w:rsid w:val="003F02CF"/>
    <w:rsid w:val="003F058D"/>
    <w:rsid w:val="003F38DC"/>
    <w:rsid w:val="00410128"/>
    <w:rsid w:val="0041671C"/>
    <w:rsid w:val="00417653"/>
    <w:rsid w:val="00425BF5"/>
    <w:rsid w:val="00427275"/>
    <w:rsid w:val="0043230F"/>
    <w:rsid w:val="004329A9"/>
    <w:rsid w:val="0043786A"/>
    <w:rsid w:val="00437CFF"/>
    <w:rsid w:val="00440311"/>
    <w:rsid w:val="00444731"/>
    <w:rsid w:val="00444C28"/>
    <w:rsid w:val="0044706D"/>
    <w:rsid w:val="00451921"/>
    <w:rsid w:val="00453B8F"/>
    <w:rsid w:val="00455EBA"/>
    <w:rsid w:val="00461C73"/>
    <w:rsid w:val="00462CCE"/>
    <w:rsid w:val="004664CA"/>
    <w:rsid w:val="00466A22"/>
    <w:rsid w:val="00467FE9"/>
    <w:rsid w:val="00475CD2"/>
    <w:rsid w:val="0048307A"/>
    <w:rsid w:val="004841C9"/>
    <w:rsid w:val="00484ECF"/>
    <w:rsid w:val="004866DA"/>
    <w:rsid w:val="00493702"/>
    <w:rsid w:val="004A4D3D"/>
    <w:rsid w:val="004B1F2E"/>
    <w:rsid w:val="004B2CB2"/>
    <w:rsid w:val="004D0AF6"/>
    <w:rsid w:val="004D4038"/>
    <w:rsid w:val="004F5A1F"/>
    <w:rsid w:val="004F60D0"/>
    <w:rsid w:val="00502F1A"/>
    <w:rsid w:val="00507329"/>
    <w:rsid w:val="0051311F"/>
    <w:rsid w:val="00516E49"/>
    <w:rsid w:val="00517408"/>
    <w:rsid w:val="00517D3F"/>
    <w:rsid w:val="00523081"/>
    <w:rsid w:val="00523560"/>
    <w:rsid w:val="00531813"/>
    <w:rsid w:val="0053262E"/>
    <w:rsid w:val="00532642"/>
    <w:rsid w:val="005378D4"/>
    <w:rsid w:val="005402C3"/>
    <w:rsid w:val="005450F0"/>
    <w:rsid w:val="00551E52"/>
    <w:rsid w:val="0055440B"/>
    <w:rsid w:val="00561123"/>
    <w:rsid w:val="00561890"/>
    <w:rsid w:val="00563A2F"/>
    <w:rsid w:val="005703F6"/>
    <w:rsid w:val="005704B8"/>
    <w:rsid w:val="005728BE"/>
    <w:rsid w:val="00574CEC"/>
    <w:rsid w:val="005753D2"/>
    <w:rsid w:val="00581AB9"/>
    <w:rsid w:val="00581F04"/>
    <w:rsid w:val="00584834"/>
    <w:rsid w:val="00584B30"/>
    <w:rsid w:val="00584EA1"/>
    <w:rsid w:val="00586FFF"/>
    <w:rsid w:val="0059182F"/>
    <w:rsid w:val="005A6CE6"/>
    <w:rsid w:val="005B14C9"/>
    <w:rsid w:val="005B3900"/>
    <w:rsid w:val="005C0135"/>
    <w:rsid w:val="005C1B11"/>
    <w:rsid w:val="005C236D"/>
    <w:rsid w:val="005C388F"/>
    <w:rsid w:val="005C41E6"/>
    <w:rsid w:val="005C6A7B"/>
    <w:rsid w:val="005C7D3C"/>
    <w:rsid w:val="005D03E4"/>
    <w:rsid w:val="005D1F93"/>
    <w:rsid w:val="005D634C"/>
    <w:rsid w:val="005E2996"/>
    <w:rsid w:val="005E386B"/>
    <w:rsid w:val="005E493C"/>
    <w:rsid w:val="005E71A1"/>
    <w:rsid w:val="005F0A77"/>
    <w:rsid w:val="005F19B6"/>
    <w:rsid w:val="005F370A"/>
    <w:rsid w:val="005F677B"/>
    <w:rsid w:val="005F78AB"/>
    <w:rsid w:val="0060410F"/>
    <w:rsid w:val="006132A9"/>
    <w:rsid w:val="00613542"/>
    <w:rsid w:val="00616403"/>
    <w:rsid w:val="0061741A"/>
    <w:rsid w:val="00621608"/>
    <w:rsid w:val="0062397A"/>
    <w:rsid w:val="00625D14"/>
    <w:rsid w:val="0063137A"/>
    <w:rsid w:val="00631BCA"/>
    <w:rsid w:val="00645539"/>
    <w:rsid w:val="00654EB3"/>
    <w:rsid w:val="00661E27"/>
    <w:rsid w:val="006623F9"/>
    <w:rsid w:val="00667C50"/>
    <w:rsid w:val="0067411D"/>
    <w:rsid w:val="006765B0"/>
    <w:rsid w:val="00683A31"/>
    <w:rsid w:val="0068448F"/>
    <w:rsid w:val="0068547A"/>
    <w:rsid w:val="006859E0"/>
    <w:rsid w:val="00692BFE"/>
    <w:rsid w:val="006931E0"/>
    <w:rsid w:val="00693745"/>
    <w:rsid w:val="00693847"/>
    <w:rsid w:val="00693DCE"/>
    <w:rsid w:val="006952CB"/>
    <w:rsid w:val="006A4E44"/>
    <w:rsid w:val="006A5472"/>
    <w:rsid w:val="006A5FB1"/>
    <w:rsid w:val="006A6E74"/>
    <w:rsid w:val="006B00BB"/>
    <w:rsid w:val="006B1897"/>
    <w:rsid w:val="006B6B1D"/>
    <w:rsid w:val="006C0200"/>
    <w:rsid w:val="006C36C7"/>
    <w:rsid w:val="006C69EC"/>
    <w:rsid w:val="006D1BF6"/>
    <w:rsid w:val="006D2451"/>
    <w:rsid w:val="006D4069"/>
    <w:rsid w:val="006D5125"/>
    <w:rsid w:val="006E0C1D"/>
    <w:rsid w:val="006E2156"/>
    <w:rsid w:val="006E3787"/>
    <w:rsid w:val="006E5805"/>
    <w:rsid w:val="006E678E"/>
    <w:rsid w:val="006F2082"/>
    <w:rsid w:val="006F2EE9"/>
    <w:rsid w:val="006F76C9"/>
    <w:rsid w:val="007049FC"/>
    <w:rsid w:val="00706035"/>
    <w:rsid w:val="0071091D"/>
    <w:rsid w:val="00713A2A"/>
    <w:rsid w:val="007169FB"/>
    <w:rsid w:val="00721C59"/>
    <w:rsid w:val="00723262"/>
    <w:rsid w:val="007254F2"/>
    <w:rsid w:val="00730372"/>
    <w:rsid w:val="0073290F"/>
    <w:rsid w:val="00733C64"/>
    <w:rsid w:val="007340F7"/>
    <w:rsid w:val="00735E68"/>
    <w:rsid w:val="00736BCB"/>
    <w:rsid w:val="007426EF"/>
    <w:rsid w:val="00742F67"/>
    <w:rsid w:val="00743665"/>
    <w:rsid w:val="00744838"/>
    <w:rsid w:val="0074645E"/>
    <w:rsid w:val="00750F13"/>
    <w:rsid w:val="0075465D"/>
    <w:rsid w:val="0076151C"/>
    <w:rsid w:val="0076482E"/>
    <w:rsid w:val="00765161"/>
    <w:rsid w:val="00770097"/>
    <w:rsid w:val="0077381D"/>
    <w:rsid w:val="00773A3C"/>
    <w:rsid w:val="007857FF"/>
    <w:rsid w:val="00793518"/>
    <w:rsid w:val="00796742"/>
    <w:rsid w:val="0079717A"/>
    <w:rsid w:val="007A091B"/>
    <w:rsid w:val="007A3AA9"/>
    <w:rsid w:val="007A3B9F"/>
    <w:rsid w:val="007B2437"/>
    <w:rsid w:val="007C10EA"/>
    <w:rsid w:val="007C2D92"/>
    <w:rsid w:val="007C7465"/>
    <w:rsid w:val="007D1A32"/>
    <w:rsid w:val="007D1D1E"/>
    <w:rsid w:val="007D271D"/>
    <w:rsid w:val="007D2EBA"/>
    <w:rsid w:val="007E088E"/>
    <w:rsid w:val="007E7D1C"/>
    <w:rsid w:val="007F2273"/>
    <w:rsid w:val="007F2676"/>
    <w:rsid w:val="007F567D"/>
    <w:rsid w:val="0080210D"/>
    <w:rsid w:val="0080361A"/>
    <w:rsid w:val="00803BF2"/>
    <w:rsid w:val="008042F0"/>
    <w:rsid w:val="00804809"/>
    <w:rsid w:val="00811A7C"/>
    <w:rsid w:val="0081351C"/>
    <w:rsid w:val="0081366C"/>
    <w:rsid w:val="0082642D"/>
    <w:rsid w:val="00830AF3"/>
    <w:rsid w:val="0083521E"/>
    <w:rsid w:val="00835FAF"/>
    <w:rsid w:val="00840E0A"/>
    <w:rsid w:val="00843251"/>
    <w:rsid w:val="00845212"/>
    <w:rsid w:val="00846DEC"/>
    <w:rsid w:val="0085129A"/>
    <w:rsid w:val="00851650"/>
    <w:rsid w:val="008518F5"/>
    <w:rsid w:val="00852173"/>
    <w:rsid w:val="00854EB7"/>
    <w:rsid w:val="008561C8"/>
    <w:rsid w:val="00860E7B"/>
    <w:rsid w:val="0086110F"/>
    <w:rsid w:val="008620AE"/>
    <w:rsid w:val="00865311"/>
    <w:rsid w:val="00866366"/>
    <w:rsid w:val="0087008A"/>
    <w:rsid w:val="008714EF"/>
    <w:rsid w:val="00874302"/>
    <w:rsid w:val="00874F99"/>
    <w:rsid w:val="008855E2"/>
    <w:rsid w:val="0088640D"/>
    <w:rsid w:val="0088660F"/>
    <w:rsid w:val="00887A57"/>
    <w:rsid w:val="00892833"/>
    <w:rsid w:val="00895F8C"/>
    <w:rsid w:val="00896787"/>
    <w:rsid w:val="008A0696"/>
    <w:rsid w:val="008A1053"/>
    <w:rsid w:val="008A350A"/>
    <w:rsid w:val="008A551A"/>
    <w:rsid w:val="008A64CB"/>
    <w:rsid w:val="008B0540"/>
    <w:rsid w:val="008B1E18"/>
    <w:rsid w:val="008B6CAF"/>
    <w:rsid w:val="008D02E2"/>
    <w:rsid w:val="008D0B47"/>
    <w:rsid w:val="008D1948"/>
    <w:rsid w:val="008D26CF"/>
    <w:rsid w:val="008D2E4F"/>
    <w:rsid w:val="008D7DEC"/>
    <w:rsid w:val="008E289B"/>
    <w:rsid w:val="008E439A"/>
    <w:rsid w:val="008F4773"/>
    <w:rsid w:val="008F6977"/>
    <w:rsid w:val="009023A6"/>
    <w:rsid w:val="00902AB6"/>
    <w:rsid w:val="00905556"/>
    <w:rsid w:val="0090722F"/>
    <w:rsid w:val="00907E40"/>
    <w:rsid w:val="00912477"/>
    <w:rsid w:val="00912D5C"/>
    <w:rsid w:val="00913CDB"/>
    <w:rsid w:val="009301D6"/>
    <w:rsid w:val="009361B1"/>
    <w:rsid w:val="0094734D"/>
    <w:rsid w:val="00950D41"/>
    <w:rsid w:val="00950D5E"/>
    <w:rsid w:val="009642D6"/>
    <w:rsid w:val="00965DEF"/>
    <w:rsid w:val="00967554"/>
    <w:rsid w:val="00974391"/>
    <w:rsid w:val="00977821"/>
    <w:rsid w:val="009807E0"/>
    <w:rsid w:val="00982103"/>
    <w:rsid w:val="00983877"/>
    <w:rsid w:val="0098450B"/>
    <w:rsid w:val="0099332D"/>
    <w:rsid w:val="009954DB"/>
    <w:rsid w:val="009973E2"/>
    <w:rsid w:val="00997FF0"/>
    <w:rsid w:val="009A6911"/>
    <w:rsid w:val="009B42D7"/>
    <w:rsid w:val="009B6B88"/>
    <w:rsid w:val="009C4EB6"/>
    <w:rsid w:val="009C5901"/>
    <w:rsid w:val="009D008E"/>
    <w:rsid w:val="009D13EC"/>
    <w:rsid w:val="009D580D"/>
    <w:rsid w:val="009E5C18"/>
    <w:rsid w:val="009F06AE"/>
    <w:rsid w:val="009F0EF1"/>
    <w:rsid w:val="00A01141"/>
    <w:rsid w:val="00A0706B"/>
    <w:rsid w:val="00A07E01"/>
    <w:rsid w:val="00A11A7E"/>
    <w:rsid w:val="00A1211D"/>
    <w:rsid w:val="00A13AA0"/>
    <w:rsid w:val="00A14D88"/>
    <w:rsid w:val="00A235AD"/>
    <w:rsid w:val="00A23BA6"/>
    <w:rsid w:val="00A24724"/>
    <w:rsid w:val="00A374C9"/>
    <w:rsid w:val="00A41056"/>
    <w:rsid w:val="00A45FB4"/>
    <w:rsid w:val="00A53F40"/>
    <w:rsid w:val="00A62AC5"/>
    <w:rsid w:val="00A6507D"/>
    <w:rsid w:val="00A668E3"/>
    <w:rsid w:val="00A72C1C"/>
    <w:rsid w:val="00A74084"/>
    <w:rsid w:val="00A771E7"/>
    <w:rsid w:val="00A82CAE"/>
    <w:rsid w:val="00A8327F"/>
    <w:rsid w:val="00A84406"/>
    <w:rsid w:val="00A86B1A"/>
    <w:rsid w:val="00A9080A"/>
    <w:rsid w:val="00A97BA8"/>
    <w:rsid w:val="00AA0D54"/>
    <w:rsid w:val="00AA10FE"/>
    <w:rsid w:val="00AC2E22"/>
    <w:rsid w:val="00AC4537"/>
    <w:rsid w:val="00AC577C"/>
    <w:rsid w:val="00AC712D"/>
    <w:rsid w:val="00AD4775"/>
    <w:rsid w:val="00AE2842"/>
    <w:rsid w:val="00AE496D"/>
    <w:rsid w:val="00AE7E02"/>
    <w:rsid w:val="00AF1033"/>
    <w:rsid w:val="00AF47A3"/>
    <w:rsid w:val="00AF592B"/>
    <w:rsid w:val="00B019F3"/>
    <w:rsid w:val="00B03814"/>
    <w:rsid w:val="00B06A81"/>
    <w:rsid w:val="00B06B79"/>
    <w:rsid w:val="00B104AC"/>
    <w:rsid w:val="00B10979"/>
    <w:rsid w:val="00B10A62"/>
    <w:rsid w:val="00B10E48"/>
    <w:rsid w:val="00B30D44"/>
    <w:rsid w:val="00B32936"/>
    <w:rsid w:val="00B42161"/>
    <w:rsid w:val="00B521C7"/>
    <w:rsid w:val="00B52ED4"/>
    <w:rsid w:val="00B600FE"/>
    <w:rsid w:val="00B61E58"/>
    <w:rsid w:val="00B64CB1"/>
    <w:rsid w:val="00B67D90"/>
    <w:rsid w:val="00B71685"/>
    <w:rsid w:val="00B73D4A"/>
    <w:rsid w:val="00B75D40"/>
    <w:rsid w:val="00B81D76"/>
    <w:rsid w:val="00B83D87"/>
    <w:rsid w:val="00B86722"/>
    <w:rsid w:val="00B86987"/>
    <w:rsid w:val="00B9175B"/>
    <w:rsid w:val="00B957C5"/>
    <w:rsid w:val="00B9631D"/>
    <w:rsid w:val="00B96C5A"/>
    <w:rsid w:val="00BA361E"/>
    <w:rsid w:val="00BA4D36"/>
    <w:rsid w:val="00BA5D07"/>
    <w:rsid w:val="00BB0BB8"/>
    <w:rsid w:val="00BB0CE4"/>
    <w:rsid w:val="00BB2783"/>
    <w:rsid w:val="00BB4D52"/>
    <w:rsid w:val="00BB7396"/>
    <w:rsid w:val="00BC4712"/>
    <w:rsid w:val="00BC6275"/>
    <w:rsid w:val="00BD00A8"/>
    <w:rsid w:val="00BD45C4"/>
    <w:rsid w:val="00BD6D9F"/>
    <w:rsid w:val="00BE1FC3"/>
    <w:rsid w:val="00BE753F"/>
    <w:rsid w:val="00BF1739"/>
    <w:rsid w:val="00BF45A3"/>
    <w:rsid w:val="00BF51BD"/>
    <w:rsid w:val="00BF62B4"/>
    <w:rsid w:val="00C00318"/>
    <w:rsid w:val="00C016E2"/>
    <w:rsid w:val="00C1029D"/>
    <w:rsid w:val="00C125CF"/>
    <w:rsid w:val="00C13B5C"/>
    <w:rsid w:val="00C15EE8"/>
    <w:rsid w:val="00C17A3E"/>
    <w:rsid w:val="00C2144D"/>
    <w:rsid w:val="00C215E1"/>
    <w:rsid w:val="00C219D8"/>
    <w:rsid w:val="00C2243E"/>
    <w:rsid w:val="00C228A6"/>
    <w:rsid w:val="00C27E39"/>
    <w:rsid w:val="00C30751"/>
    <w:rsid w:val="00C3368F"/>
    <w:rsid w:val="00C34730"/>
    <w:rsid w:val="00C35DC5"/>
    <w:rsid w:val="00C3628C"/>
    <w:rsid w:val="00C41A65"/>
    <w:rsid w:val="00C424BD"/>
    <w:rsid w:val="00C43627"/>
    <w:rsid w:val="00C50F56"/>
    <w:rsid w:val="00C56FF6"/>
    <w:rsid w:val="00C62805"/>
    <w:rsid w:val="00C64DA9"/>
    <w:rsid w:val="00C654DE"/>
    <w:rsid w:val="00C65826"/>
    <w:rsid w:val="00C679B4"/>
    <w:rsid w:val="00C67CF3"/>
    <w:rsid w:val="00C732BD"/>
    <w:rsid w:val="00C73495"/>
    <w:rsid w:val="00C75DFE"/>
    <w:rsid w:val="00C77B83"/>
    <w:rsid w:val="00C81DD9"/>
    <w:rsid w:val="00C87234"/>
    <w:rsid w:val="00C925EF"/>
    <w:rsid w:val="00C93960"/>
    <w:rsid w:val="00C97932"/>
    <w:rsid w:val="00CA1E72"/>
    <w:rsid w:val="00CA4984"/>
    <w:rsid w:val="00CB3670"/>
    <w:rsid w:val="00CB57F9"/>
    <w:rsid w:val="00CB6AEC"/>
    <w:rsid w:val="00CB7C8C"/>
    <w:rsid w:val="00CC131E"/>
    <w:rsid w:val="00CC45EC"/>
    <w:rsid w:val="00CD33B1"/>
    <w:rsid w:val="00CD4B6D"/>
    <w:rsid w:val="00CD6778"/>
    <w:rsid w:val="00CD7AAA"/>
    <w:rsid w:val="00CE1069"/>
    <w:rsid w:val="00CE1D7D"/>
    <w:rsid w:val="00CE39CD"/>
    <w:rsid w:val="00CE6D8E"/>
    <w:rsid w:val="00CF3911"/>
    <w:rsid w:val="00CF39A5"/>
    <w:rsid w:val="00CF4D4D"/>
    <w:rsid w:val="00CF65DA"/>
    <w:rsid w:val="00D0278D"/>
    <w:rsid w:val="00D11F66"/>
    <w:rsid w:val="00D21565"/>
    <w:rsid w:val="00D23FB7"/>
    <w:rsid w:val="00D25004"/>
    <w:rsid w:val="00D27016"/>
    <w:rsid w:val="00D274A8"/>
    <w:rsid w:val="00D30D10"/>
    <w:rsid w:val="00D33EDD"/>
    <w:rsid w:val="00D35264"/>
    <w:rsid w:val="00D45E03"/>
    <w:rsid w:val="00D47C75"/>
    <w:rsid w:val="00D5010C"/>
    <w:rsid w:val="00D54C0B"/>
    <w:rsid w:val="00D553F5"/>
    <w:rsid w:val="00D55A4A"/>
    <w:rsid w:val="00D56258"/>
    <w:rsid w:val="00D62C7A"/>
    <w:rsid w:val="00D6406D"/>
    <w:rsid w:val="00D64E45"/>
    <w:rsid w:val="00D67FFB"/>
    <w:rsid w:val="00D74F3F"/>
    <w:rsid w:val="00D77390"/>
    <w:rsid w:val="00D77543"/>
    <w:rsid w:val="00D82A68"/>
    <w:rsid w:val="00D84102"/>
    <w:rsid w:val="00D854C1"/>
    <w:rsid w:val="00D85ACF"/>
    <w:rsid w:val="00D901FC"/>
    <w:rsid w:val="00D931E7"/>
    <w:rsid w:val="00D955E8"/>
    <w:rsid w:val="00D96744"/>
    <w:rsid w:val="00DA28FF"/>
    <w:rsid w:val="00DA4EBE"/>
    <w:rsid w:val="00DA5918"/>
    <w:rsid w:val="00DA5E5A"/>
    <w:rsid w:val="00DA7469"/>
    <w:rsid w:val="00DB7C7A"/>
    <w:rsid w:val="00DB7FBD"/>
    <w:rsid w:val="00DC2B54"/>
    <w:rsid w:val="00DC7A2D"/>
    <w:rsid w:val="00DD15F0"/>
    <w:rsid w:val="00DD3BB4"/>
    <w:rsid w:val="00DE06BF"/>
    <w:rsid w:val="00DE207D"/>
    <w:rsid w:val="00DE5EA1"/>
    <w:rsid w:val="00E069C9"/>
    <w:rsid w:val="00E11353"/>
    <w:rsid w:val="00E1138B"/>
    <w:rsid w:val="00E13C95"/>
    <w:rsid w:val="00E205AD"/>
    <w:rsid w:val="00E23E3A"/>
    <w:rsid w:val="00E242B6"/>
    <w:rsid w:val="00E24738"/>
    <w:rsid w:val="00E33303"/>
    <w:rsid w:val="00E348EA"/>
    <w:rsid w:val="00E35F30"/>
    <w:rsid w:val="00E4238B"/>
    <w:rsid w:val="00E443E5"/>
    <w:rsid w:val="00E44DF2"/>
    <w:rsid w:val="00E507C1"/>
    <w:rsid w:val="00E5155E"/>
    <w:rsid w:val="00E519CF"/>
    <w:rsid w:val="00E52C47"/>
    <w:rsid w:val="00E53EBB"/>
    <w:rsid w:val="00E658EA"/>
    <w:rsid w:val="00E71FDC"/>
    <w:rsid w:val="00E7430C"/>
    <w:rsid w:val="00E810E5"/>
    <w:rsid w:val="00E9110D"/>
    <w:rsid w:val="00E91170"/>
    <w:rsid w:val="00EA234A"/>
    <w:rsid w:val="00EA7626"/>
    <w:rsid w:val="00EB4112"/>
    <w:rsid w:val="00EB5A58"/>
    <w:rsid w:val="00EC4A27"/>
    <w:rsid w:val="00ED4000"/>
    <w:rsid w:val="00ED4A5C"/>
    <w:rsid w:val="00ED680D"/>
    <w:rsid w:val="00EE1493"/>
    <w:rsid w:val="00EE1F77"/>
    <w:rsid w:val="00EE3497"/>
    <w:rsid w:val="00EE3B05"/>
    <w:rsid w:val="00EE4895"/>
    <w:rsid w:val="00EF11BB"/>
    <w:rsid w:val="00EF11CB"/>
    <w:rsid w:val="00EF4AD8"/>
    <w:rsid w:val="00EF4FDB"/>
    <w:rsid w:val="00F15013"/>
    <w:rsid w:val="00F219B2"/>
    <w:rsid w:val="00F21BF5"/>
    <w:rsid w:val="00F2267B"/>
    <w:rsid w:val="00F23603"/>
    <w:rsid w:val="00F31AE2"/>
    <w:rsid w:val="00F33A1E"/>
    <w:rsid w:val="00F377E6"/>
    <w:rsid w:val="00F4002F"/>
    <w:rsid w:val="00F5286A"/>
    <w:rsid w:val="00F53EF9"/>
    <w:rsid w:val="00F55218"/>
    <w:rsid w:val="00F61FA5"/>
    <w:rsid w:val="00F714B7"/>
    <w:rsid w:val="00F715A0"/>
    <w:rsid w:val="00F779FC"/>
    <w:rsid w:val="00F80EE6"/>
    <w:rsid w:val="00F84218"/>
    <w:rsid w:val="00F8732A"/>
    <w:rsid w:val="00F9028D"/>
    <w:rsid w:val="00F933B8"/>
    <w:rsid w:val="00F97479"/>
    <w:rsid w:val="00FB34B5"/>
    <w:rsid w:val="00FB57B8"/>
    <w:rsid w:val="00FB6B9A"/>
    <w:rsid w:val="00FB726F"/>
    <w:rsid w:val="00FB7E64"/>
    <w:rsid w:val="00FC7DA1"/>
    <w:rsid w:val="00FD06A4"/>
    <w:rsid w:val="00FD0805"/>
    <w:rsid w:val="00FD09DD"/>
    <w:rsid w:val="00FD6672"/>
    <w:rsid w:val="00FD67C4"/>
    <w:rsid w:val="00FD79F3"/>
    <w:rsid w:val="00FE5A5C"/>
    <w:rsid w:val="00FE7A48"/>
    <w:rsid w:val="00FF0CD9"/>
    <w:rsid w:val="00FF10BC"/>
    <w:rsid w:val="00FF3460"/>
    <w:rsid w:val="00FF376A"/>
    <w:rsid w:val="00FF4BF9"/>
    <w:rsid w:val="00FF4C2B"/>
    <w:rsid w:val="00FF7C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634FD3"/>
  <w15:chartTrackingRefBased/>
  <w15:docId w15:val="{D383308C-FDF6-46C7-A0B6-960C96FE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BFB"/>
    <w:rPr>
      <w:sz w:val="24"/>
    </w:rPr>
  </w:style>
  <w:style w:type="paragraph" w:styleId="Heading2">
    <w:name w:val="heading 2"/>
    <w:basedOn w:val="Normal"/>
    <w:next w:val="Normal"/>
    <w:qFormat/>
    <w:rsid w:val="000772D4"/>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4D52"/>
    <w:pPr>
      <w:tabs>
        <w:tab w:val="center" w:pos="4320"/>
        <w:tab w:val="right" w:pos="8640"/>
      </w:tabs>
    </w:pPr>
  </w:style>
  <w:style w:type="paragraph" w:styleId="Footer">
    <w:name w:val="footer"/>
    <w:basedOn w:val="Normal"/>
    <w:rsid w:val="00BB4D52"/>
    <w:pPr>
      <w:tabs>
        <w:tab w:val="center" w:pos="4320"/>
        <w:tab w:val="right" w:pos="8640"/>
      </w:tabs>
    </w:pPr>
  </w:style>
  <w:style w:type="paragraph" w:styleId="BalloonText">
    <w:name w:val="Balloon Text"/>
    <w:basedOn w:val="Normal"/>
    <w:semiHidden/>
    <w:rsid w:val="002003E8"/>
    <w:rPr>
      <w:rFonts w:ascii="Tahoma" w:hAnsi="Tahoma" w:cs="Tahoma"/>
      <w:sz w:val="16"/>
      <w:szCs w:val="16"/>
    </w:rPr>
  </w:style>
  <w:style w:type="character" w:styleId="PageNumber">
    <w:name w:val="page number"/>
    <w:basedOn w:val="DefaultParagraphFont"/>
    <w:rsid w:val="00E23E3A"/>
  </w:style>
  <w:style w:type="paragraph" w:styleId="FootnoteText">
    <w:name w:val="footnote text"/>
    <w:basedOn w:val="Normal"/>
    <w:semiHidden/>
    <w:rsid w:val="00516E49"/>
    <w:rPr>
      <w:sz w:val="20"/>
    </w:rPr>
  </w:style>
  <w:style w:type="character" w:styleId="FootnoteReference">
    <w:name w:val="footnote reference"/>
    <w:semiHidden/>
    <w:rsid w:val="00516E49"/>
    <w:rPr>
      <w:vertAlign w:val="superscript"/>
    </w:rPr>
  </w:style>
  <w:style w:type="paragraph" w:customStyle="1" w:styleId="ParaNum">
    <w:name w:val="ParaNum"/>
    <w:basedOn w:val="Normal"/>
    <w:rsid w:val="00341BF8"/>
    <w:pPr>
      <w:numPr>
        <w:numId w:val="4"/>
      </w:numPr>
      <w:tabs>
        <w:tab w:val="left" w:pos="-1440"/>
        <w:tab w:val="left" w:pos="-720"/>
        <w:tab w:val="num" w:pos="720"/>
        <w:tab w:val="clear" w:pos="1080"/>
      </w:tabs>
      <w:suppressAutoHyphens/>
      <w:spacing w:after="240"/>
    </w:pPr>
    <w:rPr>
      <w:sz w:val="22"/>
    </w:rPr>
  </w:style>
  <w:style w:type="character" w:styleId="CommentReference">
    <w:name w:val="annotation reference"/>
    <w:rsid w:val="00E443E5"/>
    <w:rPr>
      <w:sz w:val="16"/>
      <w:szCs w:val="16"/>
    </w:rPr>
  </w:style>
  <w:style w:type="paragraph" w:styleId="CommentText">
    <w:name w:val="annotation text"/>
    <w:basedOn w:val="Normal"/>
    <w:link w:val="CommentTextChar"/>
    <w:rsid w:val="00E443E5"/>
    <w:rPr>
      <w:sz w:val="20"/>
    </w:rPr>
  </w:style>
  <w:style w:type="character" w:customStyle="1" w:styleId="CommentTextChar">
    <w:name w:val="Comment Text Char"/>
    <w:basedOn w:val="DefaultParagraphFont"/>
    <w:link w:val="CommentText"/>
    <w:rsid w:val="00E443E5"/>
  </w:style>
  <w:style w:type="paragraph" w:styleId="CommentSubject">
    <w:name w:val="annotation subject"/>
    <w:basedOn w:val="CommentText"/>
    <w:next w:val="CommentText"/>
    <w:link w:val="CommentSubjectChar"/>
    <w:rsid w:val="00E443E5"/>
    <w:rPr>
      <w:b/>
      <w:bCs/>
    </w:rPr>
  </w:style>
  <w:style w:type="character" w:customStyle="1" w:styleId="CommentSubjectChar">
    <w:name w:val="Comment Subject Char"/>
    <w:link w:val="CommentSubject"/>
    <w:rsid w:val="00E443E5"/>
    <w:rPr>
      <w:b/>
      <w:bCs/>
    </w:rPr>
  </w:style>
  <w:style w:type="paragraph" w:styleId="Revision">
    <w:name w:val="Revision"/>
    <w:hidden/>
    <w:uiPriority w:val="99"/>
    <w:semiHidden/>
    <w:rsid w:val="005C6A7B"/>
    <w:rPr>
      <w:sz w:val="24"/>
    </w:rPr>
  </w:style>
  <w:style w:type="paragraph" w:styleId="ListParagraph">
    <w:name w:val="List Paragraph"/>
    <w:basedOn w:val="Normal"/>
    <w:uiPriority w:val="34"/>
    <w:qFormat/>
    <w:rsid w:val="00CA498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D25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86B72-8B72-49EB-A66C-2B87DEC2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3060-0262</vt:lpstr>
    </vt:vector>
  </TitlesOfParts>
  <Company>FCC</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3060-0262</dc:title>
  <dc:creator>callgaie</dc:creator>
  <cp:lastModifiedBy>Cathy Williams</cp:lastModifiedBy>
  <cp:revision>2</cp:revision>
  <cp:lastPrinted>2019-07-01T15:37:00Z</cp:lastPrinted>
  <dcterms:created xsi:type="dcterms:W3CDTF">2025-08-14T14:24:00Z</dcterms:created>
  <dcterms:modified xsi:type="dcterms:W3CDTF">2025-08-14T14:24:00Z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4AAA4Lxe55UJ0C8fdNDXCOBsFTyuHQxX+TwdTrTWKphI6yqoRfRLZbrXxQ==</vt:lpwstr>
  </property>
  <property fmtid="{D5CDD505-2E9C-101B-9397-08002B2CF9AE}" pid="3" name="MAIL_MSG_ID1">
    <vt:lpwstr>ABAAVOAfoSrQoywHjd1y4yZGEbSBSRCqstNqiYY/lm8PFvzyUKJUQ9/tLvhiS3Nlylda</vt:lpwstr>
  </property>
  <property fmtid="{D5CDD505-2E9C-101B-9397-08002B2CF9AE}" pid="4" name="RESPONSE_SENDER_NAME">
    <vt:lpwstr>gAAAdya76B99d4hLGUR1rQ+8TxTv0GGEPdix</vt:lpwstr>
  </property>
  <property fmtid="{D5CDD505-2E9C-101B-9397-08002B2CF9AE}" pid="5" name="_EmailEntryID">
    <vt:lpwstr>00000000D3E47BBA5FBDF04B834CA7A964169ECD0700BF17D4F30776D441B05165F92C68ACD10000006957A10000FDB4FF3983BC5741B262650D7EC7E86600092F0AB7A50000</vt:lpwstr>
  </property>
  <property fmtid="{D5CDD505-2E9C-101B-9397-08002B2CF9AE}" pid="6"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7"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8" name="_EmailStoreID2">
    <vt:lpwstr>0040006600630063002E0067006F00760000000000</vt:lpwstr>
  </property>
  <property fmtid="{D5CDD505-2E9C-101B-9397-08002B2CF9AE}" pid="9" name="_ReviewCycleID">
    <vt:i4>-234160873</vt:i4>
  </property>
  <property fmtid="{D5CDD505-2E9C-101B-9397-08002B2CF9AE}" pid="10" name="_ReviewingToolsShownOnce">
    <vt:lpwstr/>
  </property>
</Properties>
</file>