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58EE" w:rsidRPr="007315B5" w:rsidP="006E26D6" w14:paraId="40DC46AE" w14:textId="77777777">
      <w:pPr>
        <w:tabs>
          <w:tab w:val="right" w:pos="9360"/>
        </w:tabs>
        <w:spacing w:line="480" w:lineRule="auto"/>
        <w:ind w:right="270"/>
        <w:rPr>
          <w:rFonts w:ascii="Arial" w:hAnsi="Arial" w:cs="Arial"/>
          <w:b/>
          <w:sz w:val="24"/>
          <w:szCs w:val="24"/>
        </w:rPr>
      </w:pPr>
      <w:r w:rsidRPr="007315B5">
        <w:rPr>
          <w:rFonts w:ascii="Arial" w:hAnsi="Arial" w:cs="Arial"/>
          <w:b/>
          <w:sz w:val="24"/>
          <w:szCs w:val="24"/>
        </w:rPr>
        <w:t>DEPARTMENT OF VETERANS AFFAIRS</w:t>
      </w:r>
      <w:r w:rsidRPr="007315B5">
        <w:rPr>
          <w:rFonts w:ascii="Arial" w:hAnsi="Arial" w:cs="Arial"/>
          <w:b/>
          <w:color w:val="000000"/>
          <w:sz w:val="24"/>
          <w:szCs w:val="24"/>
        </w:rPr>
        <w:t xml:space="preserve"> </w:t>
      </w:r>
      <w:r w:rsidRPr="007315B5">
        <w:rPr>
          <w:rFonts w:ascii="Arial" w:hAnsi="Arial" w:cs="Arial"/>
          <w:b/>
          <w:color w:val="000000"/>
          <w:sz w:val="24"/>
          <w:szCs w:val="24"/>
        </w:rPr>
        <w:tab/>
      </w:r>
    </w:p>
    <w:p w:rsidR="00B94AAC" w:rsidRPr="00DB7279" w:rsidP="00B94AAC" w14:paraId="41EFB24C" w14:textId="77777777">
      <w:pPr>
        <w:tabs>
          <w:tab w:val="left" w:pos="-720"/>
          <w:tab w:val="right" w:pos="9360"/>
        </w:tabs>
        <w:suppressAutoHyphens/>
        <w:ind w:right="270"/>
        <w:rPr>
          <w:rFonts w:ascii="Arial" w:hAnsi="Arial" w:cs="Arial"/>
          <w:b/>
          <w:sz w:val="24"/>
          <w:szCs w:val="24"/>
        </w:rPr>
      </w:pPr>
      <w:r w:rsidRPr="00DB7279">
        <w:rPr>
          <w:rFonts w:ascii="Arial" w:hAnsi="Arial" w:cs="Arial"/>
          <w:b/>
          <w:sz w:val="24"/>
          <w:szCs w:val="24"/>
        </w:rPr>
        <w:t>[OMB Control No. 2900-</w:t>
      </w:r>
      <w:r>
        <w:rPr>
          <w:rFonts w:ascii="Arial" w:hAnsi="Arial" w:cs="Arial"/>
          <w:b/>
          <w:sz w:val="24"/>
          <w:szCs w:val="24"/>
        </w:rPr>
        <w:t>0876</w:t>
      </w:r>
      <w:r w:rsidRPr="00DB7279">
        <w:rPr>
          <w:rFonts w:ascii="Arial" w:hAnsi="Arial" w:cs="Arial"/>
          <w:b/>
          <w:sz w:val="24"/>
          <w:szCs w:val="24"/>
        </w:rPr>
        <w:t>]</w:t>
      </w:r>
    </w:p>
    <w:p w:rsidR="006E26D6" w:rsidP="006E26D6" w14:paraId="05DC7514" w14:textId="77777777">
      <w:pPr>
        <w:tabs>
          <w:tab w:val="left" w:pos="-720"/>
          <w:tab w:val="right" w:pos="9360"/>
        </w:tabs>
        <w:suppressAutoHyphens/>
        <w:ind w:right="270"/>
        <w:rPr>
          <w:rFonts w:ascii="Arial" w:hAnsi="Arial" w:cs="Arial"/>
          <w:b/>
          <w:sz w:val="24"/>
          <w:szCs w:val="24"/>
        </w:rPr>
      </w:pPr>
    </w:p>
    <w:p w:rsidR="006E26D6" w:rsidRPr="007315B5" w:rsidP="006E26D6" w14:paraId="75844280" w14:textId="77777777">
      <w:pPr>
        <w:tabs>
          <w:tab w:val="left" w:pos="-720"/>
          <w:tab w:val="right" w:pos="9360"/>
        </w:tabs>
        <w:suppressAutoHyphens/>
        <w:ind w:right="270"/>
        <w:rPr>
          <w:rFonts w:ascii="Arial" w:hAnsi="Arial" w:cs="Arial"/>
          <w:b/>
          <w:sz w:val="24"/>
          <w:szCs w:val="24"/>
        </w:rPr>
      </w:pPr>
    </w:p>
    <w:p w:rsidR="006E26D6" w:rsidRPr="007465B2" w:rsidP="006E26D6" w14:paraId="6DF81837" w14:textId="7A517D1C">
      <w:pPr>
        <w:tabs>
          <w:tab w:val="right" w:pos="9360"/>
        </w:tabs>
        <w:spacing w:line="480" w:lineRule="auto"/>
        <w:ind w:right="270"/>
        <w:rPr>
          <w:rFonts w:ascii="Arial" w:hAnsi="Arial" w:cs="Arial"/>
          <w:b/>
          <w:color w:val="C00000"/>
          <w:sz w:val="24"/>
          <w:szCs w:val="24"/>
        </w:rPr>
      </w:pPr>
      <w:r w:rsidRPr="007315B5">
        <w:rPr>
          <w:rFonts w:ascii="Arial" w:hAnsi="Arial" w:cs="Arial"/>
          <w:b/>
          <w:color w:val="000000"/>
          <w:sz w:val="24"/>
          <w:szCs w:val="24"/>
        </w:rPr>
        <w:t>Agency</w:t>
      </w:r>
      <w:r w:rsidRPr="007315B5" w:rsidR="00B76618">
        <w:rPr>
          <w:rFonts w:ascii="Arial" w:hAnsi="Arial" w:cs="Arial"/>
          <w:b/>
          <w:color w:val="000000"/>
          <w:sz w:val="24"/>
          <w:szCs w:val="24"/>
        </w:rPr>
        <w:t xml:space="preserve"> Information </w:t>
      </w:r>
      <w:r w:rsidRPr="00DC1530" w:rsidR="00B76618">
        <w:rPr>
          <w:rFonts w:ascii="Arial" w:hAnsi="Arial" w:cs="Arial"/>
          <w:b/>
          <w:sz w:val="24"/>
          <w:szCs w:val="24"/>
        </w:rPr>
        <w:t>Collection</w:t>
      </w:r>
      <w:r w:rsidRPr="007315B5" w:rsidR="00B76618">
        <w:rPr>
          <w:rFonts w:ascii="Arial" w:hAnsi="Arial" w:cs="Arial"/>
          <w:b/>
          <w:color w:val="000000"/>
          <w:sz w:val="24"/>
          <w:szCs w:val="24"/>
        </w:rPr>
        <w:t xml:space="preserve"> </w:t>
      </w:r>
      <w:r w:rsidRPr="007315B5" w:rsidR="00173766">
        <w:rPr>
          <w:rFonts w:ascii="Arial" w:hAnsi="Arial" w:cs="Arial"/>
          <w:b/>
          <w:color w:val="000000"/>
          <w:sz w:val="24"/>
          <w:szCs w:val="24"/>
        </w:rPr>
        <w:t xml:space="preserve">Activity under OMB Review: </w:t>
      </w:r>
      <w:r>
        <w:rPr>
          <w:rFonts w:ascii="Arial" w:hAnsi="Arial" w:cs="Arial"/>
          <w:b/>
          <w:color w:val="000000"/>
          <w:sz w:val="24"/>
          <w:szCs w:val="24"/>
        </w:rPr>
        <w:t xml:space="preserve"> </w:t>
      </w:r>
      <w:r w:rsidRPr="00DB7279" w:rsidR="00B94AAC">
        <w:rPr>
          <w:rFonts w:ascii="Arial" w:hAnsi="Arial" w:cs="Arial"/>
          <w:b/>
          <w:bCs/>
          <w:sz w:val="24"/>
        </w:rPr>
        <w:t xml:space="preserve">Clearance for A–11 Section </w:t>
      </w:r>
      <w:r w:rsidRPr="005B49AD" w:rsidR="00B94AAC">
        <w:rPr>
          <w:rFonts w:ascii="Arial" w:hAnsi="Arial" w:cs="Arial"/>
          <w:b/>
          <w:bCs/>
          <w:sz w:val="24"/>
        </w:rPr>
        <w:t>280 Improving Customer Experience</w:t>
      </w:r>
      <w:r w:rsidRPr="00DB7279" w:rsidR="00B94AAC">
        <w:rPr>
          <w:rFonts w:ascii="Arial" w:hAnsi="Arial" w:cs="Arial"/>
          <w:b/>
          <w:bCs/>
          <w:sz w:val="24"/>
        </w:rPr>
        <w:t xml:space="preserve"> Information Collection</w:t>
      </w:r>
    </w:p>
    <w:p w:rsidR="00AB2D96" w:rsidRPr="008613E4" w:rsidP="006E26D6" w14:paraId="61C5EF96" w14:textId="77777777">
      <w:pPr>
        <w:tabs>
          <w:tab w:val="right" w:pos="9360"/>
        </w:tabs>
        <w:ind w:right="270"/>
        <w:rPr>
          <w:rFonts w:ascii="Arial" w:hAnsi="Arial" w:cs="Arial"/>
          <w:color w:val="000000"/>
          <w:sz w:val="24"/>
          <w:szCs w:val="24"/>
        </w:rPr>
      </w:pPr>
    </w:p>
    <w:p w:rsidR="00AB2D96" w:rsidRPr="008613E4" w:rsidP="007315B5" w14:paraId="01854635" w14:textId="5443B95E">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AGENCY:</w:t>
      </w:r>
      <w:r w:rsidRPr="008613E4">
        <w:rPr>
          <w:rFonts w:ascii="Arial" w:hAnsi="Arial" w:cs="Arial"/>
          <w:color w:val="000000"/>
          <w:sz w:val="24"/>
          <w:szCs w:val="24"/>
        </w:rPr>
        <w:t xml:space="preserve">  </w:t>
      </w:r>
      <w:r w:rsidRPr="00DB7279" w:rsidR="00B94AAC">
        <w:rPr>
          <w:rFonts w:ascii="Arial" w:hAnsi="Arial" w:cs="Arial"/>
          <w:sz w:val="24"/>
        </w:rPr>
        <w:t>Veterans Experience Office</w:t>
      </w:r>
      <w:r w:rsidRPr="00DB7279" w:rsidR="00B94AAC">
        <w:rPr>
          <w:rFonts w:ascii="Arial" w:hAnsi="Arial" w:cs="Arial"/>
          <w:sz w:val="24"/>
          <w:szCs w:val="24"/>
        </w:rPr>
        <w:t>, Department of Veterans Affairs.</w:t>
      </w:r>
    </w:p>
    <w:p w:rsidR="00AB2D96" w:rsidRPr="008613E4" w:rsidP="007315B5" w14:paraId="70E30444" w14:textId="77777777">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ACTION:</w:t>
      </w:r>
      <w:r w:rsidRPr="008613E4">
        <w:rPr>
          <w:rFonts w:ascii="Arial" w:hAnsi="Arial" w:cs="Arial"/>
          <w:color w:val="000000"/>
          <w:sz w:val="24"/>
          <w:szCs w:val="24"/>
        </w:rPr>
        <w:t xml:space="preserve">  Notice.</w:t>
      </w:r>
    </w:p>
    <w:p w:rsidR="00AB2D96" w:rsidP="007315B5" w14:paraId="50279A91" w14:textId="558FD630">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 xml:space="preserve">SUMMARY:  </w:t>
      </w:r>
      <w:r w:rsidRPr="00DB7279" w:rsidR="00B94AAC">
        <w:rPr>
          <w:rFonts w:ascii="Arial" w:hAnsi="Arial" w:cs="Arial"/>
          <w:sz w:val="24"/>
          <w:szCs w:val="24"/>
        </w:rPr>
        <w:t xml:space="preserve">In compliance with the Paperwork Reduction Act (PRA) of 1995, this notice announces that the </w:t>
      </w:r>
      <w:r w:rsidRPr="00DB7279" w:rsidR="00B94AAC">
        <w:rPr>
          <w:rFonts w:ascii="Arial" w:hAnsi="Arial" w:cs="Arial"/>
          <w:sz w:val="24"/>
        </w:rPr>
        <w:t>Veterans Experience Office</w:t>
      </w:r>
      <w:r w:rsidRPr="00DB7279" w:rsidR="00B94AAC">
        <w:rPr>
          <w:rFonts w:ascii="Arial" w:hAnsi="Arial" w:cs="Arial"/>
          <w:sz w:val="24"/>
          <w:szCs w:val="24"/>
        </w:rPr>
        <w:t>, Department of Veterans Affairs, will submit the collection of information abstracted below to the Office of Management and Budget (OMB) for review and comment.  The PRA submission describes the nature of the information collection and its expected cost and burden and it includes the actual data collection instrument.</w:t>
      </w:r>
    </w:p>
    <w:p w:rsidR="00C40883" w:rsidRPr="00675A67" w:rsidP="00C40883" w14:paraId="5A5D9EB9" w14:textId="4C6E6B10">
      <w:pPr>
        <w:spacing w:line="480" w:lineRule="auto"/>
        <w:rPr>
          <w:rFonts w:ascii="Arial" w:hAnsi="Arial" w:cs="Arial"/>
          <w:sz w:val="24"/>
          <w:szCs w:val="24"/>
        </w:rPr>
      </w:pPr>
      <w:r w:rsidRPr="00C40883">
        <w:rPr>
          <w:rFonts w:ascii="Arial" w:hAnsi="Arial" w:cs="Arial"/>
          <w:b/>
          <w:bCs/>
          <w:color w:val="000000"/>
          <w:sz w:val="24"/>
          <w:szCs w:val="24"/>
        </w:rPr>
        <w:t xml:space="preserve">DATES:  </w:t>
      </w:r>
      <w:r w:rsidRPr="00C40883">
        <w:rPr>
          <w:rFonts w:ascii="Arial" w:hAnsi="Arial" w:cs="Arial"/>
          <w:color w:val="000000"/>
          <w:sz w:val="24"/>
          <w:szCs w:val="24"/>
        </w:rPr>
        <w:t xml:space="preserve">Written comments and recommendations for the proposed information collection should be sent within 30 days of publication of this notice to </w:t>
      </w:r>
      <w:hyperlink r:id="rId7" w:history="1">
        <w:r w:rsidRPr="00C40883">
          <w:rPr>
            <w:rStyle w:val="Hyperlink"/>
            <w:rFonts w:ascii="Arial" w:hAnsi="Arial" w:cs="Arial"/>
            <w:sz w:val="24"/>
            <w:szCs w:val="24"/>
          </w:rPr>
          <w:t>www.reginfo.gov/public/do/PRAMain</w:t>
        </w:r>
      </w:hyperlink>
      <w:r w:rsidRPr="00C40883">
        <w:rPr>
          <w:rFonts w:ascii="Arial" w:hAnsi="Arial" w:cs="Arial"/>
          <w:color w:val="000000"/>
          <w:sz w:val="24"/>
          <w:szCs w:val="24"/>
        </w:rPr>
        <w:t>.  Find this particular information collection by selecting "Currently under 30-day Review - Open for Public Comments" or by using the search function.  Refer to</w:t>
      </w:r>
      <w:r w:rsidRPr="00DB7279" w:rsidR="00E87561">
        <w:rPr>
          <w:rFonts w:ascii="Arial" w:hAnsi="Arial" w:cs="Arial"/>
          <w:sz w:val="24"/>
          <w:szCs w:val="24"/>
        </w:rPr>
        <w:t xml:space="preserve"> ‘‘</w:t>
      </w:r>
      <w:r w:rsidRPr="00DB7279" w:rsidR="00E87561">
        <w:rPr>
          <w:rFonts w:ascii="Arial" w:hAnsi="Arial" w:cs="Arial"/>
          <w:bCs/>
          <w:sz w:val="24"/>
        </w:rPr>
        <w:t xml:space="preserve">Clearance for A–11 </w:t>
      </w:r>
      <w:r w:rsidRPr="00675A67" w:rsidR="00E87561">
        <w:rPr>
          <w:rFonts w:ascii="Arial" w:hAnsi="Arial" w:cs="Arial"/>
          <w:bCs/>
          <w:sz w:val="24"/>
        </w:rPr>
        <w:t>Section 280 Improving Customer Experience Information Collection</w:t>
      </w:r>
      <w:r w:rsidRPr="00675A67" w:rsidR="00E87561">
        <w:rPr>
          <w:rFonts w:ascii="Arial" w:hAnsi="Arial" w:cs="Arial"/>
          <w:sz w:val="24"/>
          <w:szCs w:val="24"/>
        </w:rPr>
        <w:t xml:space="preserve">” in any correspondence.  </w:t>
      </w:r>
    </w:p>
    <w:p w:rsidR="003B042E" w:rsidRPr="00675A67" w:rsidP="006E26D6" w14:paraId="418BBE9D" w14:textId="3E1AD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675A67">
        <w:rPr>
          <w:rFonts w:ascii="Arial" w:hAnsi="Arial" w:cs="Arial"/>
          <w:b/>
          <w:sz w:val="24"/>
          <w:szCs w:val="24"/>
        </w:rPr>
        <w:t>FOR FURTHER INFORMATION CONTACT:</w:t>
      </w:r>
      <w:r w:rsidRPr="00675A67">
        <w:rPr>
          <w:rFonts w:ascii="Arial" w:hAnsi="Arial" w:cs="Arial"/>
          <w:sz w:val="24"/>
          <w:szCs w:val="24"/>
        </w:rPr>
        <w:t xml:space="preserve">  </w:t>
      </w:r>
      <w:r w:rsidRPr="00675A67" w:rsidR="00332BCC">
        <w:rPr>
          <w:rFonts w:ascii="Arial" w:hAnsi="Arial" w:cs="Arial"/>
          <w:sz w:val="24"/>
          <w:szCs w:val="24"/>
        </w:rPr>
        <w:t>Maribel Aponte</w:t>
      </w:r>
      <w:r w:rsidRPr="00675A67">
        <w:rPr>
          <w:rFonts w:ascii="Arial" w:hAnsi="Arial" w:cs="Arial"/>
          <w:sz w:val="24"/>
          <w:szCs w:val="24"/>
        </w:rPr>
        <w:t>,</w:t>
      </w:r>
      <w:r w:rsidRPr="00675A67" w:rsidR="00332BCC">
        <w:rPr>
          <w:rFonts w:ascii="Arial" w:hAnsi="Arial" w:cs="Arial"/>
          <w:sz w:val="24"/>
          <w:szCs w:val="24"/>
        </w:rPr>
        <w:t xml:space="preserve"> Office of Enterprise and Integration, Data Governance Analytics (008), </w:t>
      </w:r>
      <w:r w:rsidRPr="00675A67" w:rsidR="00836EF6">
        <w:rPr>
          <w:rFonts w:ascii="Arial" w:hAnsi="Arial" w:cs="Arial"/>
          <w:sz w:val="24"/>
          <w:szCs w:val="24"/>
        </w:rPr>
        <w:t>810 Vermont Ave. NW</w:t>
      </w:r>
      <w:r w:rsidRPr="00675A67">
        <w:rPr>
          <w:rFonts w:ascii="Arial" w:hAnsi="Arial" w:cs="Arial"/>
          <w:sz w:val="24"/>
          <w:szCs w:val="24"/>
        </w:rPr>
        <w:t>, Wash</w:t>
      </w:r>
      <w:r w:rsidRPr="00675A67" w:rsidR="004A6C2A">
        <w:rPr>
          <w:rFonts w:ascii="Arial" w:hAnsi="Arial" w:cs="Arial"/>
          <w:sz w:val="24"/>
          <w:szCs w:val="24"/>
        </w:rPr>
        <w:t>ington, DC 2</w:t>
      </w:r>
      <w:r w:rsidRPr="00675A67" w:rsidR="00332BCC">
        <w:rPr>
          <w:rFonts w:ascii="Arial" w:hAnsi="Arial" w:cs="Arial"/>
          <w:sz w:val="24"/>
          <w:szCs w:val="24"/>
        </w:rPr>
        <w:t>0006, (2</w:t>
      </w:r>
      <w:r w:rsidRPr="00675A67" w:rsidR="004A6C2A">
        <w:rPr>
          <w:rFonts w:ascii="Arial" w:hAnsi="Arial" w:cs="Arial"/>
          <w:sz w:val="24"/>
          <w:szCs w:val="24"/>
        </w:rPr>
        <w:t xml:space="preserve">02) </w:t>
      </w:r>
      <w:r w:rsidRPr="00675A67" w:rsidR="00332BCC">
        <w:rPr>
          <w:rFonts w:ascii="Arial" w:hAnsi="Arial" w:cs="Arial"/>
          <w:sz w:val="24"/>
          <w:szCs w:val="24"/>
        </w:rPr>
        <w:t>266-4688</w:t>
      </w:r>
      <w:r w:rsidRPr="00675A67">
        <w:rPr>
          <w:rFonts w:ascii="Arial" w:hAnsi="Arial" w:cs="Arial"/>
          <w:sz w:val="24"/>
          <w:szCs w:val="24"/>
        </w:rPr>
        <w:t xml:space="preserve"> or email</w:t>
      </w:r>
      <w:r w:rsidRPr="00675A67" w:rsidR="00332BCC">
        <w:rPr>
          <w:rFonts w:ascii="Arial" w:hAnsi="Arial" w:cs="Arial"/>
          <w:sz w:val="24"/>
          <w:szCs w:val="24"/>
        </w:rPr>
        <w:t xml:space="preserve"> maribel.aponte@va.gov</w:t>
      </w:r>
      <w:r w:rsidRPr="00675A67">
        <w:rPr>
          <w:rFonts w:ascii="Arial" w:hAnsi="Arial" w:cs="Arial"/>
          <w:sz w:val="24"/>
          <w:szCs w:val="24"/>
        </w:rPr>
        <w:t>.</w:t>
      </w:r>
      <w:r w:rsidRPr="00675A67" w:rsidR="004A6C2A">
        <w:rPr>
          <w:rFonts w:ascii="Arial" w:hAnsi="Arial" w:cs="Arial"/>
          <w:sz w:val="24"/>
          <w:szCs w:val="24"/>
        </w:rPr>
        <w:t xml:space="preserve">  </w:t>
      </w:r>
      <w:r w:rsidRPr="00675A67">
        <w:rPr>
          <w:rFonts w:ascii="Arial" w:hAnsi="Arial" w:cs="Arial"/>
          <w:sz w:val="24"/>
          <w:szCs w:val="24"/>
        </w:rPr>
        <w:t>Please refer to ‘‘OMB Control No. 2900–</w:t>
      </w:r>
      <w:r w:rsidRPr="00675A67" w:rsidR="00E20268">
        <w:rPr>
          <w:rFonts w:ascii="Arial" w:hAnsi="Arial" w:cs="Arial"/>
          <w:sz w:val="24"/>
          <w:szCs w:val="24"/>
        </w:rPr>
        <w:t>0876</w:t>
      </w:r>
      <w:r w:rsidRPr="00675A67">
        <w:rPr>
          <w:rFonts w:ascii="Arial" w:hAnsi="Arial" w:cs="Arial"/>
          <w:sz w:val="24"/>
          <w:szCs w:val="24"/>
        </w:rPr>
        <w:t>” in any correspondence.</w:t>
      </w:r>
    </w:p>
    <w:p w:rsidR="00D6581D" w:rsidP="006E26D6" w14:paraId="291C54E5" w14:textId="77777777">
      <w:pPr>
        <w:pStyle w:val="BodyText"/>
        <w:tabs>
          <w:tab w:val="right" w:pos="9360"/>
        </w:tabs>
        <w:spacing w:line="480" w:lineRule="auto"/>
        <w:ind w:right="270"/>
        <w:rPr>
          <w:rFonts w:ascii="Arial" w:hAnsi="Arial" w:cs="Arial"/>
          <w:b/>
          <w:szCs w:val="24"/>
        </w:rPr>
      </w:pPr>
      <w:r w:rsidRPr="006E26D6">
        <w:rPr>
          <w:rFonts w:ascii="Arial" w:hAnsi="Arial" w:cs="Arial"/>
          <w:b/>
          <w:szCs w:val="24"/>
        </w:rPr>
        <w:t>SUPPLEMENTA</w:t>
      </w:r>
      <w:r w:rsidR="006E26D6">
        <w:rPr>
          <w:rFonts w:ascii="Arial" w:hAnsi="Arial" w:cs="Arial"/>
          <w:b/>
          <w:szCs w:val="24"/>
        </w:rPr>
        <w:t>RY</w:t>
      </w:r>
      <w:r w:rsidRPr="006E26D6">
        <w:rPr>
          <w:rFonts w:ascii="Arial" w:hAnsi="Arial" w:cs="Arial"/>
          <w:b/>
          <w:szCs w:val="24"/>
        </w:rPr>
        <w:t xml:space="preserve"> INFORMATION:</w:t>
      </w:r>
    </w:p>
    <w:p w:rsidR="001273AD" w:rsidRPr="007315B5" w:rsidP="006E26D6" w14:paraId="3EF19016" w14:textId="5A8DB5C0">
      <w:pPr>
        <w:pStyle w:val="BodyText"/>
        <w:tabs>
          <w:tab w:val="right" w:pos="9360"/>
        </w:tabs>
        <w:spacing w:line="480" w:lineRule="auto"/>
        <w:ind w:right="270"/>
        <w:rPr>
          <w:rFonts w:ascii="Arial" w:hAnsi="Arial" w:cs="Arial"/>
          <w:szCs w:val="24"/>
        </w:rPr>
      </w:pPr>
      <w:r w:rsidRPr="00E87561">
        <w:rPr>
          <w:rFonts w:ascii="Arial" w:hAnsi="Arial" w:cs="Arial"/>
          <w:szCs w:val="24"/>
          <w:u w:val="single"/>
        </w:rPr>
        <w:t>Authority</w:t>
      </w:r>
      <w:r w:rsidRPr="00E87561">
        <w:rPr>
          <w:rFonts w:ascii="Arial" w:hAnsi="Arial" w:cs="Arial"/>
          <w:szCs w:val="24"/>
        </w:rPr>
        <w:t>:</w:t>
      </w:r>
      <w:r>
        <w:rPr>
          <w:rFonts w:ascii="Arial" w:hAnsi="Arial" w:cs="Arial"/>
          <w:szCs w:val="24"/>
        </w:rPr>
        <w:t xml:space="preserve">  </w:t>
      </w:r>
      <w:r>
        <w:rPr>
          <w:rFonts w:ascii="Arial" w:hAnsi="Arial" w:cs="Arial"/>
          <w:color w:val="000000"/>
          <w:szCs w:val="24"/>
        </w:rPr>
        <w:t>44 U.S.C. 3501</w:t>
      </w:r>
      <w:r w:rsidRPr="008613E4">
        <w:rPr>
          <w:rFonts w:ascii="Arial" w:hAnsi="Arial" w:cs="Arial"/>
          <w:color w:val="000000"/>
          <w:szCs w:val="24"/>
        </w:rPr>
        <w:t>-21</w:t>
      </w:r>
      <w:r w:rsidRPr="0010021F">
        <w:rPr>
          <w:rFonts w:ascii="Arial" w:hAnsi="Arial" w:cs="Arial"/>
          <w:color w:val="000000"/>
          <w:szCs w:val="24"/>
        </w:rPr>
        <w:t>.</w:t>
      </w:r>
      <w:r w:rsidRPr="0010021F" w:rsidR="00DC1530">
        <w:rPr>
          <w:rFonts w:ascii="Arial" w:hAnsi="Arial" w:cs="Arial"/>
          <w:color w:val="000000"/>
          <w:szCs w:val="24"/>
        </w:rPr>
        <w:t xml:space="preserve">  </w:t>
      </w:r>
    </w:p>
    <w:p w:rsidR="00DC1530" w:rsidRPr="007465B2" w:rsidP="00DC6D31" w14:paraId="54316CFD" w14:textId="2DBAD1C7">
      <w:pPr>
        <w:spacing w:line="480" w:lineRule="auto"/>
        <w:rPr>
          <w:rFonts w:ascii="Arial" w:hAnsi="Arial" w:cs="Arial"/>
          <w:color w:val="C00000"/>
          <w:sz w:val="24"/>
          <w:szCs w:val="24"/>
        </w:rPr>
      </w:pPr>
      <w:r w:rsidRPr="008613E4">
        <w:rPr>
          <w:rFonts w:ascii="Arial" w:hAnsi="Arial" w:cs="Arial"/>
          <w:color w:val="000000"/>
          <w:sz w:val="24"/>
          <w:szCs w:val="24"/>
          <w:u w:val="single"/>
        </w:rPr>
        <w:t>Title</w:t>
      </w:r>
      <w:r w:rsidRPr="008613E4">
        <w:rPr>
          <w:rFonts w:ascii="Arial" w:hAnsi="Arial" w:cs="Arial"/>
          <w:color w:val="000000"/>
          <w:sz w:val="24"/>
          <w:szCs w:val="24"/>
        </w:rPr>
        <w:t xml:space="preserve">:  </w:t>
      </w:r>
      <w:r w:rsidRPr="00DB7279" w:rsidR="00E87561">
        <w:rPr>
          <w:rFonts w:ascii="Arial" w:hAnsi="Arial" w:cs="Arial"/>
          <w:sz w:val="24"/>
        </w:rPr>
        <w:t xml:space="preserve">Clearance for A–11 Section 280 </w:t>
      </w:r>
      <w:r w:rsidRPr="005B49AD" w:rsidR="00E87561">
        <w:rPr>
          <w:rFonts w:ascii="Arial" w:hAnsi="Arial" w:cs="Arial"/>
          <w:sz w:val="24"/>
        </w:rPr>
        <w:t>Improving Customer Experience</w:t>
      </w:r>
      <w:r w:rsidRPr="00DB7279" w:rsidR="00E87561">
        <w:rPr>
          <w:rFonts w:ascii="Arial" w:hAnsi="Arial" w:cs="Arial"/>
          <w:sz w:val="24"/>
        </w:rPr>
        <w:t xml:space="preserve"> Information Collection.  </w:t>
      </w:r>
    </w:p>
    <w:p w:rsidR="00481E16" w:rsidRPr="008613E4" w14:paraId="072F0D51" w14:textId="0A3A71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8613E4">
        <w:rPr>
          <w:rFonts w:ascii="Arial" w:hAnsi="Arial" w:cs="Arial"/>
          <w:sz w:val="24"/>
          <w:szCs w:val="24"/>
          <w:u w:val="single"/>
        </w:rPr>
        <w:t>OMB Control Number</w:t>
      </w:r>
      <w:r w:rsidRPr="008613E4">
        <w:rPr>
          <w:rFonts w:ascii="Arial" w:hAnsi="Arial" w:cs="Arial"/>
          <w:sz w:val="24"/>
          <w:szCs w:val="24"/>
        </w:rPr>
        <w:t xml:space="preserve">:  </w:t>
      </w:r>
      <w:r w:rsidRPr="00DB7279" w:rsidR="00E87561">
        <w:rPr>
          <w:rFonts w:ascii="Arial" w:hAnsi="Arial" w:cs="Arial"/>
          <w:sz w:val="24"/>
          <w:szCs w:val="24"/>
        </w:rPr>
        <w:t>2900-</w:t>
      </w:r>
      <w:r w:rsidR="00E87561">
        <w:rPr>
          <w:rFonts w:ascii="Arial" w:hAnsi="Arial" w:cs="Arial"/>
          <w:sz w:val="24"/>
          <w:szCs w:val="24"/>
        </w:rPr>
        <w:t>0876</w:t>
      </w:r>
      <w:r w:rsidRPr="008613E4" w:rsidR="009B7931">
        <w:rPr>
          <w:rFonts w:ascii="Arial" w:hAnsi="Arial" w:cs="Arial"/>
          <w:sz w:val="24"/>
          <w:szCs w:val="24"/>
        </w:rPr>
        <w:t>.</w:t>
      </w:r>
    </w:p>
    <w:p w:rsidR="00AD0A34" w:rsidRPr="008613E4" w14:paraId="331E8304" w14:textId="4241ABFF">
      <w:pPr>
        <w:tabs>
          <w:tab w:val="left" w:pos="360"/>
          <w:tab w:val="right" w:pos="9360"/>
        </w:tabs>
        <w:spacing w:line="480" w:lineRule="auto"/>
        <w:ind w:right="270"/>
        <w:rPr>
          <w:rFonts w:ascii="Arial" w:hAnsi="Arial" w:cs="Arial"/>
          <w:color w:val="000000"/>
          <w:sz w:val="24"/>
          <w:szCs w:val="24"/>
        </w:rPr>
      </w:pPr>
      <w:r w:rsidRPr="008613E4">
        <w:rPr>
          <w:rFonts w:ascii="Arial" w:hAnsi="Arial" w:cs="Arial"/>
          <w:color w:val="000000"/>
          <w:sz w:val="24"/>
          <w:szCs w:val="24"/>
          <w:u w:val="single"/>
        </w:rPr>
        <w:t>Type of Review</w:t>
      </w:r>
      <w:r w:rsidRPr="008613E4" w:rsidR="003B042E">
        <w:rPr>
          <w:rFonts w:ascii="Arial" w:hAnsi="Arial" w:cs="Arial"/>
          <w:color w:val="000000"/>
          <w:sz w:val="24"/>
          <w:szCs w:val="24"/>
        </w:rPr>
        <w:t xml:space="preserve">: </w:t>
      </w:r>
      <w:r w:rsidR="00E87561">
        <w:rPr>
          <w:rFonts w:ascii="Arial" w:hAnsi="Arial" w:cs="Arial"/>
          <w:color w:val="000000"/>
          <w:sz w:val="24"/>
          <w:szCs w:val="24"/>
        </w:rPr>
        <w:t>I</w:t>
      </w:r>
      <w:r w:rsidR="00E87561">
        <w:rPr>
          <w:rFonts w:ascii="Arial" w:hAnsi="Arial"/>
          <w:sz w:val="24"/>
        </w:rPr>
        <w:t>CR Revision.</w:t>
      </w:r>
    </w:p>
    <w:p w:rsidR="00D670F5" w:rsidP="005216F2" w14:paraId="3494F8D6" w14:textId="0440B938">
      <w:pPr>
        <w:pStyle w:val="Heading1"/>
        <w:tabs>
          <w:tab w:val="right" w:pos="9360"/>
        </w:tabs>
        <w:ind w:right="270"/>
        <w:rPr>
          <w:i/>
          <w:color w:val="C00000"/>
        </w:rPr>
      </w:pPr>
      <w:r w:rsidRPr="008613E4">
        <w:rPr>
          <w:rFonts w:cs="Arial"/>
          <w:color w:val="000000"/>
          <w:szCs w:val="24"/>
          <w:u w:val="single"/>
        </w:rPr>
        <w:t>Abstract</w:t>
      </w:r>
      <w:r w:rsidRPr="008613E4">
        <w:rPr>
          <w:rFonts w:cs="Arial"/>
          <w:color w:val="000000"/>
          <w:szCs w:val="24"/>
        </w:rPr>
        <w:t xml:space="preserve">:  </w:t>
      </w:r>
    </w:p>
    <w:p w:rsidR="0008444B" w:rsidP="00CD79A1" w14:paraId="3F04E4FC" w14:textId="3ECABA1F">
      <w:pPr>
        <w:pStyle w:val="Heading1"/>
        <w:tabs>
          <w:tab w:val="right" w:pos="9360"/>
        </w:tabs>
        <w:ind w:right="270"/>
        <w:rPr>
          <w:rFonts w:cs="Arial"/>
          <w:szCs w:val="24"/>
        </w:rPr>
      </w:pPr>
      <w:r w:rsidRPr="00CD79A1">
        <w:rPr>
          <w:rFonts w:cs="Arial"/>
          <w:szCs w:val="24"/>
        </w:rPr>
        <w:t>This ICR Revision seeks to</w:t>
      </w:r>
      <w:r>
        <w:rPr>
          <w:rFonts w:cs="Arial"/>
          <w:szCs w:val="24"/>
        </w:rPr>
        <w:t xml:space="preserve"> </w:t>
      </w:r>
      <w:r w:rsidRPr="00CD79A1">
        <w:rPr>
          <w:rFonts w:cs="Arial"/>
          <w:szCs w:val="24"/>
        </w:rPr>
        <w:t>extend the expiration date that currently expires in March 2023, an</w:t>
      </w:r>
      <w:r>
        <w:rPr>
          <w:rFonts w:cs="Arial"/>
          <w:szCs w:val="24"/>
        </w:rPr>
        <w:t>d</w:t>
      </w:r>
      <w:r>
        <w:rPr>
          <w:rFonts w:cs="Arial"/>
          <w:szCs w:val="24"/>
        </w:rPr>
        <w:t xml:space="preserve"> </w:t>
      </w:r>
      <w:r w:rsidRPr="00CD79A1">
        <w:rPr>
          <w:rFonts w:cs="Arial"/>
          <w:szCs w:val="24"/>
        </w:rPr>
        <w:t xml:space="preserve">increase the burden hours associated with the Department of Veterans Affairs customer experience data collection system from 1,754,975 to 2,504,975, and the number of responses from 3,500,000 to 5,000,000. </w:t>
      </w:r>
    </w:p>
    <w:p w:rsidR="00E87561" w:rsidRPr="0008444B" w:rsidP="00CD79A1" w14:paraId="5F5DE2DC" w14:textId="0252FAA0">
      <w:pPr>
        <w:pStyle w:val="Heading1"/>
        <w:tabs>
          <w:tab w:val="right" w:pos="9360"/>
        </w:tabs>
        <w:ind w:right="270"/>
        <w:rPr>
          <w:rFonts w:cs="Arial"/>
          <w:szCs w:val="24"/>
        </w:rPr>
      </w:pPr>
      <w:r w:rsidRPr="00CD79A1">
        <w:rPr>
          <w:rFonts w:cs="Arial"/>
          <w:szCs w:val="24"/>
        </w:rPr>
        <w:t xml:space="preserve">VA, when it submitted the original Clearance for A–11 Section 280 Improving Customer Experience Information Collection, calculated total the burden needed based on the number of Customer Satisfaction surveys under management (43 in calendar year 2020) and our informed estimate of growth in number of surveys under management. As a result of unexpectedly strong and robust need (and corresponding requests) for new customer experience surveys by VA customers (stakeholders and partners), VA has already reached 147 surveys under management and anticipate reaching 200 by the end of Fiscal Year 2023. This anticipated FY23 growth, and per our models for growth from now until our current ICR expires in March, 2023, directly translates into a corresponding need for an increase in associated burden hours from </w:t>
      </w:r>
      <w:r w:rsidRPr="00CD79A1">
        <w:rPr>
          <w:rFonts w:cs="Arial"/>
          <w:szCs w:val="24"/>
        </w:rPr>
        <w:t>1,754,975 to 2,504,975, and the number of responses from 3,500,000 to 5,000,000, to accommodate the current and future demand.</w:t>
      </w:r>
    </w:p>
    <w:p w:rsidR="00E87561" w:rsidP="00E87561" w14:paraId="2FD50311" w14:textId="77777777">
      <w:pPr>
        <w:pStyle w:val="Heading1"/>
        <w:tabs>
          <w:tab w:val="right" w:pos="9360"/>
        </w:tabs>
        <w:ind w:right="270"/>
      </w:pPr>
      <w:r>
        <w:t xml:space="preserve">General Background on our Customer Experience data collection listening tools </w:t>
      </w:r>
    </w:p>
    <w:p w:rsidR="00E87561" w:rsidP="00E87561" w14:paraId="19E3614B" w14:textId="77777777">
      <w:pPr>
        <w:pStyle w:val="Heading1"/>
        <w:tabs>
          <w:tab w:val="right" w:pos="9360"/>
        </w:tabs>
        <w:ind w:right="270"/>
      </w:pPr>
      <w:r>
        <w:t>Wh</w:t>
      </w:r>
      <w:r w:rsidRPr="00DB7279">
        <w:t xml:space="preserve">ether seeking a loan, </w:t>
      </w:r>
      <w:r w:rsidRPr="005B49AD">
        <w:t xml:space="preserve">Social Security benefits, </w:t>
      </w:r>
      <w:r>
        <w:t>V</w:t>
      </w:r>
      <w:r w:rsidRPr="005B49AD">
        <w:t>eterans</w:t>
      </w:r>
      <w:r w:rsidRPr="00DB7279">
        <w:t xml:space="preserve"> </w:t>
      </w:r>
      <w:r w:rsidRPr="005B49AD">
        <w:t xml:space="preserve">benefits, or other </w:t>
      </w:r>
      <w:r w:rsidRPr="00DB7279">
        <w:t>s</w:t>
      </w:r>
      <w:r w:rsidRPr="005B49AD">
        <w:t>ervices provided by</w:t>
      </w:r>
      <w:r w:rsidRPr="00DB7279">
        <w:t xml:space="preserve"> </w:t>
      </w:r>
      <w:r w:rsidRPr="005B49AD">
        <w:t>the Federal Government, individuals</w:t>
      </w:r>
      <w:r w:rsidRPr="00DB7279">
        <w:t xml:space="preserve"> </w:t>
      </w:r>
      <w:r w:rsidRPr="005B49AD">
        <w:t xml:space="preserve">and businesses expect </w:t>
      </w:r>
      <w:r w:rsidRPr="00DB7279">
        <w:t>G</w:t>
      </w:r>
      <w:r w:rsidRPr="005B49AD">
        <w:t>overnment</w:t>
      </w:r>
      <w:r w:rsidRPr="00DB7279">
        <w:t xml:space="preserve"> </w:t>
      </w:r>
      <w:r w:rsidRPr="005B49AD">
        <w:t>customer services to be efficient and</w:t>
      </w:r>
      <w:r w:rsidRPr="00DB7279">
        <w:t xml:space="preserve"> </w:t>
      </w:r>
      <w:r w:rsidRPr="005B49AD">
        <w:t xml:space="preserve">intuitive, just like services from </w:t>
      </w:r>
      <w:r w:rsidRPr="00DB7279">
        <w:t>l</w:t>
      </w:r>
      <w:r w:rsidRPr="005B49AD">
        <w:t>eading</w:t>
      </w:r>
      <w:r w:rsidRPr="00DB7279">
        <w:t xml:space="preserve"> </w:t>
      </w:r>
      <w:r w:rsidRPr="005B49AD">
        <w:t>private-sector organizations. Yet the</w:t>
      </w:r>
      <w:r w:rsidRPr="00DB7279">
        <w:t xml:space="preserve"> </w:t>
      </w:r>
      <w:r w:rsidRPr="005B49AD">
        <w:t>2016 American Consumer Satisfaction</w:t>
      </w:r>
      <w:r>
        <w:t xml:space="preserve"> </w:t>
      </w:r>
      <w:r w:rsidRPr="005B49AD">
        <w:t>Index and the 2017 Forrester Federal</w:t>
      </w:r>
      <w:r w:rsidRPr="00DB7279">
        <w:t xml:space="preserve"> </w:t>
      </w:r>
      <w:r w:rsidRPr="005B49AD">
        <w:t>Customer Experience Index show that,</w:t>
      </w:r>
      <w:r w:rsidRPr="00DB7279">
        <w:t xml:space="preserve"> </w:t>
      </w:r>
      <w:r w:rsidRPr="005B49AD">
        <w:t xml:space="preserve">on </w:t>
      </w:r>
      <w:r w:rsidRPr="00DB7279">
        <w:t>a</w:t>
      </w:r>
      <w:r w:rsidRPr="005B49AD">
        <w:t>verage, Government services lag</w:t>
      </w:r>
      <w:r w:rsidRPr="00DB7279">
        <w:t xml:space="preserve"> </w:t>
      </w:r>
      <w:r w:rsidRPr="005B49AD">
        <w:t>nine percentage points behind the</w:t>
      </w:r>
      <w:r w:rsidRPr="00DB7279">
        <w:t xml:space="preserve"> </w:t>
      </w:r>
      <w:r w:rsidRPr="005B49AD">
        <w:t>private sector. A modern, streamlined</w:t>
      </w:r>
      <w:r w:rsidRPr="00DB7279">
        <w:t xml:space="preserve"> </w:t>
      </w:r>
      <w:r w:rsidRPr="005B49AD">
        <w:t>and responsive customer experience</w:t>
      </w:r>
      <w:r w:rsidRPr="00DB7279">
        <w:t xml:space="preserve"> </w:t>
      </w:r>
      <w:r w:rsidRPr="005B49AD">
        <w:t xml:space="preserve">means: Raising </w:t>
      </w:r>
      <w:r w:rsidRPr="00DB7279">
        <w:t>g</w:t>
      </w:r>
      <w:r w:rsidRPr="005B49AD">
        <w:t>overnment-wide</w:t>
      </w:r>
      <w:r w:rsidRPr="00DB7279">
        <w:t xml:space="preserve"> </w:t>
      </w:r>
      <w:r w:rsidRPr="005B49AD">
        <w:t>customer experience to the average of</w:t>
      </w:r>
      <w:r w:rsidRPr="00DB7279">
        <w:t xml:space="preserve"> </w:t>
      </w:r>
      <w:r w:rsidRPr="005B49AD">
        <w:t>the private sector service industry;</w:t>
      </w:r>
      <w:r w:rsidRPr="00DB7279">
        <w:t xml:space="preserve"> </w:t>
      </w:r>
      <w:r w:rsidRPr="005B49AD">
        <w:t>developing indicators for high-impact</w:t>
      </w:r>
      <w:r w:rsidRPr="00DB7279">
        <w:t xml:space="preserve"> </w:t>
      </w:r>
      <w:r w:rsidRPr="005B49AD">
        <w:t>Federal programs to monitor progress</w:t>
      </w:r>
      <w:r>
        <w:t xml:space="preserve"> </w:t>
      </w:r>
      <w:r w:rsidRPr="005B49AD">
        <w:t>towards excellent customer experience</w:t>
      </w:r>
      <w:r w:rsidRPr="00DB7279">
        <w:t xml:space="preserve"> </w:t>
      </w:r>
      <w:r w:rsidRPr="005B49AD">
        <w:t>and mature digital services; and</w:t>
      </w:r>
      <w:r w:rsidRPr="00DB7279">
        <w:t xml:space="preserve"> </w:t>
      </w:r>
      <w:r w:rsidRPr="005B49AD">
        <w:t>providing the structure (including</w:t>
      </w:r>
      <w:r w:rsidRPr="00DB7279">
        <w:t xml:space="preserve"> </w:t>
      </w:r>
      <w:r w:rsidRPr="005B49AD">
        <w:t>increasing transparency) and resources</w:t>
      </w:r>
      <w:r w:rsidRPr="00DB7279">
        <w:t xml:space="preserve"> </w:t>
      </w:r>
      <w:r w:rsidRPr="005B49AD">
        <w:t xml:space="preserve">to ensure customer </w:t>
      </w:r>
      <w:r w:rsidRPr="00DB7279">
        <w:t>e</w:t>
      </w:r>
      <w:r w:rsidRPr="005B49AD">
        <w:t>xperience is a focal</w:t>
      </w:r>
      <w:r w:rsidRPr="00DB7279">
        <w:t xml:space="preserve"> </w:t>
      </w:r>
      <w:r w:rsidRPr="005B49AD">
        <w:t>point for agency leadership. To support</w:t>
      </w:r>
      <w:r w:rsidRPr="00DB7279">
        <w:t xml:space="preserve"> </w:t>
      </w:r>
      <w:r w:rsidRPr="005B49AD">
        <w:t>this, OMB Circular A–11 Section 280</w:t>
      </w:r>
      <w:r w:rsidRPr="00DB7279">
        <w:t xml:space="preserve"> </w:t>
      </w:r>
      <w:r w:rsidRPr="005B49AD">
        <w:t>established government-wide standards</w:t>
      </w:r>
      <w:r w:rsidRPr="00DB7279">
        <w:t xml:space="preserve"> </w:t>
      </w:r>
      <w:r w:rsidRPr="005B49AD">
        <w:t>for mature customer experience</w:t>
      </w:r>
      <w:r>
        <w:t xml:space="preserve"> </w:t>
      </w:r>
      <w:r w:rsidRPr="005B49AD">
        <w:t>organizations in government and</w:t>
      </w:r>
      <w:r w:rsidRPr="00DB7279">
        <w:t xml:space="preserve"> </w:t>
      </w:r>
      <w:r w:rsidRPr="005B49AD">
        <w:t>measurement. To enable Federal</w:t>
      </w:r>
      <w:r w:rsidRPr="00DB7279">
        <w:t xml:space="preserve"> </w:t>
      </w:r>
      <w:r w:rsidRPr="005B49AD">
        <w:t xml:space="preserve">programs to </w:t>
      </w:r>
      <w:r w:rsidRPr="00DB7279">
        <w:t>d</w:t>
      </w:r>
      <w:r w:rsidRPr="005B49AD">
        <w:t>eliver the experience</w:t>
      </w:r>
      <w:r w:rsidRPr="00DB7279">
        <w:t xml:space="preserve"> </w:t>
      </w:r>
      <w:r w:rsidRPr="005B49AD">
        <w:t>taxpayers deserve, they must undertake</w:t>
      </w:r>
      <w:r w:rsidRPr="00DB7279">
        <w:t xml:space="preserve"> </w:t>
      </w:r>
      <w:r w:rsidRPr="005B49AD">
        <w:t xml:space="preserve">three general </w:t>
      </w:r>
      <w:r w:rsidRPr="00DB7279">
        <w:t>c</w:t>
      </w:r>
      <w:r w:rsidRPr="005B49AD">
        <w:t>ategories of activities:</w:t>
      </w:r>
      <w:r w:rsidRPr="00DB7279">
        <w:t xml:space="preserve"> </w:t>
      </w:r>
      <w:r w:rsidRPr="005B49AD">
        <w:t>Conduct ongoing customer research,</w:t>
      </w:r>
      <w:r w:rsidRPr="00DB7279">
        <w:t xml:space="preserve"> </w:t>
      </w:r>
      <w:r w:rsidRPr="005B49AD">
        <w:t>gather and share</w:t>
      </w:r>
      <w:r w:rsidRPr="00DB7279">
        <w:t xml:space="preserve"> c</w:t>
      </w:r>
      <w:r w:rsidRPr="005B49AD">
        <w:t>ustomer feedback, and</w:t>
      </w:r>
      <w:r w:rsidRPr="00DB7279">
        <w:t xml:space="preserve"> </w:t>
      </w:r>
      <w:r w:rsidRPr="005B49AD">
        <w:t>test services and digital products.</w:t>
      </w:r>
      <w:r w:rsidRPr="00DB7279">
        <w:t xml:space="preserve"> </w:t>
      </w:r>
    </w:p>
    <w:p w:rsidR="00E87561" w:rsidP="00E87561" w14:paraId="431843FA" w14:textId="77777777">
      <w:pPr>
        <w:pStyle w:val="Heading1"/>
        <w:tabs>
          <w:tab w:val="right" w:pos="9360"/>
        </w:tabs>
        <w:ind w:right="270"/>
      </w:pPr>
      <w:r w:rsidRPr="005B49AD">
        <w:t xml:space="preserve">These data collection </w:t>
      </w:r>
      <w:r w:rsidRPr="00DB7279">
        <w:t>e</w:t>
      </w:r>
      <w:r w:rsidRPr="005B49AD">
        <w:t>fforts may be</w:t>
      </w:r>
      <w:r w:rsidRPr="00DB7279">
        <w:t xml:space="preserve"> </w:t>
      </w:r>
      <w:r w:rsidRPr="005B49AD">
        <w:t>either qualitative or quantitative in</w:t>
      </w:r>
      <w:r w:rsidRPr="00DB7279">
        <w:t xml:space="preserve"> </w:t>
      </w:r>
      <w:r w:rsidRPr="005B49AD">
        <w:t>nature or may consist of mixed</w:t>
      </w:r>
      <w:r w:rsidRPr="00DB7279">
        <w:t xml:space="preserve"> </w:t>
      </w:r>
      <w:r w:rsidRPr="005B49AD">
        <w:t>methods. Additionally, data may be</w:t>
      </w:r>
      <w:r w:rsidRPr="00DB7279">
        <w:t xml:space="preserve"> </w:t>
      </w:r>
      <w:r w:rsidRPr="005B49AD">
        <w:t>collected via a variety of means,</w:t>
      </w:r>
      <w:r w:rsidRPr="00DB7279">
        <w:t xml:space="preserve"> </w:t>
      </w:r>
      <w:r w:rsidRPr="005B49AD">
        <w:t>including but not</w:t>
      </w:r>
      <w:r w:rsidRPr="00DB7279">
        <w:t xml:space="preserve"> l</w:t>
      </w:r>
      <w:r w:rsidRPr="005B49AD">
        <w:t>imited to electronic</w:t>
      </w:r>
      <w:r w:rsidRPr="00DB7279">
        <w:t xml:space="preserve"> </w:t>
      </w:r>
      <w:r w:rsidRPr="005B49AD">
        <w:t>or social media, direct or indirect</w:t>
      </w:r>
      <w:r w:rsidRPr="00DB7279">
        <w:t xml:space="preserve"> </w:t>
      </w:r>
      <w:r w:rsidRPr="005B49AD">
        <w:t xml:space="preserve">observation </w:t>
      </w:r>
      <w:r w:rsidRPr="005B49AD">
        <w:t>(</w:t>
      </w:r>
      <w:r w:rsidRPr="005B49AD">
        <w:rPr>
          <w:iCs/>
        </w:rPr>
        <w:t xml:space="preserve">i.e., </w:t>
      </w:r>
      <w:r w:rsidRPr="005B49AD">
        <w:t>in person, video and</w:t>
      </w:r>
      <w:r w:rsidRPr="00DB7279">
        <w:t xml:space="preserve"> </w:t>
      </w:r>
      <w:r w:rsidRPr="005B49AD">
        <w:t>audio collections), interviews,</w:t>
      </w:r>
      <w:r w:rsidRPr="00DB7279">
        <w:t xml:space="preserve"> </w:t>
      </w:r>
      <w:r w:rsidRPr="005B49AD">
        <w:t>questionnaires, surveys, and focus</w:t>
      </w:r>
      <w:r w:rsidRPr="00DB7279">
        <w:t xml:space="preserve"> </w:t>
      </w:r>
      <w:r w:rsidRPr="005B49AD">
        <w:t xml:space="preserve">groups. </w:t>
      </w:r>
      <w:r w:rsidRPr="00DB7279">
        <w:t>V</w:t>
      </w:r>
      <w:r w:rsidRPr="005B49AD">
        <w:t>eterans Experience Office will</w:t>
      </w:r>
      <w:r w:rsidRPr="00DB7279">
        <w:t xml:space="preserve"> </w:t>
      </w:r>
      <w:r w:rsidRPr="005B49AD">
        <w:t>limit its inquiries to data collections</w:t>
      </w:r>
      <w:r w:rsidRPr="00DB7279">
        <w:t xml:space="preserve"> </w:t>
      </w:r>
      <w:r w:rsidRPr="005B49AD">
        <w:t>that solicit strictly voluntary opinions or</w:t>
      </w:r>
      <w:r w:rsidRPr="00DB7279">
        <w:t xml:space="preserve"> </w:t>
      </w:r>
      <w:r w:rsidRPr="005B49AD">
        <w:t>responses. Steps will be taken to ensure</w:t>
      </w:r>
      <w:r w:rsidRPr="00DB7279">
        <w:t xml:space="preserve"> </w:t>
      </w:r>
      <w:r w:rsidRPr="005B49AD">
        <w:t xml:space="preserve">anonymity of </w:t>
      </w:r>
      <w:r w:rsidRPr="00DB7279">
        <w:t>r</w:t>
      </w:r>
      <w:r w:rsidRPr="005B49AD">
        <w:t>espondents in each</w:t>
      </w:r>
      <w:r w:rsidRPr="00DB7279">
        <w:t xml:space="preserve"> </w:t>
      </w:r>
      <w:r w:rsidRPr="005B49AD">
        <w:t>activity covered by this request.</w:t>
      </w:r>
    </w:p>
    <w:p w:rsidR="00E87561" w:rsidRPr="007B2DFD" w:rsidP="00E87561" w14:paraId="14F49D79" w14:textId="77777777">
      <w:pPr>
        <w:spacing w:line="480" w:lineRule="auto"/>
        <w:ind w:right="274"/>
        <w:rPr>
          <w:rFonts w:ascii="Arial" w:hAnsi="Arial" w:cs="Arial"/>
          <w:sz w:val="24"/>
          <w:szCs w:val="24"/>
        </w:rPr>
      </w:pPr>
      <w:r w:rsidRPr="007B2DFD">
        <w:rPr>
          <w:rFonts w:ascii="Arial" w:hAnsi="Arial" w:cs="Arial"/>
          <w:sz w:val="24"/>
          <w:szCs w:val="24"/>
        </w:rPr>
        <w:t>The results of the data collected will be used to improve the delivery of Federal services and programs. It will include the creation of personas, customer journey maps, and reports and summaries of customer feedback data and user insights. Veterans Experience Office will collect this information by electronic means when possible, as well as by mail, fax, telephone, technical discussions, and in-person interviews. Veterans Experience Office may also utilize observational techniques to collect this information.</w:t>
      </w:r>
    </w:p>
    <w:p w:rsidR="00E87561" w:rsidRPr="00DB7279" w:rsidP="00E87561" w14:paraId="0749E1A9" w14:textId="77777777">
      <w:pPr>
        <w:pStyle w:val="Heading1"/>
        <w:tabs>
          <w:tab w:val="right" w:pos="9360"/>
        </w:tabs>
        <w:ind w:right="270"/>
        <w:rPr>
          <w:rFonts w:cs="Arial"/>
          <w:szCs w:val="24"/>
        </w:rPr>
      </w:pPr>
      <w:r w:rsidRPr="005B49AD">
        <w:t>Collections will be targeted to the</w:t>
      </w:r>
      <w:r w:rsidRPr="00DB7279">
        <w:t xml:space="preserve"> </w:t>
      </w:r>
      <w:r w:rsidRPr="005B49AD">
        <w:t>solicitation of opinions from</w:t>
      </w:r>
      <w:r w:rsidRPr="00DB7279">
        <w:t xml:space="preserve"> </w:t>
      </w:r>
      <w:r w:rsidRPr="005B49AD">
        <w:t>respondents who have experience with</w:t>
      </w:r>
      <w:r w:rsidRPr="00DB7279">
        <w:t xml:space="preserve"> </w:t>
      </w:r>
      <w:r w:rsidRPr="005B49AD">
        <w:t>the program or may have experience</w:t>
      </w:r>
      <w:r w:rsidRPr="00DB7279">
        <w:t xml:space="preserve"> </w:t>
      </w:r>
      <w:r w:rsidRPr="005B49AD">
        <w:t>with the program in the near future. For</w:t>
      </w:r>
      <w:r w:rsidRPr="00DB7279">
        <w:t xml:space="preserve"> </w:t>
      </w:r>
      <w:r w:rsidRPr="005B49AD">
        <w:t>the purposes of this request,</w:t>
      </w:r>
      <w:r w:rsidRPr="00DB7279">
        <w:t xml:space="preserve"> </w:t>
      </w:r>
      <w:r w:rsidRPr="005B49AD">
        <w:t>‘‘customers’’ are individuals,</w:t>
      </w:r>
      <w:r w:rsidRPr="00DB7279">
        <w:t xml:space="preserve"> </w:t>
      </w:r>
      <w:r w:rsidRPr="005B49AD">
        <w:t>businesses, and organizations that</w:t>
      </w:r>
      <w:r w:rsidRPr="00DB7279">
        <w:t xml:space="preserve"> </w:t>
      </w:r>
      <w:r w:rsidRPr="005B49AD">
        <w:t xml:space="preserve">interact with </w:t>
      </w:r>
      <w:r w:rsidRPr="00DB7279">
        <w:t>a</w:t>
      </w:r>
      <w:r w:rsidRPr="005B49AD">
        <w:t xml:space="preserve"> Federal Government</w:t>
      </w:r>
      <w:r w:rsidRPr="00DB7279">
        <w:t xml:space="preserve"> </w:t>
      </w:r>
      <w:r w:rsidRPr="005B49AD">
        <w:t>agency or program, either directly or via</w:t>
      </w:r>
      <w:r w:rsidRPr="00DB7279">
        <w:t xml:space="preserve"> </w:t>
      </w:r>
      <w:r w:rsidRPr="005B49AD">
        <w:t>a Federal contractor. This could include</w:t>
      </w:r>
      <w:r w:rsidRPr="00DB7279">
        <w:t xml:space="preserve"> </w:t>
      </w:r>
      <w:r w:rsidRPr="005B49AD">
        <w:t>individuals or households; businesses</w:t>
      </w:r>
      <w:r w:rsidRPr="00DB7279">
        <w:t xml:space="preserve"> </w:t>
      </w:r>
      <w:r w:rsidRPr="005B49AD">
        <w:t xml:space="preserve">or other for-profit </w:t>
      </w:r>
      <w:r w:rsidRPr="00DB7279">
        <w:t>o</w:t>
      </w:r>
      <w:r w:rsidRPr="005B49AD">
        <w:t>rganizations; not-for</w:t>
      </w:r>
      <w:r w:rsidRPr="00DB7279">
        <w:t xml:space="preserve"> </w:t>
      </w:r>
      <w:r w:rsidRPr="005B49AD">
        <w:t>profit</w:t>
      </w:r>
      <w:r w:rsidRPr="00DB7279">
        <w:t xml:space="preserve"> </w:t>
      </w:r>
      <w:r w:rsidRPr="005B49AD">
        <w:t>institutions; State, local or tribal</w:t>
      </w:r>
      <w:r w:rsidRPr="00DB7279">
        <w:t xml:space="preserve"> </w:t>
      </w:r>
      <w:r w:rsidRPr="005B49AD">
        <w:t xml:space="preserve">governments; Federal </w:t>
      </w:r>
      <w:r w:rsidRPr="00DB7279">
        <w:t>g</w:t>
      </w:r>
      <w:r w:rsidRPr="005B49AD">
        <w:t>overnment; and</w:t>
      </w:r>
      <w:r w:rsidRPr="00DB7279">
        <w:t xml:space="preserve"> Universities.</w:t>
      </w:r>
      <w:r w:rsidRPr="00DB7279">
        <w:rPr>
          <w:rFonts w:cs="Arial"/>
          <w:szCs w:val="24"/>
        </w:rPr>
        <w:t xml:space="preserve"> </w:t>
      </w:r>
    </w:p>
    <w:p w:rsidR="00E87561" w:rsidRPr="00E87561" w:rsidP="00E87561" w14:paraId="2A8D03B2" w14:textId="77777777"/>
    <w:p w:rsidR="00876746" w:rsidRPr="007465B2" w:rsidP="002447C4" w14:paraId="521AEF0D" w14:textId="74F4B53E">
      <w:pPr>
        <w:tabs>
          <w:tab w:val="left" w:pos="360"/>
          <w:tab w:val="right" w:pos="9360"/>
        </w:tabs>
        <w:spacing w:line="480" w:lineRule="auto"/>
        <w:ind w:right="270" w:firstLine="360"/>
        <w:rPr>
          <w:rFonts w:ascii="Arial" w:hAnsi="Arial" w:cs="Arial"/>
          <w:color w:val="C00000"/>
          <w:sz w:val="24"/>
          <w:szCs w:val="24"/>
        </w:rPr>
      </w:pPr>
      <w:r w:rsidRPr="001166FE">
        <w:rPr>
          <w:rFonts w:ascii="Arial" w:hAnsi="Arial" w:cs="Arial"/>
          <w:sz w:val="24"/>
          <w:szCs w:val="24"/>
        </w:rPr>
        <w:t>An</w:t>
      </w:r>
      <w:r w:rsidRPr="00875723">
        <w:rPr>
          <w:rFonts w:ascii="Arial" w:hAnsi="Arial" w:cs="Arial"/>
          <w:sz w:val="24"/>
          <w:szCs w:val="24"/>
        </w:rPr>
        <w:t xml:space="preserve"> agency may not conduct or sponsor, and a person is not required to respond to a collection of information unless it displays a currently valid OMB control number.  The </w:t>
      </w:r>
      <w:r w:rsidRPr="006E26D6">
        <w:rPr>
          <w:rFonts w:ascii="Arial" w:hAnsi="Arial" w:cs="Arial"/>
          <w:b/>
          <w:i/>
          <w:sz w:val="24"/>
          <w:szCs w:val="24"/>
        </w:rPr>
        <w:t>Federal Register</w:t>
      </w:r>
      <w:r w:rsidRPr="00875723">
        <w:rPr>
          <w:rFonts w:ascii="Arial" w:hAnsi="Arial" w:cs="Arial"/>
          <w:sz w:val="24"/>
          <w:szCs w:val="24"/>
        </w:rPr>
        <w:t xml:space="preserve"> Notice with a 60-day comment period soliciting comments on this collection of information was pu</w:t>
      </w:r>
      <w:r w:rsidRPr="00875723" w:rsidR="005B6F4F">
        <w:rPr>
          <w:rFonts w:ascii="Arial" w:hAnsi="Arial" w:cs="Arial"/>
          <w:sz w:val="24"/>
          <w:szCs w:val="24"/>
        </w:rPr>
        <w:t xml:space="preserve">blished </w:t>
      </w:r>
      <w:r w:rsidRPr="00875723" w:rsidR="004A6C2A">
        <w:rPr>
          <w:rFonts w:ascii="Arial" w:hAnsi="Arial" w:cs="Arial"/>
          <w:sz w:val="24"/>
          <w:szCs w:val="24"/>
        </w:rPr>
        <w:t>at</w:t>
      </w:r>
      <w:r w:rsidRPr="00DB7279" w:rsidR="001166FE">
        <w:rPr>
          <w:rFonts w:ascii="Arial" w:hAnsi="Arial" w:cs="Arial"/>
          <w:sz w:val="24"/>
          <w:szCs w:val="24"/>
        </w:rPr>
        <w:t xml:space="preserve"> 84 FR 149 on </w:t>
      </w:r>
      <w:r w:rsidRPr="00B80634" w:rsidR="001166FE">
        <w:rPr>
          <w:rFonts w:ascii="Arial" w:hAnsi="Arial" w:cs="Arial"/>
          <w:sz w:val="24"/>
          <w:szCs w:val="24"/>
        </w:rPr>
        <w:t>August 2, 2019</w:t>
      </w:r>
      <w:r w:rsidRPr="00DB7279" w:rsidR="001166FE">
        <w:rPr>
          <w:rFonts w:ascii="Arial" w:hAnsi="Arial" w:cs="Arial"/>
          <w:sz w:val="24"/>
          <w:szCs w:val="24"/>
        </w:rPr>
        <w:t xml:space="preserve">, pages </w:t>
      </w:r>
      <w:r w:rsidRPr="00DB7279" w:rsidR="001166FE">
        <w:rPr>
          <w:rFonts w:ascii="Arial" w:hAnsi="Arial" w:cs="Arial"/>
          <w:sz w:val="24"/>
          <w:szCs w:val="24"/>
        </w:rPr>
        <w:t>37953 and 37954. No comments on this data collection request were submitted by the public.</w:t>
      </w:r>
    </w:p>
    <w:p w:rsidR="0031657C" w:rsidRPr="00E87561" w14:paraId="6E51A03C" w14:textId="2C7B446E">
      <w:pPr>
        <w:tabs>
          <w:tab w:val="left" w:pos="360"/>
          <w:tab w:val="decimal" w:pos="4230"/>
          <w:tab w:val="decimal" w:pos="5616"/>
          <w:tab w:val="right" w:pos="9360"/>
          <w:tab w:val="decimal" w:pos="10944"/>
        </w:tabs>
        <w:spacing w:line="480" w:lineRule="auto"/>
        <w:ind w:right="270"/>
        <w:jc w:val="both"/>
        <w:rPr>
          <w:rFonts w:ascii="Arial" w:hAnsi="Arial" w:cs="Arial"/>
          <w:sz w:val="24"/>
          <w:szCs w:val="24"/>
        </w:rPr>
      </w:pPr>
      <w:r w:rsidRPr="008613E4">
        <w:rPr>
          <w:rFonts w:ascii="Arial" w:hAnsi="Arial" w:cs="Arial"/>
          <w:color w:val="000000"/>
          <w:sz w:val="24"/>
          <w:szCs w:val="24"/>
          <w:u w:val="single"/>
        </w:rPr>
        <w:t>Affected Public</w:t>
      </w:r>
      <w:r w:rsidRPr="008613E4" w:rsidR="00130F3F">
        <w:rPr>
          <w:rFonts w:ascii="Arial" w:hAnsi="Arial" w:cs="Arial"/>
          <w:color w:val="000000"/>
          <w:sz w:val="24"/>
          <w:szCs w:val="24"/>
        </w:rPr>
        <w:t xml:space="preserve">:  </w:t>
      </w:r>
      <w:r w:rsidRPr="00DB7279" w:rsidR="00E87561">
        <w:rPr>
          <w:rFonts w:ascii="Arial" w:hAnsi="Arial" w:cs="Arial"/>
          <w:sz w:val="24"/>
          <w:szCs w:val="24"/>
        </w:rPr>
        <w:t>Individuals or Households.</w:t>
      </w:r>
    </w:p>
    <w:p w:rsidR="0031657C" w:rsidRPr="007465B2" w14:paraId="4C7D07D2" w14:textId="44E0BA57">
      <w:pPr>
        <w:tabs>
          <w:tab w:val="left" w:pos="360"/>
          <w:tab w:val="decimal" w:pos="576"/>
          <w:tab w:val="decimal" w:pos="5616"/>
          <w:tab w:val="right" w:pos="9360"/>
          <w:tab w:val="decimal" w:pos="10944"/>
        </w:tabs>
        <w:spacing w:line="480" w:lineRule="auto"/>
        <w:ind w:right="270"/>
        <w:jc w:val="both"/>
        <w:rPr>
          <w:rFonts w:ascii="Arial" w:hAnsi="Arial" w:cs="Arial"/>
          <w:color w:val="C00000"/>
          <w:sz w:val="24"/>
          <w:szCs w:val="24"/>
        </w:rPr>
      </w:pPr>
      <w:r w:rsidRPr="008613E4">
        <w:rPr>
          <w:rFonts w:ascii="Arial" w:hAnsi="Arial" w:cs="Arial"/>
          <w:color w:val="000000"/>
          <w:sz w:val="24"/>
          <w:szCs w:val="24"/>
          <w:u w:val="single"/>
        </w:rPr>
        <w:t>Estimated Annual Burden</w:t>
      </w:r>
      <w:r w:rsidRPr="008613E4">
        <w:rPr>
          <w:rFonts w:ascii="Arial" w:hAnsi="Arial" w:cs="Arial"/>
          <w:color w:val="000000"/>
          <w:sz w:val="24"/>
          <w:szCs w:val="24"/>
        </w:rPr>
        <w:t xml:space="preserve">:  </w:t>
      </w:r>
      <w:r w:rsidRPr="00CD79A1" w:rsidR="00CD79A1">
        <w:rPr>
          <w:rFonts w:ascii="Arial" w:hAnsi="Arial" w:cs="Arial"/>
          <w:sz w:val="24"/>
          <w:szCs w:val="24"/>
        </w:rPr>
        <w:t>2,504,975</w:t>
      </w:r>
    </w:p>
    <w:p w:rsidR="0031657C" w:rsidRPr="008613E4" w14:paraId="73A1DE06" w14:textId="23488B21">
      <w:pPr>
        <w:tabs>
          <w:tab w:val="left" w:pos="360"/>
          <w:tab w:val="decimal" w:pos="576"/>
          <w:tab w:val="decimal" w:pos="5616"/>
          <w:tab w:val="right" w:pos="9360"/>
          <w:tab w:val="decimal" w:pos="10944"/>
        </w:tabs>
        <w:spacing w:line="480" w:lineRule="auto"/>
        <w:ind w:right="270"/>
        <w:jc w:val="both"/>
        <w:rPr>
          <w:rFonts w:ascii="Arial" w:hAnsi="Arial" w:cs="Arial"/>
          <w:color w:val="000000"/>
          <w:sz w:val="24"/>
          <w:szCs w:val="24"/>
        </w:rPr>
      </w:pPr>
      <w:r w:rsidRPr="008613E4">
        <w:rPr>
          <w:rFonts w:ascii="Arial" w:hAnsi="Arial" w:cs="Arial"/>
          <w:color w:val="000000"/>
          <w:sz w:val="24"/>
          <w:szCs w:val="24"/>
          <w:u w:val="single"/>
        </w:rPr>
        <w:t>Estimated Average Burden Per Respondent</w:t>
      </w:r>
      <w:r w:rsidRPr="008613E4">
        <w:rPr>
          <w:rFonts w:ascii="Arial" w:hAnsi="Arial" w:cs="Arial"/>
          <w:color w:val="000000"/>
          <w:sz w:val="24"/>
          <w:szCs w:val="24"/>
        </w:rPr>
        <w:t xml:space="preserve">:  </w:t>
      </w:r>
      <w:r w:rsidRPr="00DB7279" w:rsidR="00E87561">
        <w:rPr>
          <w:rFonts w:ascii="Arial" w:hAnsi="Arial" w:cs="Arial"/>
          <w:sz w:val="24"/>
          <w:szCs w:val="24"/>
        </w:rPr>
        <w:t xml:space="preserve">Varied, dependent upon </w:t>
      </w:r>
      <w:r w:rsidRPr="00174896" w:rsidR="00E87561">
        <w:rPr>
          <w:rFonts w:ascii="Arial" w:hAnsi="Arial" w:cs="Arial"/>
          <w:sz w:val="24"/>
          <w:szCs w:val="24"/>
        </w:rPr>
        <w:t>the data collection method used. The</w:t>
      </w:r>
      <w:r w:rsidRPr="00DB7279" w:rsidR="00E87561">
        <w:rPr>
          <w:rFonts w:ascii="Arial" w:hAnsi="Arial" w:cs="Arial"/>
          <w:sz w:val="24"/>
          <w:szCs w:val="24"/>
        </w:rPr>
        <w:t xml:space="preserve"> </w:t>
      </w:r>
      <w:r w:rsidRPr="00174896" w:rsidR="00E87561">
        <w:rPr>
          <w:rFonts w:ascii="Arial" w:hAnsi="Arial" w:cs="Arial"/>
          <w:sz w:val="24"/>
          <w:szCs w:val="24"/>
        </w:rPr>
        <w:t>possible response time to complete a</w:t>
      </w:r>
      <w:r w:rsidRPr="00DB7279" w:rsidR="00E87561">
        <w:rPr>
          <w:rFonts w:ascii="Arial" w:hAnsi="Arial" w:cs="Arial"/>
          <w:sz w:val="24"/>
          <w:szCs w:val="24"/>
        </w:rPr>
        <w:t xml:space="preserve"> </w:t>
      </w:r>
      <w:r w:rsidRPr="00174896" w:rsidR="00E87561">
        <w:rPr>
          <w:rFonts w:ascii="Arial" w:hAnsi="Arial" w:cs="Arial"/>
          <w:sz w:val="24"/>
          <w:szCs w:val="24"/>
        </w:rPr>
        <w:t xml:space="preserve">questionnaire or survey may be </w:t>
      </w:r>
      <w:r w:rsidRPr="00CD79A1" w:rsidR="00E87561">
        <w:rPr>
          <w:rFonts w:ascii="Arial" w:hAnsi="Arial" w:cs="Arial"/>
          <w:sz w:val="24"/>
          <w:szCs w:val="24"/>
        </w:rPr>
        <w:t>2 minutes or up to 2</w:t>
      </w:r>
      <w:r w:rsidRPr="00174896" w:rsidR="00E87561">
        <w:rPr>
          <w:rFonts w:ascii="Arial" w:hAnsi="Arial" w:cs="Arial"/>
          <w:sz w:val="24"/>
          <w:szCs w:val="24"/>
        </w:rPr>
        <w:t xml:space="preserve"> hours to participate</w:t>
      </w:r>
      <w:r w:rsidRPr="00DB7279" w:rsidR="00E87561">
        <w:rPr>
          <w:rFonts w:ascii="Arial" w:hAnsi="Arial" w:cs="Arial"/>
          <w:sz w:val="24"/>
          <w:szCs w:val="24"/>
        </w:rPr>
        <w:t xml:space="preserve"> in an interview.</w:t>
      </w:r>
    </w:p>
    <w:p w:rsidR="00E87561" w:rsidRPr="00DB7279" w:rsidP="00E87561" w14:paraId="7CEBB563" w14:textId="77777777">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8613E4">
        <w:rPr>
          <w:rFonts w:ascii="Arial" w:hAnsi="Arial" w:cs="Arial"/>
          <w:color w:val="000000"/>
          <w:sz w:val="24"/>
          <w:szCs w:val="24"/>
          <w:u w:val="single"/>
        </w:rPr>
        <w:t>Frequency of Response</w:t>
      </w:r>
      <w:r w:rsidRPr="008613E4">
        <w:rPr>
          <w:rFonts w:ascii="Arial" w:hAnsi="Arial" w:cs="Arial"/>
          <w:color w:val="000000"/>
          <w:sz w:val="24"/>
          <w:szCs w:val="24"/>
        </w:rPr>
        <w:t xml:space="preserve">: </w:t>
      </w:r>
      <w:r w:rsidRPr="00DB7279">
        <w:rPr>
          <w:rFonts w:ascii="Arial" w:hAnsi="Arial" w:cs="Arial"/>
          <w:sz w:val="24"/>
          <w:szCs w:val="24"/>
        </w:rPr>
        <w:t>Varied, dependent upon the data collection method used.</w:t>
      </w:r>
    </w:p>
    <w:p w:rsidR="003B042E" w:rsidRPr="00675A67" w:rsidP="002447C4" w14:paraId="6C187F9F" w14:textId="01041AE9">
      <w:pPr>
        <w:tabs>
          <w:tab w:val="left" w:pos="0"/>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675A67">
        <w:rPr>
          <w:rFonts w:ascii="Arial" w:hAnsi="Arial" w:cs="Arial"/>
          <w:sz w:val="24"/>
          <w:szCs w:val="24"/>
          <w:u w:val="single"/>
        </w:rPr>
        <w:t>Estimated Number of Respondents:</w:t>
      </w:r>
      <w:r w:rsidRPr="00675A67">
        <w:rPr>
          <w:rFonts w:ascii="Arial" w:hAnsi="Arial" w:cs="Arial"/>
          <w:sz w:val="24"/>
          <w:szCs w:val="24"/>
        </w:rPr>
        <w:t xml:space="preserve">  </w:t>
      </w:r>
      <w:r w:rsidRPr="00675A67" w:rsidR="00CD79A1">
        <w:rPr>
          <w:rFonts w:ascii="Arial" w:hAnsi="Arial" w:cs="Arial"/>
          <w:sz w:val="24"/>
          <w:szCs w:val="24"/>
        </w:rPr>
        <w:t>5,000,000</w:t>
      </w:r>
      <w:r w:rsidRPr="00675A67" w:rsidR="001166FE">
        <w:rPr>
          <w:rFonts w:ascii="Arial" w:hAnsi="Arial" w:cs="Arial"/>
          <w:sz w:val="24"/>
          <w:szCs w:val="24"/>
        </w:rPr>
        <w:t>.</w:t>
      </w:r>
    </w:p>
    <w:p w:rsidR="004B705E" w:rsidRPr="00675A67" w14:paraId="02E4D76C" w14:textId="77777777">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p>
    <w:p w:rsidR="00E05658" w:rsidRPr="00675A67" w:rsidP="00E05658" w14:paraId="20290A00" w14:textId="77777777">
      <w:pPr>
        <w:tabs>
          <w:tab w:val="left" w:pos="360"/>
          <w:tab w:val="decimal" w:pos="576"/>
          <w:tab w:val="decimal" w:pos="5616"/>
          <w:tab w:val="decimal" w:pos="10944"/>
        </w:tabs>
        <w:spacing w:after="120" w:line="480" w:lineRule="auto"/>
        <w:rPr>
          <w:rFonts w:ascii="Arial" w:hAnsi="Arial"/>
          <w:sz w:val="24"/>
          <w:szCs w:val="24"/>
        </w:rPr>
      </w:pPr>
      <w:r w:rsidRPr="00675A67">
        <w:rPr>
          <w:rFonts w:ascii="Arial" w:hAnsi="Arial"/>
          <w:sz w:val="24"/>
          <w:szCs w:val="24"/>
        </w:rPr>
        <w:t>By direction of the Secretary:</w:t>
      </w:r>
    </w:p>
    <w:p w:rsidR="00E05658" w:rsidRPr="00675A67" w:rsidP="00E05658" w14:paraId="61716B95" w14:textId="6A29B33A">
      <w:pPr>
        <w:tabs>
          <w:tab w:val="left" w:pos="360"/>
          <w:tab w:val="decimal" w:pos="576"/>
          <w:tab w:val="decimal" w:pos="5616"/>
          <w:tab w:val="decimal" w:pos="10944"/>
        </w:tabs>
        <w:spacing w:after="120" w:line="480" w:lineRule="auto"/>
        <w:rPr>
          <w:rFonts w:ascii="Arial" w:hAnsi="Arial"/>
          <w:bCs/>
          <w:sz w:val="24"/>
          <w:szCs w:val="24"/>
        </w:rPr>
      </w:pPr>
      <w:r w:rsidRPr="00675A67">
        <w:rPr>
          <w:rFonts w:ascii="Arial" w:hAnsi="Arial"/>
          <w:bCs/>
          <w:sz w:val="24"/>
          <w:szCs w:val="24"/>
        </w:rPr>
        <w:t>Maribel Aponte</w:t>
      </w:r>
      <w:r w:rsidRPr="00675A67" w:rsidR="00A44363">
        <w:rPr>
          <w:rFonts w:ascii="Arial" w:hAnsi="Arial"/>
          <w:bCs/>
          <w:sz w:val="24"/>
          <w:szCs w:val="24"/>
        </w:rPr>
        <w:t>,</w:t>
      </w:r>
    </w:p>
    <w:p w:rsidR="00E05658" w:rsidRPr="00675A67" w:rsidP="00E05658" w14:paraId="57390BD8" w14:textId="359301BD">
      <w:pPr>
        <w:tabs>
          <w:tab w:val="left" w:pos="360"/>
          <w:tab w:val="decimal" w:pos="576"/>
          <w:tab w:val="decimal" w:pos="5616"/>
          <w:tab w:val="decimal" w:pos="10944"/>
        </w:tabs>
        <w:spacing w:after="120" w:line="480" w:lineRule="auto"/>
        <w:rPr>
          <w:rFonts w:ascii="Arial" w:hAnsi="Arial"/>
          <w:i/>
          <w:sz w:val="24"/>
          <w:szCs w:val="24"/>
        </w:rPr>
      </w:pPr>
      <w:r w:rsidRPr="00675A67">
        <w:rPr>
          <w:rFonts w:ascii="Arial" w:hAnsi="Arial"/>
          <w:i/>
          <w:sz w:val="24"/>
          <w:szCs w:val="24"/>
        </w:rPr>
        <w:t xml:space="preserve">VA </w:t>
      </w:r>
      <w:r w:rsidRPr="00675A67" w:rsidR="00C40883">
        <w:rPr>
          <w:rFonts w:ascii="Arial" w:hAnsi="Arial"/>
          <w:i/>
          <w:sz w:val="24"/>
          <w:szCs w:val="24"/>
        </w:rPr>
        <w:t>PRA</w:t>
      </w:r>
      <w:r w:rsidRPr="00675A67">
        <w:rPr>
          <w:rFonts w:ascii="Arial" w:hAnsi="Arial"/>
          <w:i/>
          <w:sz w:val="24"/>
          <w:szCs w:val="24"/>
        </w:rPr>
        <w:t xml:space="preserve"> Clearance Officer,</w:t>
      </w:r>
    </w:p>
    <w:p w:rsidR="00E05658" w:rsidRPr="00675A67" w:rsidP="00E05658" w14:paraId="428839B5" w14:textId="423059B2">
      <w:pPr>
        <w:tabs>
          <w:tab w:val="left" w:pos="360"/>
          <w:tab w:val="decimal" w:pos="576"/>
          <w:tab w:val="decimal" w:pos="5616"/>
          <w:tab w:val="decimal" w:pos="10944"/>
        </w:tabs>
        <w:spacing w:after="120" w:line="480" w:lineRule="auto"/>
        <w:rPr>
          <w:rFonts w:ascii="Arial" w:hAnsi="Arial"/>
          <w:i/>
          <w:sz w:val="24"/>
          <w:szCs w:val="24"/>
        </w:rPr>
      </w:pPr>
      <w:r w:rsidRPr="00675A67">
        <w:rPr>
          <w:rFonts w:ascii="Arial" w:hAnsi="Arial"/>
          <w:i/>
          <w:sz w:val="24"/>
          <w:szCs w:val="24"/>
        </w:rPr>
        <w:t xml:space="preserve">Office of </w:t>
      </w:r>
      <w:r w:rsidRPr="00675A67" w:rsidR="00332BCC">
        <w:rPr>
          <w:rFonts w:ascii="Arial" w:hAnsi="Arial"/>
          <w:i/>
          <w:sz w:val="24"/>
          <w:szCs w:val="24"/>
        </w:rPr>
        <w:t>Enterprise and Integration, Data Governance Analytics</w:t>
      </w:r>
      <w:r w:rsidRPr="00675A67">
        <w:rPr>
          <w:rFonts w:ascii="Arial" w:hAnsi="Arial"/>
          <w:i/>
          <w:sz w:val="24"/>
          <w:szCs w:val="24"/>
        </w:rPr>
        <w:t>,</w:t>
      </w:r>
    </w:p>
    <w:p w:rsidR="00E05658" w:rsidRPr="00675A67" w:rsidP="00E05658" w14:paraId="7F1A9F3B" w14:textId="77777777">
      <w:pPr>
        <w:tabs>
          <w:tab w:val="left" w:pos="360"/>
          <w:tab w:val="decimal" w:pos="576"/>
          <w:tab w:val="decimal" w:pos="5616"/>
          <w:tab w:val="decimal" w:pos="10944"/>
        </w:tabs>
        <w:spacing w:line="480" w:lineRule="auto"/>
        <w:rPr>
          <w:rFonts w:ascii="Arial" w:hAnsi="Arial"/>
          <w:sz w:val="24"/>
          <w:szCs w:val="24"/>
        </w:rPr>
      </w:pPr>
      <w:r w:rsidRPr="00675A67">
        <w:rPr>
          <w:rFonts w:ascii="Arial" w:hAnsi="Arial"/>
          <w:i/>
          <w:sz w:val="24"/>
          <w:szCs w:val="24"/>
        </w:rPr>
        <w:t>Department of Veterans Affairs.</w:t>
      </w:r>
    </w:p>
    <w:p w:rsidR="00E05658" w:rsidRPr="00675A67" w:rsidP="00E05658" w14:paraId="3B5B8967" w14:textId="77777777">
      <w:pPr>
        <w:tabs>
          <w:tab w:val="left" w:pos="360"/>
          <w:tab w:val="decimal" w:pos="576"/>
          <w:tab w:val="decimal" w:pos="5616"/>
          <w:tab w:val="decimal" w:pos="10944"/>
        </w:tabs>
        <w:spacing w:line="480" w:lineRule="auto"/>
        <w:rPr>
          <w:rFonts w:ascii="Arial" w:hAnsi="Arial"/>
          <w:sz w:val="24"/>
          <w:szCs w:val="24"/>
        </w:rPr>
      </w:pPr>
    </w:p>
    <w:p w:rsidR="00E05658" w:rsidRPr="00675A67" w:rsidP="00E05658" w14:paraId="41B30EB5" w14:textId="77777777">
      <w:pPr>
        <w:spacing w:line="480" w:lineRule="auto"/>
        <w:rPr>
          <w:rFonts w:ascii="Arial" w:hAnsi="Arial"/>
          <w:i/>
          <w:sz w:val="24"/>
          <w:szCs w:val="24"/>
        </w:rPr>
      </w:pPr>
      <w:r w:rsidRPr="00675A67">
        <w:rPr>
          <w:rFonts w:ascii="Arial" w:hAnsi="Arial"/>
          <w:b/>
          <w:sz w:val="24"/>
          <w:szCs w:val="24"/>
        </w:rPr>
        <w:t>BILLING CODE 8320-01-P</w:t>
      </w:r>
    </w:p>
    <w:p w:rsidR="006E26D6" w:rsidRPr="006E26D6" w:rsidP="00E05658" w14:paraId="0D480AE0" w14:textId="77777777">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right="274"/>
        <w:rPr>
          <w:rFonts w:ascii="Arial" w:hAnsi="Arial" w:cs="Arial"/>
          <w:b/>
          <w:sz w:val="24"/>
          <w:szCs w:val="24"/>
        </w:rPr>
      </w:pPr>
    </w:p>
    <w:sectPr w:rsidSect="008613E4">
      <w:footerReference w:type="default" r:id="rId8"/>
      <w:pgSz w:w="12240" w:h="15840"/>
      <w:pgMar w:top="1440" w:right="135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45094199"/>
      <w:docPartObj>
        <w:docPartGallery w:val="Page Numbers (Bottom of Page)"/>
        <w:docPartUnique/>
      </w:docPartObj>
    </w:sdtPr>
    <w:sdtEndPr>
      <w:rPr>
        <w:noProof/>
      </w:rPr>
    </w:sdtEndPr>
    <w:sdtContent>
      <w:p w:rsidR="00AF6C8C" w14:paraId="0CAD8CBF" w14:textId="77777777">
        <w:pPr>
          <w:pStyle w:val="Footer"/>
          <w:jc w:val="center"/>
        </w:pPr>
        <w:r>
          <w:fldChar w:fldCharType="begin"/>
        </w:r>
        <w:r>
          <w:instrText xml:space="preserve"> PAGE   \* MERGEFORMAT </w:instrText>
        </w:r>
        <w:r>
          <w:fldChar w:fldCharType="separate"/>
        </w:r>
        <w:r w:rsidR="001355F1">
          <w:rPr>
            <w:noProof/>
          </w:rPr>
          <w:t>1</w:t>
        </w:r>
        <w:r>
          <w:rPr>
            <w:noProof/>
          </w:rPr>
          <w:fldChar w:fldCharType="end"/>
        </w:r>
      </w:p>
    </w:sdtContent>
  </w:sdt>
  <w:p w:rsidR="00AF6C8C" w14:paraId="78FD2139"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3F5208"/>
    <w:multiLevelType w:val="hybridMultilevel"/>
    <w:tmpl w:val="641E3046"/>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1462B6D"/>
    <w:multiLevelType w:val="hybridMultilevel"/>
    <w:tmpl w:val="2C96BD9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FF41BC"/>
    <w:multiLevelType w:val="hybridMultilevel"/>
    <w:tmpl w:val="36D0171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98B6EC2"/>
    <w:multiLevelType w:val="hybridMultilevel"/>
    <w:tmpl w:val="A8289C8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BBF0007"/>
    <w:multiLevelType w:val="hybridMultilevel"/>
    <w:tmpl w:val="6662550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36D107B"/>
    <w:multiLevelType w:val="hybridMultilevel"/>
    <w:tmpl w:val="36ACE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56E6E3E"/>
    <w:multiLevelType w:val="hybridMultilevel"/>
    <w:tmpl w:val="24B6D404"/>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C960520"/>
    <w:multiLevelType w:val="hybridMultilevel"/>
    <w:tmpl w:val="766C7BE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FD43FDF"/>
    <w:multiLevelType w:val="hybridMultilevel"/>
    <w:tmpl w:val="2654BB66"/>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1451347"/>
    <w:multiLevelType w:val="hybridMultilevel"/>
    <w:tmpl w:val="245A087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20E1D66"/>
    <w:multiLevelType w:val="hybridMultilevel"/>
    <w:tmpl w:val="26CE3930"/>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4FE628B"/>
    <w:multiLevelType w:val="hybridMultilevel"/>
    <w:tmpl w:val="6494F27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7AD6062"/>
    <w:multiLevelType w:val="hybridMultilevel"/>
    <w:tmpl w:val="CAC0B856"/>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E3F6884"/>
    <w:multiLevelType w:val="hybridMultilevel"/>
    <w:tmpl w:val="BEE2988E"/>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2E6329B"/>
    <w:multiLevelType w:val="hybridMultilevel"/>
    <w:tmpl w:val="5B1A899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32C3D01"/>
    <w:multiLevelType w:val="hybridMultilevel"/>
    <w:tmpl w:val="460E11C0"/>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7582B22"/>
    <w:multiLevelType w:val="hybridMultilevel"/>
    <w:tmpl w:val="0180D28E"/>
    <w:lvl w:ilvl="0">
      <w:start w:val="1"/>
      <w:numFmt w:val="lowerLetter"/>
      <w:lvlText w:val="%1."/>
      <w:lvlJc w:val="left"/>
      <w:pPr>
        <w:tabs>
          <w:tab w:val="num" w:pos="720"/>
        </w:tabs>
        <w:ind w:left="64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DE812C4"/>
    <w:multiLevelType w:val="hybridMultilevel"/>
    <w:tmpl w:val="2A8CB692"/>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12"/>
  </w:num>
  <w:num w:numId="4">
    <w:abstractNumId w:val="13"/>
  </w:num>
  <w:num w:numId="5">
    <w:abstractNumId w:val="6"/>
  </w:num>
  <w:num w:numId="6">
    <w:abstractNumId w:val="15"/>
  </w:num>
  <w:num w:numId="7">
    <w:abstractNumId w:val="14"/>
  </w:num>
  <w:num w:numId="8">
    <w:abstractNumId w:val="9"/>
  </w:num>
  <w:num w:numId="9">
    <w:abstractNumId w:val="4"/>
  </w:num>
  <w:num w:numId="10">
    <w:abstractNumId w:val="1"/>
  </w:num>
  <w:num w:numId="11">
    <w:abstractNumId w:val="8"/>
  </w:num>
  <w:num w:numId="12">
    <w:abstractNumId w:val="0"/>
  </w:num>
  <w:num w:numId="13">
    <w:abstractNumId w:val="10"/>
  </w:num>
  <w:num w:numId="14">
    <w:abstractNumId w:val="17"/>
  </w:num>
  <w:num w:numId="15">
    <w:abstractNumId w:val="2"/>
  </w:num>
  <w:num w:numId="16">
    <w:abstractNumId w:val="3"/>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1D"/>
    <w:rsid w:val="00012666"/>
    <w:rsid w:val="00037D51"/>
    <w:rsid w:val="00072010"/>
    <w:rsid w:val="0008444B"/>
    <w:rsid w:val="000D0D7D"/>
    <w:rsid w:val="000D4C5C"/>
    <w:rsid w:val="000F5B3F"/>
    <w:rsid w:val="0010021F"/>
    <w:rsid w:val="0010303E"/>
    <w:rsid w:val="001108D2"/>
    <w:rsid w:val="001166FE"/>
    <w:rsid w:val="001273AD"/>
    <w:rsid w:val="00130224"/>
    <w:rsid w:val="00130F3F"/>
    <w:rsid w:val="001355F1"/>
    <w:rsid w:val="00173766"/>
    <w:rsid w:val="00174896"/>
    <w:rsid w:val="00183689"/>
    <w:rsid w:val="001854CC"/>
    <w:rsid w:val="001A10B1"/>
    <w:rsid w:val="001A16A5"/>
    <w:rsid w:val="001C1E2C"/>
    <w:rsid w:val="00216517"/>
    <w:rsid w:val="00222A84"/>
    <w:rsid w:val="0023006D"/>
    <w:rsid w:val="00234E56"/>
    <w:rsid w:val="00237330"/>
    <w:rsid w:val="00237EAB"/>
    <w:rsid w:val="00243AD5"/>
    <w:rsid w:val="002447C4"/>
    <w:rsid w:val="00246D33"/>
    <w:rsid w:val="00252C37"/>
    <w:rsid w:val="00255ADC"/>
    <w:rsid w:val="002600E6"/>
    <w:rsid w:val="002647BA"/>
    <w:rsid w:val="00264A78"/>
    <w:rsid w:val="002927C4"/>
    <w:rsid w:val="002954D1"/>
    <w:rsid w:val="002A4B17"/>
    <w:rsid w:val="002B299F"/>
    <w:rsid w:val="002C21BC"/>
    <w:rsid w:val="002C3E71"/>
    <w:rsid w:val="002E7488"/>
    <w:rsid w:val="0031657C"/>
    <w:rsid w:val="003171DB"/>
    <w:rsid w:val="003258E9"/>
    <w:rsid w:val="00332BCC"/>
    <w:rsid w:val="00366230"/>
    <w:rsid w:val="00376335"/>
    <w:rsid w:val="0039352F"/>
    <w:rsid w:val="003A6B4A"/>
    <w:rsid w:val="003B042E"/>
    <w:rsid w:val="003C5592"/>
    <w:rsid w:val="003D7660"/>
    <w:rsid w:val="003E66D1"/>
    <w:rsid w:val="004019D2"/>
    <w:rsid w:val="0040238A"/>
    <w:rsid w:val="00425100"/>
    <w:rsid w:val="00436C95"/>
    <w:rsid w:val="00441392"/>
    <w:rsid w:val="00444B37"/>
    <w:rsid w:val="00456748"/>
    <w:rsid w:val="004738EA"/>
    <w:rsid w:val="00481E16"/>
    <w:rsid w:val="004A6C2A"/>
    <w:rsid w:val="004B4C08"/>
    <w:rsid w:val="004B6285"/>
    <w:rsid w:val="004B705E"/>
    <w:rsid w:val="004F4438"/>
    <w:rsid w:val="005208DE"/>
    <w:rsid w:val="005216F2"/>
    <w:rsid w:val="00536CAF"/>
    <w:rsid w:val="005500A5"/>
    <w:rsid w:val="0057063F"/>
    <w:rsid w:val="005B0B04"/>
    <w:rsid w:val="005B49AD"/>
    <w:rsid w:val="005B6F4F"/>
    <w:rsid w:val="005B7E23"/>
    <w:rsid w:val="005F5E14"/>
    <w:rsid w:val="006324D5"/>
    <w:rsid w:val="0063595A"/>
    <w:rsid w:val="00652A30"/>
    <w:rsid w:val="00653A72"/>
    <w:rsid w:val="006547F7"/>
    <w:rsid w:val="006713B6"/>
    <w:rsid w:val="00675A67"/>
    <w:rsid w:val="006B7B43"/>
    <w:rsid w:val="006E26D6"/>
    <w:rsid w:val="006F6C61"/>
    <w:rsid w:val="00701E3F"/>
    <w:rsid w:val="00716C57"/>
    <w:rsid w:val="007315B5"/>
    <w:rsid w:val="00737F7D"/>
    <w:rsid w:val="007465B2"/>
    <w:rsid w:val="00773DD6"/>
    <w:rsid w:val="00775131"/>
    <w:rsid w:val="007B2DFD"/>
    <w:rsid w:val="007B3AD6"/>
    <w:rsid w:val="007E5C82"/>
    <w:rsid w:val="007E6151"/>
    <w:rsid w:val="00836EF6"/>
    <w:rsid w:val="0083786F"/>
    <w:rsid w:val="008613E4"/>
    <w:rsid w:val="00875723"/>
    <w:rsid w:val="00876746"/>
    <w:rsid w:val="008B4656"/>
    <w:rsid w:val="008C5FA4"/>
    <w:rsid w:val="008D02DE"/>
    <w:rsid w:val="00931258"/>
    <w:rsid w:val="009346F4"/>
    <w:rsid w:val="00966C65"/>
    <w:rsid w:val="009B7931"/>
    <w:rsid w:val="009D0845"/>
    <w:rsid w:val="00A068E0"/>
    <w:rsid w:val="00A07915"/>
    <w:rsid w:val="00A40792"/>
    <w:rsid w:val="00A40968"/>
    <w:rsid w:val="00A44363"/>
    <w:rsid w:val="00A51482"/>
    <w:rsid w:val="00A53564"/>
    <w:rsid w:val="00AA4CC5"/>
    <w:rsid w:val="00AA5C3F"/>
    <w:rsid w:val="00AB2D96"/>
    <w:rsid w:val="00AD0A34"/>
    <w:rsid w:val="00AF5161"/>
    <w:rsid w:val="00AF6C8C"/>
    <w:rsid w:val="00B420E5"/>
    <w:rsid w:val="00B465DC"/>
    <w:rsid w:val="00B576D9"/>
    <w:rsid w:val="00B626AB"/>
    <w:rsid w:val="00B64E15"/>
    <w:rsid w:val="00B76618"/>
    <w:rsid w:val="00B80634"/>
    <w:rsid w:val="00B94AAC"/>
    <w:rsid w:val="00BA72FE"/>
    <w:rsid w:val="00BE0643"/>
    <w:rsid w:val="00BE1DE7"/>
    <w:rsid w:val="00BE47BA"/>
    <w:rsid w:val="00BF5F13"/>
    <w:rsid w:val="00C17238"/>
    <w:rsid w:val="00C40883"/>
    <w:rsid w:val="00C56A34"/>
    <w:rsid w:val="00C81543"/>
    <w:rsid w:val="00CB02A3"/>
    <w:rsid w:val="00CB6259"/>
    <w:rsid w:val="00CC42E6"/>
    <w:rsid w:val="00CC6F96"/>
    <w:rsid w:val="00CC7909"/>
    <w:rsid w:val="00CD4471"/>
    <w:rsid w:val="00CD79A1"/>
    <w:rsid w:val="00CF48BC"/>
    <w:rsid w:val="00D066C9"/>
    <w:rsid w:val="00D12530"/>
    <w:rsid w:val="00D20BF1"/>
    <w:rsid w:val="00D6581D"/>
    <w:rsid w:val="00D670F5"/>
    <w:rsid w:val="00D721FE"/>
    <w:rsid w:val="00D74A41"/>
    <w:rsid w:val="00D777FD"/>
    <w:rsid w:val="00D8400F"/>
    <w:rsid w:val="00DB417D"/>
    <w:rsid w:val="00DB7279"/>
    <w:rsid w:val="00DC1530"/>
    <w:rsid w:val="00DC6D31"/>
    <w:rsid w:val="00DD1F01"/>
    <w:rsid w:val="00DD58EE"/>
    <w:rsid w:val="00DF26D1"/>
    <w:rsid w:val="00E05658"/>
    <w:rsid w:val="00E20268"/>
    <w:rsid w:val="00E31025"/>
    <w:rsid w:val="00E41CDA"/>
    <w:rsid w:val="00E45D82"/>
    <w:rsid w:val="00E62CBC"/>
    <w:rsid w:val="00E72140"/>
    <w:rsid w:val="00E87561"/>
    <w:rsid w:val="00E9383C"/>
    <w:rsid w:val="00EE74D4"/>
    <w:rsid w:val="00EF7931"/>
    <w:rsid w:val="00F5006B"/>
    <w:rsid w:val="00F525D5"/>
    <w:rsid w:val="00F92238"/>
    <w:rsid w:val="00FA63DB"/>
    <w:rsid w:val="00FF6E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A95EF8"/>
  <w15:docId w15:val="{0C642FEB-B1EB-4BBA-BFCE-257ADA54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info.gov/public/do/PRAMain"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3C4A5-1755-42B4-9255-06413FE48C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213959-1985-4023-9AB7-312ECA277753}">
  <ds:schemaRefs>
    <ds:schemaRef ds:uri="http://schemas.microsoft.com/sharepoint/v3/contenttype/forms"/>
  </ds:schemaRefs>
</ds:datastoreItem>
</file>

<file path=customXml/itemProps3.xml><?xml version="1.0" encoding="utf-8"?>
<ds:datastoreItem xmlns:ds="http://schemas.openxmlformats.org/officeDocument/2006/customXml" ds:itemID="{F457BF62-BBD1-427B-AA7D-F94AC3810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IMS</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Ostrow, Daniel T.</cp:lastModifiedBy>
  <cp:revision>7</cp:revision>
  <cp:lastPrinted>2012-05-15T18:39:00Z</cp:lastPrinted>
  <dcterms:created xsi:type="dcterms:W3CDTF">2022-10-13T17:39:00Z</dcterms:created>
  <dcterms:modified xsi:type="dcterms:W3CDTF">2022-10-17T16:48:00Z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