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4FD8" w:rsidRPr="003353E4" w:rsidP="00C20338" w14:paraId="09258026" w14:textId="538A7FD2">
      <w:pPr>
        <w:pStyle w:val="BodyText"/>
        <w:tabs>
          <w:tab w:val="left" w:pos="720"/>
          <w:tab w:val="left" w:pos="1441"/>
          <w:tab w:val="left" w:pos="2157"/>
        </w:tabs>
        <w:spacing w:after="0" w:line="240" w:lineRule="auto"/>
        <w:ind w:right="-45"/>
        <w:rPr>
          <w:rFonts w:eastAsia="Times New Roman" w:cs="Times New Roman"/>
          <w:b/>
          <w:bCs/>
          <w:smallCaps/>
          <w:sz w:val="28"/>
          <w:szCs w:val="28"/>
        </w:rPr>
      </w:pPr>
      <w:r w:rsidRPr="003353E4">
        <w:rPr>
          <w:noProof/>
        </w:rPr>
        <w:drawing>
          <wp:anchor distT="0" distB="0" distL="114300" distR="114300" simplePos="0" relativeHeight="251658240" behindDoc="0" locked="0" layoutInCell="1" allowOverlap="1">
            <wp:simplePos x="0" y="0"/>
            <wp:positionH relativeFrom="column">
              <wp:posOffset>73660</wp:posOffset>
            </wp:positionH>
            <wp:positionV relativeFrom="paragraph">
              <wp:posOffset>102235</wp:posOffset>
            </wp:positionV>
            <wp:extent cx="1069848" cy="1069848"/>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Description: Description: V:\Documents and Settings\shovlowskyr\Local Settings\Temporary Internet Files\Content.Word\FHFA_logo1.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9848" cy="10698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53E4" w:rsidR="0092028D">
        <w:rPr>
          <w:rFonts w:eastAsia="Times New Roman" w:cs="Times New Roman"/>
          <w:b/>
          <w:smallCaps/>
          <w:sz w:val="28"/>
          <w:szCs w:val="28"/>
        </w:rPr>
        <w:t>“</w:t>
      </w:r>
      <w:r w:rsidRPr="003353E4">
        <w:rPr>
          <w:rFonts w:eastAsia="Times New Roman" w:cs="Times New Roman"/>
          <w:b/>
          <w:bCs/>
          <w:smallCaps/>
          <w:sz w:val="28"/>
          <w:szCs w:val="28"/>
        </w:rPr>
        <w:t xml:space="preserve">Minimum Requirements for Appraisal </w:t>
      </w:r>
    </w:p>
    <w:p w:rsidR="000A4FD8" w:rsidRPr="003353E4" w:rsidP="00C20338" w14:paraId="4BDC071E" w14:textId="76D330CB">
      <w:pPr>
        <w:spacing w:after="240" w:line="240" w:lineRule="auto"/>
        <w:rPr>
          <w:rFonts w:eastAsia="Times New Roman" w:cs="Times New Roman"/>
          <w:b/>
          <w:smallCaps/>
          <w:sz w:val="28"/>
          <w:szCs w:val="28"/>
        </w:rPr>
      </w:pPr>
      <w:r w:rsidRPr="003353E4">
        <w:rPr>
          <w:rFonts w:eastAsia="Times New Roman" w:cs="Times New Roman"/>
          <w:b/>
          <w:bCs/>
          <w:smallCaps/>
          <w:sz w:val="28"/>
          <w:szCs w:val="28"/>
        </w:rPr>
        <w:t xml:space="preserve">                   </w:t>
      </w:r>
      <w:r w:rsidRPr="003353E4">
        <w:rPr>
          <w:rFonts w:eastAsia="Times New Roman" w:cs="Times New Roman"/>
          <w:b/>
          <w:bCs/>
          <w:smallCaps/>
          <w:sz w:val="28"/>
          <w:szCs w:val="28"/>
        </w:rPr>
        <w:t>Management Companies</w:t>
      </w:r>
      <w:r w:rsidRPr="003353E4" w:rsidR="0092028D">
        <w:rPr>
          <w:rFonts w:eastAsia="Times New Roman" w:cs="Times New Roman"/>
          <w:b/>
          <w:smallCaps/>
          <w:sz w:val="28"/>
          <w:szCs w:val="28"/>
        </w:rPr>
        <w:t>”</w:t>
      </w:r>
    </w:p>
    <w:p w:rsidR="00CA66AA" w:rsidRPr="003353E4" w:rsidP="00C20338" w14:paraId="1FE0F5F0" w14:textId="1789D08A">
      <w:pPr>
        <w:spacing w:after="240" w:line="240" w:lineRule="auto"/>
        <w:rPr>
          <w:rFonts w:eastAsia="Times New Roman" w:cs="Times New Roman"/>
          <w:b/>
          <w:smallCaps/>
          <w:sz w:val="28"/>
          <w:szCs w:val="28"/>
        </w:rPr>
      </w:pPr>
      <w:r w:rsidRPr="003353E4">
        <w:rPr>
          <w:rFonts w:eastAsia="Times New Roman" w:cs="Times New Roman"/>
          <w:b/>
          <w:smallCaps/>
          <w:sz w:val="28"/>
          <w:szCs w:val="28"/>
        </w:rPr>
        <w:t xml:space="preserve">        </w:t>
      </w:r>
      <w:r w:rsidRPr="003353E4" w:rsidR="000A4FD8">
        <w:rPr>
          <w:rFonts w:eastAsia="Times New Roman" w:cs="Times New Roman"/>
          <w:b/>
          <w:smallCaps/>
          <w:sz w:val="28"/>
          <w:szCs w:val="28"/>
        </w:rPr>
        <w:t>OMB Control Number 2590-0013</w:t>
      </w:r>
    </w:p>
    <w:p w:rsidR="00CA66AA" w:rsidRPr="003353E4" w:rsidP="00C20338" w14:paraId="1447C1B2" w14:textId="2FE2392E">
      <w:pPr>
        <w:spacing w:after="240" w:line="240" w:lineRule="auto"/>
        <w:rPr>
          <w:rFonts w:eastAsia="Times New Roman" w:cs="Times New Roman"/>
          <w:b/>
          <w:szCs w:val="24"/>
        </w:rPr>
      </w:pPr>
      <w:r w:rsidRPr="003353E4">
        <w:rPr>
          <w:rFonts w:eastAsia="Times New Roman" w:cs="Times New Roman"/>
          <w:b/>
          <w:smallCaps/>
          <w:sz w:val="28"/>
          <w:szCs w:val="28"/>
        </w:rPr>
        <w:t xml:space="preserve">                    </w:t>
      </w:r>
      <w:r w:rsidRPr="003353E4" w:rsidR="0092028D">
        <w:rPr>
          <w:rFonts w:eastAsia="Times New Roman" w:cs="Times New Roman"/>
          <w:b/>
          <w:smallCaps/>
          <w:sz w:val="28"/>
          <w:szCs w:val="28"/>
        </w:rPr>
        <w:t>Supporting Statement</w:t>
      </w:r>
    </w:p>
    <w:p w:rsidR="002B1410" w:rsidRPr="003353E4" w:rsidP="003A734C" w14:paraId="368A7335" w14:textId="2E39FEFF">
      <w:pPr>
        <w:spacing w:after="240" w:line="240" w:lineRule="auto"/>
        <w:rPr>
          <w:rFonts w:eastAsia="Times New Roman" w:cs="Times New Roman"/>
          <w:color w:val="000000"/>
          <w:szCs w:val="24"/>
        </w:rPr>
      </w:pPr>
    </w:p>
    <w:p w:rsidR="0087784C" w:rsidRPr="003353E4" w:rsidP="00CA66AA" w14:paraId="78728188" w14:textId="77777777">
      <w:pPr>
        <w:spacing w:line="240" w:lineRule="auto"/>
        <w:rPr>
          <w:rFonts w:eastAsia="Times New Roman" w:cs="Times New Roman"/>
          <w:b/>
          <w:color w:val="000000"/>
          <w:szCs w:val="24"/>
        </w:rPr>
      </w:pPr>
    </w:p>
    <w:p w:rsidR="00F11B5A" w:rsidRPr="003353E4" w:rsidP="00F11B5A" w14:paraId="427F4B7B" w14:textId="06385967">
      <w:pPr>
        <w:tabs>
          <w:tab w:val="left" w:pos="720"/>
          <w:tab w:val="left" w:pos="1441"/>
          <w:tab w:val="left" w:pos="2157"/>
        </w:tabs>
        <w:spacing w:line="240" w:lineRule="auto"/>
        <w:rPr>
          <w:rFonts w:eastAsia="Times New Roman" w:cs="Times New Roman"/>
          <w:b/>
          <w:snapToGrid w:val="0"/>
          <w:color w:val="000000"/>
          <w:szCs w:val="24"/>
        </w:rPr>
      </w:pPr>
      <w:r w:rsidRPr="003353E4">
        <w:rPr>
          <w:rFonts w:eastAsia="Times New Roman" w:cs="Times New Roman"/>
          <w:b/>
          <w:snapToGrid w:val="0"/>
          <w:color w:val="000000"/>
          <w:szCs w:val="24"/>
        </w:rPr>
        <w:t>A.  JUSTIFICATION</w:t>
      </w:r>
    </w:p>
    <w:p w:rsidR="00F11B5A" w:rsidRPr="003353E4" w:rsidP="00F11B5A" w14:paraId="287F8D25" w14:textId="77777777">
      <w:pPr>
        <w:tabs>
          <w:tab w:val="left" w:pos="720"/>
          <w:tab w:val="left" w:pos="1441"/>
          <w:tab w:val="left" w:pos="2157"/>
        </w:tabs>
        <w:spacing w:line="240" w:lineRule="auto"/>
        <w:rPr>
          <w:rFonts w:eastAsia="Times New Roman" w:cs="Times New Roman"/>
          <w:b/>
          <w:snapToGrid w:val="0"/>
          <w:color w:val="000000"/>
          <w:szCs w:val="24"/>
        </w:rPr>
      </w:pPr>
    </w:p>
    <w:p w:rsidR="00F11B5A" w:rsidRPr="003353E4" w:rsidP="00F11B5A" w14:paraId="405687A7" w14:textId="77777777">
      <w:pPr>
        <w:tabs>
          <w:tab w:val="left" w:pos="720"/>
          <w:tab w:val="left" w:pos="1441"/>
          <w:tab w:val="left" w:pos="2157"/>
        </w:tabs>
        <w:spacing w:line="240" w:lineRule="auto"/>
        <w:rPr>
          <w:rFonts w:eastAsia="Times New Roman" w:cs="Times New Roman"/>
          <w:b/>
          <w:snapToGrid w:val="0"/>
          <w:color w:val="000000"/>
          <w:szCs w:val="24"/>
        </w:rPr>
      </w:pPr>
      <w:r w:rsidRPr="003353E4">
        <w:rPr>
          <w:rFonts w:eastAsia="Times New Roman" w:cs="Times New Roman"/>
          <w:b/>
          <w:snapToGrid w:val="0"/>
          <w:color w:val="000000"/>
          <w:szCs w:val="24"/>
        </w:rPr>
        <w:t>1.  Circumstances Necessitating the Collection of Information</w:t>
      </w:r>
    </w:p>
    <w:p w:rsidR="00F11B5A" w:rsidRPr="003353E4" w:rsidP="00F11B5A" w14:paraId="529EE8E2" w14:textId="77777777">
      <w:pPr>
        <w:autoSpaceDE w:val="0"/>
        <w:autoSpaceDN w:val="0"/>
        <w:adjustRightInd w:val="0"/>
        <w:spacing w:line="240" w:lineRule="auto"/>
        <w:rPr>
          <w:rFonts w:eastAsia="Times New Roman" w:cs="Times New Roman"/>
          <w:snapToGrid w:val="0"/>
          <w:color w:val="000000"/>
          <w:szCs w:val="24"/>
        </w:rPr>
      </w:pPr>
    </w:p>
    <w:p w:rsidR="00885E25" w:rsidRPr="003353E4" w:rsidP="00885E25" w14:paraId="5705BC75" w14:textId="4B19E8A0">
      <w:pPr>
        <w:autoSpaceDE w:val="0"/>
        <w:autoSpaceDN w:val="0"/>
        <w:adjustRightInd w:val="0"/>
        <w:spacing w:line="240" w:lineRule="auto"/>
        <w:rPr>
          <w:rFonts w:eastAsia="Times New Roman" w:cs="Times New Roman"/>
          <w:snapToGrid w:val="0"/>
          <w:color w:val="000000"/>
          <w:szCs w:val="24"/>
        </w:rPr>
      </w:pPr>
      <w:r w:rsidRPr="003353E4">
        <w:rPr>
          <w:rFonts w:eastAsia="Times New Roman" w:cs="Times New Roman"/>
          <w:iCs/>
          <w:snapToGrid w:val="0"/>
          <w:color w:val="000000"/>
          <w:szCs w:val="24"/>
        </w:rPr>
        <w:t xml:space="preserve">In 2015, </w:t>
      </w:r>
      <w:r w:rsidRPr="003353E4">
        <w:rPr>
          <w:rFonts w:eastAsia="Times New Roman" w:cs="Times New Roman"/>
          <w:snapToGrid w:val="0"/>
          <w:color w:val="000000"/>
          <w:szCs w:val="24"/>
        </w:rPr>
        <w:t>the Federal Deposit Insurance Corporation (FDIC), the Office of the Comptroller of the Currency (OCC), the Board of Governors of the Federal Reserve System (Board), the Bureau of Consumer Financial Protection (Bureau), and FHFA (collectively, the Agencies) jointly issued regulations</w:t>
      </w:r>
      <w:r>
        <w:rPr>
          <w:rFonts w:eastAsia="Times New Roman" w:cs="Times New Roman"/>
          <w:snapToGrid w:val="0"/>
          <w:color w:val="000000"/>
          <w:szCs w:val="24"/>
          <w:vertAlign w:val="superscript"/>
        </w:rPr>
        <w:footnoteReference w:id="3"/>
      </w:r>
      <w:r w:rsidRPr="003353E4">
        <w:rPr>
          <w:rFonts w:eastAsia="Times New Roman" w:cs="Times New Roman"/>
          <w:snapToGrid w:val="0"/>
          <w:color w:val="000000"/>
          <w:szCs w:val="24"/>
        </w:rPr>
        <w:t xml:space="preserve"> to implement provisions of the Dodd-Frank Wall Street Reform and Consumer Protection Act (Dodd-Frank Act) relating to the eligibility of appraisal management companies (AMCs) to provide appraisal management services for real estate related financial transactions that are engaged in, contracted for, or regulated by a “federal financial institutions regulatory agency” or the Resolution Trust Corporation (Federally related transactions).</w:t>
      </w:r>
      <w:r>
        <w:rPr>
          <w:rFonts w:eastAsia="Times New Roman" w:cs="Times New Roman"/>
          <w:snapToGrid w:val="0"/>
          <w:color w:val="000000"/>
          <w:szCs w:val="24"/>
          <w:vertAlign w:val="superscript"/>
        </w:rPr>
        <w:footnoteReference w:id="4"/>
      </w:r>
      <w:r w:rsidRPr="003353E4">
        <w:rPr>
          <w:rFonts w:eastAsia="Times New Roman" w:cs="Times New Roman"/>
          <w:snapToGrid w:val="0"/>
          <w:color w:val="000000"/>
          <w:szCs w:val="24"/>
        </w:rPr>
        <w:t xml:space="preserve">  Generally, these statutory provisions provide that an AMC either be registered with a State’s appraiser certifying and licensing agency or be subject to oversight by a federal financial institutions regulatory agency in order to participate in a Federally related transaction.</w:t>
      </w:r>
      <w:r>
        <w:rPr>
          <w:rFonts w:eastAsia="Times New Roman" w:cs="Times New Roman"/>
          <w:snapToGrid w:val="0"/>
          <w:color w:val="000000"/>
          <w:szCs w:val="24"/>
          <w:vertAlign w:val="superscript"/>
        </w:rPr>
        <w:footnoteReference w:id="5"/>
      </w:r>
    </w:p>
    <w:p w:rsidR="00563F04" w:rsidRPr="003353E4" w:rsidP="00885E25" w14:paraId="41699BB2" w14:textId="77777777">
      <w:pPr>
        <w:autoSpaceDE w:val="0"/>
        <w:autoSpaceDN w:val="0"/>
        <w:adjustRightInd w:val="0"/>
        <w:spacing w:line="240" w:lineRule="auto"/>
        <w:rPr>
          <w:rFonts w:eastAsia="Times New Roman" w:cs="Times New Roman"/>
          <w:snapToGrid w:val="0"/>
          <w:color w:val="000000"/>
          <w:szCs w:val="24"/>
        </w:rPr>
      </w:pPr>
    </w:p>
    <w:p w:rsidR="00AF579D" w:rsidRPr="003353E4" w:rsidP="00C91494" w14:paraId="17EA2D5D" w14:textId="27A8B4CE">
      <w:pPr>
        <w:autoSpaceDE w:val="0"/>
        <w:autoSpaceDN w:val="0"/>
        <w:adjustRightInd w:val="0"/>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 xml:space="preserve">As required by the Dodd-Frank Act provisions, the Agencies’ joint AMC regulations establish minimum requirements for the registration and supervision of AMCs to be applied by </w:t>
      </w:r>
      <w:r w:rsidR="000359E1">
        <w:rPr>
          <w:rFonts w:eastAsia="Times New Roman" w:cs="Times New Roman"/>
          <w:snapToGrid w:val="0"/>
          <w:color w:val="000000"/>
          <w:szCs w:val="24"/>
        </w:rPr>
        <w:t>s</w:t>
      </w:r>
      <w:r w:rsidRPr="003353E4">
        <w:rPr>
          <w:rFonts w:eastAsia="Times New Roman" w:cs="Times New Roman"/>
          <w:snapToGrid w:val="0"/>
          <w:color w:val="000000"/>
          <w:szCs w:val="24"/>
        </w:rPr>
        <w:t xml:space="preserve">tates that have elected to establish an appraiser certifying and licensing agency with authority to register and supervise AMCs (participating </w:t>
      </w:r>
      <w:r w:rsidR="000359E1">
        <w:rPr>
          <w:rFonts w:eastAsia="Times New Roman" w:cs="Times New Roman"/>
          <w:snapToGrid w:val="0"/>
          <w:color w:val="000000"/>
          <w:szCs w:val="24"/>
        </w:rPr>
        <w:t>s</w:t>
      </w:r>
      <w:r w:rsidRPr="003353E4">
        <w:rPr>
          <w:rFonts w:eastAsia="Times New Roman" w:cs="Times New Roman"/>
          <w:snapToGrid w:val="0"/>
          <w:color w:val="000000"/>
          <w:szCs w:val="24"/>
        </w:rPr>
        <w:t>tates).</w:t>
      </w:r>
      <w:r>
        <w:rPr>
          <w:rFonts w:eastAsia="Times New Roman" w:cs="Times New Roman"/>
          <w:snapToGrid w:val="0"/>
          <w:color w:val="000000"/>
          <w:szCs w:val="24"/>
          <w:vertAlign w:val="superscript"/>
        </w:rPr>
        <w:footnoteReference w:id="6"/>
      </w:r>
      <w:r w:rsidRPr="003353E4">
        <w:rPr>
          <w:rFonts w:eastAsia="Times New Roman" w:cs="Times New Roman"/>
          <w:snapToGrid w:val="0"/>
          <w:color w:val="000000"/>
          <w:szCs w:val="24"/>
        </w:rPr>
        <w:t xml:space="preserve">  The joint regulations also implement the statutory requirement that </w:t>
      </w:r>
      <w:r w:rsidR="000359E1">
        <w:rPr>
          <w:rFonts w:eastAsia="Times New Roman" w:cs="Times New Roman"/>
          <w:snapToGrid w:val="0"/>
          <w:color w:val="000000"/>
          <w:szCs w:val="24"/>
        </w:rPr>
        <w:t>s</w:t>
      </w:r>
      <w:r w:rsidRPr="003353E4">
        <w:rPr>
          <w:rFonts w:eastAsia="Times New Roman" w:cs="Times New Roman"/>
          <w:snapToGrid w:val="0"/>
          <w:color w:val="000000"/>
          <w:szCs w:val="24"/>
        </w:rPr>
        <w:t>tates report to the Appraisal Subcommittee (ASC) of the Federal Financial Institutions Examination Council (FFIEC) the information required by the ASC to administer a national registry of AMCs (AMC National Registry or Registry).</w:t>
      </w:r>
      <w:r>
        <w:rPr>
          <w:rFonts w:eastAsia="Times New Roman" w:cs="Times New Roman"/>
          <w:snapToGrid w:val="0"/>
          <w:color w:val="000000"/>
          <w:szCs w:val="24"/>
          <w:vertAlign w:val="superscript"/>
        </w:rPr>
        <w:footnoteReference w:id="7"/>
      </w:r>
      <w:r w:rsidRPr="003353E4">
        <w:rPr>
          <w:rFonts w:eastAsia="Times New Roman" w:cs="Times New Roman"/>
          <w:snapToGrid w:val="0"/>
          <w:color w:val="000000"/>
          <w:szCs w:val="24"/>
        </w:rPr>
        <w:t xml:space="preserve">  </w:t>
      </w:r>
      <w:r w:rsidRPr="003353E4" w:rsidR="004139CF">
        <w:rPr>
          <w:rFonts w:eastAsia="Times New Roman" w:cs="Times New Roman"/>
          <w:snapToGrid w:val="0"/>
          <w:color w:val="000000"/>
          <w:szCs w:val="24"/>
        </w:rPr>
        <w:t>The</w:t>
      </w:r>
      <w:r w:rsidRPr="003353E4">
        <w:rPr>
          <w:rFonts w:eastAsia="Times New Roman" w:cs="Times New Roman"/>
          <w:snapToGrid w:val="0"/>
          <w:color w:val="000000"/>
          <w:szCs w:val="24"/>
        </w:rPr>
        <w:t xml:space="preserve"> AMC National Registry </w:t>
      </w:r>
      <w:r w:rsidRPr="003353E4">
        <w:rPr>
          <w:rFonts w:eastAsia="Times New Roman" w:cs="Times New Roman"/>
          <w:snapToGrid w:val="0"/>
          <w:color w:val="000000"/>
          <w:szCs w:val="24"/>
        </w:rPr>
        <w:t>inclu</w:t>
      </w:r>
      <w:r w:rsidRPr="003353E4" w:rsidR="00855C89">
        <w:rPr>
          <w:rFonts w:eastAsia="Times New Roman" w:cs="Times New Roman"/>
          <w:snapToGrid w:val="0"/>
          <w:color w:val="000000"/>
          <w:szCs w:val="24"/>
        </w:rPr>
        <w:t>de</w:t>
      </w:r>
      <w:r w:rsidRPr="003353E4" w:rsidR="004139CF">
        <w:rPr>
          <w:rFonts w:eastAsia="Times New Roman" w:cs="Times New Roman"/>
          <w:snapToGrid w:val="0"/>
          <w:color w:val="000000"/>
          <w:szCs w:val="24"/>
        </w:rPr>
        <w:t>s</w:t>
      </w:r>
      <w:r w:rsidRPr="003353E4">
        <w:rPr>
          <w:rFonts w:eastAsia="Times New Roman" w:cs="Times New Roman"/>
          <w:snapToGrid w:val="0"/>
          <w:color w:val="000000"/>
          <w:szCs w:val="24"/>
        </w:rPr>
        <w:t xml:space="preserve"> AMCs</w:t>
      </w:r>
      <w:r w:rsidRPr="003353E4">
        <w:rPr>
          <w:rFonts w:eastAsia="Times New Roman" w:cs="Times New Roman"/>
          <w:snapToGrid w:val="0"/>
          <w:color w:val="000000"/>
          <w:szCs w:val="24"/>
          <w:lang w:val="en"/>
        </w:rPr>
        <w:t xml:space="preserve"> that are either:  (1) subsidiaries owned and controlled by an insured depository institution</w:t>
      </w:r>
      <w:r w:rsidRPr="003353E4">
        <w:rPr>
          <w:rFonts w:eastAsia="Times New Roman" w:cs="Times New Roman"/>
          <w:snapToGrid w:val="0"/>
          <w:color w:val="000000"/>
          <w:szCs w:val="24"/>
        </w:rPr>
        <w:t xml:space="preserve"> (as defined in 12 U.S.C. 1813) and regulated by either the FDIC, OCC, or </w:t>
      </w:r>
      <w:r w:rsidRPr="003353E4" w:rsidR="003B0AF6">
        <w:rPr>
          <w:rFonts w:eastAsia="Times New Roman" w:cs="Times New Roman"/>
          <w:snapToGrid w:val="0"/>
          <w:color w:val="000000"/>
          <w:szCs w:val="24"/>
        </w:rPr>
        <w:t xml:space="preserve">the </w:t>
      </w:r>
      <w:r w:rsidRPr="003353E4">
        <w:rPr>
          <w:rFonts w:eastAsia="Times New Roman" w:cs="Times New Roman"/>
          <w:snapToGrid w:val="0"/>
          <w:color w:val="000000"/>
          <w:szCs w:val="24"/>
        </w:rPr>
        <w:t xml:space="preserve">Board </w:t>
      </w:r>
      <w:r w:rsidRPr="003353E4">
        <w:rPr>
          <w:rFonts w:eastAsia="Times New Roman" w:cs="Times New Roman"/>
          <w:snapToGrid w:val="0"/>
          <w:color w:val="000000"/>
          <w:szCs w:val="24"/>
          <w:lang w:val="en"/>
        </w:rPr>
        <w:t>(federally regulated AMCs)</w:t>
      </w:r>
      <w:r>
        <w:rPr>
          <w:rFonts w:eastAsia="Times New Roman" w:cs="Times New Roman"/>
          <w:snapToGrid w:val="0"/>
          <w:color w:val="000000"/>
          <w:szCs w:val="24"/>
          <w:vertAlign w:val="superscript"/>
          <w:lang w:val="en"/>
        </w:rPr>
        <w:footnoteReference w:id="8"/>
      </w:r>
      <w:r w:rsidRPr="003353E4">
        <w:rPr>
          <w:rFonts w:eastAsia="Times New Roman" w:cs="Times New Roman"/>
          <w:snapToGrid w:val="0"/>
          <w:color w:val="000000"/>
          <w:szCs w:val="24"/>
          <w:lang w:val="en"/>
        </w:rPr>
        <w:t>; or (2) registered with, and subject to supervision of, a state appraiser certifying and licensing agency</w:t>
      </w:r>
      <w:r w:rsidRPr="003353E4">
        <w:rPr>
          <w:rFonts w:eastAsia="Times New Roman" w:cs="Times New Roman"/>
          <w:snapToGrid w:val="0"/>
          <w:color w:val="000000"/>
          <w:szCs w:val="24"/>
        </w:rPr>
        <w:t xml:space="preserve">.  FHFA’s AMC regulation, located at Subpart B of 12 CFR part 1222, is substantively identical to the AMC regulations of the FDIC, OCC, and </w:t>
      </w:r>
      <w:r w:rsidRPr="003353E4" w:rsidR="003B0AF6">
        <w:rPr>
          <w:rFonts w:eastAsia="Times New Roman" w:cs="Times New Roman"/>
          <w:snapToGrid w:val="0"/>
          <w:color w:val="000000"/>
          <w:szCs w:val="24"/>
        </w:rPr>
        <w:t xml:space="preserve">the </w:t>
      </w:r>
      <w:r w:rsidRPr="003353E4">
        <w:rPr>
          <w:rFonts w:eastAsia="Times New Roman" w:cs="Times New Roman"/>
          <w:snapToGrid w:val="0"/>
          <w:color w:val="000000"/>
          <w:szCs w:val="24"/>
        </w:rPr>
        <w:t>Board and contains the recordkeeping and reporting requirements described</w:t>
      </w:r>
      <w:r w:rsidRPr="003353E4" w:rsidR="00563F04">
        <w:rPr>
          <w:rFonts w:eastAsia="Times New Roman" w:cs="Times New Roman"/>
          <w:snapToGrid w:val="0"/>
          <w:color w:val="000000"/>
          <w:szCs w:val="24"/>
        </w:rPr>
        <w:t xml:space="preserve"> in Item #2</w:t>
      </w:r>
      <w:r w:rsidRPr="003353E4">
        <w:rPr>
          <w:rFonts w:eastAsia="Times New Roman" w:cs="Times New Roman"/>
          <w:snapToGrid w:val="0"/>
          <w:color w:val="000000"/>
          <w:szCs w:val="24"/>
        </w:rPr>
        <w:t xml:space="preserve"> below.</w:t>
      </w:r>
      <w:r>
        <w:rPr>
          <w:rFonts w:eastAsia="Times New Roman" w:cs="Times New Roman"/>
          <w:snapToGrid w:val="0"/>
          <w:color w:val="000000"/>
          <w:szCs w:val="24"/>
          <w:vertAlign w:val="superscript"/>
        </w:rPr>
        <w:footnoteReference w:id="9"/>
      </w:r>
    </w:p>
    <w:p w:rsidR="003F3D85" w:rsidRPr="003353E4" w:rsidP="00F11B5A" w14:paraId="6C4439B4" w14:textId="43798B17">
      <w:pPr>
        <w:autoSpaceDE w:val="0"/>
        <w:autoSpaceDN w:val="0"/>
        <w:adjustRightInd w:val="0"/>
        <w:spacing w:line="240" w:lineRule="auto"/>
        <w:rPr>
          <w:rFonts w:eastAsia="Times New Roman" w:cs="Times New Roman"/>
          <w:color w:val="333399"/>
          <w:szCs w:val="24"/>
        </w:rPr>
      </w:pPr>
    </w:p>
    <w:p w:rsidR="00F11B5A" w:rsidRPr="003353E4" w:rsidP="00F11B5A" w14:paraId="7D67DEB6" w14:textId="77777777">
      <w:pPr>
        <w:widowControl w:val="0"/>
        <w:autoSpaceDE w:val="0"/>
        <w:autoSpaceDN w:val="0"/>
        <w:adjustRightInd w:val="0"/>
        <w:spacing w:line="240" w:lineRule="auto"/>
        <w:rPr>
          <w:rFonts w:eastAsia="Times New Roman" w:cs="Times New Roman"/>
          <w:b/>
          <w:color w:val="000000"/>
          <w:szCs w:val="24"/>
        </w:rPr>
      </w:pPr>
      <w:r w:rsidRPr="003353E4">
        <w:rPr>
          <w:rFonts w:eastAsia="Times New Roman" w:cs="Times New Roman"/>
          <w:b/>
          <w:color w:val="000000"/>
          <w:szCs w:val="24"/>
        </w:rPr>
        <w:t>2.  Use of Data</w:t>
      </w:r>
    </w:p>
    <w:p w:rsidR="00F11B5A" w:rsidRPr="003353E4" w:rsidP="00F11B5A" w14:paraId="14D7F324" w14:textId="55D65E91">
      <w:pPr>
        <w:tabs>
          <w:tab w:val="left" w:pos="720"/>
          <w:tab w:val="left" w:pos="1441"/>
          <w:tab w:val="left" w:pos="2157"/>
        </w:tabs>
        <w:spacing w:line="240" w:lineRule="auto"/>
        <w:rPr>
          <w:rFonts w:eastAsia="Times New Roman" w:cs="Times New Roman"/>
          <w:snapToGrid w:val="0"/>
          <w:color w:val="000000"/>
          <w:szCs w:val="24"/>
        </w:rPr>
      </w:pPr>
    </w:p>
    <w:p w:rsidR="00563F04" w:rsidP="00563F04" w14:paraId="6CE8D7A1" w14:textId="11ADB517">
      <w:pPr>
        <w:tabs>
          <w:tab w:val="left" w:pos="720"/>
          <w:tab w:val="left" w:pos="1441"/>
          <w:tab w:val="left" w:pos="2157"/>
        </w:tabs>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 xml:space="preserve">The information collection requirements of the joint AMC regulations fall into </w:t>
      </w:r>
      <w:r w:rsidR="00CE4F60">
        <w:rPr>
          <w:rFonts w:eastAsia="Times New Roman" w:cs="Times New Roman"/>
          <w:snapToGrid w:val="0"/>
          <w:color w:val="000000"/>
          <w:szCs w:val="24"/>
        </w:rPr>
        <w:t>three</w:t>
      </w:r>
      <w:r w:rsidRPr="003353E4" w:rsidR="00CE4F60">
        <w:rPr>
          <w:rFonts w:eastAsia="Times New Roman" w:cs="Times New Roman"/>
          <w:snapToGrid w:val="0"/>
          <w:color w:val="000000"/>
          <w:szCs w:val="24"/>
        </w:rPr>
        <w:t xml:space="preserve"> </w:t>
      </w:r>
      <w:r w:rsidRPr="003353E4">
        <w:rPr>
          <w:rFonts w:eastAsia="Times New Roman" w:cs="Times New Roman"/>
          <w:snapToGrid w:val="0"/>
          <w:color w:val="000000"/>
          <w:szCs w:val="24"/>
        </w:rPr>
        <w:t xml:space="preserve">general categories: </w:t>
      </w:r>
      <w:r w:rsidRPr="003353E4" w:rsidR="001531A8">
        <w:rPr>
          <w:rFonts w:eastAsia="Times New Roman" w:cs="Times New Roman"/>
          <w:snapToGrid w:val="0"/>
          <w:color w:val="000000"/>
          <w:szCs w:val="24"/>
        </w:rPr>
        <w:t xml:space="preserve"> </w:t>
      </w:r>
      <w:r w:rsidRPr="003353E4">
        <w:rPr>
          <w:rFonts w:eastAsia="Times New Roman" w:cs="Times New Roman"/>
          <w:snapToGrid w:val="0"/>
          <w:color w:val="000000"/>
          <w:szCs w:val="24"/>
        </w:rPr>
        <w:t xml:space="preserve">reporting requirements imposed on </w:t>
      </w:r>
      <w:r w:rsidR="000359E1">
        <w:rPr>
          <w:rFonts w:eastAsia="Times New Roman" w:cs="Times New Roman"/>
          <w:snapToGrid w:val="0"/>
          <w:color w:val="000000"/>
          <w:szCs w:val="24"/>
        </w:rPr>
        <w:t>s</w:t>
      </w:r>
      <w:r w:rsidRPr="003353E4">
        <w:rPr>
          <w:rFonts w:eastAsia="Times New Roman" w:cs="Times New Roman"/>
          <w:snapToGrid w:val="0"/>
          <w:color w:val="000000"/>
          <w:szCs w:val="24"/>
        </w:rPr>
        <w:t xml:space="preserve">tates, recordkeeping requirements imposed on </w:t>
      </w:r>
      <w:r w:rsidR="000359E1">
        <w:rPr>
          <w:rFonts w:eastAsia="Times New Roman" w:cs="Times New Roman"/>
          <w:snapToGrid w:val="0"/>
          <w:color w:val="000000"/>
          <w:szCs w:val="24"/>
        </w:rPr>
        <w:t>s</w:t>
      </w:r>
      <w:r w:rsidRPr="003353E4">
        <w:rPr>
          <w:rFonts w:eastAsia="Times New Roman" w:cs="Times New Roman"/>
          <w:snapToGrid w:val="0"/>
          <w:color w:val="000000"/>
          <w:szCs w:val="24"/>
        </w:rPr>
        <w:t xml:space="preserve">tates, </w:t>
      </w:r>
      <w:r w:rsidRPr="003353E4" w:rsidR="00D65DFB">
        <w:rPr>
          <w:rFonts w:eastAsia="Times New Roman" w:cs="Times New Roman"/>
          <w:snapToGrid w:val="0"/>
          <w:color w:val="000000"/>
          <w:szCs w:val="24"/>
        </w:rPr>
        <w:t>and disclosure</w:t>
      </w:r>
      <w:r w:rsidRPr="003353E4">
        <w:rPr>
          <w:rFonts w:eastAsia="Times New Roman" w:cs="Times New Roman"/>
          <w:snapToGrid w:val="0"/>
          <w:color w:val="000000"/>
          <w:szCs w:val="24"/>
        </w:rPr>
        <w:t xml:space="preserve"> requirements imposed on AMCs.  These categories of collections and the use of the data collected are described below:</w:t>
      </w:r>
    </w:p>
    <w:p w:rsidR="00D16A28" w:rsidRPr="003353E4" w:rsidP="00563F04" w14:paraId="163B648F" w14:textId="77777777">
      <w:pPr>
        <w:tabs>
          <w:tab w:val="left" w:pos="720"/>
          <w:tab w:val="left" w:pos="1441"/>
          <w:tab w:val="left" w:pos="2157"/>
        </w:tabs>
        <w:spacing w:line="240" w:lineRule="auto"/>
        <w:rPr>
          <w:rFonts w:eastAsia="Times New Roman" w:cs="Times New Roman"/>
          <w:snapToGrid w:val="0"/>
          <w:color w:val="000000"/>
          <w:szCs w:val="24"/>
        </w:rPr>
      </w:pPr>
    </w:p>
    <w:p w:rsidR="00486544" w:rsidRPr="003353E4" w:rsidP="007436B0" w14:paraId="0B9A9992" w14:textId="35DFD75B">
      <w:pPr>
        <w:pStyle w:val="ListParagraph"/>
        <w:spacing w:line="240" w:lineRule="auto"/>
        <w:rPr>
          <w:rFonts w:eastAsia="Times New Roman" w:cs="Times New Roman"/>
          <w:i/>
          <w:iCs/>
          <w:szCs w:val="24"/>
          <w:u w:val="single"/>
        </w:rPr>
      </w:pPr>
      <w:r>
        <w:rPr>
          <w:rFonts w:eastAsia="Times New Roman" w:cs="Times New Roman"/>
          <w:i/>
          <w:iCs/>
          <w:szCs w:val="24"/>
          <w:u w:val="single"/>
        </w:rPr>
        <w:t xml:space="preserve">1. </w:t>
      </w:r>
      <w:r w:rsidRPr="003353E4">
        <w:rPr>
          <w:i/>
          <w:iCs/>
          <w:u w:val="single"/>
        </w:rPr>
        <w:t>Written Notice of Appraiser Removal From Network or Panel</w:t>
      </w:r>
      <w:r w:rsidRPr="003353E4">
        <w:rPr>
          <w:rFonts w:eastAsia="Times New Roman" w:cs="Times New Roman"/>
          <w:i/>
          <w:iCs/>
          <w:szCs w:val="24"/>
          <w:u w:val="single"/>
        </w:rPr>
        <w:t>),</w:t>
      </w:r>
      <w:r w:rsidRPr="003353E4">
        <w:rPr>
          <w:rFonts w:eastAsia="Times New Roman" w:cs="Times New Roman"/>
          <w:szCs w:val="24"/>
          <w:u w:val="single"/>
        </w:rPr>
        <w:t xml:space="preserve"> </w:t>
      </w:r>
      <w:r w:rsidRPr="003353E4">
        <w:rPr>
          <w:rFonts w:eastAsia="Times New Roman" w:cs="Times New Roman"/>
          <w:i/>
          <w:iCs/>
          <w:szCs w:val="24"/>
          <w:u w:val="single"/>
        </w:rPr>
        <w:t>(IC #</w:t>
      </w:r>
      <w:r>
        <w:rPr>
          <w:rFonts w:eastAsia="Times New Roman" w:cs="Times New Roman"/>
          <w:i/>
          <w:iCs/>
          <w:szCs w:val="24"/>
          <w:u w:val="single"/>
        </w:rPr>
        <w:t>1</w:t>
      </w:r>
      <w:r w:rsidRPr="003353E4">
        <w:rPr>
          <w:rFonts w:eastAsia="Times New Roman" w:cs="Times New Roman"/>
          <w:i/>
          <w:iCs/>
          <w:szCs w:val="24"/>
          <w:u w:val="single"/>
        </w:rPr>
        <w:t>, formerly IC #</w:t>
      </w:r>
      <w:r w:rsidR="00F20D96">
        <w:rPr>
          <w:rFonts w:eastAsia="Times New Roman" w:cs="Times New Roman"/>
          <w:i/>
          <w:iCs/>
          <w:szCs w:val="24"/>
          <w:u w:val="single"/>
        </w:rPr>
        <w:t>3</w:t>
      </w:r>
      <w:r w:rsidRPr="003353E4">
        <w:rPr>
          <w:rFonts w:eastAsia="Times New Roman" w:cs="Times New Roman"/>
          <w:i/>
          <w:iCs/>
          <w:szCs w:val="24"/>
          <w:u w:val="single"/>
        </w:rPr>
        <w:t>)</w:t>
      </w:r>
    </w:p>
    <w:p w:rsidR="00486544" w:rsidRPr="003353E4" w:rsidP="00486544" w14:paraId="45023B6C" w14:textId="77777777">
      <w:pPr>
        <w:spacing w:line="240" w:lineRule="auto"/>
        <w:rPr>
          <w:rFonts w:eastAsia="Times New Roman" w:cs="Times New Roman"/>
          <w:iCs/>
          <w:szCs w:val="24"/>
        </w:rPr>
      </w:pPr>
    </w:p>
    <w:p w:rsidR="00486544" w:rsidRPr="003353E4" w:rsidP="00486544" w14:paraId="01AE7FB8" w14:textId="5DEE003D">
      <w:pPr>
        <w:spacing w:line="240" w:lineRule="auto"/>
        <w:rPr>
          <w:rFonts w:eastAsia="Times New Roman" w:cs="Times New Roman"/>
          <w:szCs w:val="24"/>
        </w:rPr>
      </w:pPr>
      <w:r w:rsidRPr="003353E4">
        <w:rPr>
          <w:rFonts w:eastAsia="Times New Roman" w:cs="Times New Roman"/>
          <w:szCs w:val="24"/>
        </w:rPr>
        <w:t>An entity meets the definition of an AMC that is subject to the requirements of the AMC regulation if, among other things, it oversees an appraiser panel of more than 15 state-certified or state-licensed appraisers in a state, or 25 or more state-certified or state-licensed appraisers in two or more states, within a given 12-month period.</w:t>
      </w:r>
      <w:r>
        <w:rPr>
          <w:rFonts w:eastAsia="Times New Roman" w:cs="Times New Roman"/>
          <w:szCs w:val="24"/>
          <w:vertAlign w:val="superscript"/>
        </w:rPr>
        <w:footnoteReference w:id="10"/>
      </w:r>
      <w:r w:rsidRPr="003353E4">
        <w:rPr>
          <w:rFonts w:eastAsia="Times New Roman" w:cs="Times New Roman"/>
          <w:szCs w:val="24"/>
        </w:rPr>
        <w:t xml:space="preserve">  For purposes of determining whether a company qualifies as an AMC under that definition, the regulation provides that an appraiser in an AMC’s network or panel is deemed to remain on the network or panel until:  (i) the AMC sends a written notice to the appraiser removing the appraiser with an explanation; or (ii) receives a written notice from the appraiser asking to be removed or a notice of the death or incapacity of the appraiser.</w:t>
      </w:r>
      <w:r>
        <w:rPr>
          <w:rFonts w:eastAsia="Times New Roman" w:cs="Times New Roman"/>
          <w:szCs w:val="24"/>
          <w:vertAlign w:val="superscript"/>
        </w:rPr>
        <w:footnoteReference w:id="11"/>
      </w:r>
      <w:r w:rsidRPr="003353E4">
        <w:rPr>
          <w:rFonts w:eastAsia="Times New Roman" w:cs="Times New Roman"/>
          <w:szCs w:val="24"/>
        </w:rPr>
        <w:t xml:space="preserve">  The AMC would retain these notices in its files.  </w:t>
      </w:r>
    </w:p>
    <w:p w:rsidR="00563F04" w:rsidRPr="003353E4" w:rsidP="00563F04" w14:paraId="60BC287F" w14:textId="77777777">
      <w:pPr>
        <w:spacing w:line="240" w:lineRule="auto"/>
        <w:rPr>
          <w:rFonts w:eastAsia="Times New Roman" w:cs="Times New Roman"/>
          <w:bCs/>
          <w:iCs/>
          <w:szCs w:val="24"/>
        </w:rPr>
      </w:pPr>
    </w:p>
    <w:p w:rsidR="00563F04" w:rsidRPr="00486544" w:rsidP="00486544" w14:paraId="51694F28" w14:textId="7F550E89">
      <w:pPr>
        <w:spacing w:line="240" w:lineRule="auto"/>
        <w:ind w:firstLine="720"/>
        <w:rPr>
          <w:rFonts w:eastAsia="Times New Roman" w:cs="Times New Roman"/>
          <w:i/>
          <w:iCs/>
          <w:szCs w:val="24"/>
          <w:u w:val="single"/>
        </w:rPr>
      </w:pPr>
      <w:r w:rsidRPr="00486544">
        <w:rPr>
          <w:rFonts w:eastAsia="Times New Roman" w:cs="Times New Roman"/>
          <w:i/>
          <w:iCs/>
          <w:szCs w:val="24"/>
          <w:u w:val="single"/>
        </w:rPr>
        <w:t xml:space="preserve">II. </w:t>
      </w:r>
      <w:r w:rsidRPr="00486544">
        <w:rPr>
          <w:rFonts w:eastAsia="Times New Roman" w:cs="Times New Roman"/>
          <w:i/>
          <w:iCs/>
          <w:szCs w:val="24"/>
          <w:u w:val="single"/>
        </w:rPr>
        <w:t xml:space="preserve">State Recordkeeping Requirements (IC </w:t>
      </w:r>
      <w:r w:rsidRPr="00486544" w:rsidR="004467E0">
        <w:rPr>
          <w:rFonts w:eastAsia="Times New Roman" w:cs="Times New Roman"/>
          <w:i/>
          <w:iCs/>
          <w:szCs w:val="24"/>
          <w:u w:val="single"/>
        </w:rPr>
        <w:t>#</w:t>
      </w:r>
      <w:r w:rsidRPr="00486544" w:rsidR="007F4B7C">
        <w:rPr>
          <w:rFonts w:eastAsia="Times New Roman" w:cs="Times New Roman"/>
          <w:i/>
          <w:iCs/>
          <w:szCs w:val="24"/>
          <w:u w:val="single"/>
        </w:rPr>
        <w:t>2</w:t>
      </w:r>
      <w:r w:rsidR="0052734E">
        <w:rPr>
          <w:rFonts w:eastAsia="Times New Roman" w:cs="Times New Roman"/>
          <w:i/>
          <w:iCs/>
          <w:szCs w:val="24"/>
          <w:u w:val="single"/>
        </w:rPr>
        <w:t>, formerly IC #1</w:t>
      </w:r>
      <w:r w:rsidRPr="00486544">
        <w:rPr>
          <w:rFonts w:eastAsia="Times New Roman" w:cs="Times New Roman"/>
          <w:i/>
          <w:iCs/>
          <w:szCs w:val="24"/>
          <w:u w:val="single"/>
        </w:rPr>
        <w:t>)</w:t>
      </w:r>
    </w:p>
    <w:p w:rsidR="00563F04" w:rsidRPr="003353E4" w:rsidP="00563F04" w14:paraId="784F121C" w14:textId="77777777">
      <w:pPr>
        <w:spacing w:line="240" w:lineRule="auto"/>
        <w:rPr>
          <w:rFonts w:eastAsia="Times New Roman" w:cs="Times New Roman"/>
          <w:i/>
          <w:iCs/>
          <w:szCs w:val="24"/>
          <w:u w:val="single"/>
        </w:rPr>
      </w:pPr>
    </w:p>
    <w:p w:rsidR="00563F04" w:rsidRPr="003353E4" w:rsidP="00563F04" w14:paraId="0795AE40" w14:textId="574D235A">
      <w:pPr>
        <w:spacing w:line="240" w:lineRule="auto"/>
        <w:rPr>
          <w:rFonts w:eastAsia="Times New Roman" w:cs="Times New Roman"/>
          <w:i/>
          <w:iCs/>
          <w:szCs w:val="24"/>
        </w:rPr>
      </w:pPr>
      <w:r w:rsidRPr="003353E4">
        <w:rPr>
          <w:rFonts w:eastAsia="Times New Roman" w:cs="Times New Roman"/>
          <w:szCs w:val="24"/>
        </w:rPr>
        <w:t>States seeking to register AMCs must have an AMC registration and supervision program.  The regulation requires each participating State to establish and maintain within its appraiser certifying and licensing agency a registration and supervision program with the legal authority and mechanisms to:  (i) review and approve or deny an application for initial registration; (ii) periodically review and renew, or deny renewal of, an AMC’s registration; (iii) examine an AMC’s books and records and require the submission of reports, information, and documents; (iv) verify an AMC’s panel members’ certifications or licenses; (v) investigate and assess potential violations of laws, regulations, or orders; (vi) discipline, suspend, terminate, or deny registration renewals of, AMCs that violate laws, regulations, or orders; and (vii) report violations of appraisal-related laws, regulations, or orders, and disciplinary and enforcement actions to the ASC.</w:t>
      </w:r>
      <w:r>
        <w:rPr>
          <w:rFonts w:eastAsia="Times New Roman" w:cs="Times New Roman"/>
          <w:szCs w:val="24"/>
          <w:vertAlign w:val="superscript"/>
        </w:rPr>
        <w:footnoteReference w:id="12"/>
      </w:r>
    </w:p>
    <w:p w:rsidR="00563F04" w:rsidRPr="003353E4" w:rsidP="00563F04" w14:paraId="608586F9" w14:textId="77777777">
      <w:pPr>
        <w:spacing w:line="240" w:lineRule="auto"/>
        <w:rPr>
          <w:rFonts w:eastAsia="Times New Roman" w:cs="Times New Roman"/>
          <w:szCs w:val="24"/>
        </w:rPr>
      </w:pPr>
    </w:p>
    <w:p w:rsidR="0023733F" w:rsidRPr="003353E4" w:rsidP="00563F04" w14:paraId="17CBDA0C" w14:textId="68DBFFF7">
      <w:pPr>
        <w:spacing w:line="240" w:lineRule="auto"/>
        <w:rPr>
          <w:rFonts w:eastAsia="Times New Roman" w:cs="Times New Roman"/>
          <w:szCs w:val="24"/>
        </w:rPr>
      </w:pPr>
      <w:r w:rsidRPr="003353E4">
        <w:rPr>
          <w:rFonts w:eastAsia="Times New Roman" w:cs="Times New Roman"/>
          <w:szCs w:val="24"/>
        </w:rPr>
        <w:t>The regulation requires each participating state to impose requirements on AMCs that are not federally regulated (non-federally regulated AMCs) to:  (i) register with and be subject to supervision by a state appraiser certifying and licensing agency in each state in which the AMC operates; (ii) use only state-certified or state-licensed appraisers for federally regulated transactions in conformity with any federally regulated transaction regulations; (iii) establish and comply with processes and controls reasonably designed to ensure that the AMC, in engaging an appraiser, selects an appraiser who is independent of the transaction and who has the requisite education, expertise, and experience necessary to competently complete the appraisal assignment for the particular market and property type; (iv) direct the appraiser to perform the assignment in accordance with the Uniform Standards of Professional Appraisal Practice; and (v) establish and comply with processes and controls reasonably designed to ensure that the AMC conducts its appraisal management services in accordance with sections 129E(a) through (i) of the Truth-in-Lending Act.</w:t>
      </w:r>
      <w:r>
        <w:rPr>
          <w:rFonts w:eastAsia="Times New Roman" w:cs="Times New Roman"/>
          <w:szCs w:val="24"/>
          <w:vertAlign w:val="superscript"/>
        </w:rPr>
        <w:footnoteReference w:id="13"/>
      </w:r>
      <w:r w:rsidR="00AB27E5">
        <w:rPr>
          <w:rFonts w:eastAsia="Times New Roman" w:cs="Times New Roman"/>
          <w:szCs w:val="24"/>
        </w:rPr>
        <w:t xml:space="preserve">  </w:t>
      </w:r>
    </w:p>
    <w:p w:rsidR="00563F04" w:rsidRPr="003353E4" w:rsidP="00563F04" w14:paraId="10CBE958" w14:textId="77777777">
      <w:pPr>
        <w:spacing w:line="240" w:lineRule="auto"/>
        <w:rPr>
          <w:rFonts w:eastAsia="Times New Roman" w:cs="Times New Roman"/>
          <w:szCs w:val="24"/>
        </w:rPr>
      </w:pPr>
    </w:p>
    <w:p w:rsidR="00563F04" w:rsidRPr="00486544" w:rsidP="00486544" w14:paraId="0A24E6A4" w14:textId="32DA3CA4">
      <w:pPr>
        <w:spacing w:line="240" w:lineRule="auto"/>
        <w:ind w:left="720"/>
        <w:rPr>
          <w:rFonts w:eastAsia="Times New Roman" w:cs="Times New Roman"/>
          <w:i/>
          <w:iCs/>
          <w:szCs w:val="24"/>
          <w:u w:val="single"/>
        </w:rPr>
      </w:pPr>
      <w:r w:rsidRPr="00486544">
        <w:rPr>
          <w:rFonts w:eastAsia="Times New Roman" w:cs="Times New Roman"/>
          <w:i/>
          <w:iCs/>
          <w:szCs w:val="24"/>
          <w:u w:val="single"/>
        </w:rPr>
        <w:t xml:space="preserve">III. </w:t>
      </w:r>
      <w:r w:rsidRPr="00486544">
        <w:rPr>
          <w:rFonts w:eastAsia="Times New Roman" w:cs="Times New Roman"/>
          <w:i/>
          <w:iCs/>
          <w:szCs w:val="24"/>
          <w:u w:val="single"/>
        </w:rPr>
        <w:t xml:space="preserve">AMC </w:t>
      </w:r>
      <w:r w:rsidR="007809F6">
        <w:rPr>
          <w:rFonts w:eastAsia="Times New Roman" w:cs="Times New Roman"/>
          <w:i/>
          <w:iCs/>
          <w:szCs w:val="24"/>
          <w:u w:val="single"/>
        </w:rPr>
        <w:t>Reporting</w:t>
      </w:r>
      <w:r w:rsidRPr="00486544" w:rsidR="007809F6">
        <w:rPr>
          <w:rFonts w:eastAsia="Times New Roman" w:cs="Times New Roman"/>
          <w:i/>
          <w:iCs/>
          <w:szCs w:val="24"/>
          <w:u w:val="single"/>
        </w:rPr>
        <w:t xml:space="preserve"> </w:t>
      </w:r>
      <w:r w:rsidRPr="00486544">
        <w:rPr>
          <w:rFonts w:eastAsia="Times New Roman" w:cs="Times New Roman"/>
          <w:i/>
          <w:iCs/>
          <w:szCs w:val="24"/>
          <w:u w:val="single"/>
        </w:rPr>
        <w:t>Requirements (</w:t>
      </w:r>
      <w:r w:rsidRPr="00486544" w:rsidR="00B235C6">
        <w:rPr>
          <w:rFonts w:eastAsia="Times New Roman" w:cs="Times New Roman"/>
          <w:i/>
          <w:iCs/>
          <w:szCs w:val="24"/>
          <w:u w:val="single"/>
        </w:rPr>
        <w:t>State-</w:t>
      </w:r>
      <w:r w:rsidRPr="00486544" w:rsidR="00596010">
        <w:rPr>
          <w:rFonts w:eastAsia="Times New Roman" w:cs="Times New Roman"/>
          <w:i/>
          <w:iCs/>
          <w:szCs w:val="24"/>
          <w:u w:val="single"/>
        </w:rPr>
        <w:t>R</w:t>
      </w:r>
      <w:r w:rsidRPr="00486544" w:rsidR="00B235C6">
        <w:rPr>
          <w:rFonts w:eastAsia="Times New Roman" w:cs="Times New Roman"/>
          <w:i/>
          <w:iCs/>
          <w:szCs w:val="24"/>
          <w:u w:val="single"/>
        </w:rPr>
        <w:t>egulated AMCs)</w:t>
      </w:r>
      <w:r w:rsidRPr="00486544">
        <w:rPr>
          <w:rFonts w:eastAsia="Times New Roman" w:cs="Times New Roman"/>
          <w:i/>
          <w:iCs/>
          <w:szCs w:val="24"/>
          <w:u w:val="single"/>
        </w:rPr>
        <w:t xml:space="preserve"> (IC</w:t>
      </w:r>
      <w:r w:rsidRPr="00486544" w:rsidR="001A11A7">
        <w:rPr>
          <w:rFonts w:eastAsia="Times New Roman" w:cs="Times New Roman"/>
          <w:i/>
          <w:iCs/>
          <w:szCs w:val="24"/>
          <w:u w:val="single"/>
        </w:rPr>
        <w:t>#</w:t>
      </w:r>
      <w:r w:rsidRPr="00486544" w:rsidR="007373A5">
        <w:rPr>
          <w:rFonts w:eastAsia="Times New Roman" w:cs="Times New Roman"/>
          <w:i/>
          <w:iCs/>
          <w:szCs w:val="24"/>
          <w:u w:val="single"/>
        </w:rPr>
        <w:t>3</w:t>
      </w:r>
      <w:r w:rsidR="0052734E">
        <w:rPr>
          <w:rFonts w:eastAsia="Times New Roman" w:cs="Times New Roman"/>
          <w:i/>
          <w:iCs/>
          <w:szCs w:val="24"/>
          <w:u w:val="single"/>
        </w:rPr>
        <w:t xml:space="preserve">, formerly </w:t>
      </w:r>
      <w:r w:rsidR="00281B4F">
        <w:rPr>
          <w:rFonts w:eastAsia="Times New Roman" w:cs="Times New Roman"/>
          <w:i/>
          <w:iCs/>
          <w:szCs w:val="24"/>
          <w:u w:val="single"/>
        </w:rPr>
        <w:t>OC #2</w:t>
      </w:r>
      <w:r w:rsidRPr="00486544">
        <w:rPr>
          <w:rFonts w:eastAsia="Times New Roman" w:cs="Times New Roman"/>
          <w:i/>
          <w:iCs/>
          <w:szCs w:val="24"/>
          <w:u w:val="single"/>
        </w:rPr>
        <w:t>)</w:t>
      </w:r>
    </w:p>
    <w:p w:rsidR="00563F04" w:rsidRPr="003353E4" w:rsidP="00563F04" w14:paraId="01B28ECC" w14:textId="77777777">
      <w:pPr>
        <w:spacing w:line="240" w:lineRule="auto"/>
        <w:rPr>
          <w:rFonts w:eastAsia="Times New Roman" w:cs="Times New Roman"/>
          <w:iCs/>
          <w:szCs w:val="24"/>
        </w:rPr>
      </w:pPr>
    </w:p>
    <w:p w:rsidR="00563F04" w:rsidRPr="003353E4" w:rsidP="00563F04" w14:paraId="44B0DBF3" w14:textId="795532BF">
      <w:pPr>
        <w:spacing w:line="240" w:lineRule="auto"/>
        <w:rPr>
          <w:rFonts w:eastAsia="Times New Roman" w:cs="Times New Roman"/>
          <w:bCs/>
          <w:szCs w:val="24"/>
        </w:rPr>
      </w:pPr>
      <w:r w:rsidRPr="003353E4">
        <w:rPr>
          <w:rFonts w:eastAsia="Times New Roman" w:cs="Times New Roman"/>
          <w:szCs w:val="24"/>
        </w:rPr>
        <w:t>The regulation provides that an AMC may not be registered by a state or included on the AMC National Registry if the company is owned, directly or indirectly, by any person who has had an appraiser license or certificate refused, denied, cancelled, surrendered in lieu of revocation, or revoked in any state for a substantive cause.</w:t>
      </w:r>
      <w:r>
        <w:rPr>
          <w:rFonts w:eastAsia="Times New Roman" w:cs="Times New Roman"/>
          <w:szCs w:val="24"/>
          <w:vertAlign w:val="superscript"/>
        </w:rPr>
        <w:footnoteReference w:id="14"/>
      </w:r>
      <w:r w:rsidRPr="003353E4">
        <w:rPr>
          <w:rFonts w:eastAsia="Times New Roman" w:cs="Times New Roman"/>
          <w:szCs w:val="24"/>
        </w:rPr>
        <w:t xml:space="preserve">  The regulation also provides that an AMC may not be registered by a state if any person that owns 10 percent or more of the AMC fails to submit to a background investigation carried out by the state appraiser certifying and licensing agency.</w:t>
      </w:r>
      <w:r>
        <w:rPr>
          <w:rFonts w:eastAsia="Times New Roman" w:cs="Times New Roman"/>
          <w:szCs w:val="24"/>
          <w:vertAlign w:val="superscript"/>
        </w:rPr>
        <w:footnoteReference w:id="15"/>
      </w:r>
      <w:r w:rsidRPr="003353E4">
        <w:rPr>
          <w:rFonts w:eastAsia="Times New Roman" w:cs="Times New Roman"/>
          <w:bCs/>
          <w:szCs w:val="24"/>
        </w:rPr>
        <w:t xml:space="preserve">  Thus, each AMC registering with a state must provide information to the state on compliance with those ownership restrictions.  </w:t>
      </w:r>
    </w:p>
    <w:p w:rsidR="00DE1064" w:rsidRPr="003353E4" w:rsidP="00563F04" w14:paraId="45E1E742" w14:textId="2049CE41">
      <w:pPr>
        <w:spacing w:line="240" w:lineRule="auto"/>
        <w:rPr>
          <w:rFonts w:eastAsia="Times New Roman" w:cs="Times New Roman"/>
          <w:bCs/>
          <w:szCs w:val="24"/>
        </w:rPr>
      </w:pPr>
    </w:p>
    <w:p w:rsidR="00F11B5A" w:rsidRPr="003353E4" w:rsidP="00F11B5A" w14:paraId="0CEB50EC" w14:textId="77777777">
      <w:pPr>
        <w:tabs>
          <w:tab w:val="left" w:pos="720"/>
          <w:tab w:val="left" w:pos="1441"/>
          <w:tab w:val="left" w:pos="2157"/>
        </w:tabs>
        <w:spacing w:line="240" w:lineRule="auto"/>
        <w:rPr>
          <w:rFonts w:eastAsia="Times New Roman" w:cs="Times New Roman"/>
          <w:b/>
          <w:snapToGrid w:val="0"/>
          <w:color w:val="000000"/>
          <w:szCs w:val="24"/>
          <w:u w:val="single"/>
        </w:rPr>
      </w:pPr>
      <w:r w:rsidRPr="003353E4">
        <w:rPr>
          <w:rFonts w:eastAsia="Times New Roman" w:cs="Times New Roman"/>
          <w:b/>
          <w:snapToGrid w:val="0"/>
          <w:color w:val="000000"/>
          <w:szCs w:val="24"/>
        </w:rPr>
        <w:t>3.  Use of Information Technology</w:t>
      </w:r>
    </w:p>
    <w:p w:rsidR="00F11B5A" w:rsidRPr="003353E4" w:rsidP="00F11B5A" w14:paraId="3A8C2C73" w14:textId="77777777">
      <w:pPr>
        <w:tabs>
          <w:tab w:val="left" w:pos="720"/>
          <w:tab w:val="left" w:pos="1441"/>
          <w:tab w:val="left" w:pos="2157"/>
        </w:tabs>
        <w:spacing w:line="240" w:lineRule="auto"/>
        <w:rPr>
          <w:rFonts w:eastAsia="Times New Roman" w:cs="Times New Roman"/>
          <w:snapToGrid w:val="0"/>
          <w:color w:val="000000"/>
          <w:szCs w:val="24"/>
        </w:rPr>
      </w:pPr>
    </w:p>
    <w:p w:rsidR="00F11B5A" w:rsidRPr="003353E4" w:rsidP="006D0E3B" w14:paraId="34EB89DF" w14:textId="7E6EE549">
      <w:pPr>
        <w:widowControl w:val="0"/>
        <w:autoSpaceDE w:val="0"/>
        <w:autoSpaceDN w:val="0"/>
        <w:adjustRightInd w:val="0"/>
        <w:spacing w:line="240" w:lineRule="auto"/>
        <w:rPr>
          <w:rFonts w:eastAsia="Times New Roman" w:cs="Times New Roman"/>
          <w:color w:val="000000"/>
          <w:szCs w:val="24"/>
        </w:rPr>
      </w:pPr>
      <w:r w:rsidRPr="003353E4">
        <w:rPr>
          <w:rFonts w:eastAsia="Times New Roman" w:cs="Times New Roman"/>
          <w:color w:val="000000"/>
          <w:szCs w:val="24"/>
        </w:rPr>
        <w:t xml:space="preserve">The rule does not specify the manner in which the information must be retained or reported.  This has been left to the discretion of the either the ASC or the individual participating </w:t>
      </w:r>
      <w:r w:rsidR="000359E1">
        <w:rPr>
          <w:rFonts w:eastAsia="Times New Roman" w:cs="Times New Roman"/>
          <w:color w:val="000000"/>
          <w:szCs w:val="24"/>
        </w:rPr>
        <w:t>s</w:t>
      </w:r>
      <w:r w:rsidRPr="003353E4">
        <w:rPr>
          <w:rFonts w:eastAsia="Times New Roman" w:cs="Times New Roman"/>
          <w:color w:val="000000"/>
          <w:szCs w:val="24"/>
        </w:rPr>
        <w:t>tates, which may use any available type of information technology to meet the requirements of the rule.</w:t>
      </w:r>
    </w:p>
    <w:p w:rsidR="00F11B5A" w:rsidRPr="003353E4" w:rsidP="00F11B5A" w14:paraId="4B151012" w14:textId="77777777">
      <w:pPr>
        <w:autoSpaceDE w:val="0"/>
        <w:autoSpaceDN w:val="0"/>
        <w:adjustRightInd w:val="0"/>
        <w:spacing w:line="240" w:lineRule="auto"/>
        <w:rPr>
          <w:rFonts w:eastAsia="Times New Roman" w:cs="Times New Roman"/>
          <w:szCs w:val="24"/>
        </w:rPr>
      </w:pPr>
    </w:p>
    <w:p w:rsidR="00F11B5A" w:rsidRPr="003353E4" w:rsidP="00F11B5A" w14:paraId="02165723" w14:textId="77777777">
      <w:pPr>
        <w:widowControl w:val="0"/>
        <w:autoSpaceDE w:val="0"/>
        <w:autoSpaceDN w:val="0"/>
        <w:adjustRightInd w:val="0"/>
        <w:spacing w:line="240" w:lineRule="auto"/>
        <w:rPr>
          <w:rFonts w:eastAsia="Times New Roman" w:cs="Times New Roman"/>
          <w:b/>
          <w:color w:val="000000"/>
          <w:szCs w:val="24"/>
          <w:u w:val="single"/>
        </w:rPr>
      </w:pPr>
      <w:r w:rsidRPr="003353E4">
        <w:rPr>
          <w:rFonts w:eastAsia="Times New Roman" w:cs="Times New Roman"/>
          <w:b/>
          <w:color w:val="000000"/>
          <w:szCs w:val="24"/>
        </w:rPr>
        <w:t>4.  Efforts to Identify Duplication</w:t>
      </w:r>
    </w:p>
    <w:p w:rsidR="00F11B5A" w:rsidRPr="003353E4" w:rsidP="00F11B5A" w14:paraId="2E198FF7" w14:textId="77777777">
      <w:pPr>
        <w:tabs>
          <w:tab w:val="left" w:pos="720"/>
          <w:tab w:val="left" w:pos="1441"/>
          <w:tab w:val="left" w:pos="2157"/>
        </w:tabs>
        <w:spacing w:line="240" w:lineRule="auto"/>
        <w:rPr>
          <w:rFonts w:eastAsia="Times New Roman" w:cs="Times New Roman"/>
          <w:snapToGrid w:val="0"/>
          <w:color w:val="000000"/>
          <w:szCs w:val="24"/>
        </w:rPr>
      </w:pPr>
    </w:p>
    <w:p w:rsidR="00F11B5A" w:rsidRPr="003353E4" w:rsidP="00F11B5A" w14:paraId="21DDFA4E" w14:textId="7F5F185A">
      <w:pPr>
        <w:tabs>
          <w:tab w:val="left" w:pos="720"/>
          <w:tab w:val="left" w:pos="1441"/>
          <w:tab w:val="left" w:pos="2157"/>
        </w:tabs>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 xml:space="preserve">The information that AMCs and participating </w:t>
      </w:r>
      <w:r w:rsidR="000359E1">
        <w:rPr>
          <w:rFonts w:eastAsia="Times New Roman" w:cs="Times New Roman"/>
          <w:snapToGrid w:val="0"/>
          <w:color w:val="000000"/>
          <w:szCs w:val="24"/>
        </w:rPr>
        <w:t>s</w:t>
      </w:r>
      <w:r w:rsidRPr="003353E4">
        <w:rPr>
          <w:rFonts w:eastAsia="Times New Roman" w:cs="Times New Roman"/>
          <w:snapToGrid w:val="0"/>
          <w:color w:val="000000"/>
          <w:szCs w:val="24"/>
        </w:rPr>
        <w:t xml:space="preserve">tates </w:t>
      </w:r>
      <w:r w:rsidRPr="003353E4" w:rsidR="00295177">
        <w:rPr>
          <w:rFonts w:eastAsia="Times New Roman" w:cs="Times New Roman"/>
          <w:snapToGrid w:val="0"/>
          <w:color w:val="000000"/>
          <w:szCs w:val="24"/>
        </w:rPr>
        <w:t>are</w:t>
      </w:r>
      <w:r w:rsidRPr="003353E4">
        <w:rPr>
          <w:rFonts w:eastAsia="Times New Roman" w:cs="Times New Roman"/>
          <w:snapToGrid w:val="0"/>
          <w:color w:val="000000"/>
          <w:szCs w:val="24"/>
        </w:rPr>
        <w:t xml:space="preserve"> required to report or retain under the rule is not available from any alternative sources.</w:t>
      </w:r>
    </w:p>
    <w:p w:rsidR="00F11B5A" w:rsidRPr="003353E4" w:rsidP="00F11B5A" w14:paraId="5BD8555B" w14:textId="77777777">
      <w:pPr>
        <w:tabs>
          <w:tab w:val="left" w:pos="720"/>
          <w:tab w:val="left" w:pos="1441"/>
          <w:tab w:val="left" w:pos="2157"/>
        </w:tabs>
        <w:spacing w:line="240" w:lineRule="auto"/>
        <w:rPr>
          <w:rFonts w:eastAsia="Times New Roman" w:cs="Times New Roman"/>
          <w:snapToGrid w:val="0"/>
          <w:color w:val="000000"/>
          <w:szCs w:val="24"/>
        </w:rPr>
      </w:pPr>
    </w:p>
    <w:p w:rsidR="00F11B5A" w:rsidRPr="003353E4" w:rsidP="00F11B5A" w14:paraId="154F67CB" w14:textId="77777777">
      <w:pPr>
        <w:widowControl w:val="0"/>
        <w:autoSpaceDE w:val="0"/>
        <w:autoSpaceDN w:val="0"/>
        <w:adjustRightInd w:val="0"/>
        <w:spacing w:line="240" w:lineRule="auto"/>
        <w:rPr>
          <w:rFonts w:eastAsia="Times New Roman" w:cs="Times New Roman"/>
          <w:b/>
          <w:color w:val="000000"/>
          <w:szCs w:val="24"/>
          <w:u w:val="single"/>
        </w:rPr>
      </w:pPr>
      <w:r w:rsidRPr="003353E4">
        <w:rPr>
          <w:rFonts w:eastAsia="Times New Roman" w:cs="Times New Roman"/>
          <w:b/>
          <w:color w:val="000000"/>
          <w:szCs w:val="24"/>
        </w:rPr>
        <w:t>5.  Impact on Small Entities</w:t>
      </w:r>
    </w:p>
    <w:p w:rsidR="00F11B5A" w:rsidRPr="003353E4" w:rsidP="00F11B5A" w14:paraId="224D8128" w14:textId="77777777">
      <w:pPr>
        <w:tabs>
          <w:tab w:val="left" w:pos="720"/>
          <w:tab w:val="left" w:pos="1441"/>
          <w:tab w:val="left" w:pos="2157"/>
        </w:tabs>
        <w:spacing w:line="240" w:lineRule="auto"/>
        <w:rPr>
          <w:rFonts w:eastAsia="Times New Roman" w:cs="Times New Roman"/>
          <w:snapToGrid w:val="0"/>
          <w:color w:val="000000"/>
          <w:szCs w:val="24"/>
        </w:rPr>
      </w:pPr>
    </w:p>
    <w:p w:rsidR="00F11B5A" w:rsidRPr="003353E4" w:rsidP="00F11B5A" w14:paraId="1F968E2E" w14:textId="417364B4">
      <w:pPr>
        <w:tabs>
          <w:tab w:val="left" w:pos="720"/>
          <w:tab w:val="left" w:pos="1441"/>
          <w:tab w:val="left" w:pos="2157"/>
        </w:tabs>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This</w:t>
      </w:r>
      <w:r w:rsidRPr="003353E4">
        <w:rPr>
          <w:rFonts w:eastAsia="Times New Roman" w:cs="Times New Roman"/>
          <w:snapToGrid w:val="0"/>
          <w:color w:val="000000"/>
          <w:szCs w:val="24"/>
        </w:rPr>
        <w:t xml:space="preserve"> information collection </w:t>
      </w:r>
      <w:r w:rsidRPr="003353E4">
        <w:rPr>
          <w:rFonts w:eastAsia="Times New Roman" w:cs="Times New Roman"/>
          <w:snapToGrid w:val="0"/>
          <w:color w:val="000000"/>
          <w:szCs w:val="24"/>
        </w:rPr>
        <w:t>does</w:t>
      </w:r>
      <w:r w:rsidRPr="003353E4">
        <w:rPr>
          <w:rFonts w:eastAsia="Times New Roman" w:cs="Times New Roman"/>
          <w:snapToGrid w:val="0"/>
          <w:color w:val="000000"/>
          <w:szCs w:val="24"/>
        </w:rPr>
        <w:t xml:space="preserve"> not have a significant economic impact on a substantial number of small entities.</w:t>
      </w:r>
    </w:p>
    <w:p w:rsidR="00F11B5A" w:rsidRPr="003353E4" w:rsidP="00F11B5A" w14:paraId="6DD94A95" w14:textId="77777777">
      <w:pPr>
        <w:tabs>
          <w:tab w:val="left" w:pos="720"/>
          <w:tab w:val="left" w:pos="1441"/>
          <w:tab w:val="left" w:pos="2157"/>
        </w:tabs>
        <w:spacing w:line="240" w:lineRule="auto"/>
        <w:rPr>
          <w:rFonts w:eastAsia="Times New Roman" w:cs="Times New Roman"/>
          <w:snapToGrid w:val="0"/>
          <w:color w:val="000000"/>
          <w:szCs w:val="24"/>
        </w:rPr>
      </w:pPr>
    </w:p>
    <w:p w:rsidR="00F11B5A" w:rsidRPr="003353E4" w:rsidP="00F11B5A" w14:paraId="440F2818" w14:textId="77777777">
      <w:pPr>
        <w:widowControl w:val="0"/>
        <w:autoSpaceDE w:val="0"/>
        <w:autoSpaceDN w:val="0"/>
        <w:adjustRightInd w:val="0"/>
        <w:spacing w:line="240" w:lineRule="auto"/>
        <w:rPr>
          <w:rFonts w:eastAsia="Times New Roman" w:cs="Times New Roman"/>
          <w:b/>
          <w:color w:val="000000"/>
          <w:szCs w:val="24"/>
          <w:u w:val="single"/>
        </w:rPr>
      </w:pPr>
      <w:r w:rsidRPr="003353E4">
        <w:rPr>
          <w:rFonts w:eastAsia="Times New Roman" w:cs="Times New Roman"/>
          <w:b/>
          <w:color w:val="000000"/>
          <w:szCs w:val="24"/>
        </w:rPr>
        <w:t>6.  Consequences of Less Frequent Collection and Obstacles to Burden Reduction</w:t>
      </w:r>
    </w:p>
    <w:p w:rsidR="00F11B5A" w:rsidRPr="003353E4" w:rsidP="00F11B5A" w14:paraId="14820533" w14:textId="77777777">
      <w:pPr>
        <w:tabs>
          <w:tab w:val="left" w:pos="720"/>
          <w:tab w:val="left" w:pos="1441"/>
          <w:tab w:val="left" w:pos="2157"/>
        </w:tabs>
        <w:spacing w:line="240" w:lineRule="auto"/>
        <w:rPr>
          <w:rFonts w:eastAsia="Times New Roman" w:cs="Times New Roman"/>
          <w:snapToGrid w:val="0"/>
          <w:color w:val="000000"/>
          <w:szCs w:val="24"/>
        </w:rPr>
      </w:pPr>
    </w:p>
    <w:p w:rsidR="00F11B5A" w:rsidRPr="003353E4" w:rsidP="00F11B5A" w14:paraId="54A8552F" w14:textId="0B6226B8">
      <w:pPr>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 xml:space="preserve">The </w:t>
      </w:r>
      <w:r w:rsidRPr="003353E4" w:rsidR="006B1D3B">
        <w:rPr>
          <w:rFonts w:eastAsia="Times New Roman" w:cs="Times New Roman"/>
          <w:snapToGrid w:val="0"/>
          <w:color w:val="000000"/>
          <w:szCs w:val="24"/>
        </w:rPr>
        <w:t>various aspects of this</w:t>
      </w:r>
      <w:r w:rsidRPr="003353E4">
        <w:rPr>
          <w:rFonts w:eastAsia="Times New Roman" w:cs="Times New Roman"/>
          <w:snapToGrid w:val="0"/>
          <w:color w:val="000000"/>
          <w:szCs w:val="24"/>
        </w:rPr>
        <w:t xml:space="preserve"> information collection</w:t>
      </w:r>
      <w:r w:rsidRPr="003353E4" w:rsidR="006B1D3B">
        <w:rPr>
          <w:rFonts w:eastAsia="Times New Roman" w:cs="Times New Roman"/>
          <w:snapToGrid w:val="0"/>
          <w:color w:val="000000"/>
          <w:szCs w:val="24"/>
        </w:rPr>
        <w:t xml:space="preserve"> are</w:t>
      </w:r>
      <w:r w:rsidRPr="003353E4">
        <w:rPr>
          <w:rFonts w:eastAsia="Times New Roman" w:cs="Times New Roman"/>
          <w:snapToGrid w:val="0"/>
          <w:color w:val="000000"/>
          <w:szCs w:val="24"/>
        </w:rPr>
        <w:t xml:space="preserve"> primarily event-driven.  Less frequent collections would compromise the effectiveness of the </w:t>
      </w:r>
      <w:r w:rsidRPr="003353E4" w:rsidR="007F3648">
        <w:rPr>
          <w:rFonts w:eastAsia="Times New Roman" w:cs="Times New Roman"/>
          <w:snapToGrid w:val="0"/>
          <w:color w:val="000000"/>
          <w:szCs w:val="24"/>
        </w:rPr>
        <w:t xml:space="preserve">AMC </w:t>
      </w:r>
      <w:r w:rsidRPr="003353E4" w:rsidR="006B1D3B">
        <w:rPr>
          <w:rFonts w:eastAsia="Times New Roman" w:cs="Times New Roman"/>
          <w:snapToGrid w:val="0"/>
          <w:color w:val="000000"/>
          <w:szCs w:val="24"/>
        </w:rPr>
        <w:t>regulations’</w:t>
      </w:r>
      <w:r w:rsidRPr="003353E4">
        <w:rPr>
          <w:rFonts w:eastAsia="Times New Roman" w:cs="Times New Roman"/>
          <w:snapToGrid w:val="0"/>
          <w:color w:val="000000"/>
          <w:szCs w:val="24"/>
        </w:rPr>
        <w:t xml:space="preserve"> substantive requirements.</w:t>
      </w:r>
    </w:p>
    <w:p w:rsidR="007F3648" w:rsidRPr="003353E4" w:rsidP="00F11B5A" w14:paraId="40D0798F" w14:textId="77777777">
      <w:pPr>
        <w:spacing w:line="240" w:lineRule="auto"/>
        <w:rPr>
          <w:rFonts w:eastAsia="Times New Roman" w:cs="Times New Roman"/>
          <w:snapToGrid w:val="0"/>
          <w:color w:val="000000"/>
          <w:szCs w:val="24"/>
        </w:rPr>
      </w:pPr>
    </w:p>
    <w:p w:rsidR="00F11B5A" w:rsidRPr="003353E4" w:rsidP="00F11B5A" w14:paraId="58D8DCD7" w14:textId="77777777">
      <w:pPr>
        <w:widowControl w:val="0"/>
        <w:autoSpaceDE w:val="0"/>
        <w:autoSpaceDN w:val="0"/>
        <w:adjustRightInd w:val="0"/>
        <w:spacing w:line="240" w:lineRule="auto"/>
        <w:rPr>
          <w:rFonts w:eastAsia="Times New Roman" w:cs="Times New Roman"/>
          <w:b/>
          <w:color w:val="000000"/>
          <w:szCs w:val="24"/>
          <w:u w:val="single"/>
        </w:rPr>
      </w:pPr>
      <w:r w:rsidRPr="003353E4">
        <w:rPr>
          <w:rFonts w:eastAsia="Times New Roman" w:cs="Times New Roman"/>
          <w:b/>
          <w:color w:val="000000"/>
          <w:szCs w:val="24"/>
        </w:rPr>
        <w:t>7.  Circumstances Requiring Special Information Collection</w:t>
      </w:r>
    </w:p>
    <w:p w:rsidR="00F11B5A" w:rsidRPr="003353E4" w:rsidP="00F11B5A" w14:paraId="129D0C1C" w14:textId="77777777">
      <w:pPr>
        <w:spacing w:line="240" w:lineRule="auto"/>
        <w:rPr>
          <w:rFonts w:eastAsia="Times New Roman" w:cs="Times New Roman"/>
          <w:snapToGrid w:val="0"/>
          <w:color w:val="000000"/>
          <w:szCs w:val="24"/>
        </w:rPr>
      </w:pPr>
    </w:p>
    <w:p w:rsidR="00F11B5A" w:rsidRPr="003353E4" w:rsidP="00F11B5A" w14:paraId="761DC737" w14:textId="1D0BCAEF">
      <w:pPr>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There are no special circumstances that would require FHFA to conduct the information collection in a manner inconsistent with the guidelines provided in Item 7.</w:t>
      </w:r>
    </w:p>
    <w:p w:rsidR="00F11B5A" w:rsidRPr="003353E4" w:rsidP="00F11B5A" w14:paraId="6F7077A6" w14:textId="77777777">
      <w:pPr>
        <w:spacing w:line="240" w:lineRule="auto"/>
        <w:rPr>
          <w:rFonts w:eastAsia="Times New Roman" w:cs="Times New Roman"/>
          <w:snapToGrid w:val="0"/>
          <w:color w:val="000000"/>
          <w:szCs w:val="24"/>
        </w:rPr>
      </w:pPr>
    </w:p>
    <w:p w:rsidR="00F11B5A" w:rsidRPr="003353E4" w:rsidP="00F11B5A" w14:paraId="48AB0015" w14:textId="77777777">
      <w:pPr>
        <w:widowControl w:val="0"/>
        <w:autoSpaceDE w:val="0"/>
        <w:autoSpaceDN w:val="0"/>
        <w:adjustRightInd w:val="0"/>
        <w:spacing w:line="240" w:lineRule="auto"/>
        <w:rPr>
          <w:rFonts w:eastAsia="Times New Roman" w:cs="Times New Roman"/>
          <w:b/>
          <w:color w:val="000000"/>
          <w:szCs w:val="24"/>
          <w:u w:val="single"/>
        </w:rPr>
      </w:pPr>
      <w:r w:rsidRPr="003353E4">
        <w:rPr>
          <w:rFonts w:eastAsia="Times New Roman" w:cs="Times New Roman"/>
          <w:b/>
          <w:color w:val="000000"/>
          <w:szCs w:val="24"/>
        </w:rPr>
        <w:t>8.  Solicitation of Comments on Information Collection</w:t>
      </w:r>
    </w:p>
    <w:p w:rsidR="00F11B5A" w:rsidRPr="003353E4" w:rsidP="00F11B5A" w14:paraId="632F0B4E" w14:textId="77777777">
      <w:pPr>
        <w:spacing w:line="240" w:lineRule="auto"/>
        <w:rPr>
          <w:rFonts w:eastAsia="Times New Roman" w:cs="Times New Roman"/>
          <w:snapToGrid w:val="0"/>
          <w:color w:val="000000"/>
          <w:szCs w:val="24"/>
        </w:rPr>
      </w:pPr>
    </w:p>
    <w:p w:rsidR="00F11B5A" w:rsidRPr="003353E4" w:rsidP="001A50BB" w14:paraId="36AF78FB" w14:textId="2FD87EFC">
      <w:pPr>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 xml:space="preserve">In accordance with the requirements of 5 CFR 1320.8(d), FHFA published an initial notice and request for comments regarding the renewal of the PRA clearance for this information collection in the </w:t>
      </w:r>
      <w:r w:rsidRPr="003353E4">
        <w:rPr>
          <w:rFonts w:eastAsia="Times New Roman" w:cs="Times New Roman"/>
          <w:i/>
          <w:iCs/>
          <w:snapToGrid w:val="0"/>
          <w:color w:val="000000"/>
          <w:szCs w:val="24"/>
        </w:rPr>
        <w:t>Federal Register</w:t>
      </w:r>
      <w:r w:rsidRPr="003353E4">
        <w:rPr>
          <w:rFonts w:eastAsia="Times New Roman" w:cs="Times New Roman"/>
          <w:snapToGrid w:val="0"/>
          <w:color w:val="000000"/>
          <w:szCs w:val="24"/>
        </w:rPr>
        <w:t xml:space="preserve"> on </w:t>
      </w:r>
      <w:r w:rsidRPr="003D50E5" w:rsidR="003D50E5">
        <w:rPr>
          <w:rFonts w:eastAsia="Times New Roman" w:cs="Times New Roman"/>
          <w:snapToGrid w:val="0"/>
          <w:color w:val="000000"/>
          <w:szCs w:val="24"/>
        </w:rPr>
        <w:t>January 15, 2025</w:t>
      </w:r>
      <w:r w:rsidRPr="003D50E5">
        <w:rPr>
          <w:rFonts w:eastAsia="Times New Roman" w:cs="Times New Roman"/>
          <w:snapToGrid w:val="0"/>
          <w:color w:val="000000"/>
          <w:szCs w:val="24"/>
        </w:rPr>
        <w:t>.</w:t>
      </w:r>
      <w:r>
        <w:rPr>
          <w:rFonts w:eastAsia="Times New Roman" w:cs="Times New Roman"/>
          <w:snapToGrid w:val="0"/>
          <w:color w:val="000000"/>
          <w:szCs w:val="24"/>
          <w:vertAlign w:val="superscript"/>
        </w:rPr>
        <w:footnoteReference w:id="16"/>
      </w:r>
      <w:r w:rsidRPr="003D50E5">
        <w:rPr>
          <w:rFonts w:eastAsia="Times New Roman" w:cs="Times New Roman"/>
          <w:snapToGrid w:val="0"/>
          <w:color w:val="000000"/>
          <w:szCs w:val="24"/>
        </w:rPr>
        <w:t xml:space="preserve">  </w:t>
      </w:r>
      <w:bookmarkStart w:id="0" w:name="_Hlk85838902"/>
      <w:r w:rsidRPr="003353E4">
        <w:rPr>
          <w:rFonts w:eastAsia="Times New Roman" w:cs="Times New Roman"/>
          <w:snapToGrid w:val="0"/>
          <w:color w:val="000000"/>
          <w:szCs w:val="24"/>
        </w:rPr>
        <w:t xml:space="preserve">FHFA received </w:t>
      </w:r>
      <w:r w:rsidR="001A50BB">
        <w:rPr>
          <w:rFonts w:eastAsia="Times New Roman" w:cs="Times New Roman"/>
          <w:snapToGrid w:val="0"/>
          <w:color w:val="000000"/>
          <w:szCs w:val="24"/>
        </w:rPr>
        <w:t xml:space="preserve">no comments. </w:t>
      </w:r>
    </w:p>
    <w:bookmarkEnd w:id="0"/>
    <w:p w:rsidR="00205C2B" w:rsidRPr="003353E4" w:rsidP="00F11B5A" w14:paraId="7A18937D" w14:textId="77777777">
      <w:pPr>
        <w:spacing w:line="240" w:lineRule="auto"/>
        <w:rPr>
          <w:rFonts w:eastAsia="Times New Roman" w:cs="Times New Roman"/>
          <w:snapToGrid w:val="0"/>
          <w:color w:val="000000"/>
          <w:szCs w:val="24"/>
        </w:rPr>
      </w:pPr>
    </w:p>
    <w:p w:rsidR="00F11B5A" w:rsidRPr="003353E4" w:rsidP="00F11B5A" w14:paraId="04C113F9" w14:textId="77777777">
      <w:pPr>
        <w:widowControl w:val="0"/>
        <w:autoSpaceDE w:val="0"/>
        <w:autoSpaceDN w:val="0"/>
        <w:adjustRightInd w:val="0"/>
        <w:spacing w:line="240" w:lineRule="auto"/>
        <w:rPr>
          <w:rFonts w:eastAsia="Times New Roman" w:cs="Times New Roman"/>
          <w:b/>
          <w:szCs w:val="24"/>
          <w:u w:val="single"/>
        </w:rPr>
      </w:pPr>
      <w:r w:rsidRPr="003353E4">
        <w:rPr>
          <w:rFonts w:eastAsia="Times New Roman" w:cs="Times New Roman"/>
          <w:b/>
          <w:szCs w:val="24"/>
        </w:rPr>
        <w:t>9.  Provision of Payments to Respondents</w:t>
      </w:r>
    </w:p>
    <w:p w:rsidR="00F11B5A" w:rsidRPr="003353E4" w:rsidP="00F11B5A" w14:paraId="7E27E250" w14:textId="77777777">
      <w:pPr>
        <w:spacing w:line="240" w:lineRule="auto"/>
        <w:rPr>
          <w:rFonts w:eastAsia="Times New Roman" w:cs="Times New Roman"/>
          <w:snapToGrid w:val="0"/>
          <w:color w:val="000000"/>
          <w:szCs w:val="24"/>
        </w:rPr>
      </w:pPr>
    </w:p>
    <w:p w:rsidR="00F11B5A" w:rsidRPr="003353E4" w:rsidP="00F11B5A" w14:paraId="5B22135E" w14:textId="04FECD98">
      <w:pPr>
        <w:widowControl w:val="0"/>
        <w:autoSpaceDE w:val="0"/>
        <w:autoSpaceDN w:val="0"/>
        <w:adjustRightInd w:val="0"/>
        <w:spacing w:line="240" w:lineRule="auto"/>
        <w:rPr>
          <w:rFonts w:eastAsia="Times New Roman" w:cs="Times New Roman"/>
          <w:b/>
          <w:color w:val="000000"/>
          <w:szCs w:val="24"/>
        </w:rPr>
      </w:pPr>
      <w:r w:rsidRPr="003353E4">
        <w:rPr>
          <w:rFonts w:eastAsia="Times New Roman" w:cs="Times New Roman"/>
          <w:color w:val="000000"/>
          <w:szCs w:val="24"/>
        </w:rPr>
        <w:t>N</w:t>
      </w:r>
      <w:r w:rsidRPr="003353E4">
        <w:rPr>
          <w:rFonts w:eastAsia="Times New Roman" w:cs="Times New Roman"/>
          <w:color w:val="000000"/>
          <w:szCs w:val="24"/>
        </w:rPr>
        <w:t>o payment</w:t>
      </w:r>
      <w:r w:rsidRPr="003353E4">
        <w:rPr>
          <w:rFonts w:eastAsia="Times New Roman" w:cs="Times New Roman"/>
          <w:color w:val="000000"/>
          <w:szCs w:val="24"/>
        </w:rPr>
        <w:t>s</w:t>
      </w:r>
      <w:r w:rsidRPr="003353E4">
        <w:rPr>
          <w:rFonts w:eastAsia="Times New Roman" w:cs="Times New Roman"/>
          <w:color w:val="000000"/>
          <w:szCs w:val="24"/>
        </w:rPr>
        <w:t xml:space="preserve"> or gift</w:t>
      </w:r>
      <w:r w:rsidRPr="003353E4">
        <w:rPr>
          <w:rFonts w:eastAsia="Times New Roman" w:cs="Times New Roman"/>
          <w:color w:val="000000"/>
          <w:szCs w:val="24"/>
        </w:rPr>
        <w:t>s are</w:t>
      </w:r>
      <w:r w:rsidRPr="003353E4">
        <w:rPr>
          <w:rFonts w:eastAsia="Times New Roman" w:cs="Times New Roman"/>
          <w:color w:val="000000"/>
          <w:szCs w:val="24"/>
        </w:rPr>
        <w:t xml:space="preserve"> made to respondents.</w:t>
      </w:r>
    </w:p>
    <w:p w:rsidR="00F11B5A" w:rsidRPr="003353E4" w:rsidP="00F11B5A" w14:paraId="583762D2" w14:textId="44FA854E">
      <w:pPr>
        <w:widowControl w:val="0"/>
        <w:autoSpaceDE w:val="0"/>
        <w:autoSpaceDN w:val="0"/>
        <w:adjustRightInd w:val="0"/>
        <w:spacing w:line="240" w:lineRule="auto"/>
        <w:rPr>
          <w:rFonts w:eastAsia="Times New Roman" w:cs="Times New Roman"/>
          <w:b/>
          <w:color w:val="000000"/>
          <w:szCs w:val="24"/>
        </w:rPr>
      </w:pPr>
    </w:p>
    <w:p w:rsidR="00F11B5A" w:rsidRPr="003353E4" w:rsidP="00F11B5A" w14:paraId="5FD6EF46" w14:textId="77777777">
      <w:pPr>
        <w:widowControl w:val="0"/>
        <w:autoSpaceDE w:val="0"/>
        <w:autoSpaceDN w:val="0"/>
        <w:adjustRightInd w:val="0"/>
        <w:spacing w:line="240" w:lineRule="auto"/>
        <w:rPr>
          <w:rFonts w:eastAsia="Times New Roman" w:cs="Times New Roman"/>
          <w:b/>
          <w:color w:val="000000"/>
          <w:szCs w:val="24"/>
          <w:u w:val="single"/>
        </w:rPr>
      </w:pPr>
      <w:r w:rsidRPr="003353E4">
        <w:rPr>
          <w:rFonts w:eastAsia="Times New Roman" w:cs="Times New Roman"/>
          <w:b/>
          <w:color w:val="000000"/>
          <w:szCs w:val="24"/>
        </w:rPr>
        <w:t>10.  Assurance of Confidentiality</w:t>
      </w:r>
    </w:p>
    <w:p w:rsidR="00F11B5A" w:rsidRPr="003353E4" w:rsidP="00F11B5A" w14:paraId="53A63A3A" w14:textId="77777777">
      <w:pPr>
        <w:spacing w:line="240" w:lineRule="auto"/>
        <w:rPr>
          <w:rFonts w:eastAsia="Times New Roman" w:cs="Times New Roman"/>
          <w:snapToGrid w:val="0"/>
          <w:color w:val="000000"/>
          <w:szCs w:val="24"/>
        </w:rPr>
      </w:pPr>
    </w:p>
    <w:p w:rsidR="00F11B5A" w:rsidRPr="003353E4" w:rsidP="00F11B5A" w14:paraId="5391C8C3" w14:textId="410D53A4">
      <w:pPr>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The Agencies have not provided, and are not required to provide, any assurance of confidentiality with respect to the information to be collected.</w:t>
      </w:r>
    </w:p>
    <w:p w:rsidR="00F11B5A" w:rsidRPr="003353E4" w:rsidP="00F11B5A" w14:paraId="1ACFB224" w14:textId="77777777">
      <w:pPr>
        <w:spacing w:line="240" w:lineRule="auto"/>
        <w:rPr>
          <w:rFonts w:eastAsia="Times New Roman" w:cs="Times New Roman"/>
          <w:snapToGrid w:val="0"/>
          <w:color w:val="000000"/>
          <w:szCs w:val="24"/>
        </w:rPr>
      </w:pPr>
    </w:p>
    <w:p w:rsidR="00F11B5A" w:rsidRPr="003353E4" w:rsidP="00F11B5A" w14:paraId="2CF1C5A1" w14:textId="77777777">
      <w:pPr>
        <w:widowControl w:val="0"/>
        <w:autoSpaceDE w:val="0"/>
        <w:autoSpaceDN w:val="0"/>
        <w:adjustRightInd w:val="0"/>
        <w:spacing w:line="240" w:lineRule="auto"/>
        <w:rPr>
          <w:rFonts w:eastAsia="Times New Roman" w:cs="Times New Roman"/>
          <w:b/>
          <w:color w:val="000000"/>
          <w:szCs w:val="24"/>
          <w:u w:val="single"/>
        </w:rPr>
      </w:pPr>
      <w:r w:rsidRPr="003353E4">
        <w:rPr>
          <w:rFonts w:eastAsia="Times New Roman" w:cs="Times New Roman"/>
          <w:b/>
          <w:color w:val="000000"/>
          <w:szCs w:val="24"/>
        </w:rPr>
        <w:t>11.  Questions of Sensitive Nature</w:t>
      </w:r>
    </w:p>
    <w:p w:rsidR="00F11B5A" w:rsidRPr="003353E4" w:rsidP="00F11B5A" w14:paraId="52376DF4" w14:textId="77777777">
      <w:pPr>
        <w:spacing w:line="240" w:lineRule="auto"/>
        <w:rPr>
          <w:rFonts w:eastAsia="Times New Roman" w:cs="Times New Roman"/>
          <w:snapToGrid w:val="0"/>
          <w:color w:val="000000"/>
          <w:szCs w:val="24"/>
        </w:rPr>
      </w:pPr>
    </w:p>
    <w:p w:rsidR="00F11B5A" w:rsidRPr="003353E4" w:rsidP="00F11B5A" w14:paraId="338219E2" w14:textId="77777777">
      <w:pPr>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There are no questions of a sensitive nature in this information collection.</w:t>
      </w:r>
    </w:p>
    <w:p w:rsidR="00F11B5A" w:rsidRPr="003353E4" w:rsidP="00F11B5A" w14:paraId="4E7F4360" w14:textId="18FF26A4">
      <w:pPr>
        <w:spacing w:line="240" w:lineRule="auto"/>
        <w:rPr>
          <w:rFonts w:eastAsia="Times New Roman" w:cs="Times New Roman"/>
          <w:snapToGrid w:val="0"/>
          <w:color w:val="000000"/>
          <w:szCs w:val="24"/>
        </w:rPr>
      </w:pPr>
    </w:p>
    <w:p w:rsidR="00F11B5A" w:rsidRPr="003353E4" w:rsidP="00F11B5A" w14:paraId="03488C3A" w14:textId="77777777">
      <w:pPr>
        <w:widowControl w:val="0"/>
        <w:autoSpaceDE w:val="0"/>
        <w:autoSpaceDN w:val="0"/>
        <w:adjustRightInd w:val="0"/>
        <w:spacing w:line="240" w:lineRule="auto"/>
        <w:rPr>
          <w:rFonts w:eastAsia="Times New Roman" w:cs="Times New Roman"/>
          <w:b/>
          <w:color w:val="000000"/>
          <w:szCs w:val="24"/>
          <w:u w:val="single"/>
        </w:rPr>
      </w:pPr>
      <w:r w:rsidRPr="003353E4">
        <w:rPr>
          <w:rFonts w:eastAsia="Times New Roman" w:cs="Times New Roman"/>
          <w:b/>
          <w:color w:val="000000"/>
          <w:szCs w:val="24"/>
        </w:rPr>
        <w:t>12.  Estimated Burden of Information Collection</w:t>
      </w:r>
    </w:p>
    <w:p w:rsidR="00F11B5A" w:rsidRPr="003353E4" w:rsidP="00F11B5A" w14:paraId="11383217" w14:textId="77777777">
      <w:pPr>
        <w:spacing w:line="240" w:lineRule="auto"/>
        <w:rPr>
          <w:rFonts w:eastAsia="Times New Roman" w:cs="Times New Roman"/>
          <w:snapToGrid w:val="0"/>
          <w:color w:val="000000"/>
          <w:szCs w:val="24"/>
        </w:rPr>
      </w:pPr>
    </w:p>
    <w:p w:rsidR="007F75A0" w:rsidRPr="003353E4" w:rsidP="007F75A0" w14:paraId="35216D45" w14:textId="13CC6992">
      <w:pPr>
        <w:spacing w:line="240" w:lineRule="auto"/>
        <w:rPr>
          <w:rFonts w:eastAsia="Times New Roman" w:cs="Times New Roman"/>
          <w:snapToGrid w:val="0"/>
          <w:color w:val="000000"/>
          <w:szCs w:val="24"/>
        </w:rPr>
      </w:pPr>
      <w:r w:rsidRPr="007809F6">
        <w:rPr>
          <w:rFonts w:eastAsia="Times New Roman" w:cs="Times New Roman"/>
          <w:snapToGrid w:val="0"/>
          <w:color w:val="000000"/>
          <w:szCs w:val="24"/>
        </w:rPr>
        <w:t>For the information collections described above, the general methodology is to compute the industry wide burden hours for participating states and AMCs and then assign a share of the burden hours to each of the Agencies for each information collection.</w:t>
      </w:r>
      <w:r>
        <w:rPr>
          <w:rFonts w:eastAsia="Times New Roman" w:cs="Times New Roman"/>
          <w:snapToGrid w:val="0"/>
          <w:color w:val="000000"/>
          <w:szCs w:val="24"/>
        </w:rPr>
        <w:t xml:space="preserve"> </w:t>
      </w:r>
      <w:r w:rsidRPr="00C278C5" w:rsidR="00A7674D">
        <w:rPr>
          <w:rFonts w:eastAsia="Calibri"/>
        </w:rPr>
        <w:t xml:space="preserve">As noted above, each of the Agencies’ AMC regulations contains reporting and recordkeeping requirements applying to participating states and to both federally regulated and non-federally regulated AMCs.  Unlike the insured depository institutions regulated by the OCC, FDIC, and Board, none of FHFA’s regulated entities owns or controls an AMC or, by law, could ever own or control an AMC.  Accordingly, the Agencies have agreed that responsibility for the burdens arising from reporting and recordkeeping requirements imposed upon federally regulated AMCs are to be split evenly among the OCC, FDIC, and Board and that FHFA will not include those burdens in its totals.  </w:t>
      </w:r>
    </w:p>
    <w:p w:rsidR="007F75A0" w:rsidRPr="003353E4" w:rsidP="007F75A0" w14:paraId="45345CCB" w14:textId="77777777">
      <w:pPr>
        <w:spacing w:line="240" w:lineRule="auto"/>
        <w:rPr>
          <w:rFonts w:eastAsia="Times New Roman" w:cs="Times New Roman"/>
          <w:snapToGrid w:val="0"/>
          <w:color w:val="000000"/>
          <w:szCs w:val="24"/>
        </w:rPr>
      </w:pPr>
    </w:p>
    <w:p w:rsidR="00A07CA2" w:rsidRPr="00A07CA2" w:rsidP="00A07CA2" w14:paraId="07BECB5F" w14:textId="77777777">
      <w:pPr>
        <w:spacing w:line="240" w:lineRule="auto"/>
        <w:rPr>
          <w:rFonts w:eastAsia="Times New Roman" w:cs="Times New Roman"/>
          <w:snapToGrid w:val="0"/>
          <w:color w:val="000000"/>
          <w:szCs w:val="24"/>
        </w:rPr>
      </w:pPr>
      <w:r w:rsidRPr="00A07CA2">
        <w:rPr>
          <w:rFonts w:eastAsia="Times New Roman" w:cs="Times New Roman"/>
          <w:snapToGrid w:val="0"/>
          <w:color w:val="000000"/>
          <w:szCs w:val="24"/>
        </w:rPr>
        <w:t xml:space="preserve">The four Agencies have agreed to split the total burdens imposed upon participating states and upon non-federally regulated AMCs among them.  For IC #1 and #3, which relates to disclosure </w:t>
      </w:r>
      <w:r w:rsidRPr="00A07CA2">
        <w:rPr>
          <w:rFonts w:eastAsia="Times New Roman" w:cs="Times New Roman"/>
          <w:snapToGrid w:val="0"/>
          <w:color w:val="000000"/>
          <w:szCs w:val="24"/>
        </w:rPr>
        <w:t xml:space="preserve">requirements imposed upon state regulated AMCs the OCC, FDIC, and the Board are each responsible for 30 percent of the total burden, while FHFA is responsible only for 10 percent of the total burden.  For IC #2, which relates to reporting and recordkeeping requirements imposed upon participating states, each agency is responsible for 25 percent of the total estimated burden.  </w:t>
      </w:r>
    </w:p>
    <w:p w:rsidR="00A07CA2" w:rsidP="00A07CA2" w14:paraId="28DE6F0B" w14:textId="77777777">
      <w:pPr>
        <w:spacing w:line="240" w:lineRule="auto"/>
        <w:rPr>
          <w:rFonts w:eastAsia="Times New Roman" w:cs="Times New Roman"/>
          <w:snapToGrid w:val="0"/>
          <w:color w:val="000000"/>
          <w:szCs w:val="24"/>
        </w:rPr>
      </w:pPr>
    </w:p>
    <w:p w:rsidR="00D07198" w:rsidP="00A07CA2" w14:paraId="7B3E71E8" w14:textId="47FBFB24">
      <w:pPr>
        <w:spacing w:line="240" w:lineRule="auto"/>
        <w:rPr>
          <w:rFonts w:eastAsia="Times New Roman" w:cs="Times New Roman"/>
          <w:snapToGrid w:val="0"/>
          <w:color w:val="000000"/>
          <w:szCs w:val="24"/>
        </w:rPr>
      </w:pPr>
      <w:r w:rsidRPr="00A07CA2">
        <w:rPr>
          <w:rFonts w:eastAsia="Times New Roman" w:cs="Times New Roman"/>
          <w:snapToGrid w:val="0"/>
          <w:color w:val="000000"/>
          <w:szCs w:val="24"/>
        </w:rPr>
        <w:t>The Agencies estimate the total annualized hour burden placed on respondents by the information collection in the joint AMC regulations to be 6,651 hours.  FHFA estimates its share of the hour burden to be 678 hours.  The calculations on which those estimations are based are described below.</w:t>
      </w:r>
    </w:p>
    <w:p w:rsidR="00A07CA2" w:rsidP="00A07CA2" w14:paraId="7DB8C630" w14:textId="77777777">
      <w:pPr>
        <w:spacing w:line="240" w:lineRule="auto"/>
        <w:rPr>
          <w:rFonts w:eastAsia="Times New Roman" w:cs="Times New Roman"/>
          <w:snapToGrid w:val="0"/>
          <w:color w:val="000000"/>
          <w:szCs w:val="24"/>
        </w:rPr>
      </w:pPr>
    </w:p>
    <w:p w:rsidR="00D07198" w:rsidRPr="003353E4" w:rsidP="00D07198" w14:paraId="3B18BC4A" w14:textId="77777777">
      <w:pPr>
        <w:spacing w:line="240" w:lineRule="auto"/>
        <w:ind w:left="360"/>
        <w:contextualSpacing/>
        <w:rPr>
          <w:rFonts w:eastAsia="Times New Roman" w:cs="Times New Roman"/>
          <w:b/>
          <w:i/>
          <w:szCs w:val="24"/>
        </w:rPr>
      </w:pPr>
      <w:r w:rsidRPr="003353E4">
        <w:rPr>
          <w:rFonts w:eastAsia="Times New Roman" w:cs="Times New Roman"/>
          <w:b/>
          <w:i/>
          <w:szCs w:val="24"/>
        </w:rPr>
        <w:t>IC #</w:t>
      </w:r>
      <w:r>
        <w:rPr>
          <w:rFonts w:eastAsia="Times New Roman" w:cs="Times New Roman"/>
          <w:b/>
          <w:i/>
          <w:szCs w:val="24"/>
        </w:rPr>
        <w:t>1</w:t>
      </w:r>
      <w:r w:rsidRPr="003353E4">
        <w:rPr>
          <w:rFonts w:eastAsia="Times New Roman" w:cs="Times New Roman"/>
          <w:b/>
          <w:i/>
          <w:szCs w:val="24"/>
        </w:rPr>
        <w:t xml:space="preserve"> </w:t>
      </w:r>
      <w:r w:rsidRPr="003353E4">
        <w:rPr>
          <w:b/>
          <w:i/>
        </w:rPr>
        <w:t>Written Notice of Appraiser Removal From Network or Panel</w:t>
      </w:r>
    </w:p>
    <w:p w:rsidR="00D07198" w:rsidRPr="003353E4" w:rsidP="00D07198" w14:paraId="3EFC2C3D" w14:textId="77777777">
      <w:pPr>
        <w:spacing w:line="240" w:lineRule="auto"/>
        <w:rPr>
          <w:rFonts w:eastAsia="Times New Roman" w:cs="Times New Roman"/>
          <w:szCs w:val="24"/>
        </w:rPr>
      </w:pPr>
    </w:p>
    <w:p w:rsidR="0081397D" w:rsidRPr="0081397D" w:rsidP="0081397D" w14:paraId="2C0972C8" w14:textId="3032C2AB">
      <w:pPr>
        <w:spacing w:line="240" w:lineRule="auto"/>
        <w:rPr>
          <w:rFonts w:eastAsia="Times New Roman" w:cs="Times New Roman"/>
          <w:snapToGrid w:val="0"/>
          <w:color w:val="000000"/>
          <w:szCs w:val="24"/>
        </w:rPr>
      </w:pPr>
      <w:r w:rsidRPr="0081397D">
        <w:rPr>
          <w:rFonts w:eastAsia="Times New Roman" w:cs="Times New Roman"/>
          <w:snapToGrid w:val="0"/>
          <w:color w:val="000000"/>
          <w:szCs w:val="24"/>
        </w:rPr>
        <w:t>State-regulated AMCs disclose written notices sent or received regarding appraiser removal from the AMC’s network or panel.  The Agencies estimate that the total number of annual respondents for this information collection is 28,270, with one notice sent per respondent.  The estimated number of respondents per year allocated to each of the four agencies (FDIC, FRB, OCC, and FHFA) is calculated by splitting the total estimated number of respondents using a ratio of 3:3:3:1.  Thus, the estimated number of annual respondents attributable to FHFA for this IC is 2,872 (28,270 notices x 10% = 2,827).  FHFA estimates an average of 5 minutes per response.  The total hour burden attributable to FHFA is 236 (2,827 notices x 5 minutes = 236, after rounding up).</w:t>
      </w:r>
    </w:p>
    <w:p w:rsidR="00D07198" w:rsidRPr="003353E4" w:rsidP="00D07198" w14:paraId="2938CF2F" w14:textId="77777777">
      <w:pPr>
        <w:spacing w:line="240" w:lineRule="auto"/>
        <w:ind w:left="1080"/>
        <w:rPr>
          <w:rFonts w:eastAsia="Times New Roman" w:cs="Times New Roman"/>
          <w:snapToGrid w:val="0"/>
          <w:color w:val="000000"/>
          <w:szCs w:val="24"/>
        </w:rPr>
      </w:pPr>
    </w:p>
    <w:p w:rsidR="00D07198" w:rsidRPr="003353E4" w:rsidP="00D07198" w14:paraId="037106AF" w14:textId="77777777">
      <w:pPr>
        <w:numPr>
          <w:ilvl w:val="1"/>
          <w:numId w:val="5"/>
        </w:numPr>
        <w:spacing w:line="240" w:lineRule="auto"/>
        <w:rPr>
          <w:rFonts w:eastAsia="Times New Roman" w:cs="Times New Roman"/>
          <w:snapToGrid w:val="0"/>
          <w:color w:val="000000"/>
          <w:szCs w:val="24"/>
        </w:rPr>
      </w:pPr>
      <w:r>
        <w:rPr>
          <w:rFonts w:eastAsia="Times New Roman" w:cs="Times New Roman"/>
          <w:snapToGrid w:val="0"/>
          <w:color w:val="000000"/>
          <w:szCs w:val="24"/>
        </w:rPr>
        <w:t>Total estimated n</w:t>
      </w:r>
      <w:r w:rsidRPr="003353E4">
        <w:rPr>
          <w:rFonts w:eastAsia="Times New Roman" w:cs="Times New Roman"/>
          <w:snapToGrid w:val="0"/>
          <w:color w:val="000000"/>
          <w:szCs w:val="24"/>
        </w:rPr>
        <w:t xml:space="preserve">umber of </w:t>
      </w:r>
      <w:r>
        <w:rPr>
          <w:rFonts w:eastAsia="Times New Roman" w:cs="Times New Roman"/>
          <w:snapToGrid w:val="0"/>
          <w:color w:val="000000"/>
          <w:szCs w:val="24"/>
        </w:rPr>
        <w:t>respondents</w:t>
      </w:r>
      <w:r w:rsidRPr="003353E4">
        <w:rPr>
          <w:rFonts w:eastAsia="Times New Roman" w:cs="Times New Roman"/>
          <w:snapToGrid w:val="0"/>
          <w:color w:val="000000"/>
          <w:szCs w:val="24"/>
        </w:rPr>
        <w:t xml:space="preserve">:  </w:t>
      </w:r>
      <w:r>
        <w:rPr>
          <w:rFonts w:eastAsia="Times New Roman" w:cs="Times New Roman"/>
          <w:snapToGrid w:val="0"/>
          <w:color w:val="000000"/>
          <w:szCs w:val="24"/>
        </w:rPr>
        <w:t>28,270</w:t>
      </w:r>
    </w:p>
    <w:p w:rsidR="00D07198" w:rsidRPr="003353E4" w:rsidP="00D07198" w14:paraId="221A1B6D" w14:textId="77777777">
      <w:pPr>
        <w:numPr>
          <w:ilvl w:val="1"/>
          <w:numId w:val="5"/>
        </w:numPr>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Removal notices sent or received by AMC per appraiser:  1</w:t>
      </w:r>
    </w:p>
    <w:p w:rsidR="00D07198" w:rsidP="00D07198" w14:paraId="5E9AF2BF" w14:textId="77777777">
      <w:pPr>
        <w:numPr>
          <w:ilvl w:val="1"/>
          <w:numId w:val="5"/>
        </w:numPr>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 xml:space="preserve">Total removal notices sent or received by AMCs:  </w:t>
      </w:r>
      <w:r>
        <w:rPr>
          <w:rFonts w:eastAsia="Times New Roman" w:cs="Times New Roman"/>
          <w:snapToGrid w:val="0"/>
          <w:color w:val="000000"/>
          <w:szCs w:val="24"/>
        </w:rPr>
        <w:t>28,270</w:t>
      </w:r>
    </w:p>
    <w:p w:rsidR="00D07198" w:rsidRPr="003353E4" w:rsidP="00D07198" w14:paraId="795F7488" w14:textId="2662F396">
      <w:pPr>
        <w:numPr>
          <w:ilvl w:val="1"/>
          <w:numId w:val="5"/>
        </w:numPr>
        <w:spacing w:line="240" w:lineRule="auto"/>
        <w:rPr>
          <w:rFonts w:eastAsia="Times New Roman" w:cs="Times New Roman"/>
          <w:snapToGrid w:val="0"/>
          <w:color w:val="000000"/>
          <w:szCs w:val="24"/>
        </w:rPr>
      </w:pPr>
      <w:r>
        <w:rPr>
          <w:rFonts w:eastAsia="Times New Roman" w:cs="Times New Roman"/>
          <w:snapToGrid w:val="0"/>
          <w:color w:val="000000"/>
          <w:szCs w:val="24"/>
        </w:rPr>
        <w:t>Removal notices attributable to FHFA: 2,</w:t>
      </w:r>
      <w:r w:rsidR="007436B0">
        <w:rPr>
          <w:rFonts w:eastAsia="Times New Roman" w:cs="Times New Roman"/>
          <w:snapToGrid w:val="0"/>
          <w:color w:val="000000"/>
          <w:szCs w:val="24"/>
        </w:rPr>
        <w:t>827</w:t>
      </w:r>
    </w:p>
    <w:p w:rsidR="00D07198" w:rsidP="00D07198" w14:paraId="5E067BDE" w14:textId="44E96258">
      <w:pPr>
        <w:pStyle w:val="ListParagraph"/>
        <w:numPr>
          <w:ilvl w:val="1"/>
          <w:numId w:val="5"/>
        </w:numPr>
        <w:spacing w:line="240" w:lineRule="auto"/>
      </w:pPr>
      <w:r w:rsidRPr="003353E4">
        <w:rPr>
          <w:snapToGrid w:val="0"/>
        </w:rPr>
        <w:t xml:space="preserve">Reporting time per notice:  </w:t>
      </w:r>
      <w:r>
        <w:rPr>
          <w:snapToGrid w:val="0"/>
        </w:rPr>
        <w:t>5 minutes</w:t>
      </w:r>
    </w:p>
    <w:p w:rsidR="00D07198" w:rsidP="00D07198" w14:paraId="39CAD43B" w14:textId="77777777">
      <w:pPr>
        <w:pStyle w:val="ListParagraph"/>
        <w:numPr>
          <w:ilvl w:val="1"/>
          <w:numId w:val="5"/>
        </w:numPr>
        <w:spacing w:line="240" w:lineRule="auto"/>
      </w:pPr>
      <w:r w:rsidRPr="003353E4">
        <w:t xml:space="preserve">Total hours attributable to </w:t>
      </w:r>
      <w:r>
        <w:t>FHFA: 236</w:t>
      </w:r>
    </w:p>
    <w:p w:rsidR="00D07198" w:rsidP="00D07198" w14:paraId="353CBA72" w14:textId="737300C9">
      <w:pPr>
        <w:pStyle w:val="ListParagraph"/>
        <w:numPr>
          <w:ilvl w:val="1"/>
          <w:numId w:val="5"/>
        </w:numPr>
        <w:spacing w:line="240" w:lineRule="auto"/>
      </w:pPr>
      <w:r>
        <w:t>Hourly rate</w:t>
      </w:r>
      <w:r w:rsidR="007E1504">
        <w:t xml:space="preserve">: </w:t>
      </w:r>
      <w:r w:rsidR="00436EF0">
        <w:t>$</w:t>
      </w:r>
      <w:r w:rsidR="007E1504">
        <w:t>97.96</w:t>
      </w:r>
    </w:p>
    <w:p w:rsidR="00D07198" w:rsidRPr="003353E4" w:rsidP="00D07198" w14:paraId="75C9672D" w14:textId="072ED6F9">
      <w:pPr>
        <w:pStyle w:val="ListParagraph"/>
        <w:numPr>
          <w:ilvl w:val="1"/>
          <w:numId w:val="5"/>
        </w:numPr>
        <w:spacing w:line="240" w:lineRule="auto"/>
      </w:pPr>
      <w:r>
        <w:t xml:space="preserve">Total </w:t>
      </w:r>
      <w:r w:rsidR="00B44B10">
        <w:t>cost</w:t>
      </w:r>
      <w:r>
        <w:t xml:space="preserve"> attributable to FHFA:</w:t>
      </w:r>
      <w:r w:rsidR="007E1504">
        <w:t xml:space="preserve"> </w:t>
      </w:r>
      <w:r w:rsidR="00436EF0">
        <w:t>$</w:t>
      </w:r>
      <w:r w:rsidR="007E1504">
        <w:t>23,11</w:t>
      </w:r>
      <w:r w:rsidR="00436EF0">
        <w:t>9</w:t>
      </w:r>
    </w:p>
    <w:p w:rsidR="00D07198" w:rsidRPr="003353E4" w:rsidP="00D07198" w14:paraId="4A88194A" w14:textId="77777777">
      <w:pPr>
        <w:spacing w:line="240" w:lineRule="auto"/>
      </w:pPr>
    </w:p>
    <w:p w:rsidR="0084050F" w:rsidRPr="003353E4" w:rsidP="00F11B5A" w14:paraId="46AFB02B" w14:textId="599F3207">
      <w:pPr>
        <w:spacing w:line="240" w:lineRule="auto"/>
        <w:rPr>
          <w:rFonts w:eastAsia="Times New Roman" w:cs="Times New Roman"/>
          <w:snapToGrid w:val="0"/>
          <w:color w:val="000000"/>
          <w:szCs w:val="24"/>
        </w:rPr>
      </w:pPr>
    </w:p>
    <w:p w:rsidR="00F11B5A" w:rsidRPr="003353E4" w:rsidP="00515266" w14:paraId="38448B71" w14:textId="68ABB148">
      <w:pPr>
        <w:spacing w:line="240" w:lineRule="auto"/>
        <w:ind w:left="360"/>
        <w:contextualSpacing/>
        <w:rPr>
          <w:rFonts w:eastAsia="Times New Roman" w:cs="Times New Roman"/>
          <w:b/>
          <w:i/>
          <w:szCs w:val="24"/>
        </w:rPr>
      </w:pPr>
      <w:r w:rsidRPr="003353E4">
        <w:rPr>
          <w:rFonts w:eastAsia="Times New Roman" w:cs="Times New Roman"/>
          <w:b/>
          <w:i/>
          <w:szCs w:val="24"/>
        </w:rPr>
        <w:t>IC #</w:t>
      </w:r>
      <w:r w:rsidR="003B5474">
        <w:rPr>
          <w:rFonts w:eastAsia="Times New Roman" w:cs="Times New Roman"/>
          <w:b/>
          <w:i/>
          <w:szCs w:val="24"/>
        </w:rPr>
        <w:t>2</w:t>
      </w:r>
      <w:r w:rsidRPr="003353E4">
        <w:rPr>
          <w:rFonts w:eastAsia="Times New Roman" w:cs="Times New Roman"/>
          <w:b/>
          <w:i/>
          <w:szCs w:val="24"/>
        </w:rPr>
        <w:t xml:space="preserve"> </w:t>
      </w:r>
      <w:r w:rsidR="00F26683">
        <w:rPr>
          <w:rFonts w:eastAsia="Times New Roman" w:cs="Times New Roman"/>
          <w:b/>
          <w:i/>
          <w:szCs w:val="24"/>
        </w:rPr>
        <w:t>State Recordkeeping Requirements</w:t>
      </w:r>
    </w:p>
    <w:p w:rsidR="00F11B5A" w:rsidRPr="003353E4" w:rsidP="00F11B5A" w14:paraId="38A632FC" w14:textId="77777777">
      <w:pPr>
        <w:spacing w:line="240" w:lineRule="auto"/>
        <w:rPr>
          <w:rFonts w:eastAsia="Times New Roman" w:cs="Times New Roman"/>
          <w:szCs w:val="24"/>
        </w:rPr>
      </w:pPr>
    </w:p>
    <w:p w:rsidR="00F11B5A" w:rsidRPr="003353E4" w:rsidP="00F11B5A" w14:paraId="5AFECB95" w14:textId="1A98682A">
      <w:pPr>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States without a current AMC certifying and licensing program that elect to establish such a program as a result of the rule maintain records related to the rule’s substantive requirements.</w:t>
      </w:r>
      <w:r w:rsidRPr="003353E4" w:rsidR="00F45D72">
        <w:rPr>
          <w:rFonts w:eastAsia="Times New Roman" w:cs="Times New Roman"/>
          <w:snapToGrid w:val="0"/>
          <w:color w:val="000000"/>
          <w:szCs w:val="24"/>
        </w:rPr>
        <w:t xml:space="preserve">  According to the </w:t>
      </w:r>
      <w:r w:rsidRPr="003353E4" w:rsidR="00237B38">
        <w:rPr>
          <w:rFonts w:eastAsia="Times New Roman" w:cs="Times New Roman"/>
          <w:snapToGrid w:val="0"/>
          <w:color w:val="000000"/>
          <w:szCs w:val="24"/>
        </w:rPr>
        <w:t>ASC</w:t>
      </w:r>
      <w:r w:rsidRPr="003353E4" w:rsidR="00F45D72">
        <w:rPr>
          <w:rFonts w:eastAsia="Times New Roman" w:cs="Times New Roman"/>
          <w:snapToGrid w:val="0"/>
          <w:color w:val="000000"/>
          <w:szCs w:val="24"/>
        </w:rPr>
        <w:t xml:space="preserve">, there </w:t>
      </w:r>
      <w:r w:rsidR="003B5474">
        <w:rPr>
          <w:rFonts w:eastAsia="Times New Roman" w:cs="Times New Roman"/>
          <w:snapToGrid w:val="0"/>
          <w:color w:val="000000"/>
          <w:szCs w:val="24"/>
        </w:rPr>
        <w:t>are</w:t>
      </w:r>
      <w:r w:rsidRPr="003353E4" w:rsidR="00F45D72">
        <w:rPr>
          <w:rFonts w:eastAsia="Times New Roman" w:cs="Times New Roman"/>
          <w:snapToGrid w:val="0"/>
          <w:color w:val="000000"/>
          <w:szCs w:val="24"/>
        </w:rPr>
        <w:t xml:space="preserve"> </w:t>
      </w:r>
      <w:r w:rsidR="003B5474">
        <w:rPr>
          <w:rFonts w:eastAsia="Times New Roman" w:cs="Times New Roman"/>
          <w:snapToGrid w:val="0"/>
          <w:color w:val="000000"/>
          <w:szCs w:val="24"/>
        </w:rPr>
        <w:t>5</w:t>
      </w:r>
      <w:r w:rsidRPr="003353E4" w:rsidR="00F45D72">
        <w:rPr>
          <w:rFonts w:eastAsia="Times New Roman" w:cs="Times New Roman"/>
          <w:snapToGrid w:val="0"/>
          <w:color w:val="000000"/>
          <w:szCs w:val="24"/>
        </w:rPr>
        <w:t xml:space="preserve"> states that </w:t>
      </w:r>
      <w:r w:rsidR="003B5474">
        <w:rPr>
          <w:rFonts w:eastAsia="Times New Roman" w:cs="Times New Roman"/>
          <w:snapToGrid w:val="0"/>
          <w:color w:val="000000"/>
          <w:szCs w:val="24"/>
        </w:rPr>
        <w:t xml:space="preserve">do not have an AMC program. </w:t>
      </w:r>
      <w:r w:rsidR="00984523">
        <w:rPr>
          <w:rFonts w:eastAsia="Times New Roman" w:cs="Times New Roman"/>
          <w:snapToGrid w:val="0"/>
          <w:color w:val="000000"/>
          <w:szCs w:val="24"/>
        </w:rPr>
        <w:t>The estimated number of respondents</w:t>
      </w:r>
      <w:r w:rsidR="008D0600">
        <w:rPr>
          <w:rFonts w:eastAsia="Times New Roman" w:cs="Times New Roman"/>
          <w:snapToGrid w:val="0"/>
          <w:color w:val="000000"/>
          <w:szCs w:val="24"/>
        </w:rPr>
        <w:t xml:space="preserve"> is split evenly among the four agencies, which amounts to </w:t>
      </w:r>
      <w:r w:rsidR="0044627A">
        <w:rPr>
          <w:rFonts w:eastAsia="Times New Roman" w:cs="Times New Roman"/>
          <w:snapToGrid w:val="0"/>
          <w:color w:val="000000"/>
          <w:szCs w:val="24"/>
        </w:rPr>
        <w:t>one respondent each, after rounding up to a whole number.</w:t>
      </w:r>
      <w:r w:rsidR="0081397D">
        <w:rPr>
          <w:rFonts w:eastAsia="Times New Roman" w:cs="Times New Roman"/>
          <w:snapToGrid w:val="0"/>
          <w:color w:val="000000"/>
          <w:szCs w:val="24"/>
        </w:rPr>
        <w:t xml:space="preserve"> </w:t>
      </w:r>
      <w:r w:rsidR="0044627A">
        <w:rPr>
          <w:rFonts w:eastAsia="Times New Roman" w:cs="Times New Roman"/>
          <w:snapToGrid w:val="0"/>
          <w:color w:val="000000"/>
          <w:szCs w:val="24"/>
        </w:rPr>
        <w:t xml:space="preserve"> </w:t>
      </w:r>
      <w:r w:rsidR="0081397D">
        <w:t xml:space="preserve">FHFA estimates 40 hours per recordkeeping activity, which is unchanged from the previous ICR. </w:t>
      </w:r>
      <w:r w:rsidRPr="00C2109E" w:rsidR="0081397D">
        <w:t xml:space="preserve"> </w:t>
      </w:r>
      <w:r w:rsidR="00240EE6">
        <w:rPr>
          <w:rFonts w:eastAsia="Times New Roman" w:cs="Times New Roman"/>
          <w:snapToGrid w:val="0"/>
          <w:color w:val="000000"/>
          <w:szCs w:val="24"/>
        </w:rPr>
        <w:t xml:space="preserve">  The total hour burden attributable to FHFA is 40</w:t>
      </w:r>
      <w:r w:rsidR="0081397D">
        <w:rPr>
          <w:rFonts w:eastAsia="Times New Roman" w:cs="Times New Roman"/>
          <w:snapToGrid w:val="0"/>
          <w:color w:val="000000"/>
          <w:szCs w:val="24"/>
        </w:rPr>
        <w:t xml:space="preserve"> (40 hours x 1 respondent)</w:t>
      </w:r>
      <w:r w:rsidR="00240EE6">
        <w:rPr>
          <w:rFonts w:eastAsia="Times New Roman" w:cs="Times New Roman"/>
          <w:snapToGrid w:val="0"/>
          <w:color w:val="000000"/>
          <w:szCs w:val="24"/>
        </w:rPr>
        <w:t>.</w:t>
      </w:r>
    </w:p>
    <w:p w:rsidR="00F11B5A" w:rsidRPr="003353E4" w:rsidP="00F11B5A" w14:paraId="7BD4EB64" w14:textId="77777777">
      <w:pPr>
        <w:spacing w:line="240" w:lineRule="auto"/>
        <w:rPr>
          <w:rFonts w:eastAsia="Times New Roman" w:cs="Times New Roman"/>
          <w:snapToGrid w:val="0"/>
          <w:color w:val="000000"/>
          <w:szCs w:val="24"/>
        </w:rPr>
      </w:pPr>
    </w:p>
    <w:p w:rsidR="00F11B5A" w:rsidRPr="003353E4" w:rsidP="00563F04" w14:paraId="32575A7C" w14:textId="77777777">
      <w:pPr>
        <w:numPr>
          <w:ilvl w:val="0"/>
          <w:numId w:val="3"/>
        </w:numPr>
        <w:spacing w:line="240" w:lineRule="auto"/>
        <w:rPr>
          <w:rFonts w:eastAsia="Times New Roman" w:cs="Times New Roman"/>
          <w:snapToGrid w:val="0"/>
          <w:color w:val="000000"/>
          <w:szCs w:val="24"/>
        </w:rPr>
      </w:pPr>
      <w:r w:rsidRPr="003353E4">
        <w:rPr>
          <w:rFonts w:eastAsia="Times New Roman" w:cs="Times New Roman"/>
          <w:snapToGrid w:val="0"/>
          <w:color w:val="000000"/>
          <w:szCs w:val="24"/>
          <w:u w:val="single"/>
        </w:rPr>
        <w:t>Attributable to all Agencies combined</w:t>
      </w:r>
      <w:r w:rsidRPr="003353E4">
        <w:rPr>
          <w:rFonts w:eastAsia="Times New Roman" w:cs="Times New Roman"/>
          <w:snapToGrid w:val="0"/>
          <w:color w:val="000000"/>
          <w:szCs w:val="24"/>
        </w:rPr>
        <w:t>:</w:t>
      </w:r>
    </w:p>
    <w:p w:rsidR="00F11B5A" w:rsidRPr="003353E4" w:rsidP="00563F04" w14:paraId="5C3703F6" w14:textId="2116B1A3">
      <w:pPr>
        <w:numPr>
          <w:ilvl w:val="1"/>
          <w:numId w:val="3"/>
        </w:numPr>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 xml:space="preserve">Number of </w:t>
      </w:r>
      <w:r w:rsidR="000359E1">
        <w:rPr>
          <w:rFonts w:eastAsia="Times New Roman" w:cs="Times New Roman"/>
          <w:snapToGrid w:val="0"/>
          <w:color w:val="000000"/>
          <w:szCs w:val="24"/>
        </w:rPr>
        <w:t>s</w:t>
      </w:r>
      <w:r w:rsidRPr="003353E4">
        <w:rPr>
          <w:rFonts w:eastAsia="Times New Roman" w:cs="Times New Roman"/>
          <w:snapToGrid w:val="0"/>
          <w:color w:val="000000"/>
          <w:szCs w:val="24"/>
        </w:rPr>
        <w:t xml:space="preserve">tates without current AMC certifying and </w:t>
      </w:r>
      <w:r w:rsidRPr="003353E4" w:rsidR="00106E82">
        <w:rPr>
          <w:rFonts w:eastAsia="Times New Roman" w:cs="Times New Roman"/>
          <w:snapToGrid w:val="0"/>
          <w:color w:val="000000"/>
          <w:szCs w:val="24"/>
        </w:rPr>
        <w:t xml:space="preserve">licensing programs:  </w:t>
      </w:r>
      <w:r w:rsidR="003B5474">
        <w:rPr>
          <w:rFonts w:eastAsia="Times New Roman" w:cs="Times New Roman"/>
          <w:snapToGrid w:val="0"/>
          <w:color w:val="000000"/>
          <w:szCs w:val="24"/>
        </w:rPr>
        <w:t>5</w:t>
      </w:r>
    </w:p>
    <w:p w:rsidR="00F11B5A" w:rsidRPr="003353E4" w:rsidP="00563F04" w14:paraId="459FE80E" w14:textId="6743EE0B">
      <w:pPr>
        <w:numPr>
          <w:ilvl w:val="1"/>
          <w:numId w:val="3"/>
        </w:numPr>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 xml:space="preserve">Recordkeeping activities per </w:t>
      </w:r>
      <w:r w:rsidR="000359E1">
        <w:rPr>
          <w:rFonts w:eastAsia="Times New Roman" w:cs="Times New Roman"/>
          <w:snapToGrid w:val="0"/>
          <w:color w:val="000000"/>
          <w:szCs w:val="24"/>
        </w:rPr>
        <w:t>s</w:t>
      </w:r>
      <w:r w:rsidRPr="003353E4">
        <w:rPr>
          <w:rFonts w:eastAsia="Times New Roman" w:cs="Times New Roman"/>
          <w:snapToGrid w:val="0"/>
          <w:color w:val="000000"/>
          <w:szCs w:val="24"/>
        </w:rPr>
        <w:t>tate:  1</w:t>
      </w:r>
    </w:p>
    <w:p w:rsidR="00F11B5A" w:rsidP="00563F04" w14:paraId="22964C4F" w14:textId="348F36FF">
      <w:pPr>
        <w:numPr>
          <w:ilvl w:val="1"/>
          <w:numId w:val="3"/>
        </w:numPr>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Tot</w:t>
      </w:r>
      <w:r w:rsidRPr="003353E4" w:rsidR="00106E82">
        <w:rPr>
          <w:rFonts w:eastAsia="Times New Roman" w:cs="Times New Roman"/>
          <w:snapToGrid w:val="0"/>
          <w:color w:val="000000"/>
          <w:szCs w:val="24"/>
        </w:rPr>
        <w:t xml:space="preserve">al recordkeeping activities:  </w:t>
      </w:r>
      <w:r w:rsidR="00864EAE">
        <w:rPr>
          <w:rFonts w:eastAsia="Times New Roman" w:cs="Times New Roman"/>
          <w:snapToGrid w:val="0"/>
          <w:color w:val="000000"/>
          <w:szCs w:val="24"/>
        </w:rPr>
        <w:t>5</w:t>
      </w:r>
    </w:p>
    <w:p w:rsidR="00864EAE" w:rsidRPr="003353E4" w:rsidP="00563F04" w14:paraId="6BC42EDD" w14:textId="0E46859E">
      <w:pPr>
        <w:numPr>
          <w:ilvl w:val="1"/>
          <w:numId w:val="3"/>
        </w:numPr>
        <w:spacing w:line="240" w:lineRule="auto"/>
        <w:rPr>
          <w:rFonts w:eastAsia="Times New Roman" w:cs="Times New Roman"/>
          <w:snapToGrid w:val="0"/>
          <w:color w:val="000000"/>
          <w:szCs w:val="24"/>
        </w:rPr>
      </w:pPr>
      <w:r>
        <w:rPr>
          <w:rFonts w:eastAsia="Times New Roman" w:cs="Times New Roman"/>
          <w:snapToGrid w:val="0"/>
          <w:color w:val="000000"/>
          <w:szCs w:val="24"/>
        </w:rPr>
        <w:t>Recordkeeping activities attributable to FHFA: 1</w:t>
      </w:r>
    </w:p>
    <w:p w:rsidR="00F11B5A" w:rsidRPr="003353E4" w:rsidP="00563F04" w14:paraId="7AFA49C3" w14:textId="77777777">
      <w:pPr>
        <w:numPr>
          <w:ilvl w:val="1"/>
          <w:numId w:val="3"/>
        </w:numPr>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Recordkeeping time per activity:  40 hours</w:t>
      </w:r>
    </w:p>
    <w:p w:rsidR="00F11B5A" w:rsidP="003353E4" w14:paraId="6EECC096" w14:textId="48F91AB2">
      <w:pPr>
        <w:numPr>
          <w:ilvl w:val="1"/>
          <w:numId w:val="3"/>
        </w:numPr>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Total hours attributabl</w:t>
      </w:r>
      <w:r w:rsidRPr="003353E4" w:rsidR="00106E82">
        <w:rPr>
          <w:rFonts w:eastAsia="Times New Roman" w:cs="Times New Roman"/>
          <w:snapToGrid w:val="0"/>
          <w:color w:val="000000"/>
          <w:szCs w:val="24"/>
        </w:rPr>
        <w:t xml:space="preserve">e to </w:t>
      </w:r>
      <w:r w:rsidR="008203F2">
        <w:rPr>
          <w:rFonts w:eastAsia="Times New Roman" w:cs="Times New Roman"/>
          <w:snapToGrid w:val="0"/>
          <w:color w:val="000000"/>
          <w:szCs w:val="24"/>
        </w:rPr>
        <w:t>FHFA</w:t>
      </w:r>
      <w:r w:rsidRPr="003353E4" w:rsidR="00106E82">
        <w:rPr>
          <w:rFonts w:eastAsia="Times New Roman" w:cs="Times New Roman"/>
          <w:snapToGrid w:val="0"/>
          <w:color w:val="000000"/>
          <w:szCs w:val="24"/>
        </w:rPr>
        <w:t xml:space="preserve">: </w:t>
      </w:r>
      <w:r w:rsidR="008203F2">
        <w:rPr>
          <w:rFonts w:eastAsia="Times New Roman" w:cs="Times New Roman"/>
          <w:snapToGrid w:val="0"/>
          <w:color w:val="000000"/>
          <w:szCs w:val="24"/>
        </w:rPr>
        <w:t>40</w:t>
      </w:r>
    </w:p>
    <w:p w:rsidR="008203F2" w:rsidP="003353E4" w14:paraId="029C9D3D" w14:textId="0E019ACE">
      <w:pPr>
        <w:numPr>
          <w:ilvl w:val="1"/>
          <w:numId w:val="3"/>
        </w:numPr>
        <w:spacing w:line="240" w:lineRule="auto"/>
        <w:rPr>
          <w:rFonts w:eastAsia="Times New Roman" w:cs="Times New Roman"/>
          <w:snapToGrid w:val="0"/>
          <w:color w:val="000000"/>
          <w:szCs w:val="24"/>
        </w:rPr>
      </w:pPr>
      <w:r>
        <w:rPr>
          <w:rFonts w:eastAsia="Times New Roman" w:cs="Times New Roman"/>
          <w:snapToGrid w:val="0"/>
          <w:color w:val="000000"/>
          <w:szCs w:val="24"/>
        </w:rPr>
        <w:t>Hourly rate:</w:t>
      </w:r>
      <w:r w:rsidR="00436EF0">
        <w:rPr>
          <w:rFonts w:eastAsia="Times New Roman" w:cs="Times New Roman"/>
          <w:snapToGrid w:val="0"/>
          <w:color w:val="000000"/>
          <w:szCs w:val="24"/>
        </w:rPr>
        <w:t xml:space="preserve"> $97.96</w:t>
      </w:r>
    </w:p>
    <w:p w:rsidR="008203F2" w:rsidRPr="003353E4" w:rsidP="003353E4" w14:paraId="5C7988E9" w14:textId="2C6E169D">
      <w:pPr>
        <w:numPr>
          <w:ilvl w:val="1"/>
          <w:numId w:val="3"/>
        </w:numPr>
        <w:spacing w:line="240" w:lineRule="auto"/>
        <w:rPr>
          <w:rFonts w:eastAsia="Times New Roman" w:cs="Times New Roman"/>
          <w:snapToGrid w:val="0"/>
          <w:color w:val="000000"/>
          <w:szCs w:val="24"/>
        </w:rPr>
      </w:pPr>
      <w:r>
        <w:rPr>
          <w:rFonts w:eastAsia="Times New Roman" w:cs="Times New Roman"/>
          <w:snapToGrid w:val="0"/>
          <w:color w:val="000000"/>
          <w:szCs w:val="24"/>
        </w:rPr>
        <w:t xml:space="preserve">Total costs attributable to FHFA: </w:t>
      </w:r>
      <w:r w:rsidR="00436EF0">
        <w:rPr>
          <w:rFonts w:eastAsia="Times New Roman" w:cs="Times New Roman"/>
          <w:snapToGrid w:val="0"/>
          <w:color w:val="000000"/>
          <w:szCs w:val="24"/>
        </w:rPr>
        <w:t>$3,918</w:t>
      </w:r>
    </w:p>
    <w:p w:rsidR="00F11B5A" w:rsidRPr="003353E4" w:rsidP="00F11B5A" w14:paraId="0BA53959" w14:textId="77777777">
      <w:pPr>
        <w:spacing w:line="240" w:lineRule="auto"/>
        <w:ind w:left="360"/>
        <w:rPr>
          <w:rFonts w:eastAsia="Times New Roman" w:cs="Times New Roman"/>
          <w:snapToGrid w:val="0"/>
          <w:color w:val="000000"/>
          <w:szCs w:val="24"/>
        </w:rPr>
      </w:pPr>
    </w:p>
    <w:p w:rsidR="0084050F" w:rsidRPr="003353E4" w:rsidP="00F11B5A" w14:paraId="637E54D7" w14:textId="64916118">
      <w:pPr>
        <w:spacing w:line="240" w:lineRule="auto"/>
        <w:rPr>
          <w:rFonts w:eastAsia="Times New Roman" w:cs="Times New Roman"/>
          <w:snapToGrid w:val="0"/>
          <w:color w:val="000000"/>
          <w:szCs w:val="24"/>
        </w:rPr>
      </w:pPr>
    </w:p>
    <w:p w:rsidR="00F11B5A" w:rsidRPr="003353E4" w:rsidP="00515266" w14:paraId="048FCDE9" w14:textId="049A1C96">
      <w:pPr>
        <w:spacing w:line="240" w:lineRule="auto"/>
        <w:ind w:left="360"/>
        <w:contextualSpacing/>
        <w:rPr>
          <w:rFonts w:eastAsia="Times New Roman" w:cs="Times New Roman"/>
          <w:b/>
          <w:iCs/>
          <w:szCs w:val="24"/>
        </w:rPr>
      </w:pPr>
      <w:r w:rsidRPr="003353E4">
        <w:rPr>
          <w:rFonts w:eastAsia="Times New Roman" w:cs="Times New Roman"/>
          <w:b/>
          <w:i/>
          <w:szCs w:val="24"/>
        </w:rPr>
        <w:t>IC #</w:t>
      </w:r>
      <w:r w:rsidR="003B5474">
        <w:rPr>
          <w:rFonts w:eastAsia="Times New Roman" w:cs="Times New Roman"/>
          <w:b/>
          <w:i/>
          <w:szCs w:val="24"/>
        </w:rPr>
        <w:t>3</w:t>
      </w:r>
      <w:r w:rsidRPr="003353E4">
        <w:rPr>
          <w:rFonts w:eastAsia="Times New Roman" w:cs="Times New Roman"/>
          <w:b/>
          <w:i/>
          <w:szCs w:val="24"/>
        </w:rPr>
        <w:t xml:space="preserve">  </w:t>
      </w:r>
      <w:r w:rsidRPr="003353E4">
        <w:rPr>
          <w:rFonts w:eastAsia="Times New Roman" w:cs="Times New Roman"/>
          <w:b/>
          <w:i/>
          <w:szCs w:val="24"/>
        </w:rPr>
        <w:t xml:space="preserve">AMC </w:t>
      </w:r>
      <w:r w:rsidRPr="003353E4" w:rsidR="00270508">
        <w:rPr>
          <w:rFonts w:eastAsia="Times New Roman" w:cs="Times New Roman"/>
          <w:b/>
          <w:i/>
          <w:szCs w:val="24"/>
        </w:rPr>
        <w:t xml:space="preserve">Disclosure </w:t>
      </w:r>
      <w:r w:rsidRPr="003353E4">
        <w:rPr>
          <w:rFonts w:eastAsia="Times New Roman" w:cs="Times New Roman"/>
          <w:b/>
          <w:i/>
          <w:szCs w:val="24"/>
        </w:rPr>
        <w:t>Requirements</w:t>
      </w:r>
      <w:r w:rsidRPr="003353E4" w:rsidR="00B235C6">
        <w:rPr>
          <w:rFonts w:eastAsia="Times New Roman" w:cs="Times New Roman"/>
          <w:b/>
          <w:i/>
          <w:szCs w:val="24"/>
        </w:rPr>
        <w:t xml:space="preserve"> </w:t>
      </w:r>
    </w:p>
    <w:p w:rsidR="00F11B5A" w:rsidRPr="003353E4" w:rsidP="00F11B5A" w14:paraId="1BDB04B1" w14:textId="77777777">
      <w:pPr>
        <w:spacing w:line="240" w:lineRule="auto"/>
        <w:rPr>
          <w:rFonts w:eastAsia="Times New Roman" w:cs="Times New Roman"/>
          <w:szCs w:val="24"/>
          <w:u w:val="single"/>
        </w:rPr>
      </w:pPr>
    </w:p>
    <w:p w:rsidR="00F11B5A" w:rsidRPr="003353E4" w:rsidP="00F11B5A" w14:paraId="3C4FB1C0" w14:textId="3446E334">
      <w:pPr>
        <w:spacing w:line="240" w:lineRule="auto"/>
        <w:rPr>
          <w:rFonts w:eastAsia="Times New Roman" w:cs="Times New Roman"/>
          <w:snapToGrid w:val="0"/>
          <w:color w:val="000000"/>
          <w:szCs w:val="24"/>
          <w:lang w:val="en"/>
        </w:rPr>
      </w:pPr>
      <w:r w:rsidRPr="003353E4">
        <w:rPr>
          <w:rFonts w:eastAsia="Times New Roman" w:cs="Times New Roman"/>
          <w:snapToGrid w:val="0"/>
          <w:color w:val="000000"/>
          <w:szCs w:val="24"/>
        </w:rPr>
        <w:t xml:space="preserve">State-regulated AMCs </w:t>
      </w:r>
      <w:r w:rsidRPr="003353E4" w:rsidR="00B149DE">
        <w:rPr>
          <w:rFonts w:eastAsia="Times New Roman" w:cs="Times New Roman"/>
          <w:snapToGrid w:val="0"/>
          <w:color w:val="000000"/>
          <w:szCs w:val="24"/>
        </w:rPr>
        <w:t>disclose</w:t>
      </w:r>
      <w:r w:rsidRPr="003353E4">
        <w:rPr>
          <w:rFonts w:eastAsia="Times New Roman" w:cs="Times New Roman"/>
          <w:snapToGrid w:val="0"/>
          <w:color w:val="000000"/>
          <w:szCs w:val="24"/>
        </w:rPr>
        <w:t xml:space="preserve"> to </w:t>
      </w:r>
      <w:r w:rsidRPr="003353E4" w:rsidR="003F7D78">
        <w:rPr>
          <w:rFonts w:eastAsia="Times New Roman" w:cs="Times New Roman"/>
          <w:snapToGrid w:val="0"/>
          <w:color w:val="000000"/>
          <w:szCs w:val="24"/>
        </w:rPr>
        <w:t>s</w:t>
      </w:r>
      <w:r w:rsidRPr="003353E4">
        <w:rPr>
          <w:rFonts w:eastAsia="Times New Roman" w:cs="Times New Roman"/>
          <w:snapToGrid w:val="0"/>
          <w:color w:val="000000"/>
          <w:szCs w:val="24"/>
        </w:rPr>
        <w:t>tates information necessary to determine whether</w:t>
      </w:r>
      <w:r w:rsidRPr="003353E4">
        <w:rPr>
          <w:rFonts w:eastAsia="Times New Roman" w:cs="Times New Roman"/>
          <w:snapToGrid w:val="0"/>
          <w:color w:val="000000"/>
          <w:szCs w:val="24"/>
          <w:lang w:val="en"/>
        </w:rPr>
        <w:t xml:space="preserve"> any person that owns more than 10 percent of the AMC has had an appraiser license or certificate refused, denied, cancelled, surrendered in lieu of revocation, or revoked in any </w:t>
      </w:r>
      <w:r w:rsidRPr="003353E4" w:rsidR="003F7D78">
        <w:rPr>
          <w:rFonts w:eastAsia="Times New Roman" w:cs="Times New Roman"/>
          <w:snapToGrid w:val="0"/>
          <w:color w:val="000000"/>
          <w:szCs w:val="24"/>
          <w:lang w:val="en"/>
        </w:rPr>
        <w:t>s</w:t>
      </w:r>
      <w:r w:rsidRPr="003353E4">
        <w:rPr>
          <w:rFonts w:eastAsia="Times New Roman" w:cs="Times New Roman"/>
          <w:snapToGrid w:val="0"/>
          <w:color w:val="000000"/>
          <w:szCs w:val="24"/>
          <w:lang w:val="en"/>
        </w:rPr>
        <w:t xml:space="preserve">tate.  </w:t>
      </w:r>
      <w:r w:rsidR="00CC07A7">
        <w:rPr>
          <w:rFonts w:eastAsia="Times New Roman" w:cs="Times New Roman"/>
          <w:snapToGrid w:val="0"/>
          <w:color w:val="000000"/>
          <w:szCs w:val="24"/>
          <w:lang w:val="en"/>
        </w:rPr>
        <w:t xml:space="preserve">The </w:t>
      </w:r>
      <w:r w:rsidR="00B62519">
        <w:rPr>
          <w:rFonts w:eastAsia="Times New Roman" w:cs="Times New Roman"/>
          <w:snapToGrid w:val="0"/>
          <w:color w:val="000000"/>
          <w:szCs w:val="24"/>
          <w:lang w:val="en"/>
        </w:rPr>
        <w:t xml:space="preserve">Agencies estimate </w:t>
      </w:r>
      <w:r w:rsidR="00D23FDF">
        <w:rPr>
          <w:rFonts w:eastAsia="Times New Roman" w:cs="Times New Roman"/>
          <w:snapToGrid w:val="0"/>
          <w:color w:val="000000"/>
          <w:szCs w:val="24"/>
          <w:lang w:val="en"/>
        </w:rPr>
        <w:t xml:space="preserve">the number of state-regulated AMCs for the next three years as 4,020. </w:t>
      </w:r>
      <w:r w:rsidR="000A0A2A">
        <w:rPr>
          <w:rFonts w:eastAsia="Times New Roman" w:cs="Times New Roman"/>
          <w:snapToGrid w:val="0"/>
          <w:color w:val="000000"/>
          <w:szCs w:val="24"/>
        </w:rPr>
        <w:t xml:space="preserve">The estimated number of respondents per year allocated to each of the four agencies (FDIC, FRB, OCC, and FHFA) is calculated by splitting the total estimated number of respondents using a ratio of 3:3:3:1. Thus, the estimated number of annual respondents attributable to FHFA for this IC is 402. </w:t>
      </w:r>
    </w:p>
    <w:p w:rsidR="00F11B5A" w:rsidRPr="003353E4" w:rsidP="00F11B5A" w14:paraId="5862D61C" w14:textId="77777777">
      <w:pPr>
        <w:spacing w:line="240" w:lineRule="auto"/>
        <w:rPr>
          <w:rFonts w:eastAsia="Times New Roman" w:cs="Times New Roman"/>
          <w:snapToGrid w:val="0"/>
          <w:color w:val="000000"/>
          <w:szCs w:val="24"/>
        </w:rPr>
      </w:pPr>
    </w:p>
    <w:p w:rsidR="00F11B5A" w:rsidRPr="003353E4" w:rsidP="00563F04" w14:paraId="0150B33D" w14:textId="42095C4A">
      <w:pPr>
        <w:numPr>
          <w:ilvl w:val="1"/>
          <w:numId w:val="4"/>
        </w:numPr>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Number of</w:t>
      </w:r>
      <w:r w:rsidRPr="003353E4">
        <w:rPr>
          <w:rFonts w:eastAsia="Times New Roman" w:cs="Times New Roman"/>
          <w:snapToGrid w:val="0"/>
          <w:color w:val="000000"/>
          <w:szCs w:val="24"/>
        </w:rPr>
        <w:t xml:space="preserve"> </w:t>
      </w:r>
      <w:r w:rsidR="00B14663">
        <w:rPr>
          <w:rFonts w:eastAsia="Times New Roman" w:cs="Times New Roman"/>
          <w:snapToGrid w:val="0"/>
          <w:color w:val="000000"/>
          <w:szCs w:val="24"/>
        </w:rPr>
        <w:t xml:space="preserve">respondents </w:t>
      </w:r>
      <w:r w:rsidR="00A83ACE">
        <w:rPr>
          <w:rFonts w:eastAsia="Times New Roman" w:cs="Times New Roman"/>
          <w:snapToGrid w:val="0"/>
          <w:color w:val="000000"/>
          <w:szCs w:val="24"/>
        </w:rPr>
        <w:t>attributable to all Agencies</w:t>
      </w:r>
      <w:r w:rsidRPr="003353E4">
        <w:rPr>
          <w:rFonts w:eastAsia="Times New Roman" w:cs="Times New Roman"/>
          <w:snapToGrid w:val="0"/>
          <w:color w:val="000000"/>
          <w:szCs w:val="24"/>
        </w:rPr>
        <w:t xml:space="preserve">:  </w:t>
      </w:r>
      <w:r w:rsidR="00A83ACE">
        <w:rPr>
          <w:rFonts w:eastAsia="Times New Roman" w:cs="Times New Roman"/>
          <w:snapToGrid w:val="0"/>
          <w:color w:val="000000"/>
          <w:szCs w:val="24"/>
        </w:rPr>
        <w:t>4,020</w:t>
      </w:r>
    </w:p>
    <w:p w:rsidR="00B230CA" w:rsidRPr="003353E4" w:rsidP="00563F04" w14:paraId="4E473E26" w14:textId="028780B9">
      <w:pPr>
        <w:numPr>
          <w:ilvl w:val="1"/>
          <w:numId w:val="4"/>
        </w:numPr>
        <w:spacing w:line="240" w:lineRule="auto"/>
        <w:rPr>
          <w:rFonts w:eastAsia="Times New Roman" w:cs="Times New Roman"/>
          <w:snapToGrid w:val="0"/>
          <w:color w:val="000000"/>
          <w:szCs w:val="24"/>
        </w:rPr>
      </w:pPr>
      <w:r>
        <w:rPr>
          <w:rFonts w:eastAsia="Times New Roman" w:cs="Times New Roman"/>
          <w:snapToGrid w:val="0"/>
          <w:color w:val="000000"/>
          <w:szCs w:val="24"/>
        </w:rPr>
        <w:t xml:space="preserve">Total </w:t>
      </w:r>
      <w:r w:rsidR="00A32523">
        <w:rPr>
          <w:rFonts w:eastAsia="Times New Roman" w:cs="Times New Roman"/>
          <w:snapToGrid w:val="0"/>
          <w:color w:val="000000"/>
          <w:szCs w:val="24"/>
        </w:rPr>
        <w:t>respondents</w:t>
      </w:r>
      <w:r>
        <w:rPr>
          <w:rFonts w:eastAsia="Times New Roman" w:cs="Times New Roman"/>
          <w:snapToGrid w:val="0"/>
          <w:color w:val="000000"/>
          <w:szCs w:val="24"/>
        </w:rPr>
        <w:t xml:space="preserve"> attributable to FHFA</w:t>
      </w:r>
      <w:r w:rsidR="00A32523">
        <w:rPr>
          <w:rFonts w:eastAsia="Times New Roman" w:cs="Times New Roman"/>
          <w:snapToGrid w:val="0"/>
          <w:color w:val="000000"/>
          <w:szCs w:val="24"/>
        </w:rPr>
        <w:t>: 402</w:t>
      </w:r>
    </w:p>
    <w:p w:rsidR="003353E4" w:rsidRPr="003353E4" w:rsidP="003353E4" w14:paraId="23766FA9" w14:textId="04EA2589">
      <w:pPr>
        <w:numPr>
          <w:ilvl w:val="1"/>
          <w:numId w:val="4"/>
        </w:numPr>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Preparation time per report:  1 hour</w:t>
      </w:r>
    </w:p>
    <w:p w:rsidR="00940454" w:rsidP="00940454" w14:paraId="5C28B510" w14:textId="3CACF1BE">
      <w:pPr>
        <w:numPr>
          <w:ilvl w:val="1"/>
          <w:numId w:val="4"/>
        </w:numPr>
        <w:spacing w:line="240" w:lineRule="auto"/>
        <w:rPr>
          <w:rFonts w:eastAsia="Times New Roman" w:cs="Times New Roman"/>
          <w:snapToGrid w:val="0"/>
          <w:color w:val="000000"/>
          <w:szCs w:val="24"/>
        </w:rPr>
      </w:pPr>
      <w:r w:rsidRPr="00940454">
        <w:rPr>
          <w:rFonts w:eastAsia="Times New Roman" w:cs="Times New Roman"/>
          <w:snapToGrid w:val="0"/>
          <w:color w:val="000000"/>
          <w:szCs w:val="24"/>
        </w:rPr>
        <w:t>Total hours attributable to</w:t>
      </w:r>
      <w:r w:rsidRPr="00940454" w:rsidR="00A32523">
        <w:rPr>
          <w:rFonts w:eastAsia="Times New Roman" w:cs="Times New Roman"/>
          <w:snapToGrid w:val="0"/>
          <w:color w:val="000000"/>
          <w:szCs w:val="24"/>
        </w:rPr>
        <w:t xml:space="preserve"> FHFA</w:t>
      </w:r>
      <w:r w:rsidRPr="00940454">
        <w:rPr>
          <w:rFonts w:eastAsia="Times New Roman" w:cs="Times New Roman"/>
          <w:snapToGrid w:val="0"/>
          <w:color w:val="000000"/>
          <w:szCs w:val="24"/>
        </w:rPr>
        <w:t xml:space="preserve">: </w:t>
      </w:r>
      <w:r w:rsidRPr="00940454" w:rsidR="00A32523">
        <w:rPr>
          <w:rFonts w:eastAsia="Times New Roman" w:cs="Times New Roman"/>
          <w:snapToGrid w:val="0"/>
          <w:color w:val="000000"/>
          <w:szCs w:val="24"/>
        </w:rPr>
        <w:t>402</w:t>
      </w:r>
    </w:p>
    <w:p w:rsidR="00A32523" w:rsidRPr="00940454" w:rsidP="00940454" w14:paraId="3A673A98" w14:textId="56E64D1A">
      <w:pPr>
        <w:numPr>
          <w:ilvl w:val="1"/>
          <w:numId w:val="4"/>
        </w:numPr>
        <w:spacing w:line="240" w:lineRule="auto"/>
        <w:rPr>
          <w:rFonts w:eastAsia="Times New Roman" w:cs="Times New Roman"/>
          <w:snapToGrid w:val="0"/>
          <w:color w:val="000000"/>
          <w:szCs w:val="24"/>
        </w:rPr>
      </w:pPr>
      <w:r w:rsidRPr="00940454">
        <w:rPr>
          <w:rFonts w:eastAsia="Times New Roman" w:cs="Times New Roman"/>
          <w:snapToGrid w:val="0"/>
          <w:color w:val="000000"/>
          <w:szCs w:val="24"/>
        </w:rPr>
        <w:t>Hourly rate:</w:t>
      </w:r>
      <w:r w:rsidRPr="00940454" w:rsidR="00436EF0">
        <w:rPr>
          <w:rFonts w:eastAsia="Times New Roman" w:cs="Times New Roman"/>
          <w:snapToGrid w:val="0"/>
          <w:color w:val="000000"/>
          <w:szCs w:val="24"/>
        </w:rPr>
        <w:t xml:space="preserve"> $97.96</w:t>
      </w:r>
    </w:p>
    <w:p w:rsidR="00A32523" w:rsidRPr="003353E4" w:rsidP="003353E4" w14:paraId="360FCE08" w14:textId="2955E88A">
      <w:pPr>
        <w:pStyle w:val="ListParagraph"/>
        <w:numPr>
          <w:ilvl w:val="1"/>
          <w:numId w:val="4"/>
        </w:numPr>
        <w:rPr>
          <w:rFonts w:eastAsia="Times New Roman" w:cs="Times New Roman"/>
          <w:snapToGrid w:val="0"/>
          <w:color w:val="000000"/>
          <w:szCs w:val="24"/>
        </w:rPr>
      </w:pPr>
      <w:r>
        <w:rPr>
          <w:rFonts w:eastAsia="Times New Roman" w:cs="Times New Roman"/>
          <w:snapToGrid w:val="0"/>
          <w:color w:val="000000"/>
          <w:szCs w:val="24"/>
        </w:rPr>
        <w:t xml:space="preserve">Total compensation costs attributable to FHFA: </w:t>
      </w:r>
      <w:r w:rsidR="006F31F6">
        <w:rPr>
          <w:rFonts w:eastAsia="Times New Roman" w:cs="Times New Roman"/>
          <w:snapToGrid w:val="0"/>
          <w:color w:val="000000"/>
          <w:szCs w:val="24"/>
        </w:rPr>
        <w:t>39,379</w:t>
      </w:r>
    </w:p>
    <w:p w:rsidR="00481397" w:rsidRPr="003353E4" w:rsidP="00F11B5A" w14:paraId="14E7C6D0" w14:textId="77777777">
      <w:pPr>
        <w:spacing w:line="240" w:lineRule="auto"/>
        <w:rPr>
          <w:rFonts w:eastAsia="Times New Roman" w:cs="Times New Roman"/>
          <w:snapToGrid w:val="0"/>
          <w:color w:val="000000"/>
          <w:szCs w:val="24"/>
        </w:rPr>
      </w:pPr>
    </w:p>
    <w:p w:rsidR="00F11B5A" w:rsidRPr="003353E4" w:rsidP="00F11B5A" w14:paraId="7B6BB80B" w14:textId="77777777">
      <w:pPr>
        <w:widowControl w:val="0"/>
        <w:autoSpaceDE w:val="0"/>
        <w:autoSpaceDN w:val="0"/>
        <w:adjustRightInd w:val="0"/>
        <w:spacing w:line="240" w:lineRule="auto"/>
        <w:rPr>
          <w:rFonts w:eastAsia="Times New Roman" w:cs="Times New Roman"/>
          <w:b/>
          <w:color w:val="000000"/>
          <w:szCs w:val="24"/>
          <w:u w:val="single"/>
        </w:rPr>
      </w:pPr>
      <w:r w:rsidRPr="003353E4">
        <w:rPr>
          <w:rFonts w:eastAsia="Times New Roman" w:cs="Times New Roman"/>
          <w:b/>
          <w:color w:val="000000"/>
          <w:szCs w:val="24"/>
        </w:rPr>
        <w:t>13.  Estimated Total Annualized Cost Burden to Respondents</w:t>
      </w:r>
    </w:p>
    <w:p w:rsidR="00F11B5A" w:rsidRPr="003353E4" w:rsidP="00F11B5A" w14:paraId="6E806552" w14:textId="77777777">
      <w:pPr>
        <w:spacing w:line="240" w:lineRule="auto"/>
        <w:rPr>
          <w:rFonts w:eastAsia="Times New Roman" w:cs="Times New Roman"/>
          <w:snapToGrid w:val="0"/>
          <w:color w:val="000000"/>
          <w:szCs w:val="24"/>
        </w:rPr>
      </w:pPr>
    </w:p>
    <w:p w:rsidR="00F11B5A" w:rsidRPr="003353E4" w:rsidP="00F11B5A" w14:paraId="4EBBE736" w14:textId="662A4855">
      <w:pPr>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 xml:space="preserve">FHFA has not identified any start-up costs to respondents.  It is expected that </w:t>
      </w:r>
      <w:r w:rsidRPr="003353E4" w:rsidR="003B7595">
        <w:rPr>
          <w:rFonts w:eastAsia="Times New Roman" w:cs="Times New Roman"/>
          <w:snapToGrid w:val="0"/>
          <w:color w:val="000000"/>
          <w:szCs w:val="24"/>
        </w:rPr>
        <w:t>s</w:t>
      </w:r>
      <w:r w:rsidRPr="003353E4">
        <w:rPr>
          <w:rFonts w:eastAsia="Times New Roman" w:cs="Times New Roman"/>
          <w:snapToGrid w:val="0"/>
          <w:color w:val="000000"/>
          <w:szCs w:val="24"/>
        </w:rPr>
        <w:t>tates and AMCs will already have the infrastructure in place to carry out the rule’s reporting and recordkeeping requirements.</w:t>
      </w:r>
    </w:p>
    <w:p w:rsidR="00F11B5A" w:rsidRPr="003353E4" w:rsidP="00F11B5A" w14:paraId="70A1D109" w14:textId="417C98C1">
      <w:pPr>
        <w:spacing w:line="240" w:lineRule="auto"/>
        <w:rPr>
          <w:rFonts w:eastAsia="Times New Roman" w:cs="Times New Roman"/>
          <w:snapToGrid w:val="0"/>
          <w:color w:val="000000"/>
          <w:szCs w:val="24"/>
        </w:rPr>
      </w:pPr>
    </w:p>
    <w:p w:rsidR="00F11B5A" w:rsidRPr="003353E4" w:rsidP="00511627" w14:paraId="0ADD46ED" w14:textId="77777777">
      <w:pPr>
        <w:keepNext/>
        <w:keepLines/>
        <w:widowControl w:val="0"/>
        <w:autoSpaceDE w:val="0"/>
        <w:autoSpaceDN w:val="0"/>
        <w:adjustRightInd w:val="0"/>
        <w:spacing w:line="240" w:lineRule="auto"/>
        <w:rPr>
          <w:rFonts w:eastAsia="Times New Roman" w:cs="Times New Roman"/>
          <w:b/>
          <w:color w:val="000000"/>
          <w:szCs w:val="24"/>
          <w:u w:val="single"/>
        </w:rPr>
      </w:pPr>
      <w:r w:rsidRPr="003353E4">
        <w:rPr>
          <w:rFonts w:eastAsia="Times New Roman" w:cs="Times New Roman"/>
          <w:b/>
          <w:color w:val="000000"/>
          <w:szCs w:val="24"/>
        </w:rPr>
        <w:t>14.  Estimated Cost to the Federal Government</w:t>
      </w:r>
    </w:p>
    <w:p w:rsidR="00F11B5A" w:rsidRPr="003353E4" w:rsidP="00511627" w14:paraId="65F6A0ED" w14:textId="77777777">
      <w:pPr>
        <w:keepNext/>
        <w:keepLines/>
        <w:spacing w:line="240" w:lineRule="auto"/>
        <w:rPr>
          <w:rFonts w:eastAsia="Times New Roman" w:cs="Times New Roman"/>
          <w:snapToGrid w:val="0"/>
          <w:color w:val="000000"/>
          <w:szCs w:val="24"/>
        </w:rPr>
      </w:pPr>
    </w:p>
    <w:p w:rsidR="00F11B5A" w:rsidRPr="003353E4" w:rsidP="00511627" w14:paraId="41889218" w14:textId="77777777">
      <w:pPr>
        <w:keepNext/>
        <w:keepLines/>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There will be no costs to the Federal government associated with this information collection.</w:t>
      </w:r>
    </w:p>
    <w:p w:rsidR="00F11B5A" w:rsidRPr="003353E4" w:rsidP="00F11B5A" w14:paraId="1506E2E7" w14:textId="1CEB497B">
      <w:pPr>
        <w:widowControl w:val="0"/>
        <w:autoSpaceDE w:val="0"/>
        <w:autoSpaceDN w:val="0"/>
        <w:adjustRightInd w:val="0"/>
        <w:spacing w:line="240" w:lineRule="auto"/>
        <w:rPr>
          <w:rFonts w:eastAsia="Times New Roman" w:cs="Times New Roman"/>
          <w:b/>
          <w:color w:val="000000"/>
          <w:szCs w:val="24"/>
        </w:rPr>
      </w:pPr>
    </w:p>
    <w:p w:rsidR="00F11B5A" w:rsidRPr="003353E4" w:rsidP="00F11B5A" w14:paraId="443B77D5" w14:textId="77777777">
      <w:pPr>
        <w:widowControl w:val="0"/>
        <w:autoSpaceDE w:val="0"/>
        <w:autoSpaceDN w:val="0"/>
        <w:adjustRightInd w:val="0"/>
        <w:spacing w:line="240" w:lineRule="auto"/>
        <w:rPr>
          <w:rFonts w:eastAsia="Times New Roman" w:cs="Times New Roman"/>
          <w:b/>
          <w:color w:val="000000"/>
          <w:szCs w:val="24"/>
          <w:u w:val="single"/>
        </w:rPr>
      </w:pPr>
      <w:r w:rsidRPr="003353E4">
        <w:rPr>
          <w:rFonts w:eastAsia="Times New Roman" w:cs="Times New Roman"/>
          <w:b/>
          <w:color w:val="000000"/>
          <w:szCs w:val="24"/>
        </w:rPr>
        <w:t>15.  Reasons for Change in Burden</w:t>
      </w:r>
    </w:p>
    <w:p w:rsidR="00F11B5A" w:rsidRPr="003353E4" w:rsidP="00F11B5A" w14:paraId="3870FDE5" w14:textId="77777777">
      <w:pPr>
        <w:spacing w:line="240" w:lineRule="auto"/>
        <w:rPr>
          <w:rFonts w:eastAsia="Times New Roman" w:cs="Times New Roman"/>
          <w:snapToGrid w:val="0"/>
          <w:color w:val="000000"/>
          <w:szCs w:val="24"/>
        </w:rPr>
      </w:pPr>
    </w:p>
    <w:p w:rsidR="00F11B5A" w:rsidRPr="003353E4" w:rsidP="00F11B5A" w14:paraId="7AF83E3B" w14:textId="0995FB3D">
      <w:pPr>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Compared to the estimates contained in FHFA’s 20</w:t>
      </w:r>
      <w:r w:rsidR="00A36FB6">
        <w:rPr>
          <w:rFonts w:eastAsia="Times New Roman" w:cs="Times New Roman"/>
          <w:snapToGrid w:val="0"/>
          <w:color w:val="000000"/>
          <w:szCs w:val="24"/>
        </w:rPr>
        <w:t>21</w:t>
      </w:r>
      <w:r w:rsidRPr="003353E4" w:rsidR="00651314">
        <w:rPr>
          <w:rFonts w:eastAsia="Times New Roman" w:cs="Times New Roman"/>
          <w:snapToGrid w:val="0"/>
          <w:color w:val="000000"/>
          <w:szCs w:val="24"/>
        </w:rPr>
        <w:t xml:space="preserve"> </w:t>
      </w:r>
      <w:r w:rsidRPr="003353E4">
        <w:rPr>
          <w:rFonts w:eastAsia="Times New Roman" w:cs="Times New Roman"/>
          <w:snapToGrid w:val="0"/>
          <w:color w:val="000000"/>
          <w:szCs w:val="24"/>
        </w:rPr>
        <w:t xml:space="preserve">Supporting Statement, the estimated burden associated with this information collection </w:t>
      </w:r>
      <w:r w:rsidR="00D37420">
        <w:rPr>
          <w:rFonts w:eastAsia="Times New Roman" w:cs="Times New Roman"/>
          <w:snapToGrid w:val="0"/>
          <w:color w:val="000000"/>
          <w:szCs w:val="24"/>
        </w:rPr>
        <w:t>decreased</w:t>
      </w:r>
      <w:r w:rsidRPr="003353E4" w:rsidR="00D37420">
        <w:rPr>
          <w:rFonts w:eastAsia="Times New Roman" w:cs="Times New Roman"/>
          <w:snapToGrid w:val="0"/>
          <w:color w:val="000000"/>
          <w:szCs w:val="24"/>
        </w:rPr>
        <w:t xml:space="preserve"> </w:t>
      </w:r>
      <w:r w:rsidRPr="003353E4" w:rsidR="00C553EA">
        <w:rPr>
          <w:rFonts w:eastAsia="Times New Roman" w:cs="Times New Roman"/>
          <w:snapToGrid w:val="0"/>
          <w:color w:val="000000"/>
          <w:szCs w:val="24"/>
        </w:rPr>
        <w:t xml:space="preserve">from </w:t>
      </w:r>
      <w:r w:rsidR="004310F8">
        <w:rPr>
          <w:rFonts w:eastAsia="Times New Roman" w:cs="Times New Roman"/>
          <w:snapToGrid w:val="0"/>
          <w:color w:val="000000"/>
          <w:szCs w:val="24"/>
        </w:rPr>
        <w:t xml:space="preserve">837 to 678 hours. </w:t>
      </w:r>
      <w:r w:rsidR="00A7083D">
        <w:rPr>
          <w:rFonts w:eastAsia="Times New Roman" w:cs="Times New Roman"/>
          <w:snapToGrid w:val="0"/>
          <w:color w:val="000000"/>
          <w:szCs w:val="24"/>
        </w:rPr>
        <w:t xml:space="preserve"> While </w:t>
      </w:r>
      <w:r w:rsidR="00A7083D">
        <w:rPr>
          <w:szCs w:val="28"/>
        </w:rPr>
        <w:t>FHFA’s</w:t>
      </w:r>
      <w:r w:rsidRPr="0024577E" w:rsidR="00A7083D">
        <w:rPr>
          <w:szCs w:val="28"/>
        </w:rPr>
        <w:t xml:space="preserve"> estimated </w:t>
      </w:r>
      <w:r w:rsidR="00A7083D">
        <w:rPr>
          <w:szCs w:val="28"/>
        </w:rPr>
        <w:t xml:space="preserve">burden hours for IC#1, written notice of appraiser removal, increased from 33 in 2021 to 236 in 2024, the estimated number of respondents </w:t>
      </w:r>
      <w:r w:rsidR="00EA63AA">
        <w:rPr>
          <w:szCs w:val="28"/>
        </w:rPr>
        <w:t xml:space="preserve">to IC#3, AMC disclosure requirements decreased from 764 to 402. </w:t>
      </w:r>
    </w:p>
    <w:p w:rsidR="00F11B5A" w:rsidRPr="003353E4" w:rsidP="00F11B5A" w14:paraId="20784669" w14:textId="77777777">
      <w:pPr>
        <w:spacing w:line="240" w:lineRule="auto"/>
        <w:rPr>
          <w:rFonts w:eastAsia="Times New Roman" w:cs="Times New Roman"/>
          <w:snapToGrid w:val="0"/>
          <w:color w:val="000000"/>
          <w:szCs w:val="24"/>
        </w:rPr>
      </w:pPr>
    </w:p>
    <w:p w:rsidR="00F11B5A" w:rsidRPr="003353E4" w:rsidP="00F11B5A" w14:paraId="4131F00E" w14:textId="77777777">
      <w:pPr>
        <w:widowControl w:val="0"/>
        <w:autoSpaceDE w:val="0"/>
        <w:autoSpaceDN w:val="0"/>
        <w:adjustRightInd w:val="0"/>
        <w:spacing w:line="240" w:lineRule="auto"/>
        <w:rPr>
          <w:rFonts w:eastAsia="Times New Roman" w:cs="Times New Roman"/>
          <w:color w:val="000000"/>
          <w:szCs w:val="24"/>
        </w:rPr>
      </w:pPr>
      <w:r w:rsidRPr="003353E4">
        <w:rPr>
          <w:rFonts w:eastAsia="Times New Roman" w:cs="Times New Roman"/>
          <w:b/>
          <w:color w:val="000000"/>
          <w:szCs w:val="24"/>
        </w:rPr>
        <w:t>16.  Plans for Tabulation, Statistical Analysis and Publication</w:t>
      </w:r>
    </w:p>
    <w:p w:rsidR="00F11B5A" w:rsidRPr="003353E4" w:rsidP="00F11B5A" w14:paraId="33D30E9F" w14:textId="77777777">
      <w:pPr>
        <w:spacing w:line="240" w:lineRule="auto"/>
        <w:rPr>
          <w:rFonts w:eastAsia="Times New Roman" w:cs="Times New Roman"/>
          <w:snapToGrid w:val="0"/>
          <w:color w:val="000000"/>
          <w:szCs w:val="24"/>
        </w:rPr>
      </w:pPr>
    </w:p>
    <w:p w:rsidR="00F11B5A" w:rsidRPr="003353E4" w:rsidP="00F11B5A" w14:paraId="42E4B2D1" w14:textId="60D40ACC">
      <w:pPr>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 xml:space="preserve">FHFA will not publish the results of this information collection.  </w:t>
      </w:r>
    </w:p>
    <w:p w:rsidR="00B70364" w:rsidRPr="003353E4" w:rsidP="00F11B5A" w14:paraId="41AF25ED" w14:textId="77777777">
      <w:pPr>
        <w:spacing w:line="240" w:lineRule="auto"/>
        <w:rPr>
          <w:rFonts w:eastAsia="Times New Roman" w:cs="Times New Roman"/>
          <w:snapToGrid w:val="0"/>
          <w:color w:val="000000"/>
          <w:szCs w:val="24"/>
        </w:rPr>
      </w:pPr>
    </w:p>
    <w:p w:rsidR="00F11B5A" w:rsidRPr="003353E4" w:rsidP="00F11B5A" w14:paraId="6A9D3030" w14:textId="77777777">
      <w:pPr>
        <w:widowControl w:val="0"/>
        <w:autoSpaceDE w:val="0"/>
        <w:autoSpaceDN w:val="0"/>
        <w:adjustRightInd w:val="0"/>
        <w:spacing w:line="240" w:lineRule="auto"/>
        <w:ind w:left="450" w:hanging="450"/>
        <w:rPr>
          <w:rFonts w:eastAsia="Times New Roman" w:cs="Times New Roman"/>
          <w:b/>
          <w:color w:val="000000"/>
          <w:szCs w:val="24"/>
          <w:u w:val="single"/>
        </w:rPr>
      </w:pPr>
      <w:r w:rsidRPr="003353E4">
        <w:rPr>
          <w:rFonts w:eastAsia="Times New Roman" w:cs="Times New Roman"/>
          <w:b/>
          <w:color w:val="000000"/>
          <w:szCs w:val="24"/>
        </w:rPr>
        <w:t>17.  If Seeking Approval to Not Display the Expiration Date for OMB Approval of the Information Collection, Explain the Reasons Why Display Would Be Inappropriate</w:t>
      </w:r>
    </w:p>
    <w:p w:rsidR="00F11B5A" w:rsidRPr="003353E4" w:rsidP="00F11B5A" w14:paraId="2B4E82C5" w14:textId="77777777">
      <w:pPr>
        <w:spacing w:line="240" w:lineRule="auto"/>
        <w:rPr>
          <w:rFonts w:eastAsia="Times New Roman" w:cs="Times New Roman"/>
          <w:snapToGrid w:val="0"/>
          <w:color w:val="000000"/>
          <w:szCs w:val="24"/>
        </w:rPr>
      </w:pPr>
    </w:p>
    <w:p w:rsidR="00F11B5A" w:rsidRPr="003353E4" w:rsidP="00F11B5A" w14:paraId="7DFB9787" w14:textId="705D7C93">
      <w:pPr>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FHFA plans to display the expiration dat</w:t>
      </w:r>
      <w:r w:rsidRPr="003353E4" w:rsidR="007D4068">
        <w:rPr>
          <w:rFonts w:eastAsia="Times New Roman" w:cs="Times New Roman"/>
          <w:snapToGrid w:val="0"/>
          <w:color w:val="000000"/>
          <w:szCs w:val="24"/>
        </w:rPr>
        <w:t>e for OMB approval</w:t>
      </w:r>
      <w:r w:rsidRPr="003353E4">
        <w:rPr>
          <w:rFonts w:eastAsia="Times New Roman" w:cs="Times New Roman"/>
          <w:snapToGrid w:val="0"/>
          <w:color w:val="000000"/>
          <w:szCs w:val="24"/>
        </w:rPr>
        <w:t>.</w:t>
      </w:r>
    </w:p>
    <w:p w:rsidR="00F11B5A" w:rsidRPr="003353E4" w:rsidP="00F11B5A" w14:paraId="38597057" w14:textId="6AE45007">
      <w:pPr>
        <w:spacing w:line="240" w:lineRule="auto"/>
        <w:rPr>
          <w:rFonts w:eastAsia="Times New Roman" w:cs="Times New Roman"/>
          <w:snapToGrid w:val="0"/>
          <w:color w:val="000000"/>
          <w:szCs w:val="24"/>
        </w:rPr>
      </w:pPr>
    </w:p>
    <w:p w:rsidR="00F11B5A" w:rsidRPr="003353E4" w:rsidP="00F11B5A" w14:paraId="5A37856E" w14:textId="77777777">
      <w:pPr>
        <w:widowControl w:val="0"/>
        <w:autoSpaceDE w:val="0"/>
        <w:autoSpaceDN w:val="0"/>
        <w:adjustRightInd w:val="0"/>
        <w:spacing w:line="240" w:lineRule="auto"/>
        <w:ind w:left="450" w:hanging="450"/>
        <w:rPr>
          <w:rFonts w:eastAsia="Times New Roman" w:cs="Times New Roman"/>
          <w:color w:val="000000"/>
          <w:szCs w:val="24"/>
        </w:rPr>
      </w:pPr>
      <w:r w:rsidRPr="003353E4">
        <w:rPr>
          <w:rFonts w:eastAsia="Times New Roman" w:cs="Times New Roman"/>
          <w:b/>
          <w:color w:val="000000"/>
          <w:szCs w:val="24"/>
        </w:rPr>
        <w:t>18.  Explain Each Exception to the Topics of the Certification Statement Identified in “Certification for Paperwork Reduction Act Submission</w:t>
      </w:r>
      <w:r w:rsidRPr="003353E4">
        <w:rPr>
          <w:rFonts w:eastAsia="Times New Roman" w:cs="Times New Roman"/>
          <w:color w:val="000000"/>
          <w:szCs w:val="24"/>
        </w:rPr>
        <w:t>.”</w:t>
      </w:r>
    </w:p>
    <w:p w:rsidR="00F11B5A" w:rsidRPr="003353E4" w:rsidP="00F11B5A" w14:paraId="1F06C646" w14:textId="77777777">
      <w:pPr>
        <w:widowControl w:val="0"/>
        <w:autoSpaceDE w:val="0"/>
        <w:autoSpaceDN w:val="0"/>
        <w:adjustRightInd w:val="0"/>
        <w:spacing w:line="240" w:lineRule="auto"/>
        <w:rPr>
          <w:rFonts w:eastAsia="Times New Roman" w:cs="Times New Roman"/>
          <w:color w:val="000000"/>
          <w:szCs w:val="24"/>
        </w:rPr>
      </w:pPr>
    </w:p>
    <w:p w:rsidR="00F11B5A" w:rsidRPr="003353E4" w:rsidP="00F11B5A" w14:paraId="61F121D3" w14:textId="77777777">
      <w:pPr>
        <w:widowControl w:val="0"/>
        <w:autoSpaceDE w:val="0"/>
        <w:autoSpaceDN w:val="0"/>
        <w:adjustRightInd w:val="0"/>
        <w:spacing w:line="240" w:lineRule="auto"/>
        <w:rPr>
          <w:rFonts w:eastAsia="Times New Roman" w:cs="Times New Roman"/>
          <w:color w:val="000000"/>
          <w:szCs w:val="24"/>
        </w:rPr>
      </w:pPr>
      <w:r w:rsidRPr="003353E4">
        <w:rPr>
          <w:rFonts w:eastAsia="Times New Roman" w:cs="Times New Roman"/>
          <w:color w:val="000000"/>
          <w:szCs w:val="24"/>
        </w:rPr>
        <w:t>There are no exceptions to the certification statement identified in Item 18.</w:t>
      </w:r>
    </w:p>
    <w:p w:rsidR="00F11B5A" w:rsidRPr="003353E4" w:rsidP="00F11B5A" w14:paraId="79E04E09" w14:textId="77777777">
      <w:pPr>
        <w:spacing w:line="240" w:lineRule="auto"/>
        <w:rPr>
          <w:rFonts w:eastAsia="Times New Roman" w:cs="Times New Roman"/>
          <w:snapToGrid w:val="0"/>
          <w:color w:val="000000"/>
          <w:szCs w:val="24"/>
        </w:rPr>
      </w:pPr>
    </w:p>
    <w:p w:rsidR="00F11B5A" w:rsidRPr="003353E4" w:rsidP="00F11B5A" w14:paraId="2D1EB17F" w14:textId="77777777">
      <w:pPr>
        <w:spacing w:line="240" w:lineRule="auto"/>
        <w:rPr>
          <w:rFonts w:eastAsia="Times New Roman" w:cs="Times New Roman"/>
          <w:snapToGrid w:val="0"/>
          <w:color w:val="000000"/>
          <w:szCs w:val="24"/>
        </w:rPr>
      </w:pPr>
      <w:r w:rsidRPr="003353E4">
        <w:rPr>
          <w:rFonts w:eastAsia="Times New Roman" w:cs="Times New Roman"/>
          <w:b/>
          <w:snapToGrid w:val="0"/>
          <w:color w:val="000000"/>
          <w:szCs w:val="24"/>
        </w:rPr>
        <w:t>B.</w:t>
      </w:r>
      <w:r w:rsidRPr="003353E4">
        <w:rPr>
          <w:rFonts w:eastAsia="Times New Roman" w:cs="Times New Roman"/>
          <w:b/>
          <w:snapToGrid w:val="0"/>
          <w:color w:val="000000"/>
          <w:szCs w:val="24"/>
        </w:rPr>
        <w:tab/>
        <w:t>COLLECTION OF INFORMATION EMPLOYING STATISTICAL METHODS</w:t>
      </w:r>
    </w:p>
    <w:p w:rsidR="00F11B5A" w:rsidRPr="003353E4" w:rsidP="00F11B5A" w14:paraId="0D8C234A" w14:textId="77777777">
      <w:pPr>
        <w:spacing w:line="240" w:lineRule="auto"/>
        <w:rPr>
          <w:rFonts w:eastAsia="Times New Roman" w:cs="Times New Roman"/>
          <w:snapToGrid w:val="0"/>
          <w:color w:val="000000"/>
          <w:szCs w:val="24"/>
        </w:rPr>
      </w:pPr>
    </w:p>
    <w:p w:rsidR="00F11B5A" w:rsidRPr="00F11B5A" w:rsidP="00F11B5A" w14:paraId="543292AB" w14:textId="77777777">
      <w:pPr>
        <w:spacing w:line="240" w:lineRule="auto"/>
        <w:rPr>
          <w:rFonts w:eastAsia="Times New Roman" w:cs="Times New Roman"/>
          <w:snapToGrid w:val="0"/>
          <w:color w:val="000000"/>
          <w:szCs w:val="24"/>
        </w:rPr>
      </w:pPr>
      <w:r w:rsidRPr="003353E4">
        <w:rPr>
          <w:rFonts w:eastAsia="Times New Roman" w:cs="Times New Roman"/>
          <w:snapToGrid w:val="0"/>
          <w:color w:val="000000"/>
          <w:szCs w:val="24"/>
        </w:rPr>
        <w:t>This information collection does not employ statistical methods.</w:t>
      </w:r>
    </w:p>
    <w:p w:rsidR="00F11B5A" w:rsidRPr="00F11B5A" w:rsidP="00F11B5A" w14:paraId="0C2A96DB" w14:textId="0C7DDE83">
      <w:pPr>
        <w:spacing w:line="240" w:lineRule="auto"/>
        <w:rPr>
          <w:rFonts w:eastAsia="Times New Roman" w:cs="Times New Roman"/>
          <w:snapToGrid w:val="0"/>
          <w:color w:val="000000"/>
          <w:szCs w:val="20"/>
        </w:rPr>
      </w:pPr>
    </w:p>
    <w:p w:rsidR="00835102" w:rsidRPr="00835102" w:rsidP="00F11B5A" w14:paraId="2ABD4216" w14:textId="5FEA81B8">
      <w:pPr>
        <w:widowControl w:val="0"/>
        <w:autoSpaceDE w:val="0"/>
        <w:autoSpaceDN w:val="0"/>
        <w:adjustRightInd w:val="0"/>
        <w:spacing w:line="240" w:lineRule="auto"/>
        <w:rPr>
          <w:rFonts w:eastAsia="Times New Roman" w:cs="Times New Roman"/>
          <w:color w:val="000000"/>
          <w:szCs w:val="24"/>
        </w:rPr>
      </w:pPr>
    </w:p>
    <w:sectPr w:rsidSect="00CA66AA">
      <w:headerReference w:type="default" r:id="rId10"/>
      <w:footerReference w:type="default" r:id="rId11"/>
      <w:headerReference w:type="first" r:id="rId12"/>
      <w:pgSz w:w="12240" w:h="15840"/>
      <w:pgMar w:top="1440" w:right="1440" w:bottom="144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7890859"/>
      <w:docPartObj>
        <w:docPartGallery w:val="Page Numbers (Bottom of Page)"/>
        <w:docPartUnique/>
      </w:docPartObj>
    </w:sdtPr>
    <w:sdtEndPr>
      <w:rPr>
        <w:noProof/>
      </w:rPr>
    </w:sdtEndPr>
    <w:sdtContent>
      <w:p w:rsidR="00227339" w14:paraId="6CA1C8F6" w14:textId="21240CD7">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227339" w:rsidP="006B01B5" w14:paraId="15A781FA" w14:textId="77777777">
    <w:pPr>
      <w:pStyle w:val="Footer"/>
      <w:tabs>
        <w:tab w:val="clear" w:pos="4680"/>
        <w:tab w:val="left" w:pos="7890"/>
        <w:tab w:val="clear" w:pos="9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3F50" w:rsidP="00854B60" w14:paraId="333F7624" w14:textId="77777777">
      <w:pPr>
        <w:spacing w:line="240" w:lineRule="auto"/>
      </w:pPr>
      <w:r>
        <w:separator/>
      </w:r>
    </w:p>
  </w:footnote>
  <w:footnote w:type="continuationSeparator" w:id="1">
    <w:p w:rsidR="00F93F50" w:rsidP="00854B60" w14:paraId="47F329A9" w14:textId="77777777">
      <w:pPr>
        <w:spacing w:line="240" w:lineRule="auto"/>
      </w:pPr>
      <w:r>
        <w:continuationSeparator/>
      </w:r>
    </w:p>
  </w:footnote>
  <w:footnote w:type="continuationNotice" w:id="2">
    <w:p w:rsidR="00F93F50" w14:paraId="3FE5F609" w14:textId="77777777">
      <w:pPr>
        <w:spacing w:line="240" w:lineRule="auto"/>
      </w:pPr>
    </w:p>
  </w:footnote>
  <w:footnote w:id="3">
    <w:p w:rsidR="00227339" w:rsidRPr="00101643" w:rsidP="00885E25" w14:paraId="4CB27890" w14:textId="385F80B5">
      <w:pPr>
        <w:pStyle w:val="FootnoteText"/>
      </w:pPr>
      <w:r>
        <w:rPr>
          <w:rStyle w:val="FootnoteReference"/>
        </w:rPr>
        <w:footnoteRef/>
      </w:r>
      <w:r>
        <w:t xml:space="preserve"> </w:t>
      </w:r>
      <w:r w:rsidRPr="00101643">
        <w:rPr>
          <w:i/>
        </w:rPr>
        <w:t>See</w:t>
      </w:r>
      <w:r w:rsidRPr="00101643">
        <w:t xml:space="preserve"> 80 FR 32658 (June 9, 2015).  </w:t>
      </w:r>
      <w:r>
        <w:t>B</w:t>
      </w:r>
      <w:r w:rsidRPr="00101643">
        <w:t>y agreement, the responsibility for clearance under the PRA of information collections contained in the joint regulations is shared only by the FDIC, OCC,</w:t>
      </w:r>
      <w:r>
        <w:t xml:space="preserve"> the</w:t>
      </w:r>
      <w:r w:rsidRPr="00101643">
        <w:t xml:space="preserve"> Board, and FHFA.</w:t>
      </w:r>
    </w:p>
  </w:footnote>
  <w:footnote w:id="4">
    <w:p w:rsidR="00227339" w:rsidP="00885E25" w14:paraId="75C7FF08" w14:textId="0CB2C67C">
      <w:pPr>
        <w:pStyle w:val="FootnoteText"/>
      </w:pPr>
      <w:r>
        <w:rPr>
          <w:rStyle w:val="FootnoteReference"/>
        </w:rPr>
        <w:footnoteRef/>
      </w:r>
      <w:r>
        <w:t xml:space="preserve"> </w:t>
      </w:r>
      <w:r w:rsidRPr="00F13526">
        <w:rPr>
          <w:i/>
        </w:rPr>
        <w:t>See</w:t>
      </w:r>
      <w:r w:rsidRPr="00F13526">
        <w:t xml:space="preserve"> 12 U.S.C. </w:t>
      </w:r>
      <w:r>
        <w:t>3350(4), (5</w:t>
      </w:r>
      <w:r w:rsidRPr="00F13526">
        <w:t>).</w:t>
      </w:r>
      <w:r>
        <w:t xml:space="preserve"> </w:t>
      </w:r>
      <w:r w:rsidRPr="00FD49B5">
        <w:rPr>
          <w:sz w:val="24"/>
          <w:szCs w:val="24"/>
        </w:rPr>
        <w:t xml:space="preserve"> </w:t>
      </w:r>
      <w:r w:rsidRPr="00FD49B5">
        <w:t xml:space="preserve">“Federal financial regulatory agency” includes the FDIC, OCC, </w:t>
      </w:r>
      <w:r>
        <w:t xml:space="preserve">the </w:t>
      </w:r>
      <w:r w:rsidRPr="00FD49B5">
        <w:t xml:space="preserve">Board, and National Credit Union Administration.  </w:t>
      </w:r>
      <w:r w:rsidRPr="00FD49B5">
        <w:rPr>
          <w:i/>
        </w:rPr>
        <w:t>See</w:t>
      </w:r>
      <w:r w:rsidRPr="00FD49B5">
        <w:t xml:space="preserve"> 12 U.S.C. 3350(6).</w:t>
      </w:r>
    </w:p>
  </w:footnote>
  <w:footnote w:id="5">
    <w:p w:rsidR="00227339" w:rsidRPr="00E351CD" w:rsidP="00885E25" w14:paraId="148FC421" w14:textId="32CCA592">
      <w:pPr>
        <w:pStyle w:val="FootnoteText"/>
      </w:pPr>
      <w:r>
        <w:rPr>
          <w:rStyle w:val="FootnoteReference"/>
        </w:rPr>
        <w:footnoteRef/>
      </w:r>
      <w:r>
        <w:t xml:space="preserve"> </w:t>
      </w:r>
      <w:r w:rsidRPr="00972742">
        <w:t>Section 1117 of the Financial Institutions Reform, Recovery, and Enforcement Act of 1989 (FIRREA), 12 U.S.C. 3346, permits states to establish an appraiser certifying and licensing agency “to assure the availability of </w:t>
      </w:r>
      <w:r>
        <w:t>S</w:t>
      </w:r>
      <w:r w:rsidRPr="00972742">
        <w:t>tate certified and licensed appraisers for the performance in</w:t>
      </w:r>
      <w:r>
        <w:t xml:space="preserve"> a S</w:t>
      </w:r>
      <w:r w:rsidRPr="00972742">
        <w:t xml:space="preserve">tate of appraisals in federally related transactions and to assure effective supervision of the activities of certified and licensed appraisers.”  The Dodd-Frank Act amended section 1117 to provide that the duties of a state appraiser certifying and licensing agency may also include the registration and supervision of AMCs.  Although states are not required by federal law to register and supervise AMCs, or even to establish an appraiser certifying and licensing agency, an AMC that is not registered with such a state agency (except for those regulated by a </w:t>
      </w:r>
      <w:r w:rsidR="007436B0">
        <w:t>F</w:t>
      </w:r>
      <w:r w:rsidRPr="00972742">
        <w:t>ederal financial institutions</w:t>
      </w:r>
      <w:r w:rsidRPr="00972742">
        <w:t xml:space="preserve"> regulatory agency) may not participate in a federally</w:t>
      </w:r>
      <w:r w:rsidR="0068778F">
        <w:t xml:space="preserve"> </w:t>
      </w:r>
      <w:r w:rsidRPr="00972742">
        <w:t xml:space="preserve">related transaction in that state.  </w:t>
      </w:r>
      <w:r w:rsidRPr="00972742">
        <w:rPr>
          <w:i/>
        </w:rPr>
        <w:t>See</w:t>
      </w:r>
      <w:r w:rsidRPr="00972742">
        <w:t xml:space="preserve"> 12 U.S.C. 3353(f)(1).</w:t>
      </w:r>
    </w:p>
  </w:footnote>
  <w:footnote w:id="6">
    <w:p w:rsidR="00227339" w:rsidP="00885E25" w14:paraId="6A63E0F4" w14:textId="5CCF4209">
      <w:pPr>
        <w:pStyle w:val="FootnoteText"/>
      </w:pPr>
      <w:r>
        <w:rPr>
          <w:rStyle w:val="FootnoteReference"/>
        </w:rPr>
        <w:footnoteRef/>
      </w:r>
      <w:r>
        <w:t xml:space="preserve"> See 12 CFR 1222.23.</w:t>
      </w:r>
    </w:p>
  </w:footnote>
  <w:footnote w:id="7">
    <w:p w:rsidR="00227339" w:rsidP="00885E25" w14:paraId="14B9EEF9" w14:textId="2BFE144F">
      <w:pPr>
        <w:pStyle w:val="FootnoteText"/>
      </w:pPr>
      <w:r>
        <w:rPr>
          <w:rStyle w:val="FootnoteReference"/>
        </w:rPr>
        <w:footnoteRef/>
      </w:r>
      <w:r>
        <w:t xml:space="preserve"> </w:t>
      </w:r>
      <w:r w:rsidRPr="002F621E">
        <w:rPr>
          <w:i/>
        </w:rPr>
        <w:t>See</w:t>
      </w:r>
      <w:r w:rsidRPr="002F621E">
        <w:t xml:space="preserve"> 12 U.S.C. 3353</w:t>
      </w:r>
      <w:r>
        <w:t>(e</w:t>
      </w:r>
      <w:r w:rsidRPr="002F621E">
        <w:t>).</w:t>
      </w:r>
    </w:p>
  </w:footnote>
  <w:footnote w:id="8">
    <w:p w:rsidR="00227339" w:rsidP="00885E25" w14:paraId="3C118360" w14:textId="142B01B1">
      <w:pPr>
        <w:pStyle w:val="FootnoteText"/>
      </w:pPr>
      <w:r>
        <w:rPr>
          <w:rStyle w:val="FootnoteReference"/>
        </w:rPr>
        <w:footnoteRef/>
      </w:r>
      <w:r>
        <w:t xml:space="preserve"> </w:t>
      </w:r>
      <w:r w:rsidRPr="004C49AE">
        <w:rPr>
          <w:i/>
        </w:rPr>
        <w:t>See</w:t>
      </w:r>
      <w:r>
        <w:t xml:space="preserve"> 12 CFR 1222.21(k) (defining “Federally regulated AMC”).</w:t>
      </w:r>
    </w:p>
  </w:footnote>
  <w:footnote w:id="9">
    <w:p w:rsidR="00227339" w:rsidP="00885E25" w14:paraId="06E9C734" w14:textId="3901FA03">
      <w:pPr>
        <w:pStyle w:val="FootnoteText"/>
      </w:pPr>
      <w:r>
        <w:rPr>
          <w:rStyle w:val="FootnoteReference"/>
        </w:rPr>
        <w:footnoteRef/>
      </w:r>
      <w:r>
        <w:t xml:space="preserve"> </w:t>
      </w:r>
      <w:r w:rsidRPr="00F0003E">
        <w:rPr>
          <w:i/>
        </w:rPr>
        <w:t>See</w:t>
      </w:r>
      <w:r>
        <w:t xml:space="preserve"> </w:t>
      </w:r>
      <w:r w:rsidRPr="00B000FA">
        <w:t xml:space="preserve">12 CFR </w:t>
      </w:r>
      <w:r w:rsidRPr="00591046">
        <w:t xml:space="preserve">§§ </w:t>
      </w:r>
      <w:r w:rsidRPr="00B000FA">
        <w:t>1222.20-1222.26</w:t>
      </w:r>
      <w:r>
        <w:t>.  For clarity, the regulatory citations herein are to FHFA’s version of the joint regulations only.</w:t>
      </w:r>
    </w:p>
  </w:footnote>
  <w:footnote w:id="10">
    <w:p w:rsidR="00486544" w:rsidP="00486544" w14:paraId="1E667563" w14:textId="77777777">
      <w:pPr>
        <w:pStyle w:val="FootnoteText"/>
      </w:pPr>
      <w:r>
        <w:rPr>
          <w:rStyle w:val="FootnoteReference"/>
        </w:rPr>
        <w:footnoteRef/>
      </w:r>
      <w:r>
        <w:t xml:space="preserve"> </w:t>
      </w:r>
      <w:r w:rsidRPr="0055587E">
        <w:rPr>
          <w:i/>
        </w:rPr>
        <w:t>See</w:t>
      </w:r>
      <w:r>
        <w:t xml:space="preserve"> 12 CFR 1222.21(c)(1)(iii).</w:t>
      </w:r>
    </w:p>
  </w:footnote>
  <w:footnote w:id="11">
    <w:p w:rsidR="00486544" w:rsidP="00486544" w14:paraId="5BB20BA4" w14:textId="77777777">
      <w:pPr>
        <w:pStyle w:val="FootnoteText"/>
      </w:pPr>
      <w:r>
        <w:rPr>
          <w:rStyle w:val="FootnoteReference"/>
        </w:rPr>
        <w:footnoteRef/>
      </w:r>
      <w:r>
        <w:t xml:space="preserve"> </w:t>
      </w:r>
      <w:r w:rsidRPr="001776B5">
        <w:rPr>
          <w:i/>
        </w:rPr>
        <w:t>See</w:t>
      </w:r>
      <w:r w:rsidRPr="001776B5">
        <w:t xml:space="preserve"> 12 CFR 1222</w:t>
      </w:r>
      <w:r>
        <w:t>.22</w:t>
      </w:r>
      <w:r w:rsidRPr="001776B5">
        <w:t>(b).</w:t>
      </w:r>
    </w:p>
  </w:footnote>
  <w:footnote w:id="12">
    <w:p w:rsidR="00227339" w:rsidP="00563F04" w14:paraId="34F84713" w14:textId="065F2B57">
      <w:pPr>
        <w:pStyle w:val="FootnoteText"/>
      </w:pPr>
      <w:r>
        <w:rPr>
          <w:rStyle w:val="FootnoteReference"/>
        </w:rPr>
        <w:footnoteRef/>
      </w:r>
      <w:r>
        <w:t xml:space="preserve"> </w:t>
      </w:r>
      <w:r w:rsidRPr="00023D41">
        <w:rPr>
          <w:i/>
        </w:rPr>
        <w:t>See</w:t>
      </w:r>
      <w:r>
        <w:t xml:space="preserve"> 12 CFR 1222.23(a).</w:t>
      </w:r>
    </w:p>
  </w:footnote>
  <w:footnote w:id="13">
    <w:p w:rsidR="00227339" w:rsidP="00563F04" w14:paraId="33CB865C" w14:textId="0500BA2E">
      <w:pPr>
        <w:pStyle w:val="FootnoteText"/>
      </w:pPr>
      <w:r>
        <w:rPr>
          <w:rStyle w:val="FootnoteReference"/>
        </w:rPr>
        <w:footnoteRef/>
      </w:r>
      <w:r>
        <w:t xml:space="preserve"> </w:t>
      </w:r>
      <w:r w:rsidRPr="004E38B4">
        <w:rPr>
          <w:i/>
        </w:rPr>
        <w:t>See</w:t>
      </w:r>
      <w:r>
        <w:t xml:space="preserve"> 12 CFR 1222.23(b).  Sections 129E(a) through (i) of the Truth-in-Lending Act are located at 15 U.S.C. 1639e(a)-(i).</w:t>
      </w:r>
    </w:p>
  </w:footnote>
  <w:footnote w:id="14">
    <w:p w:rsidR="00227339" w:rsidP="00563F04" w14:paraId="21EE44D3" w14:textId="2B6CF321">
      <w:pPr>
        <w:pStyle w:val="FootnoteText"/>
      </w:pPr>
      <w:r>
        <w:rPr>
          <w:rStyle w:val="FootnoteReference"/>
        </w:rPr>
        <w:footnoteRef/>
      </w:r>
      <w:r>
        <w:t xml:space="preserve"> </w:t>
      </w:r>
      <w:r w:rsidRPr="00F402E8">
        <w:rPr>
          <w:i/>
        </w:rPr>
        <w:t>See</w:t>
      </w:r>
      <w:r>
        <w:t xml:space="preserve"> 12 CFR §§ 1222.24(a), 25(b).</w:t>
      </w:r>
    </w:p>
  </w:footnote>
  <w:footnote w:id="15">
    <w:p w:rsidR="00227339" w:rsidP="00563F04" w14:paraId="4CD31E7B" w14:textId="77777777">
      <w:pPr>
        <w:pStyle w:val="FootnoteText"/>
      </w:pPr>
      <w:r>
        <w:rPr>
          <w:rStyle w:val="FootnoteReference"/>
        </w:rPr>
        <w:footnoteRef/>
      </w:r>
      <w:r>
        <w:t xml:space="preserve"> </w:t>
      </w:r>
      <w:r w:rsidRPr="00E6668A">
        <w:rPr>
          <w:i/>
        </w:rPr>
        <w:t>See</w:t>
      </w:r>
      <w:r w:rsidRPr="00E6668A">
        <w:t xml:space="preserve"> 12 CFR 1222</w:t>
      </w:r>
      <w:r>
        <w:t>.24</w:t>
      </w:r>
      <w:r w:rsidRPr="00E6668A">
        <w:t>(b).</w:t>
      </w:r>
    </w:p>
  </w:footnote>
  <w:footnote w:id="16">
    <w:p w:rsidR="00227339" w:rsidP="002A6F3B" w14:paraId="78259442" w14:textId="5A0F9B81">
      <w:pPr>
        <w:pStyle w:val="FootnoteText"/>
      </w:pPr>
      <w:r>
        <w:rPr>
          <w:rStyle w:val="FootnoteReference"/>
        </w:rPr>
        <w:footnoteRef/>
      </w:r>
      <w:r>
        <w:t xml:space="preserve"> </w:t>
      </w:r>
      <w:r w:rsidRPr="00A8293F">
        <w:rPr>
          <w:i/>
        </w:rPr>
        <w:t>See</w:t>
      </w:r>
      <w:r w:rsidRPr="00A8293F">
        <w:t xml:space="preserve"> </w:t>
      </w:r>
      <w:r w:rsidRPr="00A8293F" w:rsidR="003D50E5">
        <w:t>90</w:t>
      </w:r>
      <w:r w:rsidRPr="00A8293F">
        <w:t xml:space="preserve"> FR </w:t>
      </w:r>
      <w:r w:rsidRPr="00A8293F" w:rsidR="00A8293F">
        <w:t>3865</w:t>
      </w:r>
      <w:r w:rsidRPr="00A8293F">
        <w:t xml:space="preserve"> (</w:t>
      </w:r>
      <w:r w:rsidRPr="00A8293F" w:rsidR="003D50E5">
        <w:t>Jan. 15, 2025</w:t>
      </w:r>
      <w:r w:rsidRPr="00A8293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339" w:rsidP="00804CF4" w14:paraId="2758BB4B" w14:textId="77777777">
    <w:pPr>
      <w:pStyle w:val="Header"/>
      <w:tabs>
        <w:tab w:val="left" w:pos="2780"/>
        <w:tab w:val="clear" w:pos="4680"/>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339" w:rsidP="00C20338" w14:paraId="5DAFB9F4" w14:textId="3D2796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A56A0"/>
    <w:multiLevelType w:val="hybridMultilevel"/>
    <w:tmpl w:val="19542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17351"/>
    <w:multiLevelType w:val="hybridMultilevel"/>
    <w:tmpl w:val="6690F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CE038E"/>
    <w:multiLevelType w:val="hybridMultilevel"/>
    <w:tmpl w:val="064A8C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BF3C13"/>
    <w:multiLevelType w:val="hybridMultilevel"/>
    <w:tmpl w:val="E2BAA01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32A063F0"/>
    <w:multiLevelType w:val="hybridMultilevel"/>
    <w:tmpl w:val="BB121460"/>
    <w:lvl w:ilvl="0">
      <w:start w:val="1"/>
      <w:numFmt w:val="upperRoman"/>
      <w:lvlText w:val="%1."/>
      <w:lvlJc w:val="left"/>
      <w:pPr>
        <w:ind w:left="1440" w:hanging="720"/>
      </w:pPr>
      <w:rPr>
        <w:rFonts w:hint="default"/>
        <w:b/>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C681173"/>
    <w:multiLevelType w:val="hybridMultilevel"/>
    <w:tmpl w:val="4F32C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71B1929"/>
    <w:multiLevelType w:val="hybridMultilevel"/>
    <w:tmpl w:val="EFE6D154"/>
    <w:lvl w:ilvl="0">
      <w:start w:val="1"/>
      <w:numFmt w:val="upperRoman"/>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5749515">
    <w:abstractNumId w:val="4"/>
  </w:num>
  <w:num w:numId="2" w16cid:durableId="1495953358">
    <w:abstractNumId w:val="0"/>
  </w:num>
  <w:num w:numId="3" w16cid:durableId="779227476">
    <w:abstractNumId w:val="2"/>
  </w:num>
  <w:num w:numId="4" w16cid:durableId="519466954">
    <w:abstractNumId w:val="1"/>
  </w:num>
  <w:num w:numId="5" w16cid:durableId="1263993110">
    <w:abstractNumId w:val="5"/>
  </w:num>
  <w:num w:numId="6" w16cid:durableId="1409035954">
    <w:abstractNumId w:val="6"/>
  </w:num>
  <w:num w:numId="7" w16cid:durableId="195540493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Formatting/>
  <w:documentProtection w:edit="trackedChange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2AB"/>
    <w:rsid w:val="000011E3"/>
    <w:rsid w:val="000012E4"/>
    <w:rsid w:val="000023CE"/>
    <w:rsid w:val="00002620"/>
    <w:rsid w:val="000035C7"/>
    <w:rsid w:val="0000374A"/>
    <w:rsid w:val="00003944"/>
    <w:rsid w:val="0000513E"/>
    <w:rsid w:val="000059B8"/>
    <w:rsid w:val="00005B09"/>
    <w:rsid w:val="00005BE6"/>
    <w:rsid w:val="00005D1A"/>
    <w:rsid w:val="00006AE3"/>
    <w:rsid w:val="0000796E"/>
    <w:rsid w:val="000079A1"/>
    <w:rsid w:val="00007A14"/>
    <w:rsid w:val="000115AA"/>
    <w:rsid w:val="00011D37"/>
    <w:rsid w:val="000133B8"/>
    <w:rsid w:val="00014883"/>
    <w:rsid w:val="0002043C"/>
    <w:rsid w:val="00021D24"/>
    <w:rsid w:val="000227F0"/>
    <w:rsid w:val="00022ED3"/>
    <w:rsid w:val="00023106"/>
    <w:rsid w:val="00023AA4"/>
    <w:rsid w:val="00023D41"/>
    <w:rsid w:val="00024629"/>
    <w:rsid w:val="00025411"/>
    <w:rsid w:val="00025A5D"/>
    <w:rsid w:val="00026D4D"/>
    <w:rsid w:val="0002766B"/>
    <w:rsid w:val="000308A3"/>
    <w:rsid w:val="00034B9E"/>
    <w:rsid w:val="00034E17"/>
    <w:rsid w:val="000359E1"/>
    <w:rsid w:val="00041D07"/>
    <w:rsid w:val="0004273B"/>
    <w:rsid w:val="00043FCE"/>
    <w:rsid w:val="00044AB8"/>
    <w:rsid w:val="00045215"/>
    <w:rsid w:val="00045437"/>
    <w:rsid w:val="00045C5F"/>
    <w:rsid w:val="00045FF3"/>
    <w:rsid w:val="00046269"/>
    <w:rsid w:val="00046A16"/>
    <w:rsid w:val="00047312"/>
    <w:rsid w:val="0004795F"/>
    <w:rsid w:val="00050387"/>
    <w:rsid w:val="000514B0"/>
    <w:rsid w:val="00051989"/>
    <w:rsid w:val="00052ECD"/>
    <w:rsid w:val="00053270"/>
    <w:rsid w:val="00053EC0"/>
    <w:rsid w:val="00054B72"/>
    <w:rsid w:val="00056655"/>
    <w:rsid w:val="00057697"/>
    <w:rsid w:val="00060DC2"/>
    <w:rsid w:val="00062128"/>
    <w:rsid w:val="000623DB"/>
    <w:rsid w:val="00062FE3"/>
    <w:rsid w:val="00064236"/>
    <w:rsid w:val="00066EBB"/>
    <w:rsid w:val="0006725A"/>
    <w:rsid w:val="00067804"/>
    <w:rsid w:val="00070B3E"/>
    <w:rsid w:val="00072F14"/>
    <w:rsid w:val="0007305A"/>
    <w:rsid w:val="00073A28"/>
    <w:rsid w:val="00075BF0"/>
    <w:rsid w:val="00076704"/>
    <w:rsid w:val="000768A9"/>
    <w:rsid w:val="00080C66"/>
    <w:rsid w:val="0008124F"/>
    <w:rsid w:val="0008144D"/>
    <w:rsid w:val="00081724"/>
    <w:rsid w:val="00081E6F"/>
    <w:rsid w:val="00082F41"/>
    <w:rsid w:val="0008454E"/>
    <w:rsid w:val="0008559A"/>
    <w:rsid w:val="00085C9C"/>
    <w:rsid w:val="00086625"/>
    <w:rsid w:val="0008701D"/>
    <w:rsid w:val="00091641"/>
    <w:rsid w:val="00092831"/>
    <w:rsid w:val="00092B27"/>
    <w:rsid w:val="000932E8"/>
    <w:rsid w:val="00094C20"/>
    <w:rsid w:val="0009531A"/>
    <w:rsid w:val="00095BC9"/>
    <w:rsid w:val="00095ED1"/>
    <w:rsid w:val="00096D08"/>
    <w:rsid w:val="000A0A21"/>
    <w:rsid w:val="000A0A2A"/>
    <w:rsid w:val="000A1032"/>
    <w:rsid w:val="000A30D0"/>
    <w:rsid w:val="000A359D"/>
    <w:rsid w:val="000A37DA"/>
    <w:rsid w:val="000A4FB6"/>
    <w:rsid w:val="000A4FD8"/>
    <w:rsid w:val="000A5626"/>
    <w:rsid w:val="000A57C3"/>
    <w:rsid w:val="000B076A"/>
    <w:rsid w:val="000B2CAC"/>
    <w:rsid w:val="000B3737"/>
    <w:rsid w:val="000B383F"/>
    <w:rsid w:val="000B3866"/>
    <w:rsid w:val="000B413C"/>
    <w:rsid w:val="000B588A"/>
    <w:rsid w:val="000B6265"/>
    <w:rsid w:val="000B6CC6"/>
    <w:rsid w:val="000B72BD"/>
    <w:rsid w:val="000B72F9"/>
    <w:rsid w:val="000B78DF"/>
    <w:rsid w:val="000B7930"/>
    <w:rsid w:val="000C1A58"/>
    <w:rsid w:val="000C24DD"/>
    <w:rsid w:val="000C2AC9"/>
    <w:rsid w:val="000C2B3F"/>
    <w:rsid w:val="000C3601"/>
    <w:rsid w:val="000C4133"/>
    <w:rsid w:val="000C5B3F"/>
    <w:rsid w:val="000C711F"/>
    <w:rsid w:val="000C7B0F"/>
    <w:rsid w:val="000D0A01"/>
    <w:rsid w:val="000D10B5"/>
    <w:rsid w:val="000D1392"/>
    <w:rsid w:val="000D1D2C"/>
    <w:rsid w:val="000D33E4"/>
    <w:rsid w:val="000D34A1"/>
    <w:rsid w:val="000D4EF6"/>
    <w:rsid w:val="000D66BD"/>
    <w:rsid w:val="000E4754"/>
    <w:rsid w:val="000E4839"/>
    <w:rsid w:val="000E6295"/>
    <w:rsid w:val="000E74B2"/>
    <w:rsid w:val="000E7EE5"/>
    <w:rsid w:val="000F0031"/>
    <w:rsid w:val="000F086E"/>
    <w:rsid w:val="000F0CB3"/>
    <w:rsid w:val="000F1BEC"/>
    <w:rsid w:val="000F21CE"/>
    <w:rsid w:val="000F2BE3"/>
    <w:rsid w:val="000F2F5A"/>
    <w:rsid w:val="000F3F6F"/>
    <w:rsid w:val="000F5032"/>
    <w:rsid w:val="000F6F88"/>
    <w:rsid w:val="000F7419"/>
    <w:rsid w:val="00100BD9"/>
    <w:rsid w:val="00100C3C"/>
    <w:rsid w:val="00101643"/>
    <w:rsid w:val="00101C8B"/>
    <w:rsid w:val="00101DBF"/>
    <w:rsid w:val="0010213F"/>
    <w:rsid w:val="0010235D"/>
    <w:rsid w:val="00104E02"/>
    <w:rsid w:val="00104E4D"/>
    <w:rsid w:val="0010547E"/>
    <w:rsid w:val="001054B9"/>
    <w:rsid w:val="001062F8"/>
    <w:rsid w:val="00106509"/>
    <w:rsid w:val="00106693"/>
    <w:rsid w:val="00106E82"/>
    <w:rsid w:val="001071C7"/>
    <w:rsid w:val="001078A6"/>
    <w:rsid w:val="001103BD"/>
    <w:rsid w:val="00110498"/>
    <w:rsid w:val="00111CDA"/>
    <w:rsid w:val="00112A8D"/>
    <w:rsid w:val="00112C61"/>
    <w:rsid w:val="00113028"/>
    <w:rsid w:val="001139A0"/>
    <w:rsid w:val="00113E2A"/>
    <w:rsid w:val="00114EC0"/>
    <w:rsid w:val="001152F8"/>
    <w:rsid w:val="001157A4"/>
    <w:rsid w:val="00115AD5"/>
    <w:rsid w:val="00115FA4"/>
    <w:rsid w:val="00116E01"/>
    <w:rsid w:val="00122868"/>
    <w:rsid w:val="00123BF5"/>
    <w:rsid w:val="00123F05"/>
    <w:rsid w:val="001244E0"/>
    <w:rsid w:val="0012476E"/>
    <w:rsid w:val="0012492F"/>
    <w:rsid w:val="00125801"/>
    <w:rsid w:val="001269D9"/>
    <w:rsid w:val="0012716A"/>
    <w:rsid w:val="0012775E"/>
    <w:rsid w:val="00130086"/>
    <w:rsid w:val="001315C2"/>
    <w:rsid w:val="0013277F"/>
    <w:rsid w:val="0013423F"/>
    <w:rsid w:val="00134D20"/>
    <w:rsid w:val="00135055"/>
    <w:rsid w:val="00136348"/>
    <w:rsid w:val="001372D7"/>
    <w:rsid w:val="0013768F"/>
    <w:rsid w:val="00140A21"/>
    <w:rsid w:val="00141841"/>
    <w:rsid w:val="00143370"/>
    <w:rsid w:val="001435F8"/>
    <w:rsid w:val="00143685"/>
    <w:rsid w:val="0014465E"/>
    <w:rsid w:val="00145006"/>
    <w:rsid w:val="00145C8B"/>
    <w:rsid w:val="00145D71"/>
    <w:rsid w:val="00145D92"/>
    <w:rsid w:val="00145FCF"/>
    <w:rsid w:val="001507B0"/>
    <w:rsid w:val="0015116D"/>
    <w:rsid w:val="001515F4"/>
    <w:rsid w:val="00151946"/>
    <w:rsid w:val="00151AAA"/>
    <w:rsid w:val="001531A8"/>
    <w:rsid w:val="00153B72"/>
    <w:rsid w:val="00154527"/>
    <w:rsid w:val="00154A95"/>
    <w:rsid w:val="00154E02"/>
    <w:rsid w:val="00155461"/>
    <w:rsid w:val="00156AD7"/>
    <w:rsid w:val="00157CEC"/>
    <w:rsid w:val="00160133"/>
    <w:rsid w:val="00160EC7"/>
    <w:rsid w:val="00161250"/>
    <w:rsid w:val="00161ED7"/>
    <w:rsid w:val="00163655"/>
    <w:rsid w:val="00163AD3"/>
    <w:rsid w:val="00163BEF"/>
    <w:rsid w:val="00163CB8"/>
    <w:rsid w:val="0016592E"/>
    <w:rsid w:val="00165AED"/>
    <w:rsid w:val="001676DB"/>
    <w:rsid w:val="0016779C"/>
    <w:rsid w:val="00167B16"/>
    <w:rsid w:val="001707C6"/>
    <w:rsid w:val="00170827"/>
    <w:rsid w:val="00170844"/>
    <w:rsid w:val="00170A5F"/>
    <w:rsid w:val="0017123E"/>
    <w:rsid w:val="00171525"/>
    <w:rsid w:val="00172313"/>
    <w:rsid w:val="001723F0"/>
    <w:rsid w:val="00172EBB"/>
    <w:rsid w:val="00173E01"/>
    <w:rsid w:val="0017758F"/>
    <w:rsid w:val="001776B5"/>
    <w:rsid w:val="00177787"/>
    <w:rsid w:val="001800E7"/>
    <w:rsid w:val="00180C75"/>
    <w:rsid w:val="001816DA"/>
    <w:rsid w:val="001828FF"/>
    <w:rsid w:val="00182B9B"/>
    <w:rsid w:val="00183383"/>
    <w:rsid w:val="00184E4C"/>
    <w:rsid w:val="00185E11"/>
    <w:rsid w:val="00191C22"/>
    <w:rsid w:val="0019395C"/>
    <w:rsid w:val="0019485D"/>
    <w:rsid w:val="00194EE8"/>
    <w:rsid w:val="00195D9E"/>
    <w:rsid w:val="00196C77"/>
    <w:rsid w:val="00196ED3"/>
    <w:rsid w:val="0019719A"/>
    <w:rsid w:val="001A0413"/>
    <w:rsid w:val="001A0ABC"/>
    <w:rsid w:val="001A0ECB"/>
    <w:rsid w:val="001A11A7"/>
    <w:rsid w:val="001A1BD4"/>
    <w:rsid w:val="001A23FE"/>
    <w:rsid w:val="001A25CF"/>
    <w:rsid w:val="001A2A05"/>
    <w:rsid w:val="001A50BB"/>
    <w:rsid w:val="001A569D"/>
    <w:rsid w:val="001A6828"/>
    <w:rsid w:val="001A7555"/>
    <w:rsid w:val="001B034D"/>
    <w:rsid w:val="001B17F2"/>
    <w:rsid w:val="001B1B01"/>
    <w:rsid w:val="001B1B86"/>
    <w:rsid w:val="001B1E16"/>
    <w:rsid w:val="001B2BA6"/>
    <w:rsid w:val="001B2F7C"/>
    <w:rsid w:val="001B376D"/>
    <w:rsid w:val="001B4FA3"/>
    <w:rsid w:val="001B508D"/>
    <w:rsid w:val="001B50AF"/>
    <w:rsid w:val="001B6477"/>
    <w:rsid w:val="001B6C9D"/>
    <w:rsid w:val="001B6EF3"/>
    <w:rsid w:val="001C0154"/>
    <w:rsid w:val="001C1155"/>
    <w:rsid w:val="001C2B75"/>
    <w:rsid w:val="001C2EB6"/>
    <w:rsid w:val="001C319E"/>
    <w:rsid w:val="001C36C9"/>
    <w:rsid w:val="001C3FD9"/>
    <w:rsid w:val="001C4052"/>
    <w:rsid w:val="001C4CB0"/>
    <w:rsid w:val="001C518D"/>
    <w:rsid w:val="001C77FC"/>
    <w:rsid w:val="001C7C8C"/>
    <w:rsid w:val="001D1DEA"/>
    <w:rsid w:val="001D2435"/>
    <w:rsid w:val="001D25E2"/>
    <w:rsid w:val="001D28F3"/>
    <w:rsid w:val="001D3D0B"/>
    <w:rsid w:val="001D4540"/>
    <w:rsid w:val="001D470A"/>
    <w:rsid w:val="001D50E2"/>
    <w:rsid w:val="001D57CE"/>
    <w:rsid w:val="001D6376"/>
    <w:rsid w:val="001D6481"/>
    <w:rsid w:val="001D66B3"/>
    <w:rsid w:val="001D7A60"/>
    <w:rsid w:val="001D7D9A"/>
    <w:rsid w:val="001E020B"/>
    <w:rsid w:val="001E1912"/>
    <w:rsid w:val="001E1949"/>
    <w:rsid w:val="001E1E05"/>
    <w:rsid w:val="001E2880"/>
    <w:rsid w:val="001E3203"/>
    <w:rsid w:val="001E3735"/>
    <w:rsid w:val="001E651B"/>
    <w:rsid w:val="001E6BA2"/>
    <w:rsid w:val="001E7309"/>
    <w:rsid w:val="001E7F25"/>
    <w:rsid w:val="001E7FF6"/>
    <w:rsid w:val="001F0725"/>
    <w:rsid w:val="001F1099"/>
    <w:rsid w:val="001F124D"/>
    <w:rsid w:val="001F2B18"/>
    <w:rsid w:val="001F2B45"/>
    <w:rsid w:val="001F402F"/>
    <w:rsid w:val="001F4062"/>
    <w:rsid w:val="001F5126"/>
    <w:rsid w:val="001F60A0"/>
    <w:rsid w:val="001F69EF"/>
    <w:rsid w:val="001F6C0B"/>
    <w:rsid w:val="001F733C"/>
    <w:rsid w:val="0020185D"/>
    <w:rsid w:val="002021FC"/>
    <w:rsid w:val="0020233C"/>
    <w:rsid w:val="0020246A"/>
    <w:rsid w:val="0020273F"/>
    <w:rsid w:val="00202F5B"/>
    <w:rsid w:val="0020453A"/>
    <w:rsid w:val="00204822"/>
    <w:rsid w:val="00204A68"/>
    <w:rsid w:val="002054ED"/>
    <w:rsid w:val="00205C2B"/>
    <w:rsid w:val="00206248"/>
    <w:rsid w:val="002068BD"/>
    <w:rsid w:val="00210B9D"/>
    <w:rsid w:val="0021136F"/>
    <w:rsid w:val="00211A8F"/>
    <w:rsid w:val="00211B26"/>
    <w:rsid w:val="00212723"/>
    <w:rsid w:val="0021353D"/>
    <w:rsid w:val="002137EF"/>
    <w:rsid w:val="00214E73"/>
    <w:rsid w:val="00216321"/>
    <w:rsid w:val="0021659D"/>
    <w:rsid w:val="0021688A"/>
    <w:rsid w:val="00220653"/>
    <w:rsid w:val="002219F7"/>
    <w:rsid w:val="002224FD"/>
    <w:rsid w:val="002225B8"/>
    <w:rsid w:val="0022277A"/>
    <w:rsid w:val="00222BC5"/>
    <w:rsid w:val="002265B1"/>
    <w:rsid w:val="00226EAF"/>
    <w:rsid w:val="00227339"/>
    <w:rsid w:val="002275B6"/>
    <w:rsid w:val="00227C75"/>
    <w:rsid w:val="00227E78"/>
    <w:rsid w:val="00230684"/>
    <w:rsid w:val="00230AE9"/>
    <w:rsid w:val="00230CAF"/>
    <w:rsid w:val="00230D3A"/>
    <w:rsid w:val="00230E0C"/>
    <w:rsid w:val="0023181C"/>
    <w:rsid w:val="002329F3"/>
    <w:rsid w:val="00232BE0"/>
    <w:rsid w:val="00233DA1"/>
    <w:rsid w:val="002343FF"/>
    <w:rsid w:val="002349B8"/>
    <w:rsid w:val="00235CA5"/>
    <w:rsid w:val="0023733F"/>
    <w:rsid w:val="00237B38"/>
    <w:rsid w:val="00237EBD"/>
    <w:rsid w:val="00240190"/>
    <w:rsid w:val="00240A1F"/>
    <w:rsid w:val="00240EE6"/>
    <w:rsid w:val="00241A66"/>
    <w:rsid w:val="00241C87"/>
    <w:rsid w:val="00242CE0"/>
    <w:rsid w:val="00243982"/>
    <w:rsid w:val="002442B0"/>
    <w:rsid w:val="002449BF"/>
    <w:rsid w:val="0024577E"/>
    <w:rsid w:val="00245959"/>
    <w:rsid w:val="00245BD6"/>
    <w:rsid w:val="002466B3"/>
    <w:rsid w:val="00251368"/>
    <w:rsid w:val="00252E1D"/>
    <w:rsid w:val="0025342E"/>
    <w:rsid w:val="0025343F"/>
    <w:rsid w:val="00254033"/>
    <w:rsid w:val="00254426"/>
    <w:rsid w:val="00254459"/>
    <w:rsid w:val="002552DF"/>
    <w:rsid w:val="0025548C"/>
    <w:rsid w:val="00256567"/>
    <w:rsid w:val="00257E91"/>
    <w:rsid w:val="00260C7E"/>
    <w:rsid w:val="002618A3"/>
    <w:rsid w:val="00263E08"/>
    <w:rsid w:val="00263E5A"/>
    <w:rsid w:val="002643C9"/>
    <w:rsid w:val="00264555"/>
    <w:rsid w:val="00264D7D"/>
    <w:rsid w:val="00266524"/>
    <w:rsid w:val="002669F2"/>
    <w:rsid w:val="002671B9"/>
    <w:rsid w:val="0027042F"/>
    <w:rsid w:val="00270508"/>
    <w:rsid w:val="00270BD2"/>
    <w:rsid w:val="002710A2"/>
    <w:rsid w:val="00271AE2"/>
    <w:rsid w:val="00272213"/>
    <w:rsid w:val="00272E19"/>
    <w:rsid w:val="0027346A"/>
    <w:rsid w:val="0027387D"/>
    <w:rsid w:val="00274481"/>
    <w:rsid w:val="0027506B"/>
    <w:rsid w:val="0027517F"/>
    <w:rsid w:val="00275252"/>
    <w:rsid w:val="00277B02"/>
    <w:rsid w:val="00280139"/>
    <w:rsid w:val="00280DE0"/>
    <w:rsid w:val="0028181D"/>
    <w:rsid w:val="00281B4F"/>
    <w:rsid w:val="00281CBE"/>
    <w:rsid w:val="002832DE"/>
    <w:rsid w:val="002837E9"/>
    <w:rsid w:val="00284BE5"/>
    <w:rsid w:val="00290D9F"/>
    <w:rsid w:val="002912D7"/>
    <w:rsid w:val="002943DF"/>
    <w:rsid w:val="00295177"/>
    <w:rsid w:val="00295217"/>
    <w:rsid w:val="002958B4"/>
    <w:rsid w:val="002967EF"/>
    <w:rsid w:val="002977C5"/>
    <w:rsid w:val="002A0C0A"/>
    <w:rsid w:val="002A1D88"/>
    <w:rsid w:val="002A243E"/>
    <w:rsid w:val="002A26DC"/>
    <w:rsid w:val="002A3145"/>
    <w:rsid w:val="002A365C"/>
    <w:rsid w:val="002A3886"/>
    <w:rsid w:val="002A4E8E"/>
    <w:rsid w:val="002A62AC"/>
    <w:rsid w:val="002A6F3B"/>
    <w:rsid w:val="002A6F66"/>
    <w:rsid w:val="002A7076"/>
    <w:rsid w:val="002A79D7"/>
    <w:rsid w:val="002A7C28"/>
    <w:rsid w:val="002B1410"/>
    <w:rsid w:val="002B1781"/>
    <w:rsid w:val="002B19D8"/>
    <w:rsid w:val="002B2823"/>
    <w:rsid w:val="002B33B7"/>
    <w:rsid w:val="002B499B"/>
    <w:rsid w:val="002B67CD"/>
    <w:rsid w:val="002B6E8C"/>
    <w:rsid w:val="002C01C3"/>
    <w:rsid w:val="002C0655"/>
    <w:rsid w:val="002C1469"/>
    <w:rsid w:val="002C1B4D"/>
    <w:rsid w:val="002C22C1"/>
    <w:rsid w:val="002C2A78"/>
    <w:rsid w:val="002C2BE2"/>
    <w:rsid w:val="002C2F6D"/>
    <w:rsid w:val="002C3460"/>
    <w:rsid w:val="002C5165"/>
    <w:rsid w:val="002C6910"/>
    <w:rsid w:val="002C6CDC"/>
    <w:rsid w:val="002C751F"/>
    <w:rsid w:val="002C7EDF"/>
    <w:rsid w:val="002D145E"/>
    <w:rsid w:val="002D2B6F"/>
    <w:rsid w:val="002D3D68"/>
    <w:rsid w:val="002D4BA4"/>
    <w:rsid w:val="002D526D"/>
    <w:rsid w:val="002D5666"/>
    <w:rsid w:val="002D5C0C"/>
    <w:rsid w:val="002D5C1E"/>
    <w:rsid w:val="002D72A7"/>
    <w:rsid w:val="002D7FDC"/>
    <w:rsid w:val="002E10A3"/>
    <w:rsid w:val="002E1122"/>
    <w:rsid w:val="002E154E"/>
    <w:rsid w:val="002E3170"/>
    <w:rsid w:val="002E4484"/>
    <w:rsid w:val="002E6346"/>
    <w:rsid w:val="002E6746"/>
    <w:rsid w:val="002E699F"/>
    <w:rsid w:val="002E6F83"/>
    <w:rsid w:val="002E75FF"/>
    <w:rsid w:val="002F0BEC"/>
    <w:rsid w:val="002F2897"/>
    <w:rsid w:val="002F371A"/>
    <w:rsid w:val="002F3923"/>
    <w:rsid w:val="002F3E9B"/>
    <w:rsid w:val="002F4E7C"/>
    <w:rsid w:val="002F5B22"/>
    <w:rsid w:val="002F621E"/>
    <w:rsid w:val="002F62E6"/>
    <w:rsid w:val="002F6EC8"/>
    <w:rsid w:val="002F7353"/>
    <w:rsid w:val="002F757E"/>
    <w:rsid w:val="002F7D87"/>
    <w:rsid w:val="00301B9E"/>
    <w:rsid w:val="00301EF0"/>
    <w:rsid w:val="0030283D"/>
    <w:rsid w:val="00302D04"/>
    <w:rsid w:val="00302EA2"/>
    <w:rsid w:val="00302F1D"/>
    <w:rsid w:val="003042C0"/>
    <w:rsid w:val="00304A77"/>
    <w:rsid w:val="003052A6"/>
    <w:rsid w:val="00306015"/>
    <w:rsid w:val="0031068B"/>
    <w:rsid w:val="003113F8"/>
    <w:rsid w:val="003120CF"/>
    <w:rsid w:val="00314335"/>
    <w:rsid w:val="00314D65"/>
    <w:rsid w:val="00316612"/>
    <w:rsid w:val="0032053F"/>
    <w:rsid w:val="00320A7B"/>
    <w:rsid w:val="00321B42"/>
    <w:rsid w:val="003228A4"/>
    <w:rsid w:val="00323A4E"/>
    <w:rsid w:val="00323D86"/>
    <w:rsid w:val="00323FD5"/>
    <w:rsid w:val="00324FEA"/>
    <w:rsid w:val="00325343"/>
    <w:rsid w:val="003260AD"/>
    <w:rsid w:val="00326BDF"/>
    <w:rsid w:val="00326C4F"/>
    <w:rsid w:val="00326D47"/>
    <w:rsid w:val="0033157C"/>
    <w:rsid w:val="0033190E"/>
    <w:rsid w:val="003353E4"/>
    <w:rsid w:val="003359BE"/>
    <w:rsid w:val="0033681F"/>
    <w:rsid w:val="00337B5C"/>
    <w:rsid w:val="00341BBB"/>
    <w:rsid w:val="00341EDB"/>
    <w:rsid w:val="003421A9"/>
    <w:rsid w:val="00342258"/>
    <w:rsid w:val="00342BFE"/>
    <w:rsid w:val="00343187"/>
    <w:rsid w:val="00343527"/>
    <w:rsid w:val="0034504F"/>
    <w:rsid w:val="003459DE"/>
    <w:rsid w:val="00345ACA"/>
    <w:rsid w:val="003473DF"/>
    <w:rsid w:val="0035213C"/>
    <w:rsid w:val="003529BA"/>
    <w:rsid w:val="00352CBB"/>
    <w:rsid w:val="00354127"/>
    <w:rsid w:val="00354615"/>
    <w:rsid w:val="00355412"/>
    <w:rsid w:val="00355FF3"/>
    <w:rsid w:val="003561FA"/>
    <w:rsid w:val="00356568"/>
    <w:rsid w:val="00356B0B"/>
    <w:rsid w:val="00356E9E"/>
    <w:rsid w:val="003572CF"/>
    <w:rsid w:val="00357539"/>
    <w:rsid w:val="00360609"/>
    <w:rsid w:val="00362594"/>
    <w:rsid w:val="00362AD4"/>
    <w:rsid w:val="00364B1B"/>
    <w:rsid w:val="003659EC"/>
    <w:rsid w:val="00365F92"/>
    <w:rsid w:val="00366961"/>
    <w:rsid w:val="00367782"/>
    <w:rsid w:val="003733F8"/>
    <w:rsid w:val="00373C37"/>
    <w:rsid w:val="00374AC6"/>
    <w:rsid w:val="003767FA"/>
    <w:rsid w:val="00376C79"/>
    <w:rsid w:val="0037777C"/>
    <w:rsid w:val="003777BA"/>
    <w:rsid w:val="00377A12"/>
    <w:rsid w:val="00377EE1"/>
    <w:rsid w:val="00380FC5"/>
    <w:rsid w:val="003820CB"/>
    <w:rsid w:val="003835E0"/>
    <w:rsid w:val="00383D34"/>
    <w:rsid w:val="00383DDB"/>
    <w:rsid w:val="003855DA"/>
    <w:rsid w:val="0038675E"/>
    <w:rsid w:val="003869F0"/>
    <w:rsid w:val="00386CA7"/>
    <w:rsid w:val="003878FB"/>
    <w:rsid w:val="003915B0"/>
    <w:rsid w:val="00391709"/>
    <w:rsid w:val="0039190E"/>
    <w:rsid w:val="00392151"/>
    <w:rsid w:val="00392EC4"/>
    <w:rsid w:val="00393725"/>
    <w:rsid w:val="0039452F"/>
    <w:rsid w:val="0039697E"/>
    <w:rsid w:val="0039798A"/>
    <w:rsid w:val="003A0A68"/>
    <w:rsid w:val="003A2271"/>
    <w:rsid w:val="003A2D53"/>
    <w:rsid w:val="003A35C0"/>
    <w:rsid w:val="003A3A31"/>
    <w:rsid w:val="003A41A2"/>
    <w:rsid w:val="003A44C8"/>
    <w:rsid w:val="003A585E"/>
    <w:rsid w:val="003A6E0E"/>
    <w:rsid w:val="003A7087"/>
    <w:rsid w:val="003A734C"/>
    <w:rsid w:val="003B0AF6"/>
    <w:rsid w:val="003B0F77"/>
    <w:rsid w:val="003B1498"/>
    <w:rsid w:val="003B174D"/>
    <w:rsid w:val="003B2508"/>
    <w:rsid w:val="003B35FB"/>
    <w:rsid w:val="003B3D1C"/>
    <w:rsid w:val="003B5053"/>
    <w:rsid w:val="003B5474"/>
    <w:rsid w:val="003B6783"/>
    <w:rsid w:val="003B72E9"/>
    <w:rsid w:val="003B7595"/>
    <w:rsid w:val="003C0425"/>
    <w:rsid w:val="003C068D"/>
    <w:rsid w:val="003C0CE0"/>
    <w:rsid w:val="003C1A84"/>
    <w:rsid w:val="003C3246"/>
    <w:rsid w:val="003C5827"/>
    <w:rsid w:val="003C682C"/>
    <w:rsid w:val="003C78DB"/>
    <w:rsid w:val="003D045F"/>
    <w:rsid w:val="003D1309"/>
    <w:rsid w:val="003D1DD6"/>
    <w:rsid w:val="003D2929"/>
    <w:rsid w:val="003D2946"/>
    <w:rsid w:val="003D3101"/>
    <w:rsid w:val="003D50E5"/>
    <w:rsid w:val="003D5223"/>
    <w:rsid w:val="003D5A33"/>
    <w:rsid w:val="003D5FFA"/>
    <w:rsid w:val="003D7B92"/>
    <w:rsid w:val="003E1917"/>
    <w:rsid w:val="003E1BC0"/>
    <w:rsid w:val="003E240A"/>
    <w:rsid w:val="003E3D33"/>
    <w:rsid w:val="003E46D6"/>
    <w:rsid w:val="003E5021"/>
    <w:rsid w:val="003E53DF"/>
    <w:rsid w:val="003E5BFA"/>
    <w:rsid w:val="003E644F"/>
    <w:rsid w:val="003E704A"/>
    <w:rsid w:val="003F24EF"/>
    <w:rsid w:val="003F3032"/>
    <w:rsid w:val="003F312B"/>
    <w:rsid w:val="003F3D85"/>
    <w:rsid w:val="003F3DA6"/>
    <w:rsid w:val="003F4A55"/>
    <w:rsid w:val="003F58AD"/>
    <w:rsid w:val="003F6698"/>
    <w:rsid w:val="003F7348"/>
    <w:rsid w:val="003F7677"/>
    <w:rsid w:val="003F76BA"/>
    <w:rsid w:val="003F7D78"/>
    <w:rsid w:val="0040225D"/>
    <w:rsid w:val="00402624"/>
    <w:rsid w:val="00402948"/>
    <w:rsid w:val="00403846"/>
    <w:rsid w:val="00404EC5"/>
    <w:rsid w:val="0040516E"/>
    <w:rsid w:val="004058A6"/>
    <w:rsid w:val="004059E8"/>
    <w:rsid w:val="00406019"/>
    <w:rsid w:val="00407614"/>
    <w:rsid w:val="00410CFA"/>
    <w:rsid w:val="004111D7"/>
    <w:rsid w:val="00411A55"/>
    <w:rsid w:val="00411BD5"/>
    <w:rsid w:val="00411C47"/>
    <w:rsid w:val="004139CF"/>
    <w:rsid w:val="0041540F"/>
    <w:rsid w:val="00415B2C"/>
    <w:rsid w:val="0041627A"/>
    <w:rsid w:val="0041635F"/>
    <w:rsid w:val="0041711C"/>
    <w:rsid w:val="00417559"/>
    <w:rsid w:val="00417AC4"/>
    <w:rsid w:val="00417B90"/>
    <w:rsid w:val="00417DF1"/>
    <w:rsid w:val="004200BF"/>
    <w:rsid w:val="0042033C"/>
    <w:rsid w:val="00420906"/>
    <w:rsid w:val="00420E7E"/>
    <w:rsid w:val="004226E0"/>
    <w:rsid w:val="00423B27"/>
    <w:rsid w:val="00423E26"/>
    <w:rsid w:val="00424031"/>
    <w:rsid w:val="004259A9"/>
    <w:rsid w:val="00426232"/>
    <w:rsid w:val="0043063E"/>
    <w:rsid w:val="004310F8"/>
    <w:rsid w:val="00431E16"/>
    <w:rsid w:val="00431E8C"/>
    <w:rsid w:val="00431F06"/>
    <w:rsid w:val="00432C90"/>
    <w:rsid w:val="00433BB4"/>
    <w:rsid w:val="00435A9B"/>
    <w:rsid w:val="00436B07"/>
    <w:rsid w:val="00436B37"/>
    <w:rsid w:val="00436EF0"/>
    <w:rsid w:val="004373A0"/>
    <w:rsid w:val="00437740"/>
    <w:rsid w:val="00437C55"/>
    <w:rsid w:val="00440619"/>
    <w:rsid w:val="00440627"/>
    <w:rsid w:val="00440C8A"/>
    <w:rsid w:val="00440DDC"/>
    <w:rsid w:val="00442B5D"/>
    <w:rsid w:val="00443B1B"/>
    <w:rsid w:val="00444D4F"/>
    <w:rsid w:val="00445F28"/>
    <w:rsid w:val="004460B8"/>
    <w:rsid w:val="004460CF"/>
    <w:rsid w:val="0044627A"/>
    <w:rsid w:val="004467E0"/>
    <w:rsid w:val="004513F3"/>
    <w:rsid w:val="0045227C"/>
    <w:rsid w:val="00454467"/>
    <w:rsid w:val="00455C5E"/>
    <w:rsid w:val="00456504"/>
    <w:rsid w:val="00456FF9"/>
    <w:rsid w:val="00457B05"/>
    <w:rsid w:val="00457BD2"/>
    <w:rsid w:val="004609A2"/>
    <w:rsid w:val="00461560"/>
    <w:rsid w:val="00461B34"/>
    <w:rsid w:val="00461E37"/>
    <w:rsid w:val="0046462C"/>
    <w:rsid w:val="00465162"/>
    <w:rsid w:val="004662E9"/>
    <w:rsid w:val="00466B96"/>
    <w:rsid w:val="0046738D"/>
    <w:rsid w:val="004677B3"/>
    <w:rsid w:val="00467E0E"/>
    <w:rsid w:val="00467E67"/>
    <w:rsid w:val="0047065E"/>
    <w:rsid w:val="00470C14"/>
    <w:rsid w:val="004720DD"/>
    <w:rsid w:val="00472A0B"/>
    <w:rsid w:val="00472D12"/>
    <w:rsid w:val="004732BC"/>
    <w:rsid w:val="0047354F"/>
    <w:rsid w:val="004742F4"/>
    <w:rsid w:val="0047492C"/>
    <w:rsid w:val="00475A48"/>
    <w:rsid w:val="00475A4D"/>
    <w:rsid w:val="00475ED3"/>
    <w:rsid w:val="0047616C"/>
    <w:rsid w:val="00476465"/>
    <w:rsid w:val="00476FB3"/>
    <w:rsid w:val="00477590"/>
    <w:rsid w:val="004800F2"/>
    <w:rsid w:val="00481397"/>
    <w:rsid w:val="00482279"/>
    <w:rsid w:val="00482619"/>
    <w:rsid w:val="00483F12"/>
    <w:rsid w:val="00484A42"/>
    <w:rsid w:val="00484D67"/>
    <w:rsid w:val="00484DF0"/>
    <w:rsid w:val="0048560F"/>
    <w:rsid w:val="00485DAD"/>
    <w:rsid w:val="00486544"/>
    <w:rsid w:val="0048753F"/>
    <w:rsid w:val="00487AAF"/>
    <w:rsid w:val="004902C8"/>
    <w:rsid w:val="004908CF"/>
    <w:rsid w:val="00490F2A"/>
    <w:rsid w:val="00492AAA"/>
    <w:rsid w:val="00493902"/>
    <w:rsid w:val="00494E55"/>
    <w:rsid w:val="004950DA"/>
    <w:rsid w:val="004966AC"/>
    <w:rsid w:val="004978F5"/>
    <w:rsid w:val="004A07F6"/>
    <w:rsid w:val="004A0CD6"/>
    <w:rsid w:val="004A47C7"/>
    <w:rsid w:val="004A4DF2"/>
    <w:rsid w:val="004A4FF6"/>
    <w:rsid w:val="004A65BB"/>
    <w:rsid w:val="004A6D53"/>
    <w:rsid w:val="004A6EB4"/>
    <w:rsid w:val="004A748A"/>
    <w:rsid w:val="004A76E4"/>
    <w:rsid w:val="004B13D8"/>
    <w:rsid w:val="004B1FC5"/>
    <w:rsid w:val="004B215E"/>
    <w:rsid w:val="004B2B8F"/>
    <w:rsid w:val="004B6816"/>
    <w:rsid w:val="004C0291"/>
    <w:rsid w:val="004C063F"/>
    <w:rsid w:val="004C0B47"/>
    <w:rsid w:val="004C1001"/>
    <w:rsid w:val="004C1F8D"/>
    <w:rsid w:val="004C24E4"/>
    <w:rsid w:val="004C30A4"/>
    <w:rsid w:val="004C49AE"/>
    <w:rsid w:val="004C5690"/>
    <w:rsid w:val="004C5B89"/>
    <w:rsid w:val="004C68CB"/>
    <w:rsid w:val="004C6B5D"/>
    <w:rsid w:val="004C6FF7"/>
    <w:rsid w:val="004C7B79"/>
    <w:rsid w:val="004D00EC"/>
    <w:rsid w:val="004D168F"/>
    <w:rsid w:val="004D1D0C"/>
    <w:rsid w:val="004D2DA1"/>
    <w:rsid w:val="004D3D19"/>
    <w:rsid w:val="004D4512"/>
    <w:rsid w:val="004D5113"/>
    <w:rsid w:val="004D66DB"/>
    <w:rsid w:val="004D6A79"/>
    <w:rsid w:val="004D7146"/>
    <w:rsid w:val="004D765D"/>
    <w:rsid w:val="004D76F5"/>
    <w:rsid w:val="004E0AFD"/>
    <w:rsid w:val="004E0B8D"/>
    <w:rsid w:val="004E0F38"/>
    <w:rsid w:val="004E1870"/>
    <w:rsid w:val="004E1910"/>
    <w:rsid w:val="004E2D8C"/>
    <w:rsid w:val="004E38B4"/>
    <w:rsid w:val="004E47DA"/>
    <w:rsid w:val="004E4999"/>
    <w:rsid w:val="004E520D"/>
    <w:rsid w:val="004E64EB"/>
    <w:rsid w:val="004E7539"/>
    <w:rsid w:val="004E75F5"/>
    <w:rsid w:val="004E7748"/>
    <w:rsid w:val="004E7815"/>
    <w:rsid w:val="004F54BB"/>
    <w:rsid w:val="004F5F09"/>
    <w:rsid w:val="004F6083"/>
    <w:rsid w:val="004F6AA3"/>
    <w:rsid w:val="004F6B96"/>
    <w:rsid w:val="004F6C51"/>
    <w:rsid w:val="004F7C41"/>
    <w:rsid w:val="004F7D8C"/>
    <w:rsid w:val="00503562"/>
    <w:rsid w:val="0050426B"/>
    <w:rsid w:val="005046BA"/>
    <w:rsid w:val="0050614C"/>
    <w:rsid w:val="0050665A"/>
    <w:rsid w:val="00506FE1"/>
    <w:rsid w:val="005071A6"/>
    <w:rsid w:val="00507899"/>
    <w:rsid w:val="005105C4"/>
    <w:rsid w:val="00511627"/>
    <w:rsid w:val="005116DC"/>
    <w:rsid w:val="00511858"/>
    <w:rsid w:val="0051290D"/>
    <w:rsid w:val="00512AB4"/>
    <w:rsid w:val="00512D85"/>
    <w:rsid w:val="00515266"/>
    <w:rsid w:val="00515EEF"/>
    <w:rsid w:val="00515FE6"/>
    <w:rsid w:val="00517591"/>
    <w:rsid w:val="00517F1C"/>
    <w:rsid w:val="005204D5"/>
    <w:rsid w:val="0052134B"/>
    <w:rsid w:val="005221DD"/>
    <w:rsid w:val="00522CAF"/>
    <w:rsid w:val="00522F0E"/>
    <w:rsid w:val="00522FC9"/>
    <w:rsid w:val="00523785"/>
    <w:rsid w:val="00526E7A"/>
    <w:rsid w:val="0052734E"/>
    <w:rsid w:val="00527774"/>
    <w:rsid w:val="0052797C"/>
    <w:rsid w:val="00527FA2"/>
    <w:rsid w:val="00530B30"/>
    <w:rsid w:val="00530CB2"/>
    <w:rsid w:val="00530D51"/>
    <w:rsid w:val="00531008"/>
    <w:rsid w:val="00531D40"/>
    <w:rsid w:val="0053299B"/>
    <w:rsid w:val="00533D3E"/>
    <w:rsid w:val="0053453C"/>
    <w:rsid w:val="00534871"/>
    <w:rsid w:val="00534A35"/>
    <w:rsid w:val="00535051"/>
    <w:rsid w:val="00535258"/>
    <w:rsid w:val="00536006"/>
    <w:rsid w:val="005365A1"/>
    <w:rsid w:val="005369FD"/>
    <w:rsid w:val="00536B15"/>
    <w:rsid w:val="00536D72"/>
    <w:rsid w:val="005371B5"/>
    <w:rsid w:val="0054045C"/>
    <w:rsid w:val="005404B4"/>
    <w:rsid w:val="0054065E"/>
    <w:rsid w:val="005411F8"/>
    <w:rsid w:val="0054153A"/>
    <w:rsid w:val="0054158F"/>
    <w:rsid w:val="00541A32"/>
    <w:rsid w:val="00541D32"/>
    <w:rsid w:val="0054312A"/>
    <w:rsid w:val="00543AB2"/>
    <w:rsid w:val="00544786"/>
    <w:rsid w:val="00544AA4"/>
    <w:rsid w:val="005477D0"/>
    <w:rsid w:val="00550343"/>
    <w:rsid w:val="00550587"/>
    <w:rsid w:val="00550B0C"/>
    <w:rsid w:val="00550C85"/>
    <w:rsid w:val="0055270B"/>
    <w:rsid w:val="005532FA"/>
    <w:rsid w:val="005535EF"/>
    <w:rsid w:val="00553DAD"/>
    <w:rsid w:val="005540D2"/>
    <w:rsid w:val="0055448A"/>
    <w:rsid w:val="005544C3"/>
    <w:rsid w:val="0055587E"/>
    <w:rsid w:val="00555B9E"/>
    <w:rsid w:val="00557FAB"/>
    <w:rsid w:val="0056073C"/>
    <w:rsid w:val="00560C91"/>
    <w:rsid w:val="005620B0"/>
    <w:rsid w:val="00563EFF"/>
    <w:rsid w:val="00563F04"/>
    <w:rsid w:val="0056448D"/>
    <w:rsid w:val="00565017"/>
    <w:rsid w:val="00565288"/>
    <w:rsid w:val="00566B5A"/>
    <w:rsid w:val="00567575"/>
    <w:rsid w:val="0057049A"/>
    <w:rsid w:val="0057090E"/>
    <w:rsid w:val="0057161C"/>
    <w:rsid w:val="005721B8"/>
    <w:rsid w:val="00572A93"/>
    <w:rsid w:val="0057337E"/>
    <w:rsid w:val="00573CC4"/>
    <w:rsid w:val="00573E72"/>
    <w:rsid w:val="00573EE3"/>
    <w:rsid w:val="00574270"/>
    <w:rsid w:val="00574CE1"/>
    <w:rsid w:val="00576BE5"/>
    <w:rsid w:val="00576CDE"/>
    <w:rsid w:val="00576F5D"/>
    <w:rsid w:val="00577263"/>
    <w:rsid w:val="00580909"/>
    <w:rsid w:val="00580A23"/>
    <w:rsid w:val="00581755"/>
    <w:rsid w:val="00581DB7"/>
    <w:rsid w:val="005822A9"/>
    <w:rsid w:val="005825A8"/>
    <w:rsid w:val="00582DE7"/>
    <w:rsid w:val="00583076"/>
    <w:rsid w:val="00584309"/>
    <w:rsid w:val="005852C1"/>
    <w:rsid w:val="005858F9"/>
    <w:rsid w:val="00585908"/>
    <w:rsid w:val="0058594F"/>
    <w:rsid w:val="00585C43"/>
    <w:rsid w:val="00585E75"/>
    <w:rsid w:val="00587B1A"/>
    <w:rsid w:val="00587BE2"/>
    <w:rsid w:val="0059084A"/>
    <w:rsid w:val="0059085A"/>
    <w:rsid w:val="005909D5"/>
    <w:rsid w:val="00590C1E"/>
    <w:rsid w:val="00591046"/>
    <w:rsid w:val="005924CC"/>
    <w:rsid w:val="00592759"/>
    <w:rsid w:val="00594095"/>
    <w:rsid w:val="0059528E"/>
    <w:rsid w:val="005958F3"/>
    <w:rsid w:val="00596010"/>
    <w:rsid w:val="00597509"/>
    <w:rsid w:val="00597C34"/>
    <w:rsid w:val="005A0173"/>
    <w:rsid w:val="005A4BBC"/>
    <w:rsid w:val="005A5184"/>
    <w:rsid w:val="005A6655"/>
    <w:rsid w:val="005A76A7"/>
    <w:rsid w:val="005A76A9"/>
    <w:rsid w:val="005A795E"/>
    <w:rsid w:val="005B0D52"/>
    <w:rsid w:val="005B1168"/>
    <w:rsid w:val="005B16FC"/>
    <w:rsid w:val="005B2AE6"/>
    <w:rsid w:val="005B31B6"/>
    <w:rsid w:val="005B39D1"/>
    <w:rsid w:val="005B3EF1"/>
    <w:rsid w:val="005B3F82"/>
    <w:rsid w:val="005B4D21"/>
    <w:rsid w:val="005B57C3"/>
    <w:rsid w:val="005B5ED6"/>
    <w:rsid w:val="005B6391"/>
    <w:rsid w:val="005B658F"/>
    <w:rsid w:val="005B6996"/>
    <w:rsid w:val="005B7018"/>
    <w:rsid w:val="005B76A3"/>
    <w:rsid w:val="005B7924"/>
    <w:rsid w:val="005B7F2A"/>
    <w:rsid w:val="005C09EF"/>
    <w:rsid w:val="005C0F38"/>
    <w:rsid w:val="005C16A5"/>
    <w:rsid w:val="005C1E36"/>
    <w:rsid w:val="005C2153"/>
    <w:rsid w:val="005C2171"/>
    <w:rsid w:val="005C239D"/>
    <w:rsid w:val="005C33CE"/>
    <w:rsid w:val="005C33F8"/>
    <w:rsid w:val="005C3413"/>
    <w:rsid w:val="005C3568"/>
    <w:rsid w:val="005C4DB2"/>
    <w:rsid w:val="005C582F"/>
    <w:rsid w:val="005C7904"/>
    <w:rsid w:val="005C7A1C"/>
    <w:rsid w:val="005C7DFB"/>
    <w:rsid w:val="005C7EC9"/>
    <w:rsid w:val="005D02BB"/>
    <w:rsid w:val="005D03A0"/>
    <w:rsid w:val="005D0474"/>
    <w:rsid w:val="005D0A52"/>
    <w:rsid w:val="005D0F95"/>
    <w:rsid w:val="005D1C56"/>
    <w:rsid w:val="005D1C7B"/>
    <w:rsid w:val="005D2A04"/>
    <w:rsid w:val="005D3371"/>
    <w:rsid w:val="005D5815"/>
    <w:rsid w:val="005D60F2"/>
    <w:rsid w:val="005D701E"/>
    <w:rsid w:val="005E05AC"/>
    <w:rsid w:val="005E0705"/>
    <w:rsid w:val="005E1D95"/>
    <w:rsid w:val="005E1F8F"/>
    <w:rsid w:val="005E326B"/>
    <w:rsid w:val="005E3B50"/>
    <w:rsid w:val="005E3FA1"/>
    <w:rsid w:val="005E428F"/>
    <w:rsid w:val="005E4D0B"/>
    <w:rsid w:val="005E58A3"/>
    <w:rsid w:val="005E615B"/>
    <w:rsid w:val="005F1466"/>
    <w:rsid w:val="005F2635"/>
    <w:rsid w:val="005F2997"/>
    <w:rsid w:val="005F2EE0"/>
    <w:rsid w:val="005F2EE2"/>
    <w:rsid w:val="005F3617"/>
    <w:rsid w:val="005F37E2"/>
    <w:rsid w:val="005F397A"/>
    <w:rsid w:val="005F3CEE"/>
    <w:rsid w:val="005F484C"/>
    <w:rsid w:val="005F5539"/>
    <w:rsid w:val="005F7273"/>
    <w:rsid w:val="0060040F"/>
    <w:rsid w:val="00600780"/>
    <w:rsid w:val="00600DAD"/>
    <w:rsid w:val="00601151"/>
    <w:rsid w:val="00604204"/>
    <w:rsid w:val="00604DD4"/>
    <w:rsid w:val="00607595"/>
    <w:rsid w:val="00607AAB"/>
    <w:rsid w:val="00610CF9"/>
    <w:rsid w:val="00611770"/>
    <w:rsid w:val="00611CF4"/>
    <w:rsid w:val="00612280"/>
    <w:rsid w:val="006141C9"/>
    <w:rsid w:val="006149B2"/>
    <w:rsid w:val="00614C94"/>
    <w:rsid w:val="0061664A"/>
    <w:rsid w:val="00616F02"/>
    <w:rsid w:val="0061744C"/>
    <w:rsid w:val="006175A7"/>
    <w:rsid w:val="00617FA2"/>
    <w:rsid w:val="00620625"/>
    <w:rsid w:val="00621759"/>
    <w:rsid w:val="00621B54"/>
    <w:rsid w:val="00621EC6"/>
    <w:rsid w:val="00624509"/>
    <w:rsid w:val="00624835"/>
    <w:rsid w:val="006258E2"/>
    <w:rsid w:val="00626644"/>
    <w:rsid w:val="00626900"/>
    <w:rsid w:val="00626996"/>
    <w:rsid w:val="00626FC8"/>
    <w:rsid w:val="00631192"/>
    <w:rsid w:val="0063129D"/>
    <w:rsid w:val="00631450"/>
    <w:rsid w:val="00631524"/>
    <w:rsid w:val="00631DBA"/>
    <w:rsid w:val="00632473"/>
    <w:rsid w:val="0063259D"/>
    <w:rsid w:val="00634435"/>
    <w:rsid w:val="00634A95"/>
    <w:rsid w:val="00634DAF"/>
    <w:rsid w:val="0063716F"/>
    <w:rsid w:val="00640BD8"/>
    <w:rsid w:val="0064179D"/>
    <w:rsid w:val="00642A7A"/>
    <w:rsid w:val="00642B3F"/>
    <w:rsid w:val="00643072"/>
    <w:rsid w:val="00643590"/>
    <w:rsid w:val="00643D96"/>
    <w:rsid w:val="00643EC8"/>
    <w:rsid w:val="0064563A"/>
    <w:rsid w:val="00645B2C"/>
    <w:rsid w:val="006460B5"/>
    <w:rsid w:val="006466AC"/>
    <w:rsid w:val="00651314"/>
    <w:rsid w:val="00651F06"/>
    <w:rsid w:val="00652A0C"/>
    <w:rsid w:val="0065780D"/>
    <w:rsid w:val="00660500"/>
    <w:rsid w:val="00661AEB"/>
    <w:rsid w:val="00661BC3"/>
    <w:rsid w:val="00661FDB"/>
    <w:rsid w:val="00662849"/>
    <w:rsid w:val="006635C7"/>
    <w:rsid w:val="0066396A"/>
    <w:rsid w:val="00665A3F"/>
    <w:rsid w:val="00665DCD"/>
    <w:rsid w:val="00667242"/>
    <w:rsid w:val="006679FB"/>
    <w:rsid w:val="00667DAC"/>
    <w:rsid w:val="0067035D"/>
    <w:rsid w:val="00671F70"/>
    <w:rsid w:val="00674C33"/>
    <w:rsid w:val="0067548C"/>
    <w:rsid w:val="00675601"/>
    <w:rsid w:val="0067642E"/>
    <w:rsid w:val="00676D4A"/>
    <w:rsid w:val="0067768A"/>
    <w:rsid w:val="00677C92"/>
    <w:rsid w:val="00677E76"/>
    <w:rsid w:val="0068091B"/>
    <w:rsid w:val="006818E3"/>
    <w:rsid w:val="00681AD3"/>
    <w:rsid w:val="00681B67"/>
    <w:rsid w:val="00681EC1"/>
    <w:rsid w:val="0068343C"/>
    <w:rsid w:val="0068496F"/>
    <w:rsid w:val="00685A02"/>
    <w:rsid w:val="00685A28"/>
    <w:rsid w:val="00685D0A"/>
    <w:rsid w:val="0068619C"/>
    <w:rsid w:val="0068778F"/>
    <w:rsid w:val="006900A8"/>
    <w:rsid w:val="00690D08"/>
    <w:rsid w:val="00691210"/>
    <w:rsid w:val="0069277D"/>
    <w:rsid w:val="00692855"/>
    <w:rsid w:val="006928CB"/>
    <w:rsid w:val="00693523"/>
    <w:rsid w:val="0069504D"/>
    <w:rsid w:val="0069519E"/>
    <w:rsid w:val="006954A5"/>
    <w:rsid w:val="00696F38"/>
    <w:rsid w:val="006971C7"/>
    <w:rsid w:val="006A0A36"/>
    <w:rsid w:val="006A196F"/>
    <w:rsid w:val="006A1EDE"/>
    <w:rsid w:val="006A20BF"/>
    <w:rsid w:val="006A313D"/>
    <w:rsid w:val="006A3ADE"/>
    <w:rsid w:val="006A41EC"/>
    <w:rsid w:val="006A4D16"/>
    <w:rsid w:val="006A5E42"/>
    <w:rsid w:val="006A6B38"/>
    <w:rsid w:val="006A7071"/>
    <w:rsid w:val="006A74B0"/>
    <w:rsid w:val="006A7AA0"/>
    <w:rsid w:val="006A7D8E"/>
    <w:rsid w:val="006B01B5"/>
    <w:rsid w:val="006B0863"/>
    <w:rsid w:val="006B1D3B"/>
    <w:rsid w:val="006B5683"/>
    <w:rsid w:val="006C0181"/>
    <w:rsid w:val="006C0813"/>
    <w:rsid w:val="006C2ABF"/>
    <w:rsid w:val="006C2F0D"/>
    <w:rsid w:val="006C4290"/>
    <w:rsid w:val="006C4CF1"/>
    <w:rsid w:val="006C4D58"/>
    <w:rsid w:val="006C6E18"/>
    <w:rsid w:val="006C73FA"/>
    <w:rsid w:val="006C763D"/>
    <w:rsid w:val="006D0D6F"/>
    <w:rsid w:val="006D0E3B"/>
    <w:rsid w:val="006D0EA0"/>
    <w:rsid w:val="006D2C9B"/>
    <w:rsid w:val="006D308C"/>
    <w:rsid w:val="006D54B6"/>
    <w:rsid w:val="006D5743"/>
    <w:rsid w:val="006D5BDB"/>
    <w:rsid w:val="006D5C06"/>
    <w:rsid w:val="006D6F36"/>
    <w:rsid w:val="006D746F"/>
    <w:rsid w:val="006E1BD7"/>
    <w:rsid w:val="006E1C80"/>
    <w:rsid w:val="006E2E76"/>
    <w:rsid w:val="006E41AA"/>
    <w:rsid w:val="006E515B"/>
    <w:rsid w:val="006E6101"/>
    <w:rsid w:val="006E71E0"/>
    <w:rsid w:val="006E7372"/>
    <w:rsid w:val="006E7664"/>
    <w:rsid w:val="006E7B8F"/>
    <w:rsid w:val="006F0576"/>
    <w:rsid w:val="006F0832"/>
    <w:rsid w:val="006F16B5"/>
    <w:rsid w:val="006F31F6"/>
    <w:rsid w:val="006F3203"/>
    <w:rsid w:val="006F58EE"/>
    <w:rsid w:val="006F781A"/>
    <w:rsid w:val="006F7B93"/>
    <w:rsid w:val="0070026D"/>
    <w:rsid w:val="00700670"/>
    <w:rsid w:val="00700AC7"/>
    <w:rsid w:val="00701CC7"/>
    <w:rsid w:val="007024AF"/>
    <w:rsid w:val="0070312C"/>
    <w:rsid w:val="00703587"/>
    <w:rsid w:val="007040EF"/>
    <w:rsid w:val="00704D42"/>
    <w:rsid w:val="00706D82"/>
    <w:rsid w:val="00707552"/>
    <w:rsid w:val="00707AD7"/>
    <w:rsid w:val="00707F9B"/>
    <w:rsid w:val="0071010A"/>
    <w:rsid w:val="00711623"/>
    <w:rsid w:val="007117B3"/>
    <w:rsid w:val="00711ABA"/>
    <w:rsid w:val="00711E03"/>
    <w:rsid w:val="00711F36"/>
    <w:rsid w:val="007148B5"/>
    <w:rsid w:val="00714E2B"/>
    <w:rsid w:val="0071673C"/>
    <w:rsid w:val="00716AA1"/>
    <w:rsid w:val="00717391"/>
    <w:rsid w:val="00720A0F"/>
    <w:rsid w:val="00720A5A"/>
    <w:rsid w:val="007210DD"/>
    <w:rsid w:val="00721880"/>
    <w:rsid w:val="00721BFF"/>
    <w:rsid w:val="00722912"/>
    <w:rsid w:val="0072669A"/>
    <w:rsid w:val="00726BEF"/>
    <w:rsid w:val="00732C91"/>
    <w:rsid w:val="00733879"/>
    <w:rsid w:val="00733F55"/>
    <w:rsid w:val="007358D1"/>
    <w:rsid w:val="0073688C"/>
    <w:rsid w:val="007373A5"/>
    <w:rsid w:val="00737CDF"/>
    <w:rsid w:val="00740756"/>
    <w:rsid w:val="007418CC"/>
    <w:rsid w:val="00742512"/>
    <w:rsid w:val="007436B0"/>
    <w:rsid w:val="00745930"/>
    <w:rsid w:val="00750163"/>
    <w:rsid w:val="0075049F"/>
    <w:rsid w:val="0075083B"/>
    <w:rsid w:val="00750D6D"/>
    <w:rsid w:val="007528BE"/>
    <w:rsid w:val="0075403A"/>
    <w:rsid w:val="00754BB4"/>
    <w:rsid w:val="00755969"/>
    <w:rsid w:val="00757CFC"/>
    <w:rsid w:val="00763848"/>
    <w:rsid w:val="00764058"/>
    <w:rsid w:val="0076551B"/>
    <w:rsid w:val="00765BA1"/>
    <w:rsid w:val="00765C78"/>
    <w:rsid w:val="00765CE3"/>
    <w:rsid w:val="0076609E"/>
    <w:rsid w:val="0076661F"/>
    <w:rsid w:val="0076795F"/>
    <w:rsid w:val="007701FE"/>
    <w:rsid w:val="00771457"/>
    <w:rsid w:val="0077160C"/>
    <w:rsid w:val="00771F04"/>
    <w:rsid w:val="007746BF"/>
    <w:rsid w:val="0077572D"/>
    <w:rsid w:val="00777050"/>
    <w:rsid w:val="00777308"/>
    <w:rsid w:val="00777310"/>
    <w:rsid w:val="007809F6"/>
    <w:rsid w:val="00781CBF"/>
    <w:rsid w:val="00781FE7"/>
    <w:rsid w:val="007822CD"/>
    <w:rsid w:val="007826EE"/>
    <w:rsid w:val="0078429D"/>
    <w:rsid w:val="00784910"/>
    <w:rsid w:val="007900AD"/>
    <w:rsid w:val="0079104D"/>
    <w:rsid w:val="00791110"/>
    <w:rsid w:val="007917C5"/>
    <w:rsid w:val="007926F8"/>
    <w:rsid w:val="0079354C"/>
    <w:rsid w:val="007937D0"/>
    <w:rsid w:val="007942CB"/>
    <w:rsid w:val="0079531D"/>
    <w:rsid w:val="00795453"/>
    <w:rsid w:val="007962CA"/>
    <w:rsid w:val="007970C2"/>
    <w:rsid w:val="00797712"/>
    <w:rsid w:val="007A0C04"/>
    <w:rsid w:val="007A15B1"/>
    <w:rsid w:val="007A2500"/>
    <w:rsid w:val="007A4602"/>
    <w:rsid w:val="007A4838"/>
    <w:rsid w:val="007A67C6"/>
    <w:rsid w:val="007A7900"/>
    <w:rsid w:val="007B0603"/>
    <w:rsid w:val="007B0C53"/>
    <w:rsid w:val="007B1936"/>
    <w:rsid w:val="007B1DAD"/>
    <w:rsid w:val="007B20E6"/>
    <w:rsid w:val="007B2117"/>
    <w:rsid w:val="007B243C"/>
    <w:rsid w:val="007B2A2F"/>
    <w:rsid w:val="007B30C6"/>
    <w:rsid w:val="007B3527"/>
    <w:rsid w:val="007B358A"/>
    <w:rsid w:val="007B4137"/>
    <w:rsid w:val="007B4CBC"/>
    <w:rsid w:val="007B543A"/>
    <w:rsid w:val="007B606C"/>
    <w:rsid w:val="007B625A"/>
    <w:rsid w:val="007B62DC"/>
    <w:rsid w:val="007B6E92"/>
    <w:rsid w:val="007B71A3"/>
    <w:rsid w:val="007B7761"/>
    <w:rsid w:val="007B7FF2"/>
    <w:rsid w:val="007C04D4"/>
    <w:rsid w:val="007C0C96"/>
    <w:rsid w:val="007C200C"/>
    <w:rsid w:val="007C2E78"/>
    <w:rsid w:val="007C30A7"/>
    <w:rsid w:val="007C3D15"/>
    <w:rsid w:val="007C3FCE"/>
    <w:rsid w:val="007C562A"/>
    <w:rsid w:val="007C5AB5"/>
    <w:rsid w:val="007C64CD"/>
    <w:rsid w:val="007C655A"/>
    <w:rsid w:val="007C70EA"/>
    <w:rsid w:val="007C73F4"/>
    <w:rsid w:val="007C77AE"/>
    <w:rsid w:val="007C7987"/>
    <w:rsid w:val="007C79BD"/>
    <w:rsid w:val="007C7AEA"/>
    <w:rsid w:val="007D160C"/>
    <w:rsid w:val="007D20A1"/>
    <w:rsid w:val="007D30EF"/>
    <w:rsid w:val="007D4068"/>
    <w:rsid w:val="007D4825"/>
    <w:rsid w:val="007D5551"/>
    <w:rsid w:val="007D6598"/>
    <w:rsid w:val="007D67AB"/>
    <w:rsid w:val="007D6C83"/>
    <w:rsid w:val="007D6F2E"/>
    <w:rsid w:val="007D725E"/>
    <w:rsid w:val="007D79DC"/>
    <w:rsid w:val="007E1504"/>
    <w:rsid w:val="007E2AD2"/>
    <w:rsid w:val="007E2D49"/>
    <w:rsid w:val="007E3004"/>
    <w:rsid w:val="007E345E"/>
    <w:rsid w:val="007E364D"/>
    <w:rsid w:val="007E3FDE"/>
    <w:rsid w:val="007E5D04"/>
    <w:rsid w:val="007E616C"/>
    <w:rsid w:val="007E707A"/>
    <w:rsid w:val="007E7668"/>
    <w:rsid w:val="007F1064"/>
    <w:rsid w:val="007F3267"/>
    <w:rsid w:val="007F3648"/>
    <w:rsid w:val="007F38D7"/>
    <w:rsid w:val="007F459D"/>
    <w:rsid w:val="007F4930"/>
    <w:rsid w:val="007F4B7C"/>
    <w:rsid w:val="007F5803"/>
    <w:rsid w:val="007F701C"/>
    <w:rsid w:val="007F739F"/>
    <w:rsid w:val="007F75A0"/>
    <w:rsid w:val="00800B21"/>
    <w:rsid w:val="00802784"/>
    <w:rsid w:val="00803800"/>
    <w:rsid w:val="0080394D"/>
    <w:rsid w:val="0080475E"/>
    <w:rsid w:val="00804CF4"/>
    <w:rsid w:val="008051B6"/>
    <w:rsid w:val="0080542B"/>
    <w:rsid w:val="00807520"/>
    <w:rsid w:val="00811ECA"/>
    <w:rsid w:val="00811FEE"/>
    <w:rsid w:val="00812492"/>
    <w:rsid w:val="0081397D"/>
    <w:rsid w:val="00813A52"/>
    <w:rsid w:val="008153C9"/>
    <w:rsid w:val="00817070"/>
    <w:rsid w:val="008203F2"/>
    <w:rsid w:val="0082082E"/>
    <w:rsid w:val="008215D1"/>
    <w:rsid w:val="0082180D"/>
    <w:rsid w:val="00821811"/>
    <w:rsid w:val="00824B87"/>
    <w:rsid w:val="00825E7D"/>
    <w:rsid w:val="00826645"/>
    <w:rsid w:val="00826E46"/>
    <w:rsid w:val="00830374"/>
    <w:rsid w:val="0083079A"/>
    <w:rsid w:val="008348AE"/>
    <w:rsid w:val="00834E20"/>
    <w:rsid w:val="00835102"/>
    <w:rsid w:val="00835634"/>
    <w:rsid w:val="008362D5"/>
    <w:rsid w:val="00837500"/>
    <w:rsid w:val="0084050F"/>
    <w:rsid w:val="0084100E"/>
    <w:rsid w:val="00841795"/>
    <w:rsid w:val="008420B2"/>
    <w:rsid w:val="0084451C"/>
    <w:rsid w:val="008458FE"/>
    <w:rsid w:val="00847DA7"/>
    <w:rsid w:val="00850153"/>
    <w:rsid w:val="00850D4F"/>
    <w:rsid w:val="008519BC"/>
    <w:rsid w:val="00852570"/>
    <w:rsid w:val="00852DD9"/>
    <w:rsid w:val="0085303A"/>
    <w:rsid w:val="00853324"/>
    <w:rsid w:val="0085403E"/>
    <w:rsid w:val="00854B60"/>
    <w:rsid w:val="00855887"/>
    <w:rsid w:val="00855C89"/>
    <w:rsid w:val="00856B94"/>
    <w:rsid w:val="00857C01"/>
    <w:rsid w:val="00857D27"/>
    <w:rsid w:val="00857EBB"/>
    <w:rsid w:val="00862C67"/>
    <w:rsid w:val="008633D1"/>
    <w:rsid w:val="00863D69"/>
    <w:rsid w:val="00863F1A"/>
    <w:rsid w:val="00863F9C"/>
    <w:rsid w:val="008641AF"/>
    <w:rsid w:val="00864C7D"/>
    <w:rsid w:val="00864E9B"/>
    <w:rsid w:val="00864EAE"/>
    <w:rsid w:val="0086530F"/>
    <w:rsid w:val="00865BAB"/>
    <w:rsid w:val="00866630"/>
    <w:rsid w:val="00866B01"/>
    <w:rsid w:val="00870013"/>
    <w:rsid w:val="00870485"/>
    <w:rsid w:val="00870812"/>
    <w:rsid w:val="00872FB3"/>
    <w:rsid w:val="00874069"/>
    <w:rsid w:val="00874096"/>
    <w:rsid w:val="00875E4F"/>
    <w:rsid w:val="00877676"/>
    <w:rsid w:val="0087784C"/>
    <w:rsid w:val="00877B2A"/>
    <w:rsid w:val="00877FA6"/>
    <w:rsid w:val="008801C4"/>
    <w:rsid w:val="00880C21"/>
    <w:rsid w:val="00880F7E"/>
    <w:rsid w:val="008814D5"/>
    <w:rsid w:val="00881974"/>
    <w:rsid w:val="00881C94"/>
    <w:rsid w:val="0088273D"/>
    <w:rsid w:val="0088348B"/>
    <w:rsid w:val="008847A4"/>
    <w:rsid w:val="00885107"/>
    <w:rsid w:val="00885477"/>
    <w:rsid w:val="00885E25"/>
    <w:rsid w:val="008868F8"/>
    <w:rsid w:val="00887BC9"/>
    <w:rsid w:val="008900E6"/>
    <w:rsid w:val="00890128"/>
    <w:rsid w:val="008908DF"/>
    <w:rsid w:val="0089110A"/>
    <w:rsid w:val="008916A1"/>
    <w:rsid w:val="008921D4"/>
    <w:rsid w:val="00893C75"/>
    <w:rsid w:val="00893F5E"/>
    <w:rsid w:val="008940B7"/>
    <w:rsid w:val="00894DD4"/>
    <w:rsid w:val="0089596A"/>
    <w:rsid w:val="008974AA"/>
    <w:rsid w:val="008A0233"/>
    <w:rsid w:val="008A0629"/>
    <w:rsid w:val="008A471B"/>
    <w:rsid w:val="008A5DD1"/>
    <w:rsid w:val="008A7035"/>
    <w:rsid w:val="008A7FDE"/>
    <w:rsid w:val="008B1C75"/>
    <w:rsid w:val="008B2307"/>
    <w:rsid w:val="008B29D1"/>
    <w:rsid w:val="008B2DC7"/>
    <w:rsid w:val="008B3877"/>
    <w:rsid w:val="008B3ED1"/>
    <w:rsid w:val="008B4246"/>
    <w:rsid w:val="008B4C36"/>
    <w:rsid w:val="008B6598"/>
    <w:rsid w:val="008B7832"/>
    <w:rsid w:val="008C2D78"/>
    <w:rsid w:val="008C2DB2"/>
    <w:rsid w:val="008C30D5"/>
    <w:rsid w:val="008C32BD"/>
    <w:rsid w:val="008C3D49"/>
    <w:rsid w:val="008C3F44"/>
    <w:rsid w:val="008C442F"/>
    <w:rsid w:val="008C5777"/>
    <w:rsid w:val="008C5D4A"/>
    <w:rsid w:val="008C5E21"/>
    <w:rsid w:val="008C5F44"/>
    <w:rsid w:val="008C67B8"/>
    <w:rsid w:val="008D0220"/>
    <w:rsid w:val="008D0355"/>
    <w:rsid w:val="008D0600"/>
    <w:rsid w:val="008D0B9F"/>
    <w:rsid w:val="008D22F3"/>
    <w:rsid w:val="008D2374"/>
    <w:rsid w:val="008D3D87"/>
    <w:rsid w:val="008D46C4"/>
    <w:rsid w:val="008D53AE"/>
    <w:rsid w:val="008D6C5F"/>
    <w:rsid w:val="008D7E96"/>
    <w:rsid w:val="008D7F9D"/>
    <w:rsid w:val="008D7FC5"/>
    <w:rsid w:val="008E02DE"/>
    <w:rsid w:val="008E264A"/>
    <w:rsid w:val="008E2982"/>
    <w:rsid w:val="008E2C4A"/>
    <w:rsid w:val="008E343C"/>
    <w:rsid w:val="008E3551"/>
    <w:rsid w:val="008E5B9A"/>
    <w:rsid w:val="008E5C9B"/>
    <w:rsid w:val="008E60C1"/>
    <w:rsid w:val="008E6598"/>
    <w:rsid w:val="008E6AE6"/>
    <w:rsid w:val="008E7115"/>
    <w:rsid w:val="008E768A"/>
    <w:rsid w:val="008F0803"/>
    <w:rsid w:val="008F1602"/>
    <w:rsid w:val="008F38B3"/>
    <w:rsid w:val="008F41FA"/>
    <w:rsid w:val="008F4FA0"/>
    <w:rsid w:val="008F5F4B"/>
    <w:rsid w:val="008F6562"/>
    <w:rsid w:val="008F664C"/>
    <w:rsid w:val="00900F77"/>
    <w:rsid w:val="009014A5"/>
    <w:rsid w:val="009027DC"/>
    <w:rsid w:val="00902AE2"/>
    <w:rsid w:val="009033B4"/>
    <w:rsid w:val="00903C33"/>
    <w:rsid w:val="00904331"/>
    <w:rsid w:val="009043C2"/>
    <w:rsid w:val="00910B08"/>
    <w:rsid w:val="00911A35"/>
    <w:rsid w:val="00913FF2"/>
    <w:rsid w:val="00915E74"/>
    <w:rsid w:val="009166BC"/>
    <w:rsid w:val="00916789"/>
    <w:rsid w:val="00917864"/>
    <w:rsid w:val="0091789B"/>
    <w:rsid w:val="00917927"/>
    <w:rsid w:val="0092028D"/>
    <w:rsid w:val="009202A7"/>
    <w:rsid w:val="0092086D"/>
    <w:rsid w:val="00922279"/>
    <w:rsid w:val="00922F17"/>
    <w:rsid w:val="00923FF1"/>
    <w:rsid w:val="009267C1"/>
    <w:rsid w:val="009300EA"/>
    <w:rsid w:val="00930196"/>
    <w:rsid w:val="009301FB"/>
    <w:rsid w:val="00931320"/>
    <w:rsid w:val="0093144C"/>
    <w:rsid w:val="00931DFF"/>
    <w:rsid w:val="00932853"/>
    <w:rsid w:val="00932D56"/>
    <w:rsid w:val="0093572F"/>
    <w:rsid w:val="00936CE4"/>
    <w:rsid w:val="00940454"/>
    <w:rsid w:val="00941A33"/>
    <w:rsid w:val="00942E2E"/>
    <w:rsid w:val="0094394F"/>
    <w:rsid w:val="00944290"/>
    <w:rsid w:val="00944516"/>
    <w:rsid w:val="00945621"/>
    <w:rsid w:val="009456BA"/>
    <w:rsid w:val="0094613E"/>
    <w:rsid w:val="00946FC7"/>
    <w:rsid w:val="009515B8"/>
    <w:rsid w:val="00951B69"/>
    <w:rsid w:val="00952A86"/>
    <w:rsid w:val="009539F9"/>
    <w:rsid w:val="00953A4A"/>
    <w:rsid w:val="00953DA4"/>
    <w:rsid w:val="00954113"/>
    <w:rsid w:val="00954A55"/>
    <w:rsid w:val="00954BFA"/>
    <w:rsid w:val="00956C24"/>
    <w:rsid w:val="0095702C"/>
    <w:rsid w:val="0095774A"/>
    <w:rsid w:val="00957804"/>
    <w:rsid w:val="00957ACE"/>
    <w:rsid w:val="009612CD"/>
    <w:rsid w:val="00961440"/>
    <w:rsid w:val="00962375"/>
    <w:rsid w:val="00962BFE"/>
    <w:rsid w:val="00962D06"/>
    <w:rsid w:val="00963B74"/>
    <w:rsid w:val="00965251"/>
    <w:rsid w:val="00965C38"/>
    <w:rsid w:val="009701BC"/>
    <w:rsid w:val="009708F3"/>
    <w:rsid w:val="00971498"/>
    <w:rsid w:val="00972742"/>
    <w:rsid w:val="00972A60"/>
    <w:rsid w:val="0097305C"/>
    <w:rsid w:val="00973E43"/>
    <w:rsid w:val="00973E8C"/>
    <w:rsid w:val="00974E57"/>
    <w:rsid w:val="00974F3A"/>
    <w:rsid w:val="00974F9D"/>
    <w:rsid w:val="00975680"/>
    <w:rsid w:val="009756E9"/>
    <w:rsid w:val="009765E6"/>
    <w:rsid w:val="00976CA5"/>
    <w:rsid w:val="009777E7"/>
    <w:rsid w:val="0098042B"/>
    <w:rsid w:val="0098146D"/>
    <w:rsid w:val="00982598"/>
    <w:rsid w:val="00982B6C"/>
    <w:rsid w:val="00982E37"/>
    <w:rsid w:val="00983BE2"/>
    <w:rsid w:val="00984336"/>
    <w:rsid w:val="00984523"/>
    <w:rsid w:val="00984E92"/>
    <w:rsid w:val="00985647"/>
    <w:rsid w:val="00985B16"/>
    <w:rsid w:val="00986300"/>
    <w:rsid w:val="00986BDB"/>
    <w:rsid w:val="009871B2"/>
    <w:rsid w:val="00990C36"/>
    <w:rsid w:val="00991252"/>
    <w:rsid w:val="009913A6"/>
    <w:rsid w:val="009923BD"/>
    <w:rsid w:val="0099252C"/>
    <w:rsid w:val="0099279F"/>
    <w:rsid w:val="009930FE"/>
    <w:rsid w:val="0099411C"/>
    <w:rsid w:val="00995578"/>
    <w:rsid w:val="00997640"/>
    <w:rsid w:val="0099796A"/>
    <w:rsid w:val="009A04B5"/>
    <w:rsid w:val="009A0918"/>
    <w:rsid w:val="009A0928"/>
    <w:rsid w:val="009A184D"/>
    <w:rsid w:val="009A1BE8"/>
    <w:rsid w:val="009A2572"/>
    <w:rsid w:val="009A2D08"/>
    <w:rsid w:val="009A2F87"/>
    <w:rsid w:val="009A34F8"/>
    <w:rsid w:val="009A433A"/>
    <w:rsid w:val="009A4C04"/>
    <w:rsid w:val="009A5000"/>
    <w:rsid w:val="009A675A"/>
    <w:rsid w:val="009A684C"/>
    <w:rsid w:val="009A6CF5"/>
    <w:rsid w:val="009A7D76"/>
    <w:rsid w:val="009A7F7E"/>
    <w:rsid w:val="009B020C"/>
    <w:rsid w:val="009B0564"/>
    <w:rsid w:val="009B0FB3"/>
    <w:rsid w:val="009B17D4"/>
    <w:rsid w:val="009B1F84"/>
    <w:rsid w:val="009B2023"/>
    <w:rsid w:val="009B2031"/>
    <w:rsid w:val="009B252D"/>
    <w:rsid w:val="009B34DD"/>
    <w:rsid w:val="009B6668"/>
    <w:rsid w:val="009B6C4C"/>
    <w:rsid w:val="009B7900"/>
    <w:rsid w:val="009B7EE7"/>
    <w:rsid w:val="009C0017"/>
    <w:rsid w:val="009C14F5"/>
    <w:rsid w:val="009C1882"/>
    <w:rsid w:val="009C2467"/>
    <w:rsid w:val="009C2E01"/>
    <w:rsid w:val="009C4325"/>
    <w:rsid w:val="009C4927"/>
    <w:rsid w:val="009C511B"/>
    <w:rsid w:val="009C557F"/>
    <w:rsid w:val="009C5F1A"/>
    <w:rsid w:val="009C6819"/>
    <w:rsid w:val="009C6961"/>
    <w:rsid w:val="009C7572"/>
    <w:rsid w:val="009D0AA6"/>
    <w:rsid w:val="009D1A68"/>
    <w:rsid w:val="009D2D48"/>
    <w:rsid w:val="009D2FCE"/>
    <w:rsid w:val="009D3545"/>
    <w:rsid w:val="009D4E67"/>
    <w:rsid w:val="009D4F91"/>
    <w:rsid w:val="009D5BF5"/>
    <w:rsid w:val="009D6706"/>
    <w:rsid w:val="009E0861"/>
    <w:rsid w:val="009E0AEC"/>
    <w:rsid w:val="009E0EE3"/>
    <w:rsid w:val="009E1704"/>
    <w:rsid w:val="009E179F"/>
    <w:rsid w:val="009E1B22"/>
    <w:rsid w:val="009E2A2B"/>
    <w:rsid w:val="009E2BE6"/>
    <w:rsid w:val="009E48D0"/>
    <w:rsid w:val="009E5121"/>
    <w:rsid w:val="009F03EA"/>
    <w:rsid w:val="009F0FC2"/>
    <w:rsid w:val="009F1150"/>
    <w:rsid w:val="009F131A"/>
    <w:rsid w:val="009F2A1C"/>
    <w:rsid w:val="009F3E24"/>
    <w:rsid w:val="009F3EA4"/>
    <w:rsid w:val="009F4BA1"/>
    <w:rsid w:val="009F4D68"/>
    <w:rsid w:val="009F50D5"/>
    <w:rsid w:val="009F5B4A"/>
    <w:rsid w:val="00A0098D"/>
    <w:rsid w:val="00A00D60"/>
    <w:rsid w:val="00A0355D"/>
    <w:rsid w:val="00A03903"/>
    <w:rsid w:val="00A052F2"/>
    <w:rsid w:val="00A05572"/>
    <w:rsid w:val="00A05922"/>
    <w:rsid w:val="00A05A25"/>
    <w:rsid w:val="00A06BAF"/>
    <w:rsid w:val="00A06EE8"/>
    <w:rsid w:val="00A0725E"/>
    <w:rsid w:val="00A07676"/>
    <w:rsid w:val="00A07719"/>
    <w:rsid w:val="00A07CA2"/>
    <w:rsid w:val="00A07E6A"/>
    <w:rsid w:val="00A1021F"/>
    <w:rsid w:val="00A116DD"/>
    <w:rsid w:val="00A11D9A"/>
    <w:rsid w:val="00A12BE1"/>
    <w:rsid w:val="00A12C95"/>
    <w:rsid w:val="00A1463D"/>
    <w:rsid w:val="00A14935"/>
    <w:rsid w:val="00A1607F"/>
    <w:rsid w:val="00A17179"/>
    <w:rsid w:val="00A171D5"/>
    <w:rsid w:val="00A17C41"/>
    <w:rsid w:val="00A204F3"/>
    <w:rsid w:val="00A20AC9"/>
    <w:rsid w:val="00A20B30"/>
    <w:rsid w:val="00A213BD"/>
    <w:rsid w:val="00A2149A"/>
    <w:rsid w:val="00A22952"/>
    <w:rsid w:val="00A2395C"/>
    <w:rsid w:val="00A23CB9"/>
    <w:rsid w:val="00A260BA"/>
    <w:rsid w:val="00A2640B"/>
    <w:rsid w:val="00A27032"/>
    <w:rsid w:val="00A30B96"/>
    <w:rsid w:val="00A30CBD"/>
    <w:rsid w:val="00A30E4A"/>
    <w:rsid w:val="00A311B1"/>
    <w:rsid w:val="00A32523"/>
    <w:rsid w:val="00A32D90"/>
    <w:rsid w:val="00A35889"/>
    <w:rsid w:val="00A3614C"/>
    <w:rsid w:val="00A36FB6"/>
    <w:rsid w:val="00A37989"/>
    <w:rsid w:val="00A37B1F"/>
    <w:rsid w:val="00A410C0"/>
    <w:rsid w:val="00A42B9C"/>
    <w:rsid w:val="00A4349A"/>
    <w:rsid w:val="00A45B80"/>
    <w:rsid w:val="00A465E5"/>
    <w:rsid w:val="00A4694A"/>
    <w:rsid w:val="00A474F6"/>
    <w:rsid w:val="00A51EDD"/>
    <w:rsid w:val="00A53007"/>
    <w:rsid w:val="00A535B0"/>
    <w:rsid w:val="00A54152"/>
    <w:rsid w:val="00A5756A"/>
    <w:rsid w:val="00A57AB7"/>
    <w:rsid w:val="00A60D7C"/>
    <w:rsid w:val="00A61971"/>
    <w:rsid w:val="00A625B7"/>
    <w:rsid w:val="00A6398B"/>
    <w:rsid w:val="00A63FED"/>
    <w:rsid w:val="00A64E2A"/>
    <w:rsid w:val="00A655A7"/>
    <w:rsid w:val="00A67BAA"/>
    <w:rsid w:val="00A67D2A"/>
    <w:rsid w:val="00A7083D"/>
    <w:rsid w:val="00A70905"/>
    <w:rsid w:val="00A70AEE"/>
    <w:rsid w:val="00A70F80"/>
    <w:rsid w:val="00A716EB"/>
    <w:rsid w:val="00A72E15"/>
    <w:rsid w:val="00A73470"/>
    <w:rsid w:val="00A7413F"/>
    <w:rsid w:val="00A744A1"/>
    <w:rsid w:val="00A74BB1"/>
    <w:rsid w:val="00A74C2A"/>
    <w:rsid w:val="00A75AFD"/>
    <w:rsid w:val="00A766EE"/>
    <w:rsid w:val="00A7674D"/>
    <w:rsid w:val="00A7737C"/>
    <w:rsid w:val="00A77A3A"/>
    <w:rsid w:val="00A77C1B"/>
    <w:rsid w:val="00A8028C"/>
    <w:rsid w:val="00A80336"/>
    <w:rsid w:val="00A80D84"/>
    <w:rsid w:val="00A81548"/>
    <w:rsid w:val="00A81A1A"/>
    <w:rsid w:val="00A81AC7"/>
    <w:rsid w:val="00A8293F"/>
    <w:rsid w:val="00A83ACE"/>
    <w:rsid w:val="00A83DB6"/>
    <w:rsid w:val="00A83EE9"/>
    <w:rsid w:val="00A84524"/>
    <w:rsid w:val="00A84BC0"/>
    <w:rsid w:val="00A85890"/>
    <w:rsid w:val="00A92ED4"/>
    <w:rsid w:val="00A93B03"/>
    <w:rsid w:val="00A9419C"/>
    <w:rsid w:val="00A958C2"/>
    <w:rsid w:val="00A958DC"/>
    <w:rsid w:val="00A966C4"/>
    <w:rsid w:val="00A97AE6"/>
    <w:rsid w:val="00A97F9B"/>
    <w:rsid w:val="00AA0A06"/>
    <w:rsid w:val="00AA17A1"/>
    <w:rsid w:val="00AA1AA7"/>
    <w:rsid w:val="00AA4656"/>
    <w:rsid w:val="00AA4F0D"/>
    <w:rsid w:val="00AA5A7E"/>
    <w:rsid w:val="00AA5BB6"/>
    <w:rsid w:val="00AA608F"/>
    <w:rsid w:val="00AA672B"/>
    <w:rsid w:val="00AA6CA6"/>
    <w:rsid w:val="00AA70F3"/>
    <w:rsid w:val="00AB26EC"/>
    <w:rsid w:val="00AB27E5"/>
    <w:rsid w:val="00AB3B44"/>
    <w:rsid w:val="00AB481F"/>
    <w:rsid w:val="00AB5268"/>
    <w:rsid w:val="00AB77F1"/>
    <w:rsid w:val="00AC0146"/>
    <w:rsid w:val="00AC17C0"/>
    <w:rsid w:val="00AC2FD1"/>
    <w:rsid w:val="00AC330B"/>
    <w:rsid w:val="00AC34A6"/>
    <w:rsid w:val="00AC478E"/>
    <w:rsid w:val="00AC5A3E"/>
    <w:rsid w:val="00AC62A6"/>
    <w:rsid w:val="00AC6BF1"/>
    <w:rsid w:val="00AC7AED"/>
    <w:rsid w:val="00AC7B8C"/>
    <w:rsid w:val="00AC7DEF"/>
    <w:rsid w:val="00AD06A9"/>
    <w:rsid w:val="00AD06BD"/>
    <w:rsid w:val="00AD0EF7"/>
    <w:rsid w:val="00AD1048"/>
    <w:rsid w:val="00AD145A"/>
    <w:rsid w:val="00AD25E9"/>
    <w:rsid w:val="00AD4345"/>
    <w:rsid w:val="00AD4960"/>
    <w:rsid w:val="00AD53BF"/>
    <w:rsid w:val="00AD68F6"/>
    <w:rsid w:val="00AD70F5"/>
    <w:rsid w:val="00AD7D16"/>
    <w:rsid w:val="00AE05A3"/>
    <w:rsid w:val="00AE0BD3"/>
    <w:rsid w:val="00AE1BD7"/>
    <w:rsid w:val="00AE1EE4"/>
    <w:rsid w:val="00AE25AF"/>
    <w:rsid w:val="00AE291A"/>
    <w:rsid w:val="00AE512B"/>
    <w:rsid w:val="00AE5718"/>
    <w:rsid w:val="00AE69C4"/>
    <w:rsid w:val="00AE7002"/>
    <w:rsid w:val="00AE76C4"/>
    <w:rsid w:val="00AF2323"/>
    <w:rsid w:val="00AF37B0"/>
    <w:rsid w:val="00AF4507"/>
    <w:rsid w:val="00AF4A5A"/>
    <w:rsid w:val="00AF4C0B"/>
    <w:rsid w:val="00AF579D"/>
    <w:rsid w:val="00AF58F1"/>
    <w:rsid w:val="00AF6922"/>
    <w:rsid w:val="00B000FA"/>
    <w:rsid w:val="00B00A2B"/>
    <w:rsid w:val="00B01477"/>
    <w:rsid w:val="00B0148E"/>
    <w:rsid w:val="00B02BEB"/>
    <w:rsid w:val="00B02CC6"/>
    <w:rsid w:val="00B037EC"/>
    <w:rsid w:val="00B03AC8"/>
    <w:rsid w:val="00B03ADC"/>
    <w:rsid w:val="00B05DAE"/>
    <w:rsid w:val="00B05DF7"/>
    <w:rsid w:val="00B05EA6"/>
    <w:rsid w:val="00B068C5"/>
    <w:rsid w:val="00B101C6"/>
    <w:rsid w:val="00B10451"/>
    <w:rsid w:val="00B10D64"/>
    <w:rsid w:val="00B11449"/>
    <w:rsid w:val="00B11DD1"/>
    <w:rsid w:val="00B13A0F"/>
    <w:rsid w:val="00B1437A"/>
    <w:rsid w:val="00B14663"/>
    <w:rsid w:val="00B149DE"/>
    <w:rsid w:val="00B15E0A"/>
    <w:rsid w:val="00B16E8C"/>
    <w:rsid w:val="00B20180"/>
    <w:rsid w:val="00B209EB"/>
    <w:rsid w:val="00B21427"/>
    <w:rsid w:val="00B2161A"/>
    <w:rsid w:val="00B21893"/>
    <w:rsid w:val="00B22149"/>
    <w:rsid w:val="00B230CA"/>
    <w:rsid w:val="00B235C6"/>
    <w:rsid w:val="00B23A1A"/>
    <w:rsid w:val="00B24E65"/>
    <w:rsid w:val="00B24EF2"/>
    <w:rsid w:val="00B25C61"/>
    <w:rsid w:val="00B263CC"/>
    <w:rsid w:val="00B2676B"/>
    <w:rsid w:val="00B30F25"/>
    <w:rsid w:val="00B311F7"/>
    <w:rsid w:val="00B33346"/>
    <w:rsid w:val="00B33ED0"/>
    <w:rsid w:val="00B342AB"/>
    <w:rsid w:val="00B3459F"/>
    <w:rsid w:val="00B353E6"/>
    <w:rsid w:val="00B3695A"/>
    <w:rsid w:val="00B37557"/>
    <w:rsid w:val="00B37D46"/>
    <w:rsid w:val="00B405E7"/>
    <w:rsid w:val="00B4083C"/>
    <w:rsid w:val="00B40F5E"/>
    <w:rsid w:val="00B43D60"/>
    <w:rsid w:val="00B44173"/>
    <w:rsid w:val="00B44B10"/>
    <w:rsid w:val="00B46D29"/>
    <w:rsid w:val="00B46E62"/>
    <w:rsid w:val="00B473D9"/>
    <w:rsid w:val="00B474B2"/>
    <w:rsid w:val="00B47D95"/>
    <w:rsid w:val="00B5202F"/>
    <w:rsid w:val="00B54164"/>
    <w:rsid w:val="00B55664"/>
    <w:rsid w:val="00B55A14"/>
    <w:rsid w:val="00B56857"/>
    <w:rsid w:val="00B56FB8"/>
    <w:rsid w:val="00B573ED"/>
    <w:rsid w:val="00B57543"/>
    <w:rsid w:val="00B576FA"/>
    <w:rsid w:val="00B61BDD"/>
    <w:rsid w:val="00B61C4D"/>
    <w:rsid w:val="00B62519"/>
    <w:rsid w:val="00B62531"/>
    <w:rsid w:val="00B6460F"/>
    <w:rsid w:val="00B65462"/>
    <w:rsid w:val="00B6602B"/>
    <w:rsid w:val="00B66A20"/>
    <w:rsid w:val="00B6790D"/>
    <w:rsid w:val="00B67CB1"/>
    <w:rsid w:val="00B70364"/>
    <w:rsid w:val="00B70368"/>
    <w:rsid w:val="00B707DB"/>
    <w:rsid w:val="00B70BA4"/>
    <w:rsid w:val="00B722A2"/>
    <w:rsid w:val="00B7273A"/>
    <w:rsid w:val="00B729E3"/>
    <w:rsid w:val="00B7352A"/>
    <w:rsid w:val="00B7468C"/>
    <w:rsid w:val="00B77334"/>
    <w:rsid w:val="00B77FA8"/>
    <w:rsid w:val="00B802D0"/>
    <w:rsid w:val="00B81909"/>
    <w:rsid w:val="00B822D2"/>
    <w:rsid w:val="00B83029"/>
    <w:rsid w:val="00B837E9"/>
    <w:rsid w:val="00B84078"/>
    <w:rsid w:val="00B84995"/>
    <w:rsid w:val="00B855B0"/>
    <w:rsid w:val="00B86B0B"/>
    <w:rsid w:val="00B90632"/>
    <w:rsid w:val="00B90BA7"/>
    <w:rsid w:val="00B9193C"/>
    <w:rsid w:val="00B92F95"/>
    <w:rsid w:val="00B9305E"/>
    <w:rsid w:val="00B9403F"/>
    <w:rsid w:val="00B94125"/>
    <w:rsid w:val="00B95684"/>
    <w:rsid w:val="00B959FD"/>
    <w:rsid w:val="00B971CB"/>
    <w:rsid w:val="00B97554"/>
    <w:rsid w:val="00B97E48"/>
    <w:rsid w:val="00B97E61"/>
    <w:rsid w:val="00BA07B1"/>
    <w:rsid w:val="00BA07C6"/>
    <w:rsid w:val="00BA0A32"/>
    <w:rsid w:val="00BA232B"/>
    <w:rsid w:val="00BA27E1"/>
    <w:rsid w:val="00BA28D0"/>
    <w:rsid w:val="00BA34BE"/>
    <w:rsid w:val="00BA39E7"/>
    <w:rsid w:val="00BA3D16"/>
    <w:rsid w:val="00BA46D6"/>
    <w:rsid w:val="00BA52F5"/>
    <w:rsid w:val="00BA5C89"/>
    <w:rsid w:val="00BA6FF1"/>
    <w:rsid w:val="00BA7042"/>
    <w:rsid w:val="00BB142D"/>
    <w:rsid w:val="00BB310F"/>
    <w:rsid w:val="00BB354B"/>
    <w:rsid w:val="00BB3A5A"/>
    <w:rsid w:val="00BB416B"/>
    <w:rsid w:val="00BB4BFE"/>
    <w:rsid w:val="00BB55FF"/>
    <w:rsid w:val="00BB6CDB"/>
    <w:rsid w:val="00BB7413"/>
    <w:rsid w:val="00BB7996"/>
    <w:rsid w:val="00BC062A"/>
    <w:rsid w:val="00BC08AE"/>
    <w:rsid w:val="00BC0915"/>
    <w:rsid w:val="00BC0CE5"/>
    <w:rsid w:val="00BC1288"/>
    <w:rsid w:val="00BC21F0"/>
    <w:rsid w:val="00BC2C58"/>
    <w:rsid w:val="00BC4996"/>
    <w:rsid w:val="00BC51C4"/>
    <w:rsid w:val="00BC596B"/>
    <w:rsid w:val="00BC620A"/>
    <w:rsid w:val="00BD0511"/>
    <w:rsid w:val="00BD0826"/>
    <w:rsid w:val="00BD0A96"/>
    <w:rsid w:val="00BD1523"/>
    <w:rsid w:val="00BD1D22"/>
    <w:rsid w:val="00BD1EDE"/>
    <w:rsid w:val="00BD35D6"/>
    <w:rsid w:val="00BD3E46"/>
    <w:rsid w:val="00BD415F"/>
    <w:rsid w:val="00BD4673"/>
    <w:rsid w:val="00BD5242"/>
    <w:rsid w:val="00BD6106"/>
    <w:rsid w:val="00BD733D"/>
    <w:rsid w:val="00BD7761"/>
    <w:rsid w:val="00BE10D6"/>
    <w:rsid w:val="00BE133B"/>
    <w:rsid w:val="00BE1E44"/>
    <w:rsid w:val="00BE211C"/>
    <w:rsid w:val="00BE28E5"/>
    <w:rsid w:val="00BE3179"/>
    <w:rsid w:val="00BE3464"/>
    <w:rsid w:val="00BE3DAF"/>
    <w:rsid w:val="00BE4C7F"/>
    <w:rsid w:val="00BE621E"/>
    <w:rsid w:val="00BF0FB6"/>
    <w:rsid w:val="00BF284E"/>
    <w:rsid w:val="00BF2F5B"/>
    <w:rsid w:val="00BF419D"/>
    <w:rsid w:val="00BF462A"/>
    <w:rsid w:val="00BF4FEE"/>
    <w:rsid w:val="00BF5DED"/>
    <w:rsid w:val="00BF79FF"/>
    <w:rsid w:val="00C00723"/>
    <w:rsid w:val="00C01589"/>
    <w:rsid w:val="00C02A80"/>
    <w:rsid w:val="00C037DB"/>
    <w:rsid w:val="00C055A1"/>
    <w:rsid w:val="00C064B7"/>
    <w:rsid w:val="00C06C10"/>
    <w:rsid w:val="00C06D29"/>
    <w:rsid w:val="00C070EF"/>
    <w:rsid w:val="00C10D2C"/>
    <w:rsid w:val="00C11D2E"/>
    <w:rsid w:val="00C11EA3"/>
    <w:rsid w:val="00C12655"/>
    <w:rsid w:val="00C14D51"/>
    <w:rsid w:val="00C16247"/>
    <w:rsid w:val="00C20338"/>
    <w:rsid w:val="00C2109E"/>
    <w:rsid w:val="00C214E2"/>
    <w:rsid w:val="00C21600"/>
    <w:rsid w:val="00C220E4"/>
    <w:rsid w:val="00C2241B"/>
    <w:rsid w:val="00C22746"/>
    <w:rsid w:val="00C22B1A"/>
    <w:rsid w:val="00C253C1"/>
    <w:rsid w:val="00C25A35"/>
    <w:rsid w:val="00C25F07"/>
    <w:rsid w:val="00C26F9A"/>
    <w:rsid w:val="00C27701"/>
    <w:rsid w:val="00C278C5"/>
    <w:rsid w:val="00C303EA"/>
    <w:rsid w:val="00C30F06"/>
    <w:rsid w:val="00C317DD"/>
    <w:rsid w:val="00C3187E"/>
    <w:rsid w:val="00C324B6"/>
    <w:rsid w:val="00C324EE"/>
    <w:rsid w:val="00C33B5F"/>
    <w:rsid w:val="00C33F32"/>
    <w:rsid w:val="00C346C6"/>
    <w:rsid w:val="00C350F9"/>
    <w:rsid w:val="00C35349"/>
    <w:rsid w:val="00C353D1"/>
    <w:rsid w:val="00C364C4"/>
    <w:rsid w:val="00C37613"/>
    <w:rsid w:val="00C3776F"/>
    <w:rsid w:val="00C405E9"/>
    <w:rsid w:val="00C40CE3"/>
    <w:rsid w:val="00C418BD"/>
    <w:rsid w:val="00C41CE7"/>
    <w:rsid w:val="00C41D3D"/>
    <w:rsid w:val="00C42094"/>
    <w:rsid w:val="00C420C3"/>
    <w:rsid w:val="00C427CF"/>
    <w:rsid w:val="00C438A2"/>
    <w:rsid w:val="00C45E58"/>
    <w:rsid w:val="00C46341"/>
    <w:rsid w:val="00C46F90"/>
    <w:rsid w:val="00C47E3F"/>
    <w:rsid w:val="00C50AC9"/>
    <w:rsid w:val="00C51B91"/>
    <w:rsid w:val="00C52E77"/>
    <w:rsid w:val="00C53316"/>
    <w:rsid w:val="00C53CF0"/>
    <w:rsid w:val="00C553EA"/>
    <w:rsid w:val="00C55518"/>
    <w:rsid w:val="00C55E81"/>
    <w:rsid w:val="00C563F6"/>
    <w:rsid w:val="00C57019"/>
    <w:rsid w:val="00C57929"/>
    <w:rsid w:val="00C5798B"/>
    <w:rsid w:val="00C60046"/>
    <w:rsid w:val="00C60173"/>
    <w:rsid w:val="00C60EE7"/>
    <w:rsid w:val="00C61A56"/>
    <w:rsid w:val="00C62383"/>
    <w:rsid w:val="00C62E4B"/>
    <w:rsid w:val="00C63032"/>
    <w:rsid w:val="00C63483"/>
    <w:rsid w:val="00C6359C"/>
    <w:rsid w:val="00C64AF2"/>
    <w:rsid w:val="00C64FBC"/>
    <w:rsid w:val="00C661EA"/>
    <w:rsid w:val="00C6692E"/>
    <w:rsid w:val="00C66FE7"/>
    <w:rsid w:val="00C67260"/>
    <w:rsid w:val="00C677DF"/>
    <w:rsid w:val="00C71134"/>
    <w:rsid w:val="00C71DA8"/>
    <w:rsid w:val="00C7300E"/>
    <w:rsid w:val="00C73045"/>
    <w:rsid w:val="00C744E9"/>
    <w:rsid w:val="00C74BC8"/>
    <w:rsid w:val="00C752AB"/>
    <w:rsid w:val="00C75500"/>
    <w:rsid w:val="00C75C71"/>
    <w:rsid w:val="00C7730C"/>
    <w:rsid w:val="00C774D2"/>
    <w:rsid w:val="00C7795C"/>
    <w:rsid w:val="00C77CB3"/>
    <w:rsid w:val="00C8056B"/>
    <w:rsid w:val="00C80DF5"/>
    <w:rsid w:val="00C8100C"/>
    <w:rsid w:val="00C81BB2"/>
    <w:rsid w:val="00C820C0"/>
    <w:rsid w:val="00C830BE"/>
    <w:rsid w:val="00C84465"/>
    <w:rsid w:val="00C84626"/>
    <w:rsid w:val="00C86426"/>
    <w:rsid w:val="00C86E4A"/>
    <w:rsid w:val="00C9017C"/>
    <w:rsid w:val="00C911FB"/>
    <w:rsid w:val="00C91494"/>
    <w:rsid w:val="00C91B89"/>
    <w:rsid w:val="00C9470A"/>
    <w:rsid w:val="00C94B67"/>
    <w:rsid w:val="00C9513F"/>
    <w:rsid w:val="00C964CC"/>
    <w:rsid w:val="00C9669A"/>
    <w:rsid w:val="00C970A6"/>
    <w:rsid w:val="00C97776"/>
    <w:rsid w:val="00C97E1D"/>
    <w:rsid w:val="00CA0080"/>
    <w:rsid w:val="00CA0374"/>
    <w:rsid w:val="00CA059E"/>
    <w:rsid w:val="00CA171C"/>
    <w:rsid w:val="00CA1BE8"/>
    <w:rsid w:val="00CA2F04"/>
    <w:rsid w:val="00CA3BF5"/>
    <w:rsid w:val="00CA4DB5"/>
    <w:rsid w:val="00CA4F65"/>
    <w:rsid w:val="00CA5DB1"/>
    <w:rsid w:val="00CA6363"/>
    <w:rsid w:val="00CA66AA"/>
    <w:rsid w:val="00CA7DB0"/>
    <w:rsid w:val="00CB086D"/>
    <w:rsid w:val="00CB3078"/>
    <w:rsid w:val="00CB489A"/>
    <w:rsid w:val="00CB5607"/>
    <w:rsid w:val="00CB744C"/>
    <w:rsid w:val="00CB7600"/>
    <w:rsid w:val="00CC046A"/>
    <w:rsid w:val="00CC07A7"/>
    <w:rsid w:val="00CC0A10"/>
    <w:rsid w:val="00CC12A0"/>
    <w:rsid w:val="00CC1472"/>
    <w:rsid w:val="00CC1F0E"/>
    <w:rsid w:val="00CC2CEC"/>
    <w:rsid w:val="00CC3688"/>
    <w:rsid w:val="00CC3897"/>
    <w:rsid w:val="00CC3A49"/>
    <w:rsid w:val="00CC3E73"/>
    <w:rsid w:val="00CC446E"/>
    <w:rsid w:val="00CC4972"/>
    <w:rsid w:val="00CC5E8A"/>
    <w:rsid w:val="00CC625F"/>
    <w:rsid w:val="00CC6760"/>
    <w:rsid w:val="00CC6DB6"/>
    <w:rsid w:val="00CC7C85"/>
    <w:rsid w:val="00CD0A1E"/>
    <w:rsid w:val="00CD0E36"/>
    <w:rsid w:val="00CD260A"/>
    <w:rsid w:val="00CD27F3"/>
    <w:rsid w:val="00CD2E78"/>
    <w:rsid w:val="00CD353B"/>
    <w:rsid w:val="00CD3859"/>
    <w:rsid w:val="00CD3F73"/>
    <w:rsid w:val="00CD40C8"/>
    <w:rsid w:val="00CD4230"/>
    <w:rsid w:val="00CD492D"/>
    <w:rsid w:val="00CD6A24"/>
    <w:rsid w:val="00CE0153"/>
    <w:rsid w:val="00CE0E82"/>
    <w:rsid w:val="00CE24B9"/>
    <w:rsid w:val="00CE388F"/>
    <w:rsid w:val="00CE4DAA"/>
    <w:rsid w:val="00CE4F60"/>
    <w:rsid w:val="00CE5B9D"/>
    <w:rsid w:val="00CE64B2"/>
    <w:rsid w:val="00CE6949"/>
    <w:rsid w:val="00CE740C"/>
    <w:rsid w:val="00CF167C"/>
    <w:rsid w:val="00CF1724"/>
    <w:rsid w:val="00CF1924"/>
    <w:rsid w:val="00CF1FC4"/>
    <w:rsid w:val="00CF2252"/>
    <w:rsid w:val="00CF22D1"/>
    <w:rsid w:val="00CF33FA"/>
    <w:rsid w:val="00CF3914"/>
    <w:rsid w:val="00CF3F97"/>
    <w:rsid w:val="00CF434A"/>
    <w:rsid w:val="00CF6B86"/>
    <w:rsid w:val="00CF791F"/>
    <w:rsid w:val="00D01CC0"/>
    <w:rsid w:val="00D0226C"/>
    <w:rsid w:val="00D02286"/>
    <w:rsid w:val="00D02E84"/>
    <w:rsid w:val="00D0389F"/>
    <w:rsid w:val="00D03FCC"/>
    <w:rsid w:val="00D0478F"/>
    <w:rsid w:val="00D050C3"/>
    <w:rsid w:val="00D05CA6"/>
    <w:rsid w:val="00D0611D"/>
    <w:rsid w:val="00D065D7"/>
    <w:rsid w:val="00D06749"/>
    <w:rsid w:val="00D07198"/>
    <w:rsid w:val="00D11C8C"/>
    <w:rsid w:val="00D1394E"/>
    <w:rsid w:val="00D163B0"/>
    <w:rsid w:val="00D16A28"/>
    <w:rsid w:val="00D16F21"/>
    <w:rsid w:val="00D176F6"/>
    <w:rsid w:val="00D20A31"/>
    <w:rsid w:val="00D21EC5"/>
    <w:rsid w:val="00D222C6"/>
    <w:rsid w:val="00D2285C"/>
    <w:rsid w:val="00D23FDF"/>
    <w:rsid w:val="00D24122"/>
    <w:rsid w:val="00D242A2"/>
    <w:rsid w:val="00D24B9F"/>
    <w:rsid w:val="00D25B1C"/>
    <w:rsid w:val="00D26588"/>
    <w:rsid w:val="00D313BF"/>
    <w:rsid w:val="00D3264F"/>
    <w:rsid w:val="00D33D86"/>
    <w:rsid w:val="00D34300"/>
    <w:rsid w:val="00D34E6D"/>
    <w:rsid w:val="00D350C0"/>
    <w:rsid w:val="00D361AA"/>
    <w:rsid w:val="00D367F7"/>
    <w:rsid w:val="00D36928"/>
    <w:rsid w:val="00D371CC"/>
    <w:rsid w:val="00D37420"/>
    <w:rsid w:val="00D37D0D"/>
    <w:rsid w:val="00D401BA"/>
    <w:rsid w:val="00D4020B"/>
    <w:rsid w:val="00D4110A"/>
    <w:rsid w:val="00D421F7"/>
    <w:rsid w:val="00D42274"/>
    <w:rsid w:val="00D42B96"/>
    <w:rsid w:val="00D42DC3"/>
    <w:rsid w:val="00D42FC2"/>
    <w:rsid w:val="00D43BA8"/>
    <w:rsid w:val="00D44190"/>
    <w:rsid w:val="00D4419E"/>
    <w:rsid w:val="00D46B72"/>
    <w:rsid w:val="00D479F4"/>
    <w:rsid w:val="00D50E2A"/>
    <w:rsid w:val="00D513A6"/>
    <w:rsid w:val="00D540FC"/>
    <w:rsid w:val="00D54D0A"/>
    <w:rsid w:val="00D56990"/>
    <w:rsid w:val="00D57E11"/>
    <w:rsid w:val="00D63091"/>
    <w:rsid w:val="00D639BA"/>
    <w:rsid w:val="00D64D5E"/>
    <w:rsid w:val="00D65483"/>
    <w:rsid w:val="00D65CBB"/>
    <w:rsid w:val="00D65DFB"/>
    <w:rsid w:val="00D6671E"/>
    <w:rsid w:val="00D67CFE"/>
    <w:rsid w:val="00D7047C"/>
    <w:rsid w:val="00D709A3"/>
    <w:rsid w:val="00D70DD4"/>
    <w:rsid w:val="00D72B47"/>
    <w:rsid w:val="00D73CFD"/>
    <w:rsid w:val="00D73FB0"/>
    <w:rsid w:val="00D74470"/>
    <w:rsid w:val="00D74682"/>
    <w:rsid w:val="00D75866"/>
    <w:rsid w:val="00D772C0"/>
    <w:rsid w:val="00D80146"/>
    <w:rsid w:val="00D804E5"/>
    <w:rsid w:val="00D807F0"/>
    <w:rsid w:val="00D8202D"/>
    <w:rsid w:val="00D825A7"/>
    <w:rsid w:val="00D83061"/>
    <w:rsid w:val="00D83417"/>
    <w:rsid w:val="00D8436C"/>
    <w:rsid w:val="00D847FE"/>
    <w:rsid w:val="00D85976"/>
    <w:rsid w:val="00D86B12"/>
    <w:rsid w:val="00D87A9F"/>
    <w:rsid w:val="00D9079E"/>
    <w:rsid w:val="00D90907"/>
    <w:rsid w:val="00D93D22"/>
    <w:rsid w:val="00D952A0"/>
    <w:rsid w:val="00D9548F"/>
    <w:rsid w:val="00DA0FB9"/>
    <w:rsid w:val="00DA16FE"/>
    <w:rsid w:val="00DA2424"/>
    <w:rsid w:val="00DA2D20"/>
    <w:rsid w:val="00DA2D31"/>
    <w:rsid w:val="00DA3F23"/>
    <w:rsid w:val="00DA4178"/>
    <w:rsid w:val="00DA43A3"/>
    <w:rsid w:val="00DA6A0A"/>
    <w:rsid w:val="00DA774A"/>
    <w:rsid w:val="00DA79B7"/>
    <w:rsid w:val="00DB0721"/>
    <w:rsid w:val="00DB1B56"/>
    <w:rsid w:val="00DB202C"/>
    <w:rsid w:val="00DB255A"/>
    <w:rsid w:val="00DB5211"/>
    <w:rsid w:val="00DB55D5"/>
    <w:rsid w:val="00DB5F8C"/>
    <w:rsid w:val="00DC08C2"/>
    <w:rsid w:val="00DC1CAA"/>
    <w:rsid w:val="00DC2078"/>
    <w:rsid w:val="00DC2482"/>
    <w:rsid w:val="00DC25F1"/>
    <w:rsid w:val="00DC5956"/>
    <w:rsid w:val="00DC65FF"/>
    <w:rsid w:val="00DC67B6"/>
    <w:rsid w:val="00DC6932"/>
    <w:rsid w:val="00DC717A"/>
    <w:rsid w:val="00DC73AA"/>
    <w:rsid w:val="00DD1939"/>
    <w:rsid w:val="00DD2136"/>
    <w:rsid w:val="00DD3257"/>
    <w:rsid w:val="00DD4602"/>
    <w:rsid w:val="00DD4CB1"/>
    <w:rsid w:val="00DD5C7A"/>
    <w:rsid w:val="00DD7C71"/>
    <w:rsid w:val="00DE1064"/>
    <w:rsid w:val="00DE13FA"/>
    <w:rsid w:val="00DE1E2D"/>
    <w:rsid w:val="00DE2C44"/>
    <w:rsid w:val="00DE3C78"/>
    <w:rsid w:val="00DE4269"/>
    <w:rsid w:val="00DE4D66"/>
    <w:rsid w:val="00DE5446"/>
    <w:rsid w:val="00DE56C0"/>
    <w:rsid w:val="00DF4648"/>
    <w:rsid w:val="00DF46B4"/>
    <w:rsid w:val="00DF574F"/>
    <w:rsid w:val="00DF5D13"/>
    <w:rsid w:val="00DF7399"/>
    <w:rsid w:val="00DF7CFB"/>
    <w:rsid w:val="00DF7E40"/>
    <w:rsid w:val="00E00103"/>
    <w:rsid w:val="00E00B22"/>
    <w:rsid w:val="00E0202B"/>
    <w:rsid w:val="00E02B4D"/>
    <w:rsid w:val="00E04619"/>
    <w:rsid w:val="00E04B57"/>
    <w:rsid w:val="00E050E4"/>
    <w:rsid w:val="00E05E38"/>
    <w:rsid w:val="00E06F17"/>
    <w:rsid w:val="00E070E5"/>
    <w:rsid w:val="00E074E9"/>
    <w:rsid w:val="00E07B71"/>
    <w:rsid w:val="00E101D1"/>
    <w:rsid w:val="00E10F1E"/>
    <w:rsid w:val="00E10F9F"/>
    <w:rsid w:val="00E112F1"/>
    <w:rsid w:val="00E11B00"/>
    <w:rsid w:val="00E121EF"/>
    <w:rsid w:val="00E13258"/>
    <w:rsid w:val="00E15960"/>
    <w:rsid w:val="00E16400"/>
    <w:rsid w:val="00E17622"/>
    <w:rsid w:val="00E17B91"/>
    <w:rsid w:val="00E20513"/>
    <w:rsid w:val="00E2096B"/>
    <w:rsid w:val="00E21571"/>
    <w:rsid w:val="00E22EC8"/>
    <w:rsid w:val="00E23554"/>
    <w:rsid w:val="00E249EC"/>
    <w:rsid w:val="00E255F6"/>
    <w:rsid w:val="00E258D2"/>
    <w:rsid w:val="00E27B27"/>
    <w:rsid w:val="00E30669"/>
    <w:rsid w:val="00E30A0F"/>
    <w:rsid w:val="00E31E52"/>
    <w:rsid w:val="00E32288"/>
    <w:rsid w:val="00E32597"/>
    <w:rsid w:val="00E325E8"/>
    <w:rsid w:val="00E33CEF"/>
    <w:rsid w:val="00E34873"/>
    <w:rsid w:val="00E351CD"/>
    <w:rsid w:val="00E369BC"/>
    <w:rsid w:val="00E36DBA"/>
    <w:rsid w:val="00E37B03"/>
    <w:rsid w:val="00E40B38"/>
    <w:rsid w:val="00E41431"/>
    <w:rsid w:val="00E41B75"/>
    <w:rsid w:val="00E43D91"/>
    <w:rsid w:val="00E447B8"/>
    <w:rsid w:val="00E448EE"/>
    <w:rsid w:val="00E45C45"/>
    <w:rsid w:val="00E45F73"/>
    <w:rsid w:val="00E46187"/>
    <w:rsid w:val="00E46619"/>
    <w:rsid w:val="00E47F8E"/>
    <w:rsid w:val="00E503C2"/>
    <w:rsid w:val="00E51EB7"/>
    <w:rsid w:val="00E5254C"/>
    <w:rsid w:val="00E538F6"/>
    <w:rsid w:val="00E54384"/>
    <w:rsid w:val="00E546BC"/>
    <w:rsid w:val="00E55DC3"/>
    <w:rsid w:val="00E60694"/>
    <w:rsid w:val="00E618F4"/>
    <w:rsid w:val="00E61CBA"/>
    <w:rsid w:val="00E62D42"/>
    <w:rsid w:val="00E64B0E"/>
    <w:rsid w:val="00E6668A"/>
    <w:rsid w:val="00E67105"/>
    <w:rsid w:val="00E671C9"/>
    <w:rsid w:val="00E675F4"/>
    <w:rsid w:val="00E67690"/>
    <w:rsid w:val="00E7196F"/>
    <w:rsid w:val="00E72695"/>
    <w:rsid w:val="00E737A4"/>
    <w:rsid w:val="00E73BEA"/>
    <w:rsid w:val="00E74353"/>
    <w:rsid w:val="00E751CB"/>
    <w:rsid w:val="00E75490"/>
    <w:rsid w:val="00E7549B"/>
    <w:rsid w:val="00E75A2D"/>
    <w:rsid w:val="00E7644F"/>
    <w:rsid w:val="00E76539"/>
    <w:rsid w:val="00E76FF8"/>
    <w:rsid w:val="00E77045"/>
    <w:rsid w:val="00E776F2"/>
    <w:rsid w:val="00E80132"/>
    <w:rsid w:val="00E8142B"/>
    <w:rsid w:val="00E81FCA"/>
    <w:rsid w:val="00E83396"/>
    <w:rsid w:val="00E83C97"/>
    <w:rsid w:val="00E84539"/>
    <w:rsid w:val="00E84D92"/>
    <w:rsid w:val="00E85C70"/>
    <w:rsid w:val="00E86328"/>
    <w:rsid w:val="00E86E9E"/>
    <w:rsid w:val="00E87279"/>
    <w:rsid w:val="00E87F53"/>
    <w:rsid w:val="00E90F05"/>
    <w:rsid w:val="00E923B3"/>
    <w:rsid w:val="00E9259B"/>
    <w:rsid w:val="00E95F7B"/>
    <w:rsid w:val="00E961AB"/>
    <w:rsid w:val="00E96F0C"/>
    <w:rsid w:val="00E96F17"/>
    <w:rsid w:val="00EA1F80"/>
    <w:rsid w:val="00EA1FA9"/>
    <w:rsid w:val="00EA22A9"/>
    <w:rsid w:val="00EA499A"/>
    <w:rsid w:val="00EA4C08"/>
    <w:rsid w:val="00EA5CED"/>
    <w:rsid w:val="00EA63AA"/>
    <w:rsid w:val="00EA6426"/>
    <w:rsid w:val="00EA647C"/>
    <w:rsid w:val="00EA6C32"/>
    <w:rsid w:val="00EA78A4"/>
    <w:rsid w:val="00EA7DEE"/>
    <w:rsid w:val="00EA7EDC"/>
    <w:rsid w:val="00EB16F1"/>
    <w:rsid w:val="00EB18BF"/>
    <w:rsid w:val="00EB1912"/>
    <w:rsid w:val="00EB2CC0"/>
    <w:rsid w:val="00EB32D2"/>
    <w:rsid w:val="00EB36D6"/>
    <w:rsid w:val="00EB47BE"/>
    <w:rsid w:val="00EB4B89"/>
    <w:rsid w:val="00EB4F54"/>
    <w:rsid w:val="00EB5BF5"/>
    <w:rsid w:val="00EB6F38"/>
    <w:rsid w:val="00EB7B40"/>
    <w:rsid w:val="00EC0483"/>
    <w:rsid w:val="00EC10F2"/>
    <w:rsid w:val="00EC20B5"/>
    <w:rsid w:val="00EC2D31"/>
    <w:rsid w:val="00EC2FB2"/>
    <w:rsid w:val="00EC306F"/>
    <w:rsid w:val="00EC3B06"/>
    <w:rsid w:val="00EC64BE"/>
    <w:rsid w:val="00EC698F"/>
    <w:rsid w:val="00EC713C"/>
    <w:rsid w:val="00EC7932"/>
    <w:rsid w:val="00ED05EA"/>
    <w:rsid w:val="00ED085E"/>
    <w:rsid w:val="00ED0ABA"/>
    <w:rsid w:val="00ED0AC4"/>
    <w:rsid w:val="00ED0D75"/>
    <w:rsid w:val="00ED40D0"/>
    <w:rsid w:val="00ED423C"/>
    <w:rsid w:val="00ED4CD0"/>
    <w:rsid w:val="00ED53ED"/>
    <w:rsid w:val="00ED6C48"/>
    <w:rsid w:val="00ED6C8F"/>
    <w:rsid w:val="00ED76C8"/>
    <w:rsid w:val="00EE0ACC"/>
    <w:rsid w:val="00EE1ED0"/>
    <w:rsid w:val="00EE4428"/>
    <w:rsid w:val="00EE4D5F"/>
    <w:rsid w:val="00EE5584"/>
    <w:rsid w:val="00EE5EE1"/>
    <w:rsid w:val="00EE7397"/>
    <w:rsid w:val="00EE769B"/>
    <w:rsid w:val="00EF0065"/>
    <w:rsid w:val="00EF11DE"/>
    <w:rsid w:val="00EF11E7"/>
    <w:rsid w:val="00EF2298"/>
    <w:rsid w:val="00EF3151"/>
    <w:rsid w:val="00EF3C0B"/>
    <w:rsid w:val="00EF3C8F"/>
    <w:rsid w:val="00EF3E6F"/>
    <w:rsid w:val="00EF3F01"/>
    <w:rsid w:val="00EF4E92"/>
    <w:rsid w:val="00EF7865"/>
    <w:rsid w:val="00F0003E"/>
    <w:rsid w:val="00F001DC"/>
    <w:rsid w:val="00F004AA"/>
    <w:rsid w:val="00F00638"/>
    <w:rsid w:val="00F01BDE"/>
    <w:rsid w:val="00F02A2D"/>
    <w:rsid w:val="00F035ED"/>
    <w:rsid w:val="00F03821"/>
    <w:rsid w:val="00F039BD"/>
    <w:rsid w:val="00F03C3E"/>
    <w:rsid w:val="00F051AC"/>
    <w:rsid w:val="00F05247"/>
    <w:rsid w:val="00F06086"/>
    <w:rsid w:val="00F06529"/>
    <w:rsid w:val="00F06E93"/>
    <w:rsid w:val="00F07833"/>
    <w:rsid w:val="00F10661"/>
    <w:rsid w:val="00F10851"/>
    <w:rsid w:val="00F11B5A"/>
    <w:rsid w:val="00F12ADB"/>
    <w:rsid w:val="00F12EFB"/>
    <w:rsid w:val="00F13253"/>
    <w:rsid w:val="00F13320"/>
    <w:rsid w:val="00F13526"/>
    <w:rsid w:val="00F146E3"/>
    <w:rsid w:val="00F15688"/>
    <w:rsid w:val="00F16929"/>
    <w:rsid w:val="00F170DE"/>
    <w:rsid w:val="00F1780E"/>
    <w:rsid w:val="00F17E3D"/>
    <w:rsid w:val="00F20505"/>
    <w:rsid w:val="00F20D96"/>
    <w:rsid w:val="00F20EC9"/>
    <w:rsid w:val="00F21C15"/>
    <w:rsid w:val="00F22256"/>
    <w:rsid w:val="00F23E9D"/>
    <w:rsid w:val="00F24432"/>
    <w:rsid w:val="00F24B41"/>
    <w:rsid w:val="00F24F7D"/>
    <w:rsid w:val="00F26683"/>
    <w:rsid w:val="00F31352"/>
    <w:rsid w:val="00F31578"/>
    <w:rsid w:val="00F33490"/>
    <w:rsid w:val="00F3427C"/>
    <w:rsid w:val="00F34B74"/>
    <w:rsid w:val="00F36AA8"/>
    <w:rsid w:val="00F37125"/>
    <w:rsid w:val="00F37DD1"/>
    <w:rsid w:val="00F402E8"/>
    <w:rsid w:val="00F40F10"/>
    <w:rsid w:val="00F414C1"/>
    <w:rsid w:val="00F4165B"/>
    <w:rsid w:val="00F4553D"/>
    <w:rsid w:val="00F45D72"/>
    <w:rsid w:val="00F46B86"/>
    <w:rsid w:val="00F471E4"/>
    <w:rsid w:val="00F5096C"/>
    <w:rsid w:val="00F510E0"/>
    <w:rsid w:val="00F517C0"/>
    <w:rsid w:val="00F51E6D"/>
    <w:rsid w:val="00F52B1A"/>
    <w:rsid w:val="00F531CE"/>
    <w:rsid w:val="00F53309"/>
    <w:rsid w:val="00F53A42"/>
    <w:rsid w:val="00F55C6B"/>
    <w:rsid w:val="00F60A67"/>
    <w:rsid w:val="00F60D29"/>
    <w:rsid w:val="00F62BAD"/>
    <w:rsid w:val="00F63242"/>
    <w:rsid w:val="00F658FD"/>
    <w:rsid w:val="00F659D4"/>
    <w:rsid w:val="00F66A6F"/>
    <w:rsid w:val="00F66D40"/>
    <w:rsid w:val="00F7028C"/>
    <w:rsid w:val="00F7119D"/>
    <w:rsid w:val="00F72266"/>
    <w:rsid w:val="00F72490"/>
    <w:rsid w:val="00F729A4"/>
    <w:rsid w:val="00F72FFA"/>
    <w:rsid w:val="00F731BB"/>
    <w:rsid w:val="00F73C00"/>
    <w:rsid w:val="00F74355"/>
    <w:rsid w:val="00F75F42"/>
    <w:rsid w:val="00F77BFF"/>
    <w:rsid w:val="00F81165"/>
    <w:rsid w:val="00F81F15"/>
    <w:rsid w:val="00F83207"/>
    <w:rsid w:val="00F838DF"/>
    <w:rsid w:val="00F84F82"/>
    <w:rsid w:val="00F84FE2"/>
    <w:rsid w:val="00F85812"/>
    <w:rsid w:val="00F9197F"/>
    <w:rsid w:val="00F92911"/>
    <w:rsid w:val="00F939AE"/>
    <w:rsid w:val="00F93F50"/>
    <w:rsid w:val="00F942E6"/>
    <w:rsid w:val="00F948F0"/>
    <w:rsid w:val="00F95072"/>
    <w:rsid w:val="00F953A9"/>
    <w:rsid w:val="00F95486"/>
    <w:rsid w:val="00F96366"/>
    <w:rsid w:val="00F96D67"/>
    <w:rsid w:val="00F978B2"/>
    <w:rsid w:val="00F97E3F"/>
    <w:rsid w:val="00F97E9C"/>
    <w:rsid w:val="00FA4485"/>
    <w:rsid w:val="00FA44D4"/>
    <w:rsid w:val="00FA4663"/>
    <w:rsid w:val="00FA4AC5"/>
    <w:rsid w:val="00FA5106"/>
    <w:rsid w:val="00FA512E"/>
    <w:rsid w:val="00FA682E"/>
    <w:rsid w:val="00FB14DD"/>
    <w:rsid w:val="00FB20E4"/>
    <w:rsid w:val="00FB479B"/>
    <w:rsid w:val="00FB5F4A"/>
    <w:rsid w:val="00FB610A"/>
    <w:rsid w:val="00FB6929"/>
    <w:rsid w:val="00FB706B"/>
    <w:rsid w:val="00FC0FEE"/>
    <w:rsid w:val="00FC158F"/>
    <w:rsid w:val="00FC1A13"/>
    <w:rsid w:val="00FC1D29"/>
    <w:rsid w:val="00FC1DDC"/>
    <w:rsid w:val="00FC2E54"/>
    <w:rsid w:val="00FC3EC9"/>
    <w:rsid w:val="00FC43F9"/>
    <w:rsid w:val="00FC6054"/>
    <w:rsid w:val="00FD0E18"/>
    <w:rsid w:val="00FD0F41"/>
    <w:rsid w:val="00FD0F76"/>
    <w:rsid w:val="00FD1728"/>
    <w:rsid w:val="00FD1BD0"/>
    <w:rsid w:val="00FD49B5"/>
    <w:rsid w:val="00FD5079"/>
    <w:rsid w:val="00FD52C3"/>
    <w:rsid w:val="00FD5352"/>
    <w:rsid w:val="00FD5873"/>
    <w:rsid w:val="00FD64B8"/>
    <w:rsid w:val="00FD6D9B"/>
    <w:rsid w:val="00FE1075"/>
    <w:rsid w:val="00FE110E"/>
    <w:rsid w:val="00FE1419"/>
    <w:rsid w:val="00FE1706"/>
    <w:rsid w:val="00FE1DDD"/>
    <w:rsid w:val="00FE1E4E"/>
    <w:rsid w:val="00FE2030"/>
    <w:rsid w:val="00FE2971"/>
    <w:rsid w:val="00FE4BB9"/>
    <w:rsid w:val="00FE4E5C"/>
    <w:rsid w:val="00FE553D"/>
    <w:rsid w:val="00FE6D0F"/>
    <w:rsid w:val="00FF00CC"/>
    <w:rsid w:val="00FF1138"/>
    <w:rsid w:val="00FF1B56"/>
    <w:rsid w:val="00FF1DC2"/>
    <w:rsid w:val="00FF2238"/>
    <w:rsid w:val="00FF23A5"/>
    <w:rsid w:val="00FF2829"/>
    <w:rsid w:val="00FF45EA"/>
    <w:rsid w:val="00FF4F16"/>
    <w:rsid w:val="00FF71E0"/>
    <w:rsid w:val="00FF78DD"/>
    <w:rsid w:val="00FF7B45"/>
    <w:rsid w:val="00FF7C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9F6D04"/>
  <w15:docId w15:val="{1138EBA5-271B-4260-9A4A-D9E9BD6B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752AB"/>
    <w:pPr>
      <w:spacing w:after="120"/>
    </w:pPr>
  </w:style>
  <w:style w:type="character" w:customStyle="1" w:styleId="BodyTextChar">
    <w:name w:val="Body Text Char"/>
    <w:basedOn w:val="DefaultParagraphFont"/>
    <w:link w:val="BodyText"/>
    <w:uiPriority w:val="99"/>
    <w:rsid w:val="00C752AB"/>
  </w:style>
  <w:style w:type="character" w:styleId="Hyperlink">
    <w:name w:val="Hyperlink"/>
    <w:rsid w:val="00854B60"/>
    <w:rPr>
      <w:color w:val="0000FF"/>
      <w:u w:val="single"/>
    </w:rPr>
  </w:style>
  <w:style w:type="paragraph" w:styleId="FootnoteText">
    <w:name w:val="footnote text"/>
    <w:basedOn w:val="Normal"/>
    <w:link w:val="FootnoteTextChar"/>
    <w:uiPriority w:val="99"/>
    <w:rsid w:val="00854B60"/>
    <w:pPr>
      <w:spacing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854B60"/>
    <w:rPr>
      <w:rFonts w:eastAsia="Times New Roman" w:cs="Times New Roman"/>
      <w:sz w:val="20"/>
      <w:szCs w:val="20"/>
    </w:rPr>
  </w:style>
  <w:style w:type="character" w:styleId="FootnoteReference">
    <w:name w:val="footnote reference"/>
    <w:aliases w:val="(Footnote Reference),BVI fnr,EN Footnote Reference,Exposant 3 Point,Footnote,Footnote Reference Superscript,Footnote reference number,Footnote symbol,SUPERS,Style 16,Style 19,Times 10 Point,Voetnootverwijzing,fr,note TESI"/>
    <w:uiPriority w:val="99"/>
    <w:rsid w:val="00854B60"/>
    <w:rPr>
      <w:vertAlign w:val="superscript"/>
    </w:rPr>
  </w:style>
  <w:style w:type="character" w:styleId="FollowedHyperlink">
    <w:name w:val="FollowedHyperlink"/>
    <w:basedOn w:val="DefaultParagraphFont"/>
    <w:uiPriority w:val="99"/>
    <w:semiHidden/>
    <w:unhideWhenUsed/>
    <w:rsid w:val="003A44C8"/>
    <w:rPr>
      <w:color w:val="800080" w:themeColor="followedHyperlink"/>
      <w:u w:val="single"/>
    </w:rPr>
  </w:style>
  <w:style w:type="paragraph" w:styleId="BalloonText">
    <w:name w:val="Balloon Text"/>
    <w:basedOn w:val="Normal"/>
    <w:link w:val="BalloonTextChar"/>
    <w:uiPriority w:val="99"/>
    <w:semiHidden/>
    <w:unhideWhenUsed/>
    <w:rsid w:val="000623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DB"/>
    <w:rPr>
      <w:rFonts w:ascii="Tahoma" w:hAnsi="Tahoma" w:cs="Tahoma"/>
      <w:sz w:val="16"/>
      <w:szCs w:val="16"/>
    </w:rPr>
  </w:style>
  <w:style w:type="character" w:styleId="CommentReference">
    <w:name w:val="annotation reference"/>
    <w:basedOn w:val="DefaultParagraphFont"/>
    <w:uiPriority w:val="99"/>
    <w:semiHidden/>
    <w:unhideWhenUsed/>
    <w:rsid w:val="000623DB"/>
    <w:rPr>
      <w:sz w:val="16"/>
      <w:szCs w:val="16"/>
    </w:rPr>
  </w:style>
  <w:style w:type="paragraph" w:styleId="CommentText">
    <w:name w:val="annotation text"/>
    <w:basedOn w:val="Normal"/>
    <w:link w:val="CommentTextChar"/>
    <w:uiPriority w:val="99"/>
    <w:semiHidden/>
    <w:unhideWhenUsed/>
    <w:rsid w:val="000623DB"/>
    <w:pPr>
      <w:spacing w:line="240" w:lineRule="auto"/>
    </w:pPr>
    <w:rPr>
      <w:sz w:val="20"/>
      <w:szCs w:val="20"/>
    </w:rPr>
  </w:style>
  <w:style w:type="character" w:customStyle="1" w:styleId="CommentTextChar">
    <w:name w:val="Comment Text Char"/>
    <w:basedOn w:val="DefaultParagraphFont"/>
    <w:link w:val="CommentText"/>
    <w:uiPriority w:val="99"/>
    <w:semiHidden/>
    <w:rsid w:val="000623DB"/>
    <w:rPr>
      <w:sz w:val="20"/>
      <w:szCs w:val="20"/>
    </w:rPr>
  </w:style>
  <w:style w:type="paragraph" w:styleId="CommentSubject">
    <w:name w:val="annotation subject"/>
    <w:basedOn w:val="CommentText"/>
    <w:next w:val="CommentText"/>
    <w:link w:val="CommentSubjectChar"/>
    <w:uiPriority w:val="99"/>
    <w:semiHidden/>
    <w:unhideWhenUsed/>
    <w:rsid w:val="000623DB"/>
    <w:rPr>
      <w:b/>
      <w:bCs/>
    </w:rPr>
  </w:style>
  <w:style w:type="character" w:customStyle="1" w:styleId="CommentSubjectChar">
    <w:name w:val="Comment Subject Char"/>
    <w:basedOn w:val="CommentTextChar"/>
    <w:link w:val="CommentSubject"/>
    <w:uiPriority w:val="99"/>
    <w:semiHidden/>
    <w:rsid w:val="000623DB"/>
    <w:rPr>
      <w:b/>
      <w:bCs/>
      <w:sz w:val="20"/>
      <w:szCs w:val="20"/>
    </w:rPr>
  </w:style>
  <w:style w:type="paragraph" w:styleId="ListParagraph">
    <w:name w:val="List Paragraph"/>
    <w:basedOn w:val="Normal"/>
    <w:uiPriority w:val="34"/>
    <w:qFormat/>
    <w:rsid w:val="00CB3078"/>
    <w:pPr>
      <w:ind w:left="720"/>
      <w:contextualSpacing/>
    </w:pPr>
  </w:style>
  <w:style w:type="paragraph" w:styleId="Revision">
    <w:name w:val="Revision"/>
    <w:hidden/>
    <w:uiPriority w:val="99"/>
    <w:semiHidden/>
    <w:rsid w:val="00690D08"/>
    <w:pPr>
      <w:spacing w:line="240" w:lineRule="auto"/>
    </w:pPr>
  </w:style>
  <w:style w:type="paragraph" w:styleId="Header">
    <w:name w:val="header"/>
    <w:basedOn w:val="Normal"/>
    <w:link w:val="HeaderChar"/>
    <w:uiPriority w:val="99"/>
    <w:unhideWhenUsed/>
    <w:rsid w:val="00D26588"/>
    <w:pPr>
      <w:tabs>
        <w:tab w:val="center" w:pos="4680"/>
        <w:tab w:val="right" w:pos="9360"/>
      </w:tabs>
      <w:spacing w:line="240" w:lineRule="auto"/>
    </w:pPr>
  </w:style>
  <w:style w:type="character" w:customStyle="1" w:styleId="HeaderChar">
    <w:name w:val="Header Char"/>
    <w:basedOn w:val="DefaultParagraphFont"/>
    <w:link w:val="Header"/>
    <w:uiPriority w:val="99"/>
    <w:rsid w:val="00D26588"/>
  </w:style>
  <w:style w:type="paragraph" w:styleId="Footer">
    <w:name w:val="footer"/>
    <w:basedOn w:val="Normal"/>
    <w:link w:val="FooterChar"/>
    <w:uiPriority w:val="99"/>
    <w:unhideWhenUsed/>
    <w:rsid w:val="00D26588"/>
    <w:pPr>
      <w:tabs>
        <w:tab w:val="center" w:pos="4680"/>
        <w:tab w:val="right" w:pos="9360"/>
      </w:tabs>
      <w:spacing w:line="240" w:lineRule="auto"/>
    </w:pPr>
  </w:style>
  <w:style w:type="character" w:customStyle="1" w:styleId="FooterChar">
    <w:name w:val="Footer Char"/>
    <w:basedOn w:val="DefaultParagraphFont"/>
    <w:link w:val="Footer"/>
    <w:uiPriority w:val="99"/>
    <w:rsid w:val="00D26588"/>
  </w:style>
  <w:style w:type="paragraph" w:styleId="NormalWeb">
    <w:name w:val="Normal (Web)"/>
    <w:basedOn w:val="Normal"/>
    <w:uiPriority w:val="99"/>
    <w:semiHidden/>
    <w:unhideWhenUsed/>
    <w:rsid w:val="004A47C7"/>
    <w:rPr>
      <w:rFonts w:cs="Times New Roman"/>
      <w:szCs w:val="24"/>
    </w:rPr>
  </w:style>
  <w:style w:type="paragraph" w:styleId="BodyTextIndent3">
    <w:name w:val="Body Text Indent 3"/>
    <w:basedOn w:val="Normal"/>
    <w:link w:val="BodyTextIndent3Char"/>
    <w:uiPriority w:val="99"/>
    <w:semiHidden/>
    <w:unhideWhenUsed/>
    <w:rsid w:val="00FC158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C158F"/>
    <w:rPr>
      <w:sz w:val="16"/>
      <w:szCs w:val="16"/>
    </w:rPr>
  </w:style>
  <w:style w:type="character" w:styleId="Strong">
    <w:name w:val="Strong"/>
    <w:basedOn w:val="DefaultParagraphFont"/>
    <w:uiPriority w:val="22"/>
    <w:qFormat/>
    <w:rsid w:val="007024AF"/>
    <w:rPr>
      <w:b/>
      <w:bCs/>
    </w:rPr>
  </w:style>
  <w:style w:type="character" w:customStyle="1" w:styleId="apple-converted-space">
    <w:name w:val="apple-converted-space"/>
    <w:basedOn w:val="DefaultParagraphFont"/>
    <w:rsid w:val="007024AF"/>
  </w:style>
  <w:style w:type="character" w:customStyle="1" w:styleId="xbe">
    <w:name w:val="_xbe"/>
    <w:basedOn w:val="DefaultParagraphFont"/>
    <w:rsid w:val="002E3170"/>
  </w:style>
  <w:style w:type="character" w:customStyle="1" w:styleId="qug">
    <w:name w:val="_qug"/>
    <w:basedOn w:val="DefaultParagraphFont"/>
    <w:rsid w:val="002E3170"/>
  </w:style>
  <w:style w:type="character" w:styleId="PageNumber">
    <w:name w:val="page number"/>
    <w:basedOn w:val="DefaultParagraphFont"/>
    <w:uiPriority w:val="99"/>
    <w:rsid w:val="00407614"/>
    <w:rPr>
      <w:rFonts w:cs="Times New Roman"/>
    </w:rPr>
  </w:style>
  <w:style w:type="character" w:styleId="UnresolvedMention">
    <w:name w:val="Unresolved Mention"/>
    <w:basedOn w:val="DefaultParagraphFont"/>
    <w:uiPriority w:val="99"/>
    <w:semiHidden/>
    <w:unhideWhenUsed/>
    <w:rsid w:val="00304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092653C5114048BB4062E7F62A0BF3" ma:contentTypeVersion="0" ma:contentTypeDescription="Create a new document." ma:contentTypeScope="" ma:versionID="806e9ae6c0a9d723136bd0019c8751e0">
  <xsd:schema xmlns:xsd="http://www.w3.org/2001/XMLSchema" xmlns:xs="http://www.w3.org/2001/XMLSchema" xmlns:p="http://schemas.microsoft.com/office/2006/metadata/properties" targetNamespace="http://schemas.microsoft.com/office/2006/metadata/properties" ma:root="true" ma:fieldsID="1e1dc27185869094906a168146f8b23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C443B-0990-480C-83B3-AEC8759C670B}">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elements/1.1/"/>
    <ds:schemaRef ds:uri="http://purl.org/dc/terms/"/>
  </ds:schemaRefs>
</ds:datastoreItem>
</file>

<file path=customXml/itemProps2.xml><?xml version="1.0" encoding="utf-8"?>
<ds:datastoreItem xmlns:ds="http://schemas.openxmlformats.org/officeDocument/2006/customXml" ds:itemID="{56D3F37E-8891-485B-82DD-495F6233897C}">
  <ds:schemaRefs>
    <ds:schemaRef ds:uri="http://schemas.microsoft.com/sharepoint/v3/contenttype/forms"/>
  </ds:schemaRefs>
</ds:datastoreItem>
</file>

<file path=customXml/itemProps3.xml><?xml version="1.0" encoding="utf-8"?>
<ds:datastoreItem xmlns:ds="http://schemas.openxmlformats.org/officeDocument/2006/customXml" ds:itemID="{A89DE489-EB15-4CE3-BE32-21B9AE22B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47EF541-B993-49F2-A9CC-5082C2C5F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2354</Words>
  <Characters>12736</Characters>
  <Application>Microsoft Office Word</Application>
  <DocSecurity>0</DocSecurity>
  <Lines>270</Lines>
  <Paragraphs>85</Paragraphs>
  <ScaleCrop>false</ScaleCrop>
  <HeadingPairs>
    <vt:vector size="2" baseType="variant">
      <vt:variant>
        <vt:lpstr>Title</vt:lpstr>
      </vt:variant>
      <vt:variant>
        <vt:i4>1</vt:i4>
      </vt:variant>
    </vt:vector>
  </HeadingPairs>
  <TitlesOfParts>
    <vt:vector size="1" baseType="lpstr">
      <vt:lpstr/>
    </vt:vector>
  </TitlesOfParts>
  <Company>Federal Housing Finance Agency</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raudenbushe</dc:creator>
  <cp:lastModifiedBy>Miller, Crystal</cp:lastModifiedBy>
  <cp:revision>3</cp:revision>
  <cp:lastPrinted>2016-05-12T17:24:00Z</cp:lastPrinted>
  <dcterms:created xsi:type="dcterms:W3CDTF">2025-08-18T16:46:00Z</dcterms:created>
  <dcterms:modified xsi:type="dcterms:W3CDTF">2025-08-18T16:47:00Z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0x01010028092653C5114048BB4062E7F62A0BF3</vt:lpwstr>
  </property>
</Properties>
</file>