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6F1C" w:rsidRPr="00E16011" w:rsidP="009F6F1C" w14:paraId="350A9B86" w14:textId="77777777">
      <w:pPr>
        <w:jc w:val="center"/>
        <w:rPr>
          <w:b/>
          <w:sz w:val="24"/>
          <w:szCs w:val="24"/>
        </w:rPr>
      </w:pPr>
      <w:r w:rsidRPr="00E16011">
        <w:rPr>
          <w:b/>
          <w:sz w:val="24"/>
          <w:szCs w:val="24"/>
        </w:rPr>
        <w:t>Supporting Statement for Paperwork Reduction Act Submissions</w:t>
      </w:r>
    </w:p>
    <w:p w:rsidR="009F6F1C" w:rsidRPr="00E16011" w:rsidP="009F6F1C" w14:paraId="72FD3EB7" w14:textId="2CCF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E16011">
        <w:rPr>
          <w:b/>
          <w:sz w:val="24"/>
          <w:szCs w:val="24"/>
        </w:rPr>
        <w:t>Family Self-Sufficiency</w:t>
      </w:r>
    </w:p>
    <w:p w:rsidR="009F6F1C" w:rsidRPr="00E16011" w:rsidP="009F6F1C" w14:paraId="785BE6EA" w14:textId="6331E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E16011">
        <w:rPr>
          <w:b/>
          <w:sz w:val="24"/>
          <w:szCs w:val="24"/>
        </w:rPr>
        <w:t>OMB</w:t>
      </w:r>
      <w:r w:rsidRPr="00E16011" w:rsidR="005E7862">
        <w:rPr>
          <w:b/>
          <w:sz w:val="24"/>
          <w:szCs w:val="24"/>
        </w:rPr>
        <w:t xml:space="preserve"> Control No.:</w:t>
      </w:r>
      <w:r w:rsidRPr="00E16011">
        <w:rPr>
          <w:b/>
          <w:sz w:val="24"/>
          <w:szCs w:val="24"/>
        </w:rPr>
        <w:t xml:space="preserve"> 2577-0178</w:t>
      </w:r>
    </w:p>
    <w:p w:rsidR="009F6F1C" w:rsidRPr="00E16011" w:rsidP="009F6F1C" w14:paraId="78B6A9B2" w14:textId="77777777">
      <w:pPr>
        <w:rPr>
          <w:b/>
          <w:sz w:val="24"/>
          <w:szCs w:val="24"/>
        </w:rPr>
      </w:pPr>
    </w:p>
    <w:p w:rsidR="009F6F1C" w:rsidRPr="00E16011" w:rsidP="009F6F1C" w14:paraId="12991A4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E16011">
        <w:rPr>
          <w:b/>
          <w:sz w:val="24"/>
          <w:szCs w:val="24"/>
        </w:rPr>
        <w:t xml:space="preserve">A. </w:t>
      </w:r>
      <w:r w:rsidRPr="00E16011">
        <w:rPr>
          <w:b/>
          <w:sz w:val="24"/>
          <w:szCs w:val="24"/>
        </w:rPr>
        <w:tab/>
        <w:t>Justification</w:t>
      </w:r>
    </w:p>
    <w:p w:rsidR="009F6F1C" w:rsidRPr="00E16011" w:rsidP="009F6F1C" w14:paraId="169134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F6F1C" w:rsidRPr="00E16011" w:rsidP="009F6F1C" w14:paraId="5BA7ADCD" w14:textId="77777777">
      <w:pPr>
        <w:keepLines/>
        <w:tabs>
          <w:tab w:val="left" w:pos="360"/>
        </w:tabs>
        <w:spacing w:after="80"/>
        <w:ind w:left="360" w:hanging="360"/>
        <w:rPr>
          <w:b/>
          <w:bCs/>
          <w:sz w:val="24"/>
          <w:szCs w:val="24"/>
        </w:rPr>
      </w:pPr>
      <w:r w:rsidRPr="00E16011">
        <w:rPr>
          <w:sz w:val="24"/>
          <w:szCs w:val="24"/>
        </w:rPr>
        <w:t>1.</w:t>
      </w:r>
      <w:r w:rsidRPr="00E16011">
        <w:rPr>
          <w:sz w:val="24"/>
          <w:szCs w:val="24"/>
        </w:rPr>
        <w:tab/>
      </w:r>
      <w:r w:rsidRPr="00E16011">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43E5" w:rsidRPr="00E16011" w:rsidP="00642CE0" w14:paraId="34835154" w14:textId="77777777">
      <w:pPr>
        <w:ind w:left="360"/>
        <w:textAlignment w:val="auto"/>
        <w:rPr>
          <w:sz w:val="24"/>
          <w:szCs w:val="24"/>
        </w:rPr>
      </w:pPr>
    </w:p>
    <w:p w:rsidR="00642CE0" w:rsidRPr="00E16011" w:rsidP="00642CE0" w14:paraId="41C32356" w14:textId="741714BB">
      <w:pPr>
        <w:ind w:left="360"/>
        <w:textAlignment w:val="auto"/>
        <w:rPr>
          <w:sz w:val="24"/>
          <w:szCs w:val="24"/>
        </w:rPr>
      </w:pPr>
      <w:r w:rsidRPr="00E16011">
        <w:rPr>
          <w:sz w:val="24"/>
          <w:szCs w:val="24"/>
        </w:rPr>
        <w:t xml:space="preserve">The Family Self-Sufficiency (FSS) Program is authorized under Section 23 of the United States Housing Act of 1937 and re-authorized under Section 306 of the Economic Growth, Regulatory Relief, and Consumer Protection Act (P.L. 115-174) </w:t>
      </w:r>
      <w:hyperlink r:id="rId7" w:history="1">
        <w:r w:rsidRPr="00E16011">
          <w:rPr>
            <w:rStyle w:val="Hyperlink"/>
            <w:rFonts w:eastAsiaTheme="majorEastAsia"/>
            <w:sz w:val="24"/>
            <w:szCs w:val="24"/>
          </w:rPr>
          <w:t>https://www.law.cornell.edu/uscode/text/42/1437u</w:t>
        </w:r>
      </w:hyperlink>
      <w:r w:rsidRPr="00E16011">
        <w:rPr>
          <w:sz w:val="24"/>
          <w:szCs w:val="24"/>
        </w:rPr>
        <w:t xml:space="preserve"> on May 24, 2018.  The statute is </w:t>
      </w:r>
      <w:r w:rsidRPr="00E16011" w:rsidR="00B8577C">
        <w:rPr>
          <w:sz w:val="24"/>
          <w:szCs w:val="24"/>
        </w:rPr>
        <w:t xml:space="preserve">implemented </w:t>
      </w:r>
      <w:r w:rsidRPr="00E16011">
        <w:rPr>
          <w:sz w:val="24"/>
          <w:szCs w:val="24"/>
        </w:rPr>
        <w:t xml:space="preserve">via regulations at 24 CFR 984 </w:t>
      </w:r>
      <w:hyperlink r:id="rId8" w:anchor="984.201" w:history="1">
        <w:r w:rsidRPr="00E16011">
          <w:rPr>
            <w:rStyle w:val="Hyperlink"/>
            <w:rFonts w:eastAsiaTheme="majorEastAsia"/>
            <w:sz w:val="24"/>
            <w:szCs w:val="24"/>
          </w:rPr>
          <w:t>https://www.ecfr.gov/current/title-24/subtitle-B/chapter-IX/part-984#984.201</w:t>
        </w:r>
      </w:hyperlink>
      <w:r w:rsidRPr="00E16011">
        <w:rPr>
          <w:sz w:val="24"/>
          <w:szCs w:val="24"/>
        </w:rPr>
        <w:t>. The purpose of the FSS program is to develop local strategies to coordinate the use of public housing and Section 8 housing choice voucher (HCV) rental assistance and project-based rental assistance (PBRA) (AKA Multifamily) with support services provided by public and private resources to enable families to achieve economic independence and self-sufficiency.  Th</w:t>
      </w:r>
      <w:r w:rsidRPr="00E16011" w:rsidR="002B5A14">
        <w:rPr>
          <w:sz w:val="24"/>
          <w:szCs w:val="24"/>
        </w:rPr>
        <w:t>is</w:t>
      </w:r>
      <w:r w:rsidRPr="00E16011">
        <w:rPr>
          <w:sz w:val="24"/>
          <w:szCs w:val="24"/>
        </w:rPr>
        <w:t xml:space="preserve"> collection is </w:t>
      </w:r>
      <w:r w:rsidRPr="00E16011" w:rsidR="002B5A14">
        <w:rPr>
          <w:sz w:val="24"/>
          <w:szCs w:val="24"/>
        </w:rPr>
        <w:t>required</w:t>
      </w:r>
      <w:r w:rsidRPr="00E16011">
        <w:rPr>
          <w:sz w:val="24"/>
          <w:szCs w:val="24"/>
        </w:rPr>
        <w:t xml:space="preserve"> to collect information for funding decisions, ensure that programs have policies and procedures that adhere to regulatory requirements and collect information on outcomes.</w:t>
      </w:r>
    </w:p>
    <w:p w:rsidR="009F6F1C" w:rsidRPr="00E16011" w:rsidP="009F6F1C" w14:paraId="4AC38589" w14:textId="6EF66506">
      <w:pPr>
        <w:ind w:left="360"/>
        <w:textAlignment w:val="auto"/>
        <w:rPr>
          <w:color w:val="000000"/>
          <w:sz w:val="24"/>
          <w:szCs w:val="24"/>
        </w:rPr>
      </w:pPr>
    </w:p>
    <w:p w:rsidR="00E757CF" w:rsidRPr="00E16011" w:rsidP="009F6F1C" w14:paraId="5DF9D845" w14:textId="77777777">
      <w:pPr>
        <w:tabs>
          <w:tab w:val="left" w:pos="360"/>
        </w:tabs>
        <w:ind w:left="360" w:hanging="360"/>
        <w:rPr>
          <w:sz w:val="24"/>
          <w:szCs w:val="24"/>
        </w:rPr>
      </w:pPr>
    </w:p>
    <w:p w:rsidR="009F6F1C" w:rsidRPr="00E16011" w:rsidP="009F6F1C" w14:paraId="3472A46B" w14:textId="77777777">
      <w:pPr>
        <w:keepLines/>
        <w:tabs>
          <w:tab w:val="left" w:pos="360"/>
        </w:tabs>
        <w:spacing w:after="80"/>
        <w:ind w:left="360" w:hanging="360"/>
        <w:rPr>
          <w:b/>
          <w:bCs/>
          <w:sz w:val="24"/>
          <w:szCs w:val="24"/>
        </w:rPr>
      </w:pPr>
      <w:r w:rsidRPr="00E16011">
        <w:rPr>
          <w:sz w:val="24"/>
          <w:szCs w:val="24"/>
        </w:rPr>
        <w:t>2.</w:t>
      </w:r>
      <w:r w:rsidRPr="00E16011">
        <w:rPr>
          <w:sz w:val="24"/>
          <w:szCs w:val="24"/>
        </w:rPr>
        <w:tab/>
      </w:r>
      <w:r w:rsidRPr="00E16011">
        <w:rPr>
          <w:b/>
          <w:bCs/>
          <w:sz w:val="24"/>
          <w:szCs w:val="24"/>
        </w:rPr>
        <w:t>Indicate how, by whom and for what purpose the information is to be used.  Except for a new collection, indicate the actual use the agency has made of the information received from the current collection.</w:t>
      </w:r>
    </w:p>
    <w:p w:rsidR="009F6F1C" w:rsidRPr="00E16011" w:rsidP="009F6F1C" w14:paraId="2D1A7B22" w14:textId="1416ED62">
      <w:pPr>
        <w:ind w:left="360"/>
        <w:textAlignment w:val="auto"/>
        <w:rPr>
          <w:sz w:val="24"/>
          <w:szCs w:val="24"/>
        </w:rPr>
      </w:pPr>
      <w:r w:rsidRPr="00E16011">
        <w:rPr>
          <w:sz w:val="24"/>
          <w:szCs w:val="24"/>
        </w:rPr>
        <w:t xml:space="preserve">This is a </w:t>
      </w:r>
      <w:r w:rsidRPr="00E16011" w:rsidR="003325DB">
        <w:rPr>
          <w:sz w:val="24"/>
          <w:szCs w:val="24"/>
        </w:rPr>
        <w:t xml:space="preserve">reinstatement with changes </w:t>
      </w:r>
      <w:r w:rsidRPr="00E16011" w:rsidR="004C66F1">
        <w:rPr>
          <w:sz w:val="24"/>
          <w:szCs w:val="24"/>
        </w:rPr>
        <w:t>to</w:t>
      </w:r>
      <w:r w:rsidRPr="00E16011" w:rsidR="003325DB">
        <w:rPr>
          <w:sz w:val="24"/>
          <w:szCs w:val="24"/>
        </w:rPr>
        <w:t xml:space="preserve"> a previously approved collection for which approval has expired</w:t>
      </w:r>
      <w:r w:rsidRPr="00E16011">
        <w:rPr>
          <w:sz w:val="24"/>
          <w:szCs w:val="24"/>
        </w:rPr>
        <w:t>. The purpose of the FSS program is to develop local strategies to coordinate the use of public housing and Section 8 housing choice voucher (HCV) rental assistance and project-based rental assistance (PBRA) with support services provided by public and private resources to enable families to achieve economic independence and self-sufficiency.  The collection is used to collect information for funding decisions, ensure that programs have policies and procedures that adhere to regulatory requirements and collect information on outcomes.</w:t>
      </w:r>
    </w:p>
    <w:p w:rsidR="009F6F1C" w:rsidRPr="00E16011" w:rsidP="009F6F1C" w14:paraId="6BF28E28" w14:textId="77777777">
      <w:pPr>
        <w:ind w:left="360"/>
        <w:textAlignment w:val="auto"/>
        <w:rPr>
          <w:sz w:val="24"/>
          <w:szCs w:val="24"/>
        </w:rPr>
      </w:pPr>
    </w:p>
    <w:p w:rsidR="009F6F1C" w:rsidRPr="00E16011" w:rsidP="009F6F1C" w14:paraId="53448752" w14:textId="361CDB28">
      <w:pPr>
        <w:ind w:left="360"/>
        <w:textAlignment w:val="auto"/>
        <w:rPr>
          <w:sz w:val="24"/>
          <w:szCs w:val="24"/>
        </w:rPr>
      </w:pPr>
      <w:r w:rsidRPr="00E16011">
        <w:rPr>
          <w:sz w:val="24"/>
          <w:szCs w:val="24"/>
        </w:rPr>
        <w:t xml:space="preserve">Each Public Housing Agency (PHA) or PBRA owner carrying out a local FSS Program must </w:t>
      </w:r>
      <w:r w:rsidRPr="00E16011">
        <w:rPr>
          <w:sz w:val="24"/>
          <w:szCs w:val="24"/>
        </w:rPr>
        <w:t>enter into</w:t>
      </w:r>
      <w:r w:rsidRPr="00E16011">
        <w:rPr>
          <w:sz w:val="24"/>
          <w:szCs w:val="24"/>
        </w:rPr>
        <w:t xml:space="preserve"> a Contract of Participation (Form HUD-52650) with each eligible family that opts to participate in the program.  The contract enumerates the services of the local FSS Program that are made available to tenants, as well as the responsibilities and obligations of the participating family.  The Contract of Participation is required by law (Section 23(</w:t>
      </w:r>
      <w:r w:rsidRPr="00E16011" w:rsidR="00B8577C">
        <w:rPr>
          <w:sz w:val="24"/>
          <w:szCs w:val="24"/>
        </w:rPr>
        <w:t>d</w:t>
      </w:r>
      <w:r w:rsidRPr="00E16011">
        <w:rPr>
          <w:sz w:val="24"/>
          <w:szCs w:val="24"/>
        </w:rPr>
        <w:t>) of the U. S. Housing Act of 1937, as added by Section 554 of the Cranston-Gonzales National Affordable Housing Act, P.L. 101-625) and Section 306 of the Economic Growth, Regulatory Relief, and Consumer Protection Act (P.L. 115-174).</w:t>
      </w:r>
      <w:r w:rsidRPr="00E16011" w:rsidR="001C34EB">
        <w:rPr>
          <w:sz w:val="24"/>
          <w:szCs w:val="24"/>
        </w:rPr>
        <w:t xml:space="preserve">  The Contracts of Participation are not submitted to HUD but must be kept on file</w:t>
      </w:r>
      <w:r w:rsidRPr="00E16011" w:rsidR="005F0D7D">
        <w:rPr>
          <w:sz w:val="24"/>
          <w:szCs w:val="24"/>
        </w:rPr>
        <w:t>.</w:t>
      </w:r>
    </w:p>
    <w:p w:rsidR="009F6F1C" w:rsidRPr="00E16011" w:rsidP="009F6F1C" w14:paraId="0708391F" w14:textId="77777777">
      <w:pPr>
        <w:ind w:left="360"/>
        <w:rPr>
          <w:sz w:val="24"/>
          <w:szCs w:val="24"/>
        </w:rPr>
      </w:pPr>
    </w:p>
    <w:p w:rsidR="009F6F1C" w:rsidRPr="00E16011" w:rsidP="009F6F1C" w14:paraId="6184160E" w14:textId="2034FBE5">
      <w:pPr>
        <w:tabs>
          <w:tab w:val="left" w:pos="360"/>
          <w:tab w:val="left" w:pos="720"/>
        </w:tabs>
        <w:ind w:left="360"/>
        <w:rPr>
          <w:sz w:val="24"/>
          <w:szCs w:val="24"/>
        </w:rPr>
      </w:pPr>
      <w:r w:rsidRPr="00E16011">
        <w:rPr>
          <w:sz w:val="24"/>
          <w:szCs w:val="24"/>
        </w:rPr>
        <w:t>Each PHA/</w:t>
      </w:r>
      <w:r w:rsidRPr="00E16011" w:rsidR="000759B0">
        <w:rPr>
          <w:sz w:val="24"/>
          <w:szCs w:val="24"/>
        </w:rPr>
        <w:t xml:space="preserve">PBRA </w:t>
      </w:r>
      <w:r w:rsidRPr="00E16011">
        <w:rPr>
          <w:sz w:val="24"/>
          <w:szCs w:val="24"/>
        </w:rPr>
        <w:t xml:space="preserve">owner </w:t>
      </w:r>
      <w:r w:rsidRPr="00E16011" w:rsidR="003D5418">
        <w:rPr>
          <w:sz w:val="24"/>
          <w:szCs w:val="24"/>
        </w:rPr>
        <w:t xml:space="preserve">that wishes to run an FSS program </w:t>
      </w:r>
      <w:r w:rsidRPr="00E16011">
        <w:rPr>
          <w:sz w:val="24"/>
          <w:szCs w:val="24"/>
        </w:rPr>
        <w:t xml:space="preserve">must consult with local officials to develop an FSS Action Plan containing descriptions of the size, characteristics, and needs of the </w:t>
      </w:r>
      <w:r w:rsidRPr="00E16011">
        <w:rPr>
          <w:sz w:val="24"/>
          <w:szCs w:val="24"/>
        </w:rPr>
        <w:t>population to be served by its proposed self-sufficiency program; the services and activities to be provided by both public and private resources to FSS families; how the program will be implemented; a time-table for implementation; a certification of coordination in the development of the services and activities; and other information necessary for HUD to determine the soundness of the PHA’s/owner’s proposed FSS program.  The Plan will be submitted</w:t>
      </w:r>
      <w:r w:rsidR="00EC46E8">
        <w:rPr>
          <w:sz w:val="24"/>
          <w:szCs w:val="24"/>
        </w:rPr>
        <w:t xml:space="preserve"> </w:t>
      </w:r>
      <w:r w:rsidR="00F53DE1">
        <w:rPr>
          <w:sz w:val="24"/>
          <w:szCs w:val="24"/>
        </w:rPr>
        <w:t>per guidance provided</w:t>
      </w:r>
      <w:r w:rsidRPr="00E16011">
        <w:rPr>
          <w:sz w:val="24"/>
          <w:szCs w:val="24"/>
        </w:rPr>
        <w:t xml:space="preserve"> to HUD as required by law (Section 23 (</w:t>
      </w:r>
      <w:r w:rsidRPr="00E16011" w:rsidR="000759B0">
        <w:rPr>
          <w:sz w:val="24"/>
          <w:szCs w:val="24"/>
        </w:rPr>
        <w:t>h</w:t>
      </w:r>
      <w:r w:rsidRPr="00E16011">
        <w:rPr>
          <w:sz w:val="24"/>
          <w:szCs w:val="24"/>
        </w:rPr>
        <w:t xml:space="preserve">) of the U. S. Housing Act of 1937 as added by Section 554 of the Cranston-Gonzalez National Affordable Housing Act, P.L. 101-625) and Section 306 of the Economic Growth, Regulatory Relief, and Consumer Protection Act (P.L. 115-174).  Once the Plan is approved, </w:t>
      </w:r>
      <w:r w:rsidR="00EC46E8">
        <w:rPr>
          <w:sz w:val="24"/>
          <w:szCs w:val="24"/>
        </w:rPr>
        <w:t xml:space="preserve">the field office will send an approval </w:t>
      </w:r>
      <w:r w:rsidR="00EC46E8">
        <w:rPr>
          <w:sz w:val="24"/>
          <w:szCs w:val="24"/>
        </w:rPr>
        <w:t>email</w:t>
      </w:r>
      <w:r w:rsidR="00EC46E8">
        <w:rPr>
          <w:sz w:val="24"/>
          <w:szCs w:val="24"/>
        </w:rPr>
        <w:t xml:space="preserve"> and the Plan </w:t>
      </w:r>
      <w:r w:rsidRPr="00E16011">
        <w:rPr>
          <w:sz w:val="24"/>
          <w:szCs w:val="24"/>
        </w:rPr>
        <w:t>does not need to be re-submitted</w:t>
      </w:r>
      <w:r w:rsidR="000A6AE3">
        <w:rPr>
          <w:sz w:val="24"/>
          <w:szCs w:val="24"/>
        </w:rPr>
        <w:t xml:space="preserve"> unless the PHA/owner wishes to make a change</w:t>
      </w:r>
      <w:r w:rsidR="00761599">
        <w:rPr>
          <w:sz w:val="24"/>
          <w:szCs w:val="24"/>
        </w:rPr>
        <w:t>.</w:t>
      </w:r>
    </w:p>
    <w:p w:rsidR="009F6F1C" w:rsidRPr="00E16011" w:rsidP="009F6F1C" w14:paraId="234EEEFB" w14:textId="77777777">
      <w:pPr>
        <w:ind w:left="360"/>
        <w:rPr>
          <w:sz w:val="24"/>
          <w:szCs w:val="24"/>
        </w:rPr>
      </w:pPr>
    </w:p>
    <w:p w:rsidR="009F6F1C" w:rsidRPr="00E16011" w:rsidP="009F6F1C" w14:paraId="2632C922" w14:textId="18FA37BB">
      <w:pPr>
        <w:ind w:left="360"/>
        <w:rPr>
          <w:sz w:val="24"/>
          <w:szCs w:val="24"/>
        </w:rPr>
      </w:pPr>
      <w:r w:rsidRPr="00E16011">
        <w:rPr>
          <w:sz w:val="24"/>
          <w:szCs w:val="24"/>
        </w:rPr>
        <w:t>Submittal of annual reports to HUD is required by law (Section 23(</w:t>
      </w:r>
      <w:r w:rsidRPr="00E16011" w:rsidR="000759B0">
        <w:rPr>
          <w:sz w:val="24"/>
          <w:szCs w:val="24"/>
        </w:rPr>
        <w:t>m</w:t>
      </w:r>
      <w:r w:rsidRPr="00E16011">
        <w:rPr>
          <w:sz w:val="24"/>
          <w:szCs w:val="24"/>
        </w:rPr>
        <w:t>) of the U. S. Housing Act of 1937, as added by Section 554 of the Cranston-Gonzalez National Affordable Housing Act, P. L. 101-625) and Section 306 of the Economic Growth, Regulatory Relief, and Consumer Protection Act (P.L. 115-174).  PHAs fulfill their annual FSS reporting requirements by completion of the FSS addendum to the Form HUD-50058 (HUD-50058, HUD-50058-MTW or HUD-50058-MTW-Expansion, depending on the type of PHA)</w:t>
      </w:r>
      <w:r w:rsidRPr="00E16011" w:rsidR="00AD3A83">
        <w:rPr>
          <w:sz w:val="24"/>
          <w:szCs w:val="24"/>
        </w:rPr>
        <w:t xml:space="preserve"> and submission to the Public Housing Information Center (PIC) or subsequent system</w:t>
      </w:r>
      <w:r w:rsidRPr="00E16011">
        <w:rPr>
          <w:sz w:val="24"/>
          <w:szCs w:val="24"/>
        </w:rPr>
        <w:t>.  The burden hours for the reporting through the HUD-50058 are covered under OMB control number 2577-0083.  PBRA owners submit an annual PBRA FSS Report</w:t>
      </w:r>
      <w:r w:rsidR="009C677C">
        <w:rPr>
          <w:sz w:val="24"/>
          <w:szCs w:val="24"/>
        </w:rPr>
        <w:t>ing Tool</w:t>
      </w:r>
      <w:r w:rsidRPr="00E16011">
        <w:rPr>
          <w:sz w:val="24"/>
          <w:szCs w:val="24"/>
        </w:rPr>
        <w:t xml:space="preserve"> (HUD-</w:t>
      </w:r>
      <w:r w:rsidR="009C677C">
        <w:rPr>
          <w:sz w:val="24"/>
          <w:szCs w:val="24"/>
        </w:rPr>
        <w:t>52653</w:t>
      </w:r>
      <w:r w:rsidRPr="00E16011">
        <w:rPr>
          <w:sz w:val="24"/>
          <w:szCs w:val="24"/>
        </w:rPr>
        <w:t xml:space="preserve">).  </w:t>
      </w:r>
    </w:p>
    <w:p w:rsidR="009F6F1C" w:rsidRPr="00E16011" w:rsidP="009F6F1C" w14:paraId="055AEECD" w14:textId="77777777">
      <w:pPr>
        <w:rPr>
          <w:sz w:val="24"/>
          <w:szCs w:val="24"/>
        </w:rPr>
      </w:pPr>
    </w:p>
    <w:p w:rsidR="009F6F1C" w:rsidRPr="00E16011" w:rsidP="009F6F1C" w14:paraId="0C87F2F6" w14:textId="6994556B">
      <w:pPr>
        <w:tabs>
          <w:tab w:val="left" w:pos="360"/>
        </w:tabs>
        <w:ind w:left="360"/>
        <w:rPr>
          <w:color w:val="000000"/>
          <w:sz w:val="24"/>
          <w:szCs w:val="24"/>
        </w:rPr>
      </w:pPr>
      <w:r w:rsidRPr="00E16011">
        <w:rPr>
          <w:sz w:val="24"/>
          <w:szCs w:val="24"/>
        </w:rPr>
        <w:t xml:space="preserve">Applications have been streamlined to only require </w:t>
      </w:r>
      <w:r w:rsidRPr="00E16011">
        <w:rPr>
          <w:color w:val="000000"/>
          <w:sz w:val="24"/>
          <w:szCs w:val="24"/>
        </w:rPr>
        <w:t xml:space="preserve">an SF-424, </w:t>
      </w:r>
      <w:r w:rsidRPr="00E16011" w:rsidR="00B8577C">
        <w:rPr>
          <w:color w:val="000000"/>
          <w:sz w:val="24"/>
          <w:szCs w:val="24"/>
        </w:rPr>
        <w:t xml:space="preserve">HUD-424B, </w:t>
      </w:r>
      <w:r w:rsidRPr="00E16011">
        <w:rPr>
          <w:color w:val="000000"/>
          <w:sz w:val="24"/>
          <w:szCs w:val="24"/>
        </w:rPr>
        <w:t xml:space="preserve">HUD-52651 and a HUD-2880.  Applicants submit an SF-LLL if applicable.  We may have a narrative for all applicants in the future.  </w:t>
      </w:r>
    </w:p>
    <w:p w:rsidR="009F6F1C" w:rsidRPr="00E16011" w:rsidP="009F6F1C" w14:paraId="56807B97" w14:textId="77777777">
      <w:pPr>
        <w:tabs>
          <w:tab w:val="left" w:pos="360"/>
        </w:tabs>
        <w:ind w:left="360"/>
        <w:rPr>
          <w:color w:val="000000"/>
          <w:sz w:val="24"/>
          <w:szCs w:val="24"/>
        </w:rPr>
      </w:pPr>
    </w:p>
    <w:p w:rsidR="009F6F1C" w:rsidRPr="00E16011" w:rsidP="009F6F1C" w14:paraId="1A1240DA" w14:textId="135E0C05">
      <w:pPr>
        <w:tabs>
          <w:tab w:val="left" w:pos="360"/>
        </w:tabs>
        <w:ind w:left="360"/>
        <w:rPr>
          <w:color w:val="000000"/>
          <w:sz w:val="24"/>
          <w:szCs w:val="24"/>
        </w:rPr>
      </w:pPr>
      <w:r w:rsidRPr="00E16011">
        <w:rPr>
          <w:color w:val="000000"/>
          <w:sz w:val="24"/>
          <w:szCs w:val="24"/>
        </w:rPr>
        <w:t xml:space="preserve">Burden hours for the SF-424, </w:t>
      </w:r>
      <w:r w:rsidRPr="00E16011" w:rsidR="00D349D3">
        <w:rPr>
          <w:color w:val="000000"/>
          <w:sz w:val="24"/>
          <w:szCs w:val="24"/>
        </w:rPr>
        <w:t>HUD</w:t>
      </w:r>
      <w:r w:rsidRPr="00E16011">
        <w:rPr>
          <w:color w:val="000000"/>
          <w:sz w:val="24"/>
          <w:szCs w:val="24"/>
        </w:rPr>
        <w:t xml:space="preserve">-424-B, SF-LLL, HUD-50058 (including HUD-50058-MTW and HUD-50058-MTW-Expansion) and SF-425 are accounted for in separate collections.  </w:t>
      </w:r>
    </w:p>
    <w:p w:rsidR="00281326" w:rsidRPr="00E16011" w:rsidP="009F6F1C" w14:paraId="24230D07" w14:textId="77777777">
      <w:pPr>
        <w:tabs>
          <w:tab w:val="left" w:pos="360"/>
        </w:tabs>
        <w:ind w:left="360"/>
        <w:rPr>
          <w:color w:val="000000"/>
          <w:sz w:val="24"/>
          <w:szCs w:val="24"/>
        </w:rPr>
      </w:pPr>
    </w:p>
    <w:p w:rsidR="00281326" w:rsidRPr="00E16011" w:rsidP="00A2297D" w14:paraId="6F25C9E8" w14:textId="5164B105">
      <w:pPr>
        <w:tabs>
          <w:tab w:val="left" w:pos="360"/>
        </w:tabs>
        <w:ind w:left="360"/>
        <w:rPr>
          <w:color w:val="000000"/>
          <w:sz w:val="24"/>
          <w:szCs w:val="24"/>
        </w:rPr>
      </w:pPr>
      <w:r w:rsidRPr="00E16011">
        <w:rPr>
          <w:color w:val="000000"/>
          <w:sz w:val="24"/>
          <w:szCs w:val="24"/>
        </w:rPr>
        <w:t xml:space="preserve">All requirements listed under “Application” are received and reviewed pursuant to </w:t>
      </w:r>
      <w:r w:rsidRPr="00E16011" w:rsidR="004949CE">
        <w:rPr>
          <w:color w:val="000000"/>
          <w:sz w:val="24"/>
          <w:szCs w:val="24"/>
        </w:rPr>
        <w:t xml:space="preserve">the FSS Funding Notice(s).  The requirements under “Implementation” </w:t>
      </w:r>
      <w:r w:rsidRPr="00E16011" w:rsidR="00A2297D">
        <w:rPr>
          <w:color w:val="000000"/>
          <w:sz w:val="24"/>
          <w:szCs w:val="24"/>
        </w:rPr>
        <w:t xml:space="preserve">and “Reporting” </w:t>
      </w:r>
      <w:r w:rsidRPr="00E16011" w:rsidR="004949CE">
        <w:rPr>
          <w:color w:val="000000"/>
          <w:sz w:val="24"/>
          <w:szCs w:val="24"/>
        </w:rPr>
        <w:t xml:space="preserve">are received and reviewed pursuant to </w:t>
      </w:r>
      <w:r w:rsidRPr="00E16011" w:rsidR="00B103E9">
        <w:rPr>
          <w:color w:val="000000"/>
          <w:sz w:val="24"/>
          <w:szCs w:val="24"/>
        </w:rPr>
        <w:t xml:space="preserve">FSS program </w:t>
      </w:r>
      <w:r w:rsidRPr="00E16011" w:rsidR="00A2297D">
        <w:rPr>
          <w:color w:val="000000"/>
          <w:sz w:val="24"/>
          <w:szCs w:val="24"/>
        </w:rPr>
        <w:t xml:space="preserve">grant agreement and </w:t>
      </w:r>
      <w:r w:rsidRPr="00E16011" w:rsidR="00B103E9">
        <w:rPr>
          <w:color w:val="000000"/>
          <w:sz w:val="24"/>
          <w:szCs w:val="24"/>
        </w:rPr>
        <w:t>guidance</w:t>
      </w:r>
      <w:r w:rsidRPr="00E16011" w:rsidR="00A2297D">
        <w:rPr>
          <w:color w:val="000000"/>
          <w:sz w:val="24"/>
          <w:szCs w:val="24"/>
        </w:rPr>
        <w:t>.</w:t>
      </w:r>
    </w:p>
    <w:p w:rsidR="009F6F1C" w:rsidRPr="00E16011" w:rsidP="009F6F1C" w14:paraId="494E9B60" w14:textId="77777777">
      <w:pPr>
        <w:ind w:left="360"/>
        <w:textAlignment w:val="auto"/>
        <w:rPr>
          <w:b/>
          <w:bCs/>
          <w:sz w:val="24"/>
          <w:szCs w:val="24"/>
        </w:rPr>
      </w:pPr>
    </w:p>
    <w:p w:rsidR="009F6F1C" w:rsidRPr="00E16011" w:rsidP="009F6F1C" w14:paraId="67AB83D8" w14:textId="77777777">
      <w:pPr>
        <w:keepLines/>
        <w:tabs>
          <w:tab w:val="left" w:pos="360"/>
        </w:tabs>
        <w:spacing w:after="80"/>
        <w:ind w:left="360" w:hanging="360"/>
        <w:rPr>
          <w:b/>
          <w:bCs/>
          <w:sz w:val="24"/>
          <w:szCs w:val="24"/>
        </w:rPr>
      </w:pPr>
      <w:r w:rsidRPr="00E16011">
        <w:rPr>
          <w:sz w:val="24"/>
          <w:szCs w:val="24"/>
        </w:rPr>
        <w:t>3.</w:t>
      </w:r>
      <w:r w:rsidRPr="00E16011">
        <w:rPr>
          <w:sz w:val="24"/>
          <w:szCs w:val="24"/>
        </w:rPr>
        <w:tab/>
      </w:r>
      <w:r w:rsidRPr="00E1601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AE77BC" w:rsidRPr="00E16011" w:rsidP="009F6F1C" w14:paraId="2204632B" w14:textId="77777777">
      <w:pPr>
        <w:keepLines/>
        <w:tabs>
          <w:tab w:val="left" w:pos="360"/>
        </w:tabs>
        <w:spacing w:after="80"/>
        <w:ind w:left="360" w:hanging="360"/>
        <w:rPr>
          <w:sz w:val="24"/>
          <w:szCs w:val="24"/>
        </w:rPr>
      </w:pPr>
      <w:r w:rsidRPr="00E16011">
        <w:rPr>
          <w:sz w:val="24"/>
          <w:szCs w:val="24"/>
        </w:rPr>
        <w:tab/>
      </w:r>
    </w:p>
    <w:p w:rsidR="009F6F1C" w:rsidRPr="00E16011" w:rsidP="009F6F1C" w14:paraId="39EDEABB" w14:textId="37E0311E">
      <w:pPr>
        <w:keepLines/>
        <w:tabs>
          <w:tab w:val="left" w:pos="360"/>
        </w:tabs>
        <w:spacing w:after="80"/>
        <w:ind w:left="360" w:hanging="360"/>
        <w:rPr>
          <w:sz w:val="24"/>
          <w:szCs w:val="24"/>
        </w:rPr>
      </w:pPr>
      <w:r w:rsidRPr="00E16011">
        <w:rPr>
          <w:sz w:val="24"/>
          <w:szCs w:val="24"/>
        </w:rPr>
        <w:tab/>
      </w:r>
      <w:r w:rsidRPr="00E16011">
        <w:rPr>
          <w:sz w:val="24"/>
          <w:szCs w:val="24"/>
        </w:rPr>
        <w:t xml:space="preserve">All application packages for funding of Family Self-Sufficiency coordinators are submitted to HUD electronically </w:t>
      </w:r>
      <w:r w:rsidR="000A6AE3">
        <w:rPr>
          <w:sz w:val="24"/>
          <w:szCs w:val="24"/>
        </w:rPr>
        <w:t xml:space="preserve">(currently via GrantSolutions) </w:t>
      </w:r>
      <w:r w:rsidRPr="00E16011">
        <w:rPr>
          <w:sz w:val="24"/>
          <w:szCs w:val="24"/>
        </w:rPr>
        <w:t>by PHAs/owners.  In addition, information from each family's FSS Contract of Participation (HUD-52650), is submitted to HUD electronically by PHAs using the HUD-50058 (or HUD-50058-MTW or HUD-50058-MTW-Expansion), Family Report.  PBRA owners submit the PBRA FSS Program Reporting tool annually.</w:t>
      </w:r>
    </w:p>
    <w:p w:rsidR="009F6F1C" w:rsidRPr="00E16011" w:rsidP="009F6F1C" w14:paraId="7752EC09" w14:textId="77777777">
      <w:pPr>
        <w:tabs>
          <w:tab w:val="left" w:pos="360"/>
        </w:tabs>
        <w:ind w:left="360" w:hanging="360"/>
        <w:rPr>
          <w:sz w:val="24"/>
          <w:szCs w:val="24"/>
        </w:rPr>
      </w:pPr>
    </w:p>
    <w:p w:rsidR="009F6F1C" w:rsidRPr="00E16011" w:rsidP="009F6F1C" w14:paraId="433608E2" w14:textId="77777777">
      <w:pPr>
        <w:keepLines/>
        <w:tabs>
          <w:tab w:val="left" w:pos="360"/>
        </w:tabs>
        <w:spacing w:after="80"/>
        <w:ind w:left="360" w:hanging="360"/>
        <w:rPr>
          <w:b/>
          <w:bCs/>
          <w:sz w:val="24"/>
          <w:szCs w:val="24"/>
        </w:rPr>
      </w:pPr>
      <w:r w:rsidRPr="00E16011">
        <w:rPr>
          <w:sz w:val="24"/>
          <w:szCs w:val="24"/>
        </w:rPr>
        <w:t>4.</w:t>
      </w:r>
      <w:r w:rsidRPr="00E16011">
        <w:rPr>
          <w:sz w:val="24"/>
          <w:szCs w:val="24"/>
        </w:rPr>
        <w:tab/>
      </w:r>
      <w:r w:rsidRPr="00E16011">
        <w:rPr>
          <w:b/>
          <w:bCs/>
          <w:sz w:val="24"/>
          <w:szCs w:val="24"/>
        </w:rPr>
        <w:t>Describe efforts to identify duplication.  Show specifically why any similar information already available cannot be used or modified for use for the purposes described in Item 2 above.</w:t>
      </w:r>
    </w:p>
    <w:p w:rsidR="00AE77BC" w:rsidRPr="00E16011" w:rsidP="009F6F1C" w14:paraId="661B3594" w14:textId="77777777">
      <w:pPr>
        <w:keepLines/>
        <w:tabs>
          <w:tab w:val="left" w:pos="360"/>
        </w:tabs>
        <w:spacing w:after="80"/>
        <w:ind w:left="360" w:hanging="360"/>
        <w:rPr>
          <w:sz w:val="24"/>
          <w:szCs w:val="24"/>
        </w:rPr>
      </w:pPr>
      <w:r w:rsidRPr="00E16011">
        <w:rPr>
          <w:sz w:val="24"/>
          <w:szCs w:val="24"/>
        </w:rPr>
        <w:tab/>
      </w:r>
    </w:p>
    <w:p w:rsidR="009F6F1C" w:rsidRPr="00E16011" w:rsidP="009F6F1C" w14:paraId="0AFFAA6F" w14:textId="3CE35C3D">
      <w:pPr>
        <w:keepLines/>
        <w:tabs>
          <w:tab w:val="left" w:pos="360"/>
        </w:tabs>
        <w:spacing w:after="80"/>
        <w:ind w:left="360" w:hanging="360"/>
        <w:rPr>
          <w:color w:val="000000"/>
          <w:sz w:val="24"/>
          <w:szCs w:val="24"/>
        </w:rPr>
      </w:pPr>
      <w:r w:rsidRPr="00E16011">
        <w:rPr>
          <w:sz w:val="24"/>
          <w:szCs w:val="24"/>
        </w:rPr>
        <w:tab/>
      </w:r>
      <w:r w:rsidRPr="00E16011">
        <w:rPr>
          <w:sz w:val="24"/>
          <w:szCs w:val="24"/>
        </w:rPr>
        <w:t>There is no duplication of effort.  Information collected is unique to each participant and does not duplicate any similar information.</w:t>
      </w:r>
    </w:p>
    <w:p w:rsidR="009F6F1C" w:rsidRPr="00E16011" w:rsidP="009F6F1C" w14:paraId="0D3A201F" w14:textId="77777777">
      <w:pPr>
        <w:keepLines/>
        <w:tabs>
          <w:tab w:val="left" w:pos="360"/>
          <w:tab w:val="left" w:pos="720"/>
        </w:tabs>
        <w:ind w:left="360"/>
        <w:rPr>
          <w:sz w:val="24"/>
          <w:szCs w:val="24"/>
        </w:rPr>
      </w:pPr>
    </w:p>
    <w:p w:rsidR="009F6F1C" w:rsidRPr="00E16011" w:rsidP="009F6F1C" w14:paraId="09EEF6CB" w14:textId="77777777">
      <w:pPr>
        <w:keepLines/>
        <w:tabs>
          <w:tab w:val="left" w:pos="360"/>
        </w:tabs>
        <w:spacing w:after="80"/>
        <w:ind w:left="360" w:hanging="360"/>
        <w:rPr>
          <w:b/>
          <w:bCs/>
          <w:sz w:val="24"/>
          <w:szCs w:val="24"/>
        </w:rPr>
      </w:pPr>
      <w:r w:rsidRPr="00E16011">
        <w:rPr>
          <w:sz w:val="24"/>
          <w:szCs w:val="24"/>
        </w:rPr>
        <w:t>5.</w:t>
      </w:r>
      <w:r w:rsidRPr="00E16011">
        <w:rPr>
          <w:sz w:val="24"/>
          <w:szCs w:val="24"/>
        </w:rPr>
        <w:tab/>
      </w:r>
      <w:r w:rsidRPr="00E16011">
        <w:rPr>
          <w:b/>
          <w:bCs/>
          <w:sz w:val="24"/>
          <w:szCs w:val="24"/>
        </w:rPr>
        <w:t>If the collection of information impacts small businesses or other small entities describe any methods used to minimize burden.</w:t>
      </w:r>
    </w:p>
    <w:p w:rsidR="00AE77BC" w:rsidRPr="00E16011" w:rsidP="009F6F1C" w14:paraId="7F985CEC" w14:textId="77777777">
      <w:pPr>
        <w:ind w:left="360"/>
        <w:rPr>
          <w:sz w:val="24"/>
          <w:szCs w:val="24"/>
        </w:rPr>
      </w:pPr>
    </w:p>
    <w:p w:rsidR="009F6F1C" w:rsidRPr="00E16011" w:rsidP="00AE77BC" w14:paraId="2F7E7FB2" w14:textId="79565218">
      <w:pPr>
        <w:ind w:left="360"/>
        <w:rPr>
          <w:color w:val="000000"/>
          <w:sz w:val="24"/>
          <w:szCs w:val="24"/>
        </w:rPr>
      </w:pPr>
      <w:r w:rsidRPr="00E16011">
        <w:rPr>
          <w:sz w:val="24"/>
          <w:szCs w:val="24"/>
        </w:rPr>
        <w:t>The information being collected has no significant impact on small businesses or other small entities.  The burden associated with such collection of information is the minimum needed for program monitoring</w:t>
      </w:r>
      <w:r w:rsidRPr="00E16011">
        <w:rPr>
          <w:color w:val="000000"/>
          <w:sz w:val="24"/>
          <w:szCs w:val="24"/>
        </w:rPr>
        <w:t>.</w:t>
      </w:r>
    </w:p>
    <w:p w:rsidR="009F6F1C" w:rsidRPr="00E16011" w:rsidP="009F6F1C" w14:paraId="22F5A11D" w14:textId="77777777">
      <w:pPr>
        <w:keepLines/>
        <w:tabs>
          <w:tab w:val="left" w:pos="360"/>
        </w:tabs>
        <w:spacing w:after="80"/>
        <w:ind w:left="360" w:hanging="360"/>
        <w:rPr>
          <w:b/>
          <w:bCs/>
          <w:sz w:val="24"/>
          <w:szCs w:val="24"/>
        </w:rPr>
      </w:pPr>
    </w:p>
    <w:p w:rsidR="009F6F1C" w:rsidRPr="00E16011" w:rsidP="009F6F1C" w14:paraId="44329A05" w14:textId="77777777">
      <w:pPr>
        <w:keepLines/>
        <w:tabs>
          <w:tab w:val="left" w:pos="360"/>
        </w:tabs>
        <w:spacing w:after="80"/>
        <w:ind w:left="360" w:hanging="360"/>
        <w:rPr>
          <w:b/>
          <w:bCs/>
          <w:sz w:val="24"/>
          <w:szCs w:val="24"/>
        </w:rPr>
      </w:pPr>
      <w:r w:rsidRPr="00E16011">
        <w:rPr>
          <w:b/>
          <w:bCs/>
          <w:sz w:val="24"/>
          <w:szCs w:val="24"/>
        </w:rPr>
        <w:t>6.</w:t>
      </w:r>
      <w:r w:rsidRPr="00E16011">
        <w:rPr>
          <w:b/>
          <w:bCs/>
          <w:sz w:val="24"/>
          <w:szCs w:val="24"/>
        </w:rPr>
        <w:tab/>
        <w:t>Describe the consequences to Federal program or policy activities if the collection is not conducted or is conducted less frequently, as well as any technical or legal obstacles to reducing burden.</w:t>
      </w:r>
    </w:p>
    <w:p w:rsidR="00AE77BC" w:rsidRPr="00E16011" w:rsidP="009F6F1C" w14:paraId="79983CDC" w14:textId="77777777">
      <w:pPr>
        <w:pStyle w:val="BodyTextIndent2"/>
        <w:tabs>
          <w:tab w:val="left" w:pos="360"/>
        </w:tabs>
        <w:spacing w:line="240" w:lineRule="auto"/>
        <w:rPr>
          <w:sz w:val="24"/>
          <w:szCs w:val="24"/>
        </w:rPr>
      </w:pPr>
    </w:p>
    <w:p w:rsidR="009F6F1C" w:rsidRPr="00E16011" w:rsidP="009F6F1C" w14:paraId="644B8C67" w14:textId="6114163A">
      <w:pPr>
        <w:pStyle w:val="BodyTextIndent2"/>
        <w:tabs>
          <w:tab w:val="left" w:pos="360"/>
        </w:tabs>
        <w:spacing w:line="240" w:lineRule="auto"/>
        <w:rPr>
          <w:noProof/>
          <w:sz w:val="24"/>
          <w:szCs w:val="24"/>
        </w:rPr>
      </w:pPr>
      <w:r w:rsidRPr="00E16011">
        <w:rPr>
          <w:sz w:val="24"/>
          <w:szCs w:val="24"/>
        </w:rPr>
        <w:t xml:space="preserve">Federal program requirements, policy activities and statutory mandates would not be met if the collection is not </w:t>
      </w:r>
      <w:r w:rsidRPr="00E16011" w:rsidR="00761599">
        <w:rPr>
          <w:sz w:val="24"/>
          <w:szCs w:val="24"/>
        </w:rPr>
        <w:t>conducted or</w:t>
      </w:r>
      <w:r w:rsidRPr="00E16011">
        <w:rPr>
          <w:sz w:val="24"/>
          <w:szCs w:val="24"/>
        </w:rPr>
        <w:t xml:space="preserve"> is conducted less frequently.  </w:t>
      </w:r>
      <w:r w:rsidRPr="00E16011">
        <w:rPr>
          <w:noProof/>
          <w:sz w:val="24"/>
          <w:szCs w:val="24"/>
        </w:rPr>
        <w:t>This information must be collected so that funds for the salaries of FSS coordinators may be awarded timely to qualified applicants.</w:t>
      </w:r>
      <w:r w:rsidR="00EC46E8">
        <w:rPr>
          <w:noProof/>
          <w:sz w:val="24"/>
          <w:szCs w:val="24"/>
        </w:rPr>
        <w:t xml:space="preserve">  Appropriations </w:t>
      </w:r>
      <w:r w:rsidR="003916E6">
        <w:rPr>
          <w:noProof/>
          <w:sz w:val="24"/>
          <w:szCs w:val="24"/>
        </w:rPr>
        <w:t>are made</w:t>
      </w:r>
      <w:r w:rsidR="00EC46E8">
        <w:rPr>
          <w:noProof/>
          <w:sz w:val="24"/>
          <w:szCs w:val="24"/>
        </w:rPr>
        <w:t xml:space="preserve"> in one-year increments, so awards must be made on an annual basis.  </w:t>
      </w:r>
      <w:r w:rsidRPr="00E16011">
        <w:rPr>
          <w:noProof/>
          <w:sz w:val="24"/>
          <w:szCs w:val="24"/>
        </w:rPr>
        <w:t xml:space="preserve"> </w:t>
      </w:r>
    </w:p>
    <w:p w:rsidR="009F6F1C" w:rsidRPr="00E16011" w:rsidP="009F6F1C" w14:paraId="41563C69" w14:textId="77777777">
      <w:pPr>
        <w:keepLines/>
        <w:tabs>
          <w:tab w:val="left" w:pos="360"/>
        </w:tabs>
        <w:spacing w:after="80"/>
        <w:ind w:left="360" w:hanging="360"/>
        <w:rPr>
          <w:b/>
          <w:bCs/>
          <w:sz w:val="24"/>
          <w:szCs w:val="24"/>
        </w:rPr>
      </w:pPr>
    </w:p>
    <w:p w:rsidR="009F6F1C" w:rsidRPr="00E16011" w:rsidP="009F6F1C" w14:paraId="24585EB0" w14:textId="77777777">
      <w:pPr>
        <w:numPr>
          <w:ilvl w:val="0"/>
          <w:numId w:val="1"/>
        </w:numPr>
        <w:tabs>
          <w:tab w:val="left" w:pos="360"/>
        </w:tabs>
        <w:rPr>
          <w:b/>
          <w:bCs/>
          <w:sz w:val="24"/>
          <w:szCs w:val="24"/>
        </w:rPr>
      </w:pPr>
      <w:r w:rsidRPr="00E16011">
        <w:rPr>
          <w:b/>
          <w:bCs/>
          <w:sz w:val="24"/>
          <w:szCs w:val="24"/>
        </w:rPr>
        <w:t>Explain any special circumstances that would cause an information collection to be conducted in a manner:</w:t>
      </w:r>
    </w:p>
    <w:p w:rsidR="009F6F1C" w:rsidRPr="00E16011" w:rsidP="009F6F1C" w14:paraId="6D3557E8" w14:textId="77777777">
      <w:pPr>
        <w:tabs>
          <w:tab w:val="left" w:pos="360"/>
        </w:tabs>
        <w:ind w:left="360"/>
        <w:rPr>
          <w:sz w:val="24"/>
          <w:szCs w:val="24"/>
        </w:rPr>
      </w:pPr>
      <w:r w:rsidRPr="00E16011">
        <w:rPr>
          <w:sz w:val="24"/>
          <w:szCs w:val="24"/>
        </w:rPr>
        <w:t xml:space="preserve"> </w:t>
      </w:r>
    </w:p>
    <w:p w:rsidR="009F6F1C" w:rsidRPr="00761599" w:rsidP="009F6F1C" w14:paraId="1A0A3CAE" w14:textId="7FED396E">
      <w:pPr>
        <w:numPr>
          <w:ilvl w:val="0"/>
          <w:numId w:val="2"/>
        </w:numPr>
        <w:tabs>
          <w:tab w:val="left" w:pos="600"/>
        </w:tabs>
        <w:rPr>
          <w:b/>
          <w:bCs/>
          <w:i/>
          <w:iCs/>
          <w:sz w:val="24"/>
          <w:szCs w:val="24"/>
        </w:rPr>
      </w:pPr>
      <w:r w:rsidRPr="00761599">
        <w:rPr>
          <w:i/>
          <w:iCs/>
          <w:sz w:val="24"/>
          <w:szCs w:val="24"/>
        </w:rPr>
        <w:t xml:space="preserve">requiring respondents to report information to the agency more than quarterly; </w:t>
      </w:r>
      <w:r w:rsidRPr="00761599" w:rsidR="00761599">
        <w:rPr>
          <w:b/>
          <w:bCs/>
          <w:i/>
          <w:iCs/>
          <w:sz w:val="24"/>
          <w:szCs w:val="24"/>
        </w:rPr>
        <w:t>N/A</w:t>
      </w:r>
    </w:p>
    <w:p w:rsidR="009F6F1C" w:rsidRPr="00761599" w:rsidP="009F6F1C" w14:paraId="7D1EA54E" w14:textId="0A0F2D72">
      <w:pPr>
        <w:numPr>
          <w:ilvl w:val="0"/>
          <w:numId w:val="2"/>
        </w:numPr>
        <w:tabs>
          <w:tab w:val="left" w:pos="600"/>
        </w:tabs>
        <w:rPr>
          <w:i/>
          <w:iCs/>
          <w:sz w:val="24"/>
          <w:szCs w:val="24"/>
        </w:rPr>
      </w:pPr>
      <w:r w:rsidRPr="00761599">
        <w:rPr>
          <w:i/>
          <w:iCs/>
          <w:sz w:val="24"/>
          <w:szCs w:val="24"/>
        </w:rPr>
        <w:t xml:space="preserve">requiring respondents to prepare a written response to a collection of information in fewer than 30 days after receipt of it; </w:t>
      </w:r>
      <w:r w:rsidRPr="00761599" w:rsidR="00761599">
        <w:rPr>
          <w:b/>
          <w:bCs/>
          <w:i/>
          <w:iCs/>
          <w:sz w:val="24"/>
          <w:szCs w:val="24"/>
        </w:rPr>
        <w:t>N/A</w:t>
      </w:r>
    </w:p>
    <w:p w:rsidR="009F6F1C" w:rsidRPr="00761599" w:rsidP="009F6F1C" w14:paraId="155C19FC" w14:textId="48B45385">
      <w:pPr>
        <w:numPr>
          <w:ilvl w:val="0"/>
          <w:numId w:val="2"/>
        </w:numPr>
        <w:tabs>
          <w:tab w:val="left" w:pos="600"/>
        </w:tabs>
        <w:rPr>
          <w:i/>
          <w:iCs/>
          <w:sz w:val="24"/>
          <w:szCs w:val="24"/>
        </w:rPr>
      </w:pPr>
      <w:r w:rsidRPr="00761599">
        <w:rPr>
          <w:i/>
          <w:iCs/>
          <w:sz w:val="24"/>
          <w:szCs w:val="24"/>
        </w:rPr>
        <w:t xml:space="preserve">requiring respondents to submit more than an original and two copies of any document; </w:t>
      </w:r>
      <w:r w:rsidRPr="00761599" w:rsidR="00761599">
        <w:rPr>
          <w:b/>
          <w:bCs/>
          <w:i/>
          <w:iCs/>
          <w:sz w:val="24"/>
          <w:szCs w:val="24"/>
        </w:rPr>
        <w:t>N/A</w:t>
      </w:r>
    </w:p>
    <w:p w:rsidR="009F6F1C" w:rsidRPr="00761599" w:rsidP="009F6F1C" w14:paraId="64223BBD" w14:textId="7F93F27F">
      <w:pPr>
        <w:numPr>
          <w:ilvl w:val="0"/>
          <w:numId w:val="2"/>
        </w:numPr>
        <w:tabs>
          <w:tab w:val="left" w:pos="600"/>
        </w:tabs>
        <w:rPr>
          <w:i/>
          <w:iCs/>
          <w:sz w:val="24"/>
          <w:szCs w:val="24"/>
        </w:rPr>
      </w:pPr>
      <w:r w:rsidRPr="00761599">
        <w:rPr>
          <w:i/>
          <w:iCs/>
          <w:sz w:val="24"/>
          <w:szCs w:val="24"/>
        </w:rPr>
        <w:t xml:space="preserve">requiring respondents to retain records other than health, medical, government contract, grant-in-aid, or tax records for more than three years; </w:t>
      </w:r>
      <w:r w:rsidRPr="00761599" w:rsidR="00761599">
        <w:rPr>
          <w:b/>
          <w:bCs/>
          <w:i/>
          <w:iCs/>
          <w:sz w:val="24"/>
          <w:szCs w:val="24"/>
        </w:rPr>
        <w:t>N/A</w:t>
      </w:r>
    </w:p>
    <w:p w:rsidR="00EC46E8" w:rsidRPr="00761599" w:rsidP="00761599" w14:paraId="4A028F06" w14:textId="1818933B">
      <w:pPr>
        <w:numPr>
          <w:ilvl w:val="0"/>
          <w:numId w:val="2"/>
        </w:numPr>
        <w:tabs>
          <w:tab w:val="left" w:pos="600"/>
        </w:tabs>
        <w:rPr>
          <w:i/>
          <w:iCs/>
          <w:sz w:val="24"/>
          <w:szCs w:val="24"/>
        </w:rPr>
      </w:pPr>
      <w:r w:rsidRPr="00761599">
        <w:rPr>
          <w:i/>
          <w:iCs/>
          <w:sz w:val="24"/>
          <w:szCs w:val="24"/>
        </w:rPr>
        <w:t xml:space="preserve">in connection with a statistical </w:t>
      </w:r>
      <w:r w:rsidRPr="00761599">
        <w:rPr>
          <w:i/>
          <w:iCs/>
          <w:sz w:val="24"/>
          <w:szCs w:val="24"/>
        </w:rPr>
        <w:t>survey,</w:t>
      </w:r>
      <w:r w:rsidRPr="00761599">
        <w:rPr>
          <w:i/>
          <w:iCs/>
          <w:sz w:val="24"/>
          <w:szCs w:val="24"/>
        </w:rPr>
        <w:t xml:space="preserve"> that is not designed to produce valid and reliable results than can be generalized to the universe of study; </w:t>
      </w:r>
      <w:r w:rsidRPr="00761599" w:rsidR="00761599">
        <w:rPr>
          <w:b/>
          <w:bCs/>
          <w:i/>
          <w:iCs/>
          <w:sz w:val="24"/>
          <w:szCs w:val="24"/>
        </w:rPr>
        <w:t>N/A</w:t>
      </w:r>
    </w:p>
    <w:p w:rsidR="009F6F1C" w:rsidRPr="00761599" w:rsidP="009F6F1C" w14:paraId="6876B816" w14:textId="543D56A5">
      <w:pPr>
        <w:numPr>
          <w:ilvl w:val="0"/>
          <w:numId w:val="2"/>
        </w:numPr>
        <w:tabs>
          <w:tab w:val="left" w:pos="600"/>
        </w:tabs>
        <w:rPr>
          <w:b/>
          <w:bCs/>
          <w:i/>
          <w:iCs/>
          <w:sz w:val="24"/>
          <w:szCs w:val="24"/>
        </w:rPr>
      </w:pPr>
      <w:r w:rsidRPr="00761599">
        <w:rPr>
          <w:i/>
          <w:iCs/>
          <w:sz w:val="24"/>
          <w:szCs w:val="24"/>
        </w:rPr>
        <w:t>requiring the use of a statistical data classification that has not been reviewed and approved by OMB;</w:t>
      </w:r>
      <w:r w:rsidR="00761599">
        <w:rPr>
          <w:i/>
          <w:iCs/>
          <w:sz w:val="24"/>
          <w:szCs w:val="24"/>
        </w:rPr>
        <w:t xml:space="preserve"> </w:t>
      </w:r>
      <w:r w:rsidRPr="00761599" w:rsidR="00761599">
        <w:rPr>
          <w:b/>
          <w:bCs/>
          <w:i/>
          <w:iCs/>
          <w:sz w:val="24"/>
          <w:szCs w:val="24"/>
        </w:rPr>
        <w:t>N/A</w:t>
      </w:r>
    </w:p>
    <w:p w:rsidR="009F6F1C" w:rsidRPr="00761599" w:rsidP="009F6F1C" w14:paraId="4AE6E26A" w14:textId="167EB3D3">
      <w:pPr>
        <w:keepLines/>
        <w:numPr>
          <w:ilvl w:val="0"/>
          <w:numId w:val="2"/>
        </w:numPr>
        <w:tabs>
          <w:tab w:val="left" w:pos="600"/>
        </w:tabs>
        <w:spacing w:after="80"/>
        <w:rPr>
          <w:i/>
          <w:iCs/>
          <w:sz w:val="24"/>
          <w:szCs w:val="24"/>
        </w:rPr>
      </w:pPr>
      <w:r w:rsidRPr="00761599">
        <w:rPr>
          <w:i/>
          <w:i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761599" w:rsidR="00761599">
        <w:rPr>
          <w:b/>
          <w:bCs/>
          <w:i/>
          <w:iCs/>
          <w:sz w:val="24"/>
          <w:szCs w:val="24"/>
        </w:rPr>
        <w:t>N/A</w:t>
      </w:r>
    </w:p>
    <w:p w:rsidR="009F6F1C" w:rsidRPr="00E16011" w:rsidP="009F6F1C" w14:paraId="1688C7E3" w14:textId="77777777">
      <w:pPr>
        <w:keepLines/>
        <w:numPr>
          <w:ilvl w:val="0"/>
          <w:numId w:val="2"/>
        </w:numPr>
        <w:tabs>
          <w:tab w:val="left" w:pos="600"/>
        </w:tabs>
        <w:spacing w:after="80"/>
        <w:rPr>
          <w:i/>
          <w:iCs/>
          <w:sz w:val="24"/>
          <w:szCs w:val="24"/>
        </w:rPr>
      </w:pPr>
      <w:r w:rsidRPr="00E16011">
        <w:rPr>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9F6F1C" w:rsidRPr="00E16011" w:rsidP="009F6F1C" w14:paraId="18691EF7" w14:textId="77777777">
      <w:pPr>
        <w:pStyle w:val="ListParagraph"/>
        <w:rPr>
          <w:i/>
          <w:iCs/>
          <w:sz w:val="24"/>
          <w:szCs w:val="24"/>
        </w:rPr>
      </w:pPr>
    </w:p>
    <w:p w:rsidR="009F6F1C" w:rsidRPr="00E16011" w:rsidP="009F6F1C" w14:paraId="13D5B8DC" w14:textId="77777777">
      <w:pPr>
        <w:keepLines/>
        <w:tabs>
          <w:tab w:val="left" w:pos="600"/>
        </w:tabs>
        <w:spacing w:after="80"/>
        <w:ind w:left="684"/>
        <w:rPr>
          <w:sz w:val="24"/>
          <w:szCs w:val="24"/>
        </w:rPr>
      </w:pPr>
      <w:r w:rsidRPr="00E16011">
        <w:rPr>
          <w:sz w:val="24"/>
          <w:szCs w:val="24"/>
        </w:rPr>
        <w:t>None of these are applicable to this program</w:t>
      </w:r>
    </w:p>
    <w:p w:rsidR="009F6F1C" w:rsidRPr="00E16011" w:rsidP="009F6F1C" w14:paraId="09217C35" w14:textId="77777777">
      <w:pPr>
        <w:tabs>
          <w:tab w:val="left" w:pos="360"/>
        </w:tabs>
        <w:ind w:left="360" w:hanging="360"/>
        <w:rPr>
          <w:sz w:val="24"/>
          <w:szCs w:val="24"/>
        </w:rPr>
      </w:pPr>
    </w:p>
    <w:p w:rsidR="009F6F1C" w:rsidRPr="00E16011" w:rsidP="009F6F1C" w14:paraId="64A6BE24" w14:textId="77777777">
      <w:pPr>
        <w:numPr>
          <w:ilvl w:val="0"/>
          <w:numId w:val="1"/>
        </w:numPr>
        <w:tabs>
          <w:tab w:val="left" w:pos="360"/>
        </w:tabs>
        <w:rPr>
          <w:b/>
          <w:bCs/>
          <w:sz w:val="24"/>
          <w:szCs w:val="24"/>
        </w:rPr>
      </w:pPr>
      <w:r w:rsidRPr="00E16011">
        <w:rPr>
          <w:b/>
          <w:bCs/>
          <w:sz w:val="24"/>
          <w:szCs w:val="24"/>
        </w:rPr>
        <w:t>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6F1C" w:rsidRPr="00E16011" w:rsidP="009F6F1C" w14:paraId="6BD95074" w14:textId="77777777">
      <w:pPr>
        <w:tabs>
          <w:tab w:val="left" w:pos="360"/>
        </w:tabs>
        <w:ind w:left="360"/>
        <w:rPr>
          <w:b/>
          <w:bCs/>
          <w:sz w:val="24"/>
          <w:szCs w:val="24"/>
        </w:rPr>
      </w:pPr>
    </w:p>
    <w:p w:rsidR="009F6F1C" w:rsidRPr="00E16011" w:rsidP="009F6F1C" w14:paraId="0AF06921" w14:textId="77777777">
      <w:pPr>
        <w:numPr>
          <w:ilvl w:val="0"/>
          <w:numId w:val="2"/>
        </w:numPr>
        <w:tabs>
          <w:tab w:val="left" w:pos="360"/>
        </w:tabs>
        <w:ind w:left="480"/>
        <w:rPr>
          <w:i/>
          <w:iCs/>
          <w:sz w:val="24"/>
          <w:szCs w:val="24"/>
        </w:rPr>
      </w:pPr>
      <w:r w:rsidRPr="00E16011">
        <w:rPr>
          <w:i/>
          <w:iCs/>
          <w:sz w:val="24"/>
          <w:szCs w:val="24"/>
        </w:rPr>
        <w:t>Describe efforts to consult with people outside the agency to obtain their views on the availability of data, frequency of collection, the clarity of instructions and recordkeeping disclosure, or reporting format (if any) and the data elements to be recorded, disclosed, or reported.</w:t>
      </w:r>
    </w:p>
    <w:p w:rsidR="009F6F1C" w:rsidRPr="00E16011" w:rsidP="009F6F1C" w14:paraId="43FDDB8C" w14:textId="77777777">
      <w:pPr>
        <w:keepLines/>
        <w:tabs>
          <w:tab w:val="left" w:pos="360"/>
        </w:tabs>
        <w:spacing w:after="80"/>
        <w:ind w:left="480"/>
        <w:rPr>
          <w:i/>
          <w:iCs/>
          <w:sz w:val="24"/>
          <w:szCs w:val="24"/>
        </w:rPr>
      </w:pPr>
    </w:p>
    <w:p w:rsidR="009F6F1C" w:rsidRPr="00E16011" w:rsidP="009F6F1C" w14:paraId="7CDC6B6A" w14:textId="77777777">
      <w:pPr>
        <w:keepLines/>
        <w:numPr>
          <w:ilvl w:val="0"/>
          <w:numId w:val="2"/>
        </w:numPr>
        <w:tabs>
          <w:tab w:val="left" w:pos="360"/>
        </w:tabs>
        <w:spacing w:after="80"/>
        <w:ind w:left="480"/>
        <w:rPr>
          <w:i/>
          <w:iCs/>
          <w:sz w:val="24"/>
          <w:szCs w:val="24"/>
        </w:rPr>
      </w:pPr>
      <w:r w:rsidRPr="00E16011">
        <w:rPr>
          <w:i/>
          <w:iCs/>
          <w:sz w:val="24"/>
          <w:szCs w:val="24"/>
        </w:rPr>
        <w:t xml:space="preserve">Consultations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F6F1C" w:rsidRPr="00E16011" w:rsidP="00C764DD" w14:paraId="2F11AE61" w14:textId="77777777">
      <w:pPr>
        <w:rPr>
          <w:sz w:val="24"/>
          <w:szCs w:val="24"/>
        </w:rPr>
      </w:pPr>
    </w:p>
    <w:p w:rsidR="00C764DD" w:rsidRPr="00E16011" w:rsidP="00DF781D" w14:paraId="39C41798" w14:textId="4ED87DDA">
      <w:pPr>
        <w:ind w:left="480"/>
        <w:rPr>
          <w:sz w:val="24"/>
          <w:szCs w:val="24"/>
        </w:rPr>
      </w:pPr>
      <w:r w:rsidRPr="00E16011">
        <w:rPr>
          <w:sz w:val="24"/>
          <w:szCs w:val="24"/>
        </w:rPr>
        <w:t xml:space="preserve">In accordance with 5 CFR 1320.8(d), the agency’s notice announcing this collection of information appeared in the Federal Register on </w:t>
      </w:r>
      <w:r w:rsidRPr="00E16011" w:rsidR="009024CD">
        <w:rPr>
          <w:sz w:val="24"/>
          <w:szCs w:val="24"/>
        </w:rPr>
        <w:t>06/13</w:t>
      </w:r>
      <w:r w:rsidRPr="00E16011" w:rsidR="00E57C91">
        <w:rPr>
          <w:sz w:val="24"/>
          <w:szCs w:val="24"/>
        </w:rPr>
        <w:t>/2025</w:t>
      </w:r>
      <w:r w:rsidRPr="00E16011">
        <w:rPr>
          <w:sz w:val="24"/>
          <w:szCs w:val="24"/>
        </w:rPr>
        <w:t xml:space="preserve">, (Volume </w:t>
      </w:r>
      <w:r w:rsidRPr="00E16011" w:rsidR="0099747E">
        <w:rPr>
          <w:sz w:val="24"/>
          <w:szCs w:val="24"/>
        </w:rPr>
        <w:t>90</w:t>
      </w:r>
      <w:r w:rsidRPr="00E16011">
        <w:rPr>
          <w:sz w:val="24"/>
          <w:szCs w:val="24"/>
        </w:rPr>
        <w:t xml:space="preserve">, No </w:t>
      </w:r>
      <w:r w:rsidRPr="00E16011" w:rsidR="0099747E">
        <w:rPr>
          <w:sz w:val="24"/>
          <w:szCs w:val="24"/>
        </w:rPr>
        <w:t>113</w:t>
      </w:r>
      <w:r w:rsidRPr="00E16011">
        <w:rPr>
          <w:sz w:val="24"/>
          <w:szCs w:val="24"/>
        </w:rPr>
        <w:t xml:space="preserve">, page </w:t>
      </w:r>
      <w:r w:rsidRPr="00E16011" w:rsidR="0099747E">
        <w:rPr>
          <w:sz w:val="24"/>
          <w:szCs w:val="24"/>
        </w:rPr>
        <w:t>25070</w:t>
      </w:r>
      <w:r w:rsidRPr="00E16011">
        <w:rPr>
          <w:sz w:val="24"/>
          <w:szCs w:val="24"/>
        </w:rPr>
        <w:t>).  The public was given until</w:t>
      </w:r>
      <w:r w:rsidRPr="00E16011" w:rsidR="008422DF">
        <w:rPr>
          <w:sz w:val="24"/>
          <w:szCs w:val="24"/>
        </w:rPr>
        <w:t xml:space="preserve"> </w:t>
      </w:r>
      <w:r w:rsidRPr="00E16011" w:rsidR="0099747E">
        <w:rPr>
          <w:sz w:val="24"/>
          <w:szCs w:val="24"/>
        </w:rPr>
        <w:t>08/12/2025</w:t>
      </w:r>
      <w:r w:rsidRPr="00E16011" w:rsidR="00D871CA">
        <w:rPr>
          <w:sz w:val="24"/>
          <w:szCs w:val="24"/>
        </w:rPr>
        <w:t xml:space="preserve">, to submit comments on the proposed information.  </w:t>
      </w:r>
      <w:r w:rsidRPr="00E16011" w:rsidR="008422DF">
        <w:rPr>
          <w:sz w:val="24"/>
          <w:szCs w:val="24"/>
        </w:rPr>
        <w:t>Three</w:t>
      </w:r>
      <w:r w:rsidRPr="00E16011" w:rsidR="00D871CA">
        <w:rPr>
          <w:sz w:val="24"/>
          <w:szCs w:val="24"/>
        </w:rPr>
        <w:t xml:space="preserve"> </w:t>
      </w:r>
      <w:r w:rsidRPr="00E16011" w:rsidR="008422DF">
        <w:rPr>
          <w:sz w:val="24"/>
          <w:szCs w:val="24"/>
        </w:rPr>
        <w:t>c</w:t>
      </w:r>
      <w:r w:rsidRPr="00E16011" w:rsidR="00D871CA">
        <w:rPr>
          <w:sz w:val="24"/>
          <w:szCs w:val="24"/>
        </w:rPr>
        <w:t>omment</w:t>
      </w:r>
      <w:r w:rsidRPr="00E16011" w:rsidR="008422DF">
        <w:rPr>
          <w:sz w:val="24"/>
          <w:szCs w:val="24"/>
        </w:rPr>
        <w:t xml:space="preserve">s </w:t>
      </w:r>
      <w:r w:rsidRPr="00E16011" w:rsidR="00D871CA">
        <w:rPr>
          <w:sz w:val="24"/>
          <w:szCs w:val="24"/>
        </w:rPr>
        <w:t>were received.</w:t>
      </w:r>
      <w:r w:rsidRPr="00E16011" w:rsidR="008A1D6B">
        <w:rPr>
          <w:sz w:val="24"/>
          <w:szCs w:val="24"/>
        </w:rPr>
        <w:t xml:space="preserve">  </w:t>
      </w:r>
    </w:p>
    <w:p w:rsidR="00905895" w:rsidRPr="00E16011" w:rsidP="00DF781D" w14:paraId="5F1FA988" w14:textId="77777777">
      <w:pPr>
        <w:ind w:left="480"/>
        <w:rPr>
          <w:sz w:val="24"/>
          <w:szCs w:val="24"/>
        </w:rPr>
      </w:pPr>
    </w:p>
    <w:p w:rsidR="00C704D1" w:rsidRPr="00E16011" w:rsidP="00781BE3" w14:paraId="34C95C38" w14:textId="77777777">
      <w:pPr>
        <w:ind w:left="480"/>
        <w:rPr>
          <w:sz w:val="24"/>
          <w:szCs w:val="24"/>
        </w:rPr>
      </w:pPr>
      <w:r w:rsidRPr="00E16011">
        <w:rPr>
          <w:b/>
          <w:bCs/>
          <w:sz w:val="24"/>
          <w:szCs w:val="24"/>
        </w:rPr>
        <w:t xml:space="preserve">Positive Comment: </w:t>
      </w:r>
      <w:r w:rsidRPr="00E16011">
        <w:rPr>
          <w:sz w:val="24"/>
          <w:szCs w:val="24"/>
        </w:rPr>
        <w:t>One commenter supported the collection as being helpful for program and reporting purposes.</w:t>
      </w:r>
    </w:p>
    <w:p w:rsidR="00C704D1" w:rsidRPr="00E16011" w:rsidP="00781BE3" w14:paraId="2BE3AE61" w14:textId="77777777">
      <w:pPr>
        <w:ind w:left="480"/>
        <w:rPr>
          <w:sz w:val="24"/>
          <w:szCs w:val="24"/>
        </w:rPr>
      </w:pPr>
      <w:r w:rsidRPr="00E16011">
        <w:rPr>
          <w:b/>
          <w:bCs/>
          <w:sz w:val="24"/>
          <w:szCs w:val="24"/>
        </w:rPr>
        <w:t>HUD Response:</w:t>
      </w:r>
      <w:r w:rsidRPr="00E16011">
        <w:rPr>
          <w:sz w:val="24"/>
          <w:szCs w:val="24"/>
        </w:rPr>
        <w:t xml:space="preserve"> Thank you for your comment. </w:t>
      </w:r>
    </w:p>
    <w:p w:rsidR="00C704D1" w:rsidRPr="00E16011" w:rsidP="00C704D1" w14:paraId="2D9D5D5F" w14:textId="77777777">
      <w:pPr>
        <w:ind w:left="480"/>
        <w:rPr>
          <w:b/>
          <w:bCs/>
          <w:sz w:val="24"/>
          <w:szCs w:val="24"/>
        </w:rPr>
      </w:pPr>
    </w:p>
    <w:p w:rsidR="00905895" w:rsidRPr="00E16011" w:rsidP="00C704D1" w14:paraId="48510C28" w14:textId="09EB941A">
      <w:pPr>
        <w:ind w:left="480"/>
        <w:rPr>
          <w:sz w:val="24"/>
          <w:szCs w:val="24"/>
        </w:rPr>
      </w:pPr>
      <w:r w:rsidRPr="00E16011">
        <w:rPr>
          <w:b/>
          <w:bCs/>
          <w:sz w:val="24"/>
          <w:szCs w:val="24"/>
        </w:rPr>
        <w:t>On enforcement of current regulations</w:t>
      </w:r>
      <w:r w:rsidRPr="00E16011" w:rsidR="009C7F98">
        <w:rPr>
          <w:sz w:val="24"/>
          <w:szCs w:val="24"/>
        </w:rPr>
        <w:t xml:space="preserve">: The comment stated that </w:t>
      </w:r>
      <w:r w:rsidRPr="00E16011" w:rsidR="00C712DF">
        <w:rPr>
          <w:sz w:val="24"/>
          <w:szCs w:val="24"/>
        </w:rPr>
        <w:t xml:space="preserve">tenants are being evicted for non-payment of rent even though the </w:t>
      </w:r>
      <w:r w:rsidRPr="00E16011" w:rsidR="00185645">
        <w:rPr>
          <w:sz w:val="24"/>
          <w:szCs w:val="24"/>
        </w:rPr>
        <w:t>tenant is current on rent payments when payments are made</w:t>
      </w:r>
      <w:r w:rsidRPr="00E16011" w:rsidR="007A0DBC">
        <w:rPr>
          <w:sz w:val="24"/>
          <w:szCs w:val="24"/>
        </w:rPr>
        <w:t xml:space="preserve"> but the PHA is abating payment to landlords due to </w:t>
      </w:r>
      <w:r w:rsidRPr="00E16011" w:rsidR="008131C3">
        <w:rPr>
          <w:sz w:val="24"/>
          <w:szCs w:val="24"/>
        </w:rPr>
        <w:t xml:space="preserve">landlords not repairing exigent conditions that cause the landlord to fail inspection.  </w:t>
      </w:r>
      <w:r w:rsidRPr="00E16011" w:rsidR="00B74E2A">
        <w:rPr>
          <w:sz w:val="24"/>
          <w:szCs w:val="24"/>
        </w:rPr>
        <w:t>Regulations without enforcement are not helpful.</w:t>
      </w:r>
    </w:p>
    <w:p w:rsidR="00B74E2A" w:rsidRPr="00E16011" w:rsidP="00DF781D" w14:paraId="4C30B75C" w14:textId="7838F5EE">
      <w:pPr>
        <w:ind w:left="480"/>
        <w:rPr>
          <w:sz w:val="24"/>
          <w:szCs w:val="24"/>
        </w:rPr>
      </w:pPr>
      <w:r w:rsidRPr="00E16011">
        <w:rPr>
          <w:b/>
          <w:bCs/>
          <w:sz w:val="24"/>
          <w:szCs w:val="24"/>
        </w:rPr>
        <w:t>HUD Response</w:t>
      </w:r>
      <w:r w:rsidRPr="00E16011">
        <w:rPr>
          <w:sz w:val="24"/>
          <w:szCs w:val="24"/>
        </w:rPr>
        <w:t>:</w:t>
      </w:r>
      <w:r w:rsidRPr="00E16011" w:rsidR="001076B5">
        <w:rPr>
          <w:sz w:val="24"/>
          <w:szCs w:val="24"/>
        </w:rPr>
        <w:t xml:space="preserve"> </w:t>
      </w:r>
      <w:r w:rsidRPr="00E16011" w:rsidR="008407FB">
        <w:rPr>
          <w:sz w:val="24"/>
          <w:szCs w:val="24"/>
        </w:rPr>
        <w:t>Enforcement of regulations</w:t>
      </w:r>
      <w:r w:rsidRPr="00E16011" w:rsidR="00952634">
        <w:rPr>
          <w:sz w:val="24"/>
          <w:szCs w:val="24"/>
        </w:rPr>
        <w:t xml:space="preserve"> regarding admissions and continued occupancy are</w:t>
      </w:r>
      <w:r w:rsidRPr="00E16011" w:rsidR="00434DCB">
        <w:rPr>
          <w:sz w:val="24"/>
          <w:szCs w:val="24"/>
        </w:rPr>
        <w:t xml:space="preserve"> </w:t>
      </w:r>
      <w:r w:rsidRPr="00E16011" w:rsidR="008407FB">
        <w:rPr>
          <w:sz w:val="24"/>
          <w:szCs w:val="24"/>
        </w:rPr>
        <w:t xml:space="preserve">beyond the scope of this </w:t>
      </w:r>
      <w:r w:rsidRPr="00E16011" w:rsidR="001D3CBF">
        <w:rPr>
          <w:sz w:val="24"/>
          <w:szCs w:val="24"/>
        </w:rPr>
        <w:t xml:space="preserve">proposed information collection.  </w:t>
      </w:r>
    </w:p>
    <w:p w:rsidR="00657EEF" w:rsidRPr="00E16011" w:rsidP="00DF781D" w14:paraId="27CEDDAC" w14:textId="77777777">
      <w:pPr>
        <w:ind w:left="480"/>
        <w:rPr>
          <w:sz w:val="24"/>
          <w:szCs w:val="24"/>
        </w:rPr>
      </w:pPr>
    </w:p>
    <w:p w:rsidR="00657EEF" w:rsidRPr="00E16011" w:rsidP="00DF781D" w14:paraId="74E77A0E" w14:textId="2CC2CAFF">
      <w:pPr>
        <w:ind w:left="480"/>
        <w:rPr>
          <w:sz w:val="24"/>
          <w:szCs w:val="24"/>
        </w:rPr>
      </w:pPr>
      <w:r w:rsidRPr="00E16011">
        <w:rPr>
          <w:b/>
          <w:bCs/>
          <w:sz w:val="24"/>
          <w:szCs w:val="24"/>
        </w:rPr>
        <w:t xml:space="preserve">On </w:t>
      </w:r>
      <w:r w:rsidRPr="00E16011" w:rsidR="00F136E3">
        <w:rPr>
          <w:b/>
          <w:bCs/>
          <w:sz w:val="24"/>
          <w:szCs w:val="24"/>
        </w:rPr>
        <w:t xml:space="preserve">availability of </w:t>
      </w:r>
      <w:r w:rsidRPr="00E16011" w:rsidR="00C2063C">
        <w:rPr>
          <w:b/>
          <w:bCs/>
          <w:sz w:val="24"/>
          <w:szCs w:val="24"/>
        </w:rPr>
        <w:t>resources</w:t>
      </w:r>
      <w:r w:rsidRPr="00E16011" w:rsidR="00C2063C">
        <w:rPr>
          <w:sz w:val="24"/>
          <w:szCs w:val="24"/>
        </w:rPr>
        <w:t>:  The comment stated, “There are very few resources available to disabled persons that are not elderly or children. Most assistance programs target minorities leaving the MAJORITY with no assistance resources</w:t>
      </w:r>
      <w:r w:rsidRPr="00E16011" w:rsidR="00EA4647">
        <w:rPr>
          <w:sz w:val="24"/>
          <w:szCs w:val="24"/>
        </w:rPr>
        <w:t xml:space="preserve">…. This is not equity OR equality and to say that certain minorities have more rights for any reason is a form of discrimination and should be against the </w:t>
      </w:r>
      <w:r w:rsidRPr="00E16011" w:rsidR="00EA4647">
        <w:rPr>
          <w:sz w:val="24"/>
          <w:szCs w:val="24"/>
        </w:rPr>
        <w:t>LAW.</w:t>
      </w:r>
      <w:r w:rsidRPr="00E16011" w:rsidR="00C2063C">
        <w:rPr>
          <w:sz w:val="24"/>
          <w:szCs w:val="24"/>
        </w:rPr>
        <w:t>”</w:t>
      </w:r>
    </w:p>
    <w:p w:rsidR="00EA4647" w:rsidRPr="00E16011" w:rsidP="00DF781D" w14:paraId="14D4CDA9" w14:textId="6FF98429">
      <w:pPr>
        <w:ind w:left="480"/>
        <w:rPr>
          <w:sz w:val="24"/>
          <w:szCs w:val="24"/>
        </w:rPr>
      </w:pPr>
      <w:r w:rsidRPr="00E16011">
        <w:rPr>
          <w:b/>
          <w:bCs/>
          <w:sz w:val="24"/>
          <w:szCs w:val="24"/>
        </w:rPr>
        <w:t>HUD Response</w:t>
      </w:r>
      <w:r w:rsidRPr="00E16011">
        <w:rPr>
          <w:sz w:val="24"/>
          <w:szCs w:val="24"/>
        </w:rPr>
        <w:t xml:space="preserve">: The Family Self-Sufficiency program is open to all residents of </w:t>
      </w:r>
      <w:r w:rsidRPr="00E16011" w:rsidR="00000EDE">
        <w:rPr>
          <w:sz w:val="24"/>
          <w:szCs w:val="24"/>
        </w:rPr>
        <w:t xml:space="preserve">HUD-assisted housing (public housing, vouchers or project-based rental assistance) with motivation being the only </w:t>
      </w:r>
      <w:r w:rsidRPr="00E16011" w:rsidR="00404E57">
        <w:rPr>
          <w:sz w:val="24"/>
          <w:szCs w:val="24"/>
        </w:rPr>
        <w:t xml:space="preserve">screening element allowed.  </w:t>
      </w:r>
      <w:r w:rsidRPr="00E16011" w:rsidR="00C835EE">
        <w:rPr>
          <w:sz w:val="24"/>
          <w:szCs w:val="24"/>
        </w:rPr>
        <w:t xml:space="preserve">Availability of other resources outside of FSS is beyond the scope of this proposed information collection. </w:t>
      </w:r>
    </w:p>
    <w:p w:rsidR="00404E57" w:rsidRPr="00E16011" w:rsidP="00DF781D" w14:paraId="239706B5" w14:textId="77777777">
      <w:pPr>
        <w:ind w:left="480"/>
        <w:rPr>
          <w:sz w:val="24"/>
          <w:szCs w:val="24"/>
        </w:rPr>
      </w:pPr>
    </w:p>
    <w:p w:rsidR="00404E57" w:rsidRPr="00E16011" w:rsidP="00DF781D" w14:paraId="23745F83" w14:textId="5D85CB00">
      <w:pPr>
        <w:ind w:left="480"/>
        <w:rPr>
          <w:sz w:val="24"/>
          <w:szCs w:val="24"/>
        </w:rPr>
      </w:pPr>
      <w:r w:rsidRPr="00E16011">
        <w:rPr>
          <w:b/>
          <w:bCs/>
          <w:sz w:val="24"/>
          <w:szCs w:val="24"/>
        </w:rPr>
        <w:t xml:space="preserve">On </w:t>
      </w:r>
      <w:r w:rsidRPr="00E16011" w:rsidR="001722EC">
        <w:rPr>
          <w:b/>
          <w:bCs/>
          <w:sz w:val="24"/>
          <w:szCs w:val="24"/>
        </w:rPr>
        <w:t xml:space="preserve">burden of information collection to individuals.  </w:t>
      </w:r>
      <w:r w:rsidRPr="00E16011" w:rsidR="00763E82">
        <w:rPr>
          <w:sz w:val="24"/>
          <w:szCs w:val="24"/>
        </w:rPr>
        <w:t xml:space="preserve">The comment stated that </w:t>
      </w:r>
      <w:r w:rsidRPr="00E16011" w:rsidR="006300E7">
        <w:rPr>
          <w:sz w:val="24"/>
          <w:szCs w:val="24"/>
        </w:rPr>
        <w:t xml:space="preserve">it is burdensome for individuals to collect and submit their </w:t>
      </w:r>
      <w:r w:rsidRPr="00E16011" w:rsidR="00C17DDB">
        <w:rPr>
          <w:sz w:val="24"/>
          <w:szCs w:val="24"/>
        </w:rPr>
        <w:t xml:space="preserve">records and documentation of receipt of benefits from other federal programs.  The </w:t>
      </w:r>
      <w:r w:rsidRPr="00E16011" w:rsidR="00C90059">
        <w:rPr>
          <w:sz w:val="24"/>
          <w:szCs w:val="24"/>
        </w:rPr>
        <w:t xml:space="preserve">federal government should be able to access that information across agencies and systems.  </w:t>
      </w:r>
    </w:p>
    <w:p w:rsidR="00C90059" w:rsidRPr="00E16011" w:rsidP="00DF781D" w14:paraId="6DB08ED7" w14:textId="53A2B10B">
      <w:pPr>
        <w:ind w:left="480"/>
        <w:rPr>
          <w:sz w:val="24"/>
          <w:szCs w:val="24"/>
        </w:rPr>
      </w:pPr>
      <w:r w:rsidRPr="00E16011">
        <w:rPr>
          <w:b/>
          <w:bCs/>
          <w:sz w:val="24"/>
          <w:szCs w:val="24"/>
        </w:rPr>
        <w:t>HUD Response:</w:t>
      </w:r>
      <w:r w:rsidRPr="00E16011">
        <w:rPr>
          <w:sz w:val="24"/>
          <w:szCs w:val="24"/>
        </w:rPr>
        <w:t xml:space="preserve"> </w:t>
      </w:r>
      <w:r w:rsidRPr="00E16011" w:rsidR="008C3A4C">
        <w:rPr>
          <w:sz w:val="24"/>
          <w:szCs w:val="24"/>
        </w:rPr>
        <w:t xml:space="preserve">The FSS program allows each FSS program to determine policies on </w:t>
      </w:r>
      <w:r w:rsidRPr="00E16011" w:rsidR="001C78F7">
        <w:rPr>
          <w:sz w:val="24"/>
          <w:szCs w:val="24"/>
        </w:rPr>
        <w:t xml:space="preserve">the requirements for </w:t>
      </w:r>
      <w:r w:rsidRPr="00E16011" w:rsidR="008C3A4C">
        <w:rPr>
          <w:sz w:val="24"/>
          <w:szCs w:val="24"/>
        </w:rPr>
        <w:t xml:space="preserve">documentation of goal achievement </w:t>
      </w:r>
      <w:r w:rsidRPr="00E16011" w:rsidR="001C78F7">
        <w:rPr>
          <w:sz w:val="24"/>
          <w:szCs w:val="24"/>
        </w:rPr>
        <w:t xml:space="preserve">at the local level.  This must be included in the local FSS Action Plan.  </w:t>
      </w:r>
      <w:r w:rsidRPr="00E16011" w:rsidR="00480CA8">
        <w:rPr>
          <w:sz w:val="24"/>
          <w:szCs w:val="24"/>
        </w:rPr>
        <w:t xml:space="preserve">Collection of documentation outside of the FSS program is beyond the scope of this proposed information collection.  </w:t>
      </w:r>
    </w:p>
    <w:p w:rsidR="00C764DD" w:rsidRPr="00E16011" w:rsidP="00DF781D" w14:paraId="4B1FF9A4" w14:textId="77777777">
      <w:pPr>
        <w:ind w:left="336"/>
        <w:rPr>
          <w:sz w:val="24"/>
          <w:szCs w:val="24"/>
        </w:rPr>
      </w:pPr>
    </w:p>
    <w:p w:rsidR="009F6F1C" w:rsidRPr="00E16011" w:rsidP="009F6F1C" w14:paraId="545B963B" w14:textId="06262CA7">
      <w:pPr>
        <w:keepLines/>
        <w:tabs>
          <w:tab w:val="left" w:pos="360"/>
        </w:tabs>
        <w:spacing w:after="80"/>
        <w:ind w:left="480"/>
        <w:rPr>
          <w:sz w:val="24"/>
          <w:szCs w:val="24"/>
        </w:rPr>
      </w:pPr>
      <w:r w:rsidRPr="00E16011">
        <w:rPr>
          <w:sz w:val="24"/>
          <w:szCs w:val="24"/>
        </w:rPr>
        <w:t>Additionally, t</w:t>
      </w:r>
      <w:r w:rsidRPr="00E16011">
        <w:rPr>
          <w:sz w:val="24"/>
          <w:szCs w:val="24"/>
        </w:rPr>
        <w:t xml:space="preserve">he program office holds FSS Office Hours monthly and covers all manner of topics pertaining to the FSS program.  Any feedback related to the application process, forms, and/or reporting, are taken under advisement.  </w:t>
      </w:r>
    </w:p>
    <w:p w:rsidR="009F6F1C" w:rsidRPr="00E16011" w:rsidP="009F6F1C" w14:paraId="589F2ADA" w14:textId="77777777">
      <w:pPr>
        <w:tabs>
          <w:tab w:val="left" w:pos="360"/>
        </w:tabs>
        <w:ind w:left="360" w:hanging="360"/>
        <w:rPr>
          <w:sz w:val="24"/>
          <w:szCs w:val="24"/>
        </w:rPr>
      </w:pPr>
    </w:p>
    <w:p w:rsidR="009F6F1C" w:rsidRPr="00E16011" w:rsidP="009F6F1C" w14:paraId="6D3BC9BB" w14:textId="77777777">
      <w:pPr>
        <w:pStyle w:val="ListParagraph"/>
        <w:keepLines/>
        <w:numPr>
          <w:ilvl w:val="0"/>
          <w:numId w:val="1"/>
        </w:numPr>
        <w:tabs>
          <w:tab w:val="left" w:pos="360"/>
        </w:tabs>
        <w:spacing w:after="80"/>
        <w:contextualSpacing w:val="0"/>
        <w:rPr>
          <w:sz w:val="24"/>
          <w:szCs w:val="24"/>
        </w:rPr>
      </w:pPr>
      <w:r w:rsidRPr="00E16011">
        <w:rPr>
          <w:b/>
          <w:bCs/>
          <w:sz w:val="24"/>
          <w:szCs w:val="24"/>
        </w:rPr>
        <w:t>Explain any decision to provide any payment or gift to respondents, other than renumeration of contractors or grantees</w:t>
      </w:r>
      <w:r w:rsidRPr="00E16011">
        <w:rPr>
          <w:sz w:val="24"/>
          <w:szCs w:val="24"/>
        </w:rPr>
        <w:t>.</w:t>
      </w:r>
    </w:p>
    <w:p w:rsidR="00AE77BC" w:rsidRPr="00E16011" w:rsidP="00761599" w14:paraId="170D0C12" w14:textId="77777777">
      <w:pPr>
        <w:pStyle w:val="NoSpacing"/>
      </w:pPr>
    </w:p>
    <w:p w:rsidR="009F6F1C" w:rsidP="009F6F1C" w14:paraId="6A535C27" w14:textId="069F691E">
      <w:pPr>
        <w:tabs>
          <w:tab w:val="left" w:pos="360"/>
        </w:tabs>
        <w:ind w:left="360" w:hanging="360"/>
        <w:rPr>
          <w:sz w:val="24"/>
          <w:szCs w:val="24"/>
        </w:rPr>
      </w:pPr>
      <w:r>
        <w:rPr>
          <w:sz w:val="24"/>
          <w:szCs w:val="24"/>
        </w:rPr>
        <w:tab/>
      </w:r>
      <w:r w:rsidRPr="00EC46E8" w:rsidR="00EC46E8">
        <w:rPr>
          <w:sz w:val="24"/>
          <w:szCs w:val="24"/>
        </w:rPr>
        <w:t>No payments, gifts, or incentives are provided to respondents.</w:t>
      </w:r>
    </w:p>
    <w:p w:rsidR="00761599" w:rsidRPr="00E16011" w:rsidP="009F6F1C" w14:paraId="3B3DAF7A" w14:textId="77777777">
      <w:pPr>
        <w:tabs>
          <w:tab w:val="left" w:pos="360"/>
        </w:tabs>
        <w:ind w:left="360" w:hanging="360"/>
        <w:rPr>
          <w:sz w:val="24"/>
          <w:szCs w:val="24"/>
        </w:rPr>
      </w:pPr>
    </w:p>
    <w:p w:rsidR="009F6F1C" w:rsidRPr="00E16011" w:rsidP="009F6F1C" w14:paraId="1B032DD2" w14:textId="77777777">
      <w:pPr>
        <w:pStyle w:val="ListParagraph"/>
        <w:keepLines/>
        <w:numPr>
          <w:ilvl w:val="0"/>
          <w:numId w:val="1"/>
        </w:numPr>
        <w:tabs>
          <w:tab w:val="left" w:pos="360"/>
        </w:tabs>
        <w:spacing w:after="80"/>
        <w:contextualSpacing w:val="0"/>
        <w:rPr>
          <w:b/>
          <w:bCs/>
          <w:sz w:val="24"/>
          <w:szCs w:val="24"/>
        </w:rPr>
      </w:pPr>
      <w:r w:rsidRPr="00E16011">
        <w:rPr>
          <w:b/>
          <w:bCs/>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AE77BC" w:rsidRPr="00E16011" w:rsidP="009F6F1C" w14:paraId="68346180" w14:textId="77777777">
      <w:pPr>
        <w:pStyle w:val="ListParagraph"/>
        <w:keepLines/>
        <w:tabs>
          <w:tab w:val="left" w:pos="360"/>
        </w:tabs>
        <w:spacing w:after="80"/>
        <w:ind w:left="360"/>
        <w:rPr>
          <w:sz w:val="24"/>
          <w:szCs w:val="24"/>
        </w:rPr>
      </w:pPr>
    </w:p>
    <w:p w:rsidR="009F6F1C" w:rsidRPr="00E16011" w:rsidP="009F6F1C" w14:paraId="29F5DD60" w14:textId="3C8D6AF4">
      <w:pPr>
        <w:pStyle w:val="ListParagraph"/>
        <w:keepLines/>
        <w:tabs>
          <w:tab w:val="left" w:pos="360"/>
        </w:tabs>
        <w:spacing w:after="80"/>
        <w:ind w:left="360"/>
        <w:rPr>
          <w:color w:val="000000"/>
          <w:sz w:val="24"/>
          <w:szCs w:val="24"/>
        </w:rPr>
      </w:pPr>
      <w:r w:rsidRPr="00E16011">
        <w:rPr>
          <w:sz w:val="24"/>
          <w:szCs w:val="24"/>
        </w:rPr>
        <w:t xml:space="preserve">Assurance of confidentiality is neither provided nor needed. </w:t>
      </w:r>
      <w:r w:rsidRPr="00E16011">
        <w:rPr>
          <w:color w:val="000000"/>
          <w:sz w:val="24"/>
          <w:szCs w:val="24"/>
        </w:rPr>
        <w:t xml:space="preserve">The Privacy Act of 1974 (Pub. L. No. 93-579, 88 Stat. 1896, 5 U.S.C. 552a) protects forms that include PII of program participants.  The only form in this collection that is submitted with PII is the HUD-50058.  Contract of Participation is not submitted to HUD, but information collected by the grantee is subject to the Privacy Act.  </w:t>
      </w:r>
    </w:p>
    <w:p w:rsidR="009F6F1C" w:rsidRPr="00E16011" w:rsidP="009F6F1C" w14:paraId="583A7C6C" w14:textId="77777777">
      <w:pPr>
        <w:pStyle w:val="ListParagraph"/>
        <w:keepLines/>
        <w:tabs>
          <w:tab w:val="left" w:pos="360"/>
        </w:tabs>
        <w:spacing w:after="80"/>
        <w:ind w:left="360"/>
        <w:rPr>
          <w:b/>
          <w:bCs/>
          <w:sz w:val="24"/>
          <w:szCs w:val="24"/>
        </w:rPr>
      </w:pPr>
    </w:p>
    <w:p w:rsidR="009F6F1C" w:rsidRPr="00E16011" w:rsidP="009F6F1C" w14:paraId="56C41F30" w14:textId="77777777">
      <w:pPr>
        <w:pStyle w:val="ListParagraph"/>
        <w:keepLines/>
        <w:numPr>
          <w:ilvl w:val="0"/>
          <w:numId w:val="1"/>
        </w:numPr>
        <w:tabs>
          <w:tab w:val="left" w:pos="360"/>
        </w:tabs>
        <w:spacing w:after="80"/>
        <w:contextualSpacing w:val="0"/>
        <w:rPr>
          <w:b/>
          <w:bCs/>
          <w:sz w:val="24"/>
          <w:szCs w:val="24"/>
        </w:rPr>
      </w:pPr>
      <w:r w:rsidRPr="00E16011">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people from whom the information is requested, and any steps to be taken to obtain their consent.</w:t>
      </w:r>
    </w:p>
    <w:p w:rsidR="00AE77BC" w:rsidRPr="00E16011" w:rsidP="009F6F1C" w14:paraId="59EDDE4B" w14:textId="77777777">
      <w:pPr>
        <w:pStyle w:val="ListParagraph"/>
        <w:keepLines/>
        <w:tabs>
          <w:tab w:val="left" w:pos="360"/>
          <w:tab w:val="left" w:pos="720"/>
        </w:tabs>
        <w:ind w:left="360"/>
        <w:rPr>
          <w:sz w:val="24"/>
          <w:szCs w:val="24"/>
        </w:rPr>
      </w:pPr>
    </w:p>
    <w:p w:rsidR="00EC46E8" w:rsidRPr="00163C6C" w:rsidP="00EC46E8" w14:paraId="6BD0CBEB" w14:textId="74407F8A">
      <w:pPr>
        <w:pStyle w:val="ListParagraph"/>
        <w:keepLines/>
        <w:tabs>
          <w:tab w:val="left" w:pos="360"/>
          <w:tab w:val="left" w:pos="720"/>
        </w:tabs>
        <w:ind w:left="360"/>
        <w:rPr>
          <w:sz w:val="24"/>
          <w:szCs w:val="24"/>
        </w:rPr>
      </w:pPr>
      <w:r w:rsidRPr="00163C6C">
        <w:rPr>
          <w:sz w:val="24"/>
          <w:szCs w:val="24"/>
        </w:rPr>
        <w:t xml:space="preserve">This collection does not ask sensitive/private questions (sex, religion, </w:t>
      </w:r>
      <w:r w:rsidRPr="00163C6C">
        <w:rPr>
          <w:sz w:val="24"/>
          <w:szCs w:val="24"/>
        </w:rPr>
        <w:t>etc</w:t>
      </w:r>
      <w:r w:rsidRPr="00163C6C">
        <w:rPr>
          <w:sz w:val="24"/>
          <w:szCs w:val="24"/>
        </w:rPr>
        <w:t>). Data is limited to </w:t>
      </w:r>
      <w:r w:rsidRPr="00163C6C" w:rsidR="003916E6">
        <w:rPr>
          <w:sz w:val="24"/>
          <w:szCs w:val="24"/>
        </w:rPr>
        <w:t xml:space="preserve">program </w:t>
      </w:r>
      <w:r w:rsidRPr="00163C6C">
        <w:rPr>
          <w:sz w:val="24"/>
          <w:szCs w:val="24"/>
        </w:rPr>
        <w:t>participation and economic self-sufficiency goals.</w:t>
      </w:r>
    </w:p>
    <w:p w:rsidR="009F6F1C" w:rsidRPr="00E16011" w:rsidP="009F6F1C" w14:paraId="78A6F707" w14:textId="77777777">
      <w:pPr>
        <w:pStyle w:val="ListParagraph"/>
        <w:keepLines/>
        <w:tabs>
          <w:tab w:val="left" w:pos="360"/>
          <w:tab w:val="left" w:pos="720"/>
        </w:tabs>
        <w:ind w:left="360"/>
        <w:rPr>
          <w:color w:val="000000"/>
          <w:sz w:val="24"/>
          <w:szCs w:val="24"/>
        </w:rPr>
      </w:pPr>
    </w:p>
    <w:p w:rsidR="009F6F1C" w:rsidRPr="00E16011" w:rsidP="009F6F1C" w14:paraId="385FC858" w14:textId="77777777">
      <w:pPr>
        <w:tabs>
          <w:tab w:val="left" w:pos="360"/>
        </w:tabs>
        <w:ind w:left="360" w:hanging="360"/>
        <w:rPr>
          <w:b/>
          <w:bCs/>
          <w:sz w:val="24"/>
          <w:szCs w:val="24"/>
        </w:rPr>
      </w:pPr>
      <w:r w:rsidRPr="00E16011">
        <w:rPr>
          <w:sz w:val="24"/>
          <w:szCs w:val="24"/>
        </w:rPr>
        <w:t>12.</w:t>
      </w:r>
      <w:r w:rsidRPr="00E16011">
        <w:rPr>
          <w:sz w:val="24"/>
          <w:szCs w:val="24"/>
        </w:rPr>
        <w:tab/>
      </w:r>
      <w:r w:rsidRPr="00E16011">
        <w:rPr>
          <w:b/>
          <w:bCs/>
          <w:sz w:val="24"/>
          <w:szCs w:val="24"/>
        </w:rPr>
        <w:t>Provide estimates of the hour burden of the collection of information.  The statement should:</w:t>
      </w:r>
    </w:p>
    <w:p w:rsidR="009F6F1C" w:rsidRPr="00E16011" w:rsidP="009F6F1C" w14:paraId="4D95BB19" w14:textId="77777777">
      <w:pPr>
        <w:tabs>
          <w:tab w:val="left" w:pos="360"/>
        </w:tabs>
        <w:ind w:left="360" w:hanging="360"/>
        <w:rPr>
          <w:b/>
          <w:bCs/>
          <w:sz w:val="24"/>
          <w:szCs w:val="24"/>
        </w:rPr>
      </w:pPr>
      <w:r w:rsidRPr="00E16011">
        <w:rPr>
          <w:b/>
          <w:bCs/>
          <w:sz w:val="24"/>
          <w:szCs w:val="24"/>
        </w:rPr>
        <w:t xml:space="preserve"> </w:t>
      </w:r>
    </w:p>
    <w:p w:rsidR="009F6F1C" w:rsidRPr="00E16011" w:rsidP="009F6F1C" w14:paraId="043793D7" w14:textId="77777777">
      <w:pPr>
        <w:numPr>
          <w:ilvl w:val="0"/>
          <w:numId w:val="2"/>
        </w:numPr>
        <w:tabs>
          <w:tab w:val="left" w:pos="480"/>
        </w:tabs>
        <w:ind w:left="480"/>
        <w:rPr>
          <w:i/>
          <w:iCs/>
          <w:sz w:val="24"/>
          <w:szCs w:val="24"/>
        </w:rPr>
      </w:pPr>
      <w:r w:rsidRPr="00E16011">
        <w:rPr>
          <w:i/>
          <w:i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E16011">
        <w:rPr>
          <w:i/>
          <w:iCs/>
          <w:sz w:val="24"/>
          <w:szCs w:val="24"/>
        </w:rPr>
        <w:t>practices;</w:t>
      </w:r>
      <w:r w:rsidRPr="00E16011">
        <w:rPr>
          <w:i/>
          <w:iCs/>
          <w:sz w:val="24"/>
          <w:szCs w:val="24"/>
        </w:rPr>
        <w:t xml:space="preserve"> </w:t>
      </w:r>
    </w:p>
    <w:p w:rsidR="009F6F1C" w:rsidRPr="00E16011" w:rsidP="009F6F1C" w14:paraId="632F45D7" w14:textId="77777777">
      <w:pPr>
        <w:numPr>
          <w:ilvl w:val="0"/>
          <w:numId w:val="2"/>
        </w:numPr>
        <w:tabs>
          <w:tab w:val="left" w:pos="480"/>
        </w:tabs>
        <w:ind w:left="480"/>
        <w:rPr>
          <w:i/>
          <w:iCs/>
          <w:sz w:val="24"/>
          <w:szCs w:val="24"/>
        </w:rPr>
      </w:pPr>
      <w:r w:rsidRPr="00E16011">
        <w:rPr>
          <w:i/>
          <w:iCs/>
          <w:sz w:val="24"/>
          <w:szCs w:val="24"/>
        </w:rPr>
        <w:t xml:space="preserve">If this request covers more than one form, provide separate hour burden estimates for each form and aggregate the hour burdens in the chart below; and </w:t>
      </w:r>
    </w:p>
    <w:p w:rsidR="009F6F1C" w:rsidRPr="00E16011" w:rsidP="009F6F1C" w14:paraId="279745CA" w14:textId="77777777">
      <w:pPr>
        <w:keepLines/>
        <w:numPr>
          <w:ilvl w:val="0"/>
          <w:numId w:val="2"/>
        </w:numPr>
        <w:tabs>
          <w:tab w:val="left" w:pos="480"/>
        </w:tabs>
        <w:spacing w:after="80"/>
        <w:ind w:left="480"/>
        <w:rPr>
          <w:i/>
          <w:iCs/>
          <w:sz w:val="24"/>
          <w:szCs w:val="24"/>
        </w:rPr>
      </w:pPr>
      <w:r w:rsidRPr="00E16011">
        <w:rPr>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F6F1C" w:rsidP="00D43E4E" w14:paraId="1ABFFE0B" w14:textId="77777777">
      <w:pPr>
        <w:shd w:val="clear" w:color="auto" w:fill="FFFFFF" w:themeFill="background1"/>
        <w:tabs>
          <w:tab w:val="left" w:pos="360"/>
        </w:tabs>
        <w:ind w:left="360" w:hanging="360"/>
        <w:rPr>
          <w:b/>
          <w:bCs/>
          <w:outline/>
          <w:color w:val="156082" w:themeColor="accent1"/>
          <w:sz w:val="16"/>
          <w:szCs w:val="16"/>
          <w14:shadow w14:blurRad="50800" w14:dist="50800" w14:dir="5400000" w14:sx="0" w14:sy="0" w14:kx="0" w14:ky="0" w14:algn="ctr">
            <w14:schemeClr w14:val="bg1">
              <w14:lumMod w14:val="95000"/>
            </w14:schemeClr>
          </w14:shadow>
          <w14:textOutline w14:w="9525" w14:cap="rnd">
            <w14:solidFill>
              <w14:schemeClr w14:val="accent1">
                <w14:alpha w14:val="19000"/>
              </w14:schemeClr>
            </w14:solidFill>
            <w14:prstDash w14:val="solid"/>
            <w14:bevel/>
          </w14:textOutline>
          <w14:textFill>
            <w14:noFill/>
          </w14:textFill>
        </w:rPr>
      </w:pPr>
    </w:p>
    <w:p w:rsidR="00D43E4E" w:rsidRPr="00D43E4E" w:rsidP="00D43E4E" w14:paraId="143060C0" w14:textId="77777777">
      <w:pPr>
        <w:shd w:val="clear" w:color="auto" w:fill="FFFFFF" w:themeFill="background1"/>
        <w:tabs>
          <w:tab w:val="left" w:pos="360"/>
        </w:tabs>
        <w:ind w:left="360" w:hanging="360"/>
        <w:rPr>
          <w:outline/>
          <w:color w:val="156082" w:themeColor="accent1"/>
          <w14:shadow w14:blurRad="50800" w14:dist="50800" w14:dir="5400000" w14:sx="0" w14:sy="0" w14:kx="0" w14:ky="0" w14:algn="ctr">
            <w14:schemeClr w14:val="bg1">
              <w14:lumMod w14:val="95000"/>
            </w14:schemeClr>
          </w14:shadow>
          <w14:textOutline w14:w="9525" w14:cap="rnd">
            <w14:solidFill>
              <w14:schemeClr w14:val="accent1">
                <w14:alpha w14:val="19000"/>
              </w14:schemeClr>
            </w14:solidFill>
            <w14:prstDash w14:val="solid"/>
            <w14:bevel/>
          </w14:textOutline>
          <w14:textFill>
            <w14:noFill/>
          </w14:textFill>
        </w:rPr>
      </w:pPr>
    </w:p>
    <w:tbl>
      <w:tblPr>
        <w:tblStyle w:val="TableGrid"/>
        <w:tblW w:w="10075" w:type="dxa"/>
        <w:shd w:val="clear" w:color="auto" w:fill="FFFFFF" w:themeFill="background1"/>
        <w:tblLayout w:type="fixed"/>
        <w:tblLook w:val="04A0"/>
      </w:tblPr>
      <w:tblGrid>
        <w:gridCol w:w="2610"/>
        <w:gridCol w:w="1075"/>
        <w:gridCol w:w="990"/>
        <w:gridCol w:w="1260"/>
        <w:gridCol w:w="990"/>
        <w:gridCol w:w="720"/>
        <w:gridCol w:w="990"/>
        <w:gridCol w:w="1440"/>
      </w:tblGrid>
      <w:tr w14:paraId="13A69D44" w14:textId="77777777" w:rsidTr="005B1F25">
        <w:tblPrEx>
          <w:tblW w:w="10075" w:type="dxa"/>
          <w:shd w:val="clear" w:color="auto" w:fill="FFFFFF" w:themeFill="background1"/>
          <w:tblLayout w:type="fixed"/>
          <w:tblLook w:val="04A0"/>
        </w:tblPrEx>
        <w:trPr>
          <w:trHeight w:val="630"/>
        </w:trPr>
        <w:tc>
          <w:tcPr>
            <w:tcW w:w="2610" w:type="dxa"/>
            <w:shd w:val="clear" w:color="auto" w:fill="FFFFFF" w:themeFill="background1"/>
            <w:hideMark/>
          </w:tcPr>
          <w:p w:rsidR="00440391" w:rsidRPr="003D7778" w:rsidP="00D43E4E" w14:paraId="310C64DD" w14:textId="07A4AE03">
            <w:pPr>
              <w:shd w:val="clear" w:color="auto" w:fill="FFFFFF" w:themeFill="background1"/>
              <w:jc w:val="center"/>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br w:type="page"/>
            </w:r>
            <w:r w:rsidRPr="003D7778">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Information Collection</w:t>
            </w:r>
          </w:p>
        </w:tc>
        <w:tc>
          <w:tcPr>
            <w:tcW w:w="1075" w:type="dxa"/>
            <w:shd w:val="clear" w:color="auto" w:fill="FFFFFF" w:themeFill="background1"/>
            <w:hideMark/>
          </w:tcPr>
          <w:p w:rsidR="00440391" w:rsidRPr="003D7778" w:rsidP="00D43E4E" w14:paraId="43864ED2" w14:textId="77777777">
            <w:pPr>
              <w:shd w:val="clear" w:color="auto" w:fill="FFFFFF" w:themeFill="background1"/>
              <w:jc w:val="center"/>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Number of Responses</w:t>
            </w:r>
          </w:p>
        </w:tc>
        <w:tc>
          <w:tcPr>
            <w:tcW w:w="990" w:type="dxa"/>
            <w:shd w:val="clear" w:color="auto" w:fill="FFFFFF" w:themeFill="background1"/>
            <w:hideMark/>
          </w:tcPr>
          <w:p w:rsidR="00440391" w:rsidRPr="003D7778" w:rsidP="00D43E4E" w14:paraId="128AB4A5" w14:textId="77777777">
            <w:pPr>
              <w:shd w:val="clear" w:color="auto" w:fill="FFFFFF" w:themeFill="background1"/>
              <w:jc w:val="center"/>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Responses per Year</w:t>
            </w:r>
          </w:p>
        </w:tc>
        <w:tc>
          <w:tcPr>
            <w:tcW w:w="1260" w:type="dxa"/>
            <w:shd w:val="clear" w:color="auto" w:fill="FFFFFF" w:themeFill="background1"/>
            <w:hideMark/>
          </w:tcPr>
          <w:p w:rsidR="00440391" w:rsidRPr="003D7778" w:rsidP="00D43E4E" w14:paraId="6E40D60F" w14:textId="77777777">
            <w:pPr>
              <w:shd w:val="clear" w:color="auto" w:fill="FFFFFF" w:themeFill="background1"/>
              <w:jc w:val="center"/>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Total Annual Responses</w:t>
            </w:r>
          </w:p>
        </w:tc>
        <w:tc>
          <w:tcPr>
            <w:tcW w:w="990" w:type="dxa"/>
            <w:shd w:val="clear" w:color="auto" w:fill="FFFFFF" w:themeFill="background1"/>
            <w:hideMark/>
          </w:tcPr>
          <w:p w:rsidR="00440391" w:rsidRPr="003D7778" w:rsidP="00D43E4E" w14:paraId="4860FF86" w14:textId="77777777">
            <w:pPr>
              <w:shd w:val="clear" w:color="auto" w:fill="FFFFFF" w:themeFill="background1"/>
              <w:jc w:val="center"/>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Hours per Response</w:t>
            </w:r>
          </w:p>
        </w:tc>
        <w:tc>
          <w:tcPr>
            <w:tcW w:w="720" w:type="dxa"/>
            <w:shd w:val="clear" w:color="auto" w:fill="FFFFFF" w:themeFill="background1"/>
            <w:hideMark/>
          </w:tcPr>
          <w:p w:rsidR="00440391" w:rsidRPr="003D7778" w:rsidP="00D43E4E" w14:paraId="4C379E1B" w14:textId="77777777">
            <w:pPr>
              <w:shd w:val="clear" w:color="auto" w:fill="FFFFFF" w:themeFill="background1"/>
              <w:jc w:val="center"/>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Total Hours</w:t>
            </w:r>
          </w:p>
        </w:tc>
        <w:tc>
          <w:tcPr>
            <w:tcW w:w="990" w:type="dxa"/>
            <w:shd w:val="clear" w:color="auto" w:fill="FFFFFF" w:themeFill="background1"/>
            <w:hideMark/>
          </w:tcPr>
          <w:p w:rsidR="00440391" w:rsidRPr="003D7778" w:rsidP="00D43E4E" w14:paraId="0CB95744" w14:textId="77777777">
            <w:pPr>
              <w:shd w:val="clear" w:color="auto" w:fill="FFFFFF" w:themeFill="background1"/>
              <w:jc w:val="center"/>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Cost per Hour</w:t>
            </w:r>
          </w:p>
        </w:tc>
        <w:tc>
          <w:tcPr>
            <w:tcW w:w="1440" w:type="dxa"/>
            <w:shd w:val="clear" w:color="auto" w:fill="FFFFFF" w:themeFill="background1"/>
            <w:hideMark/>
          </w:tcPr>
          <w:p w:rsidR="00440391" w:rsidRPr="003D7778" w:rsidP="00D43E4E" w14:paraId="3D557CEE" w14:textId="77777777">
            <w:pPr>
              <w:shd w:val="clear" w:color="auto" w:fill="FFFFFF" w:themeFill="background1"/>
              <w:jc w:val="center"/>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Annual Cost</w:t>
            </w:r>
          </w:p>
        </w:tc>
      </w:tr>
      <w:tr w14:paraId="6C2D416A" w14:textId="77777777" w:rsidTr="00910496">
        <w:tblPrEx>
          <w:tblW w:w="10075" w:type="dxa"/>
          <w:shd w:val="clear" w:color="auto" w:fill="FFFFFF" w:themeFill="background1"/>
          <w:tblLayout w:type="fixed"/>
          <w:tblLook w:val="04A0"/>
        </w:tblPrEx>
        <w:trPr>
          <w:trHeight w:val="242"/>
        </w:trPr>
        <w:tc>
          <w:tcPr>
            <w:tcW w:w="10075" w:type="dxa"/>
            <w:gridSpan w:val="8"/>
            <w:hideMark/>
          </w:tcPr>
          <w:p w:rsidR="00440391" w:rsidRPr="00910496" w:rsidP="00D43E4E" w14:paraId="79EBF545" w14:textId="7F0748A9">
            <w:pPr>
              <w:shd w:val="clear" w:color="auto" w:fill="FFFFFF" w:themeFill="background1"/>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Application</w:t>
            </w:r>
          </w:p>
        </w:tc>
      </w:tr>
      <w:tr w14:paraId="2DE57204" w14:textId="77777777" w:rsidTr="005B1F25">
        <w:tblPrEx>
          <w:tblW w:w="10075" w:type="dxa"/>
          <w:shd w:val="clear" w:color="auto" w:fill="FFFFFF" w:themeFill="background1"/>
          <w:tblLayout w:type="fixed"/>
          <w:tblLook w:val="04A0"/>
        </w:tblPrEx>
        <w:trPr>
          <w:trHeight w:val="450"/>
        </w:trPr>
        <w:tc>
          <w:tcPr>
            <w:tcW w:w="2610" w:type="dxa"/>
            <w:shd w:val="clear" w:color="auto" w:fill="FFFFFF" w:themeFill="background1"/>
            <w:hideMark/>
          </w:tcPr>
          <w:p w:rsidR="00440391" w:rsidRPr="003D7778" w:rsidP="00D43E4E" w14:paraId="1F336856"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bookmarkStart w:id="0" w:name="_Hlk207199710"/>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SF-424 - Application for Federal Assistance*</w:t>
            </w:r>
          </w:p>
          <w:p w:rsidR="00440391" w:rsidRPr="003D7778" w:rsidP="00D43E4E" w14:paraId="12366337"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OMB Number: 4040-0004</w:t>
            </w:r>
          </w:p>
        </w:tc>
        <w:tc>
          <w:tcPr>
            <w:tcW w:w="1075" w:type="dxa"/>
            <w:shd w:val="clear" w:color="auto" w:fill="FFFFFF" w:themeFill="background1"/>
            <w:hideMark/>
          </w:tcPr>
          <w:p w:rsidR="00440391" w:rsidRPr="003D7778" w:rsidP="00D43E4E" w14:paraId="4B8902C1" w14:textId="4F8D25BB">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r w:rsidR="00163C6C">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000*</w:t>
            </w:r>
          </w:p>
        </w:tc>
        <w:tc>
          <w:tcPr>
            <w:tcW w:w="990" w:type="dxa"/>
            <w:shd w:val="clear" w:color="auto" w:fill="FFFFFF" w:themeFill="background1"/>
            <w:hideMark/>
          </w:tcPr>
          <w:p w:rsidR="00440391" w:rsidRPr="003D7778" w:rsidP="00D43E4E" w14:paraId="623B94C8"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440391" w:rsidRPr="003D7778" w:rsidP="00D43E4E" w14:paraId="22C7A15D"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440391" w:rsidRPr="003D7778" w:rsidP="00D43E4E" w14:paraId="5F86250E" w14:textId="5972F2DB">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720" w:type="dxa"/>
            <w:shd w:val="clear" w:color="auto" w:fill="FFFFFF" w:themeFill="background1"/>
            <w:hideMark/>
          </w:tcPr>
          <w:p w:rsidR="00440391" w:rsidRPr="003D7778" w:rsidP="00D43E4E" w14:paraId="384873BC" w14:textId="6907AFD4">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990" w:type="dxa"/>
            <w:shd w:val="clear" w:color="auto" w:fill="FFFFFF" w:themeFill="background1"/>
            <w:hideMark/>
          </w:tcPr>
          <w:p w:rsidR="00440391" w:rsidRPr="003D7778" w:rsidP="00D43E4E" w14:paraId="4E8CD17B" w14:textId="4EADA93F">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1440" w:type="dxa"/>
            <w:shd w:val="clear" w:color="auto" w:fill="FFFFFF" w:themeFill="background1"/>
            <w:hideMark/>
          </w:tcPr>
          <w:p w:rsidR="00440391" w:rsidRPr="003D7778" w:rsidP="00D43E4E" w14:paraId="0B4D41E4" w14:textId="557037D3">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r>
      <w:bookmarkEnd w:id="0"/>
      <w:tr w14:paraId="028B1B59" w14:textId="77777777" w:rsidTr="005B1F25">
        <w:tblPrEx>
          <w:tblW w:w="10075" w:type="dxa"/>
          <w:shd w:val="clear" w:color="auto" w:fill="FFFFFF" w:themeFill="background1"/>
          <w:tblLayout w:type="fixed"/>
          <w:tblLook w:val="04A0"/>
        </w:tblPrEx>
        <w:trPr>
          <w:trHeight w:val="765"/>
        </w:trPr>
        <w:tc>
          <w:tcPr>
            <w:tcW w:w="2610" w:type="dxa"/>
            <w:shd w:val="clear" w:color="auto" w:fill="FFFFFF" w:themeFill="background1"/>
            <w:hideMark/>
          </w:tcPr>
          <w:p w:rsidR="00163C6C" w:rsidRPr="003D7778" w:rsidP="00163C6C" w14:paraId="5653C10B"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HUD-424-B - Applicant and Recipient Assurances and Certifications*</w:t>
            </w:r>
          </w:p>
          <w:p w:rsidR="00163C6C" w:rsidRPr="003D7778" w:rsidP="00163C6C" w14:paraId="6621A8AC"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OMB Number 2510-0017  </w:t>
            </w:r>
          </w:p>
        </w:tc>
        <w:tc>
          <w:tcPr>
            <w:tcW w:w="1075" w:type="dxa"/>
            <w:shd w:val="clear" w:color="auto" w:fill="FFFFFF" w:themeFill="background1"/>
            <w:hideMark/>
          </w:tcPr>
          <w:p w:rsidR="00163C6C" w:rsidRPr="003D7778" w:rsidP="00163C6C" w14:paraId="3450BAFB" w14:textId="74ED666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000*</w:t>
            </w:r>
          </w:p>
        </w:tc>
        <w:tc>
          <w:tcPr>
            <w:tcW w:w="990" w:type="dxa"/>
            <w:shd w:val="clear" w:color="auto" w:fill="FFFFFF" w:themeFill="background1"/>
            <w:hideMark/>
          </w:tcPr>
          <w:p w:rsidR="00163C6C" w:rsidRPr="003D7778" w:rsidP="00163C6C" w14:paraId="182209A0"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163C6C" w:rsidRPr="003D7778" w:rsidP="00163C6C" w14:paraId="6CD7FBD1"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163C6C" w:rsidRPr="003D7778" w:rsidP="00163C6C" w14:paraId="34E45FB6" w14:textId="4FBE1A3B">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720" w:type="dxa"/>
            <w:shd w:val="clear" w:color="auto" w:fill="FFFFFF" w:themeFill="background1"/>
            <w:hideMark/>
          </w:tcPr>
          <w:p w:rsidR="00163C6C" w:rsidRPr="003D7778" w:rsidP="00163C6C" w14:paraId="38389A6A" w14:textId="03FE19C3">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990" w:type="dxa"/>
            <w:shd w:val="clear" w:color="auto" w:fill="FFFFFF" w:themeFill="background1"/>
            <w:hideMark/>
          </w:tcPr>
          <w:p w:rsidR="00163C6C" w:rsidRPr="003D7778" w:rsidP="00163C6C" w14:paraId="6E88B16B" w14:textId="1623FD26">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1440" w:type="dxa"/>
            <w:shd w:val="clear" w:color="auto" w:fill="FFFFFF" w:themeFill="background1"/>
            <w:hideMark/>
          </w:tcPr>
          <w:p w:rsidR="00163C6C" w:rsidRPr="003D7778" w:rsidP="00163C6C" w14:paraId="0D0B38B4" w14:textId="662D4B0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r>
      <w:tr w14:paraId="55561B04" w14:textId="77777777" w:rsidTr="005B1F25">
        <w:tblPrEx>
          <w:tblW w:w="10075" w:type="dxa"/>
          <w:shd w:val="clear" w:color="auto" w:fill="FFFFFF" w:themeFill="background1"/>
          <w:tblLayout w:type="fixed"/>
          <w:tblLook w:val="04A0"/>
        </w:tblPrEx>
        <w:trPr>
          <w:trHeight w:val="450"/>
        </w:trPr>
        <w:tc>
          <w:tcPr>
            <w:tcW w:w="2610" w:type="dxa"/>
            <w:shd w:val="clear" w:color="auto" w:fill="FFFFFF" w:themeFill="background1"/>
            <w:hideMark/>
          </w:tcPr>
          <w:p w:rsidR="00163C6C" w:rsidRPr="003D7778" w:rsidP="00163C6C" w14:paraId="2DA4E386"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SF-LLL - Disclosure of Lobbying Activities*</w:t>
            </w:r>
          </w:p>
          <w:p w:rsidR="00163C6C" w:rsidRPr="003D7778" w:rsidP="00163C6C" w14:paraId="29B95C62"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OMB Number: 4040-0013</w:t>
            </w:r>
          </w:p>
        </w:tc>
        <w:tc>
          <w:tcPr>
            <w:tcW w:w="1075" w:type="dxa"/>
            <w:shd w:val="clear" w:color="auto" w:fill="FFFFFF" w:themeFill="background1"/>
            <w:hideMark/>
          </w:tcPr>
          <w:p w:rsidR="00163C6C" w:rsidRPr="003D7778" w:rsidP="00163C6C" w14:paraId="4719D7C5"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40*</w:t>
            </w:r>
          </w:p>
        </w:tc>
        <w:tc>
          <w:tcPr>
            <w:tcW w:w="990" w:type="dxa"/>
            <w:shd w:val="clear" w:color="auto" w:fill="FFFFFF" w:themeFill="background1"/>
            <w:hideMark/>
          </w:tcPr>
          <w:p w:rsidR="00163C6C" w:rsidRPr="003D7778" w:rsidP="00163C6C" w14:paraId="457774F0"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163C6C" w:rsidRPr="003D7778" w:rsidP="00163C6C" w14:paraId="12CDE2E6"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40*</w:t>
            </w:r>
          </w:p>
        </w:tc>
        <w:tc>
          <w:tcPr>
            <w:tcW w:w="990" w:type="dxa"/>
            <w:shd w:val="clear" w:color="auto" w:fill="FFFFFF" w:themeFill="background1"/>
            <w:hideMark/>
          </w:tcPr>
          <w:p w:rsidR="00163C6C" w:rsidRPr="003D7778" w:rsidP="00163C6C" w14:paraId="7F863E82" w14:textId="22A1BF94">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720" w:type="dxa"/>
            <w:shd w:val="clear" w:color="auto" w:fill="FFFFFF" w:themeFill="background1"/>
            <w:hideMark/>
          </w:tcPr>
          <w:p w:rsidR="00163C6C" w:rsidRPr="003D7778" w:rsidP="00163C6C" w14:paraId="5C1900D4" w14:textId="453D15B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990" w:type="dxa"/>
            <w:shd w:val="clear" w:color="auto" w:fill="FFFFFF" w:themeFill="background1"/>
            <w:hideMark/>
          </w:tcPr>
          <w:p w:rsidR="00163C6C" w:rsidRPr="003D7778" w:rsidP="00163C6C" w14:paraId="4641ABBE" w14:textId="38919C76">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1440" w:type="dxa"/>
            <w:shd w:val="clear" w:color="auto" w:fill="FFFFFF" w:themeFill="background1"/>
            <w:hideMark/>
          </w:tcPr>
          <w:p w:rsidR="00163C6C" w:rsidRPr="003D7778" w:rsidP="00163C6C" w14:paraId="606672FC" w14:textId="4CBDCC1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r>
      <w:tr w14:paraId="7698C6C8" w14:textId="77777777" w:rsidTr="005B1F25">
        <w:tblPrEx>
          <w:tblW w:w="10075" w:type="dxa"/>
          <w:shd w:val="clear" w:color="auto" w:fill="FFFFFF" w:themeFill="background1"/>
          <w:tblLayout w:type="fixed"/>
          <w:tblLook w:val="04A0"/>
        </w:tblPrEx>
        <w:trPr>
          <w:trHeight w:val="612"/>
        </w:trPr>
        <w:tc>
          <w:tcPr>
            <w:tcW w:w="2610" w:type="dxa"/>
            <w:shd w:val="clear" w:color="auto" w:fill="FFFFFF" w:themeFill="background1"/>
            <w:hideMark/>
          </w:tcPr>
          <w:p w:rsidR="00163C6C" w:rsidRPr="003D7778" w:rsidP="00163C6C" w14:paraId="27C1CFF6" w14:textId="78411D44">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Applicant, Recipient, Disclosure, Update HUD</w:t>
            </w:r>
            <w:r w:rsidRPr="003D7778" w:rsidR="005B1F25">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Form </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-2880*</w:t>
            </w:r>
          </w:p>
          <w:p w:rsidR="00163C6C" w:rsidRPr="003D7778" w:rsidP="00163C6C" w14:paraId="5153CDA8"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OMB Number: 2501-0044</w:t>
            </w:r>
          </w:p>
        </w:tc>
        <w:tc>
          <w:tcPr>
            <w:tcW w:w="1075" w:type="dxa"/>
            <w:shd w:val="clear" w:color="auto" w:fill="FFFFFF" w:themeFill="background1"/>
            <w:hideMark/>
          </w:tcPr>
          <w:p w:rsidR="00163C6C" w:rsidRPr="003D7778" w:rsidP="00163C6C" w14:paraId="17059634" w14:textId="527F483A">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000*</w:t>
            </w:r>
          </w:p>
        </w:tc>
        <w:tc>
          <w:tcPr>
            <w:tcW w:w="990" w:type="dxa"/>
            <w:shd w:val="clear" w:color="auto" w:fill="FFFFFF" w:themeFill="background1"/>
            <w:hideMark/>
          </w:tcPr>
          <w:p w:rsidR="00163C6C" w:rsidRPr="003D7778" w:rsidP="00163C6C" w14:paraId="4C5FF925"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163C6C" w:rsidRPr="003D7778" w:rsidP="00163C6C" w14:paraId="18E5D962"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163C6C" w:rsidRPr="003D7778" w:rsidP="00163C6C" w14:paraId="44D14F61" w14:textId="13DD39B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720" w:type="dxa"/>
            <w:shd w:val="clear" w:color="auto" w:fill="FFFFFF" w:themeFill="background1"/>
            <w:hideMark/>
          </w:tcPr>
          <w:p w:rsidR="00163C6C" w:rsidRPr="003D7778" w:rsidP="00163C6C" w14:paraId="2CDF20B8" w14:textId="02C67DD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990" w:type="dxa"/>
            <w:shd w:val="clear" w:color="auto" w:fill="FFFFFF" w:themeFill="background1"/>
            <w:hideMark/>
          </w:tcPr>
          <w:p w:rsidR="00163C6C" w:rsidRPr="003D7778" w:rsidP="00163C6C" w14:paraId="06F6FC94" w14:textId="1EBCFDB9">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1440" w:type="dxa"/>
            <w:shd w:val="clear" w:color="auto" w:fill="FFFFFF" w:themeFill="background1"/>
            <w:hideMark/>
          </w:tcPr>
          <w:p w:rsidR="00163C6C" w:rsidRPr="003D7778" w:rsidP="00163C6C" w14:paraId="4C44630D" w14:textId="65CA8394">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r>
      <w:tr w14:paraId="475CBAAD" w14:textId="77777777" w:rsidTr="005B1F25">
        <w:tblPrEx>
          <w:tblW w:w="10075" w:type="dxa"/>
          <w:shd w:val="clear" w:color="auto" w:fill="FFFFFF" w:themeFill="background1"/>
          <w:tblLayout w:type="fixed"/>
          <w:tblLook w:val="04A0"/>
        </w:tblPrEx>
        <w:trPr>
          <w:trHeight w:val="261"/>
        </w:trPr>
        <w:tc>
          <w:tcPr>
            <w:tcW w:w="2610" w:type="dxa"/>
            <w:shd w:val="clear" w:color="auto" w:fill="FFFFFF" w:themeFill="background1"/>
            <w:hideMark/>
          </w:tcPr>
          <w:p w:rsidR="00440391" w:rsidRPr="003D7778" w:rsidP="00D43E4E" w14:paraId="5E0ED76C"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Program Narrative</w:t>
            </w:r>
          </w:p>
        </w:tc>
        <w:tc>
          <w:tcPr>
            <w:tcW w:w="1075" w:type="dxa"/>
            <w:shd w:val="clear" w:color="auto" w:fill="FFFFFF" w:themeFill="background1"/>
            <w:hideMark/>
          </w:tcPr>
          <w:p w:rsidR="00440391" w:rsidRPr="003D7778" w:rsidP="00D43E4E" w14:paraId="7A6B324E" w14:textId="7802B0CF">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r w:rsidR="00163C6C">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000</w:t>
            </w:r>
          </w:p>
        </w:tc>
        <w:tc>
          <w:tcPr>
            <w:tcW w:w="990" w:type="dxa"/>
            <w:shd w:val="clear" w:color="auto" w:fill="FFFFFF" w:themeFill="background1"/>
            <w:hideMark/>
          </w:tcPr>
          <w:p w:rsidR="00440391" w:rsidRPr="003D7778" w:rsidP="00D43E4E" w14:paraId="7D75E600"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440391" w:rsidRPr="003D7778" w:rsidP="00D43E4E" w14:paraId="2F057E05"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440391" w:rsidRPr="003D7778" w:rsidP="00D43E4E" w14:paraId="00C04E93"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w:t>
            </w:r>
          </w:p>
        </w:tc>
        <w:tc>
          <w:tcPr>
            <w:tcW w:w="720" w:type="dxa"/>
            <w:shd w:val="clear" w:color="auto" w:fill="FFFFFF" w:themeFill="background1"/>
            <w:hideMark/>
          </w:tcPr>
          <w:p w:rsidR="00440391" w:rsidRPr="003D7778" w:rsidP="00D43E4E" w14:paraId="6C931F30"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10000</w:t>
            </w:r>
          </w:p>
        </w:tc>
        <w:tc>
          <w:tcPr>
            <w:tcW w:w="990" w:type="dxa"/>
            <w:shd w:val="clear" w:color="auto" w:fill="FFFFFF" w:themeFill="background1"/>
            <w:hideMark/>
          </w:tcPr>
          <w:p w:rsidR="00440391" w:rsidRPr="003D7778" w:rsidP="00D43E4E" w14:paraId="632060B5" w14:textId="064E3282">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w:t>
            </w:r>
            <w:r w:rsidRPr="003D7778" w:rsidR="62EFA305">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5.14</w:t>
            </w:r>
          </w:p>
        </w:tc>
        <w:tc>
          <w:tcPr>
            <w:tcW w:w="1440" w:type="dxa"/>
            <w:shd w:val="clear" w:color="auto" w:fill="FFFFFF" w:themeFill="background1"/>
            <w:hideMark/>
          </w:tcPr>
          <w:p w:rsidR="00440391" w:rsidRPr="003D7778" w:rsidP="00D43E4E" w14:paraId="6C2AF743" w14:textId="703FABBE">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EF0F17">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451,400</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w:t>
            </w:r>
          </w:p>
        </w:tc>
      </w:tr>
      <w:tr w14:paraId="67723110" w14:textId="77777777" w:rsidTr="005B1F25">
        <w:tblPrEx>
          <w:tblW w:w="10075" w:type="dxa"/>
          <w:shd w:val="clear" w:color="auto" w:fill="FFFFFF" w:themeFill="background1"/>
          <w:tblLayout w:type="fixed"/>
          <w:tblLook w:val="04A0"/>
        </w:tblPrEx>
        <w:trPr>
          <w:trHeight w:val="270"/>
        </w:trPr>
        <w:tc>
          <w:tcPr>
            <w:tcW w:w="2610" w:type="dxa"/>
            <w:shd w:val="clear" w:color="auto" w:fill="FFFFFF" w:themeFill="background1"/>
            <w:hideMark/>
          </w:tcPr>
          <w:p w:rsidR="00440391" w:rsidRPr="003D7778" w:rsidP="00D43E4E" w14:paraId="7F5C0B9A" w14:textId="4859BA7D">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FSS Application</w:t>
            </w:r>
            <w:r w:rsidRPr="003D7778" w:rsidR="00AE77BC">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HUD-52651</w:t>
            </w:r>
          </w:p>
        </w:tc>
        <w:tc>
          <w:tcPr>
            <w:tcW w:w="1075" w:type="dxa"/>
            <w:shd w:val="clear" w:color="auto" w:fill="FFFFFF" w:themeFill="background1"/>
            <w:hideMark/>
          </w:tcPr>
          <w:p w:rsidR="00440391" w:rsidRPr="003D7778" w:rsidP="00D43E4E" w14:paraId="093615B3" w14:textId="1A45E9F1">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r w:rsidR="00163C6C">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000</w:t>
            </w:r>
          </w:p>
        </w:tc>
        <w:tc>
          <w:tcPr>
            <w:tcW w:w="990" w:type="dxa"/>
            <w:shd w:val="clear" w:color="auto" w:fill="FFFFFF" w:themeFill="background1"/>
            <w:hideMark/>
          </w:tcPr>
          <w:p w:rsidR="00440391" w:rsidRPr="003D7778" w:rsidP="00D43E4E" w14:paraId="7AEB2627"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440391" w:rsidRPr="003D7778" w:rsidP="00D43E4E" w14:paraId="2A2393DD"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440391" w:rsidRPr="003D7778" w:rsidP="00D43E4E" w14:paraId="31EC5C21"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.0.5</w:t>
            </w:r>
          </w:p>
        </w:tc>
        <w:tc>
          <w:tcPr>
            <w:tcW w:w="720" w:type="dxa"/>
            <w:shd w:val="clear" w:color="auto" w:fill="FFFFFF" w:themeFill="background1"/>
            <w:hideMark/>
          </w:tcPr>
          <w:p w:rsidR="00440391" w:rsidRPr="003D7778" w:rsidP="00D43E4E" w14:paraId="53972578"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500</w:t>
            </w:r>
          </w:p>
        </w:tc>
        <w:tc>
          <w:tcPr>
            <w:tcW w:w="990" w:type="dxa"/>
            <w:shd w:val="clear" w:color="auto" w:fill="FFFFFF" w:themeFill="background1"/>
            <w:hideMark/>
          </w:tcPr>
          <w:p w:rsidR="00440391" w:rsidRPr="003D7778" w:rsidP="00D43E4E" w14:paraId="6885515F" w14:textId="59963642">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w:t>
            </w:r>
            <w:r w:rsidRPr="003D7778" w:rsidR="7DE6793E">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5.14</w:t>
            </w:r>
          </w:p>
        </w:tc>
        <w:tc>
          <w:tcPr>
            <w:tcW w:w="1440" w:type="dxa"/>
            <w:shd w:val="clear" w:color="auto" w:fill="FFFFFF" w:themeFill="background1"/>
            <w:hideMark/>
          </w:tcPr>
          <w:p w:rsidR="00440391" w:rsidRPr="003D7778" w:rsidP="00D43E4E" w14:paraId="5D8F8F1D" w14:textId="38B2B6E0">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DE450A">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22,570</w:t>
            </w:r>
            <w:r w:rsidRPr="003D7778" w:rsidR="00DE450A">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DE450A">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w:t>
            </w:r>
          </w:p>
        </w:tc>
      </w:tr>
      <w:tr w14:paraId="5838FC2B" w14:textId="77777777" w:rsidTr="005B1F25">
        <w:tblPrEx>
          <w:tblW w:w="10075" w:type="dxa"/>
          <w:shd w:val="clear" w:color="auto" w:fill="FFFFFF" w:themeFill="background1"/>
          <w:tblLayout w:type="fixed"/>
          <w:tblLook w:val="04A0"/>
        </w:tblPrEx>
        <w:trPr>
          <w:trHeight w:val="549"/>
        </w:trPr>
        <w:tc>
          <w:tcPr>
            <w:tcW w:w="2610" w:type="dxa"/>
            <w:shd w:val="clear" w:color="auto" w:fill="FFFFFF" w:themeFill="background1"/>
            <w:hideMark/>
          </w:tcPr>
          <w:p w:rsidR="00163C6C" w:rsidRPr="003D7778" w:rsidP="00163C6C" w14:paraId="49944C31" w14:textId="7A10814C">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Notice of Award and Terms &amp; Conditions** (AKA Grant Agreement)</w:t>
            </w:r>
          </w:p>
        </w:tc>
        <w:tc>
          <w:tcPr>
            <w:tcW w:w="1075" w:type="dxa"/>
            <w:shd w:val="clear" w:color="auto" w:fill="FFFFFF" w:themeFill="background1"/>
            <w:hideMark/>
          </w:tcPr>
          <w:p w:rsidR="00163C6C" w:rsidRPr="003D7778" w:rsidP="00163C6C" w14:paraId="593BD61B" w14:textId="072C7608">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000**</w:t>
            </w:r>
          </w:p>
        </w:tc>
        <w:tc>
          <w:tcPr>
            <w:tcW w:w="990" w:type="dxa"/>
            <w:shd w:val="clear" w:color="auto" w:fill="FFFFFF" w:themeFill="background1"/>
            <w:hideMark/>
          </w:tcPr>
          <w:p w:rsidR="00163C6C" w:rsidRPr="003D7778" w:rsidP="00163C6C" w14:paraId="6791AFA2"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163C6C" w:rsidRPr="003D7778" w:rsidP="00163C6C" w14:paraId="5B0BD448"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163C6C" w:rsidRPr="003D7778" w:rsidP="00163C6C" w14:paraId="6FDBC6B7" w14:textId="42C94AE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720" w:type="dxa"/>
            <w:shd w:val="clear" w:color="auto" w:fill="FFFFFF" w:themeFill="background1"/>
            <w:hideMark/>
          </w:tcPr>
          <w:p w:rsidR="00163C6C" w:rsidRPr="003D7778" w:rsidP="00163C6C" w14:paraId="5D633E49" w14:textId="4638763F">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990" w:type="dxa"/>
            <w:shd w:val="clear" w:color="auto" w:fill="FFFFFF" w:themeFill="background1"/>
            <w:hideMark/>
          </w:tcPr>
          <w:p w:rsidR="00163C6C" w:rsidRPr="003D7778" w:rsidP="00163C6C" w14:paraId="43594E43" w14:textId="1D990EC5">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1440" w:type="dxa"/>
            <w:shd w:val="clear" w:color="auto" w:fill="FFFFFF" w:themeFill="background1"/>
            <w:hideMark/>
          </w:tcPr>
          <w:p w:rsidR="00163C6C" w:rsidRPr="003D7778" w:rsidP="00163C6C" w14:paraId="541C2EB7" w14:textId="6E069786">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r>
      <w:tr w14:paraId="2B7C5F7A" w14:textId="77777777" w:rsidTr="00910496">
        <w:tblPrEx>
          <w:tblW w:w="10075" w:type="dxa"/>
          <w:shd w:val="clear" w:color="auto" w:fill="FFFFFF" w:themeFill="background1"/>
          <w:tblLayout w:type="fixed"/>
          <w:tblLook w:val="04A0"/>
        </w:tblPrEx>
        <w:trPr>
          <w:trHeight w:val="225"/>
        </w:trPr>
        <w:tc>
          <w:tcPr>
            <w:tcW w:w="10075" w:type="dxa"/>
            <w:gridSpan w:val="8"/>
            <w:hideMark/>
          </w:tcPr>
          <w:p w:rsidR="00440391" w:rsidRPr="00910496" w:rsidP="00D43E4E" w14:paraId="1D2EE7B9" w14:textId="77777777">
            <w:pPr>
              <w:shd w:val="clear" w:color="auto" w:fill="FFFFFF" w:themeFill="background1"/>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Implementation</w:t>
            </w:r>
          </w:p>
        </w:tc>
      </w:tr>
      <w:tr w14:paraId="4DF51E91" w14:textId="77777777" w:rsidTr="005B1F25">
        <w:tblPrEx>
          <w:tblW w:w="10075" w:type="dxa"/>
          <w:shd w:val="clear" w:color="auto" w:fill="FFFFFF" w:themeFill="background1"/>
          <w:tblLayout w:type="fixed"/>
          <w:tblLook w:val="04A0"/>
        </w:tblPrEx>
        <w:trPr>
          <w:trHeight w:val="432"/>
        </w:trPr>
        <w:tc>
          <w:tcPr>
            <w:tcW w:w="2610" w:type="dxa"/>
            <w:shd w:val="clear" w:color="auto" w:fill="FFFFFF" w:themeFill="background1"/>
            <w:hideMark/>
          </w:tcPr>
          <w:p w:rsidR="00440391" w:rsidRPr="003D7778" w:rsidP="00D43E4E" w14:paraId="5D6798CB"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FSS Action Plan-New Grantees (if grants to new entities are made)</w:t>
            </w:r>
          </w:p>
        </w:tc>
        <w:tc>
          <w:tcPr>
            <w:tcW w:w="1075" w:type="dxa"/>
            <w:shd w:val="clear" w:color="auto" w:fill="FFFFFF" w:themeFill="background1"/>
            <w:hideMark/>
          </w:tcPr>
          <w:p w:rsidR="00440391" w:rsidRPr="003D7778" w:rsidP="00D43E4E" w14:paraId="6A5D9CE7"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200</w:t>
            </w:r>
          </w:p>
        </w:tc>
        <w:tc>
          <w:tcPr>
            <w:tcW w:w="990" w:type="dxa"/>
            <w:shd w:val="clear" w:color="auto" w:fill="FFFFFF" w:themeFill="background1"/>
            <w:hideMark/>
          </w:tcPr>
          <w:p w:rsidR="00440391" w:rsidRPr="003D7778" w:rsidP="00D43E4E" w14:paraId="24593F1C"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440391" w:rsidRPr="003D7778" w:rsidP="00D43E4E" w14:paraId="0ED6CBF3"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200</w:t>
            </w:r>
          </w:p>
        </w:tc>
        <w:tc>
          <w:tcPr>
            <w:tcW w:w="990" w:type="dxa"/>
            <w:shd w:val="clear" w:color="auto" w:fill="FFFFFF" w:themeFill="background1"/>
            <w:hideMark/>
          </w:tcPr>
          <w:p w:rsidR="00440391" w:rsidRPr="003D7778" w:rsidP="00D43E4E" w14:paraId="615AD449"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w:t>
            </w:r>
          </w:p>
        </w:tc>
        <w:tc>
          <w:tcPr>
            <w:tcW w:w="720" w:type="dxa"/>
            <w:shd w:val="clear" w:color="auto" w:fill="FFFFFF" w:themeFill="background1"/>
            <w:hideMark/>
          </w:tcPr>
          <w:p w:rsidR="00440391" w:rsidRPr="003D7778" w:rsidP="00D43E4E" w14:paraId="748ED865"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2000</w:t>
            </w:r>
          </w:p>
        </w:tc>
        <w:tc>
          <w:tcPr>
            <w:tcW w:w="990" w:type="dxa"/>
            <w:shd w:val="clear" w:color="auto" w:fill="FFFFFF" w:themeFill="background1"/>
            <w:hideMark/>
          </w:tcPr>
          <w:p w:rsidR="00440391" w:rsidRPr="003D7778" w:rsidP="00D43E4E" w14:paraId="27109FC4" w14:textId="63BAA270">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w:t>
            </w:r>
            <w:r w:rsidRPr="003D7778" w:rsidR="3DD4374C">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5.14</w:t>
            </w:r>
          </w:p>
        </w:tc>
        <w:tc>
          <w:tcPr>
            <w:tcW w:w="1440" w:type="dxa"/>
            <w:shd w:val="clear" w:color="auto" w:fill="FFFFFF" w:themeFill="background1"/>
            <w:hideMark/>
          </w:tcPr>
          <w:p w:rsidR="00440391" w:rsidRPr="003D7778" w:rsidP="00D43E4E" w14:paraId="43CDEC75" w14:textId="3031253C">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CF18A7">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90,280</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w:t>
            </w:r>
          </w:p>
        </w:tc>
      </w:tr>
      <w:tr w14:paraId="63D44FF2" w14:textId="77777777" w:rsidTr="005B1F25">
        <w:tblPrEx>
          <w:tblW w:w="10075" w:type="dxa"/>
          <w:shd w:val="clear" w:color="auto" w:fill="FFFFFF" w:themeFill="background1"/>
          <w:tblLayout w:type="fixed"/>
          <w:tblLook w:val="04A0"/>
        </w:tblPrEx>
        <w:trPr>
          <w:trHeight w:val="459"/>
        </w:trPr>
        <w:tc>
          <w:tcPr>
            <w:tcW w:w="2610" w:type="dxa"/>
            <w:shd w:val="clear" w:color="auto" w:fill="FFFFFF" w:themeFill="background1"/>
            <w:hideMark/>
          </w:tcPr>
          <w:p w:rsidR="00440391" w:rsidRPr="003D7778" w:rsidP="00D43E4E" w14:paraId="4FA28741"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Contract of Participation</w:t>
            </w:r>
          </w:p>
          <w:p w:rsidR="00440391" w:rsidRPr="003D7778" w:rsidP="00D43E4E" w14:paraId="292B95A4"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HUD-52650</w:t>
            </w:r>
          </w:p>
        </w:tc>
        <w:tc>
          <w:tcPr>
            <w:tcW w:w="1075" w:type="dxa"/>
            <w:shd w:val="clear" w:color="auto" w:fill="FFFFFF" w:themeFill="background1"/>
            <w:hideMark/>
          </w:tcPr>
          <w:p w:rsidR="00440391" w:rsidRPr="003D7778" w:rsidP="00D43E4E" w14:paraId="081883EE"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440391" w:rsidRPr="003D7778" w:rsidP="00D43E4E" w14:paraId="2F8A02A6"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25</w:t>
            </w:r>
          </w:p>
        </w:tc>
        <w:tc>
          <w:tcPr>
            <w:tcW w:w="1260" w:type="dxa"/>
            <w:shd w:val="clear" w:color="auto" w:fill="FFFFFF" w:themeFill="background1"/>
            <w:hideMark/>
          </w:tcPr>
          <w:p w:rsidR="00440391" w:rsidRPr="003D7778" w:rsidP="00D43E4E" w14:paraId="5C947531"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25000</w:t>
            </w:r>
          </w:p>
        </w:tc>
        <w:tc>
          <w:tcPr>
            <w:tcW w:w="990" w:type="dxa"/>
            <w:shd w:val="clear" w:color="auto" w:fill="FFFFFF" w:themeFill="background1"/>
            <w:hideMark/>
          </w:tcPr>
          <w:p w:rsidR="00440391" w:rsidRPr="003D7778" w:rsidP="00D43E4E" w14:paraId="4660BF4D"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720" w:type="dxa"/>
            <w:shd w:val="clear" w:color="auto" w:fill="FFFFFF" w:themeFill="background1"/>
            <w:hideMark/>
          </w:tcPr>
          <w:p w:rsidR="00440391" w:rsidRPr="003D7778" w:rsidP="00D43E4E" w14:paraId="0897D966"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25000</w:t>
            </w:r>
          </w:p>
        </w:tc>
        <w:tc>
          <w:tcPr>
            <w:tcW w:w="990" w:type="dxa"/>
            <w:shd w:val="clear" w:color="auto" w:fill="FFFFFF" w:themeFill="background1"/>
            <w:hideMark/>
          </w:tcPr>
          <w:p w:rsidR="00440391" w:rsidRPr="003D7778" w:rsidP="00D43E4E" w14:paraId="447BCB29" w14:textId="0DF2AE3E">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w:t>
            </w:r>
            <w:r w:rsidRPr="003D7778" w:rsidR="7EFF66DF">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5.14</w:t>
            </w:r>
          </w:p>
        </w:tc>
        <w:tc>
          <w:tcPr>
            <w:tcW w:w="1440" w:type="dxa"/>
            <w:shd w:val="clear" w:color="auto" w:fill="FFFFFF" w:themeFill="background1"/>
            <w:hideMark/>
          </w:tcPr>
          <w:p w:rsidR="00440391" w:rsidRPr="003D7778" w:rsidP="00D43E4E" w14:paraId="5C2DCB12" w14:textId="23316FC1">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8058B4">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r w:rsidRPr="003D7778" w:rsidR="008058B4">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128</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,500.00</w:t>
            </w:r>
          </w:p>
        </w:tc>
      </w:tr>
      <w:tr w14:paraId="63D3740A" w14:textId="77777777" w:rsidTr="005B1F25">
        <w:tblPrEx>
          <w:tblW w:w="10075" w:type="dxa"/>
          <w:shd w:val="clear" w:color="auto" w:fill="FFFFFF" w:themeFill="background1"/>
          <w:tblLayout w:type="fixed"/>
          <w:tblLook w:val="04A0"/>
        </w:tblPrEx>
        <w:trPr>
          <w:trHeight w:val="270"/>
        </w:trPr>
        <w:tc>
          <w:tcPr>
            <w:tcW w:w="2610" w:type="dxa"/>
            <w:shd w:val="clear" w:color="auto" w:fill="FFFFFF" w:themeFill="background1"/>
            <w:hideMark/>
          </w:tcPr>
          <w:p w:rsidR="00440391" w:rsidRPr="003D7778" w:rsidP="00D43E4E" w14:paraId="630BF205"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Cooperative Agreements</w:t>
            </w:r>
          </w:p>
        </w:tc>
        <w:tc>
          <w:tcPr>
            <w:tcW w:w="1075" w:type="dxa"/>
            <w:shd w:val="clear" w:color="auto" w:fill="FFFFFF" w:themeFill="background1"/>
            <w:hideMark/>
          </w:tcPr>
          <w:p w:rsidR="00440391" w:rsidRPr="003D7778" w:rsidP="00D43E4E" w14:paraId="5C50945D"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250</w:t>
            </w:r>
          </w:p>
        </w:tc>
        <w:tc>
          <w:tcPr>
            <w:tcW w:w="990" w:type="dxa"/>
            <w:shd w:val="clear" w:color="auto" w:fill="FFFFFF" w:themeFill="background1"/>
            <w:hideMark/>
          </w:tcPr>
          <w:p w:rsidR="00440391" w:rsidRPr="003D7778" w:rsidP="00D43E4E" w14:paraId="1A5898DE"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440391" w:rsidRPr="003D7778" w:rsidP="00D43E4E" w14:paraId="53ED3166"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250</w:t>
            </w:r>
          </w:p>
        </w:tc>
        <w:tc>
          <w:tcPr>
            <w:tcW w:w="990" w:type="dxa"/>
            <w:shd w:val="clear" w:color="auto" w:fill="FFFFFF" w:themeFill="background1"/>
            <w:hideMark/>
          </w:tcPr>
          <w:p w:rsidR="00440391" w:rsidRPr="003D7778" w:rsidP="00D43E4E" w14:paraId="4D8CEB19"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w:t>
            </w:r>
          </w:p>
        </w:tc>
        <w:tc>
          <w:tcPr>
            <w:tcW w:w="720" w:type="dxa"/>
            <w:shd w:val="clear" w:color="auto" w:fill="FFFFFF" w:themeFill="background1"/>
            <w:hideMark/>
          </w:tcPr>
          <w:p w:rsidR="00440391" w:rsidRPr="003D7778" w:rsidP="00D43E4E" w14:paraId="3223FE24"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500</w:t>
            </w:r>
          </w:p>
        </w:tc>
        <w:tc>
          <w:tcPr>
            <w:tcW w:w="990" w:type="dxa"/>
            <w:shd w:val="clear" w:color="auto" w:fill="FFFFFF" w:themeFill="background1"/>
            <w:hideMark/>
          </w:tcPr>
          <w:p w:rsidR="00440391" w:rsidRPr="003D7778" w:rsidP="00D43E4E" w14:paraId="29D97FAD" w14:textId="2EEB8E2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w:t>
            </w:r>
            <w:r w:rsidRPr="003D7778" w:rsidR="1019E1CA">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5.14</w:t>
            </w:r>
          </w:p>
        </w:tc>
        <w:tc>
          <w:tcPr>
            <w:tcW w:w="1440" w:type="dxa"/>
            <w:shd w:val="clear" w:color="auto" w:fill="FFFFFF" w:themeFill="background1"/>
            <w:hideMark/>
          </w:tcPr>
          <w:p w:rsidR="00440391" w:rsidRPr="003D7778" w:rsidP="00D43E4E" w14:paraId="1803C619" w14:textId="5E934DD6">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95151D">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22,570</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.00</w:t>
            </w:r>
          </w:p>
        </w:tc>
      </w:tr>
      <w:tr w14:paraId="2BC894A4" w14:textId="77777777" w:rsidTr="00910496">
        <w:tblPrEx>
          <w:tblW w:w="10075" w:type="dxa"/>
          <w:shd w:val="clear" w:color="auto" w:fill="FFFFFF" w:themeFill="background1"/>
          <w:tblLayout w:type="fixed"/>
          <w:tblLook w:val="04A0"/>
        </w:tblPrEx>
        <w:trPr>
          <w:trHeight w:val="270"/>
        </w:trPr>
        <w:tc>
          <w:tcPr>
            <w:tcW w:w="10075" w:type="dxa"/>
            <w:gridSpan w:val="8"/>
          </w:tcPr>
          <w:p w:rsidR="00910496" w:rsidRPr="00910496" w:rsidP="00D43E4E" w14:paraId="2409ECA7" w14:textId="415FDE63">
            <w:pPr>
              <w:shd w:val="clear" w:color="auto" w:fill="FFFFFF" w:themeFill="background1"/>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Reporting</w:t>
            </w:r>
          </w:p>
        </w:tc>
      </w:tr>
      <w:tr w14:paraId="19EF9CF8" w14:textId="77777777" w:rsidTr="005B1F25">
        <w:tblPrEx>
          <w:tblW w:w="10075" w:type="dxa"/>
          <w:shd w:val="clear" w:color="auto" w:fill="FFFFFF" w:themeFill="background1"/>
          <w:tblLayout w:type="fixed"/>
          <w:tblLook w:val="04A0"/>
        </w:tblPrEx>
        <w:trPr>
          <w:trHeight w:val="465"/>
        </w:trPr>
        <w:tc>
          <w:tcPr>
            <w:tcW w:w="2610" w:type="dxa"/>
            <w:shd w:val="clear" w:color="auto" w:fill="FFFFFF" w:themeFill="background1"/>
            <w:hideMark/>
          </w:tcPr>
          <w:p w:rsidR="00440391" w:rsidRPr="003D7778" w:rsidP="00D43E4E" w14:paraId="101C4B1E" w14:textId="39CAB73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FSS </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Annual Survey</w:t>
            </w:r>
          </w:p>
          <w:p w:rsidR="00440391" w:rsidRPr="003D7778" w:rsidP="00D43E4E" w14:paraId="287A6862"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HUD-52651-C</w:t>
            </w:r>
          </w:p>
        </w:tc>
        <w:tc>
          <w:tcPr>
            <w:tcW w:w="1075" w:type="dxa"/>
            <w:shd w:val="clear" w:color="auto" w:fill="FFFFFF" w:themeFill="background1"/>
            <w:hideMark/>
          </w:tcPr>
          <w:p w:rsidR="00440391" w:rsidRPr="003D7778" w:rsidP="00D43E4E" w14:paraId="7B035110"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440391" w:rsidRPr="003D7778" w:rsidP="00D43E4E" w14:paraId="4949CE5E"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440391" w:rsidRPr="003D7778" w:rsidP="00D43E4E" w14:paraId="2F7EDA38"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440391" w:rsidRPr="003D7778" w:rsidP="00D43E4E" w14:paraId="308669AA"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720" w:type="dxa"/>
            <w:shd w:val="clear" w:color="auto" w:fill="FFFFFF" w:themeFill="background1"/>
            <w:hideMark/>
          </w:tcPr>
          <w:p w:rsidR="00440391" w:rsidRPr="003D7778" w:rsidP="00D43E4E" w14:paraId="2F907800"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440391" w:rsidRPr="003D7778" w:rsidP="00D43E4E" w14:paraId="5458584A" w14:textId="7B203CE2">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w:t>
            </w:r>
            <w:r w:rsidRPr="003D7778" w:rsidR="76BBB70C">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5.14</w:t>
            </w:r>
          </w:p>
        </w:tc>
        <w:tc>
          <w:tcPr>
            <w:tcW w:w="1440" w:type="dxa"/>
            <w:shd w:val="clear" w:color="auto" w:fill="FFFFFF" w:themeFill="background1"/>
            <w:hideMark/>
          </w:tcPr>
          <w:p w:rsidR="00440391" w:rsidRPr="003D7778" w:rsidP="00D43E4E" w14:paraId="5C3FE2E0" w14:textId="36A3062E">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D82EDD">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45,140</w:t>
            </w:r>
          </w:p>
        </w:tc>
      </w:tr>
      <w:tr w14:paraId="5629FAD2" w14:textId="77777777" w:rsidTr="005B1F25">
        <w:tblPrEx>
          <w:tblW w:w="10075" w:type="dxa"/>
          <w:shd w:val="clear" w:color="auto" w:fill="FFFFFF" w:themeFill="background1"/>
          <w:tblLayout w:type="fixed"/>
          <w:tblLook w:val="04A0"/>
        </w:tblPrEx>
        <w:trPr>
          <w:trHeight w:val="690"/>
        </w:trPr>
        <w:tc>
          <w:tcPr>
            <w:tcW w:w="2610" w:type="dxa"/>
            <w:shd w:val="clear" w:color="auto" w:fill="FFFFFF" w:themeFill="background1"/>
            <w:hideMark/>
          </w:tcPr>
          <w:p w:rsidR="00163C6C" w:rsidRPr="003D7778" w:rsidP="00163C6C" w14:paraId="186597A9"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Form HUD-50058 – Family Report (standard, MTW and MTW-expansion)</w:t>
            </w:r>
          </w:p>
          <w:p w:rsidR="00163C6C" w:rsidRPr="003D7778" w:rsidP="00163C6C" w14:paraId="0C77DF67"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OMB No. 2577-0083</w:t>
            </w:r>
          </w:p>
        </w:tc>
        <w:tc>
          <w:tcPr>
            <w:tcW w:w="1075" w:type="dxa"/>
            <w:shd w:val="clear" w:color="auto" w:fill="FFFFFF" w:themeFill="background1"/>
            <w:hideMark/>
          </w:tcPr>
          <w:p w:rsidR="00163C6C" w:rsidRPr="003D7778" w:rsidP="00163C6C" w14:paraId="6DC21DF3"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800*</w:t>
            </w:r>
          </w:p>
        </w:tc>
        <w:tc>
          <w:tcPr>
            <w:tcW w:w="990" w:type="dxa"/>
            <w:shd w:val="clear" w:color="auto" w:fill="FFFFFF" w:themeFill="background1"/>
            <w:hideMark/>
          </w:tcPr>
          <w:p w:rsidR="00163C6C" w:rsidRPr="003D7778" w:rsidP="00163C6C" w14:paraId="4B03E192"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w:t>
            </w:r>
          </w:p>
        </w:tc>
        <w:tc>
          <w:tcPr>
            <w:tcW w:w="1260" w:type="dxa"/>
            <w:shd w:val="clear" w:color="auto" w:fill="FFFFFF" w:themeFill="background1"/>
            <w:hideMark/>
          </w:tcPr>
          <w:p w:rsidR="00163C6C" w:rsidRPr="003D7778" w:rsidP="00163C6C" w14:paraId="6EF18643"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80000*</w:t>
            </w:r>
          </w:p>
        </w:tc>
        <w:tc>
          <w:tcPr>
            <w:tcW w:w="990" w:type="dxa"/>
            <w:shd w:val="clear" w:color="auto" w:fill="FFFFFF" w:themeFill="background1"/>
            <w:hideMark/>
          </w:tcPr>
          <w:p w:rsidR="00163C6C" w:rsidRPr="003D7778" w:rsidP="00163C6C" w14:paraId="42B8AB94" w14:textId="0414BF7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720" w:type="dxa"/>
            <w:shd w:val="clear" w:color="auto" w:fill="FFFFFF" w:themeFill="background1"/>
            <w:hideMark/>
          </w:tcPr>
          <w:p w:rsidR="00163C6C" w:rsidRPr="003D7778" w:rsidP="00163C6C" w14:paraId="419B34B1" w14:textId="239181CA">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990" w:type="dxa"/>
            <w:shd w:val="clear" w:color="auto" w:fill="FFFFFF" w:themeFill="background1"/>
            <w:hideMark/>
          </w:tcPr>
          <w:p w:rsidR="00163C6C" w:rsidRPr="003D7778" w:rsidP="00163C6C" w14:paraId="7A4141AA" w14:textId="75A76CFA">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1440" w:type="dxa"/>
            <w:shd w:val="clear" w:color="auto" w:fill="FFFFFF" w:themeFill="background1"/>
            <w:hideMark/>
          </w:tcPr>
          <w:p w:rsidR="00163C6C" w:rsidRPr="003D7778" w:rsidP="00163C6C" w14:paraId="34810F05" w14:textId="05B9077C">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r>
      <w:tr w14:paraId="41509373" w14:textId="77777777" w:rsidTr="005B1F25">
        <w:tblPrEx>
          <w:tblW w:w="10075" w:type="dxa"/>
          <w:shd w:val="clear" w:color="auto" w:fill="FFFFFF" w:themeFill="background1"/>
          <w:tblLayout w:type="fixed"/>
          <w:tblLook w:val="04A0"/>
        </w:tblPrEx>
        <w:trPr>
          <w:trHeight w:val="360"/>
        </w:trPr>
        <w:tc>
          <w:tcPr>
            <w:tcW w:w="2610" w:type="dxa"/>
            <w:shd w:val="clear" w:color="auto" w:fill="FFFFFF" w:themeFill="background1"/>
            <w:hideMark/>
          </w:tcPr>
          <w:p w:rsidR="00440391" w:rsidRPr="003D7778" w:rsidP="00D43E4E" w14:paraId="2388397C" w14:textId="234B3A42">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bookmarkStart w:id="1" w:name="_Hlk206659888"/>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FSS </w:t>
            </w: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Monitoring Review Self-Assessment Checklist </w:t>
            </w:r>
            <w:bookmarkEnd w:id="1"/>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HUD-52651-B</w:t>
            </w:r>
          </w:p>
        </w:tc>
        <w:tc>
          <w:tcPr>
            <w:tcW w:w="1075" w:type="dxa"/>
            <w:shd w:val="clear" w:color="auto" w:fill="FFFFFF" w:themeFill="background1"/>
            <w:hideMark/>
          </w:tcPr>
          <w:p w:rsidR="00440391" w:rsidRPr="003D7778" w:rsidP="00D43E4E" w14:paraId="3C1212CE"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800</w:t>
            </w:r>
          </w:p>
        </w:tc>
        <w:tc>
          <w:tcPr>
            <w:tcW w:w="990" w:type="dxa"/>
            <w:shd w:val="clear" w:color="auto" w:fill="FFFFFF" w:themeFill="background1"/>
            <w:hideMark/>
          </w:tcPr>
          <w:p w:rsidR="00440391" w:rsidRPr="003D7778" w:rsidP="00D43E4E" w14:paraId="1C682AA0"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0.2</w:t>
            </w:r>
          </w:p>
        </w:tc>
        <w:tc>
          <w:tcPr>
            <w:tcW w:w="1260" w:type="dxa"/>
            <w:shd w:val="clear" w:color="auto" w:fill="FFFFFF" w:themeFill="background1"/>
            <w:hideMark/>
          </w:tcPr>
          <w:p w:rsidR="00440391" w:rsidRPr="003D7778" w:rsidP="00D43E4E" w14:paraId="63380208"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160</w:t>
            </w:r>
          </w:p>
        </w:tc>
        <w:tc>
          <w:tcPr>
            <w:tcW w:w="990" w:type="dxa"/>
            <w:shd w:val="clear" w:color="auto" w:fill="FFFFFF" w:themeFill="background1"/>
            <w:hideMark/>
          </w:tcPr>
          <w:p w:rsidR="00440391" w:rsidRPr="003D7778" w:rsidP="00D43E4E" w14:paraId="76B2D8CD"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w:t>
            </w:r>
          </w:p>
        </w:tc>
        <w:tc>
          <w:tcPr>
            <w:tcW w:w="720" w:type="dxa"/>
            <w:shd w:val="clear" w:color="auto" w:fill="FFFFFF" w:themeFill="background1"/>
            <w:hideMark/>
          </w:tcPr>
          <w:p w:rsidR="00440391" w:rsidRPr="003D7778" w:rsidP="00D43E4E" w14:paraId="46341FE4"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320</w:t>
            </w:r>
          </w:p>
        </w:tc>
        <w:tc>
          <w:tcPr>
            <w:tcW w:w="990" w:type="dxa"/>
            <w:shd w:val="clear" w:color="auto" w:fill="FFFFFF" w:themeFill="background1"/>
            <w:hideMark/>
          </w:tcPr>
          <w:p w:rsidR="00440391" w:rsidRPr="003D7778" w:rsidP="00D43E4E" w14:paraId="58B84B90" w14:textId="35D50C30">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w:t>
            </w:r>
            <w:r w:rsidRPr="003D7778" w:rsidR="0EE74F37">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5.14</w:t>
            </w:r>
          </w:p>
        </w:tc>
        <w:tc>
          <w:tcPr>
            <w:tcW w:w="1440" w:type="dxa"/>
            <w:shd w:val="clear" w:color="auto" w:fill="FFFFFF" w:themeFill="background1"/>
            <w:hideMark/>
          </w:tcPr>
          <w:p w:rsidR="00440391" w:rsidRPr="003D7778" w:rsidP="00D43E4E" w14:paraId="3137B612" w14:textId="54266BD2">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416DFC">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14</w:t>
            </w:r>
            <w:r w:rsidRPr="003D7778" w:rsidR="00A406CA">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,444.80</w:t>
            </w:r>
          </w:p>
        </w:tc>
      </w:tr>
      <w:tr w14:paraId="60F72C05" w14:textId="77777777" w:rsidTr="005B1F25">
        <w:tblPrEx>
          <w:tblW w:w="10075" w:type="dxa"/>
          <w:shd w:val="clear" w:color="auto" w:fill="FFFFFF" w:themeFill="background1"/>
          <w:tblLayout w:type="fixed"/>
          <w:tblLook w:val="04A0"/>
        </w:tblPrEx>
        <w:trPr>
          <w:trHeight w:val="450"/>
        </w:trPr>
        <w:tc>
          <w:tcPr>
            <w:tcW w:w="2610" w:type="dxa"/>
            <w:shd w:val="clear" w:color="auto" w:fill="FFFFFF" w:themeFill="background1"/>
            <w:hideMark/>
          </w:tcPr>
          <w:p w:rsidR="00440391" w:rsidRPr="003D7778" w:rsidP="00D43E4E" w14:paraId="4B35847C" w14:textId="078A8A66">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PBRA FSS Reporting</w:t>
            </w:r>
            <w:r w:rsidR="0060245C">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Tool</w:t>
            </w:r>
          </w:p>
          <w:p w:rsidR="00440391" w:rsidRPr="003D7778" w:rsidP="00D43E4E" w14:paraId="5F285D7D" w14:textId="47DA3C5E">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HUD-</w:t>
            </w:r>
            <w:r w:rsidR="00195153">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52653</w:t>
            </w:r>
          </w:p>
        </w:tc>
        <w:tc>
          <w:tcPr>
            <w:tcW w:w="1075" w:type="dxa"/>
            <w:shd w:val="clear" w:color="auto" w:fill="FFFFFF" w:themeFill="background1"/>
            <w:hideMark/>
          </w:tcPr>
          <w:p w:rsidR="00440391" w:rsidRPr="003D7778" w:rsidP="00D43E4E" w14:paraId="2A977973"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200</w:t>
            </w:r>
          </w:p>
        </w:tc>
        <w:tc>
          <w:tcPr>
            <w:tcW w:w="990" w:type="dxa"/>
            <w:shd w:val="clear" w:color="auto" w:fill="FFFFFF" w:themeFill="background1"/>
            <w:hideMark/>
          </w:tcPr>
          <w:p w:rsidR="00440391" w:rsidRPr="003D7778" w:rsidP="00D43E4E" w14:paraId="101AFFFB"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440391" w:rsidRPr="003D7778" w:rsidP="00D43E4E" w14:paraId="76DAF36E"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200</w:t>
            </w:r>
          </w:p>
        </w:tc>
        <w:tc>
          <w:tcPr>
            <w:tcW w:w="990" w:type="dxa"/>
            <w:shd w:val="clear" w:color="auto" w:fill="FFFFFF" w:themeFill="background1"/>
            <w:hideMark/>
          </w:tcPr>
          <w:p w:rsidR="00440391" w:rsidRPr="003D7778" w:rsidP="00D43E4E" w14:paraId="48B9CC74"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720" w:type="dxa"/>
            <w:shd w:val="clear" w:color="auto" w:fill="FFFFFF" w:themeFill="background1"/>
            <w:hideMark/>
          </w:tcPr>
          <w:p w:rsidR="00440391" w:rsidRPr="003D7778" w:rsidP="00D43E4E" w14:paraId="1AE563F9"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200</w:t>
            </w:r>
          </w:p>
        </w:tc>
        <w:tc>
          <w:tcPr>
            <w:tcW w:w="990" w:type="dxa"/>
            <w:shd w:val="clear" w:color="auto" w:fill="FFFFFF" w:themeFill="background1"/>
            <w:hideMark/>
          </w:tcPr>
          <w:p w:rsidR="00440391" w:rsidRPr="003D7778" w:rsidP="00D43E4E" w14:paraId="6D38F529" w14:textId="65F66906">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$4</w:t>
            </w:r>
            <w:r w:rsidRPr="003D7778" w:rsidR="28F6AD5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5.14</w:t>
            </w:r>
          </w:p>
        </w:tc>
        <w:tc>
          <w:tcPr>
            <w:tcW w:w="1440" w:type="dxa"/>
            <w:shd w:val="clear" w:color="auto" w:fill="FFFFFF" w:themeFill="background1"/>
            <w:hideMark/>
          </w:tcPr>
          <w:p w:rsidR="00440391" w:rsidRPr="003D7778" w:rsidP="00D43E4E" w14:paraId="3D221E74" w14:textId="7DC86A42">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w:t>
            </w:r>
            <w:r w:rsidRPr="003D7778" w:rsidR="00A859AE">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9,028.00</w:t>
            </w:r>
          </w:p>
        </w:tc>
      </w:tr>
      <w:tr w14:paraId="562A129C" w14:textId="77777777" w:rsidTr="005B1F25">
        <w:tblPrEx>
          <w:tblW w:w="10075" w:type="dxa"/>
          <w:shd w:val="clear" w:color="auto" w:fill="FFFFFF" w:themeFill="background1"/>
          <w:tblLayout w:type="fixed"/>
          <w:tblLook w:val="04A0"/>
        </w:tblPrEx>
        <w:trPr>
          <w:trHeight w:val="360"/>
        </w:trPr>
        <w:tc>
          <w:tcPr>
            <w:tcW w:w="2610" w:type="dxa"/>
            <w:shd w:val="clear" w:color="auto" w:fill="FFFFFF" w:themeFill="background1"/>
            <w:hideMark/>
          </w:tcPr>
          <w:p w:rsidR="00163C6C" w:rsidRPr="003D7778" w:rsidP="00163C6C" w14:paraId="05609A88"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SF-425 Federal Financial Report*</w:t>
            </w:r>
          </w:p>
          <w:p w:rsidR="00163C6C" w:rsidRPr="003D7778" w:rsidP="00163C6C" w14:paraId="6614F74B" w14:textId="77777777">
            <w:pPr>
              <w:shd w:val="clear" w:color="auto" w:fill="FFFFFF" w:themeFill="background1"/>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OMB No. 4040-0014</w:t>
            </w:r>
          </w:p>
        </w:tc>
        <w:tc>
          <w:tcPr>
            <w:tcW w:w="1075" w:type="dxa"/>
            <w:shd w:val="clear" w:color="auto" w:fill="FFFFFF" w:themeFill="background1"/>
            <w:hideMark/>
          </w:tcPr>
          <w:p w:rsidR="00163C6C" w:rsidRPr="003D7778" w:rsidP="00163C6C" w14:paraId="4D5FF8AC"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163C6C" w:rsidRPr="003D7778" w:rsidP="00163C6C" w14:paraId="75D3C50F"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p>
        </w:tc>
        <w:tc>
          <w:tcPr>
            <w:tcW w:w="1260" w:type="dxa"/>
            <w:shd w:val="clear" w:color="auto" w:fill="FFFFFF" w:themeFill="background1"/>
            <w:hideMark/>
          </w:tcPr>
          <w:p w:rsidR="00163C6C" w:rsidRPr="003D7778" w:rsidP="00163C6C" w14:paraId="583BC3D6" w14:textId="7777777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3D7778">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1000*</w:t>
            </w:r>
          </w:p>
        </w:tc>
        <w:tc>
          <w:tcPr>
            <w:tcW w:w="990" w:type="dxa"/>
            <w:shd w:val="clear" w:color="auto" w:fill="FFFFFF" w:themeFill="background1"/>
            <w:hideMark/>
          </w:tcPr>
          <w:p w:rsidR="00163C6C" w:rsidRPr="003D7778" w:rsidP="00163C6C" w14:paraId="07D4DE75" w14:textId="2815CAE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720" w:type="dxa"/>
            <w:shd w:val="clear" w:color="auto" w:fill="FFFFFF" w:themeFill="background1"/>
            <w:hideMark/>
          </w:tcPr>
          <w:p w:rsidR="00163C6C" w:rsidRPr="003D7778" w:rsidP="00163C6C" w14:paraId="0C66EFB2" w14:textId="6DDF9697">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990" w:type="dxa"/>
            <w:shd w:val="clear" w:color="auto" w:fill="FFFFFF" w:themeFill="background1"/>
            <w:hideMark/>
          </w:tcPr>
          <w:p w:rsidR="00163C6C" w:rsidRPr="003D7778" w:rsidP="00163C6C" w14:paraId="64063430" w14:textId="00A47A9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c>
          <w:tcPr>
            <w:tcW w:w="1440" w:type="dxa"/>
            <w:shd w:val="clear" w:color="auto" w:fill="FFFFFF" w:themeFill="background1"/>
            <w:hideMark/>
          </w:tcPr>
          <w:p w:rsidR="00163C6C" w:rsidRPr="003D7778" w:rsidP="00163C6C" w14:paraId="5D0CFBF0" w14:textId="4AE508BD">
            <w:pPr>
              <w:shd w:val="clear" w:color="auto" w:fill="FFFFFF" w:themeFill="background1"/>
              <w:jc w:val="cente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0</w:t>
            </w:r>
          </w:p>
        </w:tc>
      </w:tr>
      <w:tr w14:paraId="08B83668" w14:textId="77777777" w:rsidTr="00910496">
        <w:tblPrEx>
          <w:tblW w:w="10075" w:type="dxa"/>
          <w:shd w:val="clear" w:color="auto" w:fill="FFFFFF" w:themeFill="background1"/>
          <w:tblLayout w:type="fixed"/>
          <w:tblLook w:val="04A0"/>
        </w:tblPrEx>
        <w:trPr>
          <w:trHeight w:val="225"/>
        </w:trPr>
        <w:tc>
          <w:tcPr>
            <w:tcW w:w="2610" w:type="dxa"/>
            <w:shd w:val="clear" w:color="auto" w:fill="D1D1D1" w:themeFill="background2" w:themeFillShade="E6"/>
            <w:hideMark/>
          </w:tcPr>
          <w:p w:rsidR="00440391" w:rsidRPr="00910496" w14:paraId="2718BE25" w14:textId="77777777">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Total</w:t>
            </w:r>
          </w:p>
        </w:tc>
        <w:tc>
          <w:tcPr>
            <w:tcW w:w="1075" w:type="dxa"/>
            <w:shd w:val="clear" w:color="auto" w:fill="D1D1D1" w:themeFill="background2" w:themeFillShade="E6"/>
            <w:hideMark/>
          </w:tcPr>
          <w:p w:rsidR="00440391" w:rsidRPr="00910496" w14:paraId="7B435240" w14:textId="77777777">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5,450</w:t>
            </w:r>
          </w:p>
        </w:tc>
        <w:tc>
          <w:tcPr>
            <w:tcW w:w="990" w:type="dxa"/>
            <w:shd w:val="clear" w:color="auto" w:fill="D1D1D1" w:themeFill="background2" w:themeFillShade="E6"/>
            <w:hideMark/>
          </w:tcPr>
          <w:p w:rsidR="00440391" w:rsidRPr="00910496" w14:paraId="60B76605" w14:textId="77777777">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31.2</w:t>
            </w:r>
          </w:p>
        </w:tc>
        <w:tc>
          <w:tcPr>
            <w:tcW w:w="1260" w:type="dxa"/>
            <w:shd w:val="clear" w:color="auto" w:fill="D1D1D1" w:themeFill="background2" w:themeFillShade="E6"/>
            <w:hideMark/>
          </w:tcPr>
          <w:p w:rsidR="00440391" w:rsidRPr="00910496" w14:paraId="76D1C8EC" w14:textId="77777777">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28,810</w:t>
            </w:r>
          </w:p>
        </w:tc>
        <w:tc>
          <w:tcPr>
            <w:tcW w:w="990" w:type="dxa"/>
            <w:shd w:val="clear" w:color="auto" w:fill="D1D1D1" w:themeFill="background2" w:themeFillShade="E6"/>
            <w:hideMark/>
          </w:tcPr>
          <w:p w:rsidR="00440391" w:rsidRPr="00910496" w14:paraId="6915F048" w14:textId="77777777">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27.5</w:t>
            </w:r>
          </w:p>
        </w:tc>
        <w:tc>
          <w:tcPr>
            <w:tcW w:w="720" w:type="dxa"/>
            <w:shd w:val="clear" w:color="auto" w:fill="D1D1D1" w:themeFill="background2" w:themeFillShade="E6"/>
            <w:hideMark/>
          </w:tcPr>
          <w:p w:rsidR="00440391" w:rsidRPr="00910496" w14:paraId="09AFDF63" w14:textId="77777777">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39,520</w:t>
            </w:r>
          </w:p>
        </w:tc>
        <w:tc>
          <w:tcPr>
            <w:tcW w:w="990" w:type="dxa"/>
            <w:shd w:val="clear" w:color="auto" w:fill="D1D1D1" w:themeFill="background2" w:themeFillShade="E6"/>
            <w:hideMark/>
          </w:tcPr>
          <w:p w:rsidR="00440391" w:rsidRPr="00910496" w14:paraId="3B199BA7" w14:textId="77777777">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p>
        </w:tc>
        <w:tc>
          <w:tcPr>
            <w:tcW w:w="1440" w:type="dxa"/>
            <w:shd w:val="clear" w:color="auto" w:fill="D1D1D1" w:themeFill="background2" w:themeFillShade="E6"/>
            <w:hideMark/>
          </w:tcPr>
          <w:p w:rsidR="00440391" w:rsidRPr="00910496" w14:paraId="60752278" w14:textId="6CEB55E9">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bookmarkStart w:id="2" w:name="_Hlk192509084"/>
            <w:r w:rsidRPr="00910496">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$1,</w:t>
            </w:r>
            <w:bookmarkEnd w:id="2"/>
            <w:r w:rsidRPr="00910496" w:rsidR="006C72B4">
              <w:rPr>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782,932.80</w:t>
            </w:r>
          </w:p>
        </w:tc>
      </w:tr>
    </w:tbl>
    <w:p w:rsidR="009F6F1C" w:rsidRPr="00910496" w:rsidP="009F6F1C" w14:paraId="15908E46" w14:textId="77777777">
      <w:pPr>
        <w:pStyle w:val="BodyTextIndent2"/>
        <w:spacing w:line="240" w:lineRule="auto"/>
        <w:ind w:left="0"/>
        <w:rPr>
          <w:sz w:val="16"/>
          <w:szCs w:val="16"/>
        </w:rPr>
      </w:pPr>
    </w:p>
    <w:p w:rsidR="00910496" w:rsidRPr="00910496" w:rsidP="00910496" w14:paraId="2DE0FBCA" w14:textId="77777777">
      <w:pPr>
        <w:rPr>
          <w:sz w:val="18"/>
          <w:szCs w:val="18"/>
        </w:rPr>
      </w:pPr>
      <w:r w:rsidRPr="00910496">
        <w:rPr>
          <w:sz w:val="18"/>
          <w:szCs w:val="18"/>
        </w:rPr>
        <w:t xml:space="preserve">*Burden hours for forms showing zero burden hours in this collection are reflected in the OMB approval number cited or do not have a reportable burden. Additionally, numbers with an asterisk (*) next to them are not calculated in the total estimate displayed in the last row in the above table because they are captured in a different information collection.       </w:t>
      </w:r>
    </w:p>
    <w:p w:rsidR="00910496" w:rsidP="00910496" w14:paraId="6896918E" w14:textId="186E7506">
      <w:pPr>
        <w:rPr>
          <w:sz w:val="24"/>
          <w:szCs w:val="24"/>
        </w:rPr>
      </w:pPr>
      <w:r w:rsidRPr="00910496">
        <w:rPr>
          <w:sz w:val="18"/>
          <w:szCs w:val="18"/>
        </w:rPr>
        <w:t>**HUD-1044, Award/Amendment is completed by HUD staff, signed by the recipient of the grant, and returned to HUD.  This form is a certification, and HUD ascribes no burden to its use</w:t>
      </w:r>
      <w:r w:rsidRPr="00910496">
        <w:rPr>
          <w:sz w:val="24"/>
          <w:szCs w:val="24"/>
        </w:rPr>
        <w:t>.</w:t>
      </w:r>
    </w:p>
    <w:p w:rsidR="00910496" w:rsidP="00D87407" w14:paraId="00F55783" w14:textId="77777777">
      <w:pPr>
        <w:rPr>
          <w:sz w:val="24"/>
          <w:szCs w:val="24"/>
        </w:rPr>
      </w:pPr>
    </w:p>
    <w:p w:rsidR="009F6F1C" w:rsidRPr="00910496" w:rsidP="00D87407" w14:paraId="65AEDEA8" w14:textId="735AE44D">
      <w:pPr>
        <w:rPr>
          <w:sz w:val="24"/>
          <w:szCs w:val="24"/>
        </w:rPr>
      </w:pPr>
      <w:r w:rsidRPr="00910496">
        <w:rPr>
          <w:sz w:val="24"/>
          <w:szCs w:val="24"/>
        </w:rPr>
        <w:t xml:space="preserve">The total annual burden of this collection is expected to be </w:t>
      </w:r>
      <w:r w:rsidRPr="00910496" w:rsidR="00CF1F7D">
        <w:rPr>
          <w:sz w:val="24"/>
          <w:szCs w:val="24"/>
        </w:rPr>
        <w:t>39,520</w:t>
      </w:r>
      <w:r w:rsidRPr="00910496">
        <w:rPr>
          <w:sz w:val="24"/>
          <w:szCs w:val="24"/>
        </w:rPr>
        <w:t xml:space="preserve"> hours.  The total estimated annual cost for this information collection is </w:t>
      </w:r>
      <w:r w:rsidRPr="00910496" w:rsidR="00D87407">
        <w:rPr>
          <w:b/>
          <w:bCs/>
          <w:color w:val="000000"/>
          <w:sz w:val="24"/>
          <w:szCs w:val="24"/>
        </w:rPr>
        <w:t>$1,782,932.80</w:t>
      </w:r>
      <w:r w:rsidRPr="00910496">
        <w:rPr>
          <w:sz w:val="24"/>
          <w:szCs w:val="24"/>
        </w:rPr>
        <w:t>. To estimate the hourly cost per respondent, HUD used the Department of Labor Bureau of Labor Statistics’ most recent (May 202</w:t>
      </w:r>
      <w:r w:rsidRPr="00910496" w:rsidR="45BF9224">
        <w:rPr>
          <w:sz w:val="24"/>
          <w:szCs w:val="24"/>
        </w:rPr>
        <w:t>4</w:t>
      </w:r>
      <w:r w:rsidRPr="00910496">
        <w:rPr>
          <w:sz w:val="24"/>
          <w:szCs w:val="24"/>
        </w:rPr>
        <w:t xml:space="preserve">) </w:t>
      </w:r>
      <w:r w:rsidRPr="00910496" w:rsidR="00091D26">
        <w:rPr>
          <w:sz w:val="24"/>
          <w:szCs w:val="24"/>
        </w:rPr>
        <w:t xml:space="preserve">data </w:t>
      </w:r>
      <w:r w:rsidRPr="00910496">
        <w:rPr>
          <w:sz w:val="24"/>
          <w:szCs w:val="24"/>
        </w:rPr>
        <w:t xml:space="preserve">on the State and local government workers by occupational and industry group </w:t>
      </w:r>
      <w:hyperlink r:id="rId9" w:anchor="/industry/000000">
        <w:r w:rsidRPr="00910496" w:rsidR="41FEDCD4">
          <w:rPr>
            <w:rStyle w:val="Hyperlink"/>
            <w:sz w:val="24"/>
            <w:szCs w:val="24"/>
          </w:rPr>
          <w:t>Occupational Employment and Wage Statistics</w:t>
        </w:r>
      </w:hyperlink>
      <w:r w:rsidRPr="00910496">
        <w:rPr>
          <w:sz w:val="24"/>
          <w:szCs w:val="24"/>
        </w:rPr>
        <w:t xml:space="preserve"> we estimate these members of the Washington, DC metropolitan area Financial Specialists, All Other, professional series, to have an average hourly rate to be $</w:t>
      </w:r>
      <w:r w:rsidRPr="00910496" w:rsidR="44E3398F">
        <w:rPr>
          <w:sz w:val="24"/>
          <w:szCs w:val="24"/>
        </w:rPr>
        <w:t>4</w:t>
      </w:r>
      <w:r w:rsidRPr="00910496" w:rsidR="0D4E45B3">
        <w:rPr>
          <w:sz w:val="24"/>
          <w:szCs w:val="24"/>
        </w:rPr>
        <w:t>5.14</w:t>
      </w:r>
      <w:r w:rsidRPr="00910496">
        <w:rPr>
          <w:sz w:val="24"/>
          <w:szCs w:val="24"/>
        </w:rPr>
        <w:t>.</w:t>
      </w:r>
    </w:p>
    <w:p w:rsidR="00E757CF" w:rsidRPr="00E16011" w:rsidP="00D87407" w14:paraId="32E55629" w14:textId="77777777">
      <w:pPr>
        <w:rPr>
          <w:i/>
          <w:iCs/>
          <w:sz w:val="24"/>
          <w:szCs w:val="24"/>
        </w:rPr>
      </w:pPr>
    </w:p>
    <w:p w:rsidR="009F6F1C" w:rsidRPr="00E16011" w:rsidP="009F6F1C" w14:paraId="3131205F" w14:textId="77777777">
      <w:pPr>
        <w:tabs>
          <w:tab w:val="left" w:pos="360"/>
        </w:tabs>
        <w:ind w:left="360" w:hanging="360"/>
        <w:rPr>
          <w:b/>
          <w:bCs/>
          <w:sz w:val="24"/>
          <w:szCs w:val="24"/>
        </w:rPr>
      </w:pPr>
      <w:r w:rsidRPr="00E16011">
        <w:rPr>
          <w:sz w:val="24"/>
          <w:szCs w:val="24"/>
        </w:rPr>
        <w:t>13.</w:t>
      </w:r>
      <w:r w:rsidRPr="00E16011">
        <w:rPr>
          <w:b/>
          <w:bCs/>
          <w:sz w:val="24"/>
          <w:szCs w:val="24"/>
        </w:rPr>
        <w:tab/>
        <w:t>Provide an estimate of the total annual cost burden to respondents or recordkeepers resulting from the collection of information. (Do not include the cost of any hour burden already reflected on the burden worksheet shown in Items 12 and 14).</w:t>
      </w:r>
    </w:p>
    <w:p w:rsidR="009F6F1C" w:rsidRPr="00910496" w:rsidP="009F6F1C" w14:paraId="44B3AE69" w14:textId="77777777">
      <w:pPr>
        <w:tabs>
          <w:tab w:val="left" w:pos="360"/>
        </w:tabs>
        <w:ind w:left="360" w:hanging="360"/>
        <w:rPr>
          <w:sz w:val="24"/>
          <w:szCs w:val="24"/>
        </w:rPr>
      </w:pPr>
      <w:r w:rsidRPr="00E16011">
        <w:rPr>
          <w:sz w:val="24"/>
          <w:szCs w:val="24"/>
        </w:rPr>
        <w:t xml:space="preserve"> </w:t>
      </w:r>
    </w:p>
    <w:p w:rsidR="009F6F1C" w:rsidRPr="00910496" w:rsidP="009F6F1C" w14:paraId="3C36C594" w14:textId="77777777">
      <w:pPr>
        <w:numPr>
          <w:ilvl w:val="0"/>
          <w:numId w:val="2"/>
        </w:numPr>
        <w:tabs>
          <w:tab w:val="left" w:pos="360"/>
        </w:tabs>
        <w:ind w:left="480"/>
        <w:rPr>
          <w:b/>
          <w:bCs/>
          <w:sz w:val="24"/>
          <w:szCs w:val="24"/>
        </w:rPr>
      </w:pPr>
      <w:r w:rsidRPr="00910496">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consider costs associated with generating, maintaining, and disclosing or providing information.  Include descriptions of methods used to estimate major cost factors including system and technology acquisition, expected useful life of capital equipment, the discount rate(s) and the time-period over which costs will be incurred.  Capital and start-up costs include, among other items, preparations for collecting information such as purchasing computers and software; monitoring, sampling, drilling and testing equipment; and record storage </w:t>
      </w:r>
      <w:r w:rsidRPr="00910496">
        <w:rPr>
          <w:b/>
          <w:bCs/>
          <w:sz w:val="24"/>
          <w:szCs w:val="24"/>
        </w:rPr>
        <w:t>facilities;</w:t>
      </w:r>
      <w:r w:rsidRPr="00910496">
        <w:rPr>
          <w:b/>
          <w:bCs/>
          <w:sz w:val="24"/>
          <w:szCs w:val="24"/>
        </w:rPr>
        <w:t xml:space="preserve"> </w:t>
      </w:r>
    </w:p>
    <w:p w:rsidR="009F6F1C" w:rsidRPr="00910496" w:rsidP="009F6F1C" w14:paraId="1C468F3E" w14:textId="77777777">
      <w:pPr>
        <w:numPr>
          <w:ilvl w:val="0"/>
          <w:numId w:val="2"/>
        </w:numPr>
        <w:tabs>
          <w:tab w:val="left" w:pos="360"/>
        </w:tabs>
        <w:ind w:left="480"/>
        <w:rPr>
          <w:b/>
          <w:bCs/>
          <w:sz w:val="24"/>
          <w:szCs w:val="24"/>
        </w:rPr>
      </w:pPr>
      <w:r w:rsidRPr="00910496">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F6F1C" w:rsidRPr="00910496" w:rsidP="009F6F1C" w14:paraId="59F1F425" w14:textId="77777777">
      <w:pPr>
        <w:keepLines/>
        <w:numPr>
          <w:ilvl w:val="0"/>
          <w:numId w:val="2"/>
        </w:numPr>
        <w:tabs>
          <w:tab w:val="left" w:pos="360"/>
        </w:tabs>
        <w:spacing w:after="80"/>
        <w:ind w:left="480"/>
        <w:rPr>
          <w:b/>
          <w:bCs/>
          <w:sz w:val="24"/>
          <w:szCs w:val="24"/>
        </w:rPr>
      </w:pPr>
      <w:r w:rsidRPr="00910496">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910496">
        <w:rPr>
          <w:b/>
          <w:bCs/>
          <w:sz w:val="24"/>
          <w:szCs w:val="24"/>
        </w:rPr>
        <w:t>to provide</w:t>
      </w:r>
      <w:r w:rsidRPr="00910496">
        <w:rPr>
          <w:b/>
          <w:bCs/>
          <w:sz w:val="24"/>
          <w:szCs w:val="24"/>
        </w:rPr>
        <w:t xml:space="preserve"> information or </w:t>
      </w:r>
      <w:r w:rsidRPr="00910496">
        <w:rPr>
          <w:b/>
          <w:bCs/>
          <w:sz w:val="24"/>
          <w:szCs w:val="24"/>
        </w:rPr>
        <w:t>keep</w:t>
      </w:r>
      <w:r w:rsidRPr="00910496">
        <w:rPr>
          <w:b/>
          <w:bCs/>
          <w:sz w:val="24"/>
          <w:szCs w:val="24"/>
        </w:rPr>
        <w:t xml:space="preserve"> records for the government, or (4) as part of customary and usual business or private practices.</w:t>
      </w:r>
    </w:p>
    <w:p w:rsidR="009F6F1C" w:rsidRPr="00910496" w:rsidP="009B6BAD" w14:paraId="3230193E" w14:textId="77777777">
      <w:pPr>
        <w:pStyle w:val="NoSpacing"/>
        <w:rPr>
          <w:sz w:val="24"/>
          <w:szCs w:val="24"/>
        </w:rPr>
      </w:pPr>
    </w:p>
    <w:p w:rsidR="003C4D17" w:rsidRPr="00E16011" w:rsidP="009F6F1C" w14:paraId="63C232BA" w14:textId="39306D9B">
      <w:pPr>
        <w:keepLines/>
        <w:tabs>
          <w:tab w:val="left" w:pos="360"/>
        </w:tabs>
        <w:spacing w:after="80"/>
        <w:ind w:left="480"/>
        <w:rPr>
          <w:sz w:val="24"/>
          <w:szCs w:val="24"/>
        </w:rPr>
      </w:pPr>
      <w:r w:rsidRPr="00910496">
        <w:rPr>
          <w:sz w:val="24"/>
          <w:szCs w:val="24"/>
        </w:rPr>
        <w:t>There are no additional</w:t>
      </w:r>
      <w:r w:rsidRPr="00E16011">
        <w:rPr>
          <w:sz w:val="24"/>
          <w:szCs w:val="24"/>
        </w:rPr>
        <w:t xml:space="preserve"> costs </w:t>
      </w:r>
      <w:r w:rsidRPr="00E16011" w:rsidR="009C564C">
        <w:rPr>
          <w:sz w:val="24"/>
          <w:szCs w:val="24"/>
        </w:rPr>
        <w:t>to</w:t>
      </w:r>
      <w:r w:rsidRPr="00E16011" w:rsidR="009C564C">
        <w:rPr>
          <w:sz w:val="24"/>
          <w:szCs w:val="24"/>
        </w:rPr>
        <w:t xml:space="preserve"> respondents other than the costs shown in Question 12.</w:t>
      </w:r>
    </w:p>
    <w:p w:rsidR="003C4D17" w:rsidRPr="00E16011" w:rsidP="009B6BAD" w14:paraId="60D67665" w14:textId="77777777">
      <w:pPr>
        <w:pStyle w:val="NoSpacing"/>
        <w:rPr>
          <w:sz w:val="24"/>
          <w:szCs w:val="24"/>
        </w:rPr>
      </w:pPr>
    </w:p>
    <w:p w:rsidR="009F6F1C" w:rsidRPr="00E16011" w:rsidP="009F6F1C" w14:paraId="7A452547" w14:textId="77777777">
      <w:pPr>
        <w:keepLines/>
        <w:tabs>
          <w:tab w:val="left" w:pos="360"/>
        </w:tabs>
        <w:spacing w:after="80"/>
        <w:ind w:left="360" w:hanging="360"/>
        <w:rPr>
          <w:b/>
          <w:bCs/>
          <w:sz w:val="24"/>
          <w:szCs w:val="24"/>
        </w:rPr>
      </w:pPr>
      <w:r w:rsidRPr="00E16011">
        <w:rPr>
          <w:sz w:val="24"/>
          <w:szCs w:val="24"/>
        </w:rPr>
        <w:t>14.</w:t>
      </w:r>
      <w:r w:rsidRPr="00E16011">
        <w:rPr>
          <w:sz w:val="24"/>
          <w:szCs w:val="24"/>
        </w:rPr>
        <w:tab/>
      </w:r>
      <w:r w:rsidRPr="00E16011">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also may aggregate cost estimates from Items 12, 13, and 14 in a single table.</w:t>
      </w:r>
    </w:p>
    <w:tbl>
      <w:tblPr>
        <w:tblW w:w="99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23"/>
        <w:gridCol w:w="1306"/>
        <w:gridCol w:w="1371"/>
        <w:gridCol w:w="1222"/>
        <w:gridCol w:w="1138"/>
        <w:gridCol w:w="861"/>
        <w:gridCol w:w="1073"/>
        <w:gridCol w:w="1296"/>
      </w:tblGrid>
      <w:tr w14:paraId="51594D00" w14:textId="77777777" w:rsidTr="00910496">
        <w:tblPrEx>
          <w:tblW w:w="99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43"/>
        </w:trPr>
        <w:tc>
          <w:tcPr>
            <w:tcW w:w="1723" w:type="dxa"/>
            <w:tcMar>
              <w:top w:w="0" w:type="dxa"/>
              <w:left w:w="108" w:type="dxa"/>
              <w:bottom w:w="0" w:type="dxa"/>
              <w:right w:w="108" w:type="dxa"/>
            </w:tcMar>
            <w:hideMark/>
          </w:tcPr>
          <w:p w:rsidR="00910496" w:rsidRPr="006F4A66" w:rsidP="00E054D7" w14:paraId="48EBAA5C" w14:textId="77777777">
            <w:pPr>
              <w:adjustRightInd/>
              <w:jc w:val="center"/>
              <w:textAlignment w:val="auto"/>
              <w:rPr>
                <w:rFonts w:eastAsia="Calibri"/>
                <w:b/>
                <w:bCs/>
                <w:color w:val="000000"/>
                <w:sz w:val="18"/>
                <w:szCs w:val="18"/>
              </w:rPr>
            </w:pPr>
            <w:r w:rsidRPr="006F4A66">
              <w:rPr>
                <w:rFonts w:eastAsia="Calibri"/>
                <w:b/>
                <w:bCs/>
                <w:color w:val="000000"/>
                <w:sz w:val="18"/>
                <w:szCs w:val="18"/>
              </w:rPr>
              <w:t>Information Collection</w:t>
            </w:r>
          </w:p>
        </w:tc>
        <w:tc>
          <w:tcPr>
            <w:tcW w:w="1306" w:type="dxa"/>
            <w:tcMar>
              <w:top w:w="0" w:type="dxa"/>
              <w:left w:w="108" w:type="dxa"/>
              <w:bottom w:w="0" w:type="dxa"/>
              <w:right w:w="108" w:type="dxa"/>
            </w:tcMar>
            <w:hideMark/>
          </w:tcPr>
          <w:p w:rsidR="00910496" w:rsidRPr="006F4A66" w:rsidP="00E054D7" w14:paraId="13F3554E" w14:textId="77777777">
            <w:pPr>
              <w:adjustRightInd/>
              <w:jc w:val="center"/>
              <w:textAlignment w:val="auto"/>
              <w:rPr>
                <w:rFonts w:eastAsia="Calibri"/>
                <w:b/>
                <w:bCs/>
                <w:color w:val="000000"/>
                <w:sz w:val="18"/>
                <w:szCs w:val="18"/>
              </w:rPr>
            </w:pPr>
            <w:r w:rsidRPr="006F4A66">
              <w:rPr>
                <w:rFonts w:eastAsia="Calibri"/>
                <w:b/>
                <w:bCs/>
                <w:color w:val="000000"/>
                <w:sz w:val="18"/>
                <w:szCs w:val="18"/>
              </w:rPr>
              <w:t>Number of Respondents</w:t>
            </w:r>
          </w:p>
        </w:tc>
        <w:tc>
          <w:tcPr>
            <w:tcW w:w="1371" w:type="dxa"/>
            <w:tcMar>
              <w:top w:w="0" w:type="dxa"/>
              <w:left w:w="108" w:type="dxa"/>
              <w:bottom w:w="0" w:type="dxa"/>
              <w:right w:w="108" w:type="dxa"/>
            </w:tcMar>
            <w:hideMark/>
          </w:tcPr>
          <w:p w:rsidR="00910496" w:rsidRPr="006F4A66" w:rsidP="00E054D7" w14:paraId="791C488E" w14:textId="77777777">
            <w:pPr>
              <w:adjustRightInd/>
              <w:jc w:val="center"/>
              <w:textAlignment w:val="auto"/>
              <w:rPr>
                <w:rFonts w:eastAsia="Calibri"/>
                <w:b/>
                <w:bCs/>
                <w:color w:val="000000"/>
                <w:sz w:val="18"/>
                <w:szCs w:val="18"/>
              </w:rPr>
            </w:pPr>
            <w:r w:rsidRPr="006F4A66">
              <w:rPr>
                <w:rFonts w:eastAsia="Calibri"/>
                <w:b/>
                <w:bCs/>
                <w:color w:val="000000"/>
                <w:sz w:val="18"/>
                <w:szCs w:val="18"/>
              </w:rPr>
              <w:t>Frequency of Response</w:t>
            </w:r>
          </w:p>
        </w:tc>
        <w:tc>
          <w:tcPr>
            <w:tcW w:w="1222" w:type="dxa"/>
            <w:tcMar>
              <w:top w:w="0" w:type="dxa"/>
              <w:left w:w="108" w:type="dxa"/>
              <w:bottom w:w="0" w:type="dxa"/>
              <w:right w:w="108" w:type="dxa"/>
            </w:tcMar>
            <w:hideMark/>
          </w:tcPr>
          <w:p w:rsidR="00910496" w:rsidRPr="006F4A66" w:rsidP="00E054D7" w14:paraId="4D186AC4" w14:textId="77777777">
            <w:pPr>
              <w:overflowPunct/>
              <w:autoSpaceDE/>
              <w:autoSpaceDN/>
              <w:adjustRightInd/>
              <w:jc w:val="center"/>
              <w:textAlignment w:val="auto"/>
              <w:rPr>
                <w:rFonts w:eastAsia="Calibri"/>
                <w:b/>
                <w:bCs/>
                <w:color w:val="000000"/>
                <w:sz w:val="18"/>
                <w:szCs w:val="18"/>
              </w:rPr>
            </w:pPr>
            <w:r w:rsidRPr="006F4A66">
              <w:rPr>
                <w:rFonts w:eastAsia="Calibri"/>
                <w:b/>
                <w:bCs/>
                <w:color w:val="000000"/>
                <w:sz w:val="18"/>
                <w:szCs w:val="18"/>
              </w:rPr>
              <w:t>Responses</w:t>
            </w:r>
          </w:p>
          <w:p w:rsidR="00910496" w:rsidRPr="006F4A66" w:rsidP="00E054D7" w14:paraId="3CC4D2B8" w14:textId="77777777">
            <w:pPr>
              <w:adjustRightInd/>
              <w:jc w:val="center"/>
              <w:textAlignment w:val="auto"/>
              <w:rPr>
                <w:rFonts w:eastAsia="Calibri"/>
                <w:b/>
                <w:bCs/>
                <w:color w:val="000000"/>
                <w:sz w:val="18"/>
                <w:szCs w:val="18"/>
              </w:rPr>
            </w:pPr>
            <w:r w:rsidRPr="006F4A66">
              <w:rPr>
                <w:rFonts w:eastAsia="Calibri"/>
                <w:b/>
                <w:bCs/>
                <w:color w:val="000000"/>
                <w:sz w:val="18"/>
                <w:szCs w:val="18"/>
              </w:rPr>
              <w:t>Per Annum</w:t>
            </w:r>
          </w:p>
        </w:tc>
        <w:tc>
          <w:tcPr>
            <w:tcW w:w="1138" w:type="dxa"/>
            <w:tcMar>
              <w:top w:w="0" w:type="dxa"/>
              <w:left w:w="108" w:type="dxa"/>
              <w:bottom w:w="0" w:type="dxa"/>
              <w:right w:w="108" w:type="dxa"/>
            </w:tcMar>
            <w:hideMark/>
          </w:tcPr>
          <w:p w:rsidR="00910496" w:rsidRPr="006F4A66" w:rsidP="00E054D7" w14:paraId="65D4BDCD" w14:textId="77777777">
            <w:pPr>
              <w:adjustRightInd/>
              <w:jc w:val="center"/>
              <w:textAlignment w:val="auto"/>
              <w:rPr>
                <w:rFonts w:eastAsia="Calibri"/>
                <w:b/>
                <w:bCs/>
                <w:color w:val="000000"/>
                <w:sz w:val="18"/>
                <w:szCs w:val="18"/>
              </w:rPr>
            </w:pPr>
            <w:r w:rsidRPr="006F4A66">
              <w:rPr>
                <w:rFonts w:eastAsia="Calibri"/>
                <w:b/>
                <w:bCs/>
                <w:color w:val="000000"/>
                <w:sz w:val="18"/>
                <w:szCs w:val="18"/>
              </w:rPr>
              <w:t>Burden Hour Per Response</w:t>
            </w:r>
          </w:p>
        </w:tc>
        <w:tc>
          <w:tcPr>
            <w:tcW w:w="861" w:type="dxa"/>
            <w:tcMar>
              <w:top w:w="0" w:type="dxa"/>
              <w:left w:w="108" w:type="dxa"/>
              <w:bottom w:w="0" w:type="dxa"/>
              <w:right w:w="108" w:type="dxa"/>
            </w:tcMar>
            <w:hideMark/>
          </w:tcPr>
          <w:p w:rsidR="00910496" w:rsidRPr="006F4A66" w:rsidP="00E054D7" w14:paraId="2D823CF6" w14:textId="77777777">
            <w:pPr>
              <w:adjustRightInd/>
              <w:jc w:val="center"/>
              <w:textAlignment w:val="auto"/>
              <w:rPr>
                <w:rFonts w:eastAsia="Calibri"/>
                <w:b/>
                <w:bCs/>
                <w:color w:val="000000"/>
                <w:sz w:val="18"/>
                <w:szCs w:val="18"/>
              </w:rPr>
            </w:pPr>
            <w:r w:rsidRPr="006F4A66">
              <w:rPr>
                <w:rFonts w:eastAsia="Calibri"/>
                <w:b/>
                <w:bCs/>
                <w:color w:val="000000"/>
                <w:sz w:val="18"/>
                <w:szCs w:val="18"/>
              </w:rPr>
              <w:t>Annual Burden Hours</w:t>
            </w:r>
          </w:p>
        </w:tc>
        <w:tc>
          <w:tcPr>
            <w:tcW w:w="1073" w:type="dxa"/>
            <w:tcMar>
              <w:top w:w="0" w:type="dxa"/>
              <w:left w:w="108" w:type="dxa"/>
              <w:bottom w:w="0" w:type="dxa"/>
              <w:right w:w="108" w:type="dxa"/>
            </w:tcMar>
            <w:hideMark/>
          </w:tcPr>
          <w:p w:rsidR="00910496" w:rsidRPr="006F4A66" w:rsidP="00E054D7" w14:paraId="78697AE3" w14:textId="77777777">
            <w:pPr>
              <w:adjustRightInd/>
              <w:jc w:val="center"/>
              <w:textAlignment w:val="auto"/>
              <w:rPr>
                <w:rFonts w:eastAsia="Calibri"/>
                <w:b/>
                <w:bCs/>
                <w:color w:val="000000"/>
                <w:sz w:val="18"/>
                <w:szCs w:val="18"/>
              </w:rPr>
            </w:pPr>
            <w:r w:rsidRPr="006F4A66">
              <w:rPr>
                <w:rFonts w:eastAsia="Calibri"/>
                <w:b/>
                <w:bCs/>
                <w:color w:val="000000"/>
                <w:sz w:val="18"/>
                <w:szCs w:val="18"/>
              </w:rPr>
              <w:t>Hourly Cost Per Response</w:t>
            </w:r>
          </w:p>
        </w:tc>
        <w:tc>
          <w:tcPr>
            <w:tcW w:w="1296" w:type="dxa"/>
            <w:tcMar>
              <w:top w:w="0" w:type="dxa"/>
              <w:left w:w="108" w:type="dxa"/>
              <w:bottom w:w="0" w:type="dxa"/>
              <w:right w:w="108" w:type="dxa"/>
            </w:tcMar>
          </w:tcPr>
          <w:p w:rsidR="00910496" w:rsidRPr="006F4A66" w:rsidP="00E054D7" w14:paraId="019C4849" w14:textId="77777777">
            <w:pPr>
              <w:overflowPunct/>
              <w:autoSpaceDE/>
              <w:autoSpaceDN/>
              <w:adjustRightInd/>
              <w:jc w:val="center"/>
              <w:textAlignment w:val="auto"/>
              <w:rPr>
                <w:rFonts w:eastAsia="Calibri"/>
                <w:b/>
                <w:bCs/>
                <w:color w:val="000000"/>
                <w:sz w:val="18"/>
                <w:szCs w:val="18"/>
              </w:rPr>
            </w:pPr>
            <w:r w:rsidRPr="006F4A66">
              <w:rPr>
                <w:rFonts w:eastAsia="Calibri"/>
                <w:b/>
                <w:bCs/>
                <w:color w:val="000000"/>
                <w:sz w:val="18"/>
                <w:szCs w:val="18"/>
              </w:rPr>
              <w:t>Annual Cost</w:t>
            </w:r>
          </w:p>
          <w:p w:rsidR="00910496" w:rsidRPr="006F4A66" w:rsidP="00E054D7" w14:paraId="638DC8B2" w14:textId="77777777">
            <w:pPr>
              <w:adjustRightInd/>
              <w:jc w:val="center"/>
              <w:textAlignment w:val="auto"/>
              <w:rPr>
                <w:rFonts w:eastAsia="Calibri"/>
                <w:b/>
                <w:bCs/>
                <w:color w:val="000000"/>
                <w:sz w:val="18"/>
                <w:szCs w:val="18"/>
              </w:rPr>
            </w:pPr>
          </w:p>
        </w:tc>
      </w:tr>
      <w:tr w14:paraId="05890E3A" w14:textId="77777777" w:rsidTr="006F4A66">
        <w:tblPrEx>
          <w:tblW w:w="9990" w:type="dxa"/>
          <w:tblInd w:w="80" w:type="dxa"/>
          <w:tblCellMar>
            <w:left w:w="0" w:type="dxa"/>
            <w:right w:w="0" w:type="dxa"/>
          </w:tblCellMar>
          <w:tblLook w:val="04A0"/>
        </w:tblPrEx>
        <w:trPr>
          <w:trHeight w:val="358"/>
        </w:trPr>
        <w:tc>
          <w:tcPr>
            <w:tcW w:w="1723" w:type="dxa"/>
            <w:tcMar>
              <w:top w:w="0" w:type="dxa"/>
              <w:left w:w="108" w:type="dxa"/>
              <w:bottom w:w="0" w:type="dxa"/>
              <w:right w:w="108" w:type="dxa"/>
            </w:tcMar>
          </w:tcPr>
          <w:p w:rsidR="006F4A66" w:rsidRPr="004C66F1" w:rsidP="006F4A66" w14:paraId="69EBD35C" w14:textId="7A0E0B6B">
            <w:pPr>
              <w:adjustRightInd/>
              <w:textAlignment w:val="auto"/>
              <w:rPr>
                <w:rFonts w:eastAsia="Calibri"/>
                <w:color w:val="000000"/>
                <w:sz w:val="18"/>
                <w:szCs w:val="18"/>
              </w:rPr>
            </w:pPr>
            <w:r w:rsidRPr="004C66F1">
              <w:rPr>
                <w:rFonts w:eastAsia="Calibri"/>
                <w:color w:val="000000"/>
                <w:sz w:val="18"/>
                <w:szCs w:val="18"/>
              </w:rPr>
              <w:t>Action Plan</w:t>
            </w:r>
          </w:p>
        </w:tc>
        <w:tc>
          <w:tcPr>
            <w:tcW w:w="1306" w:type="dxa"/>
            <w:tcMar>
              <w:top w:w="0" w:type="dxa"/>
              <w:left w:w="108" w:type="dxa"/>
              <w:bottom w:w="0" w:type="dxa"/>
              <w:right w:w="108" w:type="dxa"/>
            </w:tcMar>
            <w:vAlign w:val="center"/>
          </w:tcPr>
          <w:p w:rsidR="006F4A66" w:rsidRPr="006F4A66" w:rsidP="006F4A66" w14:paraId="171872E0" w14:textId="6F100ABA">
            <w:pPr>
              <w:adjustRightInd/>
              <w:jc w:val="center"/>
              <w:textAlignment w:val="auto"/>
              <w:rPr>
                <w:rFonts w:eastAsia="Calibri"/>
                <w:b/>
                <w:bCs/>
                <w:color w:val="000000"/>
                <w:sz w:val="18"/>
                <w:szCs w:val="18"/>
              </w:rPr>
            </w:pPr>
            <w:r w:rsidRPr="006F4A66">
              <w:rPr>
                <w:color w:val="000000"/>
                <w:sz w:val="18"/>
                <w:szCs w:val="18"/>
              </w:rPr>
              <w:t>200</w:t>
            </w:r>
          </w:p>
        </w:tc>
        <w:tc>
          <w:tcPr>
            <w:tcW w:w="1371" w:type="dxa"/>
            <w:tcMar>
              <w:top w:w="0" w:type="dxa"/>
              <w:left w:w="108" w:type="dxa"/>
              <w:bottom w:w="0" w:type="dxa"/>
              <w:right w:w="108" w:type="dxa"/>
            </w:tcMar>
          </w:tcPr>
          <w:p w:rsidR="006F4A66" w:rsidRPr="006F4A66" w:rsidP="006F4A66" w14:paraId="1FFBB7EB" w14:textId="463CC8E5">
            <w:pPr>
              <w:adjustRightInd/>
              <w:jc w:val="center"/>
              <w:textAlignment w:val="auto"/>
              <w:rPr>
                <w:rFonts w:eastAsia="Calibri"/>
                <w:b/>
                <w:bCs/>
                <w:color w:val="000000"/>
                <w:sz w:val="18"/>
                <w:szCs w:val="18"/>
              </w:rPr>
            </w:pPr>
            <w:r w:rsidRPr="006F4A66">
              <w:rPr>
                <w:rFonts w:eastAsia="Calibri"/>
                <w:b/>
                <w:bCs/>
                <w:color w:val="000000"/>
                <w:sz w:val="18"/>
                <w:szCs w:val="18"/>
              </w:rPr>
              <w:t>1</w:t>
            </w:r>
          </w:p>
        </w:tc>
        <w:tc>
          <w:tcPr>
            <w:tcW w:w="1222" w:type="dxa"/>
            <w:tcMar>
              <w:top w:w="0" w:type="dxa"/>
              <w:left w:w="108" w:type="dxa"/>
              <w:bottom w:w="0" w:type="dxa"/>
              <w:right w:w="108" w:type="dxa"/>
            </w:tcMar>
            <w:vAlign w:val="center"/>
          </w:tcPr>
          <w:p w:rsidR="006F4A66" w:rsidRPr="006F4A66" w:rsidP="006F4A66" w14:paraId="16CB8339" w14:textId="5272CCA5">
            <w:pPr>
              <w:adjustRightInd/>
              <w:jc w:val="center"/>
              <w:textAlignment w:val="auto"/>
              <w:rPr>
                <w:rFonts w:eastAsia="Calibri"/>
                <w:b/>
                <w:bCs/>
                <w:color w:val="000000"/>
                <w:sz w:val="18"/>
                <w:szCs w:val="18"/>
              </w:rPr>
            </w:pPr>
            <w:r w:rsidRPr="006F4A66">
              <w:rPr>
                <w:color w:val="000000"/>
                <w:sz w:val="18"/>
                <w:szCs w:val="18"/>
              </w:rPr>
              <w:t>200</w:t>
            </w:r>
          </w:p>
        </w:tc>
        <w:tc>
          <w:tcPr>
            <w:tcW w:w="1138" w:type="dxa"/>
            <w:tcMar>
              <w:top w:w="0" w:type="dxa"/>
              <w:left w:w="108" w:type="dxa"/>
              <w:bottom w:w="0" w:type="dxa"/>
              <w:right w:w="108" w:type="dxa"/>
            </w:tcMar>
            <w:vAlign w:val="center"/>
          </w:tcPr>
          <w:p w:rsidR="006F4A66" w:rsidRPr="006F4A66" w:rsidP="006F4A66" w14:paraId="1875D4D0" w14:textId="1921B10F">
            <w:pPr>
              <w:adjustRightInd/>
              <w:jc w:val="center"/>
              <w:textAlignment w:val="auto"/>
              <w:rPr>
                <w:rFonts w:eastAsia="Calibri"/>
                <w:b/>
                <w:bCs/>
                <w:color w:val="000000"/>
                <w:sz w:val="18"/>
                <w:szCs w:val="18"/>
              </w:rPr>
            </w:pPr>
            <w:r w:rsidRPr="006F4A66">
              <w:rPr>
                <w:color w:val="000000"/>
                <w:sz w:val="18"/>
                <w:szCs w:val="18"/>
              </w:rPr>
              <w:t>1</w:t>
            </w:r>
          </w:p>
        </w:tc>
        <w:tc>
          <w:tcPr>
            <w:tcW w:w="861" w:type="dxa"/>
            <w:tcMar>
              <w:top w:w="0" w:type="dxa"/>
              <w:left w:w="108" w:type="dxa"/>
              <w:bottom w:w="0" w:type="dxa"/>
              <w:right w:w="108" w:type="dxa"/>
            </w:tcMar>
            <w:vAlign w:val="center"/>
          </w:tcPr>
          <w:p w:rsidR="006F4A66" w:rsidRPr="006F4A66" w:rsidP="006F4A66" w14:paraId="7B71DE64" w14:textId="3C923B21">
            <w:pPr>
              <w:adjustRightInd/>
              <w:jc w:val="center"/>
              <w:textAlignment w:val="auto"/>
              <w:rPr>
                <w:rFonts w:eastAsia="Calibri"/>
                <w:b/>
                <w:bCs/>
                <w:color w:val="000000"/>
                <w:sz w:val="18"/>
                <w:szCs w:val="18"/>
              </w:rPr>
            </w:pPr>
            <w:r w:rsidRPr="006F4A66">
              <w:rPr>
                <w:color w:val="000000"/>
                <w:sz w:val="18"/>
                <w:szCs w:val="18"/>
              </w:rPr>
              <w:t>200</w:t>
            </w:r>
          </w:p>
        </w:tc>
        <w:tc>
          <w:tcPr>
            <w:tcW w:w="1073" w:type="dxa"/>
            <w:tcMar>
              <w:top w:w="0" w:type="dxa"/>
              <w:left w:w="108" w:type="dxa"/>
              <w:bottom w:w="0" w:type="dxa"/>
              <w:right w:w="108" w:type="dxa"/>
            </w:tcMar>
            <w:vAlign w:val="bottom"/>
          </w:tcPr>
          <w:p w:rsidR="006F4A66" w:rsidRPr="006F4A66" w:rsidP="006F4A66" w14:paraId="5A6D9052" w14:textId="766064B9">
            <w:pPr>
              <w:adjustRightInd/>
              <w:jc w:val="right"/>
              <w:textAlignment w:val="auto"/>
              <w:rPr>
                <w:rFonts w:eastAsia="Calibri"/>
                <w:b/>
                <w:bCs/>
                <w:color w:val="000000"/>
                <w:sz w:val="18"/>
                <w:szCs w:val="18"/>
              </w:rPr>
            </w:pPr>
            <w:r w:rsidRPr="006F4A66">
              <w:rPr>
                <w:color w:val="000000"/>
                <w:sz w:val="18"/>
                <w:szCs w:val="18"/>
              </w:rPr>
              <w:t xml:space="preserve">$36.28 </w:t>
            </w:r>
          </w:p>
        </w:tc>
        <w:tc>
          <w:tcPr>
            <w:tcW w:w="1296" w:type="dxa"/>
            <w:tcMar>
              <w:top w:w="0" w:type="dxa"/>
              <w:left w:w="108" w:type="dxa"/>
              <w:bottom w:w="0" w:type="dxa"/>
              <w:right w:w="108" w:type="dxa"/>
            </w:tcMar>
            <w:vAlign w:val="bottom"/>
          </w:tcPr>
          <w:p w:rsidR="006F4A66" w:rsidRPr="006F4A66" w:rsidP="006F4A66" w14:paraId="38468C81" w14:textId="3C368303">
            <w:pPr>
              <w:adjustRightInd/>
              <w:jc w:val="right"/>
              <w:textAlignment w:val="auto"/>
              <w:rPr>
                <w:rFonts w:eastAsia="Calibri"/>
                <w:b/>
                <w:bCs/>
                <w:color w:val="000000"/>
                <w:sz w:val="18"/>
                <w:szCs w:val="18"/>
              </w:rPr>
            </w:pPr>
            <w:r w:rsidRPr="006F4A66">
              <w:rPr>
                <w:color w:val="000000"/>
                <w:sz w:val="18"/>
                <w:szCs w:val="18"/>
              </w:rPr>
              <w:t xml:space="preserve">$7,256 </w:t>
            </w:r>
          </w:p>
        </w:tc>
      </w:tr>
      <w:tr w14:paraId="107658BE" w14:textId="77777777" w:rsidTr="006F4A66">
        <w:tblPrEx>
          <w:tblW w:w="9990" w:type="dxa"/>
          <w:tblInd w:w="80" w:type="dxa"/>
          <w:tblCellMar>
            <w:left w:w="0" w:type="dxa"/>
            <w:right w:w="0" w:type="dxa"/>
          </w:tblCellMar>
          <w:tblLook w:val="04A0"/>
        </w:tblPrEx>
        <w:trPr>
          <w:trHeight w:val="358"/>
        </w:trPr>
        <w:tc>
          <w:tcPr>
            <w:tcW w:w="1723" w:type="dxa"/>
            <w:tcMar>
              <w:top w:w="0" w:type="dxa"/>
              <w:left w:w="108" w:type="dxa"/>
              <w:bottom w:w="0" w:type="dxa"/>
              <w:right w:w="108" w:type="dxa"/>
            </w:tcMar>
          </w:tcPr>
          <w:p w:rsidR="006F4A66" w:rsidRPr="006F4A66" w:rsidP="006F4A66" w14:paraId="19225889" w14:textId="1D0ACD5D">
            <w:pPr>
              <w:adjustRightInd/>
              <w:textAlignment w:val="auto"/>
              <w:rPr>
                <w:rFonts w:eastAsia="Calibri"/>
                <w:b/>
                <w:bCs/>
                <w:color w:val="000000"/>
                <w:sz w:val="18"/>
                <w:szCs w:val="18"/>
              </w:rPr>
            </w:pPr>
            <w:r w:rsidRPr="006F4A66">
              <w:rPr>
                <w:sz w:val="18"/>
                <w:szCs w:val="18"/>
              </w:rPr>
              <w:t>Annual Survey</w:t>
            </w:r>
          </w:p>
        </w:tc>
        <w:tc>
          <w:tcPr>
            <w:tcW w:w="1306" w:type="dxa"/>
            <w:tcMar>
              <w:top w:w="0" w:type="dxa"/>
              <w:left w:w="108" w:type="dxa"/>
              <w:bottom w:w="0" w:type="dxa"/>
              <w:right w:w="108" w:type="dxa"/>
            </w:tcMar>
            <w:vAlign w:val="center"/>
          </w:tcPr>
          <w:p w:rsidR="006F4A66" w:rsidRPr="006F4A66" w:rsidP="006F4A66" w14:paraId="55AB4E5E" w14:textId="089377A6">
            <w:pPr>
              <w:adjustRightInd/>
              <w:jc w:val="center"/>
              <w:textAlignment w:val="auto"/>
              <w:rPr>
                <w:rFonts w:eastAsia="Calibri"/>
                <w:b/>
                <w:bCs/>
                <w:color w:val="000000"/>
                <w:sz w:val="18"/>
                <w:szCs w:val="18"/>
              </w:rPr>
            </w:pPr>
            <w:r w:rsidRPr="006F4A66">
              <w:rPr>
                <w:color w:val="000000"/>
                <w:sz w:val="18"/>
                <w:szCs w:val="18"/>
              </w:rPr>
              <w:t>1000</w:t>
            </w:r>
          </w:p>
        </w:tc>
        <w:tc>
          <w:tcPr>
            <w:tcW w:w="1371" w:type="dxa"/>
            <w:tcMar>
              <w:top w:w="0" w:type="dxa"/>
              <w:left w:w="108" w:type="dxa"/>
              <w:bottom w:w="0" w:type="dxa"/>
              <w:right w:w="108" w:type="dxa"/>
            </w:tcMar>
          </w:tcPr>
          <w:p w:rsidR="006F4A66" w:rsidRPr="006F4A66" w:rsidP="006F4A66" w14:paraId="27EA5ABF" w14:textId="24F3CDA3">
            <w:pPr>
              <w:adjustRightInd/>
              <w:jc w:val="center"/>
              <w:textAlignment w:val="auto"/>
              <w:rPr>
                <w:rFonts w:eastAsia="Calibri"/>
                <w:b/>
                <w:bCs/>
                <w:color w:val="000000"/>
                <w:sz w:val="18"/>
                <w:szCs w:val="18"/>
              </w:rPr>
            </w:pPr>
            <w:r w:rsidRPr="006F4A66">
              <w:rPr>
                <w:rFonts w:eastAsia="Calibri"/>
                <w:b/>
                <w:bCs/>
                <w:color w:val="000000"/>
                <w:sz w:val="18"/>
                <w:szCs w:val="18"/>
              </w:rPr>
              <w:t>1</w:t>
            </w:r>
          </w:p>
        </w:tc>
        <w:tc>
          <w:tcPr>
            <w:tcW w:w="1222" w:type="dxa"/>
            <w:tcMar>
              <w:top w:w="0" w:type="dxa"/>
              <w:left w:w="108" w:type="dxa"/>
              <w:bottom w:w="0" w:type="dxa"/>
              <w:right w:w="108" w:type="dxa"/>
            </w:tcMar>
            <w:vAlign w:val="center"/>
          </w:tcPr>
          <w:p w:rsidR="006F4A66" w:rsidRPr="006F4A66" w:rsidP="006F4A66" w14:paraId="64A808C2" w14:textId="403C9641">
            <w:pPr>
              <w:adjustRightInd/>
              <w:jc w:val="center"/>
              <w:textAlignment w:val="auto"/>
              <w:rPr>
                <w:rFonts w:eastAsia="Calibri"/>
                <w:b/>
                <w:bCs/>
                <w:color w:val="000000"/>
                <w:sz w:val="18"/>
                <w:szCs w:val="18"/>
              </w:rPr>
            </w:pPr>
            <w:r w:rsidRPr="006F4A66">
              <w:rPr>
                <w:color w:val="000000"/>
                <w:sz w:val="18"/>
                <w:szCs w:val="18"/>
              </w:rPr>
              <w:t>1000</w:t>
            </w:r>
          </w:p>
        </w:tc>
        <w:tc>
          <w:tcPr>
            <w:tcW w:w="1138" w:type="dxa"/>
            <w:tcMar>
              <w:top w:w="0" w:type="dxa"/>
              <w:left w:w="108" w:type="dxa"/>
              <w:bottom w:w="0" w:type="dxa"/>
              <w:right w:w="108" w:type="dxa"/>
            </w:tcMar>
            <w:vAlign w:val="center"/>
          </w:tcPr>
          <w:p w:rsidR="006F4A66" w:rsidRPr="006F4A66" w:rsidP="006F4A66" w14:paraId="1D64DD3C" w14:textId="6F5D0291">
            <w:pPr>
              <w:adjustRightInd/>
              <w:jc w:val="center"/>
              <w:textAlignment w:val="auto"/>
              <w:rPr>
                <w:rFonts w:eastAsia="Calibri"/>
                <w:b/>
                <w:bCs/>
                <w:color w:val="000000"/>
                <w:sz w:val="18"/>
                <w:szCs w:val="18"/>
              </w:rPr>
            </w:pPr>
            <w:r w:rsidRPr="006F4A66">
              <w:rPr>
                <w:color w:val="000000"/>
                <w:sz w:val="18"/>
                <w:szCs w:val="18"/>
              </w:rPr>
              <w:t>0.25</w:t>
            </w:r>
          </w:p>
        </w:tc>
        <w:tc>
          <w:tcPr>
            <w:tcW w:w="861" w:type="dxa"/>
            <w:tcMar>
              <w:top w:w="0" w:type="dxa"/>
              <w:left w:w="108" w:type="dxa"/>
              <w:bottom w:w="0" w:type="dxa"/>
              <w:right w:w="108" w:type="dxa"/>
            </w:tcMar>
            <w:vAlign w:val="center"/>
          </w:tcPr>
          <w:p w:rsidR="006F4A66" w:rsidRPr="006F4A66" w:rsidP="006F4A66" w14:paraId="418809B5" w14:textId="5E387567">
            <w:pPr>
              <w:adjustRightInd/>
              <w:jc w:val="center"/>
              <w:textAlignment w:val="auto"/>
              <w:rPr>
                <w:rFonts w:eastAsia="Calibri"/>
                <w:b/>
                <w:bCs/>
                <w:color w:val="000000"/>
                <w:sz w:val="18"/>
                <w:szCs w:val="18"/>
              </w:rPr>
            </w:pPr>
            <w:r w:rsidRPr="006F4A66">
              <w:rPr>
                <w:color w:val="000000"/>
                <w:sz w:val="18"/>
                <w:szCs w:val="18"/>
              </w:rPr>
              <w:t>250</w:t>
            </w:r>
          </w:p>
        </w:tc>
        <w:tc>
          <w:tcPr>
            <w:tcW w:w="1073" w:type="dxa"/>
            <w:tcMar>
              <w:top w:w="0" w:type="dxa"/>
              <w:left w:w="108" w:type="dxa"/>
              <w:bottom w:w="0" w:type="dxa"/>
              <w:right w:w="108" w:type="dxa"/>
            </w:tcMar>
            <w:vAlign w:val="bottom"/>
          </w:tcPr>
          <w:p w:rsidR="006F4A66" w:rsidRPr="006F4A66" w:rsidP="006F4A66" w14:paraId="1AE94677" w14:textId="2A86367F">
            <w:pPr>
              <w:adjustRightInd/>
              <w:jc w:val="right"/>
              <w:textAlignment w:val="auto"/>
              <w:rPr>
                <w:rFonts w:eastAsia="Calibri"/>
                <w:b/>
                <w:bCs/>
                <w:color w:val="000000"/>
                <w:sz w:val="18"/>
                <w:szCs w:val="18"/>
              </w:rPr>
            </w:pPr>
            <w:r w:rsidRPr="006F4A66">
              <w:rPr>
                <w:color w:val="000000"/>
                <w:sz w:val="18"/>
                <w:szCs w:val="18"/>
              </w:rPr>
              <w:t xml:space="preserve">$36.28 </w:t>
            </w:r>
          </w:p>
        </w:tc>
        <w:tc>
          <w:tcPr>
            <w:tcW w:w="1296" w:type="dxa"/>
            <w:tcMar>
              <w:top w:w="0" w:type="dxa"/>
              <w:left w:w="108" w:type="dxa"/>
              <w:bottom w:w="0" w:type="dxa"/>
              <w:right w:w="108" w:type="dxa"/>
            </w:tcMar>
            <w:vAlign w:val="bottom"/>
          </w:tcPr>
          <w:p w:rsidR="006F4A66" w:rsidRPr="006F4A66" w:rsidP="006F4A66" w14:paraId="0240F151" w14:textId="732979F9">
            <w:pPr>
              <w:adjustRightInd/>
              <w:jc w:val="right"/>
              <w:textAlignment w:val="auto"/>
              <w:rPr>
                <w:rFonts w:eastAsia="Calibri"/>
                <w:b/>
                <w:bCs/>
                <w:color w:val="000000"/>
                <w:sz w:val="18"/>
                <w:szCs w:val="18"/>
              </w:rPr>
            </w:pPr>
            <w:r w:rsidRPr="006F4A66">
              <w:rPr>
                <w:color w:val="000000"/>
                <w:sz w:val="18"/>
                <w:szCs w:val="18"/>
              </w:rPr>
              <w:t xml:space="preserve">$9,070 </w:t>
            </w:r>
          </w:p>
        </w:tc>
      </w:tr>
      <w:tr w14:paraId="7888C55D" w14:textId="77777777" w:rsidTr="006F4A66">
        <w:tblPrEx>
          <w:tblW w:w="9990" w:type="dxa"/>
          <w:tblInd w:w="80" w:type="dxa"/>
          <w:tblCellMar>
            <w:left w:w="0" w:type="dxa"/>
            <w:right w:w="0" w:type="dxa"/>
          </w:tblCellMar>
          <w:tblLook w:val="04A0"/>
        </w:tblPrEx>
        <w:trPr>
          <w:trHeight w:val="358"/>
        </w:trPr>
        <w:tc>
          <w:tcPr>
            <w:tcW w:w="1723" w:type="dxa"/>
            <w:tcMar>
              <w:top w:w="0" w:type="dxa"/>
              <w:left w:w="108" w:type="dxa"/>
              <w:bottom w:w="0" w:type="dxa"/>
              <w:right w:w="108" w:type="dxa"/>
            </w:tcMar>
          </w:tcPr>
          <w:p w:rsidR="006F4A66" w:rsidRPr="006F4A66" w:rsidP="006F4A66" w14:paraId="24C046DA" w14:textId="4275330A">
            <w:pPr>
              <w:adjustRightInd/>
              <w:textAlignment w:val="auto"/>
              <w:rPr>
                <w:rFonts w:eastAsia="Calibri"/>
                <w:b/>
                <w:bCs/>
                <w:color w:val="000000"/>
                <w:sz w:val="18"/>
                <w:szCs w:val="18"/>
              </w:rPr>
            </w:pPr>
            <w:r w:rsidRPr="006F4A66">
              <w:rPr>
                <w:sz w:val="18"/>
                <w:szCs w:val="18"/>
              </w:rPr>
              <w:t>Application</w:t>
            </w:r>
          </w:p>
        </w:tc>
        <w:tc>
          <w:tcPr>
            <w:tcW w:w="1306" w:type="dxa"/>
            <w:tcMar>
              <w:top w:w="0" w:type="dxa"/>
              <w:left w:w="108" w:type="dxa"/>
              <w:bottom w:w="0" w:type="dxa"/>
              <w:right w:w="108" w:type="dxa"/>
            </w:tcMar>
            <w:vAlign w:val="center"/>
          </w:tcPr>
          <w:p w:rsidR="006F4A66" w:rsidRPr="006F4A66" w:rsidP="006F4A66" w14:paraId="7F6AD882" w14:textId="709CB0F0">
            <w:pPr>
              <w:adjustRightInd/>
              <w:jc w:val="center"/>
              <w:textAlignment w:val="auto"/>
              <w:rPr>
                <w:rFonts w:eastAsia="Calibri"/>
                <w:b/>
                <w:bCs/>
                <w:color w:val="000000"/>
                <w:sz w:val="18"/>
                <w:szCs w:val="18"/>
              </w:rPr>
            </w:pPr>
            <w:r w:rsidRPr="006F4A66">
              <w:rPr>
                <w:color w:val="000000"/>
                <w:sz w:val="18"/>
                <w:szCs w:val="18"/>
              </w:rPr>
              <w:t>1000</w:t>
            </w:r>
          </w:p>
        </w:tc>
        <w:tc>
          <w:tcPr>
            <w:tcW w:w="1371" w:type="dxa"/>
            <w:tcMar>
              <w:top w:w="0" w:type="dxa"/>
              <w:left w:w="108" w:type="dxa"/>
              <w:bottom w:w="0" w:type="dxa"/>
              <w:right w:w="108" w:type="dxa"/>
            </w:tcMar>
          </w:tcPr>
          <w:p w:rsidR="006F4A66" w:rsidRPr="006F4A66" w:rsidP="006F4A66" w14:paraId="4100DFB9" w14:textId="3824B4E4">
            <w:pPr>
              <w:adjustRightInd/>
              <w:jc w:val="center"/>
              <w:textAlignment w:val="auto"/>
              <w:rPr>
                <w:rFonts w:eastAsia="Calibri"/>
                <w:b/>
                <w:bCs/>
                <w:color w:val="000000"/>
                <w:sz w:val="18"/>
                <w:szCs w:val="18"/>
              </w:rPr>
            </w:pPr>
            <w:r w:rsidRPr="006F4A66">
              <w:rPr>
                <w:rFonts w:eastAsia="Calibri"/>
                <w:b/>
                <w:bCs/>
                <w:color w:val="000000"/>
                <w:sz w:val="18"/>
                <w:szCs w:val="18"/>
              </w:rPr>
              <w:t>1</w:t>
            </w:r>
          </w:p>
        </w:tc>
        <w:tc>
          <w:tcPr>
            <w:tcW w:w="1222" w:type="dxa"/>
            <w:tcMar>
              <w:top w:w="0" w:type="dxa"/>
              <w:left w:w="108" w:type="dxa"/>
              <w:bottom w:w="0" w:type="dxa"/>
              <w:right w:w="108" w:type="dxa"/>
            </w:tcMar>
            <w:vAlign w:val="center"/>
          </w:tcPr>
          <w:p w:rsidR="006F4A66" w:rsidRPr="006F4A66" w:rsidP="006F4A66" w14:paraId="599396A5" w14:textId="1DAD5133">
            <w:pPr>
              <w:adjustRightInd/>
              <w:jc w:val="center"/>
              <w:textAlignment w:val="auto"/>
              <w:rPr>
                <w:rFonts w:eastAsia="Calibri"/>
                <w:b/>
                <w:bCs/>
                <w:color w:val="000000"/>
                <w:sz w:val="18"/>
                <w:szCs w:val="18"/>
              </w:rPr>
            </w:pPr>
            <w:r w:rsidRPr="006F4A66">
              <w:rPr>
                <w:color w:val="000000"/>
                <w:sz w:val="18"/>
                <w:szCs w:val="18"/>
              </w:rPr>
              <w:t>1000</w:t>
            </w:r>
          </w:p>
        </w:tc>
        <w:tc>
          <w:tcPr>
            <w:tcW w:w="1138" w:type="dxa"/>
            <w:tcMar>
              <w:top w:w="0" w:type="dxa"/>
              <w:left w:w="108" w:type="dxa"/>
              <w:bottom w:w="0" w:type="dxa"/>
              <w:right w:w="108" w:type="dxa"/>
            </w:tcMar>
            <w:vAlign w:val="center"/>
          </w:tcPr>
          <w:p w:rsidR="006F4A66" w:rsidRPr="006F4A66" w:rsidP="006F4A66" w14:paraId="0E071B00" w14:textId="1D10C561">
            <w:pPr>
              <w:adjustRightInd/>
              <w:jc w:val="center"/>
              <w:textAlignment w:val="auto"/>
              <w:rPr>
                <w:rFonts w:eastAsia="Calibri"/>
                <w:b/>
                <w:bCs/>
                <w:color w:val="000000"/>
                <w:sz w:val="18"/>
                <w:szCs w:val="18"/>
              </w:rPr>
            </w:pPr>
            <w:r w:rsidRPr="006F4A66">
              <w:rPr>
                <w:color w:val="000000"/>
                <w:sz w:val="18"/>
                <w:szCs w:val="18"/>
              </w:rPr>
              <w:t>2</w:t>
            </w:r>
          </w:p>
        </w:tc>
        <w:tc>
          <w:tcPr>
            <w:tcW w:w="861" w:type="dxa"/>
            <w:tcMar>
              <w:top w:w="0" w:type="dxa"/>
              <w:left w:w="108" w:type="dxa"/>
              <w:bottom w:w="0" w:type="dxa"/>
              <w:right w:w="108" w:type="dxa"/>
            </w:tcMar>
            <w:vAlign w:val="center"/>
          </w:tcPr>
          <w:p w:rsidR="006F4A66" w:rsidRPr="006F4A66" w:rsidP="006F4A66" w14:paraId="41A3876C" w14:textId="2770E864">
            <w:pPr>
              <w:adjustRightInd/>
              <w:jc w:val="center"/>
              <w:textAlignment w:val="auto"/>
              <w:rPr>
                <w:rFonts w:eastAsia="Calibri"/>
                <w:b/>
                <w:bCs/>
                <w:color w:val="000000"/>
                <w:sz w:val="18"/>
                <w:szCs w:val="18"/>
              </w:rPr>
            </w:pPr>
            <w:r w:rsidRPr="006F4A66">
              <w:rPr>
                <w:color w:val="000000"/>
                <w:sz w:val="18"/>
                <w:szCs w:val="18"/>
              </w:rPr>
              <w:t>2000</w:t>
            </w:r>
          </w:p>
        </w:tc>
        <w:tc>
          <w:tcPr>
            <w:tcW w:w="1073" w:type="dxa"/>
            <w:tcMar>
              <w:top w:w="0" w:type="dxa"/>
              <w:left w:w="108" w:type="dxa"/>
              <w:bottom w:w="0" w:type="dxa"/>
              <w:right w:w="108" w:type="dxa"/>
            </w:tcMar>
            <w:vAlign w:val="bottom"/>
          </w:tcPr>
          <w:p w:rsidR="006F4A66" w:rsidRPr="006F4A66" w:rsidP="006F4A66" w14:paraId="398F0B75" w14:textId="4554B497">
            <w:pPr>
              <w:adjustRightInd/>
              <w:jc w:val="right"/>
              <w:textAlignment w:val="auto"/>
              <w:rPr>
                <w:rFonts w:eastAsia="Calibri"/>
                <w:b/>
                <w:bCs/>
                <w:color w:val="000000"/>
                <w:sz w:val="18"/>
                <w:szCs w:val="18"/>
              </w:rPr>
            </w:pPr>
            <w:r w:rsidRPr="006F4A66">
              <w:rPr>
                <w:color w:val="000000"/>
                <w:sz w:val="18"/>
                <w:szCs w:val="18"/>
              </w:rPr>
              <w:t xml:space="preserve">$36.28 </w:t>
            </w:r>
          </w:p>
        </w:tc>
        <w:tc>
          <w:tcPr>
            <w:tcW w:w="1296" w:type="dxa"/>
            <w:tcMar>
              <w:top w:w="0" w:type="dxa"/>
              <w:left w:w="108" w:type="dxa"/>
              <w:bottom w:w="0" w:type="dxa"/>
              <w:right w:w="108" w:type="dxa"/>
            </w:tcMar>
            <w:vAlign w:val="bottom"/>
          </w:tcPr>
          <w:p w:rsidR="006F4A66" w:rsidRPr="006F4A66" w:rsidP="006F4A66" w14:paraId="3FB75D72" w14:textId="7EDCCC39">
            <w:pPr>
              <w:adjustRightInd/>
              <w:jc w:val="right"/>
              <w:textAlignment w:val="auto"/>
              <w:rPr>
                <w:rFonts w:eastAsia="Calibri"/>
                <w:b/>
                <w:bCs/>
                <w:color w:val="000000"/>
                <w:sz w:val="18"/>
                <w:szCs w:val="18"/>
              </w:rPr>
            </w:pPr>
            <w:r w:rsidRPr="006F4A66">
              <w:rPr>
                <w:color w:val="000000"/>
                <w:sz w:val="18"/>
                <w:szCs w:val="18"/>
              </w:rPr>
              <w:t xml:space="preserve">$72,560 </w:t>
            </w:r>
          </w:p>
        </w:tc>
      </w:tr>
      <w:tr w14:paraId="6679F8E9" w14:textId="77777777" w:rsidTr="006F4A66">
        <w:tblPrEx>
          <w:tblW w:w="9990" w:type="dxa"/>
          <w:tblInd w:w="80" w:type="dxa"/>
          <w:tblCellMar>
            <w:left w:w="0" w:type="dxa"/>
            <w:right w:w="0" w:type="dxa"/>
          </w:tblCellMar>
          <w:tblLook w:val="04A0"/>
        </w:tblPrEx>
        <w:tc>
          <w:tcPr>
            <w:tcW w:w="1723" w:type="dxa"/>
            <w:tcMar>
              <w:top w:w="0" w:type="dxa"/>
              <w:left w:w="108" w:type="dxa"/>
              <w:bottom w:w="0" w:type="dxa"/>
              <w:right w:w="108" w:type="dxa"/>
            </w:tcMar>
          </w:tcPr>
          <w:p w:rsidR="006F4A66" w:rsidRPr="004C66F1" w:rsidP="006F4A66" w14:paraId="75F386FB" w14:textId="2533E0B3">
            <w:pPr>
              <w:adjustRightInd/>
              <w:textAlignment w:val="auto"/>
              <w:rPr>
                <w:rFonts w:eastAsia="Calibri"/>
                <w:b/>
                <w:bCs/>
                <w:color w:val="000000"/>
                <w:sz w:val="18"/>
                <w:szCs w:val="18"/>
              </w:rPr>
            </w:pPr>
            <w:r w:rsidRPr="004C66F1">
              <w:rPr>
                <w:b/>
                <w:bCs/>
                <w:sz w:val="18"/>
                <w:szCs w:val="18"/>
              </w:rPr>
              <w:t>Total</w:t>
            </w:r>
          </w:p>
        </w:tc>
        <w:tc>
          <w:tcPr>
            <w:tcW w:w="1306" w:type="dxa"/>
            <w:tcMar>
              <w:top w:w="0" w:type="dxa"/>
              <w:left w:w="108" w:type="dxa"/>
              <w:bottom w:w="0" w:type="dxa"/>
              <w:right w:w="108" w:type="dxa"/>
            </w:tcMar>
          </w:tcPr>
          <w:p w:rsidR="006F4A66" w:rsidRPr="004C66F1" w:rsidP="006F4A66" w14:paraId="1A8E4911" w14:textId="77777777">
            <w:pPr>
              <w:adjustRightInd/>
              <w:jc w:val="center"/>
              <w:textAlignment w:val="auto"/>
              <w:rPr>
                <w:rFonts w:eastAsia="Calibri"/>
                <w:b/>
                <w:bCs/>
                <w:color w:val="000000"/>
                <w:sz w:val="18"/>
                <w:szCs w:val="18"/>
              </w:rPr>
            </w:pPr>
          </w:p>
        </w:tc>
        <w:tc>
          <w:tcPr>
            <w:tcW w:w="1371" w:type="dxa"/>
            <w:tcMar>
              <w:top w:w="0" w:type="dxa"/>
              <w:left w:w="108" w:type="dxa"/>
              <w:bottom w:w="0" w:type="dxa"/>
              <w:right w:w="108" w:type="dxa"/>
            </w:tcMar>
          </w:tcPr>
          <w:p w:rsidR="006F4A66" w:rsidRPr="004C66F1" w:rsidP="006F4A66" w14:paraId="5F95CAA5" w14:textId="77777777">
            <w:pPr>
              <w:adjustRightInd/>
              <w:jc w:val="center"/>
              <w:textAlignment w:val="auto"/>
              <w:rPr>
                <w:rFonts w:eastAsia="Calibri"/>
                <w:b/>
                <w:bCs/>
                <w:color w:val="000000"/>
                <w:sz w:val="18"/>
                <w:szCs w:val="18"/>
              </w:rPr>
            </w:pPr>
          </w:p>
        </w:tc>
        <w:tc>
          <w:tcPr>
            <w:tcW w:w="1222" w:type="dxa"/>
            <w:tcMar>
              <w:top w:w="0" w:type="dxa"/>
              <w:left w:w="108" w:type="dxa"/>
              <w:bottom w:w="0" w:type="dxa"/>
              <w:right w:w="108" w:type="dxa"/>
            </w:tcMar>
            <w:vAlign w:val="center"/>
          </w:tcPr>
          <w:p w:rsidR="006F4A66" w:rsidRPr="004C66F1" w:rsidP="006F4A66" w14:paraId="108C01FF" w14:textId="740CC05B">
            <w:pPr>
              <w:adjustRightInd/>
              <w:jc w:val="center"/>
              <w:textAlignment w:val="auto"/>
              <w:rPr>
                <w:rFonts w:eastAsia="Calibri"/>
                <w:b/>
                <w:bCs/>
                <w:color w:val="000000"/>
                <w:sz w:val="18"/>
                <w:szCs w:val="18"/>
              </w:rPr>
            </w:pPr>
            <w:r w:rsidRPr="004C66F1">
              <w:rPr>
                <w:b/>
                <w:bCs/>
                <w:color w:val="000000"/>
                <w:sz w:val="18"/>
                <w:szCs w:val="18"/>
              </w:rPr>
              <w:t>2200</w:t>
            </w:r>
          </w:p>
        </w:tc>
        <w:tc>
          <w:tcPr>
            <w:tcW w:w="1138" w:type="dxa"/>
            <w:tcMar>
              <w:top w:w="0" w:type="dxa"/>
              <w:left w:w="108" w:type="dxa"/>
              <w:bottom w:w="0" w:type="dxa"/>
              <w:right w:w="108" w:type="dxa"/>
            </w:tcMar>
            <w:vAlign w:val="center"/>
          </w:tcPr>
          <w:p w:rsidR="006F4A66" w:rsidRPr="004C66F1" w:rsidP="006F4A66" w14:paraId="6635563F" w14:textId="283C6177">
            <w:pPr>
              <w:adjustRightInd/>
              <w:jc w:val="center"/>
              <w:textAlignment w:val="auto"/>
              <w:rPr>
                <w:rFonts w:eastAsia="Calibri"/>
                <w:b/>
                <w:bCs/>
                <w:color w:val="000000"/>
                <w:sz w:val="18"/>
                <w:szCs w:val="18"/>
              </w:rPr>
            </w:pPr>
            <w:r w:rsidRPr="004C66F1">
              <w:rPr>
                <w:b/>
                <w:bCs/>
                <w:color w:val="000000"/>
                <w:sz w:val="18"/>
                <w:szCs w:val="18"/>
              </w:rPr>
              <w:t>3.25</w:t>
            </w:r>
          </w:p>
        </w:tc>
        <w:tc>
          <w:tcPr>
            <w:tcW w:w="861" w:type="dxa"/>
            <w:tcMar>
              <w:top w:w="0" w:type="dxa"/>
              <w:left w:w="108" w:type="dxa"/>
              <w:bottom w:w="0" w:type="dxa"/>
              <w:right w:w="108" w:type="dxa"/>
            </w:tcMar>
            <w:vAlign w:val="center"/>
          </w:tcPr>
          <w:p w:rsidR="006F4A66" w:rsidRPr="004C66F1" w:rsidP="006F4A66" w14:paraId="273A9B16" w14:textId="2F73D631">
            <w:pPr>
              <w:adjustRightInd/>
              <w:jc w:val="center"/>
              <w:textAlignment w:val="auto"/>
              <w:rPr>
                <w:rFonts w:eastAsia="Calibri"/>
                <w:b/>
                <w:bCs/>
                <w:color w:val="000000"/>
                <w:sz w:val="18"/>
                <w:szCs w:val="18"/>
              </w:rPr>
            </w:pPr>
            <w:r w:rsidRPr="004C66F1">
              <w:rPr>
                <w:b/>
                <w:bCs/>
                <w:color w:val="000000"/>
                <w:sz w:val="18"/>
                <w:szCs w:val="18"/>
              </w:rPr>
              <w:t>2450</w:t>
            </w:r>
          </w:p>
        </w:tc>
        <w:tc>
          <w:tcPr>
            <w:tcW w:w="1073" w:type="dxa"/>
            <w:tcMar>
              <w:top w:w="0" w:type="dxa"/>
              <w:left w:w="108" w:type="dxa"/>
              <w:bottom w:w="0" w:type="dxa"/>
              <w:right w:w="108" w:type="dxa"/>
            </w:tcMar>
            <w:vAlign w:val="bottom"/>
          </w:tcPr>
          <w:p w:rsidR="006F4A66" w:rsidRPr="004C66F1" w:rsidP="006F4A66" w14:paraId="0E5C5990" w14:textId="7793954C">
            <w:pPr>
              <w:adjustRightInd/>
              <w:jc w:val="right"/>
              <w:textAlignment w:val="auto"/>
              <w:rPr>
                <w:rFonts w:eastAsia="Calibri"/>
                <w:b/>
                <w:bCs/>
                <w:color w:val="000000"/>
                <w:sz w:val="18"/>
                <w:szCs w:val="18"/>
              </w:rPr>
            </w:pPr>
          </w:p>
        </w:tc>
        <w:tc>
          <w:tcPr>
            <w:tcW w:w="1296" w:type="dxa"/>
            <w:tcMar>
              <w:top w:w="0" w:type="dxa"/>
              <w:left w:w="108" w:type="dxa"/>
              <w:bottom w:w="0" w:type="dxa"/>
              <w:right w:w="108" w:type="dxa"/>
            </w:tcMar>
            <w:vAlign w:val="bottom"/>
          </w:tcPr>
          <w:p w:rsidR="006F4A66" w:rsidRPr="004C66F1" w:rsidP="006F4A66" w14:paraId="07E49021" w14:textId="15306A96">
            <w:pPr>
              <w:adjustRightInd/>
              <w:jc w:val="right"/>
              <w:textAlignment w:val="auto"/>
              <w:rPr>
                <w:rFonts w:eastAsia="Calibri"/>
                <w:b/>
                <w:bCs/>
                <w:color w:val="000000"/>
                <w:sz w:val="18"/>
                <w:szCs w:val="18"/>
              </w:rPr>
            </w:pPr>
            <w:r w:rsidRPr="004C66F1">
              <w:rPr>
                <w:b/>
                <w:bCs/>
                <w:color w:val="000000"/>
                <w:sz w:val="18"/>
                <w:szCs w:val="18"/>
              </w:rPr>
              <w:t xml:space="preserve">$88,886 </w:t>
            </w:r>
          </w:p>
        </w:tc>
      </w:tr>
    </w:tbl>
    <w:p w:rsidR="009F6F1C" w:rsidRPr="00E16011" w:rsidP="009F6F1C" w14:paraId="04979831" w14:textId="4263483B">
      <w:pPr>
        <w:tabs>
          <w:tab w:val="right" w:pos="2760"/>
          <w:tab w:val="right" w:pos="3720"/>
          <w:tab w:val="right" w:pos="4800"/>
          <w:tab w:val="right" w:pos="6000"/>
          <w:tab w:val="right" w:pos="7200"/>
        </w:tabs>
        <w:spacing w:before="60"/>
        <w:rPr>
          <w:sz w:val="24"/>
          <w:szCs w:val="24"/>
        </w:rPr>
      </w:pPr>
      <w:r w:rsidRPr="00E16011">
        <w:rPr>
          <w:sz w:val="24"/>
          <w:szCs w:val="24"/>
        </w:rPr>
        <w:tab/>
        <w:t>*Assumes an hourly rate at the</w:t>
      </w:r>
      <w:r w:rsidR="006F4A66">
        <w:rPr>
          <w:sz w:val="24"/>
          <w:szCs w:val="24"/>
        </w:rPr>
        <w:t xml:space="preserve"> </w:t>
      </w:r>
      <w:r w:rsidRPr="006F4A66" w:rsidR="006F4A66">
        <w:rPr>
          <w:b/>
          <w:bCs/>
          <w:sz w:val="24"/>
          <w:szCs w:val="24"/>
        </w:rPr>
        <w:t>base pay</w:t>
      </w:r>
      <w:r w:rsidRPr="00E16011">
        <w:rPr>
          <w:sz w:val="24"/>
          <w:szCs w:val="24"/>
        </w:rPr>
        <w:t xml:space="preserve"> GS-12/Step1 level.</w:t>
      </w:r>
    </w:p>
    <w:p w:rsidR="009F6F1C" w:rsidRPr="00E16011" w:rsidP="009F6F1C" w14:paraId="46B63B8F" w14:textId="77777777">
      <w:pPr>
        <w:keepLines/>
        <w:tabs>
          <w:tab w:val="left" w:pos="360"/>
          <w:tab w:val="left" w:pos="720"/>
        </w:tabs>
        <w:rPr>
          <w:sz w:val="24"/>
          <w:szCs w:val="24"/>
        </w:rPr>
      </w:pPr>
    </w:p>
    <w:p w:rsidR="009F6F1C" w:rsidRPr="00E16011" w:rsidP="009F6F1C" w14:paraId="213F2FE2" w14:textId="77777777">
      <w:pPr>
        <w:tabs>
          <w:tab w:val="left" w:pos="360"/>
        </w:tabs>
        <w:ind w:left="360" w:hanging="360"/>
        <w:rPr>
          <w:sz w:val="24"/>
          <w:szCs w:val="24"/>
        </w:rPr>
      </w:pPr>
    </w:p>
    <w:p w:rsidR="009F6F1C" w:rsidRPr="00E16011" w:rsidP="009F6F1C" w14:paraId="101CBF1B" w14:textId="77777777">
      <w:pPr>
        <w:keepLines/>
        <w:tabs>
          <w:tab w:val="left" w:pos="360"/>
        </w:tabs>
        <w:spacing w:after="80"/>
        <w:ind w:left="360" w:hanging="360"/>
        <w:rPr>
          <w:b/>
          <w:bCs/>
          <w:sz w:val="24"/>
          <w:szCs w:val="24"/>
        </w:rPr>
      </w:pPr>
      <w:r w:rsidRPr="00E16011">
        <w:rPr>
          <w:sz w:val="24"/>
          <w:szCs w:val="24"/>
        </w:rPr>
        <w:t>15.</w:t>
      </w:r>
      <w:r w:rsidRPr="00E16011">
        <w:rPr>
          <w:sz w:val="24"/>
          <w:szCs w:val="24"/>
        </w:rPr>
        <w:tab/>
      </w:r>
      <w:r w:rsidRPr="00E16011">
        <w:rPr>
          <w:b/>
          <w:bCs/>
          <w:sz w:val="24"/>
          <w:szCs w:val="24"/>
        </w:rPr>
        <w:t>Explain the reasons for any program changes or adjustments reported in Items 12 and 14 of the Supporting Statement.</w:t>
      </w:r>
    </w:p>
    <w:p w:rsidR="009F6F1C" w:rsidRPr="00E16011" w:rsidP="009F6F1C" w14:paraId="39DC25A8" w14:textId="3FB73D3F">
      <w:pPr>
        <w:keepLines/>
        <w:tabs>
          <w:tab w:val="left" w:pos="360"/>
          <w:tab w:val="left" w:pos="720"/>
        </w:tabs>
        <w:ind w:left="360"/>
        <w:rPr>
          <w:sz w:val="24"/>
          <w:szCs w:val="24"/>
        </w:rPr>
      </w:pPr>
      <w:r w:rsidRPr="004C66F1">
        <w:rPr>
          <w:sz w:val="24"/>
          <w:szCs w:val="24"/>
        </w:rPr>
        <w:t>Reinstatement with changes of previously approved collection for which approval has expired</w:t>
      </w:r>
    </w:p>
    <w:p w:rsidR="009F6F1C" w:rsidRPr="00E16011" w:rsidP="009F6F1C" w14:paraId="4D9D765F" w14:textId="77777777">
      <w:pPr>
        <w:pStyle w:val="ListParagraph"/>
        <w:tabs>
          <w:tab w:val="left" w:pos="360"/>
        </w:tabs>
        <w:overflowPunct/>
        <w:autoSpaceDE/>
        <w:autoSpaceDN/>
        <w:adjustRightInd/>
        <w:spacing w:after="200" w:line="276" w:lineRule="auto"/>
        <w:ind w:left="360"/>
        <w:textAlignment w:val="auto"/>
        <w:rPr>
          <w:color w:val="000000"/>
          <w:sz w:val="24"/>
          <w:szCs w:val="24"/>
        </w:rPr>
      </w:pPr>
      <w:r w:rsidRPr="00E16011">
        <w:rPr>
          <w:color w:val="000000"/>
          <w:sz w:val="24"/>
          <w:szCs w:val="24"/>
        </w:rPr>
        <w:t xml:space="preserve">The numbers are based on the following assumptions.  The numbers have increased due to increased funding.  The requirements have not changed.  </w:t>
      </w:r>
    </w:p>
    <w:p w:rsidR="009F6F1C" w:rsidRPr="00E16011" w:rsidP="009F6F1C" w14:paraId="2CD2FA46" w14:textId="77777777">
      <w:pPr>
        <w:pStyle w:val="pf0"/>
        <w:numPr>
          <w:ilvl w:val="0"/>
          <w:numId w:val="3"/>
        </w:numPr>
        <w:spacing w:before="0" w:beforeAutospacing="0" w:after="0" w:afterAutospacing="0"/>
        <w:rPr>
          <w:rStyle w:val="cf01"/>
          <w:rFonts w:ascii="Times New Roman" w:hAnsi="Times New Roman" w:cs="Times New Roman"/>
          <w:sz w:val="24"/>
          <w:szCs w:val="24"/>
        </w:rPr>
      </w:pPr>
      <w:r w:rsidRPr="00E16011">
        <w:rPr>
          <w:rStyle w:val="cf01"/>
          <w:rFonts w:ascii="Times New Roman" w:hAnsi="Times New Roman" w:cs="Times New Roman"/>
          <w:sz w:val="24"/>
          <w:szCs w:val="24"/>
        </w:rPr>
        <w:t>Annual Applications/Grantees – 1000</w:t>
      </w:r>
    </w:p>
    <w:p w:rsidR="009F6F1C" w:rsidRPr="00E16011" w:rsidP="009F6F1C" w14:paraId="34D80827" w14:textId="77777777">
      <w:pPr>
        <w:pStyle w:val="pf0"/>
        <w:numPr>
          <w:ilvl w:val="1"/>
          <w:numId w:val="3"/>
        </w:numPr>
        <w:spacing w:before="0" w:beforeAutospacing="0" w:after="0" w:afterAutospacing="0"/>
        <w:rPr>
          <w:rStyle w:val="cf01"/>
          <w:rFonts w:ascii="Times New Roman" w:hAnsi="Times New Roman" w:cs="Times New Roman"/>
          <w:sz w:val="24"/>
          <w:szCs w:val="24"/>
        </w:rPr>
      </w:pPr>
      <w:r w:rsidRPr="00E16011">
        <w:rPr>
          <w:rStyle w:val="cf01"/>
          <w:rFonts w:ascii="Times New Roman" w:hAnsi="Times New Roman" w:cs="Times New Roman"/>
          <w:sz w:val="24"/>
          <w:szCs w:val="24"/>
        </w:rPr>
        <w:t>PIH Applications/Grantees – 800</w:t>
      </w:r>
    </w:p>
    <w:p w:rsidR="009F6F1C" w:rsidRPr="00E16011" w:rsidP="009F6F1C" w14:paraId="5EBD86E6" w14:textId="77777777">
      <w:pPr>
        <w:pStyle w:val="pf0"/>
        <w:numPr>
          <w:ilvl w:val="1"/>
          <w:numId w:val="3"/>
        </w:numPr>
        <w:spacing w:before="0" w:beforeAutospacing="0" w:after="0" w:afterAutospacing="0"/>
      </w:pPr>
      <w:r w:rsidRPr="00E16011">
        <w:rPr>
          <w:rStyle w:val="cf01"/>
          <w:rFonts w:ascii="Times New Roman" w:hAnsi="Times New Roman" w:cs="Times New Roman"/>
          <w:sz w:val="24"/>
          <w:szCs w:val="24"/>
        </w:rPr>
        <w:t>MF Applications/Grantees – 200</w:t>
      </w:r>
    </w:p>
    <w:p w:rsidR="009F6F1C" w:rsidRPr="00E16011" w:rsidP="009F6F1C" w14:paraId="27ED1161" w14:textId="77777777">
      <w:pPr>
        <w:pStyle w:val="pf0"/>
        <w:numPr>
          <w:ilvl w:val="0"/>
          <w:numId w:val="3"/>
        </w:numPr>
        <w:spacing w:before="0" w:beforeAutospacing="0" w:after="0" w:afterAutospacing="0"/>
      </w:pPr>
      <w:r w:rsidRPr="00E16011">
        <w:rPr>
          <w:rStyle w:val="cf01"/>
          <w:rFonts w:ascii="Times New Roman" w:hAnsi="Times New Roman" w:cs="Times New Roman"/>
          <w:sz w:val="24"/>
          <w:szCs w:val="24"/>
        </w:rPr>
        <w:t>Future new grantees – 200</w:t>
      </w:r>
    </w:p>
    <w:p w:rsidR="009F6F1C" w:rsidRPr="00E16011" w:rsidP="009F6F1C" w14:paraId="4CC07853" w14:textId="77777777">
      <w:pPr>
        <w:pStyle w:val="pf0"/>
        <w:numPr>
          <w:ilvl w:val="0"/>
          <w:numId w:val="3"/>
        </w:numPr>
        <w:spacing w:before="0" w:beforeAutospacing="0" w:after="0" w:afterAutospacing="0"/>
      </w:pPr>
      <w:r w:rsidRPr="00E16011">
        <w:rPr>
          <w:rStyle w:val="cf01"/>
          <w:rFonts w:ascii="Times New Roman" w:hAnsi="Times New Roman" w:cs="Times New Roman"/>
          <w:sz w:val="24"/>
          <w:szCs w:val="24"/>
        </w:rPr>
        <w:t>New Cooperative Agreements each year 250</w:t>
      </w:r>
    </w:p>
    <w:p w:rsidR="009F6F1C" w:rsidRPr="00E16011" w:rsidP="009F6F1C" w14:paraId="0ED4E9F0" w14:textId="77777777">
      <w:pPr>
        <w:pStyle w:val="pf0"/>
        <w:numPr>
          <w:ilvl w:val="0"/>
          <w:numId w:val="3"/>
        </w:numPr>
        <w:spacing w:before="0" w:beforeAutospacing="0" w:after="0" w:afterAutospacing="0"/>
      </w:pPr>
      <w:r w:rsidRPr="00E16011">
        <w:rPr>
          <w:rStyle w:val="cf01"/>
          <w:rFonts w:ascii="Times New Roman" w:hAnsi="Times New Roman" w:cs="Times New Roman"/>
          <w:sz w:val="24"/>
          <w:szCs w:val="24"/>
        </w:rPr>
        <w:t>New participants each year 25,000</w:t>
      </w:r>
    </w:p>
    <w:p w:rsidR="009F6F1C" w:rsidRPr="00E16011" w:rsidP="009F6F1C" w14:paraId="191F513D" w14:textId="77777777">
      <w:pPr>
        <w:pStyle w:val="pf0"/>
        <w:numPr>
          <w:ilvl w:val="0"/>
          <w:numId w:val="3"/>
        </w:numPr>
        <w:spacing w:before="0" w:beforeAutospacing="0" w:after="0" w:afterAutospacing="0"/>
      </w:pPr>
      <w:r w:rsidRPr="00E16011">
        <w:rPr>
          <w:rStyle w:val="cf01"/>
          <w:rFonts w:ascii="Times New Roman" w:hAnsi="Times New Roman" w:cs="Times New Roman"/>
          <w:sz w:val="24"/>
          <w:szCs w:val="24"/>
        </w:rPr>
        <w:t>Total participants each year 100,000</w:t>
      </w:r>
    </w:p>
    <w:p w:rsidR="009F6F1C" w:rsidRPr="00E16011" w:rsidP="009F6F1C" w14:paraId="617C5BB6" w14:textId="77777777">
      <w:pPr>
        <w:pStyle w:val="pf0"/>
        <w:numPr>
          <w:ilvl w:val="1"/>
          <w:numId w:val="3"/>
        </w:numPr>
        <w:spacing w:before="0" w:beforeAutospacing="0" w:after="0" w:afterAutospacing="0"/>
      </w:pPr>
      <w:r w:rsidRPr="00E16011">
        <w:rPr>
          <w:rStyle w:val="cf01"/>
          <w:rFonts w:ascii="Times New Roman" w:hAnsi="Times New Roman" w:cs="Times New Roman"/>
          <w:sz w:val="24"/>
          <w:szCs w:val="24"/>
        </w:rPr>
        <w:t>PIH participants 80,000</w:t>
      </w:r>
    </w:p>
    <w:p w:rsidR="009F6F1C" w:rsidRPr="00E16011" w:rsidP="009F6F1C" w14:paraId="7AD74B0D" w14:textId="77777777">
      <w:pPr>
        <w:pStyle w:val="pf0"/>
        <w:numPr>
          <w:ilvl w:val="1"/>
          <w:numId w:val="3"/>
        </w:numPr>
        <w:spacing w:before="0" w:beforeAutospacing="0" w:after="0" w:afterAutospacing="0"/>
      </w:pPr>
      <w:r w:rsidRPr="00E16011">
        <w:rPr>
          <w:rStyle w:val="cf01"/>
          <w:rFonts w:ascii="Times New Roman" w:hAnsi="Times New Roman" w:cs="Times New Roman"/>
          <w:sz w:val="24"/>
          <w:szCs w:val="24"/>
        </w:rPr>
        <w:t>MF participants 20,000</w:t>
      </w:r>
    </w:p>
    <w:p w:rsidR="009F6F1C" w:rsidRPr="00E16011" w:rsidP="009F6F1C" w14:paraId="30672E2E" w14:textId="77777777">
      <w:pPr>
        <w:pStyle w:val="ListParagraph"/>
        <w:tabs>
          <w:tab w:val="left" w:pos="360"/>
        </w:tabs>
        <w:ind w:left="360"/>
        <w:rPr>
          <w:color w:val="000000"/>
          <w:sz w:val="24"/>
          <w:szCs w:val="24"/>
        </w:rPr>
      </w:pPr>
    </w:p>
    <w:p w:rsidR="009F6F1C" w:rsidRPr="00E16011" w:rsidP="009F6F1C" w14:paraId="01636951" w14:textId="5392AEE2">
      <w:pPr>
        <w:pStyle w:val="ListParagraph"/>
        <w:numPr>
          <w:ilvl w:val="0"/>
          <w:numId w:val="4"/>
        </w:numPr>
        <w:tabs>
          <w:tab w:val="left" w:pos="360"/>
        </w:tabs>
        <w:overflowPunct/>
        <w:autoSpaceDE/>
        <w:autoSpaceDN/>
        <w:adjustRightInd/>
        <w:spacing w:after="200" w:line="276" w:lineRule="auto"/>
        <w:textAlignment w:val="auto"/>
        <w:rPr>
          <w:color w:val="000000"/>
          <w:sz w:val="24"/>
          <w:szCs w:val="24"/>
        </w:rPr>
      </w:pPr>
      <w:r w:rsidRPr="00E16011">
        <w:rPr>
          <w:color w:val="000000"/>
          <w:sz w:val="24"/>
          <w:szCs w:val="24"/>
        </w:rPr>
        <w:t xml:space="preserve">All applicants submit an SF-424, </w:t>
      </w:r>
      <w:r w:rsidRPr="00E16011" w:rsidR="00B8577C">
        <w:rPr>
          <w:color w:val="000000"/>
          <w:sz w:val="24"/>
          <w:szCs w:val="24"/>
        </w:rPr>
        <w:t xml:space="preserve">HUD-424B, </w:t>
      </w:r>
      <w:r w:rsidRPr="00E16011">
        <w:rPr>
          <w:color w:val="000000"/>
          <w:sz w:val="24"/>
          <w:szCs w:val="24"/>
        </w:rPr>
        <w:t xml:space="preserve">HUD-52651 and a HUD-2880.  They submit an SF-LLL if applicable.  We may have a narrative for all applicants in the future.  </w:t>
      </w:r>
    </w:p>
    <w:p w:rsidR="009F6F1C" w:rsidRPr="00E16011" w:rsidP="009F6F1C" w14:paraId="5DCBEA4B" w14:textId="77777777">
      <w:pPr>
        <w:pStyle w:val="ListParagraph"/>
        <w:numPr>
          <w:ilvl w:val="0"/>
          <w:numId w:val="4"/>
        </w:numPr>
        <w:tabs>
          <w:tab w:val="left" w:pos="360"/>
        </w:tabs>
        <w:overflowPunct/>
        <w:autoSpaceDE/>
        <w:autoSpaceDN/>
        <w:adjustRightInd/>
        <w:spacing w:after="200" w:line="276" w:lineRule="auto"/>
        <w:textAlignment w:val="auto"/>
        <w:rPr>
          <w:color w:val="000000"/>
          <w:sz w:val="24"/>
          <w:szCs w:val="24"/>
        </w:rPr>
      </w:pPr>
      <w:r w:rsidRPr="00E16011">
        <w:rPr>
          <w:color w:val="000000"/>
          <w:sz w:val="24"/>
          <w:szCs w:val="24"/>
        </w:rPr>
        <w:t>All new grantees submit an FSS Action Plan</w:t>
      </w:r>
    </w:p>
    <w:p w:rsidR="009F6F1C" w:rsidRPr="00E16011" w:rsidP="009F6F1C" w14:paraId="72E81CFB" w14:textId="77777777">
      <w:pPr>
        <w:pStyle w:val="ListParagraph"/>
        <w:numPr>
          <w:ilvl w:val="0"/>
          <w:numId w:val="4"/>
        </w:numPr>
        <w:tabs>
          <w:tab w:val="left" w:pos="360"/>
        </w:tabs>
        <w:overflowPunct/>
        <w:autoSpaceDE/>
        <w:autoSpaceDN/>
        <w:adjustRightInd/>
        <w:spacing w:after="200" w:line="276" w:lineRule="auto"/>
        <w:textAlignment w:val="auto"/>
        <w:rPr>
          <w:color w:val="000000"/>
          <w:sz w:val="24"/>
          <w:szCs w:val="24"/>
        </w:rPr>
      </w:pPr>
      <w:r w:rsidRPr="00E16011">
        <w:rPr>
          <w:color w:val="000000"/>
          <w:sz w:val="24"/>
          <w:szCs w:val="24"/>
        </w:rPr>
        <w:t>Every new participant requires a HUD-52650 Contract of Participation</w:t>
      </w:r>
    </w:p>
    <w:p w:rsidR="009F6F1C" w:rsidRPr="00E16011" w:rsidP="009F6F1C" w14:paraId="4DACB767" w14:textId="2043B8AA">
      <w:pPr>
        <w:pStyle w:val="ListParagraph"/>
        <w:numPr>
          <w:ilvl w:val="0"/>
          <w:numId w:val="4"/>
        </w:numPr>
        <w:tabs>
          <w:tab w:val="left" w:pos="360"/>
        </w:tabs>
        <w:overflowPunct/>
        <w:autoSpaceDE/>
        <w:autoSpaceDN/>
        <w:adjustRightInd/>
        <w:spacing w:after="200" w:line="276" w:lineRule="auto"/>
        <w:textAlignment w:val="auto"/>
        <w:rPr>
          <w:color w:val="000000"/>
          <w:sz w:val="24"/>
          <w:szCs w:val="24"/>
        </w:rPr>
      </w:pPr>
      <w:r w:rsidRPr="00E16011">
        <w:rPr>
          <w:color w:val="000000"/>
          <w:sz w:val="24"/>
          <w:szCs w:val="24"/>
        </w:rPr>
        <w:t>Every PIH participant is reported on the HUD-50058 (or HUD-50058-MTW or HUD-50058-MTW Expansion).  Since there is no FSS Addendum on the HUD-50059, we don’t use it.  Instead, PBRA owners submit one PBRA FSS Report</w:t>
      </w:r>
      <w:r w:rsidR="00195153">
        <w:rPr>
          <w:color w:val="000000"/>
          <w:sz w:val="24"/>
          <w:szCs w:val="24"/>
        </w:rPr>
        <w:t>ing Tool</w:t>
      </w:r>
      <w:r w:rsidRPr="00E16011">
        <w:rPr>
          <w:color w:val="000000"/>
          <w:sz w:val="24"/>
          <w:szCs w:val="24"/>
        </w:rPr>
        <w:t xml:space="preserve"> (HUD</w:t>
      </w:r>
      <w:r w:rsidRPr="00E16011" w:rsidR="00F441E1">
        <w:rPr>
          <w:color w:val="000000"/>
          <w:sz w:val="24"/>
          <w:szCs w:val="24"/>
        </w:rPr>
        <w:t>-</w:t>
      </w:r>
      <w:r w:rsidR="00195153">
        <w:rPr>
          <w:color w:val="000000"/>
          <w:sz w:val="24"/>
          <w:szCs w:val="24"/>
        </w:rPr>
        <w:t>52653</w:t>
      </w:r>
      <w:r w:rsidRPr="00E16011">
        <w:rPr>
          <w:color w:val="000000"/>
          <w:sz w:val="24"/>
          <w:szCs w:val="24"/>
        </w:rPr>
        <w:t>) each year.</w:t>
      </w:r>
    </w:p>
    <w:p w:rsidR="009F6F1C" w:rsidRPr="00E16011" w:rsidP="009F6F1C" w14:paraId="7604CBBF" w14:textId="77777777">
      <w:pPr>
        <w:pStyle w:val="ListParagraph"/>
        <w:numPr>
          <w:ilvl w:val="0"/>
          <w:numId w:val="4"/>
        </w:numPr>
        <w:tabs>
          <w:tab w:val="left" w:pos="360"/>
        </w:tabs>
        <w:overflowPunct/>
        <w:autoSpaceDE/>
        <w:autoSpaceDN/>
        <w:adjustRightInd/>
        <w:spacing w:after="200" w:line="276" w:lineRule="auto"/>
        <w:textAlignment w:val="auto"/>
        <w:rPr>
          <w:color w:val="000000"/>
          <w:sz w:val="24"/>
          <w:szCs w:val="24"/>
        </w:rPr>
      </w:pPr>
      <w:r w:rsidRPr="00E16011">
        <w:rPr>
          <w:color w:val="000000"/>
          <w:sz w:val="24"/>
          <w:szCs w:val="24"/>
        </w:rPr>
        <w:t>Every FSS program will complete an Annual Survey once per year.</w:t>
      </w:r>
    </w:p>
    <w:p w:rsidR="009F6F1C" w:rsidRPr="00E16011" w:rsidP="009F6F1C" w14:paraId="31095CB8" w14:textId="77777777">
      <w:pPr>
        <w:pStyle w:val="ListParagraph"/>
        <w:numPr>
          <w:ilvl w:val="0"/>
          <w:numId w:val="4"/>
        </w:numPr>
        <w:tabs>
          <w:tab w:val="left" w:pos="360"/>
        </w:tabs>
        <w:overflowPunct/>
        <w:autoSpaceDE/>
        <w:autoSpaceDN/>
        <w:adjustRightInd/>
        <w:spacing w:after="200" w:line="276" w:lineRule="auto"/>
        <w:textAlignment w:val="auto"/>
        <w:rPr>
          <w:color w:val="000000"/>
          <w:sz w:val="24"/>
          <w:szCs w:val="24"/>
        </w:rPr>
      </w:pPr>
      <w:r w:rsidRPr="00E16011">
        <w:rPr>
          <w:color w:val="000000"/>
          <w:sz w:val="24"/>
          <w:szCs w:val="24"/>
        </w:rPr>
        <w:t xml:space="preserve">PIH will conduct a monitoring review of each program once every five years.  </w:t>
      </w:r>
    </w:p>
    <w:p w:rsidR="009F6F1C" w:rsidRPr="00E16011" w:rsidP="009F6F1C" w14:paraId="01D3B4E9" w14:textId="77777777">
      <w:pPr>
        <w:keepLines/>
        <w:tabs>
          <w:tab w:val="left" w:pos="360"/>
        </w:tabs>
        <w:spacing w:after="80"/>
        <w:ind w:left="360" w:hanging="360"/>
        <w:rPr>
          <w:b/>
          <w:bCs/>
          <w:sz w:val="24"/>
          <w:szCs w:val="24"/>
        </w:rPr>
      </w:pPr>
      <w:r w:rsidRPr="00E16011">
        <w:rPr>
          <w:sz w:val="24"/>
          <w:szCs w:val="24"/>
        </w:rPr>
        <w:t>16.</w:t>
      </w:r>
      <w:r w:rsidRPr="00E16011">
        <w:rPr>
          <w:sz w:val="24"/>
          <w:szCs w:val="24"/>
        </w:rPr>
        <w:tab/>
      </w:r>
      <w:r w:rsidRPr="00E16011">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6C03" w:rsidRPr="00E16011" w:rsidP="009F6F1C" w14:paraId="2D5B994F" w14:textId="77777777">
      <w:pPr>
        <w:ind w:left="360"/>
        <w:rPr>
          <w:sz w:val="24"/>
          <w:szCs w:val="24"/>
        </w:rPr>
      </w:pPr>
    </w:p>
    <w:p w:rsidR="009F6F1C" w:rsidRPr="00E16011" w:rsidP="009F6F1C" w14:paraId="31D00B43" w14:textId="6F0BA8E7">
      <w:pPr>
        <w:ind w:left="360"/>
        <w:rPr>
          <w:color w:val="000000"/>
          <w:sz w:val="24"/>
          <w:szCs w:val="24"/>
        </w:rPr>
      </w:pPr>
      <w:r w:rsidRPr="00E16011">
        <w:rPr>
          <w:sz w:val="24"/>
          <w:szCs w:val="24"/>
        </w:rPr>
        <w:t>The information collection results will not be published; the funded grant awards will be published as required by the HUD Reform Act.</w:t>
      </w:r>
      <w:r w:rsidRPr="00E16011">
        <w:rPr>
          <w:color w:val="000000"/>
          <w:sz w:val="24"/>
          <w:szCs w:val="24"/>
        </w:rPr>
        <w:t xml:space="preserve">  </w:t>
      </w:r>
    </w:p>
    <w:p w:rsidR="009F6F1C" w:rsidRPr="00E16011" w:rsidP="009F6F1C" w14:paraId="154CE129" w14:textId="77777777">
      <w:pPr>
        <w:ind w:left="360"/>
        <w:rPr>
          <w:color w:val="000000"/>
          <w:sz w:val="24"/>
          <w:szCs w:val="24"/>
        </w:rPr>
      </w:pPr>
    </w:p>
    <w:p w:rsidR="00CD6C03" w:rsidRPr="00E16011" w:rsidP="009F6F1C" w14:paraId="0E7F0E11" w14:textId="77777777">
      <w:pPr>
        <w:ind w:left="360"/>
        <w:rPr>
          <w:color w:val="000000"/>
          <w:sz w:val="24"/>
          <w:szCs w:val="24"/>
        </w:rPr>
      </w:pPr>
    </w:p>
    <w:p w:rsidR="00CD6C03" w:rsidRPr="00E16011" w:rsidP="009F6F1C" w14:paraId="55806990" w14:textId="77777777">
      <w:pPr>
        <w:ind w:left="360"/>
        <w:rPr>
          <w:color w:val="000000"/>
          <w:sz w:val="24"/>
          <w:szCs w:val="24"/>
        </w:rPr>
      </w:pPr>
    </w:p>
    <w:p w:rsidR="00CD6C03" w:rsidRPr="00E16011" w:rsidP="009F6F1C" w14:paraId="7F8722E8" w14:textId="77777777">
      <w:pPr>
        <w:ind w:left="360"/>
        <w:rPr>
          <w:color w:val="000000"/>
          <w:sz w:val="24"/>
          <w:szCs w:val="24"/>
        </w:rPr>
      </w:pPr>
    </w:p>
    <w:p w:rsidR="009F6F1C" w:rsidRPr="00E16011" w:rsidP="009F6F1C" w14:paraId="4166A7E1" w14:textId="77777777">
      <w:pPr>
        <w:keepLines/>
        <w:tabs>
          <w:tab w:val="left" w:pos="360"/>
        </w:tabs>
        <w:spacing w:after="80"/>
        <w:ind w:left="360" w:hanging="360"/>
        <w:rPr>
          <w:sz w:val="24"/>
          <w:szCs w:val="24"/>
        </w:rPr>
      </w:pPr>
      <w:r w:rsidRPr="00E16011">
        <w:rPr>
          <w:sz w:val="24"/>
          <w:szCs w:val="24"/>
        </w:rPr>
        <w:t>17.</w:t>
      </w:r>
      <w:r w:rsidRPr="00E16011">
        <w:rPr>
          <w:sz w:val="24"/>
          <w:szCs w:val="24"/>
        </w:rPr>
        <w:tab/>
      </w:r>
      <w:r w:rsidRPr="00E16011">
        <w:rPr>
          <w:b/>
          <w:bCs/>
          <w:sz w:val="24"/>
          <w:szCs w:val="24"/>
        </w:rPr>
        <w:t>If seeking approval to not display the expiration date for OMB approval of the information collection, explain the reasons that display would be inappropriate</w:t>
      </w:r>
      <w:r w:rsidRPr="00E16011">
        <w:rPr>
          <w:sz w:val="24"/>
          <w:szCs w:val="24"/>
        </w:rPr>
        <w:t>.</w:t>
      </w:r>
    </w:p>
    <w:p w:rsidR="00CD6C03" w:rsidRPr="00E16011" w:rsidP="009F6F1C" w14:paraId="55ED8AFB" w14:textId="77777777">
      <w:pPr>
        <w:ind w:left="360"/>
        <w:rPr>
          <w:sz w:val="24"/>
          <w:szCs w:val="24"/>
        </w:rPr>
      </w:pPr>
    </w:p>
    <w:p w:rsidR="009F6F1C" w:rsidRPr="00E16011" w:rsidP="009F6F1C" w14:paraId="1A432F3E" w14:textId="7E531F87">
      <w:pPr>
        <w:ind w:left="360"/>
        <w:rPr>
          <w:color w:val="000000"/>
          <w:sz w:val="24"/>
          <w:szCs w:val="24"/>
        </w:rPr>
      </w:pPr>
      <w:r w:rsidRPr="00E16011">
        <w:rPr>
          <w:sz w:val="24"/>
          <w:szCs w:val="24"/>
        </w:rPr>
        <w:t xml:space="preserve">The expiration date and the OMB approval number will be displayed in the Notice of Funding </w:t>
      </w:r>
      <w:r w:rsidRPr="00E16011" w:rsidR="00B8577C">
        <w:rPr>
          <w:sz w:val="24"/>
          <w:szCs w:val="24"/>
        </w:rPr>
        <w:t xml:space="preserve">Opportunity </w:t>
      </w:r>
      <w:r w:rsidRPr="00E16011">
        <w:rPr>
          <w:sz w:val="24"/>
          <w:szCs w:val="24"/>
        </w:rPr>
        <w:t>and on all related forms.</w:t>
      </w:r>
      <w:r w:rsidRPr="00E16011">
        <w:rPr>
          <w:color w:val="000000"/>
          <w:sz w:val="24"/>
          <w:szCs w:val="24"/>
        </w:rPr>
        <w:t xml:space="preserve"> </w:t>
      </w:r>
    </w:p>
    <w:p w:rsidR="009F6F1C" w:rsidRPr="00E16011" w:rsidP="009F6F1C" w14:paraId="1E782276" w14:textId="77777777">
      <w:pPr>
        <w:keepLines/>
        <w:tabs>
          <w:tab w:val="left" w:pos="360"/>
          <w:tab w:val="left" w:pos="720"/>
        </w:tabs>
        <w:ind w:left="360"/>
        <w:rPr>
          <w:sz w:val="24"/>
          <w:szCs w:val="24"/>
        </w:rPr>
      </w:pPr>
    </w:p>
    <w:p w:rsidR="009F6F1C" w:rsidRPr="00E16011" w:rsidP="009F6F1C" w14:paraId="01CEC08B" w14:textId="77777777">
      <w:pPr>
        <w:keepLines/>
        <w:tabs>
          <w:tab w:val="left" w:pos="360"/>
        </w:tabs>
        <w:spacing w:after="80"/>
        <w:ind w:left="360" w:hanging="360"/>
        <w:rPr>
          <w:b/>
          <w:bCs/>
          <w:sz w:val="24"/>
          <w:szCs w:val="24"/>
        </w:rPr>
      </w:pPr>
      <w:r w:rsidRPr="00E16011">
        <w:rPr>
          <w:sz w:val="24"/>
          <w:szCs w:val="24"/>
        </w:rPr>
        <w:t>18.</w:t>
      </w:r>
      <w:r w:rsidRPr="00E16011">
        <w:rPr>
          <w:sz w:val="24"/>
          <w:szCs w:val="24"/>
        </w:rPr>
        <w:tab/>
      </w:r>
      <w:r w:rsidRPr="00E16011">
        <w:rPr>
          <w:b/>
          <w:bCs/>
          <w:sz w:val="24"/>
          <w:szCs w:val="24"/>
        </w:rPr>
        <w:t>Explain each exception to the certification statement identified in item 19.</w:t>
      </w:r>
    </w:p>
    <w:p w:rsidR="00CD6C03" w:rsidRPr="00E16011" w:rsidP="009F6F1C" w14:paraId="4A47609F" w14:textId="77777777">
      <w:pPr>
        <w:keepLines/>
        <w:tabs>
          <w:tab w:val="left" w:pos="360"/>
          <w:tab w:val="left" w:pos="720"/>
        </w:tabs>
        <w:ind w:left="360"/>
        <w:rPr>
          <w:sz w:val="24"/>
          <w:szCs w:val="24"/>
        </w:rPr>
      </w:pPr>
    </w:p>
    <w:p w:rsidR="009F6F1C" w:rsidRPr="00E16011" w:rsidP="009F6F1C" w14:paraId="73BD4665" w14:textId="14F9B2A7">
      <w:pPr>
        <w:keepLines/>
        <w:tabs>
          <w:tab w:val="left" w:pos="360"/>
          <w:tab w:val="left" w:pos="720"/>
        </w:tabs>
        <w:ind w:left="360"/>
        <w:rPr>
          <w:sz w:val="24"/>
          <w:szCs w:val="24"/>
        </w:rPr>
      </w:pPr>
      <w:r w:rsidRPr="00E16011">
        <w:rPr>
          <w:sz w:val="24"/>
          <w:szCs w:val="24"/>
        </w:rPr>
        <w:t>This collection of information does not employ statistical methods.</w:t>
      </w:r>
    </w:p>
    <w:p w:rsidR="00B523F2" w:rsidRPr="00E16011" w:rsidP="009F6F1C" w14:paraId="64ED3BA6" w14:textId="77777777">
      <w:pPr>
        <w:keepLines/>
        <w:tabs>
          <w:tab w:val="left" w:pos="360"/>
          <w:tab w:val="left" w:pos="720"/>
        </w:tabs>
        <w:ind w:left="360"/>
        <w:rPr>
          <w:sz w:val="24"/>
          <w:szCs w:val="24"/>
        </w:rPr>
      </w:pPr>
    </w:p>
    <w:p w:rsidR="00B523F2" w:rsidRPr="00E16011" w:rsidP="009F6F1C" w14:paraId="7EE6A08B" w14:textId="77777777">
      <w:pPr>
        <w:keepLines/>
        <w:tabs>
          <w:tab w:val="left" w:pos="360"/>
          <w:tab w:val="left" w:pos="720"/>
        </w:tabs>
        <w:ind w:left="360"/>
        <w:rPr>
          <w:sz w:val="24"/>
          <w:szCs w:val="24"/>
        </w:rPr>
      </w:pPr>
    </w:p>
    <w:p w:rsidR="00E757CF" w:rsidRPr="00E16011" w:rsidP="009F6F1C" w14:paraId="6DD2AD61" w14:textId="77777777">
      <w:pPr>
        <w:keepLines/>
        <w:tabs>
          <w:tab w:val="left" w:pos="360"/>
          <w:tab w:val="left" w:pos="720"/>
        </w:tabs>
        <w:ind w:left="360"/>
        <w:rPr>
          <w:sz w:val="24"/>
          <w:szCs w:val="24"/>
        </w:rPr>
      </w:pPr>
    </w:p>
    <w:p w:rsidR="00CE4C30" w:rsidRPr="00E16011" w14:paraId="5B7D4391" w14:textId="77777777">
      <w:pPr>
        <w:rPr>
          <w:sz w:val="24"/>
          <w:szCs w:val="24"/>
        </w:rPr>
      </w:pPr>
    </w:p>
    <w:sectPr w:rsidSect="009F6F1C">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29E8526B"/>
    <w:multiLevelType w:val="hybridMultilevel"/>
    <w:tmpl w:val="460C8B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32D56A4"/>
    <w:multiLevelType w:val="hybridMultilevel"/>
    <w:tmpl w:val="B3FAF362"/>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3">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num w:numId="1" w16cid:durableId="962225968">
    <w:abstractNumId w:val="3"/>
  </w:num>
  <w:num w:numId="2"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251738515">
    <w:abstractNumId w:val="2"/>
  </w:num>
  <w:num w:numId="4" w16cid:durableId="78099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1C"/>
    <w:rsid w:val="00000759"/>
    <w:rsid w:val="00000EDE"/>
    <w:rsid w:val="00017343"/>
    <w:rsid w:val="000339EB"/>
    <w:rsid w:val="000401A0"/>
    <w:rsid w:val="0006179E"/>
    <w:rsid w:val="00064898"/>
    <w:rsid w:val="00064C61"/>
    <w:rsid w:val="000759B0"/>
    <w:rsid w:val="00091D26"/>
    <w:rsid w:val="000A6AE3"/>
    <w:rsid w:val="000A7689"/>
    <w:rsid w:val="000B2AE2"/>
    <w:rsid w:val="000B426F"/>
    <w:rsid w:val="000F3A94"/>
    <w:rsid w:val="000F76FD"/>
    <w:rsid w:val="001076B5"/>
    <w:rsid w:val="00125A20"/>
    <w:rsid w:val="00127A8C"/>
    <w:rsid w:val="001325C5"/>
    <w:rsid w:val="00143A3B"/>
    <w:rsid w:val="001531E3"/>
    <w:rsid w:val="00163C6C"/>
    <w:rsid w:val="00166B5B"/>
    <w:rsid w:val="001722EC"/>
    <w:rsid w:val="0017627E"/>
    <w:rsid w:val="00185645"/>
    <w:rsid w:val="00195153"/>
    <w:rsid w:val="001B58FE"/>
    <w:rsid w:val="001C34EB"/>
    <w:rsid w:val="001C7329"/>
    <w:rsid w:val="001C78F7"/>
    <w:rsid w:val="001D3CBF"/>
    <w:rsid w:val="001D48DF"/>
    <w:rsid w:val="001E53A9"/>
    <w:rsid w:val="00200A72"/>
    <w:rsid w:val="00201E21"/>
    <w:rsid w:val="0021210B"/>
    <w:rsid w:val="00217CD8"/>
    <w:rsid w:val="00233B61"/>
    <w:rsid w:val="002472A5"/>
    <w:rsid w:val="00256532"/>
    <w:rsid w:val="00267282"/>
    <w:rsid w:val="00272CBE"/>
    <w:rsid w:val="0028114F"/>
    <w:rsid w:val="00281326"/>
    <w:rsid w:val="0028480D"/>
    <w:rsid w:val="00284C66"/>
    <w:rsid w:val="0029102F"/>
    <w:rsid w:val="002920D2"/>
    <w:rsid w:val="00293186"/>
    <w:rsid w:val="00295616"/>
    <w:rsid w:val="002B5A14"/>
    <w:rsid w:val="002D1B6F"/>
    <w:rsid w:val="002D5AEC"/>
    <w:rsid w:val="002E378E"/>
    <w:rsid w:val="002E53B7"/>
    <w:rsid w:val="00314459"/>
    <w:rsid w:val="0031650D"/>
    <w:rsid w:val="00324407"/>
    <w:rsid w:val="003325DB"/>
    <w:rsid w:val="00342AAB"/>
    <w:rsid w:val="00353340"/>
    <w:rsid w:val="00384F5C"/>
    <w:rsid w:val="003916E6"/>
    <w:rsid w:val="003A1DF3"/>
    <w:rsid w:val="003B2B6D"/>
    <w:rsid w:val="003B7A71"/>
    <w:rsid w:val="003C4D17"/>
    <w:rsid w:val="003D5418"/>
    <w:rsid w:val="003D7778"/>
    <w:rsid w:val="00404E57"/>
    <w:rsid w:val="004155BD"/>
    <w:rsid w:val="00416DFC"/>
    <w:rsid w:val="00434DCB"/>
    <w:rsid w:val="00435083"/>
    <w:rsid w:val="00440391"/>
    <w:rsid w:val="004512BF"/>
    <w:rsid w:val="00456BBA"/>
    <w:rsid w:val="00457535"/>
    <w:rsid w:val="00461279"/>
    <w:rsid w:val="00466107"/>
    <w:rsid w:val="00471755"/>
    <w:rsid w:val="00480CA8"/>
    <w:rsid w:val="00484D2B"/>
    <w:rsid w:val="004931FF"/>
    <w:rsid w:val="004949CE"/>
    <w:rsid w:val="00495C9A"/>
    <w:rsid w:val="004A2845"/>
    <w:rsid w:val="004A4661"/>
    <w:rsid w:val="004B18A7"/>
    <w:rsid w:val="004C6391"/>
    <w:rsid w:val="004C66F1"/>
    <w:rsid w:val="005249A1"/>
    <w:rsid w:val="005274AD"/>
    <w:rsid w:val="005357FF"/>
    <w:rsid w:val="00561988"/>
    <w:rsid w:val="00567936"/>
    <w:rsid w:val="00567A73"/>
    <w:rsid w:val="00575A86"/>
    <w:rsid w:val="0059003F"/>
    <w:rsid w:val="0059053E"/>
    <w:rsid w:val="00597155"/>
    <w:rsid w:val="00597A70"/>
    <w:rsid w:val="005A602F"/>
    <w:rsid w:val="005B1F25"/>
    <w:rsid w:val="005E2AEF"/>
    <w:rsid w:val="005E7862"/>
    <w:rsid w:val="005F0D7D"/>
    <w:rsid w:val="0060245C"/>
    <w:rsid w:val="006043E5"/>
    <w:rsid w:val="00612713"/>
    <w:rsid w:val="00614F9D"/>
    <w:rsid w:val="00620DA5"/>
    <w:rsid w:val="006300E7"/>
    <w:rsid w:val="00642CE0"/>
    <w:rsid w:val="00657EEF"/>
    <w:rsid w:val="006631C2"/>
    <w:rsid w:val="006638F4"/>
    <w:rsid w:val="006644C4"/>
    <w:rsid w:val="00666405"/>
    <w:rsid w:val="00680A08"/>
    <w:rsid w:val="0068125F"/>
    <w:rsid w:val="006B2581"/>
    <w:rsid w:val="006C72B4"/>
    <w:rsid w:val="006C7CF2"/>
    <w:rsid w:val="006D0E82"/>
    <w:rsid w:val="006E5AD3"/>
    <w:rsid w:val="006F4A66"/>
    <w:rsid w:val="006F5D1B"/>
    <w:rsid w:val="00717FB0"/>
    <w:rsid w:val="00722FBF"/>
    <w:rsid w:val="007311D6"/>
    <w:rsid w:val="00744164"/>
    <w:rsid w:val="00747E0A"/>
    <w:rsid w:val="00761599"/>
    <w:rsid w:val="00763E82"/>
    <w:rsid w:val="0076491F"/>
    <w:rsid w:val="007775F9"/>
    <w:rsid w:val="00781BE3"/>
    <w:rsid w:val="007A0DBC"/>
    <w:rsid w:val="007A1747"/>
    <w:rsid w:val="007B044E"/>
    <w:rsid w:val="007B32F7"/>
    <w:rsid w:val="007B33FC"/>
    <w:rsid w:val="007B4D33"/>
    <w:rsid w:val="007C5939"/>
    <w:rsid w:val="007C7135"/>
    <w:rsid w:val="0080439D"/>
    <w:rsid w:val="008050D5"/>
    <w:rsid w:val="008058B4"/>
    <w:rsid w:val="00807054"/>
    <w:rsid w:val="008131C3"/>
    <w:rsid w:val="008237D1"/>
    <w:rsid w:val="008407FB"/>
    <w:rsid w:val="00842140"/>
    <w:rsid w:val="008422DF"/>
    <w:rsid w:val="008577AB"/>
    <w:rsid w:val="008579A9"/>
    <w:rsid w:val="00882742"/>
    <w:rsid w:val="0088402B"/>
    <w:rsid w:val="00891426"/>
    <w:rsid w:val="008A1D6B"/>
    <w:rsid w:val="008C241A"/>
    <w:rsid w:val="008C3A4C"/>
    <w:rsid w:val="008C42EF"/>
    <w:rsid w:val="008C4C05"/>
    <w:rsid w:val="008F146C"/>
    <w:rsid w:val="008F17A8"/>
    <w:rsid w:val="008F46A9"/>
    <w:rsid w:val="009024CD"/>
    <w:rsid w:val="00905895"/>
    <w:rsid w:val="00910496"/>
    <w:rsid w:val="00933B45"/>
    <w:rsid w:val="009458F1"/>
    <w:rsid w:val="0095151D"/>
    <w:rsid w:val="00952634"/>
    <w:rsid w:val="00963579"/>
    <w:rsid w:val="0099747E"/>
    <w:rsid w:val="009A15A3"/>
    <w:rsid w:val="009B6BAD"/>
    <w:rsid w:val="009C073B"/>
    <w:rsid w:val="009C0918"/>
    <w:rsid w:val="009C5559"/>
    <w:rsid w:val="009C564C"/>
    <w:rsid w:val="009C677C"/>
    <w:rsid w:val="009C7F98"/>
    <w:rsid w:val="009E0988"/>
    <w:rsid w:val="009F32B6"/>
    <w:rsid w:val="009F519F"/>
    <w:rsid w:val="009F6F1C"/>
    <w:rsid w:val="00A014DC"/>
    <w:rsid w:val="00A2297D"/>
    <w:rsid w:val="00A406CA"/>
    <w:rsid w:val="00A53DFD"/>
    <w:rsid w:val="00A56C14"/>
    <w:rsid w:val="00A67B7E"/>
    <w:rsid w:val="00A7679A"/>
    <w:rsid w:val="00A859AE"/>
    <w:rsid w:val="00A85E4C"/>
    <w:rsid w:val="00AB78BB"/>
    <w:rsid w:val="00AD3A83"/>
    <w:rsid w:val="00AE000F"/>
    <w:rsid w:val="00AE0F9F"/>
    <w:rsid w:val="00AE52FF"/>
    <w:rsid w:val="00AE5F67"/>
    <w:rsid w:val="00AE77BC"/>
    <w:rsid w:val="00AF299B"/>
    <w:rsid w:val="00B103E9"/>
    <w:rsid w:val="00B523F2"/>
    <w:rsid w:val="00B55453"/>
    <w:rsid w:val="00B565DB"/>
    <w:rsid w:val="00B668A5"/>
    <w:rsid w:val="00B74E2A"/>
    <w:rsid w:val="00B7678A"/>
    <w:rsid w:val="00B85344"/>
    <w:rsid w:val="00B8577C"/>
    <w:rsid w:val="00B955E1"/>
    <w:rsid w:val="00B9561B"/>
    <w:rsid w:val="00B97BB2"/>
    <w:rsid w:val="00BB3BA0"/>
    <w:rsid w:val="00BC518D"/>
    <w:rsid w:val="00BC6784"/>
    <w:rsid w:val="00BC737B"/>
    <w:rsid w:val="00BE1131"/>
    <w:rsid w:val="00C01F35"/>
    <w:rsid w:val="00C0218D"/>
    <w:rsid w:val="00C02232"/>
    <w:rsid w:val="00C039E4"/>
    <w:rsid w:val="00C051F6"/>
    <w:rsid w:val="00C17DDB"/>
    <w:rsid w:val="00C2063C"/>
    <w:rsid w:val="00C704D1"/>
    <w:rsid w:val="00C7058B"/>
    <w:rsid w:val="00C712DF"/>
    <w:rsid w:val="00C764DD"/>
    <w:rsid w:val="00C835EE"/>
    <w:rsid w:val="00C861CF"/>
    <w:rsid w:val="00C86F77"/>
    <w:rsid w:val="00C90059"/>
    <w:rsid w:val="00CC59FF"/>
    <w:rsid w:val="00CD6C03"/>
    <w:rsid w:val="00CE327C"/>
    <w:rsid w:val="00CE4A0D"/>
    <w:rsid w:val="00CE4C30"/>
    <w:rsid w:val="00CE593B"/>
    <w:rsid w:val="00CF18A7"/>
    <w:rsid w:val="00CF1F7D"/>
    <w:rsid w:val="00D024DA"/>
    <w:rsid w:val="00D1349D"/>
    <w:rsid w:val="00D313F1"/>
    <w:rsid w:val="00D349D3"/>
    <w:rsid w:val="00D43E4E"/>
    <w:rsid w:val="00D452A5"/>
    <w:rsid w:val="00D45689"/>
    <w:rsid w:val="00D5391D"/>
    <w:rsid w:val="00D621F3"/>
    <w:rsid w:val="00D82069"/>
    <w:rsid w:val="00D82DFA"/>
    <w:rsid w:val="00D82EDD"/>
    <w:rsid w:val="00D86EA3"/>
    <w:rsid w:val="00D871CA"/>
    <w:rsid w:val="00D87407"/>
    <w:rsid w:val="00D91276"/>
    <w:rsid w:val="00DA52E2"/>
    <w:rsid w:val="00DA65C5"/>
    <w:rsid w:val="00DB308B"/>
    <w:rsid w:val="00DD0728"/>
    <w:rsid w:val="00DD0B3C"/>
    <w:rsid w:val="00DD0B5E"/>
    <w:rsid w:val="00DD4DB3"/>
    <w:rsid w:val="00DE450A"/>
    <w:rsid w:val="00DE57C8"/>
    <w:rsid w:val="00DF3002"/>
    <w:rsid w:val="00DF781D"/>
    <w:rsid w:val="00E00DB0"/>
    <w:rsid w:val="00E054D7"/>
    <w:rsid w:val="00E16011"/>
    <w:rsid w:val="00E30206"/>
    <w:rsid w:val="00E359F4"/>
    <w:rsid w:val="00E37E72"/>
    <w:rsid w:val="00E524B6"/>
    <w:rsid w:val="00E559EC"/>
    <w:rsid w:val="00E57C91"/>
    <w:rsid w:val="00E757CF"/>
    <w:rsid w:val="00E7718E"/>
    <w:rsid w:val="00E94242"/>
    <w:rsid w:val="00EA4647"/>
    <w:rsid w:val="00EA5DDB"/>
    <w:rsid w:val="00EC46E8"/>
    <w:rsid w:val="00EC71B7"/>
    <w:rsid w:val="00EE3C33"/>
    <w:rsid w:val="00EF0F17"/>
    <w:rsid w:val="00EF52E4"/>
    <w:rsid w:val="00F03010"/>
    <w:rsid w:val="00F04321"/>
    <w:rsid w:val="00F136E3"/>
    <w:rsid w:val="00F1658B"/>
    <w:rsid w:val="00F2048E"/>
    <w:rsid w:val="00F2523C"/>
    <w:rsid w:val="00F4368E"/>
    <w:rsid w:val="00F441E1"/>
    <w:rsid w:val="00F53DE1"/>
    <w:rsid w:val="00F568F3"/>
    <w:rsid w:val="00F63172"/>
    <w:rsid w:val="00F67542"/>
    <w:rsid w:val="00F70A33"/>
    <w:rsid w:val="00F71BF3"/>
    <w:rsid w:val="00F751AA"/>
    <w:rsid w:val="00F7655D"/>
    <w:rsid w:val="00F875D9"/>
    <w:rsid w:val="00F92651"/>
    <w:rsid w:val="00FC396F"/>
    <w:rsid w:val="00FF145C"/>
    <w:rsid w:val="00FF4918"/>
    <w:rsid w:val="00FF5382"/>
    <w:rsid w:val="0BAB66AE"/>
    <w:rsid w:val="0D4E45B3"/>
    <w:rsid w:val="0EE74F37"/>
    <w:rsid w:val="0F1A3D2D"/>
    <w:rsid w:val="0FC3C23C"/>
    <w:rsid w:val="1019E1CA"/>
    <w:rsid w:val="18265FC6"/>
    <w:rsid w:val="1A11424A"/>
    <w:rsid w:val="1C6CA597"/>
    <w:rsid w:val="2322E946"/>
    <w:rsid w:val="27895222"/>
    <w:rsid w:val="28F6AD51"/>
    <w:rsid w:val="2DA17603"/>
    <w:rsid w:val="2FF55312"/>
    <w:rsid w:val="339F83D4"/>
    <w:rsid w:val="3AF2ABD8"/>
    <w:rsid w:val="3B96BA8F"/>
    <w:rsid w:val="3DD4374C"/>
    <w:rsid w:val="41FEDCD4"/>
    <w:rsid w:val="44A10752"/>
    <w:rsid w:val="44E3398F"/>
    <w:rsid w:val="45BF9224"/>
    <w:rsid w:val="5566F20B"/>
    <w:rsid w:val="58B3984B"/>
    <w:rsid w:val="5A375235"/>
    <w:rsid w:val="5BA67C64"/>
    <w:rsid w:val="6017FEFD"/>
    <w:rsid w:val="62EFA305"/>
    <w:rsid w:val="669B097B"/>
    <w:rsid w:val="6E9EE6B6"/>
    <w:rsid w:val="76BBB70C"/>
    <w:rsid w:val="7859BA4E"/>
    <w:rsid w:val="7AC11DD1"/>
    <w:rsid w:val="7D639230"/>
    <w:rsid w:val="7DE6793E"/>
    <w:rsid w:val="7EFF66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618E0"/>
  <w15:chartTrackingRefBased/>
  <w15:docId w15:val="{B68F24BB-1E14-4589-8170-76DDF9AE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F1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F6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F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F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F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F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F1C"/>
    <w:rPr>
      <w:rFonts w:eastAsiaTheme="majorEastAsia" w:cstheme="majorBidi"/>
      <w:color w:val="272727" w:themeColor="text1" w:themeTint="D8"/>
    </w:rPr>
  </w:style>
  <w:style w:type="paragraph" w:styleId="Title">
    <w:name w:val="Title"/>
    <w:basedOn w:val="Normal"/>
    <w:next w:val="Normal"/>
    <w:link w:val="TitleChar"/>
    <w:uiPriority w:val="10"/>
    <w:qFormat/>
    <w:rsid w:val="009F6F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F1C"/>
    <w:pPr>
      <w:spacing w:before="160"/>
      <w:jc w:val="center"/>
    </w:pPr>
    <w:rPr>
      <w:i/>
      <w:iCs/>
      <w:color w:val="404040" w:themeColor="text1" w:themeTint="BF"/>
    </w:rPr>
  </w:style>
  <w:style w:type="character" w:customStyle="1" w:styleId="QuoteChar">
    <w:name w:val="Quote Char"/>
    <w:basedOn w:val="DefaultParagraphFont"/>
    <w:link w:val="Quote"/>
    <w:uiPriority w:val="29"/>
    <w:rsid w:val="009F6F1C"/>
    <w:rPr>
      <w:i/>
      <w:iCs/>
      <w:color w:val="404040" w:themeColor="text1" w:themeTint="BF"/>
    </w:rPr>
  </w:style>
  <w:style w:type="paragraph" w:styleId="ListParagraph">
    <w:name w:val="List Paragraph"/>
    <w:basedOn w:val="Normal"/>
    <w:uiPriority w:val="34"/>
    <w:qFormat/>
    <w:rsid w:val="009F6F1C"/>
    <w:pPr>
      <w:ind w:left="720"/>
      <w:contextualSpacing/>
    </w:pPr>
  </w:style>
  <w:style w:type="character" w:styleId="IntenseEmphasis">
    <w:name w:val="Intense Emphasis"/>
    <w:basedOn w:val="DefaultParagraphFont"/>
    <w:uiPriority w:val="21"/>
    <w:qFormat/>
    <w:rsid w:val="009F6F1C"/>
    <w:rPr>
      <w:i/>
      <w:iCs/>
      <w:color w:val="0F4761" w:themeColor="accent1" w:themeShade="BF"/>
    </w:rPr>
  </w:style>
  <w:style w:type="paragraph" w:styleId="IntenseQuote">
    <w:name w:val="Intense Quote"/>
    <w:basedOn w:val="Normal"/>
    <w:next w:val="Normal"/>
    <w:link w:val="IntenseQuoteChar"/>
    <w:uiPriority w:val="30"/>
    <w:qFormat/>
    <w:rsid w:val="009F6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F1C"/>
    <w:rPr>
      <w:i/>
      <w:iCs/>
      <w:color w:val="0F4761" w:themeColor="accent1" w:themeShade="BF"/>
    </w:rPr>
  </w:style>
  <w:style w:type="character" w:styleId="IntenseReference">
    <w:name w:val="Intense Reference"/>
    <w:basedOn w:val="DefaultParagraphFont"/>
    <w:uiPriority w:val="32"/>
    <w:qFormat/>
    <w:rsid w:val="009F6F1C"/>
    <w:rPr>
      <w:b/>
      <w:bCs/>
      <w:smallCaps/>
      <w:color w:val="0F4761" w:themeColor="accent1" w:themeShade="BF"/>
      <w:spacing w:val="5"/>
    </w:rPr>
  </w:style>
  <w:style w:type="paragraph" w:styleId="Header">
    <w:name w:val="header"/>
    <w:basedOn w:val="Normal"/>
    <w:link w:val="HeaderChar"/>
    <w:semiHidden/>
    <w:rsid w:val="009F6F1C"/>
    <w:pPr>
      <w:tabs>
        <w:tab w:val="center" w:pos="4320"/>
        <w:tab w:val="right" w:pos="8640"/>
      </w:tabs>
    </w:pPr>
  </w:style>
  <w:style w:type="character" w:customStyle="1" w:styleId="HeaderChar">
    <w:name w:val="Header Char"/>
    <w:basedOn w:val="DefaultParagraphFont"/>
    <w:link w:val="Header"/>
    <w:semiHidden/>
    <w:rsid w:val="009F6F1C"/>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9F6F1C"/>
    <w:rPr>
      <w:color w:val="467886" w:themeColor="hyperlink"/>
      <w:u w:val="single"/>
    </w:rPr>
  </w:style>
  <w:style w:type="paragraph" w:styleId="BodyTextIndent2">
    <w:name w:val="Body Text Indent 2"/>
    <w:basedOn w:val="Normal"/>
    <w:link w:val="BodyTextIndent2Char"/>
    <w:rsid w:val="009F6F1C"/>
    <w:pPr>
      <w:spacing w:after="120" w:line="480" w:lineRule="auto"/>
      <w:ind w:left="360"/>
    </w:pPr>
  </w:style>
  <w:style w:type="character" w:customStyle="1" w:styleId="BodyTextIndent2Char">
    <w:name w:val="Body Text Indent 2 Char"/>
    <w:basedOn w:val="DefaultParagraphFont"/>
    <w:link w:val="BodyTextIndent2"/>
    <w:rsid w:val="009F6F1C"/>
    <w:rPr>
      <w:rFonts w:ascii="Times New Roman" w:eastAsia="Times New Roman" w:hAnsi="Times New Roman" w:cs="Times New Roman"/>
      <w:kern w:val="0"/>
      <w:sz w:val="20"/>
      <w:szCs w:val="20"/>
      <w14:ligatures w14:val="none"/>
    </w:rPr>
  </w:style>
  <w:style w:type="paragraph" w:customStyle="1" w:styleId="pf0">
    <w:name w:val="pf0"/>
    <w:basedOn w:val="Normal"/>
    <w:rsid w:val="009F6F1C"/>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9F6F1C"/>
    <w:rPr>
      <w:rFonts w:ascii="Segoe UI" w:hAnsi="Segoe UI" w:cs="Segoe UI" w:hint="default"/>
      <w:sz w:val="18"/>
      <w:szCs w:val="18"/>
    </w:rPr>
  </w:style>
  <w:style w:type="paragraph" w:styleId="Revision">
    <w:name w:val="Revision"/>
    <w:hidden/>
    <w:uiPriority w:val="99"/>
    <w:semiHidden/>
    <w:rsid w:val="005E7862"/>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E7862"/>
    <w:rPr>
      <w:sz w:val="16"/>
      <w:szCs w:val="16"/>
    </w:rPr>
  </w:style>
  <w:style w:type="paragraph" w:styleId="CommentText">
    <w:name w:val="annotation text"/>
    <w:basedOn w:val="Normal"/>
    <w:link w:val="CommentTextChar"/>
    <w:unhideWhenUsed/>
    <w:rsid w:val="005E7862"/>
  </w:style>
  <w:style w:type="character" w:customStyle="1" w:styleId="CommentTextChar">
    <w:name w:val="Comment Text Char"/>
    <w:basedOn w:val="DefaultParagraphFont"/>
    <w:link w:val="CommentText"/>
    <w:rsid w:val="005E78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7862"/>
    <w:rPr>
      <w:b/>
      <w:bCs/>
    </w:rPr>
  </w:style>
  <w:style w:type="character" w:customStyle="1" w:styleId="CommentSubjectChar">
    <w:name w:val="Comment Subject Char"/>
    <w:basedOn w:val="CommentTextChar"/>
    <w:link w:val="CommentSubject"/>
    <w:uiPriority w:val="99"/>
    <w:semiHidden/>
    <w:rsid w:val="005E7862"/>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807054"/>
    <w:pPr>
      <w:tabs>
        <w:tab w:val="center" w:pos="4680"/>
        <w:tab w:val="right" w:pos="9360"/>
      </w:tabs>
    </w:pPr>
  </w:style>
  <w:style w:type="character" w:customStyle="1" w:styleId="FooterChar">
    <w:name w:val="Footer Char"/>
    <w:basedOn w:val="DefaultParagraphFont"/>
    <w:link w:val="Footer"/>
    <w:uiPriority w:val="99"/>
    <w:rsid w:val="00807054"/>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FF1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BA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F568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uscode/text/42/1437u" TargetMode="External" /><Relationship Id="rId8" Type="http://schemas.openxmlformats.org/officeDocument/2006/relationships/hyperlink" Target="https://www.ecfr.gov/current/title-24/subtitle-B/chapter-IX/part-984"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Props1.xml><?xml version="1.0" encoding="utf-8"?>
<ds:datastoreItem xmlns:ds="http://schemas.openxmlformats.org/officeDocument/2006/customXml" ds:itemID="{E7D921C0-CF2F-48D4-9316-39A38B12F988}">
  <ds:schemaRefs>
    <ds:schemaRef ds:uri="http://schemas.microsoft.com/sharepoint/v3/contenttype/forms"/>
  </ds:schemaRefs>
</ds:datastoreItem>
</file>

<file path=customXml/itemProps2.xml><?xml version="1.0" encoding="utf-8"?>
<ds:datastoreItem xmlns:ds="http://schemas.openxmlformats.org/officeDocument/2006/customXml" ds:itemID="{B1A0C75E-76DB-4C0B-969E-64060D641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6BFDD-94BD-45F8-9E53-FCB87CE064E1}">
  <ds:schemaRefs>
    <ds:schemaRef ds:uri="http://purl.org/dc/terms/"/>
    <ds:schemaRef ds:uri="http://schemas.microsoft.com/office/2006/metadata/properties"/>
    <ds:schemaRef ds:uri="http://schemas.microsoft.com/office/2006/documentManagement/types"/>
    <ds:schemaRef ds:uri="6588b909-5e7d-4160-95a5-4832f51a3bb2"/>
    <ds:schemaRef ds:uri="http://purl.org/dc/elements/1.1/"/>
    <ds:schemaRef ds:uri="http://schemas.openxmlformats.org/package/2006/metadata/core-properties"/>
    <ds:schemaRef ds:uri="877b6a80-5334-4435-87fb-6911c318b80a"/>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Chenault , Anice S</dc:creator>
  <cp:lastModifiedBy>Martin, Dawn E</cp:lastModifiedBy>
  <cp:revision>2</cp:revision>
  <cp:lastPrinted>2025-08-19T15:40:00Z</cp:lastPrinted>
  <dcterms:created xsi:type="dcterms:W3CDTF">2025-09-03T12:12:00Z</dcterms:created>
  <dcterms:modified xsi:type="dcterms:W3CDTF">2025-09-03T12:12:00Z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MediaServiceImageTags">
    <vt:lpwstr/>
  </property>
  <property fmtid="{D5CDD505-2E9C-101B-9397-08002B2CF9AE}" pid="4" name="_dlc_DocIdItemGuid">
    <vt:lpwstr>8acff93f-e993-45ac-85de-3bd812f34850</vt:lpwstr>
  </property>
</Properties>
</file>