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54F81338" w14:textId="7777777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 A</w:t>
      </w:r>
    </w:p>
    <w:p w:rsidR="00F90593" w:rsidRPr="00C64707" w:rsidP="00C64707" w14:paraId="61E21C40" w14:textId="3BED0FDD">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w:t>
      </w:r>
    </w:p>
    <w:p w:rsidR="00C64707" w:rsidP="00C64707" w14:paraId="4C06264E" w14:textId="77777777">
      <w:pPr>
        <w:shd w:val="clear" w:color="auto" w:fill="FFFFFF"/>
        <w:spacing w:after="0" w:line="240" w:lineRule="auto"/>
        <w:jc w:val="center"/>
        <w:rPr>
          <w:b/>
          <w:bCs/>
          <w:caps/>
          <w:snapToGrid w:val="0"/>
          <w:sz w:val="24"/>
        </w:rPr>
      </w:pPr>
      <w:r w:rsidRPr="0059344B">
        <w:rPr>
          <w:b/>
          <w:bCs/>
          <w:caps/>
          <w:snapToGrid w:val="0"/>
          <w:sz w:val="24"/>
        </w:rPr>
        <w:t>Changes in Permissible Stage 2 Airplane Operations</w:t>
      </w:r>
    </w:p>
    <w:p w:rsidR="00C13905" w:rsidP="00C64707" w14:paraId="22F86BCF" w14:textId="6EDD66FF">
      <w:pPr>
        <w:shd w:val="clear" w:color="auto" w:fill="FFFFFF"/>
        <w:spacing w:after="0" w:line="240" w:lineRule="auto"/>
        <w:jc w:val="center"/>
        <w:rPr>
          <w:b/>
          <w:bCs/>
          <w:caps/>
          <w:snapToGrid w:val="0"/>
          <w:sz w:val="24"/>
        </w:rPr>
      </w:pPr>
      <w:r>
        <w:rPr>
          <w:b/>
          <w:bCs/>
          <w:caps/>
          <w:snapToGrid w:val="0"/>
          <w:sz w:val="24"/>
        </w:rPr>
        <w:t>2120-0652</w:t>
      </w:r>
    </w:p>
    <w:p w:rsidR="001128CB" w:rsidRPr="001128CB" w:rsidP="001128CB" w14:paraId="3EC5460A" w14:textId="7203C5A5">
      <w:pPr>
        <w:pStyle w:val="ListParagraph"/>
        <w:numPr>
          <w:ilvl w:val="0"/>
          <w:numId w:val="4"/>
        </w:numPr>
        <w:shd w:val="clear" w:color="auto" w:fill="FFFFFF"/>
        <w:spacing w:after="0" w:line="240" w:lineRule="auto"/>
        <w:rPr>
          <w:rFonts w:ascii="Arial" w:eastAsia="Times New Roman" w:hAnsi="Arial" w:cs="Arial"/>
          <w:caps/>
          <w:color w:val="555555"/>
          <w:sz w:val="24"/>
          <w:szCs w:val="24"/>
        </w:rPr>
      </w:pPr>
      <w:r>
        <w:rPr>
          <w:rFonts w:ascii="Arial" w:eastAsia="Times New Roman" w:hAnsi="Arial" w:cs="Arial"/>
          <w:caps/>
          <w:color w:val="555555"/>
          <w:sz w:val="24"/>
          <w:szCs w:val="24"/>
        </w:rPr>
        <w:t>NO CHANGEs (BUT EST ADJUSTMENT), RENEWAL OF prA</w:t>
      </w:r>
    </w:p>
    <w:p w:rsidR="00C64707" w:rsidRPr="00C64707" w:rsidP="00C64707" w14:paraId="2F4CA62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A8E609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331B319B" w14:textId="1DF7E29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D92383" w:rsidR="00D92383">
        <w:rPr>
          <w:rFonts w:ascii="Arial" w:eastAsia="Times New Roman" w:hAnsi="Arial" w:cs="Arial"/>
          <w:color w:val="555555"/>
          <w:sz w:val="24"/>
          <w:szCs w:val="24"/>
        </w:rPr>
        <w:t xml:space="preserve">This collection is </w:t>
      </w:r>
      <w:r w:rsidR="00D92383">
        <w:rPr>
          <w:rFonts w:ascii="Arial" w:eastAsia="Times New Roman" w:hAnsi="Arial" w:cs="Arial"/>
          <w:color w:val="555555"/>
          <w:sz w:val="24"/>
          <w:szCs w:val="24"/>
        </w:rPr>
        <w:t xml:space="preserve">mandatory, as </w:t>
      </w:r>
      <w:r w:rsidRPr="00D92383" w:rsidR="00D92383">
        <w:rPr>
          <w:rFonts w:ascii="Arial" w:eastAsia="Times New Roman" w:hAnsi="Arial" w:cs="Arial"/>
          <w:color w:val="555555"/>
          <w:sz w:val="24"/>
          <w:szCs w:val="24"/>
        </w:rPr>
        <w:t xml:space="preserve">required under the Airport Noise and Capacity Act of 1990 (as amended by Pub. L. 106–113) and the FAA Modernization and Reform Act of 2012. This information is used by the FAA to issue special flight authorizations </w:t>
      </w:r>
      <w:r w:rsidR="00D92383">
        <w:rPr>
          <w:rFonts w:ascii="Arial" w:eastAsia="Times New Roman" w:hAnsi="Arial" w:cs="Arial"/>
          <w:color w:val="555555"/>
          <w:sz w:val="24"/>
          <w:szCs w:val="24"/>
        </w:rPr>
        <w:t xml:space="preserve">(SFA) </w:t>
      </w:r>
      <w:r w:rsidRPr="00D92383" w:rsidR="00D92383">
        <w:rPr>
          <w:rFonts w:ascii="Arial" w:eastAsia="Times New Roman" w:hAnsi="Arial" w:cs="Arial"/>
          <w:color w:val="555555"/>
          <w:sz w:val="24"/>
          <w:szCs w:val="24"/>
        </w:rPr>
        <w:t>for nonrevenue operations of transports and non</w:t>
      </w:r>
      <w:r w:rsidR="009A23B1">
        <w:rPr>
          <w:rFonts w:ascii="Arial" w:eastAsia="Times New Roman" w:hAnsi="Arial" w:cs="Arial"/>
          <w:color w:val="555555"/>
          <w:sz w:val="24"/>
          <w:szCs w:val="24"/>
        </w:rPr>
        <w:t>-</w:t>
      </w:r>
      <w:r w:rsidRPr="00D92383" w:rsidR="00D92383">
        <w:rPr>
          <w:rFonts w:ascii="Arial" w:eastAsia="Times New Roman" w:hAnsi="Arial" w:cs="Arial"/>
          <w:color w:val="555555"/>
          <w:sz w:val="24"/>
          <w:szCs w:val="24"/>
        </w:rPr>
        <w:t>transport jet</w:t>
      </w:r>
      <w:r w:rsidR="00D92383">
        <w:rPr>
          <w:rFonts w:ascii="Arial" w:eastAsia="Times New Roman" w:hAnsi="Arial" w:cs="Arial"/>
          <w:color w:val="555555"/>
          <w:sz w:val="24"/>
          <w:szCs w:val="24"/>
        </w:rPr>
        <w:t>,</w:t>
      </w:r>
      <w:r w:rsidRPr="00D92383" w:rsidR="00D92383">
        <w:rPr>
          <w:rFonts w:ascii="Arial" w:eastAsia="Times New Roman" w:hAnsi="Arial" w:cs="Arial"/>
          <w:color w:val="555555"/>
          <w:sz w:val="24"/>
          <w:szCs w:val="24"/>
        </w:rPr>
        <w:t xml:space="preserve"> Stage 2 airplanes at U.S. airports. </w:t>
      </w:r>
      <w:r w:rsidR="000A2882">
        <w:rPr>
          <w:rFonts w:ascii="Arial" w:eastAsia="Times New Roman" w:hAnsi="Arial" w:cs="Arial"/>
          <w:color w:val="555555"/>
          <w:sz w:val="24"/>
          <w:szCs w:val="24"/>
        </w:rPr>
        <w:t>The operators of such</w:t>
      </w:r>
      <w:r w:rsidR="00D92383">
        <w:rPr>
          <w:rFonts w:ascii="Arial" w:eastAsia="Times New Roman" w:hAnsi="Arial" w:cs="Arial"/>
          <w:color w:val="555555"/>
          <w:sz w:val="24"/>
          <w:szCs w:val="24"/>
        </w:rPr>
        <w:t xml:space="preserve"> noisier </w:t>
      </w:r>
      <w:r w:rsidR="000A2882">
        <w:rPr>
          <w:rFonts w:ascii="Arial" w:eastAsia="Times New Roman" w:hAnsi="Arial" w:cs="Arial"/>
          <w:color w:val="555555"/>
          <w:sz w:val="24"/>
          <w:szCs w:val="24"/>
        </w:rPr>
        <w:t>airplanes</w:t>
      </w:r>
      <w:r w:rsidR="00D92383">
        <w:rPr>
          <w:rFonts w:ascii="Arial" w:eastAsia="Times New Roman" w:hAnsi="Arial" w:cs="Arial"/>
          <w:color w:val="555555"/>
          <w:sz w:val="24"/>
          <w:szCs w:val="24"/>
        </w:rPr>
        <w:t xml:space="preserve"> </w:t>
      </w:r>
      <w:r w:rsidR="000A2882">
        <w:rPr>
          <w:rFonts w:ascii="Arial" w:eastAsia="Times New Roman" w:hAnsi="Arial" w:cs="Arial"/>
          <w:color w:val="555555"/>
          <w:sz w:val="24"/>
          <w:szCs w:val="24"/>
        </w:rPr>
        <w:t xml:space="preserve">that seek specific operations into U.S. airports </w:t>
      </w:r>
      <w:r w:rsidR="00D92383">
        <w:rPr>
          <w:rFonts w:ascii="Arial" w:eastAsia="Times New Roman" w:hAnsi="Arial" w:cs="Arial"/>
          <w:color w:val="555555"/>
          <w:sz w:val="24"/>
          <w:szCs w:val="24"/>
        </w:rPr>
        <w:t xml:space="preserve">must fill out an SFA form to request FAA </w:t>
      </w:r>
      <w:r w:rsidR="000A2882">
        <w:rPr>
          <w:rFonts w:ascii="Arial" w:eastAsia="Times New Roman" w:hAnsi="Arial" w:cs="Arial"/>
          <w:color w:val="555555"/>
          <w:sz w:val="24"/>
          <w:szCs w:val="24"/>
        </w:rPr>
        <w:t>approval</w:t>
      </w:r>
      <w:r w:rsidR="00D92383">
        <w:rPr>
          <w:rFonts w:ascii="Arial" w:eastAsia="Times New Roman" w:hAnsi="Arial" w:cs="Arial"/>
          <w:color w:val="555555"/>
          <w:sz w:val="24"/>
          <w:szCs w:val="24"/>
        </w:rPr>
        <w:t xml:space="preserve">. </w:t>
      </w:r>
      <w:r w:rsidRPr="00D92383" w:rsidR="00D92383">
        <w:rPr>
          <w:rFonts w:ascii="Arial" w:eastAsia="Times New Roman" w:hAnsi="Arial" w:cs="Arial"/>
          <w:color w:val="555555"/>
          <w:sz w:val="24"/>
          <w:szCs w:val="24"/>
        </w:rPr>
        <w:t>Only min</w:t>
      </w:r>
      <w:r w:rsidR="000A2882">
        <w:rPr>
          <w:rFonts w:ascii="Arial" w:eastAsia="Times New Roman" w:hAnsi="Arial" w:cs="Arial"/>
          <w:color w:val="555555"/>
          <w:sz w:val="24"/>
          <w:szCs w:val="24"/>
        </w:rPr>
        <w:t>imal amount of data is collected</w:t>
      </w:r>
      <w:r w:rsidRPr="00D92383" w:rsidR="00D92383">
        <w:rPr>
          <w:rFonts w:ascii="Arial" w:eastAsia="Times New Roman" w:hAnsi="Arial" w:cs="Arial"/>
          <w:color w:val="555555"/>
          <w:sz w:val="24"/>
          <w:szCs w:val="24"/>
        </w:rPr>
        <w:t xml:space="preserve"> to id</w:t>
      </w:r>
      <w:r w:rsidR="000A2882">
        <w:rPr>
          <w:rFonts w:ascii="Arial" w:eastAsia="Times New Roman" w:hAnsi="Arial" w:cs="Arial"/>
          <w:color w:val="555555"/>
          <w:sz w:val="24"/>
          <w:szCs w:val="24"/>
        </w:rPr>
        <w:t xml:space="preserve">entify the affected parties and </w:t>
      </w:r>
      <w:r w:rsidRPr="00D92383" w:rsidR="00D92383">
        <w:rPr>
          <w:rFonts w:ascii="Arial" w:eastAsia="Times New Roman" w:hAnsi="Arial" w:cs="Arial"/>
          <w:color w:val="555555"/>
          <w:sz w:val="24"/>
          <w:szCs w:val="24"/>
        </w:rPr>
        <w:t>determine whether the purpose for the flight is one of the ones enumerated in the law</w:t>
      </w:r>
      <w:r w:rsidR="0004096C">
        <w:rPr>
          <w:rFonts w:ascii="Arial" w:eastAsia="Times New Roman" w:hAnsi="Arial" w:cs="Arial"/>
          <w:color w:val="555555"/>
          <w:sz w:val="24"/>
          <w:szCs w:val="24"/>
        </w:rPr>
        <w:t>. SFAs are collected for</w:t>
      </w:r>
      <w:r w:rsidR="000A2882">
        <w:rPr>
          <w:rFonts w:ascii="Arial" w:eastAsia="Times New Roman" w:hAnsi="Arial" w:cs="Arial"/>
          <w:color w:val="555555"/>
          <w:sz w:val="24"/>
          <w:szCs w:val="24"/>
        </w:rPr>
        <w:t xml:space="preserve"> an operator</w:t>
      </w:r>
      <w:r w:rsidR="0004096C">
        <w:rPr>
          <w:rFonts w:ascii="Arial" w:eastAsia="Times New Roman" w:hAnsi="Arial" w:cs="Arial"/>
          <w:color w:val="555555"/>
          <w:sz w:val="24"/>
          <w:szCs w:val="24"/>
        </w:rPr>
        <w:t>’s</w:t>
      </w:r>
      <w:r w:rsidR="000A2882">
        <w:rPr>
          <w:rFonts w:ascii="Arial" w:eastAsia="Times New Roman" w:hAnsi="Arial" w:cs="Arial"/>
          <w:color w:val="555555"/>
          <w:sz w:val="24"/>
          <w:szCs w:val="24"/>
        </w:rPr>
        <w:t xml:space="preserve"> “as needed” situation and the data is not disclosed</w:t>
      </w:r>
      <w:r w:rsidRPr="00D92383" w:rsidR="00D92383">
        <w:rPr>
          <w:rFonts w:ascii="Arial" w:eastAsia="Times New Roman" w:hAnsi="Arial" w:cs="Arial"/>
          <w:color w:val="555555"/>
          <w:sz w:val="24"/>
          <w:szCs w:val="24"/>
        </w:rPr>
        <w:t>.</w:t>
      </w:r>
    </w:p>
    <w:p w:rsidR="00D92383" w:rsidP="00CC5530" w14:paraId="0EDC0C2C" w14:textId="77777777">
      <w:pPr>
        <w:shd w:val="clear" w:color="auto" w:fill="FFFFFF"/>
        <w:spacing w:after="0" w:line="240" w:lineRule="auto"/>
        <w:rPr>
          <w:rFonts w:ascii="Arial" w:eastAsia="Times New Roman" w:hAnsi="Arial" w:cs="Arial"/>
          <w:color w:val="555555"/>
          <w:sz w:val="24"/>
          <w:szCs w:val="24"/>
        </w:rPr>
      </w:pPr>
    </w:p>
    <w:p w:rsidR="000A2882" w:rsidP="00CC5530" w14:paraId="1321E9A0" w14:textId="023D268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History of mandated legislation:</w:t>
      </w:r>
    </w:p>
    <w:p w:rsidR="00CC5530" w:rsidRPr="00CC5530" w:rsidP="00CC5530" w14:paraId="354AD11D" w14:textId="67CBDE74">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Previously on November 29, 1990, the President signed legislation (Section 231, PL 106-113) amending the Airport Noise and Capacity Act (ANCA) of 1990.  The primary focus of ANCA was the prohibition of Stage 2 airplane flight in the contiguous United States after December 31, 1999.</w:t>
      </w:r>
    </w:p>
    <w:p w:rsidR="00CC5530" w:rsidRPr="00CC5530" w:rsidP="00CC5530" w14:paraId="12451C28" w14:textId="77777777">
      <w:pPr>
        <w:shd w:val="clear" w:color="auto" w:fill="FFFFFF"/>
        <w:spacing w:after="0" w:line="240" w:lineRule="auto"/>
        <w:rPr>
          <w:rFonts w:ascii="Arial" w:eastAsia="Times New Roman" w:hAnsi="Arial" w:cs="Arial"/>
          <w:color w:val="555555"/>
          <w:sz w:val="24"/>
          <w:szCs w:val="24"/>
        </w:rPr>
      </w:pPr>
    </w:p>
    <w:p w:rsidR="00CC5530" w:rsidRPr="00CC5530" w:rsidP="00CC5530" w14:paraId="0055DD1D" w14:textId="72C0CD49">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 xml:space="preserve">The changes to ANCA give the FAA new authority to allow certain nonrevenue Stage 2 flights after the statutory compliance date.  After </w:t>
      </w:r>
      <w:r w:rsidR="00D92383">
        <w:rPr>
          <w:rFonts w:ascii="Arial" w:eastAsia="Times New Roman" w:hAnsi="Arial" w:cs="Arial"/>
          <w:color w:val="555555"/>
          <w:sz w:val="24"/>
          <w:szCs w:val="24"/>
        </w:rPr>
        <w:t>2000</w:t>
      </w:r>
      <w:r w:rsidRPr="00CC5530">
        <w:rPr>
          <w:rFonts w:ascii="Arial" w:eastAsia="Times New Roman" w:hAnsi="Arial" w:cs="Arial"/>
          <w:color w:val="555555"/>
          <w:sz w:val="24"/>
          <w:szCs w:val="24"/>
        </w:rPr>
        <w:t xml:space="preserve">, operators </w:t>
      </w:r>
      <w:r w:rsidR="00D92383">
        <w:rPr>
          <w:rFonts w:ascii="Arial" w:eastAsia="Times New Roman" w:hAnsi="Arial" w:cs="Arial"/>
          <w:color w:val="555555"/>
          <w:sz w:val="24"/>
          <w:szCs w:val="24"/>
        </w:rPr>
        <w:t xml:space="preserve">are </w:t>
      </w:r>
      <w:r w:rsidRPr="00CC5530">
        <w:rPr>
          <w:rFonts w:ascii="Arial" w:eastAsia="Times New Roman" w:hAnsi="Arial" w:cs="Arial"/>
          <w:color w:val="555555"/>
          <w:sz w:val="24"/>
          <w:szCs w:val="24"/>
        </w:rPr>
        <w:t>allowed to bring Stage 2 airplanes into the United States in nonrevenue service for only certain purposes.  These purpose</w:t>
      </w:r>
      <w:r w:rsidR="00BC593B">
        <w:rPr>
          <w:rFonts w:ascii="Arial" w:eastAsia="Times New Roman" w:hAnsi="Arial" w:cs="Arial"/>
          <w:color w:val="555555"/>
          <w:sz w:val="24"/>
          <w:szCs w:val="24"/>
        </w:rPr>
        <w:t>s are enumerated in the statute and were promulgated in 14 CFR Part 91.858.</w:t>
      </w:r>
    </w:p>
    <w:p w:rsidR="00CC5530" w:rsidRPr="00CC5530" w:rsidP="00CC5530" w14:paraId="791045F2" w14:textId="77777777">
      <w:pPr>
        <w:shd w:val="clear" w:color="auto" w:fill="FFFFFF"/>
        <w:spacing w:after="0" w:line="240" w:lineRule="auto"/>
        <w:rPr>
          <w:rFonts w:ascii="Arial" w:eastAsia="Times New Roman" w:hAnsi="Arial" w:cs="Arial"/>
          <w:color w:val="555555"/>
          <w:sz w:val="24"/>
          <w:szCs w:val="24"/>
        </w:rPr>
      </w:pPr>
    </w:p>
    <w:p w:rsidR="00CC5530" w:rsidRPr="00CC5530" w:rsidP="00CC5530" w14:paraId="00585FC3" w14:textId="38BF0851">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 xml:space="preserve">One of the changes in the statue requires the FAA to establish and publish notice (64 FR 70571, December 17, 1999) of the procedure for allowing these flights.  In order to ensure that the Stage 2 flights conducted after </w:t>
      </w:r>
      <w:r w:rsidR="00D92383">
        <w:rPr>
          <w:rFonts w:ascii="Arial" w:eastAsia="Times New Roman" w:hAnsi="Arial" w:cs="Arial"/>
          <w:color w:val="555555"/>
          <w:sz w:val="24"/>
          <w:szCs w:val="24"/>
        </w:rPr>
        <w:t xml:space="preserve">2000 </w:t>
      </w:r>
      <w:r w:rsidRPr="00CC5530">
        <w:rPr>
          <w:rFonts w:ascii="Arial" w:eastAsia="Times New Roman" w:hAnsi="Arial" w:cs="Arial"/>
          <w:color w:val="555555"/>
          <w:sz w:val="24"/>
          <w:szCs w:val="24"/>
        </w:rPr>
        <w:t xml:space="preserve">are those allowed by statute, the FAA needs to collect certain basic data in the form of an application for a </w:t>
      </w:r>
      <w:r w:rsidR="000A2882">
        <w:rPr>
          <w:rFonts w:ascii="Arial" w:eastAsia="Times New Roman" w:hAnsi="Arial" w:cs="Arial"/>
          <w:color w:val="555555"/>
          <w:sz w:val="24"/>
          <w:szCs w:val="24"/>
        </w:rPr>
        <w:t>SFA</w:t>
      </w:r>
      <w:r w:rsidRPr="00CC5530">
        <w:rPr>
          <w:rFonts w:ascii="Arial" w:eastAsia="Times New Roman" w:hAnsi="Arial" w:cs="Arial"/>
          <w:color w:val="555555"/>
          <w:sz w:val="24"/>
          <w:szCs w:val="24"/>
        </w:rPr>
        <w:t xml:space="preserve">. </w:t>
      </w:r>
    </w:p>
    <w:p w:rsidR="00CC5530" w:rsidRPr="00CC5530" w:rsidP="00CC5530" w14:paraId="595E6DAA" w14:textId="77777777">
      <w:pPr>
        <w:shd w:val="clear" w:color="auto" w:fill="FFFFFF"/>
        <w:spacing w:after="0" w:line="240" w:lineRule="auto"/>
        <w:rPr>
          <w:rFonts w:ascii="Arial" w:eastAsia="Times New Roman" w:hAnsi="Arial" w:cs="Arial"/>
          <w:color w:val="555555"/>
          <w:sz w:val="24"/>
          <w:szCs w:val="24"/>
        </w:rPr>
      </w:pPr>
    </w:p>
    <w:p w:rsidR="00CC5530" w:rsidRPr="00CC5530" w:rsidP="00CC5530" w14:paraId="16A20AF2" w14:textId="6F96457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w:t>
      </w:r>
      <w:r w:rsidRPr="00CC5530">
        <w:rPr>
          <w:rFonts w:ascii="Arial" w:eastAsia="Times New Roman" w:hAnsi="Arial" w:cs="Arial"/>
          <w:color w:val="555555"/>
          <w:sz w:val="24"/>
          <w:szCs w:val="24"/>
        </w:rPr>
        <w:t>n February 2012, in section 506 of the FAA Modernization and Reform Act of 2012, Congress passed a new law (an extension similar to ANCA) that promulgates the further prohibition on operations of jet aircraft that weigh 75,000 pounds or less, that are not Stage 3 noise compliant after December 31, 2015. This statute outlines the similar requirement for FAA to collect certain basic data in the form of an application for a special flight authorization for certain cir</w:t>
      </w:r>
      <w:r w:rsidR="00BC593B">
        <w:rPr>
          <w:rFonts w:ascii="Arial" w:eastAsia="Times New Roman" w:hAnsi="Arial" w:cs="Arial"/>
          <w:color w:val="555555"/>
          <w:sz w:val="24"/>
          <w:szCs w:val="24"/>
        </w:rPr>
        <w:t>cumstances (as</w:t>
      </w:r>
      <w:r w:rsidR="00975937">
        <w:rPr>
          <w:rFonts w:ascii="Arial" w:eastAsia="Times New Roman" w:hAnsi="Arial" w:cs="Arial"/>
          <w:color w:val="555555"/>
          <w:sz w:val="24"/>
          <w:szCs w:val="24"/>
        </w:rPr>
        <w:t xml:space="preserve"> specified in 14 CFR Part 91.883</w:t>
      </w:r>
      <w:r w:rsidR="00BC593B">
        <w:rPr>
          <w:rFonts w:ascii="Arial" w:eastAsia="Times New Roman" w:hAnsi="Arial" w:cs="Arial"/>
          <w:color w:val="555555"/>
          <w:sz w:val="24"/>
          <w:szCs w:val="24"/>
        </w:rPr>
        <w:t xml:space="preserve">). </w:t>
      </w:r>
      <w:r>
        <w:rPr>
          <w:rFonts w:ascii="Arial" w:eastAsia="Times New Roman" w:hAnsi="Arial" w:cs="Arial"/>
          <w:color w:val="555555"/>
          <w:sz w:val="24"/>
          <w:szCs w:val="24"/>
        </w:rPr>
        <w:t>This collection was</w:t>
      </w:r>
      <w:r w:rsidRPr="00CC5530">
        <w:rPr>
          <w:rFonts w:ascii="Arial" w:eastAsia="Times New Roman" w:hAnsi="Arial" w:cs="Arial"/>
          <w:color w:val="555555"/>
          <w:sz w:val="24"/>
          <w:szCs w:val="24"/>
        </w:rPr>
        <w:t xml:space="preserve"> initiate</w:t>
      </w:r>
      <w:r w:rsidR="00224B41">
        <w:rPr>
          <w:rFonts w:ascii="Arial" w:eastAsia="Times New Roman" w:hAnsi="Arial" w:cs="Arial"/>
          <w:color w:val="555555"/>
          <w:sz w:val="24"/>
          <w:szCs w:val="24"/>
        </w:rPr>
        <w:t>d</w:t>
      </w:r>
      <w:r w:rsidRPr="00CC5530">
        <w:rPr>
          <w:rFonts w:ascii="Arial" w:eastAsia="Times New Roman" w:hAnsi="Arial" w:cs="Arial"/>
          <w:color w:val="555555"/>
          <w:sz w:val="24"/>
          <w:szCs w:val="24"/>
        </w:rPr>
        <w:t xml:space="preserve"> after December 31, 2015. </w:t>
      </w:r>
    </w:p>
    <w:p w:rsidR="00CC5530" w:rsidRPr="00CC5530" w:rsidP="00CC5530" w14:paraId="618AB54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158B2E5" w14:textId="77777777">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This collection of information supports the Department of Transportation’s strategic goals for mobility and economic growth and trade.</w:t>
      </w:r>
      <w:r w:rsidRPr="00C64707">
        <w:rPr>
          <w:rFonts w:ascii="Arial" w:eastAsia="Times New Roman" w:hAnsi="Arial" w:cs="Arial"/>
          <w:color w:val="555555"/>
          <w:sz w:val="24"/>
          <w:szCs w:val="24"/>
        </w:rPr>
        <w:br/>
      </w:r>
    </w:p>
    <w:p w:rsidR="00C64707" w:rsidRPr="00C64707" w:rsidP="00C64707" w14:paraId="62D3AF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41B49" w:rsidRPr="00C64707" w:rsidP="00C64707" w14:paraId="2F332266" w14:textId="50168B34">
      <w:pPr>
        <w:shd w:val="clear" w:color="auto" w:fill="FFFFFF"/>
        <w:spacing w:after="0" w:line="240" w:lineRule="auto"/>
        <w:rPr>
          <w:rFonts w:ascii="Arial" w:eastAsia="Times New Roman" w:hAnsi="Arial" w:cs="Arial"/>
          <w:color w:val="555555"/>
          <w:sz w:val="24"/>
          <w:szCs w:val="24"/>
        </w:rPr>
      </w:pPr>
    </w:p>
    <w:p w:rsidR="00541B49" w:rsidRPr="00C64707" w:rsidP="00F506B0" w14:paraId="57F0546E" w14:textId="5BACEB5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information collected</w:t>
      </w:r>
      <w:r w:rsidRPr="002B3837" w:rsidR="002B3837">
        <w:rPr>
          <w:rFonts w:ascii="Arial" w:eastAsia="Times New Roman" w:hAnsi="Arial" w:cs="Arial"/>
          <w:color w:val="555555"/>
          <w:sz w:val="24"/>
          <w:szCs w:val="24"/>
        </w:rPr>
        <w:t xml:space="preserve"> is used by the FAA</w:t>
      </w:r>
      <w:r w:rsidR="003E1C56">
        <w:rPr>
          <w:rFonts w:ascii="Arial" w:eastAsia="Times New Roman" w:hAnsi="Arial" w:cs="Arial"/>
          <w:color w:val="555555"/>
          <w:sz w:val="24"/>
          <w:szCs w:val="24"/>
        </w:rPr>
        <w:t>, Noise Division of the Office of Environment and Energy,</w:t>
      </w:r>
      <w:r w:rsidRPr="002B3837" w:rsidR="002B3837">
        <w:rPr>
          <w:rFonts w:ascii="Arial" w:eastAsia="Times New Roman" w:hAnsi="Arial" w:cs="Arial"/>
          <w:color w:val="555555"/>
          <w:sz w:val="24"/>
          <w:szCs w:val="24"/>
        </w:rPr>
        <w:t xml:space="preserve"> to issue special flight authorizations for nonrevenue operations</w:t>
      </w:r>
      <w:r>
        <w:rPr>
          <w:rFonts w:ascii="Arial" w:eastAsia="Times New Roman" w:hAnsi="Arial" w:cs="Arial"/>
          <w:color w:val="555555"/>
          <w:sz w:val="24"/>
          <w:szCs w:val="24"/>
        </w:rPr>
        <w:t xml:space="preserve"> </w:t>
      </w:r>
      <w:r w:rsidRPr="00D92383">
        <w:rPr>
          <w:rFonts w:ascii="Arial" w:eastAsia="Times New Roman" w:hAnsi="Arial" w:cs="Arial"/>
          <w:color w:val="555555"/>
          <w:sz w:val="24"/>
          <w:szCs w:val="24"/>
        </w:rPr>
        <w:t>of transports and non</w:t>
      </w:r>
      <w:r>
        <w:rPr>
          <w:rFonts w:ascii="Arial" w:eastAsia="Times New Roman" w:hAnsi="Arial" w:cs="Arial"/>
          <w:color w:val="555555"/>
          <w:sz w:val="24"/>
          <w:szCs w:val="24"/>
        </w:rPr>
        <w:t>-</w:t>
      </w:r>
      <w:r w:rsidRPr="00D92383">
        <w:rPr>
          <w:rFonts w:ascii="Arial" w:eastAsia="Times New Roman" w:hAnsi="Arial" w:cs="Arial"/>
          <w:color w:val="555555"/>
          <w:sz w:val="24"/>
          <w:szCs w:val="24"/>
        </w:rPr>
        <w:t>transport jet</w:t>
      </w:r>
      <w:r>
        <w:rPr>
          <w:rFonts w:ascii="Arial" w:eastAsia="Times New Roman" w:hAnsi="Arial" w:cs="Arial"/>
          <w:color w:val="555555"/>
          <w:sz w:val="24"/>
          <w:szCs w:val="24"/>
        </w:rPr>
        <w:t>,</w:t>
      </w:r>
      <w:r w:rsidRPr="002B3837" w:rsidR="002B3837">
        <w:rPr>
          <w:rFonts w:ascii="Arial" w:eastAsia="Times New Roman" w:hAnsi="Arial" w:cs="Arial"/>
          <w:color w:val="555555"/>
          <w:sz w:val="24"/>
          <w:szCs w:val="24"/>
        </w:rPr>
        <w:t xml:space="preserve"> Stage 2 airplanes at U.S. airports. </w:t>
      </w:r>
      <w:r>
        <w:rPr>
          <w:rFonts w:ascii="Arial" w:eastAsia="Times New Roman" w:hAnsi="Arial" w:cs="Arial"/>
          <w:color w:val="555555"/>
          <w:sz w:val="24"/>
          <w:szCs w:val="24"/>
        </w:rPr>
        <w:t xml:space="preserve">The operators of such noisier airplanes that seek specific operations into U.S. airports must fill out an SFA form to request FAA approval. The collection of this information is </w:t>
      </w:r>
      <w:r w:rsidR="00457F7B">
        <w:rPr>
          <w:rFonts w:ascii="Arial" w:eastAsia="Times New Roman" w:hAnsi="Arial" w:cs="Arial"/>
          <w:color w:val="555555"/>
          <w:sz w:val="24"/>
          <w:szCs w:val="24"/>
        </w:rPr>
        <w:t xml:space="preserve">mandatory </w:t>
      </w:r>
      <w:r>
        <w:rPr>
          <w:rFonts w:ascii="Arial" w:eastAsia="Times New Roman" w:hAnsi="Arial" w:cs="Arial"/>
          <w:color w:val="555555"/>
          <w:sz w:val="24"/>
          <w:szCs w:val="24"/>
        </w:rPr>
        <w:t>and</w:t>
      </w:r>
      <w:r w:rsidRPr="002B3837">
        <w:rPr>
          <w:rFonts w:ascii="Arial" w:eastAsia="Times New Roman" w:hAnsi="Arial" w:cs="Arial"/>
          <w:color w:val="555555"/>
          <w:sz w:val="24"/>
          <w:szCs w:val="24"/>
        </w:rPr>
        <w:t xml:space="preserve"> </w:t>
      </w:r>
      <w:r w:rsidR="00457F7B">
        <w:rPr>
          <w:rFonts w:ascii="Arial" w:eastAsia="Times New Roman" w:hAnsi="Arial" w:cs="Arial"/>
          <w:color w:val="555555"/>
          <w:sz w:val="24"/>
          <w:szCs w:val="24"/>
        </w:rPr>
        <w:t>must be</w:t>
      </w:r>
      <w:r w:rsidRPr="002B3837" w:rsidR="002B3837">
        <w:rPr>
          <w:rFonts w:ascii="Arial" w:eastAsia="Times New Roman" w:hAnsi="Arial" w:cs="Arial"/>
          <w:color w:val="555555"/>
          <w:sz w:val="24"/>
          <w:szCs w:val="24"/>
        </w:rPr>
        <w:t xml:space="preserve"> </w:t>
      </w:r>
      <w:r>
        <w:rPr>
          <w:rFonts w:ascii="Arial" w:eastAsia="Times New Roman" w:hAnsi="Arial" w:cs="Arial"/>
          <w:color w:val="555555"/>
          <w:sz w:val="24"/>
          <w:szCs w:val="24"/>
        </w:rPr>
        <w:t>reporte</w:t>
      </w:r>
      <w:r w:rsidR="00457F7B">
        <w:rPr>
          <w:rFonts w:ascii="Arial" w:eastAsia="Times New Roman" w:hAnsi="Arial" w:cs="Arial"/>
          <w:color w:val="555555"/>
          <w:sz w:val="24"/>
          <w:szCs w:val="24"/>
        </w:rPr>
        <w:t xml:space="preserve">d </w:t>
      </w:r>
      <w:r>
        <w:rPr>
          <w:rFonts w:ascii="Arial" w:eastAsia="Times New Roman" w:hAnsi="Arial" w:cs="Arial"/>
          <w:color w:val="555555"/>
          <w:sz w:val="24"/>
          <w:szCs w:val="24"/>
        </w:rPr>
        <w:t>by</w:t>
      </w:r>
      <w:r w:rsidR="00457F7B">
        <w:rPr>
          <w:rFonts w:ascii="Arial" w:eastAsia="Times New Roman" w:hAnsi="Arial" w:cs="Arial"/>
          <w:color w:val="555555"/>
          <w:sz w:val="24"/>
          <w:szCs w:val="24"/>
        </w:rPr>
        <w:t xml:space="preserve"> </w:t>
      </w:r>
      <w:r w:rsidRPr="002B3837" w:rsidR="002B3837">
        <w:rPr>
          <w:rFonts w:ascii="Arial" w:eastAsia="Times New Roman" w:hAnsi="Arial" w:cs="Arial"/>
          <w:color w:val="555555"/>
          <w:sz w:val="24"/>
          <w:szCs w:val="24"/>
        </w:rPr>
        <w:t xml:space="preserve">operators when they need a special flight authorization after 12/31/2015.  </w:t>
      </w:r>
      <w:r>
        <w:rPr>
          <w:rFonts w:ascii="Arial" w:eastAsia="Times New Roman" w:hAnsi="Arial" w:cs="Arial"/>
          <w:color w:val="555555"/>
          <w:sz w:val="24"/>
          <w:szCs w:val="24"/>
        </w:rPr>
        <w:t>M</w:t>
      </w:r>
      <w:r w:rsidRPr="002B3837" w:rsidR="002B3837">
        <w:rPr>
          <w:rFonts w:ascii="Arial" w:eastAsia="Times New Roman" w:hAnsi="Arial" w:cs="Arial"/>
          <w:color w:val="555555"/>
          <w:sz w:val="24"/>
          <w:szCs w:val="24"/>
        </w:rPr>
        <w:t xml:space="preserve">inimal data is requested to identify the affected parties and determine whether the purpose for the flight is one of the ones enumerated in the law. </w:t>
      </w:r>
      <w:r w:rsidR="00F506B0">
        <w:rPr>
          <w:rFonts w:ascii="Arial" w:eastAsia="Times New Roman" w:hAnsi="Arial" w:cs="Arial"/>
          <w:color w:val="555555"/>
          <w:sz w:val="24"/>
          <w:szCs w:val="24"/>
        </w:rPr>
        <w:t>The collection of information is on occasion</w:t>
      </w:r>
      <w:r w:rsidR="003E1C56">
        <w:rPr>
          <w:rFonts w:ascii="Arial" w:eastAsia="Times New Roman" w:hAnsi="Arial" w:cs="Arial"/>
          <w:color w:val="555555"/>
          <w:sz w:val="24"/>
          <w:szCs w:val="24"/>
        </w:rPr>
        <w:t xml:space="preserve"> and </w:t>
      </w:r>
      <w:r w:rsidR="007B7FAD">
        <w:rPr>
          <w:rFonts w:ascii="Arial" w:eastAsia="Times New Roman" w:hAnsi="Arial" w:cs="Arial"/>
          <w:color w:val="555555"/>
          <w:sz w:val="24"/>
          <w:szCs w:val="24"/>
        </w:rPr>
        <w:t xml:space="preserve">follows </w:t>
      </w:r>
      <w:r w:rsidR="003E1C56">
        <w:rPr>
          <w:rFonts w:ascii="Arial" w:eastAsia="Times New Roman" w:hAnsi="Arial" w:cs="Arial"/>
          <w:color w:val="555555"/>
          <w:sz w:val="24"/>
          <w:szCs w:val="24"/>
        </w:rPr>
        <w:t xml:space="preserve">the circumstances </w:t>
      </w:r>
      <w:r w:rsidRPr="00D92383" w:rsidR="003E1C56">
        <w:rPr>
          <w:rFonts w:ascii="Arial" w:eastAsia="Times New Roman" w:hAnsi="Arial" w:cs="Arial"/>
          <w:color w:val="555555"/>
          <w:sz w:val="24"/>
          <w:szCs w:val="24"/>
        </w:rPr>
        <w:t>enumerated in the law</w:t>
      </w:r>
      <w:r w:rsidR="003E1C56">
        <w:rPr>
          <w:rFonts w:ascii="Arial" w:eastAsia="Times New Roman" w:hAnsi="Arial" w:cs="Arial"/>
          <w:color w:val="555555"/>
          <w:sz w:val="24"/>
          <w:szCs w:val="24"/>
        </w:rPr>
        <w:t xml:space="preserve">. </w:t>
      </w:r>
      <w:r w:rsidR="00F506B0">
        <w:rPr>
          <w:rFonts w:ascii="Arial" w:eastAsia="Times New Roman" w:hAnsi="Arial" w:cs="Arial"/>
          <w:color w:val="555555"/>
          <w:sz w:val="24"/>
          <w:szCs w:val="24"/>
        </w:rPr>
        <w:t xml:space="preserve"> </w:t>
      </w:r>
      <w:r w:rsidR="003E1C56">
        <w:rPr>
          <w:rFonts w:ascii="Arial" w:eastAsia="Times New Roman" w:hAnsi="Arial" w:cs="Arial"/>
          <w:color w:val="555555"/>
          <w:sz w:val="24"/>
          <w:szCs w:val="24"/>
        </w:rPr>
        <w:t>T</w:t>
      </w:r>
      <w:r w:rsidR="00F506B0">
        <w:rPr>
          <w:rFonts w:ascii="Arial" w:eastAsia="Times New Roman" w:hAnsi="Arial" w:cs="Arial"/>
          <w:color w:val="555555"/>
          <w:sz w:val="24"/>
          <w:szCs w:val="24"/>
        </w:rPr>
        <w:t>he</w:t>
      </w:r>
      <w:r w:rsidR="003E1C56">
        <w:rPr>
          <w:rFonts w:ascii="Arial" w:eastAsia="Times New Roman" w:hAnsi="Arial" w:cs="Arial"/>
          <w:color w:val="555555"/>
          <w:sz w:val="24"/>
          <w:szCs w:val="24"/>
        </w:rPr>
        <w:t xml:space="preserve"> submitted</w:t>
      </w:r>
      <w:r w:rsidR="00F506B0">
        <w:rPr>
          <w:rFonts w:ascii="Arial" w:eastAsia="Times New Roman" w:hAnsi="Arial" w:cs="Arial"/>
          <w:color w:val="555555"/>
          <w:sz w:val="24"/>
          <w:szCs w:val="24"/>
        </w:rPr>
        <w:t xml:space="preserve"> data</w:t>
      </w:r>
      <w:r w:rsidR="00D228E9">
        <w:rPr>
          <w:rFonts w:ascii="Arial" w:eastAsia="Times New Roman" w:hAnsi="Arial" w:cs="Arial"/>
          <w:color w:val="555555"/>
          <w:sz w:val="24"/>
          <w:szCs w:val="24"/>
        </w:rPr>
        <w:t>,</w:t>
      </w:r>
      <w:r w:rsidR="00F506B0">
        <w:rPr>
          <w:rFonts w:ascii="Arial" w:eastAsia="Times New Roman" w:hAnsi="Arial" w:cs="Arial"/>
          <w:color w:val="555555"/>
          <w:sz w:val="24"/>
          <w:szCs w:val="24"/>
        </w:rPr>
        <w:t xml:space="preserve"> </w:t>
      </w:r>
      <w:r w:rsidR="003E1C56">
        <w:rPr>
          <w:rFonts w:ascii="Arial" w:eastAsia="Times New Roman" w:hAnsi="Arial" w:cs="Arial"/>
          <w:color w:val="555555"/>
          <w:sz w:val="24"/>
          <w:szCs w:val="24"/>
        </w:rPr>
        <w:t>about requested flight d</w:t>
      </w:r>
      <w:r w:rsidR="00D228E9">
        <w:rPr>
          <w:rFonts w:ascii="Arial" w:eastAsia="Times New Roman" w:hAnsi="Arial" w:cs="Arial"/>
          <w:color w:val="555555"/>
          <w:sz w:val="24"/>
          <w:szCs w:val="24"/>
        </w:rPr>
        <w:t>eparture and arrival airports that match</w:t>
      </w:r>
      <w:r w:rsidR="003E1C56">
        <w:rPr>
          <w:rFonts w:ascii="Arial" w:eastAsia="Times New Roman" w:hAnsi="Arial" w:cs="Arial"/>
          <w:color w:val="555555"/>
          <w:sz w:val="24"/>
          <w:szCs w:val="24"/>
        </w:rPr>
        <w:t xml:space="preserve"> </w:t>
      </w:r>
      <w:r w:rsidR="009927DA">
        <w:rPr>
          <w:rFonts w:ascii="Arial" w:eastAsia="Times New Roman" w:hAnsi="Arial" w:cs="Arial"/>
          <w:color w:val="555555"/>
          <w:sz w:val="24"/>
          <w:szCs w:val="24"/>
        </w:rPr>
        <w:t xml:space="preserve">the </w:t>
      </w:r>
      <w:r w:rsidR="003E1C56">
        <w:rPr>
          <w:rFonts w:ascii="Arial" w:eastAsia="Times New Roman" w:hAnsi="Arial" w:cs="Arial"/>
          <w:color w:val="555555"/>
          <w:sz w:val="24"/>
          <w:szCs w:val="24"/>
        </w:rPr>
        <w:t xml:space="preserve">purpose </w:t>
      </w:r>
      <w:r w:rsidR="009927DA">
        <w:rPr>
          <w:rFonts w:ascii="Arial" w:eastAsia="Times New Roman" w:hAnsi="Arial" w:cs="Arial"/>
          <w:color w:val="555555"/>
          <w:sz w:val="24"/>
          <w:szCs w:val="24"/>
        </w:rPr>
        <w:t>of flight</w:t>
      </w:r>
      <w:r w:rsidR="00D228E9">
        <w:rPr>
          <w:rFonts w:ascii="Arial" w:eastAsia="Times New Roman" w:hAnsi="Arial" w:cs="Arial"/>
          <w:color w:val="555555"/>
          <w:sz w:val="24"/>
          <w:szCs w:val="24"/>
        </w:rPr>
        <w:t>,</w:t>
      </w:r>
      <w:r w:rsidR="009927DA">
        <w:rPr>
          <w:rFonts w:ascii="Arial" w:eastAsia="Times New Roman" w:hAnsi="Arial" w:cs="Arial"/>
          <w:color w:val="555555"/>
          <w:sz w:val="24"/>
          <w:szCs w:val="24"/>
        </w:rPr>
        <w:t xml:space="preserve"> </w:t>
      </w:r>
      <w:r w:rsidR="0004096C">
        <w:rPr>
          <w:rFonts w:ascii="Arial" w:eastAsia="Times New Roman" w:hAnsi="Arial" w:cs="Arial"/>
          <w:color w:val="555555"/>
          <w:sz w:val="24"/>
          <w:szCs w:val="24"/>
        </w:rPr>
        <w:t>is</w:t>
      </w:r>
      <w:r w:rsidR="00F506B0">
        <w:rPr>
          <w:rFonts w:ascii="Arial" w:eastAsia="Times New Roman" w:hAnsi="Arial" w:cs="Arial"/>
          <w:color w:val="555555"/>
          <w:sz w:val="24"/>
          <w:szCs w:val="24"/>
        </w:rPr>
        <w:t xml:space="preserve"> </w:t>
      </w:r>
      <w:r w:rsidR="009927DA">
        <w:rPr>
          <w:rFonts w:ascii="Arial" w:eastAsia="Times New Roman" w:hAnsi="Arial" w:cs="Arial"/>
          <w:color w:val="555555"/>
          <w:sz w:val="24"/>
          <w:szCs w:val="24"/>
        </w:rPr>
        <w:t xml:space="preserve">used to </w:t>
      </w:r>
      <w:r w:rsidR="00315AB4">
        <w:rPr>
          <w:rFonts w:ascii="Arial" w:eastAsia="Times New Roman" w:hAnsi="Arial" w:cs="Arial"/>
          <w:color w:val="555555"/>
          <w:sz w:val="24"/>
          <w:szCs w:val="24"/>
        </w:rPr>
        <w:t xml:space="preserve">attest to such </w:t>
      </w:r>
      <w:r w:rsidR="009927DA">
        <w:rPr>
          <w:rFonts w:ascii="Arial" w:eastAsia="Times New Roman" w:hAnsi="Arial" w:cs="Arial"/>
          <w:color w:val="555555"/>
          <w:sz w:val="24"/>
          <w:szCs w:val="24"/>
        </w:rPr>
        <w:t>autho</w:t>
      </w:r>
      <w:r w:rsidR="00315AB4">
        <w:rPr>
          <w:rFonts w:ascii="Arial" w:eastAsia="Times New Roman" w:hAnsi="Arial" w:cs="Arial"/>
          <w:color w:val="555555"/>
          <w:sz w:val="24"/>
          <w:szCs w:val="24"/>
        </w:rPr>
        <w:t>rized</w:t>
      </w:r>
      <w:r w:rsidR="009927DA">
        <w:rPr>
          <w:rFonts w:ascii="Arial" w:eastAsia="Times New Roman" w:hAnsi="Arial" w:cs="Arial"/>
          <w:color w:val="555555"/>
          <w:sz w:val="24"/>
          <w:szCs w:val="24"/>
        </w:rPr>
        <w:t xml:space="preserve"> flight operations </w:t>
      </w:r>
      <w:r w:rsidR="00EF40B1">
        <w:rPr>
          <w:rFonts w:ascii="Arial" w:eastAsia="Times New Roman" w:hAnsi="Arial" w:cs="Arial"/>
          <w:color w:val="555555"/>
          <w:sz w:val="24"/>
          <w:szCs w:val="24"/>
        </w:rPr>
        <w:t>in the case of</w:t>
      </w:r>
      <w:r w:rsidR="00315AB4">
        <w:rPr>
          <w:rFonts w:ascii="Arial" w:eastAsia="Times New Roman" w:hAnsi="Arial" w:cs="Arial"/>
          <w:color w:val="555555"/>
          <w:sz w:val="24"/>
          <w:szCs w:val="24"/>
        </w:rPr>
        <w:t xml:space="preserve"> audit</w:t>
      </w:r>
      <w:r w:rsidR="009927DA">
        <w:rPr>
          <w:rFonts w:ascii="Arial" w:eastAsia="Times New Roman" w:hAnsi="Arial" w:cs="Arial"/>
          <w:color w:val="555555"/>
          <w:sz w:val="24"/>
          <w:szCs w:val="24"/>
        </w:rPr>
        <w:t xml:space="preserve"> by FAA enforcement personnel.  </w:t>
      </w:r>
      <w:r w:rsidR="00EF40B1">
        <w:rPr>
          <w:rFonts w:ascii="Arial" w:eastAsia="Times New Roman" w:hAnsi="Arial" w:cs="Arial"/>
          <w:color w:val="555555"/>
          <w:sz w:val="24"/>
          <w:szCs w:val="24"/>
        </w:rPr>
        <w:t>T</w:t>
      </w:r>
      <w:r w:rsidR="003E1C56">
        <w:rPr>
          <w:rFonts w:ascii="Arial" w:eastAsia="Times New Roman" w:hAnsi="Arial" w:cs="Arial"/>
          <w:color w:val="555555"/>
          <w:sz w:val="24"/>
          <w:szCs w:val="24"/>
        </w:rPr>
        <w:t>he FAA</w:t>
      </w:r>
      <w:r w:rsidR="00EF40B1">
        <w:rPr>
          <w:rFonts w:ascii="Arial" w:eastAsia="Times New Roman" w:hAnsi="Arial" w:cs="Arial"/>
          <w:color w:val="555555"/>
          <w:sz w:val="24"/>
          <w:szCs w:val="24"/>
        </w:rPr>
        <w:t xml:space="preserve"> maintains</w:t>
      </w:r>
      <w:r w:rsidR="009927DA">
        <w:rPr>
          <w:rFonts w:ascii="Arial" w:eastAsia="Times New Roman" w:hAnsi="Arial" w:cs="Arial"/>
          <w:color w:val="555555"/>
          <w:sz w:val="24"/>
          <w:szCs w:val="24"/>
        </w:rPr>
        <w:t xml:space="preserve"> in records</w:t>
      </w:r>
      <w:r w:rsidR="00EF40B1">
        <w:rPr>
          <w:rFonts w:ascii="Arial" w:eastAsia="Times New Roman" w:hAnsi="Arial" w:cs="Arial"/>
          <w:color w:val="555555"/>
          <w:sz w:val="24"/>
          <w:szCs w:val="24"/>
        </w:rPr>
        <w:t xml:space="preserve"> the original request information</w:t>
      </w:r>
      <w:r w:rsidRPr="00D92383" w:rsidR="00F506B0">
        <w:rPr>
          <w:rFonts w:ascii="Arial" w:eastAsia="Times New Roman" w:hAnsi="Arial" w:cs="Arial"/>
          <w:color w:val="555555"/>
          <w:sz w:val="24"/>
          <w:szCs w:val="24"/>
        </w:rPr>
        <w:t>.</w:t>
      </w:r>
      <w:r w:rsidRPr="002B3837" w:rsidR="002B3837">
        <w:rPr>
          <w:rFonts w:ascii="Arial" w:eastAsia="Times New Roman" w:hAnsi="Arial" w:cs="Arial"/>
          <w:color w:val="555555"/>
          <w:sz w:val="24"/>
          <w:szCs w:val="24"/>
        </w:rPr>
        <w:t xml:space="preserve"> </w:t>
      </w:r>
      <w:r w:rsidR="00FD33FA">
        <w:rPr>
          <w:rFonts w:ascii="Arial" w:eastAsia="Times New Roman" w:hAnsi="Arial" w:cs="Arial"/>
          <w:color w:val="555555"/>
          <w:sz w:val="24"/>
          <w:szCs w:val="24"/>
        </w:rPr>
        <w:t>FA</w:t>
      </w:r>
      <w:r w:rsidRPr="002B3837" w:rsidR="002B3837">
        <w:rPr>
          <w:rFonts w:ascii="Arial" w:eastAsia="Times New Roman" w:hAnsi="Arial" w:cs="Arial"/>
          <w:color w:val="555555"/>
          <w:sz w:val="24"/>
          <w:szCs w:val="24"/>
        </w:rPr>
        <w:t xml:space="preserve">A form </w:t>
      </w:r>
      <w:r w:rsidR="00FD33FA">
        <w:rPr>
          <w:rFonts w:ascii="Arial" w:eastAsia="Times New Roman" w:hAnsi="Arial" w:cs="Arial"/>
          <w:color w:val="555555"/>
          <w:sz w:val="24"/>
          <w:szCs w:val="24"/>
        </w:rPr>
        <w:t xml:space="preserve">1050-8 </w:t>
      </w:r>
      <w:r w:rsidR="00197480">
        <w:rPr>
          <w:rFonts w:ascii="Arial" w:eastAsia="Times New Roman" w:hAnsi="Arial" w:cs="Arial"/>
          <w:color w:val="555555"/>
          <w:sz w:val="24"/>
          <w:szCs w:val="24"/>
        </w:rPr>
        <w:t>exists</w:t>
      </w:r>
      <w:r w:rsidRPr="002B3837" w:rsidR="002B3837">
        <w:rPr>
          <w:rFonts w:ascii="Arial" w:eastAsia="Times New Roman" w:hAnsi="Arial" w:cs="Arial"/>
          <w:color w:val="555555"/>
          <w:sz w:val="24"/>
          <w:szCs w:val="24"/>
        </w:rPr>
        <w:t xml:space="preserve"> to minimize operator and FAA workload; intended to get all the information at one time in most cases (avoid repeated contacts to issue one special flight authorization).</w:t>
      </w:r>
      <w:r w:rsidRPr="00C64707" w:rsidR="00C64707">
        <w:rPr>
          <w:rFonts w:ascii="Arial" w:eastAsia="Times New Roman" w:hAnsi="Arial" w:cs="Arial"/>
          <w:color w:val="555555"/>
          <w:sz w:val="24"/>
          <w:szCs w:val="24"/>
        </w:rPr>
        <w:br/>
      </w:r>
    </w:p>
    <w:p w:rsidR="00C64707" w:rsidRPr="00C64707" w:rsidP="00C64707" w14:paraId="4DE29FD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0A1B5C5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6B24FE5" w14:textId="7407B63F">
      <w:pPr>
        <w:shd w:val="clear" w:color="auto" w:fill="FFFFFF"/>
        <w:spacing w:after="0" w:line="240" w:lineRule="auto"/>
        <w:rPr>
          <w:rFonts w:ascii="Arial" w:eastAsia="Times New Roman" w:hAnsi="Arial" w:cs="Arial"/>
          <w:color w:val="555555"/>
          <w:sz w:val="24"/>
          <w:szCs w:val="24"/>
        </w:rPr>
      </w:pPr>
      <w:r w:rsidRPr="002B3837">
        <w:rPr>
          <w:rFonts w:ascii="Arial" w:eastAsia="Times New Roman" w:hAnsi="Arial" w:cs="Arial"/>
          <w:color w:val="555555"/>
          <w:sz w:val="24"/>
          <w:szCs w:val="24"/>
        </w:rPr>
        <w:t>To simplify the application process, the FAA has developed a form that lists the information that the applicant must supply.  Use of this form is mandatory</w:t>
      </w:r>
      <w:r w:rsidR="00457F7B">
        <w:rPr>
          <w:rFonts w:ascii="Arial" w:eastAsia="Times New Roman" w:hAnsi="Arial" w:cs="Arial"/>
          <w:color w:val="555555"/>
          <w:sz w:val="24"/>
          <w:szCs w:val="24"/>
        </w:rPr>
        <w:t xml:space="preserve"> </w:t>
      </w:r>
      <w:r w:rsidRPr="00315AB4" w:rsidR="00315AB4">
        <w:rPr>
          <w:rFonts w:ascii="Arial" w:eastAsia="Times New Roman" w:hAnsi="Arial" w:cs="Arial"/>
          <w:color w:val="555555"/>
          <w:sz w:val="24"/>
          <w:szCs w:val="24"/>
        </w:rPr>
        <w:t xml:space="preserve">in order to submit the information </w:t>
      </w:r>
      <w:r w:rsidR="00457F7B">
        <w:rPr>
          <w:rFonts w:ascii="Arial" w:eastAsia="Times New Roman" w:hAnsi="Arial" w:cs="Arial"/>
          <w:color w:val="555555"/>
          <w:sz w:val="24"/>
          <w:szCs w:val="24"/>
        </w:rPr>
        <w:t>and</w:t>
      </w:r>
      <w:r w:rsidRPr="002B3837">
        <w:rPr>
          <w:rFonts w:ascii="Arial" w:eastAsia="Times New Roman" w:hAnsi="Arial" w:cs="Arial"/>
          <w:color w:val="555555"/>
          <w:sz w:val="24"/>
          <w:szCs w:val="24"/>
        </w:rPr>
        <w:t xml:space="preserve"> intended to simplify the process.  The </w:t>
      </w:r>
      <w:r w:rsidR="00FD33FA">
        <w:rPr>
          <w:rFonts w:ascii="Arial" w:eastAsia="Times New Roman" w:hAnsi="Arial" w:cs="Arial"/>
          <w:color w:val="555555"/>
          <w:sz w:val="24"/>
          <w:szCs w:val="24"/>
        </w:rPr>
        <w:t xml:space="preserve">FAA </w:t>
      </w:r>
      <w:r w:rsidRPr="002B3837">
        <w:rPr>
          <w:rFonts w:ascii="Arial" w:eastAsia="Times New Roman" w:hAnsi="Arial" w:cs="Arial"/>
          <w:color w:val="555555"/>
          <w:sz w:val="24"/>
          <w:szCs w:val="24"/>
        </w:rPr>
        <w:t xml:space="preserve">form </w:t>
      </w:r>
      <w:r w:rsidR="00FD33FA">
        <w:rPr>
          <w:rFonts w:ascii="Arial" w:eastAsia="Times New Roman" w:hAnsi="Arial" w:cs="Arial"/>
          <w:color w:val="555555"/>
          <w:sz w:val="24"/>
          <w:szCs w:val="24"/>
        </w:rPr>
        <w:t xml:space="preserve">1050-8 </w:t>
      </w:r>
      <w:r w:rsidRPr="002B3837">
        <w:rPr>
          <w:rFonts w:ascii="Arial" w:eastAsia="Times New Roman" w:hAnsi="Arial" w:cs="Arial"/>
          <w:color w:val="555555"/>
          <w:sz w:val="24"/>
          <w:szCs w:val="24"/>
        </w:rPr>
        <w:t>can be obtained on the FAA web site</w:t>
      </w:r>
      <w:r w:rsidR="00FD33FA">
        <w:rPr>
          <w:rFonts w:ascii="Arial" w:eastAsia="Times New Roman" w:hAnsi="Arial" w:cs="Arial"/>
          <w:color w:val="555555"/>
          <w:sz w:val="24"/>
          <w:szCs w:val="24"/>
        </w:rPr>
        <w:t>:</w:t>
      </w:r>
      <w:r w:rsidRPr="002B3837">
        <w:rPr>
          <w:rFonts w:ascii="Arial" w:eastAsia="Times New Roman" w:hAnsi="Arial" w:cs="Arial"/>
          <w:color w:val="555555"/>
          <w:sz w:val="24"/>
          <w:szCs w:val="24"/>
        </w:rPr>
        <w:t xml:space="preserve"> [</w:t>
      </w:r>
      <w:r w:rsidRPr="00727D89" w:rsidR="00727D89">
        <w:rPr>
          <w:rFonts w:ascii="Arial" w:eastAsia="Times New Roman" w:hAnsi="Arial" w:cs="Arial"/>
          <w:color w:val="555555"/>
          <w:sz w:val="24"/>
          <w:szCs w:val="24"/>
        </w:rPr>
        <w:t>https://www.faa.gov/forms/index.cfm/go/document.information/documentID/1020408</w:t>
      </w:r>
      <w:r w:rsidRPr="002B3837">
        <w:rPr>
          <w:rFonts w:ascii="Arial" w:eastAsia="Times New Roman" w:hAnsi="Arial" w:cs="Arial"/>
          <w:color w:val="555555"/>
          <w:sz w:val="24"/>
          <w:szCs w:val="24"/>
        </w:rPr>
        <w:t xml:space="preserve">].  Once the applicants have completed the form, they can </w:t>
      </w:r>
      <w:r w:rsidR="00CD1FC8">
        <w:rPr>
          <w:rFonts w:ascii="Arial" w:eastAsia="Times New Roman" w:hAnsi="Arial" w:cs="Arial"/>
          <w:color w:val="555555"/>
          <w:sz w:val="24"/>
          <w:szCs w:val="24"/>
        </w:rPr>
        <w:t xml:space="preserve">send it in by </w:t>
      </w:r>
      <w:r w:rsidRPr="002B3837">
        <w:rPr>
          <w:rFonts w:ascii="Arial" w:eastAsia="Times New Roman" w:hAnsi="Arial" w:cs="Arial"/>
          <w:color w:val="555555"/>
          <w:sz w:val="24"/>
          <w:szCs w:val="24"/>
        </w:rPr>
        <w:t>e-mail.  In compliance with the Government Paperwork Elimination Act (GPEA), this information is 100% submit</w:t>
      </w:r>
      <w:r w:rsidR="009C3D2E">
        <w:rPr>
          <w:rFonts w:ascii="Arial" w:eastAsia="Times New Roman" w:hAnsi="Arial" w:cs="Arial"/>
          <w:color w:val="555555"/>
          <w:sz w:val="24"/>
          <w:szCs w:val="24"/>
        </w:rPr>
        <w:t>t</w:t>
      </w:r>
      <w:r w:rsidRPr="002B3837">
        <w:rPr>
          <w:rFonts w:ascii="Arial" w:eastAsia="Times New Roman" w:hAnsi="Arial" w:cs="Arial"/>
          <w:color w:val="555555"/>
          <w:sz w:val="24"/>
          <w:szCs w:val="24"/>
        </w:rPr>
        <w:t>able by electronic means.</w:t>
      </w:r>
      <w:r w:rsidRPr="00C64707">
        <w:rPr>
          <w:rFonts w:ascii="Arial" w:eastAsia="Times New Roman" w:hAnsi="Arial" w:cs="Arial"/>
          <w:color w:val="555555"/>
          <w:sz w:val="24"/>
          <w:szCs w:val="24"/>
        </w:rPr>
        <w:br/>
      </w:r>
    </w:p>
    <w:p w:rsidR="00C64707" w:rsidRPr="00C64707" w:rsidP="00C64707" w14:paraId="11AFD95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223092BA" w14:textId="1C7E4A64">
      <w:pPr>
        <w:shd w:val="clear" w:color="auto" w:fill="FFFFFF"/>
        <w:spacing w:after="0" w:line="240" w:lineRule="auto"/>
        <w:rPr>
          <w:rFonts w:ascii="Arial" w:eastAsia="Times New Roman" w:hAnsi="Arial" w:cs="Arial"/>
          <w:color w:val="555555"/>
          <w:sz w:val="24"/>
          <w:szCs w:val="24"/>
        </w:rPr>
      </w:pPr>
    </w:p>
    <w:p w:rsidR="00C64707" w:rsidRPr="00C64707" w:rsidP="00C64707" w14:paraId="3C79BA0B" w14:textId="044FF36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collection from </w:t>
      </w:r>
      <w:r w:rsidR="00197480">
        <w:rPr>
          <w:rFonts w:ascii="Arial" w:eastAsia="Times New Roman" w:hAnsi="Arial" w:cs="Arial"/>
          <w:color w:val="555555"/>
          <w:sz w:val="24"/>
          <w:szCs w:val="24"/>
        </w:rPr>
        <w:t xml:space="preserve">airplane </w:t>
      </w:r>
      <w:r>
        <w:rPr>
          <w:rFonts w:ascii="Arial" w:eastAsia="Times New Roman" w:hAnsi="Arial" w:cs="Arial"/>
          <w:color w:val="555555"/>
          <w:sz w:val="24"/>
          <w:szCs w:val="24"/>
        </w:rPr>
        <w:t>operators</w:t>
      </w:r>
      <w:r w:rsidR="00003771">
        <w:rPr>
          <w:rFonts w:ascii="Arial" w:eastAsia="Times New Roman" w:hAnsi="Arial" w:cs="Arial"/>
          <w:color w:val="555555"/>
          <w:sz w:val="24"/>
          <w:szCs w:val="24"/>
        </w:rPr>
        <w:t xml:space="preserve"> is</w:t>
      </w:r>
      <w:r w:rsidR="00796FB5">
        <w:rPr>
          <w:rFonts w:ascii="Arial" w:eastAsia="Times New Roman" w:hAnsi="Arial" w:cs="Arial"/>
          <w:color w:val="555555"/>
          <w:sz w:val="24"/>
          <w:szCs w:val="24"/>
        </w:rPr>
        <w:t xml:space="preserve"> </w:t>
      </w:r>
      <w:r w:rsidR="00003771">
        <w:rPr>
          <w:rFonts w:ascii="Arial" w:eastAsia="Times New Roman" w:hAnsi="Arial" w:cs="Arial"/>
          <w:color w:val="555555"/>
          <w:sz w:val="24"/>
          <w:szCs w:val="24"/>
        </w:rPr>
        <w:t xml:space="preserve">minimized from duplication </w:t>
      </w:r>
      <w:r w:rsidRPr="00315AB4" w:rsidR="00315AB4">
        <w:rPr>
          <w:rFonts w:ascii="Arial" w:eastAsia="Times New Roman" w:hAnsi="Arial" w:cs="Arial"/>
          <w:color w:val="555555"/>
          <w:sz w:val="24"/>
          <w:szCs w:val="24"/>
        </w:rPr>
        <w:t>because these forms are only processed within one office</w:t>
      </w:r>
      <w:r w:rsidR="00315AB4">
        <w:rPr>
          <w:rFonts w:ascii="Arial" w:eastAsia="Times New Roman" w:hAnsi="Arial" w:cs="Arial"/>
          <w:color w:val="555555"/>
          <w:sz w:val="24"/>
          <w:szCs w:val="24"/>
        </w:rPr>
        <w:t xml:space="preserve"> of the FAA</w:t>
      </w:r>
      <w:r w:rsidR="00197480">
        <w:rPr>
          <w:rFonts w:ascii="Arial" w:eastAsia="Times New Roman" w:hAnsi="Arial" w:cs="Arial"/>
          <w:color w:val="555555"/>
          <w:sz w:val="24"/>
          <w:szCs w:val="24"/>
        </w:rPr>
        <w:t>.</w:t>
      </w:r>
      <w:r w:rsidR="005D48C1">
        <w:rPr>
          <w:rFonts w:ascii="Arial" w:eastAsia="Times New Roman" w:hAnsi="Arial" w:cs="Arial"/>
          <w:color w:val="555555"/>
          <w:sz w:val="24"/>
          <w:szCs w:val="24"/>
        </w:rPr>
        <w:t xml:space="preserve">  The Office of Environment and Energy is the only authorized office to approve and issue special flight authorizations, thus avoiding form duplication inside and outside of FAA.</w:t>
      </w:r>
      <w:r w:rsidR="00197480">
        <w:rPr>
          <w:rFonts w:ascii="Arial" w:eastAsia="Times New Roman" w:hAnsi="Arial" w:cs="Arial"/>
          <w:color w:val="555555"/>
          <w:sz w:val="24"/>
          <w:szCs w:val="24"/>
        </w:rPr>
        <w:t xml:space="preserve"> Also, t</w:t>
      </w:r>
      <w:r w:rsidRPr="002B3837" w:rsidR="002B3837">
        <w:rPr>
          <w:rFonts w:ascii="Arial" w:eastAsia="Times New Roman" w:hAnsi="Arial" w:cs="Arial"/>
          <w:color w:val="555555"/>
          <w:sz w:val="24"/>
          <w:szCs w:val="24"/>
        </w:rPr>
        <w:t>here are no known sources of this information</w:t>
      </w:r>
      <w:r w:rsidR="00197480">
        <w:rPr>
          <w:rFonts w:ascii="Arial" w:eastAsia="Times New Roman" w:hAnsi="Arial" w:cs="Arial"/>
          <w:color w:val="555555"/>
          <w:sz w:val="24"/>
          <w:szCs w:val="24"/>
        </w:rPr>
        <w:t xml:space="preserve"> that can be considered a duplication</w:t>
      </w:r>
      <w:r w:rsidRPr="002B3837" w:rsidR="002B3837">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24E314F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36A8CAFC" w14:textId="44F1A80D">
      <w:pPr>
        <w:shd w:val="clear" w:color="auto" w:fill="FFFFFF"/>
        <w:spacing w:after="0" w:line="240" w:lineRule="auto"/>
        <w:rPr>
          <w:rFonts w:ascii="Arial" w:eastAsia="Times New Roman" w:hAnsi="Arial" w:cs="Arial"/>
          <w:color w:val="555555"/>
          <w:sz w:val="24"/>
          <w:szCs w:val="24"/>
        </w:rPr>
      </w:pPr>
    </w:p>
    <w:p w:rsidR="00C64707" w:rsidRPr="00C64707" w:rsidP="00C64707" w14:paraId="047FEB4F" w14:textId="544FD683">
      <w:pPr>
        <w:shd w:val="clear" w:color="auto" w:fill="FFFFFF"/>
        <w:spacing w:after="0" w:line="240" w:lineRule="auto"/>
        <w:rPr>
          <w:rFonts w:ascii="Arial" w:eastAsia="Times New Roman" w:hAnsi="Arial" w:cs="Arial"/>
          <w:color w:val="555555"/>
          <w:sz w:val="24"/>
          <w:szCs w:val="24"/>
        </w:rPr>
      </w:pPr>
      <w:r w:rsidRPr="00FD1C91">
        <w:rPr>
          <w:rFonts w:ascii="Arial" w:eastAsia="Times New Roman" w:hAnsi="Arial" w:cs="Arial"/>
          <w:color w:val="555555"/>
          <w:sz w:val="24"/>
          <w:szCs w:val="24"/>
        </w:rPr>
        <w:t>The information required under this mandate is significantly less than that required by 14 CFR Part 11 and minimizes the burden on small entities.</w:t>
      </w:r>
      <w:r w:rsidR="00C0481B">
        <w:rPr>
          <w:rFonts w:ascii="Arial" w:eastAsia="Times New Roman" w:hAnsi="Arial" w:cs="Arial"/>
          <w:color w:val="555555"/>
          <w:sz w:val="24"/>
          <w:szCs w:val="24"/>
        </w:rPr>
        <w:t xml:space="preserve"> </w:t>
      </w:r>
      <w:r w:rsidRPr="002B3837" w:rsidR="00197480">
        <w:rPr>
          <w:rFonts w:ascii="Arial" w:eastAsia="Times New Roman" w:hAnsi="Arial" w:cs="Arial"/>
          <w:color w:val="555555"/>
          <w:sz w:val="24"/>
          <w:szCs w:val="24"/>
        </w:rPr>
        <w:t xml:space="preserve">A </w:t>
      </w:r>
      <w:r w:rsidR="00C0481B">
        <w:rPr>
          <w:rFonts w:ascii="Arial" w:eastAsia="Times New Roman" w:hAnsi="Arial" w:cs="Arial"/>
          <w:color w:val="555555"/>
          <w:sz w:val="24"/>
          <w:szCs w:val="24"/>
        </w:rPr>
        <w:t xml:space="preserve">Special Flight Authorization Request (collection) </w:t>
      </w:r>
      <w:r w:rsidRPr="002B3837" w:rsidR="00197480">
        <w:rPr>
          <w:rFonts w:ascii="Arial" w:eastAsia="Times New Roman" w:hAnsi="Arial" w:cs="Arial"/>
          <w:color w:val="555555"/>
          <w:sz w:val="24"/>
          <w:szCs w:val="24"/>
        </w:rPr>
        <w:t xml:space="preserve">form </w:t>
      </w:r>
      <w:r w:rsidR="00197480">
        <w:rPr>
          <w:rFonts w:ascii="Arial" w:eastAsia="Times New Roman" w:hAnsi="Arial" w:cs="Arial"/>
          <w:color w:val="555555"/>
          <w:sz w:val="24"/>
          <w:szCs w:val="24"/>
        </w:rPr>
        <w:t>exists</w:t>
      </w:r>
      <w:r w:rsidRPr="002B3837" w:rsidR="00197480">
        <w:rPr>
          <w:rFonts w:ascii="Arial" w:eastAsia="Times New Roman" w:hAnsi="Arial" w:cs="Arial"/>
          <w:color w:val="555555"/>
          <w:sz w:val="24"/>
          <w:szCs w:val="24"/>
        </w:rPr>
        <w:t xml:space="preserve"> to minimize operator</w:t>
      </w:r>
      <w:r w:rsidR="00197480">
        <w:rPr>
          <w:rFonts w:ascii="Arial" w:eastAsia="Times New Roman" w:hAnsi="Arial" w:cs="Arial"/>
          <w:color w:val="555555"/>
          <w:sz w:val="24"/>
          <w:szCs w:val="24"/>
        </w:rPr>
        <w:t>/applicant’s</w:t>
      </w:r>
      <w:r w:rsidR="00BC3DCC">
        <w:rPr>
          <w:rFonts w:ascii="Arial" w:eastAsia="Times New Roman" w:hAnsi="Arial" w:cs="Arial"/>
          <w:color w:val="555555"/>
          <w:sz w:val="24"/>
          <w:szCs w:val="24"/>
        </w:rPr>
        <w:t xml:space="preserve"> burden with the intent</w:t>
      </w:r>
      <w:r w:rsidRPr="002B3837" w:rsidR="00197480">
        <w:rPr>
          <w:rFonts w:ascii="Arial" w:eastAsia="Times New Roman" w:hAnsi="Arial" w:cs="Arial"/>
          <w:color w:val="555555"/>
          <w:sz w:val="24"/>
          <w:szCs w:val="24"/>
        </w:rPr>
        <w:t xml:space="preserve"> to get all the informa</w:t>
      </w:r>
      <w:r w:rsidR="00BC3DCC">
        <w:rPr>
          <w:rFonts w:ascii="Arial" w:eastAsia="Times New Roman" w:hAnsi="Arial" w:cs="Arial"/>
          <w:color w:val="555555"/>
          <w:sz w:val="24"/>
          <w:szCs w:val="24"/>
        </w:rPr>
        <w:t xml:space="preserve">tion at one time in most cases and </w:t>
      </w:r>
      <w:r w:rsidRPr="002B3837" w:rsidR="00197480">
        <w:rPr>
          <w:rFonts w:ascii="Arial" w:eastAsia="Times New Roman" w:hAnsi="Arial" w:cs="Arial"/>
          <w:color w:val="555555"/>
          <w:sz w:val="24"/>
          <w:szCs w:val="24"/>
        </w:rPr>
        <w:t xml:space="preserve">avoid repeated contacts </w:t>
      </w:r>
      <w:r w:rsidR="00BC3DCC">
        <w:rPr>
          <w:rFonts w:ascii="Arial" w:eastAsia="Times New Roman" w:hAnsi="Arial" w:cs="Arial"/>
          <w:color w:val="555555"/>
          <w:sz w:val="24"/>
          <w:szCs w:val="24"/>
        </w:rPr>
        <w:t>in order to process</w:t>
      </w:r>
      <w:r w:rsidRPr="002B3837" w:rsidR="00197480">
        <w:rPr>
          <w:rFonts w:ascii="Arial" w:eastAsia="Times New Roman" w:hAnsi="Arial" w:cs="Arial"/>
          <w:color w:val="555555"/>
          <w:sz w:val="24"/>
          <w:szCs w:val="24"/>
        </w:rPr>
        <w:t xml:space="preserve"> </w:t>
      </w:r>
      <w:r w:rsidR="00C0481B">
        <w:rPr>
          <w:rFonts w:ascii="Arial" w:eastAsia="Times New Roman" w:hAnsi="Arial" w:cs="Arial"/>
          <w:color w:val="555555"/>
          <w:sz w:val="24"/>
          <w:szCs w:val="24"/>
        </w:rPr>
        <w:t xml:space="preserve">and issue </w:t>
      </w:r>
      <w:r w:rsidRPr="002B3837" w:rsidR="00197480">
        <w:rPr>
          <w:rFonts w:ascii="Arial" w:eastAsia="Times New Roman" w:hAnsi="Arial" w:cs="Arial"/>
          <w:color w:val="555555"/>
          <w:sz w:val="24"/>
          <w:szCs w:val="24"/>
        </w:rPr>
        <w:t>o</w:t>
      </w:r>
      <w:r w:rsidR="00BC3DCC">
        <w:rPr>
          <w:rFonts w:ascii="Arial" w:eastAsia="Times New Roman" w:hAnsi="Arial" w:cs="Arial"/>
          <w:color w:val="555555"/>
          <w:sz w:val="24"/>
          <w:szCs w:val="24"/>
        </w:rPr>
        <w:t>ne</w:t>
      </w:r>
      <w:r w:rsidR="00C0481B">
        <w:rPr>
          <w:rFonts w:ascii="Arial" w:eastAsia="Times New Roman" w:hAnsi="Arial" w:cs="Arial"/>
          <w:color w:val="555555"/>
          <w:sz w:val="24"/>
          <w:szCs w:val="24"/>
        </w:rPr>
        <w:t xml:space="preserve"> FAA approval</w:t>
      </w:r>
      <w:r w:rsidRPr="002B3837" w:rsidR="00197480">
        <w:rPr>
          <w:rFonts w:ascii="Arial" w:eastAsia="Times New Roman" w:hAnsi="Arial" w:cs="Arial"/>
          <w:color w:val="555555"/>
          <w:sz w:val="24"/>
          <w:szCs w:val="24"/>
        </w:rPr>
        <w:t>.</w:t>
      </w:r>
      <w:r w:rsidRPr="00C64707" w:rsidR="00197480">
        <w:rPr>
          <w:rFonts w:ascii="Arial" w:eastAsia="Times New Roman" w:hAnsi="Arial" w:cs="Arial"/>
          <w:color w:val="555555"/>
          <w:sz w:val="24"/>
          <w:szCs w:val="24"/>
        </w:rPr>
        <w:br/>
      </w:r>
      <w:r w:rsidR="00197480">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3A72ED4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2A497D" w:rsidRPr="00C64707" w:rsidP="00C64707" w14:paraId="19AF3EA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2132CA2" w14:textId="2F1810DF">
      <w:pPr>
        <w:shd w:val="clear" w:color="auto" w:fill="FFFFFF"/>
        <w:spacing w:after="0" w:line="240" w:lineRule="auto"/>
        <w:rPr>
          <w:rFonts w:ascii="Arial" w:eastAsia="Times New Roman" w:hAnsi="Arial" w:cs="Arial"/>
          <w:color w:val="555555"/>
          <w:sz w:val="24"/>
          <w:szCs w:val="24"/>
        </w:rPr>
      </w:pPr>
      <w:r w:rsidRPr="00FD1C91">
        <w:rPr>
          <w:rFonts w:ascii="Arial" w:eastAsia="Times New Roman" w:hAnsi="Arial" w:cs="Arial"/>
          <w:color w:val="555555"/>
          <w:sz w:val="24"/>
          <w:szCs w:val="24"/>
        </w:rPr>
        <w:t xml:space="preserve">This information is </w:t>
      </w:r>
      <w:r w:rsidR="002C2AA4">
        <w:rPr>
          <w:rFonts w:ascii="Arial" w:eastAsia="Times New Roman" w:hAnsi="Arial" w:cs="Arial"/>
          <w:color w:val="555555"/>
          <w:sz w:val="24"/>
          <w:szCs w:val="24"/>
        </w:rPr>
        <w:t>mandatory</w:t>
      </w:r>
      <w:r w:rsidRPr="00FD1C91">
        <w:rPr>
          <w:rFonts w:ascii="Arial" w:eastAsia="Times New Roman" w:hAnsi="Arial" w:cs="Arial"/>
          <w:color w:val="555555"/>
          <w:sz w:val="24"/>
          <w:szCs w:val="24"/>
        </w:rPr>
        <w:t xml:space="preserve"> </w:t>
      </w:r>
      <w:r w:rsidR="002C2AA4">
        <w:rPr>
          <w:rFonts w:ascii="Arial" w:eastAsia="Times New Roman" w:hAnsi="Arial" w:cs="Arial"/>
          <w:color w:val="555555"/>
          <w:sz w:val="24"/>
          <w:szCs w:val="24"/>
        </w:rPr>
        <w:t>for airplane operators requesting approval of airplane</w:t>
      </w:r>
      <w:r w:rsidR="00AA2901">
        <w:rPr>
          <w:rFonts w:ascii="Arial" w:eastAsia="Times New Roman" w:hAnsi="Arial" w:cs="Arial"/>
          <w:color w:val="555555"/>
          <w:sz w:val="24"/>
          <w:szCs w:val="24"/>
        </w:rPr>
        <w:t xml:space="preserve"> operational</w:t>
      </w:r>
      <w:r w:rsidR="002C2AA4">
        <w:rPr>
          <w:rFonts w:ascii="Arial" w:eastAsia="Times New Roman" w:hAnsi="Arial" w:cs="Arial"/>
          <w:color w:val="555555"/>
          <w:sz w:val="24"/>
          <w:szCs w:val="24"/>
        </w:rPr>
        <w:t xml:space="preserve"> circumstances enumerated in the statute</w:t>
      </w:r>
      <w:r w:rsidRPr="00FD1C91">
        <w:rPr>
          <w:rFonts w:ascii="Arial" w:eastAsia="Times New Roman" w:hAnsi="Arial" w:cs="Arial"/>
          <w:color w:val="555555"/>
          <w:sz w:val="24"/>
          <w:szCs w:val="24"/>
        </w:rPr>
        <w:t>.</w:t>
      </w:r>
      <w:r w:rsidR="002C2AA4">
        <w:rPr>
          <w:rFonts w:ascii="Arial" w:eastAsia="Times New Roman" w:hAnsi="Arial" w:cs="Arial"/>
          <w:color w:val="555555"/>
          <w:sz w:val="24"/>
          <w:szCs w:val="24"/>
        </w:rPr>
        <w:t xml:space="preserve">  </w:t>
      </w:r>
      <w:r w:rsidRPr="00926ACB" w:rsidR="00926ACB">
        <w:rPr>
          <w:rFonts w:ascii="Arial" w:eastAsia="Times New Roman" w:hAnsi="Arial" w:cs="Arial"/>
          <w:color w:val="555555"/>
          <w:sz w:val="24"/>
          <w:szCs w:val="24"/>
        </w:rPr>
        <w:t>The frequency is on occasion</w:t>
      </w:r>
      <w:r w:rsidR="00926ACB">
        <w:rPr>
          <w:rFonts w:ascii="Arial" w:eastAsia="Times New Roman" w:hAnsi="Arial" w:cs="Arial"/>
          <w:color w:val="555555"/>
          <w:sz w:val="24"/>
          <w:szCs w:val="24"/>
        </w:rPr>
        <w:t xml:space="preserve"> and</w:t>
      </w:r>
      <w:r w:rsidR="002C2AA4">
        <w:rPr>
          <w:rFonts w:ascii="Arial" w:eastAsia="Times New Roman" w:hAnsi="Arial" w:cs="Arial"/>
          <w:color w:val="555555"/>
          <w:sz w:val="24"/>
          <w:szCs w:val="24"/>
        </w:rPr>
        <w:t xml:space="preserve"> is contingent upon the remaining non-compliant Stage </w:t>
      </w:r>
      <w:r w:rsidR="00B139B6">
        <w:rPr>
          <w:rFonts w:ascii="Arial" w:eastAsia="Times New Roman" w:hAnsi="Arial" w:cs="Arial"/>
          <w:color w:val="555555"/>
          <w:sz w:val="24"/>
          <w:szCs w:val="24"/>
        </w:rPr>
        <w:t xml:space="preserve">2 </w:t>
      </w:r>
      <w:r w:rsidR="00AA2901">
        <w:rPr>
          <w:rFonts w:ascii="Arial" w:eastAsia="Times New Roman" w:hAnsi="Arial" w:cs="Arial"/>
          <w:color w:val="555555"/>
          <w:sz w:val="24"/>
          <w:szCs w:val="24"/>
        </w:rPr>
        <w:t>airplane fleet that remain</w:t>
      </w:r>
      <w:r w:rsidR="00B139B6">
        <w:rPr>
          <w:rFonts w:ascii="Arial" w:eastAsia="Times New Roman" w:hAnsi="Arial" w:cs="Arial"/>
          <w:color w:val="555555"/>
          <w:sz w:val="24"/>
          <w:szCs w:val="24"/>
        </w:rPr>
        <w:t>s</w:t>
      </w:r>
      <w:r w:rsidR="00AA2901">
        <w:rPr>
          <w:rFonts w:ascii="Arial" w:eastAsia="Times New Roman" w:hAnsi="Arial" w:cs="Arial"/>
          <w:color w:val="555555"/>
          <w:sz w:val="24"/>
          <w:szCs w:val="24"/>
        </w:rPr>
        <w:t xml:space="preserve"> operating outside the U.S. and </w:t>
      </w:r>
      <w:r w:rsidR="00926ACB">
        <w:rPr>
          <w:rFonts w:ascii="Arial" w:eastAsia="Times New Roman" w:hAnsi="Arial" w:cs="Arial"/>
          <w:color w:val="555555"/>
          <w:sz w:val="24"/>
          <w:szCs w:val="24"/>
        </w:rPr>
        <w:t xml:space="preserve">as well the </w:t>
      </w:r>
      <w:r w:rsidR="00AA2901">
        <w:rPr>
          <w:rFonts w:ascii="Arial" w:eastAsia="Times New Roman" w:hAnsi="Arial" w:cs="Arial"/>
          <w:color w:val="555555"/>
          <w:sz w:val="24"/>
          <w:szCs w:val="24"/>
        </w:rPr>
        <w:t xml:space="preserve">U.S. aviation </w:t>
      </w:r>
      <w:r w:rsidR="007B7FAD">
        <w:rPr>
          <w:rFonts w:ascii="Arial" w:eastAsia="Times New Roman" w:hAnsi="Arial" w:cs="Arial"/>
          <w:color w:val="555555"/>
          <w:sz w:val="24"/>
          <w:szCs w:val="24"/>
        </w:rPr>
        <w:t xml:space="preserve">businesses that still offer </w:t>
      </w:r>
      <w:r w:rsidR="00AA2901">
        <w:rPr>
          <w:rFonts w:ascii="Arial" w:eastAsia="Times New Roman" w:hAnsi="Arial" w:cs="Arial"/>
          <w:color w:val="555555"/>
          <w:sz w:val="24"/>
          <w:szCs w:val="24"/>
        </w:rPr>
        <w:t>services</w:t>
      </w:r>
      <w:r w:rsidR="007B7FAD">
        <w:rPr>
          <w:rFonts w:ascii="Arial" w:eastAsia="Times New Roman" w:hAnsi="Arial" w:cs="Arial"/>
          <w:color w:val="555555"/>
          <w:sz w:val="24"/>
          <w:szCs w:val="24"/>
        </w:rPr>
        <w:t xml:space="preserve"> for these legacy airplanes</w:t>
      </w:r>
      <w:r w:rsidR="00AA2901">
        <w:rPr>
          <w:rFonts w:ascii="Arial" w:eastAsia="Times New Roman" w:hAnsi="Arial" w:cs="Arial"/>
          <w:color w:val="555555"/>
          <w:sz w:val="24"/>
          <w:szCs w:val="24"/>
        </w:rPr>
        <w:t xml:space="preserve">, that seem to be diminishing. </w:t>
      </w:r>
      <w:r w:rsidR="002E4AD7">
        <w:rPr>
          <w:rFonts w:ascii="Arial" w:eastAsia="Times New Roman" w:hAnsi="Arial" w:cs="Arial"/>
          <w:color w:val="555555"/>
          <w:sz w:val="24"/>
          <w:szCs w:val="24"/>
        </w:rPr>
        <w:t>Not conducting</w:t>
      </w:r>
      <w:r w:rsidR="00AA2901">
        <w:rPr>
          <w:rFonts w:ascii="Arial" w:eastAsia="Times New Roman" w:hAnsi="Arial" w:cs="Arial"/>
          <w:color w:val="555555"/>
          <w:sz w:val="24"/>
          <w:szCs w:val="24"/>
        </w:rPr>
        <w:t xml:space="preserve"> this special flight authorization (SFA) collection</w:t>
      </w:r>
      <w:r w:rsidR="00927461">
        <w:rPr>
          <w:rFonts w:ascii="Arial" w:eastAsia="Times New Roman" w:hAnsi="Arial" w:cs="Arial"/>
          <w:color w:val="555555"/>
          <w:sz w:val="24"/>
          <w:szCs w:val="24"/>
        </w:rPr>
        <w:t xml:space="preserve"> or conducting less frequently</w:t>
      </w:r>
      <w:r w:rsidR="00AA2901">
        <w:rPr>
          <w:rFonts w:ascii="Arial" w:eastAsia="Times New Roman" w:hAnsi="Arial" w:cs="Arial"/>
          <w:color w:val="555555"/>
          <w:sz w:val="24"/>
          <w:szCs w:val="24"/>
        </w:rPr>
        <w:t xml:space="preserve"> would harm the </w:t>
      </w:r>
      <w:r w:rsidR="007B7FAD">
        <w:rPr>
          <w:rFonts w:ascii="Arial" w:eastAsia="Times New Roman" w:hAnsi="Arial" w:cs="Arial"/>
          <w:color w:val="555555"/>
          <w:sz w:val="24"/>
          <w:szCs w:val="24"/>
        </w:rPr>
        <w:t xml:space="preserve">remaining </w:t>
      </w:r>
      <w:r w:rsidR="00AA2901">
        <w:rPr>
          <w:rFonts w:ascii="Arial" w:eastAsia="Times New Roman" w:hAnsi="Arial" w:cs="Arial"/>
          <w:color w:val="555555"/>
          <w:sz w:val="24"/>
          <w:szCs w:val="24"/>
        </w:rPr>
        <w:t xml:space="preserve">businesses offering related U.S. aviation services for these airplanes and violate the statute.   </w:t>
      </w:r>
      <w:r w:rsidR="002C2AA4">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74A40CB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54893F8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3056A63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073337B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52EE2A7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15E1260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797B9BF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00C64707">
        <w:rPr>
          <w:rFonts w:ascii="Arial" w:eastAsia="Times New Roman" w:hAnsi="Arial" w:cs="Arial"/>
          <w:b/>
          <w:bCs/>
          <w:i/>
          <w:iCs/>
          <w:color w:val="555555"/>
          <w:sz w:val="24"/>
          <w:szCs w:val="24"/>
        </w:rPr>
        <w:t>unnecessarily impedes sharing of data with other agencies for compatible confidential use; or</w:t>
      </w:r>
    </w:p>
    <w:p w:rsidR="00C64707" w:rsidRPr="002A497D" w:rsidP="00C64707" w14:paraId="161C8937" w14:textId="7302C868">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2A497D" w:rsidRPr="00C64707" w:rsidP="002A497D" w14:paraId="4CCF2BC7" w14:textId="77777777">
      <w:pPr>
        <w:shd w:val="clear" w:color="auto" w:fill="FFFFFF"/>
        <w:spacing w:before="100" w:beforeAutospacing="1" w:after="225" w:line="240" w:lineRule="auto"/>
        <w:ind w:left="720"/>
        <w:rPr>
          <w:rFonts w:ascii="Arial" w:eastAsia="Times New Roman" w:hAnsi="Arial" w:cs="Arial"/>
          <w:color w:val="555555"/>
          <w:sz w:val="24"/>
          <w:szCs w:val="24"/>
        </w:rPr>
      </w:pPr>
    </w:p>
    <w:p w:rsidR="00C64707" w:rsidRPr="00C64707" w:rsidP="00FD1C91" w14:paraId="5FC8B4F5" w14:textId="77777777">
      <w:pPr>
        <w:pStyle w:val="ListParagraph"/>
      </w:pPr>
      <w:r w:rsidRPr="00FD1C91">
        <w:rPr>
          <w:rFonts w:ascii="Arial" w:eastAsia="Times New Roman" w:hAnsi="Arial" w:cs="Arial"/>
          <w:color w:val="555555"/>
          <w:sz w:val="24"/>
          <w:szCs w:val="24"/>
        </w:rPr>
        <w:t>There are no special circumstances.</w:t>
      </w:r>
      <w:r w:rsidRPr="00C64707">
        <w:br/>
      </w:r>
    </w:p>
    <w:p w:rsidR="00C64707" w:rsidRPr="00C64707" w:rsidP="00C64707" w14:paraId="31D2FAC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497D" w:rsidP="00C64707" w14:paraId="237CC04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5EAE9ED" w14:textId="0824D7A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128CB">
        <w:rPr>
          <w:color w:val="000000"/>
          <w:sz w:val="27"/>
          <w:szCs w:val="27"/>
        </w:rPr>
        <w:t xml:space="preserve">A Federal Register Notice published </w:t>
      </w:r>
      <w:r w:rsidRPr="0091124E" w:rsidR="001128CB">
        <w:rPr>
          <w:color w:val="000000"/>
          <w:sz w:val="27"/>
          <w:szCs w:val="27"/>
        </w:rPr>
        <w:t xml:space="preserve">on </w:t>
      </w:r>
      <w:r w:rsidRPr="0091124E" w:rsidR="0091124E">
        <w:rPr>
          <w:color w:val="000000"/>
          <w:sz w:val="27"/>
          <w:szCs w:val="27"/>
        </w:rPr>
        <w:t>September 23, 2025</w:t>
      </w:r>
      <w:r w:rsidRPr="0091124E" w:rsidR="001128CB">
        <w:rPr>
          <w:color w:val="000000"/>
          <w:sz w:val="27"/>
          <w:szCs w:val="27"/>
        </w:rPr>
        <w:t xml:space="preserve"> (</w:t>
      </w:r>
      <w:r w:rsidRPr="0091124E" w:rsidR="0091124E">
        <w:rPr>
          <w:color w:val="000000"/>
          <w:sz w:val="27"/>
          <w:szCs w:val="27"/>
        </w:rPr>
        <w:t>90</w:t>
      </w:r>
      <w:r w:rsidRPr="0091124E" w:rsidR="001128CB">
        <w:rPr>
          <w:color w:val="000000"/>
          <w:sz w:val="27"/>
          <w:szCs w:val="27"/>
        </w:rPr>
        <w:t xml:space="preserve"> FR </w:t>
      </w:r>
      <w:r w:rsidR="005D6ACC">
        <w:rPr>
          <w:color w:val="000000"/>
          <w:sz w:val="27"/>
          <w:szCs w:val="27"/>
        </w:rPr>
        <w:t>45889</w:t>
      </w:r>
      <w:r w:rsidRPr="0091124E" w:rsidR="001128CB">
        <w:rPr>
          <w:color w:val="000000"/>
          <w:sz w:val="27"/>
          <w:szCs w:val="27"/>
        </w:rPr>
        <w:t>), solicited</w:t>
      </w:r>
      <w:r w:rsidR="001128CB">
        <w:rPr>
          <w:color w:val="000000"/>
          <w:sz w:val="27"/>
          <w:szCs w:val="27"/>
        </w:rPr>
        <w:t xml:space="preserve"> public comment. No comments were received due to FR notice, thus no further communications with stakeholders.</w:t>
      </w:r>
      <w:r w:rsidR="0012437F">
        <w:rPr>
          <w:color w:val="000000"/>
          <w:sz w:val="27"/>
          <w:szCs w:val="27"/>
        </w:rPr>
        <w:t xml:space="preserve">  </w:t>
      </w:r>
      <w:r w:rsidRPr="00C64707">
        <w:rPr>
          <w:rFonts w:ascii="Arial" w:eastAsia="Times New Roman" w:hAnsi="Arial" w:cs="Arial"/>
          <w:color w:val="555555"/>
          <w:sz w:val="24"/>
          <w:szCs w:val="24"/>
        </w:rPr>
        <w:br/>
      </w:r>
    </w:p>
    <w:p w:rsidR="00E846FC" w:rsidP="00C64707" w14:paraId="7F68F94F"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201CEFD5" w14:textId="777FDDB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P="00C64707" w14:paraId="112983D7" w14:textId="03EA3041">
      <w:pPr>
        <w:shd w:val="clear" w:color="auto" w:fill="FFFFFF"/>
        <w:spacing w:after="0" w:line="240" w:lineRule="auto"/>
        <w:rPr>
          <w:rFonts w:ascii="Arial" w:eastAsia="Times New Roman" w:hAnsi="Arial" w:cs="Arial"/>
          <w:color w:val="555555"/>
          <w:sz w:val="24"/>
          <w:szCs w:val="24"/>
        </w:rPr>
      </w:pPr>
    </w:p>
    <w:p w:rsidR="002A497D" w:rsidRPr="00C64707" w:rsidP="00C64707" w14:paraId="4A49DEC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0B39132" w14:textId="7777777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There are no circumstances that involve payments or gifts to respondents.</w:t>
      </w:r>
      <w:r w:rsidRPr="00C64707">
        <w:rPr>
          <w:rFonts w:ascii="Arial" w:eastAsia="Times New Roman" w:hAnsi="Arial" w:cs="Arial"/>
          <w:color w:val="555555"/>
          <w:sz w:val="24"/>
          <w:szCs w:val="24"/>
        </w:rPr>
        <w:br/>
      </w:r>
    </w:p>
    <w:p w:rsidR="00E846FC" w:rsidP="00C64707" w14:paraId="47287E3E"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03D5E696" w14:textId="3913C99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P="00C64707" w14:paraId="3FFBBD8B" w14:textId="0EF3E50A">
      <w:pPr>
        <w:shd w:val="clear" w:color="auto" w:fill="FFFFFF"/>
        <w:spacing w:after="0" w:line="240" w:lineRule="auto"/>
        <w:rPr>
          <w:rFonts w:ascii="Arial" w:eastAsia="Times New Roman" w:hAnsi="Arial" w:cs="Arial"/>
          <w:color w:val="555555"/>
          <w:sz w:val="24"/>
          <w:szCs w:val="24"/>
        </w:rPr>
      </w:pPr>
    </w:p>
    <w:p w:rsidR="002A497D" w:rsidRPr="00C64707" w:rsidP="00C64707" w14:paraId="3DA6705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FC8F87B" w14:textId="7B9AB86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is no assurance of confidentiality</w:t>
      </w:r>
      <w:r w:rsidR="00CE7C0D">
        <w:rPr>
          <w:rFonts w:ascii="Arial" w:eastAsia="Times New Roman" w:hAnsi="Arial" w:cs="Arial"/>
          <w:color w:val="555555"/>
          <w:sz w:val="24"/>
          <w:szCs w:val="24"/>
        </w:rPr>
        <w:t xml:space="preserve"> provided to respondents</w:t>
      </w:r>
      <w:r>
        <w:rPr>
          <w:rFonts w:ascii="Arial" w:eastAsia="Times New Roman" w:hAnsi="Arial" w:cs="Arial"/>
          <w:color w:val="555555"/>
          <w:sz w:val="24"/>
          <w:szCs w:val="24"/>
        </w:rPr>
        <w:t xml:space="preserve">. </w:t>
      </w:r>
      <w:r w:rsidRPr="00D92383">
        <w:rPr>
          <w:rFonts w:ascii="Arial" w:eastAsia="Times New Roman" w:hAnsi="Arial" w:cs="Arial"/>
          <w:color w:val="555555"/>
          <w:sz w:val="24"/>
          <w:szCs w:val="24"/>
        </w:rPr>
        <w:t xml:space="preserve">Only </w:t>
      </w:r>
      <w:r w:rsidR="009A23B1">
        <w:rPr>
          <w:rFonts w:ascii="Arial" w:eastAsia="Times New Roman" w:hAnsi="Arial" w:cs="Arial"/>
          <w:color w:val="555555"/>
          <w:sz w:val="24"/>
          <w:szCs w:val="24"/>
        </w:rPr>
        <w:t xml:space="preserve">a </w:t>
      </w:r>
      <w:r w:rsidRPr="00D92383">
        <w:rPr>
          <w:rFonts w:ascii="Arial" w:eastAsia="Times New Roman" w:hAnsi="Arial" w:cs="Arial"/>
          <w:color w:val="555555"/>
          <w:sz w:val="24"/>
          <w:szCs w:val="24"/>
        </w:rPr>
        <w:t>min</w:t>
      </w:r>
      <w:r>
        <w:rPr>
          <w:rFonts w:ascii="Arial" w:eastAsia="Times New Roman" w:hAnsi="Arial" w:cs="Arial"/>
          <w:color w:val="555555"/>
          <w:sz w:val="24"/>
          <w:szCs w:val="24"/>
        </w:rPr>
        <w:t>imal amount of data is collected</w:t>
      </w:r>
      <w:r w:rsidRPr="00D92383">
        <w:rPr>
          <w:rFonts w:ascii="Arial" w:eastAsia="Times New Roman" w:hAnsi="Arial" w:cs="Arial"/>
          <w:color w:val="555555"/>
          <w:sz w:val="24"/>
          <w:szCs w:val="24"/>
        </w:rPr>
        <w:t xml:space="preserve"> to id</w:t>
      </w:r>
      <w:r>
        <w:rPr>
          <w:rFonts w:ascii="Arial" w:eastAsia="Times New Roman" w:hAnsi="Arial" w:cs="Arial"/>
          <w:color w:val="555555"/>
          <w:sz w:val="24"/>
          <w:szCs w:val="24"/>
        </w:rPr>
        <w:t xml:space="preserve">entify the affected parties and to </w:t>
      </w:r>
      <w:r w:rsidRPr="00D92383">
        <w:rPr>
          <w:rFonts w:ascii="Arial" w:eastAsia="Times New Roman" w:hAnsi="Arial" w:cs="Arial"/>
          <w:color w:val="555555"/>
          <w:sz w:val="24"/>
          <w:szCs w:val="24"/>
        </w:rPr>
        <w:t>determine whether the purpose for the flight is one enumerated in the law</w:t>
      </w:r>
      <w:r>
        <w:rPr>
          <w:rFonts w:ascii="Arial" w:eastAsia="Times New Roman" w:hAnsi="Arial" w:cs="Arial"/>
          <w:color w:val="555555"/>
          <w:sz w:val="24"/>
          <w:szCs w:val="24"/>
        </w:rPr>
        <w:t>s.</w:t>
      </w:r>
      <w:r w:rsidRPr="00C64707">
        <w:rPr>
          <w:rFonts w:ascii="Arial" w:eastAsia="Times New Roman" w:hAnsi="Arial" w:cs="Arial"/>
          <w:b/>
          <w:bCs/>
          <w:color w:val="555555"/>
          <w:sz w:val="24"/>
          <w:szCs w:val="24"/>
        </w:rPr>
        <w:br/>
      </w:r>
    </w:p>
    <w:p w:rsidR="00E846FC" w:rsidP="00C64707" w14:paraId="6CF61F18"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2BF13943" w14:textId="5BC3433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P="00C64707" w14:paraId="602E8A1E" w14:textId="352FE2C4">
      <w:pPr>
        <w:shd w:val="clear" w:color="auto" w:fill="FFFFFF"/>
        <w:spacing w:after="0" w:line="240" w:lineRule="auto"/>
        <w:rPr>
          <w:rFonts w:ascii="Arial" w:eastAsia="Times New Roman" w:hAnsi="Arial" w:cs="Arial"/>
          <w:color w:val="555555"/>
          <w:sz w:val="24"/>
          <w:szCs w:val="24"/>
        </w:rPr>
      </w:pPr>
    </w:p>
    <w:p w:rsidR="002A497D" w:rsidRPr="00C64707" w:rsidP="00C64707" w14:paraId="091B3F0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4758560" w14:textId="7777777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There are no questions of a sensitive nature.</w:t>
      </w:r>
    </w:p>
    <w:p w:rsidR="00C64707" w:rsidP="00C64707" w14:paraId="5B8AA3F7" w14:textId="4EDD28F4">
      <w:pPr>
        <w:shd w:val="clear" w:color="auto" w:fill="FFFFFF"/>
        <w:spacing w:after="0" w:line="240" w:lineRule="auto"/>
        <w:rPr>
          <w:rFonts w:ascii="Arial" w:eastAsia="Times New Roman" w:hAnsi="Arial" w:cs="Arial"/>
          <w:color w:val="555555"/>
          <w:sz w:val="24"/>
          <w:szCs w:val="24"/>
        </w:rPr>
      </w:pPr>
    </w:p>
    <w:p w:rsidR="00E846FC" w:rsidRPr="00C64707" w:rsidP="00C64707" w14:paraId="7774ED5F" w14:textId="79315171">
      <w:pPr>
        <w:shd w:val="clear" w:color="auto" w:fill="FFFFFF"/>
        <w:spacing w:after="0" w:line="240" w:lineRule="auto"/>
        <w:rPr>
          <w:rFonts w:ascii="Arial" w:eastAsia="Times New Roman" w:hAnsi="Arial" w:cs="Arial"/>
          <w:color w:val="555555"/>
          <w:sz w:val="24"/>
          <w:szCs w:val="24"/>
        </w:rPr>
      </w:pPr>
    </w:p>
    <w:p w:rsidR="00FE0E2F" w:rsidRPr="002A7DA6" w:rsidP="002A7DA6" w14:paraId="727A2D34" w14:textId="6C673806">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rsidR="002A497D" w:rsidP="00F30191" w14:paraId="1331A7E7" w14:textId="77777777">
      <w:pPr>
        <w:autoSpaceDE w:val="0"/>
        <w:autoSpaceDN w:val="0"/>
        <w:adjustRightInd w:val="0"/>
        <w:spacing w:line="240" w:lineRule="atLeast"/>
        <w:rPr>
          <w:color w:val="000000"/>
          <w:sz w:val="24"/>
        </w:rPr>
      </w:pPr>
    </w:p>
    <w:p w:rsidR="00F7569A" w:rsidP="00F30191" w14:paraId="5DDA2C3F" w14:textId="5EA46B7C">
      <w:pPr>
        <w:autoSpaceDE w:val="0"/>
        <w:autoSpaceDN w:val="0"/>
        <w:adjustRightInd w:val="0"/>
        <w:spacing w:line="240" w:lineRule="atLeast"/>
        <w:rPr>
          <w:rFonts w:ascii="Arial" w:hAnsi="Arial" w:cs="Arial"/>
          <w:color w:val="000000"/>
          <w:sz w:val="24"/>
          <w:szCs w:val="24"/>
        </w:rPr>
      </w:pPr>
      <w:r w:rsidRPr="009A23B1">
        <w:rPr>
          <w:rFonts w:ascii="Arial" w:hAnsi="Arial" w:cs="Arial"/>
          <w:color w:val="000000"/>
          <w:sz w:val="24"/>
          <w:szCs w:val="24"/>
        </w:rPr>
        <w:t>The burden was estimated based on previous special flight authorization data collection</w:t>
      </w:r>
      <w:r>
        <w:rPr>
          <w:rFonts w:ascii="Arial" w:hAnsi="Arial" w:cs="Arial"/>
          <w:color w:val="000000"/>
          <w:sz w:val="24"/>
          <w:szCs w:val="24"/>
        </w:rPr>
        <w:t xml:space="preserve"> from 20</w:t>
      </w:r>
      <w:r w:rsidR="008B1CB3">
        <w:rPr>
          <w:rFonts w:ascii="Arial" w:hAnsi="Arial" w:cs="Arial"/>
          <w:color w:val="000000"/>
          <w:sz w:val="24"/>
          <w:szCs w:val="24"/>
        </w:rPr>
        <w:t>22</w:t>
      </w:r>
      <w:r>
        <w:rPr>
          <w:rFonts w:ascii="Arial" w:hAnsi="Arial" w:cs="Arial"/>
          <w:color w:val="000000"/>
          <w:sz w:val="24"/>
          <w:szCs w:val="24"/>
        </w:rPr>
        <w:t>-202</w:t>
      </w:r>
      <w:r w:rsidR="008B1CB3">
        <w:rPr>
          <w:rFonts w:ascii="Arial" w:hAnsi="Arial" w:cs="Arial"/>
          <w:color w:val="000000"/>
          <w:sz w:val="24"/>
          <w:szCs w:val="24"/>
        </w:rPr>
        <w:t>4</w:t>
      </w:r>
      <w:r>
        <w:rPr>
          <w:rFonts w:ascii="Arial" w:hAnsi="Arial" w:cs="Arial"/>
          <w:color w:val="000000"/>
          <w:sz w:val="24"/>
          <w:szCs w:val="24"/>
        </w:rPr>
        <w:t xml:space="preserve">, which indicates a reduction in number of respondents from the prior estimate of </w:t>
      </w:r>
      <w:r w:rsidR="008B1CB3">
        <w:rPr>
          <w:rFonts w:ascii="Arial" w:hAnsi="Arial" w:cs="Arial"/>
          <w:color w:val="000000"/>
          <w:sz w:val="24"/>
          <w:szCs w:val="24"/>
        </w:rPr>
        <w:t>21</w:t>
      </w:r>
      <w:r>
        <w:rPr>
          <w:rFonts w:ascii="Arial" w:hAnsi="Arial" w:cs="Arial"/>
          <w:color w:val="000000"/>
          <w:sz w:val="24"/>
          <w:szCs w:val="24"/>
        </w:rPr>
        <w:t xml:space="preserve"> to </w:t>
      </w:r>
      <w:r w:rsidR="008B1CB3">
        <w:rPr>
          <w:rFonts w:ascii="Arial" w:hAnsi="Arial" w:cs="Arial"/>
          <w:color w:val="000000"/>
          <w:sz w:val="24"/>
          <w:szCs w:val="24"/>
        </w:rPr>
        <w:t>5</w:t>
      </w:r>
      <w:r>
        <w:rPr>
          <w:rFonts w:ascii="Arial" w:hAnsi="Arial" w:cs="Arial"/>
          <w:color w:val="000000"/>
          <w:sz w:val="24"/>
          <w:szCs w:val="24"/>
        </w:rPr>
        <w:t>.</w:t>
      </w:r>
      <w:r w:rsidR="006759F6">
        <w:rPr>
          <w:rFonts w:ascii="Arial" w:hAnsi="Arial" w:cs="Arial"/>
          <w:color w:val="000000"/>
          <w:sz w:val="24"/>
          <w:szCs w:val="24"/>
        </w:rPr>
        <w:t xml:space="preserve">  Because of </w:t>
      </w:r>
      <w:r w:rsidR="00616B35">
        <w:rPr>
          <w:rFonts w:ascii="Arial" w:hAnsi="Arial" w:cs="Arial"/>
          <w:color w:val="000000"/>
          <w:sz w:val="24"/>
          <w:szCs w:val="24"/>
        </w:rPr>
        <w:t>increasing retirements</w:t>
      </w:r>
      <w:r w:rsidR="006759F6">
        <w:rPr>
          <w:rFonts w:ascii="Arial" w:hAnsi="Arial" w:cs="Arial"/>
          <w:color w:val="000000"/>
          <w:sz w:val="24"/>
          <w:szCs w:val="24"/>
        </w:rPr>
        <w:t xml:space="preserve"> of these </w:t>
      </w:r>
      <w:r w:rsidR="00616B35">
        <w:rPr>
          <w:rFonts w:ascii="Arial" w:hAnsi="Arial" w:cs="Arial"/>
          <w:color w:val="000000"/>
          <w:sz w:val="24"/>
          <w:szCs w:val="24"/>
        </w:rPr>
        <w:t>aging</w:t>
      </w:r>
      <w:r w:rsidR="006759F6">
        <w:rPr>
          <w:rFonts w:ascii="Arial" w:hAnsi="Arial" w:cs="Arial"/>
          <w:color w:val="000000"/>
          <w:sz w:val="24"/>
          <w:szCs w:val="24"/>
        </w:rPr>
        <w:t xml:space="preserve"> aircraft</w:t>
      </w:r>
      <w:r w:rsidR="00616B35">
        <w:rPr>
          <w:rFonts w:ascii="Arial" w:hAnsi="Arial" w:cs="Arial"/>
          <w:color w:val="000000"/>
          <w:sz w:val="24"/>
          <w:szCs w:val="24"/>
        </w:rPr>
        <w:t xml:space="preserve"> as scrap</w:t>
      </w:r>
      <w:r w:rsidR="006759F6">
        <w:rPr>
          <w:rFonts w:ascii="Arial" w:hAnsi="Arial" w:cs="Arial"/>
          <w:color w:val="000000"/>
          <w:sz w:val="24"/>
          <w:szCs w:val="24"/>
        </w:rPr>
        <w:t xml:space="preserve">, plus </w:t>
      </w:r>
      <w:r w:rsidR="00616B35">
        <w:rPr>
          <w:rFonts w:ascii="Arial" w:hAnsi="Arial" w:cs="Arial"/>
          <w:color w:val="000000"/>
          <w:sz w:val="24"/>
          <w:szCs w:val="24"/>
        </w:rPr>
        <w:t>the</w:t>
      </w:r>
      <w:r w:rsidR="006759F6">
        <w:rPr>
          <w:rFonts w:ascii="Arial" w:hAnsi="Arial" w:cs="Arial"/>
          <w:color w:val="000000"/>
          <w:sz w:val="24"/>
          <w:szCs w:val="24"/>
        </w:rPr>
        <w:t xml:space="preserve"> </w:t>
      </w:r>
      <w:r w:rsidR="00616B35">
        <w:rPr>
          <w:rFonts w:ascii="Arial" w:hAnsi="Arial" w:cs="Arial"/>
          <w:color w:val="000000"/>
          <w:sz w:val="24"/>
          <w:szCs w:val="24"/>
        </w:rPr>
        <w:t>impacted constraints of Covid, fewer Stage 2 airplanes exist that will request these collections in the future</w:t>
      </w:r>
      <w:r w:rsidR="006C6B7B">
        <w:rPr>
          <w:rFonts w:ascii="Arial" w:hAnsi="Arial" w:cs="Arial"/>
          <w:color w:val="000000"/>
          <w:sz w:val="24"/>
          <w:szCs w:val="24"/>
        </w:rPr>
        <w:t>; however, there are enough extant Stage 2 aircraft</w:t>
      </w:r>
      <w:r w:rsidR="00453CC2">
        <w:rPr>
          <w:rFonts w:ascii="Arial" w:hAnsi="Arial" w:cs="Arial"/>
          <w:color w:val="000000"/>
          <w:sz w:val="24"/>
          <w:szCs w:val="24"/>
        </w:rPr>
        <w:t xml:space="preserve"> </w:t>
      </w:r>
      <w:r w:rsidR="006F6018">
        <w:rPr>
          <w:rFonts w:ascii="Arial" w:hAnsi="Arial" w:cs="Arial"/>
          <w:color w:val="000000"/>
          <w:sz w:val="24"/>
          <w:szCs w:val="24"/>
        </w:rPr>
        <w:t>originally manufactured in the United States but operating abroad</w:t>
      </w:r>
      <w:r w:rsidR="00AE654C">
        <w:rPr>
          <w:rFonts w:ascii="Arial" w:hAnsi="Arial" w:cs="Arial"/>
          <w:color w:val="000000"/>
          <w:sz w:val="24"/>
          <w:szCs w:val="24"/>
        </w:rPr>
        <w:t xml:space="preserve"> </w:t>
      </w:r>
      <w:r w:rsidR="00453CC2">
        <w:rPr>
          <w:rFonts w:ascii="Arial" w:hAnsi="Arial" w:cs="Arial"/>
          <w:color w:val="000000"/>
          <w:sz w:val="24"/>
          <w:szCs w:val="24"/>
        </w:rPr>
        <w:t>th</w:t>
      </w:r>
      <w:r w:rsidR="00AE654C">
        <w:rPr>
          <w:rFonts w:ascii="Arial" w:hAnsi="Arial" w:cs="Arial"/>
          <w:color w:val="000000"/>
          <w:sz w:val="24"/>
          <w:szCs w:val="24"/>
        </w:rPr>
        <w:t xml:space="preserve">at it is possible to receive </w:t>
      </w:r>
      <w:r w:rsidR="006F6018">
        <w:rPr>
          <w:rFonts w:ascii="Arial" w:hAnsi="Arial" w:cs="Arial"/>
          <w:color w:val="000000"/>
          <w:sz w:val="24"/>
          <w:szCs w:val="24"/>
        </w:rPr>
        <w:t xml:space="preserve">10 </w:t>
      </w:r>
      <w:r w:rsidR="00AE654C">
        <w:rPr>
          <w:rFonts w:ascii="Arial" w:hAnsi="Arial" w:cs="Arial"/>
          <w:color w:val="000000"/>
          <w:sz w:val="24"/>
          <w:szCs w:val="24"/>
        </w:rPr>
        <w:t>request</w:t>
      </w:r>
      <w:r w:rsidR="006F6018">
        <w:rPr>
          <w:rFonts w:ascii="Arial" w:hAnsi="Arial" w:cs="Arial"/>
          <w:color w:val="000000"/>
          <w:sz w:val="24"/>
          <w:szCs w:val="24"/>
        </w:rPr>
        <w:t>s</w:t>
      </w:r>
      <w:r w:rsidR="00AE654C">
        <w:rPr>
          <w:rFonts w:ascii="Arial" w:hAnsi="Arial" w:cs="Arial"/>
          <w:color w:val="000000"/>
          <w:sz w:val="24"/>
          <w:szCs w:val="24"/>
        </w:rPr>
        <w:t xml:space="preserve"> for special flight authorizations </w:t>
      </w:r>
      <w:r w:rsidR="006F6018">
        <w:rPr>
          <w:rFonts w:ascii="Arial" w:hAnsi="Arial" w:cs="Arial"/>
          <w:color w:val="000000"/>
          <w:sz w:val="24"/>
          <w:szCs w:val="24"/>
        </w:rPr>
        <w:t>in order for them to need maintenance in the United States.</w:t>
      </w:r>
      <w:r w:rsidR="00616B35">
        <w:rPr>
          <w:rFonts w:ascii="Arial" w:hAnsi="Arial" w:cs="Arial"/>
          <w:color w:val="000000"/>
          <w:sz w:val="24"/>
          <w:szCs w:val="24"/>
        </w:rPr>
        <w:t xml:space="preserve"> </w:t>
      </w:r>
      <w:r w:rsidRPr="009A23B1">
        <w:rPr>
          <w:rFonts w:ascii="Arial" w:hAnsi="Arial" w:cs="Arial"/>
          <w:color w:val="000000"/>
          <w:sz w:val="24"/>
          <w:szCs w:val="24"/>
        </w:rPr>
        <w:t xml:space="preserve"> </w:t>
      </w:r>
    </w:p>
    <w:p w:rsidR="002A497D" w:rsidP="00F30191" w14:paraId="515C6EB4" w14:textId="7302F5F2">
      <w:pPr>
        <w:autoSpaceDE w:val="0"/>
        <w:autoSpaceDN w:val="0"/>
        <w:adjustRightInd w:val="0"/>
        <w:spacing w:line="240" w:lineRule="atLeast"/>
        <w:rPr>
          <w:rFonts w:ascii="Arial" w:hAnsi="Arial" w:cs="Arial"/>
          <w:color w:val="000000"/>
          <w:sz w:val="24"/>
          <w:szCs w:val="24"/>
        </w:rPr>
      </w:pPr>
    </w:p>
    <w:p w:rsidR="002A497D" w:rsidRPr="009A23B1" w:rsidP="00F30191" w14:paraId="53A24B7C" w14:textId="77777777">
      <w:pPr>
        <w:autoSpaceDE w:val="0"/>
        <w:autoSpaceDN w:val="0"/>
        <w:adjustRightInd w:val="0"/>
        <w:spacing w:line="240" w:lineRule="atLeast"/>
        <w:rPr>
          <w:rFonts w:ascii="Arial" w:hAnsi="Arial" w:cs="Arial"/>
          <w:color w:val="000000"/>
          <w:sz w:val="24"/>
          <w:szCs w:val="24"/>
        </w:rPr>
      </w:pPr>
    </w:p>
    <w:tbl>
      <w:tblPr>
        <w:tblW w:w="4597" w:type="dxa"/>
        <w:tblLook w:val="04A0"/>
      </w:tblPr>
      <w:tblGrid>
        <w:gridCol w:w="1900"/>
        <w:gridCol w:w="1118"/>
        <w:gridCol w:w="1579"/>
      </w:tblGrid>
      <w:tr w14:paraId="28AACFF2" w14:textId="77777777" w:rsidTr="00564DAE">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A65907" w:rsidRPr="00E34880" w:rsidP="00564DAE" w14:paraId="29F277E6"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ascii="Calibri" w:eastAsia="Times New Roman" w:hAnsi="Calibri"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A65907" w:rsidRPr="00E34880" w:rsidP="00564DAE" w14:paraId="55EE7491" w14:textId="7777777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A65907" w:rsidRPr="00E34880" w:rsidP="00564DAE" w14:paraId="37FAB97D" w14:textId="7777777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Recordkeeping</w:t>
            </w:r>
          </w:p>
        </w:tc>
      </w:tr>
      <w:tr w14:paraId="3DE608D1" w14:textId="77777777" w:rsidTr="00564DAE">
        <w:tblPrEx>
          <w:tblW w:w="4597" w:type="dxa"/>
          <w:tblLook w:val="04A0"/>
        </w:tblPrEx>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65907" w:rsidRPr="00E34880" w:rsidP="00564DAE" w14:paraId="3BF84118" w14:textId="77777777">
            <w:pPr>
              <w:spacing w:after="0" w:line="240" w:lineRule="auto"/>
              <w:jc w:val="center"/>
              <w:rPr>
                <w:rFonts w:ascii="Calibri" w:eastAsia="Times New Roman" w:hAnsi="Calibri" w:cs="Calibri"/>
                <w:color w:val="000000"/>
                <w:sz w:val="24"/>
                <w:szCs w:val="24"/>
              </w:rPr>
            </w:pPr>
            <w:r>
              <w:rPr>
                <w:rFonts w:ascii="Calibri" w:eastAsia="Times New Roman" w:hAnsi="Calibri" w:cs="Calibri"/>
                <w:noProof/>
                <w:color w:val="000000"/>
                <w:sz w:val="24"/>
                <w:szCs w:val="24"/>
              </w:rPr>
              <w:t>IC 1</w:t>
            </w:r>
          </w:p>
        </w:tc>
      </w:tr>
      <w:tr w14:paraId="063DD463" w14:textId="77777777" w:rsidTr="00A65907">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A65907" w:rsidRPr="00E34880" w:rsidP="00564DAE" w14:paraId="3CECFE43" w14:textId="7777777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A65907" w:rsidRPr="00E34880" w:rsidP="00564DAE" w14:paraId="6AE31CFD" w14:textId="54340714">
            <w:pPr>
              <w:spacing w:after="0" w:line="240" w:lineRule="auto"/>
              <w:rPr>
                <w:rFonts w:ascii="Calibri" w:eastAsia="Times New Roman" w:hAnsi="Calibri" w:cs="Calibri"/>
                <w:color w:val="000000"/>
              </w:rPr>
            </w:pPr>
            <w:r>
              <w:rPr>
                <w:rFonts w:ascii="Calibri" w:eastAsia="Times New Roman" w:hAnsi="Calibri" w:cs="Calibri"/>
                <w:color w:val="000000"/>
              </w:rPr>
              <w:t>10</w:t>
            </w:r>
          </w:p>
        </w:tc>
        <w:tc>
          <w:tcPr>
            <w:tcW w:w="1579" w:type="dxa"/>
            <w:tcBorders>
              <w:top w:val="nil"/>
              <w:left w:val="nil"/>
              <w:bottom w:val="single" w:sz="4" w:space="0" w:color="auto"/>
              <w:right w:val="single" w:sz="4" w:space="0" w:color="auto"/>
            </w:tcBorders>
            <w:noWrap/>
            <w:vAlign w:val="bottom"/>
            <w:hideMark/>
          </w:tcPr>
          <w:p w:rsidR="00A65907" w:rsidRPr="00E34880" w:rsidP="00564DAE" w14:paraId="25DC0F25"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14:paraId="2F2B1A4B" w14:textId="77777777" w:rsidTr="00A65907">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65907" w:rsidRPr="00E34880" w:rsidP="00564DAE" w14:paraId="0D099A8E" w14:textId="7777777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Responses</w:t>
            </w:r>
            <w:r>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A65907" w:rsidRPr="00E34880" w:rsidP="00564DAE" w14:paraId="447B0317" w14:textId="77777777">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noWrap/>
            <w:vAlign w:val="bottom"/>
            <w:hideMark/>
          </w:tcPr>
          <w:p w:rsidR="00A65907" w:rsidRPr="00E34880" w:rsidP="00564DAE" w14:paraId="3E326A77"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14:paraId="7F95DC37" w14:textId="77777777" w:rsidTr="00A65907">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65907" w:rsidRPr="00E34880" w:rsidP="00564DAE" w14:paraId="239C7887" w14:textId="7777777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A65907" w:rsidRPr="00E34880" w:rsidP="00564DAE" w14:paraId="44C89F3F" w14:textId="77777777">
            <w:pPr>
              <w:spacing w:after="0" w:line="240" w:lineRule="auto"/>
              <w:rPr>
                <w:rFonts w:ascii="Calibri" w:eastAsia="Times New Roman" w:hAnsi="Calibri" w:cs="Calibri"/>
                <w:color w:val="000000"/>
              </w:rPr>
            </w:pPr>
            <w:r>
              <w:rPr>
                <w:rFonts w:ascii="Calibri" w:eastAsia="Times New Roman" w:hAnsi="Calibri" w:cs="Calibri"/>
                <w:color w:val="000000"/>
              </w:rPr>
              <w:t>15 minutes (0.25 hours)</w:t>
            </w:r>
          </w:p>
        </w:tc>
        <w:tc>
          <w:tcPr>
            <w:tcW w:w="1579" w:type="dxa"/>
            <w:tcBorders>
              <w:top w:val="nil"/>
              <w:left w:val="nil"/>
              <w:bottom w:val="single" w:sz="4" w:space="0" w:color="auto"/>
              <w:right w:val="single" w:sz="4" w:space="0" w:color="auto"/>
            </w:tcBorders>
            <w:noWrap/>
            <w:vAlign w:val="bottom"/>
            <w:hideMark/>
          </w:tcPr>
          <w:p w:rsidR="00A65907" w:rsidRPr="00E34880" w:rsidP="00564DAE" w14:paraId="5F92034F"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14:paraId="3519C1FD" w14:textId="77777777" w:rsidTr="00A65907">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65907" w:rsidRPr="00E34880" w:rsidP="00564DAE" w14:paraId="332E271D" w14:textId="77777777">
            <w:pPr>
              <w:spacing w:after="0" w:line="240" w:lineRule="auto"/>
              <w:rPr>
                <w:rFonts w:ascii="Calibri" w:eastAsia="Times New Roman"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A65907" w:rsidRPr="00E34880" w:rsidP="00564DAE" w14:paraId="0C9F4434" w14:textId="0A35442A">
            <w:pPr>
              <w:spacing w:after="0" w:line="240" w:lineRule="auto"/>
              <w:rPr>
                <w:rFonts w:ascii="Calibri" w:eastAsia="Times New Roman" w:hAnsi="Calibri" w:cs="Calibri"/>
                <w:color w:val="000000"/>
              </w:rPr>
            </w:pPr>
            <w:r>
              <w:rPr>
                <w:rFonts w:ascii="Calibri" w:eastAsia="Times New Roman" w:hAnsi="Calibri" w:cs="Calibri"/>
                <w:color w:val="000000"/>
              </w:rPr>
              <w:t>10</w:t>
            </w:r>
          </w:p>
        </w:tc>
        <w:tc>
          <w:tcPr>
            <w:tcW w:w="1579" w:type="dxa"/>
            <w:tcBorders>
              <w:top w:val="nil"/>
              <w:left w:val="nil"/>
              <w:bottom w:val="single" w:sz="4" w:space="0" w:color="auto"/>
              <w:right w:val="single" w:sz="4" w:space="0" w:color="auto"/>
            </w:tcBorders>
            <w:noWrap/>
            <w:vAlign w:val="bottom"/>
            <w:hideMark/>
          </w:tcPr>
          <w:p w:rsidR="00A65907" w:rsidRPr="00E34880" w:rsidP="00564DAE" w14:paraId="55082900"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14:paraId="5AE4F2B9" w14:textId="77777777" w:rsidTr="00A65907">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A65907" w:rsidRPr="00E34880" w:rsidP="00564DAE" w14:paraId="3833CA59" w14:textId="77777777">
            <w:pPr>
              <w:spacing w:after="0" w:line="240" w:lineRule="auto"/>
              <w:rPr>
                <w:rFonts w:ascii="Calibri" w:eastAsia="Times New Roman"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A65907" w:rsidRPr="00E34880" w:rsidP="00564DAE" w14:paraId="35E67E17" w14:textId="50F75209">
            <w:pPr>
              <w:spacing w:after="0" w:line="240" w:lineRule="auto"/>
              <w:rPr>
                <w:rFonts w:ascii="Calibri" w:eastAsia="Times New Roman" w:hAnsi="Calibri" w:cs="Calibri"/>
                <w:color w:val="000000"/>
              </w:rPr>
            </w:pPr>
            <w:r>
              <w:rPr>
                <w:rFonts w:ascii="Calibri" w:eastAsia="Times New Roman" w:hAnsi="Calibri" w:cs="Calibri"/>
                <w:color w:val="000000"/>
              </w:rPr>
              <w:t>2.5</w:t>
            </w:r>
          </w:p>
        </w:tc>
        <w:tc>
          <w:tcPr>
            <w:tcW w:w="1579" w:type="dxa"/>
            <w:tcBorders>
              <w:top w:val="nil"/>
              <w:left w:val="nil"/>
              <w:bottom w:val="single" w:sz="4" w:space="0" w:color="auto"/>
              <w:right w:val="single" w:sz="4" w:space="0" w:color="auto"/>
            </w:tcBorders>
            <w:noWrap/>
            <w:vAlign w:val="bottom"/>
            <w:hideMark/>
          </w:tcPr>
          <w:p w:rsidR="00A65907" w:rsidRPr="00E34880" w:rsidP="00564DAE" w14:paraId="66801650" w14:textId="7777777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bl>
    <w:p w:rsidR="00A65907" w:rsidP="00F30191" w14:paraId="1C40801F" w14:textId="77777777">
      <w:pPr>
        <w:autoSpaceDE w:val="0"/>
        <w:autoSpaceDN w:val="0"/>
        <w:adjustRightInd w:val="0"/>
        <w:spacing w:line="240" w:lineRule="atLeast"/>
        <w:rPr>
          <w:color w:val="000000"/>
          <w:sz w:val="24"/>
        </w:rPr>
      </w:pPr>
    </w:p>
    <w:p w:rsidR="00D453D3" w:rsidRPr="002A7DA6" w:rsidP="001C6E47" w14:paraId="18531CE4" w14:textId="5B6C0C5F">
      <w:pPr>
        <w:shd w:val="clear" w:color="auto" w:fill="FFFFFF"/>
        <w:spacing w:before="100" w:beforeAutospacing="1" w:after="225" w:line="240" w:lineRule="auto"/>
        <w:rPr>
          <w:rFonts w:ascii="Arial" w:hAnsi="Arial" w:cs="Arial"/>
          <w:color w:val="000000"/>
          <w:sz w:val="24"/>
          <w:szCs w:val="24"/>
        </w:rPr>
      </w:pPr>
      <w:r>
        <w:rPr>
          <w:rFonts w:ascii="Arial" w:hAnsi="Arial" w:cs="Arial"/>
          <w:color w:val="000000"/>
          <w:sz w:val="24"/>
          <w:szCs w:val="24"/>
        </w:rPr>
        <w:t>Total annualized</w:t>
      </w:r>
      <w:r w:rsidRPr="009A23B1">
        <w:rPr>
          <w:rFonts w:ascii="Arial" w:hAnsi="Arial" w:cs="Arial"/>
          <w:color w:val="000000"/>
          <w:sz w:val="24"/>
          <w:szCs w:val="24"/>
        </w:rPr>
        <w:t xml:space="preserve"> </w:t>
      </w:r>
      <w:r w:rsidRPr="009A23B1" w:rsidR="00426CA8">
        <w:rPr>
          <w:rFonts w:ascii="Arial" w:hAnsi="Arial" w:cs="Arial"/>
          <w:color w:val="000000"/>
          <w:sz w:val="24"/>
          <w:szCs w:val="24"/>
        </w:rPr>
        <w:t>cost</w:t>
      </w:r>
      <w:r>
        <w:rPr>
          <w:rFonts w:ascii="Arial" w:hAnsi="Arial" w:cs="Arial"/>
          <w:color w:val="000000"/>
          <w:sz w:val="24"/>
          <w:szCs w:val="24"/>
        </w:rPr>
        <w:t xml:space="preserve"> to the respondents for the hour burden</w:t>
      </w:r>
      <w:r w:rsidRPr="009A23B1" w:rsidR="00426CA8">
        <w:rPr>
          <w:rFonts w:ascii="Arial" w:hAnsi="Arial" w:cs="Arial"/>
          <w:color w:val="000000"/>
          <w:sz w:val="24"/>
          <w:szCs w:val="24"/>
        </w:rPr>
        <w:t xml:space="preserve"> is estimated at </w:t>
      </w:r>
      <w:r w:rsidR="00B442B0">
        <w:rPr>
          <w:rFonts w:ascii="Arial" w:hAnsi="Arial" w:cs="Arial"/>
          <w:color w:val="000000"/>
          <w:sz w:val="24"/>
          <w:szCs w:val="24"/>
        </w:rPr>
        <w:t>$</w:t>
      </w:r>
      <w:r w:rsidR="00E32964">
        <w:rPr>
          <w:rFonts w:ascii="Arial" w:hAnsi="Arial" w:cs="Arial"/>
          <w:color w:val="000000"/>
          <w:sz w:val="24"/>
          <w:szCs w:val="24"/>
        </w:rPr>
        <w:t>754.40</w:t>
      </w:r>
      <w:r w:rsidR="00BB0FDE">
        <w:rPr>
          <w:rFonts w:ascii="Arial" w:hAnsi="Arial" w:cs="Arial"/>
          <w:color w:val="000000"/>
          <w:sz w:val="24"/>
          <w:szCs w:val="24"/>
        </w:rPr>
        <w:t xml:space="preserve"> </w:t>
      </w:r>
      <w:r w:rsidRPr="009A23B1" w:rsidR="00426CA8">
        <w:rPr>
          <w:rFonts w:ascii="Arial" w:hAnsi="Arial" w:cs="Arial"/>
          <w:color w:val="000000"/>
          <w:sz w:val="24"/>
          <w:szCs w:val="24"/>
        </w:rPr>
        <w:t xml:space="preserve">per year.  </w:t>
      </w:r>
      <w:r w:rsidRPr="009A23B1" w:rsidR="00E01B3A">
        <w:rPr>
          <w:rFonts w:ascii="Arial" w:hAnsi="Arial" w:cs="Arial"/>
          <w:color w:val="000000"/>
          <w:sz w:val="24"/>
          <w:szCs w:val="24"/>
        </w:rPr>
        <w:t xml:space="preserve">This is based on </w:t>
      </w:r>
      <w:r w:rsidR="00E32964">
        <w:rPr>
          <w:rFonts w:ascii="Arial" w:hAnsi="Arial" w:cs="Arial"/>
          <w:color w:val="000000"/>
          <w:sz w:val="24"/>
          <w:szCs w:val="24"/>
        </w:rPr>
        <w:t>10</w:t>
      </w:r>
      <w:r w:rsidRPr="009A23B1" w:rsidR="00E01B3A">
        <w:rPr>
          <w:rFonts w:ascii="Arial" w:hAnsi="Arial" w:cs="Arial"/>
          <w:color w:val="000000"/>
          <w:sz w:val="24"/>
          <w:szCs w:val="24"/>
        </w:rPr>
        <w:t xml:space="preserve"> requests per year times 15 minutes per request </w:t>
      </w:r>
      <w:r w:rsidR="00E01B3A">
        <w:rPr>
          <w:rFonts w:ascii="Arial" w:hAnsi="Arial" w:cs="Arial"/>
          <w:color w:val="000000"/>
          <w:sz w:val="24"/>
          <w:szCs w:val="24"/>
        </w:rPr>
        <w:t xml:space="preserve">(to file and submit form) </w:t>
      </w:r>
      <w:r w:rsidRPr="009A23B1" w:rsidR="00E01B3A">
        <w:rPr>
          <w:rFonts w:ascii="Arial" w:hAnsi="Arial" w:cs="Arial"/>
          <w:color w:val="000000"/>
          <w:sz w:val="24"/>
          <w:szCs w:val="24"/>
        </w:rPr>
        <w:t>at $</w:t>
      </w:r>
      <w:r w:rsidR="00BB0FDE">
        <w:rPr>
          <w:rFonts w:ascii="Arial" w:hAnsi="Arial" w:cs="Arial"/>
          <w:color w:val="000000"/>
          <w:sz w:val="24"/>
          <w:szCs w:val="24"/>
        </w:rPr>
        <w:t>75.44</w:t>
      </w:r>
      <w:r w:rsidR="005E7DC1">
        <w:rPr>
          <w:rFonts w:ascii="Arial" w:hAnsi="Arial" w:cs="Arial"/>
          <w:color w:val="000000"/>
          <w:sz w:val="24"/>
          <w:szCs w:val="24"/>
        </w:rPr>
        <w:t xml:space="preserve"> </w:t>
      </w:r>
      <w:r w:rsidRPr="009A23B1" w:rsidR="00E01B3A">
        <w:rPr>
          <w:rFonts w:ascii="Arial" w:hAnsi="Arial" w:cs="Arial"/>
          <w:color w:val="000000"/>
          <w:sz w:val="24"/>
          <w:szCs w:val="24"/>
        </w:rPr>
        <w:t>per hour.</w:t>
      </w:r>
      <w:r w:rsidR="00E01B3A">
        <w:rPr>
          <w:rFonts w:ascii="Arial" w:hAnsi="Arial" w:cs="Arial"/>
          <w:color w:val="000000"/>
          <w:sz w:val="24"/>
          <w:szCs w:val="24"/>
        </w:rPr>
        <w:t xml:space="preserve">  </w:t>
      </w:r>
      <w:r w:rsidR="001C6E47">
        <w:rPr>
          <w:rFonts w:ascii="Arial" w:hAnsi="Arial" w:cs="Arial"/>
          <w:color w:val="000000"/>
          <w:sz w:val="24"/>
          <w:szCs w:val="24"/>
        </w:rPr>
        <w:t>For a private industry worker working full-time in t</w:t>
      </w:r>
      <w:r w:rsidRPr="001C6E47" w:rsidR="001C6E47">
        <w:rPr>
          <w:rFonts w:ascii="Arial" w:hAnsi="Arial" w:cs="Arial"/>
          <w:color w:val="000000"/>
          <w:sz w:val="24"/>
          <w:szCs w:val="24"/>
        </w:rPr>
        <w:t>rade, transportation and utilities</w:t>
      </w:r>
      <w:r w:rsidR="001C6E47">
        <w:rPr>
          <w:rFonts w:ascii="Arial" w:hAnsi="Arial" w:cs="Arial"/>
          <w:color w:val="000000"/>
          <w:sz w:val="24"/>
          <w:szCs w:val="24"/>
        </w:rPr>
        <w:t>, the base 20</w:t>
      </w:r>
      <w:r w:rsidR="00BB0FDE">
        <w:rPr>
          <w:rFonts w:ascii="Arial" w:hAnsi="Arial" w:cs="Arial"/>
          <w:color w:val="000000"/>
          <w:sz w:val="24"/>
          <w:szCs w:val="24"/>
        </w:rPr>
        <w:t>25</w:t>
      </w:r>
      <w:r w:rsidR="001C6E47">
        <w:rPr>
          <w:rFonts w:ascii="Arial" w:hAnsi="Arial" w:cs="Arial"/>
          <w:color w:val="000000"/>
          <w:sz w:val="24"/>
          <w:szCs w:val="24"/>
        </w:rPr>
        <w:t xml:space="preserve"> wage rate is </w:t>
      </w:r>
      <w:r w:rsidRPr="009A23B1" w:rsidR="001C6E47">
        <w:rPr>
          <w:rFonts w:ascii="Arial" w:hAnsi="Arial" w:cs="Arial"/>
          <w:color w:val="000000"/>
          <w:sz w:val="24"/>
          <w:szCs w:val="24"/>
        </w:rPr>
        <w:t>$</w:t>
      </w:r>
      <w:r w:rsidR="001C6E47">
        <w:rPr>
          <w:rFonts w:ascii="Arial" w:hAnsi="Arial" w:cs="Arial"/>
          <w:color w:val="000000"/>
          <w:sz w:val="24"/>
          <w:szCs w:val="24"/>
        </w:rPr>
        <w:t xml:space="preserve"> </w:t>
      </w:r>
      <w:r w:rsidR="00BB0FDE">
        <w:rPr>
          <w:rFonts w:ascii="Arial" w:hAnsi="Arial" w:cs="Arial"/>
          <w:color w:val="000000"/>
          <w:sz w:val="24"/>
          <w:szCs w:val="24"/>
        </w:rPr>
        <w:t>37.72</w:t>
      </w:r>
      <w:r w:rsidR="001C6E47">
        <w:rPr>
          <w:rFonts w:ascii="Arial" w:hAnsi="Arial" w:cs="Arial"/>
          <w:color w:val="000000"/>
          <w:sz w:val="24"/>
          <w:szCs w:val="24"/>
        </w:rPr>
        <w:t>*</w:t>
      </w:r>
      <w:r w:rsidRPr="009A23B1" w:rsidR="001C6E47">
        <w:rPr>
          <w:rFonts w:ascii="Arial" w:hAnsi="Arial" w:cs="Arial"/>
          <w:color w:val="000000"/>
          <w:sz w:val="24"/>
          <w:szCs w:val="24"/>
        </w:rPr>
        <w:t xml:space="preserve"> per hour</w:t>
      </w:r>
      <w:r w:rsidR="001C6E47">
        <w:rPr>
          <w:rFonts w:ascii="Arial" w:hAnsi="Arial" w:cs="Arial"/>
          <w:color w:val="000000"/>
          <w:sz w:val="24"/>
          <w:szCs w:val="24"/>
        </w:rPr>
        <w:t>.</w:t>
      </w:r>
      <w:r w:rsidRPr="001C6E47" w:rsidR="001C6E47">
        <w:rPr>
          <w:rFonts w:ascii="Arial" w:hAnsi="Arial" w:cs="Arial"/>
          <w:color w:val="000000"/>
          <w:sz w:val="24"/>
          <w:szCs w:val="24"/>
        </w:rPr>
        <w:t xml:space="preserve"> </w:t>
      </w:r>
      <w:r w:rsidR="001C6E47">
        <w:rPr>
          <w:rFonts w:ascii="Arial" w:hAnsi="Arial" w:cs="Arial"/>
          <w:color w:val="000000"/>
          <w:sz w:val="24"/>
          <w:szCs w:val="24"/>
        </w:rPr>
        <w:t>To estimate total compensation</w:t>
      </w:r>
      <w:r w:rsidR="00E01B3A">
        <w:rPr>
          <w:rFonts w:ascii="Arial" w:hAnsi="Arial" w:cs="Arial"/>
          <w:color w:val="000000"/>
          <w:sz w:val="24"/>
          <w:szCs w:val="24"/>
        </w:rPr>
        <w:t xml:space="preserve"> wage rate</w:t>
      </w:r>
      <w:r w:rsidR="001C6E47">
        <w:rPr>
          <w:rFonts w:ascii="Arial" w:hAnsi="Arial" w:cs="Arial"/>
          <w:color w:val="000000"/>
          <w:sz w:val="24"/>
          <w:szCs w:val="24"/>
        </w:rPr>
        <w:t xml:space="preserve">, the </w:t>
      </w:r>
      <w:r w:rsidR="00B31A0F">
        <w:rPr>
          <w:rFonts w:ascii="Arial" w:hAnsi="Arial" w:cs="Arial"/>
          <w:color w:val="000000"/>
          <w:sz w:val="24"/>
          <w:szCs w:val="24"/>
        </w:rPr>
        <w:t xml:space="preserve">HHS RIA estimation method of accounting for </w:t>
      </w:r>
      <w:r w:rsidR="002E47A2">
        <w:rPr>
          <w:rFonts w:ascii="Arial" w:hAnsi="Arial" w:cs="Arial"/>
          <w:color w:val="000000"/>
          <w:sz w:val="24"/>
          <w:szCs w:val="24"/>
        </w:rPr>
        <w:t>fringe benefits</w:t>
      </w:r>
      <w:r w:rsidR="00B31A0F">
        <w:rPr>
          <w:rFonts w:ascii="Arial" w:hAnsi="Arial" w:cs="Arial"/>
          <w:color w:val="000000"/>
          <w:sz w:val="24"/>
          <w:szCs w:val="24"/>
        </w:rPr>
        <w:t xml:space="preserve"> and</w:t>
      </w:r>
      <w:r w:rsidR="002E47A2">
        <w:rPr>
          <w:rFonts w:ascii="Arial" w:hAnsi="Arial" w:cs="Arial"/>
          <w:color w:val="000000"/>
          <w:sz w:val="24"/>
          <w:szCs w:val="24"/>
        </w:rPr>
        <w:t xml:space="preserve"> overhead costs</w:t>
      </w:r>
      <w:r w:rsidR="00E01B3A">
        <w:rPr>
          <w:rFonts w:ascii="Arial" w:hAnsi="Arial" w:cs="Arial"/>
          <w:color w:val="000000"/>
          <w:sz w:val="24"/>
          <w:szCs w:val="24"/>
        </w:rPr>
        <w:t xml:space="preserve"> is estimated</w:t>
      </w:r>
      <w:r w:rsidR="00B31A0F">
        <w:rPr>
          <w:rFonts w:ascii="Arial" w:hAnsi="Arial" w:cs="Arial"/>
          <w:color w:val="000000"/>
          <w:sz w:val="24"/>
          <w:szCs w:val="24"/>
        </w:rPr>
        <w:t xml:space="preserve"> by doubling the pre-taxed wage</w:t>
      </w:r>
      <w:r w:rsidR="001C6E47">
        <w:rPr>
          <w:rFonts w:ascii="Arial" w:hAnsi="Arial" w:cs="Arial"/>
          <w:color w:val="000000"/>
          <w:sz w:val="24"/>
          <w:szCs w:val="24"/>
        </w:rPr>
        <w:t xml:space="preserve"> </w:t>
      </w:r>
      <w:r w:rsidR="00D5025F">
        <w:rPr>
          <w:rFonts w:ascii="Arial" w:hAnsi="Arial" w:cs="Arial"/>
          <w:color w:val="000000"/>
          <w:sz w:val="24"/>
          <w:szCs w:val="24"/>
        </w:rPr>
        <w:t>(see table)</w:t>
      </w:r>
      <w:r w:rsidR="00E01B3A">
        <w:rPr>
          <w:rFonts w:ascii="Arial" w:hAnsi="Arial" w:cs="Arial"/>
          <w:color w:val="000000"/>
          <w:sz w:val="24"/>
          <w:szCs w:val="24"/>
        </w:rPr>
        <w:t xml:space="preserve"> that</w:t>
      </w:r>
      <w:r w:rsidR="00B22991">
        <w:rPr>
          <w:rFonts w:ascii="Arial" w:hAnsi="Arial" w:cs="Arial"/>
          <w:color w:val="000000"/>
          <w:sz w:val="24"/>
          <w:szCs w:val="24"/>
        </w:rPr>
        <w:t xml:space="preserve"> make</w:t>
      </w:r>
      <w:r w:rsidR="001C6E47">
        <w:rPr>
          <w:rFonts w:ascii="Arial" w:hAnsi="Arial" w:cs="Arial"/>
          <w:color w:val="000000"/>
          <w:sz w:val="24"/>
          <w:szCs w:val="24"/>
        </w:rPr>
        <w:t>s</w:t>
      </w:r>
      <w:r w:rsidR="00B22991">
        <w:rPr>
          <w:rFonts w:ascii="Arial" w:hAnsi="Arial" w:cs="Arial"/>
          <w:color w:val="000000"/>
          <w:sz w:val="24"/>
          <w:szCs w:val="24"/>
        </w:rPr>
        <w:t xml:space="preserve"> total compensation $</w:t>
      </w:r>
      <w:r w:rsidR="00BB0FDE">
        <w:rPr>
          <w:rFonts w:ascii="Arial" w:hAnsi="Arial" w:cs="Arial"/>
          <w:color w:val="000000"/>
          <w:sz w:val="24"/>
          <w:szCs w:val="24"/>
        </w:rPr>
        <w:t>75.44</w:t>
      </w:r>
      <w:r w:rsidR="007B7FAD">
        <w:rPr>
          <w:rFonts w:ascii="Arial" w:hAnsi="Arial" w:cs="Arial"/>
          <w:color w:val="000000"/>
          <w:sz w:val="24"/>
          <w:szCs w:val="24"/>
        </w:rPr>
        <w:t xml:space="preserve"> per hour</w:t>
      </w:r>
      <w:r w:rsidR="002E47A2">
        <w:rPr>
          <w:rFonts w:ascii="Arial" w:hAnsi="Arial" w:cs="Arial"/>
          <w:color w:val="000000"/>
          <w:sz w:val="24"/>
          <w:szCs w:val="24"/>
        </w:rPr>
        <w:t>.</w:t>
      </w:r>
      <w:r w:rsidRPr="001C6E47" w:rsidR="001C6E47">
        <w:rPr>
          <w:rFonts w:ascii="Arial" w:hAnsi="Arial" w:cs="Arial"/>
          <w:color w:val="000000"/>
          <w:sz w:val="24"/>
          <w:szCs w:val="24"/>
        </w:rPr>
        <w:t xml:space="preserve"> </w:t>
      </w:r>
    </w:p>
    <w:tbl>
      <w:tblPr>
        <w:tblStyle w:val="TableGrid"/>
        <w:tblW w:w="0" w:type="auto"/>
        <w:tblInd w:w="720" w:type="dxa"/>
        <w:tblLook w:val="04A0"/>
      </w:tblPr>
      <w:tblGrid>
        <w:gridCol w:w="2900"/>
        <w:gridCol w:w="2908"/>
        <w:gridCol w:w="2822"/>
      </w:tblGrid>
      <w:tr w14:paraId="1F1243A4" w14:textId="77777777" w:rsidTr="00B442B0">
        <w:tblPrEx>
          <w:tblW w:w="0" w:type="auto"/>
          <w:tblInd w:w="720" w:type="dxa"/>
          <w:tblLook w:val="04A0"/>
        </w:tblPrEx>
        <w:tc>
          <w:tcPr>
            <w:tcW w:w="2900" w:type="dxa"/>
          </w:tcPr>
          <w:p w:rsidR="00A36F0A" w:rsidRPr="009A23B1" w:rsidP="009A23B1" w14:paraId="692C6509" w14:textId="1FEEC3C5">
            <w:pPr>
              <w:pStyle w:val="ListParagraph"/>
              <w:ind w:left="-18"/>
              <w:rPr>
                <w:b/>
              </w:rPr>
            </w:pPr>
            <w:r>
              <w:rPr>
                <w:b/>
              </w:rPr>
              <w:t>Occupational group</w:t>
            </w:r>
            <w:r w:rsidRPr="00D5025F">
              <w:rPr>
                <w:b/>
              </w:rPr>
              <w:t xml:space="preserve"> </w:t>
            </w:r>
            <w:r w:rsidRPr="009A23B1" w:rsidR="00B442B0">
              <w:rPr>
                <w:b/>
              </w:rPr>
              <w:t xml:space="preserve">/series </w:t>
            </w:r>
          </w:p>
        </w:tc>
        <w:tc>
          <w:tcPr>
            <w:tcW w:w="2908" w:type="dxa"/>
          </w:tcPr>
          <w:p w:rsidR="00A36F0A" w:rsidRPr="009A23B1" w:rsidP="00EB6BCB" w14:paraId="672D005B" w14:textId="7247E766">
            <w:pPr>
              <w:pStyle w:val="ListParagraph"/>
              <w:ind w:left="0"/>
              <w:rPr>
                <w:b/>
              </w:rPr>
            </w:pPr>
            <w:r>
              <w:rPr>
                <w:b/>
              </w:rPr>
              <w:t>1</w:t>
            </w:r>
            <w:r w:rsidRPr="00D434A4">
              <w:rPr>
                <w:b/>
                <w:vertAlign w:val="superscript"/>
              </w:rPr>
              <w:t>st</w:t>
            </w:r>
            <w:r>
              <w:rPr>
                <w:b/>
              </w:rPr>
              <w:t xml:space="preserve"> Qtr 2025</w:t>
            </w:r>
            <w:r w:rsidRPr="009A23B1" w:rsidR="00AB1A38">
              <w:rPr>
                <w:b/>
              </w:rPr>
              <w:t xml:space="preserve"> wage</w:t>
            </w:r>
            <w:r w:rsidRPr="009A23B1" w:rsidR="00B442B0">
              <w:rPr>
                <w:b/>
              </w:rPr>
              <w:t xml:space="preserve"> rates </w:t>
            </w:r>
          </w:p>
        </w:tc>
        <w:tc>
          <w:tcPr>
            <w:tcW w:w="2822" w:type="dxa"/>
          </w:tcPr>
          <w:p w:rsidR="00A36F0A" w:rsidRPr="009A23B1" w:rsidP="009A23B1" w14:paraId="44738717" w14:textId="7E2D1D1D">
            <w:pPr>
              <w:pStyle w:val="ListParagraph"/>
              <w:ind w:left="0"/>
              <w:jc w:val="center"/>
              <w:rPr>
                <w:b/>
              </w:rPr>
            </w:pPr>
            <w:r w:rsidRPr="009A23B1">
              <w:rPr>
                <w:b/>
              </w:rPr>
              <w:t>$</w:t>
            </w:r>
            <w:r w:rsidRPr="002E47A2" w:rsidR="002E47A2">
              <w:rPr>
                <w:b/>
              </w:rPr>
              <w:t>/hour</w:t>
            </w:r>
          </w:p>
        </w:tc>
      </w:tr>
      <w:tr w14:paraId="4CA70936" w14:textId="77777777" w:rsidTr="00B442B0">
        <w:tblPrEx>
          <w:tblW w:w="0" w:type="auto"/>
          <w:tblInd w:w="720" w:type="dxa"/>
          <w:tblLook w:val="04A0"/>
        </w:tblPrEx>
        <w:tc>
          <w:tcPr>
            <w:tcW w:w="2900" w:type="dxa"/>
            <w:vMerge w:val="restart"/>
          </w:tcPr>
          <w:p w:rsidR="00B442B0" w:rsidP="009A23B1" w14:paraId="6E8AD0F5" w14:textId="55E42F61">
            <w:pPr>
              <w:pStyle w:val="ListParagraph"/>
              <w:ind w:left="-18"/>
            </w:pPr>
            <w:r>
              <w:t xml:space="preserve">private industry worker </w:t>
            </w:r>
          </w:p>
          <w:p w:rsidR="00B442B0" w:rsidP="009A23B1" w14:paraId="1AB9AC98" w14:textId="391B4531">
            <w:pPr>
              <w:pStyle w:val="ListParagraph"/>
              <w:ind w:left="-18"/>
            </w:pPr>
            <w:r>
              <w:t>Full time in Trade, transportation and utilities</w:t>
            </w:r>
          </w:p>
        </w:tc>
        <w:tc>
          <w:tcPr>
            <w:tcW w:w="2908" w:type="dxa"/>
          </w:tcPr>
          <w:p w:rsidR="00B442B0" w:rsidP="00A36F0A" w14:paraId="601EF7AB" w14:textId="3F1A7A34">
            <w:pPr>
              <w:pStyle w:val="ListParagraph"/>
              <w:ind w:left="0"/>
            </w:pPr>
            <w:r>
              <w:t>Base</w:t>
            </w:r>
          </w:p>
        </w:tc>
        <w:tc>
          <w:tcPr>
            <w:tcW w:w="2822" w:type="dxa"/>
          </w:tcPr>
          <w:p w:rsidR="00B442B0" w:rsidP="009A23B1" w14:paraId="1F103AA8" w14:textId="0EDCB08A">
            <w:pPr>
              <w:pStyle w:val="ListParagraph"/>
              <w:ind w:left="0"/>
              <w:jc w:val="center"/>
            </w:pPr>
            <w:r>
              <w:t xml:space="preserve">$ </w:t>
            </w:r>
            <w:r w:rsidR="000D7BD8">
              <w:t>37.72</w:t>
            </w:r>
            <w:r w:rsidR="00927461">
              <w:t>*</w:t>
            </w:r>
          </w:p>
        </w:tc>
      </w:tr>
      <w:tr w14:paraId="79D181A2" w14:textId="77777777">
        <w:tblPrEx>
          <w:tblW w:w="0" w:type="auto"/>
          <w:tblInd w:w="720" w:type="dxa"/>
          <w:tblLook w:val="04A0"/>
        </w:tblPrEx>
        <w:trPr>
          <w:trHeight w:val="806"/>
        </w:trPr>
        <w:tc>
          <w:tcPr>
            <w:tcW w:w="2900" w:type="dxa"/>
            <w:vMerge/>
          </w:tcPr>
          <w:p w:rsidR="00473708" w:rsidP="00A36F0A" w14:paraId="3F192FB7" w14:textId="77777777">
            <w:pPr>
              <w:pStyle w:val="ListParagraph"/>
              <w:ind w:left="0"/>
            </w:pPr>
          </w:p>
        </w:tc>
        <w:tc>
          <w:tcPr>
            <w:tcW w:w="2908" w:type="dxa"/>
          </w:tcPr>
          <w:p w:rsidR="00473708" w:rsidP="00A36F0A" w14:paraId="444843D1" w14:textId="7C7D538B">
            <w:pPr>
              <w:pStyle w:val="ListParagraph"/>
              <w:ind w:left="0"/>
            </w:pPr>
            <w:r>
              <w:t xml:space="preserve">Overhead &amp; fringe </w:t>
            </w:r>
            <w:r w:rsidR="00A961C9">
              <w:t xml:space="preserve">benefits </w:t>
            </w:r>
            <w:r>
              <w:t>(per HHS RIA Guidance</w:t>
            </w:r>
            <w:r w:rsidRPr="00B31A0F">
              <w:rPr>
                <w:vertAlign w:val="superscript"/>
              </w:rPr>
              <w:t>1</w:t>
            </w:r>
            <w:r>
              <w:t>) = 2 X pre-taxed</w:t>
            </w:r>
            <w:r w:rsidR="00B31A0F">
              <w:t xml:space="preserve"> wage</w:t>
            </w:r>
            <w:r>
              <w:t xml:space="preserve"> </w:t>
            </w:r>
          </w:p>
        </w:tc>
        <w:tc>
          <w:tcPr>
            <w:tcW w:w="2822" w:type="dxa"/>
          </w:tcPr>
          <w:p w:rsidR="00473708" w:rsidP="009A23B1" w14:paraId="639A9BC0" w14:textId="77777777">
            <w:pPr>
              <w:pStyle w:val="ListParagraph"/>
              <w:ind w:left="0"/>
              <w:jc w:val="center"/>
            </w:pPr>
          </w:p>
          <w:p w:rsidR="00473708" w:rsidP="009A23B1" w14:paraId="235E7594" w14:textId="248AE792">
            <w:pPr>
              <w:pStyle w:val="ListParagraph"/>
              <w:ind w:left="0"/>
              <w:jc w:val="center"/>
            </w:pPr>
            <w:r>
              <w:t>X 2</w:t>
            </w:r>
          </w:p>
        </w:tc>
      </w:tr>
      <w:tr w14:paraId="1FEECE39" w14:textId="77777777" w:rsidTr="00B442B0">
        <w:tblPrEx>
          <w:tblW w:w="0" w:type="auto"/>
          <w:tblInd w:w="720" w:type="dxa"/>
          <w:tblLook w:val="04A0"/>
        </w:tblPrEx>
        <w:tc>
          <w:tcPr>
            <w:tcW w:w="2900" w:type="dxa"/>
          </w:tcPr>
          <w:p w:rsidR="00B442B0" w:rsidP="00B442B0" w14:paraId="3694220A" w14:textId="77777777">
            <w:pPr>
              <w:pStyle w:val="ListParagraph"/>
              <w:ind w:left="0"/>
            </w:pPr>
          </w:p>
        </w:tc>
        <w:tc>
          <w:tcPr>
            <w:tcW w:w="2908" w:type="dxa"/>
          </w:tcPr>
          <w:p w:rsidR="00B442B0" w:rsidP="00B442B0" w14:paraId="6BEAAF20" w14:textId="70641141">
            <w:pPr>
              <w:pStyle w:val="ListParagraph"/>
              <w:ind w:left="0"/>
            </w:pPr>
            <w:r>
              <w:t>Total compensation</w:t>
            </w:r>
            <w:r w:rsidR="00E32964">
              <w:t>/hour</w:t>
            </w:r>
          </w:p>
        </w:tc>
        <w:tc>
          <w:tcPr>
            <w:tcW w:w="2822" w:type="dxa"/>
          </w:tcPr>
          <w:p w:rsidR="00B442B0" w:rsidP="009A23B1" w14:paraId="254D4222" w14:textId="44B0948E">
            <w:pPr>
              <w:pStyle w:val="ListParagraph"/>
              <w:ind w:left="0"/>
              <w:jc w:val="center"/>
            </w:pPr>
            <w:r>
              <w:t>$</w:t>
            </w:r>
            <w:r w:rsidR="00D434A4">
              <w:t>75.44</w:t>
            </w:r>
          </w:p>
        </w:tc>
      </w:tr>
    </w:tbl>
    <w:p w:rsidR="00B442B0" w:rsidP="00B442B0" w14:paraId="29EE92DA" w14:textId="77777777">
      <w:pPr>
        <w:pStyle w:val="ListParagraph"/>
        <w:rPr>
          <w:rFonts w:ascii="Arial" w:eastAsia="Times New Roman" w:hAnsi="Arial" w:cs="Arial"/>
          <w:color w:val="555555"/>
          <w:sz w:val="24"/>
          <w:szCs w:val="24"/>
        </w:rPr>
      </w:pPr>
    </w:p>
    <w:p w:rsidR="00B442B0" w:rsidP="00B442B0" w14:paraId="5FD90A43" w14:textId="4DAA362B">
      <w:pPr>
        <w:pStyle w:val="ListParagraph"/>
      </w:pPr>
      <w:r>
        <w:rPr>
          <w:rFonts w:ascii="Arial" w:eastAsia="Times New Roman" w:hAnsi="Arial" w:cs="Arial"/>
          <w:color w:val="555555"/>
          <w:sz w:val="24"/>
          <w:szCs w:val="24"/>
        </w:rPr>
        <w:t xml:space="preserve">* </w:t>
      </w:r>
      <w:r>
        <w:t>“</w:t>
      </w:r>
      <w:r w:rsidRPr="00A36F0A">
        <w:t xml:space="preserve">EMPLOYER COSTS FOR EMPLOYEE COMPENSATION </w:t>
      </w:r>
      <w:r w:rsidR="00A81586">
        <w:t>- March 2025</w:t>
      </w:r>
      <w:r>
        <w:t xml:space="preserve">,” </w:t>
      </w:r>
      <w:r w:rsidR="00997865">
        <w:t xml:space="preserve">U.S. </w:t>
      </w:r>
      <w:r>
        <w:t xml:space="preserve">Bureau of Labor and Statistics. </w:t>
      </w:r>
      <w:r w:rsidR="00A81586">
        <w:t xml:space="preserve">Table </w:t>
      </w:r>
      <w:r w:rsidR="000D7BD8">
        <w:t>6</w:t>
      </w:r>
      <w:r w:rsidR="00A81586">
        <w:t xml:space="preserve">. </w:t>
      </w:r>
      <w:r w:rsidRPr="000D7BD8" w:rsidR="000D7BD8">
        <w:t>Employer Costs for Employee Compensation for private industry workers by establishment size and industry group</w:t>
      </w:r>
      <w:r w:rsidR="000D7BD8">
        <w:t>.</w:t>
      </w:r>
      <w:r w:rsidR="00D434A4">
        <w:t xml:space="preserve">  </w:t>
      </w:r>
      <w:r>
        <w:t>Employee costs for private industry worker</w:t>
      </w:r>
      <w:r w:rsidR="00262F68">
        <w:t>s</w:t>
      </w:r>
      <w:r>
        <w:t xml:space="preserve"> in Series</w:t>
      </w:r>
      <w:r w:rsidR="00D5025F">
        <w:t>: Trade</w:t>
      </w:r>
      <w:r>
        <w:t>, transportation and utilities</w:t>
      </w:r>
      <w:r w:rsidR="00D434A4">
        <w:t xml:space="preserve"> industry</w:t>
      </w:r>
      <w:r>
        <w:t>.</w:t>
      </w:r>
      <w:r w:rsidR="008201A1">
        <w:t xml:space="preserve"> </w:t>
      </w:r>
      <w:r w:rsidR="00CD11EE">
        <w:t>[</w:t>
      </w:r>
      <w:r w:rsidRPr="000D7BD8" w:rsidR="000D7BD8">
        <w:t>https://www.bls.gov/news.release/pdf/ecec.pdf</w:t>
      </w:r>
      <w:r w:rsidR="000D7BD8">
        <w:t xml:space="preserve"> </w:t>
      </w:r>
      <w:r w:rsidR="0096126B">
        <w:t>– accessed 21 August 2025</w:t>
      </w:r>
      <w:r w:rsidR="00CD11EE">
        <w:t>]</w:t>
      </w:r>
    </w:p>
    <w:p w:rsidR="00B31A0F" w:rsidP="00B442B0" w14:paraId="56440EC7" w14:textId="77777777">
      <w:pPr>
        <w:pStyle w:val="ListParagraph"/>
      </w:pPr>
    </w:p>
    <w:p w:rsidR="001F0724" w:rsidRPr="008201A1" w:rsidP="001C6E47" w14:paraId="7A92775D" w14:textId="296A5FD0">
      <w:pPr>
        <w:pStyle w:val="CommentText"/>
      </w:pPr>
      <w:r w:rsidRPr="00B31A0F">
        <w:rPr>
          <w:vertAlign w:val="superscript"/>
        </w:rPr>
        <w:t>1</w:t>
      </w:r>
      <w:r>
        <w:t xml:space="preserve"> </w:t>
      </w:r>
      <w:r w:rsidRPr="004B3A77" w:rsidR="00B22991">
        <w:rPr>
          <w:rFonts w:cs="Times New Roman"/>
        </w:rPr>
        <w:t>Source: U.S. Department of Health and Human Services, “</w:t>
      </w:r>
      <w:r w:rsidRPr="001859B3" w:rsidR="00B22991">
        <w:rPr>
          <w:rFonts w:cs="Times New Roman"/>
        </w:rPr>
        <w:t>Guidelines for Regulatory Impact Analysis</w:t>
      </w:r>
      <w:r w:rsidRPr="004B3A77" w:rsidR="00B22991">
        <w:rPr>
          <w:rFonts w:cs="Times New Roman"/>
        </w:rPr>
        <w:t xml:space="preserve">” </w:t>
      </w:r>
      <w:r w:rsidR="00B22991">
        <w:rPr>
          <w:rFonts w:cs="Times New Roman"/>
        </w:rPr>
        <w:t>(</w:t>
      </w:r>
      <w:r w:rsidRPr="004B3A77" w:rsidR="00B22991">
        <w:rPr>
          <w:rFonts w:cs="Times New Roman"/>
        </w:rPr>
        <w:t>2016</w:t>
      </w:r>
      <w:r w:rsidR="00B22991">
        <w:rPr>
          <w:rFonts w:cs="Times New Roman"/>
        </w:rPr>
        <w:t>)</w:t>
      </w:r>
      <w:r w:rsidRPr="004B3A77" w:rsidR="00B22991">
        <w:rPr>
          <w:rFonts w:cs="Times New Roman"/>
        </w:rPr>
        <w:t xml:space="preserve">, </w:t>
      </w:r>
      <w:hyperlink r:id="rId4" w:history="1">
        <w:r w:rsidRPr="004B3A77" w:rsidR="00B22991">
          <w:rPr>
            <w:rStyle w:val="Hyperlink"/>
            <w:rFonts w:cs="Times New Roman"/>
          </w:rPr>
          <w:t>https://aspe.hhs.gov/system/files/pdf/242926/HHS_RIAGuidance.pdf</w:t>
        </w:r>
      </w:hyperlink>
      <w:r w:rsidRPr="004B3A77" w:rsidR="00B22991">
        <w:rPr>
          <w:rFonts w:cs="Times New Roman"/>
        </w:rPr>
        <w:t>.</w:t>
      </w:r>
      <w:r w:rsidR="00B22991">
        <w:rPr>
          <w:rFonts w:cs="Times New Roman"/>
        </w:rPr>
        <w:t xml:space="preserve"> </w:t>
      </w:r>
      <w:r>
        <w:t xml:space="preserve">“Estimates in the Value of Time,” (Page 28, Table 4.2.) </w:t>
      </w:r>
    </w:p>
    <w:p w:rsidR="00C64707" w:rsidRPr="00C64707" w:rsidP="00C64707" w14:paraId="5FFA14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r w:rsidRPr="00C64707">
        <w:rPr>
          <w:rFonts w:ascii="Arial" w:eastAsia="Times New Roman" w:hAnsi="Arial" w:cs="Arial"/>
          <w:color w:val="555555"/>
          <w:sz w:val="24"/>
          <w:szCs w:val="24"/>
        </w:rPr>
        <w:br/>
      </w:r>
    </w:p>
    <w:p w:rsidR="00C64707" w:rsidRPr="00C64707" w:rsidP="00C64707" w14:paraId="17E624FA" w14:textId="0FB94C85">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 xml:space="preserve">There </w:t>
      </w:r>
      <w:r w:rsidR="00FE0E2F">
        <w:rPr>
          <w:rFonts w:ascii="Arial" w:eastAsia="Times New Roman" w:hAnsi="Arial" w:cs="Arial"/>
          <w:color w:val="555555"/>
          <w:sz w:val="24"/>
          <w:szCs w:val="24"/>
        </w:rPr>
        <w:t>are</w:t>
      </w:r>
      <w:r w:rsidRPr="00F30191">
        <w:rPr>
          <w:rFonts w:ascii="Arial" w:eastAsia="Times New Roman" w:hAnsi="Arial" w:cs="Arial"/>
          <w:color w:val="555555"/>
          <w:sz w:val="24"/>
          <w:szCs w:val="24"/>
        </w:rPr>
        <w:t xml:space="preserve"> no </w:t>
      </w:r>
      <w:r w:rsidR="00FE0E2F">
        <w:rPr>
          <w:rFonts w:ascii="Arial" w:eastAsia="Times New Roman" w:hAnsi="Arial" w:cs="Arial"/>
          <w:color w:val="555555"/>
          <w:sz w:val="24"/>
          <w:szCs w:val="24"/>
        </w:rPr>
        <w:t xml:space="preserve">material </w:t>
      </w:r>
      <w:r w:rsidRPr="00F30191">
        <w:rPr>
          <w:rFonts w:ascii="Arial" w:eastAsia="Times New Roman" w:hAnsi="Arial" w:cs="Arial"/>
          <w:color w:val="555555"/>
          <w:sz w:val="24"/>
          <w:szCs w:val="24"/>
        </w:rPr>
        <w:t>cost burden to respondents.</w:t>
      </w:r>
    </w:p>
    <w:p w:rsidR="00C64707" w:rsidRPr="00C64707" w:rsidP="00C64707" w14:paraId="732537A0" w14:textId="5CCE5925">
      <w:pPr>
        <w:shd w:val="clear" w:color="auto" w:fill="FFFFFF"/>
        <w:spacing w:after="0" w:line="240" w:lineRule="auto"/>
        <w:rPr>
          <w:rFonts w:ascii="Arial" w:eastAsia="Times New Roman" w:hAnsi="Arial" w:cs="Arial"/>
          <w:color w:val="555555"/>
          <w:sz w:val="24"/>
          <w:szCs w:val="24"/>
        </w:rPr>
      </w:pPr>
    </w:p>
    <w:p w:rsidR="00C64707" w:rsidRPr="00C64707" w:rsidP="00C64707" w14:paraId="5D49C25A" w14:textId="6F4750D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453D3" w:rsidRPr="002A7DA6" w:rsidP="00D5025F" w14:paraId="48876970" w14:textId="7231120F">
      <w:pPr>
        <w:shd w:val="clear" w:color="auto" w:fill="FFFFFF"/>
        <w:spacing w:before="100" w:beforeAutospacing="1" w:after="225" w:line="240" w:lineRule="auto"/>
        <w:rPr>
          <w:rFonts w:ascii="Arial" w:hAnsi="Arial" w:cs="Arial"/>
          <w:color w:val="000000"/>
          <w:sz w:val="24"/>
          <w:szCs w:val="24"/>
        </w:rPr>
      </w:pPr>
      <w:r w:rsidRPr="00481597">
        <w:rPr>
          <w:rFonts w:ascii="Arial" w:eastAsia="Times New Roman" w:hAnsi="Arial" w:cs="Arial"/>
          <w:sz w:val="24"/>
          <w:szCs w:val="24"/>
        </w:rPr>
        <w:t>Govern</w:t>
      </w:r>
      <w:r w:rsidRPr="00481597" w:rsidR="00426CA8">
        <w:rPr>
          <w:rFonts w:ascii="Arial" w:eastAsia="Times New Roman" w:hAnsi="Arial" w:cs="Arial"/>
          <w:sz w:val="24"/>
          <w:szCs w:val="24"/>
        </w:rPr>
        <w:t>ment costs are estimated as $</w:t>
      </w:r>
      <w:r w:rsidR="00E32964">
        <w:rPr>
          <w:rFonts w:ascii="Arial" w:eastAsia="Times New Roman" w:hAnsi="Arial" w:cs="Arial"/>
          <w:sz w:val="24"/>
          <w:szCs w:val="24"/>
        </w:rPr>
        <w:t>640</w:t>
      </w:r>
      <w:r w:rsidRPr="00481597" w:rsidR="00D5025F">
        <w:rPr>
          <w:rFonts w:ascii="Arial" w:eastAsia="Times New Roman" w:hAnsi="Arial" w:cs="Arial"/>
          <w:sz w:val="24"/>
          <w:szCs w:val="24"/>
        </w:rPr>
        <w:t>.00</w:t>
      </w:r>
      <w:r w:rsidRPr="00481597" w:rsidR="00426CA8">
        <w:rPr>
          <w:rFonts w:ascii="Arial" w:eastAsia="Times New Roman" w:hAnsi="Arial" w:cs="Arial"/>
          <w:sz w:val="24"/>
          <w:szCs w:val="24"/>
        </w:rPr>
        <w:t xml:space="preserve"> per year.  This is based on </w:t>
      </w:r>
      <w:r w:rsidR="00E32964">
        <w:rPr>
          <w:rFonts w:ascii="Arial" w:eastAsia="Times New Roman" w:hAnsi="Arial" w:cs="Arial"/>
          <w:sz w:val="24"/>
          <w:szCs w:val="24"/>
        </w:rPr>
        <w:t>10</w:t>
      </w:r>
      <w:r w:rsidRPr="00481597">
        <w:rPr>
          <w:rFonts w:ascii="Arial" w:eastAsia="Times New Roman" w:hAnsi="Arial" w:cs="Arial"/>
          <w:sz w:val="24"/>
          <w:szCs w:val="24"/>
        </w:rPr>
        <w:t xml:space="preserve"> requests per year and 1 hour per response </w:t>
      </w:r>
      <w:r w:rsidR="00E01B3A">
        <w:rPr>
          <w:rFonts w:ascii="Arial" w:eastAsia="Times New Roman" w:hAnsi="Arial" w:cs="Arial"/>
          <w:sz w:val="24"/>
          <w:szCs w:val="24"/>
        </w:rPr>
        <w:t>(to process request and issue SFA)</w:t>
      </w:r>
      <w:r w:rsidR="00B22991">
        <w:rPr>
          <w:rFonts w:ascii="Arial" w:eastAsia="Times New Roman" w:hAnsi="Arial" w:cs="Arial"/>
          <w:sz w:val="24"/>
          <w:szCs w:val="24"/>
        </w:rPr>
        <w:t xml:space="preserve"> </w:t>
      </w:r>
      <w:r w:rsidRPr="00481597">
        <w:rPr>
          <w:rFonts w:ascii="Arial" w:eastAsia="Times New Roman" w:hAnsi="Arial" w:cs="Arial"/>
          <w:sz w:val="24"/>
          <w:szCs w:val="24"/>
        </w:rPr>
        <w:t xml:space="preserve">at </w:t>
      </w:r>
      <w:r w:rsidR="00555A34">
        <w:rPr>
          <w:rFonts w:ascii="Arial" w:eastAsia="Times New Roman" w:hAnsi="Arial" w:cs="Arial"/>
          <w:sz w:val="24"/>
          <w:szCs w:val="24"/>
        </w:rPr>
        <w:t>$</w:t>
      </w:r>
      <w:r w:rsidR="006C5E01">
        <w:rPr>
          <w:rFonts w:ascii="Arial" w:eastAsia="Times New Roman" w:hAnsi="Arial" w:cs="Arial"/>
          <w:sz w:val="24"/>
          <w:szCs w:val="24"/>
        </w:rPr>
        <w:t>64.00</w:t>
      </w:r>
      <w:r w:rsidRPr="00481597">
        <w:rPr>
          <w:rFonts w:ascii="Arial" w:eastAsia="Times New Roman" w:hAnsi="Arial" w:cs="Arial"/>
          <w:sz w:val="24"/>
          <w:szCs w:val="24"/>
        </w:rPr>
        <w:t xml:space="preserve"> per hour.</w:t>
      </w:r>
      <w:r w:rsidRPr="00481597" w:rsidR="00D5025F">
        <w:rPr>
          <w:rFonts w:ascii="Arial" w:hAnsi="Arial" w:cs="Arial"/>
          <w:sz w:val="24"/>
          <w:szCs w:val="24"/>
        </w:rPr>
        <w:t xml:space="preserve"> </w:t>
      </w:r>
      <w:r w:rsidR="00D5025F">
        <w:rPr>
          <w:rFonts w:ascii="Arial" w:hAnsi="Arial" w:cs="Arial"/>
          <w:color w:val="000000"/>
          <w:sz w:val="24"/>
          <w:szCs w:val="24"/>
        </w:rPr>
        <w:t xml:space="preserve">The wage rate used is based on a </w:t>
      </w:r>
      <w:r w:rsidR="00513EAD">
        <w:rPr>
          <w:rFonts w:ascii="Arial" w:hAnsi="Arial" w:cs="Arial"/>
          <w:color w:val="000000"/>
          <w:sz w:val="24"/>
          <w:szCs w:val="24"/>
        </w:rPr>
        <w:t xml:space="preserve">government </w:t>
      </w:r>
      <w:r w:rsidR="00D5025F">
        <w:rPr>
          <w:rFonts w:ascii="Arial" w:hAnsi="Arial" w:cs="Arial"/>
          <w:color w:val="000000"/>
          <w:sz w:val="24"/>
          <w:szCs w:val="24"/>
        </w:rPr>
        <w:t xml:space="preserve">worker </w:t>
      </w:r>
      <w:r w:rsidR="009B0729">
        <w:rPr>
          <w:rFonts w:ascii="Arial" w:hAnsi="Arial" w:cs="Arial"/>
          <w:color w:val="000000"/>
          <w:sz w:val="24"/>
          <w:szCs w:val="24"/>
        </w:rPr>
        <w:t xml:space="preserve">at the mean rate </w:t>
      </w:r>
      <w:r w:rsidR="00D5025F">
        <w:rPr>
          <w:rFonts w:ascii="Arial" w:hAnsi="Arial" w:cs="Arial"/>
          <w:color w:val="000000"/>
          <w:sz w:val="24"/>
          <w:szCs w:val="24"/>
        </w:rPr>
        <w:t xml:space="preserve">that accounts for base salary </w:t>
      </w:r>
      <w:r w:rsidR="009B0729">
        <w:rPr>
          <w:rFonts w:ascii="Arial" w:hAnsi="Arial" w:cs="Arial"/>
          <w:color w:val="000000"/>
          <w:sz w:val="24"/>
          <w:szCs w:val="24"/>
        </w:rPr>
        <w:t xml:space="preserve">plus total </w:t>
      </w:r>
      <w:r w:rsidR="00D5025F">
        <w:rPr>
          <w:rFonts w:ascii="Arial" w:hAnsi="Arial" w:cs="Arial"/>
          <w:color w:val="000000"/>
          <w:sz w:val="24"/>
          <w:szCs w:val="24"/>
        </w:rPr>
        <w:t>benefits</w:t>
      </w:r>
      <w:r w:rsidR="00B22991">
        <w:rPr>
          <w:rFonts w:ascii="Arial" w:hAnsi="Arial" w:cs="Arial"/>
          <w:color w:val="000000"/>
          <w:sz w:val="24"/>
          <w:szCs w:val="24"/>
        </w:rPr>
        <w:t xml:space="preserve"> </w:t>
      </w:r>
      <w:r w:rsidR="00D5025F">
        <w:rPr>
          <w:rFonts w:ascii="Arial" w:hAnsi="Arial" w:cs="Arial"/>
          <w:color w:val="000000"/>
          <w:sz w:val="24"/>
          <w:szCs w:val="24"/>
        </w:rPr>
        <w:t>(see table following).</w:t>
      </w:r>
    </w:p>
    <w:tbl>
      <w:tblPr>
        <w:tblStyle w:val="TableGrid"/>
        <w:tblW w:w="0" w:type="auto"/>
        <w:tblInd w:w="720" w:type="dxa"/>
        <w:tblLook w:val="04A0"/>
      </w:tblPr>
      <w:tblGrid>
        <w:gridCol w:w="2900"/>
        <w:gridCol w:w="2908"/>
        <w:gridCol w:w="2822"/>
      </w:tblGrid>
      <w:tr w14:paraId="3E99604D" w14:textId="77777777" w:rsidTr="009A23B1">
        <w:tblPrEx>
          <w:tblW w:w="0" w:type="auto"/>
          <w:tblInd w:w="720" w:type="dxa"/>
          <w:tblLook w:val="04A0"/>
        </w:tblPrEx>
        <w:tc>
          <w:tcPr>
            <w:tcW w:w="2900" w:type="dxa"/>
          </w:tcPr>
          <w:p w:rsidR="00D70762" w:rsidRPr="0058299D" w:rsidP="0058299D" w14:paraId="3778FE89" w14:textId="5F9411A2">
            <w:pPr>
              <w:pStyle w:val="ListParagraph"/>
              <w:ind w:left="-18"/>
              <w:rPr>
                <w:b/>
              </w:rPr>
            </w:pPr>
            <w:r>
              <w:rPr>
                <w:b/>
              </w:rPr>
              <w:t>Occupational group</w:t>
            </w:r>
            <w:r w:rsidRPr="0058299D">
              <w:rPr>
                <w:b/>
              </w:rPr>
              <w:t xml:space="preserve">/series </w:t>
            </w:r>
          </w:p>
        </w:tc>
        <w:tc>
          <w:tcPr>
            <w:tcW w:w="2908" w:type="dxa"/>
          </w:tcPr>
          <w:p w:rsidR="00D70762" w:rsidRPr="0058299D" w:rsidP="00EB6BCB" w14:paraId="37C9AE81" w14:textId="74CE093D">
            <w:pPr>
              <w:pStyle w:val="ListParagraph"/>
              <w:ind w:left="0"/>
              <w:rPr>
                <w:b/>
              </w:rPr>
            </w:pPr>
            <w:r>
              <w:rPr>
                <w:b/>
              </w:rPr>
              <w:t>2025 1</w:t>
            </w:r>
            <w:r w:rsidRPr="006C5E01">
              <w:rPr>
                <w:b/>
                <w:vertAlign w:val="superscript"/>
              </w:rPr>
              <w:t>st</w:t>
            </w:r>
            <w:r>
              <w:rPr>
                <w:b/>
              </w:rPr>
              <w:t xml:space="preserve"> Qtr</w:t>
            </w:r>
            <w:r w:rsidRPr="0058299D" w:rsidR="00AB1A38">
              <w:rPr>
                <w:b/>
              </w:rPr>
              <w:t xml:space="preserve"> wage rates </w:t>
            </w:r>
          </w:p>
        </w:tc>
        <w:tc>
          <w:tcPr>
            <w:tcW w:w="2822" w:type="dxa"/>
          </w:tcPr>
          <w:p w:rsidR="00D70762" w:rsidRPr="0058299D" w:rsidP="0058299D" w14:paraId="4F385172" w14:textId="77777777">
            <w:pPr>
              <w:pStyle w:val="ListParagraph"/>
              <w:ind w:left="0"/>
              <w:jc w:val="center"/>
              <w:rPr>
                <w:b/>
              </w:rPr>
            </w:pPr>
            <w:r w:rsidRPr="0058299D">
              <w:rPr>
                <w:b/>
              </w:rPr>
              <w:t>$</w:t>
            </w:r>
            <w:r w:rsidRPr="002E47A2">
              <w:rPr>
                <w:b/>
              </w:rPr>
              <w:t>/hour</w:t>
            </w:r>
          </w:p>
        </w:tc>
      </w:tr>
      <w:tr w14:paraId="6BD63620" w14:textId="77777777" w:rsidTr="009A23B1">
        <w:tblPrEx>
          <w:tblW w:w="0" w:type="auto"/>
          <w:tblInd w:w="720" w:type="dxa"/>
          <w:tblLook w:val="04A0"/>
        </w:tblPrEx>
        <w:tc>
          <w:tcPr>
            <w:tcW w:w="2900" w:type="dxa"/>
            <w:vMerge w:val="restart"/>
          </w:tcPr>
          <w:p w:rsidR="00D70762" w:rsidP="00D70762" w14:paraId="11B34F02" w14:textId="62B6B244">
            <w:pPr>
              <w:pStyle w:val="ListParagraph"/>
              <w:ind w:left="-18"/>
            </w:pPr>
            <w:r>
              <w:t>State and local government workers</w:t>
            </w:r>
          </w:p>
        </w:tc>
        <w:tc>
          <w:tcPr>
            <w:tcW w:w="2908" w:type="dxa"/>
          </w:tcPr>
          <w:p w:rsidR="00D70762" w:rsidP="0058299D" w14:paraId="26EABBD2" w14:textId="59F2BEFA">
            <w:pPr>
              <w:pStyle w:val="ListParagraph"/>
              <w:ind w:left="0"/>
            </w:pPr>
            <w:r>
              <w:t>Base</w:t>
            </w:r>
            <w:r w:rsidR="00513EAD">
              <w:t xml:space="preserve"> salar</w:t>
            </w:r>
            <w:r>
              <w:t>y</w:t>
            </w:r>
          </w:p>
        </w:tc>
        <w:tc>
          <w:tcPr>
            <w:tcW w:w="2822" w:type="dxa"/>
          </w:tcPr>
          <w:p w:rsidR="00D70762" w:rsidRPr="00E32964" w:rsidP="00D5025F" w14:paraId="163434B1" w14:textId="61156393">
            <w:pPr>
              <w:pStyle w:val="ListParagraph"/>
              <w:ind w:left="0"/>
              <w:jc w:val="center"/>
              <w:rPr>
                <w:vertAlign w:val="superscript"/>
              </w:rPr>
            </w:pPr>
            <w:r>
              <w:t xml:space="preserve">$ </w:t>
            </w:r>
            <w:r w:rsidR="006C5E01">
              <w:t>39.42</w:t>
            </w:r>
          </w:p>
        </w:tc>
      </w:tr>
      <w:tr w14:paraId="6CF583F9" w14:textId="77777777" w:rsidTr="0058299D">
        <w:tblPrEx>
          <w:tblW w:w="0" w:type="auto"/>
          <w:tblInd w:w="720" w:type="dxa"/>
          <w:tblLook w:val="04A0"/>
        </w:tblPrEx>
        <w:tc>
          <w:tcPr>
            <w:tcW w:w="2900" w:type="dxa"/>
            <w:vMerge/>
          </w:tcPr>
          <w:p w:rsidR="00555A34" w:rsidP="00555A34" w14:paraId="13E762F0" w14:textId="77777777">
            <w:pPr>
              <w:pStyle w:val="ListParagraph"/>
              <w:ind w:left="0"/>
            </w:pPr>
          </w:p>
        </w:tc>
        <w:tc>
          <w:tcPr>
            <w:tcW w:w="2908" w:type="dxa"/>
          </w:tcPr>
          <w:p w:rsidR="00555A34" w:rsidP="00555A34" w14:paraId="2ECB47A9" w14:textId="5A133A9A">
            <w:pPr>
              <w:pStyle w:val="ListParagraph"/>
              <w:ind w:left="0"/>
            </w:pPr>
            <w:r>
              <w:t>Total benefits</w:t>
            </w:r>
          </w:p>
        </w:tc>
        <w:tc>
          <w:tcPr>
            <w:tcW w:w="2822" w:type="dxa"/>
          </w:tcPr>
          <w:p w:rsidR="00555A34" w:rsidP="00555A34" w14:paraId="11F817BF" w14:textId="77777777">
            <w:pPr>
              <w:pStyle w:val="ListParagraph"/>
              <w:ind w:left="0"/>
              <w:jc w:val="center"/>
            </w:pPr>
          </w:p>
          <w:p w:rsidR="00555A34" w:rsidP="00555A34" w14:paraId="4788FA42" w14:textId="3D469085">
            <w:pPr>
              <w:pStyle w:val="ListParagraph"/>
              <w:ind w:left="0"/>
              <w:jc w:val="center"/>
            </w:pPr>
            <w:r>
              <w:t>$</w:t>
            </w:r>
            <w:r w:rsidR="006C5E01">
              <w:t>24.58</w:t>
            </w:r>
          </w:p>
        </w:tc>
      </w:tr>
      <w:tr w14:paraId="6461E1BD" w14:textId="77777777" w:rsidTr="0058299D">
        <w:tblPrEx>
          <w:tblW w:w="0" w:type="auto"/>
          <w:tblInd w:w="720" w:type="dxa"/>
          <w:tblLook w:val="04A0"/>
        </w:tblPrEx>
        <w:tc>
          <w:tcPr>
            <w:tcW w:w="2900" w:type="dxa"/>
          </w:tcPr>
          <w:p w:rsidR="00D70762" w:rsidP="0058299D" w14:paraId="344058AA" w14:textId="77777777">
            <w:pPr>
              <w:pStyle w:val="ListParagraph"/>
              <w:ind w:left="0"/>
            </w:pPr>
          </w:p>
        </w:tc>
        <w:tc>
          <w:tcPr>
            <w:tcW w:w="2908" w:type="dxa"/>
          </w:tcPr>
          <w:p w:rsidR="00D70762" w:rsidP="0058299D" w14:paraId="2396326C" w14:textId="77777777">
            <w:pPr>
              <w:pStyle w:val="ListParagraph"/>
              <w:ind w:left="0"/>
            </w:pPr>
            <w:r>
              <w:t>Total compensation</w:t>
            </w:r>
          </w:p>
        </w:tc>
        <w:tc>
          <w:tcPr>
            <w:tcW w:w="2822" w:type="dxa"/>
          </w:tcPr>
          <w:p w:rsidR="00D70762" w:rsidP="0058299D" w14:paraId="541929B5" w14:textId="3E888209">
            <w:pPr>
              <w:pStyle w:val="ListParagraph"/>
              <w:ind w:left="0"/>
              <w:jc w:val="center"/>
            </w:pPr>
            <w:r>
              <w:t>$</w:t>
            </w:r>
            <w:r w:rsidR="00513EAD">
              <w:t xml:space="preserve"> </w:t>
            </w:r>
            <w:r w:rsidR="006C5E01">
              <w:t>64.00</w:t>
            </w:r>
            <w:r w:rsidR="00513EAD">
              <w:t>**</w:t>
            </w:r>
          </w:p>
        </w:tc>
      </w:tr>
    </w:tbl>
    <w:p w:rsidR="002A7DA6" w:rsidP="00D70762" w14:paraId="191F75EF" w14:textId="77777777">
      <w:pPr>
        <w:pStyle w:val="ListParagraph"/>
        <w:rPr>
          <w:rFonts w:ascii="Arial" w:eastAsia="Times New Roman" w:hAnsi="Arial" w:cs="Arial"/>
          <w:color w:val="555555"/>
          <w:sz w:val="24"/>
          <w:szCs w:val="24"/>
        </w:rPr>
      </w:pPr>
    </w:p>
    <w:p w:rsidR="00555A34" w:rsidP="00D70762" w14:paraId="114E870A" w14:textId="06259CA3">
      <w:pPr>
        <w:pStyle w:val="ListParagraph"/>
      </w:pPr>
      <w:r>
        <w:rPr>
          <w:rFonts w:ascii="Arial" w:eastAsia="Times New Roman" w:hAnsi="Arial" w:cs="Arial"/>
          <w:color w:val="555555"/>
          <w:sz w:val="24"/>
          <w:szCs w:val="24"/>
        </w:rPr>
        <w:t>*</w:t>
      </w:r>
      <w:r w:rsidR="00D5025F">
        <w:rPr>
          <w:rFonts w:ascii="Arial" w:eastAsia="Times New Roman" w:hAnsi="Arial" w:cs="Arial"/>
          <w:color w:val="555555"/>
          <w:sz w:val="24"/>
          <w:szCs w:val="24"/>
        </w:rPr>
        <w:t xml:space="preserve">* </w:t>
      </w:r>
      <w:r w:rsidR="006C5E01">
        <w:t>“</w:t>
      </w:r>
      <w:r w:rsidRPr="00A36F0A" w:rsidR="006C5E01">
        <w:t xml:space="preserve">EMPLOYER COSTS FOR EMPLOYEE COMPENSATION </w:t>
      </w:r>
      <w:r w:rsidR="006C5E01">
        <w:t>- March 2025,” U.S. Bureau of Labor and Statistics. Table 1.</w:t>
      </w:r>
      <w:r w:rsidRPr="006C5E01" w:rsidR="006C5E01">
        <w:t xml:space="preserve"> Employer Costs for Employee Compensation by ownership</w:t>
      </w:r>
      <w:r w:rsidR="006C5E01">
        <w:t>.  State and local government workers. [</w:t>
      </w:r>
      <w:r w:rsidRPr="000D7BD8" w:rsidR="006C5E01">
        <w:t>https://www.bls.gov/news.release/pdf/ecec.pdf</w:t>
      </w:r>
      <w:r w:rsidR="006C5E01">
        <w:t xml:space="preserve"> – accessed 21 August 2025]</w:t>
      </w:r>
    </w:p>
    <w:p w:rsidR="00555A34" w:rsidRPr="008201A1" w:rsidP="00E01B3A" w14:paraId="289C141D" w14:textId="002BA9F8">
      <w:pPr>
        <w:pStyle w:val="CommentText"/>
      </w:pPr>
    </w:p>
    <w:p w:rsidR="00C64707" w:rsidRPr="00C64707" w:rsidP="00C64707" w14:paraId="3A43E8C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5A46377E" w14:textId="49F5BCE3">
      <w:pPr>
        <w:shd w:val="clear" w:color="auto" w:fill="FFFFFF"/>
        <w:spacing w:after="0" w:line="240" w:lineRule="auto"/>
        <w:rPr>
          <w:rFonts w:ascii="Arial" w:eastAsia="Times New Roman" w:hAnsi="Arial" w:cs="Arial"/>
          <w:color w:val="555555"/>
          <w:sz w:val="24"/>
          <w:szCs w:val="24"/>
        </w:rPr>
      </w:pPr>
    </w:p>
    <w:p w:rsidR="00C64707" w:rsidRPr="00C64707" w:rsidP="00C64707" w14:paraId="52CBB9C2" w14:textId="35912E55">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 xml:space="preserve">There are no </w:t>
      </w:r>
      <w:r w:rsidR="00794A3E">
        <w:rPr>
          <w:rFonts w:ascii="Arial" w:eastAsia="Times New Roman" w:hAnsi="Arial" w:cs="Arial"/>
          <w:color w:val="555555"/>
          <w:sz w:val="24"/>
          <w:szCs w:val="24"/>
        </w:rPr>
        <w:t xml:space="preserve">programmatic </w:t>
      </w:r>
      <w:r w:rsidRPr="00F30191">
        <w:rPr>
          <w:rFonts w:ascii="Arial" w:eastAsia="Times New Roman" w:hAnsi="Arial" w:cs="Arial"/>
          <w:color w:val="555555"/>
          <w:sz w:val="24"/>
          <w:szCs w:val="24"/>
        </w:rPr>
        <w:t>changes since the previous submission.</w:t>
      </w:r>
      <w:r w:rsidR="00794A3E">
        <w:rPr>
          <w:rFonts w:ascii="Arial" w:eastAsia="Times New Roman" w:hAnsi="Arial" w:cs="Arial"/>
          <w:color w:val="555555"/>
          <w:sz w:val="24"/>
          <w:szCs w:val="24"/>
        </w:rPr>
        <w:t xml:space="preserve">  However, an adjustment in number</w:t>
      </w:r>
      <w:r w:rsidRPr="00794A3E" w:rsidR="00794A3E">
        <w:rPr>
          <w:rFonts w:ascii="Arial" w:eastAsia="Times New Roman" w:hAnsi="Arial" w:cs="Arial"/>
          <w:color w:val="555555"/>
          <w:sz w:val="24"/>
          <w:szCs w:val="24"/>
        </w:rPr>
        <w:t xml:space="preserve"> of respondents </w:t>
      </w:r>
      <w:r w:rsidR="003A08A6">
        <w:rPr>
          <w:rFonts w:ascii="Arial" w:eastAsia="Times New Roman" w:hAnsi="Arial" w:cs="Arial"/>
          <w:color w:val="555555"/>
          <w:sz w:val="24"/>
          <w:szCs w:val="24"/>
        </w:rPr>
        <w:t xml:space="preserve">has been made due to updated </w:t>
      </w:r>
      <w:r w:rsidR="003A08A6">
        <w:rPr>
          <w:rFonts w:ascii="Arial" w:hAnsi="Arial" w:cs="Arial"/>
          <w:color w:val="000000"/>
          <w:sz w:val="24"/>
          <w:szCs w:val="24"/>
        </w:rPr>
        <w:t>estimates</w:t>
      </w:r>
      <w:r w:rsidRPr="009A23B1" w:rsidR="003A08A6">
        <w:rPr>
          <w:rFonts w:ascii="Arial" w:hAnsi="Arial" w:cs="Arial"/>
          <w:color w:val="000000"/>
          <w:sz w:val="24"/>
          <w:szCs w:val="24"/>
        </w:rPr>
        <w:t xml:space="preserve"> based on previous special flight authorization data collection from 20</w:t>
      </w:r>
      <w:r w:rsidR="00E32964">
        <w:rPr>
          <w:rFonts w:ascii="Arial" w:hAnsi="Arial" w:cs="Arial"/>
          <w:color w:val="000000"/>
          <w:sz w:val="24"/>
          <w:szCs w:val="24"/>
        </w:rPr>
        <w:t>22</w:t>
      </w:r>
      <w:r w:rsidRPr="009A23B1" w:rsidR="003A08A6">
        <w:rPr>
          <w:rFonts w:ascii="Arial" w:hAnsi="Arial" w:cs="Arial"/>
          <w:color w:val="000000"/>
          <w:sz w:val="24"/>
          <w:szCs w:val="24"/>
        </w:rPr>
        <w:t xml:space="preserve"> to 20</w:t>
      </w:r>
      <w:r w:rsidR="009B0729">
        <w:rPr>
          <w:rFonts w:ascii="Arial" w:hAnsi="Arial" w:cs="Arial"/>
          <w:color w:val="000000"/>
          <w:sz w:val="24"/>
          <w:szCs w:val="24"/>
        </w:rPr>
        <w:t>2</w:t>
      </w:r>
      <w:r w:rsidR="00E32964">
        <w:rPr>
          <w:rFonts w:ascii="Arial" w:hAnsi="Arial" w:cs="Arial"/>
          <w:color w:val="000000"/>
          <w:sz w:val="24"/>
          <w:szCs w:val="24"/>
        </w:rPr>
        <w:t>4</w:t>
      </w:r>
      <w:r w:rsidR="003A08A6">
        <w:rPr>
          <w:rFonts w:ascii="Arial" w:hAnsi="Arial" w:cs="Arial"/>
          <w:color w:val="000000"/>
          <w:sz w:val="24"/>
          <w:szCs w:val="24"/>
        </w:rPr>
        <w:t>, which indicated</w:t>
      </w:r>
      <w:r w:rsidRPr="009A23B1" w:rsidR="003A08A6">
        <w:rPr>
          <w:rFonts w:ascii="Arial" w:hAnsi="Arial" w:cs="Arial"/>
          <w:color w:val="000000"/>
          <w:sz w:val="24"/>
          <w:szCs w:val="24"/>
        </w:rPr>
        <w:t xml:space="preserve"> a reduction </w:t>
      </w:r>
      <w:r w:rsidR="003A08A6">
        <w:rPr>
          <w:rFonts w:ascii="Arial" w:hAnsi="Arial" w:cs="Arial"/>
          <w:color w:val="000000"/>
          <w:sz w:val="24"/>
          <w:szCs w:val="24"/>
        </w:rPr>
        <w:t>in number</w:t>
      </w:r>
      <w:r w:rsidRPr="009A23B1" w:rsidR="003A08A6">
        <w:rPr>
          <w:rFonts w:ascii="Arial" w:hAnsi="Arial" w:cs="Arial"/>
          <w:color w:val="000000"/>
          <w:sz w:val="24"/>
          <w:szCs w:val="24"/>
        </w:rPr>
        <w:t xml:space="preserve"> of respondents from the prior estimate of </w:t>
      </w:r>
      <w:r w:rsidR="00E32964">
        <w:rPr>
          <w:rFonts w:ascii="Arial" w:hAnsi="Arial" w:cs="Arial"/>
          <w:color w:val="000000"/>
          <w:sz w:val="24"/>
          <w:szCs w:val="24"/>
        </w:rPr>
        <w:t>21</w:t>
      </w:r>
      <w:r w:rsidRPr="009A23B1" w:rsidR="003A08A6">
        <w:rPr>
          <w:rFonts w:ascii="Arial" w:hAnsi="Arial" w:cs="Arial"/>
          <w:color w:val="000000"/>
          <w:sz w:val="24"/>
          <w:szCs w:val="24"/>
        </w:rPr>
        <w:t xml:space="preserve"> to </w:t>
      </w:r>
      <w:r w:rsidR="00E32964">
        <w:rPr>
          <w:rFonts w:ascii="Arial" w:hAnsi="Arial" w:cs="Arial"/>
          <w:color w:val="000000"/>
          <w:sz w:val="24"/>
          <w:szCs w:val="24"/>
        </w:rPr>
        <w:t>10</w:t>
      </w:r>
      <w:r w:rsidRPr="009A23B1" w:rsidR="003A08A6">
        <w:rPr>
          <w:rFonts w:ascii="Arial" w:hAnsi="Arial" w:cs="Arial"/>
          <w:color w:val="000000"/>
          <w:sz w:val="24"/>
          <w:szCs w:val="24"/>
        </w:rPr>
        <w:t>.</w:t>
      </w:r>
      <w:r w:rsidR="00794A3E">
        <w:rPr>
          <w:rFonts w:ascii="Arial" w:eastAsia="Times New Roman" w:hAnsi="Arial" w:cs="Arial"/>
          <w:color w:val="555555"/>
          <w:sz w:val="24"/>
          <w:szCs w:val="24"/>
        </w:rPr>
        <w:t xml:space="preserve"> </w:t>
      </w:r>
      <w:r w:rsidR="003A08A6">
        <w:rPr>
          <w:rFonts w:ascii="Arial" w:eastAsia="Times New Roman" w:hAnsi="Arial" w:cs="Arial"/>
          <w:color w:val="555555"/>
          <w:sz w:val="24"/>
          <w:szCs w:val="24"/>
        </w:rPr>
        <w:t>As a result</w:t>
      </w:r>
      <w:r w:rsidR="009B0729">
        <w:rPr>
          <w:rFonts w:ascii="Arial" w:eastAsia="Times New Roman" w:hAnsi="Arial" w:cs="Arial"/>
          <w:color w:val="555555"/>
          <w:sz w:val="24"/>
          <w:szCs w:val="24"/>
        </w:rPr>
        <w:t>,</w:t>
      </w:r>
      <w:r w:rsidR="003A08A6">
        <w:rPr>
          <w:rFonts w:ascii="Arial" w:eastAsia="Times New Roman" w:hAnsi="Arial" w:cs="Arial"/>
          <w:color w:val="555555"/>
          <w:sz w:val="24"/>
          <w:szCs w:val="24"/>
        </w:rPr>
        <w:t xml:space="preserve"> the total burden </w:t>
      </w:r>
      <w:r w:rsidR="009B0729">
        <w:rPr>
          <w:rFonts w:ascii="Arial" w:eastAsia="Times New Roman" w:hAnsi="Arial" w:cs="Arial"/>
          <w:color w:val="555555"/>
          <w:sz w:val="24"/>
          <w:szCs w:val="24"/>
        </w:rPr>
        <w:t>is still comparable given the compensating offset of increased labor rates to process such fewer projected requests of applicants and the servicing agency</w:t>
      </w:r>
      <w:r w:rsidR="003A08A6">
        <w:rPr>
          <w:rFonts w:ascii="Arial" w:eastAsia="Times New Roman" w:hAnsi="Arial" w:cs="Arial"/>
          <w:color w:val="555555"/>
          <w:sz w:val="24"/>
          <w:szCs w:val="24"/>
        </w:rPr>
        <w:t>.</w:t>
      </w:r>
      <w:r w:rsidR="00794A3E">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6CA2314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549368E" w14:textId="31570971">
      <w:pPr>
        <w:shd w:val="clear" w:color="auto" w:fill="FFFFFF"/>
        <w:spacing w:after="0" w:line="240" w:lineRule="auto"/>
        <w:rPr>
          <w:rFonts w:ascii="Arial" w:eastAsia="Times New Roman" w:hAnsi="Arial" w:cs="Arial"/>
          <w:color w:val="555555"/>
          <w:sz w:val="24"/>
          <w:szCs w:val="24"/>
        </w:rPr>
      </w:pPr>
    </w:p>
    <w:p w:rsidR="00C64707" w:rsidRPr="00C64707" w:rsidP="00C64707" w14:paraId="04BE9D43" w14:textId="6272432F">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 results will not be published</w:t>
      </w:r>
      <w:r w:rsidR="001C4D4D">
        <w:rPr>
          <w:rFonts w:ascii="Arial" w:eastAsia="Times New Roman" w:hAnsi="Arial" w:cs="Arial"/>
          <w:color w:val="555555"/>
          <w:sz w:val="24"/>
          <w:szCs w:val="24"/>
        </w:rPr>
        <w:t>.</w:t>
      </w:r>
      <w:r w:rsidRPr="00F30191">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1FA3C53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68D2B450" w14:textId="07032CE4">
      <w:pPr>
        <w:shd w:val="clear" w:color="auto" w:fill="FFFFFF"/>
        <w:spacing w:after="0" w:line="240" w:lineRule="auto"/>
        <w:rPr>
          <w:rFonts w:ascii="Arial" w:eastAsia="Times New Roman" w:hAnsi="Arial" w:cs="Arial"/>
          <w:color w:val="555555"/>
          <w:sz w:val="24"/>
          <w:szCs w:val="24"/>
        </w:rPr>
      </w:pPr>
    </w:p>
    <w:p w:rsidR="00C64707" w:rsidRPr="00C64707" w:rsidP="00C64707" w14:paraId="765C4444" w14:textId="7777777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We are not seeking approval to not display the expiration date.</w:t>
      </w:r>
      <w:r w:rsidRPr="00C64707">
        <w:rPr>
          <w:rFonts w:ascii="Arial" w:eastAsia="Times New Roman" w:hAnsi="Arial" w:cs="Arial"/>
          <w:color w:val="555555"/>
          <w:sz w:val="24"/>
          <w:szCs w:val="24"/>
        </w:rPr>
        <w:br/>
      </w:r>
    </w:p>
    <w:p w:rsidR="00C64707" w:rsidRPr="00C64707" w:rsidP="00C64707" w14:paraId="4CB3D16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29760BA8" w14:textId="13CBD69C">
      <w:pPr>
        <w:shd w:val="clear" w:color="auto" w:fill="FFFFFF"/>
        <w:spacing w:after="0" w:line="240" w:lineRule="auto"/>
        <w:rPr>
          <w:rFonts w:ascii="Arial" w:eastAsia="Times New Roman" w:hAnsi="Arial" w:cs="Arial"/>
          <w:color w:val="555555"/>
          <w:sz w:val="24"/>
          <w:szCs w:val="24"/>
        </w:rPr>
      </w:pPr>
    </w:p>
    <w:p w:rsidR="005B4EB0" w14:paraId="30A9E354" w14:textId="54884DAC">
      <w:r w:rsidRPr="00F30191">
        <w:rPr>
          <w:rFonts w:ascii="Arial" w:eastAsia="Times New Roman" w:hAnsi="Arial" w:cs="Arial"/>
          <w:color w:val="555555"/>
          <w:sz w:val="24"/>
          <w:szCs w:val="24"/>
        </w:rPr>
        <w:t>There are no exceptions</w:t>
      </w:r>
      <w:r w:rsidR="001C4D4D">
        <w:rPr>
          <w:rFonts w:ascii="Arial" w:eastAsia="Times New Roman" w:hAnsi="Arial" w:cs="Arial"/>
          <w:color w:val="555555"/>
          <w:sz w:val="24"/>
          <w:szCs w:val="24"/>
        </w:rPr>
        <w:t>.</w:t>
      </w:r>
      <w:r w:rsidRPr="00F30191">
        <w:rPr>
          <w:rFonts w:ascii="Arial" w:eastAsia="Times New Roman" w:hAnsi="Arial" w:cs="Arial"/>
          <w:color w:val="555555"/>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CD40E6"/>
    <w:multiLevelType w:val="hybridMultilevel"/>
    <w:tmpl w:val="073AB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353046">
    <w:abstractNumId w:val="0"/>
  </w:num>
  <w:num w:numId="2" w16cid:durableId="1654605610">
    <w:abstractNumId w:val="2"/>
  </w:num>
  <w:num w:numId="3" w16cid:durableId="576748289">
    <w:abstractNumId w:val="3"/>
  </w:num>
  <w:num w:numId="4" w16cid:durableId="185749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771"/>
    <w:rsid w:val="00004208"/>
    <w:rsid w:val="0004096C"/>
    <w:rsid w:val="000727B4"/>
    <w:rsid w:val="00090581"/>
    <w:rsid w:val="000A2882"/>
    <w:rsid w:val="000A28BF"/>
    <w:rsid w:val="000B3C09"/>
    <w:rsid w:val="000D7BD8"/>
    <w:rsid w:val="00104319"/>
    <w:rsid w:val="001128CB"/>
    <w:rsid w:val="0012437F"/>
    <w:rsid w:val="001825CD"/>
    <w:rsid w:val="001859B3"/>
    <w:rsid w:val="00193054"/>
    <w:rsid w:val="00197480"/>
    <w:rsid w:val="001B76CE"/>
    <w:rsid w:val="001C4D4D"/>
    <w:rsid w:val="001C6E47"/>
    <w:rsid w:val="001F0724"/>
    <w:rsid w:val="002169CB"/>
    <w:rsid w:val="00224B41"/>
    <w:rsid w:val="00253329"/>
    <w:rsid w:val="00262F68"/>
    <w:rsid w:val="0027581A"/>
    <w:rsid w:val="002A497D"/>
    <w:rsid w:val="002A7DA6"/>
    <w:rsid w:val="002B3837"/>
    <w:rsid w:val="002C2AA4"/>
    <w:rsid w:val="002E47A2"/>
    <w:rsid w:val="002E4AD7"/>
    <w:rsid w:val="00315AB4"/>
    <w:rsid w:val="003425E0"/>
    <w:rsid w:val="003A08A6"/>
    <w:rsid w:val="003B2A22"/>
    <w:rsid w:val="003E1C56"/>
    <w:rsid w:val="00405E15"/>
    <w:rsid w:val="00406822"/>
    <w:rsid w:val="00407376"/>
    <w:rsid w:val="00424480"/>
    <w:rsid w:val="00426CA8"/>
    <w:rsid w:val="00453CC2"/>
    <w:rsid w:val="00457F7B"/>
    <w:rsid w:val="00473708"/>
    <w:rsid w:val="00481597"/>
    <w:rsid w:val="00496612"/>
    <w:rsid w:val="004B3A77"/>
    <w:rsid w:val="004D3270"/>
    <w:rsid w:val="004D6D67"/>
    <w:rsid w:val="004E3AA1"/>
    <w:rsid w:val="004F723D"/>
    <w:rsid w:val="00513EAD"/>
    <w:rsid w:val="00530517"/>
    <w:rsid w:val="00541B49"/>
    <w:rsid w:val="00555A34"/>
    <w:rsid w:val="00564A87"/>
    <w:rsid w:val="00564DAE"/>
    <w:rsid w:val="0056558F"/>
    <w:rsid w:val="0058299D"/>
    <w:rsid w:val="0059344B"/>
    <w:rsid w:val="005947C1"/>
    <w:rsid w:val="005B4EB0"/>
    <w:rsid w:val="005D0D6B"/>
    <w:rsid w:val="005D48C1"/>
    <w:rsid w:val="005D6ACC"/>
    <w:rsid w:val="005E7DC1"/>
    <w:rsid w:val="005F5F78"/>
    <w:rsid w:val="00616B35"/>
    <w:rsid w:val="006759F6"/>
    <w:rsid w:val="006B479A"/>
    <w:rsid w:val="006C5E01"/>
    <w:rsid w:val="006C6B7B"/>
    <w:rsid w:val="006F6018"/>
    <w:rsid w:val="00716833"/>
    <w:rsid w:val="00727D89"/>
    <w:rsid w:val="007313E8"/>
    <w:rsid w:val="0075086F"/>
    <w:rsid w:val="007935FF"/>
    <w:rsid w:val="00794A3E"/>
    <w:rsid w:val="00796FB5"/>
    <w:rsid w:val="007B7FAD"/>
    <w:rsid w:val="007D2FB5"/>
    <w:rsid w:val="007E20C4"/>
    <w:rsid w:val="008201A1"/>
    <w:rsid w:val="00846837"/>
    <w:rsid w:val="008B1CB3"/>
    <w:rsid w:val="0091124E"/>
    <w:rsid w:val="00926ACB"/>
    <w:rsid w:val="00927461"/>
    <w:rsid w:val="0096126B"/>
    <w:rsid w:val="00975937"/>
    <w:rsid w:val="009927DA"/>
    <w:rsid w:val="00997865"/>
    <w:rsid w:val="009A23B1"/>
    <w:rsid w:val="009B0729"/>
    <w:rsid w:val="009C3D2E"/>
    <w:rsid w:val="009C7298"/>
    <w:rsid w:val="009D046F"/>
    <w:rsid w:val="00A36F0A"/>
    <w:rsid w:val="00A57516"/>
    <w:rsid w:val="00A65907"/>
    <w:rsid w:val="00A81586"/>
    <w:rsid w:val="00A9607C"/>
    <w:rsid w:val="00A961C9"/>
    <w:rsid w:val="00AA2901"/>
    <w:rsid w:val="00AB1A38"/>
    <w:rsid w:val="00AE654C"/>
    <w:rsid w:val="00B139B6"/>
    <w:rsid w:val="00B15B94"/>
    <w:rsid w:val="00B2271B"/>
    <w:rsid w:val="00B22991"/>
    <w:rsid w:val="00B31A0F"/>
    <w:rsid w:val="00B35AFF"/>
    <w:rsid w:val="00B442B0"/>
    <w:rsid w:val="00B44E50"/>
    <w:rsid w:val="00B76AFB"/>
    <w:rsid w:val="00BB0FDE"/>
    <w:rsid w:val="00BC3DCC"/>
    <w:rsid w:val="00BC593B"/>
    <w:rsid w:val="00BE0F4A"/>
    <w:rsid w:val="00C0481B"/>
    <w:rsid w:val="00C13905"/>
    <w:rsid w:val="00C3001F"/>
    <w:rsid w:val="00C64707"/>
    <w:rsid w:val="00CB2DD8"/>
    <w:rsid w:val="00CB6DAC"/>
    <w:rsid w:val="00CC5530"/>
    <w:rsid w:val="00CD11EE"/>
    <w:rsid w:val="00CD1FC8"/>
    <w:rsid w:val="00CE7C0D"/>
    <w:rsid w:val="00D228E9"/>
    <w:rsid w:val="00D33CE5"/>
    <w:rsid w:val="00D434A4"/>
    <w:rsid w:val="00D453D3"/>
    <w:rsid w:val="00D5025F"/>
    <w:rsid w:val="00D6599F"/>
    <w:rsid w:val="00D70762"/>
    <w:rsid w:val="00D92383"/>
    <w:rsid w:val="00D944DE"/>
    <w:rsid w:val="00DB22DC"/>
    <w:rsid w:val="00DB7687"/>
    <w:rsid w:val="00E01B3A"/>
    <w:rsid w:val="00E32964"/>
    <w:rsid w:val="00E34880"/>
    <w:rsid w:val="00E846FC"/>
    <w:rsid w:val="00EB6BCB"/>
    <w:rsid w:val="00EF0014"/>
    <w:rsid w:val="00EF40B1"/>
    <w:rsid w:val="00F06D83"/>
    <w:rsid w:val="00F11A70"/>
    <w:rsid w:val="00F15C75"/>
    <w:rsid w:val="00F30191"/>
    <w:rsid w:val="00F315EA"/>
    <w:rsid w:val="00F506B0"/>
    <w:rsid w:val="00F7569A"/>
    <w:rsid w:val="00F90593"/>
    <w:rsid w:val="00FD1C91"/>
    <w:rsid w:val="00FD33FA"/>
    <w:rsid w:val="00FE0E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FA3A39"/>
  <w15:docId w15:val="{7A6DE6FA-8FF9-4D90-B81D-5FEA7616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30191"/>
    <w:pPr>
      <w:keepNext/>
      <w:autoSpaceDE w:val="0"/>
      <w:autoSpaceDN w:val="0"/>
      <w:adjustRightInd w:val="0"/>
      <w:spacing w:after="0" w:line="240" w:lineRule="atLeast"/>
      <w:outlineLvl w:val="0"/>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FD1C91"/>
    <w:pPr>
      <w:ind w:left="720"/>
      <w:contextualSpacing/>
    </w:pPr>
  </w:style>
  <w:style w:type="character" w:customStyle="1" w:styleId="Heading1Char">
    <w:name w:val="Heading 1 Char"/>
    <w:basedOn w:val="DefaultParagraphFont"/>
    <w:link w:val="Heading1"/>
    <w:rsid w:val="00F30191"/>
    <w:rPr>
      <w:rFonts w:ascii="Times New Roman" w:eastAsia="Times New Roman" w:hAnsi="Times New Roman" w:cs="Times New Roman"/>
      <w:color w:val="000000"/>
      <w:sz w:val="24"/>
      <w:szCs w:val="20"/>
    </w:rPr>
  </w:style>
  <w:style w:type="paragraph" w:styleId="Revision">
    <w:name w:val="Revision"/>
    <w:hidden/>
    <w:uiPriority w:val="99"/>
    <w:semiHidden/>
    <w:rsid w:val="00426CA8"/>
    <w:pPr>
      <w:spacing w:after="0" w:line="240" w:lineRule="auto"/>
    </w:pPr>
  </w:style>
  <w:style w:type="paragraph" w:styleId="CommentSubject">
    <w:name w:val="annotation subject"/>
    <w:basedOn w:val="CommentText"/>
    <w:next w:val="CommentText"/>
    <w:link w:val="CommentSubjectChar"/>
    <w:uiPriority w:val="99"/>
    <w:semiHidden/>
    <w:unhideWhenUsed/>
    <w:rsid w:val="00C13905"/>
    <w:rPr>
      <w:b/>
      <w:bCs/>
    </w:rPr>
  </w:style>
  <w:style w:type="character" w:customStyle="1" w:styleId="CommentSubjectChar">
    <w:name w:val="Comment Subject Char"/>
    <w:basedOn w:val="CommentTextChar"/>
    <w:link w:val="CommentSubject"/>
    <w:uiPriority w:val="99"/>
    <w:semiHidden/>
    <w:rsid w:val="00C13905"/>
    <w:rPr>
      <w:b/>
      <w:bCs/>
      <w:sz w:val="20"/>
      <w:szCs w:val="20"/>
    </w:rPr>
  </w:style>
  <w:style w:type="table" w:styleId="TableGrid">
    <w:name w:val="Table Grid"/>
    <w:basedOn w:val="TableNormal"/>
    <w:uiPriority w:val="39"/>
    <w:rsid w:val="00A3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5EA"/>
    <w:rPr>
      <w:color w:val="0000FF"/>
      <w:u w:val="single"/>
    </w:rPr>
  </w:style>
  <w:style w:type="character" w:styleId="FollowedHyperlink">
    <w:name w:val="FollowedHyperlink"/>
    <w:basedOn w:val="DefaultParagraphFont"/>
    <w:uiPriority w:val="99"/>
    <w:semiHidden/>
    <w:unhideWhenUsed/>
    <w:rsid w:val="00F315EA"/>
    <w:rPr>
      <w:color w:val="954F72" w:themeColor="followedHyperlink"/>
      <w:u w:val="single"/>
    </w:rPr>
  </w:style>
  <w:style w:type="character" w:styleId="UnresolvedMention">
    <w:name w:val="Unresolved Mention"/>
    <w:basedOn w:val="DefaultParagraphFont"/>
    <w:uiPriority w:val="99"/>
    <w:semiHidden/>
    <w:unhideWhenUsed/>
    <w:rsid w:val="0096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spe.hhs.gov/system/files/pdf/242926/HHS_RIAGuidance.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Hobbs, Christopher M (FAA)</cp:lastModifiedBy>
  <cp:revision>5</cp:revision>
  <dcterms:created xsi:type="dcterms:W3CDTF">2025-10-02T15:38:00Z</dcterms:created>
  <dcterms:modified xsi:type="dcterms:W3CDTF">2025-12-10T19:05:00Z</dcterms:modified>
</cp:coreProperties>
</file>