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P="75AD04D3" w14:paraId="58EF2725" w14:textId="50198BC2">
      <w:pPr>
        <w:pStyle w:val="Heading2"/>
        <w:spacing w:before="299" w:beforeAutospacing="0" w:after="299" w:afterAutospacing="0"/>
      </w:pPr>
      <w:r w:rsidRPr="75AD04D3" w:rsidR="6D658F2A">
        <w:rPr>
          <w:rFonts w:ascii="Aptos" w:eastAsia="Aptos" w:hAnsi="Aptos" w:cs="Aptos"/>
          <w:b/>
          <w:bCs/>
          <w:noProof w:val="0"/>
          <w:sz w:val="36"/>
          <w:szCs w:val="36"/>
          <w:lang w:val="en-US"/>
        </w:rPr>
        <w:t>§ 60.7 Notification and record keeping.</w:t>
      </w:r>
    </w:p>
    <w:p w:rsidP="75AD04D3" w14:paraId="2148F677" w14:textId="75F12939">
      <w:pPr>
        <w:spacing w:before="240" w:beforeAutospacing="0" w:after="240" w:afterAutospacing="0"/>
        <w:ind w:left="180" w:right="0"/>
      </w:pPr>
      <w:r w:rsidRPr="75AD04D3" w:rsidR="6D658F2A">
        <w:rPr>
          <w:rFonts w:ascii="Aptos" w:eastAsia="Aptos" w:hAnsi="Aptos" w:cs="Aptos"/>
          <w:noProof w:val="0"/>
          <w:sz w:val="24"/>
          <w:szCs w:val="24"/>
          <w:lang w:val="en-US"/>
        </w:rPr>
        <w:t>(a) Any owner or operator subject to the provisions of this part shall furnish the Administrator written notification or, if acceptable to both the Administrator and the owner or operator of a source, electronic notification, as follows:</w:t>
      </w:r>
    </w:p>
    <w:p w:rsidP="75AD04D3" w14:paraId="394E41A9" w14:textId="75167D5B">
      <w:pPr>
        <w:spacing w:before="240" w:beforeAutospacing="0" w:after="240" w:afterAutospacing="0"/>
        <w:ind w:left="360" w:right="0"/>
      </w:pPr>
      <w:r w:rsidRPr="75AD04D3" w:rsidR="6D658F2A">
        <w:rPr>
          <w:rFonts w:ascii="Aptos" w:eastAsia="Aptos" w:hAnsi="Aptos" w:cs="Aptos"/>
          <w:noProof w:val="0"/>
          <w:sz w:val="24"/>
          <w:szCs w:val="24"/>
          <w:lang w:val="en-US"/>
        </w:rPr>
        <w:t xml:space="preserve">(1) A notification of the date construction (or reconstruction as defined under </w:t>
      </w:r>
      <w:hyperlink r:id="rId8">
        <w:r w:rsidRPr="75AD04D3" w:rsidR="6D658F2A">
          <w:rPr>
            <w:rStyle w:val="Hyperlink"/>
            <w:rFonts w:ascii="Aptos" w:eastAsia="Aptos" w:hAnsi="Aptos" w:cs="Aptos"/>
            <w:noProof w:val="0"/>
            <w:sz w:val="24"/>
            <w:szCs w:val="24"/>
            <w:lang w:val="en-US"/>
          </w:rPr>
          <w:t>§ 60.15</w:t>
        </w:r>
      </w:hyperlink>
      <w:r w:rsidRPr="75AD04D3" w:rsidR="6D658F2A">
        <w:rPr>
          <w:rFonts w:ascii="Aptos" w:eastAsia="Aptos" w:hAnsi="Aptos" w:cs="Aptos"/>
          <w:noProof w:val="0"/>
          <w:sz w:val="24"/>
          <w:szCs w:val="24"/>
          <w:lang w:val="en-US"/>
        </w:rPr>
        <w:t>) of an affected facility is commenced postmarked no later than 30 days after such date. This requirement shall not apply in the case of mass-produced facilities which are purchased in completed form.</w:t>
      </w:r>
    </w:p>
    <w:p w:rsidP="75AD04D3" w14:paraId="4B8E3D0C" w14:textId="1869C4A4">
      <w:pPr>
        <w:spacing w:before="240" w:beforeAutospacing="0" w:after="240" w:afterAutospacing="0"/>
        <w:ind w:left="360" w:right="0"/>
      </w:pPr>
      <w:r w:rsidRPr="75AD04D3" w:rsidR="6D658F2A">
        <w:rPr>
          <w:rFonts w:ascii="Aptos" w:eastAsia="Aptos" w:hAnsi="Aptos" w:cs="Aptos"/>
          <w:noProof w:val="0"/>
          <w:sz w:val="24"/>
          <w:szCs w:val="24"/>
          <w:lang w:val="en-US"/>
        </w:rPr>
        <w:t>(3) A notification of the actual date of initial startup of an affected facility postmarked within 15 days after such date.</w:t>
      </w:r>
    </w:p>
    <w:p w:rsidP="75AD04D3" w14:paraId="696802E9" w14:textId="7368F86E">
      <w:pPr>
        <w:spacing w:before="240" w:beforeAutospacing="0" w:after="240" w:afterAutospacing="0"/>
        <w:ind w:left="360" w:right="0"/>
      </w:pPr>
      <w:r w:rsidRPr="75AD04D3" w:rsidR="6D658F2A">
        <w:rPr>
          <w:rFonts w:ascii="Aptos" w:eastAsia="Aptos" w:hAnsi="Aptos" w:cs="Aptos"/>
          <w:noProof w:val="0"/>
          <w:sz w:val="24"/>
          <w:szCs w:val="24"/>
          <w:lang w:val="en-US"/>
        </w:rPr>
        <w:t xml:space="preserve">(4) A notification of any physical or operational change to an existing facility which may increase the emission rate of any air pollutant to which a standard applies, unless that change is specifically exempted under an applicable subpart or in </w:t>
      </w:r>
      <w:hyperlink r:id="rId9" w:anchor="p-60.14(e)">
        <w:r w:rsidRPr="75AD04D3" w:rsidR="6D658F2A">
          <w:rPr>
            <w:rStyle w:val="Hyperlink"/>
            <w:rFonts w:ascii="Aptos" w:eastAsia="Aptos" w:hAnsi="Aptos" w:cs="Aptos"/>
            <w:noProof w:val="0"/>
            <w:sz w:val="24"/>
            <w:szCs w:val="24"/>
            <w:lang w:val="en-US"/>
          </w:rPr>
          <w:t>§ 60.14(e)</w:t>
        </w:r>
      </w:hyperlink>
      <w:r w:rsidRPr="75AD04D3" w:rsidR="6D658F2A">
        <w:rPr>
          <w:rFonts w:ascii="Aptos" w:eastAsia="Aptos" w:hAnsi="Aptos" w:cs="Aptos"/>
          <w:noProof w:val="0"/>
          <w:sz w:val="24"/>
          <w:szCs w:val="24"/>
          <w:lang w:val="en-US"/>
        </w:rPr>
        <w:t xml:space="preserve">. This notice shall be postmarked </w:t>
      </w:r>
      <w:r w:rsidRPr="75AD04D3" w:rsidR="6D658F2A">
        <w:rPr>
          <w:rFonts w:ascii="Aptos" w:eastAsia="Aptos" w:hAnsi="Aptos" w:cs="Aptos"/>
          <w:noProof w:val="0"/>
          <w:sz w:val="24"/>
          <w:szCs w:val="24"/>
          <w:lang w:val="en-US"/>
        </w:rPr>
        <w:t>60 days</w:t>
      </w:r>
      <w:r w:rsidRPr="75AD04D3" w:rsidR="6D658F2A">
        <w:rPr>
          <w:rFonts w:ascii="Aptos" w:eastAsia="Aptos" w:hAnsi="Aptos" w:cs="Aptos"/>
          <w:noProof w:val="0"/>
          <w:sz w:val="24"/>
          <w:szCs w:val="24"/>
          <w:lang w:val="en-US"/>
        </w:rPr>
        <w:t xml:space="preserve"> or as soon as practicable before the change is commenced and shall include information describing the precise nature of the change, present and proposed emission control systems, productive capacity of the facility before and after the change, and the expected completion date of the change. The Administrator may request additional relevant information subsequent to this notice.</w:t>
      </w:r>
    </w:p>
    <w:p w:rsidP="75AD04D3" w14:paraId="16AD3093" w14:textId="0168373F">
      <w:pPr>
        <w:spacing w:before="240" w:beforeAutospacing="0" w:after="240" w:afterAutospacing="0"/>
        <w:ind w:left="0" w:right="0"/>
      </w:pPr>
      <w:r w:rsidRPr="47A3FCCD" w:rsidR="6D658F2A">
        <w:rPr>
          <w:rFonts w:ascii="Aptos" w:eastAsia="Aptos" w:hAnsi="Aptos" w:cs="Aptos"/>
          <w:noProof w:val="0"/>
          <w:sz w:val="24"/>
          <w:szCs w:val="24"/>
          <w:lang w:val="en-US"/>
        </w:rPr>
        <w:t xml:space="preserve">(b) Any owner or operator subject to the provisions of this part shall </w:t>
      </w:r>
      <w:r w:rsidRPr="47A3FCCD" w:rsidR="6D658F2A">
        <w:rPr>
          <w:rFonts w:ascii="Aptos" w:eastAsia="Aptos" w:hAnsi="Aptos" w:cs="Aptos"/>
          <w:noProof w:val="0"/>
          <w:sz w:val="24"/>
          <w:szCs w:val="24"/>
          <w:lang w:val="en-US"/>
        </w:rPr>
        <w:t>maintain</w:t>
      </w:r>
      <w:r w:rsidRPr="47A3FCCD" w:rsidR="6D658F2A">
        <w:rPr>
          <w:rFonts w:ascii="Aptos" w:eastAsia="Aptos" w:hAnsi="Aptos" w:cs="Aptos"/>
          <w:noProof w:val="0"/>
          <w:sz w:val="24"/>
          <w:szCs w:val="24"/>
          <w:lang w:val="en-US"/>
        </w:rPr>
        <w:t xml:space="preserve"> records of the occurrence and duration of any startup, shutdown, or malfunction in the operation of an affected facility; any malfunction of the air pollution control equipment; or any periods during which a continuous monitoring system or monitoring device is inoperative.</w:t>
      </w:r>
    </w:p>
    <w:p w:rsidR="6D658F2A" w:rsidP="47A3FCCD" w14:paraId="7AC47EDD" w14:textId="12361FE4">
      <w:pPr>
        <w:spacing w:before="240" w:beforeAutospacing="0" w:after="240" w:afterAutospacing="0"/>
        <w:ind w:left="0" w:right="0"/>
      </w:pPr>
      <w:r w:rsidRPr="47A3FCCD">
        <w:rPr>
          <w:rFonts w:ascii="Aptos" w:eastAsia="Aptos" w:hAnsi="Aptos" w:cs="Aptos"/>
          <w:noProof w:val="0"/>
          <w:sz w:val="24"/>
          <w:szCs w:val="24"/>
          <w:lang w:val="en-US"/>
        </w:rPr>
        <w:t>(f) Any owner or operator subject to the provisions of this part shall maintain a file of all measurements, including continuous monitoring system, monitoring device, and performance testing measurements; all continuous monitoring system performance evaluations; all continuous monitoring system or monitoring device calibration checks; adjustments and maintenance performed on these systems or devices; and all other information required by this part recorded in a permanent form suitable for inspection. The file shall be retained for at least two years following the date of such measurements, maintenance, reports, and records, except as follows:</w:t>
      </w:r>
    </w:p>
    <w:p w:rsidR="6D658F2A" w:rsidP="47A3FCCD" w14:paraId="663AD8B5" w14:textId="6B591AA5">
      <w:pPr>
        <w:spacing w:before="240" w:beforeAutospacing="0" w:after="240" w:afterAutospacing="0"/>
        <w:ind w:left="360" w:right="0"/>
      </w:pPr>
      <w:r w:rsidRPr="47A3FCCD">
        <w:rPr>
          <w:rFonts w:ascii="Aptos" w:eastAsia="Aptos" w:hAnsi="Aptos" w:cs="Aptos"/>
          <w:noProof w:val="0"/>
          <w:sz w:val="24"/>
          <w:szCs w:val="24"/>
          <w:lang w:val="en-US"/>
        </w:rPr>
        <w:t xml:space="preserve">(1) This paragraph applies to owners or operators required to install a continuous emissions monitoring system (CEMS) where the CEMS installed is automated, and where the calculated data averages do not exclude periods of CEMS breakdown or malfunction. An automated CEMS records and reduces the measured data to the form of the pollutant emission standard through the use of a computerized data acquisition system. In lieu of maintaining a file of all CEMS subhourly measurements as required under </w:t>
      </w:r>
      <w:hyperlink r:id="rId10" w:anchor="p-60.7(f)">
        <w:r w:rsidRPr="47A3FCCD">
          <w:rPr>
            <w:rStyle w:val="Hyperlink"/>
            <w:rFonts w:ascii="Aptos" w:eastAsia="Aptos" w:hAnsi="Aptos" w:cs="Aptos"/>
            <w:noProof w:val="0"/>
            <w:sz w:val="24"/>
            <w:szCs w:val="24"/>
            <w:lang w:val="en-US"/>
          </w:rPr>
          <w:t>paragraph (f)</w:t>
        </w:r>
      </w:hyperlink>
      <w:r w:rsidRPr="47A3FCCD">
        <w:rPr>
          <w:rFonts w:ascii="Aptos" w:eastAsia="Aptos" w:hAnsi="Aptos" w:cs="Aptos"/>
          <w:noProof w:val="0"/>
          <w:sz w:val="24"/>
          <w:szCs w:val="24"/>
          <w:lang w:val="en-US"/>
        </w:rPr>
        <w:t xml:space="preserve"> of this section, the owner or operator shall retain the most recent consecutive three averaging periods of subhourly measurements and a file that contains a hard copy of the data acquisition system algorithm used to reduce the measured data into the reportable form of the standard.</w:t>
      </w:r>
    </w:p>
    <w:p w:rsidR="6D658F2A" w:rsidP="47A3FCCD" w14:paraId="4895FD99" w14:textId="05FDDF2A">
      <w:pPr>
        <w:spacing w:before="240" w:beforeAutospacing="0" w:after="240" w:afterAutospacing="0"/>
        <w:ind w:left="360" w:right="0"/>
      </w:pPr>
      <w:r w:rsidRPr="47A3FCCD">
        <w:rPr>
          <w:rFonts w:ascii="Aptos" w:eastAsia="Aptos" w:hAnsi="Aptos" w:cs="Aptos"/>
          <w:noProof w:val="0"/>
          <w:sz w:val="24"/>
          <w:szCs w:val="24"/>
          <w:lang w:val="en-US"/>
        </w:rPr>
        <w:t xml:space="preserve">(2) This paragraph applies to owners or operators required to install a CEMS where the measured data is manually reduced to obtain the reportable form of the standard, and where the calculated data averages do not exclude periods of CEMS breakdown or malfunction. In lieu of maintaining a file of all CEMS subhourly measurements as required under </w:t>
      </w:r>
      <w:hyperlink r:id="rId10" w:anchor="p-60.7(f)">
        <w:r w:rsidRPr="47A3FCCD">
          <w:rPr>
            <w:rStyle w:val="Hyperlink"/>
            <w:rFonts w:ascii="Aptos" w:eastAsia="Aptos" w:hAnsi="Aptos" w:cs="Aptos"/>
            <w:noProof w:val="0"/>
            <w:sz w:val="24"/>
            <w:szCs w:val="24"/>
            <w:lang w:val="en-US"/>
          </w:rPr>
          <w:t>paragraph (f)</w:t>
        </w:r>
      </w:hyperlink>
      <w:r w:rsidRPr="47A3FCCD">
        <w:rPr>
          <w:rFonts w:ascii="Aptos" w:eastAsia="Aptos" w:hAnsi="Aptos" w:cs="Aptos"/>
          <w:noProof w:val="0"/>
          <w:sz w:val="24"/>
          <w:szCs w:val="24"/>
          <w:lang w:val="en-US"/>
        </w:rPr>
        <w:t xml:space="preserve"> of this section, the owner or operator shall retain all subhourly measurements for the most recent reporting period. The subhourly measurements shall be retained for 120 days from the date of the most recent summary or excess emission report submitted to the Administrator.</w:t>
      </w:r>
    </w:p>
    <w:p w:rsidR="6D658F2A" w:rsidP="47A3FCCD" w14:paraId="512BF921" w14:textId="195098DE">
      <w:pPr>
        <w:spacing w:before="240" w:beforeAutospacing="0" w:after="240" w:afterAutospacing="0"/>
        <w:ind w:left="360" w:right="0"/>
      </w:pPr>
      <w:r w:rsidRPr="47A3FCCD">
        <w:rPr>
          <w:rFonts w:ascii="Aptos" w:eastAsia="Aptos" w:hAnsi="Aptos" w:cs="Aptos"/>
          <w:noProof w:val="0"/>
          <w:sz w:val="24"/>
          <w:szCs w:val="24"/>
          <w:lang w:val="en-US"/>
        </w:rPr>
        <w:t xml:space="preserve">(3) The Administrator or delegated authority, upon notification to the source, may require the owner or operator to maintain all measurements as required by </w:t>
      </w:r>
      <w:hyperlink r:id="rId10" w:anchor="p-60.7(f)">
        <w:r w:rsidRPr="47A3FCCD">
          <w:rPr>
            <w:rStyle w:val="Hyperlink"/>
            <w:rFonts w:ascii="Aptos" w:eastAsia="Aptos" w:hAnsi="Aptos" w:cs="Aptos"/>
            <w:noProof w:val="0"/>
            <w:sz w:val="24"/>
            <w:szCs w:val="24"/>
            <w:lang w:val="en-US"/>
          </w:rPr>
          <w:t>paragraph (f)</w:t>
        </w:r>
      </w:hyperlink>
      <w:r w:rsidRPr="47A3FCCD">
        <w:rPr>
          <w:rFonts w:ascii="Aptos" w:eastAsia="Aptos" w:hAnsi="Aptos" w:cs="Aptos"/>
          <w:noProof w:val="0"/>
          <w:sz w:val="24"/>
          <w:szCs w:val="24"/>
          <w:lang w:val="en-US"/>
        </w:rPr>
        <w:t xml:space="preserve"> of this section, if the Administrator or the delegated authority determines these records are required to more accurately assess the compliance status of the affected source.</w:t>
      </w:r>
    </w:p>
    <w:p w:rsidR="47A3FCCD" w:rsidP="47A3FCCD" w14:paraId="1F248A31" w14:textId="601FBA20">
      <w:pPr>
        <w:spacing w:before="240" w:beforeAutospacing="0" w:after="240" w:afterAutospacing="0"/>
        <w:ind w:left="360" w:right="0"/>
        <w:rPr>
          <w:rFonts w:ascii="Aptos" w:eastAsia="Aptos" w:hAnsi="Aptos" w:cs="Aptos"/>
          <w:noProof w:val="0"/>
          <w:sz w:val="24"/>
          <w:szCs w:val="24"/>
          <w:lang w:val="en-US"/>
        </w:rPr>
      </w:pPr>
    </w:p>
    <w:p w:rsidR="6D658F2A" w:rsidP="6D40EADC" w14:paraId="7F242B1B" w14:textId="77C304FE">
      <w:pPr>
        <w:pStyle w:val="Heading2"/>
        <w:spacing w:before="299" w:beforeAutospacing="0" w:after="299" w:afterAutospacing="0"/>
      </w:pPr>
      <w:r w:rsidRPr="6D40EADC">
        <w:rPr>
          <w:rFonts w:ascii="Aptos" w:eastAsia="Aptos" w:hAnsi="Aptos" w:cs="Aptos"/>
          <w:b/>
          <w:bCs/>
          <w:noProof w:val="0"/>
          <w:sz w:val="36"/>
          <w:szCs w:val="36"/>
          <w:lang w:val="en-US"/>
        </w:rPr>
        <w:t>§ 60.8 Performance tests.</w:t>
      </w:r>
    </w:p>
    <w:p w:rsidR="6D658F2A" w:rsidP="6D40EADC" w14:paraId="37575C23" w14:textId="28C8D82A">
      <w:pPr>
        <w:spacing w:before="240" w:beforeAutospacing="0" w:after="240" w:afterAutospacing="0"/>
        <w:ind w:left="180" w:right="0"/>
      </w:pPr>
      <w:r w:rsidRPr="6D40EADC">
        <w:rPr>
          <w:rFonts w:ascii="Aptos" w:eastAsia="Aptos" w:hAnsi="Aptos" w:cs="Aptos"/>
          <w:noProof w:val="0"/>
          <w:sz w:val="24"/>
          <w:szCs w:val="24"/>
          <w:lang w:val="en-US"/>
        </w:rPr>
        <w:t xml:space="preserve">(a) Except as specified in </w:t>
      </w:r>
      <w:hyperlink r:id="rId11" w:anchor="p-60.8(a)(1)">
        <w:r w:rsidRPr="6D40EADC">
          <w:rPr>
            <w:rStyle w:val="Hyperlink"/>
            <w:rFonts w:ascii="Aptos" w:eastAsia="Aptos" w:hAnsi="Aptos" w:cs="Aptos"/>
            <w:noProof w:val="0"/>
            <w:sz w:val="24"/>
            <w:szCs w:val="24"/>
            <w:lang w:val="en-US"/>
          </w:rPr>
          <w:t>paragraphs (a)(1)</w:t>
        </w:r>
      </w:hyperlink>
      <w:r w:rsidRPr="6D40EADC">
        <w:rPr>
          <w:rFonts w:ascii="Aptos" w:eastAsia="Aptos" w:hAnsi="Aptos" w:cs="Aptos"/>
          <w:noProof w:val="0"/>
          <w:sz w:val="24"/>
          <w:szCs w:val="24"/>
          <w:lang w:val="en-US"/>
        </w:rPr>
        <w:t>,</w:t>
      </w:r>
      <w:hyperlink r:id="rId11" w:anchor="p-60.8(a)(2)">
        <w:r w:rsidRPr="6D40EADC">
          <w:rPr>
            <w:rStyle w:val="Hyperlink"/>
            <w:rFonts w:ascii="Aptos" w:eastAsia="Aptos" w:hAnsi="Aptos" w:cs="Aptos"/>
            <w:noProof w:val="0"/>
            <w:sz w:val="24"/>
            <w:szCs w:val="24"/>
            <w:lang w:val="en-US"/>
          </w:rPr>
          <w:t>(a)(2)</w:t>
        </w:r>
      </w:hyperlink>
      <w:r w:rsidRPr="6D40EADC">
        <w:rPr>
          <w:rFonts w:ascii="Aptos" w:eastAsia="Aptos" w:hAnsi="Aptos" w:cs="Aptos"/>
          <w:noProof w:val="0"/>
          <w:sz w:val="24"/>
          <w:szCs w:val="24"/>
          <w:lang w:val="en-US"/>
        </w:rPr>
        <w:t xml:space="preserve">, </w:t>
      </w:r>
      <w:hyperlink r:id="rId11" w:anchor="p-60.8(a)(3)">
        <w:r w:rsidRPr="6D40EADC">
          <w:rPr>
            <w:rStyle w:val="Hyperlink"/>
            <w:rFonts w:ascii="Aptos" w:eastAsia="Aptos" w:hAnsi="Aptos" w:cs="Aptos"/>
            <w:noProof w:val="0"/>
            <w:sz w:val="24"/>
            <w:szCs w:val="24"/>
            <w:lang w:val="en-US"/>
          </w:rPr>
          <w:t>(a)(3)</w:t>
        </w:r>
      </w:hyperlink>
      <w:r w:rsidRPr="6D40EADC">
        <w:rPr>
          <w:rFonts w:ascii="Aptos" w:eastAsia="Aptos" w:hAnsi="Aptos" w:cs="Aptos"/>
          <w:noProof w:val="0"/>
          <w:sz w:val="24"/>
          <w:szCs w:val="24"/>
          <w:lang w:val="en-US"/>
        </w:rPr>
        <w:t xml:space="preserve">, and </w:t>
      </w:r>
      <w:hyperlink r:id="rId11" w:anchor="p-60.8(a)(4)">
        <w:r w:rsidRPr="6D40EADC">
          <w:rPr>
            <w:rStyle w:val="Hyperlink"/>
            <w:rFonts w:ascii="Aptos" w:eastAsia="Aptos" w:hAnsi="Aptos" w:cs="Aptos"/>
            <w:noProof w:val="0"/>
            <w:sz w:val="24"/>
            <w:szCs w:val="24"/>
            <w:lang w:val="en-US"/>
          </w:rPr>
          <w:t>(a)(4)</w:t>
        </w:r>
      </w:hyperlink>
      <w:r w:rsidRPr="6D40EADC">
        <w:rPr>
          <w:rFonts w:ascii="Aptos" w:eastAsia="Aptos" w:hAnsi="Aptos" w:cs="Aptos"/>
          <w:noProof w:val="0"/>
          <w:sz w:val="24"/>
          <w:szCs w:val="24"/>
          <w:lang w:val="en-US"/>
        </w:rPr>
        <w:t xml:space="preserve"> of this section, within 60 days after achieving the maximum production rate at which the affected facility will be operated, but not later than 180 days after initial startup of such facility, or at such other times specified by this part, and at such other times as may be required by the Administrator under section 114 of the Act, the owner or operator of such facility shall conduct performance test(s) and furnish the Administrator a written report of the results of such performance test(s).</w:t>
      </w:r>
    </w:p>
    <w:p w:rsidR="6D658F2A" w:rsidP="6D40EADC" w14:paraId="79CEC36F" w14:textId="61E88E55">
      <w:pPr>
        <w:spacing w:before="240" w:beforeAutospacing="0" w:after="240" w:afterAutospacing="0"/>
        <w:ind w:left="360" w:right="0"/>
      </w:pPr>
      <w:r w:rsidRPr="6D40EADC">
        <w:rPr>
          <w:rFonts w:ascii="Aptos" w:eastAsia="Aptos" w:hAnsi="Aptos" w:cs="Aptos"/>
          <w:noProof w:val="0"/>
          <w:sz w:val="24"/>
          <w:szCs w:val="24"/>
          <w:lang w:val="en-US"/>
        </w:rPr>
        <w:t>(1) If a force majeure is about to occur, occurs, or has occurred for which the affected owner or operator intends to assert a claim of force majeure, the owner or operator shall notify the Administrator, in writing as soon as practicable following the date the owner or operator first knew, or through due diligence should have known that the event may cause or caused a delay in testing beyond the regulatory deadline, but the notification must occur before the performance test deadline unless the initial force majeure or a subsequent force majeure event delays the notice, and in such cases, the notification shall occur as soon as practicable.</w:t>
      </w:r>
    </w:p>
    <w:p w:rsidR="6D658F2A" w:rsidP="6D40EADC" w14:paraId="0454E30C" w14:textId="70430182">
      <w:pPr>
        <w:spacing w:before="240" w:beforeAutospacing="0" w:after="240" w:afterAutospacing="0"/>
        <w:ind w:left="360" w:right="0"/>
      </w:pPr>
      <w:r w:rsidRPr="6D40EADC">
        <w:rPr>
          <w:rFonts w:ascii="Aptos" w:eastAsia="Aptos" w:hAnsi="Aptos" w:cs="Aptos"/>
          <w:noProof w:val="0"/>
          <w:sz w:val="24"/>
          <w:szCs w:val="24"/>
          <w:lang w:val="en-US"/>
        </w:rPr>
        <w:t>(2) The owner or operator shall provide to the Administrator a written description of the force majeure event and a rationale for attributing the delay in testing beyond the regulatory deadline to the force majeure; describe the measures taken or to be taken to minimize the delay; and identify a date by which the owner or operator proposes to conduct the performance test. The performance test shall be conducted as soon as practicable after the force majeure occurs.</w:t>
      </w:r>
    </w:p>
    <w:p w:rsidR="6D658F2A" w:rsidP="6D40EADC" w14:paraId="161D67C8" w14:textId="60C199A0">
      <w:pPr>
        <w:spacing w:before="240" w:beforeAutospacing="0" w:after="240" w:afterAutospacing="0"/>
        <w:ind w:left="360" w:right="0"/>
      </w:pPr>
      <w:r w:rsidRPr="6D40EADC">
        <w:rPr>
          <w:rFonts w:ascii="Aptos" w:eastAsia="Aptos" w:hAnsi="Aptos" w:cs="Aptos"/>
          <w:noProof w:val="0"/>
          <w:sz w:val="24"/>
          <w:szCs w:val="24"/>
          <w:lang w:val="en-US"/>
        </w:rPr>
        <w:t>(3) The decision as to whether or not to grant an extension to the performance test deadline is solely within the discretion of the Administrator. The Administrator will notify the owner or operator in writing of approval or disapproval of the request for an extension as soon as practicable.</w:t>
      </w:r>
    </w:p>
    <w:p w:rsidR="6D658F2A" w:rsidP="6D40EADC" w14:paraId="43CF8652" w14:textId="05B53C99">
      <w:pPr>
        <w:spacing w:before="240" w:beforeAutospacing="0" w:after="240" w:afterAutospacing="0"/>
        <w:ind w:left="360" w:right="0"/>
      </w:pPr>
      <w:r w:rsidRPr="6D40EADC">
        <w:rPr>
          <w:rFonts w:ascii="Aptos" w:eastAsia="Aptos" w:hAnsi="Aptos" w:cs="Aptos"/>
          <w:noProof w:val="0"/>
          <w:sz w:val="24"/>
          <w:szCs w:val="24"/>
          <w:lang w:val="en-US"/>
        </w:rPr>
        <w:t xml:space="preserve">(4) Until an extension of the performance test deadline has been approved by the Administrator under </w:t>
      </w:r>
      <w:hyperlink r:id="rId11" w:anchor="p-60.8(a)(1)">
        <w:r w:rsidRPr="6D40EADC">
          <w:rPr>
            <w:rStyle w:val="Hyperlink"/>
            <w:rFonts w:ascii="Aptos" w:eastAsia="Aptos" w:hAnsi="Aptos" w:cs="Aptos"/>
            <w:noProof w:val="0"/>
            <w:sz w:val="24"/>
            <w:szCs w:val="24"/>
            <w:lang w:val="en-US"/>
          </w:rPr>
          <w:t>paragraphs (a)(1)</w:t>
        </w:r>
      </w:hyperlink>
      <w:r w:rsidRPr="6D40EADC">
        <w:rPr>
          <w:rFonts w:ascii="Aptos" w:eastAsia="Aptos" w:hAnsi="Aptos" w:cs="Aptos"/>
          <w:noProof w:val="0"/>
          <w:sz w:val="24"/>
          <w:szCs w:val="24"/>
          <w:lang w:val="en-US"/>
        </w:rPr>
        <w:t xml:space="preserve">, </w:t>
      </w:r>
      <w:hyperlink r:id="rId11" w:anchor="p-60.8(a)(2)">
        <w:r w:rsidRPr="6D40EADC">
          <w:rPr>
            <w:rStyle w:val="Hyperlink"/>
            <w:rFonts w:ascii="Aptos" w:eastAsia="Aptos" w:hAnsi="Aptos" w:cs="Aptos"/>
            <w:noProof w:val="0"/>
            <w:sz w:val="24"/>
            <w:szCs w:val="24"/>
            <w:lang w:val="en-US"/>
          </w:rPr>
          <w:t>(2)</w:t>
        </w:r>
      </w:hyperlink>
      <w:r w:rsidRPr="6D40EADC">
        <w:rPr>
          <w:rFonts w:ascii="Aptos" w:eastAsia="Aptos" w:hAnsi="Aptos" w:cs="Aptos"/>
          <w:noProof w:val="0"/>
          <w:sz w:val="24"/>
          <w:szCs w:val="24"/>
          <w:lang w:val="en-US"/>
        </w:rPr>
        <w:t xml:space="preserve">, and </w:t>
      </w:r>
      <w:hyperlink r:id="rId11" w:anchor="p-60.8(a)(3)">
        <w:r w:rsidRPr="6D40EADC">
          <w:rPr>
            <w:rStyle w:val="Hyperlink"/>
            <w:rFonts w:ascii="Aptos" w:eastAsia="Aptos" w:hAnsi="Aptos" w:cs="Aptos"/>
            <w:noProof w:val="0"/>
            <w:sz w:val="24"/>
            <w:szCs w:val="24"/>
            <w:lang w:val="en-US"/>
          </w:rPr>
          <w:t>(3)</w:t>
        </w:r>
      </w:hyperlink>
      <w:r w:rsidRPr="6D40EADC">
        <w:rPr>
          <w:rFonts w:ascii="Aptos" w:eastAsia="Aptos" w:hAnsi="Aptos" w:cs="Aptos"/>
          <w:noProof w:val="0"/>
          <w:sz w:val="24"/>
          <w:szCs w:val="24"/>
          <w:lang w:val="en-US"/>
        </w:rPr>
        <w:t xml:space="preserve"> of this section, the owner or operator of the affected facility remains strictly subject to the requirements of this part.</w:t>
      </w:r>
    </w:p>
    <w:p w:rsidR="6D658F2A" w:rsidP="6D40EADC" w14:paraId="26756B20" w14:textId="27CEC9A6">
      <w:pPr>
        <w:spacing w:before="240" w:beforeAutospacing="0" w:after="240" w:afterAutospacing="0"/>
        <w:ind w:left="180" w:right="0"/>
      </w:pPr>
      <w:r w:rsidRPr="6D40EADC">
        <w:rPr>
          <w:rFonts w:ascii="Aptos" w:eastAsia="Aptos" w:hAnsi="Aptos" w:cs="Aptos"/>
          <w:noProof w:val="0"/>
          <w:sz w:val="24"/>
          <w:szCs w:val="24"/>
          <w:lang w:val="en-US"/>
        </w:rPr>
        <w:t>(c) Performance tests shall be conducted under such conditions as the Administrator shall specify to the plant operator based on representative performance of the affected facility. The owner or operator shall make available to the Administrator such records as may be necessary to determine the conditions of the performance tests. Operations during periods of startup, shutdown, and malfunction shall not constitute representative conditions for the purpose of a performance test nor shall emissions in excess of the level of the applicable emission limit during periods of startup, shutdown, and malfunction be considered a violation of the applicable emission limit unless otherwise specified in the applicable standard.</w:t>
      </w:r>
    </w:p>
    <w:p w:rsidR="6D658F2A" w:rsidP="6D40EADC" w14:paraId="6D6FF8C0" w14:textId="1620205F">
      <w:pPr>
        <w:spacing w:before="240" w:beforeAutospacing="0" w:after="240" w:afterAutospacing="0"/>
        <w:ind w:left="180" w:right="0"/>
      </w:pPr>
      <w:r w:rsidRPr="6D40EADC">
        <w:rPr>
          <w:rFonts w:ascii="Aptos" w:eastAsia="Aptos" w:hAnsi="Aptos" w:cs="Aptos"/>
          <w:noProof w:val="0"/>
          <w:sz w:val="24"/>
          <w:szCs w:val="24"/>
          <w:lang w:val="en-US"/>
        </w:rPr>
        <w:t xml:space="preserve">(d) The owner or operator of an affected facility shall provide the Administrator at least 30 days prior notice of any performance test, except as specified under other subparts, to afford the Administrator the opportunity to have an observer present. If after </w:t>
      </w:r>
      <w:r w:rsidRPr="6D40EADC">
        <w:rPr>
          <w:rFonts w:ascii="Aptos" w:eastAsia="Aptos" w:hAnsi="Aptos" w:cs="Aptos"/>
          <w:noProof w:val="0"/>
          <w:sz w:val="24"/>
          <w:szCs w:val="24"/>
          <w:lang w:val="en-US"/>
        </w:rPr>
        <w:t>30 days</w:t>
      </w:r>
      <w:r w:rsidRPr="6D40EADC">
        <w:rPr>
          <w:rFonts w:ascii="Aptos" w:eastAsia="Aptos" w:hAnsi="Aptos" w:cs="Aptos"/>
          <w:noProof w:val="0"/>
          <w:sz w:val="24"/>
          <w:szCs w:val="24"/>
          <w:lang w:val="en-US"/>
        </w:rPr>
        <w:t xml:space="preserve"> notice for an initially scheduled performance test, there is a delay (due to operational problems, etc.) in conducting the scheduled performance test, the owner or operator of an affected facility shall notify the Administrator (or delegated State or local agency) as soon as possible of any delay in the original test date, either by providing at least 7 days prior notice of the rescheduled date of the performance test, or by arranging a rescheduled date with the Administrator (or delegated State or local agency) by mutual agreement.</w:t>
      </w:r>
    </w:p>
    <w:p w:rsidR="6D40EADC" w:rsidP="6D40EADC" w14:paraId="087319A5" w14:textId="46567E71">
      <w:pPr>
        <w:spacing w:before="240" w:beforeAutospacing="0" w:after="240" w:afterAutospacing="0"/>
        <w:ind w:left="180" w:right="0"/>
        <w:rPr>
          <w:rFonts w:ascii="Aptos" w:eastAsia="Aptos" w:hAnsi="Aptos" w:cs="Aptos"/>
          <w:noProof w:val="0"/>
          <w:sz w:val="24"/>
          <w:szCs w:val="24"/>
          <w:lang w:val="en-US"/>
        </w:rPr>
      </w:pPr>
    </w:p>
    <w:p w:rsidR="036A9CB6" w:rsidP="6D40EADC" w14:paraId="58E94071" w14:textId="04AE0A73">
      <w:pPr>
        <w:pStyle w:val="Heading2"/>
        <w:spacing w:before="299" w:beforeAutospacing="0" w:after="299" w:afterAutospacing="0"/>
      </w:pPr>
      <w:r w:rsidRPr="6D40EADC">
        <w:rPr>
          <w:rFonts w:ascii="Aptos" w:eastAsia="Aptos" w:hAnsi="Aptos" w:cs="Aptos"/>
          <w:b/>
          <w:bCs/>
          <w:noProof w:val="0"/>
          <w:sz w:val="36"/>
          <w:szCs w:val="36"/>
          <w:lang w:val="en-US"/>
        </w:rPr>
        <w:t>§ 60.53 Monitoring of operations.</w:t>
      </w:r>
    </w:p>
    <w:p w:rsidR="036A9CB6" w:rsidP="6D40EADC" w14:paraId="65D5DA5C" w14:textId="12BB9080">
      <w:pPr>
        <w:spacing w:before="240" w:beforeAutospacing="0" w:after="240" w:afterAutospacing="0"/>
        <w:ind w:left="180" w:right="0"/>
      </w:pPr>
      <w:r w:rsidRPr="6D40EADC">
        <w:rPr>
          <w:rFonts w:ascii="Aptos" w:eastAsia="Aptos" w:hAnsi="Aptos" w:cs="Aptos"/>
          <w:noProof w:val="0"/>
          <w:sz w:val="24"/>
          <w:szCs w:val="24"/>
          <w:lang w:val="en-US"/>
        </w:rPr>
        <w:t>(a) The owner or operator of any incinerator subject to the provisions of this part shall record the daily charging rates and hours of operation.</w:t>
      </w:r>
    </w:p>
    <w:p w:rsidR="6D40EADC" w:rsidP="6D40EADC" w14:paraId="58772166" w14:textId="2E3E19BB">
      <w:pPr>
        <w:spacing w:before="240" w:beforeAutospacing="0" w:after="240" w:afterAutospacing="0"/>
        <w:ind w:left="180" w:right="0"/>
        <w:rPr>
          <w:rFonts w:ascii="Aptos" w:eastAsia="Aptos" w:hAnsi="Aptos" w:cs="Aptos"/>
          <w:noProof w:val="0"/>
          <w:sz w:val="24"/>
          <w:szCs w:val="24"/>
          <w:lang w:val="en-US"/>
        </w:rPr>
      </w:pPr>
    </w:p>
    <w:p w:rsidR="6D40EADC" w:rsidP="6D40EADC" w14:paraId="171F1948" w14:textId="152C8892">
      <w:pPr>
        <w:spacing w:before="240" w:beforeAutospacing="0" w:after="240" w:afterAutospacing="0"/>
        <w:ind w:left="360" w:right="0"/>
        <w:rPr>
          <w:rFonts w:ascii="Aptos" w:eastAsia="Aptos" w:hAnsi="Aptos" w:cs="Aptos"/>
          <w:noProof w:val="0"/>
          <w:sz w:val="24"/>
          <w:szCs w:val="24"/>
          <w:lang w:val="en-US"/>
        </w:rPr>
      </w:pPr>
    </w:p>
    <w:p w:rsidR="47A3FCCD" w:rsidP="47A3FCCD" w14:paraId="30E024A3" w14:textId="094D7921">
      <w:pPr>
        <w:spacing w:before="240" w:beforeAutospacing="0" w:after="240" w:afterAutospacing="0"/>
        <w:ind w:left="0" w:right="0"/>
        <w:rPr>
          <w:rFonts w:ascii="Aptos" w:eastAsia="Aptos" w:hAnsi="Aptos" w:cs="Aptos"/>
          <w:noProof w:val="0"/>
          <w:sz w:val="24"/>
          <w:szCs w:val="24"/>
          <w:lang w:val="en-US"/>
        </w:rPr>
      </w:pPr>
    </w:p>
    <w:p w14:paraId="2C078E63" w14:textId="4CF2D3C4"/>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E0FE26"/>
    <w:rsid w:val="036A9CB6"/>
    <w:rsid w:val="0CE0FE26"/>
    <w:rsid w:val="47A3FCCD"/>
    <w:rsid w:val="6D40EADC"/>
    <w:rsid w:val="6D658F2A"/>
    <w:rsid w:val="70C9FF33"/>
    <w:rsid w:val="75AD04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E0FE26"/>
  <w15:chartTrackingRefBased/>
  <w15:docId w15:val="{272A5F81-C7F3-433E-9F3E-25474761D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uiPriority w:val="9"/>
    <w:unhideWhenUsed/>
    <w:qFormat/>
    <w:rsid w:val="75AD04D3"/>
    <w:pPr>
      <w:keepNext/>
      <w:keepLines/>
      <w:spacing w:before="160" w:after="80"/>
      <w:outlineLvl w:val="1"/>
    </w:pPr>
    <w:rPr>
      <w:rFonts w:asciiTheme="majorAscii" w:eastAsiaTheme="majorEastAsia" w:hAnsiTheme="majorAscii" w:cstheme="majorBidi"/>
      <w:color w:val="0F4761" w:themeColor="accent1" w:themeShade="BF" w:themeTint="F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75AD04D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40/section-60.7" TargetMode="External" /><Relationship Id="rId11" Type="http://schemas.openxmlformats.org/officeDocument/2006/relationships/hyperlink" Target="https://www.ecfr.gov/current/title-40/section-60.8" TargetMode="Externa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40/section-60.15" TargetMode="External" /><Relationship Id="rId9" Type="http://schemas.openxmlformats.org/officeDocument/2006/relationships/hyperlink" Target="https://www.ecfr.gov/current/title-40/section-60.14" TargetMode="External"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2025-08-20T14:24:59+00:00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0CF5D69D-E571-4862-AC1D-DBF04E8E93FB}">
  <ds:schemaRefs/>
</ds:datastoreItem>
</file>

<file path=customXml/itemProps2.xml><?xml version="1.0" encoding="utf-8"?>
<ds:datastoreItem xmlns:ds="http://schemas.openxmlformats.org/officeDocument/2006/customXml" ds:itemID="{E009DA6F-8731-4802-9F13-85C97486D79D}">
  <ds:schemaRefs/>
</ds:datastoreItem>
</file>

<file path=customXml/itemProps3.xml><?xml version="1.0" encoding="utf-8"?>
<ds:datastoreItem xmlns:ds="http://schemas.openxmlformats.org/officeDocument/2006/customXml" ds:itemID="{EB1C82FA-9AFF-4C1B-87CB-3310F2805E01}">
  <ds:schemaRefs/>
</ds:datastoreItem>
</file>

<file path=customXml/itemProps4.xml><?xml version="1.0" encoding="utf-8"?>
<ds:datastoreItem xmlns:ds="http://schemas.openxmlformats.org/officeDocument/2006/customXml" ds:itemID="{FEAA645B-CA6D-48FB-9A12-03AF7EC89E2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Kylie Arnold</dc:creator>
  <cp:lastModifiedBy>Kylie Arnold</cp:lastModifiedBy>
  <cp:revision>0</cp:revision>
  <dcterms:created xsi:type="dcterms:W3CDTF">2025-08-12T11:58:03Z</dcterms:created>
  <dcterms:modified xsi:type="dcterms:W3CDTF">2025-08-12T12:07:44Z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MediaServiceImageTags">
    <vt:lpwstr/>
  </property>
</Properties>
</file>