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6B9E7CB3" w14:paraId="7B82FD92" w14:textId="36B3C896">
      <w:r w:rsidRPr="6B9E7CB3">
        <w:rPr>
          <w:b/>
          <w:bCs/>
        </w:rPr>
        <w:t>Title:</w:t>
      </w:r>
      <w:r w:rsidRPr="6B9E7CB3" w:rsidR="001F34A5">
        <w:t xml:space="preserve"> </w:t>
      </w:r>
      <w:r w:rsidRPr="6B9E7CB3" w:rsidR="00A73167">
        <w:t>NSPS for Stationary Gas Turbines (40 CFR Part 60, Subpart GG)</w:t>
      </w:r>
      <w:r w:rsidR="00BA0484">
        <w:t xml:space="preserve"> (Renewal)</w:t>
      </w:r>
    </w:p>
    <w:p w:rsidR="00EE2403" w:rsidRPr="00BB3410" w:rsidP="00BB432F" w14:paraId="71D5121E" w14:textId="24C2858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4F2B9D" w:rsidR="004F2B9D">
        <w:rPr>
          <w:rFonts w:cstheme="minorHAnsi"/>
        </w:rPr>
        <w:t>2060-0028</w:t>
      </w:r>
    </w:p>
    <w:p w:rsidR="00EE2403" w:rsidRPr="00BB3410" w:rsidP="00ED57A4" w14:paraId="4FB77BCA" w14:textId="5588D98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4F2B9D" w:rsidR="004F2B9D">
        <w:rPr>
          <w:rFonts w:cstheme="minorHAnsi"/>
        </w:rPr>
        <w:t>1071.16</w:t>
      </w:r>
    </w:p>
    <w:p w:rsidR="00D07CAB" w:rsidP="00D07CAB" w14:paraId="277C4F2E" w14:textId="251FB1EB">
      <w:pPr>
        <w:spacing w:before="240"/>
      </w:pPr>
      <w:r w:rsidRPr="4BDBF0A0">
        <w:rPr>
          <w:b/>
          <w:bCs/>
        </w:rPr>
        <w:t>Abstract:</w:t>
      </w:r>
      <w:r w:rsidRPr="4BDBF0A0" w:rsidR="00BB432F">
        <w:t xml:space="preserve"> </w:t>
      </w:r>
      <w:r>
        <w:t xml:space="preserve">The New Source Performance Standards (NSPS) for Stationary Gas Turbines (40 CFR Part 60, Subpart GG) were promulgated on September 10, 1979; and last-amended on February 27, 2014. These regulations apply to both existing facilities and new facilities that have stationary gas turbines with a heat input at peak load equal or greater than 10.7 gigajoules per hour (based on the lower heating value of the fuel fired). There are no new facilities under this subpart, as any facility which commenced either construction, or modification, or reconstruction after February 18, </w:t>
      </w:r>
      <w:r>
        <w:t>2005</w:t>
      </w:r>
      <w:r>
        <w:t xml:space="preserve"> is subject to the NSPS for Stationary Combustion Turbines (40 CFR Part 60, Subpart KKKK). This information is being collected to assure compliance with 40 CFR Part 60, Subpart GG. </w:t>
      </w:r>
    </w:p>
    <w:p w:rsidR="00BB432F" w:rsidRPr="00161782" w:rsidP="00D07CAB" w14:paraId="6A3E928D" w14:textId="1BF6B014">
      <w:pPr>
        <w:spacing w:before="240"/>
      </w:pPr>
      <w: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w:t>
      </w:r>
      <w:r w:rsidRPr="00161782">
        <w:t xml:space="preserve">essential in determining compliance, and are required of all affected facilities subject to NSPS. </w:t>
      </w:r>
    </w:p>
    <w:p w:rsidR="00EA1F47" w:rsidRPr="00161782" w:rsidP="00EA1F47" w14:paraId="20B50ADC" w14:textId="77777777">
      <w:pPr>
        <w:spacing w:before="240"/>
      </w:pPr>
      <w:r w:rsidRPr="00161782">
        <w:t xml:space="preserve">The active (previous) ICR had the following Terms of Clearance (TOC): </w:t>
      </w:r>
    </w:p>
    <w:p w:rsidR="00313B52" w:rsidRPr="00161782" w:rsidP="00EF231F" w14:paraId="0FD25C9A" w14:textId="7549702F">
      <w:pPr>
        <w:spacing w:before="240"/>
        <w:ind w:left="360" w:right="360"/>
      </w:pPr>
      <w:r w:rsidRPr="00161782">
        <w:t xml:space="preserve">This ICR request is approved for only one year due to failure to comply </w:t>
      </w:r>
      <w:r w:rsidRPr="00161782">
        <w:t>to</w:t>
      </w:r>
      <w:r w:rsidRPr="00161782">
        <w:t xml:space="preserve"> prior terms of clearance. In accordance with 5 CFR 1320, EPA is required to include the following information in its submission for information collection request review and approval: (1) supporting statements to show compliance with PRA requirements and other associated laws; (2) a description of the regulatory text applicable to the ICR including submission specifications; (3) a clear description of the data elements being collected under the ICR; (4) copies of the data collection instrument(s)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(7) discussion of how EPA addressed substantive concerns raised by respondents and other stakeholders during consultation and in response to comments received on FR notices. In addition, supporting statement A should use the standard 18 question SS-A format. More information can be found at </w:t>
      </w:r>
      <w:hyperlink r:id="rId9" w:history="1">
        <w:r w:rsidRPr="00161782">
          <w:rPr>
            <w:rStyle w:val="Hyperlink"/>
            <w:color w:val="auto"/>
          </w:rPr>
          <w:t>https://pra.digital.gov/clearance-process/supporting-statement/</w:t>
        </w:r>
      </w:hyperlink>
      <w:r w:rsidRPr="00161782">
        <w:t>.</w:t>
      </w:r>
    </w:p>
    <w:p w:rsidR="00FE1682" w:rsidRPr="00161782" w:rsidP="4BDBF0A0" w14:paraId="682A081B" w14:textId="0EEC9215">
      <w:pPr>
        <w:spacing w:before="240"/>
      </w:pPr>
      <w:r w:rsidRPr="00161782">
        <w:t xml:space="preserve">The relevant regulatory text is referenced in section 12(b) of this document. We have created a supplementary document including the regulatory text that describes the ICR requirements as identified in section 12(b) of this document as requested. This NSPS does not require electronic reporting, and the Agency has not developed specific reporting forms for </w:t>
      </w:r>
      <w:r w:rsidR="00305E4E">
        <w:t>this subpart</w:t>
      </w:r>
      <w:r w:rsidRPr="00161782">
        <w:t xml:space="preserve">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653D08" w:rsidP="00653D08" w14:paraId="37BCC543" w14:textId="7ACB58BB">
      <w:pPr>
        <w:pBdr>
          <w:top w:val="single" w:sz="6" w:space="0" w:color="FFFFFF"/>
          <w:left w:val="single" w:sz="6" w:space="0" w:color="FFFFFF"/>
          <w:bottom w:val="single" w:sz="6" w:space="0" w:color="FFFFFF"/>
          <w:right w:val="single" w:sz="6" w:space="0" w:color="FFFFFF"/>
        </w:pBdr>
      </w:pPr>
      <w:r w:rsidRPr="00653D08">
        <w:t xml:space="preserve">The EPA is charged under Section 111 of the Clean Air Act (CAA), as amended, to establish standards of performance for new stationary sources that reflect: </w:t>
      </w:r>
    </w:p>
    <w:p w:rsidR="00653D08" w:rsidRPr="00653D08" w:rsidP="00653D08" w14:paraId="7237EAA6" w14:textId="3B405EFC">
      <w:pPr>
        <w:pBdr>
          <w:top w:val="single" w:sz="6" w:space="0" w:color="FFFFFF"/>
          <w:left w:val="single" w:sz="6" w:space="0" w:color="FFFFFF"/>
          <w:bottom w:val="single" w:sz="6" w:space="0" w:color="FFFFFF"/>
          <w:right w:val="single" w:sz="6" w:space="0" w:color="FFFFFF"/>
        </w:pBdr>
        <w:ind w:left="1440" w:right="1440"/>
      </w:pPr>
      <w:r w:rsidRPr="00653D08">
        <w:rPr>
          <w:b/>
          <w:bCs/>
        </w:rPr>
        <w:t>. . .</w:t>
      </w:r>
      <w:r w:rsidRPr="00653D0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653D08" w:rsidRPr="00653D08" w:rsidP="00653D08" w14:paraId="674E972B" w14:textId="2B4F6F10">
      <w:pPr>
        <w:pBdr>
          <w:top w:val="single" w:sz="6" w:space="0" w:color="FFFFFF"/>
          <w:left w:val="single" w:sz="6" w:space="0" w:color="FFFFFF"/>
          <w:bottom w:val="single" w:sz="6" w:space="0" w:color="FFFFFF"/>
          <w:right w:val="single" w:sz="6" w:space="0" w:color="FFFFFF"/>
        </w:pBdr>
      </w:pPr>
      <w:r w:rsidRPr="00653D08">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653D08" w:rsidRPr="00653D08" w:rsidP="00653D08" w14:paraId="4D0A336C" w14:textId="77777777">
      <w:pPr>
        <w:pBdr>
          <w:top w:val="single" w:sz="6" w:space="0" w:color="FFFFFF"/>
          <w:left w:val="single" w:sz="6" w:space="0" w:color="FFFFFF"/>
          <w:bottom w:val="single" w:sz="6" w:space="0" w:color="FFFFFF"/>
          <w:right w:val="single" w:sz="6" w:space="0" w:color="FFFFFF"/>
        </w:pBdr>
        <w:ind w:left="1440" w:right="1440"/>
      </w:pPr>
      <w:r w:rsidRPr="00653D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53D08" w:rsidP="00A056A2" w14:paraId="1B63982B" w14:textId="59E2CDD9">
      <w:pPr>
        <w:pBdr>
          <w:top w:val="single" w:sz="6" w:space="0" w:color="FFFFFF"/>
          <w:left w:val="single" w:sz="6" w:space="0" w:color="FFFFFF"/>
          <w:bottom w:val="single" w:sz="6" w:space="0" w:color="FFFFFF"/>
          <w:right w:val="single" w:sz="6" w:space="0" w:color="FFFFFF"/>
        </w:pBdr>
        <w:rPr>
          <w:color w:val="000000"/>
        </w:rPr>
      </w:pPr>
      <w:r>
        <w:rPr>
          <w:color w:val="000000"/>
        </w:rPr>
        <w:t>In the Administrator's judgment,</w:t>
      </w:r>
      <w:r>
        <w:rPr>
          <w:color w:val="FF0000"/>
        </w:rPr>
        <w:t xml:space="preserve"> </w:t>
      </w:r>
      <w:r w:rsidRPr="004F57FF" w:rsidR="004F57FF">
        <w:t>sulfur dioxide (SO</w:t>
      </w:r>
      <w:r w:rsidRPr="003451F8" w:rsidR="004F57FF">
        <w:rPr>
          <w:vertAlign w:val="subscript"/>
        </w:rPr>
        <w:t>2</w:t>
      </w:r>
      <w:r w:rsidRPr="004F57FF" w:rsidR="004F57FF">
        <w:t xml:space="preserve">) and nitrogen </w:t>
      </w:r>
      <w:r w:rsidRPr="004F57FF" w:rsidR="004F57FF">
        <w:t>oxides</w:t>
      </w:r>
      <w:r w:rsidRPr="004F57FF" w:rsidR="004F57FF">
        <w:t xml:space="preserve"> (NO</w:t>
      </w:r>
      <w:r w:rsidRPr="003451F8" w:rsidR="003451F8">
        <w:rPr>
          <w:vertAlign w:val="subscript"/>
        </w:rPr>
        <w:t>X</w:t>
      </w:r>
      <w:r w:rsidRPr="004F57FF" w:rsidR="004F57FF">
        <w:t xml:space="preserve">) emissions from stationary gas turbines </w:t>
      </w:r>
      <w:r w:rsidRPr="004F57FF">
        <w:t>or c</w:t>
      </w:r>
      <w:r>
        <w:rPr>
          <w:color w:val="000000"/>
        </w:rPr>
        <w:t xml:space="preserve">ontribute to air pollution that may reasonably be anticipated to endanger public health or welfare. Therefore, the </w:t>
      </w:r>
      <w:r w:rsidRPr="00653D08">
        <w:t>NSPS</w:t>
      </w:r>
      <w:r>
        <w:rPr>
          <w:color w:val="FF0000"/>
        </w:rPr>
        <w:t xml:space="preserve"> </w:t>
      </w:r>
      <w:r>
        <w:rPr>
          <w:color w:val="000000"/>
        </w:rPr>
        <w:t xml:space="preserve">were promulgated for this source </w:t>
      </w:r>
      <w:r w:rsidRPr="0021482C">
        <w:rPr>
          <w:color w:val="000000"/>
        </w:rPr>
        <w:t xml:space="preserve">category at 40 CFR Part </w:t>
      </w:r>
      <w:r w:rsidR="00992FC7">
        <w:rPr>
          <w:color w:val="000000"/>
        </w:rPr>
        <w:t>60</w:t>
      </w:r>
      <w:r w:rsidR="0021482C">
        <w:rPr>
          <w:color w:val="000000"/>
        </w:rPr>
        <w:t>,</w:t>
      </w:r>
      <w:r>
        <w:rPr>
          <w:b/>
          <w:bCs/>
          <w:i/>
          <w:iCs/>
          <w:color w:val="000000"/>
        </w:rPr>
        <w:t xml:space="preserve"> </w:t>
      </w:r>
      <w:r>
        <w:rPr>
          <w:color w:val="000000"/>
        </w:rPr>
        <w:t xml:space="preserve">Subpart </w:t>
      </w:r>
      <w:r w:rsidR="0021482C">
        <w:t>GG.</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F42FB" w:rsidRPr="00EF42FB" w:rsidP="00EF42FB" w14:paraId="6D20B8C7" w14:textId="645F9734">
      <w:pPr>
        <w:pBdr>
          <w:top w:val="single" w:sz="6" w:space="0" w:color="FFFFFF"/>
          <w:left w:val="single" w:sz="6" w:space="0" w:color="FFFFFF"/>
          <w:bottom w:val="single" w:sz="6" w:space="0" w:color="FFFFFF"/>
          <w:right w:val="single" w:sz="6" w:space="0" w:color="FFFFFF"/>
        </w:pBdr>
        <w:rPr>
          <w:rFonts w:cstheme="minorHAnsi"/>
        </w:rPr>
      </w:pPr>
      <w:r w:rsidRPr="00EF42FB">
        <w:rPr>
          <w:rFonts w:cstheme="minorHAnsi"/>
        </w:rPr>
        <w:t xml:space="preserve">The recordkeeping and reporting requirements in these standards ensure compliance with the applicable regulations which were promulgated in accordance with the Clean Air Act. The </w:t>
      </w:r>
      <w:r w:rsidRPr="00EF42FB">
        <w:rPr>
          <w:rFonts w:cstheme="minorHAnsi"/>
        </w:rPr>
        <w:t>collected information</w:t>
      </w:r>
      <w:r w:rsidRPr="00EF42FB">
        <w:rPr>
          <w:rFonts w:cstheme="minorHAnsi"/>
        </w:rPr>
        <w:t xml:space="preserve"> is also used for targeting inspections and as evidence in legal proceedings. </w:t>
      </w:r>
    </w:p>
    <w:p w:rsidR="00EF42FB" w:rsidRPr="00EF42FB" w:rsidP="00EF42FB" w14:paraId="6435A1B6" w14:textId="7C1FBBE6">
      <w:pPr>
        <w:pBdr>
          <w:top w:val="single" w:sz="6" w:space="0" w:color="FFFFFF"/>
          <w:left w:val="single" w:sz="6" w:space="0" w:color="FFFFFF"/>
          <w:bottom w:val="single" w:sz="6" w:space="0" w:color="FFFFFF"/>
          <w:right w:val="single" w:sz="6" w:space="0" w:color="FFFFFF"/>
        </w:pBdr>
        <w:rPr>
          <w:rFonts w:cstheme="minorHAnsi"/>
        </w:rPr>
      </w:pPr>
      <w:r w:rsidRPr="00EF42FB">
        <w:rPr>
          <w:rFonts w:cstheme="minorHAnsi"/>
        </w:rPr>
        <w:t xml:space="preserve">Performance tests are required </w:t>
      </w:r>
      <w:r w:rsidRPr="00EF42FB">
        <w:rPr>
          <w:rFonts w:cstheme="minorHAnsi"/>
        </w:rPr>
        <w:t>in order to</w:t>
      </w:r>
      <w:r w:rsidRPr="00EF42FB">
        <w:rPr>
          <w:rFonts w:cstheme="minorHAnsi"/>
        </w:rPr>
        <w:t xml:space="preserve"> determine an affected facility’s initial capability to comply with these emission standards. Continuous emission monitors are used to </w:t>
      </w:r>
      <w:r w:rsidRPr="00EF42FB">
        <w:rPr>
          <w:rFonts w:cstheme="minorHAnsi"/>
        </w:rPr>
        <w:t>ensure compliance with these same standards at all times</w:t>
      </w:r>
      <w:r w:rsidRPr="00EF42FB">
        <w:rPr>
          <w:rFonts w:cstheme="minorHAnsi"/>
        </w:rPr>
        <w:t xml:space="preserve">. During the performance test a record of the operating parameters under which compliance was achieved may be recorded and used to determine compliance in place of a continuous emission monitor. </w:t>
      </w:r>
    </w:p>
    <w:p w:rsidR="00EF42FB" w:rsidRPr="00EF42FB" w:rsidP="00EF42FB" w14:paraId="49413726" w14:textId="24A99915">
      <w:pPr>
        <w:pBdr>
          <w:top w:val="single" w:sz="6" w:space="0" w:color="FFFFFF"/>
          <w:left w:val="single" w:sz="6" w:space="0" w:color="FFFFFF"/>
          <w:bottom w:val="single" w:sz="6" w:space="0" w:color="FFFFFF"/>
          <w:right w:val="single" w:sz="6" w:space="0" w:color="FFFFFF"/>
        </w:pBdr>
        <w:rPr>
          <w:rFonts w:cstheme="minorHAnsi"/>
        </w:rPr>
      </w:pPr>
      <w:r w:rsidRPr="00EF42FB">
        <w:rPr>
          <w:rFonts w:cstheme="minorHAnsi"/>
        </w:rPr>
        <w:t xml:space="preserve">The notifications required in these standards are used to inform the Agency or its delegated authority when a source becomes subject to the requirements of the regulations. The reviewing authority may then inspect the source to check if the pollution control devices are properly installed and operated, leaks are being detected and repaired, and that these standards are being met. The performance test may also be observed. </w:t>
      </w:r>
    </w:p>
    <w:p w:rsidR="00BB432F" w:rsidRPr="00EF42FB" w:rsidP="00854AAE" w14:paraId="1E879A61" w14:textId="1DC53D23">
      <w:pPr>
        <w:pBdr>
          <w:top w:val="single" w:sz="6" w:space="0" w:color="FFFFFF"/>
          <w:left w:val="single" w:sz="6" w:space="0" w:color="FFFFFF"/>
          <w:bottom w:val="single" w:sz="6" w:space="0" w:color="FFFFFF"/>
          <w:right w:val="single" w:sz="6" w:space="0" w:color="FFFFFF"/>
        </w:pBdr>
        <w:rPr>
          <w:rFonts w:cstheme="minorHAnsi"/>
        </w:rPr>
      </w:pPr>
      <w:r w:rsidRPr="00EF42FB">
        <w:rPr>
          <w:rFonts w:cstheme="minorHAnsi"/>
        </w:rPr>
        <w:t xml:space="preserve">The required semiannual reports are used to determine periods of excess emissions, identify problems at the facility, verify operation/maintenance procedures, </w:t>
      </w:r>
      <w:r w:rsidRPr="00EF42FB">
        <w:rPr>
          <w:rFonts w:cstheme="minorHAnsi"/>
        </w:rPr>
        <w:t>and for</w:t>
      </w:r>
      <w:r w:rsidRPr="00EF42FB">
        <w:rPr>
          <w:rFonts w:cstheme="minorHAnsi"/>
        </w:rPr>
        <w:t xml:space="preserve"> compliance determinations.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xml:space="preserve">, the information is sent through the EPA's CDX, using CEDRI, where the appropriate EPA regional office can review it, as well as state and local agencies that have been delegated authority. If a state or local agency has adopted under its own authority its </w:t>
      </w:r>
      <w:r w:rsidRPr="000459E3">
        <w:rPr>
          <w:shd w:val="clear" w:color="auto" w:fill="FFFFFF"/>
        </w:rPr>
        <w:t>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1A245FB8">
      <w:pPr>
        <w:rPr>
          <w:rFonts w:cstheme="minorHAnsi"/>
        </w:rPr>
      </w:pPr>
      <w:r w:rsidRPr="00F53A5A">
        <w:rPr>
          <w:rFonts w:cstheme="minorHAnsi"/>
        </w:rPr>
        <w:t>The majority of</w:t>
      </w:r>
      <w:r w:rsidRPr="00F53A5A">
        <w:rPr>
          <w:rFonts w:cstheme="minorHAnsi"/>
        </w:rPr>
        <w:t xml:space="preserve"> the respondents are large entities (i.e., large businesses). However, the impact on small entities (i.</w:t>
      </w:r>
      <w:r w:rsidRPr="00F53A5A">
        <w:rPr>
          <w:rFonts w:cstheme="minorHAnsi"/>
        </w:rPr>
        <w:t>e.,</w:t>
      </w:r>
      <w:r w:rsidRPr="00F53A5A">
        <w:rPr>
          <w:rFonts w:cstheme="minorHAnsi"/>
        </w:rPr>
        <w:t xml:space="preserv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Pr="00F53A5A" w:rsidR="00BB432F">
        <w:rPr>
          <w:rFonts w:cstheme="minorHAnsi"/>
        </w:rPr>
        <w:t>.</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w:t>
      </w:r>
      <w:r w:rsidRPr="001F0834">
        <w:rPr>
          <w:rFonts w:ascii="Calibri" w:hAnsi="Calibri" w:cs="Calibri"/>
          <w:i/>
          <w:iCs/>
          <w:color w:val="000000"/>
          <w:shd w:val="clear" w:color="auto" w:fill="FFFFFF"/>
        </w:rPr>
        <w:t>to</w:t>
      </w:r>
      <w:r w:rsidRPr="001F0834">
        <w:rPr>
          <w:rFonts w:ascii="Calibri" w:hAnsi="Calibri" w:cs="Calibri"/>
          <w:i/>
          <w:iCs/>
          <w:color w:val="000000"/>
          <w:shd w:val="clear" w:color="auto" w:fill="FFFFFF"/>
        </w:rPr>
        <w:t xml:space="preserve">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w:t>
      </w:r>
      <w:r w:rsidRPr="00A233E0">
        <w:rPr>
          <w:rFonts w:cstheme="minorHAnsi"/>
          <w:i/>
          <w:iCs/>
        </w:rPr>
        <w:t>describe actions taken by the Agency in response to these comments. Specifically address comments received on cost and hour burden.</w:t>
      </w:r>
    </w:p>
    <w:p w:rsidR="0093123F" w:rsidP="00854AAE" w14:paraId="08AC9840" w14:textId="6EC98B46">
      <w:pPr>
        <w:spacing w:before="120" w:after="0"/>
        <w:rPr>
          <w:rFonts w:cstheme="minorHAnsi"/>
          <w:color w:val="000000"/>
        </w:rPr>
      </w:pPr>
      <w:r w:rsidRPr="0093123F">
        <w:rPr>
          <w:rFonts w:cstheme="minorHAnsi"/>
          <w:color w:val="000000"/>
        </w:rPr>
        <w:t xml:space="preserve">An announcement of a public comment period for the renewal of this ICR was published in the Federal </w:t>
      </w:r>
      <w:r w:rsidRPr="00A86260">
        <w:rPr>
          <w:rFonts w:cstheme="minorHAnsi"/>
          <w:color w:val="000000"/>
        </w:rPr>
        <w:t>Register (</w:t>
      </w:r>
      <w:r w:rsidRPr="00A86260" w:rsidR="00A86260">
        <w:rPr>
          <w:rFonts w:cstheme="minorHAnsi"/>
        </w:rPr>
        <w:t>90 FR 25614) on June 17, 2025</w:t>
      </w:r>
      <w:r w:rsidRPr="00A86260">
        <w:rPr>
          <w:rFonts w:cstheme="minorHAnsi"/>
        </w:rPr>
        <w:t>.</w:t>
      </w:r>
      <w:r w:rsidRPr="0093123F">
        <w:rPr>
          <w:rFonts w:cstheme="minorHAnsi"/>
          <w:color w:val="000000"/>
        </w:rPr>
        <w:t xml:space="preserve"> </w:t>
      </w:r>
      <w:r w:rsidRPr="00D72853" w:rsidR="00D72853">
        <w:rPr>
          <w:rFonts w:cstheme="minorHAnsi"/>
          <w:color w:val="000000"/>
        </w:rPr>
        <w:t xml:space="preserve">One comment was received on the burden published in the Federal Register for this renewal. The commenter </w:t>
      </w:r>
      <w:r w:rsidR="00D72853">
        <w:rPr>
          <w:rFonts w:cstheme="minorHAnsi"/>
          <w:color w:val="000000"/>
        </w:rPr>
        <w:t>expressed support for the extension of this ICR</w:t>
      </w:r>
      <w:r w:rsidR="00FD6B9F">
        <w:rPr>
          <w:rFonts w:cstheme="minorHAnsi"/>
          <w:color w:val="000000"/>
        </w:rPr>
        <w:t xml:space="preserve"> so that</w:t>
      </w:r>
      <w:r w:rsidR="00286FC1">
        <w:rPr>
          <w:rFonts w:cstheme="minorHAnsi"/>
          <w:color w:val="000000"/>
        </w:rPr>
        <w:t xml:space="preserve"> </w:t>
      </w:r>
      <w:r w:rsidRPr="00FD6B9F" w:rsidR="00FD6B9F">
        <w:rPr>
          <w:rFonts w:cstheme="minorHAnsi"/>
          <w:color w:val="000000"/>
        </w:rPr>
        <w:t xml:space="preserve">the EPA can continue to gather information on stationary gas turbines and their impact on the environment. </w:t>
      </w:r>
      <w:r w:rsidR="00286FC1">
        <w:rPr>
          <w:rFonts w:cstheme="minorHAnsi"/>
          <w:color w:val="000000"/>
        </w:rPr>
        <w:t>The commenter further stated that t</w:t>
      </w:r>
      <w:r w:rsidRPr="00FD6B9F" w:rsidR="00FD6B9F">
        <w:rPr>
          <w:rFonts w:cstheme="minorHAnsi"/>
          <w:color w:val="000000"/>
        </w:rPr>
        <w:t>his information can be used to inform future policy decisions and ensure that emissions from these sources are minimized</w:t>
      </w:r>
      <w:r w:rsidR="002121C6">
        <w:rPr>
          <w:rFonts w:cstheme="minorHAnsi"/>
          <w:color w:val="000000"/>
        </w:rPr>
        <w:t xml:space="preserve">, and this will </w:t>
      </w:r>
      <w:r w:rsidRPr="00FD6B9F" w:rsidR="00FD6B9F">
        <w:rPr>
          <w:rFonts w:cstheme="minorHAnsi"/>
          <w:color w:val="000000"/>
        </w:rPr>
        <w:t>enable the EPA to make data-driven decisions that protect public health and the environment.</w:t>
      </w:r>
      <w:r w:rsidR="002121C6">
        <w:rPr>
          <w:rFonts w:cstheme="minorHAnsi"/>
          <w:color w:val="000000"/>
        </w:rPr>
        <w:t xml:space="preserve"> </w:t>
      </w:r>
      <w:r w:rsidR="005E0A0E">
        <w:rPr>
          <w:rFonts w:cstheme="minorHAnsi"/>
          <w:color w:val="000000"/>
        </w:rPr>
        <w:t>The commenter did not request changes or provide additional data for this ICR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73C6190B">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w:t>
      </w:r>
    </w:p>
    <w:p w:rsidR="0093123F" w:rsidRPr="00FE090D" w:rsidP="0093123F" w14:paraId="2523EFF7" w14:textId="330C3042">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007F651E" w:rsidR="00312552">
        <w:rPr>
          <w:rFonts w:cstheme="minorHAnsi"/>
        </w:rPr>
        <w:t>American Petroleum Institute</w:t>
      </w:r>
      <w:r w:rsidRPr="007F651E">
        <w:rPr>
          <w:rFonts w:cstheme="minorHAnsi"/>
        </w:rPr>
        <w:t xml:space="preserve"> at </w:t>
      </w:r>
      <w:r w:rsidRPr="007F651E" w:rsidR="007F651E">
        <w:rPr>
          <w:rFonts w:cstheme="minorHAnsi"/>
        </w:rPr>
        <w:t>(202) 682-8000</w:t>
      </w:r>
      <w:r w:rsidRPr="007F651E">
        <w:rPr>
          <w:rFonts w:cstheme="minorHAnsi"/>
        </w:rPr>
        <w:t>,</w:t>
      </w:r>
      <w:r w:rsidRPr="00FE090D">
        <w:rPr>
          <w:rFonts w:cstheme="minorHAnsi"/>
        </w:rPr>
        <w:t xml:space="preserve"> and </w:t>
      </w:r>
      <w:r>
        <w:rPr>
          <w:rFonts w:cstheme="minorHAnsi"/>
        </w:rPr>
        <w:t xml:space="preserve">the </w:t>
      </w:r>
      <w:r w:rsidRPr="007F7AB6" w:rsidR="00344DBF">
        <w:rPr>
          <w:rFonts w:cstheme="minorHAnsi"/>
        </w:rPr>
        <w:t xml:space="preserve">Electric Power Research </w:t>
      </w:r>
      <w:r w:rsidRPr="007F7AB6" w:rsidR="00A36CD0">
        <w:rPr>
          <w:rFonts w:cstheme="minorHAnsi"/>
        </w:rPr>
        <w:t>Institute</w:t>
      </w:r>
      <w:r w:rsidRPr="00FE090D">
        <w:rPr>
          <w:rFonts w:cstheme="minorHAnsi"/>
        </w:rPr>
        <w:t xml:space="preserve"> </w:t>
      </w:r>
      <w:r w:rsidRPr="007F7AB6">
        <w:rPr>
          <w:rFonts w:cstheme="minorHAnsi"/>
        </w:rPr>
        <w:t xml:space="preserve">at </w:t>
      </w:r>
      <w:r w:rsidRPr="007F7AB6" w:rsidR="007F7AB6">
        <w:rPr>
          <w:rFonts w:cstheme="minorHAnsi"/>
        </w:rPr>
        <w:t>(800) 313-3774</w:t>
      </w:r>
      <w:r w:rsidRPr="00FE090D">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w:t>
      </w:r>
      <w:r w:rsidRPr="00A233E0">
        <w:rPr>
          <w:rFonts w:cstheme="minorHAnsi"/>
          <w:i/>
          <w:iCs/>
        </w:rPr>
        <w:t xml:space="preserve">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38D7865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 xml:space="preserve">The respondents to the recordkeeping and reporting </w:t>
      </w:r>
      <w:r w:rsidRPr="00485DA2">
        <w:rPr>
          <w:rFonts w:cstheme="minorHAnsi"/>
          <w:color w:val="000000"/>
        </w:rPr>
        <w:t>requirements are</w:t>
      </w:r>
      <w:r w:rsidRPr="00485DA2" w:rsidR="00392274">
        <w:rPr>
          <w:rFonts w:cstheme="minorHAnsi"/>
          <w:color w:val="000000"/>
        </w:rPr>
        <w:t xml:space="preserve"> stationary gas turbines</w:t>
      </w:r>
      <w:r w:rsidRPr="00485DA2">
        <w:rPr>
          <w:rFonts w:cstheme="minorHAnsi"/>
          <w:color w:val="000000"/>
        </w:rPr>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15E641D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Pr="003D65AE">
              <w:rPr>
                <w:rFonts w:cstheme="minorHAnsi"/>
                <w:b/>
                <w:bCs/>
                <w:color w:val="000000"/>
              </w:rPr>
              <w:t>(</w:t>
            </w:r>
            <w:r w:rsidRPr="003D65AE" w:rsidR="00851082">
              <w:rPr>
                <w:rFonts w:cstheme="minorHAnsi"/>
                <w:b/>
                <w:bCs/>
                <w:color w:val="000000"/>
              </w:rPr>
              <w:t xml:space="preserve">40 CFR Part 60, Subpart </w:t>
            </w:r>
            <w:r w:rsidR="003D65AE">
              <w:rPr>
                <w:rFonts w:cstheme="minorHAnsi"/>
                <w:b/>
                <w:bCs/>
                <w:color w:val="000000"/>
              </w:rPr>
              <w:t>GG</w:t>
            </w:r>
            <w:r w:rsidRPr="00BB7977">
              <w:rPr>
                <w:rFonts w:cstheme="minorHAnsi"/>
                <w:b/>
                <w:bCs/>
                <w:color w:val="000000"/>
              </w:rPr>
              <w:t>)</w:t>
            </w:r>
          </w:p>
        </w:tc>
        <w:tc>
          <w:tcPr>
            <w:tcW w:w="2610" w:type="dxa"/>
            <w:tcBorders>
              <w:top w:val="single" w:sz="8" w:space="0" w:color="000000"/>
              <w:left w:val="single" w:sz="8" w:space="0" w:color="000000"/>
              <w:bottom w:val="single" w:sz="6" w:space="0" w:color="FFFFFF"/>
              <w:right w:val="single" w:sz="6" w:space="0" w:color="FFFFFF"/>
            </w:tcBorders>
          </w:tcPr>
          <w:p w:rsidR="00BB7977" w:rsidRPr="00BB7977" w:rsidP="00BB7977" w14:paraId="19989A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0E7837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BB7977" w:rsidRPr="00BB7977" w:rsidP="00BB7977" w14:paraId="34EC0D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5EDE42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5F1D3B" w:rsidRPr="00BB7977" w:rsidP="005F1D3B" w14:paraId="0C7C812D" w14:textId="7ABF4EB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E16FE">
              <w:rPr>
                <w:rFonts w:cstheme="minorHAnsi"/>
                <w:color w:val="000000"/>
              </w:rPr>
              <w:t>Other Food Crops Grown Under Cover</w:t>
            </w:r>
          </w:p>
        </w:tc>
        <w:tc>
          <w:tcPr>
            <w:tcW w:w="2610" w:type="dxa"/>
            <w:tcBorders>
              <w:top w:val="single" w:sz="8" w:space="0" w:color="000000"/>
              <w:left w:val="single" w:sz="8" w:space="0" w:color="000000"/>
              <w:bottom w:val="single" w:sz="6" w:space="0" w:color="FFFFFF"/>
              <w:right w:val="single" w:sz="6" w:space="0" w:color="FFFFFF"/>
            </w:tcBorders>
            <w:vAlign w:val="center"/>
          </w:tcPr>
          <w:p w:rsidR="005F1D3B" w:rsidRPr="00BB7977" w:rsidP="005F1D3B" w14:paraId="1F744FA6" w14:textId="39E1B01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0182</w:t>
            </w:r>
            <w:r>
              <w:rPr>
                <w:rStyle w:val="eop"/>
                <w:color w:val="000000"/>
              </w:rPr>
              <w:t> </w:t>
            </w:r>
          </w:p>
        </w:tc>
        <w:tc>
          <w:tcPr>
            <w:tcW w:w="2430" w:type="dxa"/>
            <w:tcBorders>
              <w:top w:val="single" w:sz="8" w:space="0" w:color="000000"/>
              <w:left w:val="single" w:sz="8" w:space="0" w:color="000000"/>
              <w:bottom w:val="single" w:sz="6" w:space="0" w:color="FFFFFF"/>
              <w:right w:val="single" w:sz="8" w:space="0" w:color="000000"/>
            </w:tcBorders>
            <w:vAlign w:val="center"/>
          </w:tcPr>
          <w:p w:rsidR="005F1D3B" w:rsidRPr="00BB7977" w:rsidP="005F1D3B" w14:paraId="4C2064E7" w14:textId="7AD45B5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111419</w:t>
            </w:r>
            <w:r>
              <w:rPr>
                <w:rStyle w:val="eop"/>
                <w:color w:val="000000"/>
              </w:rPr>
              <w:t> </w:t>
            </w:r>
          </w:p>
        </w:tc>
      </w:tr>
      <w:tr w14:paraId="1FBD6CA1"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5F1D3B" w:rsidRPr="00BB7977" w:rsidP="005F1D3B" w14:paraId="51380FF3" w14:textId="7F5AE63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62FE">
              <w:rPr>
                <w:rFonts w:cstheme="minorHAnsi"/>
                <w:color w:val="000000"/>
              </w:rPr>
              <w:t>Crude Petroleum Extraction</w:t>
            </w:r>
          </w:p>
        </w:tc>
        <w:tc>
          <w:tcPr>
            <w:tcW w:w="2610" w:type="dxa"/>
            <w:tcBorders>
              <w:top w:val="single" w:sz="8" w:space="0" w:color="000000"/>
              <w:left w:val="single" w:sz="8" w:space="0" w:color="000000"/>
              <w:bottom w:val="single" w:sz="6" w:space="0" w:color="FFFFFF"/>
              <w:right w:val="single" w:sz="6" w:space="0" w:color="FFFFFF"/>
            </w:tcBorders>
            <w:vAlign w:val="center"/>
          </w:tcPr>
          <w:p w:rsidR="005F1D3B" w:rsidRPr="00BB7977" w:rsidP="005F1D3B" w14:paraId="6EC8CF04" w14:textId="222D2A5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1311</w:t>
            </w:r>
            <w:r>
              <w:rPr>
                <w:rStyle w:val="eop"/>
                <w:color w:val="000000"/>
              </w:rPr>
              <w:t> </w:t>
            </w:r>
          </w:p>
        </w:tc>
        <w:tc>
          <w:tcPr>
            <w:tcW w:w="2430" w:type="dxa"/>
            <w:tcBorders>
              <w:top w:val="single" w:sz="8" w:space="0" w:color="000000"/>
              <w:left w:val="single" w:sz="8" w:space="0" w:color="000000"/>
              <w:bottom w:val="single" w:sz="6" w:space="0" w:color="FFFFFF"/>
              <w:right w:val="single" w:sz="8" w:space="0" w:color="000000"/>
            </w:tcBorders>
            <w:vAlign w:val="center"/>
          </w:tcPr>
          <w:p w:rsidR="005F1D3B" w:rsidRPr="00BB7977" w:rsidP="005F1D3B" w14:paraId="28BAC251" w14:textId="3FC0100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211120</w:t>
            </w:r>
            <w:r>
              <w:rPr>
                <w:rStyle w:val="eop"/>
                <w:color w:val="000000"/>
              </w:rPr>
              <w:t> </w:t>
            </w:r>
          </w:p>
        </w:tc>
      </w:tr>
      <w:tr w14:paraId="024792D2"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BB7977" w:rsidP="005F1D3B" w14:paraId="40FD0FBD" w14:textId="009138F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D75">
              <w:rPr>
                <w:rFonts w:cstheme="minorHAnsi"/>
                <w:color w:val="000000"/>
              </w:rPr>
              <w:t>Natural Gas Extraction</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4751A8CA" w14:textId="39BEFA9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1321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22C53323" w14:textId="463317F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211130</w:t>
            </w:r>
            <w:r>
              <w:rPr>
                <w:rStyle w:val="eop"/>
                <w:color w:val="000000"/>
              </w:rPr>
              <w:t> </w:t>
            </w:r>
          </w:p>
        </w:tc>
      </w:tr>
      <w:tr w14:paraId="73632731"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BB7977" w:rsidP="005F1D3B" w14:paraId="0ED8323F" w14:textId="1F34DA6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D75">
              <w:rPr>
                <w:rFonts w:cstheme="minorHAnsi"/>
                <w:color w:val="000000"/>
              </w:rPr>
              <w:t>Natural Gas Liquids Extraction</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170C57F5" w14:textId="6EA1482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1321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4F971DE8" w14:textId="312BF0A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211112</w:t>
            </w:r>
            <w:r>
              <w:rPr>
                <w:rStyle w:val="eop"/>
                <w:color w:val="000000"/>
              </w:rPr>
              <w:t> </w:t>
            </w:r>
          </w:p>
        </w:tc>
      </w:tr>
      <w:tr w14:paraId="55FF66ED"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3EF5708F" w14:textId="009CB6B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D75">
              <w:rPr>
                <w:rFonts w:cstheme="minorHAnsi"/>
                <w:color w:val="000000"/>
              </w:rPr>
              <w:t>Crushed and Broken Limestone Mining and Quarrying</w:t>
            </w:r>
            <w:r w:rsidR="001E1919">
              <w:rPr>
                <w:rFonts w:cstheme="minorHAnsi"/>
                <w:color w:val="000000"/>
              </w:rPr>
              <w:t xml:space="preserve"> </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68EBFD1B" w14:textId="3C59E85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1422</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4059F456" w14:textId="7DBCACF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212312</w:t>
            </w:r>
            <w:r>
              <w:rPr>
                <w:rStyle w:val="eop"/>
                <w:color w:val="000000"/>
              </w:rPr>
              <w:t> </w:t>
            </w:r>
          </w:p>
        </w:tc>
      </w:tr>
      <w:tr w14:paraId="7779CEC5"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52D4168B" w14:textId="0B3BF06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D75">
              <w:rPr>
                <w:rFonts w:cstheme="minorHAnsi"/>
                <w:color w:val="000000"/>
              </w:rPr>
              <w:t>All Other Specialty Trade Contractors</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2D71A957" w14:textId="603257D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1799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7C7A3615" w14:textId="4A440ED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238990</w:t>
            </w:r>
            <w:r>
              <w:rPr>
                <w:rStyle w:val="eop"/>
                <w:color w:val="000000"/>
              </w:rPr>
              <w:t> </w:t>
            </w:r>
          </w:p>
        </w:tc>
      </w:tr>
      <w:tr w14:paraId="249E7B60"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263F0F19" w14:textId="43FF019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D75">
              <w:rPr>
                <w:rFonts w:cstheme="minorHAnsi"/>
                <w:color w:val="000000"/>
              </w:rPr>
              <w:t>Breakfast Cereal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5C32EEFF" w14:textId="3014B5C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2043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2907A054" w14:textId="2FFB28C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311230</w:t>
            </w:r>
            <w:r>
              <w:rPr>
                <w:rStyle w:val="eop"/>
                <w:color w:val="000000"/>
              </w:rPr>
              <w:t> </w:t>
            </w:r>
          </w:p>
        </w:tc>
      </w:tr>
      <w:tr w14:paraId="5F1B4C26"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33E9ED5E" w14:textId="00092CB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536F">
              <w:rPr>
                <w:rFonts w:cstheme="minorHAnsi"/>
                <w:color w:val="000000"/>
              </w:rPr>
              <w:t>Nonchocolate Confectionery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3043F4AF" w14:textId="258D4A9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2067, 2064</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3A0EA6A1" w14:textId="5159054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311340</w:t>
            </w:r>
            <w:r>
              <w:rPr>
                <w:rStyle w:val="eop"/>
                <w:color w:val="000000"/>
              </w:rPr>
              <w:t> </w:t>
            </w:r>
          </w:p>
        </w:tc>
      </w:tr>
      <w:tr w14:paraId="2AACEB18"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00D371BF" w14:textId="2E4993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536F">
              <w:rPr>
                <w:rFonts w:cstheme="minorHAnsi"/>
                <w:color w:val="000000"/>
              </w:rPr>
              <w:t>Fats and Oils Refining and Blending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4ABF6063" w14:textId="3872388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2075, 2079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2AE1920E" w14:textId="5F2B851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311225</w:t>
            </w:r>
            <w:r>
              <w:rPr>
                <w:rStyle w:val="eop"/>
                <w:color w:val="000000"/>
              </w:rPr>
              <w:t> </w:t>
            </w:r>
          </w:p>
        </w:tc>
      </w:tr>
      <w:tr w14:paraId="3E23F252"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1A426644" w14:textId="302C777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536F">
              <w:rPr>
                <w:rFonts w:cstheme="minorHAnsi"/>
                <w:color w:val="000000"/>
              </w:rPr>
              <w:t>Breweries</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0059ED2A" w14:textId="10F0429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2082</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14EC090D" w14:textId="239D0A6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312120</w:t>
            </w:r>
            <w:r>
              <w:rPr>
                <w:rStyle w:val="eop"/>
                <w:color w:val="000000"/>
              </w:rPr>
              <w:t> </w:t>
            </w:r>
          </w:p>
        </w:tc>
      </w:tr>
      <w:tr w14:paraId="05F2D647"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4757F641" w14:textId="54DF19E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536F">
              <w:rPr>
                <w:rFonts w:cstheme="minorHAnsi"/>
                <w:color w:val="000000"/>
              </w:rPr>
              <w:t>Narrow Fabric Mills and Schiffli Machine Embroidery</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148F07BD" w14:textId="6C36FAE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2241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4E289542" w14:textId="5AA5362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313220</w:t>
            </w:r>
            <w:r>
              <w:rPr>
                <w:rStyle w:val="eop"/>
                <w:color w:val="000000"/>
              </w:rPr>
              <w:t> </w:t>
            </w:r>
          </w:p>
        </w:tc>
      </w:tr>
      <w:tr w14:paraId="06A8568D"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7082C34A" w14:textId="5D733D9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536F">
              <w:rPr>
                <w:rFonts w:cstheme="minorHAnsi"/>
                <w:color w:val="000000"/>
              </w:rPr>
              <w:t>Non-woven Fabrics Mills</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638AE83D" w14:textId="1445947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2297</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62FC5DD3" w14:textId="0F1C935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313230</w:t>
            </w:r>
            <w:r>
              <w:rPr>
                <w:rStyle w:val="eop"/>
                <w:color w:val="000000"/>
              </w:rPr>
              <w:t> </w:t>
            </w:r>
          </w:p>
        </w:tc>
      </w:tr>
      <w:tr w14:paraId="2A7F7FA3"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C93D75" w:rsidP="005F1D3B" w14:paraId="452C1E3B" w14:textId="6174BC8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536F">
              <w:rPr>
                <w:rFonts w:cstheme="minorHAnsi"/>
                <w:color w:val="000000"/>
              </w:rPr>
              <w:t>Pulp Mills</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4890A1B0" w14:textId="4C5E6E6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2611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6F97B81F" w14:textId="564CA05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322110</w:t>
            </w:r>
            <w:r>
              <w:rPr>
                <w:rStyle w:val="eop"/>
                <w:color w:val="000000"/>
              </w:rPr>
              <w:t> </w:t>
            </w:r>
          </w:p>
        </w:tc>
      </w:tr>
      <w:tr w14:paraId="6F96D0BC"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2D8576CB" w14:textId="6F649E9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1878">
              <w:rPr>
                <w:rFonts w:cstheme="minorHAnsi"/>
                <w:color w:val="000000"/>
              </w:rPr>
              <w:t>Paper (except Newsprint) Mills</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742B25AE" w14:textId="5DBD597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2621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36517F8B" w14:textId="54B0AEA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322121</w:t>
            </w:r>
            <w:r>
              <w:rPr>
                <w:rStyle w:val="eop"/>
                <w:color w:val="000000"/>
              </w:rPr>
              <w:t> </w:t>
            </w:r>
          </w:p>
        </w:tc>
      </w:tr>
      <w:tr w14:paraId="40003748"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152281C3" w14:textId="5D17E65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1878">
              <w:rPr>
                <w:rFonts w:cstheme="minorHAnsi"/>
                <w:color w:val="000000"/>
              </w:rPr>
              <w:t>Corrugated and Solid Fiber Boxes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67D8C604" w14:textId="441D854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2653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02317FCB" w14:textId="1929369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322211</w:t>
            </w:r>
            <w:r>
              <w:rPr>
                <w:rStyle w:val="eop"/>
                <w:color w:val="000000"/>
              </w:rPr>
              <w:t> </w:t>
            </w:r>
          </w:p>
        </w:tc>
      </w:tr>
      <w:tr w14:paraId="0493EEBC"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037578A4" w14:textId="60BEB4A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1878">
              <w:rPr>
                <w:rFonts w:cstheme="minorHAnsi"/>
                <w:color w:val="000000"/>
              </w:rPr>
              <w:t>Other Basic Inorganic Chemical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4CA1E75F" w14:textId="3B8F530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2812</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7A35FF66" w14:textId="5D1F938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325180</w:t>
            </w:r>
            <w:r>
              <w:rPr>
                <w:rStyle w:val="eop"/>
                <w:color w:val="000000"/>
              </w:rPr>
              <w:t> </w:t>
            </w:r>
          </w:p>
        </w:tc>
      </w:tr>
      <w:tr w14:paraId="5A03E1E0"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4AB8787F" w14:textId="660723C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1878">
              <w:rPr>
                <w:rFonts w:cstheme="minorHAnsi"/>
                <w:color w:val="000000"/>
              </w:rPr>
              <w:t>Synthetic Dye and Pigment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21F36DD7" w14:textId="04712A0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2816</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12C99272" w14:textId="1F6C3C2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325130</w:t>
            </w:r>
            <w:r>
              <w:rPr>
                <w:rStyle w:val="eop"/>
                <w:color w:val="000000"/>
              </w:rPr>
              <w:t> </w:t>
            </w:r>
          </w:p>
        </w:tc>
      </w:tr>
      <w:tr w14:paraId="57553231"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5B8F5646" w14:textId="70A8E8D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1878">
              <w:rPr>
                <w:rFonts w:cstheme="minorHAnsi"/>
                <w:color w:val="000000"/>
              </w:rPr>
              <w:t>Plastics Material and Resin Manufacturing</w:t>
            </w:r>
            <w:r w:rsidR="001E1919">
              <w:rPr>
                <w:rFonts w:cstheme="minorHAnsi"/>
                <w:color w:val="000000"/>
              </w:rPr>
              <w:t xml:space="preserve"> </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24ED9B57" w14:textId="046548E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2821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4A6D1F43" w14:textId="164C52E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325211</w:t>
            </w:r>
            <w:r>
              <w:rPr>
                <w:rStyle w:val="eop"/>
                <w:color w:val="000000"/>
              </w:rPr>
              <w:t> </w:t>
            </w:r>
          </w:p>
        </w:tc>
      </w:tr>
      <w:tr w14:paraId="6AF1AF51"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2785FA5B" w14:textId="7A238C2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F1878">
              <w:rPr>
                <w:rFonts w:cstheme="minorHAnsi"/>
                <w:color w:val="000000"/>
              </w:rPr>
              <w:t>Medicinal and Botanical Manufacturing</w:t>
            </w:r>
            <w:r w:rsidR="001E1919">
              <w:rPr>
                <w:rFonts w:cstheme="minorHAnsi"/>
                <w:color w:val="000000"/>
              </w:rPr>
              <w:t xml:space="preserve"> </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59E22CBB" w14:textId="3CA96B0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2833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54DADA33" w14:textId="09160EC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325411</w:t>
            </w:r>
            <w:r>
              <w:rPr>
                <w:rStyle w:val="eop"/>
                <w:color w:val="000000"/>
              </w:rPr>
              <w:t> </w:t>
            </w:r>
          </w:p>
        </w:tc>
      </w:tr>
      <w:tr w14:paraId="0DBFBE5E"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7EC5CF10" w14:textId="2EC5C78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92274">
              <w:rPr>
                <w:rFonts w:cstheme="minorHAnsi"/>
                <w:color w:val="000000"/>
              </w:rPr>
              <w:t>Pharmaceutical Preparations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05A5968C" w14:textId="4A7CBBF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2834</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3C8D248B" w14:textId="2E411F5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325412</w:t>
            </w:r>
            <w:r>
              <w:rPr>
                <w:rStyle w:val="eop"/>
                <w:color w:val="000000"/>
              </w:rPr>
              <w:t> </w:t>
            </w:r>
          </w:p>
        </w:tc>
      </w:tr>
      <w:tr w14:paraId="4CE20A53"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76536F" w:rsidP="005F1D3B" w14:paraId="3BD965D8" w14:textId="5B93B47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92274">
              <w:rPr>
                <w:rFonts w:cstheme="minorHAnsi"/>
                <w:color w:val="000000"/>
              </w:rPr>
              <w:t>Petrochemical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5F1D3B" w:rsidRPr="00BB7977" w:rsidP="005F1D3B" w14:paraId="1E24D109" w14:textId="2E4408A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2865, 2869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0573F747" w14:textId="135B1D0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325110</w:t>
            </w:r>
            <w:r>
              <w:rPr>
                <w:rStyle w:val="eop"/>
                <w:color w:val="000000"/>
              </w:rPr>
              <w:t> </w:t>
            </w:r>
          </w:p>
        </w:tc>
      </w:tr>
      <w:tr w14:paraId="58766293" w14:textId="77777777" w:rsidTr="000772D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5F1D3B" w:rsidRPr="00392274" w:rsidP="005F1D3B" w14:paraId="04A6C9F3" w14:textId="6950DC9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92274">
              <w:rPr>
                <w:rFonts w:cstheme="minorHAnsi"/>
                <w:color w:val="000000"/>
              </w:rPr>
              <w:t>Nitrogenous Fertilizers</w:t>
            </w:r>
          </w:p>
        </w:tc>
        <w:tc>
          <w:tcPr>
            <w:tcW w:w="2610" w:type="dxa"/>
            <w:tcBorders>
              <w:top w:val="single" w:sz="8" w:space="0" w:color="000000"/>
              <w:left w:val="single" w:sz="8" w:space="0" w:color="000000"/>
              <w:bottom w:val="single" w:sz="8" w:space="0" w:color="000000"/>
              <w:right w:val="single" w:sz="6" w:space="0" w:color="FFFFFF"/>
            </w:tcBorders>
          </w:tcPr>
          <w:p w:rsidR="005F1D3B" w:rsidRPr="00BB7977" w:rsidP="005F1D3B" w14:paraId="0D9E16FE" w14:textId="29B7FCA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1751A">
              <w:rPr>
                <w:rFonts w:cstheme="minorHAnsi"/>
                <w:color w:val="000000"/>
              </w:rPr>
              <w:t>2873 </w:t>
            </w:r>
          </w:p>
        </w:tc>
        <w:tc>
          <w:tcPr>
            <w:tcW w:w="2430" w:type="dxa"/>
            <w:tcBorders>
              <w:top w:val="single" w:sz="8" w:space="0" w:color="000000"/>
              <w:left w:val="single" w:sz="8" w:space="0" w:color="000000"/>
              <w:bottom w:val="single" w:sz="8" w:space="0" w:color="000000"/>
              <w:right w:val="single" w:sz="8" w:space="0" w:color="000000"/>
            </w:tcBorders>
            <w:vAlign w:val="center"/>
          </w:tcPr>
          <w:p w:rsidR="005F1D3B" w:rsidRPr="00BB7977" w:rsidP="005F1D3B" w14:paraId="04E4CC18" w14:textId="29763F2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325311</w:t>
            </w:r>
            <w:r>
              <w:rPr>
                <w:rStyle w:val="eop"/>
                <w:color w:val="000000"/>
              </w:rPr>
              <w:t> </w:t>
            </w:r>
          </w:p>
        </w:tc>
      </w:tr>
      <w:tr w14:paraId="09687D79"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4E2AFBD3" w14:textId="333155D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Paint and Coating Manufacturing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620BBA39" w14:textId="723B527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2899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76F3FE1C" w14:textId="29231726">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325510</w:t>
            </w:r>
            <w:r>
              <w:rPr>
                <w:rStyle w:val="eop"/>
                <w:color w:val="000000"/>
              </w:rPr>
              <w:t> </w:t>
            </w:r>
          </w:p>
        </w:tc>
      </w:tr>
      <w:tr w14:paraId="5912BA5E"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08A243D5" w14:textId="06B7136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Petroleum Refineries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5410F0AF" w14:textId="68D7F9A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2911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28EE4D28" w14:textId="423BC2E7">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324110</w:t>
            </w:r>
            <w:r>
              <w:rPr>
                <w:rStyle w:val="eop"/>
                <w:color w:val="000000"/>
              </w:rPr>
              <w:t> </w:t>
            </w:r>
          </w:p>
        </w:tc>
      </w:tr>
      <w:tr w14:paraId="3B6C300D"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3E8482E3" w14:textId="386FA79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Other Aluminum Rolling, Drawing and Extruding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7C9E1707" w14:textId="40911B5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3357</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57E65C35" w14:textId="09B0F74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331318</w:t>
            </w:r>
            <w:r>
              <w:rPr>
                <w:rStyle w:val="eop"/>
                <w:color w:val="000000"/>
              </w:rPr>
              <w:t> </w:t>
            </w:r>
          </w:p>
        </w:tc>
      </w:tr>
      <w:tr w14:paraId="6DC8DCC1"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407C318C" w14:textId="2E7D118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Copper Rolling, Drawing, Extruding, and Alloying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7785A4FE" w14:textId="19D3924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3357</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5D179C02" w14:textId="650C2794">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331420</w:t>
            </w:r>
            <w:r>
              <w:rPr>
                <w:rStyle w:val="eop"/>
                <w:color w:val="000000"/>
              </w:rPr>
              <w:t> </w:t>
            </w:r>
          </w:p>
        </w:tc>
      </w:tr>
      <w:tr w14:paraId="229FCC0B"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4DC9C4C2" w14:textId="0F16B22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Electroplating, Plating, Polishing, Anodizing, and Coloring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508E2F00" w14:textId="649EAEC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3471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79ADFBBF" w14:textId="1E57341B">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332813</w:t>
            </w:r>
            <w:r>
              <w:rPr>
                <w:rStyle w:val="eop"/>
                <w:color w:val="000000"/>
              </w:rPr>
              <w:t> </w:t>
            </w:r>
          </w:p>
        </w:tc>
      </w:tr>
      <w:tr w14:paraId="193A6EB6"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67638CFF" w14:textId="74BC4B0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Turbine and Turbine Generator Set Unit Manufacturing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71250C05" w14:textId="36A459C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3511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354AFF8C" w14:textId="1276B366">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333611</w:t>
            </w:r>
            <w:r>
              <w:rPr>
                <w:rStyle w:val="eop"/>
                <w:color w:val="000000"/>
              </w:rPr>
              <w:t> </w:t>
            </w:r>
          </w:p>
        </w:tc>
      </w:tr>
      <w:tr w14:paraId="3BB6F880"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71B5EF37" w14:textId="7697C18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Aircraft Engines and Engine Parts Manufacturing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6BA70C89" w14:textId="5A15957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3724</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0298D1D8" w14:textId="6ECCFD62">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336412</w:t>
            </w:r>
            <w:r>
              <w:rPr>
                <w:rStyle w:val="eop"/>
                <w:color w:val="000000"/>
              </w:rPr>
              <w:t> </w:t>
            </w:r>
          </w:p>
        </w:tc>
      </w:tr>
      <w:tr w14:paraId="0CFC32B6"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756826B5" w14:textId="36E864D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Travel Trailer and Camper Manufacturing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37A1E74A" w14:textId="0914C6F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3799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5932CD56" w14:textId="492194AF">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336214</w:t>
            </w:r>
            <w:r>
              <w:rPr>
                <w:rStyle w:val="eop"/>
                <w:color w:val="000000"/>
              </w:rPr>
              <w:t> </w:t>
            </w:r>
          </w:p>
        </w:tc>
      </w:tr>
      <w:tr w14:paraId="4ED90D3D"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42323B1F" w14:textId="0C7124E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All Other Miscellaneous Chemical Product and Preparation Manufacturing</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1C12E749" w14:textId="7D218A1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3999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1C3F98E3" w14:textId="2851CF9F">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325998</w:t>
            </w:r>
            <w:r>
              <w:rPr>
                <w:rStyle w:val="eop"/>
                <w:color w:val="000000"/>
              </w:rPr>
              <w:t> </w:t>
            </w:r>
          </w:p>
        </w:tc>
      </w:tr>
      <w:tr w14:paraId="76431ABA"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77DDAFA7" w14:textId="6BA1B6D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Other Airport Operations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0EA89959" w14:textId="0ABB22B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4581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750FB296" w14:textId="6596DCA1">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488119</w:t>
            </w:r>
            <w:r>
              <w:rPr>
                <w:rStyle w:val="eop"/>
                <w:color w:val="000000"/>
              </w:rPr>
              <w:t> </w:t>
            </w:r>
          </w:p>
        </w:tc>
      </w:tr>
      <w:tr w14:paraId="5378083D"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076543B1" w14:textId="35F038C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Pipeline Transportation of Refined Petroleum Products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52E282FD" w14:textId="4830A81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4613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56C80BC2" w14:textId="679AEC78">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486910</w:t>
            </w:r>
            <w:r>
              <w:rPr>
                <w:rStyle w:val="eop"/>
                <w:color w:val="000000"/>
              </w:rPr>
              <w:t> </w:t>
            </w:r>
          </w:p>
        </w:tc>
      </w:tr>
      <w:tr w14:paraId="2E0DBF43"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3EE0E22E" w14:textId="5BBF596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All Other Pipeline Transportation</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5451C644" w14:textId="0DAC743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4619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60300A73" w14:textId="3D6EAB95">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486990</w:t>
            </w:r>
            <w:r>
              <w:rPr>
                <w:rStyle w:val="eop"/>
                <w:color w:val="000000"/>
              </w:rPr>
              <w:t> </w:t>
            </w:r>
          </w:p>
        </w:tc>
      </w:tr>
      <w:tr w14:paraId="753D9853"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606F2CE1" w14:textId="56D58AD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Wired Telecommunication Carriers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24198EC7" w14:textId="2BF3F66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4813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0387365F" w14:textId="59B953DC">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517311</w:t>
            </w:r>
            <w:r>
              <w:rPr>
                <w:rStyle w:val="eop"/>
                <w:color w:val="000000"/>
              </w:rPr>
              <w:t> </w:t>
            </w:r>
          </w:p>
        </w:tc>
      </w:tr>
      <w:tr w14:paraId="248A1E2C"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5709A2BC" w14:textId="593C9D2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Fossil Fuel Electric Power Generation</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27B4E66F" w14:textId="494036F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4911, 4931, 4939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61F8E586" w14:textId="35D30BD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221112</w:t>
            </w:r>
            <w:r>
              <w:rPr>
                <w:rStyle w:val="eop"/>
                <w:color w:val="000000"/>
              </w:rPr>
              <w:t> </w:t>
            </w:r>
          </w:p>
        </w:tc>
      </w:tr>
      <w:tr w14:paraId="3B9768A3"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61B44550" w14:textId="0565670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Pipeline Transportation of Natural Gas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5BD40B44" w14:textId="3F88828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4922</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70C11D8C" w14:textId="7C7B2188">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486210</w:t>
            </w:r>
            <w:r>
              <w:rPr>
                <w:rStyle w:val="eop"/>
                <w:color w:val="000000"/>
              </w:rPr>
              <w:t> </w:t>
            </w:r>
          </w:p>
        </w:tc>
      </w:tr>
      <w:tr w14:paraId="5081F6E9"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3A961AE5" w14:textId="1E2DBE6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Natural Gas Transmission and Distribution</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2B928953" w14:textId="73038F9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4923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2FAB0F98" w14:textId="1AC24F1A">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221210</w:t>
            </w:r>
            <w:r>
              <w:rPr>
                <w:rStyle w:val="eop"/>
                <w:color w:val="000000"/>
              </w:rPr>
              <w:t> </w:t>
            </w:r>
          </w:p>
        </w:tc>
      </w:tr>
      <w:tr w14:paraId="0F917568"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24EA276E" w14:textId="5BED2C0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Natural Gas Distribution</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45F7782F" w14:textId="6AA86FF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4924, 4925, 4932</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41CA7904" w14:textId="2B61531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221210</w:t>
            </w:r>
            <w:r>
              <w:rPr>
                <w:rStyle w:val="eop"/>
                <w:color w:val="000000"/>
              </w:rPr>
              <w:t> </w:t>
            </w:r>
          </w:p>
        </w:tc>
      </w:tr>
      <w:tr w14:paraId="15D3DA81"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5A51E049" w14:textId="34BE3F5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Sewage Treatment Systems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121631A1" w14:textId="5ADB538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4952</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787AB08C" w14:textId="4FBE61F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221320</w:t>
            </w:r>
            <w:r>
              <w:rPr>
                <w:rStyle w:val="eop"/>
                <w:color w:val="000000"/>
              </w:rPr>
              <w:t> </w:t>
            </w:r>
          </w:p>
        </w:tc>
      </w:tr>
      <w:tr w14:paraId="6DAF1A6E"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7B725336" w14:textId="0190B4B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Material Recovery Facilities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6BEF4257" w14:textId="2B20603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4953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54D0EA08" w14:textId="55C21AAC">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562920</w:t>
            </w:r>
            <w:r>
              <w:rPr>
                <w:rStyle w:val="eop"/>
                <w:color w:val="000000"/>
              </w:rPr>
              <w:t> </w:t>
            </w:r>
          </w:p>
        </w:tc>
      </w:tr>
      <w:tr w14:paraId="212122D9"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7195F2E2" w14:textId="277093B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Solid Waste Combustors and Incinerators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2093AAEF" w14:textId="1418400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4953</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5C115CC7" w14:textId="12862AA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562213</w:t>
            </w:r>
            <w:r>
              <w:rPr>
                <w:rStyle w:val="eop"/>
                <w:color w:val="000000"/>
              </w:rPr>
              <w:t> </w:t>
            </w:r>
          </w:p>
        </w:tc>
      </w:tr>
      <w:tr w14:paraId="7626FE38"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0F42AF88" w14:textId="24E07E4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Steam and Air-conditioning Supply</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0C54BFF0" w14:textId="015E084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4961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2A541143" w14:textId="402001CB">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221330</w:t>
            </w:r>
            <w:r>
              <w:rPr>
                <w:rStyle w:val="eop"/>
                <w:color w:val="000000"/>
              </w:rPr>
              <w:t> </w:t>
            </w:r>
          </w:p>
        </w:tc>
      </w:tr>
      <w:tr w14:paraId="3C3468CA"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RPr="00392274" w:rsidP="003C6E49" w14:paraId="50F3A41A" w14:textId="5359F74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Plumbing and Heating Equipment and Supplies (Hydronics) Merchant Wholesalers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2DEB59BB" w14:textId="0F70E95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5074</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38DE1E12" w14:textId="26F1A582">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423720</w:t>
            </w:r>
            <w:r>
              <w:rPr>
                <w:rStyle w:val="eop"/>
                <w:color w:val="000000"/>
              </w:rPr>
              <w:t> </w:t>
            </w:r>
          </w:p>
        </w:tc>
      </w:tr>
      <w:tr w14:paraId="56C57692"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2C35F239" w14:textId="546B5BA3">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Other Groceries and Related Product Merchant Wholesalers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2C9A451B" w14:textId="79B5262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5149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3559F2D4" w14:textId="0B63591C">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424490</w:t>
            </w:r>
            <w:r>
              <w:rPr>
                <w:rStyle w:val="eop"/>
                <w:color w:val="000000"/>
              </w:rPr>
              <w:t> </w:t>
            </w:r>
          </w:p>
        </w:tc>
      </w:tr>
      <w:tr w14:paraId="313EC054"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7062AAC9" w14:textId="35A76E8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Petroleum Bulk Stations and Terminals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143EC281" w14:textId="35862A5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5171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46B88E7A" w14:textId="7D5E4DD3">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424710</w:t>
            </w:r>
            <w:r>
              <w:rPr>
                <w:rStyle w:val="eop"/>
                <w:color w:val="000000"/>
              </w:rPr>
              <w:t> </w:t>
            </w:r>
          </w:p>
        </w:tc>
      </w:tr>
      <w:tr w14:paraId="54BCDA77"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4F652078" w14:textId="73491E77">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Offices of Real Estate Agents and Brokers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759B8025" w14:textId="7713C87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6531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69900280" w14:textId="25DCA2DF">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531210</w:t>
            </w:r>
            <w:r>
              <w:rPr>
                <w:rStyle w:val="eop"/>
                <w:color w:val="000000"/>
              </w:rPr>
              <w:t> </w:t>
            </w:r>
          </w:p>
        </w:tc>
      </w:tr>
      <w:tr w14:paraId="3551BD6A"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6C15EBA2" w14:textId="5722B61D">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General Medical and Surgical Hospitals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1FFD8EFA" w14:textId="4CFF3EA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8062</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5D62E0AA" w14:textId="1C610B5F">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622110</w:t>
            </w:r>
            <w:r>
              <w:rPr>
                <w:rStyle w:val="eop"/>
                <w:color w:val="000000"/>
              </w:rPr>
              <w:t> </w:t>
            </w:r>
          </w:p>
        </w:tc>
      </w:tr>
      <w:tr w14:paraId="0338B306"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1BDC5551" w14:textId="69B14C2D">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Colleges, Universities, and Professional Schools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6EC1B4AD" w14:textId="77142F9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8221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183D5027" w14:textId="51FE047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611310</w:t>
            </w:r>
            <w:r>
              <w:rPr>
                <w:rStyle w:val="eop"/>
                <w:color w:val="000000"/>
              </w:rPr>
              <w:t> </w:t>
            </w:r>
          </w:p>
        </w:tc>
      </w:tr>
      <w:tr w14:paraId="5EC3B6D4"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3138B244" w14:textId="51C44BCA">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Testing Laboratories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671BA050" w14:textId="5C737FC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8734</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29E20417" w14:textId="18FF2C78">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541380</w:t>
            </w:r>
            <w:r>
              <w:rPr>
                <w:rStyle w:val="eop"/>
                <w:color w:val="000000"/>
              </w:rPr>
              <w:t> </w:t>
            </w:r>
          </w:p>
        </w:tc>
      </w:tr>
      <w:tr w14:paraId="532F2C65"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1549C001" w14:textId="729C5E5E">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Other Scientific and Technical Consulting Services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4957A9CC" w14:textId="55FA35A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8999</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4319E33B" w14:textId="1059B124">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541690</w:t>
            </w:r>
            <w:r>
              <w:rPr>
                <w:rStyle w:val="eop"/>
                <w:color w:val="000000"/>
              </w:rPr>
              <w:t> </w:t>
            </w:r>
          </w:p>
        </w:tc>
      </w:tr>
      <w:tr w14:paraId="200A42B7"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48A73771" w14:textId="481C3D6A">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Police Protection</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5206B7AD" w14:textId="7AE86C1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9221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66C14894" w14:textId="5BED78BC">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922120</w:t>
            </w:r>
            <w:r>
              <w:rPr>
                <w:rStyle w:val="eop"/>
                <w:color w:val="000000"/>
              </w:rPr>
              <w:t> </w:t>
            </w:r>
          </w:p>
        </w:tc>
      </w:tr>
      <w:tr w14:paraId="04942984"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44E31056" w14:textId="7E6CF587">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Administration of Public Health Programs</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55F680A4" w14:textId="418822F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9431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6CB205C4" w14:textId="403DA927">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923120</w:t>
            </w:r>
            <w:r>
              <w:rPr>
                <w:rStyle w:val="eop"/>
                <w:color w:val="000000"/>
              </w:rPr>
              <w:t> </w:t>
            </w:r>
          </w:p>
        </w:tc>
      </w:tr>
      <w:tr w14:paraId="2B569F25" w14:textId="77777777" w:rsidTr="00A6203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C6E49" w:rsidP="003C6E49" w14:paraId="53C6EFFD" w14:textId="35143D12">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National Security</w:t>
            </w:r>
            <w:r>
              <w:rPr>
                <w:rStyle w:val="eop"/>
                <w:color w:val="000000"/>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3C6E49" w:rsidRPr="0041751A" w:rsidP="003C6E49" w14:paraId="11F199D3" w14:textId="1EB36CB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9711</w:t>
            </w:r>
            <w:r>
              <w:rPr>
                <w:rStyle w:val="eop"/>
                <w:color w:val="000000"/>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3C6E49" w:rsidP="003C6E49" w14:paraId="7CA6F01E" w14:textId="188F0361">
            <w:pPr>
              <w:pBdr>
                <w:top w:val="single" w:sz="6" w:space="0" w:color="FFFFFF"/>
                <w:left w:val="single" w:sz="6" w:space="0" w:color="FFFFFF"/>
                <w:bottom w:val="single" w:sz="6" w:space="0" w:color="FFFFFF"/>
                <w:right w:val="single" w:sz="6" w:space="0" w:color="FFFFFF"/>
              </w:pBdr>
              <w:spacing w:before="60"/>
              <w:rPr>
                <w:rStyle w:val="normaltextrun"/>
                <w:color w:val="000000"/>
              </w:rPr>
            </w:pPr>
            <w:r>
              <w:rPr>
                <w:rStyle w:val="normaltextrun"/>
                <w:color w:val="000000"/>
              </w:rPr>
              <w:t>928110</w:t>
            </w:r>
            <w:r>
              <w:rPr>
                <w:rStyle w:val="eop"/>
                <w:color w:val="000000"/>
              </w:rPr>
              <w:t> </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7FC0C61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Based on our research </w:t>
      </w:r>
      <w:r w:rsidRPr="00D71532">
        <w:rPr>
          <w:rFonts w:cstheme="minorHAnsi"/>
          <w:color w:val="000000"/>
        </w:rPr>
        <w:t>for</w:t>
      </w:r>
      <w:r w:rsidRPr="00D71532">
        <w:rPr>
          <w:rFonts w:cstheme="minorHAnsi"/>
          <w:color w:val="000000"/>
        </w:rPr>
        <w:t xml:space="preserve"> this ICR, on average over the next three years, approximately</w:t>
      </w:r>
      <w:r w:rsidRPr="00D71532">
        <w:rPr>
          <w:rFonts w:cstheme="minorHAnsi"/>
          <w:color w:val="FF0000"/>
        </w:rPr>
        <w:t xml:space="preserve"> </w:t>
      </w:r>
      <w:r w:rsidRPr="00E37A70" w:rsidR="00873C40">
        <w:rPr>
          <w:rFonts w:cstheme="minorHAnsi"/>
        </w:rPr>
        <w:t>535</w:t>
      </w:r>
      <w:r w:rsidRPr="00D71532">
        <w:rPr>
          <w:rFonts w:cstheme="minorHAnsi"/>
          <w:color w:val="000000"/>
        </w:rPr>
        <w:t xml:space="preserve"> existing respondents will be subject to the standard. It is estimated that </w:t>
      </w:r>
      <w:r w:rsidR="009D6F23">
        <w:rPr>
          <w:rFonts w:cstheme="minorHAnsi"/>
          <w:color w:val="000000"/>
        </w:rPr>
        <w:t>no</w:t>
      </w:r>
      <w:r w:rsidRPr="00D71532">
        <w:rPr>
          <w:rFonts w:cstheme="minorHAnsi"/>
          <w:color w:val="000000"/>
        </w:rPr>
        <w:t xml:space="preserve"> additional</w:t>
      </w:r>
      <w:r w:rsidR="001912D6">
        <w:rPr>
          <w:rFonts w:cstheme="minorHAnsi"/>
          <w:color w:val="000000"/>
        </w:rPr>
        <w:t xml:space="preserve"> </w:t>
      </w:r>
      <w:r w:rsidRPr="00D71532">
        <w:rPr>
          <w:rFonts w:cstheme="minorHAnsi"/>
          <w:color w:val="000000"/>
        </w:rPr>
        <w:t xml:space="preserve">respondents per year will become </w:t>
      </w:r>
      <w:r w:rsidRPr="00D71532">
        <w:rPr>
          <w:rFonts w:cstheme="minorHAnsi"/>
          <w:color w:val="000000"/>
        </w:rPr>
        <w:t>subject</w:t>
      </w:r>
      <w:r w:rsidRPr="00D71532">
        <w:rPr>
          <w:rFonts w:cstheme="minorHAnsi"/>
          <w:color w:val="000000"/>
        </w:rPr>
        <w:t xml:space="preserve">, for an overall total of </w:t>
      </w:r>
      <w:r w:rsidRPr="00E37A70" w:rsidR="00E37A70">
        <w:rPr>
          <w:rFonts w:cstheme="minorHAnsi"/>
        </w:rPr>
        <w:t>535</w:t>
      </w:r>
      <w:r w:rsidRPr="00D71532">
        <w:rPr>
          <w:rFonts w:cstheme="minorHAnsi"/>
          <w:color w:val="FF0000"/>
        </w:rPr>
        <w:t xml:space="preserve"> </w:t>
      </w:r>
      <w:r w:rsidRPr="00D71532">
        <w:rPr>
          <w:rFonts w:cstheme="minorHAnsi"/>
          <w:color w:val="000000"/>
        </w:rPr>
        <w:t xml:space="preserve">respondents per year. The number of respondents is calculated using the </w:t>
      </w:r>
      <w:bookmarkStart w:id="17" w:name="_Hlk163570653"/>
      <w:r w:rsidRPr="00D71532">
        <w:rPr>
          <w:rFonts w:cstheme="minorHAnsi"/>
          <w:color w:val="000000"/>
        </w:rPr>
        <w:t xml:space="preserve">Number of Respondents </w:t>
      </w:r>
      <w:bookmarkEnd w:id="17"/>
      <w:r w:rsidR="00E37A70">
        <w:rPr>
          <w:rFonts w:cstheme="minorHAnsi"/>
          <w:color w:val="000000"/>
        </w:rPr>
        <w:t xml:space="preserve">table </w:t>
      </w:r>
      <w:r w:rsidRPr="00D71532">
        <w:rPr>
          <w:rFonts w:cstheme="minorHAnsi"/>
          <w:color w:val="000000"/>
        </w:rPr>
        <w:t xml:space="preserve">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w:t>
      </w:r>
      <w:r w:rsidRPr="00D71532">
        <w:rPr>
          <w:rFonts w:cstheme="minorHAnsi"/>
          <w:color w:val="000000"/>
        </w:rPr>
        <w:t>site</w:t>
      </w:r>
      <w:r w:rsidRPr="00D71532">
        <w:rPr>
          <w:rFonts w:cstheme="minorHAnsi"/>
          <w:color w:val="000000"/>
        </w:rPr>
        <w:t xml:space="preserve"> and each plant site has only one respondent (i.e., the owner/operator of the plant site).</w:t>
      </w:r>
    </w:p>
    <w:p w:rsidR="00D71532" w:rsidRPr="00BB3410" w:rsidP="00854AAE" w14:paraId="6D3040F8" w14:textId="209CC2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Total Annual Responses </w:t>
      </w:r>
      <w:r w:rsidR="00283D58">
        <w:rPr>
          <w:rFonts w:cstheme="minorHAnsi"/>
          <w:color w:val="000000"/>
        </w:rPr>
        <w:t xml:space="preserve">table </w:t>
      </w:r>
      <w:r w:rsidRPr="00D71532">
        <w:rPr>
          <w:rFonts w:cstheme="minorHAnsi"/>
          <w:color w:val="000000"/>
        </w:rPr>
        <w:t xml:space="preserve">shown below. The number of Total Annual </w:t>
      </w:r>
      <w:r w:rsidRPr="000468D9">
        <w:rPr>
          <w:rFonts w:cstheme="minorHAnsi"/>
        </w:rPr>
        <w:t xml:space="preserve">Responses </w:t>
      </w:r>
      <w:r w:rsidRPr="000468D9" w:rsidR="000468D9">
        <w:rPr>
          <w:rFonts w:cstheme="minorHAnsi"/>
        </w:rPr>
        <w:t>is 1,070</w:t>
      </w:r>
      <w:r w:rsidRPr="000468D9">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6971DDE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w:t>
      </w:r>
      <w:r w:rsidRPr="002857C3">
        <w:rPr>
          <w:rFonts w:cstheme="minorHAnsi"/>
        </w:rPr>
        <w:t xml:space="preserve">the </w:t>
      </w:r>
      <w:r w:rsidRPr="002857C3" w:rsidR="002857C3">
        <w:rPr>
          <w:rFonts w:cstheme="minorHAnsi"/>
        </w:rPr>
        <w:t>NSPS for Stationary Gas Turbines (40 CFR Part 60, Subpart GG).</w:t>
      </w:r>
      <w:r w:rsidR="002857C3">
        <w:rPr>
          <w:rFonts w:cstheme="minorHAnsi"/>
          <w:color w:val="FF0000"/>
        </w:rPr>
        <w:t xml:space="preserve"> </w:t>
      </w:r>
      <w:r w:rsidRPr="00987C8D">
        <w:rPr>
          <w:rFonts w:cstheme="minorHAnsi"/>
          <w:color w:val="000000"/>
        </w:rPr>
        <w:t xml:space="preserve">Any owner/operator subject to the provisions of this part shall maintain a file of these measurements and retain the file for at least </w:t>
      </w:r>
      <w:r w:rsidRPr="00BF1A05">
        <w:rPr>
          <w:rFonts w:cstheme="minorHAnsi"/>
        </w:rPr>
        <w:t>two</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527AA" w:rsidRPr="00987C8D" w:rsidP="003527AA" w14:paraId="69DEB2E2" w14:textId="69BA0A3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to construct/reconstruct</w:t>
            </w:r>
            <w:r>
              <w:rPr>
                <w:rStyle w:val="eop"/>
              </w:rPr>
              <w:t> </w:t>
            </w:r>
          </w:p>
        </w:tc>
        <w:tc>
          <w:tcPr>
            <w:tcW w:w="2529" w:type="dxa"/>
            <w:tcBorders>
              <w:top w:val="single" w:sz="8" w:space="0" w:color="000000"/>
              <w:left w:val="single" w:sz="8" w:space="0" w:color="000000"/>
              <w:bottom w:val="single" w:sz="8" w:space="0" w:color="000000"/>
              <w:right w:val="single" w:sz="8" w:space="0" w:color="000000"/>
            </w:tcBorders>
            <w:hideMark/>
          </w:tcPr>
          <w:p w:rsidR="003527AA" w:rsidRPr="00987C8D" w:rsidP="003527AA" w14:paraId="1F8187B5" w14:textId="473AEC8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§60.7(a)(1)</w:t>
            </w:r>
            <w:r>
              <w:rPr>
                <w:rStyle w:val="eop"/>
              </w:rPr>
              <w:t> </w:t>
            </w:r>
          </w:p>
        </w:tc>
      </w:tr>
      <w:tr w14:paraId="42A53D6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527AA" w:rsidRPr="00987C8D" w:rsidP="003527AA" w14:paraId="7A28D8FD" w14:textId="2126C4D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actual startup</w:t>
            </w:r>
            <w:r>
              <w:rPr>
                <w:rStyle w:val="eop"/>
              </w:rPr>
              <w:t> </w:t>
            </w:r>
          </w:p>
        </w:tc>
        <w:tc>
          <w:tcPr>
            <w:tcW w:w="2529" w:type="dxa"/>
            <w:tcBorders>
              <w:top w:val="single" w:sz="8" w:space="0" w:color="000000"/>
              <w:left w:val="single" w:sz="8" w:space="0" w:color="000000"/>
              <w:bottom w:val="single" w:sz="8" w:space="0" w:color="000000"/>
              <w:right w:val="single" w:sz="8" w:space="0" w:color="000000"/>
            </w:tcBorders>
          </w:tcPr>
          <w:p w:rsidR="003527AA" w:rsidRPr="00987C8D" w:rsidP="003527AA" w14:paraId="0C195381" w14:textId="3A90A9E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§60.7(a)(3)</w:t>
            </w:r>
            <w:r>
              <w:rPr>
                <w:rStyle w:val="eop"/>
              </w:rPr>
              <w:t> </w:t>
            </w:r>
          </w:p>
        </w:tc>
      </w:tr>
      <w:tr w14:paraId="68F1A06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527AA" w:rsidRPr="00987C8D" w:rsidP="003527AA" w14:paraId="1F6130C3" w14:textId="675A0BF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physical or operational change which may increase the emission rate</w:t>
            </w:r>
            <w:r>
              <w:rPr>
                <w:rStyle w:val="eop"/>
              </w:rPr>
              <w:t> </w:t>
            </w:r>
          </w:p>
        </w:tc>
        <w:tc>
          <w:tcPr>
            <w:tcW w:w="2529" w:type="dxa"/>
            <w:tcBorders>
              <w:top w:val="single" w:sz="8" w:space="0" w:color="000000"/>
              <w:left w:val="single" w:sz="8" w:space="0" w:color="000000"/>
              <w:bottom w:val="single" w:sz="8" w:space="0" w:color="000000"/>
              <w:right w:val="single" w:sz="8" w:space="0" w:color="000000"/>
            </w:tcBorders>
          </w:tcPr>
          <w:p w:rsidR="003527AA" w:rsidRPr="00987C8D" w:rsidP="003527AA" w14:paraId="6E986F45" w14:textId="5AD3830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§60.7(a)(4)</w:t>
            </w:r>
            <w:r>
              <w:rPr>
                <w:rStyle w:val="eop"/>
              </w:rPr>
              <w:t> </w:t>
            </w:r>
          </w:p>
        </w:tc>
      </w:tr>
      <w:tr w14:paraId="5C490994"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527AA" w:rsidRPr="00987C8D" w:rsidP="003527AA" w14:paraId="4B1357C3" w14:textId="04894AB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performance test</w:t>
            </w:r>
            <w:r>
              <w:rPr>
                <w:rStyle w:val="eop"/>
              </w:rPr>
              <w:t> </w:t>
            </w:r>
          </w:p>
        </w:tc>
        <w:tc>
          <w:tcPr>
            <w:tcW w:w="2529" w:type="dxa"/>
            <w:tcBorders>
              <w:top w:val="single" w:sz="8" w:space="0" w:color="000000"/>
              <w:left w:val="single" w:sz="8" w:space="0" w:color="000000"/>
              <w:bottom w:val="single" w:sz="8" w:space="0" w:color="000000"/>
              <w:right w:val="single" w:sz="8" w:space="0" w:color="000000"/>
            </w:tcBorders>
          </w:tcPr>
          <w:p w:rsidR="003527AA" w:rsidRPr="00987C8D" w:rsidP="003527AA" w14:paraId="401AB971" w14:textId="7F56512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§60.8(a)</w:t>
            </w:r>
            <w:r>
              <w:rPr>
                <w:rStyle w:val="eop"/>
              </w:rPr>
              <w:t> </w:t>
            </w:r>
          </w:p>
        </w:tc>
      </w:tr>
      <w:tr w14:paraId="622741F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527AA" w:rsidRPr="00987C8D" w:rsidP="003527AA" w14:paraId="2175CD27" w14:textId="2202FA8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sources with continuous monitoring systems</w:t>
            </w:r>
            <w:r>
              <w:rPr>
                <w:rStyle w:val="eop"/>
              </w:rPr>
              <w:t> </w:t>
            </w:r>
          </w:p>
        </w:tc>
        <w:tc>
          <w:tcPr>
            <w:tcW w:w="2529" w:type="dxa"/>
            <w:tcBorders>
              <w:top w:val="single" w:sz="8" w:space="0" w:color="000000"/>
              <w:left w:val="single" w:sz="8" w:space="0" w:color="000000"/>
              <w:bottom w:val="single" w:sz="8" w:space="0" w:color="000000"/>
              <w:right w:val="single" w:sz="8" w:space="0" w:color="000000"/>
            </w:tcBorders>
          </w:tcPr>
          <w:p w:rsidR="003527AA" w:rsidRPr="00987C8D" w:rsidP="003527AA" w14:paraId="3F4C034C" w14:textId="2D74F69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§60.7(a)(5)</w:t>
            </w:r>
            <w:r>
              <w:rPr>
                <w:rStyle w:val="eop"/>
              </w:rPr>
              <w:t> </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987C8D" w14:paraId="43877D0A" w14:textId="7AEE20E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C2075">
              <w:rPr>
                <w:rFonts w:cstheme="minorHAnsi"/>
                <w:color w:val="000000"/>
              </w:rPr>
              <w:t xml:space="preserve">Semiannual report </w:t>
            </w:r>
            <w:r w:rsidRPr="00CC2075">
              <w:rPr>
                <w:rFonts w:cstheme="minorHAnsi"/>
                <w:color w:val="000000"/>
              </w:rPr>
              <w:t>of</w:t>
            </w:r>
            <w:r w:rsidRPr="00CC2075">
              <w:rPr>
                <w:rFonts w:cstheme="minorHAnsi"/>
                <w:color w:val="000000"/>
              </w:rPr>
              <w:t xml:space="preserve"> excess emissions and monitoring systems performance</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3FD4CBEA" w14:textId="1884766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858AC">
              <w:rPr>
                <w:rFonts w:cstheme="minorHAnsi"/>
                <w:color w:val="000000"/>
              </w:rPr>
              <w:t>§60.7(c) </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B545F" w:rsidRPr="00987C8D" w:rsidP="001B545F" w14:paraId="3550D62A" w14:textId="0B4DDB2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Maintain records of startups, shutdowns, malfunctions, periods where the continuous monitoring system is inoperative</w:t>
            </w:r>
            <w:r w:rsidR="001E1919">
              <w:rPr>
                <w:rStyle w:val="normaltextrun"/>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1B545F" w:rsidRPr="00987C8D" w:rsidP="001B545F" w14:paraId="7934CA38" w14:textId="46F1DF6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§60.7(b)</w:t>
            </w:r>
            <w:r>
              <w:rPr>
                <w:rStyle w:val="eop"/>
              </w:rPr>
              <w:t> </w:t>
            </w:r>
          </w:p>
        </w:tc>
      </w:tr>
      <w:tr w14:paraId="3D3C8B8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B545F" w:rsidRPr="00987C8D" w:rsidP="001B545F" w14:paraId="2778131B" w14:textId="6D702E3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Maintain records of fuel consumption and fuel to water ratio in the turbine, for sources using water injection to control NO</w:t>
            </w:r>
            <w:r>
              <w:rPr>
                <w:rStyle w:val="normaltextrun"/>
                <w:sz w:val="19"/>
                <w:szCs w:val="19"/>
                <w:vertAlign w:val="subscript"/>
              </w:rPr>
              <w:t xml:space="preserve">2 </w:t>
            </w:r>
            <w:r>
              <w:rPr>
                <w:rStyle w:val="normaltextrun"/>
              </w:rPr>
              <w:t>emissions</w:t>
            </w:r>
            <w:r>
              <w:rPr>
                <w:rStyle w:val="eop"/>
              </w:rPr>
              <w:t> </w:t>
            </w:r>
          </w:p>
        </w:tc>
        <w:tc>
          <w:tcPr>
            <w:tcW w:w="2250" w:type="dxa"/>
            <w:tcBorders>
              <w:top w:val="single" w:sz="8" w:space="0" w:color="000000"/>
              <w:left w:val="single" w:sz="8" w:space="0" w:color="000000"/>
              <w:bottom w:val="single" w:sz="8" w:space="0" w:color="000000"/>
              <w:right w:val="single" w:sz="8" w:space="0" w:color="000000"/>
            </w:tcBorders>
            <w:vAlign w:val="center"/>
          </w:tcPr>
          <w:p w:rsidR="001B545F" w:rsidRPr="00987C8D" w:rsidP="001B545F" w14:paraId="4481A8FB" w14:textId="48147C7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§60.334(a)</w:t>
            </w:r>
            <w:r>
              <w:rPr>
                <w:rStyle w:val="eop"/>
              </w:rPr>
              <w:t> </w:t>
            </w:r>
          </w:p>
        </w:tc>
      </w:tr>
      <w:tr w14:paraId="4DC95799" w14:textId="77777777" w:rsidTr="00F816BF">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B545F" w:rsidRPr="00987C8D" w:rsidP="001B545F" w14:paraId="2E264B43" w14:textId="03A9EDD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Maintain records of sulfur and nitrogen content of fuel used in turbine</w:t>
            </w:r>
            <w:r>
              <w:rPr>
                <w:rStyle w:val="eop"/>
              </w:rPr>
              <w:t> </w:t>
            </w:r>
          </w:p>
        </w:tc>
        <w:tc>
          <w:tcPr>
            <w:tcW w:w="2250" w:type="dxa"/>
            <w:tcBorders>
              <w:top w:val="single" w:sz="8" w:space="0" w:color="000000"/>
              <w:left w:val="single" w:sz="8" w:space="0" w:color="000000"/>
              <w:bottom w:val="single" w:sz="8" w:space="0" w:color="000000"/>
              <w:right w:val="single" w:sz="8" w:space="0" w:color="000000"/>
            </w:tcBorders>
          </w:tcPr>
          <w:p w:rsidR="001B545F" w:rsidRPr="00987C8D" w:rsidP="001B545F" w14:paraId="0E221D43" w14:textId="54F69E7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§60.334(</w:t>
            </w:r>
            <w:r>
              <w:rPr>
                <w:rStyle w:val="normaltextrun"/>
              </w:rPr>
              <w:t>i</w:t>
            </w:r>
            <w:r>
              <w:rPr>
                <w:rStyle w:val="normaltextrun"/>
              </w:rPr>
              <w:t>)</w:t>
            </w:r>
            <w:r>
              <w:rPr>
                <w:rStyle w:val="eop"/>
              </w:rPr>
              <w:t> </w:t>
            </w:r>
          </w:p>
        </w:tc>
      </w:tr>
      <w:tr w14:paraId="67792A54" w14:textId="77777777" w:rsidTr="00F816BF">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B545F" w:rsidRPr="00987C8D" w:rsidP="001B545F" w14:paraId="7559FCF3" w14:textId="2915374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Maintain records of all measurements, including continuous monitoring system, monitoring device, performance testing measurements; all continuous monitoring system performance evaluations; all continuous monitoring system or monitoring device calibration checks</w:t>
            </w:r>
            <w:r>
              <w:rPr>
                <w:rStyle w:val="eop"/>
              </w:rPr>
              <w:t> </w:t>
            </w:r>
          </w:p>
        </w:tc>
        <w:tc>
          <w:tcPr>
            <w:tcW w:w="2250" w:type="dxa"/>
            <w:tcBorders>
              <w:top w:val="single" w:sz="8" w:space="0" w:color="000000"/>
              <w:left w:val="single" w:sz="8" w:space="0" w:color="000000"/>
              <w:bottom w:val="single" w:sz="8" w:space="0" w:color="000000"/>
              <w:right w:val="single" w:sz="8" w:space="0" w:color="000000"/>
            </w:tcBorders>
            <w:vAlign w:val="center"/>
          </w:tcPr>
          <w:p w:rsidR="001B545F" w:rsidRPr="00987C8D" w:rsidP="001B545F" w14:paraId="1849EF97" w14:textId="142B1E6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§§60.334(b), 60.7(f)</w:t>
            </w:r>
            <w:r>
              <w:rPr>
                <w:rStyle w:val="eop"/>
              </w:rPr>
              <w:t> </w:t>
            </w:r>
          </w:p>
        </w:tc>
      </w:tr>
      <w:tr w14:paraId="6D40F05E" w14:textId="77777777" w:rsidTr="00F816BF">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1B545F" w:rsidRPr="00987C8D" w:rsidP="001B545F" w14:paraId="2E59B461" w14:textId="2DF67C2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Maintain all records for two years</w:t>
            </w:r>
            <w:r>
              <w:rPr>
                <w:rStyle w:val="eop"/>
              </w:rPr>
              <w:t> </w:t>
            </w:r>
          </w:p>
        </w:tc>
        <w:tc>
          <w:tcPr>
            <w:tcW w:w="2250" w:type="dxa"/>
            <w:tcBorders>
              <w:top w:val="single" w:sz="8" w:space="0" w:color="000000"/>
              <w:left w:val="single" w:sz="8" w:space="0" w:color="000000"/>
              <w:bottom w:val="single" w:sz="8" w:space="0" w:color="000000"/>
              <w:right w:val="single" w:sz="8" w:space="0" w:color="000000"/>
            </w:tcBorders>
            <w:vAlign w:val="center"/>
          </w:tcPr>
          <w:p w:rsidR="001B545F" w:rsidRPr="00987C8D" w:rsidP="001B545F" w14:paraId="4269BB3D" w14:textId="5539BB4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§60.7(f)</w:t>
            </w:r>
            <w:r>
              <w:rPr>
                <w:rStyle w:val="eop"/>
              </w:rPr>
              <w:t> </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4942690D" w14:textId="77777777">
        <w:tblPrEx>
          <w:tblW w:w="9445" w:type="dxa"/>
          <w:tblLook w:val="04A0"/>
        </w:tblPrEx>
        <w:trPr>
          <w:trHeight w:val="719"/>
        </w:trPr>
        <w:tc>
          <w:tcPr>
            <w:tcW w:w="9445" w:type="dxa"/>
            <w:vAlign w:val="center"/>
          </w:tcPr>
          <w:p w:rsidR="008B07A2" w:rsidRPr="00B04A5C" w14:paraId="6CF334ED" w14:textId="228AFFDF">
            <w:pPr>
              <w:outlineLvl w:val="0"/>
              <w:rPr>
                <w:color w:val="000000"/>
              </w:rPr>
            </w:pPr>
            <w:r w:rsidRPr="00C114AC">
              <w:rPr>
                <w:color w:val="000000"/>
              </w:rPr>
              <w:t>Install, calibrate, maintain, and operate CEMS for NO</w:t>
            </w:r>
            <w:r w:rsidRPr="00C114AC">
              <w:rPr>
                <w:color w:val="000000"/>
                <w:vertAlign w:val="subscript"/>
              </w:rPr>
              <w:t>x</w:t>
            </w:r>
            <w:r w:rsidRPr="00C114AC">
              <w:rPr>
                <w:color w:val="000000"/>
              </w:rPr>
              <w:t>, or CMS for fuel consumption and water or stream-to-fuel ratio for water injection NO</w:t>
            </w:r>
            <w:r w:rsidRPr="00C114AC">
              <w:rPr>
                <w:color w:val="000000"/>
                <w:vertAlign w:val="subscript"/>
              </w:rPr>
              <w:t xml:space="preserve">x </w:t>
            </w:r>
            <w:r w:rsidRPr="00C114AC">
              <w:rPr>
                <w:color w:val="000000"/>
              </w:rPr>
              <w:t>control devices. </w:t>
            </w:r>
          </w:p>
        </w:tc>
      </w:tr>
      <w:tr w14:paraId="032F4D1D" w14:textId="77777777">
        <w:tblPrEx>
          <w:tblW w:w="9445" w:type="dxa"/>
          <w:tblLook w:val="04A0"/>
        </w:tblPrEx>
        <w:trPr>
          <w:trHeight w:val="701"/>
        </w:trPr>
        <w:tc>
          <w:tcPr>
            <w:tcW w:w="9445" w:type="dxa"/>
            <w:vAlign w:val="center"/>
          </w:tcPr>
          <w:p w:rsidR="008B07A2" w:rsidRPr="00B04A5C" w14:paraId="13C4E26E" w14:textId="2FCA2348">
            <w:pPr>
              <w:outlineLvl w:val="0"/>
              <w:rPr>
                <w:color w:val="000000"/>
              </w:rPr>
            </w:pPr>
            <w:r w:rsidRPr="00C114AC">
              <w:rPr>
                <w:color w:val="000000"/>
              </w:rPr>
              <w:t>Perform initial performance test, Reference Method 3 or 3A and 7E, Method 20 or ASTM D6522-00, test, and repeat performance tests if necessary. </w:t>
            </w:r>
          </w:p>
        </w:tc>
      </w:tr>
      <w:tr w14:paraId="55372A75" w14:textId="77777777">
        <w:tblPrEx>
          <w:tblW w:w="9445" w:type="dxa"/>
          <w:tblLook w:val="04A0"/>
        </w:tblPrEx>
        <w:trPr>
          <w:trHeight w:val="432"/>
        </w:trPr>
        <w:tc>
          <w:tcPr>
            <w:tcW w:w="9445" w:type="dxa"/>
            <w:vAlign w:val="center"/>
          </w:tcPr>
          <w:p w:rsidR="008B07A2" w:rsidRPr="00B04A5C" w14:paraId="48ADF906" w14:textId="77777777">
            <w:pPr>
              <w:outlineLvl w:val="0"/>
              <w:rPr>
                <w:color w:val="000000"/>
              </w:rPr>
            </w:pPr>
            <w:r w:rsidRPr="00B04A5C">
              <w:rPr>
                <w:color w:val="000000"/>
              </w:rPr>
              <w:t>Write the notifications and reports listed above.</w:t>
            </w:r>
          </w:p>
        </w:tc>
      </w:tr>
      <w:tr w14:paraId="6EB70483" w14:textId="77777777">
        <w:tblPrEx>
          <w:tblW w:w="9445" w:type="dxa"/>
          <w:tblLook w:val="04A0"/>
        </w:tblPrEx>
        <w:trPr>
          <w:trHeight w:val="432"/>
        </w:trPr>
        <w:tc>
          <w:tcPr>
            <w:tcW w:w="9445" w:type="dxa"/>
            <w:vAlign w:val="center"/>
          </w:tcPr>
          <w:p w:rsidR="008B07A2" w:rsidRPr="00B04A5C" w14:paraId="40649BBA" w14:textId="77777777">
            <w:pPr>
              <w:outlineLvl w:val="0"/>
              <w:rPr>
                <w:color w:val="000000"/>
              </w:rPr>
            </w:pPr>
            <w:r w:rsidRPr="00B04A5C">
              <w:rPr>
                <w:color w:val="000000"/>
              </w:rPr>
              <w:t>Enter information required to be recorded above.</w:t>
            </w:r>
          </w:p>
        </w:tc>
      </w:tr>
      <w:tr w14:paraId="51C92A26" w14:textId="77777777">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8B07A2" w:rsidRPr="00B04A5C"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tblPrEx>
          <w:tblW w:w="9445" w:type="dxa"/>
          <w:tblLook w:val="04A0"/>
        </w:tblPrEx>
        <w:trPr>
          <w:trHeight w:val="728"/>
        </w:trPr>
        <w:tc>
          <w:tcPr>
            <w:tcW w:w="9445" w:type="dxa"/>
            <w:vAlign w:val="center"/>
          </w:tcPr>
          <w:p w:rsidR="008B07A2" w:rsidRPr="00B04A5C"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8B07A2" w:rsidRPr="00B04A5C" w14:paraId="484A8233" w14:textId="77777777">
            <w:pPr>
              <w:outlineLvl w:val="0"/>
              <w:rPr>
                <w:color w:val="000000"/>
              </w:rPr>
            </w:pPr>
            <w:r w:rsidRPr="00B04A5C">
              <w:rPr>
                <w:color w:val="000000"/>
              </w:rPr>
              <w:t>Train personnel to be able to respond to a collection of information.</w:t>
            </w:r>
          </w:p>
        </w:tc>
      </w:tr>
      <w:tr w14:paraId="1564CD2E" w14:textId="77777777">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71CE0230">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F66E77">
        <w:rPr>
          <w:rFonts w:cstheme="minorHAnsi"/>
        </w:rPr>
        <w:t xml:space="preserve">be </w:t>
      </w:r>
      <w:r w:rsidRPr="00F66E77" w:rsidR="00F66E77">
        <w:rPr>
          <w:rFonts w:cstheme="minorHAnsi"/>
        </w:rPr>
        <w:t>69,100</w:t>
      </w:r>
      <w:r w:rsidR="00F66E77">
        <w:rPr>
          <w:rFonts w:cstheme="minorHAnsi"/>
          <w:color w:val="FF0000"/>
        </w:rPr>
        <w:t xml:space="preserve"> </w:t>
      </w:r>
      <w:r w:rsidRPr="00B6361B">
        <w:rPr>
          <w:rFonts w:cstheme="minorHAnsi"/>
          <w:color w:val="000000"/>
        </w:rPr>
        <w:t xml:space="preserve">hours (Total Labor Hours from Table 1). These hours are based on Agency studies and background documents from the development of </w:t>
      </w:r>
      <w:r w:rsidRPr="00B6361B">
        <w:rPr>
          <w:rFonts w:cstheme="minorHAnsi"/>
          <w:color w:val="000000"/>
        </w:rPr>
        <w:t>the regulation</w:t>
      </w:r>
      <w:r w:rsidRPr="00B6361B">
        <w:rPr>
          <w:rFonts w:cstheme="minorHAnsi"/>
          <w:color w:val="000000"/>
        </w:rPr>
        <w:t xml:space="preserve">, </w:t>
      </w:r>
      <w:r w:rsidRPr="00B6361B">
        <w:rPr>
          <w:rFonts w:cstheme="minorHAnsi"/>
          <w:color w:val="000000"/>
        </w:rPr>
        <w:t>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27BFDFD2">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003E25FE">
        <w:rPr>
          <w:rFonts w:cstheme="minorHAnsi"/>
          <w:color w:val="000000"/>
        </w:rPr>
        <w:t>184.86</w:t>
      </w:r>
      <w:r w:rsidRPr="00F67B5E" w:rsidR="00F67B5E">
        <w:rPr>
          <w:rFonts w:cstheme="minorHAnsi"/>
          <w:color w:val="000000"/>
        </w:rPr>
        <w:t xml:space="preserve"> </w:t>
      </w:r>
      <w:r w:rsidRPr="00B6361B">
        <w:rPr>
          <w:rFonts w:cstheme="minorHAnsi"/>
          <w:color w:val="000000"/>
        </w:rPr>
        <w:t>(</w:t>
      </w:r>
      <w:r w:rsidRPr="00FF4B69" w:rsidR="00FF4B69">
        <w:rPr>
          <w:rFonts w:cstheme="minorHAnsi"/>
          <w:color w:val="000000"/>
        </w:rPr>
        <w:t>$</w:t>
      </w:r>
      <w:r w:rsidR="002D0E2B">
        <w:rPr>
          <w:rFonts w:cstheme="minorHAnsi"/>
          <w:color w:val="000000"/>
        </w:rPr>
        <w:t>88.03</w:t>
      </w:r>
      <w:r w:rsidR="00FF4B69">
        <w:rPr>
          <w:rFonts w:cstheme="minorHAnsi"/>
          <w:color w:val="000000"/>
        </w:rPr>
        <w:t xml:space="preserve"> </w:t>
      </w:r>
      <w:r w:rsidRPr="00B6361B">
        <w:rPr>
          <w:rFonts w:cstheme="minorHAnsi"/>
          <w:color w:val="000000"/>
        </w:rPr>
        <w:t>+ 110%)</w:t>
      </w:r>
      <w:r w:rsidR="001E1919">
        <w:rPr>
          <w:rFonts w:cstheme="minorHAnsi"/>
          <w:color w:val="000000"/>
        </w:rPr>
        <w:t xml:space="preserve"> </w:t>
      </w:r>
    </w:p>
    <w:p w:rsidR="00B6361B" w:rsidRPr="00B6361B" w:rsidP="00C4086C" w14:paraId="5A657EE1" w14:textId="1C273056">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00362684">
        <w:rPr>
          <w:rFonts w:cstheme="minorHAnsi"/>
          <w:color w:val="000000"/>
        </w:rPr>
        <w:t>148.45</w:t>
      </w:r>
      <w:r w:rsidRPr="00583AAC" w:rsidR="00583AAC">
        <w:rPr>
          <w:rFonts w:cstheme="minorHAnsi"/>
          <w:color w:val="000000"/>
        </w:rPr>
        <w:t xml:space="preserve"> ($</w:t>
      </w:r>
      <w:r w:rsidR="00362684">
        <w:rPr>
          <w:rFonts w:cstheme="minorHAnsi"/>
          <w:color w:val="000000"/>
        </w:rPr>
        <w:t>70.69</w:t>
      </w:r>
      <w:r w:rsidRPr="00583AAC" w:rsidR="00583AAC">
        <w:rPr>
          <w:rFonts w:cstheme="minorHAnsi"/>
          <w:color w:val="000000"/>
        </w:rPr>
        <w:t>+ 110%)</w:t>
      </w:r>
    </w:p>
    <w:p w:rsidR="00B6361B" w:rsidRPr="00B6361B" w:rsidP="00C4086C" w14:paraId="02C1710F" w14:textId="1CD4E583">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00DC3AC9">
        <w:rPr>
          <w:rFonts w:cstheme="minorHAnsi"/>
          <w:color w:val="000000"/>
        </w:rPr>
        <w:t>76.42</w:t>
      </w:r>
      <w:r w:rsidRPr="003F1F7D" w:rsidR="003F1F7D">
        <w:rPr>
          <w:rFonts w:cstheme="minorHAnsi"/>
          <w:color w:val="000000"/>
        </w:rPr>
        <w:t xml:space="preserve"> ($</w:t>
      </w:r>
      <w:r w:rsidR="00121AC1">
        <w:rPr>
          <w:rFonts w:cstheme="minorHAnsi"/>
          <w:color w:val="000000"/>
        </w:rPr>
        <w:t>36.39</w:t>
      </w:r>
      <w:r w:rsidRPr="003F1F7D" w:rsidR="003F1F7D">
        <w:rPr>
          <w:rFonts w:cstheme="minorHAnsi"/>
          <w:color w:val="000000"/>
        </w:rPr>
        <w:t xml:space="preserve">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2E759D4B">
      <w:pPr>
        <w:spacing w:before="60"/>
        <w:rPr>
          <w:rFonts w:cstheme="minorHAnsi"/>
          <w:color w:val="000000"/>
        </w:rPr>
      </w:pPr>
      <w:r w:rsidRPr="006A0C6C">
        <w:rPr>
          <w:rFonts w:cstheme="minorHAnsi"/>
          <w:color w:val="000000"/>
        </w:rPr>
        <w:t xml:space="preserve">These rates are from the United States Department of Labor, Bureau of Labor Statistics, </w:t>
      </w:r>
      <w:r w:rsidR="00BA720A">
        <w:rPr>
          <w:rFonts w:cstheme="minorHAnsi"/>
          <w:color w:val="000000"/>
        </w:rPr>
        <w:t>March 2025</w:t>
      </w:r>
      <w:r w:rsidRPr="006A0C6C">
        <w:rPr>
          <w:rFonts w:cstheme="minorHAnsi"/>
          <w:color w:val="000000"/>
        </w:rPr>
        <w:t>,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BB3410" w:rsidRPr="00F67EF6" w:rsidP="00854AAE" w14:paraId="678BA42F" w14:textId="7AB12E09">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4B3FB0" w:rsidP="000069AF" w14:paraId="18B03B9C" w14:textId="25C62F0D">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CE4702" w:rsidR="00CE4702">
        <w:rPr>
          <w:rFonts w:cstheme="minorHAnsi"/>
        </w:rPr>
        <w:t>4,920</w:t>
      </w:r>
      <w:r w:rsidRPr="000069AF">
        <w:rPr>
          <w:rFonts w:cstheme="minorHAnsi"/>
          <w:color w:val="000000"/>
        </w:rPr>
        <w:t xml:space="preserve"> hours at a cost of </w:t>
      </w:r>
      <w:r w:rsidRPr="00CE4702">
        <w:rPr>
          <w:rFonts w:cstheme="minorHAnsi"/>
        </w:rPr>
        <w:t>$</w:t>
      </w:r>
      <w:r w:rsidR="00C63989">
        <w:rPr>
          <w:rFonts w:cstheme="minorHAnsi"/>
        </w:rPr>
        <w:t>279</w:t>
      </w:r>
      <w:r w:rsidRPr="00CE4702" w:rsidR="00CE4702">
        <w:rPr>
          <w:rFonts w:cstheme="minorHAnsi"/>
        </w:rPr>
        <w:t>,000</w:t>
      </w:r>
      <w:r w:rsidRPr="00CE4702">
        <w:rPr>
          <w:rFonts w:cstheme="minorHAnsi"/>
        </w:rPr>
        <w:t>.</w:t>
      </w:r>
      <w:r w:rsidRPr="000069AF">
        <w:rPr>
          <w:rFonts w:cstheme="minorHAnsi"/>
          <w:color w:val="000000"/>
        </w:rPr>
        <w:t xml:space="preserve"> See Table 2: Average Annual EPA Burden and Cost </w:t>
      </w:r>
      <w:r w:rsidRPr="004B3FB0">
        <w:rPr>
          <w:rFonts w:cstheme="minorHAnsi"/>
        </w:rPr>
        <w:t xml:space="preserve">– </w:t>
      </w:r>
      <w:r w:rsidRPr="004B3FB0" w:rsidR="004B3FB0">
        <w:rPr>
          <w:rFonts w:cstheme="minorHAnsi"/>
        </w:rPr>
        <w:t>NSPS for Stationary Gas Turbines (40 CFR Part 60, Subpart GG) (Renewal)</w:t>
      </w:r>
      <w:r w:rsidRPr="004B3FB0">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435E80BA" w14:paraId="5BDD4B04" w14:textId="59A240DD">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w:t>
      </w:r>
      <w:r w:rsidR="0068100E">
        <w:rPr>
          <w:color w:val="000000"/>
        </w:rPr>
        <w:t>78.22</w:t>
      </w:r>
      <w:r w:rsidRPr="435E80BA">
        <w:rPr>
          <w:color w:val="000000"/>
        </w:rPr>
        <w:t xml:space="preserve"> (GS-13, Step 5, $</w:t>
      </w:r>
      <w:r w:rsidR="00EF4177">
        <w:rPr>
          <w:color w:val="000000"/>
        </w:rPr>
        <w:t>48.89</w:t>
      </w:r>
      <w:r w:rsidRPr="435E80BA">
        <w:rPr>
          <w:color w:val="000000"/>
        </w:rPr>
        <w:t xml:space="preserve"> + 60%)</w:t>
      </w:r>
    </w:p>
    <w:p w:rsidR="00BF6C47" w:rsidP="000069AF" w14:paraId="11AA48E4" w14:textId="3949DD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0039670C">
        <w:rPr>
          <w:rFonts w:cstheme="minorHAnsi"/>
          <w:color w:val="000000"/>
        </w:rPr>
        <w:t>58.05</w:t>
      </w:r>
      <w:r w:rsidRPr="00BF6C47">
        <w:rPr>
          <w:rFonts w:cstheme="minorHAnsi"/>
          <w:color w:val="000000"/>
        </w:rPr>
        <w:t xml:space="preserve"> (GS-12, Step 1, $</w:t>
      </w:r>
      <w:r w:rsidR="00261F43">
        <w:rPr>
          <w:rFonts w:cstheme="minorHAnsi"/>
          <w:color w:val="000000"/>
        </w:rPr>
        <w:t>36.28</w:t>
      </w:r>
      <w:r w:rsidRPr="00BF6C47">
        <w:rPr>
          <w:rFonts w:cstheme="minorHAnsi"/>
          <w:color w:val="000000"/>
        </w:rPr>
        <w:t xml:space="preserve"> + 60%)</w:t>
      </w:r>
    </w:p>
    <w:p w:rsidR="000069AF" w:rsidRPr="000069AF" w:rsidP="000069AF" w14:paraId="109B85E8" w14:textId="1E5BF98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0039670C">
        <w:rPr>
          <w:rFonts w:cstheme="minorHAnsi"/>
          <w:color w:val="000000"/>
        </w:rPr>
        <w:t>31.41</w:t>
      </w:r>
      <w:r w:rsidRPr="00E30153" w:rsidR="00E30153">
        <w:rPr>
          <w:rFonts w:cstheme="minorHAnsi"/>
          <w:color w:val="000000"/>
        </w:rPr>
        <w:t xml:space="preserve"> (GS-6, Step 3, $</w:t>
      </w:r>
      <w:r w:rsidR="0068100E">
        <w:rPr>
          <w:rFonts w:cstheme="minorHAnsi"/>
          <w:color w:val="000000"/>
        </w:rPr>
        <w:t>19.63</w:t>
      </w:r>
      <w:r w:rsidRPr="00E30153" w:rsidR="00E30153">
        <w:rPr>
          <w:rFonts w:cstheme="minorHAnsi"/>
          <w:color w:val="000000"/>
        </w:rPr>
        <w:t>+ 60%)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1F8C14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 xml:space="preserve">These rates are from the Office of Personnel Management (OPM), </w:t>
      </w:r>
      <w:r w:rsidR="00E641CB">
        <w:rPr>
          <w:rFonts w:cstheme="minorHAnsi"/>
          <w:color w:val="000000"/>
        </w:rPr>
        <w:t>2025</w:t>
      </w:r>
      <w:r w:rsidRPr="00E30153">
        <w:rPr>
          <w:rFonts w:cstheme="minorHAnsi"/>
          <w:color w:val="000000"/>
        </w:rPr>
        <w:t xml:space="preserve">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4B3FB0" w:rsidR="00AB63D1">
        <w:rPr>
          <w:rFonts w:cstheme="minorHAnsi"/>
        </w:rPr>
        <w:t>NSPS for Stationary Gas Turbines (40 CFR Part 60, Subpart GG) (Renewal</w:t>
      </w:r>
      <w:r w:rsidR="00AB63D1">
        <w:rPr>
          <w:rFonts w:cstheme="minorHAnsi"/>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2E4E93" w:rsidRPr="00090A97" w:rsidP="00090A97" w14:paraId="60419202" w14:textId="7FF3CBBD">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FE78E5" w:rsidP="003000C5" w14:paraId="545F9545" w14:textId="19182E54">
      <w:r w:rsidRPr="00646E32">
        <w:t xml:space="preserve">There is no change in burden from the most recently approved ICR as currently identified in the OMB Inventory of Approved Burdens. This is due to two considerations. First, the regulations have not changed over the past three years and are not </w:t>
      </w:r>
      <w:r w:rsidRPr="00646E32">
        <w:t>anticipated</w:t>
      </w:r>
      <w:r w:rsidRPr="00646E32">
        <w:t xml:space="preserve">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3113CC">
        <w:t xml:space="preserve">March </w:t>
      </w:r>
      <w:r w:rsidR="00090A97">
        <w:t>2025</w:t>
      </w:r>
      <w:r w:rsidRPr="00646E32">
        <w:t>) to calculate respondent burden costs.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696EF0B5">
      <w:pPr>
        <w:pBdr>
          <w:top w:val="single" w:sz="6" w:space="0" w:color="FFFFFF"/>
          <w:left w:val="single" w:sz="6" w:space="0" w:color="FFFFFF"/>
          <w:bottom w:val="single" w:sz="6" w:space="0" w:color="FFFFFF"/>
          <w:right w:val="single" w:sz="6" w:space="0" w:color="FFFFFF"/>
        </w:pBdr>
        <w:rPr>
          <w:color w:val="FF0000"/>
        </w:rPr>
      </w:pPr>
      <w:r w:rsidRPr="00B47717">
        <w:t>Although this rule does not require electronic reporting, respondents could choose to submit notifications or reports electronically.</w:t>
      </w:r>
      <w:r w:rsidRPr="000C21A3">
        <w:rPr>
          <w:color w:val="FF0000"/>
        </w:rPr>
        <w:t xml:space="preserve"> </w:t>
      </w:r>
      <w:r w:rsidRPr="007025A2">
        <w:t xml:space="preserve">All non-CBI data submitted electronically to the Agency through CEDRI </w:t>
      </w:r>
      <w:r w:rsidRPr="007025A2">
        <w:t>are</w:t>
      </w:r>
      <w:r w:rsidRPr="007025A2">
        <w:t xml:space="preserv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RPr="00D06BAB" w:rsidP="001641AA" w14:paraId="7CE12A09" w14:textId="5177C258">
      <w:pPr>
        <w:spacing w:before="240"/>
        <w:rPr>
          <w:rFonts w:cstheme="minorHAnsi"/>
          <w:b/>
          <w:bCs/>
          <w:sz w:val="24"/>
          <w:szCs w:val="24"/>
        </w:rPr>
      </w:pPr>
      <w:r w:rsidRPr="00D06BAB">
        <w:rPr>
          <w:rFonts w:cstheme="minorHAnsi"/>
          <w:b/>
          <w:bCs/>
          <w:sz w:val="24"/>
          <w:szCs w:val="24"/>
        </w:rPr>
        <w:t xml:space="preserve">Table 1: Annual Respondent Burden and Cost – </w:t>
      </w:r>
      <w:r w:rsidRPr="00D06BAB" w:rsidR="00D06BAB">
        <w:rPr>
          <w:rFonts w:cstheme="minorHAnsi"/>
          <w:b/>
          <w:bCs/>
          <w:sz w:val="24"/>
          <w:szCs w:val="24"/>
        </w:rPr>
        <w:t>NSPS for Stationary Gas Turbines (40 CFR Part 60, Subpart GG) (Renewal)</w:t>
      </w:r>
    </w:p>
    <w:tbl>
      <w:tblPr>
        <w:tblW w:w="13469" w:type="dxa"/>
        <w:tblInd w:w="113" w:type="dxa"/>
        <w:tblLook w:val="04A0"/>
      </w:tblPr>
      <w:tblGrid>
        <w:gridCol w:w="3595"/>
        <w:gridCol w:w="1160"/>
        <w:gridCol w:w="1238"/>
        <w:gridCol w:w="1175"/>
        <w:gridCol w:w="1306"/>
        <w:gridCol w:w="1050"/>
        <w:gridCol w:w="1338"/>
        <w:gridCol w:w="1103"/>
        <w:gridCol w:w="1480"/>
        <w:gridCol w:w="24"/>
      </w:tblGrid>
      <w:tr w14:paraId="1D563FBE" w14:textId="77777777" w:rsidTr="00025304">
        <w:tblPrEx>
          <w:tblW w:w="13469" w:type="dxa"/>
          <w:tblInd w:w="113" w:type="dxa"/>
          <w:tblLook w:val="04A0"/>
        </w:tblPrEx>
        <w:trPr>
          <w:gridAfter w:val="1"/>
          <w:wAfter w:w="27" w:type="dxa"/>
          <w:trHeight w:val="1530"/>
        </w:trPr>
        <w:tc>
          <w:tcPr>
            <w:tcW w:w="3595" w:type="dxa"/>
            <w:tcBorders>
              <w:top w:val="single" w:sz="4" w:space="0" w:color="auto"/>
              <w:left w:val="single" w:sz="4" w:space="0" w:color="auto"/>
              <w:bottom w:val="single" w:sz="4" w:space="0" w:color="auto"/>
              <w:right w:val="single" w:sz="4" w:space="0" w:color="auto"/>
            </w:tcBorders>
            <w:vAlign w:val="center"/>
            <w:hideMark/>
          </w:tcPr>
          <w:p w:rsidR="00025304" w:rsidRPr="00025304" w:rsidP="00025304" w14:paraId="451DCAC8"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Burden item</w:t>
            </w:r>
          </w:p>
        </w:tc>
        <w:tc>
          <w:tcPr>
            <w:tcW w:w="1160" w:type="dxa"/>
            <w:tcBorders>
              <w:top w:val="single" w:sz="4" w:space="0" w:color="auto"/>
              <w:left w:val="nil"/>
              <w:bottom w:val="single" w:sz="4" w:space="0" w:color="auto"/>
              <w:right w:val="single" w:sz="4" w:space="0" w:color="auto"/>
            </w:tcBorders>
            <w:vAlign w:val="center"/>
            <w:hideMark/>
          </w:tcPr>
          <w:p w:rsidR="00025304" w:rsidRPr="00025304" w:rsidP="00025304" w14:paraId="22F945A8"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xml:space="preserve">(A) </w:t>
            </w:r>
            <w:r w:rsidRPr="00025304">
              <w:rPr>
                <w:rFonts w:eastAsia="Times New Roman" w:cstheme="minorHAnsi"/>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vAlign w:val="center"/>
            <w:hideMark/>
          </w:tcPr>
          <w:p w:rsidR="00025304" w:rsidRPr="00025304" w:rsidP="00025304" w14:paraId="4FF20031"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(B)</w:t>
            </w:r>
            <w:r w:rsidRPr="00025304">
              <w:rPr>
                <w:rFonts w:eastAsia="Times New Roman" w:cstheme="minorHAnsi"/>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vAlign w:val="center"/>
            <w:hideMark/>
          </w:tcPr>
          <w:p w:rsidR="00025304" w:rsidRPr="00025304" w:rsidP="00025304" w14:paraId="11FE408E"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(C)</w:t>
            </w:r>
            <w:r w:rsidRPr="00025304">
              <w:rPr>
                <w:rFonts w:eastAsia="Times New Roman" w:cstheme="minorHAnsi"/>
                <w:b/>
                <w:bCs/>
                <w:color w:val="000000"/>
                <w:sz w:val="20"/>
                <w:szCs w:val="20"/>
              </w:rPr>
              <w:br/>
              <w:t>Person hours per respondent per year</w:t>
            </w:r>
            <w:r w:rsidRPr="00025304">
              <w:rPr>
                <w:rFonts w:eastAsia="Times New Roman" w:cstheme="minorHAnsi"/>
                <w:b/>
                <w:bCs/>
                <w:color w:val="000000"/>
                <w:sz w:val="20"/>
                <w:szCs w:val="20"/>
              </w:rPr>
              <w:br/>
              <w:t>(C=</w:t>
            </w:r>
            <w:r w:rsidRPr="00025304">
              <w:rPr>
                <w:rFonts w:eastAsia="Times New Roman" w:cstheme="minorHAnsi"/>
                <w:b/>
                <w:bCs/>
                <w:color w:val="000000"/>
                <w:sz w:val="20"/>
                <w:szCs w:val="20"/>
              </w:rPr>
              <w:t>AxB</w:t>
            </w:r>
            <w:r w:rsidRPr="00025304">
              <w:rPr>
                <w:rFonts w:eastAsia="Times New Roman" w:cstheme="minorHAnsi"/>
                <w:b/>
                <w:bCs/>
                <w:color w:val="000000"/>
                <w:sz w:val="20"/>
                <w:szCs w:val="20"/>
              </w:rPr>
              <w:t>)</w:t>
            </w:r>
          </w:p>
        </w:tc>
        <w:tc>
          <w:tcPr>
            <w:tcW w:w="1306" w:type="dxa"/>
            <w:tcBorders>
              <w:top w:val="single" w:sz="4" w:space="0" w:color="auto"/>
              <w:left w:val="nil"/>
              <w:bottom w:val="single" w:sz="4" w:space="0" w:color="auto"/>
              <w:right w:val="single" w:sz="4" w:space="0" w:color="auto"/>
            </w:tcBorders>
            <w:vAlign w:val="center"/>
            <w:hideMark/>
          </w:tcPr>
          <w:p w:rsidR="00025304" w:rsidRPr="00025304" w:rsidP="00025304" w14:paraId="61FF3883" w14:textId="47766026">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(D)</w:t>
            </w:r>
            <w:r w:rsidRPr="00025304">
              <w:rPr>
                <w:rFonts w:eastAsia="Times New Roman" w:cstheme="minorHAnsi"/>
                <w:b/>
                <w:bCs/>
                <w:color w:val="000000"/>
                <w:sz w:val="20"/>
                <w:szCs w:val="20"/>
              </w:rPr>
              <w:br/>
              <w:t>Respondents per year</w:t>
            </w:r>
            <w:r w:rsidR="001E1919">
              <w:rPr>
                <w:rFonts w:eastAsia="Times New Roman" w:cstheme="minorHAnsi"/>
                <w:b/>
                <w:bCs/>
                <w:color w:val="000000"/>
                <w:sz w:val="20"/>
                <w:szCs w:val="20"/>
              </w:rPr>
              <w:t xml:space="preserve"> </w:t>
            </w:r>
            <w:r w:rsidRPr="00025304">
              <w:rPr>
                <w:rFonts w:eastAsia="Times New Roman" w:cstheme="minorHAnsi"/>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vAlign w:val="center"/>
            <w:hideMark/>
          </w:tcPr>
          <w:p w:rsidR="00025304" w:rsidRPr="00025304" w:rsidP="00025304" w14:paraId="1727EAE2"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(E)</w:t>
            </w:r>
            <w:r w:rsidRPr="00025304">
              <w:rPr>
                <w:rFonts w:eastAsia="Times New Roman" w:cstheme="minorHAnsi"/>
                <w:b/>
                <w:bCs/>
                <w:color w:val="000000"/>
                <w:sz w:val="20"/>
                <w:szCs w:val="20"/>
              </w:rPr>
              <w:br/>
              <w:t>Technical person- hours per year</w:t>
            </w:r>
            <w:r w:rsidRPr="00025304">
              <w:rPr>
                <w:rFonts w:eastAsia="Times New Roman" w:cstheme="minorHAnsi"/>
                <w:b/>
                <w:bCs/>
                <w:color w:val="000000"/>
                <w:sz w:val="20"/>
                <w:szCs w:val="20"/>
              </w:rPr>
              <w:br/>
              <w:t>(E=</w:t>
            </w:r>
            <w:r w:rsidRPr="00025304">
              <w:rPr>
                <w:rFonts w:eastAsia="Times New Roman" w:cstheme="minorHAnsi"/>
                <w:b/>
                <w:bCs/>
                <w:color w:val="000000"/>
                <w:sz w:val="20"/>
                <w:szCs w:val="20"/>
              </w:rPr>
              <w:t>CxD</w:t>
            </w:r>
            <w:r w:rsidRPr="00025304">
              <w:rPr>
                <w:rFonts w:eastAsia="Times New Roman" w:cstheme="minorHAnsi"/>
                <w:b/>
                <w:bCs/>
                <w:color w:val="000000"/>
                <w:sz w:val="20"/>
                <w:szCs w:val="20"/>
              </w:rPr>
              <w:t>)</w:t>
            </w:r>
          </w:p>
        </w:tc>
        <w:tc>
          <w:tcPr>
            <w:tcW w:w="1338" w:type="dxa"/>
            <w:tcBorders>
              <w:top w:val="single" w:sz="4" w:space="0" w:color="auto"/>
              <w:left w:val="nil"/>
              <w:bottom w:val="single" w:sz="4" w:space="0" w:color="auto"/>
              <w:right w:val="single" w:sz="4" w:space="0" w:color="auto"/>
            </w:tcBorders>
            <w:vAlign w:val="center"/>
            <w:hideMark/>
          </w:tcPr>
          <w:p w:rsidR="00025304" w:rsidRPr="00025304" w:rsidP="00025304" w14:paraId="716AAC27"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(F)</w:t>
            </w:r>
            <w:r w:rsidRPr="00025304">
              <w:rPr>
                <w:rFonts w:eastAsia="Times New Roman" w:cstheme="minorHAnsi"/>
                <w:b/>
                <w:bCs/>
                <w:color w:val="000000"/>
                <w:sz w:val="20"/>
                <w:szCs w:val="20"/>
              </w:rPr>
              <w:br/>
              <w:t>Management person hours per year</w:t>
            </w:r>
            <w:r w:rsidRPr="00025304">
              <w:rPr>
                <w:rFonts w:eastAsia="Times New Roman" w:cstheme="minorHAnsi"/>
                <w:b/>
                <w:bCs/>
                <w:color w:val="000000"/>
                <w:sz w:val="20"/>
                <w:szCs w:val="20"/>
              </w:rPr>
              <w:br/>
              <w:t>(F=Ex0.05)</w:t>
            </w:r>
          </w:p>
        </w:tc>
        <w:tc>
          <w:tcPr>
            <w:tcW w:w="1103" w:type="dxa"/>
            <w:tcBorders>
              <w:top w:val="single" w:sz="4" w:space="0" w:color="auto"/>
              <w:left w:val="nil"/>
              <w:bottom w:val="single" w:sz="4" w:space="0" w:color="auto"/>
              <w:right w:val="single" w:sz="4" w:space="0" w:color="auto"/>
            </w:tcBorders>
            <w:vAlign w:val="center"/>
            <w:hideMark/>
          </w:tcPr>
          <w:p w:rsidR="00025304" w:rsidRPr="00025304" w:rsidP="00025304" w14:paraId="245B3C05"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(G)</w:t>
            </w:r>
            <w:r w:rsidRPr="00025304">
              <w:rPr>
                <w:rFonts w:eastAsia="Times New Roman" w:cstheme="minorHAnsi"/>
                <w:b/>
                <w:bCs/>
                <w:color w:val="000000"/>
                <w:sz w:val="20"/>
                <w:szCs w:val="20"/>
              </w:rPr>
              <w:br/>
              <w:t>Clerical person hours per year</w:t>
            </w:r>
            <w:r w:rsidRPr="00025304">
              <w:rPr>
                <w:rFonts w:eastAsia="Times New Roman" w:cstheme="minorHAnsi"/>
                <w:b/>
                <w:bCs/>
                <w:color w:val="000000"/>
                <w:sz w:val="20"/>
                <w:szCs w:val="20"/>
              </w:rPr>
              <w:br/>
              <w:t>(G=Ex0.1)</w:t>
            </w:r>
          </w:p>
        </w:tc>
        <w:tc>
          <w:tcPr>
            <w:tcW w:w="1480" w:type="dxa"/>
            <w:tcBorders>
              <w:top w:val="single" w:sz="4" w:space="0" w:color="auto"/>
              <w:left w:val="nil"/>
              <w:bottom w:val="single" w:sz="4" w:space="0" w:color="auto"/>
              <w:right w:val="single" w:sz="4" w:space="0" w:color="auto"/>
            </w:tcBorders>
            <w:vAlign w:val="center"/>
            <w:hideMark/>
          </w:tcPr>
          <w:p w:rsidR="00025304" w:rsidRPr="00025304" w:rsidP="00025304" w14:paraId="5B1A5C5D"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xml:space="preserve">Total Cost Per year ($) </w:t>
            </w:r>
            <w:r w:rsidRPr="00025304">
              <w:rPr>
                <w:rFonts w:eastAsia="Times New Roman" w:cstheme="minorHAnsi"/>
                <w:b/>
                <w:bCs/>
                <w:color w:val="000000"/>
                <w:sz w:val="20"/>
                <w:szCs w:val="20"/>
                <w:vertAlign w:val="superscript"/>
              </w:rPr>
              <w:t>b</w:t>
            </w:r>
          </w:p>
        </w:tc>
      </w:tr>
      <w:tr w14:paraId="1CFA195E"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10D81B57" w14:textId="54A58FF9">
            <w:pPr>
              <w:spacing w:after="0" w:line="240" w:lineRule="auto"/>
              <w:rPr>
                <w:rFonts w:eastAsia="Times New Roman" w:cstheme="minorHAnsi"/>
                <w:color w:val="000000"/>
                <w:sz w:val="20"/>
                <w:szCs w:val="20"/>
              </w:rPr>
            </w:pPr>
            <w:r w:rsidRPr="00025304">
              <w:rPr>
                <w:rFonts w:eastAsia="Times New Roman" w:cstheme="minorHAnsi"/>
                <w:color w:val="000000"/>
                <w:sz w:val="20"/>
                <w:szCs w:val="20"/>
              </w:rPr>
              <w:t>1.</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Applications</w:t>
            </w:r>
          </w:p>
        </w:tc>
        <w:tc>
          <w:tcPr>
            <w:tcW w:w="1160" w:type="dxa"/>
            <w:tcBorders>
              <w:top w:val="nil"/>
              <w:left w:val="nil"/>
              <w:bottom w:val="single" w:sz="4" w:space="0" w:color="auto"/>
              <w:right w:val="single" w:sz="4" w:space="0" w:color="auto"/>
            </w:tcBorders>
            <w:vAlign w:val="center"/>
            <w:hideMark/>
          </w:tcPr>
          <w:p w:rsidR="00025304" w:rsidRPr="00025304" w:rsidP="00025304" w14:paraId="4D9D9EB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N/A</w:t>
            </w:r>
          </w:p>
        </w:tc>
        <w:tc>
          <w:tcPr>
            <w:tcW w:w="1238" w:type="dxa"/>
            <w:tcBorders>
              <w:top w:val="nil"/>
              <w:left w:val="nil"/>
              <w:bottom w:val="single" w:sz="4" w:space="0" w:color="auto"/>
              <w:right w:val="single" w:sz="4" w:space="0" w:color="auto"/>
            </w:tcBorders>
            <w:vAlign w:val="center"/>
            <w:hideMark/>
          </w:tcPr>
          <w:p w:rsidR="00025304" w:rsidRPr="00025304" w:rsidP="00025304" w14:paraId="32DF931A"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461B092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163A628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58E199B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61D32426"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7C1EACC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3FD657FB"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13B1F436"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41ABF52E" w14:textId="4F4EC798">
            <w:pPr>
              <w:spacing w:after="0" w:line="240" w:lineRule="auto"/>
              <w:rPr>
                <w:rFonts w:eastAsia="Times New Roman" w:cstheme="minorHAnsi"/>
                <w:color w:val="000000"/>
                <w:sz w:val="20"/>
                <w:szCs w:val="20"/>
              </w:rPr>
            </w:pPr>
            <w:r w:rsidRPr="00025304">
              <w:rPr>
                <w:rFonts w:eastAsia="Times New Roman" w:cstheme="minorHAnsi"/>
                <w:color w:val="000000"/>
                <w:sz w:val="20"/>
                <w:szCs w:val="20"/>
              </w:rPr>
              <w:t>2.</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Surveys and studies</w:t>
            </w:r>
          </w:p>
        </w:tc>
        <w:tc>
          <w:tcPr>
            <w:tcW w:w="1160" w:type="dxa"/>
            <w:tcBorders>
              <w:top w:val="nil"/>
              <w:left w:val="nil"/>
              <w:bottom w:val="single" w:sz="4" w:space="0" w:color="auto"/>
              <w:right w:val="single" w:sz="4" w:space="0" w:color="auto"/>
            </w:tcBorders>
            <w:vAlign w:val="center"/>
            <w:hideMark/>
          </w:tcPr>
          <w:p w:rsidR="00025304" w:rsidRPr="00025304" w:rsidP="00025304" w14:paraId="7CE9AAD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N/A</w:t>
            </w:r>
          </w:p>
        </w:tc>
        <w:tc>
          <w:tcPr>
            <w:tcW w:w="1238" w:type="dxa"/>
            <w:tcBorders>
              <w:top w:val="nil"/>
              <w:left w:val="nil"/>
              <w:bottom w:val="single" w:sz="4" w:space="0" w:color="auto"/>
              <w:right w:val="single" w:sz="4" w:space="0" w:color="auto"/>
            </w:tcBorders>
            <w:vAlign w:val="center"/>
            <w:hideMark/>
          </w:tcPr>
          <w:p w:rsidR="00025304" w:rsidRPr="00025304" w:rsidP="00025304" w14:paraId="2B4CF99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430FE1E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535A692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4E800DC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219C54C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056CD12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3A9F7E02"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0954648C"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2CF27B28" w14:textId="77777777">
            <w:pPr>
              <w:spacing w:after="0" w:line="240" w:lineRule="auto"/>
              <w:rPr>
                <w:rFonts w:eastAsia="Times New Roman" w:cstheme="minorHAnsi"/>
                <w:color w:val="000000"/>
                <w:sz w:val="20"/>
                <w:szCs w:val="20"/>
              </w:rPr>
            </w:pPr>
            <w:r w:rsidRPr="00025304">
              <w:rPr>
                <w:rFonts w:eastAsia="Times New Roman" w:cstheme="minorHAnsi"/>
                <w:color w:val="000000"/>
                <w:sz w:val="20"/>
                <w:szCs w:val="20"/>
              </w:rPr>
              <w:t>3. Reporting requirements</w:t>
            </w:r>
          </w:p>
        </w:tc>
        <w:tc>
          <w:tcPr>
            <w:tcW w:w="1160" w:type="dxa"/>
            <w:tcBorders>
              <w:top w:val="nil"/>
              <w:left w:val="nil"/>
              <w:bottom w:val="single" w:sz="4" w:space="0" w:color="auto"/>
              <w:right w:val="single" w:sz="4" w:space="0" w:color="auto"/>
            </w:tcBorders>
            <w:vAlign w:val="center"/>
            <w:hideMark/>
          </w:tcPr>
          <w:p w:rsidR="00025304" w:rsidRPr="00025304" w:rsidP="00025304" w14:paraId="6D6B889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5163171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617A97D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3720DB7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028F55F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4FE0DAD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003921B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2AD004C9"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18021A22"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05A20257" w14:textId="26195F3B">
            <w:pPr>
              <w:spacing w:after="0" w:line="240" w:lineRule="auto"/>
              <w:ind w:left="150" w:firstLine="50" w:firstLineChars="25"/>
              <w:rPr>
                <w:rFonts w:eastAsia="Times New Roman" w:cstheme="minorHAnsi"/>
                <w:color w:val="000000"/>
                <w:sz w:val="20"/>
                <w:szCs w:val="20"/>
              </w:rPr>
            </w:pPr>
            <w:r w:rsidRPr="00025304">
              <w:rPr>
                <w:rFonts w:eastAsia="Times New Roman" w:cstheme="minorHAnsi"/>
                <w:color w:val="000000"/>
                <w:sz w:val="20"/>
                <w:szCs w:val="20"/>
              </w:rPr>
              <w:t>A.</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Familiarize with regulatory requirements </w:t>
            </w:r>
            <w:r w:rsidRPr="00025304">
              <w:rPr>
                <w:rFonts w:eastAsia="Times New Roman" w:cstheme="minorHAnsi"/>
                <w:color w:val="000000"/>
                <w:sz w:val="20"/>
                <w:szCs w:val="20"/>
                <w:vertAlign w:val="superscript"/>
              </w:rPr>
              <w:t>c</w:t>
            </w:r>
          </w:p>
        </w:tc>
        <w:tc>
          <w:tcPr>
            <w:tcW w:w="1160" w:type="dxa"/>
            <w:tcBorders>
              <w:top w:val="nil"/>
              <w:left w:val="nil"/>
              <w:bottom w:val="single" w:sz="4" w:space="0" w:color="auto"/>
              <w:right w:val="single" w:sz="4" w:space="0" w:color="auto"/>
            </w:tcBorders>
            <w:vAlign w:val="center"/>
            <w:hideMark/>
          </w:tcPr>
          <w:p w:rsidR="00025304" w:rsidRPr="00025304" w:rsidP="00025304" w14:paraId="33406EEA"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w:t>
            </w:r>
          </w:p>
        </w:tc>
        <w:tc>
          <w:tcPr>
            <w:tcW w:w="1238" w:type="dxa"/>
            <w:tcBorders>
              <w:top w:val="nil"/>
              <w:left w:val="nil"/>
              <w:bottom w:val="single" w:sz="4" w:space="0" w:color="auto"/>
              <w:right w:val="single" w:sz="4" w:space="0" w:color="auto"/>
            </w:tcBorders>
            <w:vAlign w:val="center"/>
            <w:hideMark/>
          </w:tcPr>
          <w:p w:rsidR="00025304" w:rsidRPr="00025304" w:rsidP="00025304" w14:paraId="49EBE066"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w:t>
            </w:r>
          </w:p>
        </w:tc>
        <w:tc>
          <w:tcPr>
            <w:tcW w:w="1172" w:type="dxa"/>
            <w:tcBorders>
              <w:top w:val="nil"/>
              <w:left w:val="nil"/>
              <w:bottom w:val="single" w:sz="4" w:space="0" w:color="auto"/>
              <w:right w:val="single" w:sz="4" w:space="0" w:color="auto"/>
            </w:tcBorders>
            <w:vAlign w:val="center"/>
            <w:hideMark/>
          </w:tcPr>
          <w:p w:rsidR="00025304" w:rsidRPr="00025304" w:rsidP="00025304" w14:paraId="790C774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w:t>
            </w:r>
          </w:p>
        </w:tc>
        <w:tc>
          <w:tcPr>
            <w:tcW w:w="1306" w:type="dxa"/>
            <w:tcBorders>
              <w:top w:val="nil"/>
              <w:left w:val="nil"/>
              <w:bottom w:val="single" w:sz="4" w:space="0" w:color="auto"/>
              <w:right w:val="single" w:sz="4" w:space="0" w:color="auto"/>
            </w:tcBorders>
            <w:vAlign w:val="center"/>
            <w:hideMark/>
          </w:tcPr>
          <w:p w:rsidR="00025304" w:rsidRPr="00025304" w:rsidP="00025304" w14:paraId="6E48D0E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535</w:t>
            </w:r>
          </w:p>
        </w:tc>
        <w:tc>
          <w:tcPr>
            <w:tcW w:w="1050" w:type="dxa"/>
            <w:tcBorders>
              <w:top w:val="nil"/>
              <w:left w:val="nil"/>
              <w:bottom w:val="single" w:sz="4" w:space="0" w:color="auto"/>
              <w:right w:val="single" w:sz="4" w:space="0" w:color="auto"/>
            </w:tcBorders>
            <w:vAlign w:val="center"/>
            <w:hideMark/>
          </w:tcPr>
          <w:p w:rsidR="00025304" w:rsidRPr="00025304" w:rsidP="00025304" w14:paraId="7A8346B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535</w:t>
            </w:r>
          </w:p>
        </w:tc>
        <w:tc>
          <w:tcPr>
            <w:tcW w:w="1338" w:type="dxa"/>
            <w:tcBorders>
              <w:top w:val="nil"/>
              <w:left w:val="nil"/>
              <w:bottom w:val="single" w:sz="4" w:space="0" w:color="auto"/>
              <w:right w:val="single" w:sz="4" w:space="0" w:color="auto"/>
            </w:tcBorders>
            <w:vAlign w:val="center"/>
            <w:hideMark/>
          </w:tcPr>
          <w:p w:rsidR="00025304" w:rsidRPr="00025304" w:rsidP="00025304" w14:paraId="193C029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26.75</w:t>
            </w:r>
          </w:p>
        </w:tc>
        <w:tc>
          <w:tcPr>
            <w:tcW w:w="1103" w:type="dxa"/>
            <w:tcBorders>
              <w:top w:val="nil"/>
              <w:left w:val="nil"/>
              <w:bottom w:val="single" w:sz="4" w:space="0" w:color="auto"/>
              <w:right w:val="single" w:sz="4" w:space="0" w:color="auto"/>
            </w:tcBorders>
            <w:vAlign w:val="center"/>
            <w:hideMark/>
          </w:tcPr>
          <w:p w:rsidR="00025304" w:rsidRPr="00025304" w:rsidP="00025304" w14:paraId="2E3C324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53.5</w:t>
            </w:r>
          </w:p>
        </w:tc>
        <w:tc>
          <w:tcPr>
            <w:tcW w:w="1480" w:type="dxa"/>
            <w:tcBorders>
              <w:top w:val="nil"/>
              <w:left w:val="nil"/>
              <w:bottom w:val="single" w:sz="4" w:space="0" w:color="auto"/>
              <w:right w:val="single" w:sz="4" w:space="0" w:color="auto"/>
            </w:tcBorders>
            <w:vAlign w:val="center"/>
            <w:hideMark/>
          </w:tcPr>
          <w:p w:rsidR="00025304" w:rsidRPr="00025304" w:rsidP="00025304" w14:paraId="56626679"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$88,454.23 </w:t>
            </w:r>
          </w:p>
        </w:tc>
      </w:tr>
      <w:tr w14:paraId="2BA29EB8"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23B14C97" w14:textId="2AB5B382">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B.</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Required activities </w:t>
            </w:r>
            <w:r w:rsidRPr="00025304">
              <w:rPr>
                <w:rFonts w:eastAsia="Times New Roman" w:cstheme="minorHAnsi"/>
                <w:color w:val="000000"/>
                <w:sz w:val="20"/>
                <w:szCs w:val="20"/>
                <w:vertAlign w:val="superscript"/>
              </w:rPr>
              <w:t>d</w:t>
            </w:r>
            <w:r w:rsidRPr="00025304">
              <w:rPr>
                <w:rFonts w:eastAsia="Times New Roman" w:cstheme="minorHAnsi"/>
                <w:color w:val="000000"/>
                <w:sz w:val="20"/>
                <w:szCs w:val="20"/>
              </w:rPr>
              <w:t xml:space="preserve"> </w:t>
            </w:r>
          </w:p>
        </w:tc>
        <w:tc>
          <w:tcPr>
            <w:tcW w:w="1160" w:type="dxa"/>
            <w:tcBorders>
              <w:top w:val="nil"/>
              <w:left w:val="nil"/>
              <w:bottom w:val="single" w:sz="4" w:space="0" w:color="auto"/>
              <w:right w:val="single" w:sz="4" w:space="0" w:color="auto"/>
            </w:tcBorders>
            <w:vAlign w:val="center"/>
            <w:hideMark/>
          </w:tcPr>
          <w:p w:rsidR="00025304" w:rsidRPr="00025304" w:rsidP="00025304" w14:paraId="63D4063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57FF18C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7066C8AF"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322DD07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22A35ED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707A306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1A9EBDA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56DE5D00"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178A0AB0"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18AFCAE5" w14:textId="77777777">
            <w:pPr>
              <w:spacing w:after="0" w:line="240" w:lineRule="auto"/>
              <w:ind w:firstLine="400" w:firstLineChars="200"/>
              <w:rPr>
                <w:rFonts w:eastAsia="Times New Roman" w:cstheme="minorHAnsi"/>
                <w:color w:val="000000"/>
                <w:sz w:val="20"/>
                <w:szCs w:val="20"/>
              </w:rPr>
            </w:pPr>
            <w:r w:rsidRPr="00025304">
              <w:rPr>
                <w:rFonts w:eastAsia="Times New Roman" w:cstheme="minorHAnsi"/>
                <w:color w:val="000000"/>
                <w:sz w:val="20"/>
                <w:szCs w:val="20"/>
              </w:rPr>
              <w:t>Initial performance test</w:t>
            </w:r>
          </w:p>
        </w:tc>
        <w:tc>
          <w:tcPr>
            <w:tcW w:w="1160" w:type="dxa"/>
            <w:tcBorders>
              <w:top w:val="nil"/>
              <w:left w:val="nil"/>
              <w:bottom w:val="single" w:sz="4" w:space="0" w:color="auto"/>
              <w:right w:val="single" w:sz="4" w:space="0" w:color="auto"/>
            </w:tcBorders>
            <w:vAlign w:val="center"/>
            <w:hideMark/>
          </w:tcPr>
          <w:p w:rsidR="00025304" w:rsidRPr="00025304" w:rsidP="00025304" w14:paraId="2B0762B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110</w:t>
            </w:r>
          </w:p>
        </w:tc>
        <w:tc>
          <w:tcPr>
            <w:tcW w:w="1238" w:type="dxa"/>
            <w:tcBorders>
              <w:top w:val="nil"/>
              <w:left w:val="nil"/>
              <w:bottom w:val="single" w:sz="4" w:space="0" w:color="auto"/>
              <w:right w:val="single" w:sz="4" w:space="0" w:color="auto"/>
            </w:tcBorders>
            <w:vAlign w:val="center"/>
            <w:hideMark/>
          </w:tcPr>
          <w:p w:rsidR="00025304" w:rsidRPr="00025304" w:rsidP="00025304" w14:paraId="556226A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w:t>
            </w:r>
          </w:p>
        </w:tc>
        <w:tc>
          <w:tcPr>
            <w:tcW w:w="1172" w:type="dxa"/>
            <w:tcBorders>
              <w:top w:val="nil"/>
              <w:left w:val="nil"/>
              <w:bottom w:val="single" w:sz="4" w:space="0" w:color="auto"/>
              <w:right w:val="single" w:sz="4" w:space="0" w:color="auto"/>
            </w:tcBorders>
            <w:vAlign w:val="center"/>
            <w:hideMark/>
          </w:tcPr>
          <w:p w:rsidR="00025304" w:rsidRPr="00025304" w:rsidP="00025304" w14:paraId="31717BE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110</w:t>
            </w:r>
          </w:p>
        </w:tc>
        <w:tc>
          <w:tcPr>
            <w:tcW w:w="1306" w:type="dxa"/>
            <w:tcBorders>
              <w:top w:val="nil"/>
              <w:left w:val="nil"/>
              <w:bottom w:val="single" w:sz="4" w:space="0" w:color="auto"/>
              <w:right w:val="single" w:sz="4" w:space="0" w:color="auto"/>
            </w:tcBorders>
            <w:vAlign w:val="center"/>
            <w:hideMark/>
          </w:tcPr>
          <w:p w:rsidR="00025304" w:rsidRPr="00025304" w:rsidP="00025304" w14:paraId="69AC3A3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050" w:type="dxa"/>
            <w:tcBorders>
              <w:top w:val="nil"/>
              <w:left w:val="nil"/>
              <w:bottom w:val="single" w:sz="4" w:space="0" w:color="auto"/>
              <w:right w:val="single" w:sz="4" w:space="0" w:color="auto"/>
            </w:tcBorders>
            <w:vAlign w:val="center"/>
            <w:hideMark/>
          </w:tcPr>
          <w:p w:rsidR="00025304" w:rsidRPr="00025304" w:rsidP="00025304" w14:paraId="0F4156C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vAlign w:val="center"/>
            <w:hideMark/>
          </w:tcPr>
          <w:p w:rsidR="00025304" w:rsidRPr="00025304" w:rsidP="00025304" w14:paraId="58A9BB4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103" w:type="dxa"/>
            <w:tcBorders>
              <w:top w:val="nil"/>
              <w:left w:val="nil"/>
              <w:bottom w:val="single" w:sz="4" w:space="0" w:color="auto"/>
              <w:right w:val="single" w:sz="4" w:space="0" w:color="auto"/>
            </w:tcBorders>
            <w:vAlign w:val="center"/>
            <w:hideMark/>
          </w:tcPr>
          <w:p w:rsidR="00025304" w:rsidRPr="00025304" w:rsidP="00025304" w14:paraId="028236C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480" w:type="dxa"/>
            <w:tcBorders>
              <w:top w:val="nil"/>
              <w:left w:val="nil"/>
              <w:bottom w:val="single" w:sz="4" w:space="0" w:color="auto"/>
              <w:right w:val="single" w:sz="4" w:space="0" w:color="auto"/>
            </w:tcBorders>
            <w:vAlign w:val="center"/>
            <w:hideMark/>
          </w:tcPr>
          <w:p w:rsidR="00025304" w:rsidRPr="00025304" w:rsidP="00025304" w14:paraId="587B9182"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$0 </w:t>
            </w:r>
          </w:p>
        </w:tc>
      </w:tr>
      <w:tr w14:paraId="01F65857"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25C8BFFB" w14:textId="77777777">
            <w:pPr>
              <w:spacing w:after="0" w:line="240" w:lineRule="auto"/>
              <w:ind w:firstLine="400" w:firstLineChars="200"/>
              <w:rPr>
                <w:rFonts w:eastAsia="Times New Roman" w:cstheme="minorHAnsi"/>
                <w:color w:val="000000"/>
                <w:sz w:val="20"/>
                <w:szCs w:val="20"/>
              </w:rPr>
            </w:pPr>
            <w:r w:rsidRPr="00025304">
              <w:rPr>
                <w:rFonts w:eastAsia="Times New Roman" w:cstheme="minorHAnsi"/>
                <w:color w:val="000000"/>
                <w:sz w:val="20"/>
                <w:szCs w:val="20"/>
              </w:rPr>
              <w:t xml:space="preserve">Repeat performance test </w:t>
            </w:r>
            <w:r w:rsidRPr="00025304">
              <w:rPr>
                <w:rFonts w:eastAsia="Times New Roman" w:cstheme="minorHAnsi"/>
                <w:color w:val="000000"/>
                <w:sz w:val="20"/>
                <w:szCs w:val="20"/>
                <w:vertAlign w:val="superscript"/>
              </w:rPr>
              <w:t>e</w:t>
            </w:r>
          </w:p>
        </w:tc>
        <w:tc>
          <w:tcPr>
            <w:tcW w:w="1160" w:type="dxa"/>
            <w:tcBorders>
              <w:top w:val="nil"/>
              <w:left w:val="nil"/>
              <w:bottom w:val="single" w:sz="4" w:space="0" w:color="auto"/>
              <w:right w:val="single" w:sz="4" w:space="0" w:color="auto"/>
            </w:tcBorders>
            <w:vAlign w:val="center"/>
            <w:hideMark/>
          </w:tcPr>
          <w:p w:rsidR="00025304" w:rsidRPr="00025304" w:rsidP="00025304" w14:paraId="2179C2F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110</w:t>
            </w:r>
          </w:p>
        </w:tc>
        <w:tc>
          <w:tcPr>
            <w:tcW w:w="1238" w:type="dxa"/>
            <w:tcBorders>
              <w:top w:val="nil"/>
              <w:left w:val="nil"/>
              <w:bottom w:val="single" w:sz="4" w:space="0" w:color="auto"/>
              <w:right w:val="single" w:sz="4" w:space="0" w:color="auto"/>
            </w:tcBorders>
            <w:vAlign w:val="center"/>
            <w:hideMark/>
          </w:tcPr>
          <w:p w:rsidR="00025304" w:rsidRPr="00025304" w:rsidP="00025304" w14:paraId="573891AF"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0.2</w:t>
            </w:r>
          </w:p>
        </w:tc>
        <w:tc>
          <w:tcPr>
            <w:tcW w:w="1172" w:type="dxa"/>
            <w:tcBorders>
              <w:top w:val="nil"/>
              <w:left w:val="nil"/>
              <w:bottom w:val="single" w:sz="4" w:space="0" w:color="auto"/>
              <w:right w:val="single" w:sz="4" w:space="0" w:color="auto"/>
            </w:tcBorders>
            <w:vAlign w:val="center"/>
            <w:hideMark/>
          </w:tcPr>
          <w:p w:rsidR="00025304" w:rsidRPr="00025304" w:rsidP="00025304" w14:paraId="3039C34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22</w:t>
            </w:r>
          </w:p>
        </w:tc>
        <w:tc>
          <w:tcPr>
            <w:tcW w:w="1306" w:type="dxa"/>
            <w:tcBorders>
              <w:top w:val="nil"/>
              <w:left w:val="nil"/>
              <w:bottom w:val="single" w:sz="4" w:space="0" w:color="auto"/>
              <w:right w:val="single" w:sz="4" w:space="0" w:color="auto"/>
            </w:tcBorders>
            <w:vAlign w:val="center"/>
            <w:hideMark/>
          </w:tcPr>
          <w:p w:rsidR="00025304" w:rsidRPr="00025304" w:rsidP="00025304" w14:paraId="3304AF44"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050" w:type="dxa"/>
            <w:tcBorders>
              <w:top w:val="nil"/>
              <w:left w:val="nil"/>
              <w:bottom w:val="single" w:sz="4" w:space="0" w:color="auto"/>
              <w:right w:val="single" w:sz="4" w:space="0" w:color="auto"/>
            </w:tcBorders>
            <w:vAlign w:val="center"/>
            <w:hideMark/>
          </w:tcPr>
          <w:p w:rsidR="00025304" w:rsidRPr="00025304" w:rsidP="00025304" w14:paraId="55C499F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vAlign w:val="center"/>
            <w:hideMark/>
          </w:tcPr>
          <w:p w:rsidR="00025304" w:rsidRPr="00025304" w:rsidP="00025304" w14:paraId="7252B55F"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103" w:type="dxa"/>
            <w:tcBorders>
              <w:top w:val="nil"/>
              <w:left w:val="nil"/>
              <w:bottom w:val="single" w:sz="4" w:space="0" w:color="auto"/>
              <w:right w:val="single" w:sz="4" w:space="0" w:color="auto"/>
            </w:tcBorders>
            <w:vAlign w:val="center"/>
            <w:hideMark/>
          </w:tcPr>
          <w:p w:rsidR="00025304" w:rsidRPr="00025304" w:rsidP="00025304" w14:paraId="6A05034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480" w:type="dxa"/>
            <w:tcBorders>
              <w:top w:val="nil"/>
              <w:left w:val="nil"/>
              <w:bottom w:val="single" w:sz="4" w:space="0" w:color="auto"/>
              <w:right w:val="single" w:sz="4" w:space="0" w:color="auto"/>
            </w:tcBorders>
            <w:vAlign w:val="center"/>
            <w:hideMark/>
          </w:tcPr>
          <w:p w:rsidR="00025304" w:rsidRPr="00025304" w:rsidP="00025304" w14:paraId="5D5ADDA8"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$0 </w:t>
            </w:r>
          </w:p>
        </w:tc>
      </w:tr>
      <w:tr w14:paraId="1F596364"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62A7C111" w14:textId="668FAB8E">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C.</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Create information </w:t>
            </w:r>
          </w:p>
        </w:tc>
        <w:tc>
          <w:tcPr>
            <w:tcW w:w="1160" w:type="dxa"/>
            <w:tcBorders>
              <w:top w:val="nil"/>
              <w:left w:val="nil"/>
              <w:bottom w:val="single" w:sz="4" w:space="0" w:color="auto"/>
              <w:right w:val="single" w:sz="4" w:space="0" w:color="auto"/>
            </w:tcBorders>
            <w:vAlign w:val="center"/>
            <w:hideMark/>
          </w:tcPr>
          <w:p w:rsidR="00025304" w:rsidRPr="00025304" w:rsidP="00025304" w14:paraId="58A6A39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See 3B</w:t>
            </w:r>
          </w:p>
        </w:tc>
        <w:tc>
          <w:tcPr>
            <w:tcW w:w="1238" w:type="dxa"/>
            <w:tcBorders>
              <w:top w:val="nil"/>
              <w:left w:val="nil"/>
              <w:bottom w:val="single" w:sz="4" w:space="0" w:color="auto"/>
              <w:right w:val="single" w:sz="4" w:space="0" w:color="auto"/>
            </w:tcBorders>
            <w:vAlign w:val="center"/>
            <w:hideMark/>
          </w:tcPr>
          <w:p w:rsidR="00025304" w:rsidRPr="00025304" w:rsidP="00025304" w14:paraId="0BDF80E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185FC5C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2D322F5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794E04B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4118264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5681D31A"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4D8C6DB4"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786C892E"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4346B45E" w14:textId="3A0FC6BD">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D.</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Gather existing information</w:t>
            </w:r>
          </w:p>
        </w:tc>
        <w:tc>
          <w:tcPr>
            <w:tcW w:w="1160" w:type="dxa"/>
            <w:tcBorders>
              <w:top w:val="nil"/>
              <w:left w:val="nil"/>
              <w:bottom w:val="single" w:sz="4" w:space="0" w:color="auto"/>
              <w:right w:val="single" w:sz="4" w:space="0" w:color="auto"/>
            </w:tcBorders>
            <w:vAlign w:val="center"/>
            <w:hideMark/>
          </w:tcPr>
          <w:p w:rsidR="00025304" w:rsidRPr="00025304" w:rsidP="00025304" w14:paraId="0A82471A"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See 3E</w:t>
            </w:r>
          </w:p>
        </w:tc>
        <w:tc>
          <w:tcPr>
            <w:tcW w:w="1238" w:type="dxa"/>
            <w:tcBorders>
              <w:top w:val="nil"/>
              <w:left w:val="nil"/>
              <w:bottom w:val="single" w:sz="4" w:space="0" w:color="auto"/>
              <w:right w:val="single" w:sz="4" w:space="0" w:color="auto"/>
            </w:tcBorders>
            <w:vAlign w:val="center"/>
            <w:hideMark/>
          </w:tcPr>
          <w:p w:rsidR="00025304" w:rsidRPr="00025304" w:rsidP="00025304" w14:paraId="42EE78D4"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519E225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3A97A4A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6694F7C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7BF28E5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234AB16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0383F577"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3F5BB8C1"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76D79754" w14:textId="6C511755">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E.</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Write report </w:t>
            </w:r>
          </w:p>
        </w:tc>
        <w:tc>
          <w:tcPr>
            <w:tcW w:w="1160" w:type="dxa"/>
            <w:tcBorders>
              <w:top w:val="nil"/>
              <w:left w:val="nil"/>
              <w:bottom w:val="single" w:sz="4" w:space="0" w:color="auto"/>
              <w:right w:val="single" w:sz="4" w:space="0" w:color="auto"/>
            </w:tcBorders>
            <w:vAlign w:val="center"/>
            <w:hideMark/>
          </w:tcPr>
          <w:p w:rsidR="00025304" w:rsidRPr="00025304" w:rsidP="00025304" w14:paraId="47D567D4"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60FD02A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655BF4A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13C5435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11B4716A"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526FB41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225BD1B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3789DFCE"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0F0898A4"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3CCB9290" w14:textId="77777777">
            <w:pPr>
              <w:spacing w:after="0" w:line="240" w:lineRule="auto"/>
              <w:ind w:left="330" w:firstLine="70" w:firstLineChars="35"/>
              <w:rPr>
                <w:rFonts w:eastAsia="Times New Roman" w:cstheme="minorHAnsi"/>
                <w:color w:val="000000"/>
                <w:sz w:val="20"/>
                <w:szCs w:val="20"/>
              </w:rPr>
            </w:pPr>
            <w:r w:rsidRPr="00025304">
              <w:rPr>
                <w:rFonts w:eastAsia="Times New Roman" w:cstheme="minorHAnsi"/>
                <w:color w:val="000000"/>
                <w:sz w:val="20"/>
                <w:szCs w:val="20"/>
              </w:rPr>
              <w:t xml:space="preserve">Notification of construction/reconstruction </w:t>
            </w:r>
            <w:r w:rsidRPr="00025304">
              <w:rPr>
                <w:rFonts w:eastAsia="Times New Roman" w:cstheme="minorHAnsi"/>
                <w:color w:val="000000"/>
                <w:sz w:val="20"/>
                <w:szCs w:val="20"/>
                <w:vertAlign w:val="superscript"/>
              </w:rPr>
              <w:t>d</w:t>
            </w:r>
          </w:p>
        </w:tc>
        <w:tc>
          <w:tcPr>
            <w:tcW w:w="1160" w:type="dxa"/>
            <w:tcBorders>
              <w:top w:val="nil"/>
              <w:left w:val="nil"/>
              <w:bottom w:val="single" w:sz="4" w:space="0" w:color="auto"/>
              <w:right w:val="single" w:sz="4" w:space="0" w:color="auto"/>
            </w:tcBorders>
            <w:vAlign w:val="center"/>
            <w:hideMark/>
          </w:tcPr>
          <w:p w:rsidR="00025304" w:rsidRPr="00025304" w:rsidP="00025304" w14:paraId="68C27EF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238" w:type="dxa"/>
            <w:tcBorders>
              <w:top w:val="nil"/>
              <w:left w:val="nil"/>
              <w:bottom w:val="single" w:sz="4" w:space="0" w:color="auto"/>
              <w:right w:val="single" w:sz="4" w:space="0" w:color="auto"/>
            </w:tcBorders>
            <w:vAlign w:val="center"/>
            <w:hideMark/>
          </w:tcPr>
          <w:p w:rsidR="00025304" w:rsidRPr="00025304" w:rsidP="00025304" w14:paraId="088DD61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w:t>
            </w:r>
          </w:p>
        </w:tc>
        <w:tc>
          <w:tcPr>
            <w:tcW w:w="1172" w:type="dxa"/>
            <w:tcBorders>
              <w:top w:val="nil"/>
              <w:left w:val="nil"/>
              <w:bottom w:val="single" w:sz="4" w:space="0" w:color="auto"/>
              <w:right w:val="single" w:sz="4" w:space="0" w:color="auto"/>
            </w:tcBorders>
            <w:vAlign w:val="center"/>
            <w:hideMark/>
          </w:tcPr>
          <w:p w:rsidR="00025304" w:rsidRPr="00025304" w:rsidP="00025304" w14:paraId="445A528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vAlign w:val="center"/>
            <w:hideMark/>
          </w:tcPr>
          <w:p w:rsidR="00025304" w:rsidRPr="00025304" w:rsidP="00025304" w14:paraId="581D8ED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050" w:type="dxa"/>
            <w:tcBorders>
              <w:top w:val="nil"/>
              <w:left w:val="nil"/>
              <w:bottom w:val="single" w:sz="4" w:space="0" w:color="auto"/>
              <w:right w:val="single" w:sz="4" w:space="0" w:color="auto"/>
            </w:tcBorders>
            <w:vAlign w:val="center"/>
            <w:hideMark/>
          </w:tcPr>
          <w:p w:rsidR="00025304" w:rsidRPr="00025304" w:rsidP="00025304" w14:paraId="00FCA61F"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vAlign w:val="center"/>
            <w:hideMark/>
          </w:tcPr>
          <w:p w:rsidR="00025304" w:rsidRPr="00025304" w:rsidP="00025304" w14:paraId="777D9D9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103" w:type="dxa"/>
            <w:tcBorders>
              <w:top w:val="nil"/>
              <w:left w:val="nil"/>
              <w:bottom w:val="single" w:sz="4" w:space="0" w:color="auto"/>
              <w:right w:val="single" w:sz="4" w:space="0" w:color="auto"/>
            </w:tcBorders>
            <w:vAlign w:val="center"/>
            <w:hideMark/>
          </w:tcPr>
          <w:p w:rsidR="00025304" w:rsidRPr="00025304" w:rsidP="00025304" w14:paraId="2913C21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480" w:type="dxa"/>
            <w:tcBorders>
              <w:top w:val="nil"/>
              <w:left w:val="nil"/>
              <w:bottom w:val="single" w:sz="4" w:space="0" w:color="auto"/>
              <w:right w:val="single" w:sz="4" w:space="0" w:color="auto"/>
            </w:tcBorders>
            <w:vAlign w:val="center"/>
            <w:hideMark/>
          </w:tcPr>
          <w:p w:rsidR="00025304" w:rsidRPr="00025304" w:rsidP="00025304" w14:paraId="760A9525"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$0 </w:t>
            </w:r>
          </w:p>
        </w:tc>
      </w:tr>
      <w:tr w14:paraId="43C34EC3"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57D48A24" w14:textId="541B7D9E">
            <w:pPr>
              <w:spacing w:after="0" w:line="240" w:lineRule="auto"/>
              <w:ind w:left="330" w:firstLine="70" w:firstLineChars="35"/>
              <w:rPr>
                <w:rFonts w:eastAsia="Times New Roman" w:cstheme="minorHAnsi"/>
                <w:color w:val="000000"/>
                <w:sz w:val="20"/>
                <w:szCs w:val="20"/>
              </w:rPr>
            </w:pPr>
            <w:r w:rsidRPr="00025304">
              <w:rPr>
                <w:rFonts w:eastAsia="Times New Roman" w:cstheme="minorHAnsi"/>
                <w:color w:val="000000"/>
                <w:sz w:val="20"/>
                <w:szCs w:val="20"/>
              </w:rPr>
              <w:t>Notification of actual startup</w:t>
            </w:r>
            <w:r w:rsidR="001E1919">
              <w:rPr>
                <w:rFonts w:eastAsia="Times New Roman" w:cstheme="minorHAnsi"/>
                <w:color w:val="000000"/>
                <w:sz w:val="20"/>
                <w:szCs w:val="20"/>
              </w:rPr>
              <w:t xml:space="preserve"> </w:t>
            </w:r>
            <w:r w:rsidRPr="00025304">
              <w:rPr>
                <w:rFonts w:eastAsia="Times New Roman" w:cstheme="minorHAnsi"/>
                <w:color w:val="000000"/>
                <w:sz w:val="20"/>
                <w:szCs w:val="20"/>
                <w:vertAlign w:val="superscript"/>
              </w:rPr>
              <w:t>d</w:t>
            </w:r>
          </w:p>
        </w:tc>
        <w:tc>
          <w:tcPr>
            <w:tcW w:w="1160" w:type="dxa"/>
            <w:tcBorders>
              <w:top w:val="nil"/>
              <w:left w:val="nil"/>
              <w:bottom w:val="single" w:sz="4" w:space="0" w:color="auto"/>
              <w:right w:val="single" w:sz="4" w:space="0" w:color="auto"/>
            </w:tcBorders>
            <w:vAlign w:val="center"/>
            <w:hideMark/>
          </w:tcPr>
          <w:p w:rsidR="00025304" w:rsidRPr="00025304" w:rsidP="00025304" w14:paraId="0FC47A9F"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238" w:type="dxa"/>
            <w:tcBorders>
              <w:top w:val="nil"/>
              <w:left w:val="nil"/>
              <w:bottom w:val="single" w:sz="4" w:space="0" w:color="auto"/>
              <w:right w:val="single" w:sz="4" w:space="0" w:color="auto"/>
            </w:tcBorders>
            <w:vAlign w:val="center"/>
            <w:hideMark/>
          </w:tcPr>
          <w:p w:rsidR="00025304" w:rsidRPr="00025304" w:rsidP="00025304" w14:paraId="7FA0DCA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w:t>
            </w:r>
          </w:p>
        </w:tc>
        <w:tc>
          <w:tcPr>
            <w:tcW w:w="1172" w:type="dxa"/>
            <w:tcBorders>
              <w:top w:val="nil"/>
              <w:left w:val="nil"/>
              <w:bottom w:val="single" w:sz="4" w:space="0" w:color="auto"/>
              <w:right w:val="single" w:sz="4" w:space="0" w:color="auto"/>
            </w:tcBorders>
            <w:vAlign w:val="center"/>
            <w:hideMark/>
          </w:tcPr>
          <w:p w:rsidR="00025304" w:rsidRPr="00025304" w:rsidP="00025304" w14:paraId="593F04E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vAlign w:val="center"/>
            <w:hideMark/>
          </w:tcPr>
          <w:p w:rsidR="00025304" w:rsidRPr="00025304" w:rsidP="00025304" w14:paraId="61AB2DB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050" w:type="dxa"/>
            <w:tcBorders>
              <w:top w:val="nil"/>
              <w:left w:val="nil"/>
              <w:bottom w:val="single" w:sz="4" w:space="0" w:color="auto"/>
              <w:right w:val="single" w:sz="4" w:space="0" w:color="auto"/>
            </w:tcBorders>
            <w:vAlign w:val="center"/>
            <w:hideMark/>
          </w:tcPr>
          <w:p w:rsidR="00025304" w:rsidRPr="00025304" w:rsidP="00025304" w14:paraId="7F068B1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vAlign w:val="center"/>
            <w:hideMark/>
          </w:tcPr>
          <w:p w:rsidR="00025304" w:rsidRPr="00025304" w:rsidP="00025304" w14:paraId="3913E77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103" w:type="dxa"/>
            <w:tcBorders>
              <w:top w:val="nil"/>
              <w:left w:val="nil"/>
              <w:bottom w:val="single" w:sz="4" w:space="0" w:color="auto"/>
              <w:right w:val="single" w:sz="4" w:space="0" w:color="auto"/>
            </w:tcBorders>
            <w:vAlign w:val="center"/>
            <w:hideMark/>
          </w:tcPr>
          <w:p w:rsidR="00025304" w:rsidRPr="00025304" w:rsidP="00025304" w14:paraId="4BA3E44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480" w:type="dxa"/>
            <w:tcBorders>
              <w:top w:val="nil"/>
              <w:left w:val="nil"/>
              <w:bottom w:val="single" w:sz="4" w:space="0" w:color="auto"/>
              <w:right w:val="single" w:sz="4" w:space="0" w:color="auto"/>
            </w:tcBorders>
            <w:vAlign w:val="center"/>
            <w:hideMark/>
          </w:tcPr>
          <w:p w:rsidR="00025304" w:rsidRPr="00025304" w:rsidP="00025304" w14:paraId="6978362D"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$0 </w:t>
            </w:r>
          </w:p>
        </w:tc>
      </w:tr>
      <w:tr w14:paraId="2A6E1E8A"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36B176B1" w14:textId="77777777">
            <w:pPr>
              <w:spacing w:after="0" w:line="240" w:lineRule="auto"/>
              <w:ind w:left="330" w:firstLine="70" w:firstLineChars="35"/>
              <w:rPr>
                <w:rFonts w:eastAsia="Times New Roman" w:cstheme="minorHAnsi"/>
                <w:color w:val="000000"/>
                <w:sz w:val="20"/>
                <w:szCs w:val="20"/>
              </w:rPr>
            </w:pPr>
            <w:r w:rsidRPr="00025304">
              <w:rPr>
                <w:rFonts w:eastAsia="Times New Roman" w:cstheme="minorHAnsi"/>
                <w:color w:val="000000"/>
                <w:sz w:val="20"/>
                <w:szCs w:val="20"/>
              </w:rPr>
              <w:t xml:space="preserve">Notification of initial performance test </w:t>
            </w:r>
            <w:r w:rsidRPr="00025304">
              <w:rPr>
                <w:rFonts w:eastAsia="Times New Roman" w:cstheme="minorHAnsi"/>
                <w:color w:val="000000"/>
                <w:sz w:val="20"/>
                <w:szCs w:val="20"/>
                <w:vertAlign w:val="superscript"/>
              </w:rPr>
              <w:t>d</w:t>
            </w:r>
          </w:p>
        </w:tc>
        <w:tc>
          <w:tcPr>
            <w:tcW w:w="1160" w:type="dxa"/>
            <w:tcBorders>
              <w:top w:val="nil"/>
              <w:left w:val="nil"/>
              <w:bottom w:val="single" w:sz="4" w:space="0" w:color="auto"/>
              <w:right w:val="single" w:sz="4" w:space="0" w:color="auto"/>
            </w:tcBorders>
            <w:vAlign w:val="center"/>
            <w:hideMark/>
          </w:tcPr>
          <w:p w:rsidR="00025304" w:rsidRPr="00025304" w:rsidP="00025304" w14:paraId="512334B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238" w:type="dxa"/>
            <w:tcBorders>
              <w:top w:val="nil"/>
              <w:left w:val="nil"/>
              <w:bottom w:val="single" w:sz="4" w:space="0" w:color="auto"/>
              <w:right w:val="single" w:sz="4" w:space="0" w:color="auto"/>
            </w:tcBorders>
            <w:vAlign w:val="center"/>
            <w:hideMark/>
          </w:tcPr>
          <w:p w:rsidR="00025304" w:rsidRPr="00025304" w:rsidP="00025304" w14:paraId="4EA98D0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1.2</w:t>
            </w:r>
          </w:p>
        </w:tc>
        <w:tc>
          <w:tcPr>
            <w:tcW w:w="1172" w:type="dxa"/>
            <w:tcBorders>
              <w:top w:val="nil"/>
              <w:left w:val="nil"/>
              <w:bottom w:val="single" w:sz="4" w:space="0" w:color="auto"/>
              <w:right w:val="single" w:sz="4" w:space="0" w:color="auto"/>
            </w:tcBorders>
            <w:vAlign w:val="center"/>
            <w:hideMark/>
          </w:tcPr>
          <w:p w:rsidR="00025304" w:rsidRPr="00025304" w:rsidP="00025304" w14:paraId="5994CCEA"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2.4</w:t>
            </w:r>
          </w:p>
        </w:tc>
        <w:tc>
          <w:tcPr>
            <w:tcW w:w="1306" w:type="dxa"/>
            <w:tcBorders>
              <w:top w:val="nil"/>
              <w:left w:val="nil"/>
              <w:bottom w:val="single" w:sz="4" w:space="0" w:color="auto"/>
              <w:right w:val="single" w:sz="4" w:space="0" w:color="auto"/>
            </w:tcBorders>
            <w:vAlign w:val="center"/>
            <w:hideMark/>
          </w:tcPr>
          <w:p w:rsidR="00025304" w:rsidRPr="00025304" w:rsidP="00025304" w14:paraId="3C8618C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050" w:type="dxa"/>
            <w:tcBorders>
              <w:top w:val="nil"/>
              <w:left w:val="nil"/>
              <w:bottom w:val="single" w:sz="4" w:space="0" w:color="auto"/>
              <w:right w:val="single" w:sz="4" w:space="0" w:color="auto"/>
            </w:tcBorders>
            <w:vAlign w:val="center"/>
            <w:hideMark/>
          </w:tcPr>
          <w:p w:rsidR="00025304" w:rsidRPr="00025304" w:rsidP="00025304" w14:paraId="7F70859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vAlign w:val="center"/>
            <w:hideMark/>
          </w:tcPr>
          <w:p w:rsidR="00025304" w:rsidRPr="00025304" w:rsidP="00025304" w14:paraId="1AC1FE2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103" w:type="dxa"/>
            <w:tcBorders>
              <w:top w:val="nil"/>
              <w:left w:val="nil"/>
              <w:bottom w:val="single" w:sz="4" w:space="0" w:color="auto"/>
              <w:right w:val="single" w:sz="4" w:space="0" w:color="auto"/>
            </w:tcBorders>
            <w:vAlign w:val="center"/>
            <w:hideMark/>
          </w:tcPr>
          <w:p w:rsidR="00025304" w:rsidRPr="00025304" w:rsidP="00025304" w14:paraId="1F3EC64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480" w:type="dxa"/>
            <w:tcBorders>
              <w:top w:val="nil"/>
              <w:left w:val="nil"/>
              <w:bottom w:val="single" w:sz="4" w:space="0" w:color="auto"/>
              <w:right w:val="single" w:sz="4" w:space="0" w:color="auto"/>
            </w:tcBorders>
            <w:vAlign w:val="center"/>
            <w:hideMark/>
          </w:tcPr>
          <w:p w:rsidR="00025304" w:rsidRPr="00025304" w:rsidP="00025304" w14:paraId="464A460C"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$0 </w:t>
            </w:r>
          </w:p>
        </w:tc>
      </w:tr>
      <w:tr w14:paraId="147BBAD2"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5D96685A" w14:textId="77777777">
            <w:pPr>
              <w:spacing w:after="0" w:line="240" w:lineRule="auto"/>
              <w:ind w:left="330" w:firstLine="70" w:firstLineChars="35"/>
              <w:rPr>
                <w:rFonts w:eastAsia="Times New Roman" w:cstheme="minorHAnsi"/>
                <w:color w:val="000000"/>
                <w:sz w:val="20"/>
                <w:szCs w:val="20"/>
              </w:rPr>
            </w:pPr>
            <w:r w:rsidRPr="00025304">
              <w:rPr>
                <w:rFonts w:eastAsia="Times New Roman" w:cstheme="minorHAnsi"/>
                <w:color w:val="000000"/>
                <w:sz w:val="20"/>
                <w:szCs w:val="20"/>
              </w:rPr>
              <w:t xml:space="preserve">Notification of demonstration of CMS </w:t>
            </w:r>
            <w:r w:rsidRPr="00025304">
              <w:rPr>
                <w:rFonts w:eastAsia="Times New Roman" w:cstheme="minorHAnsi"/>
                <w:color w:val="000000"/>
                <w:sz w:val="20"/>
                <w:szCs w:val="20"/>
                <w:vertAlign w:val="superscript"/>
              </w:rPr>
              <w:t>d</w:t>
            </w:r>
          </w:p>
        </w:tc>
        <w:tc>
          <w:tcPr>
            <w:tcW w:w="1160" w:type="dxa"/>
            <w:tcBorders>
              <w:top w:val="nil"/>
              <w:left w:val="nil"/>
              <w:bottom w:val="single" w:sz="4" w:space="0" w:color="auto"/>
              <w:right w:val="single" w:sz="4" w:space="0" w:color="auto"/>
            </w:tcBorders>
            <w:vAlign w:val="center"/>
            <w:hideMark/>
          </w:tcPr>
          <w:p w:rsidR="00025304" w:rsidRPr="00025304" w:rsidP="00025304" w14:paraId="6E2E24D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238" w:type="dxa"/>
            <w:tcBorders>
              <w:top w:val="nil"/>
              <w:left w:val="nil"/>
              <w:bottom w:val="single" w:sz="4" w:space="0" w:color="auto"/>
              <w:right w:val="single" w:sz="4" w:space="0" w:color="auto"/>
            </w:tcBorders>
            <w:vAlign w:val="center"/>
            <w:hideMark/>
          </w:tcPr>
          <w:p w:rsidR="00025304" w:rsidRPr="00025304" w:rsidP="00025304" w14:paraId="7B47B49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w:t>
            </w:r>
          </w:p>
        </w:tc>
        <w:tc>
          <w:tcPr>
            <w:tcW w:w="1172" w:type="dxa"/>
            <w:tcBorders>
              <w:top w:val="nil"/>
              <w:left w:val="nil"/>
              <w:bottom w:val="single" w:sz="4" w:space="0" w:color="auto"/>
              <w:right w:val="single" w:sz="4" w:space="0" w:color="auto"/>
            </w:tcBorders>
            <w:vAlign w:val="center"/>
            <w:hideMark/>
          </w:tcPr>
          <w:p w:rsidR="00025304" w:rsidRPr="00025304" w:rsidP="00025304" w14:paraId="08E76A6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vAlign w:val="center"/>
            <w:hideMark/>
          </w:tcPr>
          <w:p w:rsidR="00025304" w:rsidRPr="00025304" w:rsidP="00025304" w14:paraId="30E9ED2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050" w:type="dxa"/>
            <w:tcBorders>
              <w:top w:val="nil"/>
              <w:left w:val="nil"/>
              <w:bottom w:val="single" w:sz="4" w:space="0" w:color="auto"/>
              <w:right w:val="single" w:sz="4" w:space="0" w:color="auto"/>
            </w:tcBorders>
            <w:vAlign w:val="center"/>
            <w:hideMark/>
          </w:tcPr>
          <w:p w:rsidR="00025304" w:rsidRPr="00025304" w:rsidP="00025304" w14:paraId="193ABA3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338" w:type="dxa"/>
            <w:tcBorders>
              <w:top w:val="nil"/>
              <w:left w:val="nil"/>
              <w:bottom w:val="single" w:sz="4" w:space="0" w:color="auto"/>
              <w:right w:val="single" w:sz="4" w:space="0" w:color="auto"/>
            </w:tcBorders>
            <w:vAlign w:val="center"/>
            <w:hideMark/>
          </w:tcPr>
          <w:p w:rsidR="00025304" w:rsidRPr="00025304" w:rsidP="00025304" w14:paraId="7D05D44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103" w:type="dxa"/>
            <w:tcBorders>
              <w:top w:val="nil"/>
              <w:left w:val="nil"/>
              <w:bottom w:val="single" w:sz="4" w:space="0" w:color="auto"/>
              <w:right w:val="single" w:sz="4" w:space="0" w:color="auto"/>
            </w:tcBorders>
            <w:vAlign w:val="center"/>
            <w:hideMark/>
          </w:tcPr>
          <w:p w:rsidR="00025304" w:rsidRPr="00025304" w:rsidP="00025304" w14:paraId="63AD5F8A"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w:t>
            </w:r>
          </w:p>
        </w:tc>
        <w:tc>
          <w:tcPr>
            <w:tcW w:w="1480" w:type="dxa"/>
            <w:tcBorders>
              <w:top w:val="nil"/>
              <w:left w:val="nil"/>
              <w:bottom w:val="single" w:sz="4" w:space="0" w:color="auto"/>
              <w:right w:val="single" w:sz="4" w:space="0" w:color="auto"/>
            </w:tcBorders>
            <w:vAlign w:val="center"/>
            <w:hideMark/>
          </w:tcPr>
          <w:p w:rsidR="00025304" w:rsidRPr="00025304" w:rsidP="00025304" w14:paraId="0D37105F"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$0 </w:t>
            </w:r>
          </w:p>
        </w:tc>
      </w:tr>
      <w:tr w14:paraId="03033EB0"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69BAC781" w14:textId="77777777">
            <w:pPr>
              <w:spacing w:after="0" w:line="240" w:lineRule="auto"/>
              <w:ind w:left="330" w:firstLine="70" w:firstLineChars="35"/>
              <w:rPr>
                <w:rFonts w:eastAsia="Times New Roman" w:cstheme="minorHAnsi"/>
                <w:color w:val="000000"/>
                <w:sz w:val="20"/>
                <w:szCs w:val="20"/>
              </w:rPr>
            </w:pPr>
            <w:r w:rsidRPr="00025304">
              <w:rPr>
                <w:rFonts w:eastAsia="Times New Roman" w:cstheme="minorHAnsi"/>
                <w:color w:val="000000"/>
                <w:sz w:val="20"/>
                <w:szCs w:val="20"/>
              </w:rPr>
              <w:t xml:space="preserve">Report </w:t>
            </w:r>
            <w:r w:rsidRPr="00025304">
              <w:rPr>
                <w:rFonts w:eastAsia="Times New Roman" w:cstheme="minorHAnsi"/>
                <w:color w:val="000000"/>
                <w:sz w:val="20"/>
                <w:szCs w:val="20"/>
              </w:rPr>
              <w:t>of</w:t>
            </w:r>
            <w:r w:rsidRPr="00025304">
              <w:rPr>
                <w:rFonts w:eastAsia="Times New Roman" w:cstheme="minorHAnsi"/>
                <w:color w:val="000000"/>
                <w:sz w:val="20"/>
                <w:szCs w:val="20"/>
              </w:rPr>
              <w:t xml:space="preserve"> performance test</w:t>
            </w:r>
          </w:p>
        </w:tc>
        <w:tc>
          <w:tcPr>
            <w:tcW w:w="1160" w:type="dxa"/>
            <w:tcBorders>
              <w:top w:val="nil"/>
              <w:left w:val="nil"/>
              <w:bottom w:val="single" w:sz="4" w:space="0" w:color="auto"/>
              <w:right w:val="single" w:sz="4" w:space="0" w:color="auto"/>
            </w:tcBorders>
            <w:vAlign w:val="center"/>
            <w:hideMark/>
          </w:tcPr>
          <w:p w:rsidR="00025304" w:rsidRPr="00025304" w:rsidP="00025304" w14:paraId="3D84891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See 3B</w:t>
            </w:r>
          </w:p>
        </w:tc>
        <w:tc>
          <w:tcPr>
            <w:tcW w:w="1238" w:type="dxa"/>
            <w:tcBorders>
              <w:top w:val="nil"/>
              <w:left w:val="nil"/>
              <w:bottom w:val="single" w:sz="4" w:space="0" w:color="auto"/>
              <w:right w:val="single" w:sz="4" w:space="0" w:color="auto"/>
            </w:tcBorders>
            <w:vAlign w:val="center"/>
            <w:hideMark/>
          </w:tcPr>
          <w:p w:rsidR="00025304" w:rsidRPr="00025304" w:rsidP="00025304" w14:paraId="208B058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1060CAC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6C5075A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65BF8D4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009C647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0AC70A7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10EA2E69"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1A86494B"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2E889B2D" w14:textId="77777777">
            <w:pPr>
              <w:spacing w:after="0" w:line="240" w:lineRule="auto"/>
              <w:ind w:left="330" w:firstLine="70" w:firstLineChars="35"/>
              <w:rPr>
                <w:rFonts w:eastAsia="Times New Roman" w:cstheme="minorHAnsi"/>
                <w:color w:val="000000"/>
                <w:sz w:val="20"/>
                <w:szCs w:val="20"/>
              </w:rPr>
            </w:pPr>
            <w:r w:rsidRPr="00025304">
              <w:rPr>
                <w:rFonts w:eastAsia="Times New Roman" w:cstheme="minorHAnsi"/>
                <w:color w:val="000000"/>
                <w:sz w:val="20"/>
                <w:szCs w:val="20"/>
              </w:rPr>
              <w:t xml:space="preserve">Excess emission and exemption reports </w:t>
            </w:r>
            <w:r w:rsidRPr="00025304">
              <w:rPr>
                <w:rFonts w:eastAsia="Times New Roman" w:cstheme="minorHAnsi"/>
                <w:color w:val="000000"/>
                <w:sz w:val="20"/>
                <w:szCs w:val="20"/>
                <w:vertAlign w:val="superscript"/>
              </w:rPr>
              <w:t>f</w:t>
            </w:r>
          </w:p>
        </w:tc>
        <w:tc>
          <w:tcPr>
            <w:tcW w:w="1160" w:type="dxa"/>
            <w:tcBorders>
              <w:top w:val="nil"/>
              <w:left w:val="nil"/>
              <w:bottom w:val="single" w:sz="4" w:space="0" w:color="auto"/>
              <w:right w:val="single" w:sz="4" w:space="0" w:color="auto"/>
            </w:tcBorders>
            <w:vAlign w:val="center"/>
            <w:hideMark/>
          </w:tcPr>
          <w:p w:rsidR="00025304" w:rsidRPr="00025304" w:rsidP="00025304" w14:paraId="49B5D624"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10</w:t>
            </w:r>
          </w:p>
        </w:tc>
        <w:tc>
          <w:tcPr>
            <w:tcW w:w="1238" w:type="dxa"/>
            <w:tcBorders>
              <w:top w:val="nil"/>
              <w:left w:val="nil"/>
              <w:bottom w:val="single" w:sz="4" w:space="0" w:color="auto"/>
              <w:right w:val="single" w:sz="4" w:space="0" w:color="auto"/>
            </w:tcBorders>
            <w:vAlign w:val="center"/>
            <w:hideMark/>
          </w:tcPr>
          <w:p w:rsidR="00025304" w:rsidRPr="00025304" w:rsidP="00025304" w14:paraId="5FE5128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w:t>
            </w:r>
          </w:p>
        </w:tc>
        <w:tc>
          <w:tcPr>
            <w:tcW w:w="1172" w:type="dxa"/>
            <w:tcBorders>
              <w:top w:val="nil"/>
              <w:left w:val="nil"/>
              <w:bottom w:val="single" w:sz="4" w:space="0" w:color="auto"/>
              <w:right w:val="single" w:sz="4" w:space="0" w:color="auto"/>
            </w:tcBorders>
            <w:vAlign w:val="center"/>
            <w:hideMark/>
          </w:tcPr>
          <w:p w:rsidR="00025304" w:rsidRPr="00025304" w:rsidP="00025304" w14:paraId="7204DFB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20</w:t>
            </w:r>
          </w:p>
        </w:tc>
        <w:tc>
          <w:tcPr>
            <w:tcW w:w="1306" w:type="dxa"/>
            <w:tcBorders>
              <w:top w:val="nil"/>
              <w:left w:val="nil"/>
              <w:bottom w:val="single" w:sz="4" w:space="0" w:color="auto"/>
              <w:right w:val="single" w:sz="4" w:space="0" w:color="auto"/>
            </w:tcBorders>
            <w:vAlign w:val="center"/>
            <w:hideMark/>
          </w:tcPr>
          <w:p w:rsidR="00025304" w:rsidRPr="00025304" w:rsidP="00025304" w14:paraId="400685E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535</w:t>
            </w:r>
          </w:p>
        </w:tc>
        <w:tc>
          <w:tcPr>
            <w:tcW w:w="1050" w:type="dxa"/>
            <w:tcBorders>
              <w:top w:val="nil"/>
              <w:left w:val="nil"/>
              <w:bottom w:val="single" w:sz="4" w:space="0" w:color="auto"/>
              <w:right w:val="single" w:sz="4" w:space="0" w:color="auto"/>
            </w:tcBorders>
            <w:vAlign w:val="center"/>
            <w:hideMark/>
          </w:tcPr>
          <w:p w:rsidR="00025304" w:rsidRPr="00025304" w:rsidP="00025304" w14:paraId="554BF1D1"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10,700</w:t>
            </w:r>
          </w:p>
        </w:tc>
        <w:tc>
          <w:tcPr>
            <w:tcW w:w="1338" w:type="dxa"/>
            <w:tcBorders>
              <w:top w:val="nil"/>
              <w:left w:val="nil"/>
              <w:bottom w:val="single" w:sz="4" w:space="0" w:color="auto"/>
              <w:right w:val="single" w:sz="4" w:space="0" w:color="auto"/>
            </w:tcBorders>
            <w:vAlign w:val="center"/>
            <w:hideMark/>
          </w:tcPr>
          <w:p w:rsidR="00025304" w:rsidRPr="00025304" w:rsidP="00025304" w14:paraId="5D88C54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535</w:t>
            </w:r>
          </w:p>
        </w:tc>
        <w:tc>
          <w:tcPr>
            <w:tcW w:w="1103" w:type="dxa"/>
            <w:tcBorders>
              <w:top w:val="nil"/>
              <w:left w:val="nil"/>
              <w:bottom w:val="single" w:sz="4" w:space="0" w:color="auto"/>
              <w:right w:val="single" w:sz="4" w:space="0" w:color="auto"/>
            </w:tcBorders>
            <w:vAlign w:val="center"/>
            <w:hideMark/>
          </w:tcPr>
          <w:p w:rsidR="00025304" w:rsidRPr="00025304" w:rsidP="00025304" w14:paraId="6305134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1,070</w:t>
            </w:r>
          </w:p>
        </w:tc>
        <w:tc>
          <w:tcPr>
            <w:tcW w:w="1480" w:type="dxa"/>
            <w:tcBorders>
              <w:top w:val="nil"/>
              <w:left w:val="nil"/>
              <w:bottom w:val="single" w:sz="4" w:space="0" w:color="auto"/>
              <w:right w:val="single" w:sz="4" w:space="0" w:color="auto"/>
            </w:tcBorders>
            <w:vAlign w:val="center"/>
            <w:hideMark/>
          </w:tcPr>
          <w:p w:rsidR="00025304" w:rsidRPr="00025304" w:rsidP="00025304" w14:paraId="54C16681"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$1,769,085 </w:t>
            </w:r>
          </w:p>
        </w:tc>
      </w:tr>
      <w:tr w14:paraId="1FC95351"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2CB68156" w14:textId="37DF5DDD">
            <w:pPr>
              <w:spacing w:after="0" w:line="240" w:lineRule="auto"/>
              <w:rPr>
                <w:rFonts w:eastAsia="Times New Roman" w:cstheme="minorHAnsi"/>
                <w:b/>
                <w:bCs/>
                <w:i/>
                <w:iCs/>
                <w:color w:val="000000"/>
                <w:sz w:val="20"/>
                <w:szCs w:val="20"/>
              </w:rPr>
            </w:pPr>
            <w:r w:rsidRPr="00025304">
              <w:rPr>
                <w:rFonts w:eastAsia="Times New Roman" w:cstheme="minorHAnsi"/>
                <w:b/>
                <w:bCs/>
                <w:i/>
                <w:iCs/>
                <w:color w:val="000000"/>
                <w:sz w:val="20"/>
                <w:szCs w:val="20"/>
              </w:rPr>
              <w:t>Subtotal</w:t>
            </w:r>
            <w:r w:rsidR="001E1919">
              <w:rPr>
                <w:rFonts w:eastAsia="Times New Roman" w:cstheme="minorHAnsi"/>
                <w:b/>
                <w:bCs/>
                <w:i/>
                <w:iCs/>
                <w:color w:val="000000"/>
                <w:sz w:val="20"/>
                <w:szCs w:val="20"/>
              </w:rPr>
              <w:t xml:space="preserve"> </w:t>
            </w:r>
            <w:r w:rsidRPr="00025304">
              <w:rPr>
                <w:rFonts w:eastAsia="Times New Roman" w:cstheme="minorHAnsi"/>
                <w:b/>
                <w:bCs/>
                <w:i/>
                <w:iCs/>
                <w:color w:val="000000"/>
                <w:sz w:val="20"/>
                <w:szCs w:val="20"/>
              </w:rPr>
              <w:t>for Reporting</w:t>
            </w:r>
            <w:r w:rsidR="001E1919">
              <w:rPr>
                <w:rFonts w:eastAsia="Times New Roman" w:cstheme="minorHAnsi"/>
                <w:b/>
                <w:bCs/>
                <w:i/>
                <w:iCs/>
                <w:color w:val="000000"/>
                <w:sz w:val="20"/>
                <w:szCs w:val="20"/>
              </w:rPr>
              <w:t xml:space="preserve"> </w:t>
            </w:r>
            <w:r w:rsidRPr="00025304">
              <w:rPr>
                <w:rFonts w:eastAsia="Times New Roman" w:cstheme="minorHAnsi"/>
                <w:b/>
                <w:bCs/>
                <w:i/>
                <w:iCs/>
                <w:color w:val="000000"/>
                <w:sz w:val="20"/>
                <w:szCs w:val="20"/>
              </w:rPr>
              <w:t>Requirements</w:t>
            </w:r>
          </w:p>
        </w:tc>
        <w:tc>
          <w:tcPr>
            <w:tcW w:w="1160" w:type="dxa"/>
            <w:tcBorders>
              <w:top w:val="nil"/>
              <w:left w:val="nil"/>
              <w:bottom w:val="single" w:sz="4" w:space="0" w:color="auto"/>
              <w:right w:val="single" w:sz="4" w:space="0" w:color="auto"/>
            </w:tcBorders>
            <w:vAlign w:val="center"/>
            <w:hideMark/>
          </w:tcPr>
          <w:p w:rsidR="00025304" w:rsidRPr="00025304" w:rsidP="00025304" w14:paraId="708C97D5"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5CA9AD2E"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74659FA4"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79AA3FED"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vAlign w:val="center"/>
            <w:hideMark/>
          </w:tcPr>
          <w:p w:rsidR="00025304" w:rsidRPr="00025304" w:rsidP="00025304" w14:paraId="13634FED"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12,920</w:t>
            </w:r>
          </w:p>
        </w:tc>
        <w:tc>
          <w:tcPr>
            <w:tcW w:w="1480" w:type="dxa"/>
            <w:tcBorders>
              <w:top w:val="nil"/>
              <w:left w:val="nil"/>
              <w:bottom w:val="single" w:sz="4" w:space="0" w:color="auto"/>
              <w:right w:val="single" w:sz="4" w:space="0" w:color="auto"/>
            </w:tcBorders>
            <w:vAlign w:val="center"/>
            <w:hideMark/>
          </w:tcPr>
          <w:p w:rsidR="00025304" w:rsidRPr="00025304" w:rsidP="00025304" w14:paraId="63FDEF11" w14:textId="77777777">
            <w:pPr>
              <w:spacing w:after="0" w:line="240" w:lineRule="auto"/>
              <w:ind w:firstLine="200" w:firstLineChars="100"/>
              <w:jc w:val="right"/>
              <w:rPr>
                <w:rFonts w:eastAsia="Times New Roman" w:cstheme="minorHAnsi"/>
                <w:b/>
                <w:bCs/>
                <w:color w:val="000000"/>
                <w:sz w:val="20"/>
                <w:szCs w:val="20"/>
              </w:rPr>
            </w:pPr>
            <w:r w:rsidRPr="00025304">
              <w:rPr>
                <w:rFonts w:eastAsia="Times New Roman" w:cstheme="minorHAnsi"/>
                <w:b/>
                <w:bCs/>
                <w:color w:val="000000"/>
                <w:sz w:val="20"/>
                <w:szCs w:val="20"/>
              </w:rPr>
              <w:t xml:space="preserve">$1,857,539 </w:t>
            </w:r>
          </w:p>
        </w:tc>
      </w:tr>
      <w:tr w14:paraId="5D1182A2"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098E12BC" w14:textId="77777777">
            <w:pPr>
              <w:spacing w:after="0" w:line="240" w:lineRule="auto"/>
              <w:rPr>
                <w:rFonts w:eastAsia="Times New Roman" w:cstheme="minorHAnsi"/>
                <w:color w:val="000000"/>
                <w:sz w:val="20"/>
                <w:szCs w:val="20"/>
              </w:rPr>
            </w:pPr>
            <w:r w:rsidRPr="00025304">
              <w:rPr>
                <w:rFonts w:eastAsia="Times New Roman" w:cstheme="minorHAnsi"/>
                <w:color w:val="000000"/>
                <w:sz w:val="20"/>
                <w:szCs w:val="20"/>
              </w:rPr>
              <w:t>4. Recordkeeping Requirements</w:t>
            </w:r>
          </w:p>
        </w:tc>
        <w:tc>
          <w:tcPr>
            <w:tcW w:w="1160" w:type="dxa"/>
            <w:tcBorders>
              <w:top w:val="nil"/>
              <w:left w:val="nil"/>
              <w:bottom w:val="single" w:sz="4" w:space="0" w:color="auto"/>
              <w:right w:val="single" w:sz="4" w:space="0" w:color="auto"/>
            </w:tcBorders>
            <w:vAlign w:val="center"/>
            <w:hideMark/>
          </w:tcPr>
          <w:p w:rsidR="00025304" w:rsidRPr="00025304" w:rsidP="00025304" w14:paraId="2A7174A4"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5D946FD9"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2293C17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197269DF"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050" w:type="dxa"/>
            <w:tcBorders>
              <w:top w:val="nil"/>
              <w:left w:val="nil"/>
              <w:bottom w:val="single" w:sz="4" w:space="0" w:color="auto"/>
              <w:right w:val="nil"/>
            </w:tcBorders>
            <w:vAlign w:val="center"/>
            <w:hideMark/>
          </w:tcPr>
          <w:p w:rsidR="00025304" w:rsidRPr="00025304" w:rsidP="00025304" w14:paraId="55544FDA"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338" w:type="dxa"/>
            <w:tcBorders>
              <w:top w:val="nil"/>
              <w:left w:val="nil"/>
              <w:bottom w:val="single" w:sz="4" w:space="0" w:color="auto"/>
              <w:right w:val="nil"/>
            </w:tcBorders>
            <w:vAlign w:val="center"/>
            <w:hideMark/>
          </w:tcPr>
          <w:p w:rsidR="00025304" w:rsidRPr="00025304" w:rsidP="00025304" w14:paraId="1E882EBF"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697612FA"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71C2E67F" w14:textId="77777777">
            <w:pPr>
              <w:spacing w:after="0" w:line="240" w:lineRule="auto"/>
              <w:ind w:firstLine="200" w:firstLineChars="100"/>
              <w:jc w:val="right"/>
              <w:rPr>
                <w:rFonts w:eastAsia="Times New Roman" w:cstheme="minorHAnsi"/>
                <w:b/>
                <w:bCs/>
                <w:color w:val="000000"/>
                <w:sz w:val="20"/>
                <w:szCs w:val="20"/>
              </w:rPr>
            </w:pPr>
            <w:r w:rsidRPr="00025304">
              <w:rPr>
                <w:rFonts w:eastAsia="Times New Roman" w:cstheme="minorHAnsi"/>
                <w:b/>
                <w:bCs/>
                <w:color w:val="000000"/>
                <w:sz w:val="20"/>
                <w:szCs w:val="20"/>
              </w:rPr>
              <w:t> </w:t>
            </w:r>
          </w:p>
        </w:tc>
      </w:tr>
      <w:tr w14:paraId="3391F356"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03CD5B4B" w14:textId="754A898E">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A.</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Familiarize with regulatory requirements </w:t>
            </w:r>
            <w:r w:rsidRPr="00025304">
              <w:rPr>
                <w:rFonts w:eastAsia="Times New Roman" w:cstheme="minorHAnsi"/>
                <w:color w:val="000000"/>
                <w:sz w:val="20"/>
                <w:szCs w:val="20"/>
                <w:vertAlign w:val="superscript"/>
              </w:rPr>
              <w:t>c</w:t>
            </w:r>
          </w:p>
        </w:tc>
        <w:tc>
          <w:tcPr>
            <w:tcW w:w="1160" w:type="dxa"/>
            <w:tcBorders>
              <w:top w:val="nil"/>
              <w:left w:val="nil"/>
              <w:bottom w:val="single" w:sz="4" w:space="0" w:color="auto"/>
              <w:right w:val="single" w:sz="4" w:space="0" w:color="auto"/>
            </w:tcBorders>
            <w:vAlign w:val="center"/>
            <w:hideMark/>
          </w:tcPr>
          <w:p w:rsidR="00025304" w:rsidRPr="00025304" w:rsidP="00025304" w14:paraId="783408EF"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See 3A</w:t>
            </w:r>
          </w:p>
        </w:tc>
        <w:tc>
          <w:tcPr>
            <w:tcW w:w="1238" w:type="dxa"/>
            <w:tcBorders>
              <w:top w:val="nil"/>
              <w:left w:val="nil"/>
              <w:bottom w:val="single" w:sz="4" w:space="0" w:color="auto"/>
              <w:right w:val="single" w:sz="4" w:space="0" w:color="auto"/>
            </w:tcBorders>
            <w:vAlign w:val="center"/>
            <w:hideMark/>
          </w:tcPr>
          <w:p w:rsidR="00025304" w:rsidRPr="00025304" w:rsidP="00025304" w14:paraId="7F47BDF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7E4FCAC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56222B1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77DC47F4"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58C14EB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0AF635C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2279BE9B"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1911A3C5"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0130F879" w14:textId="60E5095F">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B.</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Plan activities </w:t>
            </w:r>
          </w:p>
        </w:tc>
        <w:tc>
          <w:tcPr>
            <w:tcW w:w="1160" w:type="dxa"/>
            <w:tcBorders>
              <w:top w:val="nil"/>
              <w:left w:val="nil"/>
              <w:bottom w:val="single" w:sz="4" w:space="0" w:color="auto"/>
              <w:right w:val="single" w:sz="4" w:space="0" w:color="auto"/>
            </w:tcBorders>
            <w:vAlign w:val="center"/>
            <w:hideMark/>
          </w:tcPr>
          <w:p w:rsidR="00025304" w:rsidRPr="00025304" w:rsidP="00025304" w14:paraId="4EB8DF58" w14:textId="07A3FAEA">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See 4C</w:t>
            </w:r>
            <w:r w:rsidR="001E1919">
              <w:rPr>
                <w:rFonts w:eastAsia="Times New Roman" w:cstheme="minorHAnsi"/>
                <w:color w:val="000000"/>
                <w:sz w:val="20"/>
                <w:szCs w:val="20"/>
              </w:rPr>
              <w:t xml:space="preserve"> </w:t>
            </w:r>
          </w:p>
        </w:tc>
        <w:tc>
          <w:tcPr>
            <w:tcW w:w="1238" w:type="dxa"/>
            <w:tcBorders>
              <w:top w:val="nil"/>
              <w:left w:val="nil"/>
              <w:bottom w:val="single" w:sz="4" w:space="0" w:color="auto"/>
              <w:right w:val="single" w:sz="4" w:space="0" w:color="auto"/>
            </w:tcBorders>
            <w:vAlign w:val="center"/>
            <w:hideMark/>
          </w:tcPr>
          <w:p w:rsidR="00025304" w:rsidRPr="00025304" w:rsidP="00025304" w14:paraId="255D255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016D340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55727CD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242CEF3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6AE220D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0012CEB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6C9130FF"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3D15E16D"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54C48ADE" w14:textId="77777777">
            <w:pPr>
              <w:spacing w:after="0" w:line="240" w:lineRule="auto"/>
              <w:ind w:firstLine="400" w:firstLineChars="200"/>
              <w:rPr>
                <w:rFonts w:eastAsia="Times New Roman" w:cstheme="minorHAnsi"/>
                <w:color w:val="000000"/>
                <w:sz w:val="20"/>
                <w:szCs w:val="20"/>
              </w:rPr>
            </w:pPr>
            <w:r w:rsidRPr="00025304">
              <w:rPr>
                <w:rFonts w:eastAsia="Times New Roman" w:cstheme="minorHAnsi"/>
                <w:color w:val="000000"/>
                <w:sz w:val="20"/>
                <w:szCs w:val="20"/>
              </w:rPr>
              <w:t>Implement activities</w:t>
            </w:r>
          </w:p>
        </w:tc>
        <w:tc>
          <w:tcPr>
            <w:tcW w:w="1160" w:type="dxa"/>
            <w:tcBorders>
              <w:top w:val="nil"/>
              <w:left w:val="nil"/>
              <w:bottom w:val="single" w:sz="4" w:space="0" w:color="auto"/>
              <w:right w:val="single" w:sz="4" w:space="0" w:color="auto"/>
            </w:tcBorders>
            <w:vAlign w:val="center"/>
            <w:hideMark/>
          </w:tcPr>
          <w:p w:rsidR="00025304" w:rsidRPr="00025304" w:rsidP="00025304" w14:paraId="1310395F"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See 3</w:t>
            </w:r>
          </w:p>
        </w:tc>
        <w:tc>
          <w:tcPr>
            <w:tcW w:w="1238" w:type="dxa"/>
            <w:tcBorders>
              <w:top w:val="nil"/>
              <w:left w:val="nil"/>
              <w:bottom w:val="single" w:sz="4" w:space="0" w:color="auto"/>
              <w:right w:val="single" w:sz="4" w:space="0" w:color="auto"/>
            </w:tcBorders>
            <w:vAlign w:val="center"/>
            <w:hideMark/>
          </w:tcPr>
          <w:p w:rsidR="00025304" w:rsidRPr="00025304" w:rsidP="00025304" w14:paraId="7075B95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6F552C6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319562E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4B01138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0356544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21EBA014"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6768DDE7"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78776749"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0B75EBC4" w14:textId="77777777">
            <w:pPr>
              <w:spacing w:after="0" w:line="240" w:lineRule="auto"/>
              <w:ind w:firstLine="400" w:firstLineChars="200"/>
              <w:rPr>
                <w:rFonts w:eastAsia="Times New Roman" w:cstheme="minorHAnsi"/>
                <w:color w:val="000000"/>
                <w:sz w:val="20"/>
                <w:szCs w:val="20"/>
              </w:rPr>
            </w:pPr>
            <w:r w:rsidRPr="00025304">
              <w:rPr>
                <w:rFonts w:eastAsia="Times New Roman" w:cstheme="minorHAnsi"/>
                <w:color w:val="000000"/>
                <w:sz w:val="20"/>
                <w:szCs w:val="20"/>
              </w:rPr>
              <w:t xml:space="preserve">Develop record system </w:t>
            </w:r>
          </w:p>
        </w:tc>
        <w:tc>
          <w:tcPr>
            <w:tcW w:w="1160" w:type="dxa"/>
            <w:tcBorders>
              <w:top w:val="nil"/>
              <w:left w:val="nil"/>
              <w:bottom w:val="single" w:sz="4" w:space="0" w:color="auto"/>
              <w:right w:val="single" w:sz="4" w:space="0" w:color="auto"/>
            </w:tcBorders>
            <w:vAlign w:val="center"/>
            <w:hideMark/>
          </w:tcPr>
          <w:p w:rsidR="00025304" w:rsidRPr="00025304" w:rsidP="00025304" w14:paraId="45E27786"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N/A</w:t>
            </w:r>
          </w:p>
        </w:tc>
        <w:tc>
          <w:tcPr>
            <w:tcW w:w="1238" w:type="dxa"/>
            <w:tcBorders>
              <w:top w:val="nil"/>
              <w:left w:val="nil"/>
              <w:bottom w:val="single" w:sz="4" w:space="0" w:color="auto"/>
              <w:right w:val="single" w:sz="4" w:space="0" w:color="auto"/>
            </w:tcBorders>
            <w:vAlign w:val="center"/>
            <w:hideMark/>
          </w:tcPr>
          <w:p w:rsidR="00025304" w:rsidRPr="00025304" w:rsidP="00025304" w14:paraId="1C1027C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32D387F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7813D3D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2BB1BE8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5CE75DD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3308EE2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78A54C92"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572B5177"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1E1919" w14:paraId="17C24B3E" w14:textId="3BEC215B">
            <w:pPr>
              <w:spacing w:after="0" w:line="240" w:lineRule="auto"/>
              <w:ind w:left="150" w:firstLine="50" w:firstLineChars="25"/>
              <w:rPr>
                <w:rFonts w:eastAsia="Times New Roman" w:cstheme="minorHAnsi"/>
                <w:color w:val="000000"/>
                <w:sz w:val="20"/>
                <w:szCs w:val="20"/>
              </w:rPr>
            </w:pPr>
            <w:r w:rsidRPr="00025304">
              <w:rPr>
                <w:rFonts w:eastAsia="Times New Roman" w:cstheme="minorHAnsi"/>
                <w:color w:val="000000"/>
                <w:sz w:val="20"/>
                <w:szCs w:val="20"/>
              </w:rPr>
              <w:t>C.</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Time to check computer system and calibrate continuous monitor </w:t>
            </w:r>
            <w:r w:rsidRPr="00025304">
              <w:rPr>
                <w:rFonts w:eastAsia="Times New Roman" w:cstheme="minorHAnsi"/>
                <w:color w:val="000000"/>
                <w:sz w:val="20"/>
                <w:szCs w:val="20"/>
                <w:vertAlign w:val="superscript"/>
              </w:rPr>
              <w:t>g</w:t>
            </w:r>
          </w:p>
        </w:tc>
        <w:tc>
          <w:tcPr>
            <w:tcW w:w="1160" w:type="dxa"/>
            <w:tcBorders>
              <w:top w:val="nil"/>
              <w:left w:val="nil"/>
              <w:bottom w:val="single" w:sz="4" w:space="0" w:color="auto"/>
              <w:right w:val="single" w:sz="4" w:space="0" w:color="auto"/>
            </w:tcBorders>
            <w:vAlign w:val="center"/>
            <w:hideMark/>
          </w:tcPr>
          <w:p w:rsidR="00025304" w:rsidRPr="00025304" w:rsidP="00025304" w14:paraId="13CD366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0.25</w:t>
            </w:r>
          </w:p>
        </w:tc>
        <w:tc>
          <w:tcPr>
            <w:tcW w:w="1238" w:type="dxa"/>
            <w:tcBorders>
              <w:top w:val="nil"/>
              <w:left w:val="nil"/>
              <w:bottom w:val="single" w:sz="4" w:space="0" w:color="auto"/>
              <w:right w:val="single" w:sz="4" w:space="0" w:color="auto"/>
            </w:tcBorders>
            <w:vAlign w:val="center"/>
            <w:hideMark/>
          </w:tcPr>
          <w:p w:rsidR="00025304" w:rsidRPr="00025304" w:rsidP="00025304" w14:paraId="42AD060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365</w:t>
            </w:r>
          </w:p>
        </w:tc>
        <w:tc>
          <w:tcPr>
            <w:tcW w:w="1172" w:type="dxa"/>
            <w:tcBorders>
              <w:top w:val="nil"/>
              <w:left w:val="nil"/>
              <w:bottom w:val="single" w:sz="4" w:space="0" w:color="auto"/>
              <w:right w:val="single" w:sz="4" w:space="0" w:color="auto"/>
            </w:tcBorders>
            <w:vAlign w:val="center"/>
            <w:hideMark/>
          </w:tcPr>
          <w:p w:rsidR="00025304" w:rsidRPr="00025304" w:rsidP="00025304" w14:paraId="02CE0B80"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91.25</w:t>
            </w:r>
          </w:p>
        </w:tc>
        <w:tc>
          <w:tcPr>
            <w:tcW w:w="1306" w:type="dxa"/>
            <w:tcBorders>
              <w:top w:val="nil"/>
              <w:left w:val="nil"/>
              <w:bottom w:val="single" w:sz="4" w:space="0" w:color="auto"/>
              <w:right w:val="single" w:sz="4" w:space="0" w:color="auto"/>
            </w:tcBorders>
            <w:vAlign w:val="center"/>
            <w:hideMark/>
          </w:tcPr>
          <w:p w:rsidR="00025304" w:rsidRPr="00025304" w:rsidP="00025304" w14:paraId="359BDAC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535</w:t>
            </w:r>
          </w:p>
        </w:tc>
        <w:tc>
          <w:tcPr>
            <w:tcW w:w="1050" w:type="dxa"/>
            <w:tcBorders>
              <w:top w:val="nil"/>
              <w:left w:val="nil"/>
              <w:bottom w:val="single" w:sz="4" w:space="0" w:color="auto"/>
              <w:right w:val="single" w:sz="4" w:space="0" w:color="auto"/>
            </w:tcBorders>
            <w:vAlign w:val="center"/>
            <w:hideMark/>
          </w:tcPr>
          <w:p w:rsidR="00025304" w:rsidRPr="00025304" w:rsidP="00025304" w14:paraId="3724133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48,818.75</w:t>
            </w:r>
          </w:p>
        </w:tc>
        <w:tc>
          <w:tcPr>
            <w:tcW w:w="1338" w:type="dxa"/>
            <w:tcBorders>
              <w:top w:val="nil"/>
              <w:left w:val="nil"/>
              <w:bottom w:val="single" w:sz="4" w:space="0" w:color="auto"/>
              <w:right w:val="single" w:sz="4" w:space="0" w:color="auto"/>
            </w:tcBorders>
            <w:vAlign w:val="center"/>
            <w:hideMark/>
          </w:tcPr>
          <w:p w:rsidR="00025304" w:rsidRPr="00025304" w:rsidP="00025304" w14:paraId="7E02853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2,440.94</w:t>
            </w:r>
          </w:p>
        </w:tc>
        <w:tc>
          <w:tcPr>
            <w:tcW w:w="1103" w:type="dxa"/>
            <w:tcBorders>
              <w:top w:val="nil"/>
              <w:left w:val="nil"/>
              <w:bottom w:val="single" w:sz="4" w:space="0" w:color="auto"/>
              <w:right w:val="single" w:sz="4" w:space="0" w:color="auto"/>
            </w:tcBorders>
            <w:vAlign w:val="center"/>
            <w:hideMark/>
          </w:tcPr>
          <w:p w:rsidR="00025304" w:rsidRPr="00025304" w:rsidP="00025304" w14:paraId="41BE67F3"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4,881.88</w:t>
            </w:r>
          </w:p>
        </w:tc>
        <w:tc>
          <w:tcPr>
            <w:tcW w:w="1480" w:type="dxa"/>
            <w:tcBorders>
              <w:top w:val="nil"/>
              <w:left w:val="nil"/>
              <w:bottom w:val="single" w:sz="4" w:space="0" w:color="auto"/>
              <w:right w:val="single" w:sz="4" w:space="0" w:color="auto"/>
            </w:tcBorders>
            <w:vAlign w:val="center"/>
            <w:hideMark/>
          </w:tcPr>
          <w:p w:rsidR="00025304" w:rsidRPr="00025304" w:rsidP="00025304" w14:paraId="40A6B99B"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xml:space="preserve">$8,071,448 </w:t>
            </w:r>
          </w:p>
        </w:tc>
      </w:tr>
      <w:tr w14:paraId="4D60314A"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33E11A1F" w14:textId="63F60756">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D.</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Train personnel</w:t>
            </w:r>
          </w:p>
        </w:tc>
        <w:tc>
          <w:tcPr>
            <w:tcW w:w="1160" w:type="dxa"/>
            <w:tcBorders>
              <w:top w:val="nil"/>
              <w:left w:val="nil"/>
              <w:bottom w:val="single" w:sz="4" w:space="0" w:color="auto"/>
              <w:right w:val="single" w:sz="4" w:space="0" w:color="auto"/>
            </w:tcBorders>
            <w:vAlign w:val="center"/>
            <w:hideMark/>
          </w:tcPr>
          <w:p w:rsidR="00025304" w:rsidRPr="00025304" w:rsidP="00025304" w14:paraId="5DB3F39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N/A</w:t>
            </w:r>
          </w:p>
        </w:tc>
        <w:tc>
          <w:tcPr>
            <w:tcW w:w="1238" w:type="dxa"/>
            <w:tcBorders>
              <w:top w:val="nil"/>
              <w:left w:val="nil"/>
              <w:bottom w:val="single" w:sz="4" w:space="0" w:color="auto"/>
              <w:right w:val="single" w:sz="4" w:space="0" w:color="auto"/>
            </w:tcBorders>
            <w:vAlign w:val="center"/>
            <w:hideMark/>
          </w:tcPr>
          <w:p w:rsidR="00025304" w:rsidRPr="00025304" w:rsidP="00025304" w14:paraId="5B941FD9"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5C96B2A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1C5197C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01395E1B"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10DBE1FE"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5E7978E2"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751F5080"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0F5AD3C9"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7E4FC835" w14:textId="1DABA0DB">
            <w:pPr>
              <w:spacing w:after="0" w:line="240" w:lineRule="auto"/>
              <w:ind w:firstLine="200" w:firstLineChars="100"/>
              <w:rPr>
                <w:rFonts w:eastAsia="Times New Roman" w:cstheme="minorHAnsi"/>
                <w:color w:val="000000"/>
                <w:sz w:val="20"/>
                <w:szCs w:val="20"/>
              </w:rPr>
            </w:pPr>
            <w:r w:rsidRPr="00025304">
              <w:rPr>
                <w:rFonts w:eastAsia="Times New Roman" w:cstheme="minorHAnsi"/>
                <w:color w:val="000000"/>
                <w:sz w:val="20"/>
                <w:szCs w:val="20"/>
              </w:rPr>
              <w:t>E.</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Audits</w:t>
            </w:r>
          </w:p>
        </w:tc>
        <w:tc>
          <w:tcPr>
            <w:tcW w:w="1160" w:type="dxa"/>
            <w:tcBorders>
              <w:top w:val="nil"/>
              <w:left w:val="nil"/>
              <w:bottom w:val="single" w:sz="4" w:space="0" w:color="auto"/>
              <w:right w:val="single" w:sz="4" w:space="0" w:color="auto"/>
            </w:tcBorders>
            <w:vAlign w:val="center"/>
            <w:hideMark/>
          </w:tcPr>
          <w:p w:rsidR="00025304" w:rsidRPr="00025304" w:rsidP="00025304" w14:paraId="55C0A1C6"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N/A</w:t>
            </w:r>
          </w:p>
        </w:tc>
        <w:tc>
          <w:tcPr>
            <w:tcW w:w="1238" w:type="dxa"/>
            <w:tcBorders>
              <w:top w:val="nil"/>
              <w:left w:val="nil"/>
              <w:bottom w:val="single" w:sz="4" w:space="0" w:color="auto"/>
              <w:right w:val="single" w:sz="4" w:space="0" w:color="auto"/>
            </w:tcBorders>
            <w:vAlign w:val="center"/>
            <w:hideMark/>
          </w:tcPr>
          <w:p w:rsidR="00025304" w:rsidRPr="00025304" w:rsidP="00025304" w14:paraId="5A0B00F8"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7331145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3CE63D2D"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050" w:type="dxa"/>
            <w:tcBorders>
              <w:top w:val="nil"/>
              <w:left w:val="nil"/>
              <w:bottom w:val="single" w:sz="4" w:space="0" w:color="auto"/>
              <w:right w:val="single" w:sz="4" w:space="0" w:color="auto"/>
            </w:tcBorders>
            <w:vAlign w:val="center"/>
            <w:hideMark/>
          </w:tcPr>
          <w:p w:rsidR="00025304" w:rsidRPr="00025304" w:rsidP="00025304" w14:paraId="67C5ACA7"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vAlign w:val="center"/>
            <w:hideMark/>
          </w:tcPr>
          <w:p w:rsidR="00025304" w:rsidRPr="00025304" w:rsidP="00025304" w14:paraId="257D838C"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vAlign w:val="center"/>
            <w:hideMark/>
          </w:tcPr>
          <w:p w:rsidR="00025304" w:rsidRPr="00025304" w:rsidP="00025304" w14:paraId="5B2C5585" w14:textId="77777777">
            <w:pPr>
              <w:spacing w:after="0" w:line="240" w:lineRule="auto"/>
              <w:jc w:val="center"/>
              <w:rPr>
                <w:rFonts w:eastAsia="Times New Roman" w:cstheme="minorHAnsi"/>
                <w:color w:val="000000"/>
                <w:sz w:val="20"/>
                <w:szCs w:val="20"/>
              </w:rPr>
            </w:pPr>
            <w:r w:rsidRPr="00025304">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4ED9A9FB" w14:textId="77777777">
            <w:pPr>
              <w:spacing w:after="0" w:line="240" w:lineRule="auto"/>
              <w:ind w:firstLine="200" w:firstLineChars="100"/>
              <w:jc w:val="right"/>
              <w:rPr>
                <w:rFonts w:eastAsia="Times New Roman" w:cstheme="minorHAnsi"/>
                <w:color w:val="000000"/>
                <w:sz w:val="20"/>
                <w:szCs w:val="20"/>
              </w:rPr>
            </w:pPr>
            <w:r w:rsidRPr="00025304">
              <w:rPr>
                <w:rFonts w:eastAsia="Times New Roman" w:cstheme="minorHAnsi"/>
                <w:color w:val="000000"/>
                <w:sz w:val="20"/>
                <w:szCs w:val="20"/>
              </w:rPr>
              <w:t> </w:t>
            </w:r>
          </w:p>
        </w:tc>
      </w:tr>
      <w:tr w14:paraId="7FFF766F" w14:textId="77777777" w:rsidTr="00025304">
        <w:tblPrEx>
          <w:tblW w:w="13469" w:type="dxa"/>
          <w:tblInd w:w="113" w:type="dxa"/>
          <w:tblLook w:val="04A0"/>
        </w:tblPrEx>
        <w:trPr>
          <w:gridAfter w:val="1"/>
          <w:wAfter w:w="27" w:type="dxa"/>
          <w:trHeight w:val="300"/>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2A7B7214" w14:textId="21D599FA">
            <w:pPr>
              <w:spacing w:after="0" w:line="240" w:lineRule="auto"/>
              <w:rPr>
                <w:rFonts w:eastAsia="Times New Roman" w:cstheme="minorHAnsi"/>
                <w:b/>
                <w:bCs/>
                <w:i/>
                <w:iCs/>
                <w:color w:val="000000"/>
                <w:sz w:val="20"/>
                <w:szCs w:val="20"/>
              </w:rPr>
            </w:pPr>
            <w:r w:rsidRPr="00025304">
              <w:rPr>
                <w:rFonts w:eastAsia="Times New Roman" w:cstheme="minorHAnsi"/>
                <w:b/>
                <w:bCs/>
                <w:i/>
                <w:iCs/>
                <w:color w:val="000000"/>
                <w:sz w:val="20"/>
                <w:szCs w:val="20"/>
              </w:rPr>
              <w:t>Subtotal</w:t>
            </w:r>
            <w:r w:rsidR="001E1919">
              <w:rPr>
                <w:rFonts w:eastAsia="Times New Roman" w:cstheme="minorHAnsi"/>
                <w:b/>
                <w:bCs/>
                <w:i/>
                <w:iCs/>
                <w:color w:val="000000"/>
                <w:sz w:val="20"/>
                <w:szCs w:val="20"/>
              </w:rPr>
              <w:t xml:space="preserve"> </w:t>
            </w:r>
            <w:r w:rsidRPr="00025304">
              <w:rPr>
                <w:rFonts w:eastAsia="Times New Roman" w:cstheme="minorHAnsi"/>
                <w:b/>
                <w:bCs/>
                <w:i/>
                <w:iCs/>
                <w:color w:val="000000"/>
                <w:sz w:val="20"/>
                <w:szCs w:val="20"/>
              </w:rPr>
              <w:t>for Recordkeeping Requirements</w:t>
            </w:r>
            <w:r w:rsidR="001E1919">
              <w:rPr>
                <w:rFonts w:eastAsia="Times New Roman" w:cstheme="minorHAnsi"/>
                <w:b/>
                <w:bCs/>
                <w:i/>
                <w:iCs/>
                <w:color w:val="000000"/>
                <w:sz w:val="20"/>
                <w:szCs w:val="20"/>
              </w:rPr>
              <w:t xml:space="preserve"> </w:t>
            </w:r>
          </w:p>
        </w:tc>
        <w:tc>
          <w:tcPr>
            <w:tcW w:w="1160" w:type="dxa"/>
            <w:tcBorders>
              <w:top w:val="nil"/>
              <w:left w:val="nil"/>
              <w:bottom w:val="single" w:sz="4" w:space="0" w:color="auto"/>
              <w:right w:val="single" w:sz="4" w:space="0" w:color="auto"/>
            </w:tcBorders>
            <w:vAlign w:val="center"/>
            <w:hideMark/>
          </w:tcPr>
          <w:p w:rsidR="00025304" w:rsidRPr="00025304" w:rsidP="00025304" w14:paraId="5CD43B9C"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54FFC169"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72ABCF01"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44314EDA"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vAlign w:val="center"/>
            <w:hideMark/>
          </w:tcPr>
          <w:p w:rsidR="00025304" w:rsidRPr="00025304" w:rsidP="00025304" w14:paraId="32AAD3D8"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56,142</w:t>
            </w:r>
          </w:p>
        </w:tc>
        <w:tc>
          <w:tcPr>
            <w:tcW w:w="1480" w:type="dxa"/>
            <w:tcBorders>
              <w:top w:val="nil"/>
              <w:left w:val="nil"/>
              <w:bottom w:val="single" w:sz="4" w:space="0" w:color="auto"/>
              <w:right w:val="single" w:sz="4" w:space="0" w:color="auto"/>
            </w:tcBorders>
            <w:vAlign w:val="center"/>
            <w:hideMark/>
          </w:tcPr>
          <w:p w:rsidR="00025304" w:rsidRPr="00025304" w:rsidP="00025304" w14:paraId="5E8DC65B" w14:textId="77777777">
            <w:pPr>
              <w:spacing w:after="0" w:line="240" w:lineRule="auto"/>
              <w:ind w:firstLine="200" w:firstLineChars="100"/>
              <w:jc w:val="right"/>
              <w:rPr>
                <w:rFonts w:eastAsia="Times New Roman" w:cstheme="minorHAnsi"/>
                <w:b/>
                <w:bCs/>
                <w:color w:val="000000"/>
                <w:sz w:val="20"/>
                <w:szCs w:val="20"/>
              </w:rPr>
            </w:pPr>
            <w:r w:rsidRPr="00025304">
              <w:rPr>
                <w:rFonts w:eastAsia="Times New Roman" w:cstheme="minorHAnsi"/>
                <w:b/>
                <w:bCs/>
                <w:color w:val="000000"/>
                <w:sz w:val="20"/>
                <w:szCs w:val="20"/>
              </w:rPr>
              <w:t xml:space="preserve">$8,071,448 </w:t>
            </w:r>
          </w:p>
        </w:tc>
      </w:tr>
      <w:tr w14:paraId="28F8FAAE"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066F7750" w14:textId="77777777">
            <w:pPr>
              <w:spacing w:after="0" w:line="240" w:lineRule="auto"/>
              <w:rPr>
                <w:rFonts w:eastAsia="Times New Roman" w:cstheme="minorHAnsi"/>
                <w:b/>
                <w:bCs/>
                <w:color w:val="000000"/>
                <w:sz w:val="20"/>
                <w:szCs w:val="20"/>
              </w:rPr>
            </w:pPr>
            <w:r w:rsidRPr="00025304">
              <w:rPr>
                <w:rFonts w:eastAsia="Times New Roman" w:cstheme="minorHAnsi"/>
                <w:b/>
                <w:bCs/>
                <w:color w:val="000000"/>
                <w:sz w:val="20"/>
                <w:szCs w:val="20"/>
              </w:rPr>
              <w:t xml:space="preserve">TOTAL LABOR BURDEN AND COST (rounded) </w:t>
            </w:r>
            <w:r w:rsidRPr="00025304">
              <w:rPr>
                <w:rFonts w:eastAsia="Times New Roman" w:cstheme="minorHAnsi"/>
                <w:b/>
                <w:bCs/>
                <w:color w:val="000000"/>
                <w:sz w:val="20"/>
                <w:szCs w:val="20"/>
                <w:vertAlign w:val="superscript"/>
              </w:rPr>
              <w:t>h</w:t>
            </w:r>
          </w:p>
        </w:tc>
        <w:tc>
          <w:tcPr>
            <w:tcW w:w="1160" w:type="dxa"/>
            <w:tcBorders>
              <w:top w:val="nil"/>
              <w:left w:val="nil"/>
              <w:bottom w:val="single" w:sz="4" w:space="0" w:color="auto"/>
              <w:right w:val="single" w:sz="4" w:space="0" w:color="auto"/>
            </w:tcBorders>
            <w:vAlign w:val="center"/>
            <w:hideMark/>
          </w:tcPr>
          <w:p w:rsidR="00025304" w:rsidRPr="00025304" w:rsidP="00025304" w14:paraId="7D40FC9E"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41284152"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405EAD72"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0B30D345"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vAlign w:val="center"/>
            <w:hideMark/>
          </w:tcPr>
          <w:p w:rsidR="00025304" w:rsidRPr="00025304" w:rsidP="00025304" w14:paraId="6B25C446"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69,100</w:t>
            </w:r>
          </w:p>
        </w:tc>
        <w:tc>
          <w:tcPr>
            <w:tcW w:w="1480" w:type="dxa"/>
            <w:tcBorders>
              <w:top w:val="nil"/>
              <w:left w:val="nil"/>
              <w:bottom w:val="single" w:sz="4" w:space="0" w:color="auto"/>
              <w:right w:val="single" w:sz="4" w:space="0" w:color="auto"/>
            </w:tcBorders>
            <w:vAlign w:val="center"/>
            <w:hideMark/>
          </w:tcPr>
          <w:p w:rsidR="00025304" w:rsidRPr="00025304" w:rsidP="00025304" w14:paraId="22E792D7" w14:textId="77777777">
            <w:pPr>
              <w:spacing w:after="0" w:line="240" w:lineRule="auto"/>
              <w:ind w:firstLine="200" w:firstLineChars="100"/>
              <w:jc w:val="right"/>
              <w:rPr>
                <w:rFonts w:eastAsia="Times New Roman" w:cstheme="minorHAnsi"/>
                <w:b/>
                <w:bCs/>
                <w:color w:val="000000"/>
                <w:sz w:val="20"/>
                <w:szCs w:val="20"/>
              </w:rPr>
            </w:pPr>
            <w:r w:rsidRPr="00025304">
              <w:rPr>
                <w:rFonts w:eastAsia="Times New Roman" w:cstheme="minorHAnsi"/>
                <w:b/>
                <w:bCs/>
                <w:color w:val="000000"/>
                <w:sz w:val="20"/>
                <w:szCs w:val="20"/>
              </w:rPr>
              <w:t xml:space="preserve">$9,930,000 </w:t>
            </w:r>
          </w:p>
        </w:tc>
      </w:tr>
      <w:tr w14:paraId="5CF9A654"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72B59E01" w14:textId="77777777">
            <w:pPr>
              <w:spacing w:after="0" w:line="240" w:lineRule="auto"/>
              <w:rPr>
                <w:rFonts w:eastAsia="Times New Roman" w:cstheme="minorHAnsi"/>
                <w:b/>
                <w:bCs/>
                <w:color w:val="000000"/>
                <w:sz w:val="20"/>
                <w:szCs w:val="20"/>
              </w:rPr>
            </w:pPr>
            <w:r w:rsidRPr="00025304">
              <w:rPr>
                <w:rFonts w:eastAsia="Times New Roman" w:cstheme="minorHAnsi"/>
                <w:b/>
                <w:bCs/>
                <w:color w:val="000000"/>
                <w:sz w:val="20"/>
                <w:szCs w:val="20"/>
              </w:rPr>
              <w:t>TOTAL CAPITAL AND O&amp;M COST (rounded)</w:t>
            </w:r>
            <w:r w:rsidRPr="00025304">
              <w:rPr>
                <w:rFonts w:eastAsia="Times New Roman" w:cstheme="minorHAnsi"/>
                <w:b/>
                <w:bCs/>
                <w:color w:val="000000"/>
                <w:sz w:val="20"/>
                <w:szCs w:val="20"/>
                <w:vertAlign w:val="superscript"/>
              </w:rPr>
              <w:t xml:space="preserve"> h</w:t>
            </w:r>
          </w:p>
        </w:tc>
        <w:tc>
          <w:tcPr>
            <w:tcW w:w="1160" w:type="dxa"/>
            <w:tcBorders>
              <w:top w:val="nil"/>
              <w:left w:val="nil"/>
              <w:bottom w:val="single" w:sz="4" w:space="0" w:color="auto"/>
              <w:right w:val="single" w:sz="4" w:space="0" w:color="auto"/>
            </w:tcBorders>
            <w:vAlign w:val="center"/>
            <w:hideMark/>
          </w:tcPr>
          <w:p w:rsidR="00025304" w:rsidRPr="00025304" w:rsidP="00025304" w14:paraId="3C7B806E"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68FABD5F"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763FD54D"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09E6EB7A"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vAlign w:val="center"/>
            <w:hideMark/>
          </w:tcPr>
          <w:p w:rsidR="00025304" w:rsidRPr="00025304" w:rsidP="00025304" w14:paraId="7AE46E93"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2872F3A4" w14:textId="77777777">
            <w:pPr>
              <w:spacing w:after="0" w:line="240" w:lineRule="auto"/>
              <w:ind w:firstLine="200" w:firstLineChars="100"/>
              <w:jc w:val="right"/>
              <w:rPr>
                <w:rFonts w:eastAsia="Times New Roman" w:cstheme="minorHAnsi"/>
                <w:b/>
                <w:bCs/>
                <w:color w:val="000000"/>
                <w:sz w:val="20"/>
                <w:szCs w:val="20"/>
              </w:rPr>
            </w:pPr>
            <w:r w:rsidRPr="00025304">
              <w:rPr>
                <w:rFonts w:eastAsia="Times New Roman" w:cstheme="minorHAnsi"/>
                <w:b/>
                <w:bCs/>
                <w:color w:val="000000"/>
                <w:sz w:val="20"/>
                <w:szCs w:val="20"/>
              </w:rPr>
              <w:t xml:space="preserve">$0 </w:t>
            </w:r>
          </w:p>
        </w:tc>
      </w:tr>
      <w:tr w14:paraId="17F66E86" w14:textId="77777777" w:rsidTr="00025304">
        <w:tblPrEx>
          <w:tblW w:w="13469" w:type="dxa"/>
          <w:tblInd w:w="113" w:type="dxa"/>
          <w:tblLook w:val="04A0"/>
        </w:tblPrEx>
        <w:trPr>
          <w:gridAfter w:val="1"/>
          <w:wAfter w:w="27" w:type="dxa"/>
          <w:trHeight w:val="315"/>
        </w:trPr>
        <w:tc>
          <w:tcPr>
            <w:tcW w:w="3595" w:type="dxa"/>
            <w:tcBorders>
              <w:top w:val="nil"/>
              <w:left w:val="single" w:sz="4" w:space="0" w:color="auto"/>
              <w:bottom w:val="single" w:sz="4" w:space="0" w:color="auto"/>
              <w:right w:val="single" w:sz="4" w:space="0" w:color="auto"/>
            </w:tcBorders>
            <w:vAlign w:val="center"/>
            <w:hideMark/>
          </w:tcPr>
          <w:p w:rsidR="00025304" w:rsidRPr="00025304" w:rsidP="00025304" w14:paraId="706ED6DB" w14:textId="77777777">
            <w:pPr>
              <w:spacing w:after="0" w:line="240" w:lineRule="auto"/>
              <w:rPr>
                <w:rFonts w:eastAsia="Times New Roman" w:cstheme="minorHAnsi"/>
                <w:b/>
                <w:bCs/>
                <w:color w:val="000000"/>
                <w:sz w:val="20"/>
                <w:szCs w:val="20"/>
              </w:rPr>
            </w:pPr>
            <w:r w:rsidRPr="00025304">
              <w:rPr>
                <w:rFonts w:eastAsia="Times New Roman" w:cstheme="minorHAnsi"/>
                <w:b/>
                <w:bCs/>
                <w:color w:val="000000"/>
                <w:sz w:val="20"/>
                <w:szCs w:val="20"/>
              </w:rPr>
              <w:t xml:space="preserve">GRAND TOTAL (rounded) </w:t>
            </w:r>
            <w:r w:rsidRPr="00025304">
              <w:rPr>
                <w:rFonts w:eastAsia="Times New Roman" w:cstheme="minorHAnsi"/>
                <w:b/>
                <w:bCs/>
                <w:color w:val="000000"/>
                <w:sz w:val="20"/>
                <w:szCs w:val="20"/>
                <w:vertAlign w:val="superscript"/>
              </w:rPr>
              <w:t>h</w:t>
            </w:r>
          </w:p>
        </w:tc>
        <w:tc>
          <w:tcPr>
            <w:tcW w:w="1160" w:type="dxa"/>
            <w:tcBorders>
              <w:top w:val="nil"/>
              <w:left w:val="nil"/>
              <w:bottom w:val="single" w:sz="4" w:space="0" w:color="auto"/>
              <w:right w:val="single" w:sz="4" w:space="0" w:color="auto"/>
            </w:tcBorders>
            <w:vAlign w:val="center"/>
            <w:hideMark/>
          </w:tcPr>
          <w:p w:rsidR="00025304" w:rsidRPr="00025304" w:rsidP="00025304" w14:paraId="67357070"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vAlign w:val="center"/>
            <w:hideMark/>
          </w:tcPr>
          <w:p w:rsidR="00025304" w:rsidRPr="00025304" w:rsidP="00025304" w14:paraId="082773A6"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vAlign w:val="center"/>
            <w:hideMark/>
          </w:tcPr>
          <w:p w:rsidR="00025304" w:rsidRPr="00025304" w:rsidP="00025304" w14:paraId="6C8C5D8D"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306" w:type="dxa"/>
            <w:tcBorders>
              <w:top w:val="nil"/>
              <w:left w:val="nil"/>
              <w:bottom w:val="single" w:sz="4" w:space="0" w:color="auto"/>
              <w:right w:val="single" w:sz="4" w:space="0" w:color="auto"/>
            </w:tcBorders>
            <w:vAlign w:val="center"/>
            <w:hideMark/>
          </w:tcPr>
          <w:p w:rsidR="00025304" w:rsidRPr="00025304" w:rsidP="00025304" w14:paraId="5FEDD78B" w14:textId="77777777">
            <w:pPr>
              <w:spacing w:after="0" w:line="240" w:lineRule="auto"/>
              <w:ind w:firstLine="200" w:firstLineChars="100"/>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vAlign w:val="center"/>
            <w:hideMark/>
          </w:tcPr>
          <w:p w:rsidR="00025304" w:rsidRPr="00025304" w:rsidP="00025304" w14:paraId="4272C9EF" w14:textId="77777777">
            <w:pPr>
              <w:spacing w:after="0" w:line="240" w:lineRule="auto"/>
              <w:jc w:val="center"/>
              <w:rPr>
                <w:rFonts w:eastAsia="Times New Roman" w:cstheme="minorHAnsi"/>
                <w:b/>
                <w:bCs/>
                <w:color w:val="000000"/>
                <w:sz w:val="20"/>
                <w:szCs w:val="20"/>
              </w:rPr>
            </w:pPr>
            <w:r w:rsidRPr="00025304">
              <w:rPr>
                <w:rFonts w:eastAsia="Times New Roman" w:cstheme="minorHAnsi"/>
                <w:b/>
                <w:bCs/>
                <w:color w:val="000000"/>
                <w:sz w:val="20"/>
                <w:szCs w:val="20"/>
              </w:rPr>
              <w:t> </w:t>
            </w:r>
          </w:p>
        </w:tc>
        <w:tc>
          <w:tcPr>
            <w:tcW w:w="1480" w:type="dxa"/>
            <w:tcBorders>
              <w:top w:val="nil"/>
              <w:left w:val="nil"/>
              <w:bottom w:val="single" w:sz="4" w:space="0" w:color="auto"/>
              <w:right w:val="single" w:sz="4" w:space="0" w:color="auto"/>
            </w:tcBorders>
            <w:vAlign w:val="center"/>
            <w:hideMark/>
          </w:tcPr>
          <w:p w:rsidR="00025304" w:rsidRPr="00025304" w:rsidP="00025304" w14:paraId="48B9B8E1" w14:textId="77777777">
            <w:pPr>
              <w:spacing w:after="0" w:line="240" w:lineRule="auto"/>
              <w:ind w:firstLine="200" w:firstLineChars="100"/>
              <w:jc w:val="right"/>
              <w:rPr>
                <w:rFonts w:eastAsia="Times New Roman" w:cstheme="minorHAnsi"/>
                <w:b/>
                <w:bCs/>
                <w:color w:val="000000"/>
                <w:sz w:val="20"/>
                <w:szCs w:val="20"/>
              </w:rPr>
            </w:pPr>
            <w:r w:rsidRPr="00025304">
              <w:rPr>
                <w:rFonts w:eastAsia="Times New Roman" w:cstheme="minorHAnsi"/>
                <w:b/>
                <w:bCs/>
                <w:color w:val="000000"/>
                <w:sz w:val="20"/>
                <w:szCs w:val="20"/>
              </w:rPr>
              <w:t xml:space="preserve">$9,930,000 </w:t>
            </w:r>
          </w:p>
        </w:tc>
      </w:tr>
      <w:tr w14:paraId="6C7A0360" w14:textId="77777777" w:rsidTr="00025304">
        <w:tblPrEx>
          <w:tblW w:w="13469" w:type="dxa"/>
          <w:tblInd w:w="113" w:type="dxa"/>
          <w:tblLook w:val="04A0"/>
        </w:tblPrEx>
        <w:trPr>
          <w:gridAfter w:val="1"/>
          <w:wAfter w:w="27" w:type="dxa"/>
          <w:trHeight w:val="300"/>
        </w:trPr>
        <w:tc>
          <w:tcPr>
            <w:tcW w:w="3595" w:type="dxa"/>
            <w:tcBorders>
              <w:top w:val="nil"/>
              <w:left w:val="nil"/>
              <w:bottom w:val="nil"/>
              <w:right w:val="nil"/>
            </w:tcBorders>
            <w:noWrap/>
            <w:vAlign w:val="bottom"/>
            <w:hideMark/>
          </w:tcPr>
          <w:p w:rsidR="00025304" w:rsidRPr="00025304" w:rsidP="00025304" w14:paraId="63FADBE6" w14:textId="77777777">
            <w:pPr>
              <w:spacing w:after="0" w:line="240" w:lineRule="auto"/>
              <w:ind w:firstLine="200" w:firstLineChars="100"/>
              <w:jc w:val="right"/>
              <w:rPr>
                <w:rFonts w:eastAsia="Times New Roman" w:cstheme="minorHAnsi"/>
                <w:b/>
                <w:bCs/>
                <w:color w:val="000000"/>
                <w:sz w:val="20"/>
                <w:szCs w:val="20"/>
              </w:rPr>
            </w:pPr>
          </w:p>
        </w:tc>
        <w:tc>
          <w:tcPr>
            <w:tcW w:w="1160" w:type="dxa"/>
            <w:tcBorders>
              <w:top w:val="nil"/>
              <w:left w:val="nil"/>
              <w:bottom w:val="nil"/>
              <w:right w:val="nil"/>
            </w:tcBorders>
            <w:noWrap/>
            <w:vAlign w:val="bottom"/>
            <w:hideMark/>
          </w:tcPr>
          <w:p w:rsidR="00025304" w:rsidRPr="00025304" w:rsidP="00025304" w14:paraId="29D302DD" w14:textId="77777777">
            <w:pPr>
              <w:spacing w:after="0" w:line="240" w:lineRule="auto"/>
              <w:rPr>
                <w:rFonts w:eastAsia="Times New Roman" w:cstheme="minorHAnsi"/>
                <w:sz w:val="20"/>
                <w:szCs w:val="20"/>
              </w:rPr>
            </w:pPr>
          </w:p>
        </w:tc>
        <w:tc>
          <w:tcPr>
            <w:tcW w:w="1238" w:type="dxa"/>
            <w:tcBorders>
              <w:top w:val="nil"/>
              <w:left w:val="nil"/>
              <w:bottom w:val="nil"/>
              <w:right w:val="nil"/>
            </w:tcBorders>
            <w:noWrap/>
            <w:vAlign w:val="bottom"/>
            <w:hideMark/>
          </w:tcPr>
          <w:p w:rsidR="00025304" w:rsidRPr="00025304" w:rsidP="00025304" w14:paraId="1F2198E0" w14:textId="77777777">
            <w:pPr>
              <w:spacing w:after="0" w:line="240" w:lineRule="auto"/>
              <w:rPr>
                <w:rFonts w:eastAsia="Times New Roman" w:cstheme="minorHAnsi"/>
                <w:sz w:val="20"/>
                <w:szCs w:val="20"/>
              </w:rPr>
            </w:pPr>
          </w:p>
        </w:tc>
        <w:tc>
          <w:tcPr>
            <w:tcW w:w="1172" w:type="dxa"/>
            <w:tcBorders>
              <w:top w:val="nil"/>
              <w:left w:val="nil"/>
              <w:bottom w:val="nil"/>
              <w:right w:val="nil"/>
            </w:tcBorders>
            <w:noWrap/>
            <w:vAlign w:val="bottom"/>
            <w:hideMark/>
          </w:tcPr>
          <w:p w:rsidR="00025304" w:rsidRPr="00025304" w:rsidP="00025304" w14:paraId="66F292E1" w14:textId="77777777">
            <w:pPr>
              <w:spacing w:after="0" w:line="240" w:lineRule="auto"/>
              <w:rPr>
                <w:rFonts w:eastAsia="Times New Roman" w:cstheme="minorHAnsi"/>
                <w:sz w:val="20"/>
                <w:szCs w:val="20"/>
              </w:rPr>
            </w:pPr>
          </w:p>
        </w:tc>
        <w:tc>
          <w:tcPr>
            <w:tcW w:w="1306" w:type="dxa"/>
            <w:tcBorders>
              <w:top w:val="nil"/>
              <w:left w:val="nil"/>
              <w:bottom w:val="nil"/>
              <w:right w:val="nil"/>
            </w:tcBorders>
            <w:noWrap/>
            <w:vAlign w:val="bottom"/>
            <w:hideMark/>
          </w:tcPr>
          <w:p w:rsidR="00025304" w:rsidRPr="00025304" w:rsidP="00025304" w14:paraId="02F9A2D9"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025304" w:rsidRPr="00025304" w:rsidP="00025304" w14:paraId="3DE921E5"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025304" w:rsidRPr="00025304" w:rsidP="00025304" w14:paraId="33C6177A" w14:textId="77777777">
            <w:pPr>
              <w:spacing w:after="0" w:line="240" w:lineRule="auto"/>
              <w:rPr>
                <w:rFonts w:eastAsia="Times New Roman" w:cstheme="minorHAnsi"/>
                <w:sz w:val="20"/>
                <w:szCs w:val="20"/>
              </w:rPr>
            </w:pPr>
          </w:p>
        </w:tc>
        <w:tc>
          <w:tcPr>
            <w:tcW w:w="1103" w:type="dxa"/>
            <w:tcBorders>
              <w:top w:val="nil"/>
              <w:left w:val="nil"/>
              <w:bottom w:val="nil"/>
              <w:right w:val="nil"/>
            </w:tcBorders>
            <w:noWrap/>
            <w:vAlign w:val="bottom"/>
            <w:hideMark/>
          </w:tcPr>
          <w:p w:rsidR="00025304" w:rsidRPr="00025304" w:rsidP="00025304" w14:paraId="517F6029" w14:textId="77777777">
            <w:pPr>
              <w:spacing w:after="0" w:line="240" w:lineRule="auto"/>
              <w:rPr>
                <w:rFonts w:eastAsia="Times New Roman" w:cstheme="minorHAnsi"/>
                <w:sz w:val="20"/>
                <w:szCs w:val="20"/>
              </w:rPr>
            </w:pPr>
          </w:p>
        </w:tc>
        <w:tc>
          <w:tcPr>
            <w:tcW w:w="1480" w:type="dxa"/>
            <w:tcBorders>
              <w:top w:val="nil"/>
              <w:left w:val="nil"/>
              <w:bottom w:val="nil"/>
              <w:right w:val="nil"/>
            </w:tcBorders>
            <w:noWrap/>
            <w:vAlign w:val="bottom"/>
            <w:hideMark/>
          </w:tcPr>
          <w:p w:rsidR="00025304" w:rsidRPr="00025304" w:rsidP="00025304" w14:paraId="1E98F19E" w14:textId="77777777">
            <w:pPr>
              <w:spacing w:after="0" w:line="240" w:lineRule="auto"/>
              <w:rPr>
                <w:rFonts w:eastAsia="Times New Roman" w:cstheme="minorHAnsi"/>
                <w:sz w:val="20"/>
                <w:szCs w:val="20"/>
              </w:rPr>
            </w:pPr>
          </w:p>
        </w:tc>
      </w:tr>
      <w:tr w14:paraId="439016A9" w14:textId="77777777" w:rsidTr="00025304">
        <w:tblPrEx>
          <w:tblW w:w="13469" w:type="dxa"/>
          <w:tblInd w:w="113" w:type="dxa"/>
          <w:tblLook w:val="04A0"/>
        </w:tblPrEx>
        <w:trPr>
          <w:gridAfter w:val="1"/>
          <w:wAfter w:w="27" w:type="dxa"/>
          <w:trHeight w:val="300"/>
        </w:trPr>
        <w:tc>
          <w:tcPr>
            <w:tcW w:w="3595" w:type="dxa"/>
            <w:tcBorders>
              <w:top w:val="nil"/>
              <w:left w:val="nil"/>
              <w:bottom w:val="nil"/>
              <w:right w:val="nil"/>
            </w:tcBorders>
            <w:noWrap/>
            <w:vAlign w:val="center"/>
            <w:hideMark/>
          </w:tcPr>
          <w:p w:rsidR="00025304" w:rsidRPr="00025304" w:rsidP="00025304" w14:paraId="1FE076EF" w14:textId="77777777">
            <w:pPr>
              <w:spacing w:after="0" w:line="240" w:lineRule="auto"/>
              <w:rPr>
                <w:rFonts w:eastAsia="Times New Roman" w:cstheme="minorHAnsi"/>
                <w:b/>
                <w:bCs/>
                <w:color w:val="000000"/>
                <w:sz w:val="20"/>
                <w:szCs w:val="20"/>
              </w:rPr>
            </w:pPr>
            <w:r w:rsidRPr="00025304">
              <w:rPr>
                <w:rFonts w:eastAsia="Times New Roman" w:cstheme="minorHAnsi"/>
                <w:b/>
                <w:bCs/>
                <w:color w:val="000000"/>
                <w:sz w:val="20"/>
                <w:szCs w:val="20"/>
              </w:rPr>
              <w:t>Assumptions:</w:t>
            </w:r>
          </w:p>
        </w:tc>
        <w:tc>
          <w:tcPr>
            <w:tcW w:w="1160" w:type="dxa"/>
            <w:tcBorders>
              <w:top w:val="nil"/>
              <w:left w:val="nil"/>
              <w:bottom w:val="nil"/>
              <w:right w:val="nil"/>
            </w:tcBorders>
            <w:noWrap/>
            <w:vAlign w:val="bottom"/>
            <w:hideMark/>
          </w:tcPr>
          <w:p w:rsidR="00025304" w:rsidRPr="00025304" w:rsidP="00025304" w14:paraId="013F6873" w14:textId="77777777">
            <w:pPr>
              <w:spacing w:after="0" w:line="240" w:lineRule="auto"/>
              <w:rPr>
                <w:rFonts w:eastAsia="Times New Roman" w:cstheme="minorHAnsi"/>
                <w:b/>
                <w:bCs/>
                <w:color w:val="000000"/>
                <w:sz w:val="20"/>
                <w:szCs w:val="20"/>
              </w:rPr>
            </w:pPr>
          </w:p>
        </w:tc>
        <w:tc>
          <w:tcPr>
            <w:tcW w:w="1238" w:type="dxa"/>
            <w:tcBorders>
              <w:top w:val="nil"/>
              <w:left w:val="nil"/>
              <w:bottom w:val="nil"/>
              <w:right w:val="nil"/>
            </w:tcBorders>
            <w:noWrap/>
            <w:vAlign w:val="bottom"/>
            <w:hideMark/>
          </w:tcPr>
          <w:p w:rsidR="00025304" w:rsidRPr="00025304" w:rsidP="00025304" w14:paraId="7896AB09" w14:textId="77777777">
            <w:pPr>
              <w:spacing w:after="0" w:line="240" w:lineRule="auto"/>
              <w:rPr>
                <w:rFonts w:eastAsia="Times New Roman" w:cstheme="minorHAnsi"/>
                <w:sz w:val="20"/>
                <w:szCs w:val="20"/>
              </w:rPr>
            </w:pPr>
          </w:p>
        </w:tc>
        <w:tc>
          <w:tcPr>
            <w:tcW w:w="1172" w:type="dxa"/>
            <w:tcBorders>
              <w:top w:val="nil"/>
              <w:left w:val="nil"/>
              <w:bottom w:val="nil"/>
              <w:right w:val="nil"/>
            </w:tcBorders>
            <w:noWrap/>
            <w:vAlign w:val="bottom"/>
            <w:hideMark/>
          </w:tcPr>
          <w:p w:rsidR="00025304" w:rsidRPr="00025304" w:rsidP="00025304" w14:paraId="472C7F5E" w14:textId="77777777">
            <w:pPr>
              <w:spacing w:after="0" w:line="240" w:lineRule="auto"/>
              <w:rPr>
                <w:rFonts w:eastAsia="Times New Roman" w:cstheme="minorHAnsi"/>
                <w:sz w:val="20"/>
                <w:szCs w:val="20"/>
              </w:rPr>
            </w:pPr>
          </w:p>
        </w:tc>
        <w:tc>
          <w:tcPr>
            <w:tcW w:w="1306" w:type="dxa"/>
            <w:tcBorders>
              <w:top w:val="nil"/>
              <w:left w:val="nil"/>
              <w:bottom w:val="nil"/>
              <w:right w:val="nil"/>
            </w:tcBorders>
            <w:noWrap/>
            <w:vAlign w:val="bottom"/>
            <w:hideMark/>
          </w:tcPr>
          <w:p w:rsidR="00025304" w:rsidRPr="00025304" w:rsidP="00025304" w14:paraId="111F0B59"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025304" w:rsidRPr="00025304" w:rsidP="00025304" w14:paraId="6F0312C5" w14:textId="77777777">
            <w:pPr>
              <w:spacing w:after="0" w:line="240" w:lineRule="auto"/>
              <w:rPr>
                <w:rFonts w:eastAsia="Times New Roman" w:cstheme="minorHAnsi"/>
                <w:sz w:val="20"/>
                <w:szCs w:val="20"/>
              </w:rPr>
            </w:pPr>
          </w:p>
        </w:tc>
        <w:tc>
          <w:tcPr>
            <w:tcW w:w="1338" w:type="dxa"/>
            <w:tcBorders>
              <w:top w:val="nil"/>
              <w:left w:val="nil"/>
              <w:bottom w:val="nil"/>
              <w:right w:val="nil"/>
            </w:tcBorders>
            <w:noWrap/>
            <w:vAlign w:val="bottom"/>
            <w:hideMark/>
          </w:tcPr>
          <w:p w:rsidR="00025304" w:rsidRPr="00025304" w:rsidP="00025304" w14:paraId="63F40DAB" w14:textId="77777777">
            <w:pPr>
              <w:spacing w:after="0" w:line="240" w:lineRule="auto"/>
              <w:rPr>
                <w:rFonts w:eastAsia="Times New Roman" w:cstheme="minorHAnsi"/>
                <w:sz w:val="20"/>
                <w:szCs w:val="20"/>
              </w:rPr>
            </w:pPr>
          </w:p>
        </w:tc>
        <w:tc>
          <w:tcPr>
            <w:tcW w:w="1103" w:type="dxa"/>
            <w:tcBorders>
              <w:top w:val="nil"/>
              <w:left w:val="nil"/>
              <w:bottom w:val="nil"/>
              <w:right w:val="nil"/>
            </w:tcBorders>
            <w:noWrap/>
            <w:vAlign w:val="bottom"/>
            <w:hideMark/>
          </w:tcPr>
          <w:p w:rsidR="00025304" w:rsidRPr="00025304" w:rsidP="00025304" w14:paraId="24BD4DF0" w14:textId="77777777">
            <w:pPr>
              <w:spacing w:after="0" w:line="240" w:lineRule="auto"/>
              <w:rPr>
                <w:rFonts w:eastAsia="Times New Roman" w:cstheme="minorHAnsi"/>
                <w:sz w:val="20"/>
                <w:szCs w:val="20"/>
              </w:rPr>
            </w:pPr>
          </w:p>
        </w:tc>
        <w:tc>
          <w:tcPr>
            <w:tcW w:w="1480" w:type="dxa"/>
            <w:tcBorders>
              <w:top w:val="nil"/>
              <w:left w:val="nil"/>
              <w:bottom w:val="nil"/>
              <w:right w:val="nil"/>
            </w:tcBorders>
            <w:noWrap/>
            <w:vAlign w:val="bottom"/>
            <w:hideMark/>
          </w:tcPr>
          <w:p w:rsidR="00025304" w:rsidRPr="00025304" w:rsidP="00025304" w14:paraId="0D63AA7C" w14:textId="77777777">
            <w:pPr>
              <w:spacing w:after="0" w:line="240" w:lineRule="auto"/>
              <w:rPr>
                <w:rFonts w:eastAsia="Times New Roman" w:cstheme="minorHAnsi"/>
                <w:sz w:val="20"/>
                <w:szCs w:val="20"/>
              </w:rPr>
            </w:pPr>
          </w:p>
        </w:tc>
      </w:tr>
      <w:tr w14:paraId="7A3AC05E" w14:textId="77777777" w:rsidTr="00025304">
        <w:tblPrEx>
          <w:tblW w:w="13469" w:type="dxa"/>
          <w:tblInd w:w="113" w:type="dxa"/>
          <w:tblLook w:val="04A0"/>
        </w:tblPrEx>
        <w:trPr>
          <w:trHeight w:val="660"/>
        </w:trPr>
        <w:tc>
          <w:tcPr>
            <w:tcW w:w="13469" w:type="dxa"/>
            <w:gridSpan w:val="10"/>
            <w:tcBorders>
              <w:top w:val="nil"/>
              <w:left w:val="nil"/>
              <w:bottom w:val="nil"/>
              <w:right w:val="nil"/>
            </w:tcBorders>
            <w:hideMark/>
          </w:tcPr>
          <w:p w:rsidR="00025304" w:rsidRPr="00025304" w:rsidP="00025304" w14:paraId="09C23368" w14:textId="66FAC312">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a</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We have assumed that the average number of respondents that will be subject to the rule will be 535 existing sources.</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There will be no additional sources over the three-year period of this ICR.</w:t>
            </w:r>
          </w:p>
        </w:tc>
      </w:tr>
      <w:tr w14:paraId="12B11A07" w14:textId="77777777" w:rsidTr="00025304">
        <w:tblPrEx>
          <w:tblW w:w="13469" w:type="dxa"/>
          <w:tblInd w:w="113" w:type="dxa"/>
          <w:tblLook w:val="04A0"/>
        </w:tblPrEx>
        <w:trPr>
          <w:trHeight w:val="1163"/>
        </w:trPr>
        <w:tc>
          <w:tcPr>
            <w:tcW w:w="13469" w:type="dxa"/>
            <w:gridSpan w:val="10"/>
            <w:tcBorders>
              <w:top w:val="nil"/>
              <w:left w:val="nil"/>
              <w:bottom w:val="nil"/>
              <w:right w:val="nil"/>
            </w:tcBorders>
            <w:vAlign w:val="bottom"/>
            <w:hideMark/>
          </w:tcPr>
          <w:p w:rsidR="00025304" w:rsidRPr="00025304" w:rsidP="00025304" w14:paraId="3AF2E111" w14:textId="77777777">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b</w:t>
            </w:r>
            <w:r w:rsidRPr="00025304">
              <w:rPr>
                <w:rFonts w:eastAsia="Times New Roman" w:cstheme="minorHAnsi"/>
                <w:color w:val="000000"/>
                <w:sz w:val="20"/>
                <w:szCs w:val="20"/>
              </w:rPr>
              <w:t xml:space="preserve"> This ICR uses the following labor rates: Managerial $184.86 ($88.03+ 110%); Technical $148.45 ($70.69 + 110%); and Clerical $76.42 ($36.39 + 110%). These rates are from the United States Department of Labor, Bureau of Labor Statistics, March 2025,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CBD5C22" w14:textId="77777777" w:rsidTr="00025304">
        <w:tblPrEx>
          <w:tblW w:w="13469" w:type="dxa"/>
          <w:tblInd w:w="113" w:type="dxa"/>
          <w:tblLook w:val="04A0"/>
        </w:tblPrEx>
        <w:trPr>
          <w:trHeight w:val="315"/>
        </w:trPr>
        <w:tc>
          <w:tcPr>
            <w:tcW w:w="13469" w:type="dxa"/>
            <w:gridSpan w:val="10"/>
            <w:tcBorders>
              <w:top w:val="nil"/>
              <w:left w:val="nil"/>
              <w:bottom w:val="nil"/>
              <w:right w:val="nil"/>
            </w:tcBorders>
            <w:noWrap/>
            <w:hideMark/>
          </w:tcPr>
          <w:p w:rsidR="00025304" w:rsidRPr="00025304" w:rsidP="00025304" w14:paraId="2F4031A5" w14:textId="39604688">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c</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 xml:space="preserve">We have assumed that all respondents will have to </w:t>
            </w:r>
            <w:r w:rsidRPr="00025304">
              <w:rPr>
                <w:rFonts w:eastAsia="Times New Roman" w:cstheme="minorHAnsi"/>
                <w:color w:val="000000"/>
                <w:sz w:val="20"/>
                <w:szCs w:val="20"/>
              </w:rPr>
              <w:t>familiarize</w:t>
            </w:r>
            <w:r w:rsidRPr="00025304">
              <w:rPr>
                <w:rFonts w:eastAsia="Times New Roman" w:cstheme="minorHAnsi"/>
                <w:color w:val="000000"/>
                <w:sz w:val="20"/>
                <w:szCs w:val="20"/>
              </w:rPr>
              <w:t xml:space="preserve"> with the regulatory requirements each year.</w:t>
            </w:r>
          </w:p>
        </w:tc>
      </w:tr>
      <w:tr w14:paraId="4F238CAF" w14:textId="77777777" w:rsidTr="00025304">
        <w:tblPrEx>
          <w:tblW w:w="13469" w:type="dxa"/>
          <w:tblInd w:w="113" w:type="dxa"/>
          <w:tblLook w:val="04A0"/>
        </w:tblPrEx>
        <w:trPr>
          <w:trHeight w:val="315"/>
        </w:trPr>
        <w:tc>
          <w:tcPr>
            <w:tcW w:w="13469" w:type="dxa"/>
            <w:gridSpan w:val="10"/>
            <w:tcBorders>
              <w:top w:val="nil"/>
              <w:left w:val="nil"/>
              <w:bottom w:val="nil"/>
              <w:right w:val="nil"/>
            </w:tcBorders>
            <w:noWrap/>
            <w:hideMark/>
          </w:tcPr>
          <w:p w:rsidR="00025304" w:rsidRPr="00025304" w:rsidP="00025304" w14:paraId="17847259" w14:textId="3C838657">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d</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We have assumed that there will be no new sources expected over the three-year period of this ICR.</w:t>
            </w:r>
          </w:p>
        </w:tc>
      </w:tr>
      <w:tr w14:paraId="1AECA11B" w14:textId="77777777" w:rsidTr="00025304">
        <w:tblPrEx>
          <w:tblW w:w="13469" w:type="dxa"/>
          <w:tblInd w:w="113" w:type="dxa"/>
          <w:tblLook w:val="04A0"/>
        </w:tblPrEx>
        <w:trPr>
          <w:trHeight w:val="315"/>
        </w:trPr>
        <w:tc>
          <w:tcPr>
            <w:tcW w:w="13469" w:type="dxa"/>
            <w:gridSpan w:val="10"/>
            <w:tcBorders>
              <w:top w:val="nil"/>
              <w:left w:val="nil"/>
              <w:bottom w:val="nil"/>
              <w:right w:val="nil"/>
            </w:tcBorders>
            <w:noWrap/>
            <w:hideMark/>
          </w:tcPr>
          <w:p w:rsidR="00025304" w:rsidRPr="00025304" w:rsidP="00025304" w14:paraId="21D8F2F0" w14:textId="5FDA3192">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e</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We have assumed that 20 percent of respondents will have to repeat initial performance test due to failure.</w:t>
            </w:r>
          </w:p>
        </w:tc>
      </w:tr>
      <w:tr w14:paraId="61D57233" w14:textId="77777777" w:rsidTr="00025304">
        <w:tblPrEx>
          <w:tblW w:w="13469" w:type="dxa"/>
          <w:tblInd w:w="113" w:type="dxa"/>
          <w:tblLook w:val="04A0"/>
        </w:tblPrEx>
        <w:trPr>
          <w:trHeight w:val="315"/>
        </w:trPr>
        <w:tc>
          <w:tcPr>
            <w:tcW w:w="13469" w:type="dxa"/>
            <w:gridSpan w:val="10"/>
            <w:tcBorders>
              <w:top w:val="nil"/>
              <w:left w:val="nil"/>
              <w:bottom w:val="nil"/>
              <w:right w:val="nil"/>
            </w:tcBorders>
            <w:noWrap/>
            <w:hideMark/>
          </w:tcPr>
          <w:p w:rsidR="00025304" w:rsidRPr="00025304" w:rsidP="00025304" w14:paraId="02ED39F7" w14:textId="08A8B49A">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f</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We</w:t>
            </w:r>
            <w:r w:rsidRPr="00025304">
              <w:rPr>
                <w:rFonts w:eastAsia="Times New Roman" w:cstheme="minorHAnsi"/>
                <w:color w:val="000000"/>
                <w:sz w:val="20"/>
                <w:szCs w:val="20"/>
              </w:rPr>
              <w:t xml:space="preserve"> have assumed that each respondent will take 10 hours two times per year to write the excess emissions and exemption reports. </w:t>
            </w:r>
          </w:p>
        </w:tc>
      </w:tr>
      <w:tr w14:paraId="71D5D1BE" w14:textId="77777777" w:rsidTr="00025304">
        <w:tblPrEx>
          <w:tblW w:w="13469" w:type="dxa"/>
          <w:tblInd w:w="113" w:type="dxa"/>
          <w:tblLook w:val="04A0"/>
        </w:tblPrEx>
        <w:trPr>
          <w:trHeight w:val="315"/>
        </w:trPr>
        <w:tc>
          <w:tcPr>
            <w:tcW w:w="13469" w:type="dxa"/>
            <w:gridSpan w:val="10"/>
            <w:tcBorders>
              <w:top w:val="nil"/>
              <w:left w:val="nil"/>
              <w:bottom w:val="nil"/>
              <w:right w:val="nil"/>
            </w:tcBorders>
            <w:noWrap/>
            <w:hideMark/>
          </w:tcPr>
          <w:p w:rsidR="00025304" w:rsidRPr="00025304" w:rsidP="00025304" w14:paraId="548AF495" w14:textId="697BBCDF">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g</w:t>
            </w:r>
            <w:r w:rsidR="001E1919">
              <w:rPr>
                <w:rFonts w:eastAsia="Times New Roman" w:cstheme="minorHAnsi"/>
                <w:color w:val="000000"/>
                <w:sz w:val="20"/>
                <w:szCs w:val="20"/>
              </w:rPr>
              <w:t xml:space="preserve"> </w:t>
            </w:r>
            <w:r w:rsidRPr="00025304">
              <w:rPr>
                <w:rFonts w:eastAsia="Times New Roman" w:cstheme="minorHAnsi"/>
                <w:color w:val="000000"/>
                <w:sz w:val="20"/>
                <w:szCs w:val="20"/>
              </w:rPr>
              <w:t>We have assumed that it will take each respondent 15 minutes 365 days per year to check computer system and calibrate continuous monitor.</w:t>
            </w:r>
          </w:p>
        </w:tc>
      </w:tr>
      <w:tr w14:paraId="47EF42FF" w14:textId="77777777" w:rsidTr="00025304">
        <w:tblPrEx>
          <w:tblW w:w="13469" w:type="dxa"/>
          <w:tblInd w:w="113" w:type="dxa"/>
          <w:tblLook w:val="04A0"/>
        </w:tblPrEx>
        <w:trPr>
          <w:trHeight w:val="315"/>
        </w:trPr>
        <w:tc>
          <w:tcPr>
            <w:tcW w:w="13469" w:type="dxa"/>
            <w:gridSpan w:val="10"/>
            <w:tcBorders>
              <w:top w:val="nil"/>
              <w:left w:val="nil"/>
              <w:bottom w:val="nil"/>
              <w:right w:val="nil"/>
            </w:tcBorders>
            <w:noWrap/>
            <w:hideMark/>
          </w:tcPr>
          <w:p w:rsidR="00025304" w:rsidRPr="00025304" w:rsidP="00025304" w14:paraId="32DC4928" w14:textId="4F11474A">
            <w:pPr>
              <w:spacing w:after="0" w:line="240" w:lineRule="auto"/>
              <w:rPr>
                <w:rFonts w:eastAsia="Times New Roman" w:cstheme="minorHAnsi"/>
                <w:color w:val="000000"/>
                <w:sz w:val="20"/>
                <w:szCs w:val="20"/>
              </w:rPr>
            </w:pPr>
            <w:r w:rsidRPr="00025304">
              <w:rPr>
                <w:rFonts w:eastAsia="Times New Roman" w:cstheme="minorHAnsi"/>
                <w:color w:val="000000"/>
                <w:sz w:val="20"/>
                <w:szCs w:val="20"/>
                <w:vertAlign w:val="superscript"/>
              </w:rPr>
              <w:t>h</w:t>
            </w:r>
            <w:r w:rsidR="001E1919">
              <w:rPr>
                <w:rFonts w:eastAsia="Times New Roman" w:cstheme="minorHAnsi"/>
                <w:color w:val="000000"/>
                <w:sz w:val="20"/>
                <w:szCs w:val="20"/>
                <w:vertAlign w:val="superscript"/>
              </w:rPr>
              <w:t xml:space="preserve"> </w:t>
            </w:r>
            <w:r w:rsidRPr="00025304">
              <w:rPr>
                <w:rFonts w:eastAsia="Times New Roman" w:cstheme="minorHAnsi"/>
                <w:color w:val="000000"/>
                <w:sz w:val="20"/>
                <w:szCs w:val="20"/>
              </w:rPr>
              <w:t>Totals</w:t>
            </w:r>
            <w:r w:rsidRPr="00025304">
              <w:rPr>
                <w:rFonts w:eastAsia="Times New Roman" w:cstheme="minorHAnsi"/>
                <w:color w:val="000000"/>
                <w:sz w:val="20"/>
                <w:szCs w:val="20"/>
              </w:rPr>
              <w:t xml:space="preserve"> have been rounded to 3 significant figures. Figures may not </w:t>
            </w:r>
            <w:r w:rsidRPr="00025304">
              <w:rPr>
                <w:rFonts w:eastAsia="Times New Roman" w:cstheme="minorHAnsi"/>
                <w:color w:val="000000"/>
                <w:sz w:val="20"/>
                <w:szCs w:val="20"/>
              </w:rPr>
              <w:t>add</w:t>
            </w:r>
            <w:r w:rsidRPr="00025304">
              <w:rPr>
                <w:rFonts w:eastAsia="Times New Roman" w:cstheme="minorHAnsi"/>
                <w:color w:val="000000"/>
                <w:sz w:val="20"/>
                <w:szCs w:val="20"/>
              </w:rPr>
              <w:t xml:space="preserve"> exactly due to rounding.</w:t>
            </w:r>
          </w:p>
        </w:tc>
      </w:tr>
    </w:tbl>
    <w:p w:rsidR="00D06BAB" w14:paraId="514D7F93" w14:textId="77777777">
      <w:pPr>
        <w:rPr>
          <w:rFonts w:cstheme="minorHAnsi"/>
          <w:b/>
          <w:bCs/>
          <w:sz w:val="24"/>
          <w:szCs w:val="24"/>
        </w:rPr>
      </w:pPr>
      <w:r>
        <w:rPr>
          <w:rFonts w:cstheme="minorHAnsi"/>
          <w:b/>
          <w:bCs/>
          <w:sz w:val="24"/>
          <w:szCs w:val="24"/>
        </w:rPr>
        <w:br w:type="page"/>
      </w:r>
    </w:p>
    <w:p w:rsidR="001641AA" w:rsidRPr="00D06BAB" w:rsidP="001641AA" w14:paraId="0C0DF005" w14:textId="641D40D8">
      <w:pPr>
        <w:spacing w:before="240"/>
        <w:rPr>
          <w:rFonts w:cstheme="minorHAnsi"/>
          <w:b/>
          <w:bCs/>
          <w:sz w:val="24"/>
          <w:szCs w:val="24"/>
        </w:rPr>
      </w:pPr>
      <w:r w:rsidRPr="00D06BAB">
        <w:rPr>
          <w:rFonts w:cstheme="minorHAnsi"/>
          <w:b/>
          <w:bCs/>
          <w:sz w:val="24"/>
          <w:szCs w:val="24"/>
        </w:rPr>
        <w:t xml:space="preserve">Table 2: Average Annual EPA Burden and Cost – </w:t>
      </w:r>
      <w:r w:rsidRPr="00D06BAB" w:rsidR="00D06BAB">
        <w:rPr>
          <w:rFonts w:cstheme="minorHAnsi"/>
          <w:b/>
          <w:bCs/>
          <w:sz w:val="24"/>
          <w:szCs w:val="24"/>
        </w:rPr>
        <w:t>NSPS for Stationary Gas Turbines (40 CFR Part 60, Subpart GG) (Renewal)</w:t>
      </w:r>
    </w:p>
    <w:tbl>
      <w:tblPr>
        <w:tblW w:w="13338" w:type="dxa"/>
        <w:tblInd w:w="113" w:type="dxa"/>
        <w:tblLook w:val="04A0"/>
      </w:tblPr>
      <w:tblGrid>
        <w:gridCol w:w="4045"/>
        <w:gridCol w:w="1133"/>
        <w:gridCol w:w="1213"/>
        <w:gridCol w:w="959"/>
        <w:gridCol w:w="1105"/>
        <w:gridCol w:w="995"/>
        <w:gridCol w:w="1332"/>
        <w:gridCol w:w="1014"/>
        <w:gridCol w:w="1542"/>
      </w:tblGrid>
      <w:tr w14:paraId="1A3ABDAE" w14:textId="77777777" w:rsidTr="0079584F">
        <w:tblPrEx>
          <w:tblW w:w="13338" w:type="dxa"/>
          <w:tblInd w:w="113" w:type="dxa"/>
          <w:tblLook w:val="04A0"/>
        </w:tblPrEx>
        <w:trPr>
          <w:trHeight w:val="1785"/>
        </w:trPr>
        <w:tc>
          <w:tcPr>
            <w:tcW w:w="4045" w:type="dxa"/>
            <w:tcBorders>
              <w:top w:val="single" w:sz="4" w:space="0" w:color="auto"/>
              <w:left w:val="single" w:sz="4" w:space="0" w:color="auto"/>
              <w:bottom w:val="single" w:sz="4" w:space="0" w:color="auto"/>
              <w:right w:val="single" w:sz="4" w:space="0" w:color="auto"/>
            </w:tcBorders>
            <w:vAlign w:val="center"/>
            <w:hideMark/>
          </w:tcPr>
          <w:p w:rsidR="001E21C6" w:rsidRPr="001E21C6" w:rsidP="001E21C6" w14:paraId="228881EF"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Activity</w:t>
            </w:r>
          </w:p>
        </w:tc>
        <w:tc>
          <w:tcPr>
            <w:tcW w:w="1133" w:type="dxa"/>
            <w:tcBorders>
              <w:top w:val="single" w:sz="4" w:space="0" w:color="auto"/>
              <w:left w:val="nil"/>
              <w:bottom w:val="single" w:sz="4" w:space="0" w:color="auto"/>
              <w:right w:val="single" w:sz="4" w:space="0" w:color="auto"/>
            </w:tcBorders>
            <w:vAlign w:val="center"/>
            <w:hideMark/>
          </w:tcPr>
          <w:p w:rsidR="001E21C6" w:rsidRPr="001E21C6" w:rsidP="001E21C6" w14:paraId="69ED674B"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(A)</w:t>
            </w:r>
            <w:r w:rsidRPr="001E21C6">
              <w:rPr>
                <w:rFonts w:eastAsia="Times New Roman" w:cstheme="minorHAnsi"/>
                <w:b/>
                <w:bCs/>
                <w:color w:val="000000"/>
                <w:sz w:val="20"/>
                <w:szCs w:val="20"/>
              </w:rPr>
              <w:br/>
              <w:t>EPA person- hours per occurrence</w:t>
            </w:r>
          </w:p>
        </w:tc>
        <w:tc>
          <w:tcPr>
            <w:tcW w:w="1213" w:type="dxa"/>
            <w:tcBorders>
              <w:top w:val="single" w:sz="4" w:space="0" w:color="auto"/>
              <w:left w:val="nil"/>
              <w:bottom w:val="single" w:sz="4" w:space="0" w:color="auto"/>
              <w:right w:val="single" w:sz="4" w:space="0" w:color="auto"/>
            </w:tcBorders>
            <w:vAlign w:val="center"/>
            <w:hideMark/>
          </w:tcPr>
          <w:p w:rsidR="001E21C6" w:rsidRPr="001E21C6" w:rsidP="001E21C6" w14:paraId="53A08E4C"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(B)</w:t>
            </w:r>
            <w:r w:rsidRPr="001E21C6">
              <w:rPr>
                <w:rFonts w:eastAsia="Times New Roman" w:cstheme="minorHAnsi"/>
                <w:b/>
                <w:bCs/>
                <w:color w:val="000000"/>
                <w:sz w:val="20"/>
                <w:szCs w:val="20"/>
              </w:rPr>
              <w:br/>
              <w:t>No. of occurrences per plant per year</w:t>
            </w:r>
          </w:p>
        </w:tc>
        <w:tc>
          <w:tcPr>
            <w:tcW w:w="959" w:type="dxa"/>
            <w:tcBorders>
              <w:top w:val="single" w:sz="4" w:space="0" w:color="auto"/>
              <w:left w:val="nil"/>
              <w:bottom w:val="single" w:sz="4" w:space="0" w:color="auto"/>
              <w:right w:val="single" w:sz="4" w:space="0" w:color="auto"/>
            </w:tcBorders>
            <w:vAlign w:val="center"/>
            <w:hideMark/>
          </w:tcPr>
          <w:p w:rsidR="001E21C6" w:rsidRPr="001E21C6" w:rsidP="001E21C6" w14:paraId="517FE295"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(C)</w:t>
            </w:r>
            <w:r w:rsidRPr="001E21C6">
              <w:rPr>
                <w:rFonts w:eastAsia="Times New Roman" w:cstheme="minorHAnsi"/>
                <w:b/>
                <w:bCs/>
                <w:color w:val="000000"/>
                <w:sz w:val="20"/>
                <w:szCs w:val="20"/>
              </w:rPr>
              <w:br/>
              <w:t>EPA person- hours per plant per year</w:t>
            </w:r>
            <w:r w:rsidRPr="001E21C6">
              <w:rPr>
                <w:rFonts w:eastAsia="Times New Roman" w:cstheme="minorHAnsi"/>
                <w:b/>
                <w:bCs/>
                <w:color w:val="000000"/>
                <w:sz w:val="20"/>
                <w:szCs w:val="20"/>
              </w:rPr>
              <w:br/>
              <w:t>(C=</w:t>
            </w:r>
            <w:r w:rsidRPr="001E21C6">
              <w:rPr>
                <w:rFonts w:eastAsia="Times New Roman" w:cstheme="minorHAnsi"/>
                <w:b/>
                <w:bCs/>
                <w:color w:val="000000"/>
                <w:sz w:val="20"/>
                <w:szCs w:val="20"/>
              </w:rPr>
              <w:t>AxB</w:t>
            </w:r>
            <w:r w:rsidRPr="001E21C6">
              <w:rPr>
                <w:rFonts w:eastAsia="Times New Roman" w:cstheme="minorHAnsi"/>
                <w:b/>
                <w:bCs/>
                <w:color w:val="000000"/>
                <w:sz w:val="20"/>
                <w:szCs w:val="20"/>
              </w:rPr>
              <w:t>)</w:t>
            </w:r>
          </w:p>
        </w:tc>
        <w:tc>
          <w:tcPr>
            <w:tcW w:w="1105" w:type="dxa"/>
            <w:tcBorders>
              <w:top w:val="single" w:sz="4" w:space="0" w:color="auto"/>
              <w:left w:val="nil"/>
              <w:bottom w:val="single" w:sz="4" w:space="0" w:color="auto"/>
              <w:right w:val="single" w:sz="4" w:space="0" w:color="auto"/>
            </w:tcBorders>
            <w:vAlign w:val="center"/>
            <w:hideMark/>
          </w:tcPr>
          <w:p w:rsidR="001E21C6" w:rsidRPr="001E21C6" w:rsidP="001E21C6" w14:paraId="32245A54" w14:textId="09516AD9">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(D)</w:t>
            </w:r>
            <w:r w:rsidRPr="001E21C6">
              <w:rPr>
                <w:rFonts w:eastAsia="Times New Roman" w:cstheme="minorHAnsi"/>
                <w:b/>
                <w:bCs/>
                <w:color w:val="000000"/>
                <w:sz w:val="20"/>
                <w:szCs w:val="20"/>
              </w:rPr>
              <w:br/>
              <w:t xml:space="preserve">Plants per year </w:t>
            </w:r>
            <w:r w:rsidRPr="001E21C6">
              <w:rPr>
                <w:rFonts w:eastAsia="Times New Roman" w:cstheme="minorHAnsi"/>
                <w:b/>
                <w:bCs/>
                <w:color w:val="000000"/>
                <w:sz w:val="24"/>
                <w:szCs w:val="24"/>
                <w:vertAlign w:val="superscript"/>
              </w:rPr>
              <w:t>a</w:t>
            </w:r>
          </w:p>
        </w:tc>
        <w:tc>
          <w:tcPr>
            <w:tcW w:w="995" w:type="dxa"/>
            <w:tcBorders>
              <w:top w:val="single" w:sz="4" w:space="0" w:color="auto"/>
              <w:left w:val="nil"/>
              <w:bottom w:val="single" w:sz="4" w:space="0" w:color="auto"/>
              <w:right w:val="single" w:sz="4" w:space="0" w:color="auto"/>
            </w:tcBorders>
            <w:vAlign w:val="center"/>
            <w:hideMark/>
          </w:tcPr>
          <w:p w:rsidR="001E21C6" w:rsidRPr="001E21C6" w:rsidP="001E21C6" w14:paraId="37AA0715"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(E)</w:t>
            </w:r>
            <w:r w:rsidRPr="001E21C6">
              <w:rPr>
                <w:rFonts w:eastAsia="Times New Roman" w:cstheme="minorHAnsi"/>
                <w:b/>
                <w:bCs/>
                <w:color w:val="000000"/>
                <w:sz w:val="20"/>
                <w:szCs w:val="20"/>
              </w:rPr>
              <w:br/>
              <w:t>Technical person-hours per year</w:t>
            </w:r>
            <w:r w:rsidRPr="001E21C6">
              <w:rPr>
                <w:rFonts w:eastAsia="Times New Roman" w:cstheme="minorHAnsi"/>
                <w:b/>
                <w:bCs/>
                <w:color w:val="000000"/>
                <w:sz w:val="20"/>
                <w:szCs w:val="20"/>
              </w:rPr>
              <w:br/>
              <w:t>(E=</w:t>
            </w:r>
            <w:r w:rsidRPr="001E21C6">
              <w:rPr>
                <w:rFonts w:eastAsia="Times New Roman" w:cstheme="minorHAnsi"/>
                <w:b/>
                <w:bCs/>
                <w:color w:val="000000"/>
                <w:sz w:val="20"/>
                <w:szCs w:val="20"/>
              </w:rPr>
              <w:t>CxD</w:t>
            </w:r>
            <w:r w:rsidRPr="001E21C6">
              <w:rPr>
                <w:rFonts w:eastAsia="Times New Roman" w:cstheme="minorHAnsi"/>
                <w:b/>
                <w:bCs/>
                <w:color w:val="000000"/>
                <w:sz w:val="20"/>
                <w:szCs w:val="20"/>
              </w:rPr>
              <w:t>)</w:t>
            </w:r>
          </w:p>
        </w:tc>
        <w:tc>
          <w:tcPr>
            <w:tcW w:w="1332" w:type="dxa"/>
            <w:tcBorders>
              <w:top w:val="single" w:sz="4" w:space="0" w:color="auto"/>
              <w:left w:val="nil"/>
              <w:bottom w:val="single" w:sz="4" w:space="0" w:color="auto"/>
              <w:right w:val="single" w:sz="4" w:space="0" w:color="auto"/>
            </w:tcBorders>
            <w:vAlign w:val="center"/>
            <w:hideMark/>
          </w:tcPr>
          <w:p w:rsidR="001E21C6" w:rsidRPr="001E21C6" w:rsidP="001E21C6" w14:paraId="10DE7DCF"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(F)</w:t>
            </w:r>
            <w:r w:rsidRPr="001E21C6">
              <w:rPr>
                <w:rFonts w:eastAsia="Times New Roman" w:cstheme="minorHAnsi"/>
                <w:b/>
                <w:bCs/>
                <w:color w:val="000000"/>
                <w:sz w:val="20"/>
                <w:szCs w:val="20"/>
              </w:rPr>
              <w:br/>
              <w:t>Management person-hours per year</w:t>
            </w:r>
            <w:r w:rsidRPr="001E21C6">
              <w:rPr>
                <w:rFonts w:eastAsia="Times New Roman" w:cstheme="minorHAnsi"/>
                <w:b/>
                <w:bCs/>
                <w:color w:val="000000"/>
                <w:sz w:val="20"/>
                <w:szCs w:val="20"/>
              </w:rPr>
              <w:br/>
              <w:t>(F=Ex0.05)</w:t>
            </w:r>
          </w:p>
        </w:tc>
        <w:tc>
          <w:tcPr>
            <w:tcW w:w="1014" w:type="dxa"/>
            <w:tcBorders>
              <w:top w:val="single" w:sz="4" w:space="0" w:color="auto"/>
              <w:left w:val="nil"/>
              <w:bottom w:val="single" w:sz="4" w:space="0" w:color="auto"/>
              <w:right w:val="single" w:sz="4" w:space="0" w:color="auto"/>
            </w:tcBorders>
            <w:vAlign w:val="center"/>
            <w:hideMark/>
          </w:tcPr>
          <w:p w:rsidR="001E21C6" w:rsidRPr="001E21C6" w:rsidP="001E21C6" w14:paraId="428D251F"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(G)</w:t>
            </w:r>
            <w:r w:rsidRPr="001E21C6">
              <w:rPr>
                <w:rFonts w:eastAsia="Times New Roman" w:cstheme="minorHAnsi"/>
                <w:b/>
                <w:bCs/>
                <w:color w:val="000000"/>
                <w:sz w:val="20"/>
                <w:szCs w:val="20"/>
              </w:rPr>
              <w:br/>
              <w:t>Clerical person-hours per year</w:t>
            </w:r>
            <w:r w:rsidRPr="001E21C6">
              <w:rPr>
                <w:rFonts w:eastAsia="Times New Roman" w:cstheme="minorHAnsi"/>
                <w:b/>
                <w:bCs/>
                <w:color w:val="000000"/>
                <w:sz w:val="20"/>
                <w:szCs w:val="20"/>
              </w:rPr>
              <w:br/>
              <w:t>(G=Ex0.1)</w:t>
            </w:r>
          </w:p>
        </w:tc>
        <w:tc>
          <w:tcPr>
            <w:tcW w:w="1538" w:type="dxa"/>
            <w:tcBorders>
              <w:top w:val="single" w:sz="4" w:space="0" w:color="auto"/>
              <w:left w:val="nil"/>
              <w:bottom w:val="single" w:sz="4" w:space="0" w:color="auto"/>
              <w:right w:val="single" w:sz="4" w:space="0" w:color="auto"/>
            </w:tcBorders>
            <w:vAlign w:val="center"/>
            <w:hideMark/>
          </w:tcPr>
          <w:p w:rsidR="001E21C6" w:rsidRPr="001E21C6" w:rsidP="001E21C6" w14:paraId="3BD5F592"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(H)</w:t>
            </w:r>
            <w:r w:rsidRPr="001E21C6">
              <w:rPr>
                <w:rFonts w:eastAsia="Times New Roman" w:cstheme="minorHAnsi"/>
                <w:b/>
                <w:bCs/>
                <w:color w:val="000000"/>
                <w:sz w:val="20"/>
                <w:szCs w:val="20"/>
              </w:rPr>
              <w:br/>
              <w:t xml:space="preserve">Cost per year, ($) </w:t>
            </w:r>
            <w:r w:rsidRPr="001E21C6">
              <w:rPr>
                <w:rFonts w:eastAsia="Times New Roman" w:cstheme="minorHAnsi"/>
                <w:b/>
                <w:bCs/>
                <w:color w:val="000000"/>
                <w:sz w:val="24"/>
                <w:szCs w:val="24"/>
                <w:vertAlign w:val="superscript"/>
              </w:rPr>
              <w:t>b</w:t>
            </w:r>
          </w:p>
        </w:tc>
      </w:tr>
      <w:tr w14:paraId="38DF882D" w14:textId="77777777" w:rsidTr="0079584F">
        <w:tblPrEx>
          <w:tblW w:w="13338" w:type="dxa"/>
          <w:tblInd w:w="113" w:type="dxa"/>
          <w:tblLook w:val="04A0"/>
        </w:tblPrEx>
        <w:trPr>
          <w:trHeight w:val="300"/>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5A8B754E" w14:textId="5095ECF2">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1.</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Performance test</w:t>
            </w:r>
          </w:p>
        </w:tc>
        <w:tc>
          <w:tcPr>
            <w:tcW w:w="1133" w:type="dxa"/>
            <w:tcBorders>
              <w:top w:val="nil"/>
              <w:left w:val="nil"/>
              <w:bottom w:val="single" w:sz="4" w:space="0" w:color="auto"/>
              <w:right w:val="single" w:sz="4" w:space="0" w:color="auto"/>
            </w:tcBorders>
            <w:vAlign w:val="center"/>
            <w:hideMark/>
          </w:tcPr>
          <w:p w:rsidR="001E21C6" w:rsidRPr="001E21C6" w:rsidP="001E21C6" w14:paraId="33201AE9"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213" w:type="dxa"/>
            <w:tcBorders>
              <w:top w:val="nil"/>
              <w:left w:val="nil"/>
              <w:bottom w:val="single" w:sz="4" w:space="0" w:color="auto"/>
              <w:right w:val="single" w:sz="4" w:space="0" w:color="auto"/>
            </w:tcBorders>
            <w:vAlign w:val="center"/>
            <w:hideMark/>
          </w:tcPr>
          <w:p w:rsidR="001E21C6" w:rsidRPr="001E21C6" w:rsidP="001E21C6" w14:paraId="71B533DC" w14:textId="77777777">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 </w:t>
            </w:r>
          </w:p>
        </w:tc>
        <w:tc>
          <w:tcPr>
            <w:tcW w:w="959" w:type="dxa"/>
            <w:tcBorders>
              <w:top w:val="nil"/>
              <w:left w:val="nil"/>
              <w:bottom w:val="single" w:sz="4" w:space="0" w:color="auto"/>
              <w:right w:val="single" w:sz="4" w:space="0" w:color="auto"/>
            </w:tcBorders>
            <w:vAlign w:val="center"/>
            <w:hideMark/>
          </w:tcPr>
          <w:p w:rsidR="001E21C6" w:rsidRPr="001E21C6" w:rsidP="001E21C6" w14:paraId="4F93693F"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105" w:type="dxa"/>
            <w:tcBorders>
              <w:top w:val="nil"/>
              <w:left w:val="nil"/>
              <w:bottom w:val="single" w:sz="4" w:space="0" w:color="auto"/>
              <w:right w:val="single" w:sz="4" w:space="0" w:color="auto"/>
            </w:tcBorders>
            <w:vAlign w:val="center"/>
            <w:hideMark/>
          </w:tcPr>
          <w:p w:rsidR="001E21C6" w:rsidRPr="001E21C6" w:rsidP="001E21C6" w14:paraId="65396622"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vAlign w:val="center"/>
            <w:hideMark/>
          </w:tcPr>
          <w:p w:rsidR="001E21C6" w:rsidRPr="001E21C6" w:rsidP="001E21C6" w14:paraId="661014CB"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vAlign w:val="center"/>
            <w:hideMark/>
          </w:tcPr>
          <w:p w:rsidR="001E21C6" w:rsidRPr="001E21C6" w:rsidP="001E21C6" w14:paraId="11FAA5E9"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014" w:type="dxa"/>
            <w:tcBorders>
              <w:top w:val="nil"/>
              <w:left w:val="nil"/>
              <w:bottom w:val="single" w:sz="4" w:space="0" w:color="auto"/>
              <w:right w:val="single" w:sz="4" w:space="0" w:color="auto"/>
            </w:tcBorders>
            <w:vAlign w:val="center"/>
            <w:hideMark/>
          </w:tcPr>
          <w:p w:rsidR="001E21C6" w:rsidRPr="001E21C6" w:rsidP="001E21C6" w14:paraId="57BBA047"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538" w:type="dxa"/>
            <w:tcBorders>
              <w:top w:val="nil"/>
              <w:left w:val="nil"/>
              <w:bottom w:val="single" w:sz="4" w:space="0" w:color="auto"/>
              <w:right w:val="single" w:sz="4" w:space="0" w:color="auto"/>
            </w:tcBorders>
            <w:vAlign w:val="center"/>
            <w:hideMark/>
          </w:tcPr>
          <w:p w:rsidR="001E21C6" w:rsidRPr="001E21C6" w:rsidP="001E21C6" w14:paraId="5400AC51"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w:t>
            </w:r>
          </w:p>
        </w:tc>
      </w:tr>
      <w:tr w14:paraId="3263F1FD" w14:textId="77777777" w:rsidTr="0079584F">
        <w:tblPrEx>
          <w:tblW w:w="13338" w:type="dxa"/>
          <w:tblInd w:w="113" w:type="dxa"/>
          <w:tblLook w:val="04A0"/>
        </w:tblPrEx>
        <w:trPr>
          <w:trHeight w:val="315"/>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7277FDA3" w14:textId="7F799DDB">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E21C6">
              <w:rPr>
                <w:rFonts w:eastAsia="Times New Roman" w:cstheme="minorHAnsi"/>
                <w:color w:val="000000"/>
                <w:sz w:val="20"/>
                <w:szCs w:val="20"/>
              </w:rPr>
              <w:t xml:space="preserve">New plants </w:t>
            </w:r>
            <w:r w:rsidRPr="001E21C6">
              <w:rPr>
                <w:rFonts w:eastAsia="Times New Roman" w:cstheme="minorHAnsi"/>
                <w:color w:val="000000"/>
                <w:sz w:val="20"/>
                <w:szCs w:val="20"/>
                <w:vertAlign w:val="superscript"/>
              </w:rPr>
              <w:t>c</w:t>
            </w:r>
          </w:p>
        </w:tc>
        <w:tc>
          <w:tcPr>
            <w:tcW w:w="1133" w:type="dxa"/>
            <w:tcBorders>
              <w:top w:val="nil"/>
              <w:left w:val="nil"/>
              <w:bottom w:val="single" w:sz="4" w:space="0" w:color="auto"/>
              <w:right w:val="single" w:sz="4" w:space="0" w:color="auto"/>
            </w:tcBorders>
            <w:vAlign w:val="center"/>
            <w:hideMark/>
          </w:tcPr>
          <w:p w:rsidR="001E21C6" w:rsidRPr="001E21C6" w:rsidP="001E21C6" w14:paraId="004A4783"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24</w:t>
            </w:r>
          </w:p>
        </w:tc>
        <w:tc>
          <w:tcPr>
            <w:tcW w:w="1213" w:type="dxa"/>
            <w:tcBorders>
              <w:top w:val="nil"/>
              <w:left w:val="nil"/>
              <w:bottom w:val="single" w:sz="4" w:space="0" w:color="auto"/>
              <w:right w:val="single" w:sz="4" w:space="0" w:color="auto"/>
            </w:tcBorders>
            <w:vAlign w:val="center"/>
            <w:hideMark/>
          </w:tcPr>
          <w:p w:rsidR="001E21C6" w:rsidRPr="001E21C6" w:rsidP="001E21C6" w14:paraId="3CA61248"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1.2</w:t>
            </w:r>
          </w:p>
        </w:tc>
        <w:tc>
          <w:tcPr>
            <w:tcW w:w="959" w:type="dxa"/>
            <w:tcBorders>
              <w:top w:val="nil"/>
              <w:left w:val="nil"/>
              <w:bottom w:val="single" w:sz="4" w:space="0" w:color="auto"/>
              <w:right w:val="single" w:sz="4" w:space="0" w:color="auto"/>
            </w:tcBorders>
            <w:vAlign w:val="center"/>
            <w:hideMark/>
          </w:tcPr>
          <w:p w:rsidR="001E21C6" w:rsidRPr="001E21C6" w:rsidP="001E21C6" w14:paraId="4A1815A5"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28.8</w:t>
            </w:r>
          </w:p>
        </w:tc>
        <w:tc>
          <w:tcPr>
            <w:tcW w:w="1105" w:type="dxa"/>
            <w:tcBorders>
              <w:top w:val="nil"/>
              <w:left w:val="nil"/>
              <w:bottom w:val="single" w:sz="4" w:space="0" w:color="auto"/>
              <w:right w:val="single" w:sz="4" w:space="0" w:color="auto"/>
            </w:tcBorders>
            <w:vAlign w:val="center"/>
            <w:hideMark/>
          </w:tcPr>
          <w:p w:rsidR="001E21C6" w:rsidRPr="001E21C6" w:rsidP="001E21C6" w14:paraId="190339BA"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vAlign w:val="center"/>
            <w:hideMark/>
          </w:tcPr>
          <w:p w:rsidR="001E21C6" w:rsidRPr="001E21C6" w:rsidP="001E21C6" w14:paraId="2BCA65CB"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vAlign w:val="center"/>
            <w:hideMark/>
          </w:tcPr>
          <w:p w:rsidR="001E21C6" w:rsidRPr="001E21C6" w:rsidP="001E21C6" w14:paraId="0EAFF2B1"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014" w:type="dxa"/>
            <w:tcBorders>
              <w:top w:val="nil"/>
              <w:left w:val="nil"/>
              <w:bottom w:val="single" w:sz="4" w:space="0" w:color="auto"/>
              <w:right w:val="single" w:sz="4" w:space="0" w:color="auto"/>
            </w:tcBorders>
            <w:vAlign w:val="center"/>
            <w:hideMark/>
          </w:tcPr>
          <w:p w:rsidR="001E21C6" w:rsidRPr="001E21C6" w:rsidP="001E21C6" w14:paraId="0EFE30E4"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538" w:type="dxa"/>
            <w:tcBorders>
              <w:top w:val="nil"/>
              <w:left w:val="nil"/>
              <w:bottom w:val="single" w:sz="4" w:space="0" w:color="auto"/>
              <w:right w:val="single" w:sz="4" w:space="0" w:color="auto"/>
            </w:tcBorders>
            <w:vAlign w:val="center"/>
            <w:hideMark/>
          </w:tcPr>
          <w:p w:rsidR="001E21C6" w:rsidRPr="001E21C6" w:rsidP="001E21C6" w14:paraId="48A66455"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xml:space="preserve">$0 </w:t>
            </w:r>
          </w:p>
        </w:tc>
      </w:tr>
      <w:tr w14:paraId="024D9D35" w14:textId="77777777" w:rsidTr="0079584F">
        <w:tblPrEx>
          <w:tblW w:w="13338" w:type="dxa"/>
          <w:tblInd w:w="113" w:type="dxa"/>
          <w:tblLook w:val="04A0"/>
        </w:tblPrEx>
        <w:trPr>
          <w:trHeight w:val="300"/>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3F4739F9" w14:textId="5285A38E">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2.</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Report review</w:t>
            </w:r>
          </w:p>
        </w:tc>
        <w:tc>
          <w:tcPr>
            <w:tcW w:w="1133" w:type="dxa"/>
            <w:tcBorders>
              <w:top w:val="nil"/>
              <w:left w:val="nil"/>
              <w:bottom w:val="single" w:sz="4" w:space="0" w:color="auto"/>
              <w:right w:val="single" w:sz="4" w:space="0" w:color="auto"/>
            </w:tcBorders>
            <w:vAlign w:val="center"/>
            <w:hideMark/>
          </w:tcPr>
          <w:p w:rsidR="001E21C6" w:rsidRPr="001E21C6" w:rsidP="001E21C6" w14:paraId="2A87CEBD"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213" w:type="dxa"/>
            <w:tcBorders>
              <w:top w:val="nil"/>
              <w:left w:val="nil"/>
              <w:bottom w:val="single" w:sz="4" w:space="0" w:color="auto"/>
              <w:right w:val="single" w:sz="4" w:space="0" w:color="auto"/>
            </w:tcBorders>
            <w:vAlign w:val="center"/>
            <w:hideMark/>
          </w:tcPr>
          <w:p w:rsidR="001E21C6" w:rsidRPr="001E21C6" w:rsidP="001E21C6" w14:paraId="3712F4DD"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959" w:type="dxa"/>
            <w:tcBorders>
              <w:top w:val="nil"/>
              <w:left w:val="nil"/>
              <w:bottom w:val="single" w:sz="4" w:space="0" w:color="auto"/>
              <w:right w:val="single" w:sz="4" w:space="0" w:color="auto"/>
            </w:tcBorders>
            <w:vAlign w:val="center"/>
            <w:hideMark/>
          </w:tcPr>
          <w:p w:rsidR="001E21C6" w:rsidRPr="001E21C6" w:rsidP="001E21C6" w14:paraId="6D4891B5"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105" w:type="dxa"/>
            <w:tcBorders>
              <w:top w:val="nil"/>
              <w:left w:val="nil"/>
              <w:bottom w:val="single" w:sz="4" w:space="0" w:color="auto"/>
              <w:right w:val="single" w:sz="4" w:space="0" w:color="auto"/>
            </w:tcBorders>
            <w:vAlign w:val="center"/>
            <w:hideMark/>
          </w:tcPr>
          <w:p w:rsidR="001E21C6" w:rsidRPr="001E21C6" w:rsidP="001E21C6" w14:paraId="140ABB47"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vAlign w:val="center"/>
            <w:hideMark/>
          </w:tcPr>
          <w:p w:rsidR="001E21C6" w:rsidRPr="001E21C6" w:rsidP="001E21C6" w14:paraId="7ABF4345"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vAlign w:val="center"/>
            <w:hideMark/>
          </w:tcPr>
          <w:p w:rsidR="001E21C6" w:rsidRPr="001E21C6" w:rsidP="001E21C6" w14:paraId="16849BEA"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014" w:type="dxa"/>
            <w:tcBorders>
              <w:top w:val="nil"/>
              <w:left w:val="nil"/>
              <w:bottom w:val="single" w:sz="4" w:space="0" w:color="auto"/>
              <w:right w:val="single" w:sz="4" w:space="0" w:color="auto"/>
            </w:tcBorders>
            <w:vAlign w:val="center"/>
            <w:hideMark/>
          </w:tcPr>
          <w:p w:rsidR="001E21C6" w:rsidRPr="001E21C6" w:rsidP="001E21C6" w14:paraId="785E1E92"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538" w:type="dxa"/>
            <w:tcBorders>
              <w:top w:val="nil"/>
              <w:left w:val="nil"/>
              <w:bottom w:val="single" w:sz="4" w:space="0" w:color="auto"/>
              <w:right w:val="single" w:sz="4" w:space="0" w:color="auto"/>
            </w:tcBorders>
            <w:vAlign w:val="center"/>
            <w:hideMark/>
          </w:tcPr>
          <w:p w:rsidR="001E21C6" w:rsidRPr="001E21C6" w:rsidP="001E21C6" w14:paraId="4DC7BA94"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w:t>
            </w:r>
          </w:p>
        </w:tc>
      </w:tr>
      <w:tr w14:paraId="668701FC" w14:textId="77777777" w:rsidTr="0079584F">
        <w:tblPrEx>
          <w:tblW w:w="13338" w:type="dxa"/>
          <w:tblInd w:w="113" w:type="dxa"/>
          <w:tblLook w:val="04A0"/>
        </w:tblPrEx>
        <w:trPr>
          <w:trHeight w:val="315"/>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76949AC5" w14:textId="55C0F2FF">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E21C6">
              <w:rPr>
                <w:rFonts w:eastAsia="Times New Roman" w:cstheme="minorHAnsi"/>
                <w:color w:val="000000"/>
                <w:sz w:val="20"/>
                <w:szCs w:val="20"/>
              </w:rPr>
              <w:t xml:space="preserve">Notification of construction </w:t>
            </w:r>
            <w:r w:rsidRPr="001E21C6">
              <w:rPr>
                <w:rFonts w:eastAsia="Times New Roman" w:cstheme="minorHAnsi"/>
                <w:color w:val="000000"/>
                <w:sz w:val="20"/>
                <w:szCs w:val="20"/>
                <w:vertAlign w:val="superscript"/>
              </w:rPr>
              <w:t>c</w:t>
            </w:r>
          </w:p>
        </w:tc>
        <w:tc>
          <w:tcPr>
            <w:tcW w:w="1133" w:type="dxa"/>
            <w:tcBorders>
              <w:top w:val="nil"/>
              <w:left w:val="nil"/>
              <w:bottom w:val="single" w:sz="4" w:space="0" w:color="auto"/>
              <w:right w:val="single" w:sz="4" w:space="0" w:color="auto"/>
            </w:tcBorders>
            <w:vAlign w:val="center"/>
            <w:hideMark/>
          </w:tcPr>
          <w:p w:rsidR="001E21C6" w:rsidRPr="001E21C6" w:rsidP="001E21C6" w14:paraId="3E027154"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2</w:t>
            </w:r>
          </w:p>
        </w:tc>
        <w:tc>
          <w:tcPr>
            <w:tcW w:w="1213" w:type="dxa"/>
            <w:tcBorders>
              <w:top w:val="nil"/>
              <w:left w:val="nil"/>
              <w:bottom w:val="single" w:sz="4" w:space="0" w:color="auto"/>
              <w:right w:val="single" w:sz="4" w:space="0" w:color="auto"/>
            </w:tcBorders>
            <w:vAlign w:val="center"/>
            <w:hideMark/>
          </w:tcPr>
          <w:p w:rsidR="001E21C6" w:rsidRPr="001E21C6" w:rsidP="001E21C6" w14:paraId="7EC2745C"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1</w:t>
            </w:r>
          </w:p>
        </w:tc>
        <w:tc>
          <w:tcPr>
            <w:tcW w:w="959" w:type="dxa"/>
            <w:tcBorders>
              <w:top w:val="nil"/>
              <w:left w:val="nil"/>
              <w:bottom w:val="single" w:sz="4" w:space="0" w:color="auto"/>
              <w:right w:val="single" w:sz="4" w:space="0" w:color="auto"/>
            </w:tcBorders>
            <w:vAlign w:val="center"/>
            <w:hideMark/>
          </w:tcPr>
          <w:p w:rsidR="001E21C6" w:rsidRPr="001E21C6" w:rsidP="001E21C6" w14:paraId="04F6ED41"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2</w:t>
            </w:r>
          </w:p>
        </w:tc>
        <w:tc>
          <w:tcPr>
            <w:tcW w:w="1105" w:type="dxa"/>
            <w:tcBorders>
              <w:top w:val="nil"/>
              <w:left w:val="nil"/>
              <w:bottom w:val="single" w:sz="4" w:space="0" w:color="auto"/>
              <w:right w:val="single" w:sz="4" w:space="0" w:color="auto"/>
            </w:tcBorders>
            <w:vAlign w:val="center"/>
            <w:hideMark/>
          </w:tcPr>
          <w:p w:rsidR="001E21C6" w:rsidRPr="001E21C6" w:rsidP="001E21C6" w14:paraId="0FF88599"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vAlign w:val="center"/>
            <w:hideMark/>
          </w:tcPr>
          <w:p w:rsidR="001E21C6" w:rsidRPr="001E21C6" w:rsidP="001E21C6" w14:paraId="4C29EDC9"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vAlign w:val="center"/>
            <w:hideMark/>
          </w:tcPr>
          <w:p w:rsidR="001E21C6" w:rsidRPr="001E21C6" w:rsidP="001E21C6" w14:paraId="7F94227D"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014" w:type="dxa"/>
            <w:tcBorders>
              <w:top w:val="nil"/>
              <w:left w:val="nil"/>
              <w:bottom w:val="single" w:sz="4" w:space="0" w:color="auto"/>
              <w:right w:val="single" w:sz="4" w:space="0" w:color="auto"/>
            </w:tcBorders>
            <w:vAlign w:val="center"/>
            <w:hideMark/>
          </w:tcPr>
          <w:p w:rsidR="001E21C6" w:rsidRPr="001E21C6" w:rsidP="001E21C6" w14:paraId="70FC19E1"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538" w:type="dxa"/>
            <w:tcBorders>
              <w:top w:val="nil"/>
              <w:left w:val="nil"/>
              <w:bottom w:val="single" w:sz="4" w:space="0" w:color="auto"/>
              <w:right w:val="single" w:sz="4" w:space="0" w:color="auto"/>
            </w:tcBorders>
            <w:vAlign w:val="center"/>
            <w:hideMark/>
          </w:tcPr>
          <w:p w:rsidR="001E21C6" w:rsidRPr="001E21C6" w:rsidP="001E21C6" w14:paraId="1279D257"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xml:space="preserve">$0 </w:t>
            </w:r>
          </w:p>
        </w:tc>
      </w:tr>
      <w:tr w14:paraId="63927D08" w14:textId="77777777" w:rsidTr="0079584F">
        <w:tblPrEx>
          <w:tblW w:w="13338" w:type="dxa"/>
          <w:tblInd w:w="113" w:type="dxa"/>
          <w:tblLook w:val="04A0"/>
        </w:tblPrEx>
        <w:trPr>
          <w:trHeight w:val="315"/>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64640B18" w14:textId="4765DD2D">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E21C6">
              <w:rPr>
                <w:rFonts w:eastAsia="Times New Roman" w:cstheme="minorHAnsi"/>
                <w:color w:val="000000"/>
                <w:sz w:val="20"/>
                <w:szCs w:val="20"/>
              </w:rPr>
              <w:t xml:space="preserve">Notification of actual startup </w:t>
            </w:r>
            <w:r w:rsidRPr="001E21C6">
              <w:rPr>
                <w:rFonts w:eastAsia="Times New Roman" w:cstheme="minorHAnsi"/>
                <w:color w:val="000000"/>
                <w:sz w:val="20"/>
                <w:szCs w:val="20"/>
                <w:vertAlign w:val="superscript"/>
              </w:rPr>
              <w:t>c</w:t>
            </w:r>
          </w:p>
        </w:tc>
        <w:tc>
          <w:tcPr>
            <w:tcW w:w="1133" w:type="dxa"/>
            <w:tcBorders>
              <w:top w:val="nil"/>
              <w:left w:val="nil"/>
              <w:bottom w:val="single" w:sz="4" w:space="0" w:color="auto"/>
              <w:right w:val="single" w:sz="4" w:space="0" w:color="auto"/>
            </w:tcBorders>
            <w:vAlign w:val="center"/>
            <w:hideMark/>
          </w:tcPr>
          <w:p w:rsidR="001E21C6" w:rsidRPr="001E21C6" w:rsidP="001E21C6" w14:paraId="6D0A7CCB"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0.5</w:t>
            </w:r>
          </w:p>
        </w:tc>
        <w:tc>
          <w:tcPr>
            <w:tcW w:w="1213" w:type="dxa"/>
            <w:tcBorders>
              <w:top w:val="nil"/>
              <w:left w:val="nil"/>
              <w:bottom w:val="single" w:sz="4" w:space="0" w:color="auto"/>
              <w:right w:val="single" w:sz="4" w:space="0" w:color="auto"/>
            </w:tcBorders>
            <w:vAlign w:val="center"/>
            <w:hideMark/>
          </w:tcPr>
          <w:p w:rsidR="001E21C6" w:rsidRPr="001E21C6" w:rsidP="001E21C6" w14:paraId="46627939"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1</w:t>
            </w:r>
          </w:p>
        </w:tc>
        <w:tc>
          <w:tcPr>
            <w:tcW w:w="959" w:type="dxa"/>
            <w:tcBorders>
              <w:top w:val="nil"/>
              <w:left w:val="nil"/>
              <w:bottom w:val="single" w:sz="4" w:space="0" w:color="auto"/>
              <w:right w:val="single" w:sz="4" w:space="0" w:color="auto"/>
            </w:tcBorders>
            <w:vAlign w:val="center"/>
            <w:hideMark/>
          </w:tcPr>
          <w:p w:rsidR="001E21C6" w:rsidRPr="001E21C6" w:rsidP="001E21C6" w14:paraId="4AD154C0"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0.5</w:t>
            </w:r>
          </w:p>
        </w:tc>
        <w:tc>
          <w:tcPr>
            <w:tcW w:w="1105" w:type="dxa"/>
            <w:tcBorders>
              <w:top w:val="nil"/>
              <w:left w:val="nil"/>
              <w:bottom w:val="single" w:sz="4" w:space="0" w:color="auto"/>
              <w:right w:val="single" w:sz="4" w:space="0" w:color="auto"/>
            </w:tcBorders>
            <w:vAlign w:val="center"/>
            <w:hideMark/>
          </w:tcPr>
          <w:p w:rsidR="001E21C6" w:rsidRPr="001E21C6" w:rsidP="001E21C6" w14:paraId="5BAD29CF"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vAlign w:val="center"/>
            <w:hideMark/>
          </w:tcPr>
          <w:p w:rsidR="001E21C6" w:rsidRPr="001E21C6" w:rsidP="001E21C6" w14:paraId="1D29BECC"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vAlign w:val="center"/>
            <w:hideMark/>
          </w:tcPr>
          <w:p w:rsidR="001E21C6" w:rsidRPr="001E21C6" w:rsidP="001E21C6" w14:paraId="65894E5B"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014" w:type="dxa"/>
            <w:tcBorders>
              <w:top w:val="nil"/>
              <w:left w:val="nil"/>
              <w:bottom w:val="single" w:sz="4" w:space="0" w:color="auto"/>
              <w:right w:val="single" w:sz="4" w:space="0" w:color="auto"/>
            </w:tcBorders>
            <w:vAlign w:val="center"/>
            <w:hideMark/>
          </w:tcPr>
          <w:p w:rsidR="001E21C6" w:rsidRPr="001E21C6" w:rsidP="001E21C6" w14:paraId="5F8FE661"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538" w:type="dxa"/>
            <w:tcBorders>
              <w:top w:val="nil"/>
              <w:left w:val="nil"/>
              <w:bottom w:val="single" w:sz="4" w:space="0" w:color="auto"/>
              <w:right w:val="single" w:sz="4" w:space="0" w:color="auto"/>
            </w:tcBorders>
            <w:vAlign w:val="center"/>
            <w:hideMark/>
          </w:tcPr>
          <w:p w:rsidR="001E21C6" w:rsidRPr="001E21C6" w:rsidP="001E21C6" w14:paraId="2E85F19A"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xml:space="preserve">$0 </w:t>
            </w:r>
          </w:p>
        </w:tc>
      </w:tr>
      <w:tr w14:paraId="6CA0E076" w14:textId="77777777" w:rsidTr="0079584F">
        <w:tblPrEx>
          <w:tblW w:w="13338" w:type="dxa"/>
          <w:tblInd w:w="113" w:type="dxa"/>
          <w:tblLook w:val="04A0"/>
        </w:tblPrEx>
        <w:trPr>
          <w:trHeight w:val="315"/>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05D37ED1" w14:textId="014A3014">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E21C6">
              <w:rPr>
                <w:rFonts w:eastAsia="Times New Roman" w:cstheme="minorHAnsi"/>
                <w:color w:val="000000"/>
                <w:sz w:val="20"/>
                <w:szCs w:val="20"/>
              </w:rPr>
              <w:t xml:space="preserve">Notification of initial test </w:t>
            </w:r>
            <w:r w:rsidRPr="001E21C6">
              <w:rPr>
                <w:rFonts w:eastAsia="Times New Roman" w:cstheme="minorHAnsi"/>
                <w:color w:val="000000"/>
                <w:sz w:val="20"/>
                <w:szCs w:val="20"/>
                <w:vertAlign w:val="superscript"/>
              </w:rPr>
              <w:t>c</w:t>
            </w:r>
          </w:p>
        </w:tc>
        <w:tc>
          <w:tcPr>
            <w:tcW w:w="1133" w:type="dxa"/>
            <w:tcBorders>
              <w:top w:val="nil"/>
              <w:left w:val="nil"/>
              <w:bottom w:val="single" w:sz="4" w:space="0" w:color="auto"/>
              <w:right w:val="single" w:sz="4" w:space="0" w:color="auto"/>
            </w:tcBorders>
            <w:vAlign w:val="center"/>
            <w:hideMark/>
          </w:tcPr>
          <w:p w:rsidR="001E21C6" w:rsidRPr="001E21C6" w:rsidP="001E21C6" w14:paraId="1DB4C26A"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0.5</w:t>
            </w:r>
          </w:p>
        </w:tc>
        <w:tc>
          <w:tcPr>
            <w:tcW w:w="1213" w:type="dxa"/>
            <w:tcBorders>
              <w:top w:val="nil"/>
              <w:left w:val="nil"/>
              <w:bottom w:val="single" w:sz="4" w:space="0" w:color="auto"/>
              <w:right w:val="single" w:sz="4" w:space="0" w:color="auto"/>
            </w:tcBorders>
            <w:vAlign w:val="center"/>
            <w:hideMark/>
          </w:tcPr>
          <w:p w:rsidR="001E21C6" w:rsidRPr="001E21C6" w:rsidP="001E21C6" w14:paraId="3A930F9C"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1</w:t>
            </w:r>
          </w:p>
        </w:tc>
        <w:tc>
          <w:tcPr>
            <w:tcW w:w="959" w:type="dxa"/>
            <w:tcBorders>
              <w:top w:val="nil"/>
              <w:left w:val="nil"/>
              <w:bottom w:val="single" w:sz="4" w:space="0" w:color="auto"/>
              <w:right w:val="single" w:sz="4" w:space="0" w:color="auto"/>
            </w:tcBorders>
            <w:vAlign w:val="center"/>
            <w:hideMark/>
          </w:tcPr>
          <w:p w:rsidR="001E21C6" w:rsidRPr="001E21C6" w:rsidP="001E21C6" w14:paraId="36CAA8DE"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0.5</w:t>
            </w:r>
          </w:p>
        </w:tc>
        <w:tc>
          <w:tcPr>
            <w:tcW w:w="1105" w:type="dxa"/>
            <w:tcBorders>
              <w:top w:val="nil"/>
              <w:left w:val="nil"/>
              <w:bottom w:val="single" w:sz="4" w:space="0" w:color="auto"/>
              <w:right w:val="single" w:sz="4" w:space="0" w:color="auto"/>
            </w:tcBorders>
            <w:vAlign w:val="center"/>
            <w:hideMark/>
          </w:tcPr>
          <w:p w:rsidR="001E21C6" w:rsidRPr="001E21C6" w:rsidP="001E21C6" w14:paraId="17BD1448"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vAlign w:val="center"/>
            <w:hideMark/>
          </w:tcPr>
          <w:p w:rsidR="001E21C6" w:rsidRPr="001E21C6" w:rsidP="001E21C6" w14:paraId="4BBFDA82"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vAlign w:val="center"/>
            <w:hideMark/>
          </w:tcPr>
          <w:p w:rsidR="001E21C6" w:rsidRPr="001E21C6" w:rsidP="001E21C6" w14:paraId="1A2E8A97"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014" w:type="dxa"/>
            <w:tcBorders>
              <w:top w:val="nil"/>
              <w:left w:val="nil"/>
              <w:bottom w:val="single" w:sz="4" w:space="0" w:color="auto"/>
              <w:right w:val="single" w:sz="4" w:space="0" w:color="auto"/>
            </w:tcBorders>
            <w:vAlign w:val="center"/>
            <w:hideMark/>
          </w:tcPr>
          <w:p w:rsidR="001E21C6" w:rsidRPr="001E21C6" w:rsidP="001E21C6" w14:paraId="068782C6"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538" w:type="dxa"/>
            <w:tcBorders>
              <w:top w:val="nil"/>
              <w:left w:val="nil"/>
              <w:bottom w:val="single" w:sz="4" w:space="0" w:color="auto"/>
              <w:right w:val="single" w:sz="4" w:space="0" w:color="auto"/>
            </w:tcBorders>
            <w:vAlign w:val="center"/>
            <w:hideMark/>
          </w:tcPr>
          <w:p w:rsidR="001E21C6" w:rsidRPr="001E21C6" w:rsidP="001E21C6" w14:paraId="17B09716"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xml:space="preserve">$0 </w:t>
            </w:r>
          </w:p>
        </w:tc>
      </w:tr>
      <w:tr w14:paraId="55121710" w14:textId="77777777" w:rsidTr="0079584F">
        <w:tblPrEx>
          <w:tblW w:w="13338" w:type="dxa"/>
          <w:tblInd w:w="113" w:type="dxa"/>
          <w:tblLook w:val="04A0"/>
        </w:tblPrEx>
        <w:trPr>
          <w:trHeight w:val="315"/>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72CFF4EB" w14:textId="5B0FFAAE">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E21C6">
              <w:rPr>
                <w:rFonts w:eastAsia="Times New Roman" w:cstheme="minorHAnsi"/>
                <w:color w:val="000000"/>
                <w:sz w:val="20"/>
                <w:szCs w:val="20"/>
              </w:rPr>
              <w:t>Notification of CMS demonstration</w:t>
            </w:r>
            <w:r w:rsidRPr="001E21C6">
              <w:rPr>
                <w:rFonts w:eastAsia="Times New Roman" w:cstheme="minorHAnsi"/>
                <w:color w:val="000000"/>
                <w:sz w:val="20"/>
                <w:szCs w:val="20"/>
                <w:vertAlign w:val="superscript"/>
              </w:rPr>
              <w:t xml:space="preserve"> c</w:t>
            </w:r>
          </w:p>
        </w:tc>
        <w:tc>
          <w:tcPr>
            <w:tcW w:w="1133" w:type="dxa"/>
            <w:tcBorders>
              <w:top w:val="nil"/>
              <w:left w:val="nil"/>
              <w:bottom w:val="single" w:sz="4" w:space="0" w:color="auto"/>
              <w:right w:val="single" w:sz="4" w:space="0" w:color="auto"/>
            </w:tcBorders>
            <w:vAlign w:val="center"/>
            <w:hideMark/>
          </w:tcPr>
          <w:p w:rsidR="001E21C6" w:rsidRPr="001E21C6" w:rsidP="001E21C6" w14:paraId="2EF3C47F"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0.5</w:t>
            </w:r>
          </w:p>
        </w:tc>
        <w:tc>
          <w:tcPr>
            <w:tcW w:w="1213" w:type="dxa"/>
            <w:tcBorders>
              <w:top w:val="nil"/>
              <w:left w:val="nil"/>
              <w:bottom w:val="single" w:sz="4" w:space="0" w:color="auto"/>
              <w:right w:val="single" w:sz="4" w:space="0" w:color="auto"/>
            </w:tcBorders>
            <w:vAlign w:val="center"/>
            <w:hideMark/>
          </w:tcPr>
          <w:p w:rsidR="001E21C6" w:rsidRPr="001E21C6" w:rsidP="001E21C6" w14:paraId="58C60FFB"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1</w:t>
            </w:r>
          </w:p>
        </w:tc>
        <w:tc>
          <w:tcPr>
            <w:tcW w:w="959" w:type="dxa"/>
            <w:tcBorders>
              <w:top w:val="nil"/>
              <w:left w:val="nil"/>
              <w:bottom w:val="single" w:sz="4" w:space="0" w:color="auto"/>
              <w:right w:val="single" w:sz="4" w:space="0" w:color="auto"/>
            </w:tcBorders>
            <w:vAlign w:val="center"/>
            <w:hideMark/>
          </w:tcPr>
          <w:p w:rsidR="001E21C6" w:rsidRPr="001E21C6" w:rsidP="001E21C6" w14:paraId="415FF3D7"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0.5</w:t>
            </w:r>
          </w:p>
        </w:tc>
        <w:tc>
          <w:tcPr>
            <w:tcW w:w="1105" w:type="dxa"/>
            <w:tcBorders>
              <w:top w:val="nil"/>
              <w:left w:val="nil"/>
              <w:bottom w:val="single" w:sz="4" w:space="0" w:color="auto"/>
              <w:right w:val="single" w:sz="4" w:space="0" w:color="auto"/>
            </w:tcBorders>
            <w:vAlign w:val="center"/>
            <w:hideMark/>
          </w:tcPr>
          <w:p w:rsidR="001E21C6" w:rsidRPr="001E21C6" w:rsidP="001E21C6" w14:paraId="191A48EA"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vAlign w:val="center"/>
            <w:hideMark/>
          </w:tcPr>
          <w:p w:rsidR="001E21C6" w:rsidRPr="001E21C6" w:rsidP="001E21C6" w14:paraId="206BE944"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vAlign w:val="center"/>
            <w:hideMark/>
          </w:tcPr>
          <w:p w:rsidR="001E21C6" w:rsidRPr="001E21C6" w:rsidP="001E21C6" w14:paraId="66E08847"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014" w:type="dxa"/>
            <w:tcBorders>
              <w:top w:val="nil"/>
              <w:left w:val="nil"/>
              <w:bottom w:val="single" w:sz="4" w:space="0" w:color="auto"/>
              <w:right w:val="single" w:sz="4" w:space="0" w:color="auto"/>
            </w:tcBorders>
            <w:vAlign w:val="center"/>
            <w:hideMark/>
          </w:tcPr>
          <w:p w:rsidR="001E21C6" w:rsidRPr="001E21C6" w:rsidP="001E21C6" w14:paraId="4ED8FCEF"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0</w:t>
            </w:r>
          </w:p>
        </w:tc>
        <w:tc>
          <w:tcPr>
            <w:tcW w:w="1538" w:type="dxa"/>
            <w:tcBorders>
              <w:top w:val="nil"/>
              <w:left w:val="nil"/>
              <w:bottom w:val="single" w:sz="4" w:space="0" w:color="auto"/>
              <w:right w:val="single" w:sz="4" w:space="0" w:color="auto"/>
            </w:tcBorders>
            <w:vAlign w:val="center"/>
            <w:hideMark/>
          </w:tcPr>
          <w:p w:rsidR="001E21C6" w:rsidRPr="001E21C6" w:rsidP="001E21C6" w14:paraId="756C414D"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xml:space="preserve">$0 </w:t>
            </w:r>
          </w:p>
        </w:tc>
      </w:tr>
      <w:tr w14:paraId="7DDD52F8" w14:textId="77777777" w:rsidTr="0079584F">
        <w:tblPrEx>
          <w:tblW w:w="13338" w:type="dxa"/>
          <w:tblInd w:w="113" w:type="dxa"/>
          <w:tblLook w:val="04A0"/>
        </w:tblPrEx>
        <w:trPr>
          <w:trHeight w:val="300"/>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320BB6D3" w14:textId="28B8525A">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3.</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Semiannual reports</w:t>
            </w:r>
          </w:p>
        </w:tc>
        <w:tc>
          <w:tcPr>
            <w:tcW w:w="1133" w:type="dxa"/>
            <w:tcBorders>
              <w:top w:val="nil"/>
              <w:left w:val="nil"/>
              <w:bottom w:val="single" w:sz="4" w:space="0" w:color="auto"/>
              <w:right w:val="single" w:sz="4" w:space="0" w:color="auto"/>
            </w:tcBorders>
            <w:vAlign w:val="center"/>
            <w:hideMark/>
          </w:tcPr>
          <w:p w:rsidR="001E21C6" w:rsidRPr="001E21C6" w:rsidP="001E21C6" w14:paraId="067199B8"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213" w:type="dxa"/>
            <w:tcBorders>
              <w:top w:val="nil"/>
              <w:left w:val="nil"/>
              <w:bottom w:val="single" w:sz="4" w:space="0" w:color="auto"/>
              <w:right w:val="single" w:sz="4" w:space="0" w:color="auto"/>
            </w:tcBorders>
            <w:vAlign w:val="center"/>
            <w:hideMark/>
          </w:tcPr>
          <w:p w:rsidR="001E21C6" w:rsidRPr="001E21C6" w:rsidP="001E21C6" w14:paraId="4F22CBE2"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959" w:type="dxa"/>
            <w:tcBorders>
              <w:top w:val="nil"/>
              <w:left w:val="nil"/>
              <w:bottom w:val="single" w:sz="4" w:space="0" w:color="auto"/>
              <w:right w:val="single" w:sz="4" w:space="0" w:color="auto"/>
            </w:tcBorders>
            <w:vAlign w:val="center"/>
            <w:hideMark/>
          </w:tcPr>
          <w:p w:rsidR="001E21C6" w:rsidRPr="001E21C6" w:rsidP="001E21C6" w14:paraId="04F4851B"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105" w:type="dxa"/>
            <w:tcBorders>
              <w:top w:val="nil"/>
              <w:left w:val="nil"/>
              <w:bottom w:val="single" w:sz="4" w:space="0" w:color="auto"/>
              <w:right w:val="single" w:sz="4" w:space="0" w:color="auto"/>
            </w:tcBorders>
            <w:vAlign w:val="center"/>
            <w:hideMark/>
          </w:tcPr>
          <w:p w:rsidR="001E21C6" w:rsidRPr="001E21C6" w:rsidP="001E21C6" w14:paraId="33A314C8"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vAlign w:val="center"/>
            <w:hideMark/>
          </w:tcPr>
          <w:p w:rsidR="001E21C6" w:rsidRPr="001E21C6" w:rsidP="001E21C6" w14:paraId="12610A6F"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vAlign w:val="center"/>
            <w:hideMark/>
          </w:tcPr>
          <w:p w:rsidR="001E21C6" w:rsidRPr="001E21C6" w:rsidP="001E21C6" w14:paraId="2FDA0CA2"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014" w:type="dxa"/>
            <w:tcBorders>
              <w:top w:val="nil"/>
              <w:left w:val="nil"/>
              <w:bottom w:val="single" w:sz="4" w:space="0" w:color="auto"/>
              <w:right w:val="single" w:sz="4" w:space="0" w:color="auto"/>
            </w:tcBorders>
            <w:vAlign w:val="center"/>
            <w:hideMark/>
          </w:tcPr>
          <w:p w:rsidR="001E21C6" w:rsidRPr="001E21C6" w:rsidP="001E21C6" w14:paraId="5B236131"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 </w:t>
            </w:r>
          </w:p>
        </w:tc>
        <w:tc>
          <w:tcPr>
            <w:tcW w:w="1538" w:type="dxa"/>
            <w:tcBorders>
              <w:top w:val="nil"/>
              <w:left w:val="nil"/>
              <w:bottom w:val="single" w:sz="4" w:space="0" w:color="auto"/>
              <w:right w:val="single" w:sz="4" w:space="0" w:color="auto"/>
            </w:tcBorders>
            <w:vAlign w:val="center"/>
            <w:hideMark/>
          </w:tcPr>
          <w:p w:rsidR="001E21C6" w:rsidRPr="001E21C6" w:rsidP="001E21C6" w14:paraId="7754736F"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w:t>
            </w:r>
          </w:p>
        </w:tc>
      </w:tr>
      <w:tr w14:paraId="1CC7E050" w14:textId="77777777" w:rsidTr="0079584F">
        <w:tblPrEx>
          <w:tblW w:w="13338" w:type="dxa"/>
          <w:tblInd w:w="113" w:type="dxa"/>
          <w:tblLook w:val="04A0"/>
        </w:tblPrEx>
        <w:trPr>
          <w:trHeight w:val="315"/>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2EC4F8CB" w14:textId="13A75308">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E21C6">
              <w:rPr>
                <w:rFonts w:eastAsia="Times New Roman" w:cstheme="minorHAnsi"/>
                <w:color w:val="000000"/>
                <w:sz w:val="20"/>
                <w:szCs w:val="20"/>
              </w:rPr>
              <w:t xml:space="preserve">Excess emissions and exemption reports </w:t>
            </w:r>
            <w:r w:rsidRPr="001E21C6">
              <w:rPr>
                <w:rFonts w:eastAsia="Times New Roman" w:cstheme="minorHAnsi"/>
                <w:color w:val="000000"/>
                <w:sz w:val="20"/>
                <w:szCs w:val="20"/>
                <w:vertAlign w:val="superscript"/>
              </w:rPr>
              <w:t>d</w:t>
            </w:r>
          </w:p>
        </w:tc>
        <w:tc>
          <w:tcPr>
            <w:tcW w:w="1133" w:type="dxa"/>
            <w:tcBorders>
              <w:top w:val="nil"/>
              <w:left w:val="nil"/>
              <w:bottom w:val="single" w:sz="4" w:space="0" w:color="auto"/>
              <w:right w:val="single" w:sz="4" w:space="0" w:color="auto"/>
            </w:tcBorders>
            <w:vAlign w:val="center"/>
            <w:hideMark/>
          </w:tcPr>
          <w:p w:rsidR="001E21C6" w:rsidRPr="001E21C6" w:rsidP="001E21C6" w14:paraId="55895198"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4</w:t>
            </w:r>
          </w:p>
        </w:tc>
        <w:tc>
          <w:tcPr>
            <w:tcW w:w="1213" w:type="dxa"/>
            <w:tcBorders>
              <w:top w:val="nil"/>
              <w:left w:val="nil"/>
              <w:bottom w:val="single" w:sz="4" w:space="0" w:color="auto"/>
              <w:right w:val="single" w:sz="4" w:space="0" w:color="auto"/>
            </w:tcBorders>
            <w:vAlign w:val="center"/>
            <w:hideMark/>
          </w:tcPr>
          <w:p w:rsidR="001E21C6" w:rsidRPr="001E21C6" w:rsidP="001E21C6" w14:paraId="100C29DC"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2</w:t>
            </w:r>
          </w:p>
        </w:tc>
        <w:tc>
          <w:tcPr>
            <w:tcW w:w="959" w:type="dxa"/>
            <w:tcBorders>
              <w:top w:val="nil"/>
              <w:left w:val="nil"/>
              <w:bottom w:val="single" w:sz="4" w:space="0" w:color="auto"/>
              <w:right w:val="single" w:sz="4" w:space="0" w:color="auto"/>
            </w:tcBorders>
            <w:vAlign w:val="center"/>
            <w:hideMark/>
          </w:tcPr>
          <w:p w:rsidR="001E21C6" w:rsidRPr="001E21C6" w:rsidP="001E21C6" w14:paraId="3DAE9724"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8</w:t>
            </w:r>
          </w:p>
        </w:tc>
        <w:tc>
          <w:tcPr>
            <w:tcW w:w="1105" w:type="dxa"/>
            <w:tcBorders>
              <w:top w:val="nil"/>
              <w:left w:val="nil"/>
              <w:bottom w:val="single" w:sz="4" w:space="0" w:color="auto"/>
              <w:right w:val="single" w:sz="4" w:space="0" w:color="auto"/>
            </w:tcBorders>
            <w:vAlign w:val="center"/>
            <w:hideMark/>
          </w:tcPr>
          <w:p w:rsidR="001E21C6" w:rsidRPr="001E21C6" w:rsidP="001E21C6" w14:paraId="6DE91F16"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535</w:t>
            </w:r>
          </w:p>
        </w:tc>
        <w:tc>
          <w:tcPr>
            <w:tcW w:w="995" w:type="dxa"/>
            <w:tcBorders>
              <w:top w:val="nil"/>
              <w:left w:val="nil"/>
              <w:bottom w:val="single" w:sz="4" w:space="0" w:color="auto"/>
              <w:right w:val="single" w:sz="4" w:space="0" w:color="auto"/>
            </w:tcBorders>
            <w:vAlign w:val="center"/>
            <w:hideMark/>
          </w:tcPr>
          <w:p w:rsidR="001E21C6" w:rsidRPr="001E21C6" w:rsidP="001E21C6" w14:paraId="235A751F"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4,280</w:t>
            </w:r>
          </w:p>
        </w:tc>
        <w:tc>
          <w:tcPr>
            <w:tcW w:w="1332" w:type="dxa"/>
            <w:tcBorders>
              <w:top w:val="nil"/>
              <w:left w:val="nil"/>
              <w:bottom w:val="single" w:sz="4" w:space="0" w:color="auto"/>
              <w:right w:val="single" w:sz="4" w:space="0" w:color="auto"/>
            </w:tcBorders>
            <w:vAlign w:val="center"/>
            <w:hideMark/>
          </w:tcPr>
          <w:p w:rsidR="001E21C6" w:rsidRPr="001E21C6" w:rsidP="001E21C6" w14:paraId="604BEFEA"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214</w:t>
            </w:r>
          </w:p>
        </w:tc>
        <w:tc>
          <w:tcPr>
            <w:tcW w:w="1014" w:type="dxa"/>
            <w:tcBorders>
              <w:top w:val="nil"/>
              <w:left w:val="nil"/>
              <w:bottom w:val="single" w:sz="4" w:space="0" w:color="auto"/>
              <w:right w:val="single" w:sz="4" w:space="0" w:color="auto"/>
            </w:tcBorders>
            <w:vAlign w:val="center"/>
            <w:hideMark/>
          </w:tcPr>
          <w:p w:rsidR="001E21C6" w:rsidRPr="001E21C6" w:rsidP="001E21C6" w14:paraId="5C3FD30D" w14:textId="77777777">
            <w:pPr>
              <w:spacing w:after="0" w:line="240" w:lineRule="auto"/>
              <w:jc w:val="center"/>
              <w:rPr>
                <w:rFonts w:eastAsia="Times New Roman" w:cstheme="minorHAnsi"/>
                <w:color w:val="000000"/>
                <w:sz w:val="20"/>
                <w:szCs w:val="20"/>
              </w:rPr>
            </w:pPr>
            <w:r w:rsidRPr="001E21C6">
              <w:rPr>
                <w:rFonts w:eastAsia="Times New Roman" w:cstheme="minorHAnsi"/>
                <w:color w:val="000000"/>
                <w:sz w:val="20"/>
                <w:szCs w:val="20"/>
              </w:rPr>
              <w:t>428</w:t>
            </w:r>
          </w:p>
        </w:tc>
        <w:tc>
          <w:tcPr>
            <w:tcW w:w="1538" w:type="dxa"/>
            <w:tcBorders>
              <w:top w:val="nil"/>
              <w:left w:val="nil"/>
              <w:bottom w:val="single" w:sz="4" w:space="0" w:color="auto"/>
              <w:right w:val="single" w:sz="4" w:space="0" w:color="auto"/>
            </w:tcBorders>
            <w:vAlign w:val="center"/>
            <w:hideMark/>
          </w:tcPr>
          <w:p w:rsidR="001E21C6" w:rsidRPr="001E21C6" w:rsidP="001E21C6" w14:paraId="17907AE8" w14:textId="77777777">
            <w:pPr>
              <w:spacing w:after="0" w:line="240" w:lineRule="auto"/>
              <w:ind w:firstLine="200" w:firstLineChars="100"/>
              <w:jc w:val="right"/>
              <w:rPr>
                <w:rFonts w:eastAsia="Times New Roman" w:cstheme="minorHAnsi"/>
                <w:color w:val="000000"/>
                <w:sz w:val="20"/>
                <w:szCs w:val="20"/>
              </w:rPr>
            </w:pPr>
            <w:r w:rsidRPr="001E21C6">
              <w:rPr>
                <w:rFonts w:eastAsia="Times New Roman" w:cstheme="minorHAnsi"/>
                <w:color w:val="000000"/>
                <w:sz w:val="20"/>
                <w:szCs w:val="20"/>
              </w:rPr>
              <w:t xml:space="preserve">$278,637 </w:t>
            </w:r>
          </w:p>
        </w:tc>
      </w:tr>
      <w:tr w14:paraId="619888A7" w14:textId="77777777" w:rsidTr="0079584F">
        <w:tblPrEx>
          <w:tblW w:w="13338" w:type="dxa"/>
          <w:tblInd w:w="113" w:type="dxa"/>
          <w:tblLook w:val="04A0"/>
        </w:tblPrEx>
        <w:trPr>
          <w:trHeight w:val="300"/>
        </w:trPr>
        <w:tc>
          <w:tcPr>
            <w:tcW w:w="4045" w:type="dxa"/>
            <w:tcBorders>
              <w:top w:val="nil"/>
              <w:left w:val="single" w:sz="4" w:space="0" w:color="auto"/>
              <w:bottom w:val="single" w:sz="4" w:space="0" w:color="auto"/>
              <w:right w:val="single" w:sz="4" w:space="0" w:color="auto"/>
            </w:tcBorders>
            <w:vAlign w:val="center"/>
            <w:hideMark/>
          </w:tcPr>
          <w:p w:rsidR="001E21C6" w:rsidRPr="001E21C6" w:rsidP="001E21C6" w14:paraId="3AF52239" w14:textId="77777777">
            <w:pPr>
              <w:spacing w:after="0" w:line="240" w:lineRule="auto"/>
              <w:ind w:firstLine="180" w:firstLineChars="100"/>
              <w:rPr>
                <w:rFonts w:eastAsia="Times New Roman" w:cstheme="minorHAnsi"/>
                <w:b/>
                <w:bCs/>
                <w:color w:val="000000"/>
                <w:sz w:val="18"/>
                <w:szCs w:val="18"/>
              </w:rPr>
            </w:pPr>
            <w:r w:rsidRPr="001E21C6">
              <w:rPr>
                <w:rFonts w:eastAsia="Times New Roman" w:cstheme="minorHAnsi"/>
                <w:b/>
                <w:bCs/>
                <w:color w:val="000000"/>
                <w:sz w:val="18"/>
                <w:szCs w:val="18"/>
              </w:rPr>
              <w:t xml:space="preserve">TOTAL (rounded) </w:t>
            </w:r>
            <w:r w:rsidRPr="001E21C6">
              <w:rPr>
                <w:rFonts w:eastAsia="Times New Roman" w:cstheme="minorHAnsi"/>
                <w:b/>
                <w:bCs/>
                <w:color w:val="000000"/>
                <w:sz w:val="18"/>
                <w:szCs w:val="18"/>
                <w:vertAlign w:val="superscript"/>
              </w:rPr>
              <w:t>e</w:t>
            </w:r>
          </w:p>
        </w:tc>
        <w:tc>
          <w:tcPr>
            <w:tcW w:w="1133" w:type="dxa"/>
            <w:tcBorders>
              <w:top w:val="nil"/>
              <w:left w:val="nil"/>
              <w:bottom w:val="single" w:sz="4" w:space="0" w:color="auto"/>
              <w:right w:val="single" w:sz="4" w:space="0" w:color="auto"/>
            </w:tcBorders>
            <w:vAlign w:val="center"/>
            <w:hideMark/>
          </w:tcPr>
          <w:p w:rsidR="001E21C6" w:rsidRPr="001E21C6" w:rsidP="001E21C6" w14:paraId="692EB148" w14:textId="77777777">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 </w:t>
            </w:r>
          </w:p>
        </w:tc>
        <w:tc>
          <w:tcPr>
            <w:tcW w:w="1213" w:type="dxa"/>
            <w:tcBorders>
              <w:top w:val="nil"/>
              <w:left w:val="nil"/>
              <w:bottom w:val="single" w:sz="4" w:space="0" w:color="auto"/>
              <w:right w:val="single" w:sz="4" w:space="0" w:color="auto"/>
            </w:tcBorders>
            <w:vAlign w:val="center"/>
            <w:hideMark/>
          </w:tcPr>
          <w:p w:rsidR="001E21C6" w:rsidRPr="001E21C6" w:rsidP="001E21C6" w14:paraId="3F54096C" w14:textId="77777777">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 </w:t>
            </w:r>
          </w:p>
        </w:tc>
        <w:tc>
          <w:tcPr>
            <w:tcW w:w="959" w:type="dxa"/>
            <w:tcBorders>
              <w:top w:val="nil"/>
              <w:left w:val="nil"/>
              <w:bottom w:val="single" w:sz="4" w:space="0" w:color="auto"/>
              <w:right w:val="single" w:sz="4" w:space="0" w:color="auto"/>
            </w:tcBorders>
            <w:vAlign w:val="center"/>
            <w:hideMark/>
          </w:tcPr>
          <w:p w:rsidR="001E21C6" w:rsidRPr="001E21C6" w:rsidP="001E21C6" w14:paraId="15FA4E27" w14:textId="77777777">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 </w:t>
            </w:r>
          </w:p>
        </w:tc>
        <w:tc>
          <w:tcPr>
            <w:tcW w:w="1105" w:type="dxa"/>
            <w:tcBorders>
              <w:top w:val="nil"/>
              <w:left w:val="nil"/>
              <w:bottom w:val="single" w:sz="4" w:space="0" w:color="auto"/>
              <w:right w:val="single" w:sz="4" w:space="0" w:color="auto"/>
            </w:tcBorders>
            <w:vAlign w:val="center"/>
            <w:hideMark/>
          </w:tcPr>
          <w:p w:rsidR="001E21C6" w:rsidRPr="001E21C6" w:rsidP="001E21C6" w14:paraId="3E94E072" w14:textId="77777777">
            <w:pPr>
              <w:spacing w:after="0" w:line="240" w:lineRule="auto"/>
              <w:ind w:firstLine="200" w:firstLineChars="100"/>
              <w:rPr>
                <w:rFonts w:eastAsia="Times New Roman" w:cstheme="minorHAnsi"/>
                <w:color w:val="000000"/>
                <w:sz w:val="20"/>
                <w:szCs w:val="20"/>
              </w:rPr>
            </w:pPr>
            <w:r w:rsidRPr="001E21C6">
              <w:rPr>
                <w:rFonts w:eastAsia="Times New Roman" w:cstheme="minorHAnsi"/>
                <w:color w:val="000000"/>
                <w:sz w:val="20"/>
                <w:szCs w:val="20"/>
              </w:rPr>
              <w:t> </w:t>
            </w:r>
          </w:p>
        </w:tc>
        <w:tc>
          <w:tcPr>
            <w:tcW w:w="3341" w:type="dxa"/>
            <w:gridSpan w:val="3"/>
            <w:tcBorders>
              <w:top w:val="single" w:sz="4" w:space="0" w:color="auto"/>
              <w:left w:val="nil"/>
              <w:bottom w:val="single" w:sz="4" w:space="0" w:color="auto"/>
              <w:right w:val="single" w:sz="4" w:space="0" w:color="auto"/>
            </w:tcBorders>
            <w:vAlign w:val="center"/>
            <w:hideMark/>
          </w:tcPr>
          <w:p w:rsidR="001E21C6" w:rsidRPr="001E21C6" w:rsidP="001E21C6" w14:paraId="70734AAE" w14:textId="77777777">
            <w:pPr>
              <w:spacing w:after="0" w:line="240" w:lineRule="auto"/>
              <w:jc w:val="center"/>
              <w:rPr>
                <w:rFonts w:eastAsia="Times New Roman" w:cstheme="minorHAnsi"/>
                <w:b/>
                <w:bCs/>
                <w:color w:val="000000"/>
                <w:sz w:val="20"/>
                <w:szCs w:val="20"/>
              </w:rPr>
            </w:pPr>
            <w:r w:rsidRPr="001E21C6">
              <w:rPr>
                <w:rFonts w:eastAsia="Times New Roman" w:cstheme="minorHAnsi"/>
                <w:b/>
                <w:bCs/>
                <w:color w:val="000000"/>
                <w:sz w:val="20"/>
                <w:szCs w:val="20"/>
              </w:rPr>
              <w:t>4,920</w:t>
            </w:r>
          </w:p>
        </w:tc>
        <w:tc>
          <w:tcPr>
            <w:tcW w:w="1538" w:type="dxa"/>
            <w:tcBorders>
              <w:top w:val="nil"/>
              <w:left w:val="nil"/>
              <w:bottom w:val="single" w:sz="4" w:space="0" w:color="auto"/>
              <w:right w:val="single" w:sz="4" w:space="0" w:color="auto"/>
            </w:tcBorders>
            <w:vAlign w:val="center"/>
            <w:hideMark/>
          </w:tcPr>
          <w:p w:rsidR="001E21C6" w:rsidRPr="001E21C6" w:rsidP="001E21C6" w14:paraId="1204EA2D" w14:textId="77777777">
            <w:pPr>
              <w:spacing w:after="0" w:line="240" w:lineRule="auto"/>
              <w:ind w:firstLine="200" w:firstLineChars="100"/>
              <w:jc w:val="right"/>
              <w:rPr>
                <w:rFonts w:eastAsia="Times New Roman" w:cstheme="minorHAnsi"/>
                <w:b/>
                <w:bCs/>
                <w:color w:val="000000"/>
                <w:sz w:val="20"/>
                <w:szCs w:val="20"/>
              </w:rPr>
            </w:pPr>
            <w:r w:rsidRPr="001E21C6">
              <w:rPr>
                <w:rFonts w:eastAsia="Times New Roman" w:cstheme="minorHAnsi"/>
                <w:b/>
                <w:bCs/>
                <w:color w:val="000000"/>
                <w:sz w:val="20"/>
                <w:szCs w:val="20"/>
              </w:rPr>
              <w:t xml:space="preserve">$279,000 </w:t>
            </w:r>
          </w:p>
        </w:tc>
      </w:tr>
      <w:tr w14:paraId="3AAAEB56" w14:textId="77777777" w:rsidTr="0079584F">
        <w:tblPrEx>
          <w:tblW w:w="13338" w:type="dxa"/>
          <w:tblInd w:w="113" w:type="dxa"/>
          <w:tblLook w:val="04A0"/>
        </w:tblPrEx>
        <w:trPr>
          <w:trHeight w:val="300"/>
        </w:trPr>
        <w:tc>
          <w:tcPr>
            <w:tcW w:w="4045" w:type="dxa"/>
            <w:tcBorders>
              <w:top w:val="nil"/>
              <w:left w:val="nil"/>
              <w:bottom w:val="nil"/>
              <w:right w:val="nil"/>
            </w:tcBorders>
            <w:noWrap/>
            <w:vAlign w:val="bottom"/>
            <w:hideMark/>
          </w:tcPr>
          <w:p w:rsidR="001E21C6" w:rsidRPr="001E21C6" w:rsidP="001E21C6" w14:paraId="33BF535F" w14:textId="77777777">
            <w:pPr>
              <w:spacing w:after="0" w:line="240" w:lineRule="auto"/>
              <w:ind w:firstLine="200" w:firstLineChars="100"/>
              <w:jc w:val="right"/>
              <w:rPr>
                <w:rFonts w:eastAsia="Times New Roman" w:cstheme="minorHAnsi"/>
                <w:b/>
                <w:bCs/>
                <w:color w:val="000000"/>
                <w:sz w:val="20"/>
                <w:szCs w:val="20"/>
              </w:rPr>
            </w:pPr>
          </w:p>
        </w:tc>
        <w:tc>
          <w:tcPr>
            <w:tcW w:w="1133" w:type="dxa"/>
            <w:tcBorders>
              <w:top w:val="nil"/>
              <w:left w:val="nil"/>
              <w:bottom w:val="nil"/>
              <w:right w:val="nil"/>
            </w:tcBorders>
            <w:noWrap/>
            <w:vAlign w:val="bottom"/>
            <w:hideMark/>
          </w:tcPr>
          <w:p w:rsidR="001E21C6" w:rsidRPr="001E21C6" w:rsidP="001E21C6" w14:paraId="4DEE4225" w14:textId="77777777">
            <w:pPr>
              <w:spacing w:after="0" w:line="240" w:lineRule="auto"/>
              <w:rPr>
                <w:rFonts w:eastAsia="Times New Roman" w:cstheme="minorHAnsi"/>
                <w:sz w:val="20"/>
                <w:szCs w:val="20"/>
              </w:rPr>
            </w:pPr>
          </w:p>
        </w:tc>
        <w:tc>
          <w:tcPr>
            <w:tcW w:w="1213" w:type="dxa"/>
            <w:tcBorders>
              <w:top w:val="nil"/>
              <w:left w:val="nil"/>
              <w:bottom w:val="nil"/>
              <w:right w:val="nil"/>
            </w:tcBorders>
            <w:noWrap/>
            <w:vAlign w:val="bottom"/>
            <w:hideMark/>
          </w:tcPr>
          <w:p w:rsidR="001E21C6" w:rsidRPr="001E21C6" w:rsidP="001E21C6" w14:paraId="486C6F17" w14:textId="77777777">
            <w:pPr>
              <w:spacing w:after="0" w:line="240" w:lineRule="auto"/>
              <w:rPr>
                <w:rFonts w:eastAsia="Times New Roman" w:cstheme="minorHAnsi"/>
                <w:sz w:val="20"/>
                <w:szCs w:val="20"/>
              </w:rPr>
            </w:pPr>
          </w:p>
        </w:tc>
        <w:tc>
          <w:tcPr>
            <w:tcW w:w="959" w:type="dxa"/>
            <w:tcBorders>
              <w:top w:val="nil"/>
              <w:left w:val="nil"/>
              <w:bottom w:val="nil"/>
              <w:right w:val="nil"/>
            </w:tcBorders>
            <w:noWrap/>
            <w:vAlign w:val="bottom"/>
            <w:hideMark/>
          </w:tcPr>
          <w:p w:rsidR="001E21C6" w:rsidRPr="001E21C6" w:rsidP="001E21C6" w14:paraId="02EEA38B" w14:textId="77777777">
            <w:pPr>
              <w:spacing w:after="0" w:line="240" w:lineRule="auto"/>
              <w:rPr>
                <w:rFonts w:eastAsia="Times New Roman" w:cstheme="minorHAnsi"/>
                <w:sz w:val="20"/>
                <w:szCs w:val="20"/>
              </w:rPr>
            </w:pPr>
          </w:p>
        </w:tc>
        <w:tc>
          <w:tcPr>
            <w:tcW w:w="1105" w:type="dxa"/>
            <w:tcBorders>
              <w:top w:val="nil"/>
              <w:left w:val="nil"/>
              <w:bottom w:val="nil"/>
              <w:right w:val="nil"/>
            </w:tcBorders>
            <w:noWrap/>
            <w:vAlign w:val="bottom"/>
            <w:hideMark/>
          </w:tcPr>
          <w:p w:rsidR="001E21C6" w:rsidRPr="001E21C6" w:rsidP="001E21C6" w14:paraId="1804CB56" w14:textId="77777777">
            <w:pPr>
              <w:spacing w:after="0" w:line="240" w:lineRule="auto"/>
              <w:rPr>
                <w:rFonts w:eastAsia="Times New Roman" w:cstheme="minorHAnsi"/>
                <w:sz w:val="20"/>
                <w:szCs w:val="20"/>
              </w:rPr>
            </w:pPr>
          </w:p>
        </w:tc>
        <w:tc>
          <w:tcPr>
            <w:tcW w:w="995" w:type="dxa"/>
            <w:tcBorders>
              <w:top w:val="nil"/>
              <w:left w:val="nil"/>
              <w:bottom w:val="nil"/>
              <w:right w:val="nil"/>
            </w:tcBorders>
            <w:noWrap/>
            <w:vAlign w:val="bottom"/>
            <w:hideMark/>
          </w:tcPr>
          <w:p w:rsidR="001E21C6" w:rsidRPr="001E21C6" w:rsidP="001E21C6" w14:paraId="0AF972CC" w14:textId="77777777">
            <w:pPr>
              <w:spacing w:after="0" w:line="240" w:lineRule="auto"/>
              <w:rPr>
                <w:rFonts w:eastAsia="Times New Roman" w:cstheme="minorHAnsi"/>
                <w:sz w:val="20"/>
                <w:szCs w:val="20"/>
              </w:rPr>
            </w:pPr>
          </w:p>
        </w:tc>
        <w:tc>
          <w:tcPr>
            <w:tcW w:w="1332" w:type="dxa"/>
            <w:tcBorders>
              <w:top w:val="nil"/>
              <w:left w:val="nil"/>
              <w:bottom w:val="nil"/>
              <w:right w:val="nil"/>
            </w:tcBorders>
            <w:noWrap/>
            <w:vAlign w:val="bottom"/>
            <w:hideMark/>
          </w:tcPr>
          <w:p w:rsidR="001E21C6" w:rsidRPr="001E21C6" w:rsidP="001E21C6" w14:paraId="1EB5AA58" w14:textId="77777777">
            <w:pPr>
              <w:spacing w:after="0" w:line="240" w:lineRule="auto"/>
              <w:rPr>
                <w:rFonts w:eastAsia="Times New Roman" w:cstheme="minorHAnsi"/>
                <w:sz w:val="20"/>
                <w:szCs w:val="20"/>
              </w:rPr>
            </w:pPr>
          </w:p>
        </w:tc>
        <w:tc>
          <w:tcPr>
            <w:tcW w:w="1014" w:type="dxa"/>
            <w:tcBorders>
              <w:top w:val="nil"/>
              <w:left w:val="nil"/>
              <w:bottom w:val="nil"/>
              <w:right w:val="nil"/>
            </w:tcBorders>
            <w:noWrap/>
            <w:vAlign w:val="bottom"/>
            <w:hideMark/>
          </w:tcPr>
          <w:p w:rsidR="001E21C6" w:rsidRPr="001E21C6" w:rsidP="001E21C6" w14:paraId="3A54A838" w14:textId="77777777">
            <w:pPr>
              <w:spacing w:after="0" w:line="240" w:lineRule="auto"/>
              <w:rPr>
                <w:rFonts w:eastAsia="Times New Roman" w:cstheme="minorHAnsi"/>
                <w:sz w:val="20"/>
                <w:szCs w:val="20"/>
              </w:rPr>
            </w:pPr>
          </w:p>
        </w:tc>
        <w:tc>
          <w:tcPr>
            <w:tcW w:w="1538" w:type="dxa"/>
            <w:tcBorders>
              <w:top w:val="nil"/>
              <w:left w:val="nil"/>
              <w:bottom w:val="nil"/>
              <w:right w:val="nil"/>
            </w:tcBorders>
            <w:noWrap/>
            <w:vAlign w:val="bottom"/>
            <w:hideMark/>
          </w:tcPr>
          <w:p w:rsidR="001E21C6" w:rsidRPr="001E21C6" w:rsidP="001E21C6" w14:paraId="5CC6334D" w14:textId="77777777">
            <w:pPr>
              <w:spacing w:after="0" w:line="240" w:lineRule="auto"/>
              <w:rPr>
                <w:rFonts w:eastAsia="Times New Roman" w:cstheme="minorHAnsi"/>
                <w:sz w:val="20"/>
                <w:szCs w:val="20"/>
              </w:rPr>
            </w:pPr>
          </w:p>
        </w:tc>
      </w:tr>
      <w:tr w14:paraId="57887931" w14:textId="77777777" w:rsidTr="0079584F">
        <w:tblPrEx>
          <w:tblW w:w="13338" w:type="dxa"/>
          <w:tblInd w:w="113" w:type="dxa"/>
          <w:tblLook w:val="04A0"/>
        </w:tblPrEx>
        <w:trPr>
          <w:trHeight w:val="300"/>
        </w:trPr>
        <w:tc>
          <w:tcPr>
            <w:tcW w:w="4045" w:type="dxa"/>
            <w:tcBorders>
              <w:top w:val="nil"/>
              <w:left w:val="nil"/>
              <w:bottom w:val="nil"/>
              <w:right w:val="nil"/>
            </w:tcBorders>
            <w:noWrap/>
            <w:vAlign w:val="center"/>
            <w:hideMark/>
          </w:tcPr>
          <w:p w:rsidR="001E21C6" w:rsidRPr="001E21C6" w:rsidP="001E21C6" w14:paraId="4A131E54" w14:textId="77777777">
            <w:pPr>
              <w:spacing w:after="0" w:line="240" w:lineRule="auto"/>
              <w:rPr>
                <w:rFonts w:eastAsia="Times New Roman" w:cstheme="minorHAnsi"/>
                <w:b/>
                <w:bCs/>
                <w:color w:val="000000"/>
                <w:sz w:val="20"/>
                <w:szCs w:val="20"/>
              </w:rPr>
            </w:pPr>
            <w:r w:rsidRPr="001E21C6">
              <w:rPr>
                <w:rFonts w:eastAsia="Times New Roman" w:cstheme="minorHAnsi"/>
                <w:b/>
                <w:bCs/>
                <w:color w:val="000000"/>
                <w:sz w:val="20"/>
                <w:szCs w:val="20"/>
              </w:rPr>
              <w:t>Assumptions:</w:t>
            </w:r>
          </w:p>
        </w:tc>
        <w:tc>
          <w:tcPr>
            <w:tcW w:w="1133" w:type="dxa"/>
            <w:tcBorders>
              <w:top w:val="nil"/>
              <w:left w:val="nil"/>
              <w:bottom w:val="nil"/>
              <w:right w:val="nil"/>
            </w:tcBorders>
            <w:noWrap/>
            <w:vAlign w:val="bottom"/>
            <w:hideMark/>
          </w:tcPr>
          <w:p w:rsidR="001E21C6" w:rsidRPr="001E21C6" w:rsidP="001E21C6" w14:paraId="5A7F5F6B" w14:textId="77777777">
            <w:pPr>
              <w:spacing w:after="0" w:line="240" w:lineRule="auto"/>
              <w:rPr>
                <w:rFonts w:eastAsia="Times New Roman" w:cstheme="minorHAnsi"/>
                <w:b/>
                <w:bCs/>
                <w:color w:val="000000"/>
                <w:sz w:val="20"/>
                <w:szCs w:val="20"/>
              </w:rPr>
            </w:pPr>
          </w:p>
        </w:tc>
        <w:tc>
          <w:tcPr>
            <w:tcW w:w="1213" w:type="dxa"/>
            <w:tcBorders>
              <w:top w:val="nil"/>
              <w:left w:val="nil"/>
              <w:bottom w:val="nil"/>
              <w:right w:val="nil"/>
            </w:tcBorders>
            <w:noWrap/>
            <w:vAlign w:val="bottom"/>
            <w:hideMark/>
          </w:tcPr>
          <w:p w:rsidR="001E21C6" w:rsidRPr="001E21C6" w:rsidP="001E21C6" w14:paraId="637C8315" w14:textId="77777777">
            <w:pPr>
              <w:spacing w:after="0" w:line="240" w:lineRule="auto"/>
              <w:rPr>
                <w:rFonts w:eastAsia="Times New Roman" w:cstheme="minorHAnsi"/>
                <w:sz w:val="20"/>
                <w:szCs w:val="20"/>
              </w:rPr>
            </w:pPr>
          </w:p>
        </w:tc>
        <w:tc>
          <w:tcPr>
            <w:tcW w:w="959" w:type="dxa"/>
            <w:tcBorders>
              <w:top w:val="nil"/>
              <w:left w:val="nil"/>
              <w:bottom w:val="nil"/>
              <w:right w:val="nil"/>
            </w:tcBorders>
            <w:noWrap/>
            <w:vAlign w:val="bottom"/>
            <w:hideMark/>
          </w:tcPr>
          <w:p w:rsidR="001E21C6" w:rsidRPr="001E21C6" w:rsidP="001E21C6" w14:paraId="3ABD9618" w14:textId="77777777">
            <w:pPr>
              <w:spacing w:after="0" w:line="240" w:lineRule="auto"/>
              <w:rPr>
                <w:rFonts w:eastAsia="Times New Roman" w:cstheme="minorHAnsi"/>
                <w:sz w:val="20"/>
                <w:szCs w:val="20"/>
              </w:rPr>
            </w:pPr>
          </w:p>
        </w:tc>
        <w:tc>
          <w:tcPr>
            <w:tcW w:w="1105" w:type="dxa"/>
            <w:tcBorders>
              <w:top w:val="nil"/>
              <w:left w:val="nil"/>
              <w:bottom w:val="nil"/>
              <w:right w:val="nil"/>
            </w:tcBorders>
            <w:noWrap/>
            <w:vAlign w:val="bottom"/>
            <w:hideMark/>
          </w:tcPr>
          <w:p w:rsidR="001E21C6" w:rsidRPr="001E21C6" w:rsidP="001E21C6" w14:paraId="1633EBEA" w14:textId="77777777">
            <w:pPr>
              <w:spacing w:after="0" w:line="240" w:lineRule="auto"/>
              <w:rPr>
                <w:rFonts w:eastAsia="Times New Roman" w:cstheme="minorHAnsi"/>
                <w:sz w:val="20"/>
                <w:szCs w:val="20"/>
              </w:rPr>
            </w:pPr>
          </w:p>
        </w:tc>
        <w:tc>
          <w:tcPr>
            <w:tcW w:w="995" w:type="dxa"/>
            <w:tcBorders>
              <w:top w:val="nil"/>
              <w:left w:val="nil"/>
              <w:bottom w:val="nil"/>
              <w:right w:val="nil"/>
            </w:tcBorders>
            <w:noWrap/>
            <w:vAlign w:val="bottom"/>
            <w:hideMark/>
          </w:tcPr>
          <w:p w:rsidR="001E21C6" w:rsidRPr="001E21C6" w:rsidP="001E21C6" w14:paraId="60EE37A3" w14:textId="77777777">
            <w:pPr>
              <w:spacing w:after="0" w:line="240" w:lineRule="auto"/>
              <w:rPr>
                <w:rFonts w:eastAsia="Times New Roman" w:cstheme="minorHAnsi"/>
                <w:sz w:val="20"/>
                <w:szCs w:val="20"/>
              </w:rPr>
            </w:pPr>
          </w:p>
        </w:tc>
        <w:tc>
          <w:tcPr>
            <w:tcW w:w="1332" w:type="dxa"/>
            <w:tcBorders>
              <w:top w:val="nil"/>
              <w:left w:val="nil"/>
              <w:bottom w:val="nil"/>
              <w:right w:val="nil"/>
            </w:tcBorders>
            <w:noWrap/>
            <w:vAlign w:val="bottom"/>
            <w:hideMark/>
          </w:tcPr>
          <w:p w:rsidR="001E21C6" w:rsidRPr="001E21C6" w:rsidP="001E21C6" w14:paraId="2DD95AEE" w14:textId="77777777">
            <w:pPr>
              <w:spacing w:after="0" w:line="240" w:lineRule="auto"/>
              <w:rPr>
                <w:rFonts w:eastAsia="Times New Roman" w:cstheme="minorHAnsi"/>
                <w:sz w:val="20"/>
                <w:szCs w:val="20"/>
              </w:rPr>
            </w:pPr>
          </w:p>
        </w:tc>
        <w:tc>
          <w:tcPr>
            <w:tcW w:w="1014" w:type="dxa"/>
            <w:tcBorders>
              <w:top w:val="nil"/>
              <w:left w:val="nil"/>
              <w:bottom w:val="nil"/>
              <w:right w:val="nil"/>
            </w:tcBorders>
            <w:noWrap/>
            <w:vAlign w:val="bottom"/>
            <w:hideMark/>
          </w:tcPr>
          <w:p w:rsidR="001E21C6" w:rsidRPr="001E21C6" w:rsidP="001E21C6" w14:paraId="068239D3" w14:textId="77777777">
            <w:pPr>
              <w:spacing w:after="0" w:line="240" w:lineRule="auto"/>
              <w:rPr>
                <w:rFonts w:eastAsia="Times New Roman" w:cstheme="minorHAnsi"/>
                <w:sz w:val="20"/>
                <w:szCs w:val="20"/>
              </w:rPr>
            </w:pPr>
          </w:p>
        </w:tc>
        <w:tc>
          <w:tcPr>
            <w:tcW w:w="1538" w:type="dxa"/>
            <w:tcBorders>
              <w:top w:val="nil"/>
              <w:left w:val="nil"/>
              <w:bottom w:val="nil"/>
              <w:right w:val="nil"/>
            </w:tcBorders>
            <w:noWrap/>
            <w:vAlign w:val="bottom"/>
            <w:hideMark/>
          </w:tcPr>
          <w:p w:rsidR="001E21C6" w:rsidRPr="001E21C6" w:rsidP="001E21C6" w14:paraId="4CF11391" w14:textId="77777777">
            <w:pPr>
              <w:spacing w:after="0" w:line="240" w:lineRule="auto"/>
              <w:rPr>
                <w:rFonts w:eastAsia="Times New Roman" w:cstheme="minorHAnsi"/>
                <w:sz w:val="20"/>
                <w:szCs w:val="20"/>
              </w:rPr>
            </w:pPr>
          </w:p>
        </w:tc>
      </w:tr>
      <w:tr w14:paraId="342328E8" w14:textId="77777777" w:rsidTr="0079584F">
        <w:tblPrEx>
          <w:tblW w:w="13338" w:type="dxa"/>
          <w:tblInd w:w="113" w:type="dxa"/>
          <w:tblLook w:val="04A0"/>
        </w:tblPrEx>
        <w:trPr>
          <w:trHeight w:val="630"/>
        </w:trPr>
        <w:tc>
          <w:tcPr>
            <w:tcW w:w="13338" w:type="dxa"/>
            <w:gridSpan w:val="9"/>
            <w:tcBorders>
              <w:top w:val="nil"/>
              <w:left w:val="nil"/>
              <w:bottom w:val="nil"/>
              <w:right w:val="nil"/>
            </w:tcBorders>
            <w:hideMark/>
          </w:tcPr>
          <w:p w:rsidR="001E21C6" w:rsidRPr="001E21C6" w:rsidP="001E21C6" w14:paraId="299E2CA3" w14:textId="0D06798B">
            <w:pPr>
              <w:spacing w:after="0" w:line="240" w:lineRule="auto"/>
              <w:rPr>
                <w:rFonts w:eastAsia="Times New Roman" w:cstheme="minorHAnsi"/>
                <w:color w:val="000000"/>
                <w:sz w:val="20"/>
                <w:szCs w:val="20"/>
              </w:rPr>
            </w:pPr>
            <w:r w:rsidRPr="001E21C6">
              <w:rPr>
                <w:rFonts w:eastAsia="Times New Roman" w:cstheme="minorHAnsi"/>
                <w:color w:val="000000"/>
                <w:sz w:val="20"/>
                <w:szCs w:val="20"/>
                <w:vertAlign w:val="superscript"/>
              </w:rPr>
              <w:t>a</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We have assumed that the average number of respondents that will be subject to the rule will be 535 existing sources.</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There will be no additional sources over the three-year period of this ICR.</w:t>
            </w:r>
          </w:p>
        </w:tc>
      </w:tr>
      <w:tr w14:paraId="45792D06" w14:textId="77777777" w:rsidTr="0079584F">
        <w:tblPrEx>
          <w:tblW w:w="13338" w:type="dxa"/>
          <w:tblInd w:w="113" w:type="dxa"/>
          <w:tblLook w:val="04A0"/>
        </w:tblPrEx>
        <w:trPr>
          <w:trHeight w:val="1065"/>
        </w:trPr>
        <w:tc>
          <w:tcPr>
            <w:tcW w:w="13338" w:type="dxa"/>
            <w:gridSpan w:val="9"/>
            <w:tcBorders>
              <w:top w:val="nil"/>
              <w:left w:val="nil"/>
              <w:bottom w:val="nil"/>
              <w:right w:val="nil"/>
            </w:tcBorders>
            <w:vAlign w:val="bottom"/>
            <w:hideMark/>
          </w:tcPr>
          <w:p w:rsidR="001E21C6" w:rsidRPr="001E21C6" w:rsidP="001E21C6" w14:paraId="43E50EE5" w14:textId="3BD68B78">
            <w:pPr>
              <w:spacing w:after="0" w:line="240" w:lineRule="auto"/>
              <w:rPr>
                <w:rFonts w:eastAsia="Times New Roman" w:cstheme="minorHAnsi"/>
                <w:color w:val="000000"/>
                <w:sz w:val="20"/>
                <w:szCs w:val="20"/>
              </w:rPr>
            </w:pPr>
            <w:r w:rsidRPr="001E21C6">
              <w:rPr>
                <w:rFonts w:eastAsia="Times New Roman" w:cstheme="minorHAnsi"/>
                <w:color w:val="000000"/>
                <w:sz w:val="20"/>
                <w:szCs w:val="20"/>
                <w:vertAlign w:val="superscript"/>
              </w:rPr>
              <w:t>b</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This cost is based on the average hourly labor rate as follows: Managerial $78.22 (GS-13, Step 5, $48.89 + 60%); Technical $58.05 (GS-12, Step 1, $36.28 + 60</w:t>
            </w:r>
            <w:r w:rsidRPr="001E21C6">
              <w:rPr>
                <w:rFonts w:eastAsia="Times New Roman" w:cstheme="minorHAnsi"/>
                <w:color w:val="000000"/>
                <w:sz w:val="20"/>
                <w:szCs w:val="20"/>
              </w:rPr>
              <w:t>%);</w:t>
            </w:r>
            <w:r w:rsidRPr="001E21C6">
              <w:rPr>
                <w:rFonts w:eastAsia="Times New Roman" w:cstheme="minorHAnsi"/>
                <w:color w:val="000000"/>
                <w:sz w:val="20"/>
                <w:szCs w:val="20"/>
              </w:rPr>
              <w:t xml:space="preserve"> and Clerical $31.41 (GS-6, Step 3, $19.63+ 60%). This ICR assumes that Managerial hours are 5 percent of </w:t>
            </w:r>
            <w:r w:rsidRPr="001E21C6">
              <w:rPr>
                <w:rFonts w:eastAsia="Times New Roman" w:cstheme="minorHAnsi"/>
                <w:color w:val="000000"/>
                <w:sz w:val="20"/>
                <w:szCs w:val="20"/>
              </w:rPr>
              <w:t>Technical</w:t>
            </w:r>
            <w:r w:rsidRPr="001E21C6">
              <w:rPr>
                <w:rFonts w:eastAsia="Times New Roman" w:cstheme="minorHAnsi"/>
                <w:color w:val="000000"/>
                <w:sz w:val="20"/>
                <w:szCs w:val="20"/>
              </w:rPr>
              <w:t xml:space="preserve"> hours, and Clerical hours are 10 percent of </w:t>
            </w:r>
            <w:r w:rsidRPr="001E21C6">
              <w:rPr>
                <w:rFonts w:eastAsia="Times New Roman" w:cstheme="minorHAnsi"/>
                <w:color w:val="000000"/>
                <w:sz w:val="20"/>
                <w:szCs w:val="20"/>
              </w:rPr>
              <w:t>Technical</w:t>
            </w:r>
            <w:r w:rsidRPr="001E21C6">
              <w:rPr>
                <w:rFonts w:eastAsia="Times New Roman" w:cstheme="minorHAnsi"/>
                <w:color w:val="000000"/>
                <w:sz w:val="20"/>
                <w:szCs w:val="20"/>
              </w:rPr>
              <w:t xml:space="preserve"> hours. These rates are from the Office of Personnel Management (OPM), 2025 General Schedule, which excludes locality, rates of pay. The rates have been increased by 60 percent to account for the benefit packages available to government employees.</w:t>
            </w:r>
          </w:p>
        </w:tc>
      </w:tr>
      <w:tr w14:paraId="1093135A" w14:textId="77777777" w:rsidTr="0079584F">
        <w:tblPrEx>
          <w:tblW w:w="13338" w:type="dxa"/>
          <w:tblInd w:w="113" w:type="dxa"/>
          <w:tblLook w:val="04A0"/>
        </w:tblPrEx>
        <w:trPr>
          <w:trHeight w:val="315"/>
        </w:trPr>
        <w:tc>
          <w:tcPr>
            <w:tcW w:w="13338" w:type="dxa"/>
            <w:gridSpan w:val="9"/>
            <w:tcBorders>
              <w:top w:val="nil"/>
              <w:left w:val="nil"/>
              <w:bottom w:val="nil"/>
              <w:right w:val="nil"/>
            </w:tcBorders>
            <w:noWrap/>
            <w:vAlign w:val="center"/>
            <w:hideMark/>
          </w:tcPr>
          <w:p w:rsidR="001E21C6" w:rsidRPr="001E21C6" w:rsidP="001E21C6" w14:paraId="54C1241B" w14:textId="1F262ACF">
            <w:pPr>
              <w:spacing w:after="0" w:line="240" w:lineRule="auto"/>
              <w:rPr>
                <w:rFonts w:eastAsia="Times New Roman" w:cstheme="minorHAnsi"/>
                <w:color w:val="000000"/>
                <w:sz w:val="20"/>
                <w:szCs w:val="20"/>
              </w:rPr>
            </w:pPr>
            <w:r w:rsidRPr="001E21C6">
              <w:rPr>
                <w:rFonts w:eastAsia="Times New Roman" w:cstheme="minorHAnsi"/>
                <w:color w:val="000000"/>
                <w:sz w:val="20"/>
                <w:szCs w:val="20"/>
                <w:vertAlign w:val="superscript"/>
              </w:rPr>
              <w:t>c</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We have assumed that there will be no new sources expected over the three-year period of this ICR.</w:t>
            </w:r>
          </w:p>
        </w:tc>
      </w:tr>
      <w:tr w14:paraId="1CBBFEB6" w14:textId="77777777" w:rsidTr="0079584F">
        <w:tblPrEx>
          <w:tblW w:w="13338" w:type="dxa"/>
          <w:tblInd w:w="113" w:type="dxa"/>
          <w:tblLook w:val="04A0"/>
        </w:tblPrEx>
        <w:trPr>
          <w:trHeight w:val="315"/>
        </w:trPr>
        <w:tc>
          <w:tcPr>
            <w:tcW w:w="13338" w:type="dxa"/>
            <w:gridSpan w:val="9"/>
            <w:tcBorders>
              <w:top w:val="nil"/>
              <w:left w:val="nil"/>
              <w:bottom w:val="nil"/>
              <w:right w:val="nil"/>
            </w:tcBorders>
            <w:noWrap/>
            <w:vAlign w:val="center"/>
            <w:hideMark/>
          </w:tcPr>
          <w:p w:rsidR="001E21C6" w:rsidRPr="001E21C6" w:rsidP="001E21C6" w14:paraId="755A1A9D" w14:textId="6F7F8E73">
            <w:pPr>
              <w:spacing w:after="0" w:line="240" w:lineRule="auto"/>
              <w:rPr>
                <w:rFonts w:eastAsia="Times New Roman" w:cstheme="minorHAnsi"/>
                <w:color w:val="000000"/>
                <w:sz w:val="20"/>
                <w:szCs w:val="20"/>
              </w:rPr>
            </w:pPr>
            <w:r w:rsidRPr="001E21C6">
              <w:rPr>
                <w:rFonts w:eastAsia="Times New Roman" w:cstheme="minorHAnsi"/>
                <w:color w:val="000000"/>
                <w:sz w:val="20"/>
                <w:szCs w:val="20"/>
                <w:vertAlign w:val="superscript"/>
              </w:rPr>
              <w:t>d</w:t>
            </w:r>
            <w:r w:rsidR="001E1919">
              <w:rPr>
                <w:rFonts w:eastAsia="Times New Roman" w:cstheme="minorHAnsi"/>
                <w:color w:val="000000"/>
                <w:sz w:val="20"/>
                <w:szCs w:val="20"/>
              </w:rPr>
              <w:t xml:space="preserve"> </w:t>
            </w:r>
            <w:r w:rsidRPr="001E21C6">
              <w:rPr>
                <w:rFonts w:eastAsia="Times New Roman" w:cstheme="minorHAnsi"/>
                <w:color w:val="000000"/>
                <w:sz w:val="20"/>
                <w:szCs w:val="20"/>
              </w:rPr>
              <w:t>We</w:t>
            </w:r>
            <w:r w:rsidRPr="001E21C6">
              <w:rPr>
                <w:rFonts w:eastAsia="Times New Roman" w:cstheme="minorHAnsi"/>
                <w:color w:val="000000"/>
                <w:sz w:val="20"/>
                <w:szCs w:val="20"/>
              </w:rPr>
              <w:t xml:space="preserve"> have assumed that it will take 4 hours two times per year to review the excess emissions and exemption reports.</w:t>
            </w:r>
          </w:p>
        </w:tc>
      </w:tr>
      <w:tr w14:paraId="440478C9" w14:textId="77777777" w:rsidTr="0079584F">
        <w:tblPrEx>
          <w:tblW w:w="13338" w:type="dxa"/>
          <w:tblInd w:w="113" w:type="dxa"/>
          <w:tblLook w:val="04A0"/>
        </w:tblPrEx>
        <w:trPr>
          <w:trHeight w:val="315"/>
        </w:trPr>
        <w:tc>
          <w:tcPr>
            <w:tcW w:w="13338" w:type="dxa"/>
            <w:gridSpan w:val="9"/>
            <w:tcBorders>
              <w:top w:val="nil"/>
              <w:left w:val="nil"/>
              <w:bottom w:val="nil"/>
              <w:right w:val="nil"/>
            </w:tcBorders>
            <w:noWrap/>
            <w:vAlign w:val="center"/>
            <w:hideMark/>
          </w:tcPr>
          <w:p w:rsidR="001E21C6" w:rsidRPr="001E21C6" w:rsidP="001E21C6" w14:paraId="73274163" w14:textId="16B94C4D">
            <w:pPr>
              <w:spacing w:after="0" w:line="240" w:lineRule="auto"/>
              <w:rPr>
                <w:rFonts w:eastAsia="Times New Roman" w:cstheme="minorHAnsi"/>
                <w:color w:val="000000"/>
                <w:sz w:val="20"/>
                <w:szCs w:val="20"/>
              </w:rPr>
            </w:pPr>
            <w:r w:rsidRPr="001E21C6">
              <w:rPr>
                <w:rFonts w:eastAsia="Times New Roman" w:cstheme="minorHAnsi"/>
                <w:color w:val="000000"/>
                <w:sz w:val="20"/>
                <w:szCs w:val="20"/>
                <w:vertAlign w:val="superscript"/>
              </w:rPr>
              <w:t>e</w:t>
            </w:r>
            <w:r w:rsidR="001E1919">
              <w:rPr>
                <w:rFonts w:eastAsia="Times New Roman" w:cstheme="minorHAnsi"/>
                <w:color w:val="000000"/>
                <w:sz w:val="20"/>
                <w:szCs w:val="20"/>
                <w:vertAlign w:val="superscript"/>
              </w:rPr>
              <w:t xml:space="preserve"> </w:t>
            </w:r>
            <w:r w:rsidRPr="001E21C6">
              <w:rPr>
                <w:rFonts w:eastAsia="Times New Roman" w:cstheme="minorHAnsi"/>
                <w:color w:val="000000"/>
                <w:sz w:val="20"/>
                <w:szCs w:val="20"/>
              </w:rPr>
              <w:t xml:space="preserve">Totals have been rounded to 3 significant figures. Figures may not </w:t>
            </w:r>
            <w:r w:rsidRPr="001E21C6">
              <w:rPr>
                <w:rFonts w:eastAsia="Times New Roman" w:cstheme="minorHAnsi"/>
                <w:color w:val="000000"/>
                <w:sz w:val="20"/>
                <w:szCs w:val="20"/>
              </w:rPr>
              <w:t>add</w:t>
            </w:r>
            <w:r w:rsidRPr="001E21C6">
              <w:rPr>
                <w:rFonts w:eastAsia="Times New Roman" w:cstheme="minorHAnsi"/>
                <w:color w:val="000000"/>
                <w:sz w:val="20"/>
                <w:szCs w:val="20"/>
              </w:rPr>
              <w:t xml:space="preserve"> exactly due to rounding.</w:t>
            </w:r>
          </w:p>
        </w:tc>
      </w:tr>
    </w:tbl>
    <w:p w:rsidR="00D06BAB" w14:paraId="7419754B" w14:textId="77777777">
      <w:pPr>
        <w:rPr>
          <w:rFonts w:cstheme="minorHAnsi"/>
          <w:b/>
          <w:bCs/>
          <w:sz w:val="24"/>
          <w:szCs w:val="24"/>
        </w:rPr>
      </w:pPr>
      <w:r>
        <w:rPr>
          <w:rFonts w:cstheme="minorHAnsi"/>
          <w:b/>
          <w:bCs/>
          <w:sz w:val="24"/>
          <w:szCs w:val="24"/>
        </w:rPr>
        <w:br w:type="page"/>
      </w:r>
    </w:p>
    <w:p w:rsidR="001641AA" w:rsidP="00BB3410" w14:paraId="58610761" w14:textId="252413D4">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0795" w:type="dxa"/>
        <w:tblInd w:w="113" w:type="dxa"/>
        <w:tblLook w:val="04A0"/>
      </w:tblPr>
      <w:tblGrid>
        <w:gridCol w:w="1165"/>
        <w:gridCol w:w="1800"/>
        <w:gridCol w:w="1890"/>
        <w:gridCol w:w="2160"/>
        <w:gridCol w:w="1980"/>
        <w:gridCol w:w="1800"/>
      </w:tblGrid>
      <w:tr w14:paraId="10D3E076" w14:textId="77777777" w:rsidTr="00DF2378">
        <w:tblPrEx>
          <w:tblW w:w="10795" w:type="dxa"/>
          <w:tblInd w:w="113" w:type="dxa"/>
          <w:tblLook w:val="04A0"/>
        </w:tblPrEx>
        <w:trPr>
          <w:trHeight w:val="315"/>
        </w:trPr>
        <w:tc>
          <w:tcPr>
            <w:tcW w:w="10795" w:type="dxa"/>
            <w:gridSpan w:val="6"/>
            <w:tcBorders>
              <w:top w:val="single" w:sz="4" w:space="0" w:color="auto"/>
              <w:left w:val="single" w:sz="4" w:space="0" w:color="auto"/>
              <w:bottom w:val="single" w:sz="4" w:space="0" w:color="auto"/>
              <w:right w:val="single" w:sz="4" w:space="0" w:color="auto"/>
            </w:tcBorders>
            <w:vAlign w:val="center"/>
            <w:hideMark/>
          </w:tcPr>
          <w:p w:rsidR="00DF2378" w:rsidRPr="00DF2378" w:rsidP="00DF2378" w14:paraId="7521129C" w14:textId="77777777">
            <w:pPr>
              <w:spacing w:after="0" w:line="240" w:lineRule="auto"/>
              <w:jc w:val="center"/>
              <w:rPr>
                <w:rFonts w:eastAsia="Times New Roman" w:cstheme="minorHAnsi"/>
                <w:b/>
                <w:bCs/>
                <w:color w:val="000000"/>
                <w:sz w:val="24"/>
                <w:szCs w:val="24"/>
              </w:rPr>
            </w:pPr>
            <w:r w:rsidRPr="00DF2378">
              <w:rPr>
                <w:rFonts w:eastAsia="Times New Roman" w:cstheme="minorHAnsi"/>
                <w:b/>
                <w:bCs/>
                <w:color w:val="000000"/>
                <w:sz w:val="24"/>
                <w:szCs w:val="24"/>
              </w:rPr>
              <w:t>Number of Respondents</w:t>
            </w:r>
          </w:p>
        </w:tc>
      </w:tr>
      <w:tr w14:paraId="3176A2A7" w14:textId="77777777" w:rsidTr="00DF2378">
        <w:tblPrEx>
          <w:tblW w:w="10795" w:type="dxa"/>
          <w:tblInd w:w="113" w:type="dxa"/>
          <w:tblLook w:val="04A0"/>
        </w:tblPrEx>
        <w:trPr>
          <w:trHeight w:val="480"/>
        </w:trPr>
        <w:tc>
          <w:tcPr>
            <w:tcW w:w="1165" w:type="dxa"/>
            <w:tcBorders>
              <w:top w:val="nil"/>
              <w:left w:val="single" w:sz="4" w:space="0" w:color="auto"/>
              <w:bottom w:val="single" w:sz="4" w:space="0" w:color="auto"/>
              <w:right w:val="single" w:sz="4" w:space="0" w:color="auto"/>
            </w:tcBorders>
            <w:vAlign w:val="center"/>
            <w:hideMark/>
          </w:tcPr>
          <w:p w:rsidR="00DF2378" w:rsidRPr="00DF2378" w:rsidP="00DF2378" w14:paraId="2B56D706" w14:textId="77777777">
            <w:pPr>
              <w:spacing w:after="0" w:line="240" w:lineRule="auto"/>
              <w:rPr>
                <w:rFonts w:eastAsia="Times New Roman" w:cstheme="minorHAnsi"/>
                <w:b/>
                <w:bCs/>
                <w:color w:val="000000"/>
                <w:sz w:val="24"/>
                <w:szCs w:val="24"/>
              </w:rPr>
            </w:pPr>
            <w:r w:rsidRPr="00DF2378">
              <w:rPr>
                <w:rFonts w:eastAsia="Times New Roman" w:cstheme="minorHAnsi"/>
                <w:b/>
                <w:bCs/>
                <w:color w:val="000000"/>
                <w:sz w:val="24"/>
                <w:szCs w:val="24"/>
              </w:rPr>
              <w:t> </w:t>
            </w:r>
          </w:p>
        </w:tc>
        <w:tc>
          <w:tcPr>
            <w:tcW w:w="3690" w:type="dxa"/>
            <w:gridSpan w:val="2"/>
            <w:tcBorders>
              <w:top w:val="single" w:sz="4" w:space="0" w:color="auto"/>
              <w:left w:val="nil"/>
              <w:bottom w:val="single" w:sz="4" w:space="0" w:color="auto"/>
              <w:right w:val="single" w:sz="4" w:space="0" w:color="auto"/>
            </w:tcBorders>
            <w:vAlign w:val="center"/>
            <w:hideMark/>
          </w:tcPr>
          <w:p w:rsidR="00DF2378" w:rsidRPr="00DF2378" w:rsidP="00DF2378" w14:paraId="3D83D7F2" w14:textId="77777777">
            <w:pPr>
              <w:spacing w:after="0" w:line="240" w:lineRule="auto"/>
              <w:rPr>
                <w:rFonts w:eastAsia="Times New Roman" w:cstheme="minorHAnsi"/>
                <w:color w:val="000000"/>
                <w:sz w:val="18"/>
                <w:szCs w:val="18"/>
              </w:rPr>
            </w:pPr>
            <w:r w:rsidRPr="00DF2378">
              <w:rPr>
                <w:rFonts w:eastAsia="Times New Roman" w:cstheme="minorHAnsi"/>
                <w:color w:val="000000"/>
                <w:sz w:val="18"/>
                <w:szCs w:val="18"/>
              </w:rPr>
              <w:t>Respondents That Submit Reports</w:t>
            </w:r>
          </w:p>
        </w:tc>
        <w:tc>
          <w:tcPr>
            <w:tcW w:w="2160" w:type="dxa"/>
            <w:tcBorders>
              <w:top w:val="nil"/>
              <w:left w:val="nil"/>
              <w:bottom w:val="single" w:sz="4" w:space="0" w:color="auto"/>
              <w:right w:val="single" w:sz="4" w:space="0" w:color="auto"/>
            </w:tcBorders>
            <w:vAlign w:val="center"/>
            <w:hideMark/>
          </w:tcPr>
          <w:p w:rsidR="00DF2378" w:rsidRPr="00DF2378" w:rsidP="00DF2378" w14:paraId="060045CB" w14:textId="77777777">
            <w:pPr>
              <w:spacing w:after="0" w:line="240" w:lineRule="auto"/>
              <w:rPr>
                <w:rFonts w:eastAsia="Times New Roman" w:cstheme="minorHAnsi"/>
                <w:color w:val="000000"/>
                <w:sz w:val="18"/>
                <w:szCs w:val="18"/>
              </w:rPr>
            </w:pPr>
            <w:r w:rsidRPr="00DF2378">
              <w:rPr>
                <w:rFonts w:eastAsia="Times New Roman" w:cstheme="minorHAnsi"/>
                <w:color w:val="000000"/>
                <w:sz w:val="18"/>
                <w:szCs w:val="18"/>
              </w:rPr>
              <w:t>Respondents That Do Not Submit Any Reports</w:t>
            </w:r>
          </w:p>
        </w:tc>
        <w:tc>
          <w:tcPr>
            <w:tcW w:w="1980" w:type="dxa"/>
            <w:tcBorders>
              <w:top w:val="nil"/>
              <w:left w:val="nil"/>
              <w:bottom w:val="single" w:sz="4" w:space="0" w:color="auto"/>
              <w:right w:val="single" w:sz="4" w:space="0" w:color="auto"/>
            </w:tcBorders>
            <w:vAlign w:val="center"/>
            <w:hideMark/>
          </w:tcPr>
          <w:p w:rsidR="00DF2378" w:rsidRPr="00DF2378" w:rsidP="00DF2378" w14:paraId="53823F48" w14:textId="77777777">
            <w:pPr>
              <w:spacing w:after="0" w:line="240" w:lineRule="auto"/>
              <w:rPr>
                <w:rFonts w:eastAsia="Times New Roman" w:cstheme="minorHAnsi"/>
                <w:color w:val="000000"/>
                <w:sz w:val="18"/>
                <w:szCs w:val="18"/>
              </w:rPr>
            </w:pPr>
            <w:r w:rsidRPr="00DF2378">
              <w:rPr>
                <w:rFonts w:eastAsia="Times New Roman" w:cstheme="minorHAnsi"/>
                <w:color w:val="000000"/>
                <w:sz w:val="18"/>
                <w:szCs w:val="18"/>
              </w:rPr>
              <w:t> </w:t>
            </w:r>
          </w:p>
        </w:tc>
        <w:tc>
          <w:tcPr>
            <w:tcW w:w="1800" w:type="dxa"/>
            <w:tcBorders>
              <w:top w:val="nil"/>
              <w:left w:val="nil"/>
              <w:bottom w:val="single" w:sz="4" w:space="0" w:color="auto"/>
              <w:right w:val="single" w:sz="4" w:space="0" w:color="auto"/>
            </w:tcBorders>
            <w:vAlign w:val="center"/>
            <w:hideMark/>
          </w:tcPr>
          <w:p w:rsidR="00DF2378" w:rsidRPr="00DF2378" w:rsidP="00DF2378" w14:paraId="46C29262" w14:textId="77777777">
            <w:pPr>
              <w:spacing w:after="0" w:line="240" w:lineRule="auto"/>
              <w:rPr>
                <w:rFonts w:eastAsia="Times New Roman" w:cstheme="minorHAnsi"/>
                <w:color w:val="000000"/>
                <w:sz w:val="18"/>
                <w:szCs w:val="18"/>
              </w:rPr>
            </w:pPr>
            <w:r w:rsidRPr="00DF2378">
              <w:rPr>
                <w:rFonts w:eastAsia="Times New Roman" w:cstheme="minorHAnsi"/>
                <w:color w:val="000000"/>
                <w:sz w:val="18"/>
                <w:szCs w:val="18"/>
              </w:rPr>
              <w:t> </w:t>
            </w:r>
          </w:p>
        </w:tc>
      </w:tr>
      <w:tr w14:paraId="57184410" w14:textId="77777777" w:rsidTr="00DF2378">
        <w:tblPrEx>
          <w:tblW w:w="10795" w:type="dxa"/>
          <w:tblInd w:w="113" w:type="dxa"/>
          <w:tblLook w:val="04A0"/>
        </w:tblPrEx>
        <w:trPr>
          <w:trHeight w:val="300"/>
        </w:trPr>
        <w:tc>
          <w:tcPr>
            <w:tcW w:w="1165" w:type="dxa"/>
            <w:tcBorders>
              <w:top w:val="nil"/>
              <w:left w:val="single" w:sz="4" w:space="0" w:color="auto"/>
              <w:bottom w:val="single" w:sz="4" w:space="0" w:color="auto"/>
              <w:right w:val="single" w:sz="4" w:space="0" w:color="auto"/>
            </w:tcBorders>
            <w:vAlign w:val="center"/>
            <w:hideMark/>
          </w:tcPr>
          <w:p w:rsidR="00DF2378" w:rsidRPr="00DF2378" w:rsidP="00DF2378" w14:paraId="2F4AAD79" w14:textId="77777777">
            <w:pPr>
              <w:spacing w:after="0" w:line="240" w:lineRule="auto"/>
              <w:rPr>
                <w:rFonts w:eastAsia="Times New Roman" w:cstheme="minorHAnsi"/>
                <w:color w:val="000000"/>
                <w:sz w:val="20"/>
                <w:szCs w:val="20"/>
              </w:rPr>
            </w:pPr>
            <w:r w:rsidRPr="00DF2378">
              <w:rPr>
                <w:rFonts w:eastAsia="Times New Roman" w:cstheme="minorHAnsi"/>
                <w:color w:val="000000"/>
                <w:sz w:val="20"/>
                <w:szCs w:val="20"/>
              </w:rPr>
              <w:t> </w:t>
            </w:r>
          </w:p>
        </w:tc>
        <w:tc>
          <w:tcPr>
            <w:tcW w:w="1800" w:type="dxa"/>
            <w:tcBorders>
              <w:top w:val="nil"/>
              <w:left w:val="nil"/>
              <w:bottom w:val="single" w:sz="4" w:space="0" w:color="auto"/>
              <w:right w:val="single" w:sz="4" w:space="0" w:color="auto"/>
            </w:tcBorders>
            <w:vAlign w:val="center"/>
            <w:hideMark/>
          </w:tcPr>
          <w:p w:rsidR="00DF2378" w:rsidRPr="00DF2378" w:rsidP="00DF2378" w14:paraId="5EEDB566"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(A)</w:t>
            </w:r>
          </w:p>
        </w:tc>
        <w:tc>
          <w:tcPr>
            <w:tcW w:w="1890" w:type="dxa"/>
            <w:tcBorders>
              <w:top w:val="nil"/>
              <w:left w:val="nil"/>
              <w:bottom w:val="single" w:sz="4" w:space="0" w:color="auto"/>
              <w:right w:val="single" w:sz="4" w:space="0" w:color="auto"/>
            </w:tcBorders>
            <w:vAlign w:val="center"/>
            <w:hideMark/>
          </w:tcPr>
          <w:p w:rsidR="00DF2378" w:rsidRPr="00DF2378" w:rsidP="00DF2378" w14:paraId="6054FDF8"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(B)</w:t>
            </w:r>
          </w:p>
        </w:tc>
        <w:tc>
          <w:tcPr>
            <w:tcW w:w="2160" w:type="dxa"/>
            <w:tcBorders>
              <w:top w:val="nil"/>
              <w:left w:val="nil"/>
              <w:bottom w:val="single" w:sz="4" w:space="0" w:color="auto"/>
              <w:right w:val="single" w:sz="4" w:space="0" w:color="auto"/>
            </w:tcBorders>
            <w:vAlign w:val="center"/>
            <w:hideMark/>
          </w:tcPr>
          <w:p w:rsidR="00DF2378" w:rsidRPr="00DF2378" w:rsidP="00DF2378" w14:paraId="379FECDC"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(C)</w:t>
            </w:r>
          </w:p>
        </w:tc>
        <w:tc>
          <w:tcPr>
            <w:tcW w:w="1980" w:type="dxa"/>
            <w:tcBorders>
              <w:top w:val="nil"/>
              <w:left w:val="nil"/>
              <w:bottom w:val="single" w:sz="4" w:space="0" w:color="auto"/>
              <w:right w:val="single" w:sz="4" w:space="0" w:color="auto"/>
            </w:tcBorders>
            <w:vAlign w:val="center"/>
            <w:hideMark/>
          </w:tcPr>
          <w:p w:rsidR="00DF2378" w:rsidRPr="00DF2378" w:rsidP="00DF2378" w14:paraId="0D4E7EA1"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(D)</w:t>
            </w:r>
          </w:p>
        </w:tc>
        <w:tc>
          <w:tcPr>
            <w:tcW w:w="1800" w:type="dxa"/>
            <w:tcBorders>
              <w:top w:val="nil"/>
              <w:left w:val="nil"/>
              <w:bottom w:val="single" w:sz="4" w:space="0" w:color="auto"/>
              <w:right w:val="single" w:sz="4" w:space="0" w:color="auto"/>
            </w:tcBorders>
            <w:vAlign w:val="center"/>
            <w:hideMark/>
          </w:tcPr>
          <w:p w:rsidR="00DF2378" w:rsidRPr="00DF2378" w:rsidP="00DF2378" w14:paraId="175C9DA3"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(E)</w:t>
            </w:r>
          </w:p>
        </w:tc>
      </w:tr>
      <w:tr w14:paraId="5AD6FCDB" w14:textId="77777777" w:rsidTr="00DF2378">
        <w:tblPrEx>
          <w:tblW w:w="10795" w:type="dxa"/>
          <w:tblInd w:w="113" w:type="dxa"/>
          <w:tblLook w:val="04A0"/>
        </w:tblPrEx>
        <w:trPr>
          <w:trHeight w:val="1020"/>
        </w:trPr>
        <w:tc>
          <w:tcPr>
            <w:tcW w:w="1165" w:type="dxa"/>
            <w:tcBorders>
              <w:top w:val="nil"/>
              <w:left w:val="single" w:sz="4" w:space="0" w:color="auto"/>
              <w:bottom w:val="single" w:sz="4" w:space="0" w:color="auto"/>
              <w:right w:val="single" w:sz="4" w:space="0" w:color="auto"/>
            </w:tcBorders>
            <w:vAlign w:val="center"/>
            <w:hideMark/>
          </w:tcPr>
          <w:p w:rsidR="00DF2378" w:rsidRPr="00DF2378" w:rsidP="00DF2378" w14:paraId="58F80F73"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Year</w:t>
            </w:r>
          </w:p>
        </w:tc>
        <w:tc>
          <w:tcPr>
            <w:tcW w:w="1800" w:type="dxa"/>
            <w:tcBorders>
              <w:top w:val="nil"/>
              <w:left w:val="nil"/>
              <w:bottom w:val="single" w:sz="4" w:space="0" w:color="auto"/>
              <w:right w:val="single" w:sz="4" w:space="0" w:color="auto"/>
            </w:tcBorders>
            <w:vAlign w:val="center"/>
            <w:hideMark/>
          </w:tcPr>
          <w:p w:rsidR="00DF2378" w:rsidRPr="00DF2378" w:rsidP="00DF2378" w14:paraId="3F758F5C"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 xml:space="preserve">Number of New Respondents </w:t>
            </w:r>
            <w:r w:rsidRPr="00DF2378">
              <w:rPr>
                <w:rFonts w:eastAsia="Times New Roman" w:cstheme="minorHAnsi"/>
                <w:color w:val="000000"/>
                <w:sz w:val="20"/>
                <w:szCs w:val="20"/>
                <w:vertAlign w:val="superscript"/>
              </w:rPr>
              <w:t>1</w:t>
            </w:r>
          </w:p>
        </w:tc>
        <w:tc>
          <w:tcPr>
            <w:tcW w:w="1890" w:type="dxa"/>
            <w:tcBorders>
              <w:top w:val="nil"/>
              <w:left w:val="nil"/>
              <w:bottom w:val="single" w:sz="4" w:space="0" w:color="auto"/>
              <w:right w:val="single" w:sz="4" w:space="0" w:color="auto"/>
            </w:tcBorders>
            <w:vAlign w:val="center"/>
            <w:hideMark/>
          </w:tcPr>
          <w:p w:rsidR="00DF2378" w:rsidRPr="00DF2378" w:rsidP="00DF2378" w14:paraId="1C099B6F"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Number of Existing Respondents</w:t>
            </w:r>
          </w:p>
        </w:tc>
        <w:tc>
          <w:tcPr>
            <w:tcW w:w="2160" w:type="dxa"/>
            <w:tcBorders>
              <w:top w:val="nil"/>
              <w:left w:val="nil"/>
              <w:bottom w:val="single" w:sz="4" w:space="0" w:color="auto"/>
              <w:right w:val="single" w:sz="4" w:space="0" w:color="auto"/>
            </w:tcBorders>
            <w:vAlign w:val="center"/>
            <w:hideMark/>
          </w:tcPr>
          <w:p w:rsidR="00DF2378" w:rsidRPr="00DF2378" w:rsidP="00DF2378" w14:paraId="379CB117"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Number of Existing Respondents that keep records but do not submit reports</w:t>
            </w:r>
          </w:p>
        </w:tc>
        <w:tc>
          <w:tcPr>
            <w:tcW w:w="1980" w:type="dxa"/>
            <w:tcBorders>
              <w:top w:val="nil"/>
              <w:left w:val="nil"/>
              <w:bottom w:val="single" w:sz="4" w:space="0" w:color="auto"/>
              <w:right w:val="single" w:sz="4" w:space="0" w:color="auto"/>
            </w:tcBorders>
            <w:vAlign w:val="center"/>
            <w:hideMark/>
          </w:tcPr>
          <w:p w:rsidR="00DF2378" w:rsidRPr="00DF2378" w:rsidP="00DF2378" w14:paraId="114288F0"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Number of Existing Respondents That Are Also New Respondents</w:t>
            </w:r>
          </w:p>
        </w:tc>
        <w:tc>
          <w:tcPr>
            <w:tcW w:w="1800" w:type="dxa"/>
            <w:tcBorders>
              <w:top w:val="nil"/>
              <w:left w:val="nil"/>
              <w:bottom w:val="single" w:sz="4" w:space="0" w:color="auto"/>
              <w:right w:val="single" w:sz="4" w:space="0" w:color="auto"/>
            </w:tcBorders>
            <w:vAlign w:val="center"/>
            <w:hideMark/>
          </w:tcPr>
          <w:p w:rsidR="00DF2378" w:rsidRPr="00DF2378" w:rsidP="00DF2378" w14:paraId="408C20E6" w14:textId="77777777">
            <w:pPr>
              <w:spacing w:after="0" w:line="240" w:lineRule="auto"/>
              <w:jc w:val="center"/>
              <w:rPr>
                <w:rFonts w:eastAsia="Times New Roman" w:cstheme="minorHAnsi"/>
                <w:color w:val="000000"/>
                <w:sz w:val="20"/>
                <w:szCs w:val="20"/>
              </w:rPr>
            </w:pPr>
            <w:r w:rsidRPr="00DF2378">
              <w:rPr>
                <w:rFonts w:eastAsia="Times New Roman" w:cstheme="minorHAnsi"/>
                <w:color w:val="000000"/>
                <w:sz w:val="20"/>
                <w:szCs w:val="20"/>
              </w:rPr>
              <w:t>Number of Respondents (E=A+B+C-D)</w:t>
            </w:r>
          </w:p>
        </w:tc>
      </w:tr>
      <w:tr w14:paraId="5DEE7EED" w14:textId="77777777" w:rsidTr="00DF2378">
        <w:tblPrEx>
          <w:tblW w:w="10795" w:type="dxa"/>
          <w:tblInd w:w="113" w:type="dxa"/>
          <w:tblLook w:val="04A0"/>
        </w:tblPrEx>
        <w:trPr>
          <w:trHeight w:val="300"/>
        </w:trPr>
        <w:tc>
          <w:tcPr>
            <w:tcW w:w="1165" w:type="dxa"/>
            <w:tcBorders>
              <w:top w:val="nil"/>
              <w:left w:val="single" w:sz="4" w:space="0" w:color="auto"/>
              <w:bottom w:val="single" w:sz="4" w:space="0" w:color="auto"/>
              <w:right w:val="single" w:sz="4" w:space="0" w:color="auto"/>
            </w:tcBorders>
            <w:vAlign w:val="center"/>
            <w:hideMark/>
          </w:tcPr>
          <w:p w:rsidR="00DF2378" w:rsidRPr="00DF2378" w:rsidP="00DF2378" w14:paraId="04AF4D95"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1</w:t>
            </w:r>
          </w:p>
        </w:tc>
        <w:tc>
          <w:tcPr>
            <w:tcW w:w="1800" w:type="dxa"/>
            <w:tcBorders>
              <w:top w:val="nil"/>
              <w:left w:val="nil"/>
              <w:bottom w:val="single" w:sz="4" w:space="0" w:color="auto"/>
              <w:right w:val="single" w:sz="4" w:space="0" w:color="auto"/>
            </w:tcBorders>
            <w:vAlign w:val="center"/>
            <w:hideMark/>
          </w:tcPr>
          <w:p w:rsidR="00DF2378" w:rsidRPr="00DF2378" w:rsidP="00DF2378" w14:paraId="543FEF72"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DF2378" w:rsidRPr="00DF2378" w:rsidP="00DF2378" w14:paraId="33D1C999"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c>
          <w:tcPr>
            <w:tcW w:w="2160" w:type="dxa"/>
            <w:tcBorders>
              <w:top w:val="nil"/>
              <w:left w:val="nil"/>
              <w:bottom w:val="single" w:sz="4" w:space="0" w:color="auto"/>
              <w:right w:val="single" w:sz="4" w:space="0" w:color="auto"/>
            </w:tcBorders>
            <w:vAlign w:val="center"/>
            <w:hideMark/>
          </w:tcPr>
          <w:p w:rsidR="00DF2378" w:rsidRPr="00DF2378" w:rsidP="00DF2378" w14:paraId="122FBC9D"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DF2378" w:rsidRPr="00DF2378" w:rsidP="00DF2378" w14:paraId="4C639832"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00" w:type="dxa"/>
            <w:tcBorders>
              <w:top w:val="nil"/>
              <w:left w:val="nil"/>
              <w:bottom w:val="single" w:sz="4" w:space="0" w:color="auto"/>
              <w:right w:val="single" w:sz="4" w:space="0" w:color="auto"/>
            </w:tcBorders>
            <w:vAlign w:val="center"/>
            <w:hideMark/>
          </w:tcPr>
          <w:p w:rsidR="00DF2378" w:rsidRPr="00DF2378" w:rsidP="00DF2378" w14:paraId="23D282BE"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r>
      <w:tr w14:paraId="7CAEEB3D" w14:textId="77777777" w:rsidTr="00DF2378">
        <w:tblPrEx>
          <w:tblW w:w="10795" w:type="dxa"/>
          <w:tblInd w:w="113" w:type="dxa"/>
          <w:tblLook w:val="04A0"/>
        </w:tblPrEx>
        <w:trPr>
          <w:trHeight w:val="300"/>
        </w:trPr>
        <w:tc>
          <w:tcPr>
            <w:tcW w:w="1165" w:type="dxa"/>
            <w:tcBorders>
              <w:top w:val="nil"/>
              <w:left w:val="single" w:sz="4" w:space="0" w:color="auto"/>
              <w:bottom w:val="single" w:sz="4" w:space="0" w:color="auto"/>
              <w:right w:val="single" w:sz="4" w:space="0" w:color="auto"/>
            </w:tcBorders>
            <w:vAlign w:val="center"/>
            <w:hideMark/>
          </w:tcPr>
          <w:p w:rsidR="00DF2378" w:rsidRPr="00DF2378" w:rsidP="00DF2378" w14:paraId="21882404"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2</w:t>
            </w:r>
          </w:p>
        </w:tc>
        <w:tc>
          <w:tcPr>
            <w:tcW w:w="1800" w:type="dxa"/>
            <w:tcBorders>
              <w:top w:val="nil"/>
              <w:left w:val="nil"/>
              <w:bottom w:val="single" w:sz="4" w:space="0" w:color="auto"/>
              <w:right w:val="single" w:sz="4" w:space="0" w:color="auto"/>
            </w:tcBorders>
            <w:vAlign w:val="center"/>
            <w:hideMark/>
          </w:tcPr>
          <w:p w:rsidR="00DF2378" w:rsidRPr="00DF2378" w:rsidP="00DF2378" w14:paraId="7EDA5FBA"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DF2378" w:rsidRPr="00DF2378" w:rsidP="00DF2378" w14:paraId="1A975E34"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c>
          <w:tcPr>
            <w:tcW w:w="2160" w:type="dxa"/>
            <w:tcBorders>
              <w:top w:val="nil"/>
              <w:left w:val="nil"/>
              <w:bottom w:val="single" w:sz="4" w:space="0" w:color="auto"/>
              <w:right w:val="single" w:sz="4" w:space="0" w:color="auto"/>
            </w:tcBorders>
            <w:vAlign w:val="center"/>
            <w:hideMark/>
          </w:tcPr>
          <w:p w:rsidR="00DF2378" w:rsidRPr="00DF2378" w:rsidP="00DF2378" w14:paraId="3C05BFA4"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DF2378" w:rsidRPr="00DF2378" w:rsidP="00DF2378" w14:paraId="4395CCBF"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00" w:type="dxa"/>
            <w:tcBorders>
              <w:top w:val="nil"/>
              <w:left w:val="nil"/>
              <w:bottom w:val="single" w:sz="4" w:space="0" w:color="auto"/>
              <w:right w:val="single" w:sz="4" w:space="0" w:color="auto"/>
            </w:tcBorders>
            <w:vAlign w:val="center"/>
            <w:hideMark/>
          </w:tcPr>
          <w:p w:rsidR="00DF2378" w:rsidRPr="00DF2378" w:rsidP="00DF2378" w14:paraId="64DC90E1"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r>
      <w:tr w14:paraId="13782A6D" w14:textId="77777777" w:rsidTr="00DF2378">
        <w:tblPrEx>
          <w:tblW w:w="10795" w:type="dxa"/>
          <w:tblInd w:w="113" w:type="dxa"/>
          <w:tblLook w:val="04A0"/>
        </w:tblPrEx>
        <w:trPr>
          <w:trHeight w:val="300"/>
        </w:trPr>
        <w:tc>
          <w:tcPr>
            <w:tcW w:w="1165" w:type="dxa"/>
            <w:tcBorders>
              <w:top w:val="nil"/>
              <w:left w:val="single" w:sz="4" w:space="0" w:color="auto"/>
              <w:bottom w:val="single" w:sz="4" w:space="0" w:color="auto"/>
              <w:right w:val="single" w:sz="4" w:space="0" w:color="auto"/>
            </w:tcBorders>
            <w:vAlign w:val="center"/>
            <w:hideMark/>
          </w:tcPr>
          <w:p w:rsidR="00DF2378" w:rsidRPr="00DF2378" w:rsidP="00DF2378" w14:paraId="5D838BC1"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3</w:t>
            </w:r>
          </w:p>
        </w:tc>
        <w:tc>
          <w:tcPr>
            <w:tcW w:w="1800" w:type="dxa"/>
            <w:tcBorders>
              <w:top w:val="nil"/>
              <w:left w:val="nil"/>
              <w:bottom w:val="single" w:sz="4" w:space="0" w:color="auto"/>
              <w:right w:val="single" w:sz="4" w:space="0" w:color="auto"/>
            </w:tcBorders>
            <w:vAlign w:val="center"/>
            <w:hideMark/>
          </w:tcPr>
          <w:p w:rsidR="00DF2378" w:rsidRPr="00DF2378" w:rsidP="00DF2378" w14:paraId="1A954A0D"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DF2378" w:rsidRPr="00DF2378" w:rsidP="00DF2378" w14:paraId="6C468D84"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c>
          <w:tcPr>
            <w:tcW w:w="2160" w:type="dxa"/>
            <w:tcBorders>
              <w:top w:val="nil"/>
              <w:left w:val="nil"/>
              <w:bottom w:val="single" w:sz="4" w:space="0" w:color="auto"/>
              <w:right w:val="single" w:sz="4" w:space="0" w:color="auto"/>
            </w:tcBorders>
            <w:vAlign w:val="center"/>
            <w:hideMark/>
          </w:tcPr>
          <w:p w:rsidR="00DF2378" w:rsidRPr="00DF2378" w:rsidP="00DF2378" w14:paraId="69AFF504"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DF2378" w:rsidRPr="00DF2378" w:rsidP="00DF2378" w14:paraId="1E57823B"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00" w:type="dxa"/>
            <w:tcBorders>
              <w:top w:val="nil"/>
              <w:left w:val="nil"/>
              <w:bottom w:val="single" w:sz="4" w:space="0" w:color="auto"/>
              <w:right w:val="single" w:sz="4" w:space="0" w:color="auto"/>
            </w:tcBorders>
            <w:vAlign w:val="center"/>
            <w:hideMark/>
          </w:tcPr>
          <w:p w:rsidR="00DF2378" w:rsidRPr="00DF2378" w:rsidP="00DF2378" w14:paraId="1E2BDADE"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r>
      <w:tr w14:paraId="640A35B9" w14:textId="77777777" w:rsidTr="00DF2378">
        <w:tblPrEx>
          <w:tblW w:w="10795" w:type="dxa"/>
          <w:tblInd w:w="113" w:type="dxa"/>
          <w:tblLook w:val="04A0"/>
        </w:tblPrEx>
        <w:trPr>
          <w:trHeight w:val="300"/>
        </w:trPr>
        <w:tc>
          <w:tcPr>
            <w:tcW w:w="1165" w:type="dxa"/>
            <w:tcBorders>
              <w:top w:val="nil"/>
              <w:left w:val="single" w:sz="4" w:space="0" w:color="auto"/>
              <w:bottom w:val="single" w:sz="4" w:space="0" w:color="auto"/>
              <w:right w:val="single" w:sz="4" w:space="0" w:color="auto"/>
            </w:tcBorders>
            <w:vAlign w:val="center"/>
            <w:hideMark/>
          </w:tcPr>
          <w:p w:rsidR="00DF2378" w:rsidRPr="00DF2378" w:rsidP="00DF2378" w14:paraId="04005EC9"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Average</w:t>
            </w:r>
          </w:p>
        </w:tc>
        <w:tc>
          <w:tcPr>
            <w:tcW w:w="1800" w:type="dxa"/>
            <w:tcBorders>
              <w:top w:val="nil"/>
              <w:left w:val="nil"/>
              <w:bottom w:val="single" w:sz="4" w:space="0" w:color="auto"/>
              <w:right w:val="single" w:sz="4" w:space="0" w:color="auto"/>
            </w:tcBorders>
            <w:vAlign w:val="center"/>
            <w:hideMark/>
          </w:tcPr>
          <w:p w:rsidR="00DF2378" w:rsidRPr="00DF2378" w:rsidP="00DF2378" w14:paraId="1D40E790"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DF2378" w:rsidRPr="00DF2378" w:rsidP="00DF2378" w14:paraId="5E004F09"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c>
          <w:tcPr>
            <w:tcW w:w="2160" w:type="dxa"/>
            <w:tcBorders>
              <w:top w:val="nil"/>
              <w:left w:val="nil"/>
              <w:bottom w:val="single" w:sz="4" w:space="0" w:color="auto"/>
              <w:right w:val="single" w:sz="4" w:space="0" w:color="auto"/>
            </w:tcBorders>
            <w:vAlign w:val="center"/>
            <w:hideMark/>
          </w:tcPr>
          <w:p w:rsidR="00DF2378" w:rsidRPr="00DF2378" w:rsidP="00DF2378" w14:paraId="4CE4F04C"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DF2378" w:rsidRPr="00DF2378" w:rsidP="00DF2378" w14:paraId="05E38042"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0</w:t>
            </w:r>
          </w:p>
        </w:tc>
        <w:tc>
          <w:tcPr>
            <w:tcW w:w="1800" w:type="dxa"/>
            <w:tcBorders>
              <w:top w:val="nil"/>
              <w:left w:val="nil"/>
              <w:bottom w:val="single" w:sz="4" w:space="0" w:color="auto"/>
              <w:right w:val="single" w:sz="4" w:space="0" w:color="auto"/>
            </w:tcBorders>
            <w:vAlign w:val="center"/>
            <w:hideMark/>
          </w:tcPr>
          <w:p w:rsidR="00DF2378" w:rsidRPr="00DF2378" w:rsidP="00DF2378" w14:paraId="03BC25FE" w14:textId="77777777">
            <w:pPr>
              <w:spacing w:after="0" w:line="240" w:lineRule="auto"/>
              <w:jc w:val="center"/>
              <w:rPr>
                <w:rFonts w:eastAsia="Times New Roman" w:cstheme="minorHAnsi"/>
                <w:color w:val="000000"/>
                <w:sz w:val="18"/>
                <w:szCs w:val="18"/>
              </w:rPr>
            </w:pPr>
            <w:r w:rsidRPr="00DF2378">
              <w:rPr>
                <w:rFonts w:eastAsia="Times New Roman" w:cstheme="minorHAnsi"/>
                <w:color w:val="000000"/>
                <w:sz w:val="18"/>
                <w:szCs w:val="18"/>
              </w:rPr>
              <w:t>535</w:t>
            </w:r>
          </w:p>
        </w:tc>
      </w:tr>
      <w:tr w14:paraId="1F9D1834" w14:textId="77777777" w:rsidTr="00DF2378">
        <w:tblPrEx>
          <w:tblW w:w="10795" w:type="dxa"/>
          <w:tblInd w:w="113" w:type="dxa"/>
          <w:tblLook w:val="04A0"/>
        </w:tblPrEx>
        <w:trPr>
          <w:trHeight w:val="375"/>
        </w:trPr>
        <w:tc>
          <w:tcPr>
            <w:tcW w:w="10795" w:type="dxa"/>
            <w:gridSpan w:val="6"/>
            <w:tcBorders>
              <w:top w:val="nil"/>
              <w:left w:val="nil"/>
              <w:bottom w:val="nil"/>
              <w:right w:val="nil"/>
            </w:tcBorders>
            <w:noWrap/>
            <w:vAlign w:val="center"/>
            <w:hideMark/>
          </w:tcPr>
          <w:p w:rsidR="00DF2378" w:rsidRPr="00DF2378" w:rsidP="00DF2378" w14:paraId="76BBD9BD" w14:textId="77777777">
            <w:pPr>
              <w:spacing w:after="0" w:line="240" w:lineRule="auto"/>
              <w:rPr>
                <w:rFonts w:eastAsia="Times New Roman" w:cstheme="minorHAnsi"/>
                <w:color w:val="000000"/>
                <w:sz w:val="24"/>
                <w:szCs w:val="24"/>
              </w:rPr>
            </w:pPr>
            <w:r w:rsidRPr="00DF2378">
              <w:rPr>
                <w:rFonts w:eastAsia="Times New Roman" w:cstheme="minorHAnsi"/>
                <w:color w:val="000000"/>
                <w:sz w:val="24"/>
                <w:szCs w:val="24"/>
                <w:vertAlign w:val="superscript"/>
              </w:rPr>
              <w:t>1</w:t>
            </w:r>
            <w:r w:rsidRPr="00DF2378">
              <w:rPr>
                <w:rFonts w:eastAsia="Times New Roman" w:cstheme="minorHAnsi"/>
                <w:color w:val="000000"/>
                <w:sz w:val="24"/>
                <w:szCs w:val="24"/>
              </w:rPr>
              <w:t xml:space="preserve"> </w:t>
            </w:r>
            <w:r w:rsidRPr="00DF2378">
              <w:rPr>
                <w:rFonts w:eastAsia="Times New Roman" w:cstheme="minorHAnsi"/>
                <w:color w:val="000000"/>
                <w:sz w:val="20"/>
                <w:szCs w:val="20"/>
              </w:rPr>
              <w:t xml:space="preserve">New </w:t>
            </w:r>
            <w:r w:rsidRPr="00DF2378">
              <w:rPr>
                <w:rFonts w:eastAsia="Times New Roman" w:cstheme="minorHAnsi"/>
                <w:color w:val="000000"/>
                <w:sz w:val="20"/>
                <w:szCs w:val="20"/>
              </w:rPr>
              <w:t>respondents</w:t>
            </w:r>
            <w:r w:rsidRPr="00DF2378">
              <w:rPr>
                <w:rFonts w:eastAsia="Times New Roman" w:cstheme="minorHAnsi"/>
                <w:color w:val="000000"/>
                <w:sz w:val="20"/>
                <w:szCs w:val="20"/>
              </w:rPr>
              <w:t xml:space="preserve"> include sources with constructed, reconstructed and modified affected facilities.</w:t>
            </w:r>
            <w:r w:rsidRPr="00DF2378">
              <w:rPr>
                <w:rFonts w:eastAsia="Times New Roman" w:cstheme="minorHAnsi"/>
                <w:color w:val="FF0000"/>
                <w:sz w:val="20"/>
                <w:szCs w:val="20"/>
              </w:rPr>
              <w:t xml:space="preserve"> </w:t>
            </w:r>
          </w:p>
        </w:tc>
      </w:tr>
    </w:tbl>
    <w:p w:rsidR="00DE5FD4" w:rsidP="00BB3410" w14:paraId="25C9AE64" w14:textId="77777777">
      <w:pPr>
        <w:pStyle w:val="ListParagraph"/>
        <w:spacing w:before="240"/>
        <w:ind w:left="0"/>
        <w:rPr>
          <w:rFonts w:cstheme="minorHAnsi"/>
          <w:b/>
          <w:bCs/>
          <w:sz w:val="24"/>
          <w:szCs w:val="24"/>
        </w:rPr>
      </w:pPr>
    </w:p>
    <w:p w:rsidR="00D06BAB" w14:paraId="484CEB10" w14:textId="77777777">
      <w:pPr>
        <w:rPr>
          <w:rFonts w:cstheme="minorHAnsi"/>
          <w:b/>
          <w:bCs/>
          <w:sz w:val="24"/>
          <w:szCs w:val="24"/>
        </w:rPr>
      </w:pPr>
      <w:r>
        <w:rPr>
          <w:rFonts w:cstheme="minorHAnsi"/>
          <w:b/>
          <w:bCs/>
          <w:sz w:val="24"/>
          <w:szCs w:val="24"/>
        </w:rPr>
        <w:br w:type="page"/>
      </w:r>
    </w:p>
    <w:p w:rsidR="00DE5FD4" w:rsidP="00BB3410" w14:paraId="5A12B241" w14:textId="0FB5B0D1">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9985" w:type="dxa"/>
        <w:tblInd w:w="113" w:type="dxa"/>
        <w:tblLook w:val="04A0"/>
      </w:tblPr>
      <w:tblGrid>
        <w:gridCol w:w="2065"/>
        <w:gridCol w:w="1710"/>
        <w:gridCol w:w="1890"/>
        <w:gridCol w:w="2340"/>
        <w:gridCol w:w="1980"/>
      </w:tblGrid>
      <w:tr w14:paraId="755980D6" w14:textId="77777777" w:rsidTr="00C07555">
        <w:tblPrEx>
          <w:tblW w:w="9985" w:type="dxa"/>
          <w:tblInd w:w="113" w:type="dxa"/>
          <w:tblLook w:val="04A0"/>
        </w:tblPrEx>
        <w:trPr>
          <w:trHeight w:val="315"/>
        </w:trPr>
        <w:tc>
          <w:tcPr>
            <w:tcW w:w="9985" w:type="dxa"/>
            <w:gridSpan w:val="5"/>
            <w:tcBorders>
              <w:top w:val="single" w:sz="4" w:space="0" w:color="auto"/>
              <w:left w:val="single" w:sz="4" w:space="0" w:color="auto"/>
              <w:bottom w:val="single" w:sz="4" w:space="0" w:color="auto"/>
              <w:right w:val="single" w:sz="4" w:space="0" w:color="auto"/>
            </w:tcBorders>
            <w:vAlign w:val="center"/>
            <w:hideMark/>
          </w:tcPr>
          <w:p w:rsidR="00C07555" w:rsidRPr="00C07555" w:rsidP="00C07555" w14:paraId="0E9E98D3" w14:textId="77777777">
            <w:pPr>
              <w:spacing w:after="0" w:line="240" w:lineRule="auto"/>
              <w:jc w:val="center"/>
              <w:rPr>
                <w:rFonts w:eastAsia="Times New Roman" w:cstheme="minorHAnsi"/>
                <w:b/>
                <w:bCs/>
                <w:color w:val="000000"/>
                <w:sz w:val="24"/>
                <w:szCs w:val="24"/>
              </w:rPr>
            </w:pPr>
            <w:r w:rsidRPr="00C07555">
              <w:rPr>
                <w:rFonts w:eastAsia="Times New Roman" w:cstheme="minorHAnsi"/>
                <w:b/>
                <w:bCs/>
                <w:color w:val="000000"/>
                <w:sz w:val="24"/>
                <w:szCs w:val="24"/>
              </w:rPr>
              <w:t>Total Annual Responses</w:t>
            </w:r>
          </w:p>
        </w:tc>
      </w:tr>
      <w:tr w14:paraId="6025F10D" w14:textId="77777777" w:rsidTr="00C07555">
        <w:tblPrEx>
          <w:tblW w:w="9985" w:type="dxa"/>
          <w:tblInd w:w="113" w:type="dxa"/>
          <w:tblLook w:val="04A0"/>
        </w:tblPrEx>
        <w:trPr>
          <w:trHeight w:val="300"/>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05B075B3"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(A)</w:t>
            </w:r>
          </w:p>
        </w:tc>
        <w:tc>
          <w:tcPr>
            <w:tcW w:w="1710" w:type="dxa"/>
            <w:tcBorders>
              <w:top w:val="nil"/>
              <w:left w:val="nil"/>
              <w:bottom w:val="single" w:sz="4" w:space="0" w:color="auto"/>
              <w:right w:val="single" w:sz="4" w:space="0" w:color="auto"/>
            </w:tcBorders>
            <w:vAlign w:val="center"/>
            <w:hideMark/>
          </w:tcPr>
          <w:p w:rsidR="00C07555" w:rsidRPr="00C07555" w:rsidP="00C07555" w14:paraId="5DA0137D"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(B)</w:t>
            </w:r>
          </w:p>
        </w:tc>
        <w:tc>
          <w:tcPr>
            <w:tcW w:w="1890" w:type="dxa"/>
            <w:tcBorders>
              <w:top w:val="nil"/>
              <w:left w:val="nil"/>
              <w:bottom w:val="single" w:sz="4" w:space="0" w:color="auto"/>
              <w:right w:val="single" w:sz="4" w:space="0" w:color="auto"/>
            </w:tcBorders>
            <w:vAlign w:val="center"/>
            <w:hideMark/>
          </w:tcPr>
          <w:p w:rsidR="00C07555" w:rsidRPr="00C07555" w:rsidP="00C07555" w14:paraId="61189CD7"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(C)</w:t>
            </w:r>
          </w:p>
        </w:tc>
        <w:tc>
          <w:tcPr>
            <w:tcW w:w="2340" w:type="dxa"/>
            <w:tcBorders>
              <w:top w:val="nil"/>
              <w:left w:val="nil"/>
              <w:bottom w:val="single" w:sz="4" w:space="0" w:color="auto"/>
              <w:right w:val="single" w:sz="4" w:space="0" w:color="auto"/>
            </w:tcBorders>
            <w:vAlign w:val="center"/>
            <w:hideMark/>
          </w:tcPr>
          <w:p w:rsidR="00C07555" w:rsidRPr="00C07555" w:rsidP="00C07555" w14:paraId="0845DCAB"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(D)</w:t>
            </w:r>
          </w:p>
        </w:tc>
        <w:tc>
          <w:tcPr>
            <w:tcW w:w="1980" w:type="dxa"/>
            <w:tcBorders>
              <w:top w:val="nil"/>
              <w:left w:val="nil"/>
              <w:bottom w:val="single" w:sz="4" w:space="0" w:color="auto"/>
              <w:right w:val="single" w:sz="4" w:space="0" w:color="auto"/>
            </w:tcBorders>
            <w:vAlign w:val="center"/>
            <w:hideMark/>
          </w:tcPr>
          <w:p w:rsidR="00C07555" w:rsidRPr="00C07555" w:rsidP="00C07555" w14:paraId="7B2F498F"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(E)</w:t>
            </w:r>
          </w:p>
        </w:tc>
      </w:tr>
      <w:tr w14:paraId="0CC21F88" w14:textId="77777777" w:rsidTr="00C07555">
        <w:tblPrEx>
          <w:tblW w:w="9985" w:type="dxa"/>
          <w:tblInd w:w="113" w:type="dxa"/>
          <w:tblLook w:val="04A0"/>
        </w:tblPrEx>
        <w:trPr>
          <w:trHeight w:val="1680"/>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2A9D748A"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Information Collection Activity</w:t>
            </w:r>
          </w:p>
        </w:tc>
        <w:tc>
          <w:tcPr>
            <w:tcW w:w="1710" w:type="dxa"/>
            <w:tcBorders>
              <w:top w:val="nil"/>
              <w:left w:val="nil"/>
              <w:bottom w:val="single" w:sz="4" w:space="0" w:color="auto"/>
              <w:right w:val="single" w:sz="4" w:space="0" w:color="auto"/>
            </w:tcBorders>
            <w:vAlign w:val="center"/>
            <w:hideMark/>
          </w:tcPr>
          <w:p w:rsidR="00C07555" w:rsidRPr="00C07555" w:rsidP="00C07555" w14:paraId="758C8C6D"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Number of Respondents</w:t>
            </w:r>
          </w:p>
        </w:tc>
        <w:tc>
          <w:tcPr>
            <w:tcW w:w="1890" w:type="dxa"/>
            <w:tcBorders>
              <w:top w:val="nil"/>
              <w:left w:val="nil"/>
              <w:bottom w:val="single" w:sz="4" w:space="0" w:color="auto"/>
              <w:right w:val="single" w:sz="4" w:space="0" w:color="auto"/>
            </w:tcBorders>
            <w:vAlign w:val="center"/>
            <w:hideMark/>
          </w:tcPr>
          <w:p w:rsidR="00C07555" w:rsidRPr="00C07555" w:rsidP="00C07555" w14:paraId="2BF41794"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Number of Responses</w:t>
            </w:r>
          </w:p>
        </w:tc>
        <w:tc>
          <w:tcPr>
            <w:tcW w:w="2340" w:type="dxa"/>
            <w:tcBorders>
              <w:top w:val="nil"/>
              <w:left w:val="nil"/>
              <w:bottom w:val="single" w:sz="4" w:space="0" w:color="auto"/>
              <w:right w:val="single" w:sz="4" w:space="0" w:color="auto"/>
            </w:tcBorders>
            <w:vAlign w:val="center"/>
            <w:hideMark/>
          </w:tcPr>
          <w:p w:rsidR="00C07555" w:rsidRPr="00C07555" w:rsidP="00C07555" w14:paraId="4E39447C"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 xml:space="preserve">Number of Existing Respondents That Keep Records </w:t>
            </w:r>
            <w:r w:rsidRPr="00C07555">
              <w:rPr>
                <w:rFonts w:eastAsia="Times New Roman" w:cstheme="minorHAnsi"/>
                <w:color w:val="000000"/>
                <w:sz w:val="18"/>
                <w:szCs w:val="18"/>
              </w:rPr>
              <w:t>But</w:t>
            </w:r>
            <w:r w:rsidRPr="00C07555">
              <w:rPr>
                <w:rFonts w:eastAsia="Times New Roman" w:cstheme="minorHAnsi"/>
                <w:color w:val="000000"/>
                <w:sz w:val="18"/>
                <w:szCs w:val="18"/>
              </w:rPr>
              <w:t xml:space="preserve"> Do Not Submit Reports</w:t>
            </w:r>
          </w:p>
        </w:tc>
        <w:tc>
          <w:tcPr>
            <w:tcW w:w="1980" w:type="dxa"/>
            <w:tcBorders>
              <w:top w:val="nil"/>
              <w:left w:val="nil"/>
              <w:bottom w:val="single" w:sz="4" w:space="0" w:color="auto"/>
              <w:right w:val="single" w:sz="4" w:space="0" w:color="auto"/>
            </w:tcBorders>
            <w:vAlign w:val="center"/>
            <w:hideMark/>
          </w:tcPr>
          <w:p w:rsidR="00C07555" w:rsidRPr="00C07555" w:rsidP="00C07555" w14:paraId="060519F9"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Total Annual Responses</w:t>
            </w:r>
            <w:r w:rsidRPr="00C07555">
              <w:rPr>
                <w:rFonts w:eastAsia="Times New Roman" w:cstheme="minorHAnsi"/>
                <w:color w:val="000000"/>
                <w:sz w:val="18"/>
                <w:szCs w:val="18"/>
              </w:rPr>
              <w:br/>
            </w:r>
            <w:r w:rsidRPr="00C07555">
              <w:rPr>
                <w:rFonts w:eastAsia="Times New Roman" w:cstheme="minorHAnsi"/>
                <w:color w:val="000000"/>
                <w:sz w:val="18"/>
                <w:szCs w:val="18"/>
              </w:rPr>
              <w:br/>
              <w:t>E=(</w:t>
            </w:r>
            <w:r w:rsidRPr="00C07555">
              <w:rPr>
                <w:rFonts w:eastAsia="Times New Roman" w:cstheme="minorHAnsi"/>
                <w:color w:val="000000"/>
                <w:sz w:val="18"/>
                <w:szCs w:val="18"/>
              </w:rPr>
              <w:t>BxC</w:t>
            </w:r>
            <w:r w:rsidRPr="00C07555">
              <w:rPr>
                <w:rFonts w:eastAsia="Times New Roman" w:cstheme="minorHAnsi"/>
                <w:color w:val="000000"/>
                <w:sz w:val="18"/>
                <w:szCs w:val="18"/>
              </w:rPr>
              <w:t>)+D</w:t>
            </w:r>
          </w:p>
        </w:tc>
      </w:tr>
      <w:tr w14:paraId="5656B52D" w14:textId="77777777" w:rsidTr="00C07555">
        <w:tblPrEx>
          <w:tblW w:w="9985" w:type="dxa"/>
          <w:tblInd w:w="113" w:type="dxa"/>
          <w:tblLook w:val="04A0"/>
        </w:tblPrEx>
        <w:trPr>
          <w:trHeight w:val="1283"/>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0E404F1E" w14:textId="77777777">
            <w:pPr>
              <w:spacing w:after="0" w:line="240" w:lineRule="auto"/>
              <w:rPr>
                <w:rFonts w:eastAsia="Times New Roman" w:cstheme="minorHAnsi"/>
                <w:color w:val="000000"/>
                <w:sz w:val="20"/>
                <w:szCs w:val="20"/>
              </w:rPr>
            </w:pPr>
            <w:r w:rsidRPr="00C07555">
              <w:rPr>
                <w:rFonts w:eastAsia="Times New Roman" w:cstheme="minorHAnsi"/>
                <w:color w:val="000000"/>
                <w:sz w:val="20"/>
                <w:szCs w:val="20"/>
              </w:rPr>
              <w:t>Notification of construction/ reconstruction</w:t>
            </w:r>
          </w:p>
        </w:tc>
        <w:tc>
          <w:tcPr>
            <w:tcW w:w="1710" w:type="dxa"/>
            <w:tcBorders>
              <w:top w:val="nil"/>
              <w:left w:val="nil"/>
              <w:bottom w:val="single" w:sz="4" w:space="0" w:color="auto"/>
              <w:right w:val="single" w:sz="4" w:space="0" w:color="auto"/>
            </w:tcBorders>
            <w:vAlign w:val="center"/>
            <w:hideMark/>
          </w:tcPr>
          <w:p w:rsidR="00C07555" w:rsidRPr="00C07555" w:rsidP="00C07555" w14:paraId="5427F9E7"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C07555" w:rsidRPr="00C07555" w:rsidP="00C07555" w14:paraId="1CAB021D"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1</w:t>
            </w:r>
          </w:p>
        </w:tc>
        <w:tc>
          <w:tcPr>
            <w:tcW w:w="2340" w:type="dxa"/>
            <w:tcBorders>
              <w:top w:val="nil"/>
              <w:left w:val="nil"/>
              <w:bottom w:val="single" w:sz="4" w:space="0" w:color="auto"/>
              <w:right w:val="single" w:sz="4" w:space="0" w:color="auto"/>
            </w:tcBorders>
            <w:vAlign w:val="center"/>
            <w:hideMark/>
          </w:tcPr>
          <w:p w:rsidR="00C07555" w:rsidRPr="00C07555" w:rsidP="00C07555" w14:paraId="677CDB4A"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C07555" w:rsidRPr="00C07555" w:rsidP="00C07555" w14:paraId="3BF58E09"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r>
      <w:tr w14:paraId="05B2A2D8" w14:textId="77777777" w:rsidTr="00C07555">
        <w:tblPrEx>
          <w:tblW w:w="9985" w:type="dxa"/>
          <w:tblInd w:w="113" w:type="dxa"/>
          <w:tblLook w:val="04A0"/>
        </w:tblPrEx>
        <w:trPr>
          <w:trHeight w:val="758"/>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57716B3E" w14:textId="77777777">
            <w:pPr>
              <w:spacing w:after="0" w:line="240" w:lineRule="auto"/>
              <w:rPr>
                <w:rFonts w:eastAsia="Times New Roman" w:cstheme="minorHAnsi"/>
                <w:color w:val="000000"/>
                <w:sz w:val="20"/>
                <w:szCs w:val="20"/>
              </w:rPr>
            </w:pPr>
            <w:r w:rsidRPr="00C07555">
              <w:rPr>
                <w:rFonts w:eastAsia="Times New Roman" w:cstheme="minorHAnsi"/>
                <w:color w:val="000000"/>
                <w:sz w:val="20"/>
                <w:szCs w:val="20"/>
              </w:rPr>
              <w:t>Notification of actual startup</w:t>
            </w:r>
          </w:p>
        </w:tc>
        <w:tc>
          <w:tcPr>
            <w:tcW w:w="1710" w:type="dxa"/>
            <w:tcBorders>
              <w:top w:val="nil"/>
              <w:left w:val="nil"/>
              <w:bottom w:val="single" w:sz="4" w:space="0" w:color="auto"/>
              <w:right w:val="single" w:sz="4" w:space="0" w:color="auto"/>
            </w:tcBorders>
            <w:vAlign w:val="center"/>
            <w:hideMark/>
          </w:tcPr>
          <w:p w:rsidR="00C07555" w:rsidRPr="00C07555" w:rsidP="00C07555" w14:paraId="352C18F1"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C07555" w:rsidRPr="00C07555" w:rsidP="00C07555" w14:paraId="77C5B335"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1</w:t>
            </w:r>
          </w:p>
        </w:tc>
        <w:tc>
          <w:tcPr>
            <w:tcW w:w="2340" w:type="dxa"/>
            <w:tcBorders>
              <w:top w:val="nil"/>
              <w:left w:val="nil"/>
              <w:bottom w:val="single" w:sz="4" w:space="0" w:color="auto"/>
              <w:right w:val="single" w:sz="4" w:space="0" w:color="auto"/>
            </w:tcBorders>
            <w:vAlign w:val="center"/>
            <w:hideMark/>
          </w:tcPr>
          <w:p w:rsidR="00C07555" w:rsidRPr="00C07555" w:rsidP="00C07555" w14:paraId="7678FA67"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C07555" w:rsidRPr="00C07555" w:rsidP="00C07555" w14:paraId="1A2B2EE4"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r>
      <w:tr w14:paraId="4D0281D4" w14:textId="77777777" w:rsidTr="00C07555">
        <w:tblPrEx>
          <w:tblW w:w="9985" w:type="dxa"/>
          <w:tblInd w:w="113" w:type="dxa"/>
          <w:tblLook w:val="04A0"/>
        </w:tblPrEx>
        <w:trPr>
          <w:trHeight w:val="1020"/>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311DECEB" w14:textId="77777777">
            <w:pPr>
              <w:spacing w:after="0" w:line="240" w:lineRule="auto"/>
              <w:rPr>
                <w:rFonts w:eastAsia="Times New Roman" w:cstheme="minorHAnsi"/>
                <w:color w:val="000000"/>
                <w:sz w:val="20"/>
                <w:szCs w:val="20"/>
              </w:rPr>
            </w:pPr>
            <w:r w:rsidRPr="00C07555">
              <w:rPr>
                <w:rFonts w:eastAsia="Times New Roman" w:cstheme="minorHAnsi"/>
                <w:color w:val="000000"/>
                <w:sz w:val="20"/>
                <w:szCs w:val="20"/>
              </w:rPr>
              <w:t>Notification of initial performance test</w:t>
            </w:r>
          </w:p>
        </w:tc>
        <w:tc>
          <w:tcPr>
            <w:tcW w:w="1710" w:type="dxa"/>
            <w:tcBorders>
              <w:top w:val="nil"/>
              <w:left w:val="nil"/>
              <w:bottom w:val="single" w:sz="4" w:space="0" w:color="auto"/>
              <w:right w:val="single" w:sz="4" w:space="0" w:color="auto"/>
            </w:tcBorders>
            <w:vAlign w:val="center"/>
            <w:hideMark/>
          </w:tcPr>
          <w:p w:rsidR="00C07555" w:rsidRPr="00C07555" w:rsidP="00C07555" w14:paraId="6416D2E7"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C07555" w:rsidRPr="00C07555" w:rsidP="00C07555" w14:paraId="5AA5D875"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1.2</w:t>
            </w:r>
          </w:p>
        </w:tc>
        <w:tc>
          <w:tcPr>
            <w:tcW w:w="2340" w:type="dxa"/>
            <w:tcBorders>
              <w:top w:val="nil"/>
              <w:left w:val="nil"/>
              <w:bottom w:val="single" w:sz="4" w:space="0" w:color="auto"/>
              <w:right w:val="single" w:sz="4" w:space="0" w:color="auto"/>
            </w:tcBorders>
            <w:vAlign w:val="center"/>
            <w:hideMark/>
          </w:tcPr>
          <w:p w:rsidR="00C07555" w:rsidRPr="00C07555" w:rsidP="00C07555" w14:paraId="276DF9F7"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C07555" w:rsidRPr="00C07555" w:rsidP="00C07555" w14:paraId="411B3D11"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r>
      <w:tr w14:paraId="276274A8" w14:textId="77777777" w:rsidTr="00C07555">
        <w:tblPrEx>
          <w:tblW w:w="9985" w:type="dxa"/>
          <w:tblInd w:w="113" w:type="dxa"/>
          <w:tblLook w:val="04A0"/>
        </w:tblPrEx>
        <w:trPr>
          <w:trHeight w:val="1020"/>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743B74E2" w14:textId="77777777">
            <w:pPr>
              <w:spacing w:after="0" w:line="240" w:lineRule="auto"/>
              <w:rPr>
                <w:rFonts w:eastAsia="Times New Roman" w:cstheme="minorHAnsi"/>
                <w:color w:val="000000"/>
                <w:sz w:val="20"/>
                <w:szCs w:val="20"/>
              </w:rPr>
            </w:pPr>
            <w:r w:rsidRPr="00C07555">
              <w:rPr>
                <w:rFonts w:eastAsia="Times New Roman" w:cstheme="minorHAnsi"/>
                <w:color w:val="000000"/>
                <w:sz w:val="20"/>
                <w:szCs w:val="20"/>
              </w:rPr>
              <w:t>Notification of demonstration of CMS</w:t>
            </w:r>
          </w:p>
        </w:tc>
        <w:tc>
          <w:tcPr>
            <w:tcW w:w="1710" w:type="dxa"/>
            <w:tcBorders>
              <w:top w:val="nil"/>
              <w:left w:val="nil"/>
              <w:bottom w:val="single" w:sz="4" w:space="0" w:color="auto"/>
              <w:right w:val="single" w:sz="4" w:space="0" w:color="auto"/>
            </w:tcBorders>
            <w:vAlign w:val="center"/>
            <w:hideMark/>
          </w:tcPr>
          <w:p w:rsidR="00C07555" w:rsidRPr="00C07555" w:rsidP="00C07555" w14:paraId="27FFFE42"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890" w:type="dxa"/>
            <w:tcBorders>
              <w:top w:val="nil"/>
              <w:left w:val="nil"/>
              <w:bottom w:val="single" w:sz="4" w:space="0" w:color="auto"/>
              <w:right w:val="single" w:sz="4" w:space="0" w:color="auto"/>
            </w:tcBorders>
            <w:vAlign w:val="center"/>
            <w:hideMark/>
          </w:tcPr>
          <w:p w:rsidR="00C07555" w:rsidRPr="00C07555" w:rsidP="00C07555" w14:paraId="22CA0312"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1</w:t>
            </w:r>
          </w:p>
        </w:tc>
        <w:tc>
          <w:tcPr>
            <w:tcW w:w="2340" w:type="dxa"/>
            <w:tcBorders>
              <w:top w:val="nil"/>
              <w:left w:val="nil"/>
              <w:bottom w:val="single" w:sz="4" w:space="0" w:color="auto"/>
              <w:right w:val="single" w:sz="4" w:space="0" w:color="auto"/>
            </w:tcBorders>
            <w:vAlign w:val="center"/>
            <w:hideMark/>
          </w:tcPr>
          <w:p w:rsidR="00C07555" w:rsidRPr="00C07555" w:rsidP="00C07555" w14:paraId="3AE47BE4"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C07555" w:rsidRPr="00C07555" w:rsidP="00C07555" w14:paraId="6A71B610"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r>
      <w:tr w14:paraId="46310CCA" w14:textId="77777777" w:rsidTr="00C07555">
        <w:tblPrEx>
          <w:tblW w:w="9985" w:type="dxa"/>
          <w:tblInd w:w="113" w:type="dxa"/>
          <w:tblLook w:val="04A0"/>
        </w:tblPrEx>
        <w:trPr>
          <w:trHeight w:val="1283"/>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072219A4" w14:textId="77777777">
            <w:pPr>
              <w:spacing w:after="0" w:line="240" w:lineRule="auto"/>
              <w:rPr>
                <w:rFonts w:eastAsia="Times New Roman" w:cstheme="minorHAnsi"/>
                <w:color w:val="000000"/>
                <w:sz w:val="20"/>
                <w:szCs w:val="20"/>
              </w:rPr>
            </w:pPr>
            <w:r w:rsidRPr="00C07555">
              <w:rPr>
                <w:rFonts w:eastAsia="Times New Roman" w:cstheme="minorHAnsi"/>
                <w:color w:val="000000"/>
                <w:sz w:val="20"/>
                <w:szCs w:val="20"/>
              </w:rPr>
              <w:t>Excess emission and exemption (semiannual) report</w:t>
            </w:r>
          </w:p>
        </w:tc>
        <w:tc>
          <w:tcPr>
            <w:tcW w:w="1710" w:type="dxa"/>
            <w:tcBorders>
              <w:top w:val="nil"/>
              <w:left w:val="nil"/>
              <w:bottom w:val="single" w:sz="4" w:space="0" w:color="auto"/>
              <w:right w:val="single" w:sz="4" w:space="0" w:color="auto"/>
            </w:tcBorders>
            <w:vAlign w:val="center"/>
            <w:hideMark/>
          </w:tcPr>
          <w:p w:rsidR="00C07555" w:rsidRPr="00C07555" w:rsidP="00C07555" w14:paraId="423E5C6E"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535</w:t>
            </w:r>
          </w:p>
        </w:tc>
        <w:tc>
          <w:tcPr>
            <w:tcW w:w="1890" w:type="dxa"/>
            <w:tcBorders>
              <w:top w:val="nil"/>
              <w:left w:val="nil"/>
              <w:bottom w:val="single" w:sz="4" w:space="0" w:color="auto"/>
              <w:right w:val="single" w:sz="4" w:space="0" w:color="auto"/>
            </w:tcBorders>
            <w:vAlign w:val="center"/>
            <w:hideMark/>
          </w:tcPr>
          <w:p w:rsidR="00C07555" w:rsidRPr="00C07555" w:rsidP="00C07555" w14:paraId="6D6CB61C"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2</w:t>
            </w:r>
          </w:p>
        </w:tc>
        <w:tc>
          <w:tcPr>
            <w:tcW w:w="2340" w:type="dxa"/>
            <w:tcBorders>
              <w:top w:val="nil"/>
              <w:left w:val="nil"/>
              <w:bottom w:val="single" w:sz="4" w:space="0" w:color="auto"/>
              <w:right w:val="single" w:sz="4" w:space="0" w:color="auto"/>
            </w:tcBorders>
            <w:vAlign w:val="center"/>
            <w:hideMark/>
          </w:tcPr>
          <w:p w:rsidR="00C07555" w:rsidRPr="00C07555" w:rsidP="00C07555" w14:paraId="7E933B51"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0</w:t>
            </w:r>
          </w:p>
        </w:tc>
        <w:tc>
          <w:tcPr>
            <w:tcW w:w="1980" w:type="dxa"/>
            <w:tcBorders>
              <w:top w:val="nil"/>
              <w:left w:val="nil"/>
              <w:bottom w:val="single" w:sz="4" w:space="0" w:color="auto"/>
              <w:right w:val="single" w:sz="4" w:space="0" w:color="auto"/>
            </w:tcBorders>
            <w:vAlign w:val="center"/>
            <w:hideMark/>
          </w:tcPr>
          <w:p w:rsidR="00C07555" w:rsidRPr="00C07555" w:rsidP="00C07555" w14:paraId="71578909" w14:textId="77777777">
            <w:pPr>
              <w:spacing w:after="0" w:line="240" w:lineRule="auto"/>
              <w:jc w:val="center"/>
              <w:rPr>
                <w:rFonts w:eastAsia="Times New Roman" w:cstheme="minorHAnsi"/>
                <w:color w:val="000000"/>
                <w:sz w:val="18"/>
                <w:szCs w:val="18"/>
              </w:rPr>
            </w:pPr>
            <w:r w:rsidRPr="00C07555">
              <w:rPr>
                <w:rFonts w:eastAsia="Times New Roman" w:cstheme="minorHAnsi"/>
                <w:color w:val="000000"/>
                <w:sz w:val="18"/>
                <w:szCs w:val="18"/>
              </w:rPr>
              <w:t>1,070</w:t>
            </w:r>
          </w:p>
        </w:tc>
      </w:tr>
      <w:tr w14:paraId="01837098" w14:textId="77777777" w:rsidTr="00C07555">
        <w:tblPrEx>
          <w:tblW w:w="9985" w:type="dxa"/>
          <w:tblInd w:w="113" w:type="dxa"/>
          <w:tblLook w:val="04A0"/>
        </w:tblPrEx>
        <w:trPr>
          <w:trHeight w:val="758"/>
        </w:trPr>
        <w:tc>
          <w:tcPr>
            <w:tcW w:w="2065" w:type="dxa"/>
            <w:tcBorders>
              <w:top w:val="nil"/>
              <w:left w:val="single" w:sz="4" w:space="0" w:color="auto"/>
              <w:bottom w:val="single" w:sz="4" w:space="0" w:color="auto"/>
              <w:right w:val="single" w:sz="4" w:space="0" w:color="auto"/>
            </w:tcBorders>
            <w:vAlign w:val="center"/>
            <w:hideMark/>
          </w:tcPr>
          <w:p w:rsidR="00C07555" w:rsidRPr="00C07555" w:rsidP="00C07555" w14:paraId="62C47839" w14:textId="77777777">
            <w:pPr>
              <w:spacing w:after="0" w:line="240" w:lineRule="auto"/>
              <w:rPr>
                <w:rFonts w:eastAsia="Times New Roman" w:cstheme="minorHAnsi"/>
                <w:color w:val="000000"/>
                <w:sz w:val="20"/>
                <w:szCs w:val="20"/>
              </w:rPr>
            </w:pPr>
            <w:r w:rsidRPr="00C07555">
              <w:rPr>
                <w:rFonts w:eastAsia="Times New Roman" w:cstheme="minorHAnsi"/>
                <w:color w:val="000000"/>
                <w:sz w:val="20"/>
                <w:szCs w:val="20"/>
              </w:rPr>
              <w:t>Total Number of Annual Responses</w:t>
            </w:r>
          </w:p>
        </w:tc>
        <w:tc>
          <w:tcPr>
            <w:tcW w:w="1710" w:type="dxa"/>
            <w:tcBorders>
              <w:top w:val="nil"/>
              <w:left w:val="nil"/>
              <w:bottom w:val="single" w:sz="4" w:space="0" w:color="auto"/>
              <w:right w:val="single" w:sz="4" w:space="0" w:color="auto"/>
            </w:tcBorders>
            <w:vAlign w:val="center"/>
            <w:hideMark/>
          </w:tcPr>
          <w:p w:rsidR="00C07555" w:rsidRPr="00C07555" w:rsidP="00C07555" w14:paraId="2645108E" w14:textId="77777777">
            <w:pPr>
              <w:spacing w:after="0" w:line="240" w:lineRule="auto"/>
              <w:rPr>
                <w:rFonts w:eastAsia="Times New Roman" w:cstheme="minorHAnsi"/>
                <w:color w:val="000000"/>
                <w:sz w:val="18"/>
                <w:szCs w:val="18"/>
              </w:rPr>
            </w:pPr>
            <w:r w:rsidRPr="00C07555">
              <w:rPr>
                <w:rFonts w:eastAsia="Times New Roman" w:cstheme="minorHAnsi"/>
                <w:color w:val="000000"/>
                <w:sz w:val="18"/>
                <w:szCs w:val="18"/>
              </w:rPr>
              <w:t> </w:t>
            </w:r>
          </w:p>
        </w:tc>
        <w:tc>
          <w:tcPr>
            <w:tcW w:w="1890" w:type="dxa"/>
            <w:tcBorders>
              <w:top w:val="nil"/>
              <w:left w:val="nil"/>
              <w:bottom w:val="single" w:sz="4" w:space="0" w:color="auto"/>
              <w:right w:val="single" w:sz="4" w:space="0" w:color="auto"/>
            </w:tcBorders>
            <w:vAlign w:val="center"/>
            <w:hideMark/>
          </w:tcPr>
          <w:p w:rsidR="00C07555" w:rsidRPr="00C07555" w:rsidP="00C07555" w14:paraId="4298D600" w14:textId="77777777">
            <w:pPr>
              <w:spacing w:after="0" w:line="240" w:lineRule="auto"/>
              <w:rPr>
                <w:rFonts w:eastAsia="Times New Roman" w:cstheme="minorHAnsi"/>
                <w:color w:val="000000"/>
                <w:sz w:val="18"/>
                <w:szCs w:val="18"/>
              </w:rPr>
            </w:pPr>
            <w:r w:rsidRPr="00C07555">
              <w:rPr>
                <w:rFonts w:eastAsia="Times New Roman" w:cstheme="minorHAnsi"/>
                <w:color w:val="000000"/>
                <w:sz w:val="18"/>
                <w:szCs w:val="18"/>
              </w:rPr>
              <w:t> </w:t>
            </w:r>
          </w:p>
        </w:tc>
        <w:tc>
          <w:tcPr>
            <w:tcW w:w="2340" w:type="dxa"/>
            <w:tcBorders>
              <w:top w:val="nil"/>
              <w:left w:val="nil"/>
              <w:bottom w:val="single" w:sz="4" w:space="0" w:color="auto"/>
              <w:right w:val="single" w:sz="4" w:space="0" w:color="auto"/>
            </w:tcBorders>
            <w:vAlign w:val="center"/>
            <w:hideMark/>
          </w:tcPr>
          <w:p w:rsidR="00C07555" w:rsidRPr="00C07555" w:rsidP="00C07555" w14:paraId="7C56A399" w14:textId="77777777">
            <w:pPr>
              <w:spacing w:after="0" w:line="240" w:lineRule="auto"/>
              <w:jc w:val="center"/>
              <w:rPr>
                <w:rFonts w:eastAsia="Times New Roman" w:cstheme="minorHAnsi"/>
                <w:b/>
                <w:bCs/>
                <w:color w:val="000000"/>
                <w:sz w:val="18"/>
                <w:szCs w:val="18"/>
              </w:rPr>
            </w:pPr>
            <w:r w:rsidRPr="00C07555">
              <w:rPr>
                <w:rFonts w:eastAsia="Times New Roman" w:cstheme="minorHAnsi"/>
                <w:b/>
                <w:bCs/>
                <w:color w:val="000000"/>
                <w:sz w:val="18"/>
                <w:szCs w:val="18"/>
              </w:rPr>
              <w:t>Total</w:t>
            </w:r>
          </w:p>
        </w:tc>
        <w:tc>
          <w:tcPr>
            <w:tcW w:w="1980" w:type="dxa"/>
            <w:tcBorders>
              <w:top w:val="nil"/>
              <w:left w:val="nil"/>
              <w:bottom w:val="single" w:sz="4" w:space="0" w:color="auto"/>
              <w:right w:val="single" w:sz="4" w:space="0" w:color="auto"/>
            </w:tcBorders>
            <w:vAlign w:val="center"/>
            <w:hideMark/>
          </w:tcPr>
          <w:p w:rsidR="00C07555" w:rsidRPr="00C07555" w:rsidP="00C07555" w14:paraId="22CF307A" w14:textId="77777777">
            <w:pPr>
              <w:spacing w:after="0" w:line="240" w:lineRule="auto"/>
              <w:jc w:val="center"/>
              <w:rPr>
                <w:rFonts w:eastAsia="Times New Roman" w:cstheme="minorHAnsi"/>
                <w:b/>
                <w:bCs/>
                <w:color w:val="000000"/>
                <w:sz w:val="18"/>
                <w:szCs w:val="18"/>
              </w:rPr>
            </w:pPr>
            <w:r w:rsidRPr="00C07555">
              <w:rPr>
                <w:rFonts w:eastAsia="Times New Roman" w:cstheme="minorHAnsi"/>
                <w:b/>
                <w:bCs/>
                <w:color w:val="000000"/>
                <w:sz w:val="18"/>
                <w:szCs w:val="18"/>
              </w:rPr>
              <w:t>1,070</w:t>
            </w:r>
          </w:p>
        </w:tc>
      </w:tr>
    </w:tbl>
    <w:p w:rsidR="009D7EC1" w:rsidRPr="00DF2378" w:rsidP="00DF2378" w14:paraId="26AF562F" w14:textId="4EC5A945">
      <w:pPr>
        <w:rPr>
          <w:rFonts w:cstheme="minorHAnsi"/>
          <w:b/>
          <w:bCs/>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RG">
    <w15:presenceInfo w15:providerId="None" w15:userId="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5304"/>
    <w:rsid w:val="000267E1"/>
    <w:rsid w:val="00030670"/>
    <w:rsid w:val="0003166C"/>
    <w:rsid w:val="00032552"/>
    <w:rsid w:val="00033219"/>
    <w:rsid w:val="00036C0B"/>
    <w:rsid w:val="00036CF2"/>
    <w:rsid w:val="00037107"/>
    <w:rsid w:val="00042F77"/>
    <w:rsid w:val="0004467E"/>
    <w:rsid w:val="000452DC"/>
    <w:rsid w:val="000459E3"/>
    <w:rsid w:val="000461BA"/>
    <w:rsid w:val="000468D9"/>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0A97"/>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1AC1"/>
    <w:rsid w:val="001235F7"/>
    <w:rsid w:val="00125E5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782"/>
    <w:rsid w:val="00161846"/>
    <w:rsid w:val="001636DA"/>
    <w:rsid w:val="00163C69"/>
    <w:rsid w:val="00164169"/>
    <w:rsid w:val="001641AA"/>
    <w:rsid w:val="0016658D"/>
    <w:rsid w:val="00166B27"/>
    <w:rsid w:val="00170329"/>
    <w:rsid w:val="00170689"/>
    <w:rsid w:val="00170EB8"/>
    <w:rsid w:val="00171DC0"/>
    <w:rsid w:val="00173422"/>
    <w:rsid w:val="00173E50"/>
    <w:rsid w:val="00176BA8"/>
    <w:rsid w:val="001775F3"/>
    <w:rsid w:val="00180511"/>
    <w:rsid w:val="00184011"/>
    <w:rsid w:val="00185251"/>
    <w:rsid w:val="00185CE5"/>
    <w:rsid w:val="001912D6"/>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545F"/>
    <w:rsid w:val="001B7B47"/>
    <w:rsid w:val="001C0151"/>
    <w:rsid w:val="001C04B9"/>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1919"/>
    <w:rsid w:val="001E211E"/>
    <w:rsid w:val="001E21C6"/>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21C6"/>
    <w:rsid w:val="0021345A"/>
    <w:rsid w:val="00213AE6"/>
    <w:rsid w:val="0021482C"/>
    <w:rsid w:val="00216C6A"/>
    <w:rsid w:val="002200CB"/>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1F43"/>
    <w:rsid w:val="002648CF"/>
    <w:rsid w:val="00265FE7"/>
    <w:rsid w:val="00270940"/>
    <w:rsid w:val="002732F9"/>
    <w:rsid w:val="0027766D"/>
    <w:rsid w:val="00277A03"/>
    <w:rsid w:val="0028340E"/>
    <w:rsid w:val="00283764"/>
    <w:rsid w:val="00283AE9"/>
    <w:rsid w:val="00283C66"/>
    <w:rsid w:val="00283D58"/>
    <w:rsid w:val="002847BB"/>
    <w:rsid w:val="002853F5"/>
    <w:rsid w:val="00285782"/>
    <w:rsid w:val="002857C3"/>
    <w:rsid w:val="00285A68"/>
    <w:rsid w:val="00286FA0"/>
    <w:rsid w:val="00286FC1"/>
    <w:rsid w:val="00287F46"/>
    <w:rsid w:val="00287F94"/>
    <w:rsid w:val="00290BEB"/>
    <w:rsid w:val="00291493"/>
    <w:rsid w:val="00291589"/>
    <w:rsid w:val="002933D6"/>
    <w:rsid w:val="00295B71"/>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0E2B"/>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0C5"/>
    <w:rsid w:val="00300363"/>
    <w:rsid w:val="003005BB"/>
    <w:rsid w:val="00303DE5"/>
    <w:rsid w:val="00304842"/>
    <w:rsid w:val="00305E4E"/>
    <w:rsid w:val="003060D3"/>
    <w:rsid w:val="00307411"/>
    <w:rsid w:val="00310FDB"/>
    <w:rsid w:val="003113CC"/>
    <w:rsid w:val="00312370"/>
    <w:rsid w:val="00312552"/>
    <w:rsid w:val="00312F28"/>
    <w:rsid w:val="003132A5"/>
    <w:rsid w:val="00313941"/>
    <w:rsid w:val="00313B52"/>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4DBF"/>
    <w:rsid w:val="003451F8"/>
    <w:rsid w:val="003467C8"/>
    <w:rsid w:val="00347C3C"/>
    <w:rsid w:val="0035079F"/>
    <w:rsid w:val="00352553"/>
    <w:rsid w:val="003527AA"/>
    <w:rsid w:val="003527C1"/>
    <w:rsid w:val="00352C25"/>
    <w:rsid w:val="003565B6"/>
    <w:rsid w:val="00356A66"/>
    <w:rsid w:val="00357418"/>
    <w:rsid w:val="0036059B"/>
    <w:rsid w:val="00360B75"/>
    <w:rsid w:val="00361737"/>
    <w:rsid w:val="00362684"/>
    <w:rsid w:val="00363F41"/>
    <w:rsid w:val="00366D56"/>
    <w:rsid w:val="00367871"/>
    <w:rsid w:val="00367DAD"/>
    <w:rsid w:val="0037007A"/>
    <w:rsid w:val="0037342A"/>
    <w:rsid w:val="00373CC8"/>
    <w:rsid w:val="00374E24"/>
    <w:rsid w:val="00375E2A"/>
    <w:rsid w:val="00376609"/>
    <w:rsid w:val="0038330C"/>
    <w:rsid w:val="003856DC"/>
    <w:rsid w:val="003858AC"/>
    <w:rsid w:val="003901B8"/>
    <w:rsid w:val="00392274"/>
    <w:rsid w:val="0039670C"/>
    <w:rsid w:val="003A0E52"/>
    <w:rsid w:val="003A1D0D"/>
    <w:rsid w:val="003A38FB"/>
    <w:rsid w:val="003A41A0"/>
    <w:rsid w:val="003A6BEF"/>
    <w:rsid w:val="003B04B9"/>
    <w:rsid w:val="003B0A8F"/>
    <w:rsid w:val="003B153D"/>
    <w:rsid w:val="003B3855"/>
    <w:rsid w:val="003B4D4F"/>
    <w:rsid w:val="003C0ACA"/>
    <w:rsid w:val="003C0DBC"/>
    <w:rsid w:val="003C1314"/>
    <w:rsid w:val="003C16BD"/>
    <w:rsid w:val="003C2B04"/>
    <w:rsid w:val="003C321D"/>
    <w:rsid w:val="003C5631"/>
    <w:rsid w:val="003C68C2"/>
    <w:rsid w:val="003C6CE9"/>
    <w:rsid w:val="003C6E49"/>
    <w:rsid w:val="003D06CD"/>
    <w:rsid w:val="003D0C03"/>
    <w:rsid w:val="003D1457"/>
    <w:rsid w:val="003D23D5"/>
    <w:rsid w:val="003D29E8"/>
    <w:rsid w:val="003D2F77"/>
    <w:rsid w:val="003D3498"/>
    <w:rsid w:val="003D3D42"/>
    <w:rsid w:val="003D598C"/>
    <w:rsid w:val="003D65AE"/>
    <w:rsid w:val="003D7167"/>
    <w:rsid w:val="003D7919"/>
    <w:rsid w:val="003D7B2A"/>
    <w:rsid w:val="003E133B"/>
    <w:rsid w:val="003E25FE"/>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51A"/>
    <w:rsid w:val="00417612"/>
    <w:rsid w:val="0042383B"/>
    <w:rsid w:val="0042409F"/>
    <w:rsid w:val="00424DDE"/>
    <w:rsid w:val="00424F93"/>
    <w:rsid w:val="004252C1"/>
    <w:rsid w:val="0042541E"/>
    <w:rsid w:val="00427079"/>
    <w:rsid w:val="004306A8"/>
    <w:rsid w:val="00430EDC"/>
    <w:rsid w:val="00430FA6"/>
    <w:rsid w:val="00431D3F"/>
    <w:rsid w:val="00432AC2"/>
    <w:rsid w:val="004345C9"/>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0A5"/>
    <w:rsid w:val="00463285"/>
    <w:rsid w:val="00465846"/>
    <w:rsid w:val="00466349"/>
    <w:rsid w:val="00466B43"/>
    <w:rsid w:val="00470E22"/>
    <w:rsid w:val="00472D33"/>
    <w:rsid w:val="00475BA6"/>
    <w:rsid w:val="00477D70"/>
    <w:rsid w:val="004831CC"/>
    <w:rsid w:val="00485567"/>
    <w:rsid w:val="004855BE"/>
    <w:rsid w:val="00485DA2"/>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3FB0"/>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2B9D"/>
    <w:rsid w:val="004F3C8A"/>
    <w:rsid w:val="004F4CDB"/>
    <w:rsid w:val="004F4FDD"/>
    <w:rsid w:val="004F57FF"/>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2EB"/>
    <w:rsid w:val="0059769C"/>
    <w:rsid w:val="00597A92"/>
    <w:rsid w:val="005A0F75"/>
    <w:rsid w:val="005A129A"/>
    <w:rsid w:val="005A2ABF"/>
    <w:rsid w:val="005A35B4"/>
    <w:rsid w:val="005A422E"/>
    <w:rsid w:val="005A7235"/>
    <w:rsid w:val="005A7BA6"/>
    <w:rsid w:val="005B1EA1"/>
    <w:rsid w:val="005B4322"/>
    <w:rsid w:val="005B499E"/>
    <w:rsid w:val="005B5DA7"/>
    <w:rsid w:val="005B6A8D"/>
    <w:rsid w:val="005C195D"/>
    <w:rsid w:val="005C2031"/>
    <w:rsid w:val="005D0ACB"/>
    <w:rsid w:val="005D140B"/>
    <w:rsid w:val="005D1C36"/>
    <w:rsid w:val="005D1F2E"/>
    <w:rsid w:val="005D2654"/>
    <w:rsid w:val="005D2E6F"/>
    <w:rsid w:val="005D5624"/>
    <w:rsid w:val="005D5865"/>
    <w:rsid w:val="005D5F1D"/>
    <w:rsid w:val="005E03A2"/>
    <w:rsid w:val="005E0A0E"/>
    <w:rsid w:val="005E35C4"/>
    <w:rsid w:val="005E4A7B"/>
    <w:rsid w:val="005E4C2F"/>
    <w:rsid w:val="005E588F"/>
    <w:rsid w:val="005E5BEC"/>
    <w:rsid w:val="005E5D2D"/>
    <w:rsid w:val="005E6FAB"/>
    <w:rsid w:val="005F1234"/>
    <w:rsid w:val="005F13AA"/>
    <w:rsid w:val="005F1D3B"/>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1165"/>
    <w:rsid w:val="00632312"/>
    <w:rsid w:val="00635E63"/>
    <w:rsid w:val="006364B9"/>
    <w:rsid w:val="00637244"/>
    <w:rsid w:val="00640646"/>
    <w:rsid w:val="006406C5"/>
    <w:rsid w:val="00640DB6"/>
    <w:rsid w:val="00642467"/>
    <w:rsid w:val="00642D76"/>
    <w:rsid w:val="00643FF8"/>
    <w:rsid w:val="006443DB"/>
    <w:rsid w:val="00644EBE"/>
    <w:rsid w:val="00645A18"/>
    <w:rsid w:val="00645B0D"/>
    <w:rsid w:val="00646E32"/>
    <w:rsid w:val="006510C2"/>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77F3E"/>
    <w:rsid w:val="0068100E"/>
    <w:rsid w:val="0068304A"/>
    <w:rsid w:val="00683207"/>
    <w:rsid w:val="00686D59"/>
    <w:rsid w:val="00687254"/>
    <w:rsid w:val="00687583"/>
    <w:rsid w:val="00691828"/>
    <w:rsid w:val="00691A07"/>
    <w:rsid w:val="00692B88"/>
    <w:rsid w:val="00693D40"/>
    <w:rsid w:val="006971C6"/>
    <w:rsid w:val="006974BB"/>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5A2"/>
    <w:rsid w:val="007029CB"/>
    <w:rsid w:val="00702E91"/>
    <w:rsid w:val="00702F36"/>
    <w:rsid w:val="00702F61"/>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14A"/>
    <w:rsid w:val="00762228"/>
    <w:rsid w:val="00763E34"/>
    <w:rsid w:val="00764EF9"/>
    <w:rsid w:val="0076536F"/>
    <w:rsid w:val="007674E8"/>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584F"/>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4747"/>
    <w:rsid w:val="007F5265"/>
    <w:rsid w:val="007F60B7"/>
    <w:rsid w:val="007F651E"/>
    <w:rsid w:val="007F7757"/>
    <w:rsid w:val="007F7AB6"/>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3D3"/>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C40"/>
    <w:rsid w:val="00873EFF"/>
    <w:rsid w:val="008749E8"/>
    <w:rsid w:val="008762FE"/>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07258"/>
    <w:rsid w:val="00911E06"/>
    <w:rsid w:val="009124E7"/>
    <w:rsid w:val="00912F15"/>
    <w:rsid w:val="00916658"/>
    <w:rsid w:val="00916674"/>
    <w:rsid w:val="00916D23"/>
    <w:rsid w:val="0091768B"/>
    <w:rsid w:val="00920EC8"/>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1E2"/>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659A"/>
    <w:rsid w:val="009872CD"/>
    <w:rsid w:val="00987A8B"/>
    <w:rsid w:val="00987C8D"/>
    <w:rsid w:val="00990A46"/>
    <w:rsid w:val="00990AB9"/>
    <w:rsid w:val="009912BB"/>
    <w:rsid w:val="009920E2"/>
    <w:rsid w:val="00992FC7"/>
    <w:rsid w:val="00993D39"/>
    <w:rsid w:val="00994217"/>
    <w:rsid w:val="00994618"/>
    <w:rsid w:val="00996B9F"/>
    <w:rsid w:val="00996CD5"/>
    <w:rsid w:val="00997E71"/>
    <w:rsid w:val="009A01B5"/>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6F23"/>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56A2"/>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36CD0"/>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3167"/>
    <w:rsid w:val="00A74A94"/>
    <w:rsid w:val="00A768D2"/>
    <w:rsid w:val="00A80A27"/>
    <w:rsid w:val="00A816BC"/>
    <w:rsid w:val="00A82647"/>
    <w:rsid w:val="00A8542E"/>
    <w:rsid w:val="00A8593A"/>
    <w:rsid w:val="00A86260"/>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B63D1"/>
    <w:rsid w:val="00AC105E"/>
    <w:rsid w:val="00AC1131"/>
    <w:rsid w:val="00AC1AC4"/>
    <w:rsid w:val="00AC5472"/>
    <w:rsid w:val="00AC7959"/>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0A5"/>
    <w:rsid w:val="00AE7A5F"/>
    <w:rsid w:val="00AE7BE7"/>
    <w:rsid w:val="00AE7FC5"/>
    <w:rsid w:val="00AF2486"/>
    <w:rsid w:val="00AF24FA"/>
    <w:rsid w:val="00AF38D8"/>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563C"/>
    <w:rsid w:val="00B26757"/>
    <w:rsid w:val="00B31C31"/>
    <w:rsid w:val="00B37C28"/>
    <w:rsid w:val="00B400AE"/>
    <w:rsid w:val="00B434D7"/>
    <w:rsid w:val="00B45BEF"/>
    <w:rsid w:val="00B46A88"/>
    <w:rsid w:val="00B47058"/>
    <w:rsid w:val="00B47717"/>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0484"/>
    <w:rsid w:val="00BA1A18"/>
    <w:rsid w:val="00BA45E6"/>
    <w:rsid w:val="00BA5E6F"/>
    <w:rsid w:val="00BA720A"/>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3BF"/>
    <w:rsid w:val="00BE63D7"/>
    <w:rsid w:val="00BF0CAD"/>
    <w:rsid w:val="00BF1A05"/>
    <w:rsid w:val="00BF2700"/>
    <w:rsid w:val="00BF2A34"/>
    <w:rsid w:val="00BF2DF6"/>
    <w:rsid w:val="00BF5699"/>
    <w:rsid w:val="00BF6721"/>
    <w:rsid w:val="00BF6C47"/>
    <w:rsid w:val="00C02D9A"/>
    <w:rsid w:val="00C033E9"/>
    <w:rsid w:val="00C0389F"/>
    <w:rsid w:val="00C04326"/>
    <w:rsid w:val="00C046AD"/>
    <w:rsid w:val="00C054E3"/>
    <w:rsid w:val="00C066B7"/>
    <w:rsid w:val="00C07555"/>
    <w:rsid w:val="00C07AAE"/>
    <w:rsid w:val="00C07D74"/>
    <w:rsid w:val="00C114AC"/>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14B"/>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3989"/>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3D75"/>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075"/>
    <w:rsid w:val="00CC2643"/>
    <w:rsid w:val="00CC338D"/>
    <w:rsid w:val="00CC3C26"/>
    <w:rsid w:val="00CC43C3"/>
    <w:rsid w:val="00CC43C5"/>
    <w:rsid w:val="00CC43CD"/>
    <w:rsid w:val="00CC4618"/>
    <w:rsid w:val="00CD1614"/>
    <w:rsid w:val="00CD1836"/>
    <w:rsid w:val="00CD206D"/>
    <w:rsid w:val="00CD275E"/>
    <w:rsid w:val="00CD2EF7"/>
    <w:rsid w:val="00CD38AB"/>
    <w:rsid w:val="00CD4100"/>
    <w:rsid w:val="00CD4338"/>
    <w:rsid w:val="00CD4809"/>
    <w:rsid w:val="00CD5A92"/>
    <w:rsid w:val="00CE0942"/>
    <w:rsid w:val="00CE1EF9"/>
    <w:rsid w:val="00CE2CB1"/>
    <w:rsid w:val="00CE3ACF"/>
    <w:rsid w:val="00CE4292"/>
    <w:rsid w:val="00CE4702"/>
    <w:rsid w:val="00CE4DEB"/>
    <w:rsid w:val="00CE4F47"/>
    <w:rsid w:val="00CE5752"/>
    <w:rsid w:val="00CE6F2D"/>
    <w:rsid w:val="00CF1878"/>
    <w:rsid w:val="00CF23B4"/>
    <w:rsid w:val="00CF242E"/>
    <w:rsid w:val="00CF413A"/>
    <w:rsid w:val="00CF4631"/>
    <w:rsid w:val="00CF5A3C"/>
    <w:rsid w:val="00CF5EFF"/>
    <w:rsid w:val="00D00106"/>
    <w:rsid w:val="00D00D33"/>
    <w:rsid w:val="00D01A8F"/>
    <w:rsid w:val="00D04072"/>
    <w:rsid w:val="00D043F3"/>
    <w:rsid w:val="00D06BAB"/>
    <w:rsid w:val="00D07CAB"/>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2853"/>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3AC9"/>
    <w:rsid w:val="00DC57CD"/>
    <w:rsid w:val="00DC6593"/>
    <w:rsid w:val="00DD2682"/>
    <w:rsid w:val="00DD35B0"/>
    <w:rsid w:val="00DD4E7A"/>
    <w:rsid w:val="00DD6533"/>
    <w:rsid w:val="00DD718B"/>
    <w:rsid w:val="00DE15D8"/>
    <w:rsid w:val="00DE16FE"/>
    <w:rsid w:val="00DE26D9"/>
    <w:rsid w:val="00DE3DF8"/>
    <w:rsid w:val="00DE4E0C"/>
    <w:rsid w:val="00DE50FF"/>
    <w:rsid w:val="00DE5FD4"/>
    <w:rsid w:val="00DE60DC"/>
    <w:rsid w:val="00DE68CB"/>
    <w:rsid w:val="00DF0955"/>
    <w:rsid w:val="00DF2378"/>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153"/>
    <w:rsid w:val="00E30F8E"/>
    <w:rsid w:val="00E3122D"/>
    <w:rsid w:val="00E33FC1"/>
    <w:rsid w:val="00E34DAC"/>
    <w:rsid w:val="00E3518D"/>
    <w:rsid w:val="00E35BF8"/>
    <w:rsid w:val="00E37A2B"/>
    <w:rsid w:val="00E37A70"/>
    <w:rsid w:val="00E40D81"/>
    <w:rsid w:val="00E42EA6"/>
    <w:rsid w:val="00E439D8"/>
    <w:rsid w:val="00E463E4"/>
    <w:rsid w:val="00E47562"/>
    <w:rsid w:val="00E50CD6"/>
    <w:rsid w:val="00E5311D"/>
    <w:rsid w:val="00E54B97"/>
    <w:rsid w:val="00E55F68"/>
    <w:rsid w:val="00E604E8"/>
    <w:rsid w:val="00E63258"/>
    <w:rsid w:val="00E63B7C"/>
    <w:rsid w:val="00E641CB"/>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31F"/>
    <w:rsid w:val="00EF2E9D"/>
    <w:rsid w:val="00EF3B34"/>
    <w:rsid w:val="00EF4177"/>
    <w:rsid w:val="00EF42FB"/>
    <w:rsid w:val="00EF71E8"/>
    <w:rsid w:val="00EF7A31"/>
    <w:rsid w:val="00EF7B2E"/>
    <w:rsid w:val="00EF7D9F"/>
    <w:rsid w:val="00F0015C"/>
    <w:rsid w:val="00F005A4"/>
    <w:rsid w:val="00F02003"/>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52CD"/>
    <w:rsid w:val="00F2554C"/>
    <w:rsid w:val="00F25D42"/>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3A5A"/>
    <w:rsid w:val="00F56114"/>
    <w:rsid w:val="00F573CC"/>
    <w:rsid w:val="00F57EAD"/>
    <w:rsid w:val="00F601B4"/>
    <w:rsid w:val="00F62C65"/>
    <w:rsid w:val="00F63290"/>
    <w:rsid w:val="00F652A6"/>
    <w:rsid w:val="00F66728"/>
    <w:rsid w:val="00F66E77"/>
    <w:rsid w:val="00F67649"/>
    <w:rsid w:val="00F67B5E"/>
    <w:rsid w:val="00F67C9A"/>
    <w:rsid w:val="00F67EF6"/>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5F05"/>
    <w:rsid w:val="00FD6B9F"/>
    <w:rsid w:val="00FD7196"/>
    <w:rsid w:val="00FE090D"/>
    <w:rsid w:val="00FE0BEA"/>
    <w:rsid w:val="00FE0D6A"/>
    <w:rsid w:val="00FE1682"/>
    <w:rsid w:val="00FE2C1F"/>
    <w:rsid w:val="00FE4665"/>
    <w:rsid w:val="00FE539F"/>
    <w:rsid w:val="00FE5EB7"/>
    <w:rsid w:val="00FE78E5"/>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9E7CB3"/>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Mention">
    <w:name w:val="Mention"/>
    <w:basedOn w:val="DefaultParagraphFont"/>
    <w:uiPriority w:val="99"/>
    <w:unhideWhenUsed/>
    <w:rsid w:val="00C361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pra.digital.gov/clearance-process/supporting-stat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lcf76f155ced4ddcb4097134ff3c332f xmlns="02fe02c4-dc41-46ff-9d52-90c0a1b1f611">
      <Terms xmlns="http://schemas.microsoft.com/office/infopath/2007/PartnerControls"/>
    </lcf76f155ced4ddcb4097134ff3c332f>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2025-08-21T20:31:00+00:00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F889A51F-050F-4458-B1B3-15651E686EC9}">
  <ds:schemaRefs/>
</ds:datastoreItem>
</file>

<file path=customXml/itemProps4.xml><?xml version="1.0" encoding="utf-8"?>
<ds:datastoreItem xmlns:ds="http://schemas.openxmlformats.org/officeDocument/2006/customXml" ds:itemID="{E5033098-BF7F-4D78-8529-0AFBF5D8899C}">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1891fcec-84c2-4840-9468-b51a784ab0d1"/>
    <ds:schemaRef ds:uri="http://schemas.openxmlformats.org/package/2006/metadata/core-properties"/>
    <ds:schemaRef ds:uri="4d6aed1e-57d3-46e3-9aba-f706adbce63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6B127C6-7ED6-4332-9428-A5E5F953CE51}">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6198</Words>
  <Characters>35334</Characters>
  <Application>Microsoft Office Word</Application>
  <DocSecurity>0</DocSecurity>
  <Lines>294</Lines>
  <Paragraphs>82</Paragraphs>
  <ScaleCrop>false</ScaleCrop>
  <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216</cp:revision>
  <dcterms:created xsi:type="dcterms:W3CDTF">2024-03-01T20:59:00Z</dcterms:created>
  <dcterms:modified xsi:type="dcterms:W3CDTF">2025-08-14T12:51:00Z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y fmtid="{D5CDD505-2E9C-101B-9397-08002B2CF9AE}" pid="18" name="_SharedFileIndex">
    <vt:lpwstr/>
  </property>
  <property fmtid="{D5CDD505-2E9C-101B-9397-08002B2CF9AE}" pid="19" name="_SourceUrl">
    <vt:lpwstr/>
  </property>
</Properties>
</file>