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72CF2" w:rsidP="00FE2197" w14:paraId="208CD5D2" w14:textId="77777777">
      <w:pPr>
        <w:rPr>
          <w:noProof/>
        </w:rPr>
      </w:pPr>
    </w:p>
    <w:sdt>
      <w:sdtPr>
        <w:rPr>
          <w:noProof/>
        </w:rPr>
        <w:id w:val="37707067"/>
        <w:docPartObj>
          <w:docPartGallery w:val="Cover Pages"/>
        </w:docPartObj>
      </w:sdtPr>
      <w:sdtEndPr>
        <w:rPr>
          <w:noProof w:val="0"/>
        </w:rPr>
      </w:sdtEndPr>
      <w:sdtContent>
        <w:p w:rsidR="00041909" w:rsidP="00FE2197" w14:paraId="55F38B44" w14:textId="77777777">
          <w:r>
            <w:rPr>
              <w:noProof/>
            </w:rPr>
            <mc:AlternateContent>
              <mc:Choice Requires="wps">
                <w:drawing>
                  <wp:anchor distT="0" distB="0" distL="114300" distR="114300" simplePos="0" relativeHeight="251658240" behindDoc="1" locked="0" layoutInCell="1" allowOverlap="1">
                    <wp:simplePos x="0" y="0"/>
                    <wp:positionH relativeFrom="column">
                      <wp:posOffset>-450850</wp:posOffset>
                    </wp:positionH>
                    <wp:positionV relativeFrom="paragraph">
                      <wp:posOffset>0</wp:posOffset>
                    </wp:positionV>
                    <wp:extent cx="6858000" cy="45720"/>
                    <wp:effectExtent l="0" t="0" r="3175" b="1905"/>
                    <wp:wrapThrough wrapText="bothSides">
                      <wp:wrapPolygon>
                        <wp:start x="-36" y="0"/>
                        <wp:lineTo x="-36" y="18600"/>
                        <wp:lineTo x="21600" y="18600"/>
                        <wp:lineTo x="21600" y="0"/>
                        <wp:lineTo x="-36" y="0"/>
                      </wp:wrapPolygon>
                    </wp:wrapThrough>
                    <wp:docPr id="9" name="Rectangle 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45720"/>
                            </a:xfrm>
                            <a:prstGeom prst="rect">
                              <a:avLst/>
                            </a:prstGeom>
                            <a:solidFill>
                              <a:srgbClr val="0C95D3"/>
                            </a:solidFill>
                            <a:ln>
                              <a:noFill/>
                            </a:ln>
                            <a:effectLst/>
                            <a:extLst>
                              <a:ext xmlns:a="http://schemas.openxmlformats.org/drawingml/2006/main" uri="{91240B29-F687-4F45-9708-019B960494DF}">
                                <a14:hiddenLine xmlns:a14="http://schemas.microsoft.com/office/drawing/2010/main" w="38100">
                                  <a:solidFill>
                                    <a:schemeClr val="lt1">
                                      <a:lumMod val="9500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accent5">
                                        <a:lumMod val="50000"/>
                                        <a:lumOff val="0"/>
                                        <a:alpha val="50000"/>
                                      </a:schemeClr>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7" o:spid="_x0000_s1025" style="width:540pt;height:3.6pt;margin-top:0;margin-left:-35.5pt;mso-height-percent:0;mso-height-relative:page;mso-width-percent:0;mso-width-relative:page;mso-wrap-distance-bottom:0;mso-wrap-distance-left:9pt;mso-wrap-distance-right:9pt;mso-wrap-distance-top:0;mso-wrap-style:square;position:absolute;visibility:visible;v-text-anchor:top;z-index:-251657216" fillcolor="#0c95d3" stroked="f" strokecolor="#f2f2f2" strokeweight="3pt">
                    <v:shadow color="#50191f" opacity="0.5" offset="1pt"/>
                    <w10:wrap type="through"/>
                  </v:rect>
                </w:pict>
              </mc:Fallback>
            </mc:AlternateContent>
          </w:r>
          <w:r w:rsidR="001F3A8F">
            <w:rPr>
              <w:noProof/>
            </w:rPr>
            <w:softHyphen/>
          </w:r>
          <w:r w:rsidR="001F3A8F">
            <w:rPr>
              <w:noProof/>
            </w:rPr>
            <w:softHyphen/>
          </w:r>
        </w:p>
      </w:sdtContent>
    </w:sdt>
    <w:p w:rsidR="00D928FD" w:rsidP="00D928FD" w14:paraId="7B328F75" w14:textId="77777777"/>
    <w:sdt>
      <w:sdtPr>
        <w:rPr>
          <w:rFonts w:ascii="Times New Roman" w:hAnsi="Times New Roman" w:cs="Times New Roman"/>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Content>
        <w:p w:rsidR="00711414" w:rsidP="00711414" w14:paraId="5DB680F3" w14:textId="77777777">
          <w:pPr>
            <w:spacing w:line="240" w:lineRule="auto"/>
            <w:ind w:left="90"/>
            <w:rPr>
              <w:rFonts w:ascii="Times New Roman" w:hAnsi="Times New Roman" w:cs="Times New Roman"/>
              <w:color w:val="139CD8"/>
              <w:sz w:val="56"/>
              <w:szCs w:val="52"/>
            </w:rPr>
          </w:pPr>
          <w:r>
            <w:rPr>
              <w:rFonts w:ascii="Times New Roman" w:hAnsi="Times New Roman" w:cs="Times New Roman"/>
              <w:color w:val="139CD8"/>
              <w:sz w:val="56"/>
              <w:szCs w:val="52"/>
            </w:rPr>
            <w:t>Supporting Statement for Labor Relations Report</w:t>
          </w:r>
        </w:p>
      </w:sdtContent>
    </w:sdt>
    <w:p w:rsidR="0059212D" w:rsidRPr="00EE2CAF" w:rsidP="00EE2CAF" w14:paraId="3D7DD773" w14:textId="77777777">
      <w:pPr>
        <w:pStyle w:val="Heading1"/>
      </w:pPr>
      <w:bookmarkStart w:id="0" w:name="_Toc16271317"/>
      <w:r w:rsidRPr="00EE2CAF">
        <w:t>Part A: Justification</w:t>
      </w:r>
      <w:bookmarkEnd w:id="0"/>
    </w:p>
    <w:p w:rsidR="00711414" w:rsidRPr="00711414" w:rsidP="00D928FD" w14:paraId="1FBF2335" w14:textId="77777777">
      <w:pPr>
        <w:rPr>
          <w:b/>
          <w:sz w:val="36"/>
          <w:szCs w:val="36"/>
        </w:rPr>
      </w:pPr>
      <w:r>
        <w:rPr>
          <w:noProof/>
        </w:rPr>
        <mc:AlternateContent>
          <mc:Choice Requires="wps">
            <w:drawing>
              <wp:anchor distT="0" distB="0" distL="114300" distR="114300" simplePos="0" relativeHeight="251670528" behindDoc="0" locked="0" layoutInCell="1" allowOverlap="1">
                <wp:simplePos x="0" y="0"/>
                <wp:positionH relativeFrom="margin">
                  <wp:align>left</wp:align>
                </wp:positionH>
                <wp:positionV relativeFrom="margin">
                  <wp:posOffset>2943225</wp:posOffset>
                </wp:positionV>
                <wp:extent cx="6019800" cy="3390900"/>
                <wp:effectExtent l="0" t="0" r="0" b="0"/>
                <wp:wrapSquare wrapText="bothSides"/>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19800" cy="33909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RPr="0059212D" w:rsidP="00FB6BF3" w14:paraId="49C4DF65" w14:textId="77777777">
                            <w:pPr>
                              <w:rPr>
                                <w:i/>
                                <w:sz w:val="28"/>
                                <w:szCs w:val="28"/>
                              </w:rPr>
                            </w:pP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width:474pt;height:267pt;margin-top:231.75pt;margin-left:0;mso-height-percent:0;mso-height-relative:margin;mso-position-horizontal:left;mso-position-horizontal-relative:margin;mso-position-vertical-relative:margin;mso-width-percent:0;mso-width-relative:margin;mso-wrap-distance-bottom:0;mso-wrap-distance-left:9pt;mso-wrap-distance-right:9pt;mso-wrap-distance-top:0;mso-wrap-style:square;position:absolute;visibility:visible;v-text-anchor:top;z-index:251671552" filled="f" stroked="f">
                <v:textbox inset="0">
                  <w:txbxContent>
                    <w:p w:rsidR="008F16EC" w:rsidRPr="0059212D" w:rsidP="00FB6BF3" w14:paraId="2C258F15" w14:textId="7A2DAA0B">
                      <w:pPr>
                        <w:rPr>
                          <w:i/>
                          <w:sz w:val="28"/>
                          <w:szCs w:val="28"/>
                        </w:rPr>
                      </w:pPr>
                    </w:p>
                  </w:txbxContent>
                </v:textbox>
                <w10:wrap type="square"/>
              </v:shape>
            </w:pict>
          </mc:Fallback>
        </mc:AlternateContent>
      </w:r>
      <w:r w:rsidRPr="00711414" w:rsidR="00711414">
        <w:rPr>
          <w:rFonts w:ascii="Times New Roman" w:hAnsi="Times New Roman" w:cs="Times New Roman"/>
          <w:b/>
          <w:sz w:val="36"/>
          <w:szCs w:val="36"/>
        </w:rPr>
        <w:t>OMB No. 19</w:t>
      </w:r>
      <w:r w:rsidR="00FE2197">
        <w:rPr>
          <w:rFonts w:ascii="Times New Roman" w:hAnsi="Times New Roman" w:cs="Times New Roman"/>
          <w:b/>
          <w:sz w:val="36"/>
          <w:szCs w:val="36"/>
        </w:rPr>
        <w:t>10</w:t>
      </w:r>
      <w:r w:rsidRPr="00711414" w:rsidR="00711414">
        <w:rPr>
          <w:rFonts w:ascii="Times New Roman" w:hAnsi="Times New Roman" w:cs="Times New Roman"/>
          <w:b/>
          <w:sz w:val="36"/>
          <w:szCs w:val="36"/>
        </w:rPr>
        <w:t>-</w:t>
      </w:r>
      <w:r w:rsidR="00372CF2">
        <w:rPr>
          <w:rFonts w:ascii="Times New Roman" w:hAnsi="Times New Roman" w:cs="Times New Roman"/>
          <w:b/>
          <w:sz w:val="36"/>
          <w:szCs w:val="36"/>
        </w:rPr>
        <w:t>5143</w:t>
      </w:r>
    </w:p>
    <w:p w:rsidR="001F3A8F" w:rsidRPr="00711414" w:rsidP="00711414" w14:paraId="02B66639" w14:textId="77777777">
      <w:pPr>
        <w:rPr>
          <w:i/>
          <w:sz w:val="28"/>
          <w:szCs w:val="28"/>
        </w:rPr>
      </w:pPr>
      <w:r>
        <w:rPr>
          <w:noProof/>
        </w:rPr>
        <mc:AlternateContent>
          <mc:Choice Requires="wps">
            <w:drawing>
              <wp:anchor distT="0" distB="0" distL="114300" distR="114300" simplePos="0" relativeHeight="251662336" behindDoc="0" locked="0" layoutInCell="1" allowOverlap="1">
                <wp:simplePos x="0" y="0"/>
                <wp:positionH relativeFrom="margin">
                  <wp:posOffset>95250</wp:posOffset>
                </wp:positionH>
                <wp:positionV relativeFrom="margin">
                  <wp:posOffset>6477000</wp:posOffset>
                </wp:positionV>
                <wp:extent cx="2377440" cy="497205"/>
                <wp:effectExtent l="0" t="0" r="0" b="0"/>
                <wp:wrapSquare wrapText="bothSides"/>
                <wp:docPr id="4"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7440" cy="4972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RPr="009818F9" w14:paraId="401DBF43" w14:textId="77777777">
                            <w:pPr>
                              <w:rPr>
                                <w:color w:val="A6A6A6" w:themeColor="background1" w:themeShade="A6"/>
                                <w:sz w:val="36"/>
                              </w:rPr>
                            </w:pPr>
                            <w:r>
                              <w:rPr>
                                <w:color w:val="A6A6A6" w:themeColor="background1" w:themeShade="A6"/>
                                <w:sz w:val="36"/>
                              </w:rPr>
                              <w:t>January 2026</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 o:spid="_x0000_s1027" type="#_x0000_t202" style="width:187.2pt;height:39.15pt;margin-top:510pt;margin-left: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3360" filled="f" stroked="f">
                <v:textbox style="mso-fit-shape-to-text:t" inset="0">
                  <w:txbxContent>
                    <w:p w:rsidR="008F16EC" w:rsidRPr="009818F9" w14:paraId="6323CAEC" w14:textId="55411ECD">
                      <w:pPr>
                        <w:rPr>
                          <w:color w:val="A6A6A6" w:themeColor="background1" w:themeShade="A6"/>
                          <w:sz w:val="36"/>
                        </w:rPr>
                      </w:pPr>
                      <w:r>
                        <w:rPr>
                          <w:color w:val="A6A6A6" w:themeColor="background1" w:themeShade="A6"/>
                          <w:sz w:val="36"/>
                        </w:rPr>
                        <w:t xml:space="preserve">January </w:t>
                      </w:r>
                      <w:r>
                        <w:rPr>
                          <w:color w:val="A6A6A6" w:themeColor="background1" w:themeShade="A6"/>
                          <w:sz w:val="36"/>
                        </w:rPr>
                        <w:t>2026</w:t>
                      </w:r>
                    </w:p>
                  </w:txbxContent>
                </v:textbox>
                <w10:wrap type="square"/>
              </v:shape>
            </w:pict>
          </mc:Fallback>
        </mc:AlternateContent>
      </w:r>
      <w:r>
        <w:rPr>
          <w:noProof/>
        </w:rPr>
        <mc:AlternateContent>
          <mc:Choice Requires="wps">
            <w:drawing>
              <wp:anchor distT="0" distB="0" distL="114300" distR="114300" simplePos="0" relativeHeight="251664384" behindDoc="1" locked="0" layoutInCell="1" allowOverlap="1">
                <wp:simplePos x="0" y="0"/>
                <wp:positionH relativeFrom="column">
                  <wp:posOffset>-450850</wp:posOffset>
                </wp:positionH>
                <wp:positionV relativeFrom="paragraph">
                  <wp:posOffset>4843780</wp:posOffset>
                </wp:positionV>
                <wp:extent cx="6858000" cy="62865"/>
                <wp:effectExtent l="0" t="0" r="3175" b="0"/>
                <wp:wrapThrough wrapText="bothSides">
                  <wp:wrapPolygon>
                    <wp:start x="-36" y="0"/>
                    <wp:lineTo x="-36" y="18545"/>
                    <wp:lineTo x="21600" y="18545"/>
                    <wp:lineTo x="21600" y="0"/>
                    <wp:lineTo x="-36" y="0"/>
                  </wp:wrapPolygon>
                </wp:wrapThrough>
                <wp:docPr id="3" name="Rectangle 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62865"/>
                        </a:xfrm>
                        <a:prstGeom prst="rect">
                          <a:avLst/>
                        </a:prstGeom>
                        <a:solidFill>
                          <a:srgbClr val="0C95D3"/>
                        </a:solidFill>
                        <a:ln>
                          <a:noFill/>
                        </a:ln>
                        <a:effectLst/>
                        <a:extLst>
                          <a:ext xmlns:a="http://schemas.openxmlformats.org/drawingml/2006/main" uri="{91240B29-F687-4F45-9708-019B960494DF}">
                            <a14:hiddenLine xmlns:a14="http://schemas.microsoft.com/office/drawing/2010/main" w="38100">
                              <a:solidFill>
                                <a:schemeClr val="lt1">
                                  <a:lumMod val="9500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accent5">
                                    <a:lumMod val="50000"/>
                                    <a:lumOff val="0"/>
                                    <a:alpha val="50000"/>
                                  </a:schemeClr>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4" o:spid="_x0000_s1028" style="width:540pt;height:4.95pt;margin-top:381.4pt;margin-left:-35.5pt;mso-height-percent:0;mso-height-relative:page;mso-width-percent:0;mso-width-relative:page;mso-wrap-distance-bottom:0;mso-wrap-distance-left:9pt;mso-wrap-distance-right:9pt;mso-wrap-distance-top:0;mso-wrap-style:square;position:absolute;visibility:visible;v-text-anchor:top;z-index:-251651072" fillcolor="#0c95d3" stroked="f" strokecolor="#f2f2f2" strokeweight="3pt">
                <v:shadow color="#50191f" opacity="0.5" offset="1pt"/>
                <w10:wrap type="through"/>
              </v:rect>
            </w:pict>
          </mc:Fallback>
        </mc:AlternateContent>
      </w:r>
      <w:r w:rsidR="00FB6BF3">
        <w:rPr>
          <w:noProof/>
        </w:rPr>
        <w:t xml:space="preserve"> </w:t>
      </w:r>
      <w:r w:rsidR="00711414">
        <w:rPr>
          <w:noProof/>
        </w:rPr>
        <mc:AlternateContent>
          <mc:Choice Requires="wps">
            <w:drawing>
              <wp:anchor distT="0" distB="0" distL="114300" distR="114300" simplePos="0" relativeHeight="251660288" behindDoc="0" locked="0" layoutInCell="1" allowOverlap="1">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38900" cy="7099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RPr="00AA3D91" w:rsidP="00D001E4" w14:paraId="24643ADD" w14:textId="77777777">
                            <w:pPr>
                              <w:spacing w:line="240" w:lineRule="auto"/>
                              <w:ind w:left="90"/>
                              <w:rPr>
                                <w:sz w:val="52"/>
                                <w:szCs w:val="52"/>
                              </w:rPr>
                            </w:pPr>
                          </w:p>
                        </w:txbxContent>
                      </wps:txbx>
                      <wps:bodyPr rot="0" vert="horz" wrap="square" lIns="0" tIns="45720" rIns="91440" bIns="45720" anchor="b" anchorCtr="0" upright="1"/>
                    </wps:wsp>
                  </a:graphicData>
                </a:graphic>
                <wp14:sizeRelH relativeFrom="margin">
                  <wp14:pctWidth>0</wp14:pctWidth>
                </wp14:sizeRelH>
                <wp14:sizeRelV relativeFrom="margin">
                  <wp14:pctHeight>0</wp14:pctHeight>
                </wp14:sizeRelV>
              </wp:anchor>
            </w:drawing>
          </mc:Choice>
          <mc:Fallback>
            <w:pict>
              <v:shape id="Text Box 29" o:spid="_x0000_s1029" type="#_x0000_t202" style="width:507pt;height:55.9pt;margin-top:54.2pt;margin-left:-6pt;mso-height-percent:0;mso-height-relative:margin;mso-position-horizontal-relative:margin;mso-width-percent:0;mso-width-relative:margin;mso-wrap-distance-bottom:0;mso-wrap-distance-left:9pt;mso-wrap-distance-right:9pt;mso-wrap-distance-top:0;mso-wrap-style:square;position:absolute;visibility:visible;v-text-anchor:bottom;z-index:251661312" filled="f" stroked="f">
                <v:textbox inset="0">
                  <w:txbxContent>
                    <w:p w:rsidR="008F16EC" w:rsidRPr="00AA3D91" w:rsidP="00D001E4" w14:paraId="1EDE1920" w14:textId="77777777">
                      <w:pPr>
                        <w:spacing w:line="240" w:lineRule="auto"/>
                        <w:ind w:left="90"/>
                        <w:rPr>
                          <w:sz w:val="52"/>
                          <w:szCs w:val="52"/>
                        </w:rPr>
                      </w:pPr>
                    </w:p>
                  </w:txbxContent>
                </v:textbox>
                <w10:wrap anchorx="margin"/>
              </v:shape>
            </w:pict>
          </mc:Fallback>
        </mc:AlternateContent>
      </w:r>
      <w:r w:rsidR="00711414">
        <w:rPr>
          <w:noProof/>
          <w:color w:val="A6A6A6" w:themeColor="background1" w:themeShade="A6"/>
        </w:rPr>
        <mc:AlternateContent>
          <mc:Choice Requires="wps">
            <w:drawing>
              <wp:anchor distT="0" distB="0" distL="114300" distR="114300" simplePos="0" relativeHeight="251666432" behindDoc="0" locked="0" layoutInCell="1" allowOverlap="1">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P="00FE2197" w14:paraId="2035D78E" w14:textId="77777777">
                            <w:pPr>
                              <w:spacing w:before="40" w:after="0"/>
                            </w:pPr>
                          </w:p>
                        </w:txbxContent>
                      </wps:txbx>
                      <wps:bodyPr rot="0" vert="horz" wrap="square" lIns="0" tIns="45720" rIns="0" bIns="45720" anchor="t" anchorCtr="0" upright="1"/>
                    </wps:wsp>
                  </a:graphicData>
                </a:graphic>
                <wp14:sizeRelH relativeFrom="margin">
                  <wp14:pctWidth>0</wp14:pctWidth>
                </wp14:sizeRelH>
                <wp14:sizeRelV relativeFrom="margin">
                  <wp14:pctHeight>0</wp14:pctHeight>
                </wp14:sizeRelV>
              </wp:anchor>
            </w:drawing>
          </mc:Choice>
          <mc:Fallback>
            <w:pict>
              <v:shape id="Text Box 35" o:spid="_x0000_s1030" type="#_x0000_t202" style="width:214pt;height:48pt;margin-top:628pt;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7456" filled="f" stroked="f">
                <v:textbox inset="0,,0">
                  <w:txbxContent>
                    <w:p w:rsidR="008F16EC" w:rsidP="00FE2197" w14:paraId="687AD451" w14:textId="77777777">
                      <w:pPr>
                        <w:spacing w:before="40" w:after="0"/>
                      </w:pPr>
                    </w:p>
                  </w:txbxContent>
                </v:textbox>
                <w10:wrap type="square"/>
              </v:shape>
            </w:pict>
          </mc:Fallback>
        </mc:AlternateContent>
      </w:r>
      <w:r w:rsidR="00711414">
        <w:rPr>
          <w:noProof/>
          <w:color w:val="A6A6A6" w:themeColor="background1" w:themeShade="A6"/>
        </w:rPr>
        <mc:AlternateContent>
          <mc:Choice Requires="wps">
            <w:drawing>
              <wp:anchor distT="0" distB="0" distL="114300" distR="114300" simplePos="0" relativeHeight="251668480" behindDoc="0" locked="0" layoutInCell="1" allowOverlap="1">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RPr="008F4CBD" w:rsidP="002556F3" w14:paraId="78C92605"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8F16EC" w:rsidRPr="008F4CBD" w:rsidP="002556F3" w14:paraId="57C47D4F"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36" o:spid="_x0000_s1031" type="#_x0000_t202" style="width:214pt;height:48pt;margin-top:628pt;margin-left:25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9504" filled="f" stroked="f">
                <v:textbox inset="0">
                  <w:txbxContent>
                    <w:p w:rsidR="008F16EC" w:rsidRPr="008F4CBD" w:rsidP="002556F3" w14:paraId="100E6CF1"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8F16EC" w:rsidRPr="008F4CBD" w:rsidP="002556F3" w14:paraId="147610A0"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v:shape>
            </w:pict>
          </mc:Fallback>
        </mc:AlternateContent>
      </w:r>
      <w:r w:rsidR="001F3A8F">
        <w:br w:type="page"/>
      </w:r>
    </w:p>
    <w:p w:rsidR="00755C3D" w:rsidP="00D928FD" w14:paraId="2A7C5480" w14:textId="77777777">
      <w:pPr>
        <w:sectPr w:rsidSect="001F3A8F">
          <w:headerReference w:type="default" r:id="rId11"/>
          <w:footerReference w:type="default" r:id="rId12"/>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eastAsiaTheme="minorEastAsia" w:hAnsiTheme="minorHAnsi" w:cstheme="minorBidi"/>
          <w:b w:val="0"/>
          <w:bCs w:val="0"/>
          <w:color w:val="auto"/>
          <w:sz w:val="22"/>
          <w:szCs w:val="22"/>
        </w:rPr>
        <w:id w:val="819469860"/>
        <w:docPartObj>
          <w:docPartGallery w:val="Table of Contents"/>
          <w:docPartUnique/>
        </w:docPartObj>
      </w:sdtPr>
      <w:sdtEndPr>
        <w:rPr>
          <w:noProof/>
        </w:rPr>
      </w:sdtEndPr>
      <w:sdtContent>
        <w:p w:rsidR="0059212D" w:rsidP="00EE2CAF" w14:paraId="7EC28A64" w14:textId="77777777">
          <w:pPr>
            <w:pStyle w:val="TOCHeading"/>
          </w:pPr>
          <w:r>
            <w:t>Table of Contents</w:t>
          </w:r>
        </w:p>
        <w:p w:rsidR="00537A91" w14:paraId="084411A6" w14:textId="77777777">
          <w:pPr>
            <w:pStyle w:val="TOC1"/>
            <w:rPr>
              <w:rFonts w:eastAsiaTheme="minorEastAsia"/>
              <w:noProof/>
              <w:color w:val="auto"/>
            </w:rPr>
          </w:pPr>
          <w:r>
            <w:fldChar w:fldCharType="begin"/>
          </w:r>
          <w:r>
            <w:instrText xml:space="preserve"> TOC \o "1-3" \h \z \u </w:instrText>
          </w:r>
          <w:r>
            <w:fldChar w:fldCharType="separate"/>
          </w:r>
          <w:hyperlink w:anchor="_Toc16271317" w:history="1">
            <w:r w:rsidRPr="00D50FB3">
              <w:rPr>
                <w:rStyle w:val="Hyperlink"/>
                <w:noProof/>
              </w:rPr>
              <w:t>Part A: Justification</w:t>
            </w:r>
            <w:r>
              <w:rPr>
                <w:noProof/>
                <w:webHidden/>
              </w:rPr>
              <w:tab/>
            </w:r>
            <w:r>
              <w:rPr>
                <w:noProof/>
                <w:webHidden/>
              </w:rPr>
              <w:fldChar w:fldCharType="begin"/>
            </w:r>
            <w:r>
              <w:rPr>
                <w:noProof/>
                <w:webHidden/>
              </w:rPr>
              <w:instrText xml:space="preserve"> PAGEREF _Toc16271317 \h </w:instrText>
            </w:r>
            <w:r>
              <w:rPr>
                <w:noProof/>
                <w:webHidden/>
              </w:rPr>
              <w:fldChar w:fldCharType="separate"/>
            </w:r>
            <w:r>
              <w:rPr>
                <w:noProof/>
                <w:webHidden/>
              </w:rPr>
              <w:t>i</w:t>
            </w:r>
            <w:r>
              <w:rPr>
                <w:noProof/>
                <w:webHidden/>
              </w:rPr>
              <w:fldChar w:fldCharType="end"/>
            </w:r>
          </w:hyperlink>
        </w:p>
        <w:p w:rsidR="00537A91" w14:paraId="3665AF66" w14:textId="77777777">
          <w:pPr>
            <w:pStyle w:val="TOC2"/>
            <w:rPr>
              <w:rFonts w:eastAsiaTheme="minorEastAsia"/>
              <w:noProof/>
              <w:color w:val="auto"/>
            </w:rPr>
          </w:pPr>
          <w:hyperlink w:anchor="_Toc16271318" w:history="1">
            <w:r w:rsidRPr="00D50FB3">
              <w:rPr>
                <w:rStyle w:val="Hyperlink"/>
                <w:noProof/>
              </w:rPr>
              <w:t>Introduction</w:t>
            </w:r>
            <w:r>
              <w:rPr>
                <w:noProof/>
                <w:webHidden/>
              </w:rPr>
              <w:tab/>
            </w:r>
            <w:r>
              <w:rPr>
                <w:noProof/>
                <w:webHidden/>
              </w:rPr>
              <w:fldChar w:fldCharType="begin"/>
            </w:r>
            <w:r>
              <w:rPr>
                <w:noProof/>
                <w:webHidden/>
              </w:rPr>
              <w:instrText xml:space="preserve"> PAGEREF _Toc16271318 \h </w:instrText>
            </w:r>
            <w:r>
              <w:rPr>
                <w:noProof/>
                <w:webHidden/>
              </w:rPr>
              <w:fldChar w:fldCharType="separate"/>
            </w:r>
            <w:r>
              <w:rPr>
                <w:noProof/>
                <w:webHidden/>
              </w:rPr>
              <w:t>2</w:t>
            </w:r>
            <w:r>
              <w:rPr>
                <w:noProof/>
                <w:webHidden/>
              </w:rPr>
              <w:fldChar w:fldCharType="end"/>
            </w:r>
          </w:hyperlink>
        </w:p>
        <w:p w:rsidR="00537A91" w14:paraId="7606A854" w14:textId="77777777">
          <w:pPr>
            <w:pStyle w:val="TOC2"/>
            <w:rPr>
              <w:rFonts w:eastAsiaTheme="minorEastAsia"/>
              <w:noProof/>
              <w:color w:val="auto"/>
            </w:rPr>
          </w:pPr>
          <w:hyperlink w:anchor="_Toc16271319" w:history="1">
            <w:r w:rsidRPr="00D50FB3">
              <w:rPr>
                <w:rStyle w:val="Hyperlink"/>
                <w:noProof/>
              </w:rPr>
              <w:t>A.1. Legal Justification</w:t>
            </w:r>
            <w:r>
              <w:rPr>
                <w:noProof/>
                <w:webHidden/>
              </w:rPr>
              <w:tab/>
            </w:r>
            <w:r>
              <w:rPr>
                <w:noProof/>
                <w:webHidden/>
              </w:rPr>
              <w:fldChar w:fldCharType="begin"/>
            </w:r>
            <w:r>
              <w:rPr>
                <w:noProof/>
                <w:webHidden/>
              </w:rPr>
              <w:instrText xml:space="preserve"> PAGEREF _Toc16271319 \h </w:instrText>
            </w:r>
            <w:r>
              <w:rPr>
                <w:noProof/>
                <w:webHidden/>
              </w:rPr>
              <w:fldChar w:fldCharType="separate"/>
            </w:r>
            <w:r>
              <w:rPr>
                <w:noProof/>
                <w:webHidden/>
              </w:rPr>
              <w:t>2</w:t>
            </w:r>
            <w:r>
              <w:rPr>
                <w:noProof/>
                <w:webHidden/>
              </w:rPr>
              <w:fldChar w:fldCharType="end"/>
            </w:r>
          </w:hyperlink>
        </w:p>
        <w:p w:rsidR="00537A91" w14:paraId="78749B45" w14:textId="77777777">
          <w:pPr>
            <w:pStyle w:val="TOC2"/>
            <w:rPr>
              <w:rFonts w:eastAsiaTheme="minorEastAsia"/>
              <w:noProof/>
              <w:color w:val="auto"/>
            </w:rPr>
          </w:pPr>
          <w:hyperlink w:anchor="_Toc16271320" w:history="1">
            <w:r w:rsidRPr="00D50FB3">
              <w:rPr>
                <w:rStyle w:val="Hyperlink"/>
                <w:noProof/>
              </w:rPr>
              <w:t>A.2. Needs and Uses of Data</w:t>
            </w:r>
            <w:r>
              <w:rPr>
                <w:noProof/>
                <w:webHidden/>
              </w:rPr>
              <w:tab/>
            </w:r>
            <w:r>
              <w:rPr>
                <w:noProof/>
                <w:webHidden/>
              </w:rPr>
              <w:fldChar w:fldCharType="begin"/>
            </w:r>
            <w:r>
              <w:rPr>
                <w:noProof/>
                <w:webHidden/>
              </w:rPr>
              <w:instrText xml:space="preserve"> PAGEREF _Toc16271320 \h </w:instrText>
            </w:r>
            <w:r>
              <w:rPr>
                <w:noProof/>
                <w:webHidden/>
              </w:rPr>
              <w:fldChar w:fldCharType="separate"/>
            </w:r>
            <w:r>
              <w:rPr>
                <w:noProof/>
                <w:webHidden/>
              </w:rPr>
              <w:t>2</w:t>
            </w:r>
            <w:r>
              <w:rPr>
                <w:noProof/>
                <w:webHidden/>
              </w:rPr>
              <w:fldChar w:fldCharType="end"/>
            </w:r>
          </w:hyperlink>
        </w:p>
        <w:p w:rsidR="00537A91" w14:paraId="2C75908B" w14:textId="77777777">
          <w:pPr>
            <w:pStyle w:val="TOC2"/>
            <w:rPr>
              <w:rFonts w:eastAsiaTheme="minorEastAsia"/>
              <w:noProof/>
              <w:color w:val="auto"/>
            </w:rPr>
          </w:pPr>
          <w:hyperlink w:anchor="_Toc16271321" w:history="1">
            <w:r w:rsidRPr="00D50FB3">
              <w:rPr>
                <w:rStyle w:val="Hyperlink"/>
                <w:noProof/>
              </w:rPr>
              <w:t>A.3. Use of Technology</w:t>
            </w:r>
            <w:r>
              <w:rPr>
                <w:noProof/>
                <w:webHidden/>
              </w:rPr>
              <w:tab/>
            </w:r>
            <w:r>
              <w:rPr>
                <w:noProof/>
                <w:webHidden/>
              </w:rPr>
              <w:fldChar w:fldCharType="begin"/>
            </w:r>
            <w:r>
              <w:rPr>
                <w:noProof/>
                <w:webHidden/>
              </w:rPr>
              <w:instrText xml:space="preserve"> PAGEREF _Toc16271321 \h </w:instrText>
            </w:r>
            <w:r>
              <w:rPr>
                <w:noProof/>
                <w:webHidden/>
              </w:rPr>
              <w:fldChar w:fldCharType="separate"/>
            </w:r>
            <w:r>
              <w:rPr>
                <w:noProof/>
                <w:webHidden/>
              </w:rPr>
              <w:t>3</w:t>
            </w:r>
            <w:r>
              <w:rPr>
                <w:noProof/>
                <w:webHidden/>
              </w:rPr>
              <w:fldChar w:fldCharType="end"/>
            </w:r>
          </w:hyperlink>
        </w:p>
        <w:p w:rsidR="00537A91" w14:paraId="3536DC52" w14:textId="77777777">
          <w:pPr>
            <w:pStyle w:val="TOC2"/>
            <w:rPr>
              <w:rFonts w:eastAsiaTheme="minorEastAsia"/>
              <w:noProof/>
              <w:color w:val="auto"/>
            </w:rPr>
          </w:pPr>
          <w:hyperlink w:anchor="_Toc16271322" w:history="1">
            <w:r w:rsidRPr="00D50FB3">
              <w:rPr>
                <w:rStyle w:val="Hyperlink"/>
                <w:noProof/>
              </w:rPr>
              <w:t>A.4. Efforts to Identify Duplication</w:t>
            </w:r>
            <w:r>
              <w:rPr>
                <w:noProof/>
                <w:webHidden/>
              </w:rPr>
              <w:tab/>
            </w:r>
            <w:r>
              <w:rPr>
                <w:noProof/>
                <w:webHidden/>
              </w:rPr>
              <w:fldChar w:fldCharType="begin"/>
            </w:r>
            <w:r>
              <w:rPr>
                <w:noProof/>
                <w:webHidden/>
              </w:rPr>
              <w:instrText xml:space="preserve"> PAGEREF _Toc16271322 \h </w:instrText>
            </w:r>
            <w:r>
              <w:rPr>
                <w:noProof/>
                <w:webHidden/>
              </w:rPr>
              <w:fldChar w:fldCharType="separate"/>
            </w:r>
            <w:r>
              <w:rPr>
                <w:noProof/>
                <w:webHidden/>
              </w:rPr>
              <w:t>4</w:t>
            </w:r>
            <w:r>
              <w:rPr>
                <w:noProof/>
                <w:webHidden/>
              </w:rPr>
              <w:fldChar w:fldCharType="end"/>
            </w:r>
          </w:hyperlink>
        </w:p>
        <w:p w:rsidR="00537A91" w14:paraId="14AEF5A2" w14:textId="77777777">
          <w:pPr>
            <w:pStyle w:val="TOC2"/>
            <w:rPr>
              <w:rFonts w:eastAsiaTheme="minorEastAsia"/>
              <w:noProof/>
              <w:color w:val="auto"/>
            </w:rPr>
          </w:pPr>
          <w:hyperlink w:anchor="_Toc16271323" w:history="1">
            <w:r w:rsidRPr="00D50FB3">
              <w:rPr>
                <w:rStyle w:val="Hyperlink"/>
                <w:noProof/>
              </w:rPr>
              <w:t>A.5. Provisions for Reducing Burden on Small Businesses</w:t>
            </w:r>
            <w:r>
              <w:rPr>
                <w:noProof/>
                <w:webHidden/>
              </w:rPr>
              <w:tab/>
            </w:r>
            <w:r>
              <w:rPr>
                <w:noProof/>
                <w:webHidden/>
              </w:rPr>
              <w:fldChar w:fldCharType="begin"/>
            </w:r>
            <w:r>
              <w:rPr>
                <w:noProof/>
                <w:webHidden/>
              </w:rPr>
              <w:instrText xml:space="preserve"> PAGEREF _Toc16271323 \h </w:instrText>
            </w:r>
            <w:r>
              <w:rPr>
                <w:noProof/>
                <w:webHidden/>
              </w:rPr>
              <w:fldChar w:fldCharType="separate"/>
            </w:r>
            <w:r>
              <w:rPr>
                <w:noProof/>
                <w:webHidden/>
              </w:rPr>
              <w:t>4</w:t>
            </w:r>
            <w:r>
              <w:rPr>
                <w:noProof/>
                <w:webHidden/>
              </w:rPr>
              <w:fldChar w:fldCharType="end"/>
            </w:r>
          </w:hyperlink>
        </w:p>
        <w:p w:rsidR="00537A91" w14:paraId="1711F20A" w14:textId="77777777">
          <w:pPr>
            <w:pStyle w:val="TOC2"/>
            <w:rPr>
              <w:rFonts w:eastAsiaTheme="minorEastAsia"/>
              <w:noProof/>
              <w:color w:val="auto"/>
            </w:rPr>
          </w:pPr>
          <w:hyperlink w:anchor="_Toc16271324" w:history="1">
            <w:r w:rsidRPr="00D50FB3">
              <w:rPr>
                <w:rStyle w:val="Hyperlink"/>
                <w:noProof/>
              </w:rPr>
              <w:t>A.6. Consequences of Less-Frequent Reporting</w:t>
            </w:r>
            <w:r>
              <w:rPr>
                <w:noProof/>
                <w:webHidden/>
              </w:rPr>
              <w:tab/>
            </w:r>
            <w:r>
              <w:rPr>
                <w:noProof/>
                <w:webHidden/>
              </w:rPr>
              <w:fldChar w:fldCharType="begin"/>
            </w:r>
            <w:r>
              <w:rPr>
                <w:noProof/>
                <w:webHidden/>
              </w:rPr>
              <w:instrText xml:space="preserve"> PAGEREF _Toc16271324 \h </w:instrText>
            </w:r>
            <w:r>
              <w:rPr>
                <w:noProof/>
                <w:webHidden/>
              </w:rPr>
              <w:fldChar w:fldCharType="separate"/>
            </w:r>
            <w:r>
              <w:rPr>
                <w:noProof/>
                <w:webHidden/>
              </w:rPr>
              <w:t>4</w:t>
            </w:r>
            <w:r>
              <w:rPr>
                <w:noProof/>
                <w:webHidden/>
              </w:rPr>
              <w:fldChar w:fldCharType="end"/>
            </w:r>
          </w:hyperlink>
        </w:p>
        <w:p w:rsidR="00537A91" w14:paraId="267F273A" w14:textId="77777777">
          <w:pPr>
            <w:pStyle w:val="TOC2"/>
            <w:rPr>
              <w:rFonts w:eastAsiaTheme="minorEastAsia"/>
              <w:noProof/>
              <w:color w:val="auto"/>
            </w:rPr>
          </w:pPr>
          <w:hyperlink w:anchor="_Toc16271325" w:history="1">
            <w:r w:rsidRPr="00D50FB3">
              <w:rPr>
                <w:rStyle w:val="Hyperlink"/>
                <w:noProof/>
              </w:rPr>
              <w:t>A.7. Compliance with 5 CFR 1320.5</w:t>
            </w:r>
            <w:r>
              <w:rPr>
                <w:noProof/>
                <w:webHidden/>
              </w:rPr>
              <w:tab/>
            </w:r>
            <w:r>
              <w:rPr>
                <w:noProof/>
                <w:webHidden/>
              </w:rPr>
              <w:fldChar w:fldCharType="begin"/>
            </w:r>
            <w:r>
              <w:rPr>
                <w:noProof/>
                <w:webHidden/>
              </w:rPr>
              <w:instrText xml:space="preserve"> PAGEREF _Toc16271325 \h </w:instrText>
            </w:r>
            <w:r>
              <w:rPr>
                <w:noProof/>
                <w:webHidden/>
              </w:rPr>
              <w:fldChar w:fldCharType="separate"/>
            </w:r>
            <w:r>
              <w:rPr>
                <w:noProof/>
                <w:webHidden/>
              </w:rPr>
              <w:t>4</w:t>
            </w:r>
            <w:r>
              <w:rPr>
                <w:noProof/>
                <w:webHidden/>
              </w:rPr>
              <w:fldChar w:fldCharType="end"/>
            </w:r>
          </w:hyperlink>
        </w:p>
        <w:p w:rsidR="00537A91" w14:paraId="77109B62" w14:textId="77777777">
          <w:pPr>
            <w:pStyle w:val="TOC2"/>
            <w:rPr>
              <w:rFonts w:eastAsiaTheme="minorEastAsia"/>
              <w:noProof/>
              <w:color w:val="auto"/>
            </w:rPr>
          </w:pPr>
          <w:hyperlink w:anchor="_Toc16271326" w:history="1">
            <w:r w:rsidRPr="00D50FB3">
              <w:rPr>
                <w:rStyle w:val="Hyperlink"/>
                <w:noProof/>
              </w:rPr>
              <w:t>A.8. Summary of Consultations Outside of the Agency</w:t>
            </w:r>
            <w:r>
              <w:rPr>
                <w:noProof/>
                <w:webHidden/>
              </w:rPr>
              <w:tab/>
            </w:r>
            <w:r>
              <w:rPr>
                <w:noProof/>
                <w:webHidden/>
              </w:rPr>
              <w:fldChar w:fldCharType="begin"/>
            </w:r>
            <w:r>
              <w:rPr>
                <w:noProof/>
                <w:webHidden/>
              </w:rPr>
              <w:instrText xml:space="preserve"> PAGEREF _Toc16271326 \h </w:instrText>
            </w:r>
            <w:r>
              <w:rPr>
                <w:noProof/>
                <w:webHidden/>
              </w:rPr>
              <w:fldChar w:fldCharType="separate"/>
            </w:r>
            <w:r>
              <w:rPr>
                <w:noProof/>
                <w:webHidden/>
              </w:rPr>
              <w:t>5</w:t>
            </w:r>
            <w:r>
              <w:rPr>
                <w:noProof/>
                <w:webHidden/>
              </w:rPr>
              <w:fldChar w:fldCharType="end"/>
            </w:r>
          </w:hyperlink>
        </w:p>
        <w:p w:rsidR="00537A91" w14:paraId="5325EB19" w14:textId="77777777">
          <w:pPr>
            <w:pStyle w:val="TOC2"/>
            <w:rPr>
              <w:rFonts w:eastAsiaTheme="minorEastAsia"/>
              <w:noProof/>
              <w:color w:val="auto"/>
            </w:rPr>
          </w:pPr>
          <w:hyperlink w:anchor="_Toc16271327" w:history="1">
            <w:r w:rsidRPr="00D50FB3">
              <w:rPr>
                <w:rStyle w:val="Hyperlink"/>
                <w:noProof/>
              </w:rPr>
              <w:t>A.9. Payments or Gifts to Respondents</w:t>
            </w:r>
            <w:r>
              <w:rPr>
                <w:noProof/>
                <w:webHidden/>
              </w:rPr>
              <w:tab/>
            </w:r>
            <w:r>
              <w:rPr>
                <w:noProof/>
                <w:webHidden/>
              </w:rPr>
              <w:fldChar w:fldCharType="begin"/>
            </w:r>
            <w:r>
              <w:rPr>
                <w:noProof/>
                <w:webHidden/>
              </w:rPr>
              <w:instrText xml:space="preserve"> PAGEREF _Toc16271327 \h </w:instrText>
            </w:r>
            <w:r>
              <w:rPr>
                <w:noProof/>
                <w:webHidden/>
              </w:rPr>
              <w:fldChar w:fldCharType="separate"/>
            </w:r>
            <w:r>
              <w:rPr>
                <w:noProof/>
                <w:webHidden/>
              </w:rPr>
              <w:t>6</w:t>
            </w:r>
            <w:r>
              <w:rPr>
                <w:noProof/>
                <w:webHidden/>
              </w:rPr>
              <w:fldChar w:fldCharType="end"/>
            </w:r>
          </w:hyperlink>
        </w:p>
        <w:p w:rsidR="00537A91" w14:paraId="70B8F885" w14:textId="77777777">
          <w:pPr>
            <w:pStyle w:val="TOC2"/>
            <w:rPr>
              <w:rFonts w:eastAsiaTheme="minorEastAsia"/>
              <w:noProof/>
              <w:color w:val="auto"/>
            </w:rPr>
          </w:pPr>
          <w:hyperlink w:anchor="_Toc16271328" w:history="1">
            <w:r w:rsidRPr="00D50FB3">
              <w:rPr>
                <w:rStyle w:val="Hyperlink"/>
                <w:noProof/>
              </w:rPr>
              <w:t>A.10. Provisions for Protection of Information</w:t>
            </w:r>
            <w:r>
              <w:rPr>
                <w:noProof/>
                <w:webHidden/>
              </w:rPr>
              <w:tab/>
            </w:r>
            <w:r>
              <w:rPr>
                <w:noProof/>
                <w:webHidden/>
              </w:rPr>
              <w:fldChar w:fldCharType="begin"/>
            </w:r>
            <w:r>
              <w:rPr>
                <w:noProof/>
                <w:webHidden/>
              </w:rPr>
              <w:instrText xml:space="preserve"> PAGEREF _Toc16271328 \h </w:instrText>
            </w:r>
            <w:r>
              <w:rPr>
                <w:noProof/>
                <w:webHidden/>
              </w:rPr>
              <w:fldChar w:fldCharType="separate"/>
            </w:r>
            <w:r>
              <w:rPr>
                <w:noProof/>
                <w:webHidden/>
              </w:rPr>
              <w:t>6</w:t>
            </w:r>
            <w:r>
              <w:rPr>
                <w:noProof/>
                <w:webHidden/>
              </w:rPr>
              <w:fldChar w:fldCharType="end"/>
            </w:r>
          </w:hyperlink>
        </w:p>
        <w:p w:rsidR="00537A91" w14:paraId="0322E960" w14:textId="77777777">
          <w:pPr>
            <w:pStyle w:val="TOC2"/>
            <w:rPr>
              <w:rFonts w:eastAsiaTheme="minorEastAsia"/>
              <w:noProof/>
              <w:color w:val="auto"/>
            </w:rPr>
          </w:pPr>
          <w:hyperlink w:anchor="_Toc16271329" w:history="1">
            <w:r w:rsidRPr="00D50FB3">
              <w:rPr>
                <w:rStyle w:val="Hyperlink"/>
                <w:noProof/>
              </w:rPr>
              <w:t>A.11. Justification for Sensitive Questions</w:t>
            </w:r>
            <w:r>
              <w:rPr>
                <w:noProof/>
                <w:webHidden/>
              </w:rPr>
              <w:tab/>
            </w:r>
            <w:r>
              <w:rPr>
                <w:noProof/>
                <w:webHidden/>
              </w:rPr>
              <w:fldChar w:fldCharType="begin"/>
            </w:r>
            <w:r>
              <w:rPr>
                <w:noProof/>
                <w:webHidden/>
              </w:rPr>
              <w:instrText xml:space="preserve"> PAGEREF _Toc16271329 \h </w:instrText>
            </w:r>
            <w:r>
              <w:rPr>
                <w:noProof/>
                <w:webHidden/>
              </w:rPr>
              <w:fldChar w:fldCharType="separate"/>
            </w:r>
            <w:r>
              <w:rPr>
                <w:noProof/>
                <w:webHidden/>
              </w:rPr>
              <w:t>6</w:t>
            </w:r>
            <w:r>
              <w:rPr>
                <w:noProof/>
                <w:webHidden/>
              </w:rPr>
              <w:fldChar w:fldCharType="end"/>
            </w:r>
          </w:hyperlink>
        </w:p>
        <w:p w:rsidR="00537A91" w14:paraId="6D5FC072" w14:textId="77777777">
          <w:pPr>
            <w:pStyle w:val="TOC2"/>
            <w:rPr>
              <w:rFonts w:eastAsiaTheme="minorEastAsia"/>
              <w:noProof/>
              <w:color w:val="auto"/>
            </w:rPr>
          </w:pPr>
          <w:hyperlink w:anchor="_Toc16271330" w:history="1">
            <w:r w:rsidRPr="00D50FB3">
              <w:rPr>
                <w:rStyle w:val="Hyperlink"/>
                <w:noProof/>
              </w:rPr>
              <w:t>A.12A. Estimate of Respondent Burden Hours</w:t>
            </w:r>
            <w:r>
              <w:rPr>
                <w:noProof/>
                <w:webHidden/>
              </w:rPr>
              <w:tab/>
            </w:r>
            <w:r>
              <w:rPr>
                <w:noProof/>
                <w:webHidden/>
              </w:rPr>
              <w:fldChar w:fldCharType="begin"/>
            </w:r>
            <w:r>
              <w:rPr>
                <w:noProof/>
                <w:webHidden/>
              </w:rPr>
              <w:instrText xml:space="preserve"> PAGEREF _Toc16271330 \h </w:instrText>
            </w:r>
            <w:r>
              <w:rPr>
                <w:noProof/>
                <w:webHidden/>
              </w:rPr>
              <w:fldChar w:fldCharType="separate"/>
            </w:r>
            <w:r>
              <w:rPr>
                <w:noProof/>
                <w:webHidden/>
              </w:rPr>
              <w:t>6</w:t>
            </w:r>
            <w:r>
              <w:rPr>
                <w:noProof/>
                <w:webHidden/>
              </w:rPr>
              <w:fldChar w:fldCharType="end"/>
            </w:r>
          </w:hyperlink>
        </w:p>
        <w:p w:rsidR="00537A91" w14:paraId="0D66B494" w14:textId="77777777">
          <w:pPr>
            <w:pStyle w:val="TOC2"/>
            <w:rPr>
              <w:rFonts w:eastAsiaTheme="minorEastAsia"/>
              <w:noProof/>
              <w:color w:val="auto"/>
            </w:rPr>
          </w:pPr>
          <w:hyperlink w:anchor="_Toc16271331" w:history="1">
            <w:r w:rsidRPr="00D50FB3">
              <w:rPr>
                <w:rStyle w:val="Hyperlink"/>
                <w:noProof/>
              </w:rPr>
              <w:t>A.12B. Estimate of Annual Cost to Respondent for Burden Hours</w:t>
            </w:r>
            <w:r>
              <w:rPr>
                <w:noProof/>
                <w:webHidden/>
              </w:rPr>
              <w:tab/>
            </w:r>
            <w:r>
              <w:rPr>
                <w:noProof/>
                <w:webHidden/>
              </w:rPr>
              <w:fldChar w:fldCharType="begin"/>
            </w:r>
            <w:r>
              <w:rPr>
                <w:noProof/>
                <w:webHidden/>
              </w:rPr>
              <w:instrText xml:space="preserve"> PAGEREF _Toc16271331 \h </w:instrText>
            </w:r>
            <w:r>
              <w:rPr>
                <w:noProof/>
                <w:webHidden/>
              </w:rPr>
              <w:fldChar w:fldCharType="separate"/>
            </w:r>
            <w:r>
              <w:rPr>
                <w:noProof/>
                <w:webHidden/>
              </w:rPr>
              <w:t>7</w:t>
            </w:r>
            <w:r>
              <w:rPr>
                <w:noProof/>
                <w:webHidden/>
              </w:rPr>
              <w:fldChar w:fldCharType="end"/>
            </w:r>
          </w:hyperlink>
        </w:p>
        <w:p w:rsidR="00537A91" w14:paraId="382A502F" w14:textId="77777777">
          <w:pPr>
            <w:pStyle w:val="TOC2"/>
            <w:rPr>
              <w:rFonts w:eastAsiaTheme="minorEastAsia"/>
              <w:noProof/>
              <w:color w:val="auto"/>
            </w:rPr>
          </w:pPr>
          <w:hyperlink w:anchor="_Toc16271332" w:history="1">
            <w:r w:rsidRPr="00D50FB3">
              <w:rPr>
                <w:rStyle w:val="Hyperlink"/>
                <w:noProof/>
              </w:rPr>
              <w:t>A.13. Other Estimated Annual Cost to Respondents</w:t>
            </w:r>
            <w:r>
              <w:rPr>
                <w:noProof/>
                <w:webHidden/>
              </w:rPr>
              <w:tab/>
            </w:r>
            <w:r>
              <w:rPr>
                <w:noProof/>
                <w:webHidden/>
              </w:rPr>
              <w:fldChar w:fldCharType="begin"/>
            </w:r>
            <w:r>
              <w:rPr>
                <w:noProof/>
                <w:webHidden/>
              </w:rPr>
              <w:instrText xml:space="preserve"> PAGEREF _Toc16271332 \h </w:instrText>
            </w:r>
            <w:r>
              <w:rPr>
                <w:noProof/>
                <w:webHidden/>
              </w:rPr>
              <w:fldChar w:fldCharType="separate"/>
            </w:r>
            <w:r>
              <w:rPr>
                <w:noProof/>
                <w:webHidden/>
              </w:rPr>
              <w:t>8</w:t>
            </w:r>
            <w:r>
              <w:rPr>
                <w:noProof/>
                <w:webHidden/>
              </w:rPr>
              <w:fldChar w:fldCharType="end"/>
            </w:r>
          </w:hyperlink>
        </w:p>
        <w:p w:rsidR="00537A91" w14:paraId="4A52DA50" w14:textId="77777777">
          <w:pPr>
            <w:pStyle w:val="TOC2"/>
            <w:rPr>
              <w:rFonts w:eastAsiaTheme="minorEastAsia"/>
              <w:noProof/>
              <w:color w:val="auto"/>
            </w:rPr>
          </w:pPr>
          <w:hyperlink w:anchor="_Toc16271333" w:history="1">
            <w:r w:rsidRPr="00D50FB3">
              <w:rPr>
                <w:rStyle w:val="Hyperlink"/>
                <w:noProof/>
              </w:rPr>
              <w:t>A.14. Annual Cost to the Federal Government</w:t>
            </w:r>
            <w:r>
              <w:rPr>
                <w:noProof/>
                <w:webHidden/>
              </w:rPr>
              <w:tab/>
            </w:r>
            <w:r>
              <w:rPr>
                <w:noProof/>
                <w:webHidden/>
              </w:rPr>
              <w:fldChar w:fldCharType="begin"/>
            </w:r>
            <w:r>
              <w:rPr>
                <w:noProof/>
                <w:webHidden/>
              </w:rPr>
              <w:instrText xml:space="preserve"> PAGEREF _Toc16271333 \h </w:instrText>
            </w:r>
            <w:r>
              <w:rPr>
                <w:noProof/>
                <w:webHidden/>
              </w:rPr>
              <w:fldChar w:fldCharType="separate"/>
            </w:r>
            <w:r>
              <w:rPr>
                <w:noProof/>
                <w:webHidden/>
              </w:rPr>
              <w:t>8</w:t>
            </w:r>
            <w:r>
              <w:rPr>
                <w:noProof/>
                <w:webHidden/>
              </w:rPr>
              <w:fldChar w:fldCharType="end"/>
            </w:r>
          </w:hyperlink>
        </w:p>
        <w:p w:rsidR="00537A91" w14:paraId="678E1497" w14:textId="77777777">
          <w:pPr>
            <w:pStyle w:val="TOC2"/>
            <w:rPr>
              <w:rFonts w:eastAsiaTheme="minorEastAsia"/>
              <w:noProof/>
              <w:color w:val="auto"/>
            </w:rPr>
          </w:pPr>
          <w:hyperlink w:anchor="_Toc16271334" w:history="1">
            <w:r w:rsidRPr="00D50FB3">
              <w:rPr>
                <w:rStyle w:val="Hyperlink"/>
                <w:noProof/>
              </w:rPr>
              <w:t>A.15. Reasons for Changes in Burden</w:t>
            </w:r>
            <w:r>
              <w:rPr>
                <w:noProof/>
                <w:webHidden/>
              </w:rPr>
              <w:tab/>
            </w:r>
            <w:r>
              <w:rPr>
                <w:noProof/>
                <w:webHidden/>
              </w:rPr>
              <w:fldChar w:fldCharType="begin"/>
            </w:r>
            <w:r>
              <w:rPr>
                <w:noProof/>
                <w:webHidden/>
              </w:rPr>
              <w:instrText xml:space="preserve"> PAGEREF _Toc16271334 \h </w:instrText>
            </w:r>
            <w:r>
              <w:rPr>
                <w:noProof/>
                <w:webHidden/>
              </w:rPr>
              <w:fldChar w:fldCharType="separate"/>
            </w:r>
            <w:r>
              <w:rPr>
                <w:noProof/>
                <w:webHidden/>
              </w:rPr>
              <w:t>8</w:t>
            </w:r>
            <w:r>
              <w:rPr>
                <w:noProof/>
                <w:webHidden/>
              </w:rPr>
              <w:fldChar w:fldCharType="end"/>
            </w:r>
          </w:hyperlink>
        </w:p>
        <w:p w:rsidR="00537A91" w14:paraId="50B8C36A" w14:textId="77777777">
          <w:pPr>
            <w:pStyle w:val="TOC2"/>
            <w:rPr>
              <w:rFonts w:eastAsiaTheme="minorEastAsia"/>
              <w:noProof/>
              <w:color w:val="auto"/>
            </w:rPr>
          </w:pPr>
          <w:hyperlink w:anchor="_Toc16271335" w:history="1">
            <w:r w:rsidRPr="00D50FB3">
              <w:rPr>
                <w:rStyle w:val="Hyperlink"/>
                <w:noProof/>
              </w:rPr>
              <w:t>A.16. Collection, Tabulation, and Publication Plans</w:t>
            </w:r>
            <w:r>
              <w:rPr>
                <w:noProof/>
                <w:webHidden/>
              </w:rPr>
              <w:tab/>
            </w:r>
            <w:r>
              <w:rPr>
                <w:noProof/>
                <w:webHidden/>
              </w:rPr>
              <w:fldChar w:fldCharType="begin"/>
            </w:r>
            <w:r>
              <w:rPr>
                <w:noProof/>
                <w:webHidden/>
              </w:rPr>
              <w:instrText xml:space="preserve"> PAGEREF _Toc16271335 \h </w:instrText>
            </w:r>
            <w:r>
              <w:rPr>
                <w:noProof/>
                <w:webHidden/>
              </w:rPr>
              <w:fldChar w:fldCharType="separate"/>
            </w:r>
            <w:r>
              <w:rPr>
                <w:noProof/>
                <w:webHidden/>
              </w:rPr>
              <w:t>8</w:t>
            </w:r>
            <w:r>
              <w:rPr>
                <w:noProof/>
                <w:webHidden/>
              </w:rPr>
              <w:fldChar w:fldCharType="end"/>
            </w:r>
          </w:hyperlink>
        </w:p>
        <w:p w:rsidR="00537A91" w14:paraId="5B2D9C30" w14:textId="77777777">
          <w:pPr>
            <w:pStyle w:val="TOC2"/>
            <w:rPr>
              <w:rFonts w:eastAsiaTheme="minorEastAsia"/>
              <w:noProof/>
              <w:color w:val="auto"/>
            </w:rPr>
          </w:pPr>
          <w:hyperlink w:anchor="_Toc16271336" w:history="1">
            <w:r w:rsidRPr="00D50FB3">
              <w:rPr>
                <w:rStyle w:val="Hyperlink"/>
                <w:noProof/>
              </w:rPr>
              <w:t>A.17. OMB Number and Expiration Date</w:t>
            </w:r>
            <w:r>
              <w:rPr>
                <w:noProof/>
                <w:webHidden/>
              </w:rPr>
              <w:tab/>
            </w:r>
            <w:r>
              <w:rPr>
                <w:noProof/>
                <w:webHidden/>
              </w:rPr>
              <w:fldChar w:fldCharType="begin"/>
            </w:r>
            <w:r>
              <w:rPr>
                <w:noProof/>
                <w:webHidden/>
              </w:rPr>
              <w:instrText xml:space="preserve"> PAGEREF _Toc16271336 \h </w:instrText>
            </w:r>
            <w:r>
              <w:rPr>
                <w:noProof/>
                <w:webHidden/>
              </w:rPr>
              <w:fldChar w:fldCharType="separate"/>
            </w:r>
            <w:r>
              <w:rPr>
                <w:noProof/>
                <w:webHidden/>
              </w:rPr>
              <w:t>9</w:t>
            </w:r>
            <w:r>
              <w:rPr>
                <w:noProof/>
                <w:webHidden/>
              </w:rPr>
              <w:fldChar w:fldCharType="end"/>
            </w:r>
          </w:hyperlink>
        </w:p>
        <w:p w:rsidR="00537A91" w14:paraId="7FCDBFBD" w14:textId="77777777">
          <w:pPr>
            <w:pStyle w:val="TOC2"/>
            <w:rPr>
              <w:rFonts w:eastAsiaTheme="minorEastAsia"/>
              <w:noProof/>
              <w:color w:val="auto"/>
            </w:rPr>
          </w:pPr>
          <w:hyperlink w:anchor="_Toc16271337" w:history="1">
            <w:r w:rsidRPr="00D50FB3">
              <w:rPr>
                <w:rStyle w:val="Hyperlink"/>
                <w:noProof/>
              </w:rPr>
              <w:t>A.18. Certification Statement</w:t>
            </w:r>
            <w:r>
              <w:rPr>
                <w:noProof/>
                <w:webHidden/>
              </w:rPr>
              <w:tab/>
            </w:r>
            <w:r>
              <w:rPr>
                <w:noProof/>
                <w:webHidden/>
              </w:rPr>
              <w:fldChar w:fldCharType="begin"/>
            </w:r>
            <w:r>
              <w:rPr>
                <w:noProof/>
                <w:webHidden/>
              </w:rPr>
              <w:instrText xml:space="preserve"> PAGEREF _Toc16271337 \h </w:instrText>
            </w:r>
            <w:r>
              <w:rPr>
                <w:noProof/>
                <w:webHidden/>
              </w:rPr>
              <w:fldChar w:fldCharType="separate"/>
            </w:r>
            <w:r>
              <w:rPr>
                <w:noProof/>
                <w:webHidden/>
              </w:rPr>
              <w:t>9</w:t>
            </w:r>
            <w:r>
              <w:rPr>
                <w:noProof/>
                <w:webHidden/>
              </w:rPr>
              <w:fldChar w:fldCharType="end"/>
            </w:r>
          </w:hyperlink>
        </w:p>
        <w:p w:rsidR="0059212D" w14:paraId="1341C1DB" w14:textId="77777777">
          <w:r>
            <w:rPr>
              <w:b/>
              <w:bCs/>
              <w:noProof/>
            </w:rPr>
            <w:fldChar w:fldCharType="end"/>
          </w:r>
        </w:p>
      </w:sdtContent>
    </w:sdt>
    <w:p w:rsidR="001F3A8F" w:rsidP="00D928FD" w14:paraId="5CB69C57" w14:textId="77777777"/>
    <w:p w:rsidR="00D928FD" w:rsidP="00D928FD" w14:paraId="64988EC5" w14:textId="77777777">
      <w:pPr>
        <w:sectPr w:rsidSect="00725453">
          <w:footerReference w:type="first" r:id="rId13"/>
          <w:footnotePr>
            <w:pos w:val="beneathText"/>
          </w:footnotePr>
          <w:type w:val="continuous"/>
          <w:pgSz w:w="12240" w:h="15840"/>
          <w:pgMar w:top="1440" w:right="1440" w:bottom="1440" w:left="1440" w:header="720" w:footer="720" w:gutter="0"/>
          <w:pgNumType w:fmt="lowerRoman" w:start="1"/>
          <w:cols w:space="720"/>
          <w:docGrid w:linePitch="360"/>
        </w:sectPr>
      </w:pPr>
    </w:p>
    <w:p w:rsidR="00933D5D" w:rsidP="00836D62" w14:paraId="4BA9FB40" w14:textId="77777777">
      <w:pPr>
        <w:spacing w:line="240" w:lineRule="auto"/>
      </w:pPr>
    </w:p>
    <w:p w:rsidR="00933D5D" w:rsidP="00933D5D" w14:paraId="53189E5D" w14:textId="77777777">
      <w:pPr>
        <w:tabs>
          <w:tab w:val="left" w:pos="7365"/>
        </w:tabs>
      </w:pPr>
      <w:r>
        <w:tab/>
      </w:r>
    </w:p>
    <w:p w:rsidR="00041909" w:rsidRPr="00933D5D" w:rsidP="00933D5D" w14:paraId="72804700" w14:textId="77777777">
      <w:pPr>
        <w:tabs>
          <w:tab w:val="left" w:pos="7365"/>
        </w:tabs>
        <w:sectPr w:rsidSect="00725453">
          <w:footerReference w:type="first" r:id="rId14"/>
          <w:footnotePr>
            <w:pos w:val="beneathText"/>
          </w:footnotePr>
          <w:type w:val="continuous"/>
          <w:pgSz w:w="12240" w:h="15840"/>
          <w:pgMar w:top="1440" w:right="1440" w:bottom="1440" w:left="1440" w:header="720" w:footer="720" w:gutter="0"/>
          <w:pgNumType w:fmt="lowerRoman"/>
          <w:cols w:space="720"/>
          <w:docGrid w:linePitch="360"/>
        </w:sectPr>
      </w:pPr>
      <w:r>
        <w:tab/>
      </w:r>
    </w:p>
    <w:p w:rsidR="008C734C" w:rsidP="00844524" w14:paraId="3E30B673" w14:textId="77777777">
      <w:pPr>
        <w:pStyle w:val="Heading2"/>
      </w:pPr>
      <w:bookmarkStart w:id="1" w:name="_Toc16271318"/>
      <w:r>
        <w:t>Introdu</w:t>
      </w:r>
      <w:r w:rsidR="00844524">
        <w:t>ction</w:t>
      </w:r>
      <w:bookmarkEnd w:id="1"/>
    </w:p>
    <w:p w:rsidR="006D42EC" w:rsidRPr="006D42EC" w:rsidP="00844524" w14:paraId="6DD41F88" w14:textId="77777777">
      <w:pPr>
        <w:rPr>
          <w:b/>
        </w:rPr>
      </w:pPr>
      <w:r w:rsidRPr="006D42EC">
        <w:rPr>
          <w:b/>
        </w:rPr>
        <w:t>Provide a brief introduction of the Information Collection Request.  Include the purpose of this collection, note the publication of the 60-Day Federal Register Notice, and provide the list of forms within this collection.</w:t>
      </w:r>
    </w:p>
    <w:p w:rsidR="00525CC0" w:rsidP="00525CC0" w14:paraId="7DCAA8BA" w14:textId="5EF0CDBB">
      <w:r w:rsidRPr="00CA65AF">
        <w:t xml:space="preserve">The information collection requests </w:t>
      </w:r>
      <w:r>
        <w:t>reinstatement</w:t>
      </w:r>
      <w:r w:rsidRPr="00CA65AF">
        <w:t xml:space="preserve"> of its </w:t>
      </w:r>
      <w:r>
        <w:t>Labor Relations</w:t>
      </w:r>
      <w:r w:rsidRPr="00CA65AF">
        <w:t xml:space="preserve"> Report. </w:t>
      </w:r>
      <w:r>
        <w:t>It</w:t>
      </w:r>
      <w:r w:rsidRPr="00E87379">
        <w:t xml:space="preserve"> requests information from the </w:t>
      </w:r>
      <w:r>
        <w:t>DOE</w:t>
      </w:r>
      <w:r w:rsidRPr="00E87379">
        <w:t xml:space="preserve"> </w:t>
      </w:r>
      <w:r>
        <w:t xml:space="preserve">Management and Operating (M&amp;O) and </w:t>
      </w:r>
      <w:r w:rsidRPr="00E87379">
        <w:t>Facilities Management Contractors to ensure that D</w:t>
      </w:r>
      <w:r>
        <w:t xml:space="preserve">epartment </w:t>
      </w:r>
      <w:r w:rsidRPr="00E87379">
        <w:t xml:space="preserve">contractors </w:t>
      </w:r>
      <w:r>
        <w:t xml:space="preserve">recruit and retain </w:t>
      </w:r>
      <w:r w:rsidRPr="00E87379">
        <w:t xml:space="preserve">a workforce in accordance with the terms of their contract and in compliance with statutory and regulatory requirements as identified by </w:t>
      </w:r>
      <w:r>
        <w:t xml:space="preserve">their </w:t>
      </w:r>
      <w:r w:rsidRPr="00E87379">
        <w:t>contract</w:t>
      </w:r>
      <w:r>
        <w:t>s</w:t>
      </w:r>
      <w:r w:rsidRPr="00E87379">
        <w:t>.</w:t>
      </w:r>
      <w:r>
        <w:t xml:space="preserve"> Included in this submission is the Labor Relations Report Form.</w:t>
      </w:r>
    </w:p>
    <w:p w:rsidR="00525CC0" w:rsidRPr="000B1EC5" w:rsidP="00525CC0" w14:paraId="62B7DF61" w14:textId="77777777">
      <w:pPr>
        <w:rPr>
          <w:strike/>
        </w:rPr>
      </w:pPr>
      <w:r w:rsidRPr="00273918">
        <w:rPr>
          <w:color w:val="000000"/>
        </w:rPr>
        <w:t>The Department published a 60-day Federal Register Notice and Request for Comments concerning this collection in the Federal Register on</w:t>
      </w:r>
      <w:r>
        <w:rPr>
          <w:color w:val="000000"/>
        </w:rPr>
        <w:t xml:space="preserve"> </w:t>
      </w:r>
      <w:r w:rsidRPr="00835244">
        <w:rPr>
          <w:color w:val="000000"/>
        </w:rPr>
        <w:t xml:space="preserve">July </w:t>
      </w:r>
      <w:r w:rsidRPr="00835244" w:rsidR="00F23CA1">
        <w:rPr>
          <w:color w:val="000000"/>
        </w:rPr>
        <w:t>1</w:t>
      </w:r>
      <w:r w:rsidRPr="00835244">
        <w:rPr>
          <w:color w:val="000000"/>
        </w:rPr>
        <w:t>, 202</w:t>
      </w:r>
      <w:r w:rsidRPr="00835244" w:rsidR="00F23CA1">
        <w:rPr>
          <w:color w:val="000000"/>
        </w:rPr>
        <w:t>5</w:t>
      </w:r>
      <w:r w:rsidRPr="00835244">
        <w:rPr>
          <w:color w:val="000000"/>
        </w:rPr>
        <w:t xml:space="preserve">, volume </w:t>
      </w:r>
      <w:r w:rsidRPr="00835244" w:rsidR="00835244">
        <w:rPr>
          <w:color w:val="000000"/>
        </w:rPr>
        <w:t>90</w:t>
      </w:r>
      <w:r w:rsidRPr="00835244">
        <w:rPr>
          <w:color w:val="000000"/>
        </w:rPr>
        <w:t>, number 1</w:t>
      </w:r>
      <w:r w:rsidRPr="00835244" w:rsidR="00835244">
        <w:rPr>
          <w:color w:val="000000"/>
        </w:rPr>
        <w:t>24</w:t>
      </w:r>
      <w:r w:rsidRPr="00835244">
        <w:rPr>
          <w:color w:val="000000"/>
        </w:rPr>
        <w:t xml:space="preserve">, and page number </w:t>
      </w:r>
      <w:r w:rsidRPr="00835244" w:rsidR="00835244">
        <w:rPr>
          <w:color w:val="000000"/>
        </w:rPr>
        <w:t>28734</w:t>
      </w:r>
      <w:r w:rsidRPr="00835244">
        <w:rPr>
          <w:color w:val="000000"/>
        </w:rPr>
        <w:t>.</w:t>
      </w:r>
    </w:p>
    <w:p w:rsidR="008C734C" w:rsidP="008C734C" w14:paraId="43017729" w14:textId="77777777">
      <w:pPr>
        <w:pStyle w:val="Heading2"/>
      </w:pPr>
      <w:bookmarkStart w:id="2" w:name="_Toc16271319"/>
      <w:r>
        <w:t>A.1. Legal Justification</w:t>
      </w:r>
      <w:bookmarkEnd w:id="2"/>
    </w:p>
    <w:p w:rsidR="00A41763" w:rsidRPr="00A41763" w:rsidP="00A41763" w14:paraId="2A454174" w14:textId="77777777">
      <w:r w:rsidRPr="00A41763">
        <w:rPr>
          <w:b/>
          <w:bCs/>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information collection. </w:t>
      </w:r>
    </w:p>
    <w:p w:rsidR="001E4DCF" w:rsidRPr="00C3157C" w:rsidP="001E4DCF" w14:paraId="3DECC5A6" w14:textId="77777777">
      <w:pPr>
        <w:rPr>
          <w:iCs/>
        </w:rPr>
      </w:pPr>
      <w:bookmarkStart w:id="3" w:name="OLE_LINK1"/>
      <w:bookmarkStart w:id="4" w:name="OLE_LINK2"/>
      <w:r w:rsidRPr="00C3157C">
        <w:rPr>
          <w:iCs/>
        </w:rPr>
        <w:t>This collection requests information from the DOE M&amp;O and Facilities Management Contractors for contract administration, management oversight, and cost control. This information is used to ensure that Department contractors recruit and retain a workforce in accordance with the terms of their contract and in compliance with statutory and regulatory requirements as identified by the contract. The statutory authority for collection of this data is 42 U.S.C. § 7254, which states that "</w:t>
      </w:r>
      <w:r>
        <w:rPr>
          <w:iCs/>
        </w:rPr>
        <w:t>[</w:t>
      </w:r>
      <w:r w:rsidRPr="00C3157C">
        <w:rPr>
          <w:iCs/>
        </w:rPr>
        <w:t>t</w:t>
      </w:r>
      <w:r>
        <w:rPr>
          <w:iCs/>
        </w:rPr>
        <w:t>]</w:t>
      </w:r>
      <w:r w:rsidRPr="00C3157C">
        <w:rPr>
          <w:iCs/>
        </w:rPr>
        <w:t>he Secretary is authorized to prescribe such procedural and administrative rules as he may deem necessary or appropriate to administer and manage the functions now or hereafter vested in him;" and 42 U.S.C. § 7256(a), which states that "</w:t>
      </w:r>
      <w:r>
        <w:rPr>
          <w:iCs/>
        </w:rPr>
        <w:t>[</w:t>
      </w:r>
      <w:r w:rsidRPr="00C3157C">
        <w:rPr>
          <w:iCs/>
        </w:rPr>
        <w:t>t</w:t>
      </w:r>
      <w:r>
        <w:rPr>
          <w:iCs/>
        </w:rPr>
        <w:t>]</w:t>
      </w:r>
      <w:r w:rsidRPr="00C3157C">
        <w:rPr>
          <w:iCs/>
        </w:rPr>
        <w:t xml:space="preserve">he Secretary is authorized to enter into and perform such contracts, leases, cooperative agreements, or other similar transactions with public agencies and private organizations and persons, and to make such payments (in lump sum or installments, and by way of advance </w:t>
      </w:r>
      <w:r w:rsidRPr="00C3157C">
        <w:rPr>
          <w:iCs/>
        </w:rPr>
        <w:t>or reimbursement) as he may deem to be necessary or appropriate to carry out functions now or hereafter vested in the Secretary."</w:t>
      </w:r>
    </w:p>
    <w:bookmarkEnd w:id="3"/>
    <w:bookmarkEnd w:id="4"/>
    <w:p w:rsidR="001E4DCF" w:rsidP="001E4DCF" w14:paraId="3F674839" w14:textId="77777777">
      <w:pPr>
        <w:rPr>
          <w:iCs/>
        </w:rPr>
      </w:pPr>
      <w:r w:rsidRPr="00C3157C">
        <w:rPr>
          <w:iCs/>
        </w:rPr>
        <w:t xml:space="preserve">Department contractors are reimbursed through their contracts for the costs of providing this information, as it is an allowable contract cost under Department of Energy Acquisition Regulations (DEAR) 970.5204-3, 970.5227-1, and 970.5232-3. Therefore, those contractors would not be adversely impacted by the requirement to provide the information. The collection of this information is unlike a request for information imposed upon the general public, for which the costs are not reimbursed.  </w:t>
      </w:r>
    </w:p>
    <w:p w:rsidR="008C734C" w:rsidP="008C734C" w14:paraId="784A8127" w14:textId="77777777">
      <w:pPr>
        <w:pStyle w:val="Heading2"/>
      </w:pPr>
      <w:bookmarkStart w:id="5" w:name="_Toc16271320"/>
      <w:r>
        <w:t>A.2. Needs and Uses of Data</w:t>
      </w:r>
      <w:bookmarkEnd w:id="5"/>
    </w:p>
    <w:p w:rsidR="00A41763" w:rsidRPr="00A41763" w:rsidP="00A41763" w14:paraId="5D49BC30" w14:textId="77777777">
      <w:r w:rsidRPr="00A41763">
        <w:rPr>
          <w:b/>
          <w:bCs/>
        </w:rPr>
        <w:t xml:space="preserve">Indicate how, by whom, and for what purpose the information is to be used. Except for a new collection, indicate the actual use the agency has made of the information received from the current collection </w:t>
      </w:r>
    </w:p>
    <w:p w:rsidR="009F4F1E" w:rsidP="009F4F1E" w14:paraId="70C56390" w14:textId="77777777">
      <w:r w:rsidRPr="00C3157C">
        <w:t>This information is</w:t>
      </w:r>
      <w:r>
        <w:t xml:space="preserve"> generally</w:t>
      </w:r>
      <w:r w:rsidRPr="00C3157C">
        <w:t xml:space="preserve"> used by DOE Heads of Contracting Activities, Contracting Officers, Contracting Officers’ Representatives, and program managers for contract administration, management </w:t>
      </w:r>
      <w:r w:rsidRPr="00C3157C">
        <w:t>oversight, and cost control of DOE M&amp;O and Facilities Management Contracts.</w:t>
      </w:r>
      <w:r>
        <w:t xml:space="preserve"> As a team, we analyze the information reported to gain a better understanding of the standard working conditions and benefits around the DOE Complex, as well as for comparison to the private sector. This is important because DOE has a financial interest in s</w:t>
      </w:r>
      <w:r>
        <w:t xml:space="preserve">eeking to approve pay and benefit reimbursement requests that are approximately </w:t>
      </w:r>
      <w:r w:rsidR="00B65209">
        <w:t>in line</w:t>
      </w:r>
      <w:r>
        <w:t xml:space="preserve"> with industry standards and around the Complex. </w:t>
      </w:r>
    </w:p>
    <w:p w:rsidR="009F4F1E" w:rsidP="009F4F1E" w14:paraId="5F897B41" w14:textId="77777777">
      <w:r>
        <w:t xml:space="preserve">Each question included is necessary for this analysis because different groups of workers desire different benefits, such as higher wages versus more generous benefits. It is our job to ensure that these are given appropriate weight to the overall analysis. This task is done each time a collective-bargaining agreement (CBA) comes up for renewal, which generally occurs every 3 to 5 years; due to the number of CBAs in the Complex, we conduct this analysis approximately 10 times per year. </w:t>
      </w:r>
    </w:p>
    <w:p w:rsidR="009F4F1E" w:rsidP="009F4F1E" w14:paraId="384A54D7" w14:textId="77777777">
      <w:r>
        <w:t xml:space="preserve">Additionally, if a strike were to occur on a DOE site, which happens from time to time, DOE needs to have all information available to aid the Contractor and Union achieve fast and lasting resolutions through negotiation. This is imperative to DOE continuity of operations. Having all information logged and ready allows us to communicate with the Contractor about allowable costs. </w:t>
      </w:r>
      <w:r w:rsidRPr="00A04172">
        <w:t xml:space="preserve">Unlike the private sector, Contractors typically only offer pay and benefits up to </w:t>
      </w:r>
      <w:r>
        <w:t xml:space="preserve">DOE-approved </w:t>
      </w:r>
      <w:r w:rsidRPr="00A04172">
        <w:t xml:space="preserve">reimbursement levels. </w:t>
      </w:r>
      <w:r>
        <w:t>For instance, a guard union initiated a strike and picket in mid-2019; similarly situated employees throughout the DOE Complex quickly responded through various other legal actions to support the striking unit. We were only able to help resolve this issue by offering the Contractor and Union a better understanding of the wages and benefits of other similar employees, which facilitated a reso</w:t>
      </w:r>
      <w:r>
        <w:t xml:space="preserve">lution through further negotiations. If we had to conduct ad-hoc surveys across the Complex, the entire DOE mission could be at risk due to labor unrest. </w:t>
      </w:r>
    </w:p>
    <w:p w:rsidR="008C734C" w:rsidP="008C734C" w14:paraId="16A588FC" w14:textId="77777777">
      <w:pPr>
        <w:pStyle w:val="Heading2"/>
      </w:pPr>
      <w:bookmarkStart w:id="6" w:name="_Toc16271321"/>
      <w:r>
        <w:t>A.</w:t>
      </w:r>
      <w:r w:rsidRPr="00A41763" w:rsidR="00A41763">
        <w:t xml:space="preserve">3. </w:t>
      </w:r>
      <w:r>
        <w:t>Use of Technology</w:t>
      </w:r>
      <w:bookmarkEnd w:id="6"/>
    </w:p>
    <w:p w:rsidR="00A41763" w:rsidRPr="00A41763" w:rsidP="00A41763" w14:paraId="6784ECF5" w14:textId="77777777">
      <w:r w:rsidRPr="00A41763">
        <w:rPr>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p>
    <w:p w:rsidR="00AC3550" w:rsidRPr="00C3157C" w:rsidP="00AC3550" w14:paraId="718362CB" w14:textId="77777777">
      <w:pPr>
        <w:rPr>
          <w:bCs/>
        </w:rPr>
      </w:pPr>
      <w:r w:rsidRPr="00C3157C">
        <w:rPr>
          <w:bCs/>
        </w:rPr>
        <w:t xml:space="preserve">DOE continues to require contractors to use the same computer software, known as iBenefits, to input this information. There has been no change since the prior request. </w:t>
      </w:r>
    </w:p>
    <w:p w:rsidR="00AC3550" w:rsidRPr="00C3157C" w:rsidP="00AC3550" w14:paraId="5872063F" w14:textId="77777777">
      <w:pPr>
        <w:rPr>
          <w:bCs/>
          <w:u w:val="single"/>
        </w:rPr>
      </w:pPr>
      <w:r w:rsidRPr="00C3157C">
        <w:rPr>
          <w:bCs/>
        </w:rPr>
        <w:t xml:space="preserve">iBenefits is a web-based application found at </w:t>
      </w:r>
      <w:hyperlink r:id="rId15" w:history="1">
        <w:r w:rsidRPr="007940EA">
          <w:rPr>
            <w:rStyle w:val="Hyperlink"/>
            <w:bCs/>
          </w:rPr>
          <w:t>https://doeibenefits2.energy.gov/</w:t>
        </w:r>
      </w:hyperlink>
      <w:r w:rsidRPr="001B2CF7">
        <w:rPr>
          <w:bCs/>
        </w:rPr>
        <w:t>.</w:t>
      </w:r>
      <w:r w:rsidRPr="00C3157C">
        <w:rPr>
          <w:bCs/>
        </w:rPr>
        <w:t xml:space="preserve"> Access to the site is granted to users requiring access according to the Security Plan Process. The application hardware is operated, maintained, and controlled by the DOE Office of Chief Information Officer Application Hosting Environment. Users are located across the Department's complex of offices and facilities, and its hosted pages and relational database are located in Germantown, Maryland. Operating within this overall architecture, iBenefits consists of a number of independent modules which share </w:t>
      </w:r>
      <w:r w:rsidRPr="00C3157C">
        <w:rPr>
          <w:bCs/>
        </w:rPr>
        <w:t>a common set of reference tables, user identification protocols, security mechanisms, data entry techniques, and other such operating conventions. This system was designed to reduce the information collection burden and improve the timeliness and usefulness of the information collected.</w:t>
      </w:r>
    </w:p>
    <w:p w:rsidR="00AC3550" w:rsidRPr="00C3157C" w:rsidP="00AC3550" w14:paraId="29668C82" w14:textId="77777777">
      <w:pPr>
        <w:rPr>
          <w:bCs/>
        </w:rPr>
      </w:pPr>
      <w:r w:rsidRPr="00C3157C">
        <w:rPr>
          <w:bCs/>
        </w:rPr>
        <w:t>DOE M&amp;O and Facilities Management Contractors enter the data manually into the Labor Relations module in the fiscal year quarter following the signing of a collective bargaining agreement.</w:t>
      </w:r>
    </w:p>
    <w:p w:rsidR="008C734C" w:rsidP="008C734C" w14:paraId="5E292719" w14:textId="77777777">
      <w:pPr>
        <w:pStyle w:val="Heading2"/>
      </w:pPr>
      <w:bookmarkStart w:id="7" w:name="_Toc16271322"/>
      <w:r>
        <w:t>A.</w:t>
      </w:r>
      <w:r w:rsidRPr="00A41763" w:rsidR="00A41763">
        <w:t xml:space="preserve">4. </w:t>
      </w:r>
      <w:r>
        <w:t>Efforts to Identify Duplication</w:t>
      </w:r>
      <w:bookmarkEnd w:id="7"/>
    </w:p>
    <w:p w:rsidR="00A41763" w:rsidRPr="00A41763" w:rsidP="00A41763" w14:paraId="6BCDDC0C" w14:textId="77777777">
      <w:r w:rsidRPr="00A41763">
        <w:rPr>
          <w:b/>
          <w:bCs/>
        </w:rPr>
        <w:t xml:space="preserve">Describe efforts to identify duplication. </w:t>
      </w:r>
    </w:p>
    <w:p w:rsidR="00A46A85" w:rsidRPr="00C3157C" w:rsidP="00A46A85" w14:paraId="537F9CC3" w14:textId="77777777">
      <w:pPr>
        <w:rPr>
          <w:iCs/>
        </w:rPr>
      </w:pPr>
      <w:r>
        <w:rPr>
          <w:bCs/>
        </w:rPr>
        <w:t xml:space="preserve">General Counsel office 63 serves as the nexus for all contractor human resources issues in the Department. </w:t>
      </w:r>
      <w:r>
        <w:rPr>
          <w:iCs/>
        </w:rPr>
        <w:t xml:space="preserve">No similar collections are conducted to which The General Counsel is aware. </w:t>
      </w:r>
      <w:r w:rsidRPr="00C3157C">
        <w:rPr>
          <w:iCs/>
        </w:rPr>
        <w:t>The data collected is not available from any other source and is not duplicated elsewhere.</w:t>
      </w:r>
    </w:p>
    <w:p w:rsidR="008C734C" w:rsidP="008C734C" w14:paraId="61ADCDF6" w14:textId="77777777">
      <w:pPr>
        <w:pStyle w:val="Heading2"/>
      </w:pPr>
      <w:bookmarkStart w:id="8" w:name="_Toc16271323"/>
      <w:r>
        <w:t>A.</w:t>
      </w:r>
      <w:r w:rsidRPr="00A41763" w:rsidR="00A41763">
        <w:t xml:space="preserve">5. </w:t>
      </w:r>
      <w:r w:rsidRPr="008C734C">
        <w:t>Provisions for Reducing Burden on Small Businesses</w:t>
      </w:r>
      <w:bookmarkEnd w:id="8"/>
      <w:r w:rsidRPr="008C734C">
        <w:t xml:space="preserve"> </w:t>
      </w:r>
    </w:p>
    <w:p w:rsidR="00A41763" w:rsidRPr="00A41763" w:rsidP="00A41763" w14:paraId="63C35080" w14:textId="77777777">
      <w:r w:rsidRPr="00A41763">
        <w:rPr>
          <w:b/>
          <w:bCs/>
        </w:rPr>
        <w:t xml:space="preserve">If the collection of information impacts small businesses or other small entities, describe any methods used to minimize burden. </w:t>
      </w:r>
    </w:p>
    <w:p w:rsidR="00CA2A9F" w:rsidP="00CA2A9F" w14:paraId="56F41B2F" w14:textId="77777777">
      <w:pPr>
        <w:rPr>
          <w:bCs/>
        </w:rPr>
      </w:pPr>
      <w:r w:rsidRPr="002B6406">
        <w:rPr>
          <w:bCs/>
        </w:rPr>
        <w:t xml:space="preserve">The collection of information will not have a significant economic impact on small businesses or other small entities. The contractors who manage and operate DOE facilities are responsible for providing the information, and those contractors exceed the Small Business Administration’s (SBA) size standards for small businesses. DOE expects that any potential economic impact of the collection of information on small businesses would be minimal because DOE contractors are reimbursed through their contracts for </w:t>
      </w:r>
      <w:r w:rsidRPr="002B6406">
        <w:rPr>
          <w:bCs/>
        </w:rPr>
        <w:t>the costs of providing the requested information.</w:t>
      </w:r>
    </w:p>
    <w:p w:rsidR="008C734C" w:rsidP="008C734C" w14:paraId="6DC3CE5C" w14:textId="77777777">
      <w:pPr>
        <w:pStyle w:val="Heading2"/>
      </w:pPr>
      <w:bookmarkStart w:id="9" w:name="_Toc16271324"/>
      <w:r>
        <w:t>A.</w:t>
      </w:r>
      <w:r w:rsidRPr="00A41763" w:rsidR="00A41763">
        <w:t xml:space="preserve">6. </w:t>
      </w:r>
      <w:r w:rsidRPr="008C734C">
        <w:t>Consequences of Less-Frequent Reporting</w:t>
      </w:r>
      <w:bookmarkEnd w:id="9"/>
    </w:p>
    <w:p w:rsidR="00A41763" w:rsidRPr="00A41763" w:rsidP="00A41763" w14:paraId="0BD09C08" w14:textId="77777777">
      <w:r w:rsidRPr="00A41763">
        <w:rPr>
          <w:b/>
          <w:bCs/>
        </w:rPr>
        <w:t xml:space="preserve">Describe the consequence to Federal program or policy activities if the collection is not conducted or is conducted less frequently, as well as any technical or legal obstacles to reducing burden. </w:t>
      </w:r>
    </w:p>
    <w:p w:rsidR="00CC67A9" w:rsidRPr="002B6406" w:rsidP="00CC67A9" w14:paraId="5CFE9514" w14:textId="77777777">
      <w:pPr>
        <w:rPr>
          <w:bCs/>
        </w:rPr>
      </w:pPr>
      <w:r w:rsidRPr="002B6406">
        <w:rPr>
          <w:bCs/>
        </w:rPr>
        <w:t xml:space="preserve">Effective oversight and management of DOE M&amp;O and Facilities Management Contracts and Department mission accomplishment would be hindered without the collection of this information.  </w:t>
      </w:r>
    </w:p>
    <w:p w:rsidR="00CC67A9" w:rsidRPr="002B6406" w:rsidP="00CC67A9" w14:paraId="2DAA069E" w14:textId="77777777">
      <w:pPr>
        <w:rPr>
          <w:bCs/>
        </w:rPr>
      </w:pPr>
      <w:r w:rsidRPr="002B6406">
        <w:rPr>
          <w:bCs/>
        </w:rPr>
        <w:t xml:space="preserve">The frequency of collection is dictated by the negotiations with union representatives of the DOE contractor’s employees. The contractor negotiates with union representatives based upon sound management practice, regulations, Departmental orders, and requirements. The frequency of these negotiations varies but are usually within a </w:t>
      </w:r>
      <w:r w:rsidRPr="002B6406" w:rsidR="00B65209">
        <w:rPr>
          <w:bCs/>
        </w:rPr>
        <w:t>3-to-5-year</w:t>
      </w:r>
      <w:r w:rsidRPr="002B6406">
        <w:rPr>
          <w:bCs/>
        </w:rPr>
        <w:t xml:space="preserve"> frequency, with most occurring on a </w:t>
      </w:r>
      <w:r w:rsidRPr="002B6406" w:rsidR="00B65209">
        <w:rPr>
          <w:bCs/>
        </w:rPr>
        <w:t>3-year</w:t>
      </w:r>
      <w:r w:rsidRPr="002B6406">
        <w:rPr>
          <w:bCs/>
        </w:rPr>
        <w:t xml:space="preserve"> cycle. When any of these conditions change and information collections can be reduced, reductions are made</w:t>
      </w:r>
      <w:r>
        <w:rPr>
          <w:bCs/>
        </w:rPr>
        <w:t>,</w:t>
      </w:r>
      <w:r w:rsidRPr="002B6406">
        <w:rPr>
          <w:bCs/>
        </w:rPr>
        <w:t xml:space="preserve"> and the contract documents are adjusted accordingly.</w:t>
      </w:r>
    </w:p>
    <w:p w:rsidR="008C734C" w:rsidP="008C734C" w14:paraId="6ECCB9E1" w14:textId="77777777">
      <w:pPr>
        <w:pStyle w:val="Heading2"/>
      </w:pPr>
      <w:bookmarkStart w:id="10" w:name="_Toc16271325"/>
      <w:r>
        <w:t>A.</w:t>
      </w:r>
      <w:r w:rsidRPr="00A41763" w:rsidR="00A41763">
        <w:t xml:space="preserve">7. </w:t>
      </w:r>
      <w:r w:rsidRPr="008C734C">
        <w:t>Compliance with 5 CFR 1320.5</w:t>
      </w:r>
      <w:bookmarkEnd w:id="10"/>
    </w:p>
    <w:p w:rsidR="00DB6FBD" w:rsidP="00A41763" w14:paraId="3F03EED0" w14:textId="77777777">
      <w:pPr>
        <w:rPr>
          <w:b/>
          <w:bCs/>
        </w:rPr>
      </w:pPr>
      <w:r w:rsidRPr="00A41763">
        <w:rPr>
          <w:b/>
          <w:bCs/>
        </w:rPr>
        <w:t>Explain any special circumstances that require the collection to be conducted in a manner i</w:t>
      </w:r>
      <w:r>
        <w:rPr>
          <w:b/>
          <w:bCs/>
        </w:rPr>
        <w:t>nconsistent with OMB guidelines:</w:t>
      </w:r>
      <w:r w:rsidRPr="00A41763">
        <w:rPr>
          <w:b/>
          <w:bCs/>
        </w:rPr>
        <w:t xml:space="preserve"> </w:t>
      </w:r>
    </w:p>
    <w:p w:rsidR="00DB6FBD" w:rsidP="00A41763" w14:paraId="14ED87FE" w14:textId="77777777">
      <w:pPr>
        <w:rPr>
          <w:b/>
          <w:bCs/>
        </w:rPr>
      </w:pPr>
      <w:r w:rsidRPr="00A41763">
        <w:rPr>
          <w:b/>
          <w:bCs/>
        </w:rPr>
        <w:t xml:space="preserve">(a) requiring respondents to report information to the agency more often than quarterly; </w:t>
      </w:r>
    </w:p>
    <w:p w:rsidR="00DB6FBD" w:rsidP="00A41763" w14:paraId="7786DA5C" w14:textId="77777777">
      <w:pPr>
        <w:rPr>
          <w:b/>
          <w:bCs/>
        </w:rPr>
      </w:pPr>
      <w:r w:rsidRPr="00A41763">
        <w:rPr>
          <w:b/>
          <w:bCs/>
        </w:rPr>
        <w:t xml:space="preserve">(b) requiring respondents to prepare a written response to a collection of information in fewer than 30 days after receipt of it; </w:t>
      </w:r>
    </w:p>
    <w:p w:rsidR="00DB6FBD" w:rsidP="00A41763" w14:paraId="0B73F961" w14:textId="77777777">
      <w:pPr>
        <w:rPr>
          <w:b/>
          <w:bCs/>
        </w:rPr>
      </w:pPr>
      <w:r w:rsidRPr="00A41763">
        <w:rPr>
          <w:b/>
          <w:bCs/>
        </w:rPr>
        <w:t xml:space="preserve">(c) requiring respondents to submit more than an original and two copies of any document; </w:t>
      </w:r>
    </w:p>
    <w:p w:rsidR="00DB6FBD" w:rsidP="00A41763" w14:paraId="7B32BEC0" w14:textId="77777777">
      <w:pPr>
        <w:rPr>
          <w:b/>
          <w:bCs/>
        </w:rPr>
      </w:pPr>
      <w:r w:rsidRPr="00A41763">
        <w:rPr>
          <w:b/>
          <w:bCs/>
        </w:rPr>
        <w:t xml:space="preserve">(d) requiring respondents to retain records, other than health, medical government contract, grant-in-aid, or tax records, for more than three years; </w:t>
      </w:r>
    </w:p>
    <w:p w:rsidR="00DB6FBD" w:rsidP="00A41763" w14:paraId="64CCB4A6" w14:textId="77777777">
      <w:pPr>
        <w:rPr>
          <w:b/>
          <w:bCs/>
        </w:rPr>
      </w:pPr>
      <w:r w:rsidRPr="02B15C40">
        <w:rPr>
          <w:b/>
          <w:bCs/>
        </w:rPr>
        <w:t>(e) in connection with a statistical survey, that is not designed to produc</w:t>
      </w:r>
      <w:r w:rsidRPr="02B15C40" w:rsidR="0913D8C0">
        <w:rPr>
          <w:b/>
          <w:bCs/>
        </w:rPr>
        <w:t>e</w:t>
      </w:r>
      <w:r w:rsidRPr="02B15C40">
        <w:rPr>
          <w:b/>
          <w:bCs/>
        </w:rPr>
        <w:t xml:space="preserve"> valid and reliable results that can be generalized to the universe of study; </w:t>
      </w:r>
    </w:p>
    <w:p w:rsidR="00DB6FBD" w:rsidP="00A41763" w14:paraId="1C3B2989" w14:textId="77777777">
      <w:pPr>
        <w:rPr>
          <w:b/>
          <w:bCs/>
        </w:rPr>
      </w:pPr>
      <w:r w:rsidRPr="00A41763">
        <w:rPr>
          <w:b/>
          <w:bCs/>
        </w:rPr>
        <w:t xml:space="preserve">(f) requiring the use of statistical data classification that has not been reviewed and approved by OMB; </w:t>
      </w:r>
    </w:p>
    <w:p w:rsidR="00DB6FBD" w:rsidP="00A41763" w14:paraId="24B52F75" w14:textId="77777777">
      <w:pPr>
        <w:rPr>
          <w:b/>
          <w:bCs/>
        </w:rPr>
      </w:pPr>
      <w:r w:rsidRPr="02B15C40">
        <w:rPr>
          <w:b/>
          <w:bCs/>
        </w:rPr>
        <w:t>(g) that includes a pledge of confidential</w:t>
      </w:r>
      <w:r w:rsidRPr="02B15C40" w:rsidR="45DF7F08">
        <w:rPr>
          <w:b/>
          <w:bCs/>
        </w:rPr>
        <w:t>ity</w:t>
      </w:r>
      <w:r w:rsidRPr="02B15C40">
        <w:rPr>
          <w:b/>
          <w:bCs/>
        </w:rPr>
        <w:t xml:space="preserve"> that is not supported by authority established in stature of regulation, that is not supported by disclosure and data security policies that are consistent with the pledge, or which unnecessarily impedes sharing of data with other agencies for compatible confidential use; or</w:t>
      </w:r>
    </w:p>
    <w:p w:rsidR="00A41763" w:rsidRPr="00A41763" w:rsidP="00A41763" w14:paraId="55EA684E" w14:textId="77777777">
      <w:r w:rsidRPr="00A41763">
        <w:rPr>
          <w:b/>
          <w:bCs/>
        </w:rPr>
        <w:t xml:space="preserve">(h) requiring respondents to submit proprietary trade secrets, or other confidential information unless the agency can demonstrate that it has instituted procedures to protect the information’s confidentiality to the extent permitted by law. </w:t>
      </w:r>
    </w:p>
    <w:p w:rsidR="002F2A37" w:rsidRPr="00CC1B26" w:rsidP="002F2A37" w14:paraId="1CB05925" w14:textId="77777777">
      <w:pPr>
        <w:rPr>
          <w:bCs/>
        </w:rPr>
      </w:pPr>
      <w:r>
        <w:rPr>
          <w:bCs/>
        </w:rPr>
        <w:t xml:space="preserve">There are no inconsistencies. </w:t>
      </w:r>
      <w:r w:rsidRPr="00CC1B26">
        <w:rPr>
          <w:bCs/>
        </w:rPr>
        <w:t>Information collections in this package have been reviewed and justified by Department management, contract administration requirements, statutes, regulations, inter-agency reporting requirements, Departmental orders, or other internal Department requirements. The collections are consistent with OMB guidelines</w:t>
      </w:r>
      <w:r>
        <w:rPr>
          <w:bCs/>
        </w:rPr>
        <w:t xml:space="preserve"> and 5 CFR 1320.5</w:t>
      </w:r>
      <w:r w:rsidRPr="00CC1B26">
        <w:rPr>
          <w:bCs/>
        </w:rPr>
        <w:t xml:space="preserve">. </w:t>
      </w:r>
    </w:p>
    <w:p w:rsidR="008C734C" w:rsidP="008C734C" w14:paraId="3458ADFE" w14:textId="77777777">
      <w:pPr>
        <w:pStyle w:val="Heading2"/>
      </w:pPr>
      <w:bookmarkStart w:id="11" w:name="_Toc16271326"/>
      <w:r>
        <w:t>A.</w:t>
      </w:r>
      <w:r w:rsidRPr="00A41763" w:rsidR="00A41763">
        <w:t xml:space="preserve">8. </w:t>
      </w:r>
      <w:r w:rsidRPr="008C734C">
        <w:t>Summary of Consultations Outside of the Agency</w:t>
      </w:r>
      <w:bookmarkEnd w:id="11"/>
    </w:p>
    <w:p w:rsidR="00A41763" w:rsidRPr="00A41763" w:rsidP="00A41763" w14:paraId="4917C30A" w14:textId="77777777">
      <w:r w:rsidRPr="00A41763">
        <w:rPr>
          <w:b/>
          <w:bCs/>
        </w:rPr>
        <w:t>If applicable, provide a copy and identify the date and page number of publication in the Federal Register of the agency’s notice, required by 5CFR 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DOE to obtain their views on the availability</w:t>
      </w:r>
      <w:r w:rsidRPr="00A41763">
        <w:rPr>
          <w:b/>
          <w:bCs/>
        </w:rPr>
        <w:t xml:space="preserve"> of data, frequency of collection, the clarity of instructions and recordkeeping, disclosure, or reporting format (if any), and on the data elements to be recorded, disclosed, or report.</w:t>
      </w:r>
    </w:p>
    <w:p w:rsidR="0026186D" w:rsidP="0026186D" w14:paraId="2FA22156" w14:textId="77777777">
      <w:pPr>
        <w:rPr>
          <w:color w:val="000000"/>
        </w:rPr>
      </w:pPr>
      <w:r w:rsidRPr="00C941EF">
        <w:rPr>
          <w:color w:val="000000"/>
        </w:rPr>
        <w:t xml:space="preserve">The Department published a 60-day Federal Register Notice and Request for Comments concerning this collection in the Federal Register on </w:t>
      </w:r>
      <w:r w:rsidRPr="00835244" w:rsidR="004B1F15">
        <w:rPr>
          <w:color w:val="000000"/>
        </w:rPr>
        <w:t>July 1, 2025, volume 90, number 124, and page number 28734</w:t>
      </w:r>
      <w:r w:rsidRPr="00C941EF">
        <w:rPr>
          <w:color w:val="000000"/>
        </w:rPr>
        <w:t>.</w:t>
      </w:r>
      <w:r>
        <w:rPr>
          <w:color w:val="000000"/>
        </w:rPr>
        <w:t xml:space="preserve"> </w:t>
      </w:r>
      <w:r w:rsidRPr="00273918">
        <w:rPr>
          <w:color w:val="000000"/>
        </w:rPr>
        <w:t xml:space="preserve">The notice described the collection and invited interested parties to submit comments or recommendations regarding the collection. </w:t>
      </w:r>
      <w:r w:rsidRPr="0053775C">
        <w:rPr>
          <w:color w:val="000000"/>
        </w:rPr>
        <w:t>No comments were received.</w:t>
      </w:r>
    </w:p>
    <w:p w:rsidR="0026186D" w:rsidP="0026186D" w14:paraId="79E5BDC0" w14:textId="77777777">
      <w:pPr>
        <w:rPr>
          <w:color w:val="000000"/>
        </w:rPr>
      </w:pPr>
      <w:r w:rsidRPr="00C941EF">
        <w:rPr>
          <w:color w:val="000000"/>
        </w:rPr>
        <w:t xml:space="preserve">The Department published a </w:t>
      </w:r>
      <w:r>
        <w:rPr>
          <w:color w:val="000000"/>
        </w:rPr>
        <w:t>3</w:t>
      </w:r>
      <w:r w:rsidRPr="00C941EF">
        <w:rPr>
          <w:color w:val="000000"/>
        </w:rPr>
        <w:t xml:space="preserve">0-day Federal Register Notice and Request for Comments concerning this collection in the Federal Register on </w:t>
      </w:r>
      <w:r w:rsidRPr="00CD206A" w:rsidR="002D2E7B">
        <w:rPr>
          <w:color w:val="000000"/>
        </w:rPr>
        <w:t>November 20,</w:t>
      </w:r>
      <w:r w:rsidRPr="00CD206A">
        <w:rPr>
          <w:color w:val="000000"/>
        </w:rPr>
        <w:t xml:space="preserve"> 202</w:t>
      </w:r>
      <w:r w:rsidRPr="00CD206A" w:rsidR="002D2E7B">
        <w:rPr>
          <w:color w:val="000000"/>
        </w:rPr>
        <w:t>5</w:t>
      </w:r>
      <w:r w:rsidRPr="00CD206A">
        <w:rPr>
          <w:color w:val="000000"/>
        </w:rPr>
        <w:t xml:space="preserve">, volume </w:t>
      </w:r>
      <w:r w:rsidRPr="00CD206A" w:rsidR="006F0E0D">
        <w:rPr>
          <w:color w:val="000000"/>
        </w:rPr>
        <w:t>90</w:t>
      </w:r>
      <w:r w:rsidRPr="00CD206A">
        <w:rPr>
          <w:color w:val="000000"/>
        </w:rPr>
        <w:t xml:space="preserve">, number </w:t>
      </w:r>
      <w:r w:rsidRPr="00CD206A" w:rsidR="006F0E0D">
        <w:rPr>
          <w:color w:val="000000"/>
        </w:rPr>
        <w:t>222</w:t>
      </w:r>
      <w:r w:rsidRPr="00CD206A">
        <w:rPr>
          <w:color w:val="000000"/>
        </w:rPr>
        <w:t>, and page number 5</w:t>
      </w:r>
      <w:r w:rsidRPr="00CD206A" w:rsidR="00CD206A">
        <w:rPr>
          <w:color w:val="000000"/>
        </w:rPr>
        <w:t>2376</w:t>
      </w:r>
      <w:r w:rsidRPr="00CD206A">
        <w:rPr>
          <w:color w:val="000000"/>
        </w:rPr>
        <w:t>.</w:t>
      </w:r>
      <w:r>
        <w:rPr>
          <w:color w:val="000000"/>
        </w:rPr>
        <w:t xml:space="preserve"> </w:t>
      </w:r>
      <w:r w:rsidR="00474BE8">
        <w:rPr>
          <w:color w:val="000000"/>
        </w:rPr>
        <w:t xml:space="preserve"> No comments were received.</w:t>
      </w:r>
    </w:p>
    <w:p w:rsidR="0026186D" w:rsidRPr="00C941EF" w:rsidP="0026186D" w14:paraId="7DAD62F6" w14:textId="77777777">
      <w:pPr>
        <w:rPr>
          <w:color w:val="000000"/>
        </w:rPr>
      </w:pPr>
      <w:r>
        <w:rPr>
          <w:color w:val="000000"/>
        </w:rPr>
        <w:t xml:space="preserve">GC-63, the cognizant office in charge of this data collection, constantly communicates with the responding parties on a variety of issues. During these normal conversations, sometimes the topic of this data collection arises, and we will discuss and record any comments, criticisms, or suggestions made by these parties throughout the reporting period. Additionally, comments can come through site counsel, site contracting officer, programmatic human resources management, etc. In these cases, we </w:t>
      </w:r>
      <w:r>
        <w:rPr>
          <w:color w:val="000000"/>
        </w:rPr>
        <w:t xml:space="preserve">seek to clarify any comments that are not clear. The effort of analyzing and adjusting our practices is a normal function of this office, which includes those activities related to this specific data collection. </w:t>
      </w:r>
    </w:p>
    <w:p w:rsidR="008C734C" w:rsidP="008C734C" w14:paraId="7FBA6D13" w14:textId="77777777">
      <w:pPr>
        <w:pStyle w:val="Heading2"/>
      </w:pPr>
      <w:bookmarkStart w:id="12" w:name="_Toc16271327"/>
      <w:r>
        <w:t>A.</w:t>
      </w:r>
      <w:r w:rsidRPr="00A41763" w:rsidR="00A41763">
        <w:t xml:space="preserve">9. </w:t>
      </w:r>
      <w:r w:rsidRPr="008C734C">
        <w:t>Payments or Gifts to Respondents</w:t>
      </w:r>
      <w:bookmarkEnd w:id="12"/>
      <w:r w:rsidRPr="008C734C">
        <w:t xml:space="preserve"> </w:t>
      </w:r>
    </w:p>
    <w:p w:rsidR="00A41763" w:rsidRPr="00A41763" w:rsidP="00A41763" w14:paraId="2DF77FE5" w14:textId="77777777">
      <w:r w:rsidRPr="00A41763">
        <w:rPr>
          <w:b/>
          <w:bCs/>
        </w:rPr>
        <w:t xml:space="preserve">Explain any decision to provide any payment or gift to respondents, other than </w:t>
      </w:r>
      <w:r w:rsidRPr="00A41763" w:rsidR="001A6E9A">
        <w:rPr>
          <w:b/>
          <w:bCs/>
        </w:rPr>
        <w:t>remuneration</w:t>
      </w:r>
      <w:r w:rsidRPr="00A41763">
        <w:rPr>
          <w:b/>
          <w:bCs/>
        </w:rPr>
        <w:t xml:space="preserve"> of contractors or grantees. </w:t>
      </w:r>
    </w:p>
    <w:p w:rsidR="008C734C" w:rsidRPr="00D65213" w:rsidP="00A41763" w14:paraId="0AF22FC3" w14:textId="77777777">
      <w:pPr>
        <w:rPr>
          <w:bCs/>
        </w:rPr>
      </w:pPr>
      <w:r w:rsidRPr="00CC1B26">
        <w:rPr>
          <w:bCs/>
        </w:rPr>
        <w:t>There is no remuneration given for submission of any of the information. The contractor is reimbursed for costs expended fulfilling contractual requirements.</w:t>
      </w:r>
    </w:p>
    <w:p w:rsidR="008C734C" w:rsidP="008C734C" w14:paraId="081F0ED4" w14:textId="77777777">
      <w:pPr>
        <w:pStyle w:val="Heading2"/>
      </w:pPr>
      <w:bookmarkStart w:id="13" w:name="_Toc16271328"/>
      <w:r>
        <w:t>A.</w:t>
      </w:r>
      <w:r w:rsidRPr="00A41763" w:rsidR="00A41763">
        <w:t xml:space="preserve">10. </w:t>
      </w:r>
      <w:r w:rsidRPr="008C734C">
        <w:t>Provisions for Protection of Information</w:t>
      </w:r>
      <w:bookmarkEnd w:id="13"/>
      <w:r w:rsidRPr="008C734C">
        <w:t xml:space="preserve"> </w:t>
      </w:r>
    </w:p>
    <w:p w:rsidR="00A41763" w:rsidRPr="00A41763" w:rsidP="00A41763" w14:paraId="2A889D54" w14:textId="77777777">
      <w:r w:rsidRPr="00A41763">
        <w:rPr>
          <w:b/>
          <w:bCs/>
        </w:rPr>
        <w:t xml:space="preserve">Describe any assurance of confidentiality provided to respondents and the basis for the assurance in statute, regulation, or agency policy. </w:t>
      </w:r>
    </w:p>
    <w:p w:rsidR="00DF47BA" w:rsidRPr="00CC1B26" w:rsidP="00DF47BA" w14:paraId="56086FD6" w14:textId="77777777">
      <w:pPr>
        <w:rPr>
          <w:bCs/>
          <w:i/>
        </w:rPr>
      </w:pPr>
      <w:r w:rsidRPr="00CC1B26">
        <w:rPr>
          <w:bCs/>
        </w:rPr>
        <w:t xml:space="preserve">When the collection of confidential information is involved, the provisions for handling the information are set forth in the contract documents, related Departmental regulations, and the Privacy Act of 1974 (5 U.S.C. § 552a). The iBenefits application includes processes designed to ensure the integrity and access of the data. Each contractor has unlimited access to its own data, and its personnel cannot access the data of any other contractor. DOE Field and Headquarters personnel are able to view the data </w:t>
      </w:r>
      <w:r w:rsidRPr="00CC1B26">
        <w:rPr>
          <w:bCs/>
        </w:rPr>
        <w:t xml:space="preserve">entered by assigned contractors but are unable to change the data. </w:t>
      </w:r>
    </w:p>
    <w:p w:rsidR="00F056C3" w:rsidP="00F056C3" w14:paraId="1CB75A28" w14:textId="77777777">
      <w:pPr>
        <w:pStyle w:val="Heading2"/>
      </w:pPr>
      <w:bookmarkStart w:id="14" w:name="_Toc16271329"/>
      <w:r>
        <w:t>A.</w:t>
      </w:r>
      <w:r w:rsidRPr="00A41763" w:rsidR="00A41763">
        <w:t xml:space="preserve">11. </w:t>
      </w:r>
      <w:r w:rsidRPr="00F056C3">
        <w:t>Justification for Sensitive Questions</w:t>
      </w:r>
      <w:bookmarkEnd w:id="14"/>
      <w:r w:rsidRPr="00F056C3">
        <w:t xml:space="preserve"> </w:t>
      </w:r>
    </w:p>
    <w:p w:rsidR="00A41763" w:rsidRPr="00A41763" w:rsidP="00A41763" w14:paraId="410A7C36" w14:textId="77777777">
      <w:r w:rsidRPr="00A41763">
        <w:rPr>
          <w:b/>
          <w:bCs/>
        </w:rPr>
        <w:t>Provide additional justification for any questions of a sensitive nature, such as sexual behavior and attitudes, religious beliefs, and other matters that are commonly considered private. This justification should include the reasons why DOE considers the questions necessary, the specific use</w:t>
      </w:r>
      <w:r w:rsidR="00F056C3">
        <w:rPr>
          <w:b/>
          <w:bCs/>
        </w:rPr>
        <w:t>s to be made of the information</w:t>
      </w:r>
      <w:r w:rsidRPr="00A41763">
        <w:rPr>
          <w:b/>
          <w:bCs/>
        </w:rPr>
        <w:t xml:space="preserve">, the explanation to be given to persons from whom the information is requested, and any steps to be taken to obtain their consent. </w:t>
      </w:r>
    </w:p>
    <w:p w:rsidR="00CE2102" w:rsidP="00CE2102" w14:paraId="4A4BE8A0" w14:textId="77777777">
      <w:pPr>
        <w:rPr>
          <w:bCs/>
        </w:rPr>
      </w:pPr>
      <w:r w:rsidRPr="00B04D69">
        <w:rPr>
          <w:bCs/>
        </w:rPr>
        <w:t>There are no collections in this package involving questions that are sensitive, personal, or private in nature.</w:t>
      </w:r>
    </w:p>
    <w:p w:rsidR="00F056C3" w:rsidP="00F056C3" w14:paraId="5D282720" w14:textId="77777777">
      <w:pPr>
        <w:pStyle w:val="Heading2"/>
      </w:pPr>
      <w:bookmarkStart w:id="15" w:name="_Toc16271330"/>
      <w:r>
        <w:t>A.</w:t>
      </w:r>
      <w:r w:rsidRPr="00A41763" w:rsidR="00A41763">
        <w:t>12</w:t>
      </w:r>
      <w:r w:rsidR="006F3C12">
        <w:t>A</w:t>
      </w:r>
      <w:r w:rsidRPr="00A41763" w:rsidR="00A41763">
        <w:t xml:space="preserve">. </w:t>
      </w:r>
      <w:r w:rsidRPr="00F056C3">
        <w:t>Estimate of Respondent Burden Hours</w:t>
      </w:r>
      <w:bookmarkEnd w:id="15"/>
      <w:r w:rsidRPr="00F056C3">
        <w:t xml:space="preserve"> </w:t>
      </w:r>
    </w:p>
    <w:p w:rsidR="00AC69E8" w:rsidRPr="007316CF" w:rsidP="00AC69E8" w14:paraId="6871F121" w14:textId="77777777">
      <w:pPr>
        <w:pStyle w:val="Default"/>
        <w:rPr>
          <w:rFonts w:asciiTheme="minorHAnsi" w:hAnsiTheme="minorHAnsi" w:cstheme="minorHAnsi"/>
          <w:sz w:val="22"/>
          <w:szCs w:val="22"/>
        </w:rPr>
      </w:pPr>
      <w:r w:rsidRPr="007316CF">
        <w:rPr>
          <w:rFonts w:asciiTheme="minorHAnsi" w:hAnsiTheme="minorHAnsi" w:cstheme="minorHAnsi"/>
          <w:b/>
          <w:bCs/>
          <w:sz w:val="22"/>
          <w:szCs w:val="22"/>
        </w:rPr>
        <w:t xml:space="preserve">Provide estimates of the hour burden of the collection of information. The statement should indicate the number of respondents, frequency of response, annual hour burden, and </w:t>
      </w:r>
      <w:r w:rsidRPr="007316CF">
        <w:rPr>
          <w:rFonts w:asciiTheme="minorHAnsi" w:hAnsiTheme="minorHAnsi" w:cstheme="minorHAnsi"/>
          <w:b/>
          <w:bCs/>
          <w:sz w:val="22"/>
          <w:szCs w:val="22"/>
          <w:u w:val="single"/>
        </w:rPr>
        <w:t>an explanation of how the burden was estimated</w:t>
      </w:r>
      <w:r w:rsidRPr="007316CF">
        <w:rPr>
          <w:rFonts w:asciiTheme="minorHAnsi" w:hAnsiTheme="minorHAnsi" w:cstheme="minorHAnsi"/>
          <w:b/>
          <w:bCs/>
          <w:sz w:val="22"/>
          <w:szCs w:val="22"/>
        </w:rPr>
        <w:t xml:space="preserve">. Unless directed to do so, DOE should not conduct special surveys to obtain information on which to base hour burden estimates. Consultation with a sample fewer than 10 potential respondents is desirable. </w:t>
      </w:r>
    </w:p>
    <w:p w:rsidR="004E78C7" w:rsidRPr="006A3E33" w:rsidP="004E78C7" w14:paraId="763C7E83" w14:textId="77777777">
      <w:pPr>
        <w:spacing w:after="0" w:line="240" w:lineRule="auto"/>
        <w:rPr>
          <w:rFonts w:eastAsia="Times New Roman" w:cs="Times New Roman"/>
        </w:rPr>
      </w:pPr>
      <w:r>
        <w:rPr>
          <w:rFonts w:eastAsia="Times New Roman" w:cs="Times New Roman"/>
        </w:rPr>
        <w:br/>
      </w:r>
      <w:r w:rsidRPr="006A3E33">
        <w:rPr>
          <w:rFonts w:eastAsia="Times New Roman" w:cs="Times New Roman"/>
        </w:rPr>
        <w:t xml:space="preserve">The burden provided represents the number of estimated labor hours for the contractor to furnish the data for each of the data collection categories.  </w:t>
      </w:r>
    </w:p>
    <w:p w:rsidR="004E78C7" w:rsidRPr="006A3E33" w:rsidP="004E78C7" w14:paraId="09CE6DA4" w14:textId="77777777">
      <w:pPr>
        <w:spacing w:after="0" w:line="240" w:lineRule="auto"/>
        <w:rPr>
          <w:rFonts w:eastAsia="Times New Roman" w:cs="Times New Roman"/>
        </w:rPr>
      </w:pPr>
    </w:p>
    <w:p w:rsidR="004E78C7" w:rsidRPr="00534F41" w:rsidP="004E78C7" w14:paraId="4F50DE68" w14:textId="77777777">
      <w:pPr>
        <w:spacing w:after="0" w:line="240" w:lineRule="auto"/>
        <w:rPr>
          <w:rFonts w:eastAsia="Times New Roman" w:cs="Times New Roman"/>
        </w:rPr>
      </w:pPr>
      <w:r w:rsidRPr="00534F41">
        <w:rPr>
          <w:rFonts w:eastAsia="Times New Roman" w:cs="Times New Roman"/>
        </w:rPr>
        <w:t xml:space="preserve">There are 35 respondents. The collection of information is required only when a new collective-bargaining agreement has been </w:t>
      </w:r>
      <w:r w:rsidRPr="00534F41">
        <w:rPr>
          <w:rFonts w:eastAsia="Times New Roman" w:cs="Times New Roman"/>
        </w:rPr>
        <w:t xml:space="preserve">approved or changes have been agreed upon by the contractor and its union represented employees. The length of time may be from three to five years depending on the negotiated agreement.  The majority of contracts are three years and that timeframe was used for calculating the annual hour burden. The estimated annual total labor hour burden for this package is </w:t>
      </w:r>
      <w:r w:rsidRPr="00534F41">
        <w:rPr>
          <w:rFonts w:eastAsia="Times New Roman" w:cs="Times New Roman"/>
        </w:rPr>
        <w:t>64.4 based on an estimate of 5.5 hours per respondent, divided by 3 years, which equals 1.84 hours per year. The 1.84 hours is multiplied by the 35 r</w:t>
      </w:r>
      <w:r w:rsidRPr="00534F41">
        <w:rPr>
          <w:rFonts w:eastAsia="Times New Roman" w:cs="Times New Roman"/>
        </w:rPr>
        <w:t xml:space="preserve">espondents to equal 64.4 hours annually. Professional judgment and consultation with respondents were used to calculate the burden. </w:t>
      </w:r>
    </w:p>
    <w:p w:rsidR="004E78C7" w:rsidRPr="00534F41" w:rsidP="004E78C7" w14:paraId="6C710D9A" w14:textId="77777777">
      <w:pPr>
        <w:spacing w:after="0" w:line="240" w:lineRule="auto"/>
        <w:rPr>
          <w:rFonts w:eastAsia="Times New Roman" w:cs="Times New Roman"/>
        </w:rPr>
      </w:pPr>
    </w:p>
    <w:p w:rsidR="004E78C7" w:rsidRPr="00534F41" w:rsidP="004E78C7" w14:paraId="4823B445" w14:textId="77777777">
      <w:pPr>
        <w:spacing w:after="0" w:line="240" w:lineRule="auto"/>
        <w:rPr>
          <w:rFonts w:eastAsia="Times New Roman" w:cs="Times New Roman"/>
        </w:rPr>
      </w:pPr>
      <w:r w:rsidRPr="00534F41">
        <w:rPr>
          <w:rFonts w:eastAsia="Times New Roman" w:cs="Times New Roman"/>
        </w:rPr>
        <w:t>Total number of unduplicated respondents: 35</w:t>
      </w:r>
    </w:p>
    <w:p w:rsidR="004E78C7" w:rsidRPr="00534F41" w:rsidP="004E78C7" w14:paraId="1CC7A77D" w14:textId="77777777">
      <w:pPr>
        <w:spacing w:after="0" w:line="240" w:lineRule="auto"/>
        <w:rPr>
          <w:rFonts w:eastAsia="Times New Roman" w:cs="Times New Roman"/>
        </w:rPr>
      </w:pPr>
      <w:r w:rsidRPr="00534F41">
        <w:rPr>
          <w:rFonts w:eastAsia="Times New Roman" w:cs="Times New Roman"/>
        </w:rPr>
        <w:t xml:space="preserve">Reports filed per person: 1 </w:t>
      </w:r>
    </w:p>
    <w:p w:rsidR="004E78C7" w:rsidRPr="00534F41" w:rsidP="004E78C7" w14:paraId="327139E2" w14:textId="77777777">
      <w:pPr>
        <w:spacing w:after="0" w:line="240" w:lineRule="auto"/>
        <w:rPr>
          <w:rFonts w:eastAsia="Times New Roman" w:cs="Times New Roman"/>
        </w:rPr>
      </w:pPr>
      <w:r w:rsidRPr="00534F41">
        <w:rPr>
          <w:rFonts w:eastAsia="Times New Roman" w:cs="Times New Roman"/>
        </w:rPr>
        <w:t>Total annual responses: 35</w:t>
      </w:r>
    </w:p>
    <w:p w:rsidR="004E78C7" w:rsidRPr="00534F41" w:rsidP="004E78C7" w14:paraId="3CC653EA" w14:textId="77777777">
      <w:pPr>
        <w:spacing w:after="0" w:line="240" w:lineRule="auto"/>
        <w:rPr>
          <w:rFonts w:eastAsia="Times New Roman" w:cs="Times New Roman"/>
        </w:rPr>
      </w:pPr>
      <w:r w:rsidRPr="00534F41">
        <w:rPr>
          <w:rFonts w:eastAsia="Times New Roman" w:cs="Times New Roman"/>
        </w:rPr>
        <w:t>Total annual burden hours: 64.4</w:t>
      </w:r>
    </w:p>
    <w:p w:rsidR="004E78C7" w:rsidRPr="00534F41" w:rsidP="004E78C7" w14:paraId="1F8E166B" w14:textId="77777777">
      <w:pPr>
        <w:spacing w:after="0" w:line="240" w:lineRule="auto"/>
        <w:rPr>
          <w:rFonts w:eastAsia="Times New Roman" w:cs="Times New Roman"/>
        </w:rPr>
      </w:pPr>
    </w:p>
    <w:p w:rsidR="004E78C7" w:rsidRPr="00534F41" w:rsidP="004E78C7" w14:paraId="28FEDB9E" w14:textId="77777777">
      <w:pPr>
        <w:tabs>
          <w:tab w:val="left" w:pos="2790"/>
        </w:tabs>
        <w:spacing w:after="0" w:line="240" w:lineRule="auto"/>
        <w:rPr>
          <w:rFonts w:eastAsia="Times New Roman" w:cs="Times New Roman"/>
        </w:rPr>
      </w:pPr>
      <w:r w:rsidRPr="00534F41">
        <w:rPr>
          <w:rFonts w:eastAsia="Times New Roman" w:cs="Times New Roman"/>
        </w:rPr>
        <w:t>Average Burden:           </w:t>
      </w:r>
      <w:r w:rsidRPr="00534F41">
        <w:rPr>
          <w:rFonts w:eastAsia="Times New Roman" w:cs="Times New Roman"/>
        </w:rPr>
        <w:tab/>
        <w:t>Per Collection: 1.84 hours</w:t>
      </w:r>
    </w:p>
    <w:p w:rsidR="004E78C7" w:rsidRPr="006A3E33" w:rsidP="004E78C7" w14:paraId="543C0095" w14:textId="77777777">
      <w:pPr>
        <w:tabs>
          <w:tab w:val="left" w:pos="2790"/>
        </w:tabs>
        <w:spacing w:after="0" w:line="240" w:lineRule="auto"/>
        <w:rPr>
          <w:rFonts w:eastAsia="Times New Roman" w:cs="Times New Roman"/>
        </w:rPr>
      </w:pPr>
      <w:r w:rsidRPr="00A3654F">
        <w:rPr>
          <w:rFonts w:eastAsia="Times New Roman" w:cs="Times New Roman"/>
        </w:rPr>
        <w:tab/>
        <w:t>Per Respondent: 1.84 hours</w:t>
      </w:r>
    </w:p>
    <w:tbl>
      <w:tblPr>
        <w:tblW w:w="10128" w:type="dxa"/>
        <w:tblInd w:w="-108" w:type="dxa"/>
        <w:tblLook w:val="04A0"/>
      </w:tblPr>
      <w:tblGrid>
        <w:gridCol w:w="108"/>
        <w:gridCol w:w="2610"/>
        <w:gridCol w:w="1530"/>
        <w:gridCol w:w="1300"/>
        <w:gridCol w:w="1158"/>
        <w:gridCol w:w="1157"/>
        <w:gridCol w:w="1155"/>
        <w:gridCol w:w="1110"/>
      </w:tblGrid>
      <w:tr w14:paraId="63D9C831" w14:textId="77777777" w:rsidTr="002D706D">
        <w:tblPrEx>
          <w:tblW w:w="10128" w:type="dxa"/>
          <w:tblInd w:w="-108" w:type="dxa"/>
          <w:tblLook w:val="04A0"/>
        </w:tblPrEx>
        <w:trPr>
          <w:gridBefore w:val="1"/>
          <w:wBefore w:w="108" w:type="dxa"/>
          <w:trHeight w:val="360"/>
        </w:trPr>
        <w:tc>
          <w:tcPr>
            <w:tcW w:w="8910" w:type="dxa"/>
            <w:gridSpan w:val="6"/>
            <w:tcBorders>
              <w:top w:val="nil"/>
              <w:left w:val="nil"/>
              <w:bottom w:val="single" w:sz="4" w:space="0" w:color="auto"/>
              <w:right w:val="nil"/>
            </w:tcBorders>
            <w:hideMark/>
          </w:tcPr>
          <w:p w:rsidR="006F3C12" w:rsidRPr="006F3C12" w:rsidP="006F3C12" w14:paraId="1CEF3936" w14:textId="77777777">
            <w:pPr>
              <w:spacing w:after="0" w:line="240" w:lineRule="auto"/>
              <w:jc w:val="center"/>
              <w:rPr>
                <w:rFonts w:ascii="Calibri" w:eastAsia="Times New Roman" w:hAnsi="Calibri" w:cs="Arial"/>
                <w:b/>
                <w:bCs/>
                <w:color w:val="0070C0"/>
                <w:sz w:val="28"/>
                <w:szCs w:val="28"/>
              </w:rPr>
            </w:pPr>
            <w:r>
              <w:rPr>
                <w:rFonts w:ascii="Calibri" w:eastAsia="Times New Roman" w:hAnsi="Calibri" w:cs="Arial"/>
                <w:b/>
                <w:bCs/>
                <w:color w:val="0070C0"/>
                <w:sz w:val="28"/>
                <w:szCs w:val="28"/>
              </w:rPr>
              <w:br/>
            </w:r>
            <w:r w:rsidRPr="006F3C12">
              <w:rPr>
                <w:rFonts w:ascii="Calibri" w:eastAsia="Times New Roman" w:hAnsi="Calibri" w:cs="Arial"/>
                <w:b/>
                <w:bCs/>
                <w:color w:val="0070C0"/>
                <w:sz w:val="28"/>
                <w:szCs w:val="28"/>
              </w:rPr>
              <w:t xml:space="preserve">Table A1. Estimated Respondent </w:t>
            </w:r>
            <w:r w:rsidR="00537A91">
              <w:rPr>
                <w:rFonts w:ascii="Calibri" w:eastAsia="Times New Roman" w:hAnsi="Calibri" w:cs="Arial"/>
                <w:b/>
                <w:bCs/>
                <w:color w:val="0070C0"/>
                <w:sz w:val="28"/>
                <w:szCs w:val="28"/>
              </w:rPr>
              <w:t xml:space="preserve">Hour </w:t>
            </w:r>
            <w:r w:rsidRPr="006F3C12">
              <w:rPr>
                <w:rFonts w:ascii="Calibri" w:eastAsia="Times New Roman" w:hAnsi="Calibri" w:cs="Arial"/>
                <w:b/>
                <w:bCs/>
                <w:color w:val="0070C0"/>
                <w:sz w:val="28"/>
                <w:szCs w:val="28"/>
              </w:rPr>
              <w:t>Burden</w:t>
            </w:r>
          </w:p>
        </w:tc>
        <w:tc>
          <w:tcPr>
            <w:tcW w:w="1110" w:type="dxa"/>
            <w:tcBorders>
              <w:top w:val="nil"/>
              <w:left w:val="nil"/>
              <w:bottom w:val="nil"/>
              <w:right w:val="nil"/>
            </w:tcBorders>
            <w:noWrap/>
            <w:vAlign w:val="bottom"/>
            <w:hideMark/>
          </w:tcPr>
          <w:p w:rsidR="006F3C12" w:rsidRPr="006F3C12" w:rsidP="006F3C12" w14:paraId="2072815E" w14:textId="77777777">
            <w:pPr>
              <w:spacing w:after="0" w:line="240" w:lineRule="auto"/>
              <w:jc w:val="center"/>
              <w:rPr>
                <w:rFonts w:ascii="Calibri" w:eastAsia="Times New Roman" w:hAnsi="Calibri" w:cs="Arial"/>
                <w:b/>
                <w:bCs/>
                <w:color w:val="0070C0"/>
                <w:sz w:val="28"/>
                <w:szCs w:val="28"/>
              </w:rPr>
            </w:pPr>
          </w:p>
        </w:tc>
      </w:tr>
      <w:tr w14:paraId="40486E92" w14:textId="77777777" w:rsidTr="002D706D">
        <w:tblPrEx>
          <w:tblW w:w="10128" w:type="dxa"/>
          <w:tblInd w:w="-108" w:type="dxa"/>
          <w:tblLook w:val="04A0"/>
        </w:tblPrEx>
        <w:trPr>
          <w:trHeight w:val="765"/>
        </w:trPr>
        <w:tc>
          <w:tcPr>
            <w:tcW w:w="2718" w:type="dxa"/>
            <w:gridSpan w:val="2"/>
            <w:tcBorders>
              <w:top w:val="nil"/>
              <w:left w:val="single" w:sz="4" w:space="0" w:color="auto"/>
              <w:bottom w:val="single" w:sz="4" w:space="0" w:color="auto"/>
              <w:right w:val="single" w:sz="4" w:space="0" w:color="auto"/>
            </w:tcBorders>
            <w:shd w:val="clear" w:color="000000" w:fill="00B0F0"/>
            <w:vAlign w:val="center"/>
            <w:hideMark/>
          </w:tcPr>
          <w:p w:rsidR="002D706D" w:rsidRPr="006F3C12" w:rsidP="00F97B72" w14:paraId="34E1DFDC" w14:textId="77777777">
            <w:pPr>
              <w:spacing w:after="0" w:line="240" w:lineRule="auto"/>
              <w:jc w:val="center"/>
              <w:rPr>
                <w:rFonts w:ascii="Calibri" w:eastAsia="Times New Roman" w:hAnsi="Calibri" w:cs="Arial"/>
                <w:b/>
                <w:bCs/>
                <w:sz w:val="20"/>
                <w:szCs w:val="20"/>
              </w:rPr>
            </w:pPr>
            <w:r w:rsidRPr="006F3C12">
              <w:rPr>
                <w:rFonts w:ascii="Calibri" w:eastAsia="Times New Roman" w:hAnsi="Calibri" w:cs="Arial"/>
                <w:b/>
                <w:bCs/>
                <w:sz w:val="20"/>
                <w:szCs w:val="20"/>
              </w:rPr>
              <w:t>Form Number/Title (and/or other Collection Instrument name)</w:t>
            </w:r>
          </w:p>
        </w:tc>
        <w:tc>
          <w:tcPr>
            <w:tcW w:w="1530" w:type="dxa"/>
            <w:tcBorders>
              <w:top w:val="nil"/>
              <w:left w:val="nil"/>
              <w:bottom w:val="single" w:sz="4" w:space="0" w:color="auto"/>
              <w:right w:val="single" w:sz="4" w:space="0" w:color="auto"/>
            </w:tcBorders>
            <w:shd w:val="clear" w:color="000000" w:fill="00B0F0"/>
            <w:vAlign w:val="center"/>
            <w:hideMark/>
          </w:tcPr>
          <w:p w:rsidR="002D706D" w:rsidRPr="006F3C12" w:rsidP="00F97B72" w14:paraId="5855CF84" w14:textId="77777777">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Type of Respondents</w:t>
            </w:r>
          </w:p>
        </w:tc>
        <w:tc>
          <w:tcPr>
            <w:tcW w:w="1300" w:type="dxa"/>
            <w:tcBorders>
              <w:top w:val="nil"/>
              <w:left w:val="nil"/>
              <w:bottom w:val="single" w:sz="4" w:space="0" w:color="auto"/>
              <w:right w:val="single" w:sz="4" w:space="0" w:color="auto"/>
            </w:tcBorders>
            <w:shd w:val="clear" w:color="000000" w:fill="00B0F0"/>
            <w:vAlign w:val="center"/>
            <w:hideMark/>
          </w:tcPr>
          <w:p w:rsidR="002D706D" w:rsidRPr="006F3C12" w:rsidP="00F97B72" w14:paraId="6F06D790" w14:textId="77777777">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 xml:space="preserve">Annual </w:t>
            </w:r>
            <w:r w:rsidRPr="006F3C12">
              <w:rPr>
                <w:rFonts w:ascii="Calibri" w:eastAsia="Times New Roman" w:hAnsi="Calibri" w:cs="Arial"/>
                <w:b/>
                <w:bCs/>
                <w:sz w:val="20"/>
                <w:szCs w:val="20"/>
              </w:rPr>
              <w:t>Number of Respondents</w:t>
            </w:r>
          </w:p>
        </w:tc>
        <w:tc>
          <w:tcPr>
            <w:tcW w:w="1158" w:type="dxa"/>
            <w:tcBorders>
              <w:top w:val="nil"/>
              <w:left w:val="nil"/>
              <w:bottom w:val="single" w:sz="4" w:space="0" w:color="auto"/>
              <w:right w:val="single" w:sz="4" w:space="0" w:color="auto"/>
            </w:tcBorders>
            <w:shd w:val="clear" w:color="000000" w:fill="00B0F0"/>
            <w:vAlign w:val="center"/>
            <w:hideMark/>
          </w:tcPr>
          <w:p w:rsidR="002D706D" w:rsidRPr="006F3C12" w:rsidP="00F97B72" w14:paraId="74889CA1" w14:textId="77777777">
            <w:pPr>
              <w:spacing w:after="0" w:line="240" w:lineRule="auto"/>
              <w:jc w:val="center"/>
              <w:rPr>
                <w:rFonts w:ascii="Calibri" w:eastAsia="Times New Roman" w:hAnsi="Calibri" w:cs="Arial"/>
                <w:b/>
                <w:bCs/>
                <w:sz w:val="20"/>
                <w:szCs w:val="20"/>
              </w:rPr>
            </w:pPr>
            <w:r w:rsidRPr="006F3C12">
              <w:rPr>
                <w:rFonts w:ascii="Calibri" w:eastAsia="Times New Roman" w:hAnsi="Calibri" w:cs="Arial"/>
                <w:b/>
                <w:bCs/>
                <w:sz w:val="20"/>
                <w:szCs w:val="20"/>
              </w:rPr>
              <w:t>Annual Number of Responses</w:t>
            </w:r>
          </w:p>
        </w:tc>
        <w:tc>
          <w:tcPr>
            <w:tcW w:w="1157" w:type="dxa"/>
            <w:tcBorders>
              <w:top w:val="nil"/>
              <w:left w:val="nil"/>
              <w:bottom w:val="single" w:sz="4" w:space="0" w:color="auto"/>
              <w:right w:val="single" w:sz="4" w:space="0" w:color="auto"/>
            </w:tcBorders>
            <w:shd w:val="clear" w:color="000000" w:fill="00B0F0"/>
            <w:vAlign w:val="center"/>
            <w:hideMark/>
          </w:tcPr>
          <w:p w:rsidR="002D706D" w:rsidRPr="006F3C12" w:rsidP="00F97B72" w14:paraId="37EDCD4A" w14:textId="77777777">
            <w:pPr>
              <w:spacing w:after="0" w:line="240" w:lineRule="auto"/>
              <w:jc w:val="center"/>
              <w:rPr>
                <w:rFonts w:ascii="Calibri" w:eastAsia="Times New Roman" w:hAnsi="Calibri" w:cs="Arial"/>
                <w:b/>
                <w:bCs/>
                <w:sz w:val="20"/>
                <w:szCs w:val="20"/>
              </w:rPr>
            </w:pPr>
            <w:r w:rsidRPr="006F3C12">
              <w:rPr>
                <w:rFonts w:ascii="Calibri" w:eastAsia="Times New Roman" w:hAnsi="Calibri" w:cs="Arial"/>
                <w:b/>
                <w:bCs/>
                <w:sz w:val="20"/>
                <w:szCs w:val="20"/>
              </w:rPr>
              <w:t>Burden Hours Per Response</w:t>
            </w:r>
          </w:p>
        </w:tc>
        <w:tc>
          <w:tcPr>
            <w:tcW w:w="1155" w:type="dxa"/>
            <w:tcBorders>
              <w:top w:val="nil"/>
              <w:left w:val="nil"/>
              <w:bottom w:val="single" w:sz="4" w:space="0" w:color="auto"/>
              <w:right w:val="single" w:sz="4" w:space="0" w:color="auto"/>
            </w:tcBorders>
            <w:shd w:val="clear" w:color="000000" w:fill="00B0F0"/>
            <w:vAlign w:val="center"/>
            <w:hideMark/>
          </w:tcPr>
          <w:p w:rsidR="002D706D" w:rsidRPr="006F3C12" w:rsidP="00F97B72" w14:paraId="38E97304" w14:textId="77777777">
            <w:pPr>
              <w:spacing w:after="0" w:line="240" w:lineRule="auto"/>
              <w:jc w:val="center"/>
              <w:rPr>
                <w:rFonts w:ascii="Calibri" w:eastAsia="Times New Roman" w:hAnsi="Calibri" w:cs="Arial"/>
                <w:b/>
                <w:bCs/>
                <w:sz w:val="20"/>
                <w:szCs w:val="20"/>
              </w:rPr>
            </w:pPr>
            <w:r w:rsidRPr="006F3C12">
              <w:rPr>
                <w:rFonts w:ascii="Calibri" w:eastAsia="Times New Roman" w:hAnsi="Calibri" w:cs="Arial"/>
                <w:b/>
                <w:bCs/>
                <w:sz w:val="20"/>
                <w:szCs w:val="20"/>
              </w:rPr>
              <w:t>Annual Burden Hours</w:t>
            </w:r>
          </w:p>
        </w:tc>
        <w:tc>
          <w:tcPr>
            <w:tcW w:w="1110" w:type="dxa"/>
            <w:tcBorders>
              <w:top w:val="single" w:sz="4" w:space="0" w:color="auto"/>
              <w:left w:val="nil"/>
              <w:bottom w:val="single" w:sz="4" w:space="0" w:color="auto"/>
              <w:right w:val="single" w:sz="4" w:space="0" w:color="auto"/>
            </w:tcBorders>
            <w:shd w:val="clear" w:color="000000" w:fill="00B0F0"/>
            <w:vAlign w:val="center"/>
            <w:hideMark/>
          </w:tcPr>
          <w:p w:rsidR="002D706D" w:rsidRPr="006F3C12" w:rsidP="00F97B72" w14:paraId="6EEE1FD7" w14:textId="77777777">
            <w:pPr>
              <w:spacing w:after="0" w:line="240" w:lineRule="auto"/>
              <w:jc w:val="center"/>
              <w:rPr>
                <w:rFonts w:ascii="Calibri" w:eastAsia="Times New Roman" w:hAnsi="Calibri" w:cs="Arial"/>
                <w:b/>
                <w:bCs/>
                <w:sz w:val="20"/>
                <w:szCs w:val="20"/>
              </w:rPr>
            </w:pPr>
            <w:r w:rsidRPr="006F3C12">
              <w:rPr>
                <w:rFonts w:ascii="Calibri" w:eastAsia="Times New Roman" w:hAnsi="Calibri" w:cs="Arial"/>
                <w:b/>
                <w:bCs/>
                <w:sz w:val="20"/>
                <w:szCs w:val="20"/>
              </w:rPr>
              <w:t>Annual Reporting Frequency</w:t>
            </w:r>
          </w:p>
        </w:tc>
      </w:tr>
      <w:tr w14:paraId="10810C67" w14:textId="77777777" w:rsidTr="002D706D">
        <w:tblPrEx>
          <w:tblW w:w="10128" w:type="dxa"/>
          <w:tblInd w:w="-108" w:type="dxa"/>
          <w:tblLook w:val="04A0"/>
        </w:tblPrEx>
        <w:trPr>
          <w:trHeight w:val="255"/>
        </w:trPr>
        <w:tc>
          <w:tcPr>
            <w:tcW w:w="2718" w:type="dxa"/>
            <w:gridSpan w:val="2"/>
            <w:tcBorders>
              <w:top w:val="nil"/>
              <w:left w:val="single" w:sz="4" w:space="0" w:color="auto"/>
              <w:bottom w:val="single" w:sz="4" w:space="0" w:color="auto"/>
              <w:right w:val="single" w:sz="4" w:space="0" w:color="auto"/>
            </w:tcBorders>
            <w:vAlign w:val="bottom"/>
            <w:hideMark/>
          </w:tcPr>
          <w:p w:rsidR="002D706D" w:rsidRPr="006C78F9" w:rsidP="00F97B72" w14:paraId="35C6AD6F" w14:textId="77777777">
            <w:pPr>
              <w:spacing w:after="0" w:line="240" w:lineRule="auto"/>
              <w:rPr>
                <w:rFonts w:ascii="Calibri" w:eastAsia="Times New Roman" w:hAnsi="Calibri" w:cs="Arial"/>
                <w:sz w:val="20"/>
                <w:szCs w:val="20"/>
              </w:rPr>
            </w:pPr>
            <w:r w:rsidRPr="006C78F9">
              <w:rPr>
                <w:rFonts w:ascii="Calibri" w:eastAsia="Times New Roman" w:hAnsi="Calibri" w:cs="Arial"/>
                <w:sz w:val="20"/>
                <w:szCs w:val="20"/>
              </w:rPr>
              <w:t> Labor Relations Report in iBenefits (1910-5143)</w:t>
            </w:r>
          </w:p>
        </w:tc>
        <w:tc>
          <w:tcPr>
            <w:tcW w:w="1530" w:type="dxa"/>
            <w:tcBorders>
              <w:top w:val="nil"/>
              <w:left w:val="nil"/>
              <w:bottom w:val="single" w:sz="4" w:space="0" w:color="auto"/>
              <w:right w:val="single" w:sz="4" w:space="0" w:color="auto"/>
            </w:tcBorders>
            <w:noWrap/>
            <w:vAlign w:val="bottom"/>
            <w:hideMark/>
          </w:tcPr>
          <w:p w:rsidR="002D706D" w:rsidRPr="006C78F9" w:rsidP="00F97B72" w14:paraId="21F83F5C" w14:textId="77777777">
            <w:pPr>
              <w:spacing w:after="0" w:line="240" w:lineRule="auto"/>
              <w:rPr>
                <w:rFonts w:ascii="Calibri" w:eastAsia="Times New Roman" w:hAnsi="Calibri" w:cs="Arial"/>
                <w:sz w:val="20"/>
                <w:szCs w:val="20"/>
              </w:rPr>
            </w:pPr>
            <w:r w:rsidRPr="006C78F9">
              <w:rPr>
                <w:rFonts w:ascii="Calibri" w:eastAsia="Times New Roman" w:hAnsi="Calibri" w:cs="Arial"/>
                <w:sz w:val="20"/>
                <w:szCs w:val="20"/>
              </w:rPr>
              <w:t>Contractor Human Resources Specialist</w:t>
            </w:r>
          </w:p>
        </w:tc>
        <w:tc>
          <w:tcPr>
            <w:tcW w:w="1300" w:type="dxa"/>
            <w:tcBorders>
              <w:top w:val="nil"/>
              <w:left w:val="nil"/>
              <w:bottom w:val="single" w:sz="4" w:space="0" w:color="auto"/>
              <w:right w:val="single" w:sz="4" w:space="0" w:color="auto"/>
            </w:tcBorders>
            <w:noWrap/>
            <w:vAlign w:val="bottom"/>
            <w:hideMark/>
          </w:tcPr>
          <w:p w:rsidR="002D706D" w:rsidRPr="006C78F9" w:rsidP="00F97B72" w14:paraId="4BA38390" w14:textId="77777777">
            <w:pPr>
              <w:spacing w:after="0" w:line="240" w:lineRule="auto"/>
              <w:jc w:val="right"/>
              <w:rPr>
                <w:rFonts w:ascii="Calibri" w:eastAsia="Times New Roman" w:hAnsi="Calibri" w:cs="Arial"/>
                <w:sz w:val="20"/>
                <w:szCs w:val="20"/>
              </w:rPr>
            </w:pPr>
            <w:r w:rsidRPr="006C78F9">
              <w:rPr>
                <w:rFonts w:ascii="Calibri" w:eastAsia="Times New Roman" w:hAnsi="Calibri" w:cs="Arial"/>
                <w:sz w:val="20"/>
                <w:szCs w:val="20"/>
              </w:rPr>
              <w:t> 35</w:t>
            </w:r>
          </w:p>
        </w:tc>
        <w:tc>
          <w:tcPr>
            <w:tcW w:w="1158" w:type="dxa"/>
            <w:tcBorders>
              <w:top w:val="nil"/>
              <w:left w:val="nil"/>
              <w:bottom w:val="single" w:sz="4" w:space="0" w:color="auto"/>
              <w:right w:val="single" w:sz="4" w:space="0" w:color="auto"/>
            </w:tcBorders>
            <w:shd w:val="clear" w:color="000000" w:fill="E2A5AC"/>
            <w:noWrap/>
            <w:vAlign w:val="bottom"/>
            <w:hideMark/>
          </w:tcPr>
          <w:p w:rsidR="002D706D" w:rsidRPr="006C78F9" w:rsidP="00F97B72" w14:paraId="5AFB0EAB" w14:textId="77777777">
            <w:pPr>
              <w:spacing w:after="0" w:line="240" w:lineRule="auto"/>
              <w:jc w:val="right"/>
              <w:rPr>
                <w:rFonts w:ascii="Calibri" w:eastAsia="Times New Roman" w:hAnsi="Calibri" w:cs="Arial"/>
                <w:sz w:val="20"/>
                <w:szCs w:val="20"/>
              </w:rPr>
            </w:pPr>
            <w:r w:rsidRPr="006C78F9">
              <w:rPr>
                <w:rFonts w:ascii="Calibri" w:eastAsia="Times New Roman" w:hAnsi="Calibri" w:cs="Arial"/>
                <w:sz w:val="20"/>
                <w:szCs w:val="20"/>
              </w:rPr>
              <w:t>35</w:t>
            </w:r>
          </w:p>
        </w:tc>
        <w:tc>
          <w:tcPr>
            <w:tcW w:w="1157" w:type="dxa"/>
            <w:tcBorders>
              <w:top w:val="nil"/>
              <w:left w:val="nil"/>
              <w:bottom w:val="single" w:sz="4" w:space="0" w:color="auto"/>
              <w:right w:val="single" w:sz="4" w:space="0" w:color="auto"/>
            </w:tcBorders>
            <w:noWrap/>
            <w:vAlign w:val="bottom"/>
            <w:hideMark/>
          </w:tcPr>
          <w:p w:rsidR="002D706D" w:rsidRPr="006C78F9" w:rsidP="00F97B72" w14:paraId="6C6E8A6A" w14:textId="77777777">
            <w:pPr>
              <w:spacing w:after="0" w:line="240" w:lineRule="auto"/>
              <w:jc w:val="right"/>
              <w:rPr>
                <w:rFonts w:ascii="Calibri" w:eastAsia="Times New Roman" w:hAnsi="Calibri" w:cs="Arial"/>
                <w:sz w:val="20"/>
                <w:szCs w:val="20"/>
              </w:rPr>
            </w:pPr>
            <w:r w:rsidRPr="006C78F9">
              <w:rPr>
                <w:rFonts w:ascii="Calibri" w:eastAsia="Times New Roman" w:hAnsi="Calibri" w:cs="Arial"/>
                <w:sz w:val="20"/>
                <w:szCs w:val="20"/>
              </w:rPr>
              <w:t> 1.84</w:t>
            </w:r>
          </w:p>
        </w:tc>
        <w:tc>
          <w:tcPr>
            <w:tcW w:w="1155" w:type="dxa"/>
            <w:tcBorders>
              <w:top w:val="nil"/>
              <w:left w:val="nil"/>
              <w:bottom w:val="single" w:sz="4" w:space="0" w:color="auto"/>
              <w:right w:val="single" w:sz="4" w:space="0" w:color="auto"/>
            </w:tcBorders>
            <w:shd w:val="clear" w:color="000000" w:fill="E2A5AC"/>
            <w:noWrap/>
            <w:vAlign w:val="bottom"/>
            <w:hideMark/>
          </w:tcPr>
          <w:p w:rsidR="002D706D" w:rsidRPr="006C78F9" w:rsidP="00F97B72" w14:paraId="67C0EB9B" w14:textId="77777777">
            <w:pPr>
              <w:spacing w:after="0" w:line="240" w:lineRule="auto"/>
              <w:jc w:val="right"/>
              <w:rPr>
                <w:rFonts w:ascii="Calibri" w:eastAsia="Times New Roman" w:hAnsi="Calibri" w:cs="Arial"/>
                <w:sz w:val="20"/>
                <w:szCs w:val="20"/>
              </w:rPr>
            </w:pPr>
            <w:r w:rsidRPr="006C78F9">
              <w:rPr>
                <w:rFonts w:ascii="Calibri" w:eastAsia="Times New Roman" w:hAnsi="Calibri" w:cs="Arial"/>
                <w:sz w:val="20"/>
                <w:szCs w:val="20"/>
              </w:rPr>
              <w:t>64.4</w:t>
            </w:r>
          </w:p>
        </w:tc>
        <w:tc>
          <w:tcPr>
            <w:tcW w:w="1110" w:type="dxa"/>
            <w:tcBorders>
              <w:top w:val="nil"/>
              <w:left w:val="nil"/>
              <w:bottom w:val="single" w:sz="4" w:space="0" w:color="auto"/>
              <w:right w:val="single" w:sz="4" w:space="0" w:color="auto"/>
            </w:tcBorders>
            <w:noWrap/>
            <w:vAlign w:val="bottom"/>
            <w:hideMark/>
          </w:tcPr>
          <w:p w:rsidR="002D706D" w:rsidRPr="006C78F9" w:rsidP="00F97B72" w14:paraId="6F1B971C" w14:textId="77777777">
            <w:pPr>
              <w:spacing w:after="0" w:line="240" w:lineRule="auto"/>
              <w:jc w:val="right"/>
              <w:rPr>
                <w:rFonts w:ascii="Calibri" w:eastAsia="Times New Roman" w:hAnsi="Calibri" w:cs="Arial"/>
                <w:sz w:val="20"/>
                <w:szCs w:val="20"/>
              </w:rPr>
            </w:pPr>
            <w:r w:rsidRPr="006C78F9">
              <w:rPr>
                <w:rFonts w:ascii="Calibri" w:eastAsia="Times New Roman" w:hAnsi="Calibri" w:cs="Arial"/>
                <w:sz w:val="20"/>
                <w:szCs w:val="20"/>
              </w:rPr>
              <w:t> 1</w:t>
            </w:r>
          </w:p>
        </w:tc>
      </w:tr>
      <w:tr w14:paraId="5244DC46" w14:textId="77777777" w:rsidTr="002D706D">
        <w:tblPrEx>
          <w:tblW w:w="10128" w:type="dxa"/>
          <w:tblInd w:w="-108" w:type="dxa"/>
          <w:tblLook w:val="04A0"/>
        </w:tblPrEx>
        <w:trPr>
          <w:trHeight w:val="255"/>
        </w:trPr>
        <w:tc>
          <w:tcPr>
            <w:tcW w:w="2718" w:type="dxa"/>
            <w:gridSpan w:val="2"/>
            <w:tcBorders>
              <w:top w:val="nil"/>
              <w:left w:val="single" w:sz="4" w:space="0" w:color="auto"/>
              <w:bottom w:val="single" w:sz="4" w:space="0" w:color="auto"/>
              <w:right w:val="single" w:sz="4" w:space="0" w:color="auto"/>
            </w:tcBorders>
            <w:vAlign w:val="bottom"/>
            <w:hideMark/>
          </w:tcPr>
          <w:p w:rsidR="002D706D" w:rsidRPr="006F3C12" w:rsidP="00F97B72" w14:paraId="41C58F61" w14:textId="77777777">
            <w:pPr>
              <w:spacing w:after="0" w:line="240" w:lineRule="auto"/>
              <w:rPr>
                <w:rFonts w:ascii="Calibri" w:eastAsia="Times New Roman" w:hAnsi="Calibri" w:cs="Arial"/>
                <w:b/>
                <w:bCs/>
                <w:color w:val="000000"/>
                <w:sz w:val="20"/>
                <w:szCs w:val="20"/>
              </w:rPr>
            </w:pPr>
            <w:r w:rsidRPr="006F3C12">
              <w:rPr>
                <w:rFonts w:ascii="Calibri" w:eastAsia="Times New Roman" w:hAnsi="Calibri" w:cs="Arial"/>
                <w:b/>
                <w:bCs/>
                <w:color w:val="000000"/>
                <w:sz w:val="20"/>
                <w:szCs w:val="20"/>
              </w:rPr>
              <w:t>TOTAL</w:t>
            </w:r>
          </w:p>
        </w:tc>
        <w:tc>
          <w:tcPr>
            <w:tcW w:w="1530" w:type="dxa"/>
            <w:tcBorders>
              <w:top w:val="nil"/>
              <w:left w:val="nil"/>
              <w:bottom w:val="single" w:sz="4" w:space="0" w:color="auto"/>
              <w:right w:val="single" w:sz="4" w:space="0" w:color="auto"/>
            </w:tcBorders>
            <w:shd w:val="clear" w:color="000000" w:fill="333333"/>
            <w:noWrap/>
            <w:vAlign w:val="bottom"/>
            <w:hideMark/>
          </w:tcPr>
          <w:p w:rsidR="002D706D" w:rsidRPr="006F3C12" w:rsidP="00F97B72" w14:paraId="531A4C69" w14:textId="77777777">
            <w:pPr>
              <w:spacing w:after="0" w:line="240" w:lineRule="auto"/>
              <w:rPr>
                <w:rFonts w:ascii="Calibri" w:eastAsia="Times New Roman" w:hAnsi="Calibri" w:cs="Arial"/>
                <w:b/>
                <w:bCs/>
                <w:color w:val="000000"/>
                <w:sz w:val="20"/>
                <w:szCs w:val="20"/>
              </w:rPr>
            </w:pPr>
            <w:r w:rsidRPr="006F3C12">
              <w:rPr>
                <w:rFonts w:ascii="Calibri" w:eastAsia="Times New Roman" w:hAnsi="Calibri" w:cs="Arial"/>
                <w:b/>
                <w:bCs/>
                <w:color w:val="000000"/>
                <w:sz w:val="20"/>
                <w:szCs w:val="20"/>
              </w:rPr>
              <w:t> </w:t>
            </w:r>
          </w:p>
        </w:tc>
        <w:tc>
          <w:tcPr>
            <w:tcW w:w="1300" w:type="dxa"/>
            <w:tcBorders>
              <w:top w:val="nil"/>
              <w:left w:val="nil"/>
              <w:bottom w:val="single" w:sz="4" w:space="0" w:color="auto"/>
              <w:right w:val="single" w:sz="4" w:space="0" w:color="auto"/>
            </w:tcBorders>
            <w:shd w:val="clear" w:color="000000" w:fill="E2A5AC"/>
            <w:noWrap/>
            <w:vAlign w:val="bottom"/>
            <w:hideMark/>
          </w:tcPr>
          <w:p w:rsidR="002D706D" w:rsidRPr="006F3C12" w:rsidP="00F97B72" w14:paraId="32F23F9F" w14:textId="77777777">
            <w:pPr>
              <w:spacing w:after="0" w:line="240" w:lineRule="auto"/>
              <w:jc w:val="right"/>
              <w:rPr>
                <w:rFonts w:ascii="Calibri" w:eastAsia="Times New Roman" w:hAnsi="Calibri" w:cs="Arial"/>
                <w:b/>
                <w:bCs/>
                <w:color w:val="000000"/>
                <w:sz w:val="20"/>
                <w:szCs w:val="20"/>
              </w:rPr>
            </w:pPr>
            <w:r>
              <w:rPr>
                <w:rFonts w:ascii="Calibri" w:eastAsia="Times New Roman" w:hAnsi="Calibri" w:cs="Arial"/>
                <w:b/>
                <w:bCs/>
                <w:color w:val="000000"/>
                <w:sz w:val="20"/>
                <w:szCs w:val="20"/>
              </w:rPr>
              <w:t>35</w:t>
            </w:r>
          </w:p>
        </w:tc>
        <w:tc>
          <w:tcPr>
            <w:tcW w:w="1158" w:type="dxa"/>
            <w:tcBorders>
              <w:top w:val="nil"/>
              <w:left w:val="nil"/>
              <w:bottom w:val="single" w:sz="4" w:space="0" w:color="auto"/>
              <w:right w:val="single" w:sz="4" w:space="0" w:color="auto"/>
            </w:tcBorders>
            <w:shd w:val="clear" w:color="000000" w:fill="E2A5AC"/>
            <w:noWrap/>
            <w:vAlign w:val="bottom"/>
            <w:hideMark/>
          </w:tcPr>
          <w:p w:rsidR="002D706D" w:rsidRPr="006F3C12" w:rsidP="00F97B72" w14:paraId="127F8AAF" w14:textId="77777777">
            <w:pPr>
              <w:spacing w:after="0" w:line="240" w:lineRule="auto"/>
              <w:jc w:val="right"/>
              <w:rPr>
                <w:rFonts w:ascii="Calibri" w:eastAsia="Times New Roman" w:hAnsi="Calibri" w:cs="Arial"/>
                <w:b/>
                <w:bCs/>
                <w:color w:val="000000"/>
                <w:sz w:val="20"/>
                <w:szCs w:val="20"/>
              </w:rPr>
            </w:pPr>
            <w:r>
              <w:rPr>
                <w:rFonts w:ascii="Calibri" w:eastAsia="Times New Roman" w:hAnsi="Calibri" w:cs="Arial"/>
                <w:b/>
                <w:bCs/>
                <w:color w:val="000000"/>
                <w:sz w:val="20"/>
                <w:szCs w:val="20"/>
              </w:rPr>
              <w:t>35</w:t>
            </w:r>
          </w:p>
        </w:tc>
        <w:tc>
          <w:tcPr>
            <w:tcW w:w="1157" w:type="dxa"/>
            <w:tcBorders>
              <w:top w:val="nil"/>
              <w:left w:val="nil"/>
              <w:bottom w:val="single" w:sz="4" w:space="0" w:color="auto"/>
              <w:right w:val="single" w:sz="4" w:space="0" w:color="auto"/>
            </w:tcBorders>
            <w:shd w:val="clear" w:color="000000" w:fill="333333"/>
            <w:noWrap/>
            <w:vAlign w:val="bottom"/>
            <w:hideMark/>
          </w:tcPr>
          <w:p w:rsidR="002D706D" w:rsidRPr="006F3C12" w:rsidP="00F97B72" w14:paraId="41F81FD6" w14:textId="77777777">
            <w:pPr>
              <w:spacing w:after="0" w:line="240" w:lineRule="auto"/>
              <w:rPr>
                <w:rFonts w:ascii="Calibri" w:eastAsia="Times New Roman" w:hAnsi="Calibri" w:cs="Arial"/>
                <w:b/>
                <w:bCs/>
                <w:color w:val="000000"/>
                <w:sz w:val="20"/>
                <w:szCs w:val="20"/>
              </w:rPr>
            </w:pPr>
            <w:r w:rsidRPr="006F3C12">
              <w:rPr>
                <w:rFonts w:ascii="Calibri" w:eastAsia="Times New Roman" w:hAnsi="Calibri" w:cs="Arial"/>
                <w:b/>
                <w:bCs/>
                <w:color w:val="000000"/>
                <w:sz w:val="20"/>
                <w:szCs w:val="20"/>
              </w:rPr>
              <w:t> </w:t>
            </w:r>
          </w:p>
        </w:tc>
        <w:tc>
          <w:tcPr>
            <w:tcW w:w="1155" w:type="dxa"/>
            <w:tcBorders>
              <w:top w:val="nil"/>
              <w:left w:val="nil"/>
              <w:bottom w:val="single" w:sz="4" w:space="0" w:color="auto"/>
              <w:right w:val="single" w:sz="4" w:space="0" w:color="auto"/>
            </w:tcBorders>
            <w:shd w:val="clear" w:color="000000" w:fill="E2A5AC"/>
            <w:noWrap/>
            <w:vAlign w:val="bottom"/>
            <w:hideMark/>
          </w:tcPr>
          <w:p w:rsidR="002D706D" w:rsidRPr="006F3C12" w:rsidP="00F97B72" w14:paraId="66EA1A6C" w14:textId="77777777">
            <w:pPr>
              <w:spacing w:after="0" w:line="240" w:lineRule="auto"/>
              <w:jc w:val="right"/>
              <w:rPr>
                <w:rFonts w:ascii="Calibri" w:eastAsia="Times New Roman" w:hAnsi="Calibri" w:cs="Arial"/>
                <w:b/>
                <w:bCs/>
                <w:color w:val="000000"/>
                <w:sz w:val="20"/>
                <w:szCs w:val="20"/>
              </w:rPr>
            </w:pPr>
            <w:r>
              <w:rPr>
                <w:rFonts w:ascii="Calibri" w:eastAsia="Times New Roman" w:hAnsi="Calibri" w:cs="Arial"/>
                <w:b/>
                <w:bCs/>
                <w:color w:val="000000"/>
                <w:sz w:val="20"/>
                <w:szCs w:val="20"/>
              </w:rPr>
              <w:t>64.4</w:t>
            </w:r>
          </w:p>
        </w:tc>
        <w:tc>
          <w:tcPr>
            <w:tcW w:w="1110" w:type="dxa"/>
            <w:tcBorders>
              <w:top w:val="nil"/>
              <w:left w:val="nil"/>
              <w:bottom w:val="single" w:sz="4" w:space="0" w:color="auto"/>
              <w:right w:val="single" w:sz="4" w:space="0" w:color="auto"/>
            </w:tcBorders>
            <w:shd w:val="clear" w:color="000000" w:fill="333333"/>
            <w:noWrap/>
            <w:vAlign w:val="bottom"/>
            <w:hideMark/>
          </w:tcPr>
          <w:p w:rsidR="002D706D" w:rsidRPr="006F3C12" w:rsidP="00F97B72" w14:paraId="3E049E97" w14:textId="77777777">
            <w:pPr>
              <w:spacing w:after="0" w:line="240" w:lineRule="auto"/>
              <w:rPr>
                <w:rFonts w:ascii="Calibri" w:eastAsia="Times New Roman" w:hAnsi="Calibri" w:cs="Arial"/>
                <w:b/>
                <w:bCs/>
                <w:color w:val="000000"/>
                <w:sz w:val="20"/>
                <w:szCs w:val="20"/>
              </w:rPr>
            </w:pPr>
            <w:r w:rsidRPr="006F3C12">
              <w:rPr>
                <w:rFonts w:ascii="Calibri" w:eastAsia="Times New Roman" w:hAnsi="Calibri" w:cs="Arial"/>
                <w:b/>
                <w:bCs/>
                <w:color w:val="000000"/>
                <w:sz w:val="20"/>
                <w:szCs w:val="20"/>
              </w:rPr>
              <w:t> </w:t>
            </w:r>
          </w:p>
        </w:tc>
      </w:tr>
    </w:tbl>
    <w:p w:rsidR="00AE6862" w:rsidRPr="00A41763" w:rsidP="00A41763" w14:paraId="36C345F8" w14:textId="77777777"/>
    <w:p w:rsidR="006F3C12" w:rsidP="006F3C12" w14:paraId="7C5FFB14" w14:textId="77777777">
      <w:pPr>
        <w:pStyle w:val="Heading2"/>
      </w:pPr>
      <w:bookmarkStart w:id="16" w:name="_Toc16271331"/>
      <w:r>
        <w:t>A.</w:t>
      </w:r>
      <w:r w:rsidRPr="00A41763">
        <w:t>12</w:t>
      </w:r>
      <w:r>
        <w:t>B</w:t>
      </w:r>
      <w:r w:rsidRPr="00A41763">
        <w:t xml:space="preserve">. </w:t>
      </w:r>
      <w:r w:rsidRPr="00F056C3">
        <w:t xml:space="preserve">Estimate of </w:t>
      </w:r>
      <w:r>
        <w:t xml:space="preserve">Annual Cost to </w:t>
      </w:r>
      <w:r w:rsidRPr="00F056C3">
        <w:t xml:space="preserve">Respondent </w:t>
      </w:r>
      <w:r>
        <w:t xml:space="preserve">for </w:t>
      </w:r>
      <w:r w:rsidRPr="00F056C3">
        <w:t>Burden Hours</w:t>
      </w:r>
      <w:bookmarkEnd w:id="16"/>
      <w:r w:rsidRPr="00F056C3">
        <w:t xml:space="preserve"> </w:t>
      </w:r>
    </w:p>
    <w:p w:rsidR="000B43BF" w:rsidP="000B43BF" w14:paraId="0930331E" w14:textId="77777777">
      <w:pPr>
        <w:pStyle w:val="Default"/>
        <w:rPr>
          <w:b/>
          <w:bCs/>
        </w:rPr>
      </w:pPr>
      <w:r w:rsidRPr="00AC69E8">
        <w:rPr>
          <w:b/>
          <w:bCs/>
        </w:rPr>
        <w:t>Provide estimates of annualized cost to respondents for the hour</w:t>
      </w:r>
      <w:r>
        <w:rPr>
          <w:b/>
          <w:bCs/>
        </w:rPr>
        <w:t xml:space="preserve"> </w:t>
      </w:r>
      <w:r w:rsidRPr="00AC69E8">
        <w:rPr>
          <w:b/>
          <w:bCs/>
        </w:rPr>
        <w:t xml:space="preserve">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002E4FAD" w:rsidP="000B43BF" w14:paraId="1925BB53" w14:textId="77777777">
      <w:pPr>
        <w:pStyle w:val="Default"/>
        <w:rPr>
          <w:b/>
          <w:bCs/>
        </w:rPr>
      </w:pPr>
    </w:p>
    <w:p w:rsidR="00EB058E" w:rsidP="00EB058E" w14:paraId="5790262F" w14:textId="77777777">
      <w:pPr>
        <w:rPr>
          <w:rFonts w:cs="Times New Roman"/>
          <w:bCs/>
          <w:color w:val="000000"/>
        </w:rPr>
      </w:pPr>
      <w:r w:rsidRPr="00981BB2">
        <w:rPr>
          <w:rFonts w:eastAsia="Times New Roman" w:cs="Times New Roman"/>
        </w:rPr>
        <w:t>Privately employed Contractor Human Resources Specialists will fill out and submit the reports. The average hourly wage rate published by the U.S. Department of Labor for this personnel type is</w:t>
      </w:r>
      <w:r w:rsidRPr="00981BB2">
        <w:rPr>
          <w:rFonts w:cstheme="minorHAnsi"/>
          <w:bCs/>
          <w:color w:val="000000"/>
        </w:rPr>
        <w:t xml:space="preserve"> $</w:t>
      </w:r>
      <w:r w:rsidRPr="001A216B">
        <w:rPr>
          <w:rFonts w:cstheme="minorHAnsi"/>
          <w:bCs/>
          <w:color w:val="000000"/>
        </w:rPr>
        <w:t>3</w:t>
      </w:r>
      <w:r w:rsidRPr="001A216B" w:rsidR="001A216B">
        <w:rPr>
          <w:rFonts w:cstheme="minorHAnsi"/>
          <w:bCs/>
          <w:color w:val="000000"/>
        </w:rPr>
        <w:t>5</w:t>
      </w:r>
      <w:r w:rsidRPr="001A216B">
        <w:rPr>
          <w:rFonts w:cstheme="minorHAnsi"/>
          <w:bCs/>
          <w:color w:val="000000"/>
        </w:rPr>
        <w:t>.</w:t>
      </w:r>
      <w:r w:rsidRPr="001A216B" w:rsidR="001A216B">
        <w:rPr>
          <w:rFonts w:cstheme="minorHAnsi"/>
          <w:bCs/>
          <w:color w:val="000000"/>
        </w:rPr>
        <w:t>05</w:t>
      </w:r>
      <w:r w:rsidRPr="00981BB2">
        <w:rPr>
          <w:rFonts w:cstheme="minorHAnsi"/>
          <w:bCs/>
          <w:color w:val="000000"/>
        </w:rPr>
        <w:t xml:space="preserve"> per hour.</w:t>
      </w:r>
      <w:r>
        <w:rPr>
          <w:rStyle w:val="FootnoteReference"/>
          <w:rFonts w:cstheme="minorHAnsi"/>
          <w:bCs/>
          <w:color w:val="000000"/>
        </w:rPr>
        <w:footnoteReference w:id="2"/>
      </w:r>
      <w:r w:rsidRPr="00981BB2">
        <w:rPr>
          <w:rFonts w:cstheme="minorHAnsi"/>
          <w:bCs/>
          <w:color w:val="000000"/>
        </w:rPr>
        <w:t xml:space="preserve"> </w:t>
      </w:r>
      <w:r w:rsidRPr="00981BB2">
        <w:t>DOE estimated the fully burdened wage rate ($3</w:t>
      </w:r>
      <w:r w:rsidR="001A216B">
        <w:t>5.</w:t>
      </w:r>
      <w:r w:rsidR="006C3A5A">
        <w:t>04</w:t>
      </w:r>
      <w:r w:rsidRPr="00981BB2">
        <w:t xml:space="preserve"> * 1.4)</w:t>
      </w:r>
      <w:r>
        <w:rPr>
          <w:rStyle w:val="FootnoteReference"/>
        </w:rPr>
        <w:footnoteReference w:id="3"/>
      </w:r>
      <w:r w:rsidRPr="00981BB2">
        <w:t xml:space="preserve"> as $4</w:t>
      </w:r>
      <w:r w:rsidR="006C3A5A">
        <w:t>9</w:t>
      </w:r>
      <w:r w:rsidRPr="00981BB2">
        <w:t>.</w:t>
      </w:r>
      <w:r w:rsidR="006C3A5A">
        <w:t>07</w:t>
      </w:r>
      <w:r w:rsidRPr="00981BB2">
        <w:t xml:space="preserve">.  </w:t>
      </w:r>
      <w:r w:rsidRPr="00981BB2">
        <w:rPr>
          <w:rFonts w:eastAsia="Times New Roman" w:cs="Times New Roman"/>
        </w:rPr>
        <w:t>By multiplying this fully burdened wage rate by the total annual burden hours that respondents will incur (1.84 hours), we calculate that the per respondent cost amounts to $</w:t>
      </w:r>
      <w:r w:rsidR="001015AB">
        <w:rPr>
          <w:rFonts w:eastAsia="Times New Roman" w:cs="Times New Roman"/>
        </w:rPr>
        <w:t>90</w:t>
      </w:r>
      <w:r w:rsidRPr="00981BB2">
        <w:rPr>
          <w:rFonts w:eastAsia="Times New Roman" w:cs="Times New Roman"/>
        </w:rPr>
        <w:t>.</w:t>
      </w:r>
      <w:r w:rsidR="001015AB">
        <w:rPr>
          <w:rFonts w:eastAsia="Times New Roman" w:cs="Times New Roman"/>
        </w:rPr>
        <w:t>29</w:t>
      </w:r>
      <w:r w:rsidRPr="00981BB2">
        <w:rPr>
          <w:rFonts w:eastAsia="Times New Roman" w:cs="Times New Roman"/>
        </w:rPr>
        <w:t>.</w:t>
      </w:r>
      <w:r w:rsidRPr="007F3A8D">
        <w:rPr>
          <w:rFonts w:cstheme="minorHAnsi"/>
          <w:bCs/>
          <w:color w:val="000000"/>
        </w:rPr>
        <w:t xml:space="preserve"> </w:t>
      </w:r>
    </w:p>
    <w:tbl>
      <w:tblPr>
        <w:tblW w:w="10020" w:type="dxa"/>
        <w:tblLook w:val="04A0"/>
      </w:tblPr>
      <w:tblGrid>
        <w:gridCol w:w="2226"/>
        <w:gridCol w:w="2184"/>
        <w:gridCol w:w="1890"/>
        <w:gridCol w:w="2424"/>
        <w:gridCol w:w="1296"/>
      </w:tblGrid>
      <w:tr w14:paraId="5E0C25AA" w14:textId="77777777" w:rsidTr="0097299A">
        <w:tblPrEx>
          <w:tblW w:w="10020" w:type="dxa"/>
          <w:tblLook w:val="04A0"/>
        </w:tblPrEx>
        <w:trPr>
          <w:trHeight w:val="360"/>
        </w:trPr>
        <w:tc>
          <w:tcPr>
            <w:tcW w:w="8724" w:type="dxa"/>
            <w:gridSpan w:val="4"/>
            <w:tcBorders>
              <w:top w:val="nil"/>
              <w:left w:val="nil"/>
              <w:bottom w:val="single" w:sz="4" w:space="0" w:color="auto"/>
              <w:right w:val="nil"/>
            </w:tcBorders>
            <w:hideMark/>
          </w:tcPr>
          <w:p w:rsidR="006F3C12" w:rsidRPr="006F3C12" w:rsidP="008F16EC" w14:paraId="5015BA68" w14:textId="77777777">
            <w:pPr>
              <w:spacing w:after="0" w:line="240" w:lineRule="auto"/>
              <w:jc w:val="center"/>
              <w:rPr>
                <w:rFonts w:ascii="Calibri" w:eastAsia="Times New Roman" w:hAnsi="Calibri" w:cs="Arial"/>
                <w:b/>
                <w:bCs/>
                <w:color w:val="0070C0"/>
                <w:sz w:val="28"/>
                <w:szCs w:val="28"/>
              </w:rPr>
            </w:pPr>
            <w:r>
              <w:rPr>
                <w:rFonts w:ascii="Calibri" w:eastAsia="Times New Roman" w:hAnsi="Calibri" w:cs="Arial"/>
                <w:b/>
                <w:bCs/>
                <w:color w:val="0070C0"/>
                <w:sz w:val="28"/>
                <w:szCs w:val="28"/>
              </w:rPr>
              <w:t>Table A2</w:t>
            </w:r>
            <w:r w:rsidRPr="006F3C12">
              <w:rPr>
                <w:rFonts w:ascii="Calibri" w:eastAsia="Times New Roman" w:hAnsi="Calibri" w:cs="Arial"/>
                <w:b/>
                <w:bCs/>
                <w:color w:val="0070C0"/>
                <w:sz w:val="28"/>
                <w:szCs w:val="28"/>
              </w:rPr>
              <w:t xml:space="preserve">. Estimated Respondent </w:t>
            </w:r>
            <w:r>
              <w:rPr>
                <w:rFonts w:ascii="Calibri" w:eastAsia="Times New Roman" w:hAnsi="Calibri" w:cs="Arial"/>
                <w:b/>
                <w:bCs/>
                <w:color w:val="0070C0"/>
                <w:sz w:val="28"/>
                <w:szCs w:val="28"/>
              </w:rPr>
              <w:t xml:space="preserve">Cost </w:t>
            </w:r>
            <w:r w:rsidRPr="006F3C12">
              <w:rPr>
                <w:rFonts w:ascii="Calibri" w:eastAsia="Times New Roman" w:hAnsi="Calibri" w:cs="Arial"/>
                <w:b/>
                <w:bCs/>
                <w:color w:val="0070C0"/>
                <w:sz w:val="28"/>
                <w:szCs w:val="28"/>
              </w:rPr>
              <w:t>Burden</w:t>
            </w:r>
          </w:p>
        </w:tc>
        <w:tc>
          <w:tcPr>
            <w:tcW w:w="1296" w:type="dxa"/>
            <w:tcBorders>
              <w:top w:val="nil"/>
              <w:left w:val="nil"/>
              <w:bottom w:val="nil"/>
              <w:right w:val="nil"/>
            </w:tcBorders>
            <w:noWrap/>
            <w:vAlign w:val="bottom"/>
            <w:hideMark/>
          </w:tcPr>
          <w:p w:rsidR="006F3C12" w:rsidRPr="006F3C12" w:rsidP="008F16EC" w14:paraId="6C9CFFBF" w14:textId="77777777">
            <w:pPr>
              <w:spacing w:after="0" w:line="240" w:lineRule="auto"/>
              <w:jc w:val="center"/>
              <w:rPr>
                <w:rFonts w:ascii="Calibri" w:eastAsia="Times New Roman" w:hAnsi="Calibri" w:cs="Arial"/>
                <w:b/>
                <w:bCs/>
                <w:color w:val="0070C0"/>
                <w:sz w:val="28"/>
                <w:szCs w:val="28"/>
              </w:rPr>
            </w:pPr>
          </w:p>
        </w:tc>
      </w:tr>
      <w:tr w14:paraId="65AE7447" w14:textId="77777777" w:rsidTr="00D01BEA">
        <w:tblPrEx>
          <w:tblW w:w="10020" w:type="dxa"/>
          <w:tblLook w:val="04A0"/>
        </w:tblPrEx>
        <w:trPr>
          <w:gridAfter w:val="1"/>
          <w:wAfter w:w="1296" w:type="dxa"/>
          <w:trHeight w:val="765"/>
        </w:trPr>
        <w:tc>
          <w:tcPr>
            <w:tcW w:w="2226" w:type="dxa"/>
            <w:tcBorders>
              <w:top w:val="nil"/>
              <w:left w:val="single" w:sz="4" w:space="0" w:color="auto"/>
              <w:bottom w:val="single" w:sz="4" w:space="0" w:color="auto"/>
              <w:right w:val="single" w:sz="4" w:space="0" w:color="auto"/>
            </w:tcBorders>
            <w:shd w:val="clear" w:color="000000" w:fill="00B0F0"/>
            <w:vAlign w:val="center"/>
            <w:hideMark/>
          </w:tcPr>
          <w:p w:rsidR="00D01BEA" w:rsidRPr="006F3C12" w:rsidP="008F16EC" w14:paraId="130DDE86" w14:textId="77777777">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Type of Respondents</w:t>
            </w:r>
          </w:p>
        </w:tc>
        <w:tc>
          <w:tcPr>
            <w:tcW w:w="2184" w:type="dxa"/>
            <w:tcBorders>
              <w:top w:val="nil"/>
              <w:left w:val="nil"/>
              <w:bottom w:val="single" w:sz="4" w:space="0" w:color="auto"/>
              <w:right w:val="single" w:sz="4" w:space="0" w:color="auto"/>
            </w:tcBorders>
            <w:shd w:val="clear" w:color="000000" w:fill="00B0F0"/>
            <w:vAlign w:val="center"/>
            <w:hideMark/>
          </w:tcPr>
          <w:p w:rsidR="00D01BEA" w:rsidRPr="006F3C12" w:rsidP="008F16EC" w14:paraId="161E8683" w14:textId="77777777">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Total Annual Burden Hours</w:t>
            </w:r>
          </w:p>
        </w:tc>
        <w:tc>
          <w:tcPr>
            <w:tcW w:w="1890" w:type="dxa"/>
            <w:tcBorders>
              <w:top w:val="nil"/>
              <w:left w:val="nil"/>
              <w:bottom w:val="single" w:sz="4" w:space="0" w:color="auto"/>
              <w:right w:val="single" w:sz="4" w:space="0" w:color="auto"/>
            </w:tcBorders>
            <w:shd w:val="clear" w:color="000000" w:fill="00B0F0"/>
            <w:vAlign w:val="center"/>
            <w:hideMark/>
          </w:tcPr>
          <w:p w:rsidR="00D01BEA" w:rsidRPr="006F3C12" w:rsidP="008F16EC" w14:paraId="2C1AFC2C" w14:textId="77777777">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Hourly Wage Rate</w:t>
            </w:r>
          </w:p>
        </w:tc>
        <w:tc>
          <w:tcPr>
            <w:tcW w:w="2424" w:type="dxa"/>
            <w:tcBorders>
              <w:top w:val="nil"/>
              <w:left w:val="nil"/>
              <w:bottom w:val="single" w:sz="4" w:space="0" w:color="auto"/>
              <w:right w:val="single" w:sz="4" w:space="0" w:color="auto"/>
            </w:tcBorders>
            <w:shd w:val="clear" w:color="000000" w:fill="00B0F0"/>
            <w:vAlign w:val="center"/>
            <w:hideMark/>
          </w:tcPr>
          <w:p w:rsidR="00D01BEA" w:rsidRPr="006F3C12" w:rsidP="008F16EC" w14:paraId="224900BF" w14:textId="77777777">
            <w:pPr>
              <w:spacing w:after="0" w:line="240" w:lineRule="auto"/>
              <w:jc w:val="center"/>
              <w:rPr>
                <w:rFonts w:ascii="Calibri" w:eastAsia="Times New Roman" w:hAnsi="Calibri" w:cs="Arial"/>
                <w:b/>
                <w:bCs/>
                <w:sz w:val="20"/>
                <w:szCs w:val="20"/>
              </w:rPr>
            </w:pPr>
            <w:r>
              <w:rPr>
                <w:rFonts w:ascii="Calibri" w:eastAsia="Times New Roman" w:hAnsi="Calibri" w:cs="Arial"/>
                <w:b/>
                <w:bCs/>
                <w:sz w:val="20"/>
                <w:szCs w:val="20"/>
              </w:rPr>
              <w:t>Total Respondent Costs</w:t>
            </w:r>
          </w:p>
        </w:tc>
      </w:tr>
      <w:tr w14:paraId="043DF1C5" w14:textId="77777777" w:rsidTr="00D01BEA">
        <w:tblPrEx>
          <w:tblW w:w="10020" w:type="dxa"/>
          <w:tblLook w:val="04A0"/>
        </w:tblPrEx>
        <w:trPr>
          <w:gridAfter w:val="1"/>
          <w:wAfter w:w="1296" w:type="dxa"/>
          <w:trHeight w:val="255"/>
        </w:trPr>
        <w:tc>
          <w:tcPr>
            <w:tcW w:w="2226" w:type="dxa"/>
            <w:tcBorders>
              <w:top w:val="nil"/>
              <w:left w:val="single" w:sz="4" w:space="0" w:color="auto"/>
              <w:bottom w:val="single" w:sz="4" w:space="0" w:color="auto"/>
              <w:right w:val="single" w:sz="4" w:space="0" w:color="auto"/>
            </w:tcBorders>
            <w:vAlign w:val="bottom"/>
            <w:hideMark/>
          </w:tcPr>
          <w:p w:rsidR="00D01BEA" w:rsidRPr="006F3C12" w:rsidP="008F16EC" w14:paraId="70AFC046" w14:textId="77777777">
            <w:pPr>
              <w:spacing w:after="0" w:line="240" w:lineRule="auto"/>
              <w:rPr>
                <w:rFonts w:ascii="Calibri" w:eastAsia="Times New Roman" w:hAnsi="Calibri" w:cs="Arial"/>
                <w:color w:val="000000"/>
                <w:sz w:val="20"/>
                <w:szCs w:val="20"/>
              </w:rPr>
            </w:pPr>
            <w:r w:rsidRPr="006F3C12">
              <w:rPr>
                <w:rFonts w:ascii="Calibri" w:eastAsia="Times New Roman" w:hAnsi="Calibri" w:cs="Arial"/>
                <w:color w:val="000000"/>
                <w:sz w:val="20"/>
                <w:szCs w:val="20"/>
              </w:rPr>
              <w:t> </w:t>
            </w:r>
            <w:r w:rsidR="009A5322">
              <w:rPr>
                <w:rFonts w:ascii="Calibri" w:eastAsia="Times New Roman" w:hAnsi="Calibri" w:cs="Arial"/>
                <w:color w:val="000000"/>
                <w:sz w:val="20"/>
                <w:szCs w:val="20"/>
              </w:rPr>
              <w:t>Contractor Human Resources Specialist</w:t>
            </w:r>
          </w:p>
        </w:tc>
        <w:tc>
          <w:tcPr>
            <w:tcW w:w="2184" w:type="dxa"/>
            <w:tcBorders>
              <w:top w:val="nil"/>
              <w:left w:val="nil"/>
              <w:bottom w:val="single" w:sz="4" w:space="0" w:color="auto"/>
              <w:right w:val="single" w:sz="4" w:space="0" w:color="auto"/>
            </w:tcBorders>
            <w:noWrap/>
            <w:vAlign w:val="bottom"/>
            <w:hideMark/>
          </w:tcPr>
          <w:p w:rsidR="00D01BEA" w:rsidRPr="006F3C12" w:rsidP="001B31BE" w14:paraId="217040A2" w14:textId="77777777">
            <w:pPr>
              <w:spacing w:after="0" w:line="240" w:lineRule="auto"/>
              <w:jc w:val="right"/>
              <w:rPr>
                <w:rFonts w:ascii="Calibri" w:eastAsia="Times New Roman" w:hAnsi="Calibri" w:cs="Arial"/>
                <w:color w:val="000000"/>
                <w:sz w:val="20"/>
                <w:szCs w:val="20"/>
              </w:rPr>
            </w:pPr>
            <w:r w:rsidRPr="006F3C12">
              <w:rPr>
                <w:rFonts w:ascii="Calibri" w:eastAsia="Times New Roman" w:hAnsi="Calibri" w:cs="Arial"/>
                <w:color w:val="000000"/>
                <w:sz w:val="20"/>
                <w:szCs w:val="20"/>
              </w:rPr>
              <w:t> </w:t>
            </w:r>
            <w:r w:rsidR="009A5322">
              <w:rPr>
                <w:rFonts w:ascii="Calibri" w:eastAsia="Times New Roman" w:hAnsi="Calibri" w:cs="Arial"/>
                <w:color w:val="000000"/>
                <w:sz w:val="20"/>
                <w:szCs w:val="20"/>
              </w:rPr>
              <w:t>64.4</w:t>
            </w:r>
          </w:p>
        </w:tc>
        <w:tc>
          <w:tcPr>
            <w:tcW w:w="1890" w:type="dxa"/>
            <w:tcBorders>
              <w:top w:val="nil"/>
              <w:left w:val="nil"/>
              <w:bottom w:val="single" w:sz="4" w:space="0" w:color="auto"/>
              <w:right w:val="single" w:sz="4" w:space="0" w:color="auto"/>
            </w:tcBorders>
            <w:noWrap/>
            <w:vAlign w:val="bottom"/>
            <w:hideMark/>
          </w:tcPr>
          <w:p w:rsidR="00D01BEA" w:rsidRPr="006F3C12" w:rsidP="001B31BE" w14:paraId="6A6C3C6C" w14:textId="77777777">
            <w:pPr>
              <w:spacing w:after="0" w:line="240" w:lineRule="auto"/>
              <w:jc w:val="right"/>
              <w:rPr>
                <w:rFonts w:ascii="Calibri" w:eastAsia="Times New Roman" w:hAnsi="Calibri" w:cs="Arial"/>
                <w:color w:val="000000"/>
                <w:sz w:val="20"/>
                <w:szCs w:val="20"/>
              </w:rPr>
            </w:pPr>
            <w:r w:rsidRPr="006F3C12">
              <w:rPr>
                <w:rFonts w:ascii="Calibri" w:eastAsia="Times New Roman" w:hAnsi="Calibri" w:cs="Arial"/>
                <w:color w:val="000000"/>
                <w:sz w:val="20"/>
                <w:szCs w:val="20"/>
              </w:rPr>
              <w:t> </w:t>
            </w:r>
            <w:r w:rsidR="001B31BE">
              <w:rPr>
                <w:rFonts w:ascii="Calibri" w:eastAsia="Times New Roman" w:hAnsi="Calibri" w:cs="Arial"/>
                <w:color w:val="000000"/>
                <w:sz w:val="20"/>
                <w:szCs w:val="20"/>
              </w:rPr>
              <w:t>$49.07</w:t>
            </w:r>
          </w:p>
        </w:tc>
        <w:tc>
          <w:tcPr>
            <w:tcW w:w="2424" w:type="dxa"/>
            <w:tcBorders>
              <w:top w:val="nil"/>
              <w:left w:val="nil"/>
              <w:bottom w:val="single" w:sz="4" w:space="0" w:color="auto"/>
              <w:right w:val="single" w:sz="4" w:space="0" w:color="auto"/>
            </w:tcBorders>
            <w:shd w:val="clear" w:color="000000" w:fill="E2A5AC"/>
            <w:noWrap/>
            <w:vAlign w:val="bottom"/>
            <w:hideMark/>
          </w:tcPr>
          <w:p w:rsidR="00D01BEA" w:rsidRPr="006F3C12" w:rsidP="008F16EC" w14:paraId="5556F691" w14:textId="77777777">
            <w:pPr>
              <w:spacing w:after="0" w:line="240" w:lineRule="auto"/>
              <w:jc w:val="right"/>
              <w:rPr>
                <w:rFonts w:ascii="Calibri" w:eastAsia="Times New Roman" w:hAnsi="Calibri" w:cs="Arial"/>
                <w:color w:val="000000"/>
                <w:sz w:val="20"/>
                <w:szCs w:val="20"/>
              </w:rPr>
            </w:pPr>
            <w:r>
              <w:rPr>
                <w:rFonts w:ascii="Calibri" w:eastAsia="Times New Roman" w:hAnsi="Calibri" w:cs="Arial"/>
                <w:color w:val="000000"/>
                <w:sz w:val="20"/>
                <w:szCs w:val="20"/>
              </w:rPr>
              <w:t>$3,160.11</w:t>
            </w:r>
          </w:p>
        </w:tc>
      </w:tr>
      <w:tr w14:paraId="4E87CC25" w14:textId="77777777" w:rsidTr="00D01BEA">
        <w:tblPrEx>
          <w:tblW w:w="10020" w:type="dxa"/>
          <w:tblLook w:val="04A0"/>
        </w:tblPrEx>
        <w:trPr>
          <w:gridAfter w:val="1"/>
          <w:wAfter w:w="1296" w:type="dxa"/>
          <w:trHeight w:val="255"/>
        </w:trPr>
        <w:tc>
          <w:tcPr>
            <w:tcW w:w="2226" w:type="dxa"/>
            <w:tcBorders>
              <w:top w:val="nil"/>
              <w:left w:val="single" w:sz="4" w:space="0" w:color="auto"/>
              <w:bottom w:val="single" w:sz="4" w:space="0" w:color="auto"/>
              <w:right w:val="single" w:sz="4" w:space="0" w:color="auto"/>
            </w:tcBorders>
            <w:vAlign w:val="bottom"/>
            <w:hideMark/>
          </w:tcPr>
          <w:p w:rsidR="00D01BEA" w:rsidRPr="006F3C12" w:rsidP="008F16EC" w14:paraId="5770C4EB" w14:textId="77777777">
            <w:pPr>
              <w:spacing w:after="0" w:line="240" w:lineRule="auto"/>
              <w:rPr>
                <w:rFonts w:ascii="Calibri" w:eastAsia="Times New Roman" w:hAnsi="Calibri" w:cs="Arial"/>
                <w:b/>
                <w:bCs/>
                <w:color w:val="000000"/>
                <w:sz w:val="20"/>
                <w:szCs w:val="20"/>
              </w:rPr>
            </w:pPr>
            <w:r w:rsidRPr="006F3C12">
              <w:rPr>
                <w:rFonts w:ascii="Calibri" w:eastAsia="Times New Roman" w:hAnsi="Calibri" w:cs="Arial"/>
                <w:b/>
                <w:bCs/>
                <w:color w:val="000000"/>
                <w:sz w:val="20"/>
                <w:szCs w:val="20"/>
              </w:rPr>
              <w:t>TOTAL</w:t>
            </w:r>
          </w:p>
        </w:tc>
        <w:tc>
          <w:tcPr>
            <w:tcW w:w="2184" w:type="dxa"/>
            <w:tcBorders>
              <w:top w:val="nil"/>
              <w:left w:val="nil"/>
              <w:bottom w:val="single" w:sz="4" w:space="0" w:color="auto"/>
              <w:right w:val="single" w:sz="4" w:space="0" w:color="auto"/>
            </w:tcBorders>
            <w:shd w:val="clear" w:color="000000" w:fill="E2A5AC"/>
            <w:noWrap/>
            <w:vAlign w:val="bottom"/>
            <w:hideMark/>
          </w:tcPr>
          <w:p w:rsidR="00D01BEA" w:rsidRPr="006F3C12" w:rsidP="008F16EC" w14:paraId="1C3F479C" w14:textId="77777777">
            <w:pPr>
              <w:spacing w:after="0" w:line="240" w:lineRule="auto"/>
              <w:jc w:val="right"/>
              <w:rPr>
                <w:rFonts w:ascii="Calibri" w:eastAsia="Times New Roman" w:hAnsi="Calibri" w:cs="Arial"/>
                <w:b/>
                <w:bCs/>
                <w:color w:val="000000"/>
                <w:sz w:val="20"/>
                <w:szCs w:val="20"/>
              </w:rPr>
            </w:pPr>
            <w:r>
              <w:rPr>
                <w:rFonts w:ascii="Calibri" w:eastAsia="Times New Roman" w:hAnsi="Calibri" w:cs="Arial"/>
                <w:b/>
                <w:bCs/>
                <w:color w:val="000000"/>
                <w:sz w:val="20"/>
                <w:szCs w:val="20"/>
              </w:rPr>
              <w:t>64.4</w:t>
            </w:r>
          </w:p>
        </w:tc>
        <w:tc>
          <w:tcPr>
            <w:tcW w:w="1890" w:type="dxa"/>
            <w:tcBorders>
              <w:top w:val="nil"/>
              <w:left w:val="nil"/>
              <w:bottom w:val="single" w:sz="4" w:space="0" w:color="auto"/>
              <w:right w:val="single" w:sz="4" w:space="0" w:color="auto"/>
            </w:tcBorders>
            <w:shd w:val="clear" w:color="000000" w:fill="333333"/>
            <w:noWrap/>
            <w:vAlign w:val="bottom"/>
            <w:hideMark/>
          </w:tcPr>
          <w:p w:rsidR="00D01BEA" w:rsidRPr="006F3C12" w:rsidP="008F16EC" w14:paraId="42AAF627" w14:textId="77777777">
            <w:pPr>
              <w:spacing w:after="0" w:line="240" w:lineRule="auto"/>
              <w:rPr>
                <w:rFonts w:ascii="Calibri" w:eastAsia="Times New Roman" w:hAnsi="Calibri" w:cs="Arial"/>
                <w:b/>
                <w:bCs/>
                <w:color w:val="000000"/>
                <w:sz w:val="20"/>
                <w:szCs w:val="20"/>
              </w:rPr>
            </w:pPr>
            <w:r w:rsidRPr="006F3C12">
              <w:rPr>
                <w:rFonts w:ascii="Calibri" w:eastAsia="Times New Roman" w:hAnsi="Calibri" w:cs="Arial"/>
                <w:b/>
                <w:bCs/>
                <w:color w:val="000000"/>
                <w:sz w:val="20"/>
                <w:szCs w:val="20"/>
              </w:rPr>
              <w:t> </w:t>
            </w:r>
          </w:p>
        </w:tc>
        <w:tc>
          <w:tcPr>
            <w:tcW w:w="2424" w:type="dxa"/>
            <w:tcBorders>
              <w:top w:val="nil"/>
              <w:left w:val="nil"/>
              <w:bottom w:val="single" w:sz="4" w:space="0" w:color="auto"/>
              <w:right w:val="single" w:sz="4" w:space="0" w:color="auto"/>
            </w:tcBorders>
            <w:shd w:val="clear" w:color="000000" w:fill="E2A5AC"/>
            <w:noWrap/>
            <w:vAlign w:val="bottom"/>
            <w:hideMark/>
          </w:tcPr>
          <w:p w:rsidR="00D01BEA" w:rsidRPr="006F3C12" w:rsidP="008F16EC" w14:paraId="33B1FEC6" w14:textId="77777777">
            <w:pPr>
              <w:spacing w:after="0" w:line="240" w:lineRule="auto"/>
              <w:jc w:val="right"/>
              <w:rPr>
                <w:rFonts w:ascii="Calibri" w:eastAsia="Times New Roman" w:hAnsi="Calibri" w:cs="Arial"/>
                <w:b/>
                <w:bCs/>
                <w:color w:val="000000"/>
                <w:sz w:val="20"/>
                <w:szCs w:val="20"/>
              </w:rPr>
            </w:pPr>
            <w:r>
              <w:rPr>
                <w:rFonts w:ascii="Calibri" w:eastAsia="Times New Roman" w:hAnsi="Calibri" w:cs="Arial"/>
                <w:b/>
                <w:bCs/>
                <w:color w:val="000000"/>
                <w:sz w:val="20"/>
                <w:szCs w:val="20"/>
              </w:rPr>
              <w:t>$3,160.11</w:t>
            </w:r>
          </w:p>
        </w:tc>
      </w:tr>
    </w:tbl>
    <w:p w:rsidR="00F056C3" w:rsidP="00A41763" w14:paraId="4AAF7597" w14:textId="77777777">
      <w:pPr>
        <w:rPr>
          <w:b/>
          <w:bCs/>
        </w:rPr>
      </w:pPr>
      <w:r>
        <w:rPr>
          <w:b/>
          <w:bCs/>
        </w:rPr>
        <w:t xml:space="preserve">*Total respondent costs rounded to the nearest dollar. </w:t>
      </w:r>
    </w:p>
    <w:p w:rsidR="00F056C3" w:rsidP="00F056C3" w14:paraId="483F0D01" w14:textId="77777777">
      <w:pPr>
        <w:pStyle w:val="Heading2"/>
      </w:pPr>
      <w:bookmarkStart w:id="17" w:name="_Toc16271332"/>
      <w:r>
        <w:t>A.</w:t>
      </w:r>
      <w:r w:rsidRPr="00A41763" w:rsidR="00A41763">
        <w:t xml:space="preserve">13. </w:t>
      </w:r>
      <w:r w:rsidR="006F3C12">
        <w:t xml:space="preserve">Other Estimated </w:t>
      </w:r>
      <w:r w:rsidRPr="00F056C3">
        <w:t xml:space="preserve">Annual Cost to </w:t>
      </w:r>
      <w:r w:rsidR="00FE2197">
        <w:t>Respondents</w:t>
      </w:r>
      <w:bookmarkEnd w:id="17"/>
    </w:p>
    <w:p w:rsidR="00A41763" w:rsidRPr="00A41763" w:rsidP="00A41763" w14:paraId="35E2AF76" w14:textId="77777777">
      <w:r w:rsidRPr="00A41763">
        <w:rPr>
          <w:b/>
          <w:bCs/>
        </w:rPr>
        <w:t xml:space="preserve">Provide an estimate for the total annual cost burden to respondents or recordkeepers resulting from the collection of information. </w:t>
      </w:r>
    </w:p>
    <w:p w:rsidR="00F056C3" w:rsidRPr="00A41763" w:rsidP="00A41763" w14:paraId="54722260" w14:textId="77777777">
      <w:r w:rsidRPr="00B04D69">
        <w:rPr>
          <w:bCs/>
        </w:rPr>
        <w:t xml:space="preserve">There are no other additional or secondary costs to Respondents. </w:t>
      </w:r>
    </w:p>
    <w:p w:rsidR="00F056C3" w:rsidP="00F056C3" w14:paraId="399D94EB" w14:textId="77777777">
      <w:pPr>
        <w:pStyle w:val="Heading2"/>
      </w:pPr>
      <w:bookmarkStart w:id="18" w:name="_Toc16271333"/>
      <w:r>
        <w:t>A.</w:t>
      </w:r>
      <w:r w:rsidRPr="00A41763" w:rsidR="00A41763">
        <w:t xml:space="preserve">14. </w:t>
      </w:r>
      <w:r w:rsidR="00FE2197">
        <w:t>Annual Cost to the Federal Government</w:t>
      </w:r>
      <w:bookmarkEnd w:id="18"/>
      <w:r w:rsidRPr="00F056C3">
        <w:t xml:space="preserve"> </w:t>
      </w:r>
    </w:p>
    <w:p w:rsidR="00A41763" w:rsidRPr="00A41763" w:rsidP="00A41763" w14:paraId="6D66BF41" w14:textId="77777777">
      <w:bookmarkStart w:id="19" w:name="_Hlk57385461"/>
      <w:r w:rsidRPr="00A41763">
        <w:rPr>
          <w:b/>
          <w:bCs/>
        </w:rPr>
        <w:t xml:space="preserve">Provide estimates of annualized cost to the Federal government. </w:t>
      </w:r>
    </w:p>
    <w:p w:rsidR="00394A2B" w:rsidP="00394A2B" w14:paraId="19C4102F" w14:textId="77777777">
      <w:pPr>
        <w:rPr>
          <w:rFonts w:cstheme="minorHAnsi"/>
        </w:rPr>
      </w:pPr>
      <w:bookmarkStart w:id="20" w:name="_Toc16271334"/>
      <w:bookmarkEnd w:id="19"/>
      <w:r w:rsidRPr="004B2BED">
        <w:rPr>
          <w:rFonts w:cstheme="minorHAnsi"/>
        </w:rPr>
        <w:t>The iBenefits application is already in existence</w:t>
      </w:r>
      <w:r>
        <w:rPr>
          <w:rFonts w:cstheme="minorHAnsi"/>
        </w:rPr>
        <w:t>,</w:t>
      </w:r>
      <w:r w:rsidRPr="004B2BED">
        <w:rPr>
          <w:rFonts w:cstheme="minorHAnsi"/>
        </w:rPr>
        <w:t xml:space="preserve"> and there is no additional cost to run the </w:t>
      </w:r>
      <w:r>
        <w:rPr>
          <w:rFonts w:cstheme="minorHAnsi"/>
          <w:bCs/>
        </w:rPr>
        <w:t xml:space="preserve">Labor </w:t>
      </w:r>
      <w:r w:rsidRPr="00394A2B">
        <w:rPr>
          <w:rFonts w:cstheme="minorHAnsi"/>
          <w:bCs/>
        </w:rPr>
        <w:t xml:space="preserve">Relations Report </w:t>
      </w:r>
      <w:r w:rsidRPr="00394A2B">
        <w:rPr>
          <w:rFonts w:cstheme="minorHAnsi"/>
        </w:rPr>
        <w:t xml:space="preserve">module. The government must reimburse the contractor for these collection costs pursuant to their contracts. The average expense of </w:t>
      </w:r>
      <w:r w:rsidRPr="00981BB2">
        <w:rPr>
          <w:rFonts w:eastAsia="Times New Roman" w:cs="Times New Roman"/>
        </w:rPr>
        <w:t>$</w:t>
      </w:r>
      <w:r>
        <w:rPr>
          <w:rFonts w:eastAsia="Times New Roman" w:cs="Times New Roman"/>
        </w:rPr>
        <w:t>90</w:t>
      </w:r>
      <w:r w:rsidRPr="00981BB2">
        <w:rPr>
          <w:rFonts w:eastAsia="Times New Roman" w:cs="Times New Roman"/>
        </w:rPr>
        <w:t>.</w:t>
      </w:r>
      <w:r>
        <w:rPr>
          <w:rFonts w:eastAsia="Times New Roman" w:cs="Times New Roman"/>
        </w:rPr>
        <w:t xml:space="preserve">29 </w:t>
      </w:r>
      <w:r w:rsidRPr="00394A2B">
        <w:rPr>
          <w:rFonts w:cstheme="minorHAnsi"/>
        </w:rPr>
        <w:t>per contractor per year, multiplied by 35 contractors, equals a total of $3,</w:t>
      </w:r>
      <w:r w:rsidR="00B84F8A">
        <w:rPr>
          <w:rFonts w:cstheme="minorHAnsi"/>
        </w:rPr>
        <w:t>160.11</w:t>
      </w:r>
      <w:r w:rsidRPr="00394A2B">
        <w:rPr>
          <w:rFonts w:cstheme="minorHAnsi"/>
        </w:rPr>
        <w:t xml:space="preserve"> per year. There is one Federal employee who reviews and analyzes the data submitted by respondents. The fully burdened hourly wage is about $</w:t>
      </w:r>
      <w:r w:rsidR="00344139">
        <w:rPr>
          <w:rFonts w:cstheme="minorHAnsi"/>
        </w:rPr>
        <w:t>113.26</w:t>
      </w:r>
      <w:r w:rsidRPr="00394A2B">
        <w:rPr>
          <w:rFonts w:cstheme="minorHAnsi"/>
        </w:rPr>
        <w:t>, and it is estimated that approximately 30 hours are expended by the Federal employee reviewing and analyzing the data for a total of $</w:t>
      </w:r>
      <w:r w:rsidR="00A01B2A">
        <w:rPr>
          <w:rFonts w:cstheme="minorHAnsi"/>
        </w:rPr>
        <w:t>3,397</w:t>
      </w:r>
      <w:r w:rsidRPr="00394A2B">
        <w:rPr>
          <w:rFonts w:cstheme="minorHAnsi"/>
        </w:rPr>
        <w:t>.</w:t>
      </w:r>
      <w:r w:rsidR="004933B6">
        <w:rPr>
          <w:rFonts w:cstheme="minorHAnsi"/>
        </w:rPr>
        <w:t>8</w:t>
      </w:r>
      <w:r w:rsidRPr="00394A2B" w:rsidR="004933B6">
        <w:rPr>
          <w:rFonts w:cstheme="minorHAnsi"/>
        </w:rPr>
        <w:t xml:space="preserve">0 </w:t>
      </w:r>
      <w:r w:rsidRPr="00394A2B">
        <w:rPr>
          <w:rFonts w:cstheme="minorHAnsi"/>
        </w:rPr>
        <w:t>per year.</w:t>
      </w:r>
      <w:r>
        <w:rPr>
          <w:rStyle w:val="FootnoteReference"/>
          <w:rFonts w:cstheme="minorHAnsi"/>
        </w:rPr>
        <w:footnoteReference w:id="4"/>
      </w:r>
      <w:r w:rsidRPr="009938D6">
        <w:rPr>
          <w:rFonts w:cstheme="minorHAnsi"/>
        </w:rPr>
        <w:t xml:space="preserve"> </w:t>
      </w:r>
    </w:p>
    <w:p w:rsidR="00394A2B" w:rsidRPr="00DE05BB" w:rsidP="00394A2B" w14:paraId="11ADA063" w14:textId="77777777">
      <w:pPr>
        <w:rPr>
          <w:rFonts w:cstheme="minorHAnsi"/>
        </w:rPr>
      </w:pPr>
      <w:r w:rsidRPr="009938D6">
        <w:rPr>
          <w:rFonts w:cstheme="minorHAnsi"/>
        </w:rPr>
        <w:t>Thus, the total annual cost is estimated to be $</w:t>
      </w:r>
      <w:r w:rsidR="006D6A86">
        <w:rPr>
          <w:rFonts w:cstheme="minorHAnsi"/>
        </w:rPr>
        <w:t>6,557.91</w:t>
      </w:r>
      <w:r w:rsidRPr="009938D6">
        <w:rPr>
          <w:rFonts w:cstheme="minorHAnsi"/>
        </w:rPr>
        <w:t xml:space="preserve"> per year.</w:t>
      </w:r>
    </w:p>
    <w:p w:rsidR="006D42EC" w:rsidP="006D42EC" w14:paraId="4CEEAA1D" w14:textId="77777777">
      <w:pPr>
        <w:pStyle w:val="Heading2"/>
      </w:pPr>
      <w:r>
        <w:t>A.</w:t>
      </w:r>
      <w:r w:rsidRPr="00A41763" w:rsidR="00A41763">
        <w:t xml:space="preserve">15. </w:t>
      </w:r>
      <w:r>
        <w:t>Reasons for Changes in Burden</w:t>
      </w:r>
      <w:bookmarkEnd w:id="20"/>
    </w:p>
    <w:p w:rsidR="00A41763" w:rsidRPr="00A41763" w:rsidP="00A41763" w14:paraId="7B01048E" w14:textId="77777777">
      <w:bookmarkStart w:id="21" w:name="_Hlk57385469"/>
      <w:r w:rsidRPr="00A41763">
        <w:rPr>
          <w:b/>
          <w:bCs/>
        </w:rPr>
        <w:t xml:space="preserve">Explain the reasons for any program changes or adjustments reported in Items 13 (or 14) of OMB Form 83-I. </w:t>
      </w:r>
    </w:p>
    <w:tbl>
      <w:tblPr>
        <w:tblW w:w="9360" w:type="dxa"/>
        <w:jc w:val="center"/>
        <w:tblLayout w:type="fixed"/>
        <w:tblCellMar>
          <w:left w:w="115" w:type="dxa"/>
          <w:right w:w="115" w:type="dxa"/>
        </w:tblCellMar>
        <w:tblLook w:val="04A0"/>
      </w:tblPr>
      <w:tblGrid>
        <w:gridCol w:w="1872"/>
        <w:gridCol w:w="1872"/>
        <w:gridCol w:w="1872"/>
        <w:gridCol w:w="1872"/>
        <w:gridCol w:w="1872"/>
      </w:tblGrid>
      <w:tr w14:paraId="5D08A4C8" w14:textId="77777777" w:rsidTr="00545C0F">
        <w:tblPrEx>
          <w:tblW w:w="9360" w:type="dxa"/>
          <w:jc w:val="center"/>
          <w:tblLayout w:type="fixed"/>
          <w:tblCellMar>
            <w:left w:w="115" w:type="dxa"/>
            <w:right w:w="115" w:type="dxa"/>
          </w:tblCellMar>
          <w:tblLook w:val="04A0"/>
        </w:tblPrEx>
        <w:trPr>
          <w:trHeight w:val="360"/>
          <w:jc w:val="center"/>
        </w:trPr>
        <w:tc>
          <w:tcPr>
            <w:tcW w:w="9360" w:type="dxa"/>
            <w:gridSpan w:val="5"/>
            <w:tcBorders>
              <w:top w:val="nil"/>
              <w:left w:val="nil"/>
              <w:bottom w:val="nil"/>
              <w:right w:val="nil"/>
            </w:tcBorders>
            <w:noWrap/>
            <w:vAlign w:val="bottom"/>
            <w:hideMark/>
          </w:tcPr>
          <w:p w:rsidR="008A7E5F" w:rsidRPr="00140E19" w:rsidP="00D01BEA" w14:paraId="7118BC9C" w14:textId="77777777">
            <w:pPr>
              <w:spacing w:after="0" w:line="240" w:lineRule="auto"/>
              <w:jc w:val="center"/>
              <w:rPr>
                <w:rFonts w:eastAsia="Times New Roman" w:cstheme="minorHAnsi"/>
                <w:b/>
                <w:color w:val="0070C0"/>
                <w:sz w:val="28"/>
                <w:szCs w:val="28"/>
              </w:rPr>
            </w:pPr>
            <w:bookmarkStart w:id="22" w:name="_Hlk57385531"/>
            <w:bookmarkEnd w:id="21"/>
            <w:r w:rsidRPr="00140E19">
              <w:rPr>
                <w:rFonts w:cstheme="minorHAnsi"/>
              </w:rPr>
              <w:br w:type="page"/>
            </w:r>
            <w:r w:rsidRPr="00140E19">
              <w:rPr>
                <w:rFonts w:eastAsia="Times New Roman" w:cstheme="minorHAnsi"/>
                <w:b/>
                <w:color w:val="0070C0"/>
                <w:sz w:val="28"/>
                <w:szCs w:val="28"/>
              </w:rPr>
              <w:t>Table A</w:t>
            </w:r>
            <w:r w:rsidRPr="00140E19" w:rsidR="00526AA2">
              <w:rPr>
                <w:rFonts w:eastAsia="Times New Roman" w:cstheme="minorHAnsi"/>
                <w:b/>
                <w:color w:val="0070C0"/>
                <w:sz w:val="28"/>
                <w:szCs w:val="28"/>
              </w:rPr>
              <w:t>3</w:t>
            </w:r>
            <w:r w:rsidRPr="00140E19">
              <w:rPr>
                <w:rFonts w:eastAsia="Times New Roman" w:cstheme="minorHAnsi"/>
                <w:b/>
                <w:color w:val="0070C0"/>
                <w:sz w:val="28"/>
                <w:szCs w:val="28"/>
              </w:rPr>
              <w:t>. ICR Summary of Burden</w:t>
            </w:r>
          </w:p>
        </w:tc>
      </w:tr>
      <w:tr w14:paraId="7A271C58" w14:textId="77777777" w:rsidTr="00545C0F">
        <w:tblPrEx>
          <w:tblW w:w="9360" w:type="dxa"/>
          <w:jc w:val="center"/>
          <w:tblLayout w:type="fixed"/>
          <w:tblCellMar>
            <w:left w:w="115" w:type="dxa"/>
            <w:right w:w="115" w:type="dxa"/>
          </w:tblCellMar>
          <w:tblLook w:val="04A0"/>
        </w:tblPrEx>
        <w:trPr>
          <w:trHeight w:val="510"/>
          <w:jc w:val="center"/>
        </w:trPr>
        <w:tc>
          <w:tcPr>
            <w:tcW w:w="9360" w:type="dxa"/>
            <w:tcBorders>
              <w:top w:val="single" w:sz="4" w:space="0" w:color="auto"/>
              <w:left w:val="single" w:sz="4" w:space="0" w:color="auto"/>
              <w:bottom w:val="single" w:sz="4" w:space="0" w:color="auto"/>
              <w:right w:val="single" w:sz="4" w:space="0" w:color="auto"/>
            </w:tcBorders>
            <w:shd w:val="clear" w:color="000000" w:fill="00B0F0"/>
            <w:vAlign w:val="center"/>
            <w:hideMark/>
          </w:tcPr>
          <w:p w:rsidR="008A7E5F" w:rsidRPr="00812C91" w:rsidP="008F16EC" w14:paraId="2FA66D17" w14:textId="77777777">
            <w:pPr>
              <w:spacing w:after="0" w:line="240" w:lineRule="auto"/>
              <w:jc w:val="center"/>
              <w:rPr>
                <w:rFonts w:ascii="Calibri" w:eastAsia="Times New Roman" w:hAnsi="Calibri" w:cs="Arial"/>
                <w:b/>
                <w:bCs/>
                <w:color w:val="FFFFFF"/>
                <w:sz w:val="20"/>
                <w:szCs w:val="20"/>
              </w:rPr>
            </w:pPr>
            <w:r w:rsidRPr="00812C91">
              <w:rPr>
                <w:rFonts w:ascii="Calibri" w:eastAsia="Times New Roman" w:hAnsi="Calibri" w:cs="Arial"/>
                <w:b/>
                <w:bCs/>
                <w:color w:val="FFFFFF"/>
                <w:sz w:val="20"/>
                <w:szCs w:val="20"/>
              </w:rPr>
              <w:t> </w:t>
            </w:r>
          </w:p>
        </w:tc>
        <w:tc>
          <w:tcPr>
            <w:tcW w:w="9360" w:type="dxa"/>
            <w:tcBorders>
              <w:top w:val="single" w:sz="4" w:space="0" w:color="auto"/>
              <w:left w:val="nil"/>
              <w:bottom w:val="single" w:sz="4" w:space="0" w:color="auto"/>
              <w:right w:val="single" w:sz="4" w:space="0" w:color="auto"/>
            </w:tcBorders>
            <w:shd w:val="clear" w:color="000000" w:fill="00B0F0"/>
            <w:vAlign w:val="center"/>
            <w:hideMark/>
          </w:tcPr>
          <w:p w:rsidR="008A7E5F" w:rsidRPr="00812C91" w:rsidP="008F16EC" w14:paraId="1EB3DC6E" w14:textId="77777777">
            <w:pPr>
              <w:spacing w:after="0" w:line="240" w:lineRule="auto"/>
              <w:jc w:val="center"/>
              <w:rPr>
                <w:rFonts w:ascii="Calibri" w:eastAsia="Times New Roman" w:hAnsi="Calibri" w:cs="Arial"/>
                <w:b/>
                <w:bCs/>
                <w:sz w:val="20"/>
                <w:szCs w:val="20"/>
              </w:rPr>
            </w:pPr>
            <w:r w:rsidRPr="00812C91">
              <w:rPr>
                <w:rFonts w:ascii="Calibri" w:eastAsia="Times New Roman" w:hAnsi="Calibri" w:cs="Arial"/>
                <w:b/>
                <w:bCs/>
                <w:sz w:val="20"/>
                <w:szCs w:val="20"/>
              </w:rPr>
              <w:t>Requested</w:t>
            </w:r>
          </w:p>
        </w:tc>
        <w:tc>
          <w:tcPr>
            <w:tcW w:w="9360" w:type="dxa"/>
            <w:tcBorders>
              <w:top w:val="single" w:sz="4" w:space="0" w:color="auto"/>
              <w:left w:val="nil"/>
              <w:bottom w:val="single" w:sz="4" w:space="0" w:color="auto"/>
              <w:right w:val="single" w:sz="4" w:space="0" w:color="auto"/>
            </w:tcBorders>
            <w:shd w:val="clear" w:color="000000" w:fill="00B0F0"/>
            <w:vAlign w:val="center"/>
            <w:hideMark/>
          </w:tcPr>
          <w:p w:rsidR="008A7E5F" w:rsidRPr="00812C91" w:rsidP="008F16EC" w14:paraId="751C2FF7" w14:textId="77777777">
            <w:pPr>
              <w:spacing w:after="0" w:line="240" w:lineRule="auto"/>
              <w:jc w:val="center"/>
              <w:rPr>
                <w:rFonts w:ascii="Calibri" w:eastAsia="Times New Roman" w:hAnsi="Calibri" w:cs="Arial"/>
                <w:b/>
                <w:bCs/>
                <w:sz w:val="20"/>
                <w:szCs w:val="20"/>
              </w:rPr>
            </w:pPr>
            <w:r w:rsidRPr="00812C91">
              <w:rPr>
                <w:rFonts w:ascii="Calibri" w:eastAsia="Times New Roman" w:hAnsi="Calibri" w:cs="Arial"/>
                <w:b/>
                <w:bCs/>
                <w:sz w:val="20"/>
                <w:szCs w:val="20"/>
              </w:rPr>
              <w:t>Program Change Due to Agency Discretion</w:t>
            </w:r>
          </w:p>
        </w:tc>
        <w:tc>
          <w:tcPr>
            <w:tcW w:w="9360" w:type="dxa"/>
            <w:tcBorders>
              <w:top w:val="single" w:sz="4" w:space="0" w:color="auto"/>
              <w:left w:val="nil"/>
              <w:bottom w:val="single" w:sz="4" w:space="0" w:color="auto"/>
              <w:right w:val="single" w:sz="4" w:space="0" w:color="auto"/>
            </w:tcBorders>
            <w:shd w:val="clear" w:color="000000" w:fill="00B0F0"/>
            <w:vAlign w:val="center"/>
            <w:hideMark/>
          </w:tcPr>
          <w:p w:rsidR="008A7E5F" w:rsidRPr="00812C91" w:rsidP="008F16EC" w14:paraId="556905EC" w14:textId="77777777">
            <w:pPr>
              <w:spacing w:after="0" w:line="240" w:lineRule="auto"/>
              <w:jc w:val="center"/>
              <w:rPr>
                <w:rFonts w:ascii="Calibri" w:eastAsia="Times New Roman" w:hAnsi="Calibri" w:cs="Arial"/>
                <w:b/>
                <w:bCs/>
                <w:sz w:val="20"/>
                <w:szCs w:val="20"/>
              </w:rPr>
            </w:pPr>
            <w:r w:rsidRPr="00812C91">
              <w:rPr>
                <w:rFonts w:ascii="Calibri" w:eastAsia="Times New Roman" w:hAnsi="Calibri" w:cs="Arial"/>
                <w:b/>
                <w:bCs/>
                <w:sz w:val="20"/>
                <w:szCs w:val="20"/>
              </w:rPr>
              <w:t>Change Due to Adjustment in Agency Estimate</w:t>
            </w:r>
          </w:p>
        </w:tc>
        <w:tc>
          <w:tcPr>
            <w:tcW w:w="9360" w:type="dxa"/>
            <w:tcBorders>
              <w:top w:val="single" w:sz="4" w:space="0" w:color="auto"/>
              <w:left w:val="nil"/>
              <w:bottom w:val="single" w:sz="4" w:space="0" w:color="auto"/>
              <w:right w:val="single" w:sz="4" w:space="0" w:color="auto"/>
            </w:tcBorders>
            <w:shd w:val="clear" w:color="000000" w:fill="00B0F0"/>
            <w:vAlign w:val="center"/>
            <w:hideMark/>
          </w:tcPr>
          <w:p w:rsidR="008A7E5F" w:rsidRPr="00812C91" w:rsidP="008F16EC" w14:paraId="39151DDB" w14:textId="77777777">
            <w:pPr>
              <w:spacing w:after="0" w:line="240" w:lineRule="auto"/>
              <w:jc w:val="center"/>
              <w:rPr>
                <w:rFonts w:ascii="Calibri" w:eastAsia="Times New Roman" w:hAnsi="Calibri" w:cs="Arial"/>
                <w:b/>
                <w:bCs/>
                <w:sz w:val="20"/>
                <w:szCs w:val="20"/>
              </w:rPr>
            </w:pPr>
            <w:r w:rsidRPr="00812C91">
              <w:rPr>
                <w:rFonts w:ascii="Calibri" w:eastAsia="Times New Roman" w:hAnsi="Calibri" w:cs="Arial"/>
                <w:b/>
                <w:bCs/>
                <w:sz w:val="20"/>
                <w:szCs w:val="20"/>
              </w:rPr>
              <w:t>Previously Approved</w:t>
            </w:r>
          </w:p>
        </w:tc>
      </w:tr>
      <w:tr w14:paraId="28FBD32A" w14:textId="77777777" w:rsidTr="00144760">
        <w:tblPrEx>
          <w:tblW w:w="9360" w:type="dxa"/>
          <w:jc w:val="center"/>
          <w:tblLayout w:type="fixed"/>
          <w:tblCellMar>
            <w:left w:w="115" w:type="dxa"/>
            <w:right w:w="115" w:type="dxa"/>
          </w:tblCellMar>
          <w:tblLook w:val="04A0"/>
        </w:tblPrEx>
        <w:trPr>
          <w:trHeight w:val="525"/>
          <w:jc w:val="center"/>
        </w:trPr>
        <w:tc>
          <w:tcPr>
            <w:tcW w:w="9360" w:type="dxa"/>
            <w:tcBorders>
              <w:top w:val="nil"/>
              <w:left w:val="single" w:sz="4" w:space="0" w:color="auto"/>
              <w:bottom w:val="single" w:sz="4" w:space="0" w:color="auto"/>
              <w:right w:val="single" w:sz="4" w:space="0" w:color="auto"/>
            </w:tcBorders>
            <w:vAlign w:val="center"/>
            <w:hideMark/>
          </w:tcPr>
          <w:p w:rsidR="008A7E5F" w:rsidRPr="00812C91" w:rsidP="008F16EC" w14:paraId="4977483D" w14:textId="77777777">
            <w:pPr>
              <w:spacing w:after="0" w:line="240" w:lineRule="auto"/>
              <w:rPr>
                <w:rFonts w:ascii="Calibri" w:eastAsia="Times New Roman" w:hAnsi="Calibri" w:cs="Arial"/>
                <w:color w:val="576170"/>
                <w:sz w:val="20"/>
                <w:szCs w:val="20"/>
              </w:rPr>
            </w:pPr>
            <w:r>
              <w:rPr>
                <w:rFonts w:ascii="Calibri" w:eastAsia="Times New Roman" w:hAnsi="Calibri" w:cs="Arial"/>
                <w:color w:val="576170"/>
                <w:sz w:val="20"/>
                <w:szCs w:val="20"/>
              </w:rPr>
              <w:t xml:space="preserve">Total </w:t>
            </w:r>
            <w:r w:rsidRPr="00812C91">
              <w:rPr>
                <w:rFonts w:ascii="Calibri" w:eastAsia="Times New Roman" w:hAnsi="Calibri" w:cs="Arial"/>
                <w:color w:val="576170"/>
                <w:sz w:val="20"/>
                <w:szCs w:val="20"/>
              </w:rPr>
              <w:t>Number of Responses</w:t>
            </w:r>
          </w:p>
        </w:tc>
        <w:tc>
          <w:tcPr>
            <w:tcW w:w="9360" w:type="dxa"/>
            <w:tcBorders>
              <w:top w:val="nil"/>
              <w:left w:val="nil"/>
              <w:bottom w:val="single" w:sz="4" w:space="0" w:color="auto"/>
              <w:right w:val="single" w:sz="4" w:space="0" w:color="auto"/>
            </w:tcBorders>
            <w:vAlign w:val="center"/>
            <w:hideMark/>
          </w:tcPr>
          <w:p w:rsidR="008A7E5F" w:rsidRPr="00812C91" w:rsidP="008460F2" w14:paraId="001B3823" w14:textId="77777777">
            <w:pPr>
              <w:spacing w:after="0" w:line="240" w:lineRule="auto"/>
              <w:jc w:val="right"/>
              <w:rPr>
                <w:rFonts w:ascii="Calibri" w:eastAsia="Times New Roman" w:hAnsi="Calibri" w:cs="Arial"/>
                <w:color w:val="576170"/>
                <w:sz w:val="20"/>
                <w:szCs w:val="20"/>
              </w:rPr>
            </w:pPr>
            <w:r w:rsidRPr="00812C91">
              <w:rPr>
                <w:rFonts w:ascii="Calibri" w:eastAsia="Times New Roman" w:hAnsi="Calibri" w:cs="Arial"/>
                <w:color w:val="576170"/>
                <w:sz w:val="20"/>
                <w:szCs w:val="20"/>
              </w:rPr>
              <w:t> </w:t>
            </w:r>
            <w:r w:rsidR="006D6A86">
              <w:rPr>
                <w:rFonts w:ascii="Calibri" w:eastAsia="Times New Roman" w:hAnsi="Calibri" w:cs="Arial"/>
                <w:color w:val="576170"/>
                <w:sz w:val="20"/>
                <w:szCs w:val="20"/>
              </w:rPr>
              <w:t>35</w:t>
            </w:r>
          </w:p>
        </w:tc>
        <w:tc>
          <w:tcPr>
            <w:tcW w:w="9360" w:type="dxa"/>
            <w:tcBorders>
              <w:top w:val="nil"/>
              <w:left w:val="nil"/>
              <w:bottom w:val="single" w:sz="4" w:space="0" w:color="auto"/>
              <w:right w:val="single" w:sz="4" w:space="0" w:color="auto"/>
            </w:tcBorders>
            <w:vAlign w:val="center"/>
            <w:hideMark/>
          </w:tcPr>
          <w:p w:rsidR="008A7E5F" w:rsidRPr="00812C91" w:rsidP="008460F2" w14:paraId="2F454060" w14:textId="77777777">
            <w:pPr>
              <w:spacing w:after="0" w:line="240" w:lineRule="auto"/>
              <w:jc w:val="right"/>
              <w:rPr>
                <w:rFonts w:ascii="Calibri" w:eastAsia="Times New Roman" w:hAnsi="Calibri" w:cs="Arial"/>
                <w:color w:val="576170"/>
                <w:sz w:val="20"/>
                <w:szCs w:val="20"/>
              </w:rPr>
            </w:pPr>
            <w:r w:rsidRPr="00812C91">
              <w:rPr>
                <w:rFonts w:ascii="Calibri" w:eastAsia="Times New Roman" w:hAnsi="Calibri" w:cs="Arial"/>
                <w:color w:val="576170"/>
                <w:sz w:val="20"/>
                <w:szCs w:val="20"/>
              </w:rPr>
              <w:t> </w:t>
            </w:r>
          </w:p>
        </w:tc>
        <w:tc>
          <w:tcPr>
            <w:tcW w:w="9360" w:type="dxa"/>
            <w:tcBorders>
              <w:top w:val="nil"/>
              <w:left w:val="nil"/>
              <w:bottom w:val="single" w:sz="4" w:space="0" w:color="auto"/>
              <w:right w:val="single" w:sz="4" w:space="0" w:color="auto"/>
            </w:tcBorders>
            <w:vAlign w:val="center"/>
            <w:hideMark/>
          </w:tcPr>
          <w:p w:rsidR="008A7E5F" w:rsidRPr="00812C91" w:rsidP="008460F2" w14:paraId="0EC37C6B" w14:textId="77777777">
            <w:pPr>
              <w:spacing w:after="0" w:line="240" w:lineRule="auto"/>
              <w:jc w:val="right"/>
              <w:rPr>
                <w:rFonts w:ascii="Calibri" w:eastAsia="Times New Roman" w:hAnsi="Calibri" w:cs="Arial"/>
                <w:color w:val="576170"/>
                <w:sz w:val="20"/>
                <w:szCs w:val="20"/>
              </w:rPr>
            </w:pPr>
            <w:r w:rsidRPr="00812C91">
              <w:rPr>
                <w:rFonts w:ascii="Calibri" w:eastAsia="Times New Roman" w:hAnsi="Calibri" w:cs="Arial"/>
                <w:color w:val="576170"/>
                <w:sz w:val="20"/>
                <w:szCs w:val="20"/>
              </w:rPr>
              <w:t> </w:t>
            </w:r>
            <w:r w:rsidR="0096288F">
              <w:rPr>
                <w:rFonts w:ascii="Calibri" w:eastAsia="Times New Roman" w:hAnsi="Calibri" w:cs="Arial"/>
                <w:color w:val="576170"/>
                <w:sz w:val="20"/>
                <w:szCs w:val="20"/>
              </w:rPr>
              <w:t>0</w:t>
            </w:r>
          </w:p>
        </w:tc>
        <w:tc>
          <w:tcPr>
            <w:tcW w:w="9360" w:type="dxa"/>
            <w:tcBorders>
              <w:top w:val="nil"/>
              <w:left w:val="nil"/>
              <w:bottom w:val="single" w:sz="4" w:space="0" w:color="auto"/>
              <w:right w:val="single" w:sz="4" w:space="0" w:color="auto"/>
            </w:tcBorders>
            <w:vAlign w:val="center"/>
            <w:hideMark/>
          </w:tcPr>
          <w:p w:rsidR="008A7E5F" w:rsidRPr="00812C91" w:rsidP="008460F2" w14:paraId="7C88D90D" w14:textId="77777777">
            <w:pPr>
              <w:spacing w:after="0" w:line="240" w:lineRule="auto"/>
              <w:jc w:val="right"/>
              <w:rPr>
                <w:rFonts w:ascii="Calibri" w:eastAsia="Times New Roman" w:hAnsi="Calibri" w:cs="Arial"/>
                <w:color w:val="576170"/>
                <w:sz w:val="20"/>
                <w:szCs w:val="20"/>
              </w:rPr>
            </w:pPr>
            <w:r w:rsidRPr="00812C91">
              <w:rPr>
                <w:rFonts w:ascii="Calibri" w:eastAsia="Times New Roman" w:hAnsi="Calibri" w:cs="Arial"/>
                <w:color w:val="576170"/>
                <w:sz w:val="20"/>
                <w:szCs w:val="20"/>
              </w:rPr>
              <w:t> </w:t>
            </w:r>
            <w:r w:rsidR="0096288F">
              <w:rPr>
                <w:rFonts w:ascii="Calibri" w:eastAsia="Times New Roman" w:hAnsi="Calibri" w:cs="Arial"/>
                <w:color w:val="576170"/>
                <w:sz w:val="20"/>
                <w:szCs w:val="20"/>
              </w:rPr>
              <w:t>35</w:t>
            </w:r>
          </w:p>
        </w:tc>
      </w:tr>
      <w:tr w14:paraId="5F89F88A" w14:textId="77777777" w:rsidTr="00144760">
        <w:tblPrEx>
          <w:tblW w:w="9360" w:type="dxa"/>
          <w:jc w:val="center"/>
          <w:tblLayout w:type="fixed"/>
          <w:tblCellMar>
            <w:left w:w="115" w:type="dxa"/>
            <w:right w:w="115" w:type="dxa"/>
          </w:tblCellMar>
          <w:tblLook w:val="04A0"/>
        </w:tblPrEx>
        <w:trPr>
          <w:trHeight w:val="525"/>
          <w:jc w:val="center"/>
        </w:trPr>
        <w:tc>
          <w:tcPr>
            <w:tcW w:w="9360" w:type="dxa"/>
            <w:tcBorders>
              <w:top w:val="single" w:sz="4" w:space="0" w:color="auto"/>
              <w:left w:val="single" w:sz="4" w:space="0" w:color="auto"/>
              <w:bottom w:val="single" w:sz="4" w:space="0" w:color="auto"/>
              <w:right w:val="single" w:sz="4" w:space="0" w:color="auto"/>
            </w:tcBorders>
            <w:vAlign w:val="center"/>
            <w:hideMark/>
          </w:tcPr>
          <w:p w:rsidR="008A7E5F" w:rsidRPr="00812C91" w:rsidP="008F16EC" w14:paraId="5FE0CD72" w14:textId="77777777">
            <w:pPr>
              <w:spacing w:after="0" w:line="240" w:lineRule="auto"/>
              <w:rPr>
                <w:rFonts w:ascii="Calibri" w:eastAsia="Times New Roman" w:hAnsi="Calibri" w:cs="Arial"/>
                <w:color w:val="576170"/>
                <w:sz w:val="20"/>
                <w:szCs w:val="20"/>
              </w:rPr>
            </w:pPr>
            <w:r>
              <w:rPr>
                <w:rFonts w:ascii="Calibri" w:eastAsia="Times New Roman" w:hAnsi="Calibri" w:cs="Arial"/>
                <w:color w:val="576170"/>
                <w:sz w:val="20"/>
                <w:szCs w:val="20"/>
              </w:rPr>
              <w:t>Tota</w:t>
            </w:r>
            <w:r w:rsidRPr="00812C91">
              <w:rPr>
                <w:rFonts w:ascii="Calibri" w:eastAsia="Times New Roman" w:hAnsi="Calibri" w:cs="Arial"/>
                <w:color w:val="576170"/>
                <w:sz w:val="20"/>
                <w:szCs w:val="20"/>
              </w:rPr>
              <w:t>l Time Burden (Hr)</w:t>
            </w:r>
          </w:p>
        </w:tc>
        <w:tc>
          <w:tcPr>
            <w:tcW w:w="9360" w:type="dxa"/>
            <w:tcBorders>
              <w:top w:val="single" w:sz="4" w:space="0" w:color="auto"/>
              <w:left w:val="nil"/>
              <w:bottom w:val="single" w:sz="4" w:space="0" w:color="auto"/>
              <w:right w:val="single" w:sz="4" w:space="0" w:color="auto"/>
            </w:tcBorders>
            <w:vAlign w:val="center"/>
            <w:hideMark/>
          </w:tcPr>
          <w:p w:rsidR="008A7E5F" w:rsidRPr="00812C91" w:rsidP="008460F2" w14:paraId="4E366A6D" w14:textId="77777777">
            <w:pPr>
              <w:spacing w:after="0" w:line="240" w:lineRule="auto"/>
              <w:jc w:val="right"/>
              <w:rPr>
                <w:rFonts w:ascii="Calibri" w:eastAsia="Times New Roman" w:hAnsi="Calibri" w:cs="Arial"/>
                <w:color w:val="576170"/>
                <w:sz w:val="20"/>
                <w:szCs w:val="20"/>
              </w:rPr>
            </w:pPr>
            <w:r w:rsidRPr="00812C91">
              <w:rPr>
                <w:rFonts w:ascii="Calibri" w:eastAsia="Times New Roman" w:hAnsi="Calibri" w:cs="Arial"/>
                <w:color w:val="576170"/>
                <w:sz w:val="20"/>
                <w:szCs w:val="20"/>
              </w:rPr>
              <w:t> </w:t>
            </w:r>
            <w:r w:rsidR="006D6A86">
              <w:rPr>
                <w:rFonts w:ascii="Calibri" w:eastAsia="Times New Roman" w:hAnsi="Calibri" w:cs="Arial"/>
                <w:color w:val="576170"/>
                <w:sz w:val="20"/>
                <w:szCs w:val="20"/>
              </w:rPr>
              <w:t>64</w:t>
            </w:r>
          </w:p>
        </w:tc>
        <w:tc>
          <w:tcPr>
            <w:tcW w:w="9360" w:type="dxa"/>
            <w:tcBorders>
              <w:top w:val="single" w:sz="4" w:space="0" w:color="auto"/>
              <w:left w:val="nil"/>
              <w:bottom w:val="single" w:sz="4" w:space="0" w:color="auto"/>
              <w:right w:val="single" w:sz="4" w:space="0" w:color="auto"/>
            </w:tcBorders>
            <w:vAlign w:val="center"/>
            <w:hideMark/>
          </w:tcPr>
          <w:p w:rsidR="008A7E5F" w:rsidRPr="00812C91" w:rsidP="008460F2" w14:paraId="189DB38A" w14:textId="77777777">
            <w:pPr>
              <w:spacing w:after="0" w:line="240" w:lineRule="auto"/>
              <w:jc w:val="right"/>
              <w:rPr>
                <w:rFonts w:ascii="Calibri" w:eastAsia="Times New Roman" w:hAnsi="Calibri" w:cs="Arial"/>
                <w:color w:val="576170"/>
                <w:sz w:val="20"/>
                <w:szCs w:val="20"/>
              </w:rPr>
            </w:pPr>
            <w:r w:rsidRPr="00812C91">
              <w:rPr>
                <w:rFonts w:ascii="Calibri" w:eastAsia="Times New Roman" w:hAnsi="Calibri" w:cs="Arial"/>
                <w:color w:val="576170"/>
                <w:sz w:val="20"/>
                <w:szCs w:val="20"/>
              </w:rPr>
              <w:t> </w:t>
            </w:r>
          </w:p>
        </w:tc>
        <w:tc>
          <w:tcPr>
            <w:tcW w:w="9360" w:type="dxa"/>
            <w:tcBorders>
              <w:top w:val="single" w:sz="4" w:space="0" w:color="auto"/>
              <w:left w:val="nil"/>
              <w:bottom w:val="single" w:sz="4" w:space="0" w:color="auto"/>
              <w:right w:val="single" w:sz="4" w:space="0" w:color="auto"/>
            </w:tcBorders>
            <w:vAlign w:val="center"/>
            <w:hideMark/>
          </w:tcPr>
          <w:p w:rsidR="008A7E5F" w:rsidRPr="00812C91" w:rsidP="008460F2" w14:paraId="74FD63BC" w14:textId="77777777">
            <w:pPr>
              <w:spacing w:after="0" w:line="240" w:lineRule="auto"/>
              <w:jc w:val="right"/>
              <w:rPr>
                <w:rFonts w:ascii="Calibri" w:eastAsia="Times New Roman" w:hAnsi="Calibri" w:cs="Arial"/>
                <w:color w:val="576170"/>
                <w:sz w:val="20"/>
                <w:szCs w:val="20"/>
              </w:rPr>
            </w:pPr>
            <w:r w:rsidRPr="00812C91">
              <w:rPr>
                <w:rFonts w:ascii="Calibri" w:eastAsia="Times New Roman" w:hAnsi="Calibri" w:cs="Arial"/>
                <w:color w:val="576170"/>
                <w:sz w:val="20"/>
                <w:szCs w:val="20"/>
              </w:rPr>
              <w:t> </w:t>
            </w:r>
            <w:r w:rsidR="0096288F">
              <w:rPr>
                <w:rFonts w:ascii="Calibri" w:eastAsia="Times New Roman" w:hAnsi="Calibri" w:cs="Arial"/>
                <w:color w:val="576170"/>
                <w:sz w:val="20"/>
                <w:szCs w:val="20"/>
              </w:rPr>
              <w:t>0</w:t>
            </w:r>
          </w:p>
        </w:tc>
        <w:tc>
          <w:tcPr>
            <w:tcW w:w="9360" w:type="dxa"/>
            <w:tcBorders>
              <w:top w:val="single" w:sz="4" w:space="0" w:color="auto"/>
              <w:left w:val="nil"/>
              <w:bottom w:val="single" w:sz="4" w:space="0" w:color="auto"/>
              <w:right w:val="single" w:sz="4" w:space="0" w:color="auto"/>
            </w:tcBorders>
            <w:vAlign w:val="center"/>
            <w:hideMark/>
          </w:tcPr>
          <w:p w:rsidR="008A7E5F" w:rsidRPr="00812C91" w:rsidP="008460F2" w14:paraId="37E822C0" w14:textId="77777777">
            <w:pPr>
              <w:spacing w:after="0" w:line="240" w:lineRule="auto"/>
              <w:jc w:val="right"/>
              <w:rPr>
                <w:rFonts w:ascii="Calibri" w:eastAsia="Times New Roman" w:hAnsi="Calibri" w:cs="Arial"/>
                <w:color w:val="576170"/>
                <w:sz w:val="20"/>
                <w:szCs w:val="20"/>
              </w:rPr>
            </w:pPr>
            <w:r w:rsidRPr="00812C91">
              <w:rPr>
                <w:rFonts w:ascii="Calibri" w:eastAsia="Times New Roman" w:hAnsi="Calibri" w:cs="Arial"/>
                <w:color w:val="576170"/>
                <w:sz w:val="20"/>
                <w:szCs w:val="20"/>
              </w:rPr>
              <w:t> </w:t>
            </w:r>
            <w:r w:rsidR="0096288F">
              <w:rPr>
                <w:rFonts w:ascii="Calibri" w:eastAsia="Times New Roman" w:hAnsi="Calibri" w:cs="Arial"/>
                <w:color w:val="576170"/>
                <w:sz w:val="20"/>
                <w:szCs w:val="20"/>
              </w:rPr>
              <w:t>64</w:t>
            </w:r>
          </w:p>
        </w:tc>
      </w:tr>
      <w:tr w14:paraId="5F6795D4" w14:textId="77777777" w:rsidTr="00144760">
        <w:tblPrEx>
          <w:tblW w:w="9360" w:type="dxa"/>
          <w:jc w:val="center"/>
          <w:tblLayout w:type="fixed"/>
          <w:tblCellMar>
            <w:left w:w="115" w:type="dxa"/>
            <w:right w:w="115" w:type="dxa"/>
          </w:tblCellMar>
          <w:tblLook w:val="04A0"/>
        </w:tblPrEx>
        <w:trPr>
          <w:trHeight w:val="525"/>
          <w:jc w:val="center"/>
        </w:trPr>
        <w:tc>
          <w:tcPr>
            <w:tcW w:w="9360" w:type="dxa"/>
            <w:tcBorders>
              <w:top w:val="single" w:sz="4" w:space="0" w:color="auto"/>
              <w:left w:val="single" w:sz="4" w:space="0" w:color="auto"/>
              <w:bottom w:val="single" w:sz="4" w:space="0" w:color="auto"/>
              <w:right w:val="single" w:sz="4" w:space="0" w:color="auto"/>
            </w:tcBorders>
            <w:vAlign w:val="center"/>
          </w:tcPr>
          <w:p w:rsidR="00144760" w:rsidP="008F16EC" w14:paraId="4B10A956" w14:textId="77777777">
            <w:pPr>
              <w:spacing w:after="0" w:line="240" w:lineRule="auto"/>
              <w:rPr>
                <w:rFonts w:ascii="Calibri" w:eastAsia="Times New Roman" w:hAnsi="Calibri" w:cs="Arial"/>
                <w:color w:val="576170"/>
                <w:sz w:val="20"/>
                <w:szCs w:val="20"/>
              </w:rPr>
            </w:pPr>
            <w:r>
              <w:rPr>
                <w:rFonts w:ascii="Calibri" w:eastAsia="Times New Roman" w:hAnsi="Calibri" w:cs="Arial"/>
                <w:color w:val="576170"/>
                <w:sz w:val="20"/>
                <w:szCs w:val="20"/>
              </w:rPr>
              <w:t>Total Cost Burden</w:t>
            </w:r>
          </w:p>
        </w:tc>
        <w:tc>
          <w:tcPr>
            <w:tcW w:w="9360" w:type="dxa"/>
            <w:tcBorders>
              <w:top w:val="single" w:sz="4" w:space="0" w:color="auto"/>
              <w:left w:val="nil"/>
              <w:bottom w:val="single" w:sz="4" w:space="0" w:color="auto"/>
              <w:right w:val="single" w:sz="4" w:space="0" w:color="auto"/>
            </w:tcBorders>
            <w:vAlign w:val="center"/>
          </w:tcPr>
          <w:p w:rsidR="00144760" w:rsidRPr="00812C91" w:rsidP="008460F2" w14:paraId="593D34F6" w14:textId="77777777">
            <w:pPr>
              <w:spacing w:after="0" w:line="240" w:lineRule="auto"/>
              <w:jc w:val="right"/>
              <w:rPr>
                <w:rFonts w:ascii="Calibri" w:eastAsia="Times New Roman" w:hAnsi="Calibri" w:cs="Arial"/>
                <w:color w:val="576170"/>
                <w:sz w:val="20"/>
                <w:szCs w:val="20"/>
              </w:rPr>
            </w:pPr>
            <w:r>
              <w:rPr>
                <w:rFonts w:ascii="Calibri" w:eastAsia="Times New Roman" w:hAnsi="Calibri" w:cs="Arial"/>
                <w:color w:val="576170"/>
                <w:sz w:val="20"/>
                <w:szCs w:val="20"/>
              </w:rPr>
              <w:t>$3,160</w:t>
            </w:r>
          </w:p>
        </w:tc>
        <w:tc>
          <w:tcPr>
            <w:tcW w:w="9360" w:type="dxa"/>
            <w:tcBorders>
              <w:top w:val="single" w:sz="4" w:space="0" w:color="auto"/>
              <w:left w:val="nil"/>
              <w:bottom w:val="single" w:sz="4" w:space="0" w:color="auto"/>
              <w:right w:val="single" w:sz="4" w:space="0" w:color="auto"/>
            </w:tcBorders>
            <w:vAlign w:val="center"/>
          </w:tcPr>
          <w:p w:rsidR="00144760" w:rsidRPr="00812C91" w:rsidP="008460F2" w14:paraId="1C25B0B7" w14:textId="77777777">
            <w:pPr>
              <w:spacing w:after="0" w:line="240" w:lineRule="auto"/>
              <w:jc w:val="right"/>
              <w:rPr>
                <w:rFonts w:ascii="Calibri" w:eastAsia="Times New Roman" w:hAnsi="Calibri" w:cs="Arial"/>
                <w:color w:val="576170"/>
                <w:sz w:val="20"/>
                <w:szCs w:val="20"/>
              </w:rPr>
            </w:pPr>
          </w:p>
        </w:tc>
        <w:tc>
          <w:tcPr>
            <w:tcW w:w="9360" w:type="dxa"/>
            <w:tcBorders>
              <w:top w:val="single" w:sz="4" w:space="0" w:color="auto"/>
              <w:left w:val="nil"/>
              <w:bottom w:val="single" w:sz="4" w:space="0" w:color="auto"/>
              <w:right w:val="single" w:sz="4" w:space="0" w:color="auto"/>
            </w:tcBorders>
            <w:vAlign w:val="center"/>
          </w:tcPr>
          <w:p w:rsidR="00144760" w:rsidRPr="00812C91" w:rsidP="008460F2" w14:paraId="6CF90CCF" w14:textId="77777777">
            <w:pPr>
              <w:spacing w:after="0" w:line="240" w:lineRule="auto"/>
              <w:jc w:val="right"/>
              <w:rPr>
                <w:rFonts w:ascii="Calibri" w:eastAsia="Times New Roman" w:hAnsi="Calibri" w:cs="Arial"/>
                <w:color w:val="576170"/>
                <w:sz w:val="20"/>
                <w:szCs w:val="20"/>
              </w:rPr>
            </w:pPr>
            <w:r>
              <w:rPr>
                <w:rFonts w:ascii="Calibri" w:eastAsia="Times New Roman" w:hAnsi="Calibri" w:cs="Arial"/>
                <w:color w:val="576170"/>
                <w:sz w:val="20"/>
                <w:szCs w:val="20"/>
              </w:rPr>
              <w:t>$</w:t>
            </w:r>
            <w:r w:rsidR="00020384">
              <w:rPr>
                <w:rFonts w:ascii="Calibri" w:eastAsia="Times New Roman" w:hAnsi="Calibri" w:cs="Arial"/>
                <w:color w:val="576170"/>
                <w:sz w:val="20"/>
                <w:szCs w:val="20"/>
              </w:rPr>
              <w:t>118</w:t>
            </w:r>
          </w:p>
        </w:tc>
        <w:tc>
          <w:tcPr>
            <w:tcW w:w="9360" w:type="dxa"/>
            <w:tcBorders>
              <w:top w:val="single" w:sz="4" w:space="0" w:color="auto"/>
              <w:left w:val="nil"/>
              <w:bottom w:val="single" w:sz="4" w:space="0" w:color="auto"/>
              <w:right w:val="single" w:sz="4" w:space="0" w:color="auto"/>
            </w:tcBorders>
            <w:vAlign w:val="center"/>
          </w:tcPr>
          <w:p w:rsidR="00144760" w:rsidRPr="00812C91" w:rsidP="008460F2" w14:paraId="296D411C" w14:textId="77777777">
            <w:pPr>
              <w:spacing w:after="0" w:line="240" w:lineRule="auto"/>
              <w:jc w:val="right"/>
              <w:rPr>
                <w:rFonts w:ascii="Calibri" w:eastAsia="Times New Roman" w:hAnsi="Calibri" w:cs="Arial"/>
                <w:color w:val="576170"/>
                <w:sz w:val="20"/>
                <w:szCs w:val="20"/>
              </w:rPr>
            </w:pPr>
            <w:r>
              <w:rPr>
                <w:rFonts w:ascii="Calibri" w:eastAsia="Times New Roman" w:hAnsi="Calibri" w:cs="Arial"/>
                <w:color w:val="576170"/>
                <w:sz w:val="20"/>
                <w:szCs w:val="20"/>
              </w:rPr>
              <w:t>$3,042.00</w:t>
            </w:r>
          </w:p>
        </w:tc>
      </w:tr>
    </w:tbl>
    <w:bookmarkEnd w:id="22"/>
    <w:p w:rsidR="006468F2" w:rsidRPr="00A41763" w:rsidP="00A41763" w14:paraId="23EBCADF" w14:textId="77777777">
      <w:r>
        <w:t xml:space="preserve">* Requested figures are rounded to the nearest whole number. </w:t>
      </w:r>
      <w:r>
        <w:br/>
        <w:t xml:space="preserve">The change in the cost burden is </w:t>
      </w:r>
      <w:r w:rsidR="006041FB">
        <w:t>due to an increase in wage given the passage of time since the last approval.</w:t>
      </w:r>
    </w:p>
    <w:p w:rsidR="00F056C3" w:rsidP="00F056C3" w14:paraId="27D29339" w14:textId="77777777">
      <w:pPr>
        <w:pStyle w:val="Heading2"/>
      </w:pPr>
      <w:bookmarkStart w:id="23" w:name="_Toc16271335"/>
      <w:r>
        <w:t>A.</w:t>
      </w:r>
      <w:r w:rsidRPr="00A41763" w:rsidR="00A41763">
        <w:t xml:space="preserve">16. </w:t>
      </w:r>
      <w:r w:rsidRPr="00F056C3">
        <w:t>Collection, Tabulation, and Publication Plans</w:t>
      </w:r>
      <w:bookmarkEnd w:id="23"/>
      <w:r w:rsidRPr="00F056C3">
        <w:t xml:space="preserve"> </w:t>
      </w:r>
    </w:p>
    <w:p w:rsidR="00A41763" w:rsidRPr="00A41763" w:rsidP="00A41763" w14:paraId="5466ACC0" w14:textId="77777777">
      <w:bookmarkStart w:id="24" w:name="_Hlk57385487"/>
      <w:r w:rsidRPr="00A41763">
        <w:rPr>
          <w:b/>
          <w:bCs/>
        </w:rPr>
        <w:t xml:space="preserve">For collections whose results will be published, outline the plans for tabulation and publication. </w:t>
      </w:r>
    </w:p>
    <w:bookmarkEnd w:id="24"/>
    <w:p w:rsidR="003975B5" w:rsidRPr="00DF0638" w:rsidP="003975B5" w14:paraId="01FE20B0" w14:textId="77777777">
      <w:pPr>
        <w:rPr>
          <w:bCs/>
        </w:rPr>
      </w:pPr>
      <w:r w:rsidRPr="00DF0638">
        <w:rPr>
          <w:bCs/>
        </w:rPr>
        <w:t>This package contains no collections whose results will be published</w:t>
      </w:r>
      <w:r>
        <w:rPr>
          <w:bCs/>
        </w:rPr>
        <w:t>, tabulated,</w:t>
      </w:r>
      <w:r w:rsidRPr="00DF0638">
        <w:rPr>
          <w:bCs/>
        </w:rPr>
        <w:t xml:space="preserve"> or used for statistical purposes. The information collection is used to ensure that Department contractors maintain good labor relations and retain a workforce in accordance with the terms of their contracts and in compliance with applicable statutory and regulatory requirements as identified by the contract.</w:t>
      </w:r>
    </w:p>
    <w:p w:rsidR="00F056C3" w:rsidP="00F056C3" w14:paraId="0D38B8BD" w14:textId="77777777">
      <w:pPr>
        <w:pStyle w:val="Heading2"/>
      </w:pPr>
      <w:bookmarkStart w:id="25" w:name="_Toc16271336"/>
      <w:r>
        <w:t>A.</w:t>
      </w:r>
      <w:r w:rsidRPr="00A41763" w:rsidR="00A41763">
        <w:t xml:space="preserve">17. </w:t>
      </w:r>
      <w:r w:rsidRPr="00F056C3">
        <w:t>OMB Number and Expiration Date</w:t>
      </w:r>
      <w:bookmarkEnd w:id="25"/>
      <w:r w:rsidRPr="00F056C3">
        <w:t xml:space="preserve"> </w:t>
      </w:r>
    </w:p>
    <w:p w:rsidR="00A41763" w:rsidRPr="00A41763" w:rsidP="00A41763" w14:paraId="5413D200" w14:textId="77777777">
      <w:bookmarkStart w:id="26" w:name="_Hlk57385506"/>
      <w:r w:rsidRPr="00A41763">
        <w:rPr>
          <w:b/>
          <w:bCs/>
        </w:rPr>
        <w:t xml:space="preserve">If seeking approval to not display the expiration date for OMB approval of the information collection, explain the reasons why display would be inappropriate. </w:t>
      </w:r>
    </w:p>
    <w:bookmarkEnd w:id="26"/>
    <w:p w:rsidR="004058FB" w:rsidRPr="00DF0638" w:rsidP="004058FB" w14:paraId="176C2255" w14:textId="77777777">
      <w:pPr>
        <w:rPr>
          <w:bCs/>
        </w:rPr>
      </w:pPr>
      <w:r>
        <w:rPr>
          <w:bCs/>
        </w:rPr>
        <w:t>Not applicable.</w:t>
      </w:r>
    </w:p>
    <w:p w:rsidR="00F056C3" w:rsidP="00F056C3" w14:paraId="2A6DE75B" w14:textId="77777777">
      <w:pPr>
        <w:pStyle w:val="Heading2"/>
      </w:pPr>
      <w:bookmarkStart w:id="27" w:name="_Toc16271337"/>
      <w:r>
        <w:t>A.</w:t>
      </w:r>
      <w:r w:rsidRPr="00A41763" w:rsidR="00A41763">
        <w:t xml:space="preserve">18. </w:t>
      </w:r>
      <w:r w:rsidRPr="00F056C3">
        <w:t>Certification Statement</w:t>
      </w:r>
      <w:bookmarkEnd w:id="27"/>
      <w:r w:rsidRPr="00F056C3">
        <w:t xml:space="preserve"> </w:t>
      </w:r>
    </w:p>
    <w:p w:rsidR="00A41763" w:rsidRPr="00A41763" w:rsidP="00A41763" w14:paraId="555144AE" w14:textId="77777777">
      <w:bookmarkStart w:id="28" w:name="_Hlk57385515"/>
      <w:r w:rsidRPr="00A41763">
        <w:rPr>
          <w:b/>
          <w:bCs/>
        </w:rPr>
        <w:t xml:space="preserve">Explain each exception to the certification statement identified in Item 19 of OMB Form 83-I. </w:t>
      </w:r>
    </w:p>
    <w:bookmarkEnd w:id="28"/>
    <w:p w:rsidR="008460F2" w:rsidRPr="00DF0638" w:rsidP="008460F2" w14:paraId="29C4B103" w14:textId="77777777">
      <w:pPr>
        <w:rPr>
          <w:bCs/>
        </w:rPr>
      </w:pPr>
      <w:r w:rsidRPr="00DF0638">
        <w:rPr>
          <w:bCs/>
        </w:rPr>
        <w:t xml:space="preserve">No exceptions have been </w:t>
      </w:r>
      <w:r w:rsidRPr="00DF0638" w:rsidR="006C3D26">
        <w:rPr>
          <w:bCs/>
        </w:rPr>
        <w:t>made</w:t>
      </w:r>
      <w:r w:rsidRPr="00DF0638">
        <w:rPr>
          <w:bCs/>
        </w:rPr>
        <w:t>. This collection of information has been reviewed and justified by Departmental management requirements, statutes, external regulations, interagency reporting requirements, Departmental orders, or other internal DOE requirements, and meets the requirements listed in the “Certification for Paperwork Reduction Act Submissions.”</w:t>
      </w:r>
    </w:p>
    <w:p w:rsidR="00A41763" w:rsidRPr="00A41763" w:rsidP="008460F2" w14:paraId="79C785D8" w14:textId="77777777"/>
    <w:sectPr w:rsidSect="00933D5D">
      <w:footerReference w:type="default" r:id="rI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RPr="001F3A8F" w:rsidP="00616E46" w14:paraId="608DF17F" w14:textId="77777777">
    <w:pPr>
      <w:pStyle w:val="Footer"/>
      <w:tabs>
        <w:tab w:val="left" w:pos="8655"/>
        <w:tab w:val="clear" w:pos="9720"/>
      </w:tabs>
    </w:pPr>
    <w:r w:rsidRPr="00CB180D">
      <w:t xml:space="preserve">U.S. </w:t>
    </w:r>
    <w:r>
      <w:t>Department of Energy</w:t>
    </w:r>
    <w:r w:rsidRPr="00CB180D">
      <w:t xml:space="preserve">   |</w:t>
    </w:r>
    <w:r>
      <w:t xml:space="preserve">   </w:t>
    </w:r>
    <w:sdt>
      <w:sdtPr>
        <w:alias w:val="Title"/>
        <w:id w:val="463942435"/>
        <w:placeholder>
          <w:docPart w:val="036A28BF64E74E4AAE5509CC1F9A9881"/>
        </w:placeholder>
        <w:dataBinding w:prefixMappings="xmlns:ns0='http://purl.org/dc/elements/1.1/' xmlns:ns1='http://schemas.openxmlformats.org/package/2006/metadata/core-properties' " w:xpath="/ns1:coreProperties[1]/ns0:title[1]" w:storeItemID="{6C3C8BC8-F283-45AE-878A-BAB7291924A1}"/>
        <w:text/>
      </w:sdtPr>
      <w:sdtContent>
        <w:r w:rsidR="006C3D26">
          <w:t>Supporting Statement for Labor Relations Report</w:t>
        </w:r>
      </w:sdtContent>
    </w:sdt>
    <w:r>
      <w:t xml:space="preserve"> </w:t>
    </w:r>
    <w:r>
      <w:tab/>
      <w:t xml:space="preserve"> </w:t>
    </w:r>
    <w:r>
      <w:fldChar w:fldCharType="begin"/>
    </w:r>
    <w:r>
      <w:instrText xml:space="preserve"> PAGE   \* MERGEFORMAT </w:instrText>
    </w:r>
    <w:r>
      <w:fldChar w:fldCharType="separate"/>
    </w:r>
    <w:r w:rsidR="00D701F6">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P="00760677" w14:paraId="1E1895A1" w14:textId="77777777">
    <w:pPr>
      <w:pStyle w:val="Footer"/>
    </w:pPr>
    <w:sdt>
      <w:sdtPr>
        <w:id w:val="272451101"/>
        <w:docPartObj>
          <w:docPartGallery w:val="Page Numbers (Bottom of Page)"/>
          <w:docPartUnique/>
        </w:docPartObj>
      </w:sdtPr>
      <w:sdtContent>
        <w:r w:rsidRPr="00CB180D">
          <w:t xml:space="preserve">U.S. Energy Information Administration   |   </w:t>
        </w:r>
        <w:sdt>
          <w:sdtPr>
            <w:alias w:val="Subject"/>
            <w:id w:val="406421018"/>
            <w:dataBinding w:prefixMappings="xmlns:ns0='http://purl.org/dc/elements/1.1/' xmlns:ns1='http://schemas.openxmlformats.org/package/2006/metadata/core-properties' " w:xpath="/ns1:coreProperties[1]/ns0:subject[1]" w:storeItemID="{6C3C8BC8-F283-45AE-878A-BAB7291924A1}"/>
            <w:text/>
          </w:sdtPr>
          <w:sdtContent>
            <w:r>
              <w:t>Improving the Quality and Scope of EIA Data</w:t>
            </w:r>
          </w:sdtContent>
        </w:sdt>
        <w:r w:rsidRPr="00CB180D">
          <w:tab/>
        </w:r>
      </w:sdtContent>
    </w:sdt>
    <w:r w:rsidRPr="00760677">
      <w:t xml:space="preserve"> </w:t>
    </w:r>
    <w:r>
      <w:fldChar w:fldCharType="begin"/>
    </w:r>
    <w:r>
      <w:instrText xml:space="preserve"> PAGE   \* MERGEFORMAT </w:instrText>
    </w:r>
    <w:r>
      <w:fldChar w:fldCharType="separate"/>
    </w:r>
    <w:r>
      <w:rPr>
        <w:noProof/>
      </w:rPr>
      <w:t>i</w:t>
    </w:r>
    <w:r>
      <w:rPr>
        <w:noProof/>
      </w:rPr>
      <w:fldChar w:fldCharType="end"/>
    </w:r>
  </w:p>
  <w:p w:rsidR="008F16EC" w14:paraId="3030F69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P="00760677" w14:paraId="62755766" w14:textId="77777777">
    <w:pPr>
      <w:pStyle w:val="Footer"/>
    </w:pPr>
    <w:sdt>
      <w:sdtPr>
        <w:id w:val="-22715443"/>
        <w:docPartObj>
          <w:docPartGallery w:val="Page Numbers (Bottom of Page)"/>
          <w:docPartUnique/>
        </w:docPartObj>
      </w:sdtPr>
      <w:sdtContent>
        <w:r w:rsidRPr="00CB180D">
          <w:t xml:space="preserve">U.S. Energy Information Administration   |   </w:t>
        </w:r>
        <w:sdt>
          <w:sdtPr>
            <w:alias w:val="Subject"/>
            <w:id w:val="-135803878"/>
            <w:dataBinding w:prefixMappings="xmlns:ns0='http://purl.org/dc/elements/1.1/' xmlns:ns1='http://schemas.openxmlformats.org/package/2006/metadata/core-properties' " w:xpath="/ns1:coreProperties[1]/ns0:subject[1]" w:storeItemID="{6C3C8BC8-F283-45AE-878A-BAB7291924A1}"/>
            <w:text/>
          </w:sdtPr>
          <w:sdtContent>
            <w:r>
              <w:t>Improving the Quality and Scope of EIA Data</w:t>
            </w:r>
          </w:sdtContent>
        </w:sdt>
        <w:r w:rsidRPr="00CB180D">
          <w:tab/>
        </w:r>
      </w:sdtContent>
    </w:sdt>
    <w:r w:rsidRPr="00760677">
      <w:t xml:space="preserve"> </w:t>
    </w:r>
    <w:r>
      <w:fldChar w:fldCharType="begin"/>
    </w:r>
    <w:r>
      <w:instrText xml:space="preserve"> PAGE   \* MERGEFORMAT </w:instrText>
    </w:r>
    <w:r>
      <w:fldChar w:fldCharType="separate"/>
    </w:r>
    <w:r>
      <w:rPr>
        <w:noProof/>
      </w:rPr>
      <w:t>ii</w:t>
    </w:r>
    <w:r>
      <w:rPr>
        <w:noProof/>
      </w:rPr>
      <w:fldChar w:fldCharType="end"/>
    </w:r>
  </w:p>
  <w:p w:rsidR="008F16EC" w:rsidP="00760677" w14:paraId="4AA6E0E3"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RPr="001F3A8F" w:rsidP="00616E46" w14:paraId="5E3FE19D" w14:textId="77777777">
    <w:pPr>
      <w:pStyle w:val="Footer"/>
      <w:tabs>
        <w:tab w:val="left" w:pos="8655"/>
        <w:tab w:val="clear" w:pos="9720"/>
      </w:tabs>
    </w:pPr>
    <w:r>
      <w:t>U.S. Department of Energy</w:t>
    </w:r>
    <w:r w:rsidRPr="00CB180D">
      <w:t xml:space="preserve">   |</w:t>
    </w:r>
    <w:r>
      <w:t xml:space="preserve">   </w:t>
    </w:r>
    <w:sdt>
      <w:sdtPr>
        <w:alias w:val="Title"/>
        <w:id w:val="-850179400"/>
        <w:placeholder>
          <w:docPart w:val="2A74A255A472463E881E54AE4FB91192"/>
        </w:placeholder>
        <w:dataBinding w:prefixMappings="xmlns:ns0='http://purl.org/dc/elements/1.1/' xmlns:ns1='http://schemas.openxmlformats.org/package/2006/metadata/core-properties' " w:xpath="/ns1:coreProperties[1]/ns0:title[1]" w:storeItemID="{6C3C8BC8-F283-45AE-878A-BAB7291924A1}"/>
        <w:text/>
      </w:sdtPr>
      <w:sdtContent>
        <w:r w:rsidR="006C3D26">
          <w:t>Supporting Statement for Labor Relations Report</w:t>
        </w:r>
      </w:sdtContent>
    </w:sdt>
    <w:r>
      <w:t xml:space="preserve"> </w:t>
    </w:r>
    <w:r>
      <w:tab/>
      <w:t xml:space="preserve"> </w:t>
    </w:r>
    <w:r>
      <w:fldChar w:fldCharType="begin"/>
    </w:r>
    <w:r>
      <w:instrText xml:space="preserve"> PAGE   \* MERGEFORMAT </w:instrText>
    </w:r>
    <w:r>
      <w:fldChar w:fldCharType="separate"/>
    </w:r>
    <w:r w:rsidR="00D701F6">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438ED" w:rsidP="00536CE1" w14:paraId="3BB683F9" w14:textId="77777777">
      <w:pPr>
        <w:spacing w:after="0" w:line="240" w:lineRule="auto"/>
      </w:pPr>
      <w:r>
        <w:separator/>
      </w:r>
    </w:p>
  </w:footnote>
  <w:footnote w:type="continuationSeparator" w:id="1">
    <w:p w:rsidR="006438ED" w:rsidP="00536CE1" w14:paraId="4DC7C450" w14:textId="77777777">
      <w:pPr>
        <w:spacing w:after="0" w:line="240" w:lineRule="auto"/>
      </w:pPr>
      <w:r>
        <w:continuationSeparator/>
      </w:r>
    </w:p>
  </w:footnote>
  <w:footnote w:id="2">
    <w:p w:rsidR="00EB058E" w:rsidP="00EB058E" w14:paraId="365FFB51" w14:textId="77777777">
      <w:pPr>
        <w:pStyle w:val="FootnoteText"/>
      </w:pPr>
      <w:r>
        <w:rPr>
          <w:rStyle w:val="FootnoteReference"/>
        </w:rPr>
        <w:footnoteRef/>
      </w:r>
      <w:r>
        <w:t xml:space="preserve"> Annual salary of $7</w:t>
      </w:r>
      <w:r w:rsidR="001015AB">
        <w:t>2</w:t>
      </w:r>
      <w:r>
        <w:t>,</w:t>
      </w:r>
      <w:r w:rsidR="001015AB">
        <w:t>9</w:t>
      </w:r>
      <w:r>
        <w:t xml:space="preserve">10 from U.S. Bureau of Labor Statistics. </w:t>
      </w:r>
      <w:hyperlink r:id="rId1" w:anchor="tab-5" w:history="1">
        <w:r w:rsidRPr="00931906">
          <w:rPr>
            <w:rStyle w:val="Hyperlink"/>
          </w:rPr>
          <w:t>https://www.bls.gov/ooh/business-and-financial/human-resources-specialists.htm#tab-5</w:t>
        </w:r>
      </w:hyperlink>
    </w:p>
  </w:footnote>
  <w:footnote w:id="3">
    <w:p w:rsidR="00EB058E" w:rsidP="00EB058E" w14:paraId="1B392BBE" w14:textId="77777777">
      <w:pPr>
        <w:pStyle w:val="FootnoteText"/>
      </w:pPr>
      <w:r>
        <w:rPr>
          <w:rStyle w:val="FootnoteReference"/>
        </w:rPr>
        <w:footnoteRef/>
      </w:r>
      <w:r>
        <w:t xml:space="preserve"> GC-63 was directed by the Department of Energy Paperwork Reduction Act Desk Officer to use a </w:t>
      </w:r>
      <w:r w:rsidRPr="001015AB">
        <w:t>multiplier of 1.4%</w:t>
      </w:r>
      <w:r>
        <w:t xml:space="preserve"> to arrive  at the fully burdened wage rate for non-government workers.  </w:t>
      </w:r>
    </w:p>
  </w:footnote>
  <w:footnote w:id="4">
    <w:p w:rsidR="00394A2B" w:rsidP="00394A2B" w14:paraId="7B4FDF47" w14:textId="77777777">
      <w:pPr>
        <w:pStyle w:val="FootnoteText"/>
      </w:pPr>
      <w:r>
        <w:rPr>
          <w:rStyle w:val="FootnoteReference"/>
        </w:rPr>
        <w:footnoteRef/>
      </w:r>
      <w:r>
        <w:t xml:space="preserve"> Fully burdened rate for GS-14-02 conducting this work, $</w:t>
      </w:r>
      <w:r w:rsidR="00F67680">
        <w:t>7</w:t>
      </w:r>
      <w:r>
        <w:t>0.</w:t>
      </w:r>
      <w:r w:rsidR="005810DC">
        <w:t>79</w:t>
      </w:r>
      <w:r>
        <w:t xml:space="preserve"> * 1.6 = $</w:t>
      </w:r>
      <w:r w:rsidR="005810DC">
        <w:t>113.26</w:t>
      </w:r>
      <w:r>
        <w:t xml:space="preserve">. </w:t>
      </w:r>
      <w:hyperlink r:id="rId2" w:history="1">
        <w:r w:rsidR="002F344E">
          <w:rPr>
            <w:rStyle w:val="Hyperlink"/>
          </w:rPr>
          <w:t>https://www.opm.gov/policy-data-oversight/pay-leave/salaries-wages/salary-tables/pdf/2025/DCB.pdf</w:t>
        </w:r>
      </w:hyperlink>
    </w:p>
    <w:p w:rsidR="00394A2B" w:rsidP="00394A2B" w14:paraId="42359D08" w14:textId="77777777">
      <w:pPr>
        <w:pStyle w:val="FootnoteText"/>
      </w:pPr>
    </w:p>
    <w:p w:rsidR="00394A2B" w:rsidP="00394A2B" w14:paraId="1DD607A9" w14:textId="77777777">
      <w:pPr>
        <w:pStyle w:val="FootnoteText"/>
      </w:pPr>
      <w:r>
        <w:t xml:space="preserve">Information on the 1.6 multiplier used, </w:t>
      </w:r>
      <w:hyperlink r:id="rId3" w:history="1">
        <w:r>
          <w:rPr>
            <w:rStyle w:val="Hyperlink"/>
          </w:rPr>
          <w:t>http://www.bls.gov/news.release/ecec.nr0.htm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P="00725453" w14:paraId="124EDA3B" w14:textId="7777777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794009E0"/>
    <w:lvl w:ilvl="0">
      <w:start w:val="1"/>
      <w:numFmt w:val="decimal"/>
      <w:lvlText w:val="%1."/>
      <w:lvlJc w:val="left"/>
      <w:pPr>
        <w:tabs>
          <w:tab w:val="num" w:pos="1800"/>
        </w:tabs>
        <w:ind w:left="1800" w:hanging="360"/>
      </w:pPr>
    </w:lvl>
  </w:abstractNum>
  <w:abstractNum w:abstractNumId="1">
    <w:nsid w:val="FFFFFF7D"/>
    <w:multiLevelType w:val="singleLevel"/>
    <w:tmpl w:val="7B24A21C"/>
    <w:lvl w:ilvl="0">
      <w:start w:val="1"/>
      <w:numFmt w:val="decimal"/>
      <w:lvlText w:val="%1."/>
      <w:lvlJc w:val="left"/>
      <w:pPr>
        <w:tabs>
          <w:tab w:val="num" w:pos="1440"/>
        </w:tabs>
        <w:ind w:left="1440" w:hanging="360"/>
      </w:pPr>
    </w:lvl>
  </w:abstractNum>
  <w:abstractNum w:abstractNumId="2">
    <w:nsid w:val="FFFFFF7E"/>
    <w:multiLevelType w:val="singleLevel"/>
    <w:tmpl w:val="6DFCCB4A"/>
    <w:lvl w:ilvl="0">
      <w:start w:val="1"/>
      <w:numFmt w:val="decimal"/>
      <w:lvlText w:val="%1."/>
      <w:lvlJc w:val="left"/>
      <w:pPr>
        <w:tabs>
          <w:tab w:val="num" w:pos="1080"/>
        </w:tabs>
        <w:ind w:left="1080" w:hanging="360"/>
      </w:pPr>
    </w:lvl>
  </w:abstractNum>
  <w:abstractNum w:abstractNumId="3">
    <w:nsid w:val="FFFFFF7F"/>
    <w:multiLevelType w:val="singleLevel"/>
    <w:tmpl w:val="2D9626D0"/>
    <w:lvl w:ilvl="0">
      <w:start w:val="1"/>
      <w:numFmt w:val="decimal"/>
      <w:lvlText w:val="%1."/>
      <w:lvlJc w:val="left"/>
      <w:pPr>
        <w:tabs>
          <w:tab w:val="num" w:pos="720"/>
        </w:tabs>
        <w:ind w:left="720" w:hanging="360"/>
      </w:pPr>
    </w:lvl>
  </w:abstractNum>
  <w:abstractNum w:abstractNumId="4">
    <w:nsid w:val="FFFFFF80"/>
    <w:multiLevelType w:val="singleLevel"/>
    <w:tmpl w:val="A5E02EF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9">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11">
    <w:nsid w:val="054720A0"/>
    <w:multiLevelType w:val="multilevel"/>
    <w:tmpl w:val="940AAD72"/>
    <w:lvl w:ilvl="0">
      <w:start w:val="1"/>
      <w:numFmt w:val="decimal"/>
      <w:lvlText w:val="%1."/>
      <w:lvlJc w:val="left"/>
      <w:pPr>
        <w:ind w:left="1440" w:hanging="360"/>
      </w:pPr>
      <w:rPr>
        <w:rFonts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2">
    <w:nsid w:val="069F36C6"/>
    <w:multiLevelType w:val="multilevel"/>
    <w:tmpl w:val="E258FFEA"/>
    <w:lvl w:ilvl="0">
      <w:start w:val="1"/>
      <w:numFmt w:val="bullet"/>
      <w:pStyle w:val="ListParagraph"/>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3">
    <w:nsid w:val="3AAA5C3B"/>
    <w:multiLevelType w:val="hybridMultilevel"/>
    <w:tmpl w:val="09263B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3CA4D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45524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51666C8F"/>
    <w:multiLevelType w:val="hybridMultilevel"/>
    <w:tmpl w:val="2EDAB45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6F863061"/>
    <w:multiLevelType w:val="multilevel"/>
    <w:tmpl w:val="23362550"/>
    <w:lvl w:ilvl="0">
      <w:start w:val="1"/>
      <w:numFmt w:val="none"/>
      <w:pStyle w:val="Heading1"/>
      <w:suff w:val="nothing"/>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start w:val="0"/>
      <w:numFmt w:val="decimal"/>
      <w:lvlRestart w:val="0"/>
      <w:lvlText w:val="%1"/>
      <w:lvlJc w:val="left"/>
      <w:pPr>
        <w:ind w:left="4320" w:hanging="1440"/>
      </w:pPr>
      <w:rPr>
        <w:rFonts w:hint="default"/>
      </w:rPr>
    </w:lvl>
  </w:abstractNum>
  <w:abstractNum w:abstractNumId="18">
    <w:nsid w:val="7BCC14F2"/>
    <w:multiLevelType w:val="multilevel"/>
    <w:tmpl w:val="B53AECF4"/>
    <w:lvl w:ilvl="0">
      <w:start w:val="1"/>
      <w:numFmt w:val="bullet"/>
      <w:lvlText w:val=""/>
      <w:lvlJc w:val="left"/>
      <w:pPr>
        <w:ind w:left="72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num w:numId="1" w16cid:durableId="591740334">
    <w:abstractNumId w:val="10"/>
  </w:num>
  <w:num w:numId="2" w16cid:durableId="250435065">
    <w:abstractNumId w:val="9"/>
  </w:num>
  <w:num w:numId="3" w16cid:durableId="645857995">
    <w:abstractNumId w:val="7"/>
  </w:num>
  <w:num w:numId="4" w16cid:durableId="293367704">
    <w:abstractNumId w:val="6"/>
  </w:num>
  <w:num w:numId="5" w16cid:durableId="43214117">
    <w:abstractNumId w:val="5"/>
  </w:num>
  <w:num w:numId="6" w16cid:durableId="808934660">
    <w:abstractNumId w:val="4"/>
  </w:num>
  <w:num w:numId="7" w16cid:durableId="1017342010">
    <w:abstractNumId w:val="8"/>
  </w:num>
  <w:num w:numId="8" w16cid:durableId="658460053">
    <w:abstractNumId w:val="3"/>
  </w:num>
  <w:num w:numId="9" w16cid:durableId="1884252511">
    <w:abstractNumId w:val="2"/>
  </w:num>
  <w:num w:numId="10" w16cid:durableId="1075932389">
    <w:abstractNumId w:val="1"/>
  </w:num>
  <w:num w:numId="11" w16cid:durableId="1904296140">
    <w:abstractNumId w:val="0"/>
  </w:num>
  <w:num w:numId="12" w16cid:durableId="743991678">
    <w:abstractNumId w:val="16"/>
  </w:num>
  <w:num w:numId="13" w16cid:durableId="1199003533">
    <w:abstractNumId w:val="12"/>
  </w:num>
  <w:num w:numId="14" w16cid:durableId="1171989247">
    <w:abstractNumId w:val="13"/>
  </w:num>
  <w:num w:numId="15" w16cid:durableId="1887526645">
    <w:abstractNumId w:val="15"/>
  </w:num>
  <w:num w:numId="16" w16cid:durableId="344483955">
    <w:abstractNumId w:val="10"/>
  </w:num>
  <w:num w:numId="17" w16cid:durableId="1111821576">
    <w:abstractNumId w:val="10"/>
  </w:num>
  <w:num w:numId="18" w16cid:durableId="1446191652">
    <w:abstractNumId w:val="14"/>
  </w:num>
  <w:num w:numId="19" w16cid:durableId="5470366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73369005">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pStyle w:val="Heading7"/>
        <w:lvlText w:val="%1.%2.%3.%4.%5.%6.%7."/>
        <w:lvlJc w:val="left"/>
        <w:pPr>
          <w:ind w:left="3240" w:hanging="1080"/>
        </w:pPr>
        <w:rPr>
          <w:rFonts w:hint="default"/>
        </w:rPr>
      </w:lvl>
    </w:lvlOverride>
    <w:lvlOverride w:ilvl="7">
      <w:lvl w:ilvl="7">
        <w:start w:val="1"/>
        <w:numFmt w:val="decimal"/>
        <w:pStyle w:val="Heading8"/>
        <w:lvlText w:val="%1.%2.%3.%4.%5.%6.%7.%8."/>
        <w:lvlJc w:val="left"/>
        <w:pPr>
          <w:ind w:left="3744" w:hanging="1224"/>
        </w:pPr>
        <w:rPr>
          <w:rFonts w:hint="default"/>
        </w:rPr>
      </w:lvl>
    </w:lvlOverride>
    <w:lvlOverride w:ilvl="8">
      <w:lvl w:ilvl="8">
        <w:start w:val="1"/>
        <w:numFmt w:val="decimal"/>
        <w:pStyle w:val="Heading9"/>
        <w:lvlText w:val="%1.%2.%3.%4.%5.%6.%7.%8.%9."/>
        <w:lvlJc w:val="left"/>
        <w:pPr>
          <w:ind w:left="4320" w:hanging="1440"/>
        </w:pPr>
        <w:rPr>
          <w:rFonts w:hint="default"/>
        </w:rPr>
      </w:lvl>
    </w:lvlOverride>
  </w:num>
  <w:num w:numId="21" w16cid:durableId="1272667732">
    <w:abstractNumId w:val="10"/>
  </w:num>
  <w:num w:numId="22" w16cid:durableId="2080053230">
    <w:abstractNumId w:val="10"/>
  </w:num>
  <w:num w:numId="23" w16cid:durableId="1480729620">
    <w:abstractNumId w:val="10"/>
  </w:num>
  <w:num w:numId="24" w16cid:durableId="1957561764">
    <w:abstractNumId w:val="10"/>
  </w:num>
  <w:num w:numId="25" w16cid:durableId="2011174383">
    <w:abstractNumId w:val="10"/>
  </w:num>
  <w:num w:numId="26" w16cid:durableId="490676268">
    <w:abstractNumId w:val="17"/>
  </w:num>
  <w:num w:numId="27" w16cid:durableId="2032609366">
    <w:abstractNumId w:val="10"/>
  </w:num>
  <w:num w:numId="28" w16cid:durableId="982585832">
    <w:abstractNumId w:val="17"/>
  </w:num>
  <w:num w:numId="29" w16cid:durableId="703988284">
    <w:abstractNumId w:val="17"/>
  </w:num>
  <w:num w:numId="30" w16cid:durableId="2087528876">
    <w:abstractNumId w:val="17"/>
  </w:num>
  <w:num w:numId="31" w16cid:durableId="1255744616">
    <w:abstractNumId w:val="10"/>
  </w:num>
  <w:num w:numId="32" w16cid:durableId="1981035617">
    <w:abstractNumId w:val="10"/>
  </w:num>
  <w:num w:numId="33" w16cid:durableId="871040176">
    <w:abstractNumId w:val="10"/>
  </w:num>
  <w:num w:numId="34" w16cid:durableId="601844236">
    <w:abstractNumId w:val="9"/>
  </w:num>
  <w:num w:numId="35" w16cid:durableId="1244796483">
    <w:abstractNumId w:val="7"/>
  </w:num>
  <w:num w:numId="36" w16cid:durableId="2130660469">
    <w:abstractNumId w:val="6"/>
  </w:num>
  <w:num w:numId="37" w16cid:durableId="1791894495">
    <w:abstractNumId w:val="5"/>
  </w:num>
  <w:num w:numId="38" w16cid:durableId="724332414">
    <w:abstractNumId w:val="12"/>
  </w:num>
  <w:num w:numId="39" w16cid:durableId="988510025">
    <w:abstractNumId w:val="17"/>
  </w:num>
  <w:num w:numId="40" w16cid:durableId="62800361">
    <w:abstractNumId w:val="17"/>
  </w:num>
  <w:num w:numId="41" w16cid:durableId="551887880">
    <w:abstractNumId w:val="17"/>
  </w:num>
  <w:num w:numId="42" w16cid:durableId="1366834189">
    <w:abstractNumId w:val="12"/>
  </w:num>
  <w:num w:numId="43" w16cid:durableId="929704094">
    <w:abstractNumId w:val="12"/>
  </w:num>
  <w:num w:numId="44" w16cid:durableId="879124704">
    <w:abstractNumId w:val="12"/>
  </w:num>
  <w:num w:numId="45" w16cid:durableId="1621909535">
    <w:abstractNumId w:val="12"/>
  </w:num>
  <w:num w:numId="46" w16cid:durableId="1073819859">
    <w:abstractNumId w:val="11"/>
  </w:num>
  <w:num w:numId="47" w16cid:durableId="1646354970">
    <w:abstractNumId w:val="18"/>
  </w:num>
  <w:num w:numId="48" w16cid:durableId="139280271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D024" w:allStyles="0" w:alternateStyleNames="1" w:clearFormatting="1" w:customStyles="0" w:directFormattingOnNumbering="0" w:directFormattingOnParagraphs="0" w:directFormattingOnRuns="0" w:directFormattingOnTables="0" w:headingStyles="1" w:latentStyles="1" w:numberingStyles="0" w:stylesInUse="0" w:tableStyles="0" w:top3HeadingStyles="0" w:visibleStyles="1"/>
  <w:documentProtection w:formatting="1" w:enforcement="0"/>
  <w:styleLockTheme/>
  <w:styleLockQFSet/>
  <w:defaultTabStop w:val="720"/>
  <w:drawingGridHorizontalSpacing w:val="110"/>
  <w:displayHorizontalDrawingGridEvery w:val="2"/>
  <w:characterSpacingControl w:val="doNotCompress"/>
  <w:footnotePr>
    <w:pos w:val="beneathText"/>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763"/>
    <w:rsid w:val="0000019D"/>
    <w:rsid w:val="0000364C"/>
    <w:rsid w:val="00004135"/>
    <w:rsid w:val="000041A1"/>
    <w:rsid w:val="000053BB"/>
    <w:rsid w:val="00011B3F"/>
    <w:rsid w:val="00013373"/>
    <w:rsid w:val="000142E5"/>
    <w:rsid w:val="00015DA7"/>
    <w:rsid w:val="00020384"/>
    <w:rsid w:val="000248CE"/>
    <w:rsid w:val="00024E1E"/>
    <w:rsid w:val="00034A4B"/>
    <w:rsid w:val="00041909"/>
    <w:rsid w:val="000457E4"/>
    <w:rsid w:val="00046593"/>
    <w:rsid w:val="00047C08"/>
    <w:rsid w:val="0005401F"/>
    <w:rsid w:val="00054303"/>
    <w:rsid w:val="00055769"/>
    <w:rsid w:val="00056EC3"/>
    <w:rsid w:val="00062CFE"/>
    <w:rsid w:val="0007129A"/>
    <w:rsid w:val="000831C4"/>
    <w:rsid w:val="000844CA"/>
    <w:rsid w:val="00095609"/>
    <w:rsid w:val="000A6F86"/>
    <w:rsid w:val="000B1EC5"/>
    <w:rsid w:val="000B3FBE"/>
    <w:rsid w:val="000B43BF"/>
    <w:rsid w:val="000C28E1"/>
    <w:rsid w:val="000C5311"/>
    <w:rsid w:val="000F040A"/>
    <w:rsid w:val="000F7623"/>
    <w:rsid w:val="001015AB"/>
    <w:rsid w:val="001034E8"/>
    <w:rsid w:val="00112A69"/>
    <w:rsid w:val="0011541D"/>
    <w:rsid w:val="00132F4A"/>
    <w:rsid w:val="00140E19"/>
    <w:rsid w:val="00144760"/>
    <w:rsid w:val="00154192"/>
    <w:rsid w:val="00160BC8"/>
    <w:rsid w:val="00167425"/>
    <w:rsid w:val="00167EAF"/>
    <w:rsid w:val="001807A3"/>
    <w:rsid w:val="001947D5"/>
    <w:rsid w:val="001A216B"/>
    <w:rsid w:val="001A6E1E"/>
    <w:rsid w:val="001A6E9A"/>
    <w:rsid w:val="001B0E69"/>
    <w:rsid w:val="001B2CF7"/>
    <w:rsid w:val="001B31BE"/>
    <w:rsid w:val="001B6585"/>
    <w:rsid w:val="001D03A8"/>
    <w:rsid w:val="001D6B69"/>
    <w:rsid w:val="001E34A7"/>
    <w:rsid w:val="001E4DCF"/>
    <w:rsid w:val="001F3A8F"/>
    <w:rsid w:val="002008B4"/>
    <w:rsid w:val="00201F24"/>
    <w:rsid w:val="002127CE"/>
    <w:rsid w:val="00215842"/>
    <w:rsid w:val="002207DF"/>
    <w:rsid w:val="00221AC2"/>
    <w:rsid w:val="00227E4B"/>
    <w:rsid w:val="0023015A"/>
    <w:rsid w:val="0023708A"/>
    <w:rsid w:val="002447B0"/>
    <w:rsid w:val="0025022D"/>
    <w:rsid w:val="002530BB"/>
    <w:rsid w:val="002556F3"/>
    <w:rsid w:val="00260EDF"/>
    <w:rsid w:val="0026186D"/>
    <w:rsid w:val="00264148"/>
    <w:rsid w:val="002701B6"/>
    <w:rsid w:val="002722D9"/>
    <w:rsid w:val="00273918"/>
    <w:rsid w:val="00274179"/>
    <w:rsid w:val="002B0FD2"/>
    <w:rsid w:val="002B6406"/>
    <w:rsid w:val="002C378C"/>
    <w:rsid w:val="002D2E7B"/>
    <w:rsid w:val="002D706D"/>
    <w:rsid w:val="002E3FD5"/>
    <w:rsid w:val="002E4FAD"/>
    <w:rsid w:val="002E7A38"/>
    <w:rsid w:val="002F2A37"/>
    <w:rsid w:val="002F344E"/>
    <w:rsid w:val="00306516"/>
    <w:rsid w:val="00310973"/>
    <w:rsid w:val="003273DA"/>
    <w:rsid w:val="00344139"/>
    <w:rsid w:val="003469CB"/>
    <w:rsid w:val="00350C8B"/>
    <w:rsid w:val="00351313"/>
    <w:rsid w:val="00351A73"/>
    <w:rsid w:val="00363331"/>
    <w:rsid w:val="00371E14"/>
    <w:rsid w:val="00372CF2"/>
    <w:rsid w:val="00373208"/>
    <w:rsid w:val="00383DB3"/>
    <w:rsid w:val="003854B2"/>
    <w:rsid w:val="00385AE6"/>
    <w:rsid w:val="00387C8D"/>
    <w:rsid w:val="00392DD0"/>
    <w:rsid w:val="00393EA7"/>
    <w:rsid w:val="00394A2B"/>
    <w:rsid w:val="00396BCB"/>
    <w:rsid w:val="003975B5"/>
    <w:rsid w:val="00397825"/>
    <w:rsid w:val="003A1073"/>
    <w:rsid w:val="003A10F3"/>
    <w:rsid w:val="003A3906"/>
    <w:rsid w:val="003B03A4"/>
    <w:rsid w:val="003C03EA"/>
    <w:rsid w:val="003C690C"/>
    <w:rsid w:val="003E40FA"/>
    <w:rsid w:val="003E4E49"/>
    <w:rsid w:val="003F24ED"/>
    <w:rsid w:val="003F529E"/>
    <w:rsid w:val="004058FB"/>
    <w:rsid w:val="004062F8"/>
    <w:rsid w:val="00407CCE"/>
    <w:rsid w:val="004108E9"/>
    <w:rsid w:val="00426481"/>
    <w:rsid w:val="00432966"/>
    <w:rsid w:val="00432ED0"/>
    <w:rsid w:val="0043762B"/>
    <w:rsid w:val="0045608E"/>
    <w:rsid w:val="0045662F"/>
    <w:rsid w:val="00466959"/>
    <w:rsid w:val="00474BE8"/>
    <w:rsid w:val="0047784B"/>
    <w:rsid w:val="004933B6"/>
    <w:rsid w:val="004946F0"/>
    <w:rsid w:val="00497C2A"/>
    <w:rsid w:val="004B1075"/>
    <w:rsid w:val="004B1F15"/>
    <w:rsid w:val="004B2BED"/>
    <w:rsid w:val="004C277B"/>
    <w:rsid w:val="004D05FB"/>
    <w:rsid w:val="004D29C7"/>
    <w:rsid w:val="004E78C7"/>
    <w:rsid w:val="00504119"/>
    <w:rsid w:val="005065CF"/>
    <w:rsid w:val="00506BB4"/>
    <w:rsid w:val="0050705F"/>
    <w:rsid w:val="005170D3"/>
    <w:rsid w:val="0052493A"/>
    <w:rsid w:val="00525CC0"/>
    <w:rsid w:val="00526AA2"/>
    <w:rsid w:val="0052783E"/>
    <w:rsid w:val="00534F41"/>
    <w:rsid w:val="00535CAF"/>
    <w:rsid w:val="00536054"/>
    <w:rsid w:val="0053654B"/>
    <w:rsid w:val="00536CE1"/>
    <w:rsid w:val="0053775C"/>
    <w:rsid w:val="00537A91"/>
    <w:rsid w:val="0054180D"/>
    <w:rsid w:val="00545C0F"/>
    <w:rsid w:val="00547B53"/>
    <w:rsid w:val="005515CD"/>
    <w:rsid w:val="00556103"/>
    <w:rsid w:val="005648B9"/>
    <w:rsid w:val="00571D8F"/>
    <w:rsid w:val="0057367D"/>
    <w:rsid w:val="005810DC"/>
    <w:rsid w:val="00585BE3"/>
    <w:rsid w:val="0059212D"/>
    <w:rsid w:val="005B2B58"/>
    <w:rsid w:val="005C00FA"/>
    <w:rsid w:val="005C2D89"/>
    <w:rsid w:val="005C485B"/>
    <w:rsid w:val="005D39D7"/>
    <w:rsid w:val="005D5956"/>
    <w:rsid w:val="005D5C11"/>
    <w:rsid w:val="005D6F63"/>
    <w:rsid w:val="005F4848"/>
    <w:rsid w:val="006041FB"/>
    <w:rsid w:val="00616E46"/>
    <w:rsid w:val="0062008C"/>
    <w:rsid w:val="00620797"/>
    <w:rsid w:val="00626494"/>
    <w:rsid w:val="00641DE2"/>
    <w:rsid w:val="00643384"/>
    <w:rsid w:val="006438ED"/>
    <w:rsid w:val="006468F2"/>
    <w:rsid w:val="00651644"/>
    <w:rsid w:val="0065406F"/>
    <w:rsid w:val="00663EC4"/>
    <w:rsid w:val="00677C5F"/>
    <w:rsid w:val="00680579"/>
    <w:rsid w:val="006A0BC7"/>
    <w:rsid w:val="006A3E33"/>
    <w:rsid w:val="006C0062"/>
    <w:rsid w:val="006C097E"/>
    <w:rsid w:val="006C2DC3"/>
    <w:rsid w:val="006C3A5A"/>
    <w:rsid w:val="006C3D26"/>
    <w:rsid w:val="006C5E0B"/>
    <w:rsid w:val="006C78F9"/>
    <w:rsid w:val="006D0439"/>
    <w:rsid w:val="006D42EC"/>
    <w:rsid w:val="006D6A86"/>
    <w:rsid w:val="006F0E0D"/>
    <w:rsid w:val="006F3C12"/>
    <w:rsid w:val="00704B7D"/>
    <w:rsid w:val="00711414"/>
    <w:rsid w:val="00714478"/>
    <w:rsid w:val="00725453"/>
    <w:rsid w:val="00730DA0"/>
    <w:rsid w:val="007316CF"/>
    <w:rsid w:val="00737591"/>
    <w:rsid w:val="007438F2"/>
    <w:rsid w:val="00755C3D"/>
    <w:rsid w:val="007576EF"/>
    <w:rsid w:val="00760677"/>
    <w:rsid w:val="00761C12"/>
    <w:rsid w:val="007658BA"/>
    <w:rsid w:val="00776CF4"/>
    <w:rsid w:val="00777E63"/>
    <w:rsid w:val="00784F89"/>
    <w:rsid w:val="00786336"/>
    <w:rsid w:val="007932B5"/>
    <w:rsid w:val="007940EA"/>
    <w:rsid w:val="007951D6"/>
    <w:rsid w:val="007A0E7F"/>
    <w:rsid w:val="007A41D2"/>
    <w:rsid w:val="007A4378"/>
    <w:rsid w:val="007C5CE9"/>
    <w:rsid w:val="007D39CC"/>
    <w:rsid w:val="007D6AAF"/>
    <w:rsid w:val="007E1C12"/>
    <w:rsid w:val="007E29F8"/>
    <w:rsid w:val="007E5A11"/>
    <w:rsid w:val="007E73E6"/>
    <w:rsid w:val="007F1954"/>
    <w:rsid w:val="007F21D7"/>
    <w:rsid w:val="007F3A8D"/>
    <w:rsid w:val="008057F8"/>
    <w:rsid w:val="00811910"/>
    <w:rsid w:val="00812C91"/>
    <w:rsid w:val="008213F9"/>
    <w:rsid w:val="008307E1"/>
    <w:rsid w:val="00835244"/>
    <w:rsid w:val="00836D62"/>
    <w:rsid w:val="00844524"/>
    <w:rsid w:val="008460F2"/>
    <w:rsid w:val="00856ECC"/>
    <w:rsid w:val="008660EE"/>
    <w:rsid w:val="00867160"/>
    <w:rsid w:val="0087205B"/>
    <w:rsid w:val="00874FB8"/>
    <w:rsid w:val="008922D9"/>
    <w:rsid w:val="00895669"/>
    <w:rsid w:val="00897946"/>
    <w:rsid w:val="008A3276"/>
    <w:rsid w:val="008A3447"/>
    <w:rsid w:val="008A7E5F"/>
    <w:rsid w:val="008B57AD"/>
    <w:rsid w:val="008C734C"/>
    <w:rsid w:val="008E3E67"/>
    <w:rsid w:val="008E4BF2"/>
    <w:rsid w:val="008F16EC"/>
    <w:rsid w:val="008F4CBD"/>
    <w:rsid w:val="009017AD"/>
    <w:rsid w:val="00901BED"/>
    <w:rsid w:val="00905735"/>
    <w:rsid w:val="009131B9"/>
    <w:rsid w:val="0091409C"/>
    <w:rsid w:val="00931906"/>
    <w:rsid w:val="009324A6"/>
    <w:rsid w:val="00933D5D"/>
    <w:rsid w:val="00935805"/>
    <w:rsid w:val="009368F3"/>
    <w:rsid w:val="00947C42"/>
    <w:rsid w:val="00950489"/>
    <w:rsid w:val="00957DE9"/>
    <w:rsid w:val="009616F7"/>
    <w:rsid w:val="00961A26"/>
    <w:rsid w:val="0096288F"/>
    <w:rsid w:val="00965A44"/>
    <w:rsid w:val="00967D7C"/>
    <w:rsid w:val="0097299A"/>
    <w:rsid w:val="0097548D"/>
    <w:rsid w:val="009757AD"/>
    <w:rsid w:val="00980B6A"/>
    <w:rsid w:val="009818F9"/>
    <w:rsid w:val="00981BB2"/>
    <w:rsid w:val="00985861"/>
    <w:rsid w:val="0098618F"/>
    <w:rsid w:val="00987C32"/>
    <w:rsid w:val="00991646"/>
    <w:rsid w:val="0099359D"/>
    <w:rsid w:val="009938D6"/>
    <w:rsid w:val="0099448B"/>
    <w:rsid w:val="00997347"/>
    <w:rsid w:val="009A31C1"/>
    <w:rsid w:val="009A5322"/>
    <w:rsid w:val="009B19CE"/>
    <w:rsid w:val="009B342D"/>
    <w:rsid w:val="009C202F"/>
    <w:rsid w:val="009C77F7"/>
    <w:rsid w:val="009E48F1"/>
    <w:rsid w:val="009E5ABC"/>
    <w:rsid w:val="009E5B9C"/>
    <w:rsid w:val="009E75B6"/>
    <w:rsid w:val="009F4ED1"/>
    <w:rsid w:val="009F4F1E"/>
    <w:rsid w:val="00A00D71"/>
    <w:rsid w:val="00A00EDF"/>
    <w:rsid w:val="00A01B2A"/>
    <w:rsid w:val="00A04172"/>
    <w:rsid w:val="00A15555"/>
    <w:rsid w:val="00A26A17"/>
    <w:rsid w:val="00A30169"/>
    <w:rsid w:val="00A312A3"/>
    <w:rsid w:val="00A33D9F"/>
    <w:rsid w:val="00A3654F"/>
    <w:rsid w:val="00A37229"/>
    <w:rsid w:val="00A41763"/>
    <w:rsid w:val="00A418C9"/>
    <w:rsid w:val="00A46A85"/>
    <w:rsid w:val="00A72AA8"/>
    <w:rsid w:val="00A74C9B"/>
    <w:rsid w:val="00A776C3"/>
    <w:rsid w:val="00A874E4"/>
    <w:rsid w:val="00A93478"/>
    <w:rsid w:val="00A943A5"/>
    <w:rsid w:val="00A97FE7"/>
    <w:rsid w:val="00AA3D91"/>
    <w:rsid w:val="00AA3FD0"/>
    <w:rsid w:val="00AA46CA"/>
    <w:rsid w:val="00AA7EFA"/>
    <w:rsid w:val="00AB61B3"/>
    <w:rsid w:val="00AC323A"/>
    <w:rsid w:val="00AC3550"/>
    <w:rsid w:val="00AC69E8"/>
    <w:rsid w:val="00AD6357"/>
    <w:rsid w:val="00AD7F81"/>
    <w:rsid w:val="00AE0A6D"/>
    <w:rsid w:val="00AE4CA9"/>
    <w:rsid w:val="00AE6862"/>
    <w:rsid w:val="00AF367D"/>
    <w:rsid w:val="00AF45FD"/>
    <w:rsid w:val="00B04D69"/>
    <w:rsid w:val="00B2386E"/>
    <w:rsid w:val="00B35E2A"/>
    <w:rsid w:val="00B4263D"/>
    <w:rsid w:val="00B56682"/>
    <w:rsid w:val="00B56F49"/>
    <w:rsid w:val="00B65209"/>
    <w:rsid w:val="00B7442A"/>
    <w:rsid w:val="00B84F8A"/>
    <w:rsid w:val="00B97002"/>
    <w:rsid w:val="00BB2F70"/>
    <w:rsid w:val="00BB6CF4"/>
    <w:rsid w:val="00BC14C3"/>
    <w:rsid w:val="00BC1ABE"/>
    <w:rsid w:val="00BD2F20"/>
    <w:rsid w:val="00BD4F62"/>
    <w:rsid w:val="00BE28B5"/>
    <w:rsid w:val="00BE4AFD"/>
    <w:rsid w:val="00BF348B"/>
    <w:rsid w:val="00C00590"/>
    <w:rsid w:val="00C04647"/>
    <w:rsid w:val="00C058CF"/>
    <w:rsid w:val="00C12551"/>
    <w:rsid w:val="00C211CD"/>
    <w:rsid w:val="00C25328"/>
    <w:rsid w:val="00C3157C"/>
    <w:rsid w:val="00C3744D"/>
    <w:rsid w:val="00C43A84"/>
    <w:rsid w:val="00C451F8"/>
    <w:rsid w:val="00C47CDF"/>
    <w:rsid w:val="00C63ED6"/>
    <w:rsid w:val="00C64137"/>
    <w:rsid w:val="00C658E4"/>
    <w:rsid w:val="00C711A2"/>
    <w:rsid w:val="00C7266E"/>
    <w:rsid w:val="00C76C66"/>
    <w:rsid w:val="00C819B9"/>
    <w:rsid w:val="00C82DF9"/>
    <w:rsid w:val="00C87190"/>
    <w:rsid w:val="00C941EF"/>
    <w:rsid w:val="00CA1564"/>
    <w:rsid w:val="00CA2A9F"/>
    <w:rsid w:val="00CA65AF"/>
    <w:rsid w:val="00CA7C8A"/>
    <w:rsid w:val="00CB180D"/>
    <w:rsid w:val="00CB44E8"/>
    <w:rsid w:val="00CB7978"/>
    <w:rsid w:val="00CC1B26"/>
    <w:rsid w:val="00CC1D12"/>
    <w:rsid w:val="00CC67A9"/>
    <w:rsid w:val="00CD206A"/>
    <w:rsid w:val="00CE2102"/>
    <w:rsid w:val="00CE42E9"/>
    <w:rsid w:val="00D001E4"/>
    <w:rsid w:val="00D00AA8"/>
    <w:rsid w:val="00D01BEA"/>
    <w:rsid w:val="00D02778"/>
    <w:rsid w:val="00D13E84"/>
    <w:rsid w:val="00D17918"/>
    <w:rsid w:val="00D300F4"/>
    <w:rsid w:val="00D3344B"/>
    <w:rsid w:val="00D40175"/>
    <w:rsid w:val="00D50FB3"/>
    <w:rsid w:val="00D55243"/>
    <w:rsid w:val="00D62F90"/>
    <w:rsid w:val="00D63E74"/>
    <w:rsid w:val="00D65213"/>
    <w:rsid w:val="00D6563B"/>
    <w:rsid w:val="00D701F6"/>
    <w:rsid w:val="00D715C4"/>
    <w:rsid w:val="00D854D8"/>
    <w:rsid w:val="00D928FD"/>
    <w:rsid w:val="00DB6FBD"/>
    <w:rsid w:val="00DC79E3"/>
    <w:rsid w:val="00DD51E1"/>
    <w:rsid w:val="00DE05BB"/>
    <w:rsid w:val="00DE0AC5"/>
    <w:rsid w:val="00DE254B"/>
    <w:rsid w:val="00DE2D54"/>
    <w:rsid w:val="00DF0638"/>
    <w:rsid w:val="00DF47BA"/>
    <w:rsid w:val="00E02BB0"/>
    <w:rsid w:val="00E03CE6"/>
    <w:rsid w:val="00E13716"/>
    <w:rsid w:val="00E15DCE"/>
    <w:rsid w:val="00E266FF"/>
    <w:rsid w:val="00E27661"/>
    <w:rsid w:val="00E47DB3"/>
    <w:rsid w:val="00E509A9"/>
    <w:rsid w:val="00E51F8B"/>
    <w:rsid w:val="00E5242A"/>
    <w:rsid w:val="00E53398"/>
    <w:rsid w:val="00E66AE2"/>
    <w:rsid w:val="00E70964"/>
    <w:rsid w:val="00E74DA4"/>
    <w:rsid w:val="00E81B89"/>
    <w:rsid w:val="00E87379"/>
    <w:rsid w:val="00E91432"/>
    <w:rsid w:val="00E91B5A"/>
    <w:rsid w:val="00EB058E"/>
    <w:rsid w:val="00ED6E45"/>
    <w:rsid w:val="00ED763F"/>
    <w:rsid w:val="00EE2CAF"/>
    <w:rsid w:val="00EE43E4"/>
    <w:rsid w:val="00EF3E50"/>
    <w:rsid w:val="00F001EA"/>
    <w:rsid w:val="00F056C3"/>
    <w:rsid w:val="00F16B90"/>
    <w:rsid w:val="00F23CA1"/>
    <w:rsid w:val="00F25C7E"/>
    <w:rsid w:val="00F34F19"/>
    <w:rsid w:val="00F44A21"/>
    <w:rsid w:val="00F575F0"/>
    <w:rsid w:val="00F6664C"/>
    <w:rsid w:val="00F67680"/>
    <w:rsid w:val="00F74C71"/>
    <w:rsid w:val="00F74CD3"/>
    <w:rsid w:val="00F750E7"/>
    <w:rsid w:val="00F80AF1"/>
    <w:rsid w:val="00F8298C"/>
    <w:rsid w:val="00F90245"/>
    <w:rsid w:val="00F920D9"/>
    <w:rsid w:val="00F94781"/>
    <w:rsid w:val="00F97B72"/>
    <w:rsid w:val="00FA5388"/>
    <w:rsid w:val="00FB08E3"/>
    <w:rsid w:val="00FB6BF3"/>
    <w:rsid w:val="00FD397B"/>
    <w:rsid w:val="00FD4B01"/>
    <w:rsid w:val="00FD52F2"/>
    <w:rsid w:val="00FD7CDC"/>
    <w:rsid w:val="00FE2197"/>
    <w:rsid w:val="00FE58E0"/>
    <w:rsid w:val="00FE74D0"/>
    <w:rsid w:val="00FF4B12"/>
    <w:rsid w:val="02B15C40"/>
    <w:rsid w:val="0913D8C0"/>
    <w:rsid w:val="45DF7F0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1F4A87E"/>
  <w15:docId w15:val="{DDBA3692-B550-42D6-9F8C-C205F93E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7"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Smart Link" w:locked="0" w:semiHidden="1" w:unhideWhenUsed="1"/>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41"/>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F80AF1"/>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F80AF1"/>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F80AF1"/>
    <w:pPr>
      <w:numPr>
        <w:numId w:val="13"/>
      </w:numPr>
      <w:ind w:left="720"/>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hAnsi="Arial" w:eastAsiaTheme="minorEastAsia"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hAnsi="Arial" w:eastAsiaTheme="minorEastAsia"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7"/>
    <w:rsid w:val="00C7266E"/>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4"/>
      </w:numPr>
      <w:contextualSpacing/>
    </w:pPr>
  </w:style>
  <w:style w:type="paragraph" w:styleId="ListBullet2">
    <w:name w:val="List Bullet 2"/>
    <w:basedOn w:val="Normal"/>
    <w:uiPriority w:val="99"/>
    <w:semiHidden/>
    <w:locked/>
    <w:rsid w:val="00112A69"/>
    <w:pPr>
      <w:numPr>
        <w:numId w:val="35"/>
      </w:numPr>
      <w:contextualSpacing/>
    </w:pPr>
  </w:style>
  <w:style w:type="paragraph" w:styleId="ListBullet3">
    <w:name w:val="List Bullet 3"/>
    <w:basedOn w:val="Normal"/>
    <w:uiPriority w:val="99"/>
    <w:semiHidden/>
    <w:locked/>
    <w:rsid w:val="00112A69"/>
    <w:pPr>
      <w:numPr>
        <w:numId w:val="36"/>
      </w:numPr>
      <w:contextualSpacing/>
    </w:pPr>
  </w:style>
  <w:style w:type="paragraph" w:styleId="ListBullet4">
    <w:name w:val="List Bullet 4"/>
    <w:basedOn w:val="Normal"/>
    <w:uiPriority w:val="99"/>
    <w:semiHidden/>
    <w:locked/>
    <w:rsid w:val="00112A69"/>
    <w:pPr>
      <w:numPr>
        <w:numId w:val="3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7"/>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customStyle="1" w:styleId="Default">
    <w:name w:val="Default"/>
    <w:rsid w:val="00AC69E8"/>
    <w:pPr>
      <w:autoSpaceDE w:val="0"/>
      <w:autoSpaceDN w:val="0"/>
      <w:adjustRightInd w:val="0"/>
      <w:spacing w:after="0"/>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locked/>
    <w:rsid w:val="00EB058E"/>
    <w:rPr>
      <w:color w:val="5D9732" w:themeColor="followedHyperlink"/>
      <w:u w:val="single"/>
    </w:rPr>
  </w:style>
  <w:style w:type="character" w:styleId="UnresolvedMention">
    <w:name w:val="Unresolved Mention"/>
    <w:basedOn w:val="DefaultParagraphFont"/>
    <w:uiPriority w:val="99"/>
    <w:semiHidden/>
    <w:unhideWhenUsed/>
    <w:rsid w:val="002F344E"/>
    <w:rPr>
      <w:color w:val="605E5C"/>
      <w:shd w:val="clear" w:color="auto" w:fill="E1DFDD"/>
    </w:rPr>
  </w:style>
  <w:style w:type="paragraph" w:styleId="Revision">
    <w:name w:val="Revision"/>
    <w:hidden/>
    <w:uiPriority w:val="99"/>
    <w:semiHidden/>
    <w:rsid w:val="00344139"/>
    <w:pPr>
      <w:spacing w:after="0"/>
    </w:pPr>
  </w:style>
  <w:style w:type="character" w:styleId="CommentReference">
    <w:name w:val="annotation reference"/>
    <w:basedOn w:val="DefaultParagraphFont"/>
    <w:uiPriority w:val="99"/>
    <w:semiHidden/>
    <w:unhideWhenUsed/>
    <w:locked/>
    <w:rsid w:val="00B65209"/>
    <w:rPr>
      <w:sz w:val="16"/>
      <w:szCs w:val="16"/>
    </w:rPr>
  </w:style>
  <w:style w:type="paragraph" w:styleId="CommentText">
    <w:name w:val="annotation text"/>
    <w:basedOn w:val="Normal"/>
    <w:link w:val="CommentTextChar"/>
    <w:uiPriority w:val="99"/>
    <w:unhideWhenUsed/>
    <w:locked/>
    <w:rsid w:val="00B65209"/>
    <w:pPr>
      <w:spacing w:line="240" w:lineRule="auto"/>
    </w:pPr>
    <w:rPr>
      <w:sz w:val="20"/>
      <w:szCs w:val="20"/>
    </w:rPr>
  </w:style>
  <w:style w:type="character" w:customStyle="1" w:styleId="CommentTextChar">
    <w:name w:val="Comment Text Char"/>
    <w:basedOn w:val="DefaultParagraphFont"/>
    <w:link w:val="CommentText"/>
    <w:uiPriority w:val="99"/>
    <w:rsid w:val="00B65209"/>
    <w:rPr>
      <w:sz w:val="20"/>
      <w:szCs w:val="20"/>
    </w:rPr>
  </w:style>
  <w:style w:type="paragraph" w:styleId="CommentSubject">
    <w:name w:val="annotation subject"/>
    <w:basedOn w:val="CommentText"/>
    <w:next w:val="CommentText"/>
    <w:link w:val="CommentSubjectChar"/>
    <w:uiPriority w:val="99"/>
    <w:semiHidden/>
    <w:unhideWhenUsed/>
    <w:locked/>
    <w:rsid w:val="00B65209"/>
    <w:rPr>
      <w:b/>
      <w:bCs/>
    </w:rPr>
  </w:style>
  <w:style w:type="character" w:customStyle="1" w:styleId="CommentSubjectChar">
    <w:name w:val="Comment Subject Char"/>
    <w:basedOn w:val="CommentTextChar"/>
    <w:link w:val="CommentSubject"/>
    <w:uiPriority w:val="99"/>
    <w:semiHidden/>
    <w:rsid w:val="00B6520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hyperlink" Target="https://doeibenefits2.energy.gov/" TargetMode="External" /><Relationship Id="rId16" Type="http://schemas.openxmlformats.org/officeDocument/2006/relationships/footer" Target="footer4.xml" /><Relationship Id="rId17" Type="http://schemas.openxmlformats.org/officeDocument/2006/relationships/glossaryDocument" Target="glossary/document.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oh/business-and-financial/human-resources-specialists.htm" TargetMode="External" /><Relationship Id="rId2" Type="http://schemas.openxmlformats.org/officeDocument/2006/relationships/hyperlink" Target="https://www.opm.gov/policy-data-oversight/pay-leave/salaries-wages/salary-tables/pdf/2025/DCB.pdf" TargetMode="External" /><Relationship Id="rId3" Type="http://schemas.openxmlformats.org/officeDocument/2006/relationships/hyperlink" Target="http://www.bls.gov/news.release/ecec.nr0.htm"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036A28BF64E74E4AAE5509CC1F9A9881"/>
        <w:category>
          <w:name w:val="General"/>
          <w:gallery w:val="placeholder"/>
        </w:category>
        <w:types>
          <w:type w:val="bbPlcHdr"/>
        </w:types>
        <w:behaviors>
          <w:behavior w:val="content"/>
        </w:behaviors>
        <w:guid w:val="{1C0EF701-CC30-4ED1-83E5-9251BFFA155C}"/>
      </w:docPartPr>
      <w:docPartBody>
        <w:p w:rsidR="009E75B6">
          <w:r w:rsidRPr="00351A73">
            <w:rPr>
              <w:rStyle w:val="PlaceholderText"/>
            </w:rPr>
            <w:t>[Title]</w:t>
          </w:r>
        </w:p>
      </w:docPartBody>
    </w:docPart>
    <w:docPart>
      <w:docPartPr>
        <w:name w:val="2A74A255A472463E881E54AE4FB91192"/>
        <w:category>
          <w:name w:val="General"/>
          <w:gallery w:val="placeholder"/>
        </w:category>
        <w:types>
          <w:type w:val="bbPlcHdr"/>
        </w:types>
        <w:behaviors>
          <w:behavior w:val="content"/>
        </w:behaviors>
        <w:guid w:val="{7BA1FC68-8707-4160-A907-E0CA33B66A5D}"/>
      </w:docPartPr>
      <w:docPartBody>
        <w:p w:rsidR="000457E4" w:rsidP="00D17918">
          <w:pPr>
            <w:pStyle w:val="2A74A255A472463E881E54AE4FB91192"/>
          </w:pPr>
          <w:r w:rsidRPr="00351A7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87A3E">
      <w:pPr>
        <w:spacing w:after="0" w:line="240" w:lineRule="auto"/>
      </w:pPr>
      <w:r>
        <w:separator/>
      </w:r>
    </w:p>
  </w:footnote>
  <w:footnote w:type="continuationSeparator" w:id="1">
    <w:p w:rsidR="00A87A3E">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48D"/>
    <w:rsid w:val="00014C46"/>
    <w:rsid w:val="000457E4"/>
    <w:rsid w:val="00095609"/>
    <w:rsid w:val="00132D24"/>
    <w:rsid w:val="002F2841"/>
    <w:rsid w:val="003E4E49"/>
    <w:rsid w:val="00474D74"/>
    <w:rsid w:val="005D5C11"/>
    <w:rsid w:val="0065501B"/>
    <w:rsid w:val="00680579"/>
    <w:rsid w:val="006C5E0B"/>
    <w:rsid w:val="008922D9"/>
    <w:rsid w:val="008E3E67"/>
    <w:rsid w:val="0097548D"/>
    <w:rsid w:val="00985861"/>
    <w:rsid w:val="009E75B6"/>
    <w:rsid w:val="00A87A3E"/>
    <w:rsid w:val="00B11C6F"/>
    <w:rsid w:val="00BF7902"/>
    <w:rsid w:val="00C44223"/>
    <w:rsid w:val="00C451F8"/>
    <w:rsid w:val="00D17918"/>
    <w:rsid w:val="00DE0AC5"/>
    <w:rsid w:val="00DF2798"/>
    <w:rsid w:val="00F25C7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548D"/>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7918"/>
    <w:rPr>
      <w:color w:val="808080"/>
    </w:rPr>
  </w:style>
  <w:style w:type="paragraph" w:customStyle="1" w:styleId="2A74A255A472463E881E54AE4FB91192">
    <w:name w:val="2A74A255A472463E881E54AE4FB91192"/>
    <w:rsid w:val="00D179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m2489ac9119d484abc1790b5183501f0 xmlns="0a20205c-0631-4ff0-81c6-46eee12fe7e9">
      <Terms xmlns="http://schemas.microsoft.com/office/infopath/2007/PartnerControls">
        <TermInfo xmlns="http://schemas.microsoft.com/office/infopath/2007/PartnerControls">
          <TermName xmlns="http://schemas.microsoft.com/office/infopath/2007/PartnerControls">Open</TermName>
          <TermId xmlns="http://schemas.microsoft.com/office/infopath/2007/PartnerControls">f87294c0-5917-49a1-8b9f-b6ecaae62a21</TermId>
        </TermInfo>
      </Terms>
    </m2489ac9119d484abc1790b5183501f0>
    <b4c5b01d6c204394af15501c7e447331 xmlns="0a20205c-0631-4ff0-81c6-46eee12fe7e9">
      <Terms xmlns="http://schemas.microsoft.com/office/infopath/2007/PartnerControls">
        <TermInfo xmlns="http://schemas.microsoft.com/office/infopath/2007/PartnerControls">
          <TermName xmlns="http://schemas.microsoft.com/office/infopath/2007/PartnerControls">Technology management administrative records MODIFIED (GRS 3_1_001)</TermName>
          <TermId xmlns="http://schemas.microsoft.com/office/infopath/2007/PartnerControls">26f2434b-601c-4546-9d3c-939d49d8f687</TermId>
        </TermInfo>
      </Terms>
    </b4c5b01d6c204394af15501c7e447331>
    <of14d78f52f345898c0ddedd687ab3c2 xmlns="0a20205c-0631-4ff0-81c6-46eee12fe7e9">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44aca65a-a2b8-4064-ac99-6d3b27b9c145</TermId>
        </TermInfo>
      </Terms>
    </of14d78f52f345898c0ddedd687ab3c2>
    <l549fbc4080b4daf9a141105daaaac0d xmlns="0a20205c-0631-4ff0-81c6-46eee12fe7e9">
      <Terms xmlns="http://schemas.microsoft.com/office/infopath/2007/PartnerControls">
        <TermInfo xmlns="http://schemas.microsoft.com/office/infopath/2007/PartnerControls">
          <TermName xmlns="http://schemas.microsoft.com/office/infopath/2007/PartnerControls">Deputy CIO for Enterprise Policy, Portfolio Management, and Governance</TermName>
          <TermId xmlns="http://schemas.microsoft.com/office/infopath/2007/PartnerControls">51403432-c5a0-4592-a980-fb9060c28c16</TermId>
        </TermInfo>
      </Terms>
    </l549fbc4080b4daf9a141105daaaac0d>
    <TaxCatchAll xmlns="0a20205c-0631-4ff0-81c6-46eee12fe7e9">
      <Value>5</Value>
      <Value>3</Value>
      <Value>2</Value>
      <Value>1</Value>
    </TaxCatchAll>
  </documentManagement>
</p:properties>
</file>

<file path=customXml/item4.xml><?xml version="1.0" encoding="utf-8"?>
<ct:contentTypeSchema xmlns:ct="http://schemas.microsoft.com/office/2006/metadata/contentType" xmlns:ma="http://schemas.microsoft.com/office/2006/metadata/properties/metaAttributes" ct:_="" ma:_="" ma:contentTypeName="DOE_Document" ma:contentTypeID="0x0101003BE6F3BD37A8BE4A9CF9E5B20FCA8325008EA4EB63AF2BA14AA3AE151890BD1B9C" ma:contentTypeVersion="2" ma:contentTypeDescription="Records Management Custom Content Type" ma:contentTypeScope="" ma:versionID="04acc7cce97965943862492caa93e0ca">
  <xsd:schema xmlns:xsd="http://www.w3.org/2001/XMLSchema" xmlns:xs="http://www.w3.org/2001/XMLSchema" xmlns:p="http://schemas.microsoft.com/office/2006/metadata/properties" xmlns:ns2="0a20205c-0631-4ff0-81c6-46eee12fe7e9" targetNamespace="http://schemas.microsoft.com/office/2006/metadata/properties" ma:root="true" ma:fieldsID="e18eab53cc0d82564aeacd4fd06f3965" ns2:_="">
    <xsd:import namespace="0a20205c-0631-4ff0-81c6-46eee12fe7e9"/>
    <xsd:element name="properties">
      <xsd:complexType>
        <xsd:sequence>
          <xsd:element name="documentManagement">
            <xsd:complexType>
              <xsd:all>
                <xsd:element ref="ns2:of14d78f52f345898c0ddedd687ab3c2" minOccurs="0"/>
                <xsd:element ref="ns2:TaxCatchAll" minOccurs="0"/>
                <xsd:element ref="ns2:TaxCatchAllLabel" minOccurs="0"/>
                <xsd:element ref="ns2:l549fbc4080b4daf9a141105daaaac0d" minOccurs="0"/>
                <xsd:element ref="ns2:m2489ac9119d484abc1790b5183501f0" minOccurs="0"/>
                <xsd:element ref="ns2:b4c5b01d6c204394af15501c7e44733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20205c-0631-4ff0-81c6-46eee12fe7e9" elementFormDefault="qualified">
    <xsd:import namespace="http://schemas.microsoft.com/office/2006/documentManagement/types"/>
    <xsd:import namespace="http://schemas.microsoft.com/office/infopath/2007/PartnerControls"/>
    <xsd:element name="of14d78f52f345898c0ddedd687ab3c2" ma:index="8" nillable="true" ma:taxonomy="true" ma:internalName="of14d78f52f345898c0ddedd687ab3c2" ma:taxonomyFieldName="DOE_LifecycleState" ma:displayName="DOE_LifecycleState" ma:default="1;#Draft|44aca65a-a2b8-4064-ac99-6d3b27b9c145" ma:fieldId="{8f14d78f-52f3-4589-8c0d-dedd687ab3c2}" ma:sspId="26d46bd7-4a58-4bc0-a217-7245e6e70419" ma:termSetId="0daebdac-d977-4554-85a3-a33d6e4cb33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c1ec1d8-b456-4fcc-88a8-9b41a59202d0}" ma:internalName="TaxCatchAll" ma:showField="CatchAllData" ma:web="2691728a-5a90-45f6-aaaa-fa0f79f15d7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c1ec1d8-b456-4fcc-88a8-9b41a59202d0}" ma:internalName="TaxCatchAllLabel" ma:readOnly="true" ma:showField="CatchAllDataLabel" ma:web="2691728a-5a90-45f6-aaaa-fa0f79f15d70">
      <xsd:complexType>
        <xsd:complexContent>
          <xsd:extension base="dms:MultiChoiceLookup">
            <xsd:sequence>
              <xsd:element name="Value" type="dms:Lookup" maxOccurs="unbounded" minOccurs="0" nillable="true"/>
            </xsd:sequence>
          </xsd:extension>
        </xsd:complexContent>
      </xsd:complexType>
    </xsd:element>
    <xsd:element name="l549fbc4080b4daf9a141105daaaac0d" ma:index="12" nillable="true" ma:taxonomy="true" ma:internalName="l549fbc4080b4daf9a141105daaaac0d" ma:taxonomyFieldName="DOE_OwningOrg" ma:displayName="DOE_OwningOrg" ma:default="" ma:fieldId="{5549fbc4-080b-4daf-9a14-1105daaaac0d}" ma:sspId="26d46bd7-4a58-4bc0-a217-7245e6e70419" ma:termSetId="b572243c-0fd9-4de0-93b7-c66448ab2b94" ma:anchorId="00000000-0000-0000-0000-000000000000" ma:open="false" ma:isKeyword="false">
      <xsd:complexType>
        <xsd:sequence>
          <xsd:element ref="pc:Terms" minOccurs="0" maxOccurs="1"/>
        </xsd:sequence>
      </xsd:complexType>
    </xsd:element>
    <xsd:element name="m2489ac9119d484abc1790b5183501f0" ma:index="14" nillable="true" ma:taxonomy="true" ma:internalName="m2489ac9119d484abc1790b5183501f0" ma:taxonomyFieldName="DOE_ProjectStatus" ma:displayName="DOE_ProjectStatus" ma:fieldId="{62489ac9-119d-484a-bc17-90b5183501f0}" ma:sspId="26d46bd7-4a58-4bc0-a217-7245e6e70419" ma:termSetId="b207702c-b0a2-464d-b5d0-044ec78c6d93" ma:anchorId="00000000-0000-0000-0000-000000000000" ma:open="false" ma:isKeyword="false">
      <xsd:complexType>
        <xsd:sequence>
          <xsd:element ref="pc:Terms" minOccurs="0" maxOccurs="1"/>
        </xsd:sequence>
      </xsd:complexType>
    </xsd:element>
    <xsd:element name="b4c5b01d6c204394af15501c7e447331" ma:index="16" nillable="true" ma:taxonomy="true" ma:internalName="b4c5b01d6c204394af15501c7e447331" ma:taxonomyFieldName="DOE_RecordsDispositionSchedule" ma:displayName="DOE_RecordsDispositionSchedule" ma:default="" ma:fieldId="{b4c5b01d-6c20-4394-af15-501c7e447331}" ma:sspId="26d46bd7-4a58-4bc0-a217-7245e6e70419" ma:termSetId="f436e0b3-d0a7-423b-8bf4-6e3272f3caa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26d46bd7-4a58-4bc0-a217-7245e6e70419" ContentTypeId="0x0101003BE6F3BD37A8BE4A9CF9E5B20FCA8325" PreviousValue="false" LastSyncTimeStamp="2022-05-13T19:39:25.393Z"/>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A552A56-CA9A-4535-85FF-6A9945E22E02}">
  <ds:schemaRefs>
    <ds:schemaRef ds:uri="http://schemas.openxmlformats.org/officeDocument/2006/bibliography"/>
  </ds:schemaRefs>
</ds:datastoreItem>
</file>

<file path=customXml/itemProps3.xml><?xml version="1.0" encoding="utf-8"?>
<ds:datastoreItem xmlns:ds="http://schemas.openxmlformats.org/officeDocument/2006/customXml" ds:itemID="{7E044B0E-DBB3-40A8-B513-CB96582048B7}">
  <ds:schemaRefs>
    <ds:schemaRef ds:uri="http://schemas.microsoft.com/office/2006/metadata/properties"/>
    <ds:schemaRef ds:uri="http://schemas.microsoft.com/office/infopath/2007/PartnerControls"/>
    <ds:schemaRef ds:uri="0a20205c-0631-4ff0-81c6-46eee12fe7e9"/>
  </ds:schemaRefs>
</ds:datastoreItem>
</file>

<file path=customXml/itemProps4.xml><?xml version="1.0" encoding="utf-8"?>
<ds:datastoreItem xmlns:ds="http://schemas.openxmlformats.org/officeDocument/2006/customXml" ds:itemID="{E62A170F-DF58-4E03-B6D5-339F3C9278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20205c-0631-4ff0-81c6-46eee12fe7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1975379-ABE8-4B97-9540-EDDA56671B30}">
  <ds:schemaRefs>
    <ds:schemaRef ds:uri="Microsoft.SharePoint.Taxonomy.ContentTypeSync"/>
  </ds:schemaRefs>
</ds:datastoreItem>
</file>

<file path=customXml/itemProps6.xml><?xml version="1.0" encoding="utf-8"?>
<ds:datastoreItem xmlns:ds="http://schemas.openxmlformats.org/officeDocument/2006/customXml" ds:itemID="{EEEC8D8A-88B3-44F5-B51A-045CD29DA9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3193</Words>
  <Characters>18150</Characters>
  <Application>Microsoft Office Word</Application>
  <DocSecurity>0</DocSecurity>
  <Lines>369</Lines>
  <Paragraphs>159</Paragraphs>
  <ScaleCrop>false</ScaleCrop>
  <HeadingPairs>
    <vt:vector size="2" baseType="variant">
      <vt:variant>
        <vt:lpstr>Title</vt:lpstr>
      </vt:variant>
      <vt:variant>
        <vt:i4>1</vt:i4>
      </vt:variant>
    </vt:vector>
  </HeadingPairs>
  <TitlesOfParts>
    <vt:vector size="1" baseType="lpstr">
      <vt:lpstr>Supporting Statement for Labor Relations Report</vt:lpstr>
    </vt:vector>
  </TitlesOfParts>
  <Company/>
  <LinksUpToDate>false</LinksUpToDate>
  <CharactersWithSpaces>21277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Labor Relations Report</dc:title>
  <dc:subject>Improving the Quality and Scope of EIA Data</dc:subject>
  <dc:creator>Stroud, Lawrence</dc:creator>
  <cp:lastModifiedBy>Freeman, Yohanna</cp:lastModifiedBy>
  <cp:revision>2</cp:revision>
  <cp:lastPrinted>2011-12-12T20:42:00Z</cp:lastPrinted>
  <dcterms:created xsi:type="dcterms:W3CDTF">2026-01-15T21:17:00Z</dcterms:created>
  <dcterms:modified xsi:type="dcterms:W3CDTF">2026-01-15T21:17:00Z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0x0101003BE6F3BD37A8BE4A9CF9E5B20FCA8325008EA4EB63AF2BA14AA3AE151890BD1B9C</vt:lpwstr>
  </property>
  <property fmtid="{D5CDD505-2E9C-101B-9397-08002B2CF9AE}" pid="3" name="DOE_LifecycleState">
    <vt:lpwstr>1;#Draft|44aca65a-a2b8-4064-ac99-6d3b27b9c145</vt:lpwstr>
  </property>
  <property fmtid="{D5CDD505-2E9C-101B-9397-08002B2CF9AE}" pid="4" name="DOE_OwningOrg">
    <vt:lpwstr>3;#Deputy CIO for Enterprise Policy, Portfolio Management, and Governance|51403432-c5a0-4592-a980-fb9060c28c16</vt:lpwstr>
  </property>
  <property fmtid="{D5CDD505-2E9C-101B-9397-08002B2CF9AE}" pid="5" name="DOE_ProjectStatus">
    <vt:lpwstr>2;#Open|f87294c0-5917-49a1-8b9f-b6ecaae62a21</vt:lpwstr>
  </property>
  <property fmtid="{D5CDD505-2E9C-101B-9397-08002B2CF9AE}" pid="6" name="DOE_RecordsDispositionSchedule">
    <vt:lpwstr>5;#Technology management administrative records MODIFIED (GRS 3_1_001)|26f2434b-601c-4546-9d3c-939d49d8f687</vt:lpwstr>
  </property>
  <property fmtid="{D5CDD505-2E9C-101B-9397-08002B2CF9AE}" pid="7" name="lcf76f155ced4ddcb4097134ff3c332f">
    <vt:lpwstr/>
  </property>
  <property fmtid="{D5CDD505-2E9C-101B-9397-08002B2CF9AE}" pid="8" name="MediaServiceImageTags">
    <vt:lpwstr/>
  </property>
</Properties>
</file>