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795C" w:rsidRPr="004B5EDF" w:rsidP="00D3795C" w14:paraId="59B7DD7F" w14:textId="77777777">
      <w:pPr>
        <w:tabs>
          <w:tab w:val="center" w:pos="5040"/>
        </w:tabs>
        <w:autoSpaceDE w:val="0"/>
        <w:autoSpaceDN w:val="0"/>
        <w:adjustRightInd w:val="0"/>
        <w:spacing w:after="0" w:line="240" w:lineRule="auto"/>
        <w:jc w:val="center"/>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Supporting Statement for</w:t>
      </w:r>
    </w:p>
    <w:p w:rsidR="00D3795C" w:rsidRPr="004B5EDF" w:rsidP="00D3795C" w14:paraId="7DB9395C" w14:textId="77777777">
      <w:pPr>
        <w:tabs>
          <w:tab w:val="center" w:pos="5040"/>
        </w:tabs>
        <w:autoSpaceDE w:val="0"/>
        <w:autoSpaceDN w:val="0"/>
        <w:adjustRightInd w:val="0"/>
        <w:spacing w:after="0" w:line="240" w:lineRule="auto"/>
        <w:jc w:val="center"/>
        <w:rPr>
          <w:rFonts w:ascii="Times New Roman" w:eastAsia="Times New Roman" w:hAnsi="Times New Roman" w:cs="Times New Roman"/>
          <w:b/>
          <w:sz w:val="24"/>
          <w:szCs w:val="24"/>
        </w:rPr>
      </w:pPr>
      <w:r w:rsidRPr="004B5EDF">
        <w:rPr>
          <w:rFonts w:ascii="Times New Roman" w:eastAsia="Times New Roman" w:hAnsi="Times New Roman" w:cs="Times New Roman"/>
          <w:b/>
          <w:bCs/>
          <w:sz w:val="24"/>
          <w:szCs w:val="24"/>
        </w:rPr>
        <w:t>FERC-604, Cash Management Agreements</w:t>
      </w:r>
    </w:p>
    <w:p w:rsidR="00D3795C" w:rsidRPr="004B5EDF" w:rsidP="00D3795C" w14:paraId="45DA71A9" w14:textId="77777777">
      <w:pPr>
        <w:tabs>
          <w:tab w:val="center" w:pos="5040"/>
        </w:tabs>
        <w:autoSpaceDE w:val="0"/>
        <w:autoSpaceDN w:val="0"/>
        <w:adjustRightInd w:val="0"/>
        <w:spacing w:after="0" w:line="240" w:lineRule="auto"/>
        <w:jc w:val="center"/>
        <w:rPr>
          <w:rFonts w:ascii="Times New Roman" w:eastAsia="Times New Roman" w:hAnsi="Times New Roman" w:cs="Times New Roman"/>
          <w:sz w:val="24"/>
          <w:szCs w:val="24"/>
        </w:rPr>
      </w:pPr>
    </w:p>
    <w:p w:rsidR="00D3795C" w:rsidRPr="004B5EDF" w:rsidP="00FC4487" w14:paraId="11AE4929" w14:textId="3D0DD128">
      <w:pPr>
        <w:tabs>
          <w:tab w:val="center" w:pos="5040"/>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bCs/>
          <w:sz w:val="24"/>
          <w:szCs w:val="24"/>
        </w:rPr>
        <w:t>The Federal Energy Regulatory Commission (Commission or FERC) requests that the Office of Management and Budget (OMB) review and approve FERC-604 (Cash Management Agreements</w:t>
      </w:r>
      <w:r w:rsidRPr="004B5EDF" w:rsidR="00CD66D3">
        <w:rPr>
          <w:rFonts w:ascii="Times New Roman" w:eastAsia="Times New Roman" w:hAnsi="Times New Roman" w:cs="Times New Roman"/>
          <w:bCs/>
          <w:sz w:val="24"/>
          <w:szCs w:val="24"/>
        </w:rPr>
        <w:t xml:space="preserve">; </w:t>
      </w:r>
      <w:r w:rsidRPr="004B5EDF">
        <w:rPr>
          <w:rFonts w:ascii="Times New Roman" w:eastAsia="Times New Roman" w:hAnsi="Times New Roman" w:cs="Times New Roman"/>
          <w:bCs/>
          <w:sz w:val="24"/>
          <w:szCs w:val="24"/>
        </w:rPr>
        <w:t>OMB Control No. 1902-0267), for three</w:t>
      </w:r>
      <w:r w:rsidRPr="004B5EDF" w:rsidR="003028AB">
        <w:rPr>
          <w:rFonts w:ascii="Times New Roman" w:eastAsia="Times New Roman" w:hAnsi="Times New Roman" w:cs="Times New Roman"/>
          <w:bCs/>
          <w:sz w:val="24"/>
          <w:szCs w:val="24"/>
        </w:rPr>
        <w:t xml:space="preserve"> </w:t>
      </w:r>
      <w:r w:rsidRPr="004B5EDF">
        <w:rPr>
          <w:rFonts w:ascii="Times New Roman" w:eastAsia="Times New Roman" w:hAnsi="Times New Roman" w:cs="Times New Roman"/>
          <w:bCs/>
          <w:sz w:val="24"/>
          <w:szCs w:val="24"/>
        </w:rPr>
        <w:t>year</w:t>
      </w:r>
      <w:r w:rsidRPr="004B5EDF" w:rsidR="003028AB">
        <w:rPr>
          <w:rFonts w:ascii="Times New Roman" w:eastAsia="Times New Roman" w:hAnsi="Times New Roman" w:cs="Times New Roman"/>
          <w:bCs/>
          <w:sz w:val="24"/>
          <w:szCs w:val="24"/>
        </w:rPr>
        <w:t>s</w:t>
      </w:r>
      <w:r w:rsidRPr="004B5EDF">
        <w:rPr>
          <w:rFonts w:ascii="Times New Roman" w:eastAsia="Times New Roman" w:hAnsi="Times New Roman" w:cs="Times New Roman"/>
          <w:bCs/>
          <w:sz w:val="24"/>
          <w:szCs w:val="24"/>
        </w:rPr>
        <w:t>.</w:t>
      </w:r>
      <w:r w:rsidR="00DA3432">
        <w:rPr>
          <w:rFonts w:ascii="Times New Roman" w:eastAsia="Times New Roman" w:hAnsi="Times New Roman" w:cs="Times New Roman"/>
          <w:bCs/>
          <w:sz w:val="24"/>
          <w:szCs w:val="24"/>
        </w:rPr>
        <w:t xml:space="preserve"> </w:t>
      </w:r>
      <w:r w:rsidRPr="004B5EDF">
        <w:rPr>
          <w:rFonts w:ascii="Times New Roman" w:eastAsia="Times New Roman" w:hAnsi="Times New Roman" w:cs="Times New Roman"/>
          <w:bCs/>
          <w:sz w:val="24"/>
          <w:szCs w:val="24"/>
        </w:rPr>
        <w:t>FERC-604</w:t>
      </w:r>
      <w:r w:rsidRPr="004B5EDF">
        <w:rPr>
          <w:rFonts w:ascii="Times New Roman" w:eastAsia="Times New Roman" w:hAnsi="Times New Roman" w:cs="Times New Roman"/>
          <w:sz w:val="24"/>
          <w:szCs w:val="24"/>
        </w:rPr>
        <w:t xml:space="preserve"> is an existing data collection</w:t>
      </w:r>
      <w:r w:rsidRPr="004B5EDF" w:rsidR="00220507">
        <w:rPr>
          <w:rFonts w:ascii="Times New Roman" w:eastAsia="Times New Roman" w:hAnsi="Times New Roman" w:cs="Times New Roman"/>
          <w:sz w:val="24"/>
          <w:szCs w:val="24"/>
        </w:rPr>
        <w:t xml:space="preserve"> and there are no proposed changes</w:t>
      </w:r>
      <w:r w:rsidRPr="004B5EDF" w:rsidR="00865BA5">
        <w:rPr>
          <w:rFonts w:ascii="Times New Roman" w:eastAsia="Times New Roman" w:hAnsi="Times New Roman" w:cs="Times New Roman"/>
          <w:sz w:val="24"/>
          <w:szCs w:val="24"/>
        </w:rPr>
        <w:t xml:space="preserve"> to the reporting requirement</w:t>
      </w:r>
      <w:r w:rsidRPr="004B5EDF" w:rsidR="004A3A59">
        <w:rPr>
          <w:rFonts w:ascii="Times New Roman" w:eastAsia="Times New Roman" w:hAnsi="Times New Roman" w:cs="Times New Roman"/>
          <w:sz w:val="24"/>
          <w:szCs w:val="24"/>
        </w:rPr>
        <w:t>s</w:t>
      </w:r>
      <w:r w:rsidRPr="004B5EDF" w:rsidR="00FC4487">
        <w:rPr>
          <w:rFonts w:ascii="Times New Roman" w:eastAsia="Times New Roman" w:hAnsi="Times New Roman" w:cs="Times New Roman"/>
          <w:sz w:val="24"/>
          <w:szCs w:val="24"/>
        </w:rPr>
        <w:t>.</w:t>
      </w:r>
    </w:p>
    <w:p w:rsidR="00FC4487" w:rsidRPr="004B5EDF" w:rsidP="00FC4487" w14:paraId="3E8062CA" w14:textId="77777777">
      <w:pPr>
        <w:tabs>
          <w:tab w:val="center" w:pos="5040"/>
        </w:tabs>
        <w:autoSpaceDE w:val="0"/>
        <w:autoSpaceDN w:val="0"/>
        <w:adjustRightInd w:val="0"/>
        <w:spacing w:after="0" w:line="240" w:lineRule="auto"/>
        <w:rPr>
          <w:rFonts w:ascii="Times New Roman" w:eastAsia="Times New Roman" w:hAnsi="Times New Roman" w:cs="Times New Roman"/>
          <w:sz w:val="24"/>
          <w:szCs w:val="24"/>
        </w:rPr>
      </w:pPr>
    </w:p>
    <w:p w:rsidR="00D3795C" w:rsidRPr="004B5EDF" w:rsidP="00CD66D3" w14:paraId="6639556D" w14:textId="38737A13">
      <w:pPr>
        <w:autoSpaceDE w:val="0"/>
        <w:autoSpaceDN w:val="0"/>
        <w:adjustRightInd w:val="0"/>
        <w:spacing w:after="0" w:line="240" w:lineRule="auto"/>
        <w:ind w:left="360" w:hanging="360"/>
        <w:rPr>
          <w:rFonts w:ascii="Times New Roman" w:eastAsia="Times New Roman" w:hAnsi="Times New Roman" w:cs="Times New Roman"/>
          <w:b/>
          <w:sz w:val="24"/>
          <w:szCs w:val="24"/>
        </w:rPr>
      </w:pPr>
      <w:r w:rsidRPr="004B5EDF">
        <w:rPr>
          <w:rFonts w:ascii="Times New Roman" w:eastAsia="Times New Roman" w:hAnsi="Times New Roman" w:cs="Times New Roman"/>
          <w:b/>
          <w:sz w:val="24"/>
          <w:szCs w:val="24"/>
        </w:rPr>
        <w:t>1.</w:t>
      </w:r>
      <w:r w:rsidRPr="004B5EDF">
        <w:rPr>
          <w:rFonts w:ascii="Times New Roman" w:eastAsia="Times New Roman" w:hAnsi="Times New Roman" w:cs="Times New Roman"/>
          <w:b/>
          <w:sz w:val="24"/>
          <w:szCs w:val="24"/>
        </w:rPr>
        <w:tab/>
        <w:t>CIRCUMSTANCES THAT MAKE THE COLLECTION OF INFORMATION NECESSARY</w:t>
      </w:r>
    </w:p>
    <w:p w:rsidR="00D3795C" w:rsidRPr="004B5EDF" w:rsidP="00370C1B" w14:paraId="408F24E4" w14:textId="2C4B4103">
      <w:pPr>
        <w:autoSpaceDE w:val="0"/>
        <w:autoSpaceDN w:val="0"/>
        <w:adjustRightInd w:val="0"/>
        <w:spacing w:after="0" w:line="240" w:lineRule="auto"/>
        <w:rPr>
          <w:rFonts w:ascii="Times New Roman" w:eastAsia="Times New Roman" w:hAnsi="Times New Roman" w:cs="Times New Roman"/>
          <w:b/>
          <w:sz w:val="24"/>
          <w:szCs w:val="24"/>
        </w:rPr>
      </w:pPr>
    </w:p>
    <w:p w:rsidR="00370C1B" w:rsidRPr="004B5EDF" w:rsidP="008D12D1" w14:paraId="5E09E0B6" w14:textId="56BF3AE7">
      <w:pPr>
        <w:tabs>
          <w:tab w:val="left" w:pos="8730"/>
        </w:tabs>
        <w:autoSpaceDE w:val="0"/>
        <w:autoSpaceDN w:val="0"/>
        <w:adjustRightInd w:val="0"/>
        <w:spacing w:after="0" w:line="240" w:lineRule="auto"/>
        <w:rPr>
          <w:rFonts w:ascii="Times New Roman" w:eastAsia="Times New Roman" w:hAnsi="Times New Roman" w:cs="Times New Roman"/>
          <w:bCs/>
          <w:sz w:val="24"/>
          <w:szCs w:val="24"/>
        </w:rPr>
      </w:pPr>
      <w:r w:rsidRPr="004B5EDF">
        <w:rPr>
          <w:rFonts w:ascii="Times New Roman" w:eastAsia="Times New Roman" w:hAnsi="Times New Roman" w:cs="Times New Roman"/>
          <w:bCs/>
          <w:sz w:val="24"/>
          <w:szCs w:val="24"/>
        </w:rPr>
        <w:t xml:space="preserve">This collection of information is authorized by </w:t>
      </w:r>
      <w:r w:rsidRPr="004B5EDF" w:rsidR="00F71C0A">
        <w:rPr>
          <w:rFonts w:ascii="Times New Roman" w:eastAsia="Times New Roman" w:hAnsi="Times New Roman" w:cs="Times New Roman"/>
          <w:bCs/>
          <w:sz w:val="24"/>
          <w:szCs w:val="24"/>
        </w:rPr>
        <w:t>the following statutory provisions:</w:t>
      </w:r>
    </w:p>
    <w:p w:rsidR="00E45684" w:rsidRPr="004B5EDF" w:rsidP="008D12D1" w14:paraId="014398E6" w14:textId="5D3BD0D9">
      <w:pPr>
        <w:tabs>
          <w:tab w:val="left" w:pos="8730"/>
        </w:tabs>
        <w:autoSpaceDE w:val="0"/>
        <w:autoSpaceDN w:val="0"/>
        <w:adjustRightInd w:val="0"/>
        <w:spacing w:after="0" w:line="240" w:lineRule="auto"/>
        <w:rPr>
          <w:rFonts w:ascii="Times New Roman" w:eastAsia="Times New Roman" w:hAnsi="Times New Roman" w:cs="Times New Roman"/>
          <w:bCs/>
          <w:sz w:val="24"/>
          <w:szCs w:val="24"/>
        </w:rPr>
      </w:pPr>
    </w:p>
    <w:p w:rsidR="00E45684" w:rsidRPr="004B5EDF" w:rsidP="00E45684" w14:paraId="5AC800BA" w14:textId="7635B405">
      <w:pPr>
        <w:pStyle w:val="ListParagraph"/>
        <w:numPr>
          <w:ilvl w:val="0"/>
          <w:numId w:val="9"/>
        </w:numPr>
        <w:tabs>
          <w:tab w:val="left" w:pos="8730"/>
        </w:tabs>
        <w:autoSpaceDE w:val="0"/>
        <w:autoSpaceDN w:val="0"/>
        <w:adjustRightInd w:val="0"/>
        <w:spacing w:after="0" w:line="240" w:lineRule="auto"/>
        <w:rPr>
          <w:rFonts w:ascii="Times New Roman" w:eastAsia="Times New Roman" w:hAnsi="Times New Roman" w:cs="Times New Roman"/>
          <w:bCs/>
          <w:sz w:val="24"/>
          <w:szCs w:val="24"/>
        </w:rPr>
      </w:pPr>
      <w:r w:rsidRPr="004B5EDF">
        <w:rPr>
          <w:rFonts w:ascii="Times New Roman" w:eastAsia="Times New Roman" w:hAnsi="Times New Roman" w:cs="Times New Roman"/>
          <w:bCs/>
          <w:sz w:val="24"/>
          <w:szCs w:val="24"/>
        </w:rPr>
        <w:t xml:space="preserve">Sections 8 and 10 of the Natural Gas Act (NGA), 15 U.S.C. 717g and </w:t>
      </w:r>
      <w:r w:rsidRPr="004B5EDF" w:rsidR="00DF1971">
        <w:rPr>
          <w:rFonts w:ascii="Times New Roman" w:eastAsia="Times New Roman" w:hAnsi="Times New Roman" w:cs="Times New Roman"/>
          <w:bCs/>
          <w:sz w:val="24"/>
          <w:szCs w:val="24"/>
        </w:rPr>
        <w:t>717i;</w:t>
      </w:r>
    </w:p>
    <w:p w:rsidR="00DF1971" w:rsidRPr="004B5EDF" w:rsidP="00E45684" w14:paraId="05481855" w14:textId="705033DA">
      <w:pPr>
        <w:pStyle w:val="ListParagraph"/>
        <w:numPr>
          <w:ilvl w:val="0"/>
          <w:numId w:val="9"/>
        </w:numPr>
        <w:tabs>
          <w:tab w:val="left" w:pos="8730"/>
        </w:tabs>
        <w:autoSpaceDE w:val="0"/>
        <w:autoSpaceDN w:val="0"/>
        <w:adjustRightInd w:val="0"/>
        <w:spacing w:after="0" w:line="240" w:lineRule="auto"/>
        <w:rPr>
          <w:rFonts w:ascii="Times New Roman" w:eastAsia="Times New Roman" w:hAnsi="Times New Roman" w:cs="Times New Roman"/>
          <w:bCs/>
          <w:sz w:val="24"/>
          <w:szCs w:val="24"/>
        </w:rPr>
      </w:pPr>
      <w:r w:rsidRPr="004B5EDF">
        <w:rPr>
          <w:rFonts w:ascii="Times New Roman" w:eastAsia="Times New Roman" w:hAnsi="Times New Roman" w:cs="Times New Roman"/>
          <w:bCs/>
          <w:sz w:val="24"/>
          <w:szCs w:val="24"/>
        </w:rPr>
        <w:t>Sections 301 and 304 of the Federal Power Act (FPA), 16 U.S.C. 825 and 825c; and</w:t>
      </w:r>
    </w:p>
    <w:p w:rsidR="00F71C0A" w:rsidRPr="004B5EDF" w:rsidP="35D8F5DF" w14:paraId="010891EB" w14:textId="4C6F0769">
      <w:pPr>
        <w:pStyle w:val="ListParagraph"/>
        <w:numPr>
          <w:ilvl w:val="0"/>
          <w:numId w:val="9"/>
        </w:numPr>
        <w:tabs>
          <w:tab w:val="left" w:pos="8730"/>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Section</w:t>
      </w:r>
      <w:r w:rsidRPr="004B5EDF" w:rsidR="794B2282">
        <w:rPr>
          <w:rFonts w:ascii="Times New Roman" w:eastAsia="Times New Roman" w:hAnsi="Times New Roman" w:cs="Times New Roman"/>
          <w:sz w:val="24"/>
          <w:szCs w:val="24"/>
        </w:rPr>
        <w:t>s 20(1) and 20(5)</w:t>
      </w:r>
      <w:r w:rsidRPr="004B5EDF" w:rsidR="003552A1">
        <w:rPr>
          <w:rFonts w:ascii="Times New Roman" w:eastAsia="Times New Roman" w:hAnsi="Times New Roman" w:cs="Times New Roman"/>
          <w:sz w:val="24"/>
          <w:szCs w:val="24"/>
        </w:rPr>
        <w:t xml:space="preserve"> </w:t>
      </w:r>
      <w:r w:rsidRPr="004B5EDF">
        <w:rPr>
          <w:rFonts w:ascii="Times New Roman" w:eastAsia="Times New Roman" w:hAnsi="Times New Roman" w:cs="Times New Roman"/>
          <w:sz w:val="24"/>
          <w:szCs w:val="24"/>
        </w:rPr>
        <w:t>of the Interstate Commerce Act (ICA), 49</w:t>
      </w:r>
      <w:r w:rsidRPr="004B5EDF" w:rsidR="00594015">
        <w:rPr>
          <w:rFonts w:ascii="Times New Roman" w:eastAsia="Times New Roman" w:hAnsi="Times New Roman" w:cs="Times New Roman"/>
          <w:sz w:val="24"/>
          <w:szCs w:val="24"/>
        </w:rPr>
        <w:t xml:space="preserve"> App.</w:t>
      </w:r>
      <w:r w:rsidRPr="004B5EDF">
        <w:rPr>
          <w:rFonts w:ascii="Times New Roman" w:eastAsia="Times New Roman" w:hAnsi="Times New Roman" w:cs="Times New Roman"/>
          <w:sz w:val="24"/>
          <w:szCs w:val="24"/>
        </w:rPr>
        <w:t xml:space="preserve"> U.S.C. </w:t>
      </w:r>
      <w:r w:rsidRPr="004B5EDF" w:rsidR="44186C27">
        <w:rPr>
          <w:rFonts w:ascii="Times New Roman" w:eastAsia="Times New Roman" w:hAnsi="Times New Roman" w:cs="Times New Roman"/>
          <w:sz w:val="24"/>
          <w:szCs w:val="24"/>
        </w:rPr>
        <w:t>20(1) and 20(5).</w:t>
      </w:r>
    </w:p>
    <w:p w:rsidR="0065262B" w:rsidRPr="004B5EDF" w:rsidP="00081E73" w14:paraId="51259505" w14:textId="77777777">
      <w:pPr>
        <w:tabs>
          <w:tab w:val="left" w:pos="8730"/>
        </w:tabs>
        <w:autoSpaceDE w:val="0"/>
        <w:autoSpaceDN w:val="0"/>
        <w:adjustRightInd w:val="0"/>
        <w:spacing w:after="0" w:line="240" w:lineRule="auto"/>
        <w:rPr>
          <w:rFonts w:ascii="Times New Roman" w:eastAsia="Times New Roman" w:hAnsi="Times New Roman" w:cs="Times New Roman"/>
          <w:bCs/>
          <w:sz w:val="24"/>
          <w:szCs w:val="24"/>
        </w:rPr>
      </w:pPr>
    </w:p>
    <w:p w:rsidR="00287FD8" w:rsidRPr="004B5EDF" w:rsidP="00D3795C" w14:paraId="32D594DF" w14:textId="77777777">
      <w:pPr>
        <w:widowControl w:val="0"/>
        <w:autoSpaceDE w:val="0"/>
        <w:autoSpaceDN w:val="0"/>
        <w:adjustRightInd w:val="0"/>
        <w:spacing w:after="0" w:line="240" w:lineRule="auto"/>
        <w:rPr>
          <w:rFonts w:ascii="Times New Roman" w:eastAsia="Times New Roman" w:hAnsi="Times New Roman" w:cs="Times New Roman"/>
          <w:bCs/>
          <w:sz w:val="24"/>
          <w:szCs w:val="24"/>
        </w:rPr>
      </w:pPr>
      <w:r w:rsidRPr="004B5EDF">
        <w:rPr>
          <w:rFonts w:ascii="Times New Roman" w:eastAsia="Times New Roman" w:hAnsi="Times New Roman" w:cs="Times New Roman"/>
          <w:bCs/>
          <w:sz w:val="24"/>
          <w:szCs w:val="24"/>
        </w:rPr>
        <w:t xml:space="preserve">These </w:t>
      </w:r>
      <w:r w:rsidRPr="004B5EDF" w:rsidR="00A04B58">
        <w:rPr>
          <w:rFonts w:ascii="Times New Roman" w:eastAsia="Times New Roman" w:hAnsi="Times New Roman" w:cs="Times New Roman"/>
          <w:bCs/>
          <w:sz w:val="24"/>
          <w:szCs w:val="24"/>
        </w:rPr>
        <w:t>statut</w:t>
      </w:r>
      <w:r w:rsidRPr="004B5EDF">
        <w:rPr>
          <w:rFonts w:ascii="Times New Roman" w:eastAsia="Times New Roman" w:hAnsi="Times New Roman" w:cs="Times New Roman"/>
          <w:bCs/>
          <w:sz w:val="24"/>
          <w:szCs w:val="24"/>
        </w:rPr>
        <w:t xml:space="preserve">es </w:t>
      </w:r>
      <w:r w:rsidRPr="004B5EDF" w:rsidR="00D708B6">
        <w:rPr>
          <w:rFonts w:ascii="Times New Roman" w:eastAsia="Times New Roman" w:hAnsi="Times New Roman" w:cs="Times New Roman"/>
          <w:bCs/>
          <w:sz w:val="24"/>
          <w:szCs w:val="24"/>
        </w:rPr>
        <w:t xml:space="preserve">authorize the Commission to </w:t>
      </w:r>
      <w:r w:rsidRPr="004B5EDF" w:rsidR="009838C6">
        <w:rPr>
          <w:rFonts w:ascii="Times New Roman" w:eastAsia="Times New Roman" w:hAnsi="Times New Roman" w:cs="Times New Roman"/>
          <w:bCs/>
          <w:sz w:val="24"/>
          <w:szCs w:val="24"/>
        </w:rPr>
        <w:t xml:space="preserve">require </w:t>
      </w:r>
      <w:r w:rsidRPr="004B5EDF" w:rsidR="001E1D78">
        <w:rPr>
          <w:rFonts w:ascii="Times New Roman" w:eastAsia="Times New Roman" w:hAnsi="Times New Roman" w:cs="Times New Roman"/>
          <w:bCs/>
          <w:sz w:val="24"/>
          <w:szCs w:val="24"/>
        </w:rPr>
        <w:t>entities that</w:t>
      </w:r>
      <w:r w:rsidRPr="004B5EDF" w:rsidR="00A04B58">
        <w:rPr>
          <w:rFonts w:ascii="Times New Roman" w:eastAsia="Times New Roman" w:hAnsi="Times New Roman" w:cs="Times New Roman"/>
          <w:bCs/>
          <w:sz w:val="24"/>
          <w:szCs w:val="24"/>
        </w:rPr>
        <w:t xml:space="preserve"> </w:t>
      </w:r>
      <w:r w:rsidRPr="004B5EDF" w:rsidR="00E93DEC">
        <w:rPr>
          <w:rFonts w:ascii="Times New Roman" w:eastAsia="Times New Roman" w:hAnsi="Times New Roman" w:cs="Times New Roman"/>
          <w:sz w:val="24"/>
          <w:szCs w:val="24"/>
        </w:rPr>
        <w:t xml:space="preserve">are subject to the Commission’s </w:t>
      </w:r>
      <w:r w:rsidRPr="004B5EDF" w:rsidR="00A04B58">
        <w:rPr>
          <w:rFonts w:ascii="Times New Roman" w:eastAsia="Times New Roman" w:hAnsi="Times New Roman" w:cs="Times New Roman"/>
          <w:sz w:val="24"/>
          <w:szCs w:val="24"/>
        </w:rPr>
        <w:t xml:space="preserve">jurisdiction </w:t>
      </w:r>
      <w:r w:rsidRPr="004B5EDF" w:rsidR="006F61E2">
        <w:rPr>
          <w:rFonts w:ascii="Times New Roman" w:eastAsia="Times New Roman" w:hAnsi="Times New Roman" w:cs="Times New Roman"/>
          <w:bCs/>
          <w:sz w:val="24"/>
          <w:szCs w:val="24"/>
        </w:rPr>
        <w:t xml:space="preserve">to </w:t>
      </w:r>
      <w:r w:rsidRPr="004B5EDF" w:rsidR="00F03C45">
        <w:rPr>
          <w:rFonts w:ascii="Times New Roman" w:eastAsia="Times New Roman" w:hAnsi="Times New Roman" w:cs="Times New Roman"/>
          <w:bCs/>
          <w:sz w:val="24"/>
          <w:szCs w:val="24"/>
        </w:rPr>
        <w:t>preserve accounts</w:t>
      </w:r>
      <w:r w:rsidRPr="004B5EDF" w:rsidR="009838C6">
        <w:rPr>
          <w:rFonts w:ascii="Times New Roman" w:eastAsia="Times New Roman" w:hAnsi="Times New Roman" w:cs="Times New Roman"/>
          <w:bCs/>
          <w:sz w:val="24"/>
          <w:szCs w:val="24"/>
        </w:rPr>
        <w:t xml:space="preserve"> and related records</w:t>
      </w:r>
      <w:r w:rsidRPr="004B5EDF" w:rsidR="00F03C45">
        <w:rPr>
          <w:rFonts w:ascii="Times New Roman" w:eastAsia="Times New Roman" w:hAnsi="Times New Roman" w:cs="Times New Roman"/>
          <w:bCs/>
          <w:sz w:val="24"/>
          <w:szCs w:val="24"/>
        </w:rPr>
        <w:t>, a</w:t>
      </w:r>
      <w:r w:rsidRPr="004B5EDF" w:rsidR="003674DE">
        <w:rPr>
          <w:rFonts w:ascii="Times New Roman" w:eastAsia="Times New Roman" w:hAnsi="Times New Roman" w:cs="Times New Roman"/>
          <w:bCs/>
          <w:sz w:val="24"/>
          <w:szCs w:val="24"/>
        </w:rPr>
        <w:t xml:space="preserve">nd </w:t>
      </w:r>
      <w:r w:rsidRPr="004B5EDF" w:rsidR="009838C6">
        <w:rPr>
          <w:rFonts w:ascii="Times New Roman" w:eastAsia="Times New Roman" w:hAnsi="Times New Roman" w:cs="Times New Roman"/>
          <w:bCs/>
          <w:sz w:val="24"/>
          <w:szCs w:val="24"/>
        </w:rPr>
        <w:t xml:space="preserve">to </w:t>
      </w:r>
      <w:r w:rsidRPr="004B5EDF" w:rsidR="003674DE">
        <w:rPr>
          <w:rFonts w:ascii="Times New Roman" w:eastAsia="Times New Roman" w:hAnsi="Times New Roman" w:cs="Times New Roman"/>
          <w:bCs/>
          <w:sz w:val="24"/>
          <w:szCs w:val="24"/>
        </w:rPr>
        <w:t xml:space="preserve">file reports </w:t>
      </w:r>
      <w:r w:rsidRPr="004B5EDF" w:rsidR="006F61E2">
        <w:rPr>
          <w:rFonts w:ascii="Times New Roman" w:eastAsia="Times New Roman" w:hAnsi="Times New Roman" w:cs="Times New Roman"/>
          <w:bCs/>
          <w:sz w:val="24"/>
          <w:szCs w:val="24"/>
        </w:rPr>
        <w:t>found to be</w:t>
      </w:r>
      <w:r w:rsidRPr="004B5EDF" w:rsidR="00320A36">
        <w:rPr>
          <w:rFonts w:ascii="Times New Roman" w:eastAsia="Times New Roman" w:hAnsi="Times New Roman" w:cs="Times New Roman"/>
          <w:bCs/>
          <w:sz w:val="24"/>
          <w:szCs w:val="24"/>
        </w:rPr>
        <w:t xml:space="preserve"> necessary or appropriate </w:t>
      </w:r>
      <w:r w:rsidRPr="004B5EDF" w:rsidR="00AC46A5">
        <w:rPr>
          <w:rFonts w:ascii="Times New Roman" w:eastAsia="Times New Roman" w:hAnsi="Times New Roman" w:cs="Times New Roman"/>
          <w:bCs/>
          <w:sz w:val="24"/>
          <w:szCs w:val="24"/>
        </w:rPr>
        <w:t>to assist the Commission in the proper administration of each statute</w:t>
      </w:r>
      <w:r w:rsidRPr="004B5EDF" w:rsidR="00971674">
        <w:rPr>
          <w:rFonts w:ascii="Times New Roman" w:eastAsia="Times New Roman" w:hAnsi="Times New Roman" w:cs="Times New Roman"/>
          <w:bCs/>
          <w:sz w:val="24"/>
          <w:szCs w:val="24"/>
        </w:rPr>
        <w:t>.</w:t>
      </w:r>
    </w:p>
    <w:p w:rsidR="00287FD8" w:rsidRPr="004B5EDF" w:rsidP="00D3795C" w14:paraId="5DF7FA22" w14:textId="77777777">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063428" w:rsidRPr="004B5EDF" w:rsidP="00D3795C" w14:paraId="63358DBA" w14:textId="514606DF">
      <w:pPr>
        <w:widowControl w:val="0"/>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R</w:t>
      </w:r>
      <w:r w:rsidRPr="004B5EDF" w:rsidR="00370C1B">
        <w:rPr>
          <w:rFonts w:ascii="Times New Roman" w:eastAsia="Times New Roman" w:hAnsi="Times New Roman" w:cs="Times New Roman"/>
          <w:sz w:val="24"/>
          <w:szCs w:val="24"/>
        </w:rPr>
        <w:t xml:space="preserve">egulations at </w:t>
      </w:r>
      <w:r w:rsidRPr="004B5EDF" w:rsidR="002D6AAF">
        <w:rPr>
          <w:rFonts w:ascii="Times New Roman" w:eastAsia="Times New Roman" w:hAnsi="Times New Roman" w:cs="Times New Roman"/>
          <w:sz w:val="24"/>
          <w:szCs w:val="24"/>
        </w:rPr>
        <w:t xml:space="preserve">18 CFR </w:t>
      </w:r>
      <w:r w:rsidRPr="00DD3C9D" w:rsidR="008E0D2E">
        <w:rPr>
          <w:rFonts w:ascii="Times New Roman" w:eastAsia="Times New Roman" w:hAnsi="Times New Roman" w:cs="Times New Roman"/>
          <w:bCs/>
          <w:sz w:val="24"/>
          <w:szCs w:val="24"/>
        </w:rPr>
        <w:t xml:space="preserve">§§ </w:t>
      </w:r>
      <w:r w:rsidRPr="004B5EDF" w:rsidR="002D6AAF">
        <w:rPr>
          <w:rFonts w:ascii="Times New Roman" w:eastAsia="Times New Roman" w:hAnsi="Times New Roman" w:cs="Times New Roman"/>
          <w:sz w:val="24"/>
          <w:szCs w:val="24"/>
        </w:rPr>
        <w:t xml:space="preserve">141.500, </w:t>
      </w:r>
      <w:r w:rsidRPr="004B5EDF" w:rsidR="002E6F00">
        <w:rPr>
          <w:rFonts w:ascii="Times New Roman" w:eastAsia="Times New Roman" w:hAnsi="Times New Roman" w:cs="Times New Roman"/>
          <w:sz w:val="24"/>
          <w:szCs w:val="24"/>
        </w:rPr>
        <w:t>260.400, and 357.5</w:t>
      </w:r>
      <w:r w:rsidRPr="004B5EDF">
        <w:rPr>
          <w:rFonts w:ascii="Times New Roman" w:eastAsia="Times New Roman" w:hAnsi="Times New Roman" w:cs="Times New Roman"/>
          <w:sz w:val="24"/>
          <w:szCs w:val="24"/>
        </w:rPr>
        <w:t xml:space="preserve"> provide</w:t>
      </w:r>
      <w:r w:rsidRPr="004B5EDF" w:rsidR="00225CAB">
        <w:rPr>
          <w:rFonts w:ascii="Times New Roman" w:eastAsia="Times New Roman" w:hAnsi="Times New Roman" w:cs="Times New Roman"/>
          <w:sz w:val="24"/>
          <w:szCs w:val="24"/>
        </w:rPr>
        <w:t xml:space="preserve"> for implementation of </w:t>
      </w:r>
      <w:r w:rsidRPr="004B5EDF" w:rsidR="00287FD8">
        <w:rPr>
          <w:rFonts w:ascii="Times New Roman" w:eastAsia="Times New Roman" w:hAnsi="Times New Roman" w:cs="Times New Roman"/>
          <w:sz w:val="24"/>
          <w:szCs w:val="24"/>
        </w:rPr>
        <w:t xml:space="preserve">this information collection in accordance with </w:t>
      </w:r>
      <w:r w:rsidRPr="004B5EDF" w:rsidR="00225CAB">
        <w:rPr>
          <w:rFonts w:ascii="Times New Roman" w:eastAsia="Times New Roman" w:hAnsi="Times New Roman" w:cs="Times New Roman"/>
          <w:sz w:val="24"/>
          <w:szCs w:val="24"/>
        </w:rPr>
        <w:t xml:space="preserve">these </w:t>
      </w:r>
      <w:r w:rsidRPr="004B5EDF" w:rsidR="00C92D3A">
        <w:rPr>
          <w:rFonts w:ascii="Times New Roman" w:eastAsia="Times New Roman" w:hAnsi="Times New Roman" w:cs="Times New Roman"/>
          <w:sz w:val="24"/>
          <w:szCs w:val="24"/>
        </w:rPr>
        <w:t>statutes</w:t>
      </w:r>
      <w:r w:rsidRPr="004B5EDF" w:rsidR="009E5C12">
        <w:rPr>
          <w:rFonts w:ascii="Times New Roman" w:eastAsia="Times New Roman" w:hAnsi="Times New Roman" w:cs="Times New Roman"/>
          <w:sz w:val="24"/>
          <w:szCs w:val="24"/>
        </w:rPr>
        <w:t>.</w:t>
      </w:r>
      <w:r w:rsidR="00DA3432">
        <w:rPr>
          <w:rFonts w:ascii="Times New Roman" w:eastAsia="Times New Roman" w:hAnsi="Times New Roman" w:cs="Times New Roman"/>
          <w:sz w:val="24"/>
          <w:szCs w:val="24"/>
        </w:rPr>
        <w:t xml:space="preserve"> </w:t>
      </w:r>
      <w:r w:rsidRPr="004B5EDF" w:rsidR="009E5C12">
        <w:rPr>
          <w:rFonts w:ascii="Times New Roman" w:eastAsia="Times New Roman" w:hAnsi="Times New Roman" w:cs="Times New Roman"/>
          <w:sz w:val="24"/>
          <w:szCs w:val="24"/>
        </w:rPr>
        <w:t xml:space="preserve">These regulations </w:t>
      </w:r>
      <w:r w:rsidRPr="004B5EDF" w:rsidR="00D00362">
        <w:rPr>
          <w:rFonts w:ascii="Times New Roman" w:eastAsia="Times New Roman" w:hAnsi="Times New Roman" w:cs="Times New Roman"/>
          <w:sz w:val="24"/>
          <w:szCs w:val="24"/>
        </w:rPr>
        <w:t xml:space="preserve">apply </w:t>
      </w:r>
      <w:r w:rsidRPr="004B5EDF" w:rsidR="00A55E3C">
        <w:rPr>
          <w:rFonts w:ascii="Times New Roman" w:eastAsia="Times New Roman" w:hAnsi="Times New Roman" w:cs="Times New Roman"/>
          <w:sz w:val="24"/>
          <w:szCs w:val="24"/>
        </w:rPr>
        <w:t xml:space="preserve">to FERC-regulated entities </w:t>
      </w:r>
      <w:r w:rsidRPr="004B5EDF" w:rsidR="00874A90">
        <w:rPr>
          <w:rFonts w:ascii="Times New Roman" w:eastAsia="Times New Roman" w:hAnsi="Times New Roman" w:cs="Times New Roman"/>
          <w:sz w:val="24"/>
          <w:szCs w:val="24"/>
        </w:rPr>
        <w:t>that are subject to the Commission’s Uniform System of Accounts and that participate in cash management programs</w:t>
      </w:r>
      <w:r w:rsidRPr="004B5EDF" w:rsidR="003B43C3">
        <w:rPr>
          <w:rFonts w:ascii="Times New Roman" w:eastAsia="Times New Roman" w:hAnsi="Times New Roman" w:cs="Times New Roman"/>
          <w:sz w:val="24"/>
          <w:szCs w:val="24"/>
        </w:rPr>
        <w:t>.</w:t>
      </w:r>
    </w:p>
    <w:p w:rsidR="00296AAE" w:rsidRPr="004B5EDF" w:rsidP="00D3795C" w14:paraId="3F660DC1" w14:textId="279D99C0">
      <w:pPr>
        <w:widowControl w:val="0"/>
        <w:autoSpaceDE w:val="0"/>
        <w:autoSpaceDN w:val="0"/>
        <w:adjustRightInd w:val="0"/>
        <w:spacing w:after="0" w:line="240" w:lineRule="auto"/>
        <w:rPr>
          <w:rFonts w:ascii="Times New Roman" w:eastAsia="Times New Roman" w:hAnsi="Times New Roman" w:cs="Times New Roman"/>
          <w:sz w:val="24"/>
          <w:szCs w:val="24"/>
        </w:rPr>
      </w:pPr>
    </w:p>
    <w:p w:rsidR="00296AAE" w:rsidRPr="004B5EDF" w:rsidP="00D3795C" w14:paraId="64201604" w14:textId="6DEEC297">
      <w:pPr>
        <w:widowControl w:val="0"/>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 xml:space="preserve">The pertinent regulations </w:t>
      </w:r>
      <w:r w:rsidRPr="004B5EDF" w:rsidR="003603E7">
        <w:rPr>
          <w:rFonts w:ascii="Times New Roman" w:eastAsia="Times New Roman" w:hAnsi="Times New Roman" w:cs="Times New Roman"/>
          <w:sz w:val="24"/>
          <w:szCs w:val="24"/>
        </w:rPr>
        <w:t xml:space="preserve">require </w:t>
      </w:r>
      <w:r w:rsidRPr="004B5EDF" w:rsidR="008A70A2">
        <w:rPr>
          <w:rFonts w:ascii="Times New Roman" w:eastAsia="Times New Roman" w:hAnsi="Times New Roman" w:cs="Times New Roman"/>
          <w:sz w:val="24"/>
          <w:szCs w:val="24"/>
        </w:rPr>
        <w:t>each</w:t>
      </w:r>
      <w:r w:rsidRPr="004B5EDF" w:rsidR="003603E7">
        <w:rPr>
          <w:rFonts w:ascii="Times New Roman" w:eastAsia="Times New Roman" w:hAnsi="Times New Roman" w:cs="Times New Roman"/>
          <w:sz w:val="24"/>
          <w:szCs w:val="24"/>
        </w:rPr>
        <w:t xml:space="preserve"> affected entit</w:t>
      </w:r>
      <w:r w:rsidRPr="004B5EDF" w:rsidR="008A70A2">
        <w:rPr>
          <w:rFonts w:ascii="Times New Roman" w:eastAsia="Times New Roman" w:hAnsi="Times New Roman" w:cs="Times New Roman"/>
          <w:sz w:val="24"/>
          <w:szCs w:val="24"/>
        </w:rPr>
        <w:t>y</w:t>
      </w:r>
      <w:r w:rsidRPr="004B5EDF" w:rsidR="003603E7">
        <w:rPr>
          <w:rFonts w:ascii="Times New Roman" w:eastAsia="Times New Roman" w:hAnsi="Times New Roman" w:cs="Times New Roman"/>
          <w:sz w:val="24"/>
          <w:szCs w:val="24"/>
        </w:rPr>
        <w:t xml:space="preserve"> to </w:t>
      </w:r>
      <w:r w:rsidRPr="004B5EDF" w:rsidR="00F12F69">
        <w:rPr>
          <w:rFonts w:ascii="Times New Roman" w:eastAsia="Times New Roman" w:hAnsi="Times New Roman" w:cs="Times New Roman"/>
          <w:sz w:val="24"/>
          <w:szCs w:val="24"/>
        </w:rPr>
        <w:t xml:space="preserve">file “cash management agreements” with the Commission </w:t>
      </w:r>
      <w:r w:rsidRPr="004B5EDF" w:rsidR="00D622C4">
        <w:rPr>
          <w:rFonts w:ascii="Times New Roman" w:eastAsia="Times New Roman" w:hAnsi="Times New Roman" w:cs="Times New Roman"/>
          <w:sz w:val="24"/>
          <w:szCs w:val="24"/>
        </w:rPr>
        <w:t xml:space="preserve">within </w:t>
      </w:r>
      <w:r w:rsidRPr="004B5EDF" w:rsidR="008A70A2">
        <w:rPr>
          <w:rFonts w:ascii="Times New Roman" w:eastAsia="Times New Roman" w:hAnsi="Times New Roman" w:cs="Times New Roman"/>
          <w:sz w:val="24"/>
          <w:szCs w:val="24"/>
        </w:rPr>
        <w:t xml:space="preserve">10 days of the </w:t>
      </w:r>
      <w:r w:rsidRPr="004B5EDF" w:rsidR="002A402E">
        <w:rPr>
          <w:rFonts w:ascii="Times New Roman" w:eastAsia="Times New Roman" w:hAnsi="Times New Roman" w:cs="Times New Roman"/>
          <w:sz w:val="24"/>
          <w:szCs w:val="24"/>
        </w:rPr>
        <w:t xml:space="preserve">entity’s entry into </w:t>
      </w:r>
      <w:r w:rsidRPr="004B5EDF" w:rsidR="00227C96">
        <w:rPr>
          <w:rFonts w:ascii="Times New Roman" w:eastAsia="Times New Roman" w:hAnsi="Times New Roman" w:cs="Times New Roman"/>
          <w:sz w:val="24"/>
          <w:szCs w:val="24"/>
        </w:rPr>
        <w:t>a cash management program.</w:t>
      </w:r>
      <w:r w:rsidRPr="004B5EDF" w:rsidR="003552A1">
        <w:rPr>
          <w:rFonts w:ascii="Times New Roman" w:eastAsia="Times New Roman" w:hAnsi="Times New Roman" w:cs="Times New Roman"/>
          <w:sz w:val="24"/>
          <w:szCs w:val="24"/>
        </w:rPr>
        <w:t xml:space="preserve"> </w:t>
      </w:r>
      <w:r w:rsidRPr="004B5EDF" w:rsidR="00227C96">
        <w:rPr>
          <w:rFonts w:ascii="Times New Roman" w:eastAsia="Times New Roman" w:hAnsi="Times New Roman" w:cs="Times New Roman"/>
          <w:sz w:val="24"/>
          <w:szCs w:val="24"/>
        </w:rPr>
        <w:t xml:space="preserve">The regulations also require </w:t>
      </w:r>
      <w:r w:rsidRPr="004B5EDF" w:rsidR="00AE1DB1">
        <w:rPr>
          <w:rFonts w:ascii="Times New Roman" w:eastAsia="Times New Roman" w:hAnsi="Times New Roman" w:cs="Times New Roman"/>
          <w:sz w:val="24"/>
          <w:szCs w:val="24"/>
        </w:rPr>
        <w:t xml:space="preserve">that any subsequent change </w:t>
      </w:r>
      <w:r w:rsidRPr="004B5EDF" w:rsidR="002237A5">
        <w:rPr>
          <w:rFonts w:ascii="Times New Roman" w:eastAsia="Times New Roman" w:hAnsi="Times New Roman" w:cs="Times New Roman"/>
          <w:sz w:val="24"/>
          <w:szCs w:val="24"/>
        </w:rPr>
        <w:t xml:space="preserve">in a cash management agreement </w:t>
      </w:r>
      <w:r w:rsidRPr="004B5EDF" w:rsidR="00AE1DB1">
        <w:rPr>
          <w:rFonts w:ascii="Times New Roman" w:eastAsia="Times New Roman" w:hAnsi="Times New Roman" w:cs="Times New Roman"/>
          <w:sz w:val="24"/>
          <w:szCs w:val="24"/>
        </w:rPr>
        <w:t xml:space="preserve">be filed with the Commission within 10 days of </w:t>
      </w:r>
      <w:r w:rsidRPr="004B5EDF" w:rsidR="00A16BD0">
        <w:rPr>
          <w:rFonts w:ascii="Times New Roman" w:eastAsia="Times New Roman" w:hAnsi="Times New Roman" w:cs="Times New Roman"/>
          <w:sz w:val="24"/>
          <w:szCs w:val="24"/>
        </w:rPr>
        <w:t xml:space="preserve">the </w:t>
      </w:r>
      <w:r w:rsidRPr="004B5EDF" w:rsidR="00AE1DB1">
        <w:rPr>
          <w:rFonts w:ascii="Times New Roman" w:eastAsia="Times New Roman" w:hAnsi="Times New Roman" w:cs="Times New Roman"/>
          <w:sz w:val="24"/>
          <w:szCs w:val="24"/>
        </w:rPr>
        <w:t>change</w:t>
      </w:r>
      <w:r w:rsidRPr="004B5EDF" w:rsidR="00A16BD0">
        <w:rPr>
          <w:rFonts w:ascii="Times New Roman" w:eastAsia="Times New Roman" w:hAnsi="Times New Roman" w:cs="Times New Roman"/>
          <w:sz w:val="24"/>
          <w:szCs w:val="24"/>
        </w:rPr>
        <w:t>.</w:t>
      </w:r>
    </w:p>
    <w:p w:rsidR="00A55E3C" w:rsidRPr="004B5EDF" w:rsidP="00D3795C" w14:paraId="0FA681FC" w14:textId="426F5D20">
      <w:pPr>
        <w:widowControl w:val="0"/>
        <w:autoSpaceDE w:val="0"/>
        <w:autoSpaceDN w:val="0"/>
        <w:adjustRightInd w:val="0"/>
        <w:spacing w:after="0" w:line="240" w:lineRule="auto"/>
        <w:rPr>
          <w:rFonts w:ascii="Times New Roman" w:eastAsia="Times New Roman" w:hAnsi="Times New Roman" w:cs="Times New Roman"/>
          <w:sz w:val="24"/>
          <w:szCs w:val="24"/>
        </w:rPr>
      </w:pPr>
    </w:p>
    <w:p w:rsidR="00E00261" w:rsidRPr="004B5EDF" w:rsidP="00D3795C" w14:paraId="63B152A9" w14:textId="434C3D58">
      <w:pPr>
        <w:widowControl w:val="0"/>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 xml:space="preserve">The Commission promulgated these regulations in 2003 </w:t>
      </w:r>
      <w:r w:rsidRPr="004B5EDF" w:rsidR="00867A99">
        <w:rPr>
          <w:rFonts w:ascii="Times New Roman" w:eastAsia="Times New Roman" w:hAnsi="Times New Roman" w:cs="Times New Roman"/>
          <w:sz w:val="24"/>
          <w:szCs w:val="24"/>
        </w:rPr>
        <w:t>upon determining that these reporting requirements are needed to</w:t>
      </w:r>
      <w:r w:rsidRPr="004B5EDF">
        <w:rPr>
          <w:rFonts w:ascii="Times New Roman" w:eastAsia="Times New Roman" w:hAnsi="Times New Roman" w:cs="Times New Roman"/>
          <w:sz w:val="24"/>
          <w:szCs w:val="24"/>
        </w:rPr>
        <w:t>:</w:t>
      </w:r>
    </w:p>
    <w:p w:rsidR="00B1427E" w:rsidRPr="004B5EDF" w:rsidP="00D3795C" w14:paraId="5EDA2B3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3F0A2E" w:rsidRPr="004B5EDF" w:rsidP="00E00261" w14:paraId="45547834" w14:textId="500FF782">
      <w:pPr>
        <w:pStyle w:val="ListParagraph"/>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E</w:t>
      </w:r>
      <w:r w:rsidRPr="004B5EDF" w:rsidR="00867A99">
        <w:rPr>
          <w:rFonts w:ascii="Times New Roman" w:eastAsia="Times New Roman" w:hAnsi="Times New Roman" w:cs="Times New Roman"/>
          <w:sz w:val="24"/>
          <w:szCs w:val="24"/>
        </w:rPr>
        <w:t xml:space="preserve">nsure that rates paid by the customers </w:t>
      </w:r>
      <w:r w:rsidRPr="004B5EDF" w:rsidR="00872D35">
        <w:rPr>
          <w:rFonts w:ascii="Times New Roman" w:eastAsia="Times New Roman" w:hAnsi="Times New Roman" w:cs="Times New Roman"/>
          <w:sz w:val="24"/>
          <w:szCs w:val="24"/>
        </w:rPr>
        <w:t>of FERC-regulated entities are just and reasonable</w:t>
      </w:r>
      <w:r w:rsidRPr="004B5EDF" w:rsidR="00A2023E">
        <w:rPr>
          <w:rFonts w:ascii="Times New Roman" w:eastAsia="Times New Roman" w:hAnsi="Times New Roman" w:cs="Times New Roman"/>
          <w:sz w:val="24"/>
          <w:szCs w:val="24"/>
        </w:rPr>
        <w:t>;</w:t>
      </w:r>
    </w:p>
    <w:p w:rsidR="00A2023E" w:rsidRPr="004B5EDF" w:rsidP="00E00261" w14:paraId="0F9718E9" w14:textId="3B0483B5">
      <w:pPr>
        <w:pStyle w:val="ListParagraph"/>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Aid the Com</w:t>
      </w:r>
      <w:r w:rsidRPr="004B5EDF" w:rsidR="00697DB0">
        <w:rPr>
          <w:rFonts w:ascii="Times New Roman" w:eastAsia="Times New Roman" w:hAnsi="Times New Roman" w:cs="Times New Roman"/>
          <w:sz w:val="24"/>
          <w:szCs w:val="24"/>
        </w:rPr>
        <w:t>m</w:t>
      </w:r>
      <w:r w:rsidRPr="004B5EDF">
        <w:rPr>
          <w:rFonts w:ascii="Times New Roman" w:eastAsia="Times New Roman" w:hAnsi="Times New Roman" w:cs="Times New Roman"/>
          <w:sz w:val="24"/>
          <w:szCs w:val="24"/>
        </w:rPr>
        <w:t>ission in meeting its oversight and m</w:t>
      </w:r>
      <w:r w:rsidRPr="004B5EDF" w:rsidR="00697DB0">
        <w:rPr>
          <w:rFonts w:ascii="Times New Roman" w:eastAsia="Times New Roman" w:hAnsi="Times New Roman" w:cs="Times New Roman"/>
          <w:sz w:val="24"/>
          <w:szCs w:val="24"/>
        </w:rPr>
        <w:t>arket monitoring obligations; and</w:t>
      </w:r>
    </w:p>
    <w:p w:rsidR="00697DB0" w:rsidRPr="004B5EDF" w:rsidP="00E00261" w14:paraId="3784BE28" w14:textId="2E68DDBF">
      <w:pPr>
        <w:pStyle w:val="ListParagraph"/>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Benefit the investing public.</w:t>
      </w:r>
      <w:r>
        <w:rPr>
          <w:rStyle w:val="FootnoteReference"/>
          <w:rFonts w:ascii="Times New Roman" w:eastAsia="Times New Roman" w:hAnsi="Times New Roman" w:cs="Times New Roman"/>
          <w:sz w:val="24"/>
          <w:szCs w:val="24"/>
          <w:vertAlign w:val="superscript"/>
        </w:rPr>
        <w:footnoteReference w:id="3"/>
      </w:r>
    </w:p>
    <w:p w:rsidR="005C21FB" w:rsidRPr="004B5EDF" w:rsidP="00D3795C" w14:paraId="108538D9" w14:textId="77777777">
      <w:pPr>
        <w:tabs>
          <w:tab w:val="left" w:pos="720"/>
          <w:tab w:val="left" w:pos="4860"/>
        </w:tabs>
        <w:spacing w:after="0" w:line="240" w:lineRule="auto"/>
        <w:rPr>
          <w:rFonts w:ascii="Times New Roman" w:eastAsia="Times New Roman" w:hAnsi="Times New Roman" w:cs="Times New Roman"/>
          <w:sz w:val="24"/>
          <w:szCs w:val="24"/>
        </w:rPr>
      </w:pPr>
    </w:p>
    <w:p w:rsidR="00D3795C" w:rsidRPr="004B5EDF" w:rsidP="00D3795C" w14:paraId="41D3625C" w14:textId="77777777">
      <w:pPr>
        <w:widowControl w:val="0"/>
        <w:numPr>
          <w:ilvl w:val="0"/>
          <w:numId w:val="1"/>
        </w:numPr>
        <w:tabs>
          <w:tab w:val="left" w:pos="720"/>
          <w:tab w:val="left" w:pos="4860"/>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b/>
          <w:sz w:val="24"/>
          <w:szCs w:val="24"/>
        </w:rPr>
        <w:t>HOW, BY WHOM AND FOR WHAT PURPOSE IS THE INFORMATION USED AND THE CONSEQUENCES OF NOT COLLECTING THE INFORMATION</w:t>
      </w:r>
    </w:p>
    <w:p w:rsidR="00666A05" w:rsidRPr="004B5EDF" w:rsidP="00A41D1A" w14:paraId="5BD6BA0A" w14:textId="77777777">
      <w:pPr>
        <w:pStyle w:val="FootnoteText"/>
        <w:rPr>
          <w:sz w:val="24"/>
          <w:szCs w:val="24"/>
        </w:rPr>
      </w:pPr>
    </w:p>
    <w:p w:rsidR="00A41D1A" w:rsidRPr="004B5EDF" w:rsidP="00F65011" w14:paraId="731F0853" w14:textId="66974570">
      <w:pPr>
        <w:pStyle w:val="FootnoteText"/>
        <w:rPr>
          <w:sz w:val="24"/>
          <w:szCs w:val="24"/>
        </w:rPr>
      </w:pPr>
      <w:r w:rsidRPr="004B5EDF">
        <w:rPr>
          <w:sz w:val="24"/>
          <w:szCs w:val="24"/>
        </w:rPr>
        <w:t xml:space="preserve">Cash management or </w:t>
      </w:r>
      <w:r w:rsidRPr="004B5EDF" w:rsidR="00CD37DE">
        <w:rPr>
          <w:sz w:val="24"/>
          <w:szCs w:val="24"/>
        </w:rPr>
        <w:t>“</w:t>
      </w:r>
      <w:r w:rsidRPr="004B5EDF">
        <w:rPr>
          <w:sz w:val="24"/>
          <w:szCs w:val="24"/>
        </w:rPr>
        <w:t>money pool</w:t>
      </w:r>
      <w:r w:rsidRPr="004B5EDF" w:rsidR="00CD37DE">
        <w:rPr>
          <w:sz w:val="24"/>
          <w:szCs w:val="24"/>
        </w:rPr>
        <w:t>”</w:t>
      </w:r>
      <w:r w:rsidRPr="004B5EDF">
        <w:rPr>
          <w:sz w:val="24"/>
          <w:szCs w:val="24"/>
        </w:rPr>
        <w:t xml:space="preserve"> programs typically concentrate affiliates’ cash assets in joint accounts for the purpose of providing financial flexibility and lowering the cost of borrowing.</w:t>
      </w:r>
      <w:r w:rsidR="00DA3432">
        <w:rPr>
          <w:sz w:val="24"/>
          <w:szCs w:val="24"/>
        </w:rPr>
        <w:t xml:space="preserve"> </w:t>
      </w:r>
      <w:r w:rsidRPr="004B5EDF">
        <w:rPr>
          <w:sz w:val="24"/>
          <w:szCs w:val="24"/>
        </w:rPr>
        <w:t xml:space="preserve">Cash management agreements typically contain terms of repayment into a consolidated corporate-wide “money pool” from which money </w:t>
      </w:r>
      <w:r w:rsidRPr="004B5EDF" w:rsidR="007E3A2D">
        <w:rPr>
          <w:sz w:val="24"/>
          <w:szCs w:val="24"/>
        </w:rPr>
        <w:t>i</w:t>
      </w:r>
      <w:r w:rsidRPr="004B5EDF">
        <w:rPr>
          <w:sz w:val="24"/>
          <w:szCs w:val="24"/>
        </w:rPr>
        <w:t>s drawn by an operating company.</w:t>
      </w:r>
      <w:r w:rsidR="00DA3432">
        <w:rPr>
          <w:sz w:val="24"/>
          <w:szCs w:val="24"/>
        </w:rPr>
        <w:t xml:space="preserve"> </w:t>
      </w:r>
      <w:r w:rsidRPr="004B5EDF">
        <w:rPr>
          <w:sz w:val="24"/>
          <w:szCs w:val="24"/>
        </w:rPr>
        <w:t xml:space="preserve">Terms </w:t>
      </w:r>
      <w:r w:rsidRPr="004B5EDF" w:rsidR="00666A05">
        <w:rPr>
          <w:sz w:val="24"/>
          <w:szCs w:val="24"/>
        </w:rPr>
        <w:t>may</w:t>
      </w:r>
      <w:r w:rsidRPr="004B5EDF">
        <w:rPr>
          <w:sz w:val="24"/>
          <w:szCs w:val="24"/>
        </w:rPr>
        <w:t xml:space="preserve"> include timing of repayment, maximum/minimum draws, interest rates, and potentially covenants/conditions that the drawing company must maintain.</w:t>
      </w:r>
      <w:r w:rsidR="00DA3432">
        <w:rPr>
          <w:sz w:val="24"/>
          <w:szCs w:val="24"/>
        </w:rPr>
        <w:t xml:space="preserve"> </w:t>
      </w:r>
      <w:r w:rsidRPr="004B5EDF">
        <w:rPr>
          <w:sz w:val="24"/>
          <w:szCs w:val="24"/>
        </w:rPr>
        <w:t xml:space="preserve">There are various aspects of these terms that affect whether an </w:t>
      </w:r>
      <w:r w:rsidRPr="004B5EDF" w:rsidR="69B65DE9">
        <w:rPr>
          <w:sz w:val="24"/>
          <w:szCs w:val="24"/>
        </w:rPr>
        <w:t>entity</w:t>
      </w:r>
      <w:r w:rsidRPr="004B5EDF">
        <w:rPr>
          <w:sz w:val="24"/>
          <w:szCs w:val="24"/>
        </w:rPr>
        <w:t xml:space="preserve"> is charging just and reasonable rates.</w:t>
      </w:r>
      <w:r w:rsidR="00DA3432">
        <w:rPr>
          <w:sz w:val="24"/>
          <w:szCs w:val="24"/>
        </w:rPr>
        <w:t xml:space="preserve"> </w:t>
      </w:r>
      <w:r w:rsidRPr="004B5EDF">
        <w:rPr>
          <w:sz w:val="24"/>
          <w:szCs w:val="24"/>
        </w:rPr>
        <w:t xml:space="preserve">For example, the interest rate on these draws </w:t>
      </w:r>
      <w:r w:rsidRPr="004B5EDF" w:rsidR="1692F7A2">
        <w:rPr>
          <w:sz w:val="24"/>
          <w:szCs w:val="24"/>
        </w:rPr>
        <w:t>is</w:t>
      </w:r>
      <w:r w:rsidRPr="004B5EDF">
        <w:rPr>
          <w:sz w:val="24"/>
          <w:szCs w:val="24"/>
        </w:rPr>
        <w:t xml:space="preserve"> typically considered </w:t>
      </w:r>
      <w:r w:rsidRPr="004B5EDF" w:rsidR="27577377">
        <w:rPr>
          <w:sz w:val="24"/>
          <w:szCs w:val="24"/>
        </w:rPr>
        <w:t xml:space="preserve">a </w:t>
      </w:r>
      <w:r w:rsidRPr="004B5EDF">
        <w:rPr>
          <w:sz w:val="24"/>
          <w:szCs w:val="24"/>
        </w:rPr>
        <w:t xml:space="preserve">short-term interest rate, which </w:t>
      </w:r>
      <w:r w:rsidRPr="004B5EDF" w:rsidR="0A77D498">
        <w:rPr>
          <w:sz w:val="24"/>
          <w:szCs w:val="24"/>
        </w:rPr>
        <w:t>is</w:t>
      </w:r>
      <w:r w:rsidRPr="004B5EDF">
        <w:rPr>
          <w:sz w:val="24"/>
          <w:szCs w:val="24"/>
        </w:rPr>
        <w:t xml:space="preserve"> factored into calculating a utility’s cost of financing construction projects (i.e., increases revenue requirements).</w:t>
      </w:r>
    </w:p>
    <w:p w:rsidR="00A41D1A" w:rsidRPr="004B5EDF" w:rsidP="00D3795C" w14:paraId="1E37552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3795C" w:rsidRPr="004B5EDF" w:rsidP="00D3795C" w14:paraId="6CE46E63" w14:textId="4623C483">
      <w:pPr>
        <w:widowControl w:val="0"/>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If FERC did not collect the information</w:t>
      </w:r>
      <w:r w:rsidRPr="004B5EDF" w:rsidR="002C5FAD">
        <w:rPr>
          <w:rFonts w:ascii="Times New Roman" w:eastAsia="Times New Roman" w:hAnsi="Times New Roman" w:cs="Times New Roman"/>
          <w:sz w:val="24"/>
          <w:szCs w:val="24"/>
        </w:rPr>
        <w:t>,</w:t>
      </w:r>
      <w:r w:rsidRPr="004B5EDF">
        <w:rPr>
          <w:rFonts w:ascii="Times New Roman" w:eastAsia="Times New Roman" w:hAnsi="Times New Roman" w:cs="Times New Roman"/>
          <w:sz w:val="24"/>
          <w:szCs w:val="24"/>
        </w:rPr>
        <w:t xml:space="preserve"> the Commission would </w:t>
      </w:r>
      <w:r w:rsidRPr="004B5EDF" w:rsidR="009255BD">
        <w:rPr>
          <w:rFonts w:ascii="Times New Roman" w:eastAsia="Times New Roman" w:hAnsi="Times New Roman" w:cs="Times New Roman"/>
          <w:sz w:val="24"/>
          <w:szCs w:val="24"/>
        </w:rPr>
        <w:t>have difficulty</w:t>
      </w:r>
      <w:r w:rsidRPr="004B5EDF">
        <w:rPr>
          <w:rFonts w:ascii="Times New Roman" w:eastAsia="Times New Roman" w:hAnsi="Times New Roman" w:cs="Times New Roman"/>
          <w:sz w:val="24"/>
          <w:szCs w:val="24"/>
        </w:rPr>
        <w:t xml:space="preserve"> monitor</w:t>
      </w:r>
      <w:r w:rsidRPr="004B5EDF" w:rsidR="009969AD">
        <w:rPr>
          <w:rFonts w:ascii="Times New Roman" w:eastAsia="Times New Roman" w:hAnsi="Times New Roman" w:cs="Times New Roman"/>
          <w:sz w:val="24"/>
          <w:szCs w:val="24"/>
        </w:rPr>
        <w:t>ing</w:t>
      </w:r>
      <w:r w:rsidRPr="004B5EDF">
        <w:rPr>
          <w:rFonts w:ascii="Times New Roman" w:eastAsia="Times New Roman" w:hAnsi="Times New Roman" w:cs="Times New Roman"/>
          <w:sz w:val="24"/>
          <w:szCs w:val="24"/>
        </w:rPr>
        <w:t xml:space="preserve"> the</w:t>
      </w:r>
      <w:r w:rsidRPr="004B5EDF" w:rsidR="00907A52">
        <w:rPr>
          <w:rFonts w:ascii="Times New Roman" w:eastAsia="Times New Roman" w:hAnsi="Times New Roman" w:cs="Times New Roman"/>
          <w:sz w:val="24"/>
          <w:szCs w:val="24"/>
        </w:rPr>
        <w:t xml:space="preserve"> impacts of</w:t>
      </w:r>
      <w:r w:rsidRPr="004B5EDF">
        <w:rPr>
          <w:rFonts w:ascii="Times New Roman" w:eastAsia="Times New Roman" w:hAnsi="Times New Roman" w:cs="Times New Roman"/>
          <w:sz w:val="24"/>
          <w:szCs w:val="24"/>
        </w:rPr>
        <w:t xml:space="preserve"> cash management agreements</w:t>
      </w:r>
      <w:r w:rsidRPr="004B5EDF" w:rsidR="00907A52">
        <w:rPr>
          <w:rFonts w:ascii="Times New Roman" w:eastAsia="Times New Roman" w:hAnsi="Times New Roman" w:cs="Times New Roman"/>
          <w:sz w:val="24"/>
          <w:szCs w:val="24"/>
        </w:rPr>
        <w:t xml:space="preserve"> on </w:t>
      </w:r>
      <w:r w:rsidRPr="004B5EDF" w:rsidR="00FA1220">
        <w:rPr>
          <w:rFonts w:ascii="Times New Roman" w:eastAsia="Times New Roman" w:hAnsi="Times New Roman" w:cs="Times New Roman"/>
          <w:sz w:val="24"/>
          <w:szCs w:val="24"/>
        </w:rPr>
        <w:t>rates</w:t>
      </w:r>
      <w:r w:rsidRPr="004B5EDF" w:rsidR="001F6284">
        <w:rPr>
          <w:rFonts w:ascii="Times New Roman" w:eastAsia="Times New Roman" w:hAnsi="Times New Roman" w:cs="Times New Roman"/>
          <w:sz w:val="24"/>
          <w:szCs w:val="24"/>
        </w:rPr>
        <w:t>.</w:t>
      </w:r>
    </w:p>
    <w:p w:rsidR="00D3795C" w:rsidRPr="004B5EDF" w:rsidP="00D3795C" w14:paraId="126BB099" w14:textId="77777777">
      <w:pPr>
        <w:tabs>
          <w:tab w:val="left" w:pos="720"/>
          <w:tab w:val="left" w:pos="4860"/>
        </w:tabs>
        <w:spacing w:after="0" w:line="240" w:lineRule="auto"/>
        <w:rPr>
          <w:rFonts w:ascii="Times New Roman" w:eastAsia="Times New Roman" w:hAnsi="Times New Roman" w:cs="Times New Roman"/>
          <w:sz w:val="24"/>
          <w:szCs w:val="24"/>
        </w:rPr>
      </w:pPr>
    </w:p>
    <w:p w:rsidR="00D3795C" w:rsidRPr="004B5EDF" w:rsidP="00D3795C" w14:paraId="48628EF6" w14:textId="77777777">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b/>
          <w:sz w:val="24"/>
          <w:szCs w:val="24"/>
        </w:rPr>
        <w:t>DESCRIBE ANY CONSIDERATION OF THE USE OF IMPROVED INFORMATION TECHNOLOGY TO REDUCE BURDEN AND THE TECHNICAL OR LEGAL OBSTACLES TO REDUCING BURDEN</w:t>
      </w:r>
    </w:p>
    <w:p w:rsidR="00D3795C" w:rsidRPr="004B5EDF" w:rsidP="00D3795C" w14:paraId="081341B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3795C" w:rsidRPr="004B5EDF" w:rsidP="00D3795C" w14:paraId="65CDEFB6" w14:textId="13DD2EBB">
      <w:pPr>
        <w:widowControl w:val="0"/>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The Commission allows respondents to file the cash management agreements electronically.</w:t>
      </w:r>
      <w:r w:rsidR="00DA3432">
        <w:rPr>
          <w:rFonts w:ascii="Times New Roman" w:eastAsia="Times New Roman" w:hAnsi="Times New Roman" w:cs="Times New Roman"/>
          <w:sz w:val="24"/>
          <w:szCs w:val="24"/>
        </w:rPr>
        <w:t xml:space="preserve"> </w:t>
      </w:r>
      <w:r w:rsidRPr="004B5EDF">
        <w:rPr>
          <w:rFonts w:ascii="Times New Roman" w:eastAsia="Times New Roman" w:hAnsi="Times New Roman" w:cs="Times New Roman"/>
          <w:sz w:val="24"/>
          <w:szCs w:val="24"/>
        </w:rPr>
        <w:t>Based on the Commission’s eLibrary, the Commission estimates that all respondents are utilizing eFiling to submit their agreements.</w:t>
      </w:r>
    </w:p>
    <w:p w:rsidR="00D3795C" w:rsidRPr="004B5EDF" w:rsidP="00D3795C" w14:paraId="2872033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3795C" w:rsidRPr="004B5EDF" w:rsidP="00D3795C" w14:paraId="38F2369D" w14:textId="77777777">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b/>
          <w:sz w:val="24"/>
          <w:szCs w:val="24"/>
        </w:rPr>
        <w:t>DESCRIBE EFFORTS TO IDENTIFY DUPLICATON AND SHOW SPECIFICALLY WHY ANY SIMILAR INFORMATION ALREADY AVAILABLE CANNOT BE USED OR MODIFIED FOR USE FOR THE PURPOSE(S) DESCRIBED IN INSTRUCTION NO. 2.</w:t>
      </w:r>
    </w:p>
    <w:p w:rsidR="00D3795C" w:rsidRPr="004B5EDF" w:rsidP="00D3795C" w14:paraId="3F25F283" w14:textId="77777777">
      <w:pPr>
        <w:tabs>
          <w:tab w:val="left" w:pos="720"/>
        </w:tabs>
        <w:spacing w:after="0" w:line="240" w:lineRule="auto"/>
        <w:rPr>
          <w:rFonts w:ascii="Times New Roman" w:eastAsia="Times New Roman" w:hAnsi="Times New Roman" w:cs="Times New Roman"/>
          <w:b/>
          <w:sz w:val="24"/>
          <w:szCs w:val="24"/>
        </w:rPr>
      </w:pPr>
    </w:p>
    <w:p w:rsidR="00D3795C" w:rsidRPr="004B5EDF" w:rsidP="00D3795C" w14:paraId="2DD55E63" w14:textId="21FD0C3B">
      <w:pPr>
        <w:widowControl w:val="0"/>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The Commission initiated cash management program documentation and filing rules because the information was not available from other sources.</w:t>
      </w:r>
      <w:r w:rsidR="00DA3432">
        <w:rPr>
          <w:rFonts w:ascii="Times New Roman" w:eastAsia="Times New Roman" w:hAnsi="Times New Roman" w:cs="Times New Roman"/>
          <w:sz w:val="24"/>
          <w:szCs w:val="24"/>
        </w:rPr>
        <w:t xml:space="preserve"> </w:t>
      </w:r>
      <w:r w:rsidRPr="004B5EDF">
        <w:rPr>
          <w:rFonts w:ascii="Times New Roman" w:eastAsia="Times New Roman" w:hAnsi="Times New Roman" w:cs="Times New Roman"/>
          <w:sz w:val="24"/>
          <w:szCs w:val="24"/>
        </w:rPr>
        <w:t xml:space="preserve">The Securities </w:t>
      </w:r>
      <w:r w:rsidRPr="004B5EDF" w:rsidR="00FF27B1">
        <w:rPr>
          <w:rFonts w:ascii="Times New Roman" w:eastAsia="Times New Roman" w:hAnsi="Times New Roman" w:cs="Times New Roman"/>
          <w:sz w:val="24"/>
          <w:szCs w:val="24"/>
        </w:rPr>
        <w:t xml:space="preserve">and </w:t>
      </w:r>
      <w:r w:rsidRPr="004B5EDF">
        <w:rPr>
          <w:rFonts w:ascii="Times New Roman" w:eastAsia="Times New Roman" w:hAnsi="Times New Roman" w:cs="Times New Roman"/>
          <w:sz w:val="24"/>
          <w:szCs w:val="24"/>
        </w:rPr>
        <w:t>Exchange Commission sometimes requires holding companies (a small subset of the respondent universe) to file cash management agreements.</w:t>
      </w:r>
      <w:r w:rsidR="00DA3432">
        <w:rPr>
          <w:rFonts w:ascii="Times New Roman" w:eastAsia="Times New Roman" w:hAnsi="Times New Roman" w:cs="Times New Roman"/>
          <w:sz w:val="24"/>
          <w:szCs w:val="24"/>
        </w:rPr>
        <w:t xml:space="preserve"> </w:t>
      </w:r>
      <w:r w:rsidRPr="004B5EDF" w:rsidR="00BF2C0F">
        <w:rPr>
          <w:rFonts w:ascii="Times New Roman" w:eastAsia="Times New Roman" w:hAnsi="Times New Roman" w:cs="Times New Roman"/>
          <w:sz w:val="24"/>
          <w:szCs w:val="24"/>
        </w:rPr>
        <w:t>However</w:t>
      </w:r>
      <w:r w:rsidRPr="004B5EDF" w:rsidR="00B037B1">
        <w:rPr>
          <w:rFonts w:ascii="Times New Roman" w:eastAsia="Times New Roman" w:hAnsi="Times New Roman" w:cs="Times New Roman"/>
          <w:sz w:val="24"/>
          <w:szCs w:val="24"/>
        </w:rPr>
        <w:t xml:space="preserve">, FERC is the only agency that collects the needed information from </w:t>
      </w:r>
      <w:r w:rsidRPr="004B5EDF" w:rsidR="007E1B39">
        <w:rPr>
          <w:rFonts w:ascii="Times New Roman" w:eastAsia="Times New Roman" w:hAnsi="Times New Roman" w:cs="Times New Roman"/>
          <w:sz w:val="24"/>
          <w:szCs w:val="24"/>
        </w:rPr>
        <w:t>all the relevant entities.</w:t>
      </w:r>
    </w:p>
    <w:p w:rsidR="00D3795C" w:rsidRPr="004B5EDF" w:rsidP="00D3795C" w14:paraId="6D92CAC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3795C" w:rsidRPr="004B5EDF" w:rsidP="00D3795C" w14:paraId="2D0F2AB0" w14:textId="77777777">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b/>
          <w:sz w:val="24"/>
          <w:szCs w:val="24"/>
        </w:rPr>
        <w:t>METHODS USED TO MINIMIZE BURDEN IN COLLECTION OF INFORMATION INVOLVING SMALL ENTITIES</w:t>
      </w:r>
      <w:r w:rsidRPr="004B5EDF">
        <w:rPr>
          <w:rFonts w:ascii="Times New Roman" w:eastAsia="Times New Roman" w:hAnsi="Times New Roman" w:cs="Times New Roman"/>
          <w:sz w:val="24"/>
          <w:szCs w:val="24"/>
        </w:rPr>
        <w:t xml:space="preserve"> </w:t>
      </w:r>
    </w:p>
    <w:p w:rsidR="00D3795C" w:rsidRPr="004B5EDF" w:rsidP="00D3795C" w14:paraId="39E57CAD" w14:textId="77777777">
      <w:pPr>
        <w:autoSpaceDE w:val="0"/>
        <w:autoSpaceDN w:val="0"/>
        <w:adjustRightInd w:val="0"/>
        <w:spacing w:after="0" w:line="240" w:lineRule="auto"/>
        <w:ind w:left="1440"/>
        <w:rPr>
          <w:rFonts w:ascii="Times New Roman" w:eastAsia="Times New Roman" w:hAnsi="Times New Roman" w:cs="Times New Roman"/>
          <w:sz w:val="24"/>
          <w:szCs w:val="24"/>
        </w:rPr>
      </w:pPr>
    </w:p>
    <w:p w:rsidR="005C21FB" w:rsidP="20BEEA78" w14:paraId="3056F3EA" w14:textId="68457730">
      <w:pPr>
        <w:widowControl w:val="0"/>
        <w:spacing w:after="0" w:line="240" w:lineRule="auto"/>
        <w:rPr>
          <w:rFonts w:ascii="Times New Roman" w:eastAsia="Times New Roman" w:hAnsi="Times New Roman" w:cs="Times New Roman"/>
          <w:sz w:val="24"/>
          <w:szCs w:val="24"/>
        </w:rPr>
      </w:pPr>
      <w:r w:rsidRPr="20BEEA78">
        <w:rPr>
          <w:rFonts w:ascii="Times New Roman" w:eastAsia="Times New Roman" w:hAnsi="Times New Roman" w:cs="Times New Roman"/>
          <w:sz w:val="24"/>
          <w:szCs w:val="24"/>
        </w:rPr>
        <w:t>The Commission estimates that this collection requires 1.5 hours of burden per year per respondent.</w:t>
      </w:r>
      <w:r w:rsidRPr="20BEEA78" w:rsidR="00DA3432">
        <w:rPr>
          <w:rFonts w:ascii="Times New Roman" w:eastAsia="Times New Roman" w:hAnsi="Times New Roman" w:cs="Times New Roman"/>
          <w:sz w:val="24"/>
          <w:szCs w:val="24"/>
        </w:rPr>
        <w:t xml:space="preserve"> </w:t>
      </w:r>
      <w:r w:rsidRPr="20BEEA78">
        <w:rPr>
          <w:rFonts w:ascii="Times New Roman" w:eastAsia="Times New Roman" w:hAnsi="Times New Roman" w:cs="Times New Roman"/>
          <w:sz w:val="24"/>
          <w:szCs w:val="24"/>
        </w:rPr>
        <w:t>In fact, if a company does not participate in a cash management agreement or makes no changes to its existing agreement, there is no burden</w:t>
      </w:r>
      <w:r w:rsidRPr="20BEEA78" w:rsidR="00773CD5">
        <w:rPr>
          <w:rFonts w:ascii="Times New Roman" w:eastAsia="Times New Roman" w:hAnsi="Times New Roman" w:cs="Times New Roman"/>
          <w:sz w:val="24"/>
          <w:szCs w:val="24"/>
        </w:rPr>
        <w:t>.</w:t>
      </w:r>
      <w:r w:rsidRPr="20BEEA78" w:rsidR="00DA3432">
        <w:rPr>
          <w:rFonts w:ascii="Times New Roman" w:eastAsia="Times New Roman" w:hAnsi="Times New Roman" w:cs="Times New Roman"/>
          <w:sz w:val="24"/>
          <w:szCs w:val="24"/>
        </w:rPr>
        <w:t xml:space="preserve"> </w:t>
      </w:r>
      <w:r w:rsidRPr="20BEEA78">
        <w:rPr>
          <w:rFonts w:ascii="Times New Roman" w:eastAsia="Times New Roman" w:hAnsi="Times New Roman" w:cs="Times New Roman"/>
          <w:sz w:val="24"/>
          <w:szCs w:val="24"/>
        </w:rPr>
        <w:t>While the Commission does regulate small entities, it does not consider the minimal burden harmful to small entities.</w:t>
      </w:r>
    </w:p>
    <w:p w:rsidR="005C21FB" w:rsidRPr="004B5EDF" w:rsidP="005C21FB" w14:paraId="7835765E" w14:textId="77777777">
      <w:pPr>
        <w:tabs>
          <w:tab w:val="num" w:pos="0"/>
        </w:tabs>
        <w:spacing w:after="0" w:line="240" w:lineRule="auto"/>
        <w:rPr>
          <w:rFonts w:ascii="Times New Roman" w:eastAsia="Times New Roman" w:hAnsi="Times New Roman" w:cs="Times New Roman"/>
          <w:sz w:val="24"/>
          <w:szCs w:val="24"/>
        </w:rPr>
      </w:pPr>
    </w:p>
    <w:p w:rsidR="00D3795C" w:rsidRPr="004B5EDF" w:rsidP="00D3795C" w14:paraId="40F4E0EC" w14:textId="77777777">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b/>
          <w:sz w:val="24"/>
          <w:szCs w:val="24"/>
        </w:rPr>
        <w:t>CONSEQUENCE TO FEDERAL PROGRAM IF COLLECTION WERE CONDUCTED LESS FREQUENTLY</w:t>
      </w:r>
    </w:p>
    <w:p w:rsidR="00D3795C" w:rsidRPr="004B5EDF" w:rsidP="00D3795C" w14:paraId="0D658598" w14:textId="77777777">
      <w:pPr>
        <w:tabs>
          <w:tab w:val="left" w:pos="720"/>
        </w:tabs>
        <w:spacing w:after="0" w:line="240" w:lineRule="auto"/>
        <w:rPr>
          <w:rFonts w:ascii="Times New Roman" w:eastAsia="Times New Roman" w:hAnsi="Times New Roman" w:cs="Times New Roman"/>
          <w:b/>
          <w:sz w:val="24"/>
          <w:szCs w:val="24"/>
        </w:rPr>
      </w:pPr>
    </w:p>
    <w:p w:rsidR="00D3795C" w:rsidRPr="004B5EDF" w:rsidP="00D3795C" w14:paraId="0AC2D31E" w14:textId="7B80B399">
      <w:pPr>
        <w:widowControl w:val="0"/>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The Commission requires entities to file cash management agreements when such agreements are entered into or when there are changes to the agreements</w:t>
      </w:r>
      <w:r w:rsidRPr="004B5EDF" w:rsidR="00773CD5">
        <w:rPr>
          <w:rFonts w:ascii="Times New Roman" w:eastAsia="Times New Roman" w:hAnsi="Times New Roman" w:cs="Times New Roman"/>
          <w:sz w:val="24"/>
          <w:szCs w:val="24"/>
        </w:rPr>
        <w:t>.</w:t>
      </w:r>
      <w:r w:rsidR="00DA3432">
        <w:rPr>
          <w:rFonts w:ascii="Times New Roman" w:eastAsia="Times New Roman" w:hAnsi="Times New Roman" w:cs="Times New Roman"/>
          <w:sz w:val="24"/>
          <w:szCs w:val="24"/>
        </w:rPr>
        <w:t xml:space="preserve"> </w:t>
      </w:r>
      <w:r w:rsidRPr="004B5EDF">
        <w:rPr>
          <w:rFonts w:ascii="Times New Roman" w:eastAsia="Times New Roman" w:hAnsi="Times New Roman" w:cs="Times New Roman"/>
          <w:sz w:val="24"/>
          <w:szCs w:val="24"/>
        </w:rPr>
        <w:t>If the Commission delayed the filings</w:t>
      </w:r>
      <w:r w:rsidRPr="004B5EDF" w:rsidR="00D026A0">
        <w:rPr>
          <w:rFonts w:ascii="Times New Roman" w:eastAsia="Times New Roman" w:hAnsi="Times New Roman" w:cs="Times New Roman"/>
          <w:sz w:val="24"/>
          <w:szCs w:val="24"/>
        </w:rPr>
        <w:t>,</w:t>
      </w:r>
      <w:r w:rsidRPr="004B5EDF">
        <w:rPr>
          <w:rFonts w:ascii="Times New Roman" w:eastAsia="Times New Roman" w:hAnsi="Times New Roman" w:cs="Times New Roman"/>
          <w:sz w:val="24"/>
          <w:szCs w:val="24"/>
        </w:rPr>
        <w:t xml:space="preserve"> neither </w:t>
      </w:r>
      <w:r w:rsidRPr="004B5EDF" w:rsidR="006A320D">
        <w:rPr>
          <w:rFonts w:ascii="Times New Roman" w:eastAsia="Times New Roman" w:hAnsi="Times New Roman" w:cs="Times New Roman"/>
          <w:sz w:val="24"/>
          <w:szCs w:val="24"/>
        </w:rPr>
        <w:t xml:space="preserve">the </w:t>
      </w:r>
      <w:r w:rsidRPr="004B5EDF">
        <w:rPr>
          <w:rFonts w:ascii="Times New Roman" w:eastAsia="Times New Roman" w:hAnsi="Times New Roman" w:cs="Times New Roman"/>
          <w:sz w:val="24"/>
          <w:szCs w:val="24"/>
        </w:rPr>
        <w:t xml:space="preserve">Commission nor interested parties </w:t>
      </w:r>
      <w:r w:rsidRPr="004B5EDF" w:rsidR="00CC1CA7">
        <w:rPr>
          <w:rFonts w:ascii="Times New Roman" w:eastAsia="Times New Roman" w:hAnsi="Times New Roman" w:cs="Times New Roman"/>
          <w:sz w:val="24"/>
          <w:szCs w:val="24"/>
        </w:rPr>
        <w:t xml:space="preserve">would </w:t>
      </w:r>
      <w:r w:rsidRPr="004B5EDF">
        <w:rPr>
          <w:rFonts w:ascii="Times New Roman" w:eastAsia="Times New Roman" w:hAnsi="Times New Roman" w:cs="Times New Roman"/>
          <w:sz w:val="24"/>
          <w:szCs w:val="24"/>
        </w:rPr>
        <w:t>have access to current information regarding cash management agreements.</w:t>
      </w:r>
      <w:r w:rsidRPr="004B5EDF" w:rsidR="003552A1">
        <w:rPr>
          <w:rFonts w:ascii="Times New Roman" w:eastAsia="Times New Roman" w:hAnsi="Times New Roman" w:cs="Times New Roman"/>
          <w:sz w:val="24"/>
          <w:szCs w:val="24"/>
        </w:rPr>
        <w:t xml:space="preserve"> </w:t>
      </w:r>
    </w:p>
    <w:p w:rsidR="00D3795C" w:rsidRPr="004B5EDF" w:rsidP="00D3795C" w14:paraId="6F29D088" w14:textId="77777777">
      <w:pPr>
        <w:tabs>
          <w:tab w:val="left" w:pos="720"/>
        </w:tabs>
        <w:spacing w:after="0" w:line="240" w:lineRule="auto"/>
        <w:rPr>
          <w:rFonts w:ascii="Times New Roman" w:eastAsia="Times New Roman" w:hAnsi="Times New Roman" w:cs="Times New Roman"/>
          <w:sz w:val="24"/>
          <w:szCs w:val="24"/>
        </w:rPr>
      </w:pPr>
    </w:p>
    <w:p w:rsidR="00D3795C" w:rsidRPr="004B5EDF" w:rsidP="00D3795C" w14:paraId="3231D8CF" w14:textId="77777777">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b/>
          <w:sz w:val="24"/>
          <w:szCs w:val="24"/>
        </w:rPr>
        <w:t>EXPLAIN ANY SPECIAL CIRCUMSTANCES RELATING TO THE INFORMATION</w:t>
      </w:r>
    </w:p>
    <w:p w:rsidR="00D3795C" w:rsidRPr="004B5EDF" w:rsidP="00D3795C" w14:paraId="3D574A27" w14:textId="77777777">
      <w:pPr>
        <w:tabs>
          <w:tab w:val="left" w:pos="720"/>
        </w:tabs>
        <w:spacing w:after="0" w:line="240" w:lineRule="auto"/>
        <w:rPr>
          <w:rFonts w:ascii="Times New Roman" w:eastAsia="Times New Roman" w:hAnsi="Times New Roman" w:cs="Times New Roman"/>
          <w:b/>
          <w:sz w:val="24"/>
          <w:szCs w:val="24"/>
        </w:rPr>
      </w:pPr>
    </w:p>
    <w:p w:rsidR="00D3795C" w:rsidRPr="004B5EDF" w:rsidP="00D3795C" w14:paraId="58C4828C" w14:textId="55041B7E">
      <w:pPr>
        <w:widowControl w:val="0"/>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 xml:space="preserve">There </w:t>
      </w:r>
      <w:r w:rsidRPr="004B5EDF" w:rsidR="006A1229">
        <w:rPr>
          <w:rFonts w:ascii="Times New Roman" w:eastAsia="Times New Roman" w:hAnsi="Times New Roman" w:cs="Times New Roman"/>
          <w:sz w:val="24"/>
          <w:szCs w:val="24"/>
        </w:rPr>
        <w:t xml:space="preserve">could be </w:t>
      </w:r>
      <w:r w:rsidRPr="004B5EDF">
        <w:rPr>
          <w:rFonts w:ascii="Times New Roman" w:eastAsia="Times New Roman" w:hAnsi="Times New Roman" w:cs="Times New Roman"/>
          <w:sz w:val="24"/>
          <w:szCs w:val="24"/>
        </w:rPr>
        <w:t>special circumstance</w:t>
      </w:r>
      <w:r w:rsidRPr="004B5EDF" w:rsidR="001154F5">
        <w:rPr>
          <w:rFonts w:ascii="Times New Roman" w:eastAsia="Times New Roman" w:hAnsi="Times New Roman" w:cs="Times New Roman"/>
          <w:sz w:val="24"/>
          <w:szCs w:val="24"/>
        </w:rPr>
        <w:t xml:space="preserve">s because the relevant regulations </w:t>
      </w:r>
      <w:r w:rsidRPr="004B5EDF" w:rsidR="00D86CC7">
        <w:rPr>
          <w:rFonts w:ascii="Times New Roman" w:eastAsia="Times New Roman" w:hAnsi="Times New Roman" w:cs="Times New Roman"/>
          <w:sz w:val="24"/>
          <w:szCs w:val="24"/>
        </w:rPr>
        <w:t xml:space="preserve">require the filing </w:t>
      </w:r>
      <w:r w:rsidRPr="004B5EDF" w:rsidR="00852D44">
        <w:rPr>
          <w:rFonts w:ascii="Times New Roman" w:eastAsia="Times New Roman" w:hAnsi="Times New Roman" w:cs="Times New Roman"/>
          <w:sz w:val="24"/>
          <w:szCs w:val="24"/>
        </w:rPr>
        <w:t>of a cash management agreement within 10 days of a change</w:t>
      </w:r>
      <w:r w:rsidRPr="004B5EDF" w:rsidR="00773CD5">
        <w:rPr>
          <w:rFonts w:ascii="Times New Roman" w:eastAsia="Times New Roman" w:hAnsi="Times New Roman" w:cs="Times New Roman"/>
          <w:sz w:val="24"/>
          <w:szCs w:val="24"/>
        </w:rPr>
        <w:t>.</w:t>
      </w:r>
      <w:r w:rsidR="00DA3432">
        <w:rPr>
          <w:rFonts w:ascii="Times New Roman" w:eastAsia="Times New Roman" w:hAnsi="Times New Roman" w:cs="Times New Roman"/>
          <w:sz w:val="24"/>
          <w:szCs w:val="24"/>
        </w:rPr>
        <w:t xml:space="preserve"> </w:t>
      </w:r>
      <w:r w:rsidRPr="004B5EDF" w:rsidR="00DE6721">
        <w:rPr>
          <w:rFonts w:ascii="Times New Roman" w:eastAsia="Times New Roman" w:hAnsi="Times New Roman" w:cs="Times New Roman"/>
          <w:sz w:val="24"/>
          <w:szCs w:val="24"/>
        </w:rPr>
        <w:t xml:space="preserve">If </w:t>
      </w:r>
      <w:r w:rsidRPr="004B5EDF" w:rsidR="00AA00BD">
        <w:rPr>
          <w:rFonts w:ascii="Times New Roman" w:eastAsia="Times New Roman" w:hAnsi="Times New Roman" w:cs="Times New Roman"/>
          <w:sz w:val="24"/>
          <w:szCs w:val="24"/>
        </w:rPr>
        <w:t xml:space="preserve">a cash management agreement is changed </w:t>
      </w:r>
      <w:r w:rsidRPr="004B5EDF" w:rsidR="00CD37DE">
        <w:rPr>
          <w:rFonts w:ascii="Times New Roman" w:eastAsia="Times New Roman" w:hAnsi="Times New Roman" w:cs="Times New Roman"/>
          <w:sz w:val="24"/>
          <w:szCs w:val="24"/>
        </w:rPr>
        <w:t xml:space="preserve">frequently, </w:t>
      </w:r>
      <w:r w:rsidRPr="004B5EDF" w:rsidR="001F2A1D">
        <w:rPr>
          <w:rFonts w:ascii="Times New Roman" w:eastAsia="Times New Roman" w:hAnsi="Times New Roman" w:cs="Times New Roman"/>
          <w:sz w:val="24"/>
          <w:szCs w:val="24"/>
        </w:rPr>
        <w:t>the agreement wo</w:t>
      </w:r>
      <w:r w:rsidRPr="004B5EDF" w:rsidR="00CD37DE">
        <w:rPr>
          <w:rFonts w:ascii="Times New Roman" w:eastAsia="Times New Roman" w:hAnsi="Times New Roman" w:cs="Times New Roman"/>
          <w:sz w:val="24"/>
          <w:szCs w:val="24"/>
        </w:rPr>
        <w:t>u</w:t>
      </w:r>
      <w:r w:rsidRPr="004B5EDF" w:rsidR="001F2A1D">
        <w:rPr>
          <w:rFonts w:ascii="Times New Roman" w:eastAsia="Times New Roman" w:hAnsi="Times New Roman" w:cs="Times New Roman"/>
          <w:sz w:val="24"/>
          <w:szCs w:val="24"/>
        </w:rPr>
        <w:t xml:space="preserve">ld have to be filed more </w:t>
      </w:r>
      <w:r w:rsidRPr="004B5EDF" w:rsidR="00CD37DE">
        <w:rPr>
          <w:rFonts w:ascii="Times New Roman" w:eastAsia="Times New Roman" w:hAnsi="Times New Roman" w:cs="Times New Roman"/>
          <w:sz w:val="24"/>
          <w:szCs w:val="24"/>
        </w:rPr>
        <w:t>often</w:t>
      </w:r>
      <w:r w:rsidRPr="004B5EDF" w:rsidR="001F2A1D">
        <w:rPr>
          <w:rFonts w:ascii="Times New Roman" w:eastAsia="Times New Roman" w:hAnsi="Times New Roman" w:cs="Times New Roman"/>
          <w:sz w:val="24"/>
          <w:szCs w:val="24"/>
        </w:rPr>
        <w:t>.</w:t>
      </w:r>
      <w:r w:rsidRPr="004B5EDF">
        <w:rPr>
          <w:rFonts w:ascii="Times New Roman" w:eastAsia="Times New Roman" w:hAnsi="Times New Roman" w:cs="Times New Roman"/>
          <w:sz w:val="24"/>
          <w:szCs w:val="24"/>
        </w:rPr>
        <w:t xml:space="preserve"> </w:t>
      </w:r>
    </w:p>
    <w:p w:rsidR="00D3795C" w:rsidRPr="004B5EDF" w:rsidP="00D3795C" w14:paraId="05D12089" w14:textId="77777777">
      <w:pPr>
        <w:tabs>
          <w:tab w:val="left" w:pos="720"/>
        </w:tabs>
        <w:spacing w:after="0" w:line="240" w:lineRule="auto"/>
        <w:rPr>
          <w:rFonts w:ascii="Times New Roman" w:eastAsia="Times New Roman" w:hAnsi="Times New Roman" w:cs="Times New Roman"/>
          <w:sz w:val="24"/>
          <w:szCs w:val="24"/>
        </w:rPr>
      </w:pPr>
    </w:p>
    <w:p w:rsidR="00D3795C" w:rsidRPr="004B5EDF" w:rsidP="00D3795C" w14:paraId="42D9DBEB" w14:textId="77777777">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b/>
          <w:sz w:val="24"/>
          <w:szCs w:val="24"/>
        </w:rPr>
        <w:t>DESCRIBE EFFORTS TO CONSULT OUTSIDE THE AGENCY: SUMMARIZE PUBLIC COMMENTS AND THE AGENCY’S RESPONSE TO THESE COMMENTS</w:t>
      </w:r>
    </w:p>
    <w:p w:rsidR="00D3795C" w:rsidRPr="004B5EDF" w:rsidP="00D3795C" w14:paraId="3AD6B065" w14:textId="77777777">
      <w:pPr>
        <w:tabs>
          <w:tab w:val="left" w:pos="720"/>
        </w:tabs>
        <w:spacing w:after="0" w:line="240" w:lineRule="auto"/>
        <w:rPr>
          <w:rFonts w:ascii="Times New Roman" w:eastAsia="Times New Roman" w:hAnsi="Times New Roman" w:cs="Times New Roman"/>
          <w:b/>
          <w:sz w:val="24"/>
          <w:szCs w:val="24"/>
        </w:rPr>
      </w:pPr>
    </w:p>
    <w:p w:rsidR="00332E8C" w:rsidRPr="004B5EDF" w:rsidP="00D3795C" w14:paraId="136FFEB4" w14:textId="172E2AE0">
      <w:pPr>
        <w:widowControl w:val="0"/>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In accordance with OMB requirements, the Commission</w:t>
      </w:r>
      <w:r w:rsidRPr="004B5EDF" w:rsidR="007155B7">
        <w:rPr>
          <w:rFonts w:ascii="Times New Roman" w:eastAsia="Times New Roman" w:hAnsi="Times New Roman" w:cs="Times New Roman"/>
          <w:sz w:val="24"/>
          <w:szCs w:val="24"/>
        </w:rPr>
        <w:t xml:space="preserve"> </w:t>
      </w:r>
      <w:r w:rsidRPr="004B5EDF">
        <w:rPr>
          <w:rFonts w:ascii="Times New Roman" w:eastAsia="Times New Roman" w:hAnsi="Times New Roman" w:cs="Times New Roman"/>
          <w:sz w:val="24"/>
          <w:szCs w:val="24"/>
        </w:rPr>
        <w:t xml:space="preserve">published </w:t>
      </w:r>
      <w:r w:rsidRPr="004B5EDF" w:rsidR="00AF6739">
        <w:rPr>
          <w:rFonts w:ascii="Times New Roman" w:eastAsia="Times New Roman" w:hAnsi="Times New Roman" w:cs="Times New Roman"/>
          <w:sz w:val="24"/>
          <w:szCs w:val="24"/>
        </w:rPr>
        <w:t xml:space="preserve">notices </w:t>
      </w:r>
      <w:r w:rsidRPr="004B5EDF" w:rsidR="00096260">
        <w:rPr>
          <w:rFonts w:ascii="Times New Roman" w:eastAsia="Times New Roman" w:hAnsi="Times New Roman" w:cs="Times New Roman"/>
          <w:sz w:val="24"/>
          <w:szCs w:val="24"/>
        </w:rPr>
        <w:t>in the Federal Register inviting public comments on this information collection</w:t>
      </w:r>
      <w:r w:rsidRPr="004B5EDF" w:rsidR="00773CD5">
        <w:rPr>
          <w:rFonts w:ascii="Times New Roman" w:eastAsia="Times New Roman" w:hAnsi="Times New Roman" w:cs="Times New Roman"/>
          <w:sz w:val="24"/>
          <w:szCs w:val="24"/>
        </w:rPr>
        <w:t>.</w:t>
      </w:r>
      <w:r w:rsidR="00DA3432">
        <w:rPr>
          <w:rFonts w:ascii="Times New Roman" w:eastAsia="Times New Roman" w:hAnsi="Times New Roman" w:cs="Times New Roman"/>
          <w:sz w:val="24"/>
          <w:szCs w:val="24"/>
        </w:rPr>
        <w:t xml:space="preserve"> </w:t>
      </w:r>
      <w:r w:rsidRPr="004B5EDF" w:rsidR="008E16B4">
        <w:rPr>
          <w:rFonts w:ascii="Times New Roman" w:eastAsia="Times New Roman" w:hAnsi="Times New Roman" w:cs="Times New Roman"/>
          <w:sz w:val="24"/>
          <w:szCs w:val="24"/>
        </w:rPr>
        <w:t>In each notice, the Commission noted that it would be requesting a three-year extension of the public reporting burden with no change to the existing requirements concerning the collection of data.</w:t>
      </w:r>
    </w:p>
    <w:p w:rsidR="00332E8C" w:rsidRPr="004B5EDF" w:rsidP="00D3795C" w14:paraId="03BAF22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64F3A" w:rsidRPr="004B5EDF" w:rsidP="00D3795C" w14:paraId="5939ED5A" w14:textId="01042F93">
      <w:pPr>
        <w:widowControl w:val="0"/>
        <w:autoSpaceDE w:val="0"/>
        <w:autoSpaceDN w:val="0"/>
        <w:adjustRightInd w:val="0"/>
        <w:spacing w:after="0" w:line="240" w:lineRule="auto"/>
        <w:rPr>
          <w:rFonts w:ascii="Times New Roman" w:eastAsia="Times New Roman" w:hAnsi="Times New Roman" w:cs="Times New Roman"/>
          <w:sz w:val="24"/>
          <w:szCs w:val="24"/>
        </w:rPr>
      </w:pPr>
      <w:r w:rsidRPr="20BEEA78">
        <w:rPr>
          <w:rFonts w:ascii="Times New Roman" w:eastAsia="Times New Roman" w:hAnsi="Times New Roman" w:cs="Times New Roman"/>
          <w:sz w:val="24"/>
          <w:szCs w:val="24"/>
        </w:rPr>
        <w:t>T</w:t>
      </w:r>
      <w:r w:rsidRPr="20BEEA78" w:rsidR="009F1F37">
        <w:rPr>
          <w:rFonts w:ascii="Times New Roman" w:eastAsia="Times New Roman" w:hAnsi="Times New Roman" w:cs="Times New Roman"/>
          <w:sz w:val="24"/>
          <w:szCs w:val="24"/>
        </w:rPr>
        <w:t>he Commission published a 60-day notice</w:t>
      </w:r>
      <w:r w:rsidRPr="20BEEA78">
        <w:rPr>
          <w:rFonts w:ascii="Times New Roman" w:eastAsia="Times New Roman" w:hAnsi="Times New Roman" w:cs="Times New Roman"/>
          <w:sz w:val="24"/>
          <w:szCs w:val="24"/>
        </w:rPr>
        <w:t xml:space="preserve"> in the Federal Register on </w:t>
      </w:r>
      <w:r w:rsidRPr="20BEEA78" w:rsidR="006F2793">
        <w:rPr>
          <w:rFonts w:ascii="Times New Roman" w:eastAsia="Times New Roman" w:hAnsi="Times New Roman" w:cs="Times New Roman"/>
          <w:sz w:val="24"/>
          <w:szCs w:val="24"/>
        </w:rPr>
        <w:t>July</w:t>
      </w:r>
      <w:r w:rsidRPr="20BEEA78" w:rsidR="00E03B4C">
        <w:rPr>
          <w:rFonts w:ascii="Times New Roman" w:eastAsia="Times New Roman" w:hAnsi="Times New Roman" w:cs="Times New Roman"/>
          <w:sz w:val="24"/>
          <w:szCs w:val="24"/>
        </w:rPr>
        <w:t xml:space="preserve"> 7,</w:t>
      </w:r>
      <w:r w:rsidRPr="20BEEA78">
        <w:rPr>
          <w:rFonts w:ascii="Times New Roman" w:eastAsia="Times New Roman" w:hAnsi="Times New Roman" w:cs="Times New Roman"/>
          <w:sz w:val="24"/>
          <w:szCs w:val="24"/>
        </w:rPr>
        <w:t xml:space="preserve"> 20</w:t>
      </w:r>
      <w:r w:rsidRPr="20BEEA78" w:rsidR="00706913">
        <w:rPr>
          <w:rFonts w:ascii="Times New Roman" w:eastAsia="Times New Roman" w:hAnsi="Times New Roman" w:cs="Times New Roman"/>
          <w:sz w:val="24"/>
          <w:szCs w:val="24"/>
        </w:rPr>
        <w:t>25</w:t>
      </w:r>
      <w:r w:rsidRPr="20BEEA78" w:rsidR="00E03B4C">
        <w:rPr>
          <w:rFonts w:ascii="Times New Roman" w:eastAsia="Times New Roman" w:hAnsi="Times New Roman" w:cs="Times New Roman"/>
          <w:sz w:val="24"/>
          <w:szCs w:val="24"/>
        </w:rPr>
        <w:t xml:space="preserve"> (90 FR 29861)</w:t>
      </w:r>
      <w:r w:rsidRPr="20BEEA78" w:rsidR="004B5EDF">
        <w:rPr>
          <w:rFonts w:ascii="Times New Roman" w:eastAsia="Times New Roman" w:hAnsi="Times New Roman" w:cs="Times New Roman"/>
          <w:sz w:val="24"/>
          <w:szCs w:val="24"/>
        </w:rPr>
        <w:t xml:space="preserve">. </w:t>
      </w:r>
      <w:r w:rsidRPr="20BEEA78" w:rsidR="00063D9A">
        <w:rPr>
          <w:rFonts w:ascii="Times New Roman" w:eastAsia="Times New Roman" w:hAnsi="Times New Roman" w:cs="Times New Roman"/>
          <w:sz w:val="24"/>
          <w:szCs w:val="24"/>
        </w:rPr>
        <w:t xml:space="preserve">The public comment period ended on </w:t>
      </w:r>
      <w:r w:rsidRPr="20BEEA78" w:rsidR="00E03B4C">
        <w:rPr>
          <w:rFonts w:ascii="Times New Roman" w:eastAsia="Times New Roman" w:hAnsi="Times New Roman" w:cs="Times New Roman"/>
          <w:sz w:val="24"/>
          <w:szCs w:val="24"/>
        </w:rPr>
        <w:t>September 5, 2025</w:t>
      </w:r>
      <w:r w:rsidRPr="20BEEA78" w:rsidR="000B58AD">
        <w:rPr>
          <w:rFonts w:ascii="Times New Roman" w:eastAsia="Times New Roman" w:hAnsi="Times New Roman" w:cs="Times New Roman"/>
          <w:sz w:val="24"/>
          <w:szCs w:val="24"/>
        </w:rPr>
        <w:t xml:space="preserve">. </w:t>
      </w:r>
      <w:r w:rsidRPr="20BEEA78" w:rsidR="00296E72">
        <w:rPr>
          <w:rFonts w:ascii="Times New Roman" w:eastAsia="Times New Roman" w:hAnsi="Times New Roman" w:cs="Times New Roman"/>
          <w:sz w:val="24"/>
          <w:szCs w:val="24"/>
        </w:rPr>
        <w:t>The Commission received no comments in response.</w:t>
      </w:r>
      <w:r w:rsidRPr="20BEEA78" w:rsidR="003552A1">
        <w:rPr>
          <w:rFonts w:ascii="Times New Roman" w:eastAsia="Times New Roman" w:hAnsi="Times New Roman" w:cs="Times New Roman"/>
          <w:sz w:val="24"/>
          <w:szCs w:val="24"/>
        </w:rPr>
        <w:t xml:space="preserve"> </w:t>
      </w:r>
      <w:r w:rsidRPr="20BEEA78" w:rsidR="00296E72">
        <w:rPr>
          <w:rFonts w:ascii="Times New Roman" w:eastAsia="Times New Roman" w:hAnsi="Times New Roman" w:cs="Times New Roman"/>
          <w:sz w:val="24"/>
          <w:szCs w:val="24"/>
        </w:rPr>
        <w:t xml:space="preserve">The Commission published a </w:t>
      </w:r>
      <w:r w:rsidRPr="20BEEA78" w:rsidR="00076062">
        <w:rPr>
          <w:rFonts w:ascii="Times New Roman" w:eastAsia="Times New Roman" w:hAnsi="Times New Roman" w:cs="Times New Roman"/>
          <w:sz w:val="24"/>
          <w:szCs w:val="24"/>
        </w:rPr>
        <w:t xml:space="preserve">30-day </w:t>
      </w:r>
      <w:r w:rsidRPr="20BEEA78" w:rsidR="00296E72">
        <w:rPr>
          <w:rFonts w:ascii="Times New Roman" w:eastAsia="Times New Roman" w:hAnsi="Times New Roman" w:cs="Times New Roman"/>
          <w:sz w:val="24"/>
          <w:szCs w:val="24"/>
        </w:rPr>
        <w:t>notice in the Federal</w:t>
      </w:r>
      <w:r w:rsidR="00CB3680">
        <w:rPr>
          <w:rFonts w:ascii="Times New Roman" w:eastAsia="Times New Roman" w:hAnsi="Times New Roman" w:cs="Times New Roman"/>
          <w:sz w:val="24"/>
          <w:szCs w:val="24"/>
        </w:rPr>
        <w:t xml:space="preserve"> Register</w:t>
      </w:r>
      <w:r w:rsidRPr="20BEEA78" w:rsidR="00296E72">
        <w:rPr>
          <w:rFonts w:ascii="Times New Roman" w:eastAsia="Times New Roman" w:hAnsi="Times New Roman" w:cs="Times New Roman"/>
          <w:sz w:val="24"/>
          <w:szCs w:val="24"/>
        </w:rPr>
        <w:t xml:space="preserve"> on </w:t>
      </w:r>
      <w:r w:rsidRPr="20BEEA78" w:rsidR="3A4880C0">
        <w:rPr>
          <w:rFonts w:ascii="Times New Roman" w:eastAsia="Times New Roman" w:hAnsi="Times New Roman" w:cs="Times New Roman"/>
          <w:sz w:val="24"/>
          <w:szCs w:val="24"/>
        </w:rPr>
        <w:t>September 18, 2025</w:t>
      </w:r>
      <w:r w:rsidRPr="20BEEA78" w:rsidR="009A3D2D">
        <w:rPr>
          <w:rFonts w:ascii="Times New Roman" w:eastAsia="Times New Roman" w:hAnsi="Times New Roman" w:cs="Times New Roman"/>
          <w:sz w:val="24"/>
          <w:szCs w:val="24"/>
        </w:rPr>
        <w:t xml:space="preserve"> (</w:t>
      </w:r>
      <w:r w:rsidRPr="20BEEA78" w:rsidR="28E4324E">
        <w:rPr>
          <w:rFonts w:ascii="Times New Roman" w:eastAsia="Times New Roman" w:hAnsi="Times New Roman" w:cs="Times New Roman"/>
          <w:sz w:val="24"/>
          <w:szCs w:val="24"/>
        </w:rPr>
        <w:t>90</w:t>
      </w:r>
      <w:r w:rsidRPr="20BEEA78" w:rsidR="009A3D2D">
        <w:rPr>
          <w:rFonts w:ascii="Times New Roman" w:eastAsia="Times New Roman" w:hAnsi="Times New Roman" w:cs="Times New Roman"/>
          <w:sz w:val="24"/>
          <w:szCs w:val="24"/>
        </w:rPr>
        <w:t xml:space="preserve"> FR </w:t>
      </w:r>
      <w:r w:rsidRPr="20BEEA78" w:rsidR="36636BB5">
        <w:rPr>
          <w:rFonts w:ascii="Times New Roman" w:eastAsia="Times New Roman" w:hAnsi="Times New Roman" w:cs="Times New Roman"/>
          <w:sz w:val="24"/>
          <w:szCs w:val="24"/>
        </w:rPr>
        <w:t>45038</w:t>
      </w:r>
      <w:r w:rsidRPr="20BEEA78" w:rsidR="00CD24AF">
        <w:rPr>
          <w:rFonts w:ascii="Times New Roman" w:eastAsia="Times New Roman" w:hAnsi="Times New Roman" w:cs="Times New Roman"/>
          <w:sz w:val="24"/>
          <w:szCs w:val="24"/>
        </w:rPr>
        <w:t>).</w:t>
      </w:r>
      <w:r w:rsidRPr="20BEEA78" w:rsidR="00D3795C">
        <w:rPr>
          <w:rFonts w:ascii="Times New Roman" w:eastAsia="Times New Roman" w:hAnsi="Times New Roman" w:cs="Times New Roman"/>
          <w:sz w:val="24"/>
          <w:szCs w:val="24"/>
        </w:rPr>
        <w:t xml:space="preserve"> </w:t>
      </w:r>
    </w:p>
    <w:p w:rsidR="00D3795C" w:rsidRPr="004B5EDF" w:rsidP="00D3795C" w14:paraId="4D788C7C" w14:textId="77777777">
      <w:pPr>
        <w:tabs>
          <w:tab w:val="left" w:pos="720"/>
        </w:tabs>
        <w:spacing w:after="0" w:line="240" w:lineRule="auto"/>
        <w:rPr>
          <w:rFonts w:ascii="Times New Roman" w:eastAsia="Times New Roman" w:hAnsi="Times New Roman" w:cs="Times New Roman"/>
          <w:sz w:val="24"/>
          <w:szCs w:val="24"/>
        </w:rPr>
      </w:pPr>
    </w:p>
    <w:p w:rsidR="00D3795C" w:rsidRPr="004B5EDF" w:rsidP="00D3795C" w14:paraId="24B262CA" w14:textId="77777777">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b/>
          <w:sz w:val="24"/>
          <w:szCs w:val="24"/>
        </w:rPr>
        <w:t>EXPLAIN ANY PAYMENT OR GIFTS TO RESPONDENTS</w:t>
      </w:r>
    </w:p>
    <w:p w:rsidR="00D3795C" w:rsidRPr="004B5EDF" w:rsidP="00D3795C" w14:paraId="6A84AEE1" w14:textId="77777777">
      <w:pPr>
        <w:tabs>
          <w:tab w:val="left" w:pos="720"/>
        </w:tabs>
        <w:spacing w:after="0" w:line="240" w:lineRule="auto"/>
        <w:rPr>
          <w:rFonts w:ascii="Times New Roman" w:eastAsia="Times New Roman" w:hAnsi="Times New Roman" w:cs="Times New Roman"/>
          <w:b/>
          <w:sz w:val="24"/>
          <w:szCs w:val="24"/>
        </w:rPr>
      </w:pPr>
    </w:p>
    <w:p w:rsidR="00661679" w:rsidRPr="004B5EDF" w:rsidP="00661679" w14:paraId="068104AE" w14:textId="77777777">
      <w:pPr>
        <w:tabs>
          <w:tab w:val="left" w:pos="720"/>
        </w:tabs>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The Commission does not make payments or gifts to respondents related to these collections.</w:t>
      </w:r>
    </w:p>
    <w:p w:rsidR="00D3795C" w:rsidRPr="004B5EDF" w:rsidP="00D3795C" w14:paraId="2A5125CF" w14:textId="77777777">
      <w:pPr>
        <w:tabs>
          <w:tab w:val="left" w:pos="720"/>
        </w:tabs>
        <w:spacing w:after="0" w:line="240" w:lineRule="auto"/>
        <w:rPr>
          <w:rFonts w:ascii="Times New Roman" w:eastAsia="Times New Roman" w:hAnsi="Times New Roman" w:cs="Times New Roman"/>
          <w:sz w:val="24"/>
          <w:szCs w:val="24"/>
        </w:rPr>
      </w:pPr>
    </w:p>
    <w:p w:rsidR="00D3795C" w:rsidRPr="004B5EDF" w:rsidP="00D3795C" w14:paraId="06243C30" w14:textId="61A4B60E">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b/>
          <w:sz w:val="24"/>
          <w:szCs w:val="24"/>
        </w:rPr>
        <w:t>DESCRIBE ANY ASSURANCE OF CONFIDENTIALITY PROVIDED TO RESPONDENTS</w:t>
      </w:r>
    </w:p>
    <w:p w:rsidR="0004707D" w:rsidRPr="004B5EDF" w:rsidP="0004707D" w14:paraId="06E92289" w14:textId="38DEA761">
      <w:pPr>
        <w:widowControl w:val="0"/>
        <w:tabs>
          <w:tab w:val="left" w:pos="720"/>
        </w:tabs>
        <w:autoSpaceDE w:val="0"/>
        <w:autoSpaceDN w:val="0"/>
        <w:adjustRightInd w:val="0"/>
        <w:spacing w:after="0" w:line="240" w:lineRule="auto"/>
        <w:rPr>
          <w:rFonts w:ascii="Times New Roman" w:eastAsia="Times New Roman" w:hAnsi="Times New Roman" w:cs="Times New Roman"/>
          <w:b/>
          <w:sz w:val="24"/>
          <w:szCs w:val="24"/>
        </w:rPr>
      </w:pPr>
    </w:p>
    <w:p w:rsidR="0004707D" w:rsidRPr="004B5EDF" w:rsidP="20BEEA78" w14:paraId="26806AC6" w14:textId="5944AB93">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 xml:space="preserve">The information collected </w:t>
      </w:r>
      <w:r w:rsidRPr="004B5EDF" w:rsidR="003E783A">
        <w:rPr>
          <w:rFonts w:ascii="Times New Roman" w:eastAsia="Times New Roman" w:hAnsi="Times New Roman" w:cs="Times New Roman"/>
          <w:sz w:val="24"/>
          <w:szCs w:val="24"/>
        </w:rPr>
        <w:t xml:space="preserve">in FERC-604 </w:t>
      </w:r>
      <w:r w:rsidRPr="004B5EDF">
        <w:rPr>
          <w:rFonts w:ascii="Times New Roman" w:eastAsia="Times New Roman" w:hAnsi="Times New Roman" w:cs="Times New Roman"/>
          <w:sz w:val="24"/>
          <w:szCs w:val="24"/>
        </w:rPr>
        <w:t>is publicly available</w:t>
      </w:r>
      <w:r w:rsidRPr="004B5EDF" w:rsidR="00773CD5">
        <w:rPr>
          <w:rFonts w:ascii="Times New Roman" w:eastAsia="Times New Roman" w:hAnsi="Times New Roman" w:cs="Times New Roman"/>
          <w:sz w:val="24"/>
          <w:szCs w:val="24"/>
        </w:rPr>
        <w:t>.</w:t>
      </w:r>
      <w:r w:rsidR="00DA3432">
        <w:rPr>
          <w:rFonts w:ascii="Times New Roman" w:eastAsia="Times New Roman" w:hAnsi="Times New Roman" w:cs="Times New Roman"/>
          <w:sz w:val="24"/>
          <w:szCs w:val="24"/>
        </w:rPr>
        <w:t xml:space="preserve"> </w:t>
      </w:r>
      <w:r w:rsidRPr="004B5EDF">
        <w:rPr>
          <w:rFonts w:ascii="Times New Roman" w:eastAsia="Times New Roman" w:hAnsi="Times New Roman" w:cs="Times New Roman"/>
          <w:sz w:val="24"/>
          <w:szCs w:val="24"/>
        </w:rPr>
        <w:t>However, the Commission will consider specific requests for confidential treatment (e.g., Critical Energy/Electric Infrastructure Information [CEII] or non-public) to the extent permitted by law.</w:t>
      </w:r>
      <w:r>
        <w:rPr>
          <w:rFonts w:ascii="Times New Roman" w:eastAsia="Times New Roman" w:hAnsi="Times New Roman" w:cs="Times New Roman"/>
          <w:sz w:val="24"/>
          <w:szCs w:val="24"/>
          <w:vertAlign w:val="superscript"/>
        </w:rPr>
        <w:footnoteReference w:id="4"/>
      </w:r>
      <w:r w:rsidR="00DA3432">
        <w:rPr>
          <w:rFonts w:ascii="Times New Roman" w:eastAsia="Times New Roman" w:hAnsi="Times New Roman" w:cs="Times New Roman"/>
          <w:sz w:val="24"/>
          <w:szCs w:val="24"/>
        </w:rPr>
        <w:t xml:space="preserve"> </w:t>
      </w:r>
      <w:r w:rsidRPr="004B5EDF">
        <w:rPr>
          <w:rFonts w:ascii="Times New Roman" w:eastAsia="Times New Roman" w:hAnsi="Times New Roman" w:cs="Times New Roman"/>
          <w:sz w:val="24"/>
          <w:szCs w:val="24"/>
        </w:rPr>
        <w:t>The Commission will review each request for confidential treatment on a case-by-case basis.</w:t>
      </w:r>
    </w:p>
    <w:p w:rsidR="0014504C" w:rsidRPr="004B5EDF" w:rsidP="00D3795C" w14:paraId="5DE60756" w14:textId="77777777">
      <w:pPr>
        <w:tabs>
          <w:tab w:val="left" w:pos="720"/>
        </w:tabs>
        <w:spacing w:after="0" w:line="240" w:lineRule="auto"/>
        <w:rPr>
          <w:rFonts w:ascii="Times New Roman" w:eastAsia="Times New Roman" w:hAnsi="Times New Roman" w:cs="Times New Roman"/>
          <w:b/>
          <w:sz w:val="24"/>
          <w:szCs w:val="24"/>
        </w:rPr>
      </w:pPr>
    </w:p>
    <w:p w:rsidR="00D3795C" w:rsidRPr="004B5EDF" w:rsidP="00D3795C" w14:paraId="6B1E104A" w14:textId="77777777">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rsidR="00D3795C" w:rsidRPr="004B5EDF" w:rsidP="00D3795C" w14:paraId="7B63D39A" w14:textId="77777777">
      <w:pPr>
        <w:tabs>
          <w:tab w:val="left" w:pos="720"/>
        </w:tabs>
        <w:spacing w:after="0" w:line="240" w:lineRule="auto"/>
        <w:rPr>
          <w:rFonts w:ascii="Times New Roman" w:eastAsia="Times New Roman" w:hAnsi="Times New Roman" w:cs="Times New Roman"/>
          <w:b/>
          <w:sz w:val="24"/>
          <w:szCs w:val="24"/>
        </w:rPr>
      </w:pPr>
    </w:p>
    <w:p w:rsidR="00687E3F" w:rsidRPr="004B5EDF" w:rsidP="0059687A" w14:paraId="3B2D7FA3" w14:textId="3E74ADC7">
      <w:pPr>
        <w:autoSpaceDE w:val="0"/>
        <w:autoSpaceDN w:val="0"/>
        <w:adjustRightInd w:val="0"/>
        <w:spacing w:after="0" w:line="240" w:lineRule="auto"/>
        <w:rPr>
          <w:rFonts w:ascii="Times New Roman" w:eastAsia="Times New Roman" w:hAnsi="Times New Roman" w:cs="Times New Roman"/>
          <w:sz w:val="24"/>
          <w:szCs w:val="24"/>
        </w:rPr>
      </w:pPr>
      <w:r w:rsidRPr="20BEEA78">
        <w:rPr>
          <w:rFonts w:ascii="Times New Roman" w:eastAsia="Times New Roman" w:hAnsi="Times New Roman" w:cs="Times New Roman"/>
          <w:sz w:val="24"/>
          <w:szCs w:val="24"/>
        </w:rPr>
        <w:t>There are no questions of a sensitive nature associated with the reporting requirements.</w:t>
      </w:r>
    </w:p>
    <w:p w:rsidR="20BEEA78" w:rsidP="20BEEA78" w14:paraId="24575778" w14:textId="768514E0">
      <w:pPr>
        <w:spacing w:after="0" w:line="240" w:lineRule="auto"/>
        <w:rPr>
          <w:rFonts w:ascii="Times New Roman" w:eastAsia="Times New Roman" w:hAnsi="Times New Roman" w:cs="Times New Roman"/>
          <w:sz w:val="24"/>
          <w:szCs w:val="24"/>
        </w:rPr>
      </w:pPr>
    </w:p>
    <w:p w:rsidR="00386117" w:rsidRPr="004B5EDF" w:rsidP="00F70821" w14:paraId="5F93C412" w14:textId="3D88A622">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4B5EDF">
        <w:rPr>
          <w:rFonts w:ascii="Times New Roman" w:eastAsia="Times New Roman" w:hAnsi="Times New Roman" w:cs="Times New Roman"/>
          <w:b/>
          <w:sz w:val="24"/>
          <w:szCs w:val="24"/>
        </w:rPr>
        <w:t>ESTIMATED BURDEN COLLECTION OF INFORMATION</w:t>
      </w:r>
    </w:p>
    <w:p w:rsidR="00D3795C" w:rsidRPr="004B5EDF" w:rsidP="00D3795C" w14:paraId="42D5CFD0" w14:textId="36061619">
      <w:pPr>
        <w:tabs>
          <w:tab w:val="left" w:pos="720"/>
        </w:tabs>
        <w:spacing w:after="0" w:line="240" w:lineRule="auto"/>
        <w:rPr>
          <w:rFonts w:ascii="Times New Roman" w:eastAsia="Times New Roman" w:hAnsi="Times New Roman" w:cs="Times New Roman"/>
          <w:b/>
          <w:sz w:val="24"/>
          <w:szCs w:val="24"/>
        </w:rPr>
      </w:pPr>
    </w:p>
    <w:p w:rsidR="00D745B4" w:rsidRPr="004B5EDF" w:rsidP="35D8F5DF" w14:paraId="34677D56" w14:textId="4477F952">
      <w:pPr>
        <w:tabs>
          <w:tab w:val="left" w:pos="720"/>
        </w:tabs>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 xml:space="preserve">The Commission estimates the annual public reporting burden </w:t>
      </w:r>
      <w:r w:rsidRPr="0020365C" w:rsidR="002913B1">
        <w:rPr>
          <w:rFonts w:ascii="Times New Roman" w:eastAsia="Times New Roman" w:hAnsi="Times New Roman" w:cs="Times New Roman"/>
          <w:sz w:val="24"/>
          <w:szCs w:val="24"/>
        </w:rPr>
        <w:t xml:space="preserve">and </w:t>
      </w:r>
      <w:r w:rsidRPr="0020365C" w:rsidR="002565F8">
        <w:rPr>
          <w:rFonts w:ascii="Times New Roman" w:eastAsia="Times New Roman" w:hAnsi="Times New Roman" w:cs="Times New Roman"/>
          <w:sz w:val="24"/>
          <w:szCs w:val="24"/>
        </w:rPr>
        <w:t>cost of</w:t>
      </w:r>
      <w:r w:rsidRPr="004B5EDF">
        <w:rPr>
          <w:rFonts w:ascii="Times New Roman" w:eastAsia="Times New Roman" w:hAnsi="Times New Roman" w:cs="Times New Roman"/>
          <w:sz w:val="24"/>
          <w:szCs w:val="24"/>
        </w:rPr>
        <w:t xml:space="preserve"> the information collection as:</w:t>
      </w:r>
    </w:p>
    <w:p w:rsidR="00D745B4" w:rsidRPr="004B5EDF" w:rsidP="00D745B4" w14:paraId="4EA54165" w14:textId="77777777">
      <w:pPr>
        <w:tabs>
          <w:tab w:val="left" w:pos="720"/>
        </w:tabs>
        <w:spacing w:after="0" w:line="240" w:lineRule="auto"/>
        <w:rPr>
          <w:rFonts w:ascii="Times New Roman" w:eastAsia="Times New Roman" w:hAnsi="Times New Roman" w:cs="Times New Roman"/>
          <w:bCs/>
          <w:iCs/>
          <w:sz w:val="24"/>
          <w:szCs w:val="24"/>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1530"/>
        <w:gridCol w:w="1440"/>
        <w:gridCol w:w="1640"/>
        <w:gridCol w:w="1800"/>
        <w:gridCol w:w="1960"/>
      </w:tblGrid>
      <w:tr w14:paraId="490A9591" w14:textId="77777777" w:rsidTr="20BEEA78">
        <w:tblPrEx>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8"/>
        </w:trPr>
        <w:tc>
          <w:tcPr>
            <w:tcW w:w="1615" w:type="dxa"/>
            <w:shd w:val="clear" w:color="auto" w:fill="D9D9D9" w:themeFill="background1" w:themeFillShade="D9"/>
            <w:vAlign w:val="bottom"/>
          </w:tcPr>
          <w:p w:rsidR="00D745B4" w:rsidRPr="004B5EDF" w:rsidP="00D745B4" w14:paraId="37C94966" w14:textId="77777777">
            <w:pPr>
              <w:tabs>
                <w:tab w:val="left" w:pos="720"/>
              </w:tabs>
              <w:spacing w:after="0" w:line="240" w:lineRule="auto"/>
              <w:rPr>
                <w:rFonts w:ascii="Times New Roman" w:eastAsia="Times New Roman" w:hAnsi="Times New Roman" w:cs="Times New Roman"/>
                <w:b/>
                <w:iCs/>
                <w:sz w:val="24"/>
                <w:szCs w:val="24"/>
              </w:rPr>
            </w:pPr>
            <w:r w:rsidRPr="004B5EDF">
              <w:rPr>
                <w:rFonts w:ascii="Times New Roman" w:eastAsia="Times New Roman" w:hAnsi="Times New Roman" w:cs="Times New Roman"/>
                <w:b/>
                <w:iCs/>
                <w:sz w:val="24"/>
                <w:szCs w:val="24"/>
              </w:rPr>
              <w:t>Number of Respondents</w:t>
            </w:r>
          </w:p>
          <w:p w:rsidR="00D745B4" w:rsidRPr="004B5EDF" w:rsidP="00D745B4" w14:paraId="40119520" w14:textId="77777777">
            <w:pPr>
              <w:tabs>
                <w:tab w:val="left" w:pos="720"/>
              </w:tabs>
              <w:spacing w:after="0" w:line="240" w:lineRule="auto"/>
              <w:rPr>
                <w:rFonts w:ascii="Times New Roman" w:eastAsia="Times New Roman" w:hAnsi="Times New Roman" w:cs="Times New Roman"/>
                <w:b/>
                <w:iCs/>
                <w:sz w:val="24"/>
                <w:szCs w:val="24"/>
              </w:rPr>
            </w:pPr>
            <w:r w:rsidRPr="004B5EDF">
              <w:rPr>
                <w:rFonts w:ascii="Times New Roman" w:eastAsia="Times New Roman" w:hAnsi="Times New Roman" w:cs="Times New Roman"/>
                <w:b/>
                <w:iCs/>
                <w:sz w:val="24"/>
                <w:szCs w:val="24"/>
              </w:rPr>
              <w:t>(1)</w:t>
            </w:r>
          </w:p>
        </w:tc>
        <w:tc>
          <w:tcPr>
            <w:tcW w:w="1530" w:type="dxa"/>
            <w:shd w:val="clear" w:color="auto" w:fill="D9D9D9" w:themeFill="background1" w:themeFillShade="D9"/>
            <w:vAlign w:val="bottom"/>
          </w:tcPr>
          <w:p w:rsidR="00D745B4" w:rsidRPr="004B5EDF" w:rsidP="00D745B4" w14:paraId="7D92BE4B" w14:textId="77777777">
            <w:pPr>
              <w:tabs>
                <w:tab w:val="left" w:pos="720"/>
              </w:tabs>
              <w:spacing w:after="0" w:line="240" w:lineRule="auto"/>
              <w:rPr>
                <w:rFonts w:ascii="Times New Roman" w:eastAsia="Times New Roman" w:hAnsi="Times New Roman" w:cs="Times New Roman"/>
                <w:b/>
                <w:iCs/>
                <w:sz w:val="24"/>
                <w:szCs w:val="24"/>
              </w:rPr>
            </w:pPr>
            <w:r w:rsidRPr="004B5EDF">
              <w:rPr>
                <w:rFonts w:ascii="Times New Roman" w:eastAsia="Times New Roman" w:hAnsi="Times New Roman" w:cs="Times New Roman"/>
                <w:b/>
                <w:iCs/>
                <w:sz w:val="24"/>
                <w:szCs w:val="24"/>
              </w:rPr>
              <w:t>Number of Responses Per Respondent</w:t>
            </w:r>
          </w:p>
          <w:p w:rsidR="00D745B4" w:rsidRPr="004B5EDF" w:rsidP="00D745B4" w14:paraId="019B4301" w14:textId="77777777">
            <w:pPr>
              <w:tabs>
                <w:tab w:val="left" w:pos="720"/>
              </w:tabs>
              <w:spacing w:after="0" w:line="240" w:lineRule="auto"/>
              <w:rPr>
                <w:rFonts w:ascii="Times New Roman" w:eastAsia="Times New Roman" w:hAnsi="Times New Roman" w:cs="Times New Roman"/>
                <w:b/>
                <w:iCs/>
                <w:sz w:val="24"/>
                <w:szCs w:val="24"/>
              </w:rPr>
            </w:pPr>
            <w:r w:rsidRPr="004B5EDF">
              <w:rPr>
                <w:rFonts w:ascii="Times New Roman" w:eastAsia="Times New Roman" w:hAnsi="Times New Roman" w:cs="Times New Roman"/>
                <w:b/>
                <w:iCs/>
                <w:sz w:val="24"/>
                <w:szCs w:val="24"/>
              </w:rPr>
              <w:t>(2)</w:t>
            </w:r>
          </w:p>
        </w:tc>
        <w:tc>
          <w:tcPr>
            <w:tcW w:w="1440" w:type="dxa"/>
            <w:shd w:val="clear" w:color="auto" w:fill="D9D9D9" w:themeFill="background1" w:themeFillShade="D9"/>
            <w:vAlign w:val="bottom"/>
          </w:tcPr>
          <w:p w:rsidR="00D745B4" w:rsidRPr="004B5EDF" w:rsidP="00D745B4" w14:paraId="3C66254D" w14:textId="77777777">
            <w:pPr>
              <w:tabs>
                <w:tab w:val="left" w:pos="720"/>
              </w:tabs>
              <w:spacing w:after="0" w:line="240" w:lineRule="auto"/>
              <w:rPr>
                <w:rFonts w:ascii="Times New Roman" w:eastAsia="Times New Roman" w:hAnsi="Times New Roman" w:cs="Times New Roman"/>
                <w:b/>
                <w:iCs/>
                <w:sz w:val="24"/>
                <w:szCs w:val="24"/>
              </w:rPr>
            </w:pPr>
            <w:r w:rsidRPr="004B5EDF">
              <w:rPr>
                <w:rFonts w:ascii="Times New Roman" w:eastAsia="Times New Roman" w:hAnsi="Times New Roman" w:cs="Times New Roman"/>
                <w:b/>
                <w:iCs/>
                <w:sz w:val="24"/>
                <w:szCs w:val="24"/>
              </w:rPr>
              <w:t>Total Number of Responses</w:t>
            </w:r>
          </w:p>
          <w:p w:rsidR="00D745B4" w:rsidRPr="004B5EDF" w:rsidP="00D745B4" w14:paraId="35B1CDB2" w14:textId="77777777">
            <w:pPr>
              <w:tabs>
                <w:tab w:val="left" w:pos="720"/>
              </w:tabs>
              <w:spacing w:after="0" w:line="240" w:lineRule="auto"/>
              <w:rPr>
                <w:rFonts w:ascii="Times New Roman" w:eastAsia="Times New Roman" w:hAnsi="Times New Roman" w:cs="Times New Roman"/>
                <w:b/>
                <w:iCs/>
                <w:sz w:val="24"/>
                <w:szCs w:val="24"/>
              </w:rPr>
            </w:pPr>
            <w:r w:rsidRPr="004B5EDF">
              <w:rPr>
                <w:rFonts w:ascii="Times New Roman" w:eastAsia="Times New Roman" w:hAnsi="Times New Roman" w:cs="Times New Roman"/>
                <w:b/>
                <w:iCs/>
                <w:sz w:val="24"/>
                <w:szCs w:val="24"/>
              </w:rPr>
              <w:t>(1) * (2) = (3)</w:t>
            </w:r>
          </w:p>
        </w:tc>
        <w:tc>
          <w:tcPr>
            <w:tcW w:w="1640" w:type="dxa"/>
            <w:shd w:val="clear" w:color="auto" w:fill="D9D9D9" w:themeFill="background1" w:themeFillShade="D9"/>
            <w:vAlign w:val="bottom"/>
          </w:tcPr>
          <w:p w:rsidR="00D745B4" w:rsidRPr="004B5EDF" w:rsidP="00D745B4" w14:paraId="012CF8FD" w14:textId="487DB8F2">
            <w:pPr>
              <w:tabs>
                <w:tab w:val="left" w:pos="720"/>
              </w:tabs>
              <w:spacing w:after="0" w:line="240" w:lineRule="auto"/>
              <w:rPr>
                <w:rFonts w:ascii="Times New Roman" w:eastAsia="Times New Roman" w:hAnsi="Times New Roman" w:cs="Times New Roman"/>
                <w:b/>
                <w:iCs/>
                <w:sz w:val="24"/>
                <w:szCs w:val="24"/>
              </w:rPr>
            </w:pPr>
            <w:r w:rsidRPr="004B5EDF">
              <w:rPr>
                <w:rFonts w:ascii="Times New Roman" w:eastAsia="Times New Roman" w:hAnsi="Times New Roman" w:cs="Times New Roman"/>
                <w:b/>
                <w:bCs/>
                <w:sz w:val="24"/>
                <w:szCs w:val="24"/>
              </w:rPr>
              <w:t>Average Burden Hours &amp; Average Cost</w:t>
            </w:r>
            <w:r>
              <w:rPr>
                <w:rStyle w:val="FootnoteReference"/>
                <w:rFonts w:ascii="Times New Roman" w:eastAsia="Times New Roman" w:hAnsi="Times New Roman" w:cs="Times New Roman"/>
                <w:b/>
                <w:bCs/>
                <w:sz w:val="24"/>
                <w:szCs w:val="24"/>
                <w:vertAlign w:val="superscript"/>
              </w:rPr>
              <w:footnoteReference w:id="5"/>
            </w:r>
            <w:r w:rsidRPr="004B5EDF">
              <w:rPr>
                <w:rFonts w:ascii="Times New Roman" w:eastAsia="Times New Roman" w:hAnsi="Times New Roman" w:cs="Times New Roman"/>
                <w:b/>
                <w:bCs/>
                <w:sz w:val="24"/>
                <w:szCs w:val="24"/>
              </w:rPr>
              <w:t xml:space="preserve"> per Response ($)</w:t>
            </w:r>
          </w:p>
          <w:p w:rsidR="00D745B4" w:rsidRPr="004B5EDF" w:rsidP="00D745B4" w14:paraId="3558B4CA" w14:textId="77777777">
            <w:pPr>
              <w:tabs>
                <w:tab w:val="left" w:pos="720"/>
              </w:tabs>
              <w:spacing w:after="0" w:line="240" w:lineRule="auto"/>
              <w:rPr>
                <w:rFonts w:ascii="Times New Roman" w:eastAsia="Times New Roman" w:hAnsi="Times New Roman" w:cs="Times New Roman"/>
                <w:b/>
                <w:iCs/>
                <w:sz w:val="24"/>
                <w:szCs w:val="24"/>
              </w:rPr>
            </w:pPr>
            <w:r w:rsidRPr="004B5EDF">
              <w:rPr>
                <w:rFonts w:ascii="Times New Roman" w:eastAsia="Times New Roman" w:hAnsi="Times New Roman" w:cs="Times New Roman"/>
                <w:b/>
                <w:iCs/>
                <w:sz w:val="24"/>
                <w:szCs w:val="24"/>
              </w:rPr>
              <w:t>(4)</w:t>
            </w:r>
          </w:p>
        </w:tc>
        <w:tc>
          <w:tcPr>
            <w:tcW w:w="1800" w:type="dxa"/>
            <w:shd w:val="clear" w:color="auto" w:fill="D9D9D9" w:themeFill="background1" w:themeFillShade="D9"/>
            <w:vAlign w:val="bottom"/>
          </w:tcPr>
          <w:p w:rsidR="00D745B4" w:rsidRPr="004B5EDF" w:rsidP="00D745B4" w14:paraId="271C69AD" w14:textId="77777777">
            <w:pPr>
              <w:tabs>
                <w:tab w:val="left" w:pos="720"/>
              </w:tabs>
              <w:spacing w:after="0" w:line="240" w:lineRule="auto"/>
              <w:rPr>
                <w:rFonts w:ascii="Times New Roman" w:eastAsia="Times New Roman" w:hAnsi="Times New Roman" w:cs="Times New Roman"/>
                <w:b/>
                <w:iCs/>
                <w:sz w:val="24"/>
                <w:szCs w:val="24"/>
              </w:rPr>
            </w:pPr>
            <w:r w:rsidRPr="004B5EDF">
              <w:rPr>
                <w:rFonts w:ascii="Times New Roman" w:eastAsia="Times New Roman" w:hAnsi="Times New Roman" w:cs="Times New Roman"/>
                <w:b/>
                <w:iCs/>
                <w:sz w:val="24"/>
                <w:szCs w:val="24"/>
              </w:rPr>
              <w:t>Total Annual Burden Hours &amp; Total Annual Cost ($)</w:t>
            </w:r>
          </w:p>
          <w:p w:rsidR="00D745B4" w:rsidRPr="004B5EDF" w:rsidP="00D745B4" w14:paraId="080ECAFC" w14:textId="77777777">
            <w:pPr>
              <w:tabs>
                <w:tab w:val="left" w:pos="720"/>
              </w:tabs>
              <w:spacing w:after="0" w:line="240" w:lineRule="auto"/>
              <w:rPr>
                <w:rFonts w:ascii="Times New Roman" w:eastAsia="Times New Roman" w:hAnsi="Times New Roman" w:cs="Times New Roman"/>
                <w:b/>
                <w:iCs/>
                <w:sz w:val="24"/>
                <w:szCs w:val="24"/>
              </w:rPr>
            </w:pPr>
            <w:r w:rsidRPr="004B5EDF">
              <w:rPr>
                <w:rFonts w:ascii="Times New Roman" w:eastAsia="Times New Roman" w:hAnsi="Times New Roman" w:cs="Times New Roman"/>
                <w:b/>
                <w:iCs/>
                <w:sz w:val="24"/>
                <w:szCs w:val="24"/>
              </w:rPr>
              <w:t>(3) * (4) = (5)</w:t>
            </w:r>
          </w:p>
        </w:tc>
        <w:tc>
          <w:tcPr>
            <w:tcW w:w="1960" w:type="dxa"/>
            <w:shd w:val="clear" w:color="auto" w:fill="D9D9D9" w:themeFill="background1" w:themeFillShade="D9"/>
            <w:vAlign w:val="bottom"/>
          </w:tcPr>
          <w:p w:rsidR="00D745B4" w:rsidRPr="004B5EDF" w:rsidP="00D745B4" w14:paraId="3A8DD910" w14:textId="77777777">
            <w:pPr>
              <w:tabs>
                <w:tab w:val="left" w:pos="720"/>
              </w:tabs>
              <w:spacing w:after="0" w:line="240" w:lineRule="auto"/>
              <w:rPr>
                <w:rFonts w:ascii="Times New Roman" w:eastAsia="Times New Roman" w:hAnsi="Times New Roman" w:cs="Times New Roman"/>
                <w:b/>
                <w:iCs/>
                <w:sz w:val="24"/>
                <w:szCs w:val="24"/>
              </w:rPr>
            </w:pPr>
            <w:r w:rsidRPr="004B5EDF">
              <w:rPr>
                <w:rFonts w:ascii="Times New Roman" w:eastAsia="Times New Roman" w:hAnsi="Times New Roman" w:cs="Times New Roman"/>
                <w:b/>
                <w:iCs/>
                <w:sz w:val="24"/>
                <w:szCs w:val="24"/>
              </w:rPr>
              <w:t>Cost per Respondent ($)</w:t>
            </w:r>
          </w:p>
          <w:p w:rsidR="00D745B4" w:rsidRPr="004B5EDF" w:rsidP="00D745B4" w14:paraId="6ECCFCC9" w14:textId="77777777">
            <w:pPr>
              <w:tabs>
                <w:tab w:val="left" w:pos="720"/>
              </w:tabs>
              <w:spacing w:after="0" w:line="240" w:lineRule="auto"/>
              <w:rPr>
                <w:rFonts w:ascii="Times New Roman" w:eastAsia="Times New Roman" w:hAnsi="Times New Roman" w:cs="Times New Roman"/>
                <w:b/>
                <w:iCs/>
                <w:sz w:val="24"/>
                <w:szCs w:val="24"/>
              </w:rPr>
            </w:pPr>
            <w:r w:rsidRPr="004B5EDF">
              <w:rPr>
                <w:rFonts w:ascii="Times New Roman" w:eastAsia="Times New Roman" w:hAnsi="Times New Roman" w:cs="Times New Roman"/>
                <w:b/>
                <w:iCs/>
                <w:sz w:val="24"/>
                <w:szCs w:val="24"/>
              </w:rPr>
              <w:t>(5) ÷ (1) = (6)</w:t>
            </w:r>
          </w:p>
        </w:tc>
      </w:tr>
      <w:tr w14:paraId="11756A83" w14:textId="77777777" w:rsidTr="20BEEA78">
        <w:tblPrEx>
          <w:tblW w:w="9985" w:type="dxa"/>
          <w:tblInd w:w="-5" w:type="dxa"/>
          <w:tblLayout w:type="fixed"/>
          <w:tblLook w:val="01E0"/>
        </w:tblPrEx>
        <w:tc>
          <w:tcPr>
            <w:tcW w:w="1615" w:type="dxa"/>
            <w:vAlign w:val="bottom"/>
          </w:tcPr>
          <w:p w:rsidR="00D745B4" w:rsidRPr="008C0C32" w:rsidP="35D8F5DF" w14:paraId="3618C0E8" w14:textId="77777777">
            <w:pPr>
              <w:tabs>
                <w:tab w:val="left" w:pos="720"/>
              </w:tabs>
              <w:spacing w:after="0" w:line="240" w:lineRule="auto"/>
              <w:jc w:val="right"/>
              <w:rPr>
                <w:rFonts w:ascii="Times New Roman" w:eastAsia="Times New Roman" w:hAnsi="Times New Roman" w:cs="Times New Roman"/>
                <w:sz w:val="24"/>
                <w:szCs w:val="24"/>
              </w:rPr>
            </w:pPr>
            <w:r w:rsidRPr="008C0C32">
              <w:rPr>
                <w:rFonts w:ascii="Times New Roman" w:eastAsia="Times New Roman" w:hAnsi="Times New Roman" w:cs="Times New Roman"/>
                <w:sz w:val="24"/>
                <w:szCs w:val="24"/>
              </w:rPr>
              <w:t>45</w:t>
            </w:r>
          </w:p>
        </w:tc>
        <w:tc>
          <w:tcPr>
            <w:tcW w:w="1530" w:type="dxa"/>
            <w:vAlign w:val="bottom"/>
          </w:tcPr>
          <w:p w:rsidR="00D745B4" w:rsidRPr="008C0C32" w:rsidP="35D8F5DF" w14:paraId="6EAD46F7" w14:textId="77777777">
            <w:pPr>
              <w:tabs>
                <w:tab w:val="left" w:pos="720"/>
              </w:tabs>
              <w:spacing w:after="0" w:line="240" w:lineRule="auto"/>
              <w:jc w:val="right"/>
              <w:rPr>
                <w:rFonts w:ascii="Times New Roman" w:eastAsia="Times New Roman" w:hAnsi="Times New Roman" w:cs="Times New Roman"/>
                <w:sz w:val="24"/>
                <w:szCs w:val="24"/>
              </w:rPr>
            </w:pPr>
            <w:r w:rsidRPr="008C0C32">
              <w:rPr>
                <w:rFonts w:ascii="Times New Roman" w:eastAsia="Times New Roman" w:hAnsi="Times New Roman" w:cs="Times New Roman"/>
                <w:sz w:val="24"/>
                <w:szCs w:val="24"/>
              </w:rPr>
              <w:t>1</w:t>
            </w:r>
          </w:p>
        </w:tc>
        <w:tc>
          <w:tcPr>
            <w:tcW w:w="1440" w:type="dxa"/>
            <w:vAlign w:val="bottom"/>
          </w:tcPr>
          <w:p w:rsidR="00D745B4" w:rsidRPr="008C0C32" w:rsidP="35D8F5DF" w14:paraId="088864E6" w14:textId="77777777">
            <w:pPr>
              <w:tabs>
                <w:tab w:val="left" w:pos="720"/>
              </w:tabs>
              <w:spacing w:after="0" w:line="240" w:lineRule="auto"/>
              <w:jc w:val="right"/>
              <w:rPr>
                <w:rFonts w:ascii="Times New Roman" w:eastAsia="Times New Roman" w:hAnsi="Times New Roman" w:cs="Times New Roman"/>
                <w:sz w:val="24"/>
                <w:szCs w:val="24"/>
              </w:rPr>
            </w:pPr>
            <w:r w:rsidRPr="008C0C32">
              <w:rPr>
                <w:rFonts w:ascii="Times New Roman" w:eastAsia="Times New Roman" w:hAnsi="Times New Roman" w:cs="Times New Roman"/>
                <w:sz w:val="24"/>
                <w:szCs w:val="24"/>
              </w:rPr>
              <w:t>45</w:t>
            </w:r>
          </w:p>
        </w:tc>
        <w:tc>
          <w:tcPr>
            <w:tcW w:w="1640" w:type="dxa"/>
            <w:vAlign w:val="bottom"/>
          </w:tcPr>
          <w:p w:rsidR="00D745B4" w:rsidRPr="008C0C32" w:rsidP="35D8F5DF" w14:paraId="73938612" w14:textId="77777777">
            <w:pPr>
              <w:tabs>
                <w:tab w:val="left" w:pos="720"/>
              </w:tabs>
              <w:spacing w:after="0" w:line="240" w:lineRule="auto"/>
              <w:jc w:val="right"/>
              <w:rPr>
                <w:rFonts w:ascii="Times New Roman" w:eastAsia="Times New Roman" w:hAnsi="Times New Roman" w:cs="Times New Roman"/>
                <w:sz w:val="24"/>
                <w:szCs w:val="24"/>
              </w:rPr>
            </w:pPr>
            <w:r w:rsidRPr="008C0C32">
              <w:rPr>
                <w:rFonts w:ascii="Times New Roman" w:eastAsia="Times New Roman" w:hAnsi="Times New Roman" w:cs="Times New Roman"/>
                <w:sz w:val="24"/>
                <w:szCs w:val="24"/>
              </w:rPr>
              <w:t>1.5 hours;</w:t>
            </w:r>
          </w:p>
          <w:p w:rsidR="00D745B4" w:rsidRPr="008C0C32" w:rsidP="35D8F5DF" w14:paraId="7D8B5B6B" w14:textId="10A49345">
            <w:pPr>
              <w:tabs>
                <w:tab w:val="left" w:pos="720"/>
              </w:tabs>
              <w:spacing w:after="0" w:line="240" w:lineRule="auto"/>
              <w:jc w:val="right"/>
              <w:rPr>
                <w:rFonts w:ascii="Times New Roman" w:eastAsia="Times New Roman" w:hAnsi="Times New Roman" w:cs="Times New Roman"/>
                <w:sz w:val="24"/>
                <w:szCs w:val="24"/>
              </w:rPr>
            </w:pPr>
            <w:r w:rsidRPr="008C0C32">
              <w:rPr>
                <w:rFonts w:ascii="Times New Roman" w:eastAsia="Times New Roman" w:hAnsi="Times New Roman" w:cs="Times New Roman"/>
                <w:sz w:val="24"/>
                <w:szCs w:val="24"/>
              </w:rPr>
              <w:t>$</w:t>
            </w:r>
            <w:r w:rsidRPr="004B5EDF" w:rsidR="00E1056B">
              <w:rPr>
                <w:rFonts w:ascii="Times New Roman" w:eastAsia="Times New Roman" w:hAnsi="Times New Roman" w:cs="Times New Roman"/>
                <w:sz w:val="24"/>
                <w:szCs w:val="24"/>
              </w:rPr>
              <w:t>155</w:t>
            </w:r>
          </w:p>
        </w:tc>
        <w:tc>
          <w:tcPr>
            <w:tcW w:w="1800" w:type="dxa"/>
            <w:vAlign w:val="bottom"/>
          </w:tcPr>
          <w:p w:rsidR="00D745B4" w:rsidRPr="008C0C32" w:rsidP="35D8F5DF" w14:paraId="663F13E0" w14:textId="77777777">
            <w:pPr>
              <w:tabs>
                <w:tab w:val="left" w:pos="720"/>
              </w:tabs>
              <w:spacing w:after="0" w:line="240" w:lineRule="auto"/>
              <w:jc w:val="right"/>
              <w:rPr>
                <w:rFonts w:ascii="Times New Roman" w:eastAsia="Times New Roman" w:hAnsi="Times New Roman" w:cs="Times New Roman"/>
                <w:sz w:val="24"/>
                <w:szCs w:val="24"/>
              </w:rPr>
            </w:pPr>
            <w:r w:rsidRPr="008C0C32">
              <w:rPr>
                <w:rFonts w:ascii="Times New Roman" w:eastAsia="Times New Roman" w:hAnsi="Times New Roman" w:cs="Times New Roman"/>
                <w:sz w:val="24"/>
                <w:szCs w:val="24"/>
              </w:rPr>
              <w:t>67.5 hours;</w:t>
            </w:r>
          </w:p>
          <w:p w:rsidR="00D745B4" w:rsidRPr="008C0C32" w:rsidP="35D8F5DF" w14:paraId="1CEA69E5" w14:textId="0BFF56D2">
            <w:pPr>
              <w:tabs>
                <w:tab w:val="left" w:pos="720"/>
              </w:tabs>
              <w:spacing w:after="0" w:line="240" w:lineRule="auto"/>
              <w:jc w:val="right"/>
              <w:rPr>
                <w:rFonts w:ascii="Times New Roman" w:eastAsia="Times New Roman" w:hAnsi="Times New Roman" w:cs="Times New Roman"/>
                <w:sz w:val="24"/>
                <w:szCs w:val="24"/>
              </w:rPr>
            </w:pPr>
            <w:r w:rsidRPr="008C0C32">
              <w:rPr>
                <w:rFonts w:ascii="Times New Roman" w:eastAsia="Times New Roman" w:hAnsi="Times New Roman" w:cs="Times New Roman"/>
                <w:sz w:val="24"/>
                <w:szCs w:val="24"/>
              </w:rPr>
              <w:t>$</w:t>
            </w:r>
            <w:r w:rsidRPr="004B5EDF" w:rsidR="00E1056B">
              <w:rPr>
                <w:rFonts w:ascii="Times New Roman" w:eastAsia="Times New Roman" w:hAnsi="Times New Roman" w:cs="Times New Roman"/>
                <w:sz w:val="24"/>
                <w:szCs w:val="24"/>
              </w:rPr>
              <w:t>6</w:t>
            </w:r>
            <w:r w:rsidRPr="004B5EDF" w:rsidR="0018251D">
              <w:rPr>
                <w:rFonts w:ascii="Times New Roman" w:eastAsia="Times New Roman" w:hAnsi="Times New Roman" w:cs="Times New Roman"/>
                <w:sz w:val="24"/>
                <w:szCs w:val="24"/>
              </w:rPr>
              <w:t>,953</w:t>
            </w:r>
          </w:p>
        </w:tc>
        <w:tc>
          <w:tcPr>
            <w:tcW w:w="1960" w:type="dxa"/>
            <w:vAlign w:val="bottom"/>
          </w:tcPr>
          <w:p w:rsidR="00D745B4" w:rsidRPr="008C0C32" w:rsidP="35D8F5DF" w14:paraId="67ED30C9" w14:textId="57F49829">
            <w:pPr>
              <w:tabs>
                <w:tab w:val="left" w:pos="720"/>
              </w:tabs>
              <w:spacing w:after="0" w:line="240" w:lineRule="auto"/>
              <w:jc w:val="right"/>
              <w:rPr>
                <w:rFonts w:ascii="Times New Roman" w:eastAsia="Times New Roman" w:hAnsi="Times New Roman" w:cs="Times New Roman"/>
                <w:sz w:val="24"/>
                <w:szCs w:val="24"/>
              </w:rPr>
            </w:pPr>
            <w:r w:rsidRPr="008C0C32">
              <w:rPr>
                <w:rFonts w:ascii="Times New Roman" w:eastAsia="Times New Roman" w:hAnsi="Times New Roman" w:cs="Times New Roman"/>
                <w:sz w:val="24"/>
                <w:szCs w:val="24"/>
              </w:rPr>
              <w:t>$</w:t>
            </w:r>
            <w:r w:rsidRPr="004B5EDF" w:rsidR="0018251D">
              <w:rPr>
                <w:rFonts w:ascii="Times New Roman" w:eastAsia="Times New Roman" w:hAnsi="Times New Roman" w:cs="Times New Roman"/>
                <w:sz w:val="24"/>
                <w:szCs w:val="24"/>
              </w:rPr>
              <w:t>155</w:t>
            </w:r>
          </w:p>
        </w:tc>
      </w:tr>
    </w:tbl>
    <w:p w:rsidR="00D745B4" w:rsidRPr="004B5EDF" w:rsidP="00D3795C" w14:paraId="228A8B76" w14:textId="77777777">
      <w:pPr>
        <w:tabs>
          <w:tab w:val="left" w:pos="720"/>
        </w:tabs>
        <w:spacing w:after="0" w:line="240" w:lineRule="auto"/>
        <w:rPr>
          <w:rFonts w:ascii="Times New Roman" w:eastAsia="Times New Roman" w:hAnsi="Times New Roman" w:cs="Times New Roman"/>
          <w:b/>
          <w:sz w:val="24"/>
          <w:szCs w:val="24"/>
        </w:rPr>
      </w:pPr>
    </w:p>
    <w:p w:rsidR="00D3795C" w:rsidRPr="004B5EDF" w:rsidP="00D3795C" w14:paraId="030384D5" w14:textId="77777777">
      <w:pPr>
        <w:tabs>
          <w:tab w:val="left" w:pos="720"/>
        </w:tabs>
        <w:spacing w:after="0" w:line="240" w:lineRule="auto"/>
        <w:rPr>
          <w:rFonts w:ascii="Times New Roman" w:eastAsia="Times New Roman" w:hAnsi="Times New Roman" w:cs="Times New Roman"/>
          <w:sz w:val="24"/>
          <w:szCs w:val="24"/>
        </w:rPr>
      </w:pPr>
    </w:p>
    <w:p w:rsidR="00D3795C" w:rsidRPr="004B5EDF" w:rsidP="00D3795C" w14:paraId="390B9122" w14:textId="77777777">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b/>
          <w:sz w:val="24"/>
          <w:szCs w:val="24"/>
        </w:rPr>
        <w:t>ESTIMATE OF THE TOTAL ANNUAL COST BURDEN TO RESPONDENTS</w:t>
      </w:r>
    </w:p>
    <w:p w:rsidR="008C0C32" w:rsidP="0007775D" w14:paraId="0C4E9BF4" w14:textId="77777777">
      <w:pPr>
        <w:tabs>
          <w:tab w:val="left" w:pos="720"/>
        </w:tabs>
        <w:spacing w:after="0" w:line="240" w:lineRule="auto"/>
        <w:rPr>
          <w:rFonts w:ascii="Times New Roman" w:eastAsia="Times New Roman" w:hAnsi="Times New Roman" w:cs="Times New Roman"/>
          <w:b/>
          <w:sz w:val="24"/>
          <w:szCs w:val="24"/>
        </w:rPr>
      </w:pPr>
    </w:p>
    <w:p w:rsidR="0007775D" w:rsidRPr="008C0C32" w:rsidP="0007775D" w14:paraId="1BD2D846" w14:textId="78BD2C04">
      <w:pPr>
        <w:tabs>
          <w:tab w:val="left" w:pos="720"/>
        </w:tabs>
        <w:spacing w:after="0" w:line="240" w:lineRule="auto"/>
        <w:rPr>
          <w:rFonts w:ascii="Times New Roman" w:eastAsia="Times New Roman" w:hAnsi="Times New Roman" w:cs="Times New Roman"/>
          <w:sz w:val="24"/>
          <w:szCs w:val="24"/>
        </w:rPr>
      </w:pPr>
      <w:r w:rsidRPr="008C0C32">
        <w:rPr>
          <w:rFonts w:ascii="Times New Roman" w:eastAsia="Times New Roman" w:hAnsi="Times New Roman" w:cs="Times New Roman"/>
          <w:sz w:val="24"/>
          <w:szCs w:val="24"/>
        </w:rPr>
        <w:t>All costs are related to burden hours and are discussed in Questions 12 and 15. There are no capital costs.</w:t>
      </w:r>
    </w:p>
    <w:p w:rsidR="00D3795C" w:rsidRPr="004B5EDF" w:rsidP="00D3795C" w14:paraId="043A7584" w14:textId="77777777">
      <w:pPr>
        <w:tabs>
          <w:tab w:val="left" w:pos="720"/>
        </w:tabs>
        <w:spacing w:after="0" w:line="240" w:lineRule="auto"/>
        <w:rPr>
          <w:rFonts w:ascii="Times New Roman" w:eastAsia="Times New Roman" w:hAnsi="Times New Roman" w:cs="Times New Roman"/>
          <w:sz w:val="24"/>
          <w:szCs w:val="24"/>
        </w:rPr>
      </w:pPr>
    </w:p>
    <w:p w:rsidR="00D3795C" w:rsidRPr="004B5EDF" w:rsidP="00D3795C" w14:paraId="51BAF370" w14:textId="77777777">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4B5EDF">
        <w:rPr>
          <w:rFonts w:ascii="Times New Roman" w:eastAsia="Times New Roman" w:hAnsi="Times New Roman" w:cs="Times New Roman"/>
          <w:b/>
          <w:sz w:val="24"/>
          <w:szCs w:val="24"/>
        </w:rPr>
        <w:t>ESTIMATED ANNUALIZED COST TO FEDERAL GOVERNMENT</w:t>
      </w:r>
    </w:p>
    <w:p w:rsidR="00D3795C" w:rsidRPr="004B5EDF" w:rsidP="00D3795C" w14:paraId="0C19E928" w14:textId="382376CA">
      <w:pPr>
        <w:tabs>
          <w:tab w:val="left" w:pos="720"/>
        </w:tabs>
        <w:spacing w:after="0" w:line="240" w:lineRule="auto"/>
        <w:rPr>
          <w:rFonts w:ascii="Times New Roman" w:eastAsia="Times New Roman" w:hAnsi="Times New Roman" w:cs="Times New Roman"/>
          <w:b/>
          <w:sz w:val="24"/>
          <w:szCs w:val="24"/>
        </w:rPr>
      </w:pPr>
    </w:p>
    <w:p w:rsidR="00C01E3B" w:rsidRPr="004B5EDF" w:rsidP="00C01E3B" w14:paraId="4D8EDD83" w14:textId="4EC61B94">
      <w:pPr>
        <w:spacing w:after="0" w:line="240" w:lineRule="auto"/>
        <w:rPr>
          <w:rFonts w:ascii="Times New Roman" w:eastAsia="Calibri" w:hAnsi="Times New Roman" w:cs="Times New Roman"/>
          <w:sz w:val="24"/>
          <w:szCs w:val="24"/>
        </w:rPr>
      </w:pPr>
      <w:r w:rsidRPr="004B5EDF">
        <w:rPr>
          <w:rFonts w:ascii="Times New Roman" w:eastAsia="Calibri" w:hAnsi="Times New Roman" w:cs="Times New Roman"/>
          <w:sz w:val="24"/>
          <w:szCs w:val="24"/>
        </w:rPr>
        <w:t xml:space="preserve">The estimate of the cost for </w:t>
      </w:r>
      <w:r w:rsidRPr="008C0C32" w:rsidR="0007775D">
        <w:rPr>
          <w:rFonts w:ascii="Times New Roman" w:eastAsia="Calibri" w:hAnsi="Times New Roman" w:cs="Times New Roman"/>
          <w:sz w:val="24"/>
          <w:szCs w:val="24"/>
        </w:rPr>
        <w:t>“</w:t>
      </w:r>
      <w:r w:rsidRPr="004B5EDF">
        <w:rPr>
          <w:rFonts w:ascii="Times New Roman" w:eastAsia="Calibri" w:hAnsi="Times New Roman" w:cs="Times New Roman"/>
          <w:sz w:val="24"/>
          <w:szCs w:val="24"/>
        </w:rPr>
        <w:t>analysis and processing of filings</w:t>
      </w:r>
      <w:r w:rsidRPr="008C0C32" w:rsidR="0007775D">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vertAlign w:val="superscript"/>
        </w:rPr>
        <w:footnoteReference w:id="6"/>
      </w:r>
      <w:r w:rsidRPr="004B5EDF">
        <w:rPr>
          <w:rFonts w:ascii="Times New Roman" w:eastAsia="Calibri" w:hAnsi="Times New Roman" w:cs="Times New Roman"/>
          <w:sz w:val="24"/>
          <w:szCs w:val="24"/>
        </w:rPr>
        <w:t xml:space="preserve"> is based on salaries and benefits for professional and clerical support</w:t>
      </w:r>
      <w:r w:rsidRPr="004B5EDF" w:rsidR="00773CD5">
        <w:rPr>
          <w:rFonts w:ascii="Times New Roman" w:eastAsia="Calibri" w:hAnsi="Times New Roman" w:cs="Times New Roman"/>
          <w:sz w:val="24"/>
          <w:szCs w:val="24"/>
        </w:rPr>
        <w:t>.</w:t>
      </w:r>
      <w:r w:rsidR="00DA3432">
        <w:rPr>
          <w:rFonts w:ascii="Times New Roman" w:eastAsia="Calibri" w:hAnsi="Times New Roman" w:cs="Times New Roman"/>
          <w:sz w:val="24"/>
          <w:szCs w:val="24"/>
        </w:rPr>
        <w:t xml:space="preserve"> </w:t>
      </w:r>
      <w:r w:rsidRPr="004B5EDF">
        <w:rPr>
          <w:rFonts w:ascii="Times New Roman" w:eastAsia="Calibri" w:hAnsi="Times New Roman" w:cs="Times New Roman"/>
          <w:sz w:val="24"/>
          <w:szCs w:val="24"/>
        </w:rPr>
        <w:t>This estimated cost represents staff analysis, decision-making, and review of any actual filings submitted in response to the information collection.</w:t>
      </w:r>
      <w:r w:rsidRPr="006C7EC5" w:rsidR="00465A09">
        <w:rPr>
          <w:rFonts w:ascii="Times New Roman" w:eastAsia="Calibri" w:hAnsi="Times New Roman" w:cs="Times New Roman"/>
          <w:sz w:val="24"/>
          <w:szCs w:val="24"/>
        </w:rPr>
        <w:t xml:space="preserve"> The corresponding annual and hourly FERC costs use the figures for 2025, as noted.</w:t>
      </w:r>
    </w:p>
    <w:p w:rsidR="00EF3F6E" w:rsidRPr="004B5EDF" w:rsidP="00C01E3B" w14:paraId="0BCB28D6" w14:textId="77777777">
      <w:pPr>
        <w:spacing w:after="0" w:line="240" w:lineRule="auto"/>
        <w:rPr>
          <w:rFonts w:ascii="Times New Roman" w:eastAsia="Calibri" w:hAnsi="Times New Roman" w:cs="Times New Roman"/>
          <w:sz w:val="24"/>
          <w:szCs w:val="24"/>
        </w:rPr>
      </w:pPr>
    </w:p>
    <w:p w:rsidR="00FF438E" w:rsidRPr="004B5EDF" w:rsidP="0014504C" w14:paraId="655CEE68" w14:textId="62BD202A">
      <w:pPr>
        <w:spacing w:after="0" w:line="240" w:lineRule="auto"/>
        <w:rPr>
          <w:rFonts w:ascii="Times New Roman" w:eastAsia="Calibri" w:hAnsi="Times New Roman" w:cs="Times New Roman"/>
          <w:sz w:val="24"/>
          <w:szCs w:val="24"/>
        </w:rPr>
      </w:pPr>
      <w:r w:rsidRPr="009424E2">
        <w:rPr>
          <w:rFonts w:ascii="Times New Roman" w:eastAsia="Calibri" w:hAnsi="Times New Roman" w:cs="Times New Roman"/>
          <w:sz w:val="24"/>
          <w:szCs w:val="24"/>
        </w:rPr>
        <w:t>The Paperwork Reduction Act (PRA) Administrative Cost</w:t>
      </w:r>
      <w:r>
        <w:rPr>
          <w:rFonts w:ascii="Times New Roman" w:eastAsia="Calibri" w:hAnsi="Times New Roman" w:cs="Times New Roman"/>
          <w:sz w:val="24"/>
          <w:szCs w:val="24"/>
          <w:vertAlign w:val="superscript"/>
        </w:rPr>
        <w:footnoteReference w:id="7"/>
      </w:r>
      <w:r w:rsidRPr="009424E2">
        <w:rPr>
          <w:rFonts w:ascii="Times New Roman" w:eastAsia="Calibri" w:hAnsi="Times New Roman" w:cs="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w:t>
      </w:r>
      <w:r w:rsidR="00DA3432">
        <w:rPr>
          <w:rFonts w:ascii="Times New Roman" w:eastAsia="Calibri" w:hAnsi="Times New Roman" w:cs="Times New Roman"/>
          <w:sz w:val="24"/>
          <w:szCs w:val="24"/>
        </w:rPr>
        <w:t xml:space="preserve"> </w:t>
      </w:r>
      <w:r w:rsidRPr="009424E2">
        <w:rPr>
          <w:rFonts w:ascii="Times New Roman" w:eastAsia="Calibri" w:hAnsi="Times New Roman" w:cs="Times New Roman"/>
          <w:sz w:val="24"/>
          <w:szCs w:val="24"/>
        </w:rPr>
        <w:t>It also includes the cost of publishing the necessary notices in the Federal Register.</w:t>
      </w:r>
    </w:p>
    <w:p w:rsidR="00D3795C" w:rsidRPr="004B5EDF" w:rsidP="00D3795C" w14:paraId="5912525C" w14:textId="77777777">
      <w:pPr>
        <w:spacing w:after="0" w:line="240" w:lineRule="auto"/>
        <w:ind w:left="720"/>
        <w:contextualSpacing/>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2F9AFC74" w14:textId="77777777" w:rsidTr="20BEEA7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795C" w:rsidRPr="004B5EDF" w:rsidP="00D3795C" w14:paraId="2EEE816B" w14:textId="77777777">
            <w:pPr>
              <w:spacing w:after="0" w:line="240" w:lineRule="auto"/>
              <w:contextualSpacing/>
              <w:rPr>
                <w:rFonts w:ascii="Times New Roman" w:eastAsia="Times New Roman" w:hAnsi="Times New Roman" w:cs="Times New Roman"/>
                <w:b/>
                <w:sz w:val="24"/>
                <w:szCs w:val="24"/>
              </w:rPr>
            </w:pPr>
          </w:p>
        </w:tc>
        <w:tc>
          <w:tcPr>
            <w:tcW w:w="1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3795C" w:rsidRPr="004B5EDF" w:rsidP="00D3795C" w14:paraId="0EE7B23A" w14:textId="77777777">
            <w:pPr>
              <w:spacing w:after="0" w:line="240" w:lineRule="auto"/>
              <w:contextualSpacing/>
              <w:jc w:val="center"/>
              <w:rPr>
                <w:rFonts w:ascii="Times New Roman" w:eastAsia="Times New Roman" w:hAnsi="Times New Roman" w:cs="Times New Roman"/>
                <w:b/>
                <w:sz w:val="24"/>
                <w:szCs w:val="24"/>
              </w:rPr>
            </w:pPr>
            <w:r w:rsidRPr="004B5EDF">
              <w:rPr>
                <w:rFonts w:ascii="Times New Roman" w:eastAsia="Times New Roman" w:hAnsi="Times New Roman" w:cs="Times New Roman"/>
                <w:b/>
                <w:sz w:val="24"/>
                <w:szCs w:val="24"/>
              </w:rPr>
              <w:t>Number of Employees (FTE)</w:t>
            </w:r>
          </w:p>
        </w:tc>
        <w:tc>
          <w:tcPr>
            <w:tcW w:w="1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3795C" w:rsidRPr="004B5EDF" w:rsidP="00D3795C" w14:paraId="69AD1211" w14:textId="77777777">
            <w:pPr>
              <w:spacing w:after="0" w:line="240" w:lineRule="auto"/>
              <w:contextualSpacing/>
              <w:jc w:val="center"/>
              <w:rPr>
                <w:rFonts w:ascii="Times New Roman" w:eastAsia="Times New Roman" w:hAnsi="Times New Roman" w:cs="Times New Roman"/>
                <w:b/>
                <w:sz w:val="24"/>
                <w:szCs w:val="24"/>
              </w:rPr>
            </w:pPr>
            <w:r w:rsidRPr="004B5EDF">
              <w:rPr>
                <w:rFonts w:ascii="Times New Roman" w:eastAsia="Times New Roman" w:hAnsi="Times New Roman" w:cs="Times New Roman"/>
                <w:b/>
                <w:sz w:val="24"/>
                <w:szCs w:val="24"/>
              </w:rPr>
              <w:t>Estimated Annual Federal Cost</w:t>
            </w:r>
          </w:p>
        </w:tc>
      </w:tr>
      <w:tr w14:paraId="032F8539" w14:textId="77777777" w:rsidTr="20BEEA78">
        <w:tblPrEx>
          <w:tblW w:w="5000" w:type="pct"/>
          <w:tblLook w:val="01E0"/>
        </w:tblPrEx>
        <w:tc>
          <w:tcPr>
            <w:tcW w:w="1756" w:type="pct"/>
            <w:tcBorders>
              <w:top w:val="single" w:sz="4" w:space="0" w:color="auto"/>
              <w:left w:val="single" w:sz="4" w:space="0" w:color="auto"/>
              <w:bottom w:val="single" w:sz="4" w:space="0" w:color="auto"/>
              <w:right w:val="single" w:sz="4" w:space="0" w:color="auto"/>
            </w:tcBorders>
            <w:vAlign w:val="center"/>
            <w:hideMark/>
          </w:tcPr>
          <w:p w:rsidR="00D3795C" w:rsidRPr="004B5EDF" w:rsidP="00D3795C" w14:paraId="67D3C5A8" w14:textId="67DBBCBF">
            <w:pPr>
              <w:spacing w:after="0" w:line="240" w:lineRule="auto"/>
              <w:contextualSpacing/>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Analysis and Processing of Filings</w:t>
            </w:r>
          </w:p>
        </w:tc>
        <w:tc>
          <w:tcPr>
            <w:tcW w:w="1627" w:type="pct"/>
            <w:tcBorders>
              <w:top w:val="single" w:sz="4" w:space="0" w:color="auto"/>
              <w:left w:val="single" w:sz="4" w:space="0" w:color="auto"/>
              <w:bottom w:val="single" w:sz="4" w:space="0" w:color="auto"/>
              <w:right w:val="single" w:sz="4" w:space="0" w:color="auto"/>
            </w:tcBorders>
            <w:vAlign w:val="center"/>
            <w:hideMark/>
          </w:tcPr>
          <w:p w:rsidR="00D3795C" w:rsidRPr="004B5EDF" w:rsidP="00D3795C" w14:paraId="42529DDD" w14:textId="77777777">
            <w:pPr>
              <w:spacing w:after="0" w:line="240" w:lineRule="auto"/>
              <w:contextualSpacing/>
              <w:jc w:val="right"/>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0.3</w:t>
            </w:r>
          </w:p>
        </w:tc>
        <w:tc>
          <w:tcPr>
            <w:tcW w:w="1617" w:type="pct"/>
            <w:tcBorders>
              <w:top w:val="single" w:sz="4" w:space="0" w:color="auto"/>
              <w:left w:val="single" w:sz="4" w:space="0" w:color="auto"/>
              <w:bottom w:val="single" w:sz="4" w:space="0" w:color="auto"/>
              <w:right w:val="single" w:sz="4" w:space="0" w:color="auto"/>
            </w:tcBorders>
            <w:vAlign w:val="center"/>
            <w:hideMark/>
          </w:tcPr>
          <w:p w:rsidR="00D3795C" w:rsidRPr="008B5ECA" w:rsidP="35D8F5DF" w14:paraId="767F0D56" w14:textId="65570379">
            <w:pPr>
              <w:spacing w:after="0" w:line="240" w:lineRule="auto"/>
              <w:contextualSpacing/>
              <w:jc w:val="right"/>
              <w:rPr>
                <w:rFonts w:ascii="Times New Roman" w:eastAsia="Times New Roman" w:hAnsi="Times New Roman" w:cs="Times New Roman"/>
                <w:sz w:val="24"/>
                <w:szCs w:val="24"/>
              </w:rPr>
            </w:pPr>
            <w:r w:rsidRPr="20BEEA78">
              <w:rPr>
                <w:rFonts w:ascii="Times New Roman" w:eastAsia="Times New Roman" w:hAnsi="Times New Roman" w:cs="Times New Roman"/>
                <w:sz w:val="24"/>
                <w:szCs w:val="24"/>
              </w:rPr>
              <w:t>$</w:t>
            </w:r>
            <w:r w:rsidRPr="20BEEA78" w:rsidR="1F6B35C3">
              <w:rPr>
                <w:rFonts w:ascii="Times New Roman" w:eastAsia="Times New Roman" w:hAnsi="Times New Roman" w:cs="Times New Roman"/>
                <w:sz w:val="24"/>
                <w:szCs w:val="24"/>
              </w:rPr>
              <w:t>64,2</w:t>
            </w:r>
            <w:r w:rsidRPr="20BEEA78" w:rsidR="6AF39A9A">
              <w:rPr>
                <w:rFonts w:ascii="Times New Roman" w:eastAsia="Times New Roman" w:hAnsi="Times New Roman" w:cs="Times New Roman"/>
                <w:sz w:val="24"/>
                <w:szCs w:val="24"/>
              </w:rPr>
              <w:t>28</w:t>
            </w:r>
          </w:p>
        </w:tc>
      </w:tr>
      <w:tr w14:paraId="595EE1E1" w14:textId="77777777" w:rsidTr="20BEEA78">
        <w:tblPrEx>
          <w:tblW w:w="5000" w:type="pct"/>
          <w:tblLook w:val="01E0"/>
        </w:tblPrEx>
        <w:tc>
          <w:tcPr>
            <w:tcW w:w="1756" w:type="pct"/>
            <w:tcBorders>
              <w:top w:val="single" w:sz="4" w:space="0" w:color="auto"/>
              <w:left w:val="single" w:sz="4" w:space="0" w:color="auto"/>
              <w:bottom w:val="single" w:sz="4" w:space="0" w:color="auto"/>
              <w:right w:val="single" w:sz="4" w:space="0" w:color="auto"/>
            </w:tcBorders>
            <w:vAlign w:val="center"/>
            <w:hideMark/>
          </w:tcPr>
          <w:p w:rsidR="00D3795C" w:rsidRPr="004B5EDF" w:rsidP="00D3795C" w14:paraId="51167B40" w14:textId="26B680DF">
            <w:pPr>
              <w:spacing w:after="0" w:line="240" w:lineRule="auto"/>
              <w:contextualSpacing/>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PRA Administrative Cost</w:t>
            </w:r>
            <w:r>
              <w:rPr>
                <w:rStyle w:val="FootnoteReference"/>
                <w:rFonts w:ascii="Times New Roman" w:eastAsia="Times New Roman" w:hAnsi="Times New Roman" w:cs="Times New Roman"/>
                <w:sz w:val="24"/>
                <w:szCs w:val="24"/>
                <w:vertAlign w:val="superscript"/>
              </w:rPr>
              <w:footnoteReference w:id="8"/>
            </w:r>
          </w:p>
        </w:tc>
        <w:tc>
          <w:tcPr>
            <w:tcW w:w="1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795C" w:rsidRPr="004B5EDF" w:rsidP="00D3795C" w14:paraId="66833226" w14:textId="77777777">
            <w:pPr>
              <w:spacing w:after="0" w:line="240" w:lineRule="auto"/>
              <w:contextualSpacing/>
              <w:jc w:val="right"/>
              <w:rPr>
                <w:rFonts w:ascii="Times New Roman" w:eastAsia="Times New Roman" w:hAnsi="Times New Roman" w:cs="Times New Roman"/>
                <w:b/>
                <w:sz w:val="24"/>
                <w:szCs w:val="24"/>
              </w:rPr>
            </w:pPr>
          </w:p>
        </w:tc>
        <w:tc>
          <w:tcPr>
            <w:tcW w:w="1617" w:type="pct"/>
            <w:tcBorders>
              <w:top w:val="single" w:sz="4" w:space="0" w:color="auto"/>
              <w:left w:val="single" w:sz="4" w:space="0" w:color="auto"/>
              <w:bottom w:val="single" w:sz="4" w:space="0" w:color="auto"/>
              <w:right w:val="single" w:sz="4" w:space="0" w:color="auto"/>
            </w:tcBorders>
            <w:vAlign w:val="center"/>
            <w:hideMark/>
          </w:tcPr>
          <w:p w:rsidR="00D3795C" w:rsidRPr="008B5ECA" w:rsidP="35D8F5DF" w14:paraId="5227BBDD" w14:textId="222A4551">
            <w:pPr>
              <w:spacing w:after="0" w:line="240" w:lineRule="auto"/>
              <w:contextualSpacing/>
              <w:jc w:val="right"/>
              <w:rPr>
                <w:rFonts w:ascii="Times New Roman" w:eastAsia="Times New Roman" w:hAnsi="Times New Roman" w:cs="Times New Roman"/>
                <w:sz w:val="24"/>
                <w:szCs w:val="24"/>
              </w:rPr>
            </w:pPr>
            <w:r w:rsidRPr="008B5ECA">
              <w:rPr>
                <w:rFonts w:ascii="Times New Roman" w:eastAsia="Times New Roman" w:hAnsi="Times New Roman" w:cs="Times New Roman"/>
                <w:sz w:val="24"/>
                <w:szCs w:val="24"/>
              </w:rPr>
              <w:t>$</w:t>
            </w:r>
            <w:r w:rsidRPr="004B5EDF" w:rsidR="00270349">
              <w:rPr>
                <w:rFonts w:ascii="Times New Roman" w:eastAsia="Times New Roman" w:hAnsi="Times New Roman" w:cs="Times New Roman"/>
                <w:sz w:val="24"/>
                <w:szCs w:val="24"/>
              </w:rPr>
              <w:t>7,978</w:t>
            </w:r>
          </w:p>
        </w:tc>
      </w:tr>
      <w:tr w14:paraId="69D1FC24" w14:textId="77777777" w:rsidTr="20BEEA78">
        <w:tblPrEx>
          <w:tblW w:w="5000" w:type="pct"/>
          <w:tblLook w:val="01E0"/>
        </w:tblPrEx>
        <w:tc>
          <w:tcPr>
            <w:tcW w:w="1756" w:type="pct"/>
            <w:tcBorders>
              <w:top w:val="single" w:sz="4" w:space="0" w:color="auto"/>
              <w:left w:val="single" w:sz="4" w:space="0" w:color="auto"/>
              <w:bottom w:val="single" w:sz="4" w:space="0" w:color="auto"/>
              <w:right w:val="single" w:sz="4" w:space="0" w:color="auto"/>
            </w:tcBorders>
            <w:vAlign w:val="center"/>
            <w:hideMark/>
          </w:tcPr>
          <w:p w:rsidR="00D3795C" w:rsidRPr="004B5EDF" w:rsidP="00D3795C" w14:paraId="280C515A" w14:textId="77777777">
            <w:pPr>
              <w:spacing w:after="0" w:line="240" w:lineRule="auto"/>
              <w:contextualSpacing/>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FERC Total</w:t>
            </w:r>
          </w:p>
        </w:tc>
        <w:tc>
          <w:tcPr>
            <w:tcW w:w="1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795C" w:rsidRPr="004B5EDF" w:rsidP="00D3795C" w14:paraId="7B99B0A6" w14:textId="77777777">
            <w:pPr>
              <w:spacing w:after="0" w:line="240" w:lineRule="auto"/>
              <w:contextualSpacing/>
              <w:jc w:val="right"/>
              <w:rPr>
                <w:rFonts w:ascii="Times New Roman" w:eastAsia="Times New Roman" w:hAnsi="Times New Roman" w:cs="Times New Roman"/>
                <w:b/>
                <w:sz w:val="24"/>
                <w:szCs w:val="24"/>
              </w:rPr>
            </w:pPr>
          </w:p>
        </w:tc>
        <w:tc>
          <w:tcPr>
            <w:tcW w:w="1617" w:type="pct"/>
            <w:tcBorders>
              <w:top w:val="single" w:sz="4" w:space="0" w:color="auto"/>
              <w:left w:val="single" w:sz="4" w:space="0" w:color="auto"/>
              <w:bottom w:val="single" w:sz="4" w:space="0" w:color="auto"/>
              <w:right w:val="single" w:sz="4" w:space="0" w:color="auto"/>
            </w:tcBorders>
            <w:vAlign w:val="center"/>
            <w:hideMark/>
          </w:tcPr>
          <w:p w:rsidR="00D3795C" w:rsidRPr="008B5ECA" w:rsidP="35D8F5DF" w14:paraId="521AD108" w14:textId="526CD8F8">
            <w:pPr>
              <w:spacing w:after="0" w:line="240" w:lineRule="auto"/>
              <w:contextualSpacing/>
              <w:jc w:val="right"/>
              <w:rPr>
                <w:rFonts w:ascii="Times New Roman" w:eastAsia="Times New Roman" w:hAnsi="Times New Roman" w:cs="Times New Roman"/>
                <w:sz w:val="24"/>
                <w:szCs w:val="24"/>
              </w:rPr>
            </w:pPr>
            <w:r w:rsidRPr="20BEEA78">
              <w:rPr>
                <w:rFonts w:ascii="Times New Roman" w:eastAsia="Times New Roman" w:hAnsi="Times New Roman" w:cs="Times New Roman"/>
                <w:sz w:val="24"/>
                <w:szCs w:val="24"/>
              </w:rPr>
              <w:t>$</w:t>
            </w:r>
            <w:r w:rsidRPr="20BEEA78" w:rsidR="4E88A1B6">
              <w:rPr>
                <w:rFonts w:ascii="Times New Roman" w:eastAsia="Times New Roman" w:hAnsi="Times New Roman" w:cs="Times New Roman"/>
                <w:sz w:val="24"/>
                <w:szCs w:val="24"/>
              </w:rPr>
              <w:t>72</w:t>
            </w:r>
            <w:r w:rsidRPr="20BEEA78" w:rsidR="20FBBC59">
              <w:rPr>
                <w:rFonts w:ascii="Times New Roman" w:eastAsia="Times New Roman" w:hAnsi="Times New Roman" w:cs="Times New Roman"/>
                <w:sz w:val="24"/>
                <w:szCs w:val="24"/>
              </w:rPr>
              <w:t>,2</w:t>
            </w:r>
            <w:r w:rsidRPr="20BEEA78" w:rsidR="552928DB">
              <w:rPr>
                <w:rFonts w:ascii="Times New Roman" w:eastAsia="Times New Roman" w:hAnsi="Times New Roman" w:cs="Times New Roman"/>
                <w:sz w:val="24"/>
                <w:szCs w:val="24"/>
              </w:rPr>
              <w:t>06</w:t>
            </w:r>
          </w:p>
        </w:tc>
      </w:tr>
    </w:tbl>
    <w:p w:rsidR="00D3795C" w:rsidRPr="004B5EDF" w:rsidP="00D3795C" w14:paraId="37C2E1EC" w14:textId="77777777">
      <w:pPr>
        <w:spacing w:after="0" w:line="240" w:lineRule="auto"/>
        <w:ind w:left="720"/>
        <w:contextualSpacing/>
        <w:rPr>
          <w:rFonts w:ascii="Times New Roman" w:eastAsia="Times New Roman" w:hAnsi="Times New Roman" w:cs="Times New Roman"/>
          <w:b/>
          <w:sz w:val="24"/>
          <w:szCs w:val="24"/>
        </w:rPr>
      </w:pPr>
    </w:p>
    <w:p w:rsidR="00D3795C" w:rsidRPr="004B5EDF" w:rsidP="00D3795C" w14:paraId="53B7F870" w14:textId="77777777">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4B5EDF">
        <w:rPr>
          <w:rFonts w:ascii="Times New Roman" w:eastAsia="Times New Roman" w:hAnsi="Times New Roman" w:cs="Times New Roman"/>
          <w:b/>
          <w:sz w:val="24"/>
          <w:szCs w:val="24"/>
        </w:rPr>
        <w:t>REASONS FOR CHANGES IN BURDEN INCLUDING THE NEED FOR ANY INCREASE</w:t>
      </w:r>
    </w:p>
    <w:p w:rsidR="00D3795C" w:rsidRPr="004B5EDF" w:rsidP="00D3795C" w14:paraId="53C2CBD6" w14:textId="77777777">
      <w:pPr>
        <w:tabs>
          <w:tab w:val="left" w:pos="720"/>
        </w:tabs>
        <w:spacing w:after="0" w:line="240" w:lineRule="auto"/>
        <w:rPr>
          <w:rFonts w:ascii="Times New Roman" w:eastAsia="Times New Roman" w:hAnsi="Times New Roman" w:cs="Times New Roman"/>
          <w:b/>
          <w:sz w:val="24"/>
          <w:szCs w:val="24"/>
        </w:rPr>
      </w:pPr>
    </w:p>
    <w:p w:rsidR="00D3795C" w:rsidRPr="004B5EDF" w:rsidP="00D3795C" w14:paraId="12DD3E27" w14:textId="24A4D647">
      <w:pPr>
        <w:tabs>
          <w:tab w:val="left" w:pos="2394"/>
        </w:tabs>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The</w:t>
      </w:r>
      <w:r w:rsidRPr="004B5EDF" w:rsidR="00717588">
        <w:rPr>
          <w:rFonts w:ascii="Times New Roman" w:eastAsia="Times New Roman" w:hAnsi="Times New Roman" w:cs="Times New Roman"/>
          <w:sz w:val="24"/>
          <w:szCs w:val="24"/>
        </w:rPr>
        <w:t xml:space="preserve">re are no </w:t>
      </w:r>
      <w:r w:rsidRPr="004B5EDF" w:rsidR="00A42103">
        <w:rPr>
          <w:rFonts w:ascii="Times New Roman" w:eastAsia="Times New Roman" w:hAnsi="Times New Roman" w:cs="Times New Roman"/>
          <w:sz w:val="24"/>
          <w:szCs w:val="24"/>
        </w:rPr>
        <w:t>changes to the proposed burden</w:t>
      </w:r>
      <w:r w:rsidRPr="004B5EDF" w:rsidR="00A67412">
        <w:rPr>
          <w:rFonts w:ascii="Times New Roman" w:eastAsia="Times New Roman" w:hAnsi="Times New Roman" w:cs="Times New Roman"/>
          <w:sz w:val="24"/>
          <w:szCs w:val="24"/>
        </w:rPr>
        <w:t>.</w:t>
      </w:r>
      <w:r w:rsidRPr="004B5EDF" w:rsidR="003552A1">
        <w:rPr>
          <w:rFonts w:ascii="Times New Roman" w:eastAsia="Times New Roman" w:hAnsi="Times New Roman" w:cs="Times New Roman"/>
          <w:sz w:val="24"/>
          <w:szCs w:val="24"/>
        </w:rPr>
        <w:t xml:space="preserve"> </w:t>
      </w:r>
    </w:p>
    <w:p w:rsidR="00D3795C" w:rsidRPr="004B5EDF" w:rsidP="00D3795C" w14:paraId="44AA3A66" w14:textId="77777777">
      <w:pPr>
        <w:tabs>
          <w:tab w:val="left" w:pos="720"/>
        </w:tabs>
        <w:spacing w:after="0" w:line="240" w:lineRule="auto"/>
        <w:rPr>
          <w:rFonts w:ascii="Times New Roman" w:eastAsia="Times New Roman" w:hAnsi="Times New Roman" w:cs="Times New Roman"/>
          <w:b/>
          <w:sz w:val="24"/>
          <w:szCs w:val="24"/>
        </w:rPr>
      </w:pPr>
    </w:p>
    <w:p w:rsidR="00D3795C" w:rsidRPr="004B5EDF" w:rsidP="00D3795C" w14:paraId="518F3917" w14:textId="77777777">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4B5EDF">
        <w:rPr>
          <w:rFonts w:ascii="Times New Roman" w:eastAsia="Times New Roman" w:hAnsi="Times New Roman" w:cs="Times New Roman"/>
          <w:b/>
          <w:sz w:val="24"/>
          <w:szCs w:val="24"/>
        </w:rPr>
        <w:t>TIME SCHEDULE FOR PUBLICATION OF DATA</w:t>
      </w:r>
    </w:p>
    <w:p w:rsidR="00D3795C" w:rsidRPr="004B5EDF" w:rsidP="00D3795C" w14:paraId="7E8DFF9E" w14:textId="77777777">
      <w:pPr>
        <w:tabs>
          <w:tab w:val="left" w:pos="720"/>
        </w:tabs>
        <w:spacing w:after="0" w:line="240" w:lineRule="auto"/>
        <w:rPr>
          <w:rFonts w:ascii="Times New Roman" w:eastAsia="Times New Roman" w:hAnsi="Times New Roman" w:cs="Times New Roman"/>
          <w:b/>
          <w:sz w:val="24"/>
          <w:szCs w:val="24"/>
        </w:rPr>
      </w:pPr>
    </w:p>
    <w:p w:rsidR="00D3795C" w:rsidRPr="004B5EDF" w:rsidP="00D3795C" w14:paraId="28944F8E" w14:textId="2796CE51">
      <w:pPr>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There are no publication</w:t>
      </w:r>
      <w:r w:rsidRPr="004B5EDF" w:rsidR="00D00798">
        <w:rPr>
          <w:rFonts w:ascii="Times New Roman" w:eastAsia="Times New Roman" w:hAnsi="Times New Roman" w:cs="Times New Roman"/>
          <w:sz w:val="24"/>
          <w:szCs w:val="24"/>
        </w:rPr>
        <w:t>s</w:t>
      </w:r>
      <w:r w:rsidRPr="004B5EDF">
        <w:rPr>
          <w:rFonts w:ascii="Times New Roman" w:eastAsia="Times New Roman" w:hAnsi="Times New Roman" w:cs="Times New Roman"/>
          <w:sz w:val="24"/>
          <w:szCs w:val="24"/>
        </w:rPr>
        <w:t xml:space="preserve"> for the collection of information.</w:t>
      </w:r>
      <w:r w:rsidRPr="004B5EDF" w:rsidR="003552A1">
        <w:rPr>
          <w:rFonts w:ascii="Times New Roman" w:eastAsia="Times New Roman" w:hAnsi="Times New Roman" w:cs="Times New Roman"/>
          <w:sz w:val="24"/>
          <w:szCs w:val="24"/>
        </w:rPr>
        <w:t xml:space="preserve"> </w:t>
      </w:r>
    </w:p>
    <w:p w:rsidR="00D3795C" w:rsidRPr="004B5EDF" w:rsidP="00D3795C" w14:paraId="5CBCB780" w14:textId="77777777">
      <w:pPr>
        <w:tabs>
          <w:tab w:val="left" w:pos="720"/>
        </w:tabs>
        <w:spacing w:after="0" w:line="240" w:lineRule="auto"/>
        <w:rPr>
          <w:rFonts w:ascii="Times New Roman" w:eastAsia="Times New Roman" w:hAnsi="Times New Roman" w:cs="Times New Roman"/>
          <w:b/>
          <w:sz w:val="24"/>
          <w:szCs w:val="24"/>
        </w:rPr>
      </w:pPr>
    </w:p>
    <w:p w:rsidR="00D3795C" w:rsidRPr="004B5EDF" w:rsidP="00D3795C" w14:paraId="4ED89D30" w14:textId="77777777">
      <w:pPr>
        <w:widowControl w:val="0"/>
        <w:numPr>
          <w:ilvl w:val="0"/>
          <w:numId w:val="1"/>
        </w:numPr>
        <w:tabs>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4B5EDF">
        <w:rPr>
          <w:rFonts w:ascii="Times New Roman" w:eastAsia="Times New Roman" w:hAnsi="Times New Roman" w:cs="Times New Roman"/>
          <w:b/>
          <w:sz w:val="24"/>
          <w:szCs w:val="24"/>
        </w:rPr>
        <w:t>DISPLAY OF EXPIRATION DATE</w:t>
      </w:r>
    </w:p>
    <w:p w:rsidR="00D3795C" w:rsidRPr="004B5EDF" w:rsidP="00D3795C" w14:paraId="671325A8" w14:textId="77777777">
      <w:pPr>
        <w:tabs>
          <w:tab w:val="left" w:pos="720"/>
        </w:tabs>
        <w:spacing w:after="0" w:line="240" w:lineRule="auto"/>
        <w:rPr>
          <w:rFonts w:ascii="Times New Roman" w:eastAsia="Times New Roman" w:hAnsi="Times New Roman" w:cs="Times New Roman"/>
          <w:b/>
          <w:sz w:val="24"/>
          <w:szCs w:val="24"/>
        </w:rPr>
      </w:pPr>
    </w:p>
    <w:p w:rsidR="00D3795C" w:rsidRPr="004B5EDF" w:rsidP="00D3795C" w14:paraId="4D90DA41" w14:textId="64FE1DEA">
      <w:pPr>
        <w:tabs>
          <w:tab w:val="left" w:pos="720"/>
        </w:tabs>
        <w:spacing w:after="0" w:line="240" w:lineRule="auto"/>
        <w:rPr>
          <w:rFonts w:ascii="Times New Roman" w:eastAsia="Times New Roman" w:hAnsi="Times New Roman" w:cs="Times New Roman"/>
          <w:sz w:val="24"/>
          <w:szCs w:val="24"/>
        </w:rPr>
      </w:pPr>
      <w:r w:rsidRPr="1F83C306">
        <w:rPr>
          <w:rFonts w:ascii="Times New Roman" w:eastAsia="Times New Roman" w:hAnsi="Times New Roman" w:cs="Times New Roman"/>
          <w:sz w:val="24"/>
          <w:szCs w:val="24"/>
        </w:rPr>
        <w:t>FERC provides the OMB control numbers of the information collections along with their expiration dates at</w:t>
      </w:r>
      <w:r w:rsidRPr="1F83C306" w:rsidR="0014504C">
        <w:rPr>
          <w:rFonts w:ascii="Times New Roman" w:eastAsia="Times New Roman" w:hAnsi="Times New Roman" w:cs="Times New Roman"/>
          <w:sz w:val="24"/>
          <w:szCs w:val="24"/>
        </w:rPr>
        <w:t xml:space="preserve"> </w:t>
      </w:r>
      <w:hyperlink r:id="rId9">
        <w:r w:rsidRPr="1F83C306" w:rsidR="1E20F80C">
          <w:rPr>
            <w:rStyle w:val="Hyperlink"/>
            <w:rFonts w:ascii="Times New Roman" w:eastAsia="Times New Roman" w:hAnsi="Times New Roman" w:cs="Times New Roman"/>
            <w:sz w:val="24"/>
            <w:szCs w:val="24"/>
          </w:rPr>
          <w:t>https://data.ferc.gov/ferc-information-collections-management/information-collections-approved/</w:t>
        </w:r>
      </w:hyperlink>
      <w:r w:rsidRPr="1F83C306" w:rsidR="1E20F80C">
        <w:rPr>
          <w:rFonts w:ascii="Times New Roman" w:eastAsia="Times New Roman" w:hAnsi="Times New Roman" w:cs="Times New Roman"/>
          <w:sz w:val="24"/>
          <w:szCs w:val="24"/>
        </w:rPr>
        <w:t xml:space="preserve">. </w:t>
      </w:r>
    </w:p>
    <w:p w:rsidR="001D5DBE" w:rsidRPr="004B5EDF" w:rsidP="00D3795C" w14:paraId="6851D722" w14:textId="77777777">
      <w:pPr>
        <w:tabs>
          <w:tab w:val="left" w:pos="720"/>
        </w:tabs>
        <w:spacing w:after="0" w:line="240" w:lineRule="auto"/>
        <w:rPr>
          <w:rFonts w:ascii="Times New Roman" w:eastAsia="Times New Roman" w:hAnsi="Times New Roman" w:cs="Times New Roman"/>
          <w:b/>
          <w:sz w:val="24"/>
          <w:szCs w:val="24"/>
        </w:rPr>
      </w:pPr>
    </w:p>
    <w:p w:rsidR="00D3795C" w:rsidRPr="004B5EDF" w:rsidP="00D3795C" w14:paraId="4911C807" w14:textId="77777777">
      <w:pPr>
        <w:widowControl w:val="0"/>
        <w:numPr>
          <w:ilvl w:val="0"/>
          <w:numId w:val="1"/>
        </w:numPr>
        <w:autoSpaceDE w:val="0"/>
        <w:autoSpaceDN w:val="0"/>
        <w:adjustRightInd w:val="0"/>
        <w:spacing w:after="0" w:line="240" w:lineRule="auto"/>
        <w:ind w:hanging="720"/>
        <w:rPr>
          <w:rFonts w:ascii="Times New Roman" w:eastAsia="Times New Roman" w:hAnsi="Times New Roman" w:cs="Times New Roman"/>
          <w:b/>
          <w:sz w:val="24"/>
          <w:szCs w:val="24"/>
        </w:rPr>
      </w:pPr>
      <w:r w:rsidRPr="004B5EDF">
        <w:rPr>
          <w:rFonts w:ascii="Times New Roman" w:eastAsia="Times New Roman" w:hAnsi="Times New Roman" w:cs="Times New Roman"/>
          <w:b/>
          <w:sz w:val="24"/>
          <w:szCs w:val="24"/>
        </w:rPr>
        <w:t>EXCEPTIONS TO THE CERTIFICATION STATEMENT</w:t>
      </w:r>
    </w:p>
    <w:p w:rsidR="00D3795C" w:rsidRPr="004B5EDF" w:rsidP="00D3795C" w14:paraId="4A339B45" w14:textId="77777777">
      <w:pPr>
        <w:autoSpaceDE w:val="0"/>
        <w:autoSpaceDN w:val="0"/>
        <w:adjustRightInd w:val="0"/>
        <w:spacing w:after="0" w:line="240" w:lineRule="auto"/>
        <w:ind w:left="720"/>
        <w:rPr>
          <w:rFonts w:ascii="Times New Roman" w:eastAsia="Times New Roman" w:hAnsi="Times New Roman" w:cs="Times New Roman"/>
          <w:b/>
          <w:sz w:val="24"/>
          <w:szCs w:val="24"/>
        </w:rPr>
      </w:pPr>
    </w:p>
    <w:p w:rsidR="00D3795C" w:rsidRPr="004B5EDF" w:rsidP="00D3795C" w14:paraId="38D88108" w14:textId="77777777">
      <w:pPr>
        <w:autoSpaceDE w:val="0"/>
        <w:autoSpaceDN w:val="0"/>
        <w:adjustRightInd w:val="0"/>
        <w:spacing w:after="0" w:line="240" w:lineRule="auto"/>
        <w:rPr>
          <w:rFonts w:ascii="Times New Roman" w:eastAsia="Times New Roman" w:hAnsi="Times New Roman" w:cs="Times New Roman"/>
          <w:sz w:val="24"/>
          <w:szCs w:val="24"/>
        </w:rPr>
      </w:pPr>
      <w:r w:rsidRPr="004B5EDF">
        <w:rPr>
          <w:rFonts w:ascii="Times New Roman" w:eastAsia="Times New Roman" w:hAnsi="Times New Roman" w:cs="Times New Roman"/>
          <w:sz w:val="24"/>
          <w:szCs w:val="24"/>
        </w:rPr>
        <w:t>There are no exceptions.</w:t>
      </w:r>
    </w:p>
    <w:p w:rsidR="00E704E3" w:rsidRPr="004B5EDF" w14:paraId="64DAD703" w14:textId="77777777">
      <w:pPr>
        <w:rPr>
          <w:rFonts w:ascii="Times New Roman" w:hAnsi="Times New Roman" w:cs="Times New Roman"/>
          <w:sz w:val="24"/>
          <w:szCs w:val="24"/>
        </w:rPr>
      </w:pPr>
    </w:p>
    <w:sectPr w:rsidSect="00102F3C">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7733396"/>
      <w:docPartObj>
        <w:docPartGallery w:val="Page Numbers (Bottom of Page)"/>
        <w:docPartUnique/>
      </w:docPartObj>
    </w:sdtPr>
    <w:sdtEndPr>
      <w:rPr>
        <w:noProof/>
      </w:rPr>
    </w:sdtEndPr>
    <w:sdtContent>
      <w:p w:rsidR="00BA255F" w14:paraId="07A639A2" w14:textId="0A6AC6F1">
        <w:pPr>
          <w:pStyle w:val="Footer"/>
          <w:jc w:val="center"/>
        </w:pPr>
        <w:r>
          <w:fldChar w:fldCharType="begin"/>
        </w:r>
        <w:r>
          <w:instrText xml:space="preserve"> PAGE   \* MERGEFORMAT </w:instrText>
        </w:r>
        <w:r>
          <w:fldChar w:fldCharType="separate"/>
        </w:r>
        <w:r w:rsidR="00EB0219">
          <w:rPr>
            <w:noProof/>
          </w:rPr>
          <w:t>2</w:t>
        </w:r>
        <w:r>
          <w:rPr>
            <w:noProof/>
          </w:rPr>
          <w:fldChar w:fldCharType="end"/>
        </w:r>
      </w:p>
    </w:sdtContent>
  </w:sdt>
  <w:p w:rsidR="00B27FDF" w14:paraId="68FA0E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3243722"/>
      <w:docPartObj>
        <w:docPartGallery w:val="Page Numbers (Bottom of Page)"/>
        <w:docPartUnique/>
      </w:docPartObj>
    </w:sdtPr>
    <w:sdtEndPr>
      <w:rPr>
        <w:noProof/>
      </w:rPr>
    </w:sdtEndPr>
    <w:sdtContent>
      <w:p w:rsidR="00EF3F6E" w14:paraId="6FEF7E19" w14:textId="66525EC4">
        <w:pPr>
          <w:pStyle w:val="Footer"/>
          <w:jc w:val="right"/>
        </w:pPr>
        <w:r>
          <w:fldChar w:fldCharType="begin"/>
        </w:r>
        <w:r>
          <w:instrText xml:space="preserve"> PAGE   \* MERGEFORMAT </w:instrText>
        </w:r>
        <w:r>
          <w:fldChar w:fldCharType="separate"/>
        </w:r>
        <w:r w:rsidR="00EB0219">
          <w:rPr>
            <w:noProof/>
          </w:rPr>
          <w:t>1</w:t>
        </w:r>
        <w:r>
          <w:rPr>
            <w:noProof/>
          </w:rPr>
          <w:fldChar w:fldCharType="end"/>
        </w:r>
      </w:p>
    </w:sdtContent>
  </w:sdt>
  <w:p w:rsidR="00D3795C" w14:paraId="302BF4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7897" w:rsidP="00D3795C" w14:paraId="4FAEFEE2" w14:textId="77777777">
      <w:pPr>
        <w:spacing w:after="0" w:line="240" w:lineRule="auto"/>
      </w:pPr>
      <w:r>
        <w:separator/>
      </w:r>
    </w:p>
  </w:footnote>
  <w:footnote w:type="continuationSeparator" w:id="1">
    <w:p w:rsidR="009C7897" w:rsidP="00D3795C" w14:paraId="2E52F752" w14:textId="77777777">
      <w:pPr>
        <w:spacing w:after="0" w:line="240" w:lineRule="auto"/>
      </w:pPr>
      <w:r>
        <w:continuationSeparator/>
      </w:r>
    </w:p>
  </w:footnote>
  <w:footnote w:type="continuationNotice" w:id="2">
    <w:p w:rsidR="009C7897" w14:paraId="1293AABB" w14:textId="77777777">
      <w:pPr>
        <w:spacing w:after="0" w:line="240" w:lineRule="auto"/>
      </w:pPr>
    </w:p>
  </w:footnote>
  <w:footnote w:id="3">
    <w:p w:rsidR="000B26A9" w:rsidRPr="004B5EDF" w:rsidP="004B5EDF" w14:paraId="1DFA451B" w14:textId="48A0296A">
      <w:pPr>
        <w:pStyle w:val="FootnoteText"/>
      </w:pPr>
      <w:r w:rsidRPr="004B5EDF">
        <w:rPr>
          <w:rStyle w:val="FootnoteReference"/>
          <w:vertAlign w:val="superscript"/>
        </w:rPr>
        <w:footnoteRef/>
      </w:r>
      <w:r w:rsidRPr="004B5EDF">
        <w:t xml:space="preserve"> </w:t>
      </w:r>
      <w:r w:rsidRPr="004B5EDF" w:rsidR="00D536FD">
        <w:rPr>
          <w:i/>
          <w:iCs/>
        </w:rPr>
        <w:t>See Regulation of Cash Management Practices</w:t>
      </w:r>
      <w:r w:rsidRPr="004B5EDF" w:rsidR="00076A90">
        <w:t xml:space="preserve">, </w:t>
      </w:r>
      <w:r w:rsidRPr="004B5EDF">
        <w:t xml:space="preserve">Order </w:t>
      </w:r>
      <w:r w:rsidRPr="004B5EDF" w:rsidR="00184C1C">
        <w:t xml:space="preserve">No. 634-A, </w:t>
      </w:r>
      <w:r w:rsidRPr="004B5EDF" w:rsidR="00A96235">
        <w:t xml:space="preserve">105 FERC ¶ 61,098 </w:t>
      </w:r>
      <w:r w:rsidRPr="004B5EDF" w:rsidR="00184C1C">
        <w:t>(2003)</w:t>
      </w:r>
      <w:r w:rsidRPr="004B5EDF" w:rsidR="00684B79">
        <w:t xml:space="preserve">; </w:t>
      </w:r>
      <w:r w:rsidRPr="004B5EDF" w:rsidR="00AF025A">
        <w:rPr>
          <w:i/>
          <w:iCs/>
        </w:rPr>
        <w:t>see</w:t>
      </w:r>
      <w:r w:rsidRPr="004B5EDF" w:rsidR="00AF025A">
        <w:t xml:space="preserve"> </w:t>
      </w:r>
      <w:r w:rsidRPr="004B5EDF" w:rsidR="008620B6">
        <w:rPr>
          <w:i/>
          <w:iCs/>
        </w:rPr>
        <w:t xml:space="preserve">also </w:t>
      </w:r>
      <w:r w:rsidRPr="004B5EDF" w:rsidR="00684B79">
        <w:rPr>
          <w:i/>
          <w:iCs/>
        </w:rPr>
        <w:t>Quarterly Financial Reporting and Revisions to the Annual Reports</w:t>
      </w:r>
      <w:r w:rsidRPr="004B5EDF" w:rsidR="00684B79">
        <w:t xml:space="preserve">, </w:t>
      </w:r>
      <w:r w:rsidRPr="004B5EDF" w:rsidR="007156B1">
        <w:t>Order No. 646</w:t>
      </w:r>
      <w:r w:rsidRPr="004B5EDF" w:rsidR="00CD37DE">
        <w:t>,</w:t>
      </w:r>
      <w:r w:rsidRPr="004B5EDF" w:rsidR="007156B1">
        <w:t xml:space="preserve"> </w:t>
      </w:r>
      <w:r w:rsidRPr="004B5EDF" w:rsidR="00684B79">
        <w:t>106 FERC ¶ 61,113 (2004).</w:t>
      </w:r>
    </w:p>
  </w:footnote>
  <w:footnote w:id="4">
    <w:p w:rsidR="003B7937" w:rsidRPr="007C67C4" w:rsidP="007C67C4" w14:paraId="2A6CBF03" w14:textId="0AD5ACD9">
      <w:pPr>
        <w:pStyle w:val="FootnoteText"/>
      </w:pPr>
      <w:r w:rsidRPr="007C67C4">
        <w:rPr>
          <w:rStyle w:val="FootnoteReference"/>
          <w:vertAlign w:val="superscript"/>
        </w:rPr>
        <w:footnoteRef/>
      </w:r>
      <w:r w:rsidRPr="007C67C4">
        <w:t xml:space="preserve"> 18 C.F.R. §§ 388.112 and 388.113.</w:t>
      </w:r>
      <w:r w:rsidRPr="007C67C4" w:rsidR="003552A1">
        <w:t xml:space="preserve"> </w:t>
      </w:r>
      <w:r w:rsidRPr="007C67C4">
        <w:t>More information on the CEII definition, program and requirements is posted at</w:t>
      </w:r>
      <w:r w:rsidR="00DA3432">
        <w:t xml:space="preserve"> </w:t>
      </w:r>
      <w:r w:rsidRPr="00DA3432" w:rsidR="00DA3432">
        <w:t>http://www.ferc.gov/legal/ceii-foia/ceii.asp</w:t>
      </w:r>
    </w:p>
  </w:footnote>
  <w:footnote w:id="5">
    <w:p w:rsidR="000B52A4" w:rsidRPr="002E00FC" w:rsidP="00032551" w14:paraId="43FDEE3D" w14:textId="79A1E932">
      <w:pPr>
        <w:pStyle w:val="FootnoteText"/>
      </w:pPr>
      <w:r w:rsidRPr="002E00FC">
        <w:rPr>
          <w:rStyle w:val="FootnoteReference"/>
          <w:vertAlign w:val="superscript"/>
        </w:rPr>
        <w:footnoteRef/>
      </w:r>
      <w:r w:rsidRPr="002E00FC" w:rsidR="35D8F5DF">
        <w:t xml:space="preserve"> </w:t>
      </w:r>
      <w:r w:rsidRPr="002E00FC" w:rsidR="0020365C">
        <w:t>The cost is based on FERC’s 2025 Commission-wide average salary cost (salary plus benefits) of $103.00/hour. The Commission staff believes the FERC FTE (full-time equivalent) average cost for wages plus benefits is representative of the corresponding cost for the industry respondents.</w:t>
      </w:r>
      <w:r w:rsidR="00DA3432">
        <w:t xml:space="preserve"> </w:t>
      </w:r>
    </w:p>
  </w:footnote>
  <w:footnote w:id="6">
    <w:p w:rsidR="003875EE" w:rsidRPr="002E00FC" w:rsidP="002E00FC" w14:paraId="72A0C26A" w14:textId="593263D4">
      <w:pPr>
        <w:pStyle w:val="FootnoteText"/>
      </w:pPr>
      <w:r w:rsidRPr="002E00FC">
        <w:rPr>
          <w:rStyle w:val="FootnoteReference"/>
          <w:vertAlign w:val="superscript"/>
        </w:rPr>
        <w:footnoteRef/>
      </w:r>
      <w:r w:rsidRPr="002E00FC">
        <w:rPr>
          <w:vertAlign w:val="superscript"/>
        </w:rPr>
        <w:t xml:space="preserve"> </w:t>
      </w:r>
      <w:r w:rsidRPr="002E00FC" w:rsidR="000B52A4">
        <w:t>The estimate uses FERC’s FY 2025 average annual salary plus benefits of one FERC FTE (full-time equivalent [$214,240 per year or $103 per hour]).</w:t>
      </w:r>
      <w:r w:rsidR="00DA3432">
        <w:t xml:space="preserve"> </w:t>
      </w:r>
      <w:r w:rsidRPr="002E00FC" w:rsidR="000B52A4">
        <w:t>(These estimates were updated in January 2025.)</w:t>
      </w:r>
    </w:p>
  </w:footnote>
  <w:footnote w:id="7">
    <w:p w:rsidR="003875EE" w:rsidRPr="0073506C" w:rsidP="003875EE" w14:paraId="6C957761" w14:textId="4662C4EB">
      <w:pPr>
        <w:pStyle w:val="FootnoteText"/>
        <w:rPr>
          <w:sz w:val="26"/>
          <w:szCs w:val="26"/>
        </w:rPr>
      </w:pPr>
      <w:r w:rsidRPr="002E00FC">
        <w:rPr>
          <w:rStyle w:val="FootnoteReference"/>
          <w:vertAlign w:val="superscript"/>
        </w:rPr>
        <w:footnoteRef/>
      </w:r>
      <w:r w:rsidRPr="002E00FC">
        <w:t xml:space="preserve"> This estimate was updated January 2025.</w:t>
      </w:r>
    </w:p>
  </w:footnote>
  <w:footnote w:id="8">
    <w:p w:rsidR="00680E88" w:rsidRPr="00F21D50" w:rsidP="004B5EDF" w14:paraId="427AB557" w14:textId="0906F9A0">
      <w:pPr>
        <w:pStyle w:val="FootnoteText"/>
        <w:rPr>
          <w:sz w:val="26"/>
          <w:szCs w:val="26"/>
        </w:rPr>
      </w:pPr>
      <w:r w:rsidRPr="002E00FC">
        <w:rPr>
          <w:rStyle w:val="FootnoteReference"/>
          <w:vertAlign w:val="superscript"/>
        </w:rPr>
        <w:footnoteRef/>
      </w:r>
      <w:r w:rsidRPr="002E00FC">
        <w:t xml:space="preserve"> The PRA Administration Cost includes preparing supporting statements, notices, and other activities associated with Paperwork Reduction Act compliance.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95C" w:rsidP="00102F3C" w14:paraId="4DD05519" w14:textId="501681C9">
    <w:pPr>
      <w:pStyle w:val="Header"/>
      <w:tabs>
        <w:tab w:val="clear" w:pos="4680"/>
        <w:tab w:val="left" w:pos="5040"/>
        <w:tab w:val="clear" w:pos="9360"/>
      </w:tabs>
      <w:rPr>
        <w:rFonts w:ascii="Times New Roman" w:hAnsi="Times New Roman" w:cs="Times New Roman"/>
        <w:sz w:val="26"/>
        <w:szCs w:val="26"/>
      </w:rPr>
    </w:pPr>
    <w:r w:rsidRPr="00D3795C">
      <w:rPr>
        <w:rFonts w:ascii="Times New Roman" w:hAnsi="Times New Roman" w:cs="Times New Roman"/>
        <w:sz w:val="26"/>
        <w:szCs w:val="26"/>
      </w:rPr>
      <w:t>FERC-604 (OMB Control No. 1902-0267)</w:t>
    </w:r>
    <w:r w:rsidR="00102F3C">
      <w:rPr>
        <w:rFonts w:ascii="Times New Roman" w:hAnsi="Times New Roman" w:cs="Times New Roman"/>
        <w:sz w:val="26"/>
        <w:szCs w:val="26"/>
      </w:rPr>
      <w:tab/>
    </w:r>
  </w:p>
  <w:p w:rsidR="00102F3C" w:rsidP="00102F3C" w14:paraId="0CE3D649" w14:textId="63340D1F">
    <w:pPr>
      <w:pStyle w:val="Header"/>
      <w:rPr>
        <w:rFonts w:ascii="Times New Roman" w:hAnsi="Times New Roman" w:cs="Times New Roman"/>
        <w:sz w:val="26"/>
        <w:szCs w:val="26"/>
      </w:rPr>
    </w:pPr>
    <w:r w:rsidRPr="20BEEA78">
      <w:rPr>
        <w:rFonts w:ascii="Times New Roman" w:hAnsi="Times New Roman" w:cs="Times New Roman"/>
        <w:sz w:val="26"/>
        <w:szCs w:val="26"/>
      </w:rPr>
      <w:t>Docket No. IC25-16-000</w:t>
    </w:r>
  </w:p>
  <w:p w:rsidR="00102F3C" w:rsidRPr="00D3795C" w:rsidP="00A41D1A" w14:paraId="0A7DD018" w14:textId="77777777">
    <w:pPr>
      <w:pStyle w:val="Header"/>
      <w:tabs>
        <w:tab w:val="clear" w:pos="4680"/>
        <w:tab w:val="left" w:pos="5040"/>
        <w:tab w:val="clear" w:pos="9360"/>
      </w:tabs>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FF2" w:rsidRPr="00D50AA2" w14:paraId="7EE9F2D2" w14:textId="219103A5">
    <w:pPr>
      <w:pStyle w:val="Header"/>
      <w:rPr>
        <w:rFonts w:ascii="Times New Roman" w:hAnsi="Times New Roman" w:cs="Times New Roman"/>
        <w:sz w:val="26"/>
        <w:szCs w:val="26"/>
      </w:rPr>
    </w:pPr>
    <w:r w:rsidRPr="00D50AA2">
      <w:rPr>
        <w:rFonts w:ascii="Times New Roman" w:hAnsi="Times New Roman" w:cs="Times New Roman"/>
        <w:sz w:val="26"/>
        <w:szCs w:val="26"/>
      </w:rPr>
      <w:t>FERC-604 (OMB Control No.1902-0</w:t>
    </w:r>
    <w:r w:rsidR="001E6657">
      <w:rPr>
        <w:rFonts w:ascii="Times New Roman" w:hAnsi="Times New Roman" w:cs="Times New Roman"/>
        <w:sz w:val="26"/>
        <w:szCs w:val="26"/>
      </w:rPr>
      <w:t>267</w:t>
    </w:r>
    <w:r w:rsidR="000609D3">
      <w:rPr>
        <w:rFonts w:ascii="Times New Roman" w:hAnsi="Times New Roman" w:cs="Times New Roman"/>
        <w:sz w:val="26"/>
        <w:szCs w:val="26"/>
      </w:rPr>
      <w:t>)</w:t>
    </w:r>
  </w:p>
  <w:p w:rsidR="00102F3C" w14:paraId="2F3D8663" w14:textId="3912EA55">
    <w:pPr>
      <w:pStyle w:val="Header"/>
      <w:rPr>
        <w:rFonts w:ascii="Times New Roman" w:hAnsi="Times New Roman" w:cs="Times New Roman"/>
        <w:sz w:val="26"/>
        <w:szCs w:val="26"/>
      </w:rPr>
    </w:pPr>
    <w:bookmarkStart w:id="0" w:name="_Hlk32487175"/>
    <w:r w:rsidRPr="00D50AA2">
      <w:rPr>
        <w:rFonts w:ascii="Times New Roman" w:hAnsi="Times New Roman" w:cs="Times New Roman"/>
        <w:sz w:val="26"/>
        <w:szCs w:val="26"/>
      </w:rPr>
      <w:t xml:space="preserve">Docket No. </w:t>
    </w:r>
    <w:r w:rsidRPr="00734D50" w:rsidR="00734D50">
      <w:rPr>
        <w:rFonts w:ascii="Times New Roman" w:hAnsi="Times New Roman" w:cs="Times New Roman"/>
        <w:sz w:val="26"/>
        <w:szCs w:val="26"/>
      </w:rPr>
      <w:t>IC25-16-000</w:t>
    </w:r>
  </w:p>
  <w:bookmarkEnd w:id="0"/>
  <w:p w:rsidR="00102F3C" w14:paraId="1E7CCC8B" w14:textId="34BFAA44">
    <w:pPr>
      <w:pStyle w:val="Header"/>
      <w:rPr>
        <w:rFonts w:ascii="Times New Roman" w:hAnsi="Times New Roman" w:cs="Times New Roman"/>
        <w:sz w:val="26"/>
        <w:szCs w:val="26"/>
      </w:rPr>
    </w:pPr>
  </w:p>
  <w:p w:rsidR="00102F3C" w:rsidRPr="00D50AA2" w14:paraId="37F3CE44" w14:textId="77777777">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70AFD"/>
    <w:multiLevelType w:val="hybridMultilevel"/>
    <w:tmpl w:val="548E4D7E"/>
    <w:lvl w:ilvl="0">
      <w:start w:val="1"/>
      <w:numFmt w:val="bullet"/>
      <w:lvlText w:val=""/>
      <w:lvlJc w:val="left"/>
      <w:pPr>
        <w:ind w:left="788" w:hanging="360"/>
      </w:pPr>
      <w:rPr>
        <w:rFonts w:ascii="Symbol" w:hAnsi="Symbol" w:hint="default"/>
      </w:rPr>
    </w:lvl>
    <w:lvl w:ilvl="1" w:tentative="1">
      <w:start w:val="1"/>
      <w:numFmt w:val="bullet"/>
      <w:lvlText w:val="o"/>
      <w:lvlJc w:val="left"/>
      <w:pPr>
        <w:ind w:left="1508" w:hanging="360"/>
      </w:pPr>
      <w:rPr>
        <w:rFonts w:ascii="Courier New" w:hAnsi="Courier New" w:cs="Courier New" w:hint="default"/>
      </w:rPr>
    </w:lvl>
    <w:lvl w:ilvl="2" w:tentative="1">
      <w:start w:val="1"/>
      <w:numFmt w:val="bullet"/>
      <w:lvlText w:val=""/>
      <w:lvlJc w:val="left"/>
      <w:pPr>
        <w:ind w:left="2228" w:hanging="360"/>
      </w:pPr>
      <w:rPr>
        <w:rFonts w:ascii="Wingdings" w:hAnsi="Wingdings" w:hint="default"/>
      </w:rPr>
    </w:lvl>
    <w:lvl w:ilvl="3" w:tentative="1">
      <w:start w:val="1"/>
      <w:numFmt w:val="bullet"/>
      <w:lvlText w:val=""/>
      <w:lvlJc w:val="left"/>
      <w:pPr>
        <w:ind w:left="2948" w:hanging="360"/>
      </w:pPr>
      <w:rPr>
        <w:rFonts w:ascii="Symbol" w:hAnsi="Symbol" w:hint="default"/>
      </w:rPr>
    </w:lvl>
    <w:lvl w:ilvl="4" w:tentative="1">
      <w:start w:val="1"/>
      <w:numFmt w:val="bullet"/>
      <w:lvlText w:val="o"/>
      <w:lvlJc w:val="left"/>
      <w:pPr>
        <w:ind w:left="3668" w:hanging="360"/>
      </w:pPr>
      <w:rPr>
        <w:rFonts w:ascii="Courier New" w:hAnsi="Courier New" w:cs="Courier New" w:hint="default"/>
      </w:rPr>
    </w:lvl>
    <w:lvl w:ilvl="5" w:tentative="1">
      <w:start w:val="1"/>
      <w:numFmt w:val="bullet"/>
      <w:lvlText w:val=""/>
      <w:lvlJc w:val="left"/>
      <w:pPr>
        <w:ind w:left="4388" w:hanging="360"/>
      </w:pPr>
      <w:rPr>
        <w:rFonts w:ascii="Wingdings" w:hAnsi="Wingdings" w:hint="default"/>
      </w:rPr>
    </w:lvl>
    <w:lvl w:ilvl="6" w:tentative="1">
      <w:start w:val="1"/>
      <w:numFmt w:val="bullet"/>
      <w:lvlText w:val=""/>
      <w:lvlJc w:val="left"/>
      <w:pPr>
        <w:ind w:left="5108" w:hanging="360"/>
      </w:pPr>
      <w:rPr>
        <w:rFonts w:ascii="Symbol" w:hAnsi="Symbol" w:hint="default"/>
      </w:rPr>
    </w:lvl>
    <w:lvl w:ilvl="7" w:tentative="1">
      <w:start w:val="1"/>
      <w:numFmt w:val="bullet"/>
      <w:lvlText w:val="o"/>
      <w:lvlJc w:val="left"/>
      <w:pPr>
        <w:ind w:left="5828" w:hanging="360"/>
      </w:pPr>
      <w:rPr>
        <w:rFonts w:ascii="Courier New" w:hAnsi="Courier New" w:cs="Courier New" w:hint="default"/>
      </w:rPr>
    </w:lvl>
    <w:lvl w:ilvl="8" w:tentative="1">
      <w:start w:val="1"/>
      <w:numFmt w:val="bullet"/>
      <w:lvlText w:val=""/>
      <w:lvlJc w:val="left"/>
      <w:pPr>
        <w:ind w:left="6548" w:hanging="360"/>
      </w:pPr>
      <w:rPr>
        <w:rFonts w:ascii="Wingdings" w:hAnsi="Wingdings" w:hint="default"/>
      </w:rPr>
    </w:lvl>
  </w:abstractNum>
  <w:abstractNum w:abstractNumId="1">
    <w:nsid w:val="0F611C17"/>
    <w:multiLevelType w:val="hybridMultilevel"/>
    <w:tmpl w:val="C60096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FF0D84"/>
    <w:multiLevelType w:val="hybridMultilevel"/>
    <w:tmpl w:val="75FA6E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537DF7"/>
    <w:multiLevelType w:val="hybridMultilevel"/>
    <w:tmpl w:val="7AE41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7013DA"/>
    <w:multiLevelType w:val="hybridMultilevel"/>
    <w:tmpl w:val="920A29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E766A"/>
    <w:multiLevelType w:val="hybridMultilevel"/>
    <w:tmpl w:val="1616D212"/>
    <w:lvl w:ilvl="0">
      <w:start w:val="2"/>
      <w:numFmt w:val="decimal"/>
      <w:lvlText w:val="%1."/>
      <w:lvlJc w:val="left"/>
      <w:pPr>
        <w:ind w:left="720" w:hanging="648"/>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5C53CAB"/>
    <w:multiLevelType w:val="hybridMultilevel"/>
    <w:tmpl w:val="5CFCB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AC66928"/>
    <w:multiLevelType w:val="hybridMultilevel"/>
    <w:tmpl w:val="D4C05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B5444F"/>
    <w:multiLevelType w:val="hybridMultilevel"/>
    <w:tmpl w:val="B9465B8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1327E0"/>
    <w:multiLevelType w:val="hybridMultilevel"/>
    <w:tmpl w:val="CF1046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791104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1233921">
    <w:abstractNumId w:val="5"/>
  </w:num>
  <w:num w:numId="3" w16cid:durableId="61101878">
    <w:abstractNumId w:val="1"/>
  </w:num>
  <w:num w:numId="4" w16cid:durableId="34085692">
    <w:abstractNumId w:val="4"/>
  </w:num>
  <w:num w:numId="5" w16cid:durableId="160783484">
    <w:abstractNumId w:val="9"/>
  </w:num>
  <w:num w:numId="6" w16cid:durableId="686373315">
    <w:abstractNumId w:val="3"/>
  </w:num>
  <w:num w:numId="7" w16cid:durableId="117648284">
    <w:abstractNumId w:val="2"/>
  </w:num>
  <w:num w:numId="8" w16cid:durableId="147089670">
    <w:abstractNumId w:val="7"/>
  </w:num>
  <w:num w:numId="9" w16cid:durableId="1613513955">
    <w:abstractNumId w:val="6"/>
  </w:num>
  <w:num w:numId="10" w16cid:durableId="1008600528">
    <w:abstractNumId w:val="0"/>
  </w:num>
  <w:num w:numId="11" w16cid:durableId="908883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5C"/>
    <w:rsid w:val="000014D0"/>
    <w:rsid w:val="00001D42"/>
    <w:rsid w:val="00006C1F"/>
    <w:rsid w:val="00006CE2"/>
    <w:rsid w:val="00020D24"/>
    <w:rsid w:val="000235C8"/>
    <w:rsid w:val="00032551"/>
    <w:rsid w:val="000344B7"/>
    <w:rsid w:val="00046C34"/>
    <w:rsid w:val="0004707D"/>
    <w:rsid w:val="00054C72"/>
    <w:rsid w:val="00057CBC"/>
    <w:rsid w:val="000609D3"/>
    <w:rsid w:val="00063428"/>
    <w:rsid w:val="00063D9A"/>
    <w:rsid w:val="00064F3A"/>
    <w:rsid w:val="00067101"/>
    <w:rsid w:val="000674A3"/>
    <w:rsid w:val="000704C7"/>
    <w:rsid w:val="00076062"/>
    <w:rsid w:val="00076A90"/>
    <w:rsid w:val="0007775D"/>
    <w:rsid w:val="00077F07"/>
    <w:rsid w:val="00081E73"/>
    <w:rsid w:val="000901B7"/>
    <w:rsid w:val="00094856"/>
    <w:rsid w:val="000949FB"/>
    <w:rsid w:val="00096260"/>
    <w:rsid w:val="000A3F7D"/>
    <w:rsid w:val="000B26A9"/>
    <w:rsid w:val="000B4B21"/>
    <w:rsid w:val="000B4D57"/>
    <w:rsid w:val="000B52A4"/>
    <w:rsid w:val="000B58AD"/>
    <w:rsid w:val="000C3E44"/>
    <w:rsid w:val="000C5B33"/>
    <w:rsid w:val="000D34E3"/>
    <w:rsid w:val="000D5F6A"/>
    <w:rsid w:val="000D658D"/>
    <w:rsid w:val="000F0682"/>
    <w:rsid w:val="001029D1"/>
    <w:rsid w:val="00102BC7"/>
    <w:rsid w:val="00102F3C"/>
    <w:rsid w:val="00105467"/>
    <w:rsid w:val="001106F9"/>
    <w:rsid w:val="00113EFF"/>
    <w:rsid w:val="001154F5"/>
    <w:rsid w:val="00115FD6"/>
    <w:rsid w:val="0012367D"/>
    <w:rsid w:val="001241A4"/>
    <w:rsid w:val="00124208"/>
    <w:rsid w:val="00124C75"/>
    <w:rsid w:val="001278AF"/>
    <w:rsid w:val="00135577"/>
    <w:rsid w:val="00135628"/>
    <w:rsid w:val="0014049D"/>
    <w:rsid w:val="0014504C"/>
    <w:rsid w:val="00155DCA"/>
    <w:rsid w:val="00157730"/>
    <w:rsid w:val="001633C0"/>
    <w:rsid w:val="00163FB8"/>
    <w:rsid w:val="00167FC5"/>
    <w:rsid w:val="00175D84"/>
    <w:rsid w:val="00180ADA"/>
    <w:rsid w:val="00180B04"/>
    <w:rsid w:val="0018164D"/>
    <w:rsid w:val="0018251D"/>
    <w:rsid w:val="00182A98"/>
    <w:rsid w:val="001844A0"/>
    <w:rsid w:val="00184C1C"/>
    <w:rsid w:val="001878ED"/>
    <w:rsid w:val="00193F65"/>
    <w:rsid w:val="001973D7"/>
    <w:rsid w:val="001A72F4"/>
    <w:rsid w:val="001B6727"/>
    <w:rsid w:val="001B69F1"/>
    <w:rsid w:val="001C2D27"/>
    <w:rsid w:val="001D07E4"/>
    <w:rsid w:val="001D0D6F"/>
    <w:rsid w:val="001D5DBE"/>
    <w:rsid w:val="001E1D78"/>
    <w:rsid w:val="001E2274"/>
    <w:rsid w:val="001E6657"/>
    <w:rsid w:val="001F1CB7"/>
    <w:rsid w:val="001F2A1D"/>
    <w:rsid w:val="001F5189"/>
    <w:rsid w:val="001F6284"/>
    <w:rsid w:val="0020365C"/>
    <w:rsid w:val="00213BBC"/>
    <w:rsid w:val="00220507"/>
    <w:rsid w:val="002237A5"/>
    <w:rsid w:val="0022429F"/>
    <w:rsid w:val="00225CAB"/>
    <w:rsid w:val="00227C96"/>
    <w:rsid w:val="00233604"/>
    <w:rsid w:val="0024245A"/>
    <w:rsid w:val="0024369B"/>
    <w:rsid w:val="002565F8"/>
    <w:rsid w:val="00270349"/>
    <w:rsid w:val="00272883"/>
    <w:rsid w:val="00287FD8"/>
    <w:rsid w:val="002913B1"/>
    <w:rsid w:val="002930B7"/>
    <w:rsid w:val="00296AAE"/>
    <w:rsid w:val="00296E72"/>
    <w:rsid w:val="002975FC"/>
    <w:rsid w:val="002A3EE2"/>
    <w:rsid w:val="002A402E"/>
    <w:rsid w:val="002B2080"/>
    <w:rsid w:val="002B7DD0"/>
    <w:rsid w:val="002C1137"/>
    <w:rsid w:val="002C5FAD"/>
    <w:rsid w:val="002C6B35"/>
    <w:rsid w:val="002D28BD"/>
    <w:rsid w:val="002D5F63"/>
    <w:rsid w:val="002D6AAF"/>
    <w:rsid w:val="002E00FC"/>
    <w:rsid w:val="002E426C"/>
    <w:rsid w:val="002E6F00"/>
    <w:rsid w:val="002E7C25"/>
    <w:rsid w:val="002F4EC2"/>
    <w:rsid w:val="00301F93"/>
    <w:rsid w:val="003028AB"/>
    <w:rsid w:val="003033DD"/>
    <w:rsid w:val="0031726E"/>
    <w:rsid w:val="00320A36"/>
    <w:rsid w:val="00321404"/>
    <w:rsid w:val="00326B50"/>
    <w:rsid w:val="00326D32"/>
    <w:rsid w:val="00332E8C"/>
    <w:rsid w:val="00333E69"/>
    <w:rsid w:val="00335D90"/>
    <w:rsid w:val="003370B4"/>
    <w:rsid w:val="0034420A"/>
    <w:rsid w:val="003476AE"/>
    <w:rsid w:val="003552A1"/>
    <w:rsid w:val="003566D5"/>
    <w:rsid w:val="003603E7"/>
    <w:rsid w:val="00360BC3"/>
    <w:rsid w:val="003674DE"/>
    <w:rsid w:val="00370C1B"/>
    <w:rsid w:val="00386117"/>
    <w:rsid w:val="003875EE"/>
    <w:rsid w:val="003B43C3"/>
    <w:rsid w:val="003B7937"/>
    <w:rsid w:val="003C1701"/>
    <w:rsid w:val="003E2509"/>
    <w:rsid w:val="003E783A"/>
    <w:rsid w:val="003F0A2E"/>
    <w:rsid w:val="003F4887"/>
    <w:rsid w:val="00407FD4"/>
    <w:rsid w:val="004127DA"/>
    <w:rsid w:val="004200B0"/>
    <w:rsid w:val="004222D4"/>
    <w:rsid w:val="00425A4E"/>
    <w:rsid w:val="004263F5"/>
    <w:rsid w:val="00437768"/>
    <w:rsid w:val="00446A46"/>
    <w:rsid w:val="00447EC9"/>
    <w:rsid w:val="00465441"/>
    <w:rsid w:val="00465A09"/>
    <w:rsid w:val="00473409"/>
    <w:rsid w:val="0047354E"/>
    <w:rsid w:val="00475356"/>
    <w:rsid w:val="00496213"/>
    <w:rsid w:val="004968C2"/>
    <w:rsid w:val="004A033B"/>
    <w:rsid w:val="004A3603"/>
    <w:rsid w:val="004A3A59"/>
    <w:rsid w:val="004A4C56"/>
    <w:rsid w:val="004A5926"/>
    <w:rsid w:val="004A5DFD"/>
    <w:rsid w:val="004B5EDF"/>
    <w:rsid w:val="004C1805"/>
    <w:rsid w:val="004D032E"/>
    <w:rsid w:val="004D35A1"/>
    <w:rsid w:val="004D7024"/>
    <w:rsid w:val="004E4363"/>
    <w:rsid w:val="004E5A61"/>
    <w:rsid w:val="004F02E3"/>
    <w:rsid w:val="004F659D"/>
    <w:rsid w:val="0050613F"/>
    <w:rsid w:val="0050776A"/>
    <w:rsid w:val="00512485"/>
    <w:rsid w:val="005200F1"/>
    <w:rsid w:val="00521A1D"/>
    <w:rsid w:val="0052362E"/>
    <w:rsid w:val="00525844"/>
    <w:rsid w:val="005268BB"/>
    <w:rsid w:val="005303B8"/>
    <w:rsid w:val="00531658"/>
    <w:rsid w:val="00536C25"/>
    <w:rsid w:val="0055232F"/>
    <w:rsid w:val="00564876"/>
    <w:rsid w:val="0056598B"/>
    <w:rsid w:val="00571A66"/>
    <w:rsid w:val="005748F4"/>
    <w:rsid w:val="0058325D"/>
    <w:rsid w:val="00583FF2"/>
    <w:rsid w:val="00590B58"/>
    <w:rsid w:val="00592E9E"/>
    <w:rsid w:val="00594015"/>
    <w:rsid w:val="0059687A"/>
    <w:rsid w:val="005A0FEA"/>
    <w:rsid w:val="005A477A"/>
    <w:rsid w:val="005C09B8"/>
    <w:rsid w:val="005C147C"/>
    <w:rsid w:val="005C21FB"/>
    <w:rsid w:val="005D3D07"/>
    <w:rsid w:val="005D3DCE"/>
    <w:rsid w:val="005D406C"/>
    <w:rsid w:val="005E097C"/>
    <w:rsid w:val="005E4C15"/>
    <w:rsid w:val="00603EFA"/>
    <w:rsid w:val="00631D06"/>
    <w:rsid w:val="00631FA1"/>
    <w:rsid w:val="00632C1C"/>
    <w:rsid w:val="006353E0"/>
    <w:rsid w:val="00640673"/>
    <w:rsid w:val="00640F8A"/>
    <w:rsid w:val="00641FD7"/>
    <w:rsid w:val="00644ECD"/>
    <w:rsid w:val="0065262B"/>
    <w:rsid w:val="0065390B"/>
    <w:rsid w:val="0066002F"/>
    <w:rsid w:val="00661679"/>
    <w:rsid w:val="00666A05"/>
    <w:rsid w:val="00680E88"/>
    <w:rsid w:val="00684B79"/>
    <w:rsid w:val="006854FF"/>
    <w:rsid w:val="00687E3F"/>
    <w:rsid w:val="006964CF"/>
    <w:rsid w:val="006965ED"/>
    <w:rsid w:val="00697DB0"/>
    <w:rsid w:val="006A1229"/>
    <w:rsid w:val="006A320D"/>
    <w:rsid w:val="006A39BA"/>
    <w:rsid w:val="006B2742"/>
    <w:rsid w:val="006C1B1D"/>
    <w:rsid w:val="006C5D52"/>
    <w:rsid w:val="006C7EC5"/>
    <w:rsid w:val="006D5247"/>
    <w:rsid w:val="006D7064"/>
    <w:rsid w:val="006D7F68"/>
    <w:rsid w:val="006E182C"/>
    <w:rsid w:val="006E2237"/>
    <w:rsid w:val="006E5F14"/>
    <w:rsid w:val="006E63B4"/>
    <w:rsid w:val="006F076D"/>
    <w:rsid w:val="006F2793"/>
    <w:rsid w:val="006F61E2"/>
    <w:rsid w:val="00706913"/>
    <w:rsid w:val="00710AD5"/>
    <w:rsid w:val="00715537"/>
    <w:rsid w:val="007155B7"/>
    <w:rsid w:val="007156B1"/>
    <w:rsid w:val="00716121"/>
    <w:rsid w:val="00717096"/>
    <w:rsid w:val="00717588"/>
    <w:rsid w:val="0072486E"/>
    <w:rsid w:val="00727CA2"/>
    <w:rsid w:val="00734D50"/>
    <w:rsid w:val="0073506C"/>
    <w:rsid w:val="007465B2"/>
    <w:rsid w:val="0074708B"/>
    <w:rsid w:val="007528AF"/>
    <w:rsid w:val="00754BBE"/>
    <w:rsid w:val="007553A2"/>
    <w:rsid w:val="00756D25"/>
    <w:rsid w:val="00757328"/>
    <w:rsid w:val="00767F9F"/>
    <w:rsid w:val="00773AFB"/>
    <w:rsid w:val="00773CD5"/>
    <w:rsid w:val="007744FC"/>
    <w:rsid w:val="007773AD"/>
    <w:rsid w:val="00783DEE"/>
    <w:rsid w:val="00797979"/>
    <w:rsid w:val="007A0AAC"/>
    <w:rsid w:val="007A35F9"/>
    <w:rsid w:val="007A4A92"/>
    <w:rsid w:val="007A58D8"/>
    <w:rsid w:val="007B6919"/>
    <w:rsid w:val="007C2534"/>
    <w:rsid w:val="007C59C6"/>
    <w:rsid w:val="007C67C4"/>
    <w:rsid w:val="007D090B"/>
    <w:rsid w:val="007D11C7"/>
    <w:rsid w:val="007D136F"/>
    <w:rsid w:val="007D15FF"/>
    <w:rsid w:val="007D6849"/>
    <w:rsid w:val="007E1B39"/>
    <w:rsid w:val="007E24AB"/>
    <w:rsid w:val="007E30A2"/>
    <w:rsid w:val="007E3A2D"/>
    <w:rsid w:val="007F6EE0"/>
    <w:rsid w:val="00802386"/>
    <w:rsid w:val="00803AF1"/>
    <w:rsid w:val="00805B88"/>
    <w:rsid w:val="00827FDB"/>
    <w:rsid w:val="008334BA"/>
    <w:rsid w:val="008406CE"/>
    <w:rsid w:val="00842CC7"/>
    <w:rsid w:val="008433AC"/>
    <w:rsid w:val="00847772"/>
    <w:rsid w:val="00852D44"/>
    <w:rsid w:val="008565A8"/>
    <w:rsid w:val="00860453"/>
    <w:rsid w:val="00860D9B"/>
    <w:rsid w:val="008620B6"/>
    <w:rsid w:val="00865969"/>
    <w:rsid w:val="00865BA5"/>
    <w:rsid w:val="00867A99"/>
    <w:rsid w:val="00872D35"/>
    <w:rsid w:val="00874A90"/>
    <w:rsid w:val="00875679"/>
    <w:rsid w:val="00896875"/>
    <w:rsid w:val="008A07F7"/>
    <w:rsid w:val="008A70A2"/>
    <w:rsid w:val="008B09AB"/>
    <w:rsid w:val="008B43DF"/>
    <w:rsid w:val="008B4461"/>
    <w:rsid w:val="008B5ECA"/>
    <w:rsid w:val="008C0C32"/>
    <w:rsid w:val="008D12D1"/>
    <w:rsid w:val="008D14E7"/>
    <w:rsid w:val="008D4B00"/>
    <w:rsid w:val="008D4C70"/>
    <w:rsid w:val="008D67D3"/>
    <w:rsid w:val="008E0D2E"/>
    <w:rsid w:val="008E16B4"/>
    <w:rsid w:val="008E64E6"/>
    <w:rsid w:val="008F4954"/>
    <w:rsid w:val="008F4E60"/>
    <w:rsid w:val="00900EB2"/>
    <w:rsid w:val="0090178D"/>
    <w:rsid w:val="009025E4"/>
    <w:rsid w:val="00906B94"/>
    <w:rsid w:val="00907A52"/>
    <w:rsid w:val="00910237"/>
    <w:rsid w:val="009108D2"/>
    <w:rsid w:val="00912EB2"/>
    <w:rsid w:val="009138D6"/>
    <w:rsid w:val="009173DF"/>
    <w:rsid w:val="009255BD"/>
    <w:rsid w:val="00926227"/>
    <w:rsid w:val="00926EAE"/>
    <w:rsid w:val="0092720A"/>
    <w:rsid w:val="0093793C"/>
    <w:rsid w:val="009424E2"/>
    <w:rsid w:val="0095212D"/>
    <w:rsid w:val="009572D2"/>
    <w:rsid w:val="00970A1E"/>
    <w:rsid w:val="00971674"/>
    <w:rsid w:val="009838C6"/>
    <w:rsid w:val="00983EB0"/>
    <w:rsid w:val="009867E2"/>
    <w:rsid w:val="00987544"/>
    <w:rsid w:val="009969AD"/>
    <w:rsid w:val="009A3D2D"/>
    <w:rsid w:val="009A5E07"/>
    <w:rsid w:val="009C1A11"/>
    <w:rsid w:val="009C2981"/>
    <w:rsid w:val="009C5808"/>
    <w:rsid w:val="009C7897"/>
    <w:rsid w:val="009D24AF"/>
    <w:rsid w:val="009E5C12"/>
    <w:rsid w:val="009F10F6"/>
    <w:rsid w:val="009F1F37"/>
    <w:rsid w:val="009F650D"/>
    <w:rsid w:val="00A04B58"/>
    <w:rsid w:val="00A153EF"/>
    <w:rsid w:val="00A16BD0"/>
    <w:rsid w:val="00A2023E"/>
    <w:rsid w:val="00A23CBC"/>
    <w:rsid w:val="00A23D52"/>
    <w:rsid w:val="00A25FA8"/>
    <w:rsid w:val="00A30C36"/>
    <w:rsid w:val="00A361E3"/>
    <w:rsid w:val="00A41A04"/>
    <w:rsid w:val="00A41D1A"/>
    <w:rsid w:val="00A42103"/>
    <w:rsid w:val="00A51CD4"/>
    <w:rsid w:val="00A53289"/>
    <w:rsid w:val="00A55DF6"/>
    <w:rsid w:val="00A55E3C"/>
    <w:rsid w:val="00A62499"/>
    <w:rsid w:val="00A67196"/>
    <w:rsid w:val="00A67412"/>
    <w:rsid w:val="00A70D94"/>
    <w:rsid w:val="00A779DA"/>
    <w:rsid w:val="00A8292B"/>
    <w:rsid w:val="00A86177"/>
    <w:rsid w:val="00A90E4E"/>
    <w:rsid w:val="00A91B38"/>
    <w:rsid w:val="00A91E6A"/>
    <w:rsid w:val="00A92E95"/>
    <w:rsid w:val="00A94E45"/>
    <w:rsid w:val="00A96235"/>
    <w:rsid w:val="00AA00BD"/>
    <w:rsid w:val="00AA4F5C"/>
    <w:rsid w:val="00AC09E6"/>
    <w:rsid w:val="00AC16D4"/>
    <w:rsid w:val="00AC2F75"/>
    <w:rsid w:val="00AC3F82"/>
    <w:rsid w:val="00AC46A5"/>
    <w:rsid w:val="00AC5AAA"/>
    <w:rsid w:val="00AD20EA"/>
    <w:rsid w:val="00AD5BE6"/>
    <w:rsid w:val="00AE1DB1"/>
    <w:rsid w:val="00AE5509"/>
    <w:rsid w:val="00AF025A"/>
    <w:rsid w:val="00AF6739"/>
    <w:rsid w:val="00B037B1"/>
    <w:rsid w:val="00B13475"/>
    <w:rsid w:val="00B1427E"/>
    <w:rsid w:val="00B26E79"/>
    <w:rsid w:val="00B27FDF"/>
    <w:rsid w:val="00B32DB7"/>
    <w:rsid w:val="00B40361"/>
    <w:rsid w:val="00B40CF1"/>
    <w:rsid w:val="00B45E34"/>
    <w:rsid w:val="00B52704"/>
    <w:rsid w:val="00B601B8"/>
    <w:rsid w:val="00B704EA"/>
    <w:rsid w:val="00B7244D"/>
    <w:rsid w:val="00B76380"/>
    <w:rsid w:val="00B84054"/>
    <w:rsid w:val="00B92A5F"/>
    <w:rsid w:val="00B97B01"/>
    <w:rsid w:val="00BA255F"/>
    <w:rsid w:val="00BA28FE"/>
    <w:rsid w:val="00BA3DB3"/>
    <w:rsid w:val="00BA5A03"/>
    <w:rsid w:val="00BB083D"/>
    <w:rsid w:val="00BB1B1F"/>
    <w:rsid w:val="00BB1F54"/>
    <w:rsid w:val="00BB5903"/>
    <w:rsid w:val="00BD021B"/>
    <w:rsid w:val="00BD1096"/>
    <w:rsid w:val="00BE233E"/>
    <w:rsid w:val="00BF1AAE"/>
    <w:rsid w:val="00BF2C0F"/>
    <w:rsid w:val="00C01E3B"/>
    <w:rsid w:val="00C04FBE"/>
    <w:rsid w:val="00C1649E"/>
    <w:rsid w:val="00C17D7E"/>
    <w:rsid w:val="00C21F90"/>
    <w:rsid w:val="00C2298D"/>
    <w:rsid w:val="00C24DC3"/>
    <w:rsid w:val="00C3061E"/>
    <w:rsid w:val="00C327DF"/>
    <w:rsid w:val="00C3566B"/>
    <w:rsid w:val="00C45B91"/>
    <w:rsid w:val="00C47863"/>
    <w:rsid w:val="00C505CF"/>
    <w:rsid w:val="00C51AC1"/>
    <w:rsid w:val="00C71715"/>
    <w:rsid w:val="00C92A37"/>
    <w:rsid w:val="00C92D3A"/>
    <w:rsid w:val="00CA1A2C"/>
    <w:rsid w:val="00CA5F66"/>
    <w:rsid w:val="00CA603E"/>
    <w:rsid w:val="00CB3680"/>
    <w:rsid w:val="00CB51FF"/>
    <w:rsid w:val="00CC1CA7"/>
    <w:rsid w:val="00CD24AF"/>
    <w:rsid w:val="00CD37DE"/>
    <w:rsid w:val="00CD66D3"/>
    <w:rsid w:val="00CD7A1D"/>
    <w:rsid w:val="00CF248A"/>
    <w:rsid w:val="00CF3947"/>
    <w:rsid w:val="00D00362"/>
    <w:rsid w:val="00D00798"/>
    <w:rsid w:val="00D00963"/>
    <w:rsid w:val="00D026A0"/>
    <w:rsid w:val="00D27841"/>
    <w:rsid w:val="00D31E39"/>
    <w:rsid w:val="00D3280F"/>
    <w:rsid w:val="00D3795C"/>
    <w:rsid w:val="00D41C24"/>
    <w:rsid w:val="00D50A6F"/>
    <w:rsid w:val="00D50AA2"/>
    <w:rsid w:val="00D536FD"/>
    <w:rsid w:val="00D55F42"/>
    <w:rsid w:val="00D622C4"/>
    <w:rsid w:val="00D658A0"/>
    <w:rsid w:val="00D67207"/>
    <w:rsid w:val="00D708B6"/>
    <w:rsid w:val="00D7427B"/>
    <w:rsid w:val="00D745B4"/>
    <w:rsid w:val="00D768C2"/>
    <w:rsid w:val="00D85622"/>
    <w:rsid w:val="00D86CC7"/>
    <w:rsid w:val="00D9256C"/>
    <w:rsid w:val="00D9639A"/>
    <w:rsid w:val="00D975F5"/>
    <w:rsid w:val="00DA3432"/>
    <w:rsid w:val="00DA48AD"/>
    <w:rsid w:val="00DB129D"/>
    <w:rsid w:val="00DB6D12"/>
    <w:rsid w:val="00DC15AA"/>
    <w:rsid w:val="00DC45AF"/>
    <w:rsid w:val="00DD12E8"/>
    <w:rsid w:val="00DD29A2"/>
    <w:rsid w:val="00DD3C9D"/>
    <w:rsid w:val="00DE1330"/>
    <w:rsid w:val="00DE6650"/>
    <w:rsid w:val="00DE6721"/>
    <w:rsid w:val="00DF1971"/>
    <w:rsid w:val="00DF461B"/>
    <w:rsid w:val="00DF55BB"/>
    <w:rsid w:val="00E00261"/>
    <w:rsid w:val="00E028B2"/>
    <w:rsid w:val="00E03B4C"/>
    <w:rsid w:val="00E055D4"/>
    <w:rsid w:val="00E1056B"/>
    <w:rsid w:val="00E119BD"/>
    <w:rsid w:val="00E148B3"/>
    <w:rsid w:val="00E14991"/>
    <w:rsid w:val="00E15423"/>
    <w:rsid w:val="00E30422"/>
    <w:rsid w:val="00E33B82"/>
    <w:rsid w:val="00E370AE"/>
    <w:rsid w:val="00E42070"/>
    <w:rsid w:val="00E421CB"/>
    <w:rsid w:val="00E4231A"/>
    <w:rsid w:val="00E45684"/>
    <w:rsid w:val="00E56E23"/>
    <w:rsid w:val="00E64AB5"/>
    <w:rsid w:val="00E704E3"/>
    <w:rsid w:val="00E83AFA"/>
    <w:rsid w:val="00E93DEC"/>
    <w:rsid w:val="00E95E41"/>
    <w:rsid w:val="00EA6704"/>
    <w:rsid w:val="00EB0219"/>
    <w:rsid w:val="00EB30DF"/>
    <w:rsid w:val="00EB4773"/>
    <w:rsid w:val="00EB7D23"/>
    <w:rsid w:val="00EC4B6A"/>
    <w:rsid w:val="00EC6AEB"/>
    <w:rsid w:val="00ED14CE"/>
    <w:rsid w:val="00ED2486"/>
    <w:rsid w:val="00EE59A7"/>
    <w:rsid w:val="00EE6E90"/>
    <w:rsid w:val="00EF1691"/>
    <w:rsid w:val="00EF3F6E"/>
    <w:rsid w:val="00F03C45"/>
    <w:rsid w:val="00F12F69"/>
    <w:rsid w:val="00F21D50"/>
    <w:rsid w:val="00F30714"/>
    <w:rsid w:val="00F32783"/>
    <w:rsid w:val="00F61837"/>
    <w:rsid w:val="00F63504"/>
    <w:rsid w:val="00F65011"/>
    <w:rsid w:val="00F66916"/>
    <w:rsid w:val="00F70821"/>
    <w:rsid w:val="00F71C0A"/>
    <w:rsid w:val="00F74A8B"/>
    <w:rsid w:val="00F966EB"/>
    <w:rsid w:val="00FA0E45"/>
    <w:rsid w:val="00FA1220"/>
    <w:rsid w:val="00FA35A0"/>
    <w:rsid w:val="00FA669D"/>
    <w:rsid w:val="00FB5266"/>
    <w:rsid w:val="00FC22BE"/>
    <w:rsid w:val="00FC4487"/>
    <w:rsid w:val="00FD4E03"/>
    <w:rsid w:val="00FD75C3"/>
    <w:rsid w:val="00FE1A62"/>
    <w:rsid w:val="00FF27B1"/>
    <w:rsid w:val="00FF3A55"/>
    <w:rsid w:val="00FF438E"/>
    <w:rsid w:val="00FF6A4A"/>
    <w:rsid w:val="0A77D498"/>
    <w:rsid w:val="125BF477"/>
    <w:rsid w:val="1692F7A2"/>
    <w:rsid w:val="172B370C"/>
    <w:rsid w:val="1835B63D"/>
    <w:rsid w:val="1AB42BDA"/>
    <w:rsid w:val="1DBDC5F2"/>
    <w:rsid w:val="1E20F80C"/>
    <w:rsid w:val="1F6B35C3"/>
    <w:rsid w:val="1F83C306"/>
    <w:rsid w:val="20BEEA78"/>
    <w:rsid w:val="20FBBC59"/>
    <w:rsid w:val="22703FCD"/>
    <w:rsid w:val="272DC863"/>
    <w:rsid w:val="27577377"/>
    <w:rsid w:val="27AEBDE5"/>
    <w:rsid w:val="28E4324E"/>
    <w:rsid w:val="2D66B99B"/>
    <w:rsid w:val="2F15547E"/>
    <w:rsid w:val="3479B156"/>
    <w:rsid w:val="34FCB708"/>
    <w:rsid w:val="35D8F5DF"/>
    <w:rsid w:val="35F6D297"/>
    <w:rsid w:val="36636BB5"/>
    <w:rsid w:val="3A4880C0"/>
    <w:rsid w:val="3E759920"/>
    <w:rsid w:val="41EC2279"/>
    <w:rsid w:val="44186C27"/>
    <w:rsid w:val="463D9FBB"/>
    <w:rsid w:val="4E88A1B6"/>
    <w:rsid w:val="4F38FF72"/>
    <w:rsid w:val="552928DB"/>
    <w:rsid w:val="5B0D968D"/>
    <w:rsid w:val="61F67155"/>
    <w:rsid w:val="6248AB17"/>
    <w:rsid w:val="62B5D9E7"/>
    <w:rsid w:val="63D286F4"/>
    <w:rsid w:val="65B24D64"/>
    <w:rsid w:val="69B65DE9"/>
    <w:rsid w:val="6A84F54D"/>
    <w:rsid w:val="6AF39A9A"/>
    <w:rsid w:val="6C24A2D2"/>
    <w:rsid w:val="716D88A5"/>
    <w:rsid w:val="725373F6"/>
    <w:rsid w:val="738E8008"/>
    <w:rsid w:val="794B2282"/>
    <w:rsid w:val="7F10BF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512F4B"/>
  <w15:docId w15:val="{C9A463BA-6A66-4C65-BD17-3CEB5CC2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2">
    <w:name w:val="Footnote Text Char2"/>
    <w:aliases w:val="Char Char,Footnote Text Char Char Char Char,Footnote Text Char Char Char1,Footnote Text Char Char1 Char,Footnote Text Char1 Char Char,Footnote Text Char1 Char1,Footnote Text Char1 Char1 Char Char,fn Char,fn Char Char Char,ft Char"/>
    <w:link w:val="FootnoteText"/>
    <w:uiPriority w:val="99"/>
    <w:semiHidden/>
    <w:locked/>
    <w:rsid w:val="00D3795C"/>
    <w:rPr>
      <w:rFonts w:ascii="Times New Roman" w:eastAsia="Times New Roman" w:hAnsi="Times New Roman" w:cs="Times New Roman"/>
      <w:sz w:val="20"/>
      <w:szCs w:val="20"/>
    </w:rPr>
  </w:style>
  <w:style w:type="paragraph" w:styleId="FootnoteText">
    <w:name w:val="footnote text"/>
    <w:aliases w:val="Char,Char Char1,Footnote Text Char Char,Footnote Text Char Char Char,Footnote Text Char Char Char1 Char,Footnote Text Char Char1,Footnote Text Char1,Footnote Text Char1 Char,Footnote Text Char1 Char1 Char,f,fn,fn Char Char,fn1,fn3,fn4,ft"/>
    <w:basedOn w:val="Normal"/>
    <w:link w:val="FootnoteTextChar2"/>
    <w:uiPriority w:val="99"/>
    <w:unhideWhenUsed/>
    <w:qFormat/>
    <w:rsid w:val="00D3795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 Char Char,Footnote Text Char1 Char Char1,Footnote Text Char3 Char,Footnote Text MRP Char,fn1 Char"/>
    <w:basedOn w:val="DefaultParagraphFont"/>
    <w:uiPriority w:val="99"/>
    <w:rsid w:val="00D3795C"/>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rsid w:val="00D3795C"/>
  </w:style>
  <w:style w:type="paragraph" w:styleId="Header">
    <w:name w:val="header"/>
    <w:basedOn w:val="Normal"/>
    <w:link w:val="HeaderChar"/>
    <w:uiPriority w:val="99"/>
    <w:unhideWhenUsed/>
    <w:rsid w:val="00D37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95C"/>
  </w:style>
  <w:style w:type="paragraph" w:styleId="Footer">
    <w:name w:val="footer"/>
    <w:basedOn w:val="Normal"/>
    <w:link w:val="FooterChar"/>
    <w:uiPriority w:val="99"/>
    <w:unhideWhenUsed/>
    <w:rsid w:val="00D37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95C"/>
  </w:style>
  <w:style w:type="character" w:styleId="CommentReference">
    <w:name w:val="annotation reference"/>
    <w:basedOn w:val="DefaultParagraphFont"/>
    <w:uiPriority w:val="99"/>
    <w:semiHidden/>
    <w:unhideWhenUsed/>
    <w:rsid w:val="00064F3A"/>
    <w:rPr>
      <w:sz w:val="16"/>
      <w:szCs w:val="16"/>
    </w:rPr>
  </w:style>
  <w:style w:type="paragraph" w:styleId="CommentText">
    <w:name w:val="annotation text"/>
    <w:basedOn w:val="Normal"/>
    <w:link w:val="CommentTextChar"/>
    <w:uiPriority w:val="99"/>
    <w:unhideWhenUsed/>
    <w:rsid w:val="00064F3A"/>
    <w:pPr>
      <w:spacing w:line="240" w:lineRule="auto"/>
    </w:pPr>
    <w:rPr>
      <w:sz w:val="20"/>
      <w:szCs w:val="20"/>
    </w:rPr>
  </w:style>
  <w:style w:type="character" w:customStyle="1" w:styleId="CommentTextChar">
    <w:name w:val="Comment Text Char"/>
    <w:basedOn w:val="DefaultParagraphFont"/>
    <w:link w:val="CommentText"/>
    <w:uiPriority w:val="99"/>
    <w:rsid w:val="00064F3A"/>
    <w:rPr>
      <w:sz w:val="20"/>
      <w:szCs w:val="20"/>
    </w:rPr>
  </w:style>
  <w:style w:type="paragraph" w:styleId="CommentSubject">
    <w:name w:val="annotation subject"/>
    <w:basedOn w:val="CommentText"/>
    <w:next w:val="CommentText"/>
    <w:link w:val="CommentSubjectChar"/>
    <w:uiPriority w:val="99"/>
    <w:semiHidden/>
    <w:unhideWhenUsed/>
    <w:rsid w:val="00064F3A"/>
    <w:rPr>
      <w:b/>
      <w:bCs/>
    </w:rPr>
  </w:style>
  <w:style w:type="character" w:customStyle="1" w:styleId="CommentSubjectChar">
    <w:name w:val="Comment Subject Char"/>
    <w:basedOn w:val="CommentTextChar"/>
    <w:link w:val="CommentSubject"/>
    <w:uiPriority w:val="99"/>
    <w:semiHidden/>
    <w:rsid w:val="00064F3A"/>
    <w:rPr>
      <w:b/>
      <w:bCs/>
      <w:sz w:val="20"/>
      <w:szCs w:val="20"/>
    </w:rPr>
  </w:style>
  <w:style w:type="paragraph" w:styleId="BalloonText">
    <w:name w:val="Balloon Text"/>
    <w:basedOn w:val="Normal"/>
    <w:link w:val="BalloonTextChar"/>
    <w:uiPriority w:val="99"/>
    <w:semiHidden/>
    <w:unhideWhenUsed/>
    <w:rsid w:val="00064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F3A"/>
    <w:rPr>
      <w:rFonts w:ascii="Segoe UI" w:hAnsi="Segoe UI" w:cs="Segoe UI"/>
      <w:sz w:val="18"/>
      <w:szCs w:val="18"/>
    </w:rPr>
  </w:style>
  <w:style w:type="paragraph" w:styleId="ListParagraph">
    <w:name w:val="List Paragraph"/>
    <w:basedOn w:val="Normal"/>
    <w:uiPriority w:val="34"/>
    <w:qFormat/>
    <w:rsid w:val="00E00261"/>
    <w:pPr>
      <w:ind w:left="720"/>
      <w:contextualSpacing/>
    </w:pPr>
  </w:style>
  <w:style w:type="character" w:styleId="Hyperlink">
    <w:name w:val="Hyperlink"/>
    <w:uiPriority w:val="99"/>
    <w:unhideWhenUsed/>
    <w:rsid w:val="0004707D"/>
    <w:rPr>
      <w:color w:val="0000FF"/>
      <w:u w:val="single"/>
    </w:rPr>
  </w:style>
  <w:style w:type="character" w:styleId="UnresolvedMention">
    <w:name w:val="Unresolved Mention"/>
    <w:basedOn w:val="DefaultParagraphFont"/>
    <w:uiPriority w:val="99"/>
    <w:semiHidden/>
    <w:unhideWhenUsed/>
    <w:rsid w:val="00531658"/>
    <w:rPr>
      <w:color w:val="605E5C"/>
      <w:shd w:val="clear" w:color="auto" w:fill="E1DFDD"/>
    </w:rPr>
  </w:style>
  <w:style w:type="character" w:styleId="FollowedHyperlink">
    <w:name w:val="FollowedHyperlink"/>
    <w:basedOn w:val="DefaultParagraphFont"/>
    <w:uiPriority w:val="99"/>
    <w:semiHidden/>
    <w:unhideWhenUsed/>
    <w:rsid w:val="00531658"/>
    <w:rPr>
      <w:color w:val="954F72" w:themeColor="followedHyperlink"/>
      <w:u w:val="single"/>
    </w:rPr>
  </w:style>
  <w:style w:type="paragraph" w:styleId="Revision">
    <w:name w:val="Revision"/>
    <w:hidden/>
    <w:uiPriority w:val="99"/>
    <w:semiHidden/>
    <w:rsid w:val="000948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ferc.gov/ferc-information-collections-management/information-collections-approv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DEE0992E7054ABDA604AC6DAF128A" ma:contentTypeVersion="16" ma:contentTypeDescription="Create a new document." ma:contentTypeScope="" ma:versionID="8b537ce80d874171ea5f1240d2b171c0">
  <xsd:schema xmlns:xsd="http://www.w3.org/2001/XMLSchema" xmlns:xs="http://www.w3.org/2001/XMLSchema" xmlns:p="http://schemas.microsoft.com/office/2006/metadata/properties" xmlns:ns2="e6801bb4-6743-454f-a51e-5af1dda7beb6" xmlns:ns3="5b614717-fa42-4d55-8c6b-b7d98cda7b53" xmlns:ns4="7a04680a-742e-4c77-924c-d687d1e7a16d" targetNamespace="http://schemas.microsoft.com/office/2006/metadata/properties" ma:root="true" ma:fieldsID="b52d9e48492cda09ba2ba29c3fb7d8a0" ns2:_="" ns3:_="" ns4:_="">
    <xsd:import namespace="e6801bb4-6743-454f-a51e-5af1dda7beb6"/>
    <xsd:import namespace="5b614717-fa42-4d55-8c6b-b7d98cda7b53"/>
    <xsd:import namespace="7a04680a-742e-4c77-924c-d687d1e7a16d"/>
    <xsd:element name="properties">
      <xsd:complexType>
        <xsd:sequence>
          <xsd:element name="documentManagement">
            <xsd:complexType>
              <xsd:all>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01bb4-6743-454f-a51e-5af1dda7be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kwizcomcontrollerfield" ma:index="17"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14717-fa42-4d55-8c6b-b7d98cda7b5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e7c7712-a812-48ed-a0d2-1b264a7f9820}" ma:internalName="TaxCatchAll" ma:showField="CatchAllData" ma:web="5b614717-fa42-4d55-8c6b-b7d98cda7b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04680a-742e-4c77-924c-d687d1e7a16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wizcomcontrollerfield xmlns="e6801bb4-6743-454f-a51e-5af1dda7beb6" xsi:nil="true"/>
    <lcf76f155ced4ddcb4097134ff3c332f xmlns="e6801bb4-6743-454f-a51e-5af1dda7beb6">
      <Terms xmlns="http://schemas.microsoft.com/office/infopath/2007/PartnerControls"/>
    </lcf76f155ced4ddcb4097134ff3c332f>
    <TaxCatchAll xmlns="5b614717-fa42-4d55-8c6b-b7d98cda7b53" xsi:nil="true"/>
  </documentManagement>
</p:properties>
</file>

<file path=customXml/itemProps1.xml><?xml version="1.0" encoding="utf-8"?>
<ds:datastoreItem xmlns:ds="http://schemas.openxmlformats.org/officeDocument/2006/customXml" ds:itemID="{18E38F33-BB74-4408-98F8-A34FA58FD023}">
  <ds:schemaRefs>
    <ds:schemaRef ds:uri="http://schemas.openxmlformats.org/officeDocument/2006/bibliography"/>
  </ds:schemaRefs>
</ds:datastoreItem>
</file>

<file path=customXml/itemProps2.xml><?xml version="1.0" encoding="utf-8"?>
<ds:datastoreItem xmlns:ds="http://schemas.openxmlformats.org/officeDocument/2006/customXml" ds:itemID="{05BD3934-C82D-4D04-96D0-F1EB8D123593}">
  <ds:schemaRefs>
    <ds:schemaRef ds:uri="http://schemas.microsoft.com/sharepoint/v3/contenttype/forms"/>
  </ds:schemaRefs>
</ds:datastoreItem>
</file>

<file path=customXml/itemProps3.xml><?xml version="1.0" encoding="utf-8"?>
<ds:datastoreItem xmlns:ds="http://schemas.openxmlformats.org/officeDocument/2006/customXml" ds:itemID="{B7A8D9B6-7A0A-47A2-937F-967B801B0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01bb4-6743-454f-a51e-5af1dda7beb6"/>
    <ds:schemaRef ds:uri="5b614717-fa42-4d55-8c6b-b7d98cda7b53"/>
    <ds:schemaRef ds:uri="7a04680a-742e-4c77-924c-d687d1e7a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B5ED6-5DE1-4494-809A-35350836C313}">
  <ds:schemaRefs>
    <ds:schemaRef ds:uri="http://purl.org/dc/terms/"/>
    <ds:schemaRef ds:uri="7a04680a-742e-4c77-924c-d687d1e7a16d"/>
    <ds:schemaRef ds:uri="http://schemas.microsoft.com/office/2006/documentManagement/types"/>
    <ds:schemaRef ds:uri="http://schemas.microsoft.com/office/infopath/2007/PartnerControls"/>
    <ds:schemaRef ds:uri="e6801bb4-6743-454f-a51e-5af1dda7beb6"/>
    <ds:schemaRef ds:uri="http://schemas.openxmlformats.org/package/2006/metadata/core-properties"/>
    <ds:schemaRef ds:uri="http://purl.org/dc/elements/1.1/"/>
    <ds:schemaRef ds:uri="5b614717-fa42-4d55-8c6b-b7d98cda7b5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1360</Words>
  <Characters>7754</Characters>
  <Application>Microsoft Office Word</Application>
  <DocSecurity>0</DocSecurity>
  <Lines>64</Lines>
  <Paragraphs>18</Paragraphs>
  <ScaleCrop>false</ScaleCrop>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FERC-604, Cash Management Agreements</dc:title>
  <dc:creator>Michele Chambers</dc:creator>
  <cp:lastModifiedBy>Ken Ambrose</cp:lastModifiedBy>
  <cp:revision>35</cp:revision>
  <dcterms:created xsi:type="dcterms:W3CDTF">2025-07-31T17:17:00Z</dcterms:created>
  <dcterms:modified xsi:type="dcterms:W3CDTF">2025-09-18T19:45:00Z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0x010100A8ADEE0992E7054ABDA604AC6DAF128A</vt:lpwstr>
  </property>
  <property fmtid="{D5CDD505-2E9C-101B-9397-08002B2CF9AE}" pid="3" name="MediaServiceImageTags">
    <vt:lpwstr/>
  </property>
  <property fmtid="{D5CDD505-2E9C-101B-9397-08002B2CF9AE}" pid="4" name="MSIP_Label_bd24d06a-0e85-4d57-b1e0-ba34b1abc708_ActionId">
    <vt:lpwstr>842720a1-cf08-4e2b-9e46-2d7fd2b4de46</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2025-06-25T17:47:39Z</vt:lpwstr>
  </property>
  <property fmtid="{D5CDD505-2E9C-101B-9397-08002B2CF9AE}" pid="10" name="MSIP_Label_bd24d06a-0e85-4d57-b1e0-ba34b1abc708_SiteId">
    <vt:lpwstr>19caa9e9-04ff-43fa-885f-d77fac387903</vt:lpwstr>
  </property>
</Properties>
</file>