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709A" w:rsidP="00B927EF" w14:paraId="754F1713" w14:textId="77777777">
      <w:pPr>
        <w:pStyle w:val="Title"/>
        <w:tabs>
          <w:tab w:val="left" w:pos="720"/>
        </w:tabs>
        <w:rPr>
          <w:color w:val="000000"/>
        </w:rPr>
      </w:pPr>
      <w:r>
        <w:rPr>
          <w:color w:val="000000"/>
        </w:rPr>
        <w:t>Supporting Statement</w:t>
      </w:r>
    </w:p>
    <w:p w:rsidR="0051709A" w14:paraId="6E2AFCEA" w14:textId="49759295">
      <w:pPr>
        <w:jc w:val="center"/>
        <w:rPr>
          <w:b/>
          <w:bCs/>
          <w:color w:val="000000"/>
        </w:rPr>
      </w:pPr>
      <w:r>
        <w:rPr>
          <w:b/>
          <w:bCs/>
          <w:color w:val="000000"/>
        </w:rPr>
        <w:t>Interagency Guidance on Asset Securitization Activities</w:t>
      </w:r>
    </w:p>
    <w:p w:rsidR="0051709A" w14:paraId="02359D10" w14:textId="7AF66556">
      <w:pPr>
        <w:jc w:val="center"/>
        <w:rPr>
          <w:b/>
          <w:bCs/>
          <w:color w:val="000000"/>
        </w:rPr>
      </w:pPr>
      <w:r>
        <w:rPr>
          <w:b/>
          <w:bCs/>
          <w:color w:val="000000"/>
        </w:rPr>
        <w:t>OMB Control No.</w:t>
      </w:r>
      <w:r>
        <w:rPr>
          <w:b/>
          <w:bCs/>
          <w:color w:val="000000"/>
        </w:rPr>
        <w:t xml:space="preserve"> 1557-</w:t>
      </w:r>
      <w:r w:rsidR="00CB0562">
        <w:rPr>
          <w:b/>
          <w:bCs/>
          <w:color w:val="000000"/>
        </w:rPr>
        <w:t>0217</w:t>
      </w:r>
    </w:p>
    <w:p w:rsidR="00FB4F38" w14:paraId="5DD7329F" w14:textId="77777777">
      <w:pPr>
        <w:jc w:val="center"/>
        <w:rPr>
          <w:b/>
          <w:bCs/>
          <w:color w:val="000000"/>
        </w:rPr>
      </w:pPr>
    </w:p>
    <w:p w:rsidR="00AC6A28" w14:paraId="23BDE65E" w14:textId="77777777">
      <w:pPr>
        <w:jc w:val="center"/>
        <w:rPr>
          <w:b/>
          <w:bCs/>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51709A" w:rsidP="0093781D" w14:paraId="3203A40D" w14:textId="06B0F457">
      <w:pPr>
        <w:ind w:firstLine="720"/>
        <w:rPr>
          <w:color w:val="000000"/>
        </w:rPr>
      </w:pPr>
      <w:r>
        <w:rPr>
          <w:color w:val="000000"/>
        </w:rPr>
        <w:t xml:space="preserve">In 1999, the OCC issued the Interagency Guidance on Asset Securitization Activities (guidance) in response to a determination that some institutions involved in asset securitization activities had significant weaknesses in their asset securitization practices. The weaknesses identified included: (1) the failure to recognize and hold sufficient capital against explicit and implicit recourse obligations that frequently accompany securitizations; (2) the excessive or inadequately supported valuation of retained interests; (3) the liquidity risk associated with overreliance on asset </w:t>
      </w:r>
      <w:r w:rsidR="00244EDC">
        <w:rPr>
          <w:color w:val="000000"/>
        </w:rPr>
        <w:t>securitization</w:t>
      </w:r>
      <w:r>
        <w:rPr>
          <w:color w:val="000000"/>
        </w:rPr>
        <w:t xml:space="preserve"> as a funding source; and (4) the absence of adequate independent risk management and audit </w:t>
      </w:r>
      <w:r w:rsidR="00244EDC">
        <w:rPr>
          <w:color w:val="000000"/>
        </w:rPr>
        <w:t>functions</w:t>
      </w:r>
      <w:r>
        <w:rPr>
          <w:color w:val="000000"/>
        </w:rPr>
        <w:t>.</w:t>
      </w:r>
      <w:r>
        <w:rPr>
          <w:rStyle w:val="FootnoteReference"/>
          <w:color w:val="000000"/>
        </w:rPr>
        <w:footnoteReference w:id="2"/>
      </w:r>
    </w:p>
    <w:p w:rsidR="00244EDC" w:rsidP="0093781D" w14:paraId="0CACA95E" w14:textId="77777777">
      <w:pPr>
        <w:ind w:firstLine="720"/>
        <w:rPr>
          <w:color w:val="000000"/>
        </w:rPr>
      </w:pPr>
    </w:p>
    <w:p w:rsidR="00244EDC" w:rsidP="0093781D" w14:paraId="703F6AFA" w14:textId="267C8DA9">
      <w:pPr>
        <w:ind w:firstLine="720"/>
        <w:rPr>
          <w:color w:val="000000"/>
        </w:rPr>
      </w:pPr>
      <w:r>
        <w:rPr>
          <w:color w:val="000000"/>
        </w:rPr>
        <w:t>The guidance was intended to ensure that: (1) effective risk management processes were in place; (2) retained interests were valued properly; (3) internal reviews were performed and results reported to the board; (</w:t>
      </w:r>
      <w:r w:rsidR="007E5705">
        <w:rPr>
          <w:color w:val="000000"/>
        </w:rPr>
        <w:t>4</w:t>
      </w:r>
      <w:r>
        <w:rPr>
          <w:color w:val="000000"/>
        </w:rPr>
        <w:t xml:space="preserve">) accurate and timely risk-based capital calculations </w:t>
      </w:r>
      <w:r w:rsidR="00B2046E">
        <w:rPr>
          <w:color w:val="000000"/>
        </w:rPr>
        <w:t xml:space="preserve">were </w:t>
      </w:r>
      <w:r>
        <w:rPr>
          <w:color w:val="000000"/>
        </w:rPr>
        <w:t>maintained; (</w:t>
      </w:r>
      <w:r w:rsidR="007E5705">
        <w:rPr>
          <w:color w:val="000000"/>
        </w:rPr>
        <w:t>5</w:t>
      </w:r>
      <w:r>
        <w:rPr>
          <w:color w:val="000000"/>
        </w:rPr>
        <w:t>) internal retained interest limits were in place; and (</w:t>
      </w:r>
      <w:r w:rsidR="007E5705">
        <w:rPr>
          <w:color w:val="000000"/>
        </w:rPr>
        <w:t>6</w:t>
      </w:r>
      <w:r>
        <w:rPr>
          <w:color w:val="000000"/>
        </w:rPr>
        <w:t>) realistic liquidity plans were in place in the event of market disruptions.</w:t>
      </w:r>
    </w:p>
    <w:p w:rsidR="0051709A" w14:paraId="50B9559F"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51709A" w:rsidP="00B73245" w14:paraId="3266E0E3" w14:textId="4AA40A14">
      <w:pPr>
        <w:ind w:firstLine="720"/>
        <w:rPr>
          <w:color w:val="000000"/>
        </w:rPr>
      </w:pPr>
      <w:r>
        <w:rPr>
          <w:color w:val="000000"/>
        </w:rPr>
        <w:t>National banks and Federal</w:t>
      </w:r>
      <w:r w:rsidR="003755D5">
        <w:rPr>
          <w:color w:val="000000"/>
        </w:rPr>
        <w:t xml:space="preserve"> savings associations use the information in these collections as the basis </w:t>
      </w:r>
      <w:r w:rsidR="0033454A">
        <w:rPr>
          <w:color w:val="000000"/>
        </w:rPr>
        <w:t>f</w:t>
      </w:r>
      <w:r w:rsidR="003755D5">
        <w:rPr>
          <w:color w:val="000000"/>
        </w:rPr>
        <w:t>or the safe and sound operation of their asset securitization activities and to ensure that they minimize operational risk in the conduct of these activities. The OCC uses this information to evaluate the quality of an institution’s risk management practices. The OCC also uses the information to assist institutions that do not have proper supervision of their asset securitization activities with the implementation of corrective action to ensure that the activities are conducted in a safe and sound manner.</w:t>
      </w:r>
    </w:p>
    <w:p w:rsidR="003755D5" w:rsidP="00B73245" w14:paraId="58E4BCF3" w14:textId="5A319A9B">
      <w:pPr>
        <w:ind w:firstLine="720"/>
        <w:rPr>
          <w:color w:val="000000"/>
        </w:rPr>
      </w:pPr>
      <w:r>
        <w:rPr>
          <w:color w:val="000000"/>
        </w:rPr>
        <w:tab/>
      </w:r>
    </w:p>
    <w:p w:rsidR="003755D5" w:rsidP="00B73245" w14:paraId="2908C320" w14:textId="30B57CCC">
      <w:pPr>
        <w:ind w:firstLine="720"/>
        <w:rPr>
          <w:color w:val="000000"/>
        </w:rPr>
      </w:pPr>
      <w:r>
        <w:rPr>
          <w:color w:val="000000"/>
        </w:rPr>
        <w:t>The information collection requirements include:</w:t>
      </w:r>
    </w:p>
    <w:p w:rsidR="003755D5" w:rsidP="00B73245" w14:paraId="283195FD" w14:textId="77777777">
      <w:pPr>
        <w:ind w:firstLine="720"/>
        <w:rPr>
          <w:color w:val="000000"/>
        </w:rPr>
      </w:pPr>
    </w:p>
    <w:p w:rsidR="00E31ACD" w:rsidP="00E31ACD" w14:paraId="77BFBBE1" w14:textId="6DCEC2E8">
      <w:pPr>
        <w:pStyle w:val="ListParagraph"/>
        <w:numPr>
          <w:ilvl w:val="0"/>
          <w:numId w:val="28"/>
        </w:numPr>
        <w:rPr>
          <w:color w:val="000000"/>
        </w:rPr>
      </w:pPr>
      <w:r>
        <w:rPr>
          <w:color w:val="000000"/>
        </w:rPr>
        <w:t>A sound asset securitization policy that includes:</w:t>
      </w:r>
    </w:p>
    <w:p w:rsidR="00E31ACD" w:rsidP="00E31ACD" w14:paraId="23B1B0E9" w14:textId="77777777">
      <w:pPr>
        <w:pStyle w:val="ListParagraph"/>
        <w:ind w:left="1440"/>
        <w:rPr>
          <w:color w:val="000000"/>
        </w:rPr>
      </w:pPr>
    </w:p>
    <w:p w:rsidR="00E31ACD" w:rsidP="00E31ACD" w14:paraId="295EF80B" w14:textId="655C3AAD">
      <w:pPr>
        <w:pStyle w:val="ListParagraph"/>
        <w:numPr>
          <w:ilvl w:val="1"/>
          <w:numId w:val="28"/>
        </w:numPr>
        <w:rPr>
          <w:color w:val="000000"/>
        </w:rPr>
      </w:pPr>
      <w:r>
        <w:rPr>
          <w:color w:val="000000"/>
        </w:rPr>
        <w:t>A written and consistently applied accounting methodology;</w:t>
      </w:r>
    </w:p>
    <w:p w:rsidR="00E31ACD" w:rsidP="00E31ACD" w14:paraId="2D43F972" w14:textId="3B285E01">
      <w:pPr>
        <w:pStyle w:val="ListParagraph"/>
        <w:numPr>
          <w:ilvl w:val="1"/>
          <w:numId w:val="28"/>
        </w:numPr>
        <w:rPr>
          <w:color w:val="000000"/>
        </w:rPr>
      </w:pPr>
      <w:r>
        <w:rPr>
          <w:color w:val="000000"/>
        </w:rPr>
        <w:t>Regulatory reporting requirements;</w:t>
      </w:r>
    </w:p>
    <w:p w:rsidR="00E31ACD" w:rsidP="00E31ACD" w14:paraId="3C8405FB" w14:textId="039833EE">
      <w:pPr>
        <w:pStyle w:val="ListParagraph"/>
        <w:numPr>
          <w:ilvl w:val="1"/>
          <w:numId w:val="28"/>
        </w:numPr>
        <w:rPr>
          <w:color w:val="000000"/>
        </w:rPr>
      </w:pPr>
      <w:r>
        <w:rPr>
          <w:color w:val="000000"/>
        </w:rPr>
        <w:t>Valuation methods and procedures;</w:t>
      </w:r>
    </w:p>
    <w:p w:rsidR="00E31ACD" w:rsidP="00E31ACD" w14:paraId="661983F8" w14:textId="63E679BB">
      <w:pPr>
        <w:pStyle w:val="ListParagraph"/>
        <w:numPr>
          <w:ilvl w:val="1"/>
          <w:numId w:val="28"/>
        </w:numPr>
        <w:rPr>
          <w:color w:val="000000"/>
        </w:rPr>
      </w:pPr>
      <w:r>
        <w:rPr>
          <w:color w:val="000000"/>
        </w:rPr>
        <w:t>A management reporting process; and</w:t>
      </w:r>
    </w:p>
    <w:p w:rsidR="00E31ACD" w:rsidP="00E31ACD" w14:paraId="68730115" w14:textId="27C4DB53">
      <w:pPr>
        <w:pStyle w:val="ListParagraph"/>
        <w:numPr>
          <w:ilvl w:val="1"/>
          <w:numId w:val="28"/>
        </w:numPr>
        <w:rPr>
          <w:color w:val="000000"/>
        </w:rPr>
      </w:pPr>
      <w:r>
        <w:rPr>
          <w:color w:val="000000"/>
        </w:rPr>
        <w:t>Exposure limits and requirements.</w:t>
      </w:r>
    </w:p>
    <w:p w:rsidR="00FA1858" w:rsidP="00FA1858" w14:paraId="5D09C688" w14:textId="77777777">
      <w:pPr>
        <w:pStyle w:val="ListParagraph"/>
        <w:ind w:left="2160"/>
        <w:rPr>
          <w:color w:val="000000"/>
        </w:rPr>
      </w:pPr>
    </w:p>
    <w:p w:rsidR="00FA1858" w:rsidP="00FA1858" w14:paraId="1887F646" w14:textId="472027F6">
      <w:pPr>
        <w:pStyle w:val="ListParagraph"/>
        <w:numPr>
          <w:ilvl w:val="0"/>
          <w:numId w:val="28"/>
        </w:numPr>
        <w:rPr>
          <w:color w:val="000000"/>
        </w:rPr>
      </w:pPr>
      <w:r>
        <w:rPr>
          <w:color w:val="000000"/>
        </w:rPr>
        <w:t>Documentation for all changes to assumptions under the valuation process.</w:t>
      </w:r>
    </w:p>
    <w:p w:rsidR="00FA1858" w:rsidP="00FA1858" w14:paraId="662380C2" w14:textId="77777777">
      <w:pPr>
        <w:pStyle w:val="ListParagraph"/>
        <w:ind w:left="1440"/>
        <w:rPr>
          <w:color w:val="000000"/>
        </w:rPr>
      </w:pPr>
    </w:p>
    <w:p w:rsidR="00FA1858" w:rsidRPr="00E31ACD" w:rsidP="00FA1858" w14:paraId="0D2987FA" w14:textId="454F8D8D">
      <w:pPr>
        <w:pStyle w:val="ListParagraph"/>
        <w:numPr>
          <w:ilvl w:val="0"/>
          <w:numId w:val="28"/>
        </w:numPr>
        <w:rPr>
          <w:color w:val="000000"/>
        </w:rPr>
      </w:pPr>
      <w:r>
        <w:rPr>
          <w:color w:val="000000"/>
        </w:rPr>
        <w:t>Management of information systems to monitor securitization activities.</w:t>
      </w:r>
    </w:p>
    <w:p w:rsidR="009A271C" w:rsidP="007732CA" w14:paraId="2FCE2042" w14:textId="77777777">
      <w:pPr>
        <w:rPr>
          <w:b/>
          <w:bCs/>
          <w:i/>
          <w:iCs/>
          <w:color w:val="000000"/>
        </w:rPr>
      </w:pPr>
    </w:p>
    <w:p w:rsidR="0051709A" w:rsidP="007732CA" w14:paraId="11B85BDF" w14:textId="77777777">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RPr="00D46AA2" w:rsidP="00BB31A5" w14:paraId="7C87891A" w14:textId="30F3554C">
      <w:pPr>
        <w:numPr>
          <w:ilvl w:val="2"/>
          <w:numId w:val="0"/>
        </w:numPr>
        <w:tabs>
          <w:tab w:val="num" w:pos="360"/>
        </w:tabs>
        <w:rPr>
          <w:color w:val="000000"/>
        </w:rPr>
      </w:pPr>
      <w:r>
        <w:rPr>
          <w:color w:val="000000"/>
        </w:rPr>
        <w:tab/>
      </w:r>
      <w:r w:rsidR="00BB31A5">
        <w:rPr>
          <w:color w:val="000000"/>
        </w:rPr>
        <w:tab/>
      </w:r>
      <w:r w:rsidR="00026AD0">
        <w:rPr>
          <w:color w:val="000000"/>
        </w:rPr>
        <w:t>An institution may use any improved information technology that allows them to meet the requirements of the information collection.</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P="00B955B7" w14:paraId="269A1FB2" w14:textId="09F8E2AA">
      <w:pPr>
        <w:ind w:firstLine="720"/>
        <w:rPr>
          <w:color w:val="000000"/>
        </w:rPr>
      </w:pPr>
      <w:r>
        <w:rPr>
          <w:color w:val="000000"/>
        </w:rPr>
        <w:t>These collections are unique to the individual national bank or Federal savings association and the present situation.</w:t>
      </w:r>
    </w:p>
    <w:p w:rsidR="0051709A" w14:paraId="01BEA9F6" w14:textId="77777777">
      <w:pPr>
        <w:rPr>
          <w:color w:val="000000"/>
        </w:rPr>
      </w:pPr>
    </w:p>
    <w:p w:rsidR="00B97BC7" w:rsidRPr="00B97BC7" w:rsidP="00B97BC7" w14:paraId="0A8B01FC" w14:textId="7777777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3A5B3B92">
      <w:pPr>
        <w:ind w:firstLine="720"/>
        <w:rPr>
          <w:color w:val="000000"/>
        </w:rPr>
      </w:pPr>
      <w:r>
        <w:rPr>
          <w:color w:val="000000"/>
        </w:rPr>
        <w:t>Th</w:t>
      </w:r>
      <w:r w:rsidR="00D63A3E">
        <w:rPr>
          <w:color w:val="000000"/>
        </w:rPr>
        <w:t>e</w:t>
      </w:r>
      <w:r>
        <w:rPr>
          <w:color w:val="000000"/>
        </w:rPr>
        <w:t xml:space="preserve"> information collection </w:t>
      </w:r>
      <w:r w:rsidR="00E84837">
        <w:rPr>
          <w:color w:val="000000"/>
        </w:rPr>
        <w:t>requirements surrounding securitizations do not place an undue burden upon small businesses. Further, to the extent in which a small business is participating in a securitization, it will most likely be limited to the delivery of assets to a larger institution in possession of robust data collection and reporting systems, thus reducing the impact to that small business.</w:t>
      </w:r>
    </w:p>
    <w:p w:rsidR="0051709A" w14:paraId="75B9A5FD" w14:textId="77777777">
      <w:pPr>
        <w:rPr>
          <w:color w:val="000000"/>
        </w:rPr>
      </w:pPr>
    </w:p>
    <w:p w:rsidR="0051709A" w14:paraId="6E21C0FF" w14:textId="77777777">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rsidR="0051709A" w14:paraId="1FF5F664" w14:textId="77777777">
      <w:pPr>
        <w:rPr>
          <w:color w:val="000000"/>
        </w:rPr>
      </w:pPr>
    </w:p>
    <w:p w:rsidR="0051709A" w:rsidP="00B955B7" w14:paraId="39FA28A1" w14:textId="3F0519E5">
      <w:pPr>
        <w:ind w:firstLine="720"/>
        <w:rPr>
          <w:color w:val="000000"/>
        </w:rPr>
      </w:pPr>
      <w:r>
        <w:rPr>
          <w:color w:val="000000"/>
        </w:rPr>
        <w:t>Less frequent collection would not promote safe and sound national bank and Federal savings operation.</w:t>
      </w:r>
    </w:p>
    <w:p w:rsidR="0051709A" w14:paraId="4CF57B35" w14:textId="77777777">
      <w:pPr>
        <w:rPr>
          <w:color w:val="000000"/>
        </w:rPr>
      </w:pPr>
    </w:p>
    <w:p w:rsidR="0051709A" w14:paraId="00848E7A" w14:textId="77777777">
      <w:pPr>
        <w:pStyle w:val="BodyText"/>
        <w:rPr>
          <w:b/>
          <w:bCs/>
          <w:color w:val="000000"/>
        </w:rPr>
      </w:pPr>
      <w:r>
        <w:rPr>
          <w:b/>
          <w:bCs/>
          <w:color w:val="000000"/>
        </w:rPr>
        <w:t>7.  Special circumstances that would cause an information collection to be conducted in a manner inconsistent with 5 CFR Part 1320:</w:t>
      </w:r>
    </w:p>
    <w:p w:rsidR="0051709A" w14:paraId="785A9936" w14:textId="77777777">
      <w:pPr>
        <w:rPr>
          <w:color w:val="000000"/>
        </w:rPr>
      </w:pPr>
    </w:p>
    <w:p w:rsidR="009A271C" w:rsidRPr="000429F8" w:rsidP="000429F8" w14:paraId="46B4A3FB" w14:textId="77777777">
      <w:pPr>
        <w:ind w:firstLine="720"/>
        <w:rPr>
          <w:color w:val="000000"/>
        </w:rPr>
      </w:pPr>
      <w:r>
        <w:t>The information collection is conducted in accordance with the requirements of 5 CFR Part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8.  Efforts to consult with persons outside the agency:</w:t>
      </w:r>
    </w:p>
    <w:p w:rsidR="0051709A" w14:paraId="6743D0D3" w14:textId="77777777">
      <w:pPr>
        <w:rPr>
          <w:color w:val="000000"/>
        </w:rPr>
      </w:pPr>
    </w:p>
    <w:p w:rsidR="00271250" w:rsidRPr="00271250" w:rsidP="00B955B7" w14:paraId="2FAF2E1B" w14:textId="12DA9FE8">
      <w:pPr>
        <w:ind w:firstLine="720"/>
        <w:rPr>
          <w:bCs/>
        </w:rPr>
      </w:pPr>
      <w:bookmarkStart w:id="0" w:name="_Hlk160007020"/>
      <w:r>
        <w:rPr>
          <w:bCs/>
        </w:rPr>
        <w:t xml:space="preserve">The OCC issued a 60-day </w:t>
      </w:r>
      <w:r w:rsidRPr="00B32F4C">
        <w:rPr>
          <w:bCs/>
          <w:i/>
        </w:rPr>
        <w:t xml:space="preserve">Federal Register </w:t>
      </w:r>
      <w:r>
        <w:rPr>
          <w:bCs/>
        </w:rPr>
        <w:t xml:space="preserve">notice on </w:t>
      </w:r>
      <w:r w:rsidR="00301434">
        <w:rPr>
          <w:bCs/>
        </w:rPr>
        <w:t>June 23</w:t>
      </w:r>
      <w:r w:rsidR="00922BA6">
        <w:rPr>
          <w:bCs/>
        </w:rPr>
        <w:t>,</w:t>
      </w:r>
      <w:r w:rsidR="009B1BC5">
        <w:rPr>
          <w:bCs/>
        </w:rPr>
        <w:t xml:space="preserve"> 20</w:t>
      </w:r>
      <w:r w:rsidR="00BB31A5">
        <w:rPr>
          <w:bCs/>
        </w:rPr>
        <w:t>2</w:t>
      </w:r>
      <w:r w:rsidR="00B34197">
        <w:rPr>
          <w:bCs/>
        </w:rPr>
        <w:t>5</w:t>
      </w:r>
      <w:r w:rsidR="009B1BC5">
        <w:rPr>
          <w:bCs/>
        </w:rPr>
        <w:t>,</w:t>
      </w:r>
      <w:r w:rsidR="009E7C2D">
        <w:rPr>
          <w:bCs/>
        </w:rPr>
        <w:t xml:space="preserve"> </w:t>
      </w:r>
      <w:r w:rsidR="00A40778">
        <w:rPr>
          <w:bCs/>
        </w:rPr>
        <w:t>90</w:t>
      </w:r>
      <w:r w:rsidR="009E7C2D">
        <w:rPr>
          <w:bCs/>
        </w:rPr>
        <w:t xml:space="preserve"> FR </w:t>
      </w:r>
      <w:r w:rsidR="00301434">
        <w:rPr>
          <w:bCs/>
        </w:rPr>
        <w:t>26677</w:t>
      </w:r>
      <w:r w:rsidR="009B1BC5">
        <w:rPr>
          <w:bCs/>
        </w:rPr>
        <w:t>.</w:t>
      </w:r>
      <w:r w:rsidR="0044411A">
        <w:rPr>
          <w:bCs/>
        </w:rPr>
        <w:t xml:space="preserve">  </w:t>
      </w:r>
      <w:r w:rsidR="00301434">
        <w:rPr>
          <w:bCs/>
        </w:rPr>
        <w:t>No</w:t>
      </w:r>
      <w:r w:rsidR="0044411A">
        <w:rPr>
          <w:bCs/>
        </w:rPr>
        <w:t xml:space="preserve"> comments were received.</w:t>
      </w:r>
      <w:r w:rsidR="00BB31A5">
        <w:rPr>
          <w:bCs/>
        </w:rPr>
        <w:t xml:space="preserve">  </w:t>
      </w:r>
    </w:p>
    <w:bookmarkEnd w:id="0"/>
    <w:p w:rsidR="00081F26" w14:paraId="6E889A85" w14:textId="77777777">
      <w:pPr>
        <w:rPr>
          <w:color w:val="000000"/>
        </w:rPr>
      </w:pPr>
    </w:p>
    <w:p w:rsidR="0051709A" w14:paraId="099CE2EC" w14:textId="77777777">
      <w:pPr>
        <w:pStyle w:val="BodyText"/>
        <w:rPr>
          <w:b/>
          <w:bCs/>
          <w:color w:val="000000"/>
        </w:rPr>
      </w:pPr>
      <w:r>
        <w:rPr>
          <w:b/>
          <w:bCs/>
          <w:color w:val="000000"/>
        </w:rPr>
        <w:t>9.  Payment or gift to respondents:</w:t>
      </w:r>
    </w:p>
    <w:p w:rsidR="0051709A" w14:paraId="62BA1BEC" w14:textId="77777777">
      <w:pPr>
        <w:rPr>
          <w:color w:val="000000"/>
        </w:rPr>
      </w:pPr>
    </w:p>
    <w:p w:rsidR="0051709A" w:rsidP="000429F8" w14:paraId="18CE22AD" w14:textId="0EFE9134">
      <w:pPr>
        <w:ind w:firstLine="720"/>
        <w:rPr>
          <w:color w:val="000000"/>
        </w:rPr>
      </w:pPr>
      <w:r>
        <w:rPr>
          <w:color w:val="000000"/>
        </w:rPr>
        <w:t>Not applicable. There is no payment to respondents.</w:t>
      </w:r>
    </w:p>
    <w:p w:rsidR="0051709A" w14:paraId="3714F694" w14:textId="77777777">
      <w:pPr>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P="000429F8" w14:paraId="5EA84D15" w14:textId="3BA0F4AE">
      <w:pPr>
        <w:ind w:firstLine="720"/>
        <w:rPr>
          <w:color w:val="000000"/>
        </w:rPr>
      </w:pPr>
      <w:r>
        <w:rPr>
          <w:color w:val="000000"/>
        </w:rPr>
        <w:t>No assurances of confidentiality are made</w:t>
      </w:r>
      <w:r>
        <w:rPr>
          <w:color w:val="000000"/>
        </w:rPr>
        <w:t>.</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9A271C" w:rsidP="000429F8" w14:paraId="29F6ED35" w14:textId="1718FC33">
      <w:pPr>
        <w:ind w:firstLine="720"/>
        <w:rPr>
          <w:color w:val="000000"/>
        </w:rPr>
      </w:pPr>
      <w:r>
        <w:rPr>
          <w:color w:val="000000"/>
        </w:rPr>
        <w:t>Not applicable</w:t>
      </w:r>
      <w:r w:rsidR="0051709A">
        <w:rPr>
          <w:color w:val="000000"/>
        </w:rPr>
        <w:t>.</w:t>
      </w:r>
    </w:p>
    <w:p w:rsidR="001C6B5A" w:rsidP="009A271C" w14:paraId="00F6DB41" w14:textId="77777777">
      <w:pPr>
        <w:rPr>
          <w:b/>
          <w:i/>
        </w:rPr>
      </w:pPr>
    </w:p>
    <w:p w:rsidR="0051709A" w:rsidRPr="009A271C" w:rsidP="009A271C" w14:paraId="19460DA7" w14:textId="77777777">
      <w:pPr>
        <w:rPr>
          <w:b/>
          <w:i/>
          <w:color w:val="000000"/>
        </w:rPr>
      </w:pPr>
      <w:r w:rsidRPr="009A271C">
        <w:rPr>
          <w:b/>
          <w:i/>
        </w:rPr>
        <w:t>12.  Burden estimate:</w:t>
      </w:r>
    </w:p>
    <w:p w:rsidR="00BF285A" w14:paraId="2318BABB" w14:textId="0D243B22">
      <w:pPr>
        <w:pStyle w:val="BodyText"/>
        <w:rPr>
          <w:b/>
          <w:bCs/>
          <w:color w:val="000000"/>
        </w:rPr>
      </w:pPr>
    </w:p>
    <w:tbl>
      <w:tblPr>
        <w:tblStyle w:val="TableGrid"/>
        <w:tblW w:w="0" w:type="auto"/>
        <w:tblLook w:val="04A0"/>
      </w:tblPr>
      <w:tblGrid>
        <w:gridCol w:w="1939"/>
        <w:gridCol w:w="1669"/>
        <w:gridCol w:w="1839"/>
        <w:gridCol w:w="1430"/>
        <w:gridCol w:w="1291"/>
        <w:gridCol w:w="1182"/>
      </w:tblGrid>
      <w:tr w14:paraId="0E688063" w14:textId="77777777" w:rsidTr="00D74E05">
        <w:tblPrEx>
          <w:tblW w:w="0" w:type="auto"/>
          <w:tblLook w:val="04A0"/>
        </w:tblPrEx>
        <w:tc>
          <w:tcPr>
            <w:tcW w:w="1976" w:type="dxa"/>
          </w:tcPr>
          <w:p w:rsidR="00B46027" w:rsidRPr="001E0A4C" w:rsidP="00B46027" w14:paraId="32B7CA73" w14:textId="004CDDCC">
            <w:pPr>
              <w:pStyle w:val="BodyText"/>
              <w:jc w:val="center"/>
              <w:rPr>
                <w:b/>
                <w:i w:val="0"/>
                <w:color w:val="000000"/>
              </w:rPr>
            </w:pPr>
            <w:r>
              <w:rPr>
                <w:b/>
                <w:i w:val="0"/>
                <w:color w:val="000000"/>
              </w:rPr>
              <w:t>Requirement</w:t>
            </w:r>
          </w:p>
        </w:tc>
        <w:tc>
          <w:tcPr>
            <w:tcW w:w="1669" w:type="dxa"/>
          </w:tcPr>
          <w:p w:rsidR="00B46027" w:rsidRPr="001E0A4C" w:rsidP="00B46027" w14:paraId="4FDE6F86" w14:textId="30F1BC88">
            <w:pPr>
              <w:pStyle w:val="BodyText"/>
              <w:jc w:val="center"/>
              <w:rPr>
                <w:b/>
                <w:i w:val="0"/>
                <w:color w:val="000000"/>
              </w:rPr>
            </w:pPr>
            <w:r>
              <w:rPr>
                <w:b/>
                <w:i w:val="0"/>
                <w:color w:val="000000"/>
              </w:rPr>
              <w:t>Type of Burden</w:t>
            </w:r>
          </w:p>
        </w:tc>
        <w:tc>
          <w:tcPr>
            <w:tcW w:w="1869" w:type="dxa"/>
          </w:tcPr>
          <w:p w:rsidR="00B46027" w:rsidRPr="001E0A4C" w:rsidP="00B46027" w14:paraId="2369480A" w14:textId="5791BD3E">
            <w:pPr>
              <w:pStyle w:val="BodyText"/>
              <w:jc w:val="center"/>
              <w:rPr>
                <w:b/>
                <w:i w:val="0"/>
                <w:color w:val="000000"/>
              </w:rPr>
            </w:pPr>
            <w:r>
              <w:rPr>
                <w:b/>
                <w:i w:val="0"/>
                <w:color w:val="000000"/>
              </w:rPr>
              <w:t>Number of Respondent</w:t>
            </w:r>
            <w:r w:rsidR="00A40778">
              <w:rPr>
                <w:b/>
                <w:i w:val="0"/>
                <w:color w:val="000000"/>
              </w:rPr>
              <w:t>s</w:t>
            </w:r>
            <w:r>
              <w:rPr>
                <w:b/>
                <w:i w:val="0"/>
                <w:color w:val="000000"/>
              </w:rPr>
              <w:t>*</w:t>
            </w:r>
          </w:p>
        </w:tc>
        <w:tc>
          <w:tcPr>
            <w:tcW w:w="1295" w:type="dxa"/>
          </w:tcPr>
          <w:p w:rsidR="00B46027" w:rsidP="00B46027" w14:paraId="00A0984B" w14:textId="6A3A3380">
            <w:pPr>
              <w:pStyle w:val="BodyText"/>
              <w:jc w:val="center"/>
              <w:rPr>
                <w:b/>
                <w:i w:val="0"/>
                <w:color w:val="000000"/>
              </w:rPr>
            </w:pPr>
            <w:r>
              <w:rPr>
                <w:b/>
                <w:i w:val="0"/>
                <w:color w:val="000000"/>
              </w:rPr>
              <w:t>Responses</w:t>
            </w:r>
          </w:p>
          <w:p w:rsidR="00A40778" w:rsidRPr="001E0A4C" w:rsidP="00B46027" w14:paraId="18FD71BD" w14:textId="489EC6F8">
            <w:pPr>
              <w:pStyle w:val="BodyText"/>
              <w:jc w:val="center"/>
              <w:rPr>
                <w:b/>
                <w:i w:val="0"/>
                <w:color w:val="000000"/>
              </w:rPr>
            </w:pPr>
            <w:r>
              <w:rPr>
                <w:b/>
                <w:i w:val="0"/>
                <w:color w:val="000000"/>
              </w:rPr>
              <w:t>Per Respondent</w:t>
            </w:r>
          </w:p>
        </w:tc>
        <w:tc>
          <w:tcPr>
            <w:tcW w:w="1309" w:type="dxa"/>
          </w:tcPr>
          <w:p w:rsidR="00B46027" w:rsidRPr="00B46027" w:rsidP="00B46027" w14:paraId="4E012BC9" w14:textId="55B75366">
            <w:pPr>
              <w:pStyle w:val="BodyText"/>
              <w:jc w:val="center"/>
              <w:rPr>
                <w:b/>
                <w:i w:val="0"/>
                <w:color w:val="000000"/>
              </w:rPr>
            </w:pPr>
            <w:r>
              <w:rPr>
                <w:b/>
                <w:i w:val="0"/>
                <w:color w:val="000000"/>
              </w:rPr>
              <w:t>Burden per Response</w:t>
            </w:r>
          </w:p>
        </w:tc>
        <w:tc>
          <w:tcPr>
            <w:tcW w:w="1232" w:type="dxa"/>
          </w:tcPr>
          <w:p w:rsidR="00B46027" w:rsidP="00B46027" w14:paraId="3AEC6427" w14:textId="77777777">
            <w:pPr>
              <w:pStyle w:val="BodyText"/>
              <w:jc w:val="center"/>
              <w:rPr>
                <w:b/>
                <w:i w:val="0"/>
                <w:color w:val="000000"/>
              </w:rPr>
            </w:pPr>
            <w:r>
              <w:rPr>
                <w:b/>
                <w:i w:val="0"/>
                <w:color w:val="000000"/>
              </w:rPr>
              <w:t>Total</w:t>
            </w:r>
          </w:p>
          <w:p w:rsidR="00A40778" w:rsidP="00B46027" w14:paraId="1DF9ACD7" w14:textId="7965034C">
            <w:pPr>
              <w:pStyle w:val="BodyText"/>
              <w:jc w:val="center"/>
              <w:rPr>
                <w:bCs/>
                <w:i w:val="0"/>
                <w:color w:val="000000"/>
              </w:rPr>
            </w:pPr>
            <w:r>
              <w:rPr>
                <w:b/>
                <w:bCs/>
                <w:i w:val="0"/>
                <w:color w:val="000000"/>
              </w:rPr>
              <w:t>Hours</w:t>
            </w:r>
          </w:p>
        </w:tc>
      </w:tr>
      <w:tr w14:paraId="5D518672" w14:textId="77777777" w:rsidTr="00D74E05">
        <w:tblPrEx>
          <w:tblW w:w="0" w:type="auto"/>
          <w:tblLook w:val="04A0"/>
        </w:tblPrEx>
        <w:tc>
          <w:tcPr>
            <w:tcW w:w="1976" w:type="dxa"/>
          </w:tcPr>
          <w:p w:rsidR="00B46027" w:rsidP="00B46027" w14:paraId="5A1205FE" w14:textId="6D3AD919">
            <w:pPr>
              <w:pStyle w:val="BodyText"/>
              <w:rPr>
                <w:bCs/>
                <w:i w:val="0"/>
                <w:color w:val="000000"/>
              </w:rPr>
            </w:pPr>
            <w:r>
              <w:rPr>
                <w:bCs/>
                <w:i w:val="0"/>
                <w:color w:val="000000"/>
              </w:rPr>
              <w:t>Asset Securitization Policy</w:t>
            </w:r>
          </w:p>
        </w:tc>
        <w:tc>
          <w:tcPr>
            <w:tcW w:w="1669" w:type="dxa"/>
          </w:tcPr>
          <w:p w:rsidR="00B46027" w:rsidP="00B46027" w14:paraId="007CCBAD" w14:textId="366610BC">
            <w:pPr>
              <w:pStyle w:val="BodyText"/>
              <w:rPr>
                <w:bCs/>
                <w:i w:val="0"/>
                <w:color w:val="000000"/>
              </w:rPr>
            </w:pPr>
            <w:r>
              <w:rPr>
                <w:bCs/>
                <w:i w:val="0"/>
                <w:color w:val="000000"/>
              </w:rPr>
              <w:t>Recordkeeping</w:t>
            </w:r>
          </w:p>
        </w:tc>
        <w:tc>
          <w:tcPr>
            <w:tcW w:w="1869" w:type="dxa"/>
          </w:tcPr>
          <w:p w:rsidR="00B46027" w:rsidP="00212924" w14:paraId="7D3CA1E1" w14:textId="77777777">
            <w:pPr>
              <w:pStyle w:val="BodyText"/>
              <w:jc w:val="center"/>
              <w:rPr>
                <w:bCs/>
                <w:i w:val="0"/>
                <w:color w:val="000000"/>
              </w:rPr>
            </w:pPr>
            <w:r>
              <w:rPr>
                <w:bCs/>
                <w:i w:val="0"/>
                <w:color w:val="000000"/>
              </w:rPr>
              <w:t>35</w:t>
            </w:r>
          </w:p>
          <w:p w:rsidR="002A14DF" w:rsidP="00212924" w14:paraId="4E9E5CA0" w14:textId="1F35859C">
            <w:pPr>
              <w:pStyle w:val="BodyText"/>
              <w:jc w:val="center"/>
              <w:rPr>
                <w:bCs/>
                <w:i w:val="0"/>
                <w:color w:val="000000"/>
              </w:rPr>
            </w:pPr>
          </w:p>
        </w:tc>
        <w:tc>
          <w:tcPr>
            <w:tcW w:w="1295" w:type="dxa"/>
          </w:tcPr>
          <w:p w:rsidR="00B46027" w:rsidP="00212924" w14:paraId="2C54497C" w14:textId="1EDCD761">
            <w:pPr>
              <w:pStyle w:val="BodyText"/>
              <w:jc w:val="center"/>
              <w:rPr>
                <w:bCs/>
                <w:i w:val="0"/>
                <w:color w:val="000000"/>
              </w:rPr>
            </w:pPr>
            <w:r>
              <w:rPr>
                <w:bCs/>
                <w:i w:val="0"/>
                <w:color w:val="000000"/>
              </w:rPr>
              <w:t>1</w:t>
            </w:r>
          </w:p>
        </w:tc>
        <w:tc>
          <w:tcPr>
            <w:tcW w:w="1309" w:type="dxa"/>
          </w:tcPr>
          <w:p w:rsidR="00B46027" w:rsidP="00212924" w14:paraId="3893D371" w14:textId="3994DAC8">
            <w:pPr>
              <w:pStyle w:val="BodyText"/>
              <w:jc w:val="center"/>
              <w:rPr>
                <w:bCs/>
                <w:i w:val="0"/>
                <w:color w:val="000000"/>
              </w:rPr>
            </w:pPr>
            <w:r>
              <w:rPr>
                <w:bCs/>
                <w:i w:val="0"/>
                <w:color w:val="000000"/>
              </w:rPr>
              <w:t>4.5</w:t>
            </w:r>
          </w:p>
        </w:tc>
        <w:tc>
          <w:tcPr>
            <w:tcW w:w="1232" w:type="dxa"/>
          </w:tcPr>
          <w:p w:rsidR="00B46027" w:rsidP="00212924" w14:paraId="1A237523" w14:textId="1D84A7FE">
            <w:pPr>
              <w:pStyle w:val="BodyText"/>
              <w:jc w:val="center"/>
              <w:rPr>
                <w:bCs/>
                <w:i w:val="0"/>
                <w:color w:val="000000"/>
              </w:rPr>
            </w:pPr>
            <w:r>
              <w:rPr>
                <w:bCs/>
                <w:i w:val="0"/>
                <w:color w:val="000000"/>
              </w:rPr>
              <w:t>158</w:t>
            </w:r>
          </w:p>
        </w:tc>
      </w:tr>
      <w:tr w14:paraId="706758CF" w14:textId="77777777" w:rsidTr="00D74E05">
        <w:tblPrEx>
          <w:tblW w:w="0" w:type="auto"/>
          <w:tblLook w:val="04A0"/>
        </w:tblPrEx>
        <w:tc>
          <w:tcPr>
            <w:tcW w:w="1976" w:type="dxa"/>
          </w:tcPr>
          <w:p w:rsidR="00B46027" w:rsidP="00B46027" w14:paraId="1B9FAF3D" w14:textId="5F6EBF8C">
            <w:pPr>
              <w:pStyle w:val="BodyText"/>
              <w:rPr>
                <w:bCs/>
                <w:i w:val="0"/>
                <w:color w:val="000000"/>
              </w:rPr>
            </w:pPr>
            <w:r>
              <w:rPr>
                <w:bCs/>
                <w:i w:val="0"/>
                <w:color w:val="000000"/>
              </w:rPr>
              <w:t>Documentation of Fair Value</w:t>
            </w:r>
          </w:p>
        </w:tc>
        <w:tc>
          <w:tcPr>
            <w:tcW w:w="1669" w:type="dxa"/>
          </w:tcPr>
          <w:p w:rsidR="00B46027" w:rsidP="00B46027" w14:paraId="5812793F" w14:textId="7CF8E077">
            <w:pPr>
              <w:pStyle w:val="BodyText"/>
              <w:rPr>
                <w:bCs/>
                <w:i w:val="0"/>
                <w:color w:val="000000"/>
              </w:rPr>
            </w:pPr>
            <w:r>
              <w:rPr>
                <w:bCs/>
                <w:i w:val="0"/>
                <w:color w:val="000000"/>
              </w:rPr>
              <w:t>Recordkeeping</w:t>
            </w:r>
          </w:p>
        </w:tc>
        <w:tc>
          <w:tcPr>
            <w:tcW w:w="1869" w:type="dxa"/>
          </w:tcPr>
          <w:p w:rsidR="00B46027" w:rsidP="00212924" w14:paraId="57C247AB" w14:textId="14393380">
            <w:pPr>
              <w:pStyle w:val="BodyText"/>
              <w:jc w:val="center"/>
              <w:rPr>
                <w:bCs/>
                <w:i w:val="0"/>
                <w:color w:val="000000"/>
              </w:rPr>
            </w:pPr>
            <w:r>
              <w:rPr>
                <w:bCs/>
                <w:i w:val="0"/>
                <w:color w:val="000000"/>
              </w:rPr>
              <w:t>35</w:t>
            </w:r>
          </w:p>
        </w:tc>
        <w:tc>
          <w:tcPr>
            <w:tcW w:w="1295" w:type="dxa"/>
          </w:tcPr>
          <w:p w:rsidR="00B46027" w:rsidP="00212924" w14:paraId="53444688" w14:textId="0031C42E">
            <w:pPr>
              <w:pStyle w:val="BodyText"/>
              <w:jc w:val="center"/>
              <w:rPr>
                <w:bCs/>
                <w:i w:val="0"/>
                <w:color w:val="000000"/>
              </w:rPr>
            </w:pPr>
            <w:r>
              <w:rPr>
                <w:bCs/>
                <w:i w:val="0"/>
                <w:color w:val="000000"/>
              </w:rPr>
              <w:t>166</w:t>
            </w:r>
          </w:p>
        </w:tc>
        <w:tc>
          <w:tcPr>
            <w:tcW w:w="1309" w:type="dxa"/>
          </w:tcPr>
          <w:p w:rsidR="00B46027" w:rsidP="00212924" w14:paraId="7D52C052" w14:textId="19643F9B">
            <w:pPr>
              <w:pStyle w:val="BodyText"/>
              <w:jc w:val="center"/>
              <w:rPr>
                <w:bCs/>
                <w:i w:val="0"/>
                <w:color w:val="000000"/>
              </w:rPr>
            </w:pPr>
            <w:r>
              <w:rPr>
                <w:bCs/>
                <w:i w:val="0"/>
                <w:color w:val="000000"/>
              </w:rPr>
              <w:t>0.25</w:t>
            </w:r>
          </w:p>
        </w:tc>
        <w:tc>
          <w:tcPr>
            <w:tcW w:w="1232" w:type="dxa"/>
          </w:tcPr>
          <w:p w:rsidR="00B46027" w:rsidP="00212924" w14:paraId="6AA8FFB9" w14:textId="0594DF73">
            <w:pPr>
              <w:pStyle w:val="BodyText"/>
              <w:jc w:val="center"/>
              <w:rPr>
                <w:bCs/>
                <w:i w:val="0"/>
                <w:color w:val="000000"/>
              </w:rPr>
            </w:pPr>
            <w:r>
              <w:rPr>
                <w:bCs/>
                <w:i w:val="0"/>
                <w:color w:val="000000"/>
              </w:rPr>
              <w:t>1,453</w:t>
            </w:r>
          </w:p>
        </w:tc>
      </w:tr>
      <w:tr w14:paraId="7B4B4285" w14:textId="77777777" w:rsidTr="00D74E05">
        <w:tblPrEx>
          <w:tblW w:w="0" w:type="auto"/>
          <w:tblLook w:val="04A0"/>
        </w:tblPrEx>
        <w:tc>
          <w:tcPr>
            <w:tcW w:w="1976" w:type="dxa"/>
          </w:tcPr>
          <w:p w:rsidR="00B46027" w:rsidP="00B46027" w14:paraId="47C70006" w14:textId="3BDBA8AB">
            <w:pPr>
              <w:pStyle w:val="BodyText"/>
              <w:rPr>
                <w:bCs/>
                <w:i w:val="0"/>
                <w:color w:val="000000"/>
              </w:rPr>
            </w:pPr>
            <w:r>
              <w:rPr>
                <w:bCs/>
                <w:i w:val="0"/>
                <w:color w:val="000000"/>
              </w:rPr>
              <w:t>Information System Upgrades</w:t>
            </w:r>
          </w:p>
        </w:tc>
        <w:tc>
          <w:tcPr>
            <w:tcW w:w="1669" w:type="dxa"/>
          </w:tcPr>
          <w:p w:rsidR="00B46027" w:rsidP="00B46027" w14:paraId="3858C5B7" w14:textId="1B7EF317">
            <w:pPr>
              <w:pStyle w:val="BodyText"/>
              <w:rPr>
                <w:bCs/>
                <w:i w:val="0"/>
                <w:color w:val="000000"/>
              </w:rPr>
            </w:pPr>
            <w:r>
              <w:rPr>
                <w:bCs/>
                <w:i w:val="0"/>
                <w:color w:val="000000"/>
              </w:rPr>
              <w:t>Recordkeeping</w:t>
            </w:r>
          </w:p>
        </w:tc>
        <w:tc>
          <w:tcPr>
            <w:tcW w:w="1869" w:type="dxa"/>
          </w:tcPr>
          <w:p w:rsidR="00B46027" w:rsidP="00212924" w14:paraId="40A5C7A9" w14:textId="138C0633">
            <w:pPr>
              <w:pStyle w:val="BodyText"/>
              <w:jc w:val="center"/>
              <w:rPr>
                <w:bCs/>
                <w:i w:val="0"/>
                <w:color w:val="000000"/>
              </w:rPr>
            </w:pPr>
            <w:r>
              <w:rPr>
                <w:bCs/>
                <w:i w:val="0"/>
                <w:color w:val="000000"/>
              </w:rPr>
              <w:t>35</w:t>
            </w:r>
          </w:p>
        </w:tc>
        <w:tc>
          <w:tcPr>
            <w:tcW w:w="1295" w:type="dxa"/>
          </w:tcPr>
          <w:p w:rsidR="00B46027" w:rsidP="00212924" w14:paraId="32E9717E" w14:textId="103FC765">
            <w:pPr>
              <w:pStyle w:val="BodyText"/>
              <w:jc w:val="center"/>
              <w:rPr>
                <w:bCs/>
                <w:i w:val="0"/>
                <w:color w:val="000000"/>
              </w:rPr>
            </w:pPr>
            <w:r>
              <w:rPr>
                <w:bCs/>
                <w:i w:val="0"/>
                <w:color w:val="000000"/>
              </w:rPr>
              <w:t>1</w:t>
            </w:r>
          </w:p>
        </w:tc>
        <w:tc>
          <w:tcPr>
            <w:tcW w:w="1309" w:type="dxa"/>
          </w:tcPr>
          <w:p w:rsidR="00B46027" w:rsidP="00212924" w14:paraId="40B3B31C" w14:textId="6821F250">
            <w:pPr>
              <w:pStyle w:val="BodyText"/>
              <w:jc w:val="center"/>
              <w:rPr>
                <w:bCs/>
                <w:i w:val="0"/>
                <w:color w:val="000000"/>
              </w:rPr>
            </w:pPr>
            <w:r>
              <w:rPr>
                <w:bCs/>
                <w:i w:val="0"/>
                <w:color w:val="000000"/>
              </w:rPr>
              <w:t>6.2</w:t>
            </w:r>
          </w:p>
        </w:tc>
        <w:tc>
          <w:tcPr>
            <w:tcW w:w="1232" w:type="dxa"/>
          </w:tcPr>
          <w:p w:rsidR="00B46027" w:rsidP="00212924" w14:paraId="48EB05D3" w14:textId="69C40987">
            <w:pPr>
              <w:pStyle w:val="BodyText"/>
              <w:jc w:val="center"/>
              <w:rPr>
                <w:bCs/>
                <w:i w:val="0"/>
                <w:color w:val="000000"/>
              </w:rPr>
            </w:pPr>
            <w:r>
              <w:rPr>
                <w:bCs/>
                <w:i w:val="0"/>
                <w:color w:val="000000"/>
              </w:rPr>
              <w:t>217</w:t>
            </w:r>
          </w:p>
        </w:tc>
      </w:tr>
      <w:tr w14:paraId="237F87E0" w14:textId="77777777" w:rsidTr="00D74E05">
        <w:tblPrEx>
          <w:tblW w:w="0" w:type="auto"/>
          <w:tblLook w:val="04A0"/>
        </w:tblPrEx>
        <w:tc>
          <w:tcPr>
            <w:tcW w:w="1976" w:type="dxa"/>
          </w:tcPr>
          <w:p w:rsidR="00B46027" w:rsidRPr="00212924" w:rsidP="00B46027" w14:paraId="1143E47A" w14:textId="52CCAF83">
            <w:pPr>
              <w:pStyle w:val="BodyText"/>
              <w:rPr>
                <w:b/>
                <w:i w:val="0"/>
                <w:color w:val="000000"/>
              </w:rPr>
            </w:pPr>
            <w:r w:rsidRPr="00212924">
              <w:rPr>
                <w:b/>
                <w:i w:val="0"/>
                <w:color w:val="000000"/>
              </w:rPr>
              <w:t>Total</w:t>
            </w:r>
          </w:p>
        </w:tc>
        <w:tc>
          <w:tcPr>
            <w:tcW w:w="1669" w:type="dxa"/>
          </w:tcPr>
          <w:p w:rsidR="00B46027" w:rsidRPr="00212924" w:rsidP="00B46027" w14:paraId="74A0CF0B" w14:textId="77777777">
            <w:pPr>
              <w:pStyle w:val="BodyText"/>
              <w:rPr>
                <w:b/>
                <w:i w:val="0"/>
                <w:color w:val="000000"/>
              </w:rPr>
            </w:pPr>
          </w:p>
        </w:tc>
        <w:tc>
          <w:tcPr>
            <w:tcW w:w="1869" w:type="dxa"/>
          </w:tcPr>
          <w:p w:rsidR="00B46027" w:rsidRPr="00212924" w:rsidP="00212924" w14:paraId="5833D813" w14:textId="77777777">
            <w:pPr>
              <w:pStyle w:val="BodyText"/>
              <w:jc w:val="center"/>
              <w:rPr>
                <w:b/>
                <w:i w:val="0"/>
                <w:color w:val="000000"/>
              </w:rPr>
            </w:pPr>
          </w:p>
        </w:tc>
        <w:tc>
          <w:tcPr>
            <w:tcW w:w="1295" w:type="dxa"/>
          </w:tcPr>
          <w:p w:rsidR="00B46027" w:rsidRPr="00212924" w:rsidP="00212924" w14:paraId="57F52D23" w14:textId="5E45EBF8">
            <w:pPr>
              <w:pStyle w:val="BodyText"/>
              <w:jc w:val="center"/>
              <w:rPr>
                <w:b/>
                <w:i w:val="0"/>
                <w:color w:val="000000"/>
              </w:rPr>
            </w:pPr>
            <w:r w:rsidRPr="00212924">
              <w:rPr>
                <w:b/>
                <w:i w:val="0"/>
                <w:color w:val="000000"/>
              </w:rPr>
              <w:t>168</w:t>
            </w:r>
          </w:p>
        </w:tc>
        <w:tc>
          <w:tcPr>
            <w:tcW w:w="1309" w:type="dxa"/>
          </w:tcPr>
          <w:p w:rsidR="00B46027" w:rsidRPr="00212924" w:rsidP="00212924" w14:paraId="73D1888E" w14:textId="77777777">
            <w:pPr>
              <w:pStyle w:val="BodyText"/>
              <w:jc w:val="center"/>
              <w:rPr>
                <w:b/>
                <w:i w:val="0"/>
                <w:color w:val="000000"/>
              </w:rPr>
            </w:pPr>
          </w:p>
        </w:tc>
        <w:tc>
          <w:tcPr>
            <w:tcW w:w="1232" w:type="dxa"/>
          </w:tcPr>
          <w:p w:rsidR="00B46027" w:rsidRPr="00212924" w:rsidP="00212924" w14:paraId="48709E8E" w14:textId="372C4AC8">
            <w:pPr>
              <w:pStyle w:val="BodyText"/>
              <w:jc w:val="center"/>
              <w:rPr>
                <w:b/>
                <w:i w:val="0"/>
                <w:color w:val="000000"/>
              </w:rPr>
            </w:pPr>
            <w:r w:rsidRPr="00212924">
              <w:rPr>
                <w:b/>
                <w:i w:val="0"/>
                <w:color w:val="000000"/>
              </w:rPr>
              <w:t>1,828</w:t>
            </w:r>
          </w:p>
        </w:tc>
      </w:tr>
    </w:tbl>
    <w:p w:rsidR="004C68D2" w:rsidRPr="00BB31A5" w14:paraId="368AD7F3" w14:textId="29B73845">
      <w:pPr>
        <w:pStyle w:val="BodyText"/>
        <w:rPr>
          <w:bCs/>
          <w:i w:val="0"/>
          <w:color w:val="000000"/>
        </w:rPr>
      </w:pPr>
      <w:r w:rsidRPr="00FD1626">
        <w:rPr>
          <w:bCs/>
          <w:i w:val="0"/>
          <w:color w:val="000000"/>
          <w:sz w:val="20"/>
        </w:rPr>
        <w:t>* Approximately 35 national banks and savings associations are involved in asset securitization activities.</w:t>
      </w:r>
    </w:p>
    <w:p w:rsidR="00A40778" w14:paraId="08671E70" w14:textId="77777777">
      <w:pPr>
        <w:pStyle w:val="BodyText"/>
        <w:rPr>
          <w:b/>
          <w:bCs/>
          <w:i w:val="0"/>
          <w:color w:val="000000"/>
        </w:rPr>
      </w:pPr>
    </w:p>
    <w:p w:rsidR="00A40778" w:rsidRPr="00212924" w:rsidP="00A40778" w14:paraId="236CC7A6" w14:textId="702AC882">
      <w:pPr>
        <w:pStyle w:val="BodyText"/>
        <w:rPr>
          <w:i w:val="0"/>
          <w:color w:val="000000"/>
        </w:rPr>
      </w:pPr>
      <w:r w:rsidRPr="00212924">
        <w:rPr>
          <w:i w:val="0"/>
          <w:color w:val="000000"/>
        </w:rPr>
        <w:t>Estimated Total Annual Responses:  35 respondents  x 168 responses = 5,880</w:t>
      </w:r>
      <w:r>
        <w:rPr>
          <w:i w:val="0"/>
          <w:color w:val="000000"/>
        </w:rPr>
        <w:t xml:space="preserve"> responses</w:t>
      </w:r>
      <w:r w:rsidRPr="00212924">
        <w:rPr>
          <w:i w:val="0"/>
          <w:color w:val="000000"/>
        </w:rPr>
        <w:t>.</w:t>
      </w:r>
    </w:p>
    <w:p w:rsidR="00A40778" w:rsidRPr="00212924" w:rsidP="00A40778" w14:paraId="5C119F19" w14:textId="67DAD471">
      <w:pPr>
        <w:pStyle w:val="BodyText"/>
        <w:rPr>
          <w:i w:val="0"/>
          <w:color w:val="000000"/>
        </w:rPr>
      </w:pPr>
      <w:r w:rsidRPr="00212924">
        <w:rPr>
          <w:i w:val="0"/>
          <w:color w:val="000000"/>
        </w:rPr>
        <w:t>Estimated Total Annual Burden Hours:  158 + 1,453 + 217 = 1,828</w:t>
      </w:r>
      <w:r>
        <w:rPr>
          <w:i w:val="0"/>
          <w:color w:val="000000"/>
        </w:rPr>
        <w:t xml:space="preserve"> hours</w:t>
      </w:r>
      <w:r w:rsidRPr="00212924">
        <w:rPr>
          <w:i w:val="0"/>
          <w:color w:val="000000"/>
        </w:rPr>
        <w:t>.</w:t>
      </w:r>
    </w:p>
    <w:p w:rsidR="00A40778" w14:paraId="7C500306" w14:textId="77777777">
      <w:pPr>
        <w:pStyle w:val="BodyText"/>
        <w:rPr>
          <w:b/>
          <w:bCs/>
          <w:i w:val="0"/>
          <w:color w:val="000000"/>
        </w:rPr>
      </w:pPr>
    </w:p>
    <w:p w:rsidR="000A4144" w14:paraId="06C06736" w14:textId="2A403578">
      <w:pPr>
        <w:pStyle w:val="BodyText"/>
        <w:rPr>
          <w:b/>
          <w:bCs/>
          <w:i w:val="0"/>
          <w:color w:val="000000"/>
        </w:rPr>
      </w:pPr>
      <w:r>
        <w:rPr>
          <w:b/>
          <w:bCs/>
          <w:i w:val="0"/>
          <w:color w:val="000000"/>
        </w:rPr>
        <w:t>Cost of Hour Burden</w:t>
      </w:r>
    </w:p>
    <w:p w:rsidR="000A4144" w14:paraId="1E443CD7" w14:textId="77777777">
      <w:pPr>
        <w:pStyle w:val="BodyText"/>
        <w:rPr>
          <w:b/>
          <w:bCs/>
          <w:i w:val="0"/>
          <w:color w:val="000000"/>
        </w:rPr>
      </w:pPr>
    </w:p>
    <w:p w:rsidR="000A4144" w14:paraId="3ADEBCC0" w14:textId="560302CC">
      <w:pPr>
        <w:pStyle w:val="BodyText"/>
        <w:rPr>
          <w:b/>
          <w:bCs/>
          <w:i w:val="0"/>
          <w:color w:val="000000"/>
        </w:rPr>
      </w:pPr>
      <w:r>
        <w:rPr>
          <w:b/>
          <w:bCs/>
          <w:i w:val="0"/>
          <w:color w:val="000000"/>
        </w:rPr>
        <w:t>1</w:t>
      </w:r>
      <w:r w:rsidR="00390FE5">
        <w:rPr>
          <w:b/>
          <w:bCs/>
          <w:i w:val="0"/>
          <w:color w:val="000000"/>
        </w:rPr>
        <w:t>,828</w:t>
      </w:r>
      <w:r w:rsidR="00641631">
        <w:rPr>
          <w:b/>
          <w:bCs/>
          <w:i w:val="0"/>
          <w:color w:val="000000"/>
        </w:rPr>
        <w:t xml:space="preserve"> </w:t>
      </w:r>
      <w:r w:rsidR="009B1BC5">
        <w:rPr>
          <w:b/>
          <w:bCs/>
          <w:i w:val="0"/>
          <w:color w:val="000000"/>
        </w:rPr>
        <w:t>hours x $1</w:t>
      </w:r>
      <w:r w:rsidR="00C373C7">
        <w:rPr>
          <w:b/>
          <w:bCs/>
          <w:i w:val="0"/>
          <w:color w:val="000000"/>
        </w:rPr>
        <w:t>31</w:t>
      </w:r>
      <w:r w:rsidR="00FA53CB">
        <w:rPr>
          <w:b/>
          <w:bCs/>
          <w:i w:val="0"/>
          <w:color w:val="000000"/>
        </w:rPr>
        <w:t>.10</w:t>
      </w:r>
      <w:r>
        <w:rPr>
          <w:b/>
          <w:bCs/>
          <w:i w:val="0"/>
          <w:color w:val="000000"/>
        </w:rPr>
        <w:t xml:space="preserve"> = </w:t>
      </w:r>
      <w:r w:rsidR="00CB0CE4">
        <w:rPr>
          <w:b/>
          <w:bCs/>
          <w:i w:val="0"/>
          <w:color w:val="000000"/>
        </w:rPr>
        <w:t>$</w:t>
      </w:r>
      <w:r w:rsidR="00FA53CB">
        <w:rPr>
          <w:b/>
          <w:bCs/>
          <w:i w:val="0"/>
          <w:color w:val="000000"/>
        </w:rPr>
        <w:t>239</w:t>
      </w:r>
      <w:r w:rsidR="007F6138">
        <w:rPr>
          <w:b/>
          <w:bCs/>
          <w:i w:val="0"/>
          <w:color w:val="000000"/>
        </w:rPr>
        <w:t>,650.80</w:t>
      </w:r>
    </w:p>
    <w:p w:rsidR="0046364E" w:rsidP="006C38DE" w14:paraId="2979AE3D" w14:textId="77777777">
      <w:pPr>
        <w:tabs>
          <w:tab w:val="left" w:pos="-1440"/>
        </w:tabs>
        <w:rPr>
          <w:color w:val="000000"/>
        </w:rPr>
      </w:pPr>
    </w:p>
    <w:p w:rsidR="0046364E" w:rsidP="006C38DE" w14:paraId="13E90438" w14:textId="55CB1BB0">
      <w:pPr>
        <w:tabs>
          <w:tab w:val="left" w:pos="-1440"/>
        </w:tabs>
        <w:rPr>
          <w:color w:val="000000"/>
        </w:rPr>
      </w:pPr>
      <w:r>
        <w:rPr>
          <w:color w:val="000000"/>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compensation allocated to benefits as of Q4 2024 for NAICS 522: credit intermediation and related activities).</w:t>
      </w:r>
    </w:p>
    <w:p w:rsidR="000A4144" w:rsidRPr="000A4144" w14:paraId="2B53D781" w14:textId="77777777">
      <w:pPr>
        <w:pStyle w:val="BodyText"/>
        <w:rPr>
          <w:b/>
          <w:bCs/>
          <w:i w:val="0"/>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63F3C165">
      <w:pPr>
        <w:ind w:firstLine="720"/>
        <w:rPr>
          <w:color w:val="000000"/>
        </w:rPr>
      </w:pPr>
      <w:r>
        <w:rPr>
          <w:color w:val="000000"/>
        </w:rPr>
        <w:t>Not applicable</w:t>
      </w:r>
      <w:r>
        <w:rPr>
          <w:color w:val="000000"/>
        </w:rPr>
        <w:t>.</w:t>
      </w:r>
    </w:p>
    <w:p w:rsidR="0051709A" w14:paraId="4B95D352" w14:textId="77777777">
      <w:pPr>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P="00B35C58" w14:paraId="7E8E035F" w14:textId="00EB7C1E">
      <w:pPr>
        <w:ind w:firstLine="720"/>
        <w:rPr>
          <w:color w:val="000000"/>
        </w:rPr>
      </w:pPr>
      <w:r>
        <w:rPr>
          <w:color w:val="000000"/>
        </w:rPr>
        <w:t>No applicable</w:t>
      </w:r>
      <w:r>
        <w:rPr>
          <w:color w:val="000000"/>
        </w:rPr>
        <w:t>.</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D331B3" w14:paraId="58B2E590" w14:textId="5F4CC455">
      <w:pPr>
        <w:pStyle w:val="Footer"/>
        <w:tabs>
          <w:tab w:val="clear" w:pos="4320"/>
          <w:tab w:val="clear" w:pos="8640"/>
        </w:tabs>
        <w:rPr>
          <w:color w:val="000000"/>
        </w:rPr>
      </w:pPr>
      <w:r>
        <w:rPr>
          <w:color w:val="000000"/>
        </w:rPr>
        <w:tab/>
        <w:t>None</w:t>
      </w:r>
      <w:r w:rsidR="00CF7C11">
        <w:rPr>
          <w:color w:val="000000"/>
        </w:rPr>
        <w:t>.</w:t>
      </w:r>
    </w:p>
    <w:p w:rsidR="00D331B3" w14:paraId="621DB674" w14:textId="77777777">
      <w:pPr>
        <w:pStyle w:val="Footer"/>
        <w:tabs>
          <w:tab w:val="clear" w:pos="4320"/>
          <w:tab w:val="clear" w:pos="8640"/>
        </w:tabs>
        <w:rPr>
          <w:color w:val="000000"/>
        </w:rPr>
      </w:pP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1CE5D989">
      <w:pPr>
        <w:ind w:firstLine="720"/>
        <w:rPr>
          <w:color w:val="000000"/>
        </w:rPr>
      </w:pPr>
      <w:r>
        <w:rPr>
          <w:color w:val="000000"/>
        </w:rPr>
        <w:t>Not appliable</w:t>
      </w:r>
      <w:r>
        <w:rPr>
          <w:color w:val="000000"/>
        </w:rPr>
        <w:t>.</w:t>
      </w:r>
    </w:p>
    <w:p w:rsidR="0051709A" w14:paraId="5351924B" w14:textId="77777777">
      <w:pPr>
        <w:rPr>
          <w:color w:val="000000"/>
        </w:rPr>
      </w:pPr>
    </w:p>
    <w:p w:rsidR="0051709A" w14:paraId="7B663803" w14:textId="77777777">
      <w:pPr>
        <w:pStyle w:val="BodyText"/>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06A601E8">
      <w:pPr>
        <w:ind w:firstLine="720"/>
        <w:rPr>
          <w:color w:val="000000"/>
        </w:rPr>
      </w:pPr>
      <w:r>
        <w:rPr>
          <w:color w:val="000000"/>
        </w:rPr>
        <w:t>Not applicable</w:t>
      </w:r>
      <w:r>
        <w:rPr>
          <w:color w:val="000000"/>
        </w:rPr>
        <w:t>.</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B35C58"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6"/>
      <w:footerReference w:type="default" r:id="rId7"/>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4D2C" w14:paraId="48CA08E2" w14:textId="77777777">
      <w:r>
        <w:separator/>
      </w:r>
    </w:p>
  </w:footnote>
  <w:footnote w:type="continuationSeparator" w:id="1">
    <w:p w:rsidR="00294D2C" w14:paraId="30ECF173" w14:textId="77777777">
      <w:r>
        <w:continuationSeparator/>
      </w:r>
    </w:p>
  </w:footnote>
  <w:footnote w:id="2">
    <w:p w:rsidR="001A7E26" w14:paraId="4D9A4EE0" w14:textId="61BBC0B2">
      <w:pPr>
        <w:pStyle w:val="FootnoteText"/>
      </w:pPr>
      <w:r w:rsidRPr="008B1D3D">
        <w:rPr>
          <w:rStyle w:val="FootnoteReference"/>
        </w:rPr>
        <w:footnoteRef/>
      </w:r>
      <w:r w:rsidRPr="008B1D3D">
        <w:t xml:space="preserve"> A copy of the guidance is </w:t>
      </w:r>
      <w:r w:rsidRPr="008B1D3D" w:rsidR="00C45B17">
        <w:t>available</w:t>
      </w:r>
      <w:r w:rsidR="00C45B17">
        <w:t xml:space="preserve"> at </w:t>
      </w:r>
      <w:hyperlink r:id="rId1" w:history="1">
        <w:r w:rsidR="008B1D3D">
          <w:rPr>
            <w:rStyle w:val="Hyperlink"/>
          </w:rPr>
          <w:t>https://www.occ.gov/news-issuances/bulletins/1999/bulletin-1999-46.html</w:t>
        </w:r>
      </w:hyperlink>
      <w:r w:rsidR="008B1D3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8A51EAC"/>
    <w:multiLevelType w:val="hybridMultilevel"/>
    <w:tmpl w:val="E22404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1"/>
  </w:num>
  <w:num w:numId="2" w16cid:durableId="1336954823">
    <w:abstractNumId w:val="14"/>
  </w:num>
  <w:num w:numId="3" w16cid:durableId="898250266">
    <w:abstractNumId w:val="9"/>
  </w:num>
  <w:num w:numId="4" w16cid:durableId="602802366">
    <w:abstractNumId w:val="9"/>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9"/>
  </w:num>
  <w:num w:numId="14" w16cid:durableId="1876891565">
    <w:abstractNumId w:val="9"/>
  </w:num>
  <w:num w:numId="15" w16cid:durableId="1015306637">
    <w:abstractNumId w:val="9"/>
  </w:num>
  <w:num w:numId="16" w16cid:durableId="2113015846">
    <w:abstractNumId w:val="9"/>
  </w:num>
  <w:num w:numId="17" w16cid:durableId="1320117208">
    <w:abstractNumId w:val="0"/>
  </w:num>
  <w:num w:numId="18" w16cid:durableId="890458392">
    <w:abstractNumId w:val="3"/>
  </w:num>
  <w:num w:numId="19" w16cid:durableId="189345207">
    <w:abstractNumId w:val="8"/>
  </w:num>
  <w:num w:numId="20" w16cid:durableId="958991069">
    <w:abstractNumId w:val="15"/>
  </w:num>
  <w:num w:numId="21" w16cid:durableId="1776707489">
    <w:abstractNumId w:val="7"/>
  </w:num>
  <w:num w:numId="22" w16cid:durableId="1573542241">
    <w:abstractNumId w:val="4"/>
  </w:num>
  <w:num w:numId="23" w16cid:durableId="783378709">
    <w:abstractNumId w:val="6"/>
  </w:num>
  <w:num w:numId="24" w16cid:durableId="1259605049">
    <w:abstractNumId w:val="5"/>
  </w:num>
  <w:num w:numId="25" w16cid:durableId="2114085554">
    <w:abstractNumId w:val="12"/>
  </w:num>
  <w:num w:numId="26" w16cid:durableId="1633901390">
    <w:abstractNumId w:val="10"/>
  </w:num>
  <w:num w:numId="27" w16cid:durableId="902329313">
    <w:abstractNumId w:val="11"/>
  </w:num>
  <w:num w:numId="28" w16cid:durableId="2421806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2059E"/>
    <w:rsid w:val="00020AB3"/>
    <w:rsid w:val="00026AD0"/>
    <w:rsid w:val="0003174B"/>
    <w:rsid w:val="0003678A"/>
    <w:rsid w:val="000429F8"/>
    <w:rsid w:val="0005389B"/>
    <w:rsid w:val="00056C76"/>
    <w:rsid w:val="00061205"/>
    <w:rsid w:val="000732E2"/>
    <w:rsid w:val="00081F26"/>
    <w:rsid w:val="000903EC"/>
    <w:rsid w:val="000908D6"/>
    <w:rsid w:val="00094127"/>
    <w:rsid w:val="000976C2"/>
    <w:rsid w:val="000A1610"/>
    <w:rsid w:val="000A29CB"/>
    <w:rsid w:val="000A4144"/>
    <w:rsid w:val="000B2237"/>
    <w:rsid w:val="000B2636"/>
    <w:rsid w:val="000D3D3C"/>
    <w:rsid w:val="000D4607"/>
    <w:rsid w:val="000E4B61"/>
    <w:rsid w:val="000F5B49"/>
    <w:rsid w:val="0010090B"/>
    <w:rsid w:val="00112B75"/>
    <w:rsid w:val="00123913"/>
    <w:rsid w:val="00136525"/>
    <w:rsid w:val="0013796A"/>
    <w:rsid w:val="0014108A"/>
    <w:rsid w:val="00146058"/>
    <w:rsid w:val="001466D8"/>
    <w:rsid w:val="00146794"/>
    <w:rsid w:val="001468A6"/>
    <w:rsid w:val="00153911"/>
    <w:rsid w:val="0015493B"/>
    <w:rsid w:val="00156213"/>
    <w:rsid w:val="00164623"/>
    <w:rsid w:val="00164C9C"/>
    <w:rsid w:val="00172F24"/>
    <w:rsid w:val="0017568B"/>
    <w:rsid w:val="00182C1B"/>
    <w:rsid w:val="00186ED7"/>
    <w:rsid w:val="001A034B"/>
    <w:rsid w:val="001A2EDF"/>
    <w:rsid w:val="001A7E26"/>
    <w:rsid w:val="001B10F5"/>
    <w:rsid w:val="001C18AC"/>
    <w:rsid w:val="001C6B5A"/>
    <w:rsid w:val="001C705C"/>
    <w:rsid w:val="001D3BB1"/>
    <w:rsid w:val="001E0A4C"/>
    <w:rsid w:val="001E3340"/>
    <w:rsid w:val="001E33F3"/>
    <w:rsid w:val="001F6818"/>
    <w:rsid w:val="002004BF"/>
    <w:rsid w:val="00203C0F"/>
    <w:rsid w:val="0020420C"/>
    <w:rsid w:val="002112CB"/>
    <w:rsid w:val="00212527"/>
    <w:rsid w:val="00212924"/>
    <w:rsid w:val="0021595B"/>
    <w:rsid w:val="00240D95"/>
    <w:rsid w:val="00244EDC"/>
    <w:rsid w:val="00246CBB"/>
    <w:rsid w:val="00246D68"/>
    <w:rsid w:val="002504FE"/>
    <w:rsid w:val="00257709"/>
    <w:rsid w:val="0026241C"/>
    <w:rsid w:val="0026750D"/>
    <w:rsid w:val="0026786D"/>
    <w:rsid w:val="00271250"/>
    <w:rsid w:val="002719DA"/>
    <w:rsid w:val="0028032E"/>
    <w:rsid w:val="00283A34"/>
    <w:rsid w:val="00294D2C"/>
    <w:rsid w:val="00297CC5"/>
    <w:rsid w:val="002A14DF"/>
    <w:rsid w:val="002A792B"/>
    <w:rsid w:val="002B1BD4"/>
    <w:rsid w:val="002B32B2"/>
    <w:rsid w:val="002B7253"/>
    <w:rsid w:val="002C1A45"/>
    <w:rsid w:val="002C7FFE"/>
    <w:rsid w:val="002D27DD"/>
    <w:rsid w:val="002D3094"/>
    <w:rsid w:val="002D6281"/>
    <w:rsid w:val="002F0CDF"/>
    <w:rsid w:val="002F637C"/>
    <w:rsid w:val="002F739C"/>
    <w:rsid w:val="00301434"/>
    <w:rsid w:val="003024C3"/>
    <w:rsid w:val="003058B5"/>
    <w:rsid w:val="00312DFA"/>
    <w:rsid w:val="00330F2E"/>
    <w:rsid w:val="0033454A"/>
    <w:rsid w:val="00341F49"/>
    <w:rsid w:val="00342908"/>
    <w:rsid w:val="00354EAF"/>
    <w:rsid w:val="00357171"/>
    <w:rsid w:val="003618F7"/>
    <w:rsid w:val="00370630"/>
    <w:rsid w:val="00371B30"/>
    <w:rsid w:val="00375494"/>
    <w:rsid w:val="003755D5"/>
    <w:rsid w:val="00387640"/>
    <w:rsid w:val="00390FE5"/>
    <w:rsid w:val="003A5ABE"/>
    <w:rsid w:val="003C0A58"/>
    <w:rsid w:val="003C5162"/>
    <w:rsid w:val="003C5F80"/>
    <w:rsid w:val="003C7D1A"/>
    <w:rsid w:val="003E2687"/>
    <w:rsid w:val="003F281C"/>
    <w:rsid w:val="004024F4"/>
    <w:rsid w:val="00415ADB"/>
    <w:rsid w:val="00424D57"/>
    <w:rsid w:val="0043060F"/>
    <w:rsid w:val="0043160D"/>
    <w:rsid w:val="004335BB"/>
    <w:rsid w:val="0044411A"/>
    <w:rsid w:val="004463D2"/>
    <w:rsid w:val="0044648C"/>
    <w:rsid w:val="00453B8A"/>
    <w:rsid w:val="0046055A"/>
    <w:rsid w:val="0046364E"/>
    <w:rsid w:val="00463D80"/>
    <w:rsid w:val="0048405C"/>
    <w:rsid w:val="00491FCD"/>
    <w:rsid w:val="004A33A4"/>
    <w:rsid w:val="004C53A4"/>
    <w:rsid w:val="004C68D2"/>
    <w:rsid w:val="004C7D91"/>
    <w:rsid w:val="004D2CFF"/>
    <w:rsid w:val="004D39DE"/>
    <w:rsid w:val="004D7A48"/>
    <w:rsid w:val="00501CF2"/>
    <w:rsid w:val="005044F1"/>
    <w:rsid w:val="0051709A"/>
    <w:rsid w:val="00542EF2"/>
    <w:rsid w:val="00553886"/>
    <w:rsid w:val="00555394"/>
    <w:rsid w:val="00560223"/>
    <w:rsid w:val="0056185D"/>
    <w:rsid w:val="00562F0F"/>
    <w:rsid w:val="005675AB"/>
    <w:rsid w:val="00575076"/>
    <w:rsid w:val="00585ABF"/>
    <w:rsid w:val="00587F38"/>
    <w:rsid w:val="00597EAF"/>
    <w:rsid w:val="005B4717"/>
    <w:rsid w:val="005B6406"/>
    <w:rsid w:val="005C0AE2"/>
    <w:rsid w:val="005C310C"/>
    <w:rsid w:val="005D2AD2"/>
    <w:rsid w:val="005E0064"/>
    <w:rsid w:val="005E344E"/>
    <w:rsid w:val="005E4215"/>
    <w:rsid w:val="005E58F7"/>
    <w:rsid w:val="005F1A23"/>
    <w:rsid w:val="005F440A"/>
    <w:rsid w:val="00601D88"/>
    <w:rsid w:val="006037C2"/>
    <w:rsid w:val="00606463"/>
    <w:rsid w:val="00610FE9"/>
    <w:rsid w:val="00611617"/>
    <w:rsid w:val="006121E2"/>
    <w:rsid w:val="00624AE6"/>
    <w:rsid w:val="00627925"/>
    <w:rsid w:val="00641631"/>
    <w:rsid w:val="0064178C"/>
    <w:rsid w:val="00657C95"/>
    <w:rsid w:val="00661F93"/>
    <w:rsid w:val="00673B11"/>
    <w:rsid w:val="00681826"/>
    <w:rsid w:val="00685C8D"/>
    <w:rsid w:val="0068742D"/>
    <w:rsid w:val="006A1916"/>
    <w:rsid w:val="006A2208"/>
    <w:rsid w:val="006A2F9F"/>
    <w:rsid w:val="006B40D8"/>
    <w:rsid w:val="006C3736"/>
    <w:rsid w:val="006C38DE"/>
    <w:rsid w:val="006C53FB"/>
    <w:rsid w:val="006C7C76"/>
    <w:rsid w:val="006D535A"/>
    <w:rsid w:val="006E4703"/>
    <w:rsid w:val="006F62BF"/>
    <w:rsid w:val="007149CD"/>
    <w:rsid w:val="00716CCA"/>
    <w:rsid w:val="00722148"/>
    <w:rsid w:val="00735F09"/>
    <w:rsid w:val="007501C2"/>
    <w:rsid w:val="00753CFF"/>
    <w:rsid w:val="00756398"/>
    <w:rsid w:val="00756754"/>
    <w:rsid w:val="0076144A"/>
    <w:rsid w:val="007726B9"/>
    <w:rsid w:val="007732CA"/>
    <w:rsid w:val="0077568D"/>
    <w:rsid w:val="007765A6"/>
    <w:rsid w:val="00785BD8"/>
    <w:rsid w:val="0079131C"/>
    <w:rsid w:val="00797F47"/>
    <w:rsid w:val="007A2589"/>
    <w:rsid w:val="007A4323"/>
    <w:rsid w:val="007A4A3A"/>
    <w:rsid w:val="007B0845"/>
    <w:rsid w:val="007B6321"/>
    <w:rsid w:val="007B6ADD"/>
    <w:rsid w:val="007D0474"/>
    <w:rsid w:val="007D7EE6"/>
    <w:rsid w:val="007E2566"/>
    <w:rsid w:val="007E5705"/>
    <w:rsid w:val="007F0D8B"/>
    <w:rsid w:val="007F33E2"/>
    <w:rsid w:val="007F6138"/>
    <w:rsid w:val="008069FD"/>
    <w:rsid w:val="008132DF"/>
    <w:rsid w:val="008138EF"/>
    <w:rsid w:val="00815227"/>
    <w:rsid w:val="00821885"/>
    <w:rsid w:val="008222F0"/>
    <w:rsid w:val="008374DA"/>
    <w:rsid w:val="008407C6"/>
    <w:rsid w:val="00847554"/>
    <w:rsid w:val="00862D9B"/>
    <w:rsid w:val="00863893"/>
    <w:rsid w:val="00876806"/>
    <w:rsid w:val="00882FE4"/>
    <w:rsid w:val="00883FA6"/>
    <w:rsid w:val="00890AB7"/>
    <w:rsid w:val="00891902"/>
    <w:rsid w:val="008924FB"/>
    <w:rsid w:val="008A58AC"/>
    <w:rsid w:val="008A643D"/>
    <w:rsid w:val="008B1D3D"/>
    <w:rsid w:val="008B661A"/>
    <w:rsid w:val="008C6440"/>
    <w:rsid w:val="008C70DC"/>
    <w:rsid w:val="008C7885"/>
    <w:rsid w:val="008D0847"/>
    <w:rsid w:val="008D6467"/>
    <w:rsid w:val="008E0842"/>
    <w:rsid w:val="008E0FA3"/>
    <w:rsid w:val="008E25ED"/>
    <w:rsid w:val="008F021D"/>
    <w:rsid w:val="008F11DE"/>
    <w:rsid w:val="008F5E5F"/>
    <w:rsid w:val="0091188D"/>
    <w:rsid w:val="009177F7"/>
    <w:rsid w:val="00922BA6"/>
    <w:rsid w:val="00924A92"/>
    <w:rsid w:val="009253F8"/>
    <w:rsid w:val="00927B27"/>
    <w:rsid w:val="00934C19"/>
    <w:rsid w:val="00935A72"/>
    <w:rsid w:val="009360E7"/>
    <w:rsid w:val="0093781D"/>
    <w:rsid w:val="00944FB5"/>
    <w:rsid w:val="00953FEC"/>
    <w:rsid w:val="00960C77"/>
    <w:rsid w:val="00967825"/>
    <w:rsid w:val="00970EBA"/>
    <w:rsid w:val="00975575"/>
    <w:rsid w:val="00975A62"/>
    <w:rsid w:val="00981E48"/>
    <w:rsid w:val="00983B3B"/>
    <w:rsid w:val="00995F60"/>
    <w:rsid w:val="00997FD0"/>
    <w:rsid w:val="009A271C"/>
    <w:rsid w:val="009B0F9C"/>
    <w:rsid w:val="009B1BC5"/>
    <w:rsid w:val="009E7AC0"/>
    <w:rsid w:val="009E7C2D"/>
    <w:rsid w:val="009F2DE2"/>
    <w:rsid w:val="009F4755"/>
    <w:rsid w:val="00A061BB"/>
    <w:rsid w:val="00A11956"/>
    <w:rsid w:val="00A121E7"/>
    <w:rsid w:val="00A2457F"/>
    <w:rsid w:val="00A30DBC"/>
    <w:rsid w:val="00A34F29"/>
    <w:rsid w:val="00A35623"/>
    <w:rsid w:val="00A367D0"/>
    <w:rsid w:val="00A40778"/>
    <w:rsid w:val="00A554C2"/>
    <w:rsid w:val="00A637EA"/>
    <w:rsid w:val="00A658F6"/>
    <w:rsid w:val="00A70C9F"/>
    <w:rsid w:val="00A72474"/>
    <w:rsid w:val="00A73FE6"/>
    <w:rsid w:val="00A77A45"/>
    <w:rsid w:val="00A87283"/>
    <w:rsid w:val="00A96AEC"/>
    <w:rsid w:val="00AA4733"/>
    <w:rsid w:val="00AA611C"/>
    <w:rsid w:val="00AB7DFA"/>
    <w:rsid w:val="00AC08C7"/>
    <w:rsid w:val="00AC6A28"/>
    <w:rsid w:val="00AD17AA"/>
    <w:rsid w:val="00AD1AD6"/>
    <w:rsid w:val="00AD25F4"/>
    <w:rsid w:val="00AD60CA"/>
    <w:rsid w:val="00AD69A7"/>
    <w:rsid w:val="00AD71D8"/>
    <w:rsid w:val="00AE1CEF"/>
    <w:rsid w:val="00AE31DD"/>
    <w:rsid w:val="00AE3AD6"/>
    <w:rsid w:val="00AE53CE"/>
    <w:rsid w:val="00AF6BA0"/>
    <w:rsid w:val="00B12D2C"/>
    <w:rsid w:val="00B16D39"/>
    <w:rsid w:val="00B2046E"/>
    <w:rsid w:val="00B32F4C"/>
    <w:rsid w:val="00B34197"/>
    <w:rsid w:val="00B35C58"/>
    <w:rsid w:val="00B37BB7"/>
    <w:rsid w:val="00B44A77"/>
    <w:rsid w:val="00B46027"/>
    <w:rsid w:val="00B4777D"/>
    <w:rsid w:val="00B47E4A"/>
    <w:rsid w:val="00B511E7"/>
    <w:rsid w:val="00B6583D"/>
    <w:rsid w:val="00B7061E"/>
    <w:rsid w:val="00B73245"/>
    <w:rsid w:val="00B8002D"/>
    <w:rsid w:val="00B83ECF"/>
    <w:rsid w:val="00B927EF"/>
    <w:rsid w:val="00B92E25"/>
    <w:rsid w:val="00B9494A"/>
    <w:rsid w:val="00B955B7"/>
    <w:rsid w:val="00B979D0"/>
    <w:rsid w:val="00B97BC7"/>
    <w:rsid w:val="00BA2266"/>
    <w:rsid w:val="00BB0C1A"/>
    <w:rsid w:val="00BB31A5"/>
    <w:rsid w:val="00BB37CF"/>
    <w:rsid w:val="00BB48B0"/>
    <w:rsid w:val="00BC21AC"/>
    <w:rsid w:val="00BD7B61"/>
    <w:rsid w:val="00BE008C"/>
    <w:rsid w:val="00BE4452"/>
    <w:rsid w:val="00BE715F"/>
    <w:rsid w:val="00BF285A"/>
    <w:rsid w:val="00BF416D"/>
    <w:rsid w:val="00C11863"/>
    <w:rsid w:val="00C145E5"/>
    <w:rsid w:val="00C14FD7"/>
    <w:rsid w:val="00C2172D"/>
    <w:rsid w:val="00C21FEB"/>
    <w:rsid w:val="00C24D32"/>
    <w:rsid w:val="00C25194"/>
    <w:rsid w:val="00C26228"/>
    <w:rsid w:val="00C373C7"/>
    <w:rsid w:val="00C41073"/>
    <w:rsid w:val="00C45975"/>
    <w:rsid w:val="00C45B17"/>
    <w:rsid w:val="00C55628"/>
    <w:rsid w:val="00C663B8"/>
    <w:rsid w:val="00C73CC3"/>
    <w:rsid w:val="00C8083F"/>
    <w:rsid w:val="00CB0562"/>
    <w:rsid w:val="00CB0CE4"/>
    <w:rsid w:val="00CC0074"/>
    <w:rsid w:val="00CC74A2"/>
    <w:rsid w:val="00CC7D1C"/>
    <w:rsid w:val="00CF7C11"/>
    <w:rsid w:val="00D00195"/>
    <w:rsid w:val="00D1092B"/>
    <w:rsid w:val="00D10E2E"/>
    <w:rsid w:val="00D12BF6"/>
    <w:rsid w:val="00D14293"/>
    <w:rsid w:val="00D22111"/>
    <w:rsid w:val="00D262C4"/>
    <w:rsid w:val="00D331B3"/>
    <w:rsid w:val="00D46AA2"/>
    <w:rsid w:val="00D5393B"/>
    <w:rsid w:val="00D541B6"/>
    <w:rsid w:val="00D5448D"/>
    <w:rsid w:val="00D63A3E"/>
    <w:rsid w:val="00D67C40"/>
    <w:rsid w:val="00D74E05"/>
    <w:rsid w:val="00D76087"/>
    <w:rsid w:val="00D775EC"/>
    <w:rsid w:val="00D870DF"/>
    <w:rsid w:val="00D90449"/>
    <w:rsid w:val="00DB0C09"/>
    <w:rsid w:val="00DC2367"/>
    <w:rsid w:val="00DC6B5F"/>
    <w:rsid w:val="00DD7F67"/>
    <w:rsid w:val="00DE33D8"/>
    <w:rsid w:val="00DE4A3D"/>
    <w:rsid w:val="00DF6A4A"/>
    <w:rsid w:val="00E16095"/>
    <w:rsid w:val="00E17853"/>
    <w:rsid w:val="00E3089B"/>
    <w:rsid w:val="00E316C6"/>
    <w:rsid w:val="00E31ACD"/>
    <w:rsid w:val="00E42BD9"/>
    <w:rsid w:val="00E43AD9"/>
    <w:rsid w:val="00E43BAD"/>
    <w:rsid w:val="00E43F1C"/>
    <w:rsid w:val="00E51026"/>
    <w:rsid w:val="00E56F2F"/>
    <w:rsid w:val="00E6072D"/>
    <w:rsid w:val="00E656DA"/>
    <w:rsid w:val="00E67B4F"/>
    <w:rsid w:val="00E7483E"/>
    <w:rsid w:val="00E7525C"/>
    <w:rsid w:val="00E83FD7"/>
    <w:rsid w:val="00E84837"/>
    <w:rsid w:val="00E940D8"/>
    <w:rsid w:val="00EA0DB6"/>
    <w:rsid w:val="00EA76D1"/>
    <w:rsid w:val="00EB27AA"/>
    <w:rsid w:val="00EB4089"/>
    <w:rsid w:val="00EB7520"/>
    <w:rsid w:val="00EC49D8"/>
    <w:rsid w:val="00EF1E84"/>
    <w:rsid w:val="00EF5AF5"/>
    <w:rsid w:val="00EF64FB"/>
    <w:rsid w:val="00F01977"/>
    <w:rsid w:val="00F147EE"/>
    <w:rsid w:val="00F40B75"/>
    <w:rsid w:val="00F429D2"/>
    <w:rsid w:val="00F53BCA"/>
    <w:rsid w:val="00F5492F"/>
    <w:rsid w:val="00F55A79"/>
    <w:rsid w:val="00F574E2"/>
    <w:rsid w:val="00F604D9"/>
    <w:rsid w:val="00F67110"/>
    <w:rsid w:val="00F70DC3"/>
    <w:rsid w:val="00F72B9D"/>
    <w:rsid w:val="00F75F1A"/>
    <w:rsid w:val="00F83450"/>
    <w:rsid w:val="00F936AC"/>
    <w:rsid w:val="00FA1858"/>
    <w:rsid w:val="00FA53CB"/>
    <w:rsid w:val="00FA59E4"/>
    <w:rsid w:val="00FB4F38"/>
    <w:rsid w:val="00FB5330"/>
    <w:rsid w:val="00FB666D"/>
    <w:rsid w:val="00FD1626"/>
    <w:rsid w:val="00FE0D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 w:type="paragraph" w:styleId="ListParagraph">
    <w:name w:val="List Paragraph"/>
    <w:basedOn w:val="Normal"/>
    <w:uiPriority w:val="34"/>
    <w:qFormat/>
    <w:rsid w:val="00E31ACD"/>
    <w:pPr>
      <w:ind w:left="720"/>
      <w:contextualSpacing/>
    </w:pPr>
  </w:style>
  <w:style w:type="table" w:styleId="TableGrid">
    <w:name w:val="Table Grid"/>
    <w:basedOn w:val="TableNormal"/>
    <w:rsid w:val="001E0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6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cc.gov/news-issuances/bulletins/1999/bulletin-1999-4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72CEA-D469-490C-8639-DD2657F8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2025-08-28T21:51:00Z</dcterms:created>
  <dcterms:modified xsi:type="dcterms:W3CDTF">2025-08-28T21:51:00Z</dcterms:modified>
</cp:coreProperties>
</file>