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735F" w:rsidRPr="00ED2560" w14:paraId="25E808CC" w14:textId="77777777">
      <w:pPr>
        <w:tabs>
          <w:tab w:val="center" w:pos="4680"/>
        </w:tabs>
        <w:jc w:val="both"/>
        <w:rPr>
          <w:rFonts w:ascii="Times New Roman" w:hAnsi="Times New Roman"/>
          <w:b/>
          <w:bCs/>
        </w:rPr>
      </w:pPr>
      <w:r w:rsidRPr="00ED2560">
        <w:rPr>
          <w:rFonts w:ascii="Times New Roman" w:hAnsi="Times New Roman"/>
          <w:b/>
          <w:bCs/>
        </w:rPr>
        <w:tab/>
        <w:t xml:space="preserve">Supporting Statement </w:t>
      </w:r>
    </w:p>
    <w:p w:rsidR="003D64B5" w:rsidRPr="00ED2560" w14:paraId="51A63321" w14:textId="77777777">
      <w:pPr>
        <w:tabs>
          <w:tab w:val="center" w:pos="4680"/>
        </w:tabs>
        <w:jc w:val="both"/>
        <w:rPr>
          <w:rFonts w:ascii="Times New Roman" w:hAnsi="Times New Roman"/>
          <w:b/>
          <w:bCs/>
        </w:rPr>
      </w:pPr>
      <w:r w:rsidRPr="00ED2560">
        <w:rPr>
          <w:rFonts w:ascii="Times New Roman" w:hAnsi="Times New Roman"/>
          <w:b/>
          <w:bCs/>
        </w:rPr>
        <w:tab/>
        <w:t xml:space="preserve">Municipal Securities Dealers </w:t>
      </w:r>
      <w:r w:rsidRPr="00ED2560">
        <w:rPr>
          <w:rFonts w:ascii="Times New Roman" w:hAnsi="Times New Roman"/>
          <w:b/>
          <w:bCs/>
        </w:rPr>
        <w:t>and</w:t>
      </w:r>
    </w:p>
    <w:p w:rsidR="003D64B5" w:rsidRPr="00ED2560" w:rsidP="003D64B5" w14:paraId="70045B97" w14:textId="77777777">
      <w:pPr>
        <w:tabs>
          <w:tab w:val="center" w:pos="4680"/>
        </w:tabs>
        <w:jc w:val="center"/>
        <w:rPr>
          <w:rFonts w:ascii="Times New Roman" w:hAnsi="Times New Roman"/>
          <w:b/>
          <w:bCs/>
        </w:rPr>
      </w:pPr>
      <w:r w:rsidRPr="00ED2560">
        <w:rPr>
          <w:rFonts w:ascii="Times New Roman" w:hAnsi="Times New Roman"/>
          <w:b/>
          <w:bCs/>
        </w:rPr>
        <w:t>Government Securities Brokers</w:t>
      </w:r>
      <w:r w:rsidRPr="00ED2560">
        <w:rPr>
          <w:rFonts w:ascii="Times New Roman" w:hAnsi="Times New Roman"/>
          <w:b/>
          <w:bCs/>
        </w:rPr>
        <w:t xml:space="preserve"> </w:t>
      </w:r>
      <w:r w:rsidRPr="00ED2560">
        <w:rPr>
          <w:rFonts w:ascii="Times New Roman" w:hAnsi="Times New Roman"/>
          <w:b/>
          <w:bCs/>
        </w:rPr>
        <w:t>and</w:t>
      </w:r>
      <w:r w:rsidRPr="00ED2560">
        <w:rPr>
          <w:rFonts w:ascii="Times New Roman" w:hAnsi="Times New Roman"/>
          <w:b/>
          <w:bCs/>
        </w:rPr>
        <w:t xml:space="preserve"> </w:t>
      </w:r>
      <w:r w:rsidRPr="00ED2560" w:rsidR="00AD0CF5">
        <w:rPr>
          <w:rFonts w:ascii="Times New Roman" w:hAnsi="Times New Roman"/>
          <w:b/>
          <w:bCs/>
        </w:rPr>
        <w:t>Dealers –</w:t>
      </w:r>
    </w:p>
    <w:p w:rsidR="0065735F" w:rsidRPr="00ED2560" w:rsidP="003D64B5" w14:paraId="723AB18E" w14:textId="77777777">
      <w:pPr>
        <w:tabs>
          <w:tab w:val="center" w:pos="4680"/>
        </w:tabs>
        <w:jc w:val="center"/>
        <w:rPr>
          <w:rFonts w:ascii="Times New Roman" w:hAnsi="Times New Roman"/>
          <w:b/>
          <w:bCs/>
        </w:rPr>
      </w:pPr>
      <w:r w:rsidRPr="00ED2560">
        <w:rPr>
          <w:rFonts w:ascii="Times New Roman" w:hAnsi="Times New Roman"/>
          <w:b/>
          <w:bCs/>
        </w:rPr>
        <w:t>Registration and Withdrawal</w:t>
      </w:r>
    </w:p>
    <w:p w:rsidR="000C6BD3" w:rsidRPr="00ED2560" w:rsidP="000C6BD3" w14:paraId="50BA7E9C" w14:textId="77777777">
      <w:pPr>
        <w:tabs>
          <w:tab w:val="center" w:pos="4680"/>
        </w:tabs>
        <w:jc w:val="center"/>
        <w:rPr>
          <w:rFonts w:ascii="Times New Roman" w:hAnsi="Times New Roman"/>
          <w:b/>
          <w:bCs/>
        </w:rPr>
      </w:pPr>
      <w:r w:rsidRPr="00ED2560">
        <w:rPr>
          <w:rFonts w:ascii="Times New Roman" w:hAnsi="Times New Roman"/>
          <w:b/>
          <w:bCs/>
        </w:rPr>
        <w:t>OMB Control No. 1557-0184</w:t>
      </w:r>
    </w:p>
    <w:p w:rsidR="0065735F" w:rsidRPr="00ED2560" w14:paraId="6B7AF1B5" w14:textId="77777777">
      <w:pPr>
        <w:jc w:val="both"/>
        <w:rPr>
          <w:rFonts w:ascii="Times New Roman" w:hAnsi="Times New Roman"/>
        </w:rPr>
      </w:pPr>
    </w:p>
    <w:p w:rsidR="0065735F" w:rsidRPr="00A711EE" w14:paraId="6697A16A" w14:textId="77777777">
      <w:pPr>
        <w:tabs>
          <w:tab w:val="left" w:pos="-1440"/>
        </w:tabs>
        <w:ind w:left="720" w:hanging="720"/>
        <w:rPr>
          <w:rFonts w:ascii="Times New Roman" w:hAnsi="Times New Roman"/>
          <w:b/>
        </w:rPr>
      </w:pPr>
      <w:r w:rsidRPr="00A711EE">
        <w:rPr>
          <w:rFonts w:ascii="Times New Roman" w:hAnsi="Times New Roman"/>
          <w:b/>
        </w:rPr>
        <w:t>A.</w:t>
      </w:r>
      <w:r w:rsidRPr="00A711EE">
        <w:rPr>
          <w:rFonts w:ascii="Times New Roman" w:hAnsi="Times New Roman"/>
          <w:b/>
        </w:rPr>
        <w:tab/>
      </w:r>
      <w:r w:rsidRPr="009539C5">
        <w:rPr>
          <w:rFonts w:ascii="Times New Roman" w:hAnsi="Times New Roman"/>
          <w:b/>
        </w:rPr>
        <w:t>Justification.</w:t>
      </w:r>
    </w:p>
    <w:p w:rsidR="0065735F" w:rsidRPr="00ED2560" w14:paraId="621858AA" w14:textId="77777777">
      <w:pPr>
        <w:rPr>
          <w:rFonts w:ascii="Times New Roman" w:hAnsi="Times New Roman"/>
        </w:rPr>
      </w:pPr>
    </w:p>
    <w:p w:rsidR="0065735F" w:rsidRPr="00A711EE" w14:paraId="5B0E66F2" w14:textId="77777777">
      <w:pPr>
        <w:tabs>
          <w:tab w:val="left" w:pos="-1440"/>
        </w:tabs>
        <w:ind w:left="720" w:hanging="720"/>
        <w:rPr>
          <w:rFonts w:ascii="Times New Roman" w:hAnsi="Times New Roman"/>
          <w:b/>
          <w:i/>
        </w:rPr>
      </w:pPr>
      <w:r w:rsidRPr="00A711EE">
        <w:rPr>
          <w:rFonts w:ascii="Times New Roman" w:hAnsi="Times New Roman"/>
          <w:b/>
          <w:i/>
        </w:rPr>
        <w:t>1.</w:t>
      </w:r>
      <w:r w:rsidRPr="00A711EE">
        <w:rPr>
          <w:rFonts w:ascii="Times New Roman" w:hAnsi="Times New Roman"/>
          <w:b/>
          <w:i/>
        </w:rPr>
        <w:tab/>
        <w:t>Circumstances that make the collection necessary:</w:t>
      </w:r>
    </w:p>
    <w:p w:rsidR="0065735F" w:rsidRPr="00A711EE" w14:paraId="52902F0D" w14:textId="77777777">
      <w:pPr>
        <w:rPr>
          <w:rFonts w:ascii="Times New Roman" w:hAnsi="Times New Roman"/>
          <w:b/>
        </w:rPr>
      </w:pPr>
    </w:p>
    <w:p w:rsidR="008D1011" w:rsidRPr="00ED2560" w14:paraId="0069D719" w14:textId="7FD175A7">
      <w:pPr>
        <w:ind w:firstLine="720"/>
        <w:rPr>
          <w:rFonts w:ascii="Times New Roman" w:hAnsi="Times New Roman"/>
        </w:rPr>
      </w:pPr>
      <w:r w:rsidRPr="00ED2560">
        <w:rPr>
          <w:rFonts w:ascii="Times New Roman" w:hAnsi="Times New Roman"/>
        </w:rPr>
        <w:t>Section 15B</w:t>
      </w:r>
      <w:r>
        <w:rPr>
          <w:rStyle w:val="FootnoteReference"/>
          <w:rFonts w:ascii="Times New Roman" w:hAnsi="Times New Roman"/>
          <w:vertAlign w:val="superscript"/>
        </w:rPr>
        <w:footnoteReference w:id="2"/>
      </w:r>
      <w:r w:rsidRPr="00ED2560">
        <w:rPr>
          <w:rFonts w:ascii="Times New Roman" w:hAnsi="Times New Roman"/>
        </w:rPr>
        <w:t xml:space="preserve"> and section 15C</w:t>
      </w:r>
      <w:r>
        <w:rPr>
          <w:rStyle w:val="FootnoteReference"/>
          <w:rFonts w:ascii="Times New Roman" w:hAnsi="Times New Roman"/>
          <w:vertAlign w:val="superscript"/>
        </w:rPr>
        <w:footnoteReference w:id="3"/>
      </w:r>
      <w:r w:rsidRPr="00ED2560">
        <w:rPr>
          <w:rFonts w:ascii="Times New Roman" w:hAnsi="Times New Roman"/>
        </w:rPr>
        <w:t xml:space="preserve"> of the Securities Exchange Act of 1934 (the “Exchange Act”) require, in part, that all national banks and </w:t>
      </w:r>
      <w:r w:rsidR="007274D5">
        <w:rPr>
          <w:rFonts w:ascii="Times New Roman" w:hAnsi="Times New Roman"/>
        </w:rPr>
        <w:t>f</w:t>
      </w:r>
      <w:r w:rsidRPr="00ED2560">
        <w:rPr>
          <w:rFonts w:ascii="Times New Roman" w:hAnsi="Times New Roman"/>
        </w:rPr>
        <w:t>ederal savings associations (“FSAs”) that act as a municipal securities dealer or a government securities broker/dealer</w:t>
      </w:r>
      <w:r w:rsidRPr="00ED2560" w:rsidR="00C47AB9">
        <w:rPr>
          <w:rFonts w:ascii="Times New Roman" w:hAnsi="Times New Roman"/>
        </w:rPr>
        <w:t>,</w:t>
      </w:r>
      <w:r w:rsidRPr="00ED2560" w:rsidR="00D6625B">
        <w:rPr>
          <w:rFonts w:ascii="Times New Roman" w:hAnsi="Times New Roman"/>
        </w:rPr>
        <w:t xml:space="preserve"> </w:t>
      </w:r>
      <w:r w:rsidRPr="00ED2560" w:rsidR="00C47AB9">
        <w:rPr>
          <w:rFonts w:ascii="Times New Roman" w:hAnsi="Times New Roman"/>
        </w:rPr>
        <w:t>respectively,</w:t>
      </w:r>
      <w:r w:rsidRPr="00ED2560">
        <w:rPr>
          <w:rFonts w:ascii="Times New Roman" w:hAnsi="Times New Roman"/>
        </w:rPr>
        <w:t xml:space="preserve"> </w:t>
      </w:r>
      <w:r w:rsidRPr="00ED2560" w:rsidR="00BD349D">
        <w:rPr>
          <w:rFonts w:ascii="Times New Roman" w:hAnsi="Times New Roman"/>
        </w:rPr>
        <w:t xml:space="preserve">file the relevant form with </w:t>
      </w:r>
      <w:r w:rsidRPr="00ED2560">
        <w:rPr>
          <w:rFonts w:ascii="Times New Roman" w:hAnsi="Times New Roman"/>
        </w:rPr>
        <w:t>the appropriate regulatory agency</w:t>
      </w:r>
      <w:r w:rsidRPr="00ED2560" w:rsidR="00E054C0">
        <w:rPr>
          <w:rFonts w:ascii="Times New Roman" w:hAnsi="Times New Roman"/>
        </w:rPr>
        <w:t xml:space="preserve"> to inform such agency </w:t>
      </w:r>
      <w:r w:rsidRPr="00ED2560">
        <w:rPr>
          <w:rFonts w:ascii="Times New Roman" w:hAnsi="Times New Roman"/>
        </w:rPr>
        <w:t>of their broker/</w:t>
      </w:r>
      <w:r w:rsidR="00096D56">
        <w:rPr>
          <w:rFonts w:ascii="Times New Roman" w:hAnsi="Times New Roman"/>
        </w:rPr>
        <w:t xml:space="preserve"> </w:t>
      </w:r>
      <w:r w:rsidRPr="00ED2560">
        <w:rPr>
          <w:rFonts w:ascii="Times New Roman" w:hAnsi="Times New Roman"/>
        </w:rPr>
        <w:t xml:space="preserve">dealer activities. </w:t>
      </w:r>
      <w:r w:rsidRPr="00ED2560" w:rsidR="004576F8">
        <w:rPr>
          <w:rFonts w:ascii="Times New Roman" w:hAnsi="Times New Roman"/>
        </w:rPr>
        <w:t xml:space="preserve"> This information collection is required to satisfy the requirements of the Exchange Act.  National banks and FSAs planning to engage in broker/dealer activities must file the required forms before beginning these activities.</w:t>
      </w:r>
    </w:p>
    <w:p w:rsidR="0065735F" w:rsidRPr="00ED2560" w14:paraId="776D9798" w14:textId="77777777">
      <w:pPr>
        <w:rPr>
          <w:rFonts w:ascii="Times New Roman" w:hAnsi="Times New Roman"/>
          <w:highlight w:val="yellow"/>
        </w:rPr>
      </w:pPr>
    </w:p>
    <w:p w:rsidR="004F6388" w:rsidP="000868FB" w14:paraId="425DA74B" w14:textId="219AFB12">
      <w:pPr>
        <w:ind w:firstLine="720"/>
        <w:rPr>
          <w:rFonts w:ascii="Times New Roman" w:hAnsi="Times New Roman"/>
        </w:rPr>
      </w:pPr>
      <w:r w:rsidRPr="00ED2560">
        <w:rPr>
          <w:rFonts w:ascii="Times New Roman" w:hAnsi="Times New Roman"/>
        </w:rPr>
        <w:t xml:space="preserve">This submission covers the following forms:  </w:t>
      </w:r>
      <w:r w:rsidRPr="00ED2560" w:rsidR="00ED2560">
        <w:rPr>
          <w:rFonts w:ascii="Times New Roman" w:hAnsi="Times New Roman"/>
        </w:rPr>
        <w:t>MSD, MSDW,</w:t>
      </w:r>
      <w:r>
        <w:rPr>
          <w:rStyle w:val="FootnoteReference"/>
          <w:rFonts w:ascii="Times New Roman" w:hAnsi="Times New Roman"/>
          <w:vertAlign w:val="superscript"/>
        </w:rPr>
        <w:footnoteReference w:id="4"/>
      </w:r>
      <w:r w:rsidRPr="00ED2560" w:rsidR="00ED2560">
        <w:rPr>
          <w:rFonts w:ascii="Times New Roman" w:hAnsi="Times New Roman"/>
        </w:rPr>
        <w:t xml:space="preserve"> MSD-4, MSD-5, G-FIN, G-FINW, GFIN-4 and GFIN-5</w:t>
      </w:r>
      <w:r w:rsidR="007274D5">
        <w:rPr>
          <w:rFonts w:ascii="Times New Roman" w:hAnsi="Times New Roman"/>
        </w:rPr>
        <w:t>.</w:t>
      </w:r>
      <w:r>
        <w:rPr>
          <w:rStyle w:val="FootnoteReference"/>
          <w:rFonts w:ascii="Times New Roman" w:hAnsi="Times New Roman"/>
          <w:vertAlign w:val="superscript"/>
        </w:rPr>
        <w:footnoteReference w:id="5"/>
      </w:r>
      <w:r w:rsidRPr="00ED2560" w:rsidR="00ED2560">
        <w:rPr>
          <w:rFonts w:ascii="Times New Roman" w:hAnsi="Times New Roman"/>
        </w:rPr>
        <w:t xml:space="preserve">  </w:t>
      </w:r>
    </w:p>
    <w:p w:rsidR="004F6388" w:rsidP="000868FB" w14:paraId="1DE7C0E3" w14:textId="77777777">
      <w:pPr>
        <w:ind w:firstLine="720"/>
        <w:rPr>
          <w:rFonts w:ascii="Times New Roman" w:hAnsi="Times New Roman"/>
        </w:rPr>
      </w:pPr>
    </w:p>
    <w:p w:rsidR="0065735F" w:rsidRPr="00A711EE" w14:paraId="46B232C9" w14:textId="77777777">
      <w:pPr>
        <w:tabs>
          <w:tab w:val="left" w:pos="-1440"/>
        </w:tabs>
        <w:ind w:left="720" w:hanging="720"/>
        <w:rPr>
          <w:rFonts w:ascii="Times New Roman" w:hAnsi="Times New Roman"/>
          <w:b/>
          <w:i/>
        </w:rPr>
      </w:pPr>
      <w:r w:rsidRPr="00A711EE">
        <w:rPr>
          <w:rFonts w:ascii="Times New Roman" w:hAnsi="Times New Roman"/>
          <w:b/>
          <w:i/>
        </w:rPr>
        <w:t>2.</w:t>
      </w:r>
      <w:r w:rsidRPr="00A711EE">
        <w:rPr>
          <w:rFonts w:ascii="Times New Roman" w:hAnsi="Times New Roman"/>
          <w:b/>
          <w:i/>
        </w:rPr>
        <w:tab/>
        <w:t>Use of the information:</w:t>
      </w:r>
    </w:p>
    <w:p w:rsidR="0065735F" w:rsidRPr="00ED2560" w14:paraId="3D5326C1" w14:textId="77777777">
      <w:pPr>
        <w:rPr>
          <w:rFonts w:ascii="Times New Roman" w:hAnsi="Times New Roman"/>
        </w:rPr>
      </w:pPr>
    </w:p>
    <w:p w:rsidR="0065735F" w:rsidRPr="00ED2560" w14:paraId="3A029CDF" w14:textId="6B3E92C8">
      <w:pPr>
        <w:ind w:firstLine="720"/>
        <w:rPr>
          <w:rFonts w:ascii="Times New Roman" w:hAnsi="Times New Roman"/>
        </w:rPr>
      </w:pPr>
      <w:r w:rsidRPr="00ED2560">
        <w:rPr>
          <w:rFonts w:ascii="Times New Roman" w:hAnsi="Times New Roman"/>
        </w:rPr>
        <w:t>The forms are completed by national banks</w:t>
      </w:r>
      <w:r w:rsidRPr="00ED2560" w:rsidR="00C44337">
        <w:rPr>
          <w:rFonts w:ascii="Times New Roman" w:hAnsi="Times New Roman"/>
        </w:rPr>
        <w:t>, FSAs,</w:t>
      </w:r>
      <w:r w:rsidRPr="00ED2560">
        <w:rPr>
          <w:rFonts w:ascii="Times New Roman" w:hAnsi="Times New Roman"/>
        </w:rPr>
        <w:t xml:space="preserve"> </w:t>
      </w:r>
      <w:bookmarkStart w:id="0" w:name="OLE_LINK1"/>
      <w:r w:rsidRPr="00ED2560">
        <w:rPr>
          <w:rFonts w:ascii="Times New Roman" w:hAnsi="Times New Roman"/>
        </w:rPr>
        <w:t xml:space="preserve">and certain national bank </w:t>
      </w:r>
      <w:r w:rsidRPr="00ED2560" w:rsidR="00C44337">
        <w:rPr>
          <w:rFonts w:ascii="Times New Roman" w:hAnsi="Times New Roman"/>
        </w:rPr>
        <w:t xml:space="preserve">and FSA </w:t>
      </w:r>
      <w:r w:rsidRPr="00ED2560">
        <w:rPr>
          <w:rFonts w:ascii="Times New Roman" w:hAnsi="Times New Roman"/>
        </w:rPr>
        <w:t>employees</w:t>
      </w:r>
      <w:bookmarkEnd w:id="0"/>
      <w:r w:rsidR="00E07E75">
        <w:rPr>
          <w:rFonts w:ascii="Times New Roman" w:hAnsi="Times New Roman"/>
        </w:rPr>
        <w:t>,</w:t>
      </w:r>
      <w:r w:rsidRPr="00ED2560">
        <w:rPr>
          <w:rFonts w:ascii="Times New Roman" w:hAnsi="Times New Roman"/>
        </w:rPr>
        <w:t xml:space="preserve"> that act in a broker/dealer capacity</w:t>
      </w:r>
      <w:r w:rsidR="00E07E75">
        <w:rPr>
          <w:rFonts w:ascii="Times New Roman" w:hAnsi="Times New Roman"/>
        </w:rPr>
        <w:t>. T</w:t>
      </w:r>
      <w:r w:rsidR="00493AA4">
        <w:rPr>
          <w:rFonts w:ascii="Times New Roman" w:hAnsi="Times New Roman"/>
        </w:rPr>
        <w:t xml:space="preserve">he forms </w:t>
      </w:r>
      <w:r w:rsidRPr="00ED2560">
        <w:rPr>
          <w:rFonts w:ascii="Times New Roman" w:hAnsi="Times New Roman"/>
        </w:rPr>
        <w:t>are submitted to the OCC.  The OCC reviews and files the forms and maintains a detailed record of the information.</w:t>
      </w:r>
      <w:r w:rsidR="00036277">
        <w:rPr>
          <w:rFonts w:ascii="Times New Roman" w:hAnsi="Times New Roman"/>
        </w:rPr>
        <w:t xml:space="preserve">  </w:t>
      </w:r>
      <w:r w:rsidRPr="00ED2560">
        <w:rPr>
          <w:rFonts w:ascii="Times New Roman" w:hAnsi="Times New Roman"/>
        </w:rPr>
        <w:t xml:space="preserve">The information must be collected to meet the registration requirements of the </w:t>
      </w:r>
      <w:r w:rsidRPr="00ED2560" w:rsidR="00D15E21">
        <w:rPr>
          <w:rFonts w:ascii="Times New Roman" w:hAnsi="Times New Roman"/>
        </w:rPr>
        <w:t xml:space="preserve">Exchange </w:t>
      </w:r>
      <w:r w:rsidRPr="00ED2560">
        <w:rPr>
          <w:rFonts w:ascii="Times New Roman" w:hAnsi="Times New Roman"/>
        </w:rPr>
        <w:t>Act.</w:t>
      </w:r>
    </w:p>
    <w:p w:rsidR="0065735F" w:rsidRPr="00ED2560" w14:paraId="1148D9ED" w14:textId="77777777">
      <w:pPr>
        <w:rPr>
          <w:rFonts w:ascii="Times New Roman" w:hAnsi="Times New Roman"/>
        </w:rPr>
      </w:pPr>
    </w:p>
    <w:p w:rsidR="00036277" w:rsidP="004F6388" w14:paraId="32DD1471" w14:textId="77777777">
      <w:pPr>
        <w:ind w:firstLine="720"/>
        <w:rPr>
          <w:rFonts w:ascii="Times New Roman" w:hAnsi="Times New Roman"/>
        </w:rPr>
      </w:pPr>
      <w:r w:rsidRPr="00ED2560">
        <w:rPr>
          <w:rFonts w:ascii="Times New Roman" w:hAnsi="Times New Roman"/>
        </w:rPr>
        <w:t>The OCC uses this information to determine which national banks</w:t>
      </w:r>
      <w:r w:rsidRPr="00ED2560" w:rsidR="00505619">
        <w:rPr>
          <w:rFonts w:ascii="Times New Roman" w:hAnsi="Times New Roman"/>
        </w:rPr>
        <w:t xml:space="preserve"> and FSAs</w:t>
      </w:r>
      <w:r w:rsidRPr="00ED2560">
        <w:rPr>
          <w:rFonts w:ascii="Times New Roman" w:hAnsi="Times New Roman"/>
        </w:rPr>
        <w:t xml:space="preserve"> are government </w:t>
      </w:r>
      <w:r w:rsidRPr="00ED2560" w:rsidR="00A63BB5">
        <w:rPr>
          <w:rFonts w:ascii="Times New Roman" w:hAnsi="Times New Roman"/>
        </w:rPr>
        <w:t xml:space="preserve">securities broker/dealers </w:t>
      </w:r>
      <w:r w:rsidRPr="00ED2560">
        <w:rPr>
          <w:rFonts w:ascii="Times New Roman" w:hAnsi="Times New Roman"/>
        </w:rPr>
        <w:t xml:space="preserve">and municipal securities dealers and to monitor entry into and exit from </w:t>
      </w:r>
      <w:r w:rsidRPr="00ED2560" w:rsidR="00A63BB5">
        <w:rPr>
          <w:rFonts w:ascii="Times New Roman" w:hAnsi="Times New Roman"/>
        </w:rPr>
        <w:t>these</w:t>
      </w:r>
      <w:r w:rsidRPr="00ED2560">
        <w:rPr>
          <w:rFonts w:ascii="Times New Roman" w:hAnsi="Times New Roman"/>
        </w:rPr>
        <w:t xml:space="preserve"> activities</w:t>
      </w:r>
      <w:r w:rsidRPr="00ED2560" w:rsidR="00B91083">
        <w:rPr>
          <w:rFonts w:ascii="Times New Roman" w:hAnsi="Times New Roman"/>
        </w:rPr>
        <w:t xml:space="preserve"> by institutions and registered persons</w:t>
      </w:r>
      <w:r w:rsidRPr="00ED2560">
        <w:rPr>
          <w:rFonts w:ascii="Times New Roman" w:hAnsi="Times New Roman"/>
        </w:rPr>
        <w:t xml:space="preserve">.  Further, the OCC uses the information in planning </w:t>
      </w:r>
      <w:r w:rsidR="007274D5">
        <w:rPr>
          <w:rFonts w:ascii="Times New Roman" w:hAnsi="Times New Roman"/>
        </w:rPr>
        <w:t xml:space="preserve">the </w:t>
      </w:r>
      <w:r w:rsidRPr="00ED2560">
        <w:rPr>
          <w:rFonts w:ascii="Times New Roman" w:hAnsi="Times New Roman"/>
        </w:rPr>
        <w:t xml:space="preserve">required </w:t>
      </w:r>
      <w:r w:rsidRPr="00ED2560" w:rsidR="00505619">
        <w:rPr>
          <w:rFonts w:ascii="Times New Roman" w:hAnsi="Times New Roman"/>
        </w:rPr>
        <w:t xml:space="preserve">national </w:t>
      </w:r>
      <w:r w:rsidRPr="00ED2560">
        <w:rPr>
          <w:rFonts w:ascii="Times New Roman" w:hAnsi="Times New Roman"/>
        </w:rPr>
        <w:t xml:space="preserve">bank </w:t>
      </w:r>
      <w:r w:rsidRPr="00ED2560" w:rsidR="00505619">
        <w:rPr>
          <w:rFonts w:ascii="Times New Roman" w:hAnsi="Times New Roman"/>
        </w:rPr>
        <w:t xml:space="preserve">and FSA </w:t>
      </w:r>
      <w:r w:rsidRPr="00ED2560">
        <w:rPr>
          <w:rFonts w:ascii="Times New Roman" w:hAnsi="Times New Roman"/>
        </w:rPr>
        <w:t xml:space="preserve">examinations.  The information contributes to the OCC's understanding of the </w:t>
      </w:r>
      <w:r w:rsidRPr="00ED2560" w:rsidR="00505619">
        <w:rPr>
          <w:rFonts w:ascii="Times New Roman" w:hAnsi="Times New Roman"/>
        </w:rPr>
        <w:t xml:space="preserve">national </w:t>
      </w:r>
      <w:r w:rsidRPr="00ED2560">
        <w:rPr>
          <w:rFonts w:ascii="Times New Roman" w:hAnsi="Times New Roman"/>
        </w:rPr>
        <w:t>bank</w:t>
      </w:r>
      <w:r w:rsidRPr="00ED2560" w:rsidR="00505619">
        <w:rPr>
          <w:rFonts w:ascii="Times New Roman" w:hAnsi="Times New Roman"/>
        </w:rPr>
        <w:t xml:space="preserve"> or FSA</w:t>
      </w:r>
      <w:r w:rsidRPr="00ED2560">
        <w:rPr>
          <w:rFonts w:ascii="Times New Roman" w:hAnsi="Times New Roman"/>
        </w:rPr>
        <w:t xml:space="preserve"> and the scope of </w:t>
      </w:r>
      <w:r w:rsidRPr="00ED2560" w:rsidR="00086125">
        <w:rPr>
          <w:rFonts w:ascii="Times New Roman" w:hAnsi="Times New Roman"/>
        </w:rPr>
        <w:t xml:space="preserve">its </w:t>
      </w:r>
      <w:r w:rsidRPr="00ED2560">
        <w:rPr>
          <w:rFonts w:ascii="Times New Roman" w:hAnsi="Times New Roman"/>
        </w:rPr>
        <w:t>activities and facilitates OCC supervision</w:t>
      </w:r>
      <w:r w:rsidRPr="00ED2560" w:rsidR="00FE0AEB">
        <w:rPr>
          <w:rFonts w:ascii="Times New Roman" w:hAnsi="Times New Roman"/>
        </w:rPr>
        <w:t xml:space="preserve"> of</w:t>
      </w:r>
      <w:r w:rsidRPr="00ED2560">
        <w:rPr>
          <w:rFonts w:ascii="Times New Roman" w:hAnsi="Times New Roman"/>
        </w:rPr>
        <w:t xml:space="preserve"> and</w:t>
      </w:r>
      <w:r w:rsidRPr="00ED2560" w:rsidR="00FE0AEB">
        <w:rPr>
          <w:rFonts w:ascii="Times New Roman" w:hAnsi="Times New Roman"/>
        </w:rPr>
        <w:t>,</w:t>
      </w:r>
      <w:r w:rsidRPr="00ED2560">
        <w:rPr>
          <w:rFonts w:ascii="Times New Roman" w:hAnsi="Times New Roman"/>
        </w:rPr>
        <w:t xml:space="preserve"> </w:t>
      </w:r>
      <w:r w:rsidRPr="00ED2560" w:rsidR="00FE0AEB">
        <w:rPr>
          <w:rFonts w:ascii="Times New Roman" w:hAnsi="Times New Roman"/>
        </w:rPr>
        <w:t xml:space="preserve">in case of serious violations of the </w:t>
      </w:r>
      <w:r w:rsidRPr="00ED2560" w:rsidR="00505619">
        <w:rPr>
          <w:rFonts w:ascii="Times New Roman" w:hAnsi="Times New Roman"/>
        </w:rPr>
        <w:t xml:space="preserve">Exchange </w:t>
      </w:r>
      <w:r w:rsidRPr="00ED2560" w:rsidR="00FE0AEB">
        <w:rPr>
          <w:rFonts w:ascii="Times New Roman" w:hAnsi="Times New Roman"/>
        </w:rPr>
        <w:t xml:space="preserve">Act, </w:t>
      </w:r>
      <w:r w:rsidRPr="00ED2560">
        <w:rPr>
          <w:rFonts w:ascii="Times New Roman" w:hAnsi="Times New Roman"/>
        </w:rPr>
        <w:t>termination of broker/dealer activities.</w:t>
      </w:r>
    </w:p>
    <w:p w:rsidR="00036277" w14:paraId="6666077E" w14:textId="77777777">
      <w:pPr>
        <w:tabs>
          <w:tab w:val="left" w:pos="-1440"/>
        </w:tabs>
        <w:ind w:left="720" w:hanging="720"/>
        <w:rPr>
          <w:rFonts w:ascii="Times New Roman" w:hAnsi="Times New Roman"/>
        </w:rPr>
      </w:pPr>
    </w:p>
    <w:p w:rsidR="0065735F" w:rsidRPr="00A711EE" w14:paraId="733A61CF" w14:textId="77777777">
      <w:pPr>
        <w:tabs>
          <w:tab w:val="left" w:pos="-1440"/>
        </w:tabs>
        <w:ind w:left="720" w:hanging="720"/>
        <w:rPr>
          <w:rFonts w:ascii="Times New Roman" w:hAnsi="Times New Roman"/>
          <w:b/>
          <w:i/>
        </w:rPr>
      </w:pPr>
      <w:r w:rsidRPr="00A711EE">
        <w:rPr>
          <w:rFonts w:ascii="Times New Roman" w:hAnsi="Times New Roman"/>
          <w:b/>
          <w:i/>
        </w:rPr>
        <w:t>3.</w:t>
      </w:r>
      <w:r w:rsidRPr="00A711EE">
        <w:rPr>
          <w:rFonts w:ascii="Times New Roman" w:hAnsi="Times New Roman"/>
          <w:b/>
          <w:i/>
        </w:rPr>
        <w:tab/>
        <w:t>Consideration of the use of improved information technology:</w:t>
      </w:r>
    </w:p>
    <w:p w:rsidR="0065735F" w:rsidRPr="00ED2560" w14:paraId="21C737C4" w14:textId="77777777">
      <w:pPr>
        <w:rPr>
          <w:rFonts w:ascii="Times New Roman" w:hAnsi="Times New Roman"/>
        </w:rPr>
      </w:pPr>
    </w:p>
    <w:p w:rsidR="0065735F" w:rsidRPr="00ED2560" w14:paraId="72B30D87" w14:textId="4D851814">
      <w:pPr>
        <w:ind w:firstLine="720"/>
        <w:rPr>
          <w:rFonts w:ascii="Times New Roman" w:hAnsi="Times New Roman"/>
        </w:rPr>
      </w:pPr>
      <w:r w:rsidRPr="00ED2560">
        <w:rPr>
          <w:rFonts w:ascii="Times New Roman" w:hAnsi="Times New Roman"/>
        </w:rPr>
        <w:t xml:space="preserve">The forms are simple to prepare and submit and impose only minimal burden.  The OCC offers the documents </w:t>
      </w:r>
      <w:r w:rsidRPr="00ED2560" w:rsidR="000D07FA">
        <w:rPr>
          <w:rFonts w:ascii="Times New Roman" w:hAnsi="Times New Roman"/>
        </w:rPr>
        <w:t xml:space="preserve">on its </w:t>
      </w:r>
      <w:r w:rsidR="00DD76CD">
        <w:rPr>
          <w:rFonts w:ascii="Times New Roman" w:hAnsi="Times New Roman"/>
        </w:rPr>
        <w:t>w</w:t>
      </w:r>
      <w:r w:rsidRPr="00ED2560" w:rsidR="00607A5B">
        <w:rPr>
          <w:rFonts w:ascii="Times New Roman" w:hAnsi="Times New Roman"/>
        </w:rPr>
        <w:t xml:space="preserve">ebsite </w:t>
      </w:r>
      <w:r w:rsidRPr="00ED2560">
        <w:rPr>
          <w:rFonts w:ascii="Times New Roman" w:hAnsi="Times New Roman"/>
        </w:rPr>
        <w:t>to reduce burden and, whenever possible, the OCC responds by electronic mail to document requests from registrants.</w:t>
      </w:r>
    </w:p>
    <w:p w:rsidR="00505619" w:rsidRPr="00ED2560" w14:paraId="5A1ADE24" w14:textId="77777777">
      <w:pPr>
        <w:tabs>
          <w:tab w:val="left" w:pos="-1440"/>
        </w:tabs>
        <w:ind w:left="720" w:hanging="720"/>
        <w:rPr>
          <w:rFonts w:ascii="Times New Roman" w:hAnsi="Times New Roman"/>
        </w:rPr>
      </w:pPr>
    </w:p>
    <w:p w:rsidR="0065735F" w:rsidRPr="00A711EE" w14:paraId="53C8ECB5" w14:textId="77777777">
      <w:pPr>
        <w:tabs>
          <w:tab w:val="left" w:pos="-1440"/>
        </w:tabs>
        <w:ind w:left="720" w:hanging="720"/>
        <w:rPr>
          <w:rFonts w:ascii="Times New Roman" w:hAnsi="Times New Roman"/>
          <w:b/>
          <w:i/>
        </w:rPr>
      </w:pPr>
      <w:r w:rsidRPr="00A711EE">
        <w:rPr>
          <w:rFonts w:ascii="Times New Roman" w:hAnsi="Times New Roman"/>
          <w:b/>
          <w:i/>
        </w:rPr>
        <w:t>4.</w:t>
      </w:r>
      <w:r w:rsidRPr="00A711EE">
        <w:rPr>
          <w:rFonts w:ascii="Times New Roman" w:hAnsi="Times New Roman"/>
          <w:b/>
          <w:i/>
        </w:rPr>
        <w:tab/>
        <w:t>Efforts to identify duplication:</w:t>
      </w:r>
    </w:p>
    <w:p w:rsidR="006056F8" w14:paraId="643C7601" w14:textId="77777777">
      <w:pPr>
        <w:ind w:firstLine="720"/>
        <w:rPr>
          <w:rFonts w:ascii="Times New Roman" w:hAnsi="Times New Roman"/>
        </w:rPr>
      </w:pPr>
    </w:p>
    <w:p w:rsidR="0065735F" w:rsidRPr="00ED2560" w14:paraId="74A2E146" w14:textId="65A41EBF">
      <w:pPr>
        <w:ind w:firstLine="720"/>
        <w:rPr>
          <w:rFonts w:ascii="Times New Roman" w:hAnsi="Times New Roman"/>
        </w:rPr>
      </w:pPr>
      <w:r w:rsidRPr="00ED2560">
        <w:rPr>
          <w:rFonts w:ascii="Times New Roman" w:hAnsi="Times New Roman"/>
        </w:rPr>
        <w:t xml:space="preserve">The information obtained in the forms is unique.  </w:t>
      </w:r>
      <w:r w:rsidR="00EC773A">
        <w:rPr>
          <w:rFonts w:ascii="Times New Roman" w:hAnsi="Times New Roman"/>
        </w:rPr>
        <w:t>The forms</w:t>
      </w:r>
      <w:r w:rsidRPr="00ED2560" w:rsidR="00017A1A">
        <w:rPr>
          <w:rFonts w:ascii="Times New Roman" w:hAnsi="Times New Roman"/>
        </w:rPr>
        <w:t xml:space="preserve"> generally </w:t>
      </w:r>
      <w:r w:rsidRPr="00ED2560">
        <w:rPr>
          <w:rFonts w:ascii="Times New Roman" w:hAnsi="Times New Roman"/>
        </w:rPr>
        <w:t>identif</w:t>
      </w:r>
      <w:r w:rsidRPr="00ED2560" w:rsidR="00017A1A">
        <w:rPr>
          <w:rFonts w:ascii="Times New Roman" w:hAnsi="Times New Roman"/>
        </w:rPr>
        <w:t>y</w:t>
      </w:r>
      <w:r w:rsidRPr="00ED2560">
        <w:rPr>
          <w:rFonts w:ascii="Times New Roman" w:hAnsi="Times New Roman"/>
        </w:rPr>
        <w:t xml:space="preserve"> the </w:t>
      </w:r>
      <w:r w:rsidRPr="00ED2560" w:rsidR="00505619">
        <w:rPr>
          <w:rFonts w:ascii="Times New Roman" w:hAnsi="Times New Roman"/>
        </w:rPr>
        <w:t xml:space="preserve">national </w:t>
      </w:r>
      <w:r w:rsidRPr="00ED2560">
        <w:rPr>
          <w:rFonts w:ascii="Times New Roman" w:hAnsi="Times New Roman"/>
        </w:rPr>
        <w:t xml:space="preserve">bank </w:t>
      </w:r>
      <w:r w:rsidRPr="00ED2560" w:rsidR="00505619">
        <w:rPr>
          <w:rFonts w:ascii="Times New Roman" w:hAnsi="Times New Roman"/>
        </w:rPr>
        <w:t xml:space="preserve">or FSA </w:t>
      </w:r>
      <w:r w:rsidRPr="00ED2560">
        <w:rPr>
          <w:rFonts w:ascii="Times New Roman" w:hAnsi="Times New Roman"/>
        </w:rPr>
        <w:t xml:space="preserve">as a government </w:t>
      </w:r>
      <w:r w:rsidRPr="00ED2560" w:rsidR="00017A1A">
        <w:rPr>
          <w:rFonts w:ascii="Times New Roman" w:hAnsi="Times New Roman"/>
        </w:rPr>
        <w:t xml:space="preserve">securities broker/dealer </w:t>
      </w:r>
      <w:r w:rsidRPr="00ED2560">
        <w:rPr>
          <w:rFonts w:ascii="Times New Roman" w:hAnsi="Times New Roman"/>
        </w:rPr>
        <w:t>and/or municipal securities dealer, associated and supervisory personnel, and the types of securities activities.  In cases where individuals are registered under both the government and municipal securities laws, the OCC will permit those individuals to submit combin</w:t>
      </w:r>
      <w:r w:rsidR="00F2137D">
        <w:rPr>
          <w:rFonts w:ascii="Times New Roman" w:hAnsi="Times New Roman"/>
        </w:rPr>
        <w:t xml:space="preserve">ed information on the MSD-4 </w:t>
      </w:r>
      <w:r w:rsidRPr="00ED2560">
        <w:rPr>
          <w:rFonts w:ascii="Times New Roman" w:hAnsi="Times New Roman"/>
        </w:rPr>
        <w:t>or the MSD-5.</w:t>
      </w:r>
    </w:p>
    <w:p w:rsidR="0065735F" w:rsidRPr="00ED2560" w14:paraId="27A93DEE" w14:textId="77777777">
      <w:pPr>
        <w:rPr>
          <w:rFonts w:ascii="Times New Roman" w:hAnsi="Times New Roman"/>
        </w:rPr>
      </w:pPr>
    </w:p>
    <w:p w:rsidR="0065735F" w:rsidRPr="00A711EE" w14:paraId="22B9A4E9" w14:textId="77777777">
      <w:pPr>
        <w:tabs>
          <w:tab w:val="left" w:pos="-1440"/>
        </w:tabs>
        <w:ind w:left="720" w:hanging="720"/>
        <w:rPr>
          <w:rFonts w:ascii="Times New Roman" w:hAnsi="Times New Roman"/>
          <w:b/>
          <w:i/>
        </w:rPr>
      </w:pPr>
      <w:r w:rsidRPr="00A711EE">
        <w:rPr>
          <w:rFonts w:ascii="Times New Roman" w:hAnsi="Times New Roman"/>
          <w:b/>
          <w:i/>
        </w:rPr>
        <w:t>5.</w:t>
      </w:r>
      <w:r w:rsidRPr="00A711EE">
        <w:rPr>
          <w:rFonts w:ascii="Times New Roman" w:hAnsi="Times New Roman"/>
          <w:b/>
          <w:i/>
        </w:rPr>
        <w:tab/>
        <w:t>Methods used to minimize burden if the collection has a significant impact on small entities:</w:t>
      </w:r>
    </w:p>
    <w:p w:rsidR="0065735F" w:rsidRPr="00ED2560" w14:paraId="46F84321" w14:textId="77777777">
      <w:pPr>
        <w:rPr>
          <w:rFonts w:ascii="Times New Roman" w:hAnsi="Times New Roman"/>
        </w:rPr>
      </w:pPr>
    </w:p>
    <w:p w:rsidR="0065735F" w:rsidRPr="00ED2560" w14:paraId="3D342394" w14:textId="77777777">
      <w:pPr>
        <w:ind w:firstLine="720"/>
        <w:rPr>
          <w:rFonts w:ascii="Times New Roman" w:hAnsi="Times New Roman"/>
        </w:rPr>
      </w:pPr>
      <w:r>
        <w:rPr>
          <w:rFonts w:ascii="Times New Roman" w:hAnsi="Times New Roman"/>
        </w:rPr>
        <w:t>Not applicable.</w:t>
      </w:r>
    </w:p>
    <w:p w:rsidR="0065735F" w:rsidRPr="00ED2560" w14:paraId="1445AF66" w14:textId="77777777">
      <w:pPr>
        <w:rPr>
          <w:rFonts w:ascii="Times New Roman" w:hAnsi="Times New Roman"/>
        </w:rPr>
      </w:pPr>
    </w:p>
    <w:p w:rsidR="0065735F" w:rsidRPr="00A711EE" w14:paraId="50668C3C" w14:textId="3AE41D45">
      <w:pPr>
        <w:tabs>
          <w:tab w:val="left" w:pos="-1440"/>
        </w:tabs>
        <w:ind w:left="720" w:hanging="720"/>
        <w:rPr>
          <w:rFonts w:ascii="Times New Roman" w:hAnsi="Times New Roman"/>
          <w:b/>
          <w:i/>
        </w:rPr>
      </w:pPr>
      <w:r w:rsidRPr="00A711EE">
        <w:rPr>
          <w:rFonts w:ascii="Times New Roman" w:hAnsi="Times New Roman"/>
          <w:b/>
          <w:i/>
        </w:rPr>
        <w:t>6.</w:t>
      </w:r>
      <w:r w:rsidRPr="00A711EE">
        <w:rPr>
          <w:rFonts w:ascii="Times New Roman" w:hAnsi="Times New Roman"/>
          <w:b/>
          <w:i/>
        </w:rPr>
        <w:tab/>
        <w:t>Consequences to the Federal Program if the collection were conducted less frequently:</w:t>
      </w:r>
    </w:p>
    <w:p w:rsidR="0065735F" w:rsidRPr="00ED2560" w14:paraId="091EABC6" w14:textId="77777777">
      <w:pPr>
        <w:rPr>
          <w:rFonts w:ascii="Times New Roman" w:hAnsi="Times New Roman"/>
        </w:rPr>
      </w:pPr>
    </w:p>
    <w:p w:rsidR="0065735F" w:rsidRPr="00ED2560" w14:paraId="78B07376" w14:textId="77777777">
      <w:pPr>
        <w:ind w:firstLine="720"/>
        <w:rPr>
          <w:rFonts w:ascii="Times New Roman" w:hAnsi="Times New Roman"/>
        </w:rPr>
      </w:pPr>
      <w:r w:rsidRPr="00ED2560">
        <w:rPr>
          <w:rFonts w:ascii="Times New Roman" w:hAnsi="Times New Roman"/>
        </w:rPr>
        <w:t xml:space="preserve">Reports are required only when the </w:t>
      </w:r>
      <w:r w:rsidRPr="00ED2560" w:rsidR="00505619">
        <w:rPr>
          <w:rFonts w:ascii="Times New Roman" w:hAnsi="Times New Roman"/>
        </w:rPr>
        <w:t xml:space="preserve">national </w:t>
      </w:r>
      <w:r w:rsidRPr="00ED2560">
        <w:rPr>
          <w:rFonts w:ascii="Times New Roman" w:hAnsi="Times New Roman"/>
        </w:rPr>
        <w:t>bank</w:t>
      </w:r>
      <w:r w:rsidRPr="00ED2560" w:rsidR="00505619">
        <w:rPr>
          <w:rFonts w:ascii="Times New Roman" w:hAnsi="Times New Roman"/>
        </w:rPr>
        <w:t xml:space="preserve"> or FSA</w:t>
      </w:r>
      <w:r w:rsidRPr="00ED2560">
        <w:rPr>
          <w:rFonts w:ascii="Times New Roman" w:hAnsi="Times New Roman"/>
        </w:rPr>
        <w:t xml:space="preserve"> initially registers with the OCC, withdraws its registration, or when material changes are noted in personnel or the locations of securities activities.  The information is collected as changes occur.  The information cannot be collected less frequently due to statutory requirements.</w:t>
      </w:r>
    </w:p>
    <w:p w:rsidR="0065735F" w:rsidRPr="00ED2560" w14:paraId="244A8056" w14:textId="77777777">
      <w:pPr>
        <w:rPr>
          <w:rFonts w:ascii="Times New Roman" w:hAnsi="Times New Roman"/>
        </w:rPr>
      </w:pPr>
    </w:p>
    <w:p w:rsidR="0065735F" w:rsidRPr="00A711EE" w14:paraId="592A307E" w14:textId="77777777">
      <w:pPr>
        <w:tabs>
          <w:tab w:val="left" w:pos="-1440"/>
        </w:tabs>
        <w:ind w:left="720" w:hanging="720"/>
        <w:rPr>
          <w:rFonts w:ascii="Times New Roman" w:hAnsi="Times New Roman"/>
          <w:b/>
          <w:i/>
        </w:rPr>
      </w:pPr>
      <w:r w:rsidRPr="00A711EE">
        <w:rPr>
          <w:rFonts w:ascii="Times New Roman" w:hAnsi="Times New Roman"/>
          <w:b/>
          <w:i/>
        </w:rPr>
        <w:t>7.</w:t>
      </w:r>
      <w:r w:rsidRPr="00A711EE">
        <w:rPr>
          <w:rFonts w:ascii="Times New Roman" w:hAnsi="Times New Roman"/>
          <w:b/>
          <w:i/>
        </w:rPr>
        <w:tab/>
        <w:t xml:space="preserve">Special circumstances necessitating collection inconsistent with 5 CFR </w:t>
      </w:r>
      <w:r w:rsidRPr="00A711EE" w:rsidR="00036277">
        <w:rPr>
          <w:rFonts w:ascii="Times New Roman" w:hAnsi="Times New Roman"/>
          <w:b/>
          <w:i/>
        </w:rPr>
        <w:t>p</w:t>
      </w:r>
      <w:r w:rsidRPr="00A711EE">
        <w:rPr>
          <w:rFonts w:ascii="Times New Roman" w:hAnsi="Times New Roman"/>
          <w:b/>
          <w:i/>
        </w:rPr>
        <w:t>art 1320:</w:t>
      </w:r>
    </w:p>
    <w:p w:rsidR="0065735F" w:rsidRPr="00ED2560" w14:paraId="42933607" w14:textId="77777777">
      <w:pPr>
        <w:rPr>
          <w:rFonts w:ascii="Times New Roman" w:hAnsi="Times New Roman"/>
        </w:rPr>
      </w:pPr>
    </w:p>
    <w:p w:rsidR="00AE3AB9" w:rsidRPr="00AE3AB9" w:rsidP="00AE3AB9" w14:paraId="02B496A7" w14:textId="77777777">
      <w:pPr>
        <w:widowControl/>
        <w:autoSpaceDE/>
        <w:autoSpaceDN/>
        <w:adjustRightInd/>
        <w:ind w:firstLine="720"/>
        <w:rPr>
          <w:rFonts w:ascii="Times New Roman" w:hAnsi="Times New Roman"/>
          <w:color w:val="000000"/>
          <w:szCs w:val="20"/>
        </w:rPr>
      </w:pPr>
      <w:r w:rsidRPr="00AE3AB9">
        <w:rPr>
          <w:rFonts w:ascii="Times New Roman" w:hAnsi="Times New Roman"/>
          <w:szCs w:val="20"/>
        </w:rPr>
        <w:t>The information collection is conducted in accordance with the requirements of 5 CFR Part 1320.</w:t>
      </w:r>
    </w:p>
    <w:p w:rsidR="006D099D" w14:paraId="09DFA425" w14:textId="77777777">
      <w:pPr>
        <w:tabs>
          <w:tab w:val="left" w:pos="-1440"/>
        </w:tabs>
        <w:ind w:left="720" w:hanging="720"/>
        <w:rPr>
          <w:rFonts w:ascii="Times New Roman" w:hAnsi="Times New Roman"/>
          <w:b/>
          <w:i/>
        </w:rPr>
      </w:pPr>
    </w:p>
    <w:p w:rsidR="0065735F" w:rsidRPr="00A711EE" w14:paraId="35F649DA" w14:textId="77777777">
      <w:pPr>
        <w:tabs>
          <w:tab w:val="left" w:pos="-1440"/>
        </w:tabs>
        <w:ind w:left="720" w:hanging="720"/>
        <w:rPr>
          <w:rFonts w:ascii="Times New Roman" w:hAnsi="Times New Roman"/>
          <w:b/>
          <w:i/>
        </w:rPr>
      </w:pPr>
      <w:r w:rsidRPr="00A711EE">
        <w:rPr>
          <w:rFonts w:ascii="Times New Roman" w:hAnsi="Times New Roman"/>
          <w:b/>
          <w:i/>
        </w:rPr>
        <w:t>8.</w:t>
      </w:r>
      <w:r w:rsidRPr="00A711EE">
        <w:rPr>
          <w:rFonts w:ascii="Times New Roman" w:hAnsi="Times New Roman"/>
          <w:b/>
          <w:i/>
        </w:rPr>
        <w:tab/>
        <w:t>Efforts to consult with persons outside the agency:</w:t>
      </w:r>
    </w:p>
    <w:p w:rsidR="0065735F" w:rsidRPr="00ED2560" w14:paraId="447C052A" w14:textId="77777777">
      <w:pPr>
        <w:rPr>
          <w:rFonts w:ascii="Times New Roman" w:hAnsi="Times New Roman"/>
        </w:rPr>
      </w:pPr>
    </w:p>
    <w:p w:rsidR="0065735F" w:rsidRPr="00AE3AB9" w:rsidP="009539C5" w14:paraId="64DEF558" w14:textId="7CFC50EC">
      <w:pPr>
        <w:widowControl/>
        <w:autoSpaceDE/>
        <w:autoSpaceDN/>
        <w:adjustRightInd/>
        <w:ind w:firstLine="720"/>
        <w:rPr>
          <w:rFonts w:ascii="Times New Roman" w:hAnsi="Times New Roman"/>
          <w:bCs/>
          <w:szCs w:val="20"/>
        </w:rPr>
      </w:pPr>
      <w:bookmarkStart w:id="1" w:name="_Hlk160007020"/>
      <w:r w:rsidRPr="00AE3AB9">
        <w:rPr>
          <w:rFonts w:ascii="Times New Roman" w:hAnsi="Times New Roman"/>
          <w:bCs/>
          <w:szCs w:val="20"/>
        </w:rPr>
        <w:t xml:space="preserve">The OCC issued a 60-day </w:t>
      </w:r>
      <w:r w:rsidRPr="00AE3AB9">
        <w:rPr>
          <w:rFonts w:ascii="Times New Roman" w:hAnsi="Times New Roman"/>
          <w:bCs/>
          <w:i/>
          <w:szCs w:val="20"/>
        </w:rPr>
        <w:t xml:space="preserve">Federal Register </w:t>
      </w:r>
      <w:r w:rsidRPr="00AE3AB9">
        <w:rPr>
          <w:rFonts w:ascii="Times New Roman" w:hAnsi="Times New Roman"/>
          <w:bCs/>
          <w:szCs w:val="20"/>
        </w:rPr>
        <w:t xml:space="preserve">notice on </w:t>
      </w:r>
      <w:r w:rsidR="00096D56">
        <w:rPr>
          <w:rFonts w:ascii="Times New Roman" w:hAnsi="Times New Roman"/>
          <w:bCs/>
          <w:szCs w:val="20"/>
        </w:rPr>
        <w:t>June 23, 2025</w:t>
      </w:r>
      <w:r w:rsidRPr="00AE3AB9">
        <w:rPr>
          <w:rFonts w:ascii="Times New Roman" w:hAnsi="Times New Roman"/>
          <w:bCs/>
          <w:szCs w:val="20"/>
        </w:rPr>
        <w:t xml:space="preserve">, </w:t>
      </w:r>
      <w:r w:rsidR="00096D56">
        <w:rPr>
          <w:rFonts w:ascii="Times New Roman" w:hAnsi="Times New Roman"/>
          <w:bCs/>
          <w:szCs w:val="20"/>
        </w:rPr>
        <w:t>90</w:t>
      </w:r>
      <w:r w:rsidRPr="00AE3AB9">
        <w:rPr>
          <w:rFonts w:ascii="Times New Roman" w:hAnsi="Times New Roman"/>
          <w:bCs/>
          <w:szCs w:val="20"/>
        </w:rPr>
        <w:t xml:space="preserve"> FR </w:t>
      </w:r>
      <w:r w:rsidR="00096D56">
        <w:rPr>
          <w:rFonts w:ascii="Times New Roman" w:hAnsi="Times New Roman"/>
          <w:bCs/>
          <w:szCs w:val="20"/>
        </w:rPr>
        <w:t>26678</w:t>
      </w:r>
      <w:r w:rsidRPr="00AE3AB9">
        <w:rPr>
          <w:rFonts w:ascii="Times New Roman" w:hAnsi="Times New Roman"/>
          <w:bCs/>
          <w:szCs w:val="20"/>
        </w:rPr>
        <w:t xml:space="preserve">.  </w:t>
      </w:r>
      <w:r w:rsidR="00096D56">
        <w:rPr>
          <w:rFonts w:ascii="Times New Roman" w:hAnsi="Times New Roman"/>
          <w:bCs/>
          <w:szCs w:val="20"/>
        </w:rPr>
        <w:t>No</w:t>
      </w:r>
      <w:r w:rsidRPr="00AE3AB9">
        <w:rPr>
          <w:rFonts w:ascii="Times New Roman" w:hAnsi="Times New Roman"/>
          <w:bCs/>
          <w:szCs w:val="20"/>
        </w:rPr>
        <w:t xml:space="preserve"> comments were received.</w:t>
      </w:r>
      <w:bookmarkEnd w:id="1"/>
    </w:p>
    <w:p w:rsidR="0065735F" w:rsidRPr="00ED2560" w14:paraId="5877300C" w14:textId="77777777">
      <w:pPr>
        <w:rPr>
          <w:rFonts w:ascii="Times New Roman" w:hAnsi="Times New Roman"/>
        </w:rPr>
      </w:pPr>
    </w:p>
    <w:p w:rsidR="0065735F" w:rsidRPr="00A711EE" w14:paraId="6F7B1898" w14:textId="77777777">
      <w:pPr>
        <w:rPr>
          <w:rFonts w:ascii="Times New Roman" w:hAnsi="Times New Roman"/>
          <w:b/>
          <w:i/>
        </w:rPr>
      </w:pPr>
      <w:r w:rsidRPr="00A711EE">
        <w:rPr>
          <w:rFonts w:ascii="Times New Roman" w:hAnsi="Times New Roman"/>
          <w:b/>
          <w:i/>
        </w:rPr>
        <w:t>9.</w:t>
      </w:r>
      <w:r w:rsidRPr="00A711EE">
        <w:rPr>
          <w:rFonts w:ascii="Times New Roman" w:hAnsi="Times New Roman"/>
          <w:b/>
          <w:i/>
        </w:rPr>
        <w:tab/>
        <w:t>Payment to respondents:</w:t>
      </w:r>
    </w:p>
    <w:p w:rsidR="0065735F" w:rsidRPr="00ED2560" w14:paraId="606B700F" w14:textId="77777777">
      <w:pPr>
        <w:rPr>
          <w:rFonts w:ascii="Times New Roman" w:hAnsi="Times New Roman"/>
        </w:rPr>
      </w:pPr>
    </w:p>
    <w:p w:rsidR="0065735F" w:rsidRPr="00ED2560" w14:paraId="14B6DE92" w14:textId="77777777">
      <w:pPr>
        <w:ind w:firstLine="720"/>
        <w:rPr>
          <w:rFonts w:ascii="Times New Roman" w:hAnsi="Times New Roman"/>
        </w:rPr>
      </w:pPr>
      <w:r w:rsidRPr="00ED2560">
        <w:rPr>
          <w:rFonts w:ascii="Times New Roman" w:hAnsi="Times New Roman"/>
        </w:rPr>
        <w:t>Not applicable.  There is no payment to respondents.</w:t>
      </w:r>
    </w:p>
    <w:p w:rsidR="000C6BD3" w:rsidRPr="00ED2560" w14:paraId="468548D3" w14:textId="77777777">
      <w:pPr>
        <w:tabs>
          <w:tab w:val="left" w:pos="-1440"/>
        </w:tabs>
        <w:ind w:left="720" w:hanging="720"/>
        <w:rPr>
          <w:rFonts w:ascii="Times New Roman" w:hAnsi="Times New Roman"/>
        </w:rPr>
      </w:pPr>
    </w:p>
    <w:p w:rsidR="0065735F" w:rsidRPr="00A711EE" w14:paraId="0247B2EE" w14:textId="77777777">
      <w:pPr>
        <w:tabs>
          <w:tab w:val="left" w:pos="-1440"/>
        </w:tabs>
        <w:ind w:left="720" w:hanging="720"/>
        <w:rPr>
          <w:rFonts w:ascii="Times New Roman" w:hAnsi="Times New Roman"/>
          <w:b/>
          <w:i/>
        </w:rPr>
      </w:pPr>
      <w:r w:rsidRPr="00A711EE">
        <w:rPr>
          <w:rFonts w:ascii="Times New Roman" w:hAnsi="Times New Roman"/>
          <w:b/>
          <w:i/>
        </w:rPr>
        <w:t>10.</w:t>
      </w:r>
      <w:r w:rsidRPr="00A711EE">
        <w:rPr>
          <w:rFonts w:ascii="Times New Roman" w:hAnsi="Times New Roman"/>
          <w:b/>
          <w:i/>
        </w:rPr>
        <w:tab/>
        <w:t>Any assurance of confidentiality:</w:t>
      </w:r>
    </w:p>
    <w:p w:rsidR="0065735F" w:rsidRPr="00ED2560" w14:paraId="13A7F3A2" w14:textId="77777777">
      <w:pPr>
        <w:rPr>
          <w:rFonts w:ascii="Times New Roman" w:hAnsi="Times New Roman"/>
        </w:rPr>
      </w:pPr>
    </w:p>
    <w:p w:rsidR="0065735F" w:rsidRPr="00ED2560" w14:paraId="2D3A56E9" w14:textId="77777777">
      <w:pPr>
        <w:ind w:firstLine="720"/>
        <w:rPr>
          <w:rFonts w:ascii="Times New Roman" w:hAnsi="Times New Roman"/>
        </w:rPr>
      </w:pPr>
      <w:r w:rsidRPr="00ED2560">
        <w:rPr>
          <w:rFonts w:ascii="Times New Roman" w:hAnsi="Times New Roman"/>
        </w:rPr>
        <w:t>No assurance of confidentiality is provided.</w:t>
      </w:r>
    </w:p>
    <w:p w:rsidR="009A42C4" w:rsidP="004F6388" w14:paraId="3224F6F2" w14:textId="77777777">
      <w:pPr>
        <w:tabs>
          <w:tab w:val="left" w:pos="-1440"/>
        </w:tabs>
        <w:rPr>
          <w:rFonts w:ascii="Times New Roman" w:hAnsi="Times New Roman"/>
        </w:rPr>
      </w:pPr>
    </w:p>
    <w:p w:rsidR="0065735F" w:rsidRPr="00A711EE" w14:paraId="4F2274A2" w14:textId="77777777">
      <w:pPr>
        <w:tabs>
          <w:tab w:val="left" w:pos="-1440"/>
        </w:tabs>
        <w:ind w:left="720" w:hanging="720"/>
        <w:rPr>
          <w:rFonts w:ascii="Times New Roman" w:hAnsi="Times New Roman"/>
          <w:b/>
          <w:i/>
        </w:rPr>
      </w:pPr>
      <w:r w:rsidRPr="00A711EE">
        <w:rPr>
          <w:rFonts w:ascii="Times New Roman" w:hAnsi="Times New Roman"/>
          <w:b/>
          <w:i/>
        </w:rPr>
        <w:t>11.</w:t>
      </w:r>
      <w:r w:rsidRPr="00A711EE">
        <w:rPr>
          <w:rFonts w:ascii="Times New Roman" w:hAnsi="Times New Roman"/>
          <w:b/>
          <w:i/>
        </w:rPr>
        <w:tab/>
        <w:t>Justification for questions of a sensitive nature:</w:t>
      </w:r>
    </w:p>
    <w:p w:rsidR="0065735F" w:rsidRPr="00ED2560" w14:paraId="77E15911" w14:textId="77777777">
      <w:pPr>
        <w:rPr>
          <w:rFonts w:ascii="Times New Roman" w:hAnsi="Times New Roman"/>
        </w:rPr>
      </w:pPr>
    </w:p>
    <w:p w:rsidR="0065735F" w:rsidRPr="00ED2560" w14:paraId="1B22E8CC" w14:textId="77777777">
      <w:pPr>
        <w:ind w:firstLine="720"/>
        <w:rPr>
          <w:rFonts w:ascii="Times New Roman" w:hAnsi="Times New Roman"/>
        </w:rPr>
      </w:pPr>
      <w:r>
        <w:rPr>
          <w:rFonts w:ascii="Times New Roman" w:hAnsi="Times New Roman"/>
        </w:rPr>
        <w:t>Not applicable</w:t>
      </w:r>
      <w:r w:rsidRPr="00ED2560">
        <w:rPr>
          <w:rFonts w:ascii="Times New Roman" w:hAnsi="Times New Roman"/>
        </w:rPr>
        <w:t>.</w:t>
      </w:r>
    </w:p>
    <w:p w:rsidR="006056F8" w14:paraId="4E47C2D9" w14:textId="77777777">
      <w:pPr>
        <w:rPr>
          <w:rFonts w:ascii="Times New Roman" w:hAnsi="Times New Roman"/>
          <w:b/>
          <w:i/>
        </w:rPr>
      </w:pPr>
    </w:p>
    <w:p w:rsidR="0065735F" w:rsidRPr="00A711EE" w14:paraId="0FF2425A" w14:textId="3E39E660">
      <w:pPr>
        <w:rPr>
          <w:rFonts w:ascii="Times New Roman" w:hAnsi="Times New Roman"/>
          <w:b/>
          <w:i/>
        </w:rPr>
      </w:pPr>
      <w:r w:rsidRPr="00A711EE">
        <w:rPr>
          <w:rFonts w:ascii="Times New Roman" w:hAnsi="Times New Roman"/>
          <w:b/>
          <w:i/>
        </w:rPr>
        <w:t>12.</w:t>
      </w:r>
      <w:r w:rsidRPr="00A711EE">
        <w:rPr>
          <w:rFonts w:ascii="Times New Roman" w:hAnsi="Times New Roman"/>
          <w:b/>
          <w:i/>
        </w:rPr>
        <w:tab/>
        <w:t>Burden estimate:</w:t>
      </w:r>
    </w:p>
    <w:p w:rsidR="0065735F" w:rsidRPr="00ED2560" w14:paraId="5BE83FD3" w14:textId="77777777">
      <w:pPr>
        <w:rPr>
          <w:rFonts w:ascii="Times New Roman" w:hAnsi="Times New Roman"/>
        </w:rPr>
      </w:pPr>
    </w:p>
    <w:p w:rsidR="0065735F" w:rsidRPr="00ED2560" w14:paraId="77E56647" w14:textId="02B2729E">
      <w:pPr>
        <w:ind w:firstLine="720"/>
        <w:rPr>
          <w:rFonts w:ascii="Times New Roman" w:hAnsi="Times New Roman"/>
        </w:rPr>
      </w:pPr>
      <w:r w:rsidRPr="00ED2560">
        <w:rPr>
          <w:rFonts w:ascii="Times New Roman" w:hAnsi="Times New Roman"/>
        </w:rPr>
        <w:t xml:space="preserve">There are </w:t>
      </w:r>
      <w:r w:rsidR="00DF283B">
        <w:rPr>
          <w:rFonts w:ascii="Times New Roman" w:hAnsi="Times New Roman"/>
        </w:rPr>
        <w:t>1</w:t>
      </w:r>
      <w:r w:rsidR="00071632">
        <w:rPr>
          <w:rFonts w:ascii="Times New Roman" w:hAnsi="Times New Roman"/>
        </w:rPr>
        <w:t>3</w:t>
      </w:r>
      <w:r w:rsidRPr="00ED2560" w:rsidR="0082437E">
        <w:rPr>
          <w:rFonts w:ascii="Times New Roman" w:hAnsi="Times New Roman"/>
        </w:rPr>
        <w:t xml:space="preserve"> </w:t>
      </w:r>
      <w:r w:rsidRPr="00ED2560">
        <w:rPr>
          <w:rFonts w:ascii="Times New Roman" w:hAnsi="Times New Roman"/>
        </w:rPr>
        <w:t>bank dealers</w:t>
      </w:r>
      <w:r w:rsidRPr="00ED2560" w:rsidR="00EF7648">
        <w:rPr>
          <w:rFonts w:ascii="Times New Roman" w:hAnsi="Times New Roman"/>
        </w:rPr>
        <w:t xml:space="preserve"> (</w:t>
      </w:r>
      <w:r w:rsidR="00071632">
        <w:rPr>
          <w:rFonts w:ascii="Times New Roman" w:hAnsi="Times New Roman"/>
        </w:rPr>
        <w:t>4</w:t>
      </w:r>
      <w:r w:rsidRPr="00ED2560" w:rsidR="00EF7648">
        <w:rPr>
          <w:rFonts w:ascii="Times New Roman" w:hAnsi="Times New Roman"/>
        </w:rPr>
        <w:t xml:space="preserve"> government securities dealers and </w:t>
      </w:r>
      <w:r w:rsidR="00071632">
        <w:rPr>
          <w:rFonts w:ascii="Times New Roman" w:hAnsi="Times New Roman"/>
        </w:rPr>
        <w:t>9</w:t>
      </w:r>
      <w:r w:rsidRPr="00ED2560" w:rsidR="00EF7648">
        <w:rPr>
          <w:rFonts w:ascii="Times New Roman" w:hAnsi="Times New Roman"/>
        </w:rPr>
        <w:t xml:space="preserve"> municipal and government securities dealers)</w:t>
      </w:r>
      <w:r w:rsidRPr="00ED2560">
        <w:rPr>
          <w:rFonts w:ascii="Times New Roman" w:hAnsi="Times New Roman"/>
        </w:rPr>
        <w:t xml:space="preserve"> registered with the OCC.  The OCC expects to receive </w:t>
      </w:r>
      <w:r w:rsidR="00071632">
        <w:rPr>
          <w:rFonts w:ascii="Times New Roman" w:hAnsi="Times New Roman"/>
        </w:rPr>
        <w:t>621</w:t>
      </w:r>
      <w:r w:rsidRPr="00ED2560">
        <w:rPr>
          <w:rFonts w:ascii="Times New Roman" w:hAnsi="Times New Roman"/>
        </w:rPr>
        <w:t xml:space="preserve"> various filings per year.  </w:t>
      </w:r>
    </w:p>
    <w:p w:rsidR="0065735F" w:rsidRPr="00ED2560" w14:paraId="3691AFD3" w14:textId="77777777">
      <w:pPr>
        <w:rPr>
          <w:rFonts w:ascii="Times New Roman" w:hAnsi="Times New Roman"/>
        </w:rPr>
      </w:pPr>
    </w:p>
    <w:p w:rsidR="0065735F" w:rsidRPr="00ED2560" w14:paraId="0E12F936" w14:textId="25F28C8B">
      <w:pPr>
        <w:rPr>
          <w:rFonts w:ascii="Times New Roman" w:hAnsi="Times New Roman"/>
        </w:rPr>
      </w:pPr>
      <w:r>
        <w:rPr>
          <w:rFonts w:ascii="Times New Roman" w:hAnsi="Times New Roman"/>
        </w:rPr>
        <w:t>1</w:t>
      </w:r>
      <w:r w:rsidR="00071632">
        <w:rPr>
          <w:rFonts w:ascii="Times New Roman" w:hAnsi="Times New Roman"/>
        </w:rPr>
        <w:t>3</w:t>
      </w:r>
      <w:r w:rsidRPr="00ED2560" w:rsidR="0082437E">
        <w:rPr>
          <w:rFonts w:ascii="Times New Roman" w:hAnsi="Times New Roman"/>
        </w:rPr>
        <w:t xml:space="preserve"> </w:t>
      </w:r>
      <w:r w:rsidRPr="00ED2560" w:rsidR="00AA0A1B">
        <w:rPr>
          <w:rFonts w:ascii="Times New Roman" w:hAnsi="Times New Roman"/>
        </w:rPr>
        <w:t xml:space="preserve">respondents @ </w:t>
      </w:r>
      <w:r>
        <w:rPr>
          <w:rFonts w:ascii="Times New Roman" w:hAnsi="Times New Roman"/>
        </w:rPr>
        <w:t>47.</w:t>
      </w:r>
      <w:r w:rsidR="00071632">
        <w:rPr>
          <w:rFonts w:ascii="Times New Roman" w:hAnsi="Times New Roman"/>
        </w:rPr>
        <w:t>08</w:t>
      </w:r>
      <w:r w:rsidRPr="00ED2560" w:rsidR="007606D0">
        <w:rPr>
          <w:rFonts w:ascii="Times New Roman" w:hAnsi="Times New Roman"/>
        </w:rPr>
        <w:t xml:space="preserve"> </w:t>
      </w:r>
      <w:r w:rsidRPr="00ED2560">
        <w:rPr>
          <w:rFonts w:ascii="Times New Roman" w:hAnsi="Times New Roman"/>
        </w:rPr>
        <w:t xml:space="preserve">responses per year = </w:t>
      </w:r>
      <w:r w:rsidR="00071632">
        <w:rPr>
          <w:rFonts w:ascii="Times New Roman" w:hAnsi="Times New Roman"/>
        </w:rPr>
        <w:t>612</w:t>
      </w:r>
      <w:r w:rsidRPr="00ED2560" w:rsidR="00A83746">
        <w:rPr>
          <w:rFonts w:ascii="Times New Roman" w:hAnsi="Times New Roman"/>
        </w:rPr>
        <w:t xml:space="preserve"> </w:t>
      </w:r>
      <w:r w:rsidRPr="00ED2560">
        <w:rPr>
          <w:rFonts w:ascii="Times New Roman" w:hAnsi="Times New Roman"/>
        </w:rPr>
        <w:t>responses</w:t>
      </w:r>
    </w:p>
    <w:p w:rsidR="0065735F" w:rsidRPr="00ED2560" w14:paraId="08EF5201" w14:textId="37E3BC5E">
      <w:pPr>
        <w:rPr>
          <w:rFonts w:ascii="Times New Roman" w:hAnsi="Times New Roman"/>
        </w:rPr>
      </w:pPr>
      <w:r>
        <w:rPr>
          <w:rFonts w:ascii="Times New Roman" w:hAnsi="Times New Roman"/>
        </w:rPr>
        <w:t>612</w:t>
      </w:r>
      <w:r w:rsidRPr="00ED2560">
        <w:rPr>
          <w:rFonts w:ascii="Times New Roman" w:hAnsi="Times New Roman"/>
        </w:rPr>
        <w:t xml:space="preserve"> responses @ </w:t>
      </w:r>
      <w:r w:rsidR="00194E50">
        <w:rPr>
          <w:rFonts w:ascii="Times New Roman" w:hAnsi="Times New Roman"/>
        </w:rPr>
        <w:t>0.832</w:t>
      </w:r>
      <w:r>
        <w:rPr>
          <w:rFonts w:ascii="Times New Roman" w:hAnsi="Times New Roman"/>
        </w:rPr>
        <w:t>5</w:t>
      </w:r>
      <w:r w:rsidRPr="00ED2560" w:rsidR="0082437E">
        <w:rPr>
          <w:rFonts w:ascii="Times New Roman" w:hAnsi="Times New Roman"/>
        </w:rPr>
        <w:t xml:space="preserve"> </w:t>
      </w:r>
      <w:r w:rsidRPr="00ED2560" w:rsidR="00AA0A1B">
        <w:rPr>
          <w:rFonts w:ascii="Times New Roman" w:hAnsi="Times New Roman"/>
        </w:rPr>
        <w:t>hou</w:t>
      </w:r>
      <w:r w:rsidRPr="00ED2560">
        <w:rPr>
          <w:rFonts w:ascii="Times New Roman" w:hAnsi="Times New Roman"/>
        </w:rPr>
        <w:t>r</w:t>
      </w:r>
      <w:r w:rsidRPr="00ED2560" w:rsidR="00831829">
        <w:rPr>
          <w:rFonts w:ascii="Times New Roman" w:hAnsi="Times New Roman"/>
        </w:rPr>
        <w:t>s</w:t>
      </w:r>
      <w:r w:rsidRPr="00ED2560">
        <w:rPr>
          <w:rFonts w:ascii="Times New Roman" w:hAnsi="Times New Roman"/>
        </w:rPr>
        <w:t xml:space="preserve"> per response = </w:t>
      </w:r>
      <w:r>
        <w:rPr>
          <w:rFonts w:ascii="Times New Roman" w:hAnsi="Times New Roman"/>
        </w:rPr>
        <w:t>509.5</w:t>
      </w:r>
      <w:r w:rsidRPr="00ED2560">
        <w:rPr>
          <w:rFonts w:ascii="Times New Roman" w:hAnsi="Times New Roman"/>
        </w:rPr>
        <w:t xml:space="preserve"> </w:t>
      </w:r>
      <w:r w:rsidRPr="00ED2560">
        <w:rPr>
          <w:rFonts w:ascii="Times New Roman" w:hAnsi="Times New Roman"/>
        </w:rPr>
        <w:t>burden hours</w:t>
      </w:r>
    </w:p>
    <w:p w:rsidR="0065735F" w:rsidRPr="00ED2560" w14:paraId="6029AB7B" w14:textId="77777777">
      <w:pPr>
        <w:rPr>
          <w:rFonts w:ascii="Times New Roman" w:hAnsi="Times New Roman"/>
        </w:rPr>
      </w:pPr>
    </w:p>
    <w:p w:rsidR="0065735F" w:rsidRPr="00ED2560" w14:paraId="39A47396" w14:textId="77777777">
      <w:pPr>
        <w:rPr>
          <w:rFonts w:ascii="Times New Roman" w:hAnsi="Times New Roman"/>
        </w:rPr>
      </w:pPr>
      <w:r w:rsidRPr="00ED2560">
        <w:rPr>
          <w:rFonts w:ascii="Times New Roman" w:hAnsi="Times New Roman"/>
          <w:u w:val="single"/>
        </w:rPr>
        <w:t>Form</w:t>
      </w:r>
      <w:r w:rsidRPr="00ED2560">
        <w:rPr>
          <w:rFonts w:ascii="Times New Roman" w:hAnsi="Times New Roman"/>
        </w:rPr>
        <w:tab/>
      </w:r>
      <w:r w:rsidRPr="00ED2560">
        <w:rPr>
          <w:rFonts w:ascii="Times New Roman" w:hAnsi="Times New Roman"/>
        </w:rPr>
        <w:tab/>
      </w:r>
      <w:r w:rsidRPr="00ED2560">
        <w:rPr>
          <w:rFonts w:ascii="Times New Roman" w:hAnsi="Times New Roman"/>
          <w:u w:val="single"/>
        </w:rPr>
        <w:t>Respo</w:t>
      </w:r>
      <w:r w:rsidRPr="00ED2560" w:rsidR="00FC7E48">
        <w:rPr>
          <w:rFonts w:ascii="Times New Roman" w:hAnsi="Times New Roman"/>
          <w:u w:val="single"/>
        </w:rPr>
        <w:t>nses</w:t>
      </w:r>
      <w:r w:rsidRPr="00ED2560">
        <w:rPr>
          <w:rFonts w:ascii="Times New Roman" w:hAnsi="Times New Roman"/>
        </w:rPr>
        <w:tab/>
      </w:r>
      <w:r w:rsidRPr="00ED2560">
        <w:rPr>
          <w:rFonts w:ascii="Times New Roman" w:hAnsi="Times New Roman"/>
        </w:rPr>
        <w:tab/>
      </w:r>
      <w:r w:rsidRPr="00ED2560">
        <w:rPr>
          <w:rFonts w:ascii="Times New Roman" w:hAnsi="Times New Roman"/>
          <w:u w:val="single"/>
        </w:rPr>
        <w:t>Burden per Response</w:t>
      </w:r>
      <w:r w:rsidRPr="00ED2560">
        <w:rPr>
          <w:rFonts w:ascii="Times New Roman" w:hAnsi="Times New Roman"/>
        </w:rPr>
        <w:tab/>
      </w:r>
      <w:r w:rsidRPr="00ED2560">
        <w:rPr>
          <w:rFonts w:ascii="Times New Roman" w:hAnsi="Times New Roman"/>
        </w:rPr>
        <w:tab/>
      </w:r>
      <w:r w:rsidRPr="00ED2560">
        <w:rPr>
          <w:rFonts w:ascii="Times New Roman" w:hAnsi="Times New Roman"/>
          <w:u w:val="single"/>
        </w:rPr>
        <w:t>Total Burden</w:t>
      </w:r>
    </w:p>
    <w:p w:rsidR="0065735F" w:rsidRPr="00ED2560" w14:paraId="74F31C87" w14:textId="77777777">
      <w:pPr>
        <w:rPr>
          <w:rFonts w:ascii="Times New Roman" w:hAnsi="Times New Roman"/>
        </w:rPr>
      </w:pPr>
    </w:p>
    <w:p w:rsidR="0065735F" w:rsidRPr="00ED2560" w14:paraId="2D9A5B7C" w14:textId="3AA2EF7F">
      <w:pPr>
        <w:rPr>
          <w:rFonts w:ascii="Times New Roman" w:hAnsi="Times New Roman"/>
        </w:rPr>
      </w:pPr>
      <w:r w:rsidRPr="00ED2560">
        <w:rPr>
          <w:rFonts w:ascii="Times New Roman" w:hAnsi="Times New Roman"/>
        </w:rPr>
        <w:t>MSD</w:t>
      </w:r>
      <w:r w:rsidRPr="00ED2560">
        <w:rPr>
          <w:rFonts w:ascii="Times New Roman" w:hAnsi="Times New Roman"/>
        </w:rPr>
        <w:tab/>
      </w:r>
      <w:r w:rsidRPr="00ED2560">
        <w:rPr>
          <w:rFonts w:ascii="Times New Roman" w:hAnsi="Times New Roman"/>
        </w:rPr>
        <w:tab/>
      </w:r>
      <w:r w:rsidRPr="00ED2560" w:rsidR="00A83746">
        <w:rPr>
          <w:rFonts w:ascii="Times New Roman" w:hAnsi="Times New Roman"/>
        </w:rPr>
        <w:tab/>
      </w:r>
      <w:r w:rsidR="00663A5F">
        <w:rPr>
          <w:rFonts w:ascii="Times New Roman" w:hAnsi="Times New Roman"/>
        </w:rPr>
        <w:t>2</w:t>
      </w:r>
      <w:r w:rsidR="00071632">
        <w:rPr>
          <w:rFonts w:ascii="Times New Roman" w:hAnsi="Times New Roman"/>
        </w:rPr>
        <w:t>3</w:t>
      </w:r>
      <w:r w:rsidRPr="00ED2560">
        <w:rPr>
          <w:rFonts w:ascii="Times New Roman" w:hAnsi="Times New Roman"/>
        </w:rPr>
        <w:tab/>
      </w:r>
      <w:r w:rsidRPr="00ED2560">
        <w:rPr>
          <w:rFonts w:ascii="Times New Roman" w:hAnsi="Times New Roman"/>
        </w:rPr>
        <w:tab/>
      </w:r>
      <w:r w:rsidRPr="00ED2560" w:rsidR="006C3A0D">
        <w:rPr>
          <w:rFonts w:ascii="Times New Roman" w:hAnsi="Times New Roman"/>
        </w:rPr>
        <w:tab/>
      </w:r>
      <w:r w:rsidRPr="00ED2560">
        <w:rPr>
          <w:rFonts w:ascii="Times New Roman" w:hAnsi="Times New Roman"/>
        </w:rPr>
        <w:t>1.5 hours</w:t>
      </w:r>
      <w:r w:rsidRPr="00ED2560">
        <w:rPr>
          <w:rFonts w:ascii="Times New Roman" w:hAnsi="Times New Roman"/>
        </w:rPr>
        <w:tab/>
      </w:r>
      <w:r w:rsidRPr="00ED2560" w:rsidR="005F50DF">
        <w:rPr>
          <w:rFonts w:ascii="Times New Roman" w:hAnsi="Times New Roman"/>
        </w:rPr>
        <w:tab/>
      </w:r>
      <w:r w:rsidR="00C37C12">
        <w:rPr>
          <w:rFonts w:ascii="Times New Roman" w:hAnsi="Times New Roman"/>
        </w:rPr>
        <w:t>3</w:t>
      </w:r>
      <w:r w:rsidR="00071632">
        <w:rPr>
          <w:rFonts w:ascii="Times New Roman" w:hAnsi="Times New Roman"/>
        </w:rPr>
        <w:t>4</w:t>
      </w:r>
      <w:r w:rsidR="00C37C12">
        <w:rPr>
          <w:rFonts w:ascii="Times New Roman" w:hAnsi="Times New Roman"/>
        </w:rPr>
        <w:t>.5</w:t>
      </w:r>
      <w:r w:rsidRPr="00ED2560" w:rsidR="005F50DF">
        <w:rPr>
          <w:rFonts w:ascii="Times New Roman" w:hAnsi="Times New Roman"/>
        </w:rPr>
        <w:t xml:space="preserve"> </w:t>
      </w:r>
      <w:r w:rsidRPr="00ED2560">
        <w:rPr>
          <w:rFonts w:ascii="Times New Roman" w:hAnsi="Times New Roman"/>
        </w:rPr>
        <w:t>hours</w:t>
      </w:r>
    </w:p>
    <w:p w:rsidR="0065735F" w:rsidRPr="00ED2560" w14:paraId="15B46204" w14:textId="77777777">
      <w:pPr>
        <w:rPr>
          <w:rFonts w:ascii="Times New Roman" w:hAnsi="Times New Roman"/>
        </w:rPr>
      </w:pPr>
      <w:r w:rsidRPr="00ED2560">
        <w:rPr>
          <w:rFonts w:ascii="Times New Roman" w:hAnsi="Times New Roman"/>
        </w:rPr>
        <w:t>MSDW</w:t>
      </w:r>
      <w:r w:rsidRPr="00ED2560">
        <w:rPr>
          <w:rFonts w:ascii="Times New Roman" w:hAnsi="Times New Roman"/>
        </w:rPr>
        <w:tab/>
      </w:r>
      <w:r w:rsidRPr="00ED2560">
        <w:rPr>
          <w:rFonts w:ascii="Times New Roman" w:hAnsi="Times New Roman"/>
        </w:rPr>
        <w:tab/>
      </w:r>
      <w:r w:rsidRPr="00ED2560" w:rsidR="00A83746">
        <w:rPr>
          <w:rFonts w:ascii="Times New Roman" w:hAnsi="Times New Roman"/>
        </w:rPr>
        <w:t>1</w:t>
      </w:r>
      <w:r w:rsidRPr="00ED2560" w:rsidR="00743BD6">
        <w:rPr>
          <w:rFonts w:ascii="Times New Roman" w:hAnsi="Times New Roman"/>
        </w:rPr>
        <w:tab/>
      </w:r>
      <w:r w:rsidRPr="00ED2560" w:rsidR="00743BD6">
        <w:rPr>
          <w:rFonts w:ascii="Times New Roman" w:hAnsi="Times New Roman"/>
        </w:rPr>
        <w:tab/>
      </w:r>
      <w:r w:rsidRPr="00ED2560" w:rsidR="00743BD6">
        <w:rPr>
          <w:rFonts w:ascii="Times New Roman" w:hAnsi="Times New Roman"/>
        </w:rPr>
        <w:tab/>
        <w:t>.25 hours</w:t>
      </w:r>
      <w:r w:rsidRPr="00ED2560" w:rsidR="00743BD6">
        <w:rPr>
          <w:rFonts w:ascii="Times New Roman" w:hAnsi="Times New Roman"/>
        </w:rPr>
        <w:tab/>
      </w:r>
      <w:r w:rsidRPr="00ED2560" w:rsidR="00743BD6">
        <w:rPr>
          <w:rFonts w:ascii="Times New Roman" w:hAnsi="Times New Roman"/>
        </w:rPr>
        <w:tab/>
        <w:t>0.</w:t>
      </w:r>
      <w:r w:rsidRPr="00ED2560" w:rsidR="00A83746">
        <w:rPr>
          <w:rFonts w:ascii="Times New Roman" w:hAnsi="Times New Roman"/>
        </w:rPr>
        <w:t>25</w:t>
      </w:r>
      <w:r w:rsidRPr="00ED2560">
        <w:rPr>
          <w:rFonts w:ascii="Times New Roman" w:hAnsi="Times New Roman"/>
        </w:rPr>
        <w:t xml:space="preserve"> hours</w:t>
      </w:r>
    </w:p>
    <w:p w:rsidR="0065735F" w:rsidRPr="00ED2560" w14:paraId="4420EF3F" w14:textId="56F527D6">
      <w:pPr>
        <w:rPr>
          <w:rFonts w:ascii="Times New Roman" w:hAnsi="Times New Roman"/>
        </w:rPr>
      </w:pPr>
      <w:r w:rsidRPr="00ED2560">
        <w:rPr>
          <w:rFonts w:ascii="Times New Roman" w:hAnsi="Times New Roman"/>
        </w:rPr>
        <w:t>MSD-4</w:t>
      </w:r>
      <w:r w:rsidRPr="00ED2560" w:rsidR="006C3A0D">
        <w:rPr>
          <w:rFonts w:ascii="Times New Roman" w:hAnsi="Times New Roman"/>
        </w:rPr>
        <w:tab/>
        <w:t xml:space="preserve">        </w:t>
      </w:r>
      <w:r w:rsidRPr="00ED2560" w:rsidR="00A83746">
        <w:rPr>
          <w:rFonts w:ascii="Times New Roman" w:hAnsi="Times New Roman"/>
        </w:rPr>
        <w:tab/>
      </w:r>
      <w:r w:rsidR="00DF283B">
        <w:rPr>
          <w:rFonts w:ascii="Times New Roman" w:hAnsi="Times New Roman"/>
        </w:rPr>
        <w:t>2</w:t>
      </w:r>
      <w:r w:rsidR="00071632">
        <w:rPr>
          <w:rFonts w:ascii="Times New Roman" w:hAnsi="Times New Roman"/>
        </w:rPr>
        <w:t>0</w:t>
      </w:r>
      <w:r w:rsidR="00DF283B">
        <w:rPr>
          <w:rFonts w:ascii="Times New Roman" w:hAnsi="Times New Roman"/>
        </w:rPr>
        <w:t>5</w:t>
      </w:r>
      <w:r w:rsidRPr="00ED2560">
        <w:rPr>
          <w:rFonts w:ascii="Times New Roman" w:hAnsi="Times New Roman"/>
        </w:rPr>
        <w:tab/>
      </w:r>
      <w:r w:rsidR="004F6388">
        <w:rPr>
          <w:rFonts w:ascii="Times New Roman" w:hAnsi="Times New Roman"/>
        </w:rPr>
        <w:t xml:space="preserve">            </w:t>
      </w:r>
      <w:r w:rsidR="006E423B">
        <w:rPr>
          <w:rFonts w:ascii="Times New Roman" w:hAnsi="Times New Roman"/>
        </w:rPr>
        <w:tab/>
      </w:r>
      <w:r w:rsidRPr="00ED2560">
        <w:rPr>
          <w:rFonts w:ascii="Times New Roman" w:hAnsi="Times New Roman"/>
        </w:rPr>
        <w:t xml:space="preserve">1.0 hours                  </w:t>
      </w:r>
      <w:r w:rsidRPr="00ED2560" w:rsidR="006C3A0D">
        <w:rPr>
          <w:rFonts w:ascii="Times New Roman" w:hAnsi="Times New Roman"/>
        </w:rPr>
        <w:tab/>
      </w:r>
      <w:r w:rsidR="00DF283B">
        <w:rPr>
          <w:rFonts w:ascii="Times New Roman" w:hAnsi="Times New Roman"/>
        </w:rPr>
        <w:t>2</w:t>
      </w:r>
      <w:r w:rsidR="00071632">
        <w:rPr>
          <w:rFonts w:ascii="Times New Roman" w:hAnsi="Times New Roman"/>
        </w:rPr>
        <w:t>0</w:t>
      </w:r>
      <w:r w:rsidR="00DF283B">
        <w:rPr>
          <w:rFonts w:ascii="Times New Roman" w:hAnsi="Times New Roman"/>
        </w:rPr>
        <w:t>5</w:t>
      </w:r>
      <w:r w:rsidRPr="00ED2560" w:rsidR="005F50DF">
        <w:rPr>
          <w:rFonts w:ascii="Times New Roman" w:hAnsi="Times New Roman"/>
        </w:rPr>
        <w:t xml:space="preserve"> </w:t>
      </w:r>
      <w:r w:rsidRPr="00ED2560">
        <w:rPr>
          <w:rFonts w:ascii="Times New Roman" w:hAnsi="Times New Roman"/>
        </w:rPr>
        <w:t>hours</w:t>
      </w:r>
    </w:p>
    <w:p w:rsidR="0065735F" w:rsidRPr="00ED2560" w14:paraId="3E871BC7" w14:textId="034F5BC9">
      <w:pPr>
        <w:rPr>
          <w:rFonts w:ascii="Times New Roman" w:hAnsi="Times New Roman"/>
        </w:rPr>
      </w:pPr>
      <w:r w:rsidRPr="00ED2560">
        <w:rPr>
          <w:rFonts w:ascii="Times New Roman" w:hAnsi="Times New Roman"/>
        </w:rPr>
        <w:t xml:space="preserve">MSD-5 </w:t>
      </w:r>
      <w:r w:rsidRPr="00ED2560">
        <w:rPr>
          <w:rFonts w:ascii="Times New Roman" w:hAnsi="Times New Roman"/>
        </w:rPr>
        <w:tab/>
        <w:t xml:space="preserve">         </w:t>
      </w:r>
      <w:r w:rsidRPr="00ED2560" w:rsidR="00A83746">
        <w:rPr>
          <w:rFonts w:ascii="Times New Roman" w:hAnsi="Times New Roman"/>
        </w:rPr>
        <w:t xml:space="preserve"> </w:t>
      </w:r>
      <w:r w:rsidRPr="00ED2560" w:rsidR="00A83746">
        <w:rPr>
          <w:rFonts w:ascii="Times New Roman" w:hAnsi="Times New Roman"/>
        </w:rPr>
        <w:tab/>
      </w:r>
      <w:r w:rsidR="00071632">
        <w:rPr>
          <w:rFonts w:ascii="Times New Roman" w:hAnsi="Times New Roman"/>
        </w:rPr>
        <w:t>9</w:t>
      </w:r>
      <w:r w:rsidR="00DF283B">
        <w:rPr>
          <w:rFonts w:ascii="Times New Roman" w:hAnsi="Times New Roman"/>
        </w:rPr>
        <w:t>0</w:t>
      </w:r>
      <w:r w:rsidRPr="00ED2560" w:rsidR="00743BD6">
        <w:rPr>
          <w:rFonts w:ascii="Times New Roman" w:hAnsi="Times New Roman"/>
        </w:rPr>
        <w:tab/>
      </w:r>
      <w:r w:rsidRPr="00ED2560" w:rsidR="00743BD6">
        <w:rPr>
          <w:rFonts w:ascii="Times New Roman" w:hAnsi="Times New Roman"/>
        </w:rPr>
        <w:tab/>
      </w:r>
      <w:r w:rsidR="006E423B">
        <w:rPr>
          <w:rFonts w:ascii="Times New Roman" w:hAnsi="Times New Roman"/>
        </w:rPr>
        <w:tab/>
      </w:r>
      <w:r w:rsidRPr="00ED2560" w:rsidR="00743BD6">
        <w:rPr>
          <w:rFonts w:ascii="Times New Roman" w:hAnsi="Times New Roman"/>
        </w:rPr>
        <w:t>.25 hours</w:t>
      </w:r>
      <w:r w:rsidRPr="00ED2560" w:rsidR="00743BD6">
        <w:rPr>
          <w:rFonts w:ascii="Times New Roman" w:hAnsi="Times New Roman"/>
        </w:rPr>
        <w:tab/>
      </w:r>
      <w:r w:rsidRPr="00ED2560" w:rsidR="00743BD6">
        <w:rPr>
          <w:rFonts w:ascii="Times New Roman" w:hAnsi="Times New Roman"/>
        </w:rPr>
        <w:tab/>
      </w:r>
      <w:r w:rsidR="00DF283B">
        <w:rPr>
          <w:rFonts w:ascii="Times New Roman" w:hAnsi="Times New Roman"/>
        </w:rPr>
        <w:t>2</w:t>
      </w:r>
      <w:r w:rsidR="00071632">
        <w:rPr>
          <w:rFonts w:ascii="Times New Roman" w:hAnsi="Times New Roman"/>
        </w:rPr>
        <w:t>2.5</w:t>
      </w:r>
      <w:r w:rsidRPr="00ED2560">
        <w:rPr>
          <w:rFonts w:ascii="Times New Roman" w:hAnsi="Times New Roman"/>
        </w:rPr>
        <w:t xml:space="preserve"> hours</w:t>
      </w:r>
    </w:p>
    <w:p w:rsidR="0065735F" w:rsidRPr="00ED2560" w14:paraId="60417D9A" w14:textId="6B3A8115">
      <w:pPr>
        <w:rPr>
          <w:rFonts w:ascii="Times New Roman" w:hAnsi="Times New Roman"/>
        </w:rPr>
      </w:pPr>
      <w:r w:rsidRPr="00ED2560">
        <w:rPr>
          <w:rFonts w:ascii="Times New Roman" w:hAnsi="Times New Roman"/>
        </w:rPr>
        <w:t>G-FIN</w:t>
      </w:r>
      <w:r w:rsidRPr="00ED2560">
        <w:rPr>
          <w:rFonts w:ascii="Times New Roman" w:hAnsi="Times New Roman"/>
        </w:rPr>
        <w:tab/>
      </w:r>
      <w:r w:rsidRPr="00ED2560">
        <w:rPr>
          <w:rFonts w:ascii="Times New Roman" w:hAnsi="Times New Roman"/>
        </w:rPr>
        <w:tab/>
      </w:r>
      <w:r w:rsidRPr="00ED2560">
        <w:rPr>
          <w:rFonts w:ascii="Times New Roman" w:hAnsi="Times New Roman"/>
        </w:rPr>
        <w:tab/>
      </w:r>
      <w:r w:rsidR="00DF283B">
        <w:rPr>
          <w:rFonts w:ascii="Times New Roman" w:hAnsi="Times New Roman"/>
        </w:rPr>
        <w:t>1</w:t>
      </w:r>
      <w:r w:rsidR="00071632">
        <w:rPr>
          <w:rFonts w:ascii="Times New Roman" w:hAnsi="Times New Roman"/>
        </w:rPr>
        <w:t>2</w:t>
      </w:r>
      <w:r w:rsidRPr="00ED2560" w:rsidR="00743BD6">
        <w:rPr>
          <w:rFonts w:ascii="Times New Roman" w:hAnsi="Times New Roman"/>
        </w:rPr>
        <w:tab/>
      </w:r>
      <w:r w:rsidRPr="00ED2560" w:rsidR="00743BD6">
        <w:rPr>
          <w:rFonts w:ascii="Times New Roman" w:hAnsi="Times New Roman"/>
        </w:rPr>
        <w:tab/>
      </w:r>
      <w:r w:rsidRPr="00ED2560" w:rsidR="006C3A0D">
        <w:rPr>
          <w:rFonts w:ascii="Times New Roman" w:hAnsi="Times New Roman"/>
        </w:rPr>
        <w:tab/>
      </w:r>
      <w:r w:rsidRPr="00ED2560" w:rsidR="00743BD6">
        <w:rPr>
          <w:rFonts w:ascii="Times New Roman" w:hAnsi="Times New Roman"/>
        </w:rPr>
        <w:t>1.0 hours</w:t>
      </w:r>
      <w:r w:rsidRPr="00ED2560" w:rsidR="00743BD6">
        <w:rPr>
          <w:rFonts w:ascii="Times New Roman" w:hAnsi="Times New Roman"/>
        </w:rPr>
        <w:tab/>
      </w:r>
      <w:r w:rsidRPr="00ED2560" w:rsidR="00743BD6">
        <w:rPr>
          <w:rFonts w:ascii="Times New Roman" w:hAnsi="Times New Roman"/>
        </w:rPr>
        <w:tab/>
      </w:r>
      <w:r w:rsidR="00DF283B">
        <w:rPr>
          <w:rFonts w:ascii="Times New Roman" w:hAnsi="Times New Roman"/>
        </w:rPr>
        <w:t>1</w:t>
      </w:r>
      <w:r w:rsidR="00071632">
        <w:rPr>
          <w:rFonts w:ascii="Times New Roman" w:hAnsi="Times New Roman"/>
        </w:rPr>
        <w:t>2</w:t>
      </w:r>
      <w:r w:rsidRPr="00ED2560">
        <w:rPr>
          <w:rFonts w:ascii="Times New Roman" w:hAnsi="Times New Roman"/>
        </w:rPr>
        <w:t xml:space="preserve"> hours</w:t>
      </w:r>
    </w:p>
    <w:p w:rsidR="0065735F" w:rsidRPr="00ED2560" w14:paraId="4B7C74C1" w14:textId="77777777">
      <w:pPr>
        <w:rPr>
          <w:rFonts w:ascii="Times New Roman" w:hAnsi="Times New Roman"/>
        </w:rPr>
      </w:pPr>
      <w:r w:rsidRPr="00ED2560">
        <w:rPr>
          <w:rFonts w:ascii="Times New Roman" w:hAnsi="Times New Roman"/>
        </w:rPr>
        <w:t>G-</w:t>
      </w:r>
      <w:r w:rsidRPr="00ED2560" w:rsidR="00743BD6">
        <w:rPr>
          <w:rFonts w:ascii="Times New Roman" w:hAnsi="Times New Roman"/>
        </w:rPr>
        <w:t>FINW</w:t>
      </w:r>
      <w:r w:rsidRPr="00ED2560" w:rsidR="00743BD6">
        <w:rPr>
          <w:rFonts w:ascii="Times New Roman" w:hAnsi="Times New Roman"/>
        </w:rPr>
        <w:tab/>
      </w:r>
      <w:r w:rsidRPr="00ED2560" w:rsidR="00743BD6">
        <w:rPr>
          <w:rFonts w:ascii="Times New Roman" w:hAnsi="Times New Roman"/>
        </w:rPr>
        <w:tab/>
      </w:r>
      <w:r w:rsidRPr="00ED2560" w:rsidR="0082437E">
        <w:rPr>
          <w:rFonts w:ascii="Times New Roman" w:hAnsi="Times New Roman"/>
        </w:rPr>
        <w:t>1</w:t>
      </w:r>
      <w:r w:rsidRPr="00ED2560">
        <w:rPr>
          <w:rFonts w:ascii="Times New Roman" w:hAnsi="Times New Roman"/>
        </w:rPr>
        <w:tab/>
      </w:r>
      <w:r w:rsidRPr="00ED2560">
        <w:rPr>
          <w:rFonts w:ascii="Times New Roman" w:hAnsi="Times New Roman"/>
        </w:rPr>
        <w:tab/>
      </w:r>
      <w:r w:rsidRPr="00ED2560">
        <w:rPr>
          <w:rFonts w:ascii="Times New Roman" w:hAnsi="Times New Roman"/>
        </w:rPr>
        <w:tab/>
        <w:t>.25 hours</w:t>
      </w:r>
      <w:r w:rsidRPr="00ED2560">
        <w:rPr>
          <w:rFonts w:ascii="Times New Roman" w:hAnsi="Times New Roman"/>
        </w:rPr>
        <w:tab/>
      </w:r>
      <w:r w:rsidRPr="00ED2560">
        <w:rPr>
          <w:rFonts w:ascii="Times New Roman" w:hAnsi="Times New Roman"/>
        </w:rPr>
        <w:tab/>
      </w:r>
      <w:r w:rsidRPr="00ED2560" w:rsidR="00743BD6">
        <w:rPr>
          <w:rFonts w:ascii="Times New Roman" w:hAnsi="Times New Roman"/>
        </w:rPr>
        <w:t>0.</w:t>
      </w:r>
      <w:r w:rsidRPr="00ED2560" w:rsidR="00A83746">
        <w:rPr>
          <w:rFonts w:ascii="Times New Roman" w:hAnsi="Times New Roman"/>
        </w:rPr>
        <w:t xml:space="preserve">25 </w:t>
      </w:r>
      <w:r w:rsidRPr="00ED2560">
        <w:rPr>
          <w:rFonts w:ascii="Times New Roman" w:hAnsi="Times New Roman"/>
        </w:rPr>
        <w:t>hours</w:t>
      </w:r>
    </w:p>
    <w:p w:rsidR="0082437E" w:rsidRPr="00ED2560" w14:paraId="0097FAF7" w14:textId="7410F571">
      <w:pPr>
        <w:rPr>
          <w:rFonts w:ascii="Times New Roman" w:hAnsi="Times New Roman"/>
        </w:rPr>
      </w:pPr>
      <w:r w:rsidRPr="00ED2560">
        <w:rPr>
          <w:rFonts w:ascii="Times New Roman" w:hAnsi="Times New Roman"/>
        </w:rPr>
        <w:t>G-FIN-4</w:t>
      </w:r>
      <w:r w:rsidRPr="00ED2560">
        <w:rPr>
          <w:rFonts w:ascii="Times New Roman" w:hAnsi="Times New Roman"/>
        </w:rPr>
        <w:tab/>
      </w:r>
      <w:r w:rsidRPr="00ED2560">
        <w:rPr>
          <w:rFonts w:ascii="Times New Roman" w:hAnsi="Times New Roman"/>
        </w:rPr>
        <w:tab/>
      </w:r>
      <w:r w:rsidR="00DF283B">
        <w:rPr>
          <w:rFonts w:ascii="Times New Roman" w:hAnsi="Times New Roman"/>
        </w:rPr>
        <w:t>2</w:t>
      </w:r>
      <w:r w:rsidR="00071632">
        <w:rPr>
          <w:rFonts w:ascii="Times New Roman" w:hAnsi="Times New Roman"/>
        </w:rPr>
        <w:t>20</w:t>
      </w:r>
      <w:r w:rsidRPr="00ED2560" w:rsidR="00A83746">
        <w:rPr>
          <w:rFonts w:ascii="Times New Roman" w:hAnsi="Times New Roman"/>
        </w:rPr>
        <w:tab/>
      </w:r>
      <w:r w:rsidRPr="00ED2560" w:rsidR="00A83746">
        <w:rPr>
          <w:rFonts w:ascii="Times New Roman" w:hAnsi="Times New Roman"/>
        </w:rPr>
        <w:tab/>
      </w:r>
      <w:r w:rsidR="006E423B">
        <w:rPr>
          <w:rFonts w:ascii="Times New Roman" w:hAnsi="Times New Roman"/>
        </w:rPr>
        <w:tab/>
      </w:r>
      <w:r w:rsidRPr="00ED2560" w:rsidR="00A83746">
        <w:rPr>
          <w:rFonts w:ascii="Times New Roman" w:hAnsi="Times New Roman"/>
        </w:rPr>
        <w:t>1.0 hours</w:t>
      </w:r>
      <w:r w:rsidRPr="00ED2560" w:rsidR="00A83746">
        <w:rPr>
          <w:rFonts w:ascii="Times New Roman" w:hAnsi="Times New Roman"/>
        </w:rPr>
        <w:tab/>
      </w:r>
      <w:r w:rsidRPr="00ED2560" w:rsidR="00A83746">
        <w:rPr>
          <w:rFonts w:ascii="Times New Roman" w:hAnsi="Times New Roman"/>
        </w:rPr>
        <w:tab/>
      </w:r>
      <w:r w:rsidR="00DF283B">
        <w:rPr>
          <w:rFonts w:ascii="Times New Roman" w:hAnsi="Times New Roman"/>
        </w:rPr>
        <w:t>2</w:t>
      </w:r>
      <w:r w:rsidR="00071632">
        <w:rPr>
          <w:rFonts w:ascii="Times New Roman" w:hAnsi="Times New Roman"/>
        </w:rPr>
        <w:t>20</w:t>
      </w:r>
      <w:r w:rsidRPr="00ED2560" w:rsidR="00A83746">
        <w:rPr>
          <w:rFonts w:ascii="Times New Roman" w:hAnsi="Times New Roman"/>
        </w:rPr>
        <w:t xml:space="preserve"> hours</w:t>
      </w:r>
    </w:p>
    <w:p w:rsidR="0082437E" w:rsidRPr="00ED2560" w14:paraId="618389F4" w14:textId="53381242">
      <w:pPr>
        <w:rPr>
          <w:rFonts w:ascii="Times New Roman" w:hAnsi="Times New Roman"/>
        </w:rPr>
      </w:pPr>
      <w:r w:rsidRPr="00ED2560">
        <w:rPr>
          <w:rFonts w:ascii="Times New Roman" w:hAnsi="Times New Roman"/>
        </w:rPr>
        <w:t>G-FIN-5</w:t>
      </w:r>
      <w:r w:rsidRPr="00ED2560">
        <w:rPr>
          <w:rFonts w:ascii="Times New Roman" w:hAnsi="Times New Roman"/>
        </w:rPr>
        <w:tab/>
      </w:r>
      <w:r w:rsidRPr="00ED2560">
        <w:rPr>
          <w:rFonts w:ascii="Times New Roman" w:hAnsi="Times New Roman"/>
        </w:rPr>
        <w:tab/>
      </w:r>
      <w:r w:rsidR="00071632">
        <w:rPr>
          <w:rFonts w:ascii="Times New Roman" w:hAnsi="Times New Roman"/>
        </w:rPr>
        <w:t>60</w:t>
      </w:r>
      <w:r w:rsidRPr="00ED2560" w:rsidR="00A83746">
        <w:rPr>
          <w:rFonts w:ascii="Times New Roman" w:hAnsi="Times New Roman"/>
        </w:rPr>
        <w:tab/>
      </w:r>
      <w:r w:rsidRPr="00ED2560" w:rsidR="00A83746">
        <w:rPr>
          <w:rFonts w:ascii="Times New Roman" w:hAnsi="Times New Roman"/>
        </w:rPr>
        <w:tab/>
      </w:r>
      <w:r w:rsidRPr="00ED2560" w:rsidR="00A83746">
        <w:rPr>
          <w:rFonts w:ascii="Times New Roman" w:hAnsi="Times New Roman"/>
        </w:rPr>
        <w:tab/>
        <w:t>.25 hours</w:t>
      </w:r>
      <w:r w:rsidRPr="00ED2560" w:rsidR="00A83746">
        <w:rPr>
          <w:rFonts w:ascii="Times New Roman" w:hAnsi="Times New Roman"/>
        </w:rPr>
        <w:tab/>
      </w:r>
      <w:r w:rsidRPr="00ED2560" w:rsidR="00A83746">
        <w:rPr>
          <w:rFonts w:ascii="Times New Roman" w:hAnsi="Times New Roman"/>
        </w:rPr>
        <w:tab/>
      </w:r>
      <w:r w:rsidR="00071632">
        <w:rPr>
          <w:rFonts w:ascii="Times New Roman" w:hAnsi="Times New Roman"/>
        </w:rPr>
        <w:t>15</w:t>
      </w:r>
      <w:r w:rsidRPr="00ED2560" w:rsidR="00A83746">
        <w:rPr>
          <w:rFonts w:ascii="Times New Roman" w:hAnsi="Times New Roman"/>
        </w:rPr>
        <w:t xml:space="preserve"> hours</w:t>
      </w:r>
    </w:p>
    <w:p w:rsidR="0065735F" w:rsidRPr="00ED2560" w14:paraId="0E5046A3" w14:textId="77777777">
      <w:pPr>
        <w:rPr>
          <w:rFonts w:ascii="Times New Roman" w:hAnsi="Times New Roman"/>
        </w:rPr>
      </w:pPr>
    </w:p>
    <w:p w:rsidR="0065735F" w:rsidRPr="00ED2560" w14:paraId="38B296DC" w14:textId="36F49B28">
      <w:pPr>
        <w:rPr>
          <w:rFonts w:ascii="Times New Roman" w:hAnsi="Times New Roman"/>
          <w:b/>
        </w:rPr>
      </w:pPr>
      <w:r w:rsidRPr="00ED2560">
        <w:rPr>
          <w:rFonts w:ascii="Times New Roman" w:hAnsi="Times New Roman"/>
          <w:b/>
        </w:rPr>
        <w:t>Total:</w:t>
      </w:r>
      <w:r w:rsidRPr="00ED2560">
        <w:rPr>
          <w:rFonts w:ascii="Times New Roman" w:hAnsi="Times New Roman"/>
          <w:b/>
        </w:rPr>
        <w:tab/>
      </w:r>
      <w:r w:rsidRPr="00ED2560">
        <w:rPr>
          <w:rFonts w:ascii="Times New Roman" w:hAnsi="Times New Roman"/>
          <w:b/>
        </w:rPr>
        <w:tab/>
        <w:t xml:space="preserve">        </w:t>
      </w:r>
      <w:r w:rsidRPr="00ED2560" w:rsidR="00743BD6">
        <w:rPr>
          <w:rFonts w:ascii="Times New Roman" w:hAnsi="Times New Roman"/>
          <w:b/>
        </w:rPr>
        <w:tab/>
      </w:r>
      <w:r w:rsidR="00071632">
        <w:rPr>
          <w:rFonts w:ascii="Times New Roman" w:hAnsi="Times New Roman"/>
          <w:b/>
        </w:rPr>
        <w:t>612</w:t>
      </w:r>
      <w:r w:rsidRPr="00ED2560" w:rsidR="00743BD6">
        <w:rPr>
          <w:rFonts w:ascii="Times New Roman" w:hAnsi="Times New Roman"/>
          <w:b/>
        </w:rPr>
        <w:tab/>
      </w:r>
      <w:r w:rsidRPr="00ED2560" w:rsidR="00743BD6">
        <w:rPr>
          <w:rFonts w:ascii="Times New Roman" w:hAnsi="Times New Roman"/>
          <w:b/>
        </w:rPr>
        <w:tab/>
      </w:r>
      <w:r w:rsidRPr="00ED2560" w:rsidR="00743BD6">
        <w:rPr>
          <w:rFonts w:ascii="Times New Roman" w:hAnsi="Times New Roman"/>
          <w:b/>
        </w:rPr>
        <w:tab/>
        <w:t xml:space="preserve">         </w:t>
      </w:r>
      <w:r w:rsidRPr="00ED2560" w:rsidR="006C3A0D">
        <w:rPr>
          <w:rFonts w:ascii="Times New Roman" w:hAnsi="Times New Roman"/>
          <w:b/>
        </w:rPr>
        <w:tab/>
      </w:r>
      <w:r w:rsidR="004F6388">
        <w:rPr>
          <w:rFonts w:ascii="Times New Roman" w:hAnsi="Times New Roman"/>
          <w:b/>
        </w:rPr>
        <w:t xml:space="preserve">            </w:t>
      </w:r>
      <w:r w:rsidR="007A01F7">
        <w:rPr>
          <w:rFonts w:ascii="Times New Roman" w:hAnsi="Times New Roman"/>
          <w:b/>
        </w:rPr>
        <w:t xml:space="preserve">            </w:t>
      </w:r>
      <w:r w:rsidR="00071632">
        <w:rPr>
          <w:rFonts w:ascii="Times New Roman" w:hAnsi="Times New Roman"/>
          <w:b/>
        </w:rPr>
        <w:t>509.5</w:t>
      </w:r>
      <w:r w:rsidRPr="00ED2560" w:rsidR="00071632">
        <w:rPr>
          <w:rFonts w:ascii="Times New Roman" w:hAnsi="Times New Roman"/>
          <w:b/>
        </w:rPr>
        <w:t xml:space="preserve"> </w:t>
      </w:r>
      <w:r w:rsidRPr="00ED2560">
        <w:rPr>
          <w:rFonts w:ascii="Times New Roman" w:hAnsi="Times New Roman"/>
          <w:b/>
        </w:rPr>
        <w:t>hours</w:t>
      </w:r>
    </w:p>
    <w:p w:rsidR="0065735F" w:rsidRPr="00ED2560" w14:paraId="0C6958EF" w14:textId="77777777">
      <w:pPr>
        <w:rPr>
          <w:rFonts w:ascii="Times New Roman" w:hAnsi="Times New Roman"/>
        </w:rPr>
      </w:pPr>
    </w:p>
    <w:p w:rsidR="0065735F" w:rsidRPr="00ED2560" w:rsidP="00B610F4" w14:paraId="40857329" w14:textId="77777777">
      <w:pPr>
        <w:rPr>
          <w:rFonts w:ascii="Times New Roman" w:hAnsi="Times New Roman"/>
        </w:rPr>
      </w:pPr>
      <w:r w:rsidRPr="00ED2560">
        <w:rPr>
          <w:rFonts w:ascii="Times New Roman" w:hAnsi="Times New Roman"/>
          <w:b/>
        </w:rPr>
        <w:t>C</w:t>
      </w:r>
      <w:r w:rsidRPr="00ED2560">
        <w:rPr>
          <w:rFonts w:ascii="Times New Roman" w:hAnsi="Times New Roman"/>
          <w:b/>
        </w:rPr>
        <w:t xml:space="preserve">ost of </w:t>
      </w:r>
      <w:r w:rsidRPr="00ED2560">
        <w:rPr>
          <w:rFonts w:ascii="Times New Roman" w:hAnsi="Times New Roman"/>
          <w:b/>
        </w:rPr>
        <w:t>H</w:t>
      </w:r>
      <w:r w:rsidRPr="00ED2560">
        <w:rPr>
          <w:rFonts w:ascii="Times New Roman" w:hAnsi="Times New Roman"/>
          <w:b/>
        </w:rPr>
        <w:t xml:space="preserve">our </w:t>
      </w:r>
      <w:r w:rsidRPr="00ED2560">
        <w:rPr>
          <w:rFonts w:ascii="Times New Roman" w:hAnsi="Times New Roman"/>
          <w:b/>
        </w:rPr>
        <w:t>B</w:t>
      </w:r>
      <w:r w:rsidRPr="00ED2560">
        <w:rPr>
          <w:rFonts w:ascii="Times New Roman" w:hAnsi="Times New Roman"/>
          <w:b/>
        </w:rPr>
        <w:t>urden</w:t>
      </w:r>
      <w:r w:rsidRPr="00ED2560">
        <w:rPr>
          <w:rFonts w:ascii="Times New Roman" w:hAnsi="Times New Roman"/>
        </w:rPr>
        <w:t>:</w:t>
      </w:r>
    </w:p>
    <w:p w:rsidR="00EF7648" w:rsidRPr="00ED2560" w:rsidP="00E47E82" w14:paraId="5A9FB76C" w14:textId="77777777">
      <w:pPr>
        <w:tabs>
          <w:tab w:val="left" w:pos="9090"/>
        </w:tabs>
        <w:rPr>
          <w:rFonts w:ascii="Times New Roman" w:hAnsi="Times New Roman"/>
        </w:rPr>
      </w:pPr>
    </w:p>
    <w:p w:rsidR="00EF7648" w:rsidRPr="00ED2560" w:rsidP="00E47E82" w14:paraId="3C4C87AC" w14:textId="0F2C9B32">
      <w:pPr>
        <w:tabs>
          <w:tab w:val="left" w:pos="9090"/>
        </w:tabs>
        <w:rPr>
          <w:rFonts w:ascii="Times New Roman" w:hAnsi="Times New Roman"/>
          <w:b/>
        </w:rPr>
      </w:pPr>
      <w:r>
        <w:rPr>
          <w:rFonts w:ascii="Times New Roman" w:hAnsi="Times New Roman"/>
          <w:b/>
        </w:rPr>
        <w:t>5</w:t>
      </w:r>
      <w:r w:rsidR="00071632">
        <w:rPr>
          <w:rFonts w:ascii="Times New Roman" w:hAnsi="Times New Roman"/>
          <w:b/>
        </w:rPr>
        <w:t>09.5</w:t>
      </w:r>
      <w:r>
        <w:rPr>
          <w:rFonts w:ascii="Times New Roman" w:hAnsi="Times New Roman"/>
          <w:b/>
        </w:rPr>
        <w:t xml:space="preserve"> hours</w:t>
      </w:r>
      <w:r w:rsidR="007A01F7">
        <w:rPr>
          <w:rFonts w:ascii="Times New Roman" w:hAnsi="Times New Roman"/>
          <w:b/>
        </w:rPr>
        <w:t xml:space="preserve"> </w:t>
      </w:r>
      <w:r w:rsidR="00C86591">
        <w:rPr>
          <w:rFonts w:ascii="Times New Roman" w:hAnsi="Times New Roman"/>
          <w:b/>
        </w:rPr>
        <w:t>x $</w:t>
      </w:r>
      <w:r w:rsidR="006056F8">
        <w:rPr>
          <w:rFonts w:ascii="Times New Roman" w:hAnsi="Times New Roman"/>
          <w:b/>
        </w:rPr>
        <w:t>131.10</w:t>
      </w:r>
      <w:r w:rsidRPr="00ED2560">
        <w:rPr>
          <w:rFonts w:ascii="Times New Roman" w:hAnsi="Times New Roman"/>
          <w:b/>
        </w:rPr>
        <w:t xml:space="preserve"> = </w:t>
      </w:r>
      <w:r w:rsidR="00C37C12">
        <w:rPr>
          <w:rFonts w:ascii="Times New Roman" w:hAnsi="Times New Roman"/>
          <w:b/>
        </w:rPr>
        <w:t>$</w:t>
      </w:r>
      <w:r w:rsidR="00071632">
        <w:rPr>
          <w:rFonts w:ascii="Times New Roman" w:hAnsi="Times New Roman"/>
          <w:b/>
        </w:rPr>
        <w:t>66,795.45</w:t>
      </w:r>
    </w:p>
    <w:p w:rsidR="0065735F" w:rsidRPr="00ED2560" w:rsidP="00E47E82" w14:paraId="5EFD985D" w14:textId="77777777">
      <w:pPr>
        <w:tabs>
          <w:tab w:val="left" w:pos="9090"/>
        </w:tabs>
        <w:rPr>
          <w:rFonts w:ascii="Times New Roman" w:hAnsi="Times New Roman"/>
        </w:rPr>
      </w:pPr>
    </w:p>
    <w:p w:rsidR="006056F8" w:rsidP="00A34EE0" w14:paraId="7673A7D4" w14:textId="7774C6E2">
      <w:pPr>
        <w:rPr>
          <w:rFonts w:ascii="Times New Roman" w:hAnsi="Times New Roman"/>
          <w:color w:val="000000"/>
        </w:rPr>
      </w:pPr>
      <w:r w:rsidRPr="006056F8">
        <w:rPr>
          <w:rFonts w:ascii="Times New Roman" w:hAnsi="Times New Roman"/>
          <w:color w:val="000000"/>
        </w:rP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w:t>
      </w:r>
    </w:p>
    <w:p w:rsidR="009A42C4" w:rsidP="00692694" w14:paraId="28D2B1B5" w14:textId="77777777">
      <w:pPr>
        <w:tabs>
          <w:tab w:val="left" w:pos="-1440"/>
        </w:tabs>
        <w:ind w:left="720" w:hanging="720"/>
        <w:rPr>
          <w:rFonts w:ascii="Times New Roman" w:hAnsi="Times New Roman"/>
        </w:rPr>
      </w:pPr>
    </w:p>
    <w:p w:rsidR="00692694" w:rsidRPr="00A711EE" w:rsidP="00692694" w14:paraId="35F828EC" w14:textId="77777777">
      <w:pPr>
        <w:tabs>
          <w:tab w:val="left" w:pos="-1440"/>
        </w:tabs>
        <w:ind w:left="720" w:hanging="720"/>
        <w:rPr>
          <w:rFonts w:ascii="Times New Roman" w:hAnsi="Times New Roman"/>
          <w:b/>
          <w:i/>
        </w:rPr>
      </w:pPr>
      <w:r w:rsidRPr="00A711EE">
        <w:rPr>
          <w:rFonts w:ascii="Times New Roman" w:hAnsi="Times New Roman"/>
          <w:b/>
          <w:i/>
        </w:rPr>
        <w:t>13.</w:t>
      </w:r>
      <w:r w:rsidRPr="00A711EE">
        <w:rPr>
          <w:rFonts w:ascii="Times New Roman" w:hAnsi="Times New Roman"/>
          <w:b/>
          <w:i/>
        </w:rPr>
        <w:tab/>
        <w:t>Estimates of annualized costs to respondents</w:t>
      </w:r>
      <w:r w:rsidRPr="00A711EE">
        <w:rPr>
          <w:rFonts w:ascii="Times New Roman" w:hAnsi="Times New Roman"/>
          <w:b/>
          <w:i/>
        </w:rPr>
        <w:t>:</w:t>
      </w:r>
    </w:p>
    <w:p w:rsidR="0065735F" w:rsidRPr="00ED2560" w:rsidP="00692694" w14:paraId="0C46BA1B" w14:textId="77777777">
      <w:pPr>
        <w:tabs>
          <w:tab w:val="left" w:pos="-1440"/>
        </w:tabs>
        <w:ind w:left="720" w:hanging="720"/>
        <w:rPr>
          <w:rFonts w:ascii="Times New Roman" w:hAnsi="Times New Roman"/>
        </w:rPr>
      </w:pPr>
      <w:r w:rsidRPr="00ED2560">
        <w:rPr>
          <w:rFonts w:ascii="Times New Roman" w:hAnsi="Times New Roman"/>
          <w:u w:val="single"/>
        </w:rPr>
        <w:t xml:space="preserve"> </w:t>
      </w:r>
    </w:p>
    <w:p w:rsidR="00692694" w:rsidRPr="00ED2560" w:rsidP="00692694" w14:paraId="105E6585" w14:textId="77777777">
      <w:pPr>
        <w:ind w:firstLine="720"/>
        <w:rPr>
          <w:rFonts w:ascii="Times New Roman" w:hAnsi="Times New Roman"/>
        </w:rPr>
      </w:pPr>
      <w:r w:rsidRPr="00ED2560">
        <w:rPr>
          <w:rFonts w:ascii="Times New Roman" w:hAnsi="Times New Roman"/>
        </w:rPr>
        <w:t>Not applicable.</w:t>
      </w:r>
    </w:p>
    <w:p w:rsidR="000C6BD3" w:rsidRPr="00ED2560" w14:paraId="3D2D70C6" w14:textId="77777777">
      <w:pPr>
        <w:rPr>
          <w:rFonts w:ascii="Times New Roman" w:hAnsi="Times New Roman"/>
        </w:rPr>
      </w:pPr>
    </w:p>
    <w:p w:rsidR="006056F8" w14:paraId="64F225C8" w14:textId="77777777">
      <w:pPr>
        <w:widowControl/>
        <w:autoSpaceDE/>
        <w:autoSpaceDN/>
        <w:adjustRightInd/>
        <w:rPr>
          <w:rFonts w:ascii="Times New Roman" w:hAnsi="Times New Roman"/>
          <w:b/>
          <w:i/>
        </w:rPr>
      </w:pPr>
      <w:r>
        <w:rPr>
          <w:rFonts w:ascii="Times New Roman" w:hAnsi="Times New Roman"/>
          <w:b/>
          <w:i/>
        </w:rPr>
        <w:br w:type="page"/>
      </w:r>
    </w:p>
    <w:p w:rsidR="0065735F" w:rsidRPr="00A711EE" w14:paraId="134C2FED" w14:textId="4A48C674">
      <w:pPr>
        <w:rPr>
          <w:rFonts w:ascii="Times New Roman" w:hAnsi="Times New Roman"/>
          <w:b/>
          <w:i/>
        </w:rPr>
      </w:pPr>
      <w:r w:rsidRPr="00A711EE">
        <w:rPr>
          <w:rFonts w:ascii="Times New Roman" w:hAnsi="Times New Roman"/>
          <w:b/>
          <w:i/>
        </w:rPr>
        <w:t>14.</w:t>
      </w:r>
      <w:r w:rsidRPr="00A711EE">
        <w:rPr>
          <w:rFonts w:ascii="Times New Roman" w:hAnsi="Times New Roman"/>
          <w:b/>
          <w:i/>
        </w:rPr>
        <w:tab/>
        <w:t>Estimate of annualized cost to the Federal Government:</w:t>
      </w:r>
    </w:p>
    <w:p w:rsidR="0065735F" w:rsidRPr="00ED2560" w14:paraId="6CD76253" w14:textId="77777777">
      <w:pPr>
        <w:rPr>
          <w:rFonts w:ascii="Times New Roman" w:hAnsi="Times New Roman"/>
        </w:rPr>
      </w:pPr>
    </w:p>
    <w:p w:rsidR="0065735F" w:rsidRPr="00ED2560" w14:paraId="1DE3F215" w14:textId="77777777">
      <w:pPr>
        <w:ind w:firstLine="720"/>
        <w:rPr>
          <w:rFonts w:ascii="Times New Roman" w:hAnsi="Times New Roman"/>
        </w:rPr>
      </w:pPr>
      <w:r w:rsidRPr="00ED2560">
        <w:rPr>
          <w:rFonts w:ascii="Times New Roman" w:hAnsi="Times New Roman"/>
        </w:rPr>
        <w:t>Not applicable.</w:t>
      </w:r>
    </w:p>
    <w:p w:rsidR="0065735F" w:rsidRPr="00ED2560" w14:paraId="4CCAC0B5" w14:textId="77777777">
      <w:pPr>
        <w:rPr>
          <w:rFonts w:ascii="Times New Roman" w:hAnsi="Times New Roman"/>
        </w:rPr>
      </w:pPr>
    </w:p>
    <w:p w:rsidR="0065735F" w:rsidRPr="00A711EE" w14:paraId="194FB89F" w14:textId="77777777">
      <w:pPr>
        <w:rPr>
          <w:rFonts w:ascii="Times New Roman" w:hAnsi="Times New Roman"/>
          <w:b/>
          <w:i/>
        </w:rPr>
      </w:pPr>
      <w:r w:rsidRPr="00A711EE">
        <w:rPr>
          <w:rFonts w:ascii="Times New Roman" w:hAnsi="Times New Roman"/>
          <w:b/>
          <w:i/>
        </w:rPr>
        <w:t>15.</w:t>
      </w:r>
      <w:r w:rsidRPr="00A711EE">
        <w:rPr>
          <w:rFonts w:ascii="Times New Roman" w:hAnsi="Times New Roman"/>
          <w:b/>
          <w:i/>
        </w:rPr>
        <w:tab/>
        <w:t>Change in burden:</w:t>
      </w:r>
    </w:p>
    <w:p w:rsidR="00D42D20" w:rsidRPr="00ED2560" w14:paraId="226A6F93" w14:textId="77777777">
      <w:pPr>
        <w:rPr>
          <w:rFonts w:ascii="Times New Roman" w:hAnsi="Times New Roman"/>
        </w:rPr>
      </w:pPr>
    </w:p>
    <w:p w:rsidR="00071632" w:rsidP="00071632" w14:paraId="7315C6B9" w14:textId="06F0AA47">
      <w:pPr>
        <w:ind w:firstLine="720"/>
        <w:rPr>
          <w:rFonts w:ascii="Times New Roman" w:hAnsi="Times New Roman"/>
        </w:rPr>
      </w:pPr>
      <w:r>
        <w:rPr>
          <w:rFonts w:ascii="Times New Roman" w:hAnsi="Times New Roman"/>
        </w:rPr>
        <w:t>Former</w:t>
      </w:r>
      <w:r w:rsidR="001F667A">
        <w:rPr>
          <w:rFonts w:ascii="Times New Roman" w:hAnsi="Times New Roman"/>
        </w:rPr>
        <w:tab/>
      </w:r>
      <w:r>
        <w:rPr>
          <w:rFonts w:ascii="Times New Roman" w:hAnsi="Times New Roman"/>
        </w:rPr>
        <w:t xml:space="preserve"> Burden: 597 hours.</w:t>
      </w:r>
    </w:p>
    <w:p w:rsidR="00071632" w:rsidRPr="009539C5" w:rsidP="00071632" w14:paraId="7D910E7F" w14:textId="650A4F24">
      <w:pPr>
        <w:ind w:firstLine="720"/>
        <w:rPr>
          <w:rFonts w:ascii="Times New Roman" w:hAnsi="Times New Roman"/>
          <w:u w:val="single"/>
        </w:rPr>
      </w:pPr>
      <w:r w:rsidRPr="009539C5">
        <w:rPr>
          <w:rFonts w:ascii="Times New Roman" w:hAnsi="Times New Roman"/>
          <w:u w:val="single"/>
        </w:rPr>
        <w:t>Current Burden: 509.5 hours.</w:t>
      </w:r>
    </w:p>
    <w:p w:rsidR="00071632" w:rsidP="00071632" w14:paraId="6A79C561" w14:textId="655B0577">
      <w:pPr>
        <w:ind w:firstLine="720"/>
        <w:rPr>
          <w:rFonts w:ascii="Times New Roman" w:hAnsi="Times New Roman"/>
        </w:rPr>
      </w:pPr>
      <w:r>
        <w:rPr>
          <w:rFonts w:ascii="Times New Roman" w:hAnsi="Times New Roman"/>
        </w:rPr>
        <w:t xml:space="preserve">Difference: </w:t>
      </w:r>
      <w:r w:rsidR="008461BE">
        <w:rPr>
          <w:rFonts w:ascii="Times New Roman" w:hAnsi="Times New Roman"/>
        </w:rPr>
        <w:t xml:space="preserve">– </w:t>
      </w:r>
      <w:r>
        <w:rPr>
          <w:rFonts w:ascii="Times New Roman" w:hAnsi="Times New Roman"/>
        </w:rPr>
        <w:t>87.5 hours.</w:t>
      </w:r>
    </w:p>
    <w:p w:rsidR="00D77C22" w14:paraId="37E71E22" w14:textId="77777777">
      <w:pPr>
        <w:ind w:firstLine="720"/>
        <w:rPr>
          <w:rFonts w:ascii="Times New Roman" w:hAnsi="Times New Roman"/>
        </w:rPr>
      </w:pPr>
    </w:p>
    <w:p w:rsidR="00CC27A7" w:rsidP="009539C5" w14:paraId="5D170131" w14:textId="07FC579D">
      <w:pPr>
        <w:ind w:firstLine="720"/>
        <w:rPr>
          <w:rFonts w:ascii="Times New Roman" w:hAnsi="Times New Roman"/>
        </w:rPr>
      </w:pPr>
      <w:r>
        <w:rPr>
          <w:rFonts w:ascii="Times New Roman" w:hAnsi="Times New Roman"/>
        </w:rPr>
        <w:t>The change in burden is due to less registered bank dealers.</w:t>
      </w:r>
    </w:p>
    <w:p w:rsidR="00AD7BF4" w:rsidRPr="00ED2560" w14:paraId="5BF486DF" w14:textId="77777777">
      <w:pPr>
        <w:rPr>
          <w:rFonts w:ascii="Times New Roman" w:hAnsi="Times New Roman"/>
        </w:rPr>
      </w:pPr>
    </w:p>
    <w:p w:rsidR="0065735F" w:rsidRPr="00A711EE" w14:paraId="4EE711A5" w14:textId="77777777">
      <w:pPr>
        <w:tabs>
          <w:tab w:val="left" w:pos="-1440"/>
        </w:tabs>
        <w:ind w:left="720" w:hanging="720"/>
        <w:rPr>
          <w:rFonts w:ascii="Times New Roman" w:hAnsi="Times New Roman"/>
          <w:b/>
          <w:i/>
        </w:rPr>
      </w:pPr>
      <w:r w:rsidRPr="00A711EE">
        <w:rPr>
          <w:rFonts w:ascii="Times New Roman" w:hAnsi="Times New Roman"/>
          <w:b/>
          <w:i/>
        </w:rPr>
        <w:t>16.</w:t>
      </w:r>
      <w:r w:rsidRPr="00A711EE">
        <w:rPr>
          <w:rFonts w:ascii="Times New Roman" w:hAnsi="Times New Roman"/>
          <w:b/>
          <w:i/>
        </w:rPr>
        <w:tab/>
        <w:t>Information regarding collections whose results are planned to be published for statistical use:</w:t>
      </w:r>
    </w:p>
    <w:p w:rsidR="0065735F" w:rsidRPr="00ED2560" w14:paraId="119CD1B8" w14:textId="77777777">
      <w:pPr>
        <w:rPr>
          <w:rFonts w:ascii="Times New Roman" w:hAnsi="Times New Roman"/>
        </w:rPr>
      </w:pPr>
    </w:p>
    <w:p w:rsidR="0065735F" w:rsidRPr="00ED2560" w14:paraId="48262D1A" w14:textId="77777777">
      <w:pPr>
        <w:ind w:firstLine="720"/>
        <w:rPr>
          <w:rFonts w:ascii="Times New Roman" w:hAnsi="Times New Roman"/>
        </w:rPr>
      </w:pPr>
      <w:r w:rsidRPr="00ED2560">
        <w:rPr>
          <w:rFonts w:ascii="Times New Roman" w:hAnsi="Times New Roman"/>
        </w:rPr>
        <w:t>Not applicable.  This information will not be published for statistical use.</w:t>
      </w:r>
    </w:p>
    <w:p w:rsidR="0065735F" w:rsidRPr="00ED2560" w14:paraId="7B9D0D31" w14:textId="77777777">
      <w:pPr>
        <w:rPr>
          <w:rFonts w:ascii="Times New Roman" w:hAnsi="Times New Roman"/>
        </w:rPr>
      </w:pPr>
    </w:p>
    <w:p w:rsidR="0065735F" w:rsidRPr="00A711EE" w14:paraId="53100D55" w14:textId="77777777">
      <w:pPr>
        <w:rPr>
          <w:rFonts w:ascii="Times New Roman" w:hAnsi="Times New Roman"/>
          <w:b/>
          <w:i/>
        </w:rPr>
      </w:pPr>
      <w:r w:rsidRPr="00A711EE">
        <w:rPr>
          <w:rFonts w:ascii="Times New Roman" w:hAnsi="Times New Roman"/>
          <w:b/>
          <w:i/>
        </w:rPr>
        <w:t>17.</w:t>
      </w:r>
      <w:r w:rsidRPr="00A711EE">
        <w:rPr>
          <w:rFonts w:ascii="Times New Roman" w:hAnsi="Times New Roman"/>
          <w:b/>
          <w:i/>
        </w:rPr>
        <w:tab/>
        <w:t>Display of expiration date:</w:t>
      </w:r>
    </w:p>
    <w:p w:rsidR="0065735F" w:rsidRPr="00ED2560" w14:paraId="29DC4B86" w14:textId="77777777">
      <w:pPr>
        <w:rPr>
          <w:rFonts w:ascii="Times New Roman" w:hAnsi="Times New Roman"/>
        </w:rPr>
      </w:pPr>
    </w:p>
    <w:p w:rsidR="0065735F" w:rsidRPr="00ED2560" w14:paraId="034A1EC3" w14:textId="77777777">
      <w:pPr>
        <w:ind w:firstLine="720"/>
        <w:rPr>
          <w:rFonts w:ascii="Times New Roman" w:hAnsi="Times New Roman"/>
        </w:rPr>
      </w:pPr>
      <w:r w:rsidRPr="00ED2560">
        <w:rPr>
          <w:rFonts w:ascii="Times New Roman" w:hAnsi="Times New Roman"/>
        </w:rPr>
        <w:t>Not applicable.</w:t>
      </w:r>
    </w:p>
    <w:p w:rsidR="0065735F" w:rsidRPr="00ED2560" w14:paraId="4D8AD277" w14:textId="77777777">
      <w:pPr>
        <w:rPr>
          <w:rFonts w:ascii="Times New Roman" w:hAnsi="Times New Roman"/>
        </w:rPr>
      </w:pPr>
    </w:p>
    <w:p w:rsidR="0065735F" w:rsidRPr="00A711EE" w14:paraId="61B8FED7" w14:textId="77777777">
      <w:pPr>
        <w:rPr>
          <w:rFonts w:ascii="Times New Roman" w:hAnsi="Times New Roman"/>
          <w:b/>
          <w:i/>
        </w:rPr>
      </w:pPr>
      <w:r w:rsidRPr="00A711EE">
        <w:rPr>
          <w:rFonts w:ascii="Times New Roman" w:hAnsi="Times New Roman"/>
          <w:b/>
          <w:i/>
        </w:rPr>
        <w:t>18.</w:t>
      </w:r>
      <w:r w:rsidRPr="00A711EE">
        <w:rPr>
          <w:rFonts w:ascii="Times New Roman" w:hAnsi="Times New Roman"/>
          <w:b/>
          <w:i/>
        </w:rPr>
        <w:tab/>
        <w:t>Exceptions to certification statement:</w:t>
      </w:r>
    </w:p>
    <w:p w:rsidR="0065735F" w:rsidRPr="00ED2560" w14:paraId="11156642" w14:textId="77777777">
      <w:pPr>
        <w:rPr>
          <w:rFonts w:ascii="Times New Roman" w:hAnsi="Times New Roman"/>
        </w:rPr>
      </w:pPr>
    </w:p>
    <w:p w:rsidR="0065735F" w:rsidRPr="00ED2560" w14:paraId="7D00B7E2" w14:textId="77777777">
      <w:pPr>
        <w:ind w:firstLine="720"/>
        <w:rPr>
          <w:rFonts w:ascii="Times New Roman" w:hAnsi="Times New Roman"/>
        </w:rPr>
      </w:pPr>
      <w:r w:rsidRPr="00ED2560">
        <w:rPr>
          <w:rFonts w:ascii="Times New Roman" w:hAnsi="Times New Roman"/>
        </w:rPr>
        <w:t>None.</w:t>
      </w:r>
    </w:p>
    <w:p w:rsidR="0065735F" w:rsidRPr="00ED2560" w14:paraId="1F9B4500" w14:textId="77777777">
      <w:pPr>
        <w:rPr>
          <w:rFonts w:ascii="Times New Roman" w:hAnsi="Times New Roman"/>
        </w:rPr>
      </w:pPr>
    </w:p>
    <w:p w:rsidR="0065735F" w:rsidRPr="009539C5" w14:paraId="22B2DA0F" w14:textId="77777777">
      <w:pPr>
        <w:tabs>
          <w:tab w:val="left" w:pos="-1440"/>
        </w:tabs>
        <w:ind w:left="720" w:hanging="720"/>
        <w:rPr>
          <w:rFonts w:ascii="Times New Roman" w:hAnsi="Times New Roman"/>
          <w:b/>
        </w:rPr>
      </w:pPr>
      <w:r w:rsidRPr="00A711EE">
        <w:rPr>
          <w:rFonts w:ascii="Times New Roman" w:hAnsi="Times New Roman"/>
          <w:b/>
        </w:rPr>
        <w:t>B.</w:t>
      </w:r>
      <w:r w:rsidRPr="00A711EE">
        <w:rPr>
          <w:rFonts w:ascii="Times New Roman" w:hAnsi="Times New Roman"/>
          <w:b/>
        </w:rPr>
        <w:tab/>
      </w:r>
      <w:r w:rsidRPr="009539C5">
        <w:rPr>
          <w:rFonts w:ascii="Times New Roman" w:hAnsi="Times New Roman"/>
          <w:b/>
        </w:rPr>
        <w:t>Collections of Information Employing Statistical Methods.</w:t>
      </w:r>
    </w:p>
    <w:p w:rsidR="0065735F" w:rsidRPr="00ED2560" w14:paraId="426428BF" w14:textId="77777777">
      <w:pPr>
        <w:rPr>
          <w:rFonts w:ascii="Times New Roman" w:hAnsi="Times New Roman"/>
          <w:u w:val="single"/>
        </w:rPr>
      </w:pPr>
    </w:p>
    <w:p w:rsidR="0065735F" w:rsidRPr="00ED2560" w14:paraId="177C032D" w14:textId="77777777">
      <w:pPr>
        <w:ind w:firstLine="720"/>
        <w:rPr>
          <w:rFonts w:ascii="Times New Roman" w:hAnsi="Times New Roman"/>
        </w:rPr>
      </w:pPr>
      <w:r w:rsidRPr="00ED2560">
        <w:rPr>
          <w:rFonts w:ascii="Times New Roman" w:hAnsi="Times New Roman"/>
        </w:rPr>
        <w:t>Not applicable.</w:t>
      </w:r>
    </w:p>
    <w:p w:rsidR="0065735F" w:rsidRPr="00ED2560" w14:paraId="0B929C62" w14:textId="77777777">
      <w:pPr>
        <w:rPr>
          <w:rFonts w:ascii="Times New Roman" w:hAnsi="Times New Roman"/>
        </w:rPr>
      </w:pPr>
    </w:p>
    <w:p w:rsidR="00107BA2" w:rsidRPr="00ED2560" w14:paraId="12861693" w14:textId="77777777">
      <w:pPr>
        <w:rPr>
          <w:rFonts w:ascii="Times New Roman" w:hAnsi="Times New Roman"/>
        </w:rPr>
      </w:pPr>
    </w:p>
    <w:p w:rsidR="00107BA2" w:rsidRPr="00ED2560" w14:paraId="3D1CB701" w14:textId="77777777">
      <w:pPr>
        <w:rPr>
          <w:rFonts w:ascii="Times New Roman" w:hAnsi="Times New Roman"/>
        </w:rPr>
      </w:pPr>
    </w:p>
    <w:sectPr w:rsidSect="00F93CEC">
      <w:footerReference w:type="default" r:id="rId5"/>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7574" w14:paraId="48C4DF25" w14:textId="77777777">
    <w:pPr>
      <w:spacing w:line="240" w:lineRule="exact"/>
    </w:pPr>
  </w:p>
  <w:p w:rsidR="00A27574" w14:paraId="43B160F0" w14:textId="77777777">
    <w:pPr>
      <w:framePr w:w="9361" w:wrap="notBeside" w:vAnchor="text" w:hAnchor="text" w:x="1" w:y="1"/>
      <w:jc w:val="center"/>
      <w:rPr>
        <w:rFonts w:ascii="CG Times" w:hAnsi="CG Times"/>
        <w:sz w:val="20"/>
        <w:szCs w:val="20"/>
      </w:rPr>
    </w:pPr>
    <w:r>
      <w:rPr>
        <w:rFonts w:ascii="CG Times" w:hAnsi="CG Times"/>
        <w:sz w:val="20"/>
        <w:szCs w:val="20"/>
      </w:rPr>
      <w:fldChar w:fldCharType="begin"/>
    </w:r>
    <w:r>
      <w:rPr>
        <w:rFonts w:ascii="CG Times" w:hAnsi="CG Times"/>
        <w:sz w:val="20"/>
        <w:szCs w:val="20"/>
      </w:rPr>
      <w:instrText xml:space="preserve">PAGE </w:instrText>
    </w:r>
    <w:r>
      <w:rPr>
        <w:rFonts w:ascii="CG Times" w:hAnsi="CG Times"/>
        <w:sz w:val="20"/>
        <w:szCs w:val="20"/>
      </w:rPr>
      <w:fldChar w:fldCharType="separate"/>
    </w:r>
    <w:r w:rsidR="006D099D">
      <w:rPr>
        <w:rFonts w:ascii="CG Times" w:hAnsi="CG Times"/>
        <w:noProof/>
        <w:sz w:val="20"/>
        <w:szCs w:val="20"/>
      </w:rPr>
      <w:t>4</w:t>
    </w:r>
    <w:r>
      <w:rPr>
        <w:rFonts w:ascii="CG Times" w:hAnsi="CG Times"/>
        <w:sz w:val="20"/>
        <w:szCs w:val="20"/>
      </w:rPr>
      <w:fldChar w:fldCharType="end"/>
    </w:r>
  </w:p>
  <w:p w:rsidR="00A27574" w14:paraId="06E0B08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14BE" w14:paraId="6A1F76FE" w14:textId="77777777">
      <w:r>
        <w:separator/>
      </w:r>
    </w:p>
  </w:footnote>
  <w:footnote w:type="continuationSeparator" w:id="1">
    <w:p w:rsidR="007114BE" w14:paraId="243FF9A3" w14:textId="77777777">
      <w:r>
        <w:continuationSeparator/>
      </w:r>
    </w:p>
  </w:footnote>
  <w:footnote w:id="2">
    <w:p w:rsidR="00A27574" w:rsidRPr="007A01F7" w:rsidP="008D1011" w14:paraId="288CF778" w14:textId="77777777">
      <w:pPr>
        <w:pStyle w:val="FootnoteText"/>
        <w:rPr>
          <w:rFonts w:ascii="Times New Roman" w:hAnsi="Times New Roman"/>
          <w:sz w:val="24"/>
          <w:szCs w:val="24"/>
        </w:rPr>
      </w:pPr>
      <w:r w:rsidRPr="007A01F7">
        <w:rPr>
          <w:rStyle w:val="FootnoteReference"/>
          <w:rFonts w:ascii="Times New Roman" w:hAnsi="Times New Roman"/>
          <w:sz w:val="24"/>
          <w:szCs w:val="24"/>
          <w:vertAlign w:val="superscript"/>
        </w:rPr>
        <w:footnoteRef/>
      </w:r>
      <w:r w:rsidRPr="007A01F7">
        <w:rPr>
          <w:rFonts w:ascii="Times New Roman" w:hAnsi="Times New Roman"/>
          <w:sz w:val="24"/>
          <w:szCs w:val="24"/>
          <w:vertAlign w:val="superscript"/>
        </w:rPr>
        <w:t xml:space="preserve"> </w:t>
      </w:r>
      <w:r w:rsidRPr="007A01F7">
        <w:rPr>
          <w:rFonts w:ascii="Times New Roman" w:hAnsi="Times New Roman"/>
          <w:sz w:val="24"/>
          <w:szCs w:val="24"/>
        </w:rPr>
        <w:t>15 U.S.C. 78o-4.</w:t>
      </w:r>
    </w:p>
  </w:footnote>
  <w:footnote w:id="3">
    <w:p w:rsidR="00A27574" w:rsidRPr="007A01F7" w14:paraId="42FE8292" w14:textId="77777777">
      <w:pPr>
        <w:pStyle w:val="FootnoteText"/>
        <w:rPr>
          <w:rFonts w:ascii="Times New Roman" w:hAnsi="Times New Roman"/>
          <w:sz w:val="24"/>
          <w:szCs w:val="24"/>
        </w:rPr>
      </w:pPr>
      <w:r w:rsidRPr="007A01F7">
        <w:rPr>
          <w:rStyle w:val="FootnoteReference"/>
          <w:rFonts w:ascii="Times New Roman" w:hAnsi="Times New Roman"/>
          <w:sz w:val="24"/>
          <w:szCs w:val="24"/>
          <w:vertAlign w:val="superscript"/>
        </w:rPr>
        <w:footnoteRef/>
      </w:r>
      <w:r w:rsidRPr="007A01F7">
        <w:rPr>
          <w:rFonts w:ascii="Times New Roman" w:hAnsi="Times New Roman"/>
          <w:sz w:val="24"/>
          <w:szCs w:val="24"/>
        </w:rPr>
        <w:t xml:space="preserve"> 15 U.S.C. 78o-5.</w:t>
      </w:r>
    </w:p>
  </w:footnote>
  <w:footnote w:id="4">
    <w:p w:rsidR="00ED2560" w:rsidRPr="007A01F7" w:rsidP="00ED2560" w14:paraId="38E3FBEC" w14:textId="6C750216">
      <w:pPr>
        <w:pStyle w:val="FootnoteText"/>
        <w:rPr>
          <w:rFonts w:ascii="Times New Roman" w:hAnsi="Times New Roman"/>
          <w:sz w:val="24"/>
          <w:szCs w:val="24"/>
        </w:rPr>
      </w:pPr>
      <w:r w:rsidRPr="007A01F7">
        <w:rPr>
          <w:rStyle w:val="FootnoteReference"/>
          <w:rFonts w:ascii="Times New Roman" w:hAnsi="Times New Roman"/>
          <w:sz w:val="24"/>
          <w:szCs w:val="24"/>
          <w:vertAlign w:val="superscript"/>
        </w:rPr>
        <w:footnoteRef/>
      </w:r>
      <w:r w:rsidRPr="007A01F7">
        <w:rPr>
          <w:rFonts w:ascii="Times New Roman" w:hAnsi="Times New Roman"/>
          <w:sz w:val="24"/>
          <w:szCs w:val="24"/>
          <w:vertAlign w:val="superscript"/>
        </w:rPr>
        <w:t xml:space="preserve"> </w:t>
      </w:r>
      <w:r w:rsidRPr="007A01F7">
        <w:rPr>
          <w:rFonts w:ascii="Times New Roman" w:hAnsi="Times New Roman"/>
          <w:sz w:val="24"/>
          <w:szCs w:val="24"/>
        </w:rPr>
        <w:t>The Securities and Exchange Commission (SEC) maintains collections for the MSD and MSDW under OMB Contr</w:t>
      </w:r>
      <w:r w:rsidRPr="007A01F7" w:rsidR="00F2137D">
        <w:rPr>
          <w:rFonts w:ascii="Times New Roman" w:hAnsi="Times New Roman"/>
          <w:sz w:val="24"/>
          <w:szCs w:val="24"/>
        </w:rPr>
        <w:t>ol Nos. 3235-0083 and 3235-0087;</w:t>
      </w:r>
      <w:r w:rsidRPr="007A01F7">
        <w:rPr>
          <w:rFonts w:ascii="Times New Roman" w:hAnsi="Times New Roman"/>
          <w:sz w:val="24"/>
          <w:szCs w:val="24"/>
        </w:rPr>
        <w:t xml:space="preserve"> however, there is a requirement that these be filed with the OCC, which is covered by OMB Control No. 1557-0184.</w:t>
      </w:r>
    </w:p>
  </w:footnote>
  <w:footnote w:id="5">
    <w:p w:rsidR="00ED2560" w:rsidP="00ED2560" w14:paraId="1D446142" w14:textId="76B9CC11">
      <w:pPr>
        <w:pStyle w:val="CommentText"/>
      </w:pPr>
      <w:r w:rsidRPr="007A01F7">
        <w:rPr>
          <w:rStyle w:val="FootnoteReference"/>
          <w:rFonts w:ascii="Times New Roman" w:hAnsi="Times New Roman"/>
          <w:sz w:val="24"/>
          <w:szCs w:val="24"/>
          <w:vertAlign w:val="superscript"/>
        </w:rPr>
        <w:footnoteRef/>
      </w:r>
      <w:r w:rsidRPr="007A01F7">
        <w:rPr>
          <w:rFonts w:ascii="Times New Roman" w:hAnsi="Times New Roman"/>
          <w:sz w:val="24"/>
          <w:szCs w:val="24"/>
          <w:vertAlign w:val="superscript"/>
        </w:rPr>
        <w:t xml:space="preserve"> </w:t>
      </w:r>
      <w:r w:rsidRPr="007A01F7">
        <w:rPr>
          <w:rFonts w:ascii="Times New Roman" w:hAnsi="Times New Roman"/>
          <w:sz w:val="24"/>
          <w:szCs w:val="24"/>
        </w:rPr>
        <w:t xml:space="preserve">The Department of the Treasury maintains collections for the G-FIN-4 and G-FIN-5 under OMB Control No. </w:t>
      </w:r>
      <w:r w:rsidR="004A0FCB">
        <w:rPr>
          <w:rFonts w:ascii="Times New Roman" w:hAnsi="Times New Roman"/>
          <w:sz w:val="24"/>
          <w:szCs w:val="24"/>
        </w:rPr>
        <w:t>1530-0064</w:t>
      </w:r>
      <w:r w:rsidRPr="007A01F7">
        <w:rPr>
          <w:rFonts w:ascii="Times New Roman" w:hAnsi="Times New Roman"/>
          <w:sz w:val="24"/>
          <w:szCs w:val="24"/>
        </w:rPr>
        <w:t>, however</w:t>
      </w:r>
      <w:r w:rsidRPr="007A01F7" w:rsidR="00F2137D">
        <w:rPr>
          <w:rFonts w:ascii="Times New Roman" w:hAnsi="Times New Roman"/>
          <w:sz w:val="24"/>
          <w:szCs w:val="24"/>
        </w:rPr>
        <w:t>,</w:t>
      </w:r>
      <w:r w:rsidRPr="007A01F7">
        <w:rPr>
          <w:rFonts w:ascii="Times New Roman" w:hAnsi="Times New Roman"/>
          <w:sz w:val="24"/>
          <w:szCs w:val="24"/>
        </w:rPr>
        <w:t xml:space="preserve"> there is a requirement that they be filed with the OCC, which is covered by OMB Control No. 1557-0184.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DB3833"/>
    <w:multiLevelType w:val="hybridMultilevel"/>
    <w:tmpl w:val="44721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1104333"/>
    <w:multiLevelType w:val="hybridMultilevel"/>
    <w:tmpl w:val="B1904E70"/>
    <w:lvl w:ilvl="0">
      <w:start w:val="920"/>
      <w:numFmt w:val="bullet"/>
      <w:lvlText w:val="-"/>
      <w:lvlJc w:val="left"/>
      <w:pPr>
        <w:ind w:left="1545" w:hanging="360"/>
      </w:pPr>
      <w:rPr>
        <w:rFonts w:ascii="Times New Roman" w:eastAsia="Times New Roman" w:hAnsi="Times New Roman" w:cs="Times New Roman" w:hint="default"/>
      </w:rPr>
    </w:lvl>
    <w:lvl w:ilvl="1" w:tentative="1">
      <w:start w:val="1"/>
      <w:numFmt w:val="bullet"/>
      <w:lvlText w:val="o"/>
      <w:lvlJc w:val="left"/>
      <w:pPr>
        <w:ind w:left="2265" w:hanging="360"/>
      </w:pPr>
      <w:rPr>
        <w:rFonts w:ascii="Courier New" w:hAnsi="Courier New" w:cs="Courier New" w:hint="default"/>
      </w:rPr>
    </w:lvl>
    <w:lvl w:ilvl="2" w:tentative="1">
      <w:start w:val="1"/>
      <w:numFmt w:val="bullet"/>
      <w:lvlText w:val=""/>
      <w:lvlJc w:val="left"/>
      <w:pPr>
        <w:ind w:left="2985" w:hanging="360"/>
      </w:pPr>
      <w:rPr>
        <w:rFonts w:ascii="Wingdings" w:hAnsi="Wingdings" w:hint="default"/>
      </w:rPr>
    </w:lvl>
    <w:lvl w:ilvl="3" w:tentative="1">
      <w:start w:val="1"/>
      <w:numFmt w:val="bullet"/>
      <w:lvlText w:val=""/>
      <w:lvlJc w:val="left"/>
      <w:pPr>
        <w:ind w:left="3705" w:hanging="360"/>
      </w:pPr>
      <w:rPr>
        <w:rFonts w:ascii="Symbol" w:hAnsi="Symbol" w:hint="default"/>
      </w:rPr>
    </w:lvl>
    <w:lvl w:ilvl="4" w:tentative="1">
      <w:start w:val="1"/>
      <w:numFmt w:val="bullet"/>
      <w:lvlText w:val="o"/>
      <w:lvlJc w:val="left"/>
      <w:pPr>
        <w:ind w:left="4425" w:hanging="360"/>
      </w:pPr>
      <w:rPr>
        <w:rFonts w:ascii="Courier New" w:hAnsi="Courier New" w:cs="Courier New" w:hint="default"/>
      </w:rPr>
    </w:lvl>
    <w:lvl w:ilvl="5" w:tentative="1">
      <w:start w:val="1"/>
      <w:numFmt w:val="bullet"/>
      <w:lvlText w:val=""/>
      <w:lvlJc w:val="left"/>
      <w:pPr>
        <w:ind w:left="5145" w:hanging="360"/>
      </w:pPr>
      <w:rPr>
        <w:rFonts w:ascii="Wingdings" w:hAnsi="Wingdings" w:hint="default"/>
      </w:rPr>
    </w:lvl>
    <w:lvl w:ilvl="6" w:tentative="1">
      <w:start w:val="1"/>
      <w:numFmt w:val="bullet"/>
      <w:lvlText w:val=""/>
      <w:lvlJc w:val="left"/>
      <w:pPr>
        <w:ind w:left="5865" w:hanging="360"/>
      </w:pPr>
      <w:rPr>
        <w:rFonts w:ascii="Symbol" w:hAnsi="Symbol" w:hint="default"/>
      </w:rPr>
    </w:lvl>
    <w:lvl w:ilvl="7" w:tentative="1">
      <w:start w:val="1"/>
      <w:numFmt w:val="bullet"/>
      <w:lvlText w:val="o"/>
      <w:lvlJc w:val="left"/>
      <w:pPr>
        <w:ind w:left="6585" w:hanging="360"/>
      </w:pPr>
      <w:rPr>
        <w:rFonts w:ascii="Courier New" w:hAnsi="Courier New" w:cs="Courier New" w:hint="default"/>
      </w:rPr>
    </w:lvl>
    <w:lvl w:ilvl="8" w:tentative="1">
      <w:start w:val="1"/>
      <w:numFmt w:val="bullet"/>
      <w:lvlText w:val=""/>
      <w:lvlJc w:val="left"/>
      <w:pPr>
        <w:ind w:left="7305" w:hanging="360"/>
      </w:pPr>
      <w:rPr>
        <w:rFonts w:ascii="Wingdings" w:hAnsi="Wingdings" w:hint="default"/>
      </w:rPr>
    </w:lvl>
  </w:abstractNum>
  <w:abstractNum w:abstractNumId="2">
    <w:nsid w:val="57785155"/>
    <w:multiLevelType w:val="hybridMultilevel"/>
    <w:tmpl w:val="F28EFC2E"/>
    <w:lvl w:ilvl="0">
      <w:start w:val="920"/>
      <w:numFmt w:val="bullet"/>
      <w:lvlText w:val="-"/>
      <w:lvlJc w:val="left"/>
      <w:pPr>
        <w:ind w:left="1905" w:hanging="360"/>
      </w:pPr>
      <w:rPr>
        <w:rFonts w:ascii="Times New Roman" w:eastAsia="Times New Roman" w:hAnsi="Times New Roman" w:cs="Times New Roman" w:hint="default"/>
      </w:rPr>
    </w:lvl>
    <w:lvl w:ilvl="1" w:tentative="1">
      <w:start w:val="1"/>
      <w:numFmt w:val="bullet"/>
      <w:lvlText w:val="o"/>
      <w:lvlJc w:val="left"/>
      <w:pPr>
        <w:ind w:left="2625" w:hanging="360"/>
      </w:pPr>
      <w:rPr>
        <w:rFonts w:ascii="Courier New" w:hAnsi="Courier New" w:cs="Courier New" w:hint="default"/>
      </w:rPr>
    </w:lvl>
    <w:lvl w:ilvl="2" w:tentative="1">
      <w:start w:val="1"/>
      <w:numFmt w:val="bullet"/>
      <w:lvlText w:val=""/>
      <w:lvlJc w:val="left"/>
      <w:pPr>
        <w:ind w:left="3345" w:hanging="360"/>
      </w:pPr>
      <w:rPr>
        <w:rFonts w:ascii="Wingdings" w:hAnsi="Wingdings" w:hint="default"/>
      </w:rPr>
    </w:lvl>
    <w:lvl w:ilvl="3" w:tentative="1">
      <w:start w:val="1"/>
      <w:numFmt w:val="bullet"/>
      <w:lvlText w:val=""/>
      <w:lvlJc w:val="left"/>
      <w:pPr>
        <w:ind w:left="4065" w:hanging="360"/>
      </w:pPr>
      <w:rPr>
        <w:rFonts w:ascii="Symbol" w:hAnsi="Symbol" w:hint="default"/>
      </w:rPr>
    </w:lvl>
    <w:lvl w:ilvl="4" w:tentative="1">
      <w:start w:val="1"/>
      <w:numFmt w:val="bullet"/>
      <w:lvlText w:val="o"/>
      <w:lvlJc w:val="left"/>
      <w:pPr>
        <w:ind w:left="4785" w:hanging="360"/>
      </w:pPr>
      <w:rPr>
        <w:rFonts w:ascii="Courier New" w:hAnsi="Courier New" w:cs="Courier New" w:hint="default"/>
      </w:rPr>
    </w:lvl>
    <w:lvl w:ilvl="5" w:tentative="1">
      <w:start w:val="1"/>
      <w:numFmt w:val="bullet"/>
      <w:lvlText w:val=""/>
      <w:lvlJc w:val="left"/>
      <w:pPr>
        <w:ind w:left="5505" w:hanging="360"/>
      </w:pPr>
      <w:rPr>
        <w:rFonts w:ascii="Wingdings" w:hAnsi="Wingdings" w:hint="default"/>
      </w:rPr>
    </w:lvl>
    <w:lvl w:ilvl="6" w:tentative="1">
      <w:start w:val="1"/>
      <w:numFmt w:val="bullet"/>
      <w:lvlText w:val=""/>
      <w:lvlJc w:val="left"/>
      <w:pPr>
        <w:ind w:left="6225" w:hanging="360"/>
      </w:pPr>
      <w:rPr>
        <w:rFonts w:ascii="Symbol" w:hAnsi="Symbol" w:hint="default"/>
      </w:rPr>
    </w:lvl>
    <w:lvl w:ilvl="7" w:tentative="1">
      <w:start w:val="1"/>
      <w:numFmt w:val="bullet"/>
      <w:lvlText w:val="o"/>
      <w:lvlJc w:val="left"/>
      <w:pPr>
        <w:ind w:left="6945" w:hanging="360"/>
      </w:pPr>
      <w:rPr>
        <w:rFonts w:ascii="Courier New" w:hAnsi="Courier New" w:cs="Courier New" w:hint="default"/>
      </w:rPr>
    </w:lvl>
    <w:lvl w:ilvl="8" w:tentative="1">
      <w:start w:val="1"/>
      <w:numFmt w:val="bullet"/>
      <w:lvlText w:val=""/>
      <w:lvlJc w:val="left"/>
      <w:pPr>
        <w:ind w:left="7665" w:hanging="360"/>
      </w:pPr>
      <w:rPr>
        <w:rFonts w:ascii="Wingdings" w:hAnsi="Wingdings" w:hint="default"/>
      </w:rPr>
    </w:lvl>
  </w:abstractNum>
  <w:num w:numId="1" w16cid:durableId="390275897">
    <w:abstractNumId w:val="1"/>
  </w:num>
  <w:num w:numId="2" w16cid:durableId="878203706">
    <w:abstractNumId w:val="2"/>
  </w:num>
  <w:num w:numId="3" w16cid:durableId="112361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AB"/>
    <w:rsid w:val="00005D66"/>
    <w:rsid w:val="00017A1A"/>
    <w:rsid w:val="00027D65"/>
    <w:rsid w:val="00036277"/>
    <w:rsid w:val="00045E32"/>
    <w:rsid w:val="00071632"/>
    <w:rsid w:val="00086125"/>
    <w:rsid w:val="000868FB"/>
    <w:rsid w:val="00096D56"/>
    <w:rsid w:val="0009771B"/>
    <w:rsid w:val="000A031E"/>
    <w:rsid w:val="000C4652"/>
    <w:rsid w:val="000C6BD3"/>
    <w:rsid w:val="000D07FA"/>
    <w:rsid w:val="000E0041"/>
    <w:rsid w:val="000E3280"/>
    <w:rsid w:val="000E4B61"/>
    <w:rsid w:val="000F0581"/>
    <w:rsid w:val="000F5B49"/>
    <w:rsid w:val="00107BA2"/>
    <w:rsid w:val="00127D20"/>
    <w:rsid w:val="00165A7E"/>
    <w:rsid w:val="001754D3"/>
    <w:rsid w:val="0017749F"/>
    <w:rsid w:val="0018496F"/>
    <w:rsid w:val="00194D01"/>
    <w:rsid w:val="00194E50"/>
    <w:rsid w:val="001D1074"/>
    <w:rsid w:val="001F6480"/>
    <w:rsid w:val="001F667A"/>
    <w:rsid w:val="002112F0"/>
    <w:rsid w:val="00223993"/>
    <w:rsid w:val="00246C6D"/>
    <w:rsid w:val="00254243"/>
    <w:rsid w:val="002B4FF6"/>
    <w:rsid w:val="002B6CB2"/>
    <w:rsid w:val="00303E6A"/>
    <w:rsid w:val="00315471"/>
    <w:rsid w:val="003738C6"/>
    <w:rsid w:val="003A4439"/>
    <w:rsid w:val="003D1439"/>
    <w:rsid w:val="003D64B5"/>
    <w:rsid w:val="003F7A50"/>
    <w:rsid w:val="004309B1"/>
    <w:rsid w:val="004363F8"/>
    <w:rsid w:val="00437435"/>
    <w:rsid w:val="00450A97"/>
    <w:rsid w:val="004576F8"/>
    <w:rsid w:val="00487F51"/>
    <w:rsid w:val="00493AA4"/>
    <w:rsid w:val="004A0FCB"/>
    <w:rsid w:val="004D50AD"/>
    <w:rsid w:val="004D7C3F"/>
    <w:rsid w:val="004E16C8"/>
    <w:rsid w:val="004F3661"/>
    <w:rsid w:val="004F6388"/>
    <w:rsid w:val="00505619"/>
    <w:rsid w:val="00556EBE"/>
    <w:rsid w:val="005A02B5"/>
    <w:rsid w:val="005A4BDC"/>
    <w:rsid w:val="005A5642"/>
    <w:rsid w:val="005A56E7"/>
    <w:rsid w:val="005A5E42"/>
    <w:rsid w:val="005B524F"/>
    <w:rsid w:val="005C2EB1"/>
    <w:rsid w:val="005D1E25"/>
    <w:rsid w:val="005F50DF"/>
    <w:rsid w:val="006056F8"/>
    <w:rsid w:val="00607A5B"/>
    <w:rsid w:val="00631B5D"/>
    <w:rsid w:val="0065735F"/>
    <w:rsid w:val="00663A5F"/>
    <w:rsid w:val="00690BA0"/>
    <w:rsid w:val="00690BBE"/>
    <w:rsid w:val="00692694"/>
    <w:rsid w:val="006C3A0D"/>
    <w:rsid w:val="006C6201"/>
    <w:rsid w:val="006D0117"/>
    <w:rsid w:val="006D099D"/>
    <w:rsid w:val="006E0F8B"/>
    <w:rsid w:val="006E29B5"/>
    <w:rsid w:val="006E423B"/>
    <w:rsid w:val="006E5A60"/>
    <w:rsid w:val="00700D2F"/>
    <w:rsid w:val="007114BE"/>
    <w:rsid w:val="00714083"/>
    <w:rsid w:val="007151A2"/>
    <w:rsid w:val="007274D5"/>
    <w:rsid w:val="007407DD"/>
    <w:rsid w:val="00742F4A"/>
    <w:rsid w:val="007430AB"/>
    <w:rsid w:val="00743BD6"/>
    <w:rsid w:val="00751A09"/>
    <w:rsid w:val="007606D0"/>
    <w:rsid w:val="0077065F"/>
    <w:rsid w:val="00771B9F"/>
    <w:rsid w:val="0078573D"/>
    <w:rsid w:val="007A01F7"/>
    <w:rsid w:val="007A4D06"/>
    <w:rsid w:val="007B673F"/>
    <w:rsid w:val="007C3377"/>
    <w:rsid w:val="007D39AB"/>
    <w:rsid w:val="007E13CC"/>
    <w:rsid w:val="007F596D"/>
    <w:rsid w:val="007F5F86"/>
    <w:rsid w:val="007F625C"/>
    <w:rsid w:val="00801014"/>
    <w:rsid w:val="0082437E"/>
    <w:rsid w:val="008260E4"/>
    <w:rsid w:val="00831829"/>
    <w:rsid w:val="00832A92"/>
    <w:rsid w:val="008461BE"/>
    <w:rsid w:val="00850F9A"/>
    <w:rsid w:val="008803F0"/>
    <w:rsid w:val="0088758B"/>
    <w:rsid w:val="00893FA0"/>
    <w:rsid w:val="008A64E4"/>
    <w:rsid w:val="008B2976"/>
    <w:rsid w:val="008B35B2"/>
    <w:rsid w:val="008C2055"/>
    <w:rsid w:val="008D1011"/>
    <w:rsid w:val="008D308B"/>
    <w:rsid w:val="008E0983"/>
    <w:rsid w:val="00920E65"/>
    <w:rsid w:val="00932E55"/>
    <w:rsid w:val="009539C5"/>
    <w:rsid w:val="00973905"/>
    <w:rsid w:val="00985CF2"/>
    <w:rsid w:val="009A25E8"/>
    <w:rsid w:val="009A42C4"/>
    <w:rsid w:val="009E6D8A"/>
    <w:rsid w:val="00A10883"/>
    <w:rsid w:val="00A13289"/>
    <w:rsid w:val="00A175F6"/>
    <w:rsid w:val="00A27574"/>
    <w:rsid w:val="00A34C5E"/>
    <w:rsid w:val="00A34EE0"/>
    <w:rsid w:val="00A54627"/>
    <w:rsid w:val="00A570BF"/>
    <w:rsid w:val="00A574EF"/>
    <w:rsid w:val="00A63BB5"/>
    <w:rsid w:val="00A6721E"/>
    <w:rsid w:val="00A711EE"/>
    <w:rsid w:val="00A83746"/>
    <w:rsid w:val="00A86C6F"/>
    <w:rsid w:val="00A87FE6"/>
    <w:rsid w:val="00AA0A1B"/>
    <w:rsid w:val="00AA189A"/>
    <w:rsid w:val="00AD0CF5"/>
    <w:rsid w:val="00AD55F6"/>
    <w:rsid w:val="00AD7BF4"/>
    <w:rsid w:val="00AE3AB9"/>
    <w:rsid w:val="00AF324B"/>
    <w:rsid w:val="00B12E2D"/>
    <w:rsid w:val="00B16E55"/>
    <w:rsid w:val="00B4000D"/>
    <w:rsid w:val="00B56991"/>
    <w:rsid w:val="00B610F4"/>
    <w:rsid w:val="00B75614"/>
    <w:rsid w:val="00B91083"/>
    <w:rsid w:val="00BA222A"/>
    <w:rsid w:val="00BC01B1"/>
    <w:rsid w:val="00BD33B3"/>
    <w:rsid w:val="00BD349D"/>
    <w:rsid w:val="00C24A9F"/>
    <w:rsid w:val="00C37C12"/>
    <w:rsid w:val="00C44337"/>
    <w:rsid w:val="00C471E4"/>
    <w:rsid w:val="00C47AB9"/>
    <w:rsid w:val="00C86591"/>
    <w:rsid w:val="00C86654"/>
    <w:rsid w:val="00CA65A3"/>
    <w:rsid w:val="00CC0114"/>
    <w:rsid w:val="00CC27A7"/>
    <w:rsid w:val="00CC4731"/>
    <w:rsid w:val="00D15E21"/>
    <w:rsid w:val="00D42D20"/>
    <w:rsid w:val="00D60E14"/>
    <w:rsid w:val="00D6625B"/>
    <w:rsid w:val="00D77C22"/>
    <w:rsid w:val="00D846A3"/>
    <w:rsid w:val="00D8622C"/>
    <w:rsid w:val="00D93419"/>
    <w:rsid w:val="00DB0DF2"/>
    <w:rsid w:val="00DD33EF"/>
    <w:rsid w:val="00DD6B5B"/>
    <w:rsid w:val="00DD76CD"/>
    <w:rsid w:val="00DE6D2B"/>
    <w:rsid w:val="00DF283B"/>
    <w:rsid w:val="00E054C0"/>
    <w:rsid w:val="00E07E75"/>
    <w:rsid w:val="00E202B4"/>
    <w:rsid w:val="00E47E82"/>
    <w:rsid w:val="00E81F7C"/>
    <w:rsid w:val="00EA6ED3"/>
    <w:rsid w:val="00EB0190"/>
    <w:rsid w:val="00EB1B40"/>
    <w:rsid w:val="00EC7047"/>
    <w:rsid w:val="00EC773A"/>
    <w:rsid w:val="00ED1D9E"/>
    <w:rsid w:val="00ED2560"/>
    <w:rsid w:val="00EE057E"/>
    <w:rsid w:val="00EF7648"/>
    <w:rsid w:val="00F12359"/>
    <w:rsid w:val="00F13B88"/>
    <w:rsid w:val="00F17B1A"/>
    <w:rsid w:val="00F2137D"/>
    <w:rsid w:val="00F25A35"/>
    <w:rsid w:val="00F42E5D"/>
    <w:rsid w:val="00F51874"/>
    <w:rsid w:val="00F61DEC"/>
    <w:rsid w:val="00F93CEC"/>
    <w:rsid w:val="00FA3D93"/>
    <w:rsid w:val="00FC7E48"/>
    <w:rsid w:val="00FE0AEB"/>
    <w:rsid w:val="00FE30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46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3CEC"/>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93CEC"/>
  </w:style>
  <w:style w:type="paragraph" w:styleId="BalloonText">
    <w:name w:val="Balloon Text"/>
    <w:basedOn w:val="Normal"/>
    <w:semiHidden/>
    <w:rsid w:val="00D42D20"/>
    <w:rPr>
      <w:rFonts w:ascii="Tahoma" w:hAnsi="Tahoma" w:cs="Tahoma"/>
      <w:sz w:val="16"/>
      <w:szCs w:val="16"/>
    </w:rPr>
  </w:style>
  <w:style w:type="paragraph" w:styleId="FootnoteText">
    <w:name w:val="footnote text"/>
    <w:basedOn w:val="Normal"/>
    <w:semiHidden/>
    <w:rsid w:val="00223993"/>
    <w:rPr>
      <w:sz w:val="20"/>
      <w:szCs w:val="20"/>
    </w:rPr>
  </w:style>
  <w:style w:type="character" w:styleId="CommentReference">
    <w:name w:val="annotation reference"/>
    <w:basedOn w:val="DefaultParagraphFont"/>
    <w:rsid w:val="003D1439"/>
    <w:rPr>
      <w:sz w:val="16"/>
      <w:szCs w:val="16"/>
    </w:rPr>
  </w:style>
  <w:style w:type="paragraph" w:styleId="CommentText">
    <w:name w:val="annotation text"/>
    <w:basedOn w:val="Normal"/>
    <w:link w:val="CommentTextChar"/>
    <w:rsid w:val="003D1439"/>
    <w:rPr>
      <w:sz w:val="20"/>
      <w:szCs w:val="20"/>
    </w:rPr>
  </w:style>
  <w:style w:type="character" w:customStyle="1" w:styleId="CommentTextChar">
    <w:name w:val="Comment Text Char"/>
    <w:basedOn w:val="DefaultParagraphFont"/>
    <w:link w:val="CommentText"/>
    <w:rsid w:val="003D1439"/>
    <w:rPr>
      <w:rFonts w:ascii="Courier" w:hAnsi="Courier"/>
    </w:rPr>
  </w:style>
  <w:style w:type="paragraph" w:styleId="CommentSubject">
    <w:name w:val="annotation subject"/>
    <w:basedOn w:val="CommentText"/>
    <w:next w:val="CommentText"/>
    <w:link w:val="CommentSubjectChar"/>
    <w:rsid w:val="003D1439"/>
    <w:rPr>
      <w:b/>
      <w:bCs/>
    </w:rPr>
  </w:style>
  <w:style w:type="character" w:customStyle="1" w:styleId="CommentSubjectChar">
    <w:name w:val="Comment Subject Char"/>
    <w:basedOn w:val="CommentTextChar"/>
    <w:link w:val="CommentSubject"/>
    <w:rsid w:val="003D1439"/>
    <w:rPr>
      <w:rFonts w:ascii="Courier" w:hAnsi="Courier"/>
      <w:b/>
      <w:bCs/>
    </w:rPr>
  </w:style>
  <w:style w:type="paragraph" w:styleId="ListParagraph">
    <w:name w:val="List Paragraph"/>
    <w:basedOn w:val="Normal"/>
    <w:uiPriority w:val="34"/>
    <w:qFormat/>
    <w:rsid w:val="007606D0"/>
    <w:pPr>
      <w:ind w:left="720"/>
      <w:contextualSpacing/>
    </w:pPr>
  </w:style>
  <w:style w:type="paragraph" w:styleId="Header">
    <w:name w:val="header"/>
    <w:basedOn w:val="Normal"/>
    <w:link w:val="HeaderChar"/>
    <w:uiPriority w:val="99"/>
    <w:rsid w:val="00DE6D2B"/>
    <w:pPr>
      <w:widowControl/>
      <w:tabs>
        <w:tab w:val="center" w:pos="4680"/>
        <w:tab w:val="right" w:pos="9360"/>
      </w:tabs>
      <w:autoSpaceDE/>
      <w:autoSpaceDN/>
      <w:adjustRightInd/>
    </w:pPr>
    <w:rPr>
      <w:rFonts w:ascii="Times New Roman" w:hAnsi="Times New Roman"/>
    </w:rPr>
  </w:style>
  <w:style w:type="character" w:customStyle="1" w:styleId="HeaderChar">
    <w:name w:val="Header Char"/>
    <w:basedOn w:val="DefaultParagraphFont"/>
    <w:link w:val="Header"/>
    <w:uiPriority w:val="99"/>
    <w:rsid w:val="00DE6D2B"/>
    <w:rPr>
      <w:sz w:val="24"/>
      <w:szCs w:val="24"/>
    </w:rPr>
  </w:style>
  <w:style w:type="paragraph" w:styleId="Revision">
    <w:name w:val="Revision"/>
    <w:hidden/>
    <w:uiPriority w:val="99"/>
    <w:semiHidden/>
    <w:rsid w:val="00AE3AB9"/>
    <w:rPr>
      <w:rFonts w:ascii="Courier" w:hAnsi="Courier"/>
      <w:sz w:val="24"/>
      <w:szCs w:val="24"/>
    </w:rPr>
  </w:style>
  <w:style w:type="paragraph" w:styleId="Footer">
    <w:name w:val="footer"/>
    <w:basedOn w:val="Normal"/>
    <w:link w:val="FooterChar"/>
    <w:unhideWhenUsed/>
    <w:rsid w:val="00A87FE6"/>
    <w:pPr>
      <w:tabs>
        <w:tab w:val="center" w:pos="4680"/>
        <w:tab w:val="right" w:pos="9360"/>
      </w:tabs>
    </w:pPr>
  </w:style>
  <w:style w:type="character" w:customStyle="1" w:styleId="FooterChar">
    <w:name w:val="Footer Char"/>
    <w:basedOn w:val="DefaultParagraphFont"/>
    <w:link w:val="Footer"/>
    <w:rsid w:val="00A87FE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2025-08-25T20:27:00Z</dcterms:created>
  <dcterms:modified xsi:type="dcterms:W3CDTF">2025-08-28T19:50:00Z</dcterms:modified>
</cp:coreProperties>
</file>